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DC2F6" w14:textId="2FB30A52" w:rsidR="00B65563" w:rsidRPr="00B65563" w:rsidRDefault="00B65563" w:rsidP="00D3649C">
      <w:pPr>
        <w:ind w:firstLine="708"/>
        <w:jc w:val="center"/>
        <w:rPr>
          <w:b/>
          <w:color w:val="000000"/>
        </w:rPr>
      </w:pPr>
      <w:bookmarkStart w:id="0" w:name="_Toc409101233"/>
      <w:bookmarkStart w:id="1" w:name="_Toc501433735"/>
      <w:bookmarkStart w:id="2" w:name="_Toc458667147"/>
      <w:bookmarkStart w:id="3" w:name="_Toc445823084"/>
      <w:bookmarkStart w:id="4" w:name="_Toc441057656"/>
      <w:bookmarkStart w:id="5" w:name="_Toc533167429"/>
      <w:bookmarkStart w:id="6" w:name="_GoBack"/>
      <w:bookmarkEnd w:id="6"/>
      <w:r w:rsidRPr="00B65563">
        <w:rPr>
          <w:b/>
          <w:color w:val="000000"/>
        </w:rPr>
        <w:t>THE RESPONSIBLE MANAGEMENT OF</w:t>
      </w:r>
      <w:r w:rsidR="00D3649C">
        <w:rPr>
          <w:b/>
          <w:color w:val="000000"/>
        </w:rPr>
        <w:t xml:space="preserve"> </w:t>
      </w:r>
      <w:r w:rsidRPr="00B65563">
        <w:rPr>
          <w:b/>
          <w:color w:val="000000"/>
        </w:rPr>
        <w:t>USED FUEL</w:t>
      </w:r>
    </w:p>
    <w:p w14:paraId="539028F2" w14:textId="77777777" w:rsidR="00B65563" w:rsidRPr="00B65563" w:rsidRDefault="00B65563" w:rsidP="00D3649C">
      <w:pPr>
        <w:ind w:firstLine="708"/>
        <w:jc w:val="center"/>
        <w:rPr>
          <w:b/>
          <w:color w:val="000000"/>
        </w:rPr>
      </w:pPr>
      <w:r w:rsidRPr="00B65563">
        <w:rPr>
          <w:b/>
          <w:color w:val="000000"/>
        </w:rPr>
        <w:t>BY THE NUCLEAR INDUSTRY</w:t>
      </w:r>
    </w:p>
    <w:p w14:paraId="408E3A64" w14:textId="77777777" w:rsidR="003A4F60" w:rsidRPr="00B65563" w:rsidRDefault="003A4F60" w:rsidP="003A4F60">
      <w:pPr>
        <w:pStyle w:val="Paragraphedeliste"/>
        <w:rPr>
          <w:rFonts w:ascii="Times New Roman" w:eastAsia="Times New Roman" w:hAnsi="Times New Roman" w:cs="Times New Roman"/>
          <w:color w:val="000000"/>
          <w:sz w:val="20"/>
          <w:szCs w:val="20"/>
          <w:lang w:val="en-US" w:eastAsia="fr-FR"/>
        </w:rPr>
      </w:pPr>
    </w:p>
    <w:p w14:paraId="1A50ACB8" w14:textId="77777777" w:rsidR="00B65563" w:rsidRDefault="00B65563" w:rsidP="003A4F60">
      <w:pPr>
        <w:ind w:left="360"/>
        <w:rPr>
          <w:rFonts w:ascii="Arial" w:hAnsi="Arial" w:cs="Arial"/>
          <w:b/>
          <w:color w:val="000000"/>
          <w:sz w:val="20"/>
          <w:szCs w:val="20"/>
          <w:u w:val="single"/>
        </w:rPr>
      </w:pPr>
    </w:p>
    <w:p w14:paraId="3A86DC4C" w14:textId="34BECD26" w:rsidR="00511985" w:rsidRPr="00511985" w:rsidRDefault="00511985" w:rsidP="00511985">
      <w:pPr>
        <w:ind w:firstLine="708"/>
        <w:rPr>
          <w:color w:val="000000"/>
          <w:sz w:val="20"/>
          <w:szCs w:val="20"/>
        </w:rPr>
      </w:pPr>
      <w:r w:rsidRPr="00511985">
        <w:rPr>
          <w:color w:val="000000"/>
          <w:sz w:val="20"/>
          <w:szCs w:val="20"/>
        </w:rPr>
        <w:t>M. BARYSHNIKOV</w:t>
      </w:r>
    </w:p>
    <w:p w14:paraId="16D0F4B0" w14:textId="69A31D10" w:rsidR="00511985" w:rsidRPr="00511985" w:rsidRDefault="00511985" w:rsidP="00511985">
      <w:pPr>
        <w:ind w:firstLine="708"/>
        <w:rPr>
          <w:color w:val="000000"/>
          <w:sz w:val="20"/>
          <w:szCs w:val="20"/>
        </w:rPr>
      </w:pPr>
      <w:r w:rsidRPr="00511985">
        <w:rPr>
          <w:color w:val="000000"/>
          <w:sz w:val="20"/>
          <w:szCs w:val="20"/>
        </w:rPr>
        <w:t>Tenex</w:t>
      </w:r>
    </w:p>
    <w:p w14:paraId="37BFC556" w14:textId="77777777" w:rsidR="00511985" w:rsidRPr="00511985" w:rsidRDefault="00511985" w:rsidP="00511985">
      <w:pPr>
        <w:ind w:firstLine="708"/>
        <w:rPr>
          <w:color w:val="000000"/>
          <w:sz w:val="20"/>
          <w:szCs w:val="20"/>
        </w:rPr>
      </w:pPr>
      <w:r w:rsidRPr="00511985">
        <w:rPr>
          <w:color w:val="000000"/>
          <w:sz w:val="20"/>
          <w:szCs w:val="20"/>
        </w:rPr>
        <w:t>Chairman of the WNA SUFM WG</w:t>
      </w:r>
    </w:p>
    <w:p w14:paraId="72AF1EC0" w14:textId="5458BFC9" w:rsidR="00511985" w:rsidRPr="00511985" w:rsidRDefault="00511985" w:rsidP="00511985">
      <w:pPr>
        <w:ind w:firstLine="708"/>
        <w:rPr>
          <w:color w:val="000000"/>
          <w:sz w:val="20"/>
          <w:szCs w:val="20"/>
        </w:rPr>
      </w:pPr>
      <w:r w:rsidRPr="00511985">
        <w:rPr>
          <w:color w:val="000000"/>
          <w:sz w:val="20"/>
          <w:szCs w:val="20"/>
        </w:rPr>
        <w:t xml:space="preserve">Email: </w:t>
      </w:r>
      <w:hyperlink r:id="rId8" w:history="1">
        <w:r w:rsidRPr="00511985">
          <w:rPr>
            <w:rStyle w:val="Lienhypertexte"/>
            <w:sz w:val="20"/>
            <w:szCs w:val="20"/>
          </w:rPr>
          <w:t>MVlBaryshnikov@rosatom.ru</w:t>
        </w:r>
      </w:hyperlink>
    </w:p>
    <w:p w14:paraId="6BC276FB" w14:textId="35E75CE2" w:rsidR="00511985" w:rsidRPr="00511985" w:rsidRDefault="00511985" w:rsidP="00511985">
      <w:pPr>
        <w:ind w:firstLine="708"/>
        <w:rPr>
          <w:color w:val="000000"/>
          <w:sz w:val="20"/>
          <w:szCs w:val="20"/>
        </w:rPr>
      </w:pPr>
    </w:p>
    <w:p w14:paraId="07E32BE3" w14:textId="4EABA1F8" w:rsidR="00511985" w:rsidRPr="00511985" w:rsidRDefault="00511985" w:rsidP="00511985">
      <w:pPr>
        <w:ind w:firstLine="708"/>
        <w:rPr>
          <w:color w:val="000000"/>
          <w:sz w:val="20"/>
          <w:szCs w:val="20"/>
        </w:rPr>
      </w:pPr>
      <w:r w:rsidRPr="00511985">
        <w:rPr>
          <w:color w:val="000000"/>
          <w:sz w:val="20"/>
          <w:szCs w:val="20"/>
        </w:rPr>
        <w:t>C. EVANS</w:t>
      </w:r>
    </w:p>
    <w:p w14:paraId="29717758" w14:textId="763660B5" w:rsidR="00511985" w:rsidRPr="00511985" w:rsidRDefault="00511985" w:rsidP="00511985">
      <w:pPr>
        <w:ind w:firstLine="708"/>
        <w:rPr>
          <w:color w:val="000000"/>
          <w:sz w:val="20"/>
          <w:szCs w:val="20"/>
        </w:rPr>
      </w:pPr>
      <w:proofErr w:type="spellStart"/>
      <w:r w:rsidRPr="00511985">
        <w:rPr>
          <w:color w:val="000000"/>
          <w:sz w:val="20"/>
          <w:szCs w:val="20"/>
        </w:rPr>
        <w:t>Orano</w:t>
      </w:r>
      <w:proofErr w:type="spellEnd"/>
    </w:p>
    <w:p w14:paraId="12D8BFE8" w14:textId="10AB34D4" w:rsidR="00511985" w:rsidRDefault="00511985" w:rsidP="00511985">
      <w:pPr>
        <w:ind w:firstLine="708"/>
        <w:rPr>
          <w:color w:val="000000"/>
          <w:sz w:val="20"/>
          <w:szCs w:val="20"/>
        </w:rPr>
      </w:pPr>
      <w:r w:rsidRPr="00511985">
        <w:rPr>
          <w:color w:val="000000"/>
          <w:sz w:val="20"/>
          <w:szCs w:val="20"/>
        </w:rPr>
        <w:t>Vice-Chairman of the WNA SUFM WG</w:t>
      </w:r>
    </w:p>
    <w:p w14:paraId="1316590C" w14:textId="002ADBAA" w:rsidR="00460A49" w:rsidRPr="00511985" w:rsidRDefault="00460A49" w:rsidP="00511985">
      <w:pPr>
        <w:ind w:firstLine="708"/>
        <w:rPr>
          <w:color w:val="000000"/>
          <w:sz w:val="20"/>
          <w:szCs w:val="20"/>
        </w:rPr>
      </w:pPr>
      <w:r>
        <w:rPr>
          <w:color w:val="000000"/>
          <w:sz w:val="20"/>
          <w:szCs w:val="20"/>
        </w:rPr>
        <w:t xml:space="preserve">Email: </w:t>
      </w:r>
      <w:hyperlink r:id="rId9" w:history="1">
        <w:r w:rsidRPr="00471FB5">
          <w:rPr>
            <w:rStyle w:val="Lienhypertexte"/>
            <w:sz w:val="20"/>
            <w:szCs w:val="20"/>
          </w:rPr>
          <w:t>cecile.evans@orano.group</w:t>
        </w:r>
      </w:hyperlink>
      <w:r>
        <w:rPr>
          <w:color w:val="000000"/>
          <w:sz w:val="20"/>
          <w:szCs w:val="20"/>
        </w:rPr>
        <w:t xml:space="preserve"> </w:t>
      </w:r>
    </w:p>
    <w:p w14:paraId="1F28F385" w14:textId="2046F0F0" w:rsidR="00511985" w:rsidRPr="00511985" w:rsidRDefault="00511985" w:rsidP="00511985">
      <w:pPr>
        <w:ind w:firstLine="708"/>
        <w:rPr>
          <w:color w:val="000000"/>
          <w:sz w:val="20"/>
          <w:szCs w:val="20"/>
        </w:rPr>
      </w:pPr>
    </w:p>
    <w:p w14:paraId="5C95EFDE" w14:textId="504B909A" w:rsidR="00511985" w:rsidRPr="00511985" w:rsidRDefault="00511985" w:rsidP="00511985">
      <w:pPr>
        <w:ind w:firstLine="708"/>
        <w:rPr>
          <w:color w:val="000000"/>
          <w:sz w:val="20"/>
          <w:szCs w:val="20"/>
        </w:rPr>
      </w:pPr>
      <w:r w:rsidRPr="00511985">
        <w:rPr>
          <w:color w:val="000000"/>
          <w:sz w:val="20"/>
          <w:szCs w:val="20"/>
        </w:rPr>
        <w:t>J. EDLOW</w:t>
      </w:r>
    </w:p>
    <w:p w14:paraId="5C4049D5" w14:textId="26456038" w:rsidR="00511985" w:rsidRPr="00023937" w:rsidRDefault="00511985" w:rsidP="00511985">
      <w:pPr>
        <w:ind w:firstLine="708"/>
        <w:rPr>
          <w:sz w:val="20"/>
          <w:szCs w:val="20"/>
        </w:rPr>
      </w:pPr>
      <w:proofErr w:type="spellStart"/>
      <w:r w:rsidRPr="00023937">
        <w:rPr>
          <w:sz w:val="20"/>
          <w:szCs w:val="20"/>
        </w:rPr>
        <w:t>Edlow</w:t>
      </w:r>
      <w:proofErr w:type="spellEnd"/>
      <w:r w:rsidRPr="00023937">
        <w:rPr>
          <w:sz w:val="20"/>
          <w:szCs w:val="20"/>
        </w:rPr>
        <w:t xml:space="preserve"> International Company</w:t>
      </w:r>
    </w:p>
    <w:p w14:paraId="4E8910B2" w14:textId="05B64D86" w:rsidR="006056B8" w:rsidRDefault="006056B8" w:rsidP="00511985">
      <w:pPr>
        <w:ind w:firstLine="708"/>
        <w:rPr>
          <w:sz w:val="20"/>
          <w:szCs w:val="20"/>
        </w:rPr>
      </w:pPr>
      <w:r w:rsidRPr="00023937">
        <w:rPr>
          <w:sz w:val="20"/>
          <w:szCs w:val="20"/>
        </w:rPr>
        <w:t>CEO</w:t>
      </w:r>
    </w:p>
    <w:p w14:paraId="051B94E8" w14:textId="75D0D455" w:rsidR="0004194B" w:rsidRDefault="0004194B" w:rsidP="00511985">
      <w:pPr>
        <w:ind w:firstLine="708"/>
        <w:rPr>
          <w:sz w:val="20"/>
          <w:szCs w:val="20"/>
        </w:rPr>
      </w:pPr>
      <w:r>
        <w:rPr>
          <w:sz w:val="20"/>
          <w:szCs w:val="20"/>
        </w:rPr>
        <w:t xml:space="preserve">Email: </w:t>
      </w:r>
      <w:hyperlink r:id="rId10" w:history="1">
        <w:r w:rsidR="003868A6" w:rsidRPr="000246F6">
          <w:rPr>
            <w:rStyle w:val="Lienhypertexte"/>
            <w:sz w:val="20"/>
            <w:szCs w:val="20"/>
          </w:rPr>
          <w:t>jedlow@edlow.com</w:t>
        </w:r>
      </w:hyperlink>
    </w:p>
    <w:p w14:paraId="3DC8C940" w14:textId="5ADD5F3C" w:rsidR="006056B8" w:rsidRPr="00023937" w:rsidRDefault="006056B8" w:rsidP="00511985">
      <w:pPr>
        <w:ind w:firstLine="708"/>
        <w:rPr>
          <w:sz w:val="20"/>
          <w:szCs w:val="20"/>
        </w:rPr>
      </w:pPr>
    </w:p>
    <w:p w14:paraId="799B6978" w14:textId="6A394E10" w:rsidR="006056B8" w:rsidRPr="00023937" w:rsidRDefault="006056B8" w:rsidP="00511985">
      <w:pPr>
        <w:ind w:firstLine="708"/>
        <w:rPr>
          <w:sz w:val="20"/>
          <w:szCs w:val="20"/>
        </w:rPr>
      </w:pPr>
      <w:r w:rsidRPr="00023937">
        <w:rPr>
          <w:sz w:val="20"/>
          <w:szCs w:val="20"/>
        </w:rPr>
        <w:t>L. VAN DEN DURPEL</w:t>
      </w:r>
    </w:p>
    <w:p w14:paraId="3374BD84" w14:textId="562B4992" w:rsidR="006056B8" w:rsidRPr="00023937" w:rsidRDefault="006056B8" w:rsidP="00511985">
      <w:pPr>
        <w:ind w:firstLine="708"/>
        <w:rPr>
          <w:sz w:val="20"/>
          <w:szCs w:val="20"/>
        </w:rPr>
      </w:pPr>
      <w:r w:rsidRPr="00023937">
        <w:rPr>
          <w:sz w:val="20"/>
          <w:szCs w:val="20"/>
        </w:rPr>
        <w:t>Nuclear 21</w:t>
      </w:r>
    </w:p>
    <w:p w14:paraId="55B2378F" w14:textId="1957DCDB" w:rsidR="006056B8" w:rsidRPr="00023937" w:rsidRDefault="006056B8" w:rsidP="00511985">
      <w:pPr>
        <w:ind w:firstLine="708"/>
        <w:rPr>
          <w:sz w:val="20"/>
          <w:szCs w:val="20"/>
        </w:rPr>
      </w:pPr>
      <w:r w:rsidRPr="00023937">
        <w:rPr>
          <w:sz w:val="20"/>
          <w:szCs w:val="20"/>
        </w:rPr>
        <w:t>Managing Director</w:t>
      </w:r>
    </w:p>
    <w:p w14:paraId="1F6ACEF2" w14:textId="73782C78" w:rsidR="003868A6" w:rsidRDefault="003868A6" w:rsidP="003868A6">
      <w:pPr>
        <w:ind w:firstLine="708"/>
        <w:rPr>
          <w:sz w:val="20"/>
          <w:szCs w:val="20"/>
        </w:rPr>
      </w:pPr>
      <w:r>
        <w:rPr>
          <w:sz w:val="20"/>
          <w:szCs w:val="20"/>
        </w:rPr>
        <w:t xml:space="preserve">Email: </w:t>
      </w:r>
      <w:hyperlink r:id="rId11" w:history="1">
        <w:r w:rsidR="003D2954" w:rsidRPr="000246F6">
          <w:rPr>
            <w:rStyle w:val="Lienhypertexte"/>
            <w:sz w:val="20"/>
            <w:szCs w:val="20"/>
          </w:rPr>
          <w:t>vddurpel@nuclear-21.net</w:t>
        </w:r>
      </w:hyperlink>
    </w:p>
    <w:p w14:paraId="6C994049" w14:textId="5AC07275" w:rsidR="00511985" w:rsidRDefault="00511985" w:rsidP="00511985">
      <w:pPr>
        <w:ind w:firstLine="708"/>
        <w:rPr>
          <w:color w:val="000000"/>
          <w:sz w:val="20"/>
          <w:szCs w:val="20"/>
        </w:rPr>
      </w:pPr>
    </w:p>
    <w:p w14:paraId="23F3D57C" w14:textId="749E5DE1" w:rsidR="006056B8" w:rsidRDefault="006056B8" w:rsidP="00511985">
      <w:pPr>
        <w:ind w:firstLine="708"/>
        <w:rPr>
          <w:color w:val="000000"/>
          <w:sz w:val="20"/>
          <w:szCs w:val="20"/>
        </w:rPr>
      </w:pPr>
      <w:r>
        <w:rPr>
          <w:color w:val="000000"/>
          <w:sz w:val="20"/>
          <w:szCs w:val="20"/>
        </w:rPr>
        <w:t>S. GORLIN</w:t>
      </w:r>
    </w:p>
    <w:p w14:paraId="7A847C24" w14:textId="07479814" w:rsidR="006056B8" w:rsidRDefault="006056B8" w:rsidP="00511985">
      <w:pPr>
        <w:ind w:firstLine="708"/>
        <w:rPr>
          <w:color w:val="000000"/>
          <w:sz w:val="20"/>
          <w:szCs w:val="20"/>
        </w:rPr>
      </w:pPr>
      <w:r>
        <w:rPr>
          <w:color w:val="000000"/>
          <w:sz w:val="20"/>
          <w:szCs w:val="20"/>
        </w:rPr>
        <w:t>World Nuclear Association</w:t>
      </w:r>
    </w:p>
    <w:p w14:paraId="5089866F" w14:textId="50ADA7FD" w:rsidR="006056B8" w:rsidRPr="00024618" w:rsidRDefault="006056B8" w:rsidP="006056B8">
      <w:pPr>
        <w:ind w:firstLine="708"/>
        <w:rPr>
          <w:rStyle w:val="st"/>
          <w:rFonts w:eastAsiaTheme="majorEastAsia"/>
          <w:sz w:val="20"/>
          <w:szCs w:val="20"/>
        </w:rPr>
      </w:pPr>
      <w:r w:rsidRPr="00024618">
        <w:rPr>
          <w:rStyle w:val="st"/>
          <w:rFonts w:eastAsiaTheme="majorEastAsia"/>
          <w:sz w:val="20"/>
          <w:szCs w:val="20"/>
        </w:rPr>
        <w:t>Head of Industry Cooperation</w:t>
      </w:r>
    </w:p>
    <w:p w14:paraId="31126875" w14:textId="17C7D52B" w:rsidR="00024618" w:rsidRPr="00E90252" w:rsidRDefault="00024618" w:rsidP="006056B8">
      <w:pPr>
        <w:ind w:firstLine="708"/>
        <w:rPr>
          <w:rStyle w:val="st"/>
          <w:rFonts w:eastAsiaTheme="majorEastAsia"/>
          <w:sz w:val="20"/>
          <w:szCs w:val="20"/>
          <w:lang w:val="fr-FR"/>
        </w:rPr>
      </w:pPr>
      <w:r w:rsidRPr="00E90252">
        <w:rPr>
          <w:rStyle w:val="st"/>
          <w:rFonts w:eastAsiaTheme="majorEastAsia"/>
          <w:sz w:val="20"/>
          <w:szCs w:val="20"/>
          <w:lang w:val="fr-FR"/>
        </w:rPr>
        <w:t>Email:</w:t>
      </w:r>
      <w:r w:rsidRPr="00E90252">
        <w:rPr>
          <w:lang w:val="fr-FR"/>
        </w:rPr>
        <w:t xml:space="preserve"> </w:t>
      </w:r>
      <w:hyperlink r:id="rId12" w:history="1">
        <w:r w:rsidRPr="00E90252">
          <w:rPr>
            <w:rStyle w:val="Lienhypertexte"/>
            <w:rFonts w:eastAsiaTheme="majorEastAsia"/>
            <w:sz w:val="20"/>
            <w:szCs w:val="20"/>
            <w:lang w:val="fr-FR"/>
          </w:rPr>
          <w:t>serge.gorlin@world-nuclear.org</w:t>
        </w:r>
      </w:hyperlink>
      <w:r w:rsidRPr="00E90252">
        <w:rPr>
          <w:rStyle w:val="st"/>
          <w:rFonts w:eastAsiaTheme="majorEastAsia"/>
          <w:sz w:val="20"/>
          <w:szCs w:val="20"/>
          <w:lang w:val="fr-FR"/>
        </w:rPr>
        <w:t xml:space="preserve">. </w:t>
      </w:r>
    </w:p>
    <w:p w14:paraId="163E3AB9" w14:textId="6C5F7B3C" w:rsidR="006056B8" w:rsidRPr="00E90252" w:rsidRDefault="006056B8" w:rsidP="006056B8">
      <w:pPr>
        <w:ind w:firstLine="708"/>
        <w:rPr>
          <w:sz w:val="20"/>
          <w:szCs w:val="20"/>
          <w:lang w:val="fr-FR"/>
        </w:rPr>
      </w:pPr>
    </w:p>
    <w:p w14:paraId="26079732" w14:textId="6E3AB374" w:rsidR="006056B8" w:rsidRPr="00E90252" w:rsidRDefault="006056B8" w:rsidP="006056B8">
      <w:pPr>
        <w:ind w:firstLine="708"/>
        <w:rPr>
          <w:sz w:val="20"/>
          <w:szCs w:val="20"/>
          <w:lang w:val="fr-FR"/>
        </w:rPr>
      </w:pPr>
      <w:r w:rsidRPr="00E90252">
        <w:rPr>
          <w:sz w:val="20"/>
          <w:szCs w:val="20"/>
          <w:lang w:val="fr-FR"/>
        </w:rPr>
        <w:t>H. ZACCAI</w:t>
      </w:r>
    </w:p>
    <w:p w14:paraId="5D0353C3" w14:textId="60C1ED3B" w:rsidR="006056B8" w:rsidRDefault="006056B8" w:rsidP="006056B8">
      <w:pPr>
        <w:ind w:firstLine="708"/>
        <w:rPr>
          <w:sz w:val="20"/>
          <w:szCs w:val="20"/>
        </w:rPr>
      </w:pPr>
      <w:r>
        <w:rPr>
          <w:sz w:val="20"/>
          <w:szCs w:val="20"/>
        </w:rPr>
        <w:t>World Nuclear Association</w:t>
      </w:r>
    </w:p>
    <w:p w14:paraId="0AB6EBFE" w14:textId="0739A6BC" w:rsidR="006056B8" w:rsidRDefault="006056B8" w:rsidP="006056B8">
      <w:pPr>
        <w:ind w:firstLine="708"/>
        <w:rPr>
          <w:sz w:val="20"/>
          <w:szCs w:val="20"/>
        </w:rPr>
      </w:pPr>
      <w:r>
        <w:rPr>
          <w:sz w:val="20"/>
          <w:szCs w:val="20"/>
        </w:rPr>
        <w:t>Senior Consultant</w:t>
      </w:r>
    </w:p>
    <w:p w14:paraId="49BE2096" w14:textId="0ACD5FAE" w:rsidR="00460A49" w:rsidRPr="006056B8" w:rsidRDefault="00460A49" w:rsidP="006056B8">
      <w:pPr>
        <w:ind w:firstLine="708"/>
        <w:rPr>
          <w:sz w:val="20"/>
          <w:szCs w:val="20"/>
        </w:rPr>
      </w:pPr>
      <w:r>
        <w:rPr>
          <w:sz w:val="20"/>
          <w:szCs w:val="20"/>
        </w:rPr>
        <w:t xml:space="preserve">E-mail: </w:t>
      </w:r>
      <w:hyperlink r:id="rId13" w:history="1">
        <w:r w:rsidRPr="00471FB5">
          <w:rPr>
            <w:rStyle w:val="Lienhypertexte"/>
            <w:sz w:val="20"/>
            <w:szCs w:val="20"/>
          </w:rPr>
          <w:t>henri.zaccai@gmail.com</w:t>
        </w:r>
      </w:hyperlink>
      <w:r>
        <w:rPr>
          <w:sz w:val="20"/>
          <w:szCs w:val="20"/>
        </w:rPr>
        <w:t xml:space="preserve"> </w:t>
      </w:r>
    </w:p>
    <w:p w14:paraId="1FE38F97" w14:textId="780851A2" w:rsidR="00024618" w:rsidRDefault="00024618" w:rsidP="00511985">
      <w:pPr>
        <w:ind w:firstLine="708"/>
        <w:rPr>
          <w:color w:val="000000"/>
          <w:sz w:val="20"/>
          <w:szCs w:val="20"/>
        </w:rPr>
      </w:pPr>
    </w:p>
    <w:p w14:paraId="7230AEC5" w14:textId="77777777" w:rsidR="00024618" w:rsidRPr="006056B8" w:rsidRDefault="00024618" w:rsidP="00511985">
      <w:pPr>
        <w:ind w:firstLine="708"/>
        <w:rPr>
          <w:b/>
          <w:color w:val="000000"/>
          <w:sz w:val="20"/>
          <w:szCs w:val="20"/>
        </w:rPr>
      </w:pPr>
    </w:p>
    <w:p w14:paraId="2A33D478" w14:textId="0B6455A2" w:rsidR="0029205F" w:rsidRDefault="006056B8" w:rsidP="00BF5287">
      <w:pPr>
        <w:rPr>
          <w:b/>
          <w:sz w:val="20"/>
          <w:szCs w:val="20"/>
        </w:rPr>
      </w:pPr>
      <w:r w:rsidRPr="006056B8">
        <w:rPr>
          <w:b/>
          <w:sz w:val="20"/>
          <w:szCs w:val="20"/>
        </w:rPr>
        <w:t>Abstract</w:t>
      </w:r>
    </w:p>
    <w:p w14:paraId="44414EEA" w14:textId="77777777" w:rsidR="006056B8" w:rsidRPr="006056B8" w:rsidRDefault="006056B8" w:rsidP="003A4F60">
      <w:pPr>
        <w:ind w:left="360"/>
        <w:rPr>
          <w:rFonts w:ascii="Arial" w:hAnsi="Arial" w:cs="Arial"/>
          <w:sz w:val="20"/>
          <w:szCs w:val="20"/>
        </w:rPr>
      </w:pPr>
    </w:p>
    <w:p w14:paraId="36EA58CC" w14:textId="2CED74A1" w:rsidR="0029205F" w:rsidRDefault="0029205F" w:rsidP="00974EDB">
      <w:pPr>
        <w:widowControl w:val="0"/>
        <w:autoSpaceDE w:val="0"/>
        <w:autoSpaceDN w:val="0"/>
        <w:adjustRightInd w:val="0"/>
        <w:ind w:firstLine="709"/>
        <w:jc w:val="both"/>
        <w:rPr>
          <w:color w:val="000000"/>
          <w:sz w:val="20"/>
          <w:szCs w:val="20"/>
        </w:rPr>
      </w:pPr>
      <w:r w:rsidRPr="00D3649C">
        <w:rPr>
          <w:color w:val="000000"/>
          <w:sz w:val="20"/>
          <w:szCs w:val="20"/>
        </w:rPr>
        <w:t xml:space="preserve">Used </w:t>
      </w:r>
      <w:r w:rsidR="00792367">
        <w:rPr>
          <w:color w:val="000000"/>
          <w:sz w:val="20"/>
          <w:szCs w:val="20"/>
        </w:rPr>
        <w:t>f</w:t>
      </w:r>
      <w:r w:rsidRPr="00D3649C">
        <w:rPr>
          <w:color w:val="000000"/>
          <w:sz w:val="20"/>
          <w:szCs w:val="20"/>
        </w:rPr>
        <w:t xml:space="preserve">uel is generated from the operation of nuclear reactors of all types. The nuclear industry is currently implementing strategies </w:t>
      </w:r>
      <w:r w:rsidR="00A35A3E">
        <w:rPr>
          <w:color w:val="000000"/>
          <w:sz w:val="20"/>
          <w:szCs w:val="20"/>
        </w:rPr>
        <w:t xml:space="preserve">to ensure the </w:t>
      </w:r>
      <w:r w:rsidRPr="00D3649C">
        <w:rPr>
          <w:color w:val="000000"/>
          <w:sz w:val="20"/>
          <w:szCs w:val="20"/>
        </w:rPr>
        <w:t xml:space="preserve">safe and </w:t>
      </w:r>
      <w:r w:rsidR="00A35A3E" w:rsidRPr="00D3649C">
        <w:rPr>
          <w:color w:val="000000"/>
          <w:sz w:val="20"/>
          <w:szCs w:val="20"/>
        </w:rPr>
        <w:t>cost-effective</w:t>
      </w:r>
      <w:r w:rsidRPr="00D3649C">
        <w:rPr>
          <w:color w:val="000000"/>
          <w:sz w:val="20"/>
          <w:szCs w:val="20"/>
        </w:rPr>
        <w:t xml:space="preserve"> management of th</w:t>
      </w:r>
      <w:r w:rsidR="00BF5287">
        <w:rPr>
          <w:color w:val="000000"/>
          <w:sz w:val="20"/>
          <w:szCs w:val="20"/>
        </w:rPr>
        <w:t>is</w:t>
      </w:r>
      <w:r w:rsidRPr="00D3649C">
        <w:rPr>
          <w:color w:val="000000"/>
          <w:sz w:val="20"/>
          <w:szCs w:val="20"/>
        </w:rPr>
        <w:t xml:space="preserve"> used fuel. </w:t>
      </w:r>
      <w:r w:rsidR="00A35A3E">
        <w:rPr>
          <w:color w:val="000000"/>
          <w:sz w:val="20"/>
          <w:szCs w:val="20"/>
        </w:rPr>
        <w:t xml:space="preserve">Currently, there </w:t>
      </w:r>
      <w:r w:rsidR="00BF5287">
        <w:rPr>
          <w:color w:val="000000"/>
          <w:sz w:val="20"/>
          <w:szCs w:val="20"/>
        </w:rPr>
        <w:t>exist</w:t>
      </w:r>
      <w:r w:rsidR="00A35A3E">
        <w:rPr>
          <w:color w:val="000000"/>
          <w:sz w:val="20"/>
          <w:szCs w:val="20"/>
        </w:rPr>
        <w:t xml:space="preserve"> two strategies</w:t>
      </w:r>
      <w:r w:rsidR="00BF5287">
        <w:rPr>
          <w:color w:val="000000"/>
          <w:sz w:val="20"/>
          <w:szCs w:val="20"/>
        </w:rPr>
        <w:t xml:space="preserve"> for managing used fuel</w:t>
      </w:r>
      <w:r w:rsidR="00A35A3E">
        <w:rPr>
          <w:color w:val="000000"/>
          <w:sz w:val="20"/>
          <w:szCs w:val="20"/>
        </w:rPr>
        <w:t xml:space="preserve">: the </w:t>
      </w:r>
      <w:r w:rsidR="00BF5287">
        <w:rPr>
          <w:color w:val="000000"/>
          <w:sz w:val="20"/>
          <w:szCs w:val="20"/>
        </w:rPr>
        <w:t>“</w:t>
      </w:r>
      <w:r w:rsidRPr="00D3649C">
        <w:rPr>
          <w:color w:val="000000"/>
          <w:sz w:val="20"/>
          <w:szCs w:val="20"/>
        </w:rPr>
        <w:t>open cycle</w:t>
      </w:r>
      <w:r w:rsidR="00BF5287">
        <w:rPr>
          <w:color w:val="000000"/>
          <w:sz w:val="20"/>
          <w:szCs w:val="20"/>
        </w:rPr>
        <w:t>”</w:t>
      </w:r>
      <w:r w:rsidRPr="00D3649C">
        <w:rPr>
          <w:color w:val="000000"/>
          <w:sz w:val="20"/>
          <w:szCs w:val="20"/>
        </w:rPr>
        <w:t xml:space="preserve"> and </w:t>
      </w:r>
      <w:r w:rsidR="00BF5287">
        <w:rPr>
          <w:color w:val="000000"/>
          <w:sz w:val="20"/>
          <w:szCs w:val="20"/>
        </w:rPr>
        <w:t>“</w:t>
      </w:r>
      <w:r w:rsidRPr="00D3649C">
        <w:rPr>
          <w:color w:val="000000"/>
          <w:sz w:val="20"/>
          <w:szCs w:val="20"/>
        </w:rPr>
        <w:t>closed cycle</w:t>
      </w:r>
      <w:r w:rsidR="00BF5287">
        <w:rPr>
          <w:color w:val="000000"/>
          <w:sz w:val="20"/>
          <w:szCs w:val="20"/>
        </w:rPr>
        <w:t>”</w:t>
      </w:r>
      <w:r w:rsidRPr="00D3649C">
        <w:rPr>
          <w:color w:val="000000"/>
          <w:sz w:val="20"/>
          <w:szCs w:val="20"/>
        </w:rPr>
        <w:t xml:space="preserve">. </w:t>
      </w:r>
      <w:r w:rsidR="00A35A3E">
        <w:rPr>
          <w:color w:val="000000"/>
          <w:sz w:val="20"/>
          <w:szCs w:val="20"/>
        </w:rPr>
        <w:t xml:space="preserve">Depending on a number of drivers, countries </w:t>
      </w:r>
      <w:r w:rsidR="00BF5287">
        <w:rPr>
          <w:color w:val="000000"/>
          <w:sz w:val="20"/>
          <w:szCs w:val="20"/>
        </w:rPr>
        <w:t xml:space="preserve">will engage in one of these alternatives, but </w:t>
      </w:r>
      <w:r w:rsidRPr="00D3649C">
        <w:rPr>
          <w:color w:val="000000"/>
          <w:sz w:val="20"/>
          <w:szCs w:val="20"/>
        </w:rPr>
        <w:t xml:space="preserve">may also examine </w:t>
      </w:r>
      <w:r w:rsidR="00A35A3E">
        <w:rPr>
          <w:color w:val="000000"/>
          <w:sz w:val="20"/>
          <w:szCs w:val="20"/>
        </w:rPr>
        <w:t xml:space="preserve">the use of </w:t>
      </w:r>
      <w:r w:rsidR="00A35A3E" w:rsidRPr="00D3649C">
        <w:rPr>
          <w:color w:val="000000"/>
          <w:sz w:val="20"/>
          <w:szCs w:val="20"/>
        </w:rPr>
        <w:t>interim</w:t>
      </w:r>
      <w:r w:rsidRPr="00D3649C">
        <w:rPr>
          <w:color w:val="000000"/>
          <w:sz w:val="20"/>
          <w:szCs w:val="20"/>
        </w:rPr>
        <w:t xml:space="preserve"> sto</w:t>
      </w:r>
      <w:r w:rsidR="00A35A3E">
        <w:rPr>
          <w:color w:val="000000"/>
          <w:sz w:val="20"/>
          <w:szCs w:val="20"/>
        </w:rPr>
        <w:t>rage</w:t>
      </w:r>
      <w:r w:rsidRPr="00D3649C">
        <w:rPr>
          <w:color w:val="000000"/>
          <w:sz w:val="20"/>
          <w:szCs w:val="20"/>
        </w:rPr>
        <w:t xml:space="preserve">. </w:t>
      </w:r>
    </w:p>
    <w:p w14:paraId="7DB3E726" w14:textId="77777777" w:rsidR="00D3649C" w:rsidRPr="00D3649C" w:rsidRDefault="00D3649C" w:rsidP="00D3649C">
      <w:pPr>
        <w:widowControl w:val="0"/>
        <w:autoSpaceDE w:val="0"/>
        <w:autoSpaceDN w:val="0"/>
        <w:adjustRightInd w:val="0"/>
        <w:ind w:firstLine="708"/>
        <w:jc w:val="both"/>
        <w:rPr>
          <w:color w:val="000000"/>
          <w:sz w:val="20"/>
          <w:szCs w:val="20"/>
        </w:rPr>
      </w:pPr>
    </w:p>
    <w:p w14:paraId="7C1391E6" w14:textId="77777777" w:rsidR="00BF5287" w:rsidRDefault="0029205F" w:rsidP="00BF5287">
      <w:pPr>
        <w:ind w:firstLine="709"/>
        <w:jc w:val="both"/>
        <w:rPr>
          <w:color w:val="000000"/>
          <w:sz w:val="20"/>
          <w:szCs w:val="20"/>
        </w:rPr>
      </w:pPr>
      <w:r w:rsidRPr="00D3649C">
        <w:rPr>
          <w:color w:val="000000"/>
          <w:sz w:val="20"/>
          <w:szCs w:val="20"/>
        </w:rPr>
        <w:t xml:space="preserve">The paper </w:t>
      </w:r>
      <w:r w:rsidR="00A35A3E">
        <w:rPr>
          <w:color w:val="000000"/>
          <w:sz w:val="20"/>
          <w:szCs w:val="20"/>
        </w:rPr>
        <w:t>presents</w:t>
      </w:r>
      <w:r w:rsidRPr="00D3649C">
        <w:rPr>
          <w:color w:val="000000"/>
          <w:sz w:val="20"/>
          <w:szCs w:val="20"/>
        </w:rPr>
        <w:t xml:space="preserve"> used fuel management </w:t>
      </w:r>
      <w:r w:rsidR="00BF5287">
        <w:rPr>
          <w:color w:val="000000"/>
          <w:sz w:val="20"/>
          <w:szCs w:val="20"/>
        </w:rPr>
        <w:t xml:space="preserve">strategies </w:t>
      </w:r>
      <w:r w:rsidRPr="00D3649C">
        <w:rPr>
          <w:color w:val="000000"/>
          <w:sz w:val="20"/>
          <w:szCs w:val="20"/>
        </w:rPr>
        <w:t xml:space="preserve">which ensure used fuel is safely managed by the nuclear operators. </w:t>
      </w:r>
      <w:r w:rsidR="00BF5287" w:rsidRPr="00D3649C">
        <w:rPr>
          <w:color w:val="000000"/>
          <w:sz w:val="20"/>
          <w:szCs w:val="20"/>
        </w:rPr>
        <w:t>The paper also discusses long-term management solutions of used fuel, implementing integrated system approaches in stages to mitigate risks and uncertainties. Additionally, described are innovative solutions that could be implemented in the mid-term, as well as potential constraints to their development.</w:t>
      </w:r>
    </w:p>
    <w:p w14:paraId="2D74B153" w14:textId="77777777" w:rsidR="006F23BC" w:rsidRDefault="006F23BC" w:rsidP="00D3649C">
      <w:pPr>
        <w:widowControl w:val="0"/>
        <w:autoSpaceDE w:val="0"/>
        <w:autoSpaceDN w:val="0"/>
        <w:adjustRightInd w:val="0"/>
        <w:ind w:firstLine="708"/>
        <w:jc w:val="both"/>
        <w:rPr>
          <w:color w:val="000000"/>
          <w:sz w:val="20"/>
          <w:szCs w:val="20"/>
        </w:rPr>
      </w:pPr>
    </w:p>
    <w:p w14:paraId="5F6D5FF9" w14:textId="6EEC968C" w:rsidR="003A4F60" w:rsidRPr="006056B8" w:rsidRDefault="006056B8" w:rsidP="006056B8">
      <w:pPr>
        <w:pStyle w:val="Paragraphedeliste"/>
        <w:numPr>
          <w:ilvl w:val="0"/>
          <w:numId w:val="24"/>
        </w:numPr>
        <w:rPr>
          <w:rFonts w:ascii="Times New Roman" w:eastAsia="Times New Roman" w:hAnsi="Times New Roman" w:cs="Times New Roman"/>
          <w:color w:val="000000"/>
          <w:sz w:val="20"/>
          <w:szCs w:val="20"/>
          <w:lang w:val="en-US" w:eastAsia="fr-FR"/>
        </w:rPr>
      </w:pPr>
      <w:r w:rsidRPr="006056B8">
        <w:rPr>
          <w:rFonts w:ascii="Times New Roman" w:hAnsi="Times New Roman" w:cs="Times New Roman"/>
          <w:color w:val="000000"/>
          <w:sz w:val="20"/>
          <w:szCs w:val="20"/>
          <w:lang w:val="en-US"/>
        </w:rPr>
        <w:t>INTRODUCTION</w:t>
      </w:r>
    </w:p>
    <w:p w14:paraId="0E9C18AF" w14:textId="77777777" w:rsidR="006056B8" w:rsidRPr="006056B8" w:rsidRDefault="006056B8" w:rsidP="003A4F60">
      <w:pPr>
        <w:ind w:left="360"/>
        <w:rPr>
          <w:color w:val="000000"/>
          <w:sz w:val="20"/>
          <w:szCs w:val="20"/>
        </w:rPr>
      </w:pPr>
    </w:p>
    <w:p w14:paraId="6625FABE" w14:textId="7452D4F5" w:rsidR="00D3649C" w:rsidRPr="00D3649C" w:rsidRDefault="00D3649C" w:rsidP="00BF5287">
      <w:pPr>
        <w:ind w:firstLine="709"/>
        <w:jc w:val="both"/>
        <w:rPr>
          <w:color w:val="000000"/>
          <w:sz w:val="20"/>
          <w:szCs w:val="20"/>
        </w:rPr>
      </w:pPr>
      <w:r w:rsidRPr="00D3649C">
        <w:rPr>
          <w:color w:val="000000"/>
          <w:sz w:val="20"/>
          <w:szCs w:val="20"/>
        </w:rPr>
        <w:t xml:space="preserve">The central apparatus of any nuclear power plant (NPP) is the reactor core. A fuel assembly enjoys a working period of </w:t>
      </w:r>
      <w:r w:rsidR="00F737A4">
        <w:rPr>
          <w:color w:val="000000"/>
          <w:sz w:val="20"/>
          <w:szCs w:val="20"/>
        </w:rPr>
        <w:t>three to six years</w:t>
      </w:r>
      <w:r w:rsidRPr="00D3649C">
        <w:rPr>
          <w:color w:val="000000"/>
          <w:sz w:val="20"/>
          <w:szCs w:val="20"/>
        </w:rPr>
        <w:t xml:space="preserve"> within the reactor core and is used in all types of nuclear reactor designs</w:t>
      </w:r>
      <w:r w:rsidR="00F737A4">
        <w:rPr>
          <w:rStyle w:val="Appelnotedebasdep"/>
          <w:color w:val="000000"/>
          <w:sz w:val="20"/>
          <w:szCs w:val="20"/>
        </w:rPr>
        <w:footnoteReference w:id="1"/>
      </w:r>
      <w:r w:rsidRPr="00D3649C">
        <w:rPr>
          <w:color w:val="000000"/>
          <w:sz w:val="20"/>
          <w:szCs w:val="20"/>
        </w:rPr>
        <w:t xml:space="preserve">. Upon removal from the reactor core, this used fuel embarks on the final stage of its life cycle, with the nuclear industry implementing various strategies based on government policy to ensure a safe and cost-effective overall management of this used fuel, which is divided into two tracks:  the “open cycle” and the “closed cycle”. Due to a number of factors (e.g., State policy, technology availability, geology, public acceptance) </w:t>
      </w:r>
      <w:r w:rsidR="00A90436">
        <w:rPr>
          <w:color w:val="000000"/>
          <w:sz w:val="20"/>
          <w:szCs w:val="20"/>
        </w:rPr>
        <w:t>nuclear operators</w:t>
      </w:r>
      <w:r w:rsidR="00A90436" w:rsidRPr="00D3649C">
        <w:rPr>
          <w:color w:val="000000"/>
          <w:sz w:val="20"/>
          <w:szCs w:val="20"/>
        </w:rPr>
        <w:t xml:space="preserve"> </w:t>
      </w:r>
      <w:r w:rsidRPr="00D3649C">
        <w:rPr>
          <w:color w:val="000000"/>
          <w:sz w:val="20"/>
          <w:szCs w:val="20"/>
        </w:rPr>
        <w:t xml:space="preserve">may avail themselves of interim storage methods. </w:t>
      </w:r>
      <w:r w:rsidR="00033128">
        <w:rPr>
          <w:color w:val="000000"/>
          <w:sz w:val="20"/>
          <w:szCs w:val="20"/>
        </w:rPr>
        <w:t>Whichever method is chosen, the infrastructure</w:t>
      </w:r>
      <w:r w:rsidR="00423735">
        <w:rPr>
          <w:color w:val="000000"/>
          <w:sz w:val="20"/>
          <w:szCs w:val="20"/>
        </w:rPr>
        <w:t xml:space="preserve"> and technologies are</w:t>
      </w:r>
      <w:r w:rsidR="00033128">
        <w:rPr>
          <w:color w:val="000000"/>
          <w:sz w:val="20"/>
          <w:szCs w:val="20"/>
        </w:rPr>
        <w:t xml:space="preserve"> </w:t>
      </w:r>
      <w:r w:rsidR="00033128">
        <w:rPr>
          <w:color w:val="000000"/>
          <w:sz w:val="20"/>
          <w:szCs w:val="20"/>
        </w:rPr>
        <w:lastRenderedPageBreak/>
        <w:t xml:space="preserve">available for meeting the current and future </w:t>
      </w:r>
      <w:r w:rsidR="008D1805">
        <w:rPr>
          <w:color w:val="000000"/>
          <w:sz w:val="20"/>
          <w:szCs w:val="20"/>
        </w:rPr>
        <w:t>used fuel management needs of these countries</w:t>
      </w:r>
      <w:r w:rsidR="00460A49">
        <w:rPr>
          <w:color w:val="000000"/>
          <w:sz w:val="20"/>
          <w:szCs w:val="20"/>
        </w:rPr>
        <w:t>, until such time a deep geological repository (DGR) becomes operational</w:t>
      </w:r>
      <w:r w:rsidR="008D1805">
        <w:rPr>
          <w:color w:val="000000"/>
          <w:sz w:val="20"/>
          <w:szCs w:val="20"/>
        </w:rPr>
        <w:t xml:space="preserve">. </w:t>
      </w:r>
    </w:p>
    <w:p w14:paraId="5A11387E" w14:textId="77777777" w:rsidR="00D3649C" w:rsidRPr="00D3649C" w:rsidRDefault="00D3649C" w:rsidP="00BF5287">
      <w:pPr>
        <w:ind w:firstLine="709"/>
        <w:jc w:val="both"/>
        <w:rPr>
          <w:color w:val="000000"/>
          <w:sz w:val="20"/>
          <w:szCs w:val="20"/>
        </w:rPr>
      </w:pPr>
    </w:p>
    <w:p w14:paraId="61038783" w14:textId="61B12212" w:rsidR="003A4F60" w:rsidRDefault="00D3649C" w:rsidP="00BF5287">
      <w:pPr>
        <w:ind w:firstLine="709"/>
        <w:jc w:val="both"/>
        <w:rPr>
          <w:color w:val="000000"/>
          <w:sz w:val="20"/>
          <w:szCs w:val="20"/>
        </w:rPr>
      </w:pPr>
      <w:r w:rsidRPr="00D3649C">
        <w:rPr>
          <w:color w:val="000000"/>
          <w:sz w:val="20"/>
          <w:szCs w:val="20"/>
        </w:rPr>
        <w:t>The main objectives of the World Nuclear Association’s Sustainable Used Fuel Management Working Group (SUFM) are to share and promote sound, safe, sustainable and proliferation-proof used fuel management and explain how used fuel management can further contribute to the sustainability of nuclear energy. In line with these objectives, the paper presents existing and emerging industrial infrastructures safeguarding used fuel management activities for whichever track is available to nuclear operators. The paper also discusses long-term management solutions of used fuel, implementing integrated system approaches in stages to mitigate risks and uncertainties. Additionally, described are innovative solutions that could be implemented in the mid-term, as well as potential constraints to their development.</w:t>
      </w:r>
    </w:p>
    <w:p w14:paraId="42EC719D" w14:textId="03CF7320" w:rsidR="006056B8" w:rsidRDefault="006056B8" w:rsidP="006056B8">
      <w:pPr>
        <w:ind w:firstLine="360"/>
        <w:rPr>
          <w:color w:val="000000"/>
          <w:sz w:val="20"/>
          <w:szCs w:val="20"/>
          <w:u w:val="single"/>
        </w:rPr>
      </w:pPr>
    </w:p>
    <w:p w14:paraId="6CE26520" w14:textId="02385EFA" w:rsidR="003A4F60" w:rsidRPr="003763F3" w:rsidRDefault="006056B8" w:rsidP="006056B8">
      <w:pPr>
        <w:pStyle w:val="Paragraphedeliste"/>
        <w:numPr>
          <w:ilvl w:val="0"/>
          <w:numId w:val="24"/>
        </w:numPr>
        <w:rPr>
          <w:rFonts w:ascii="Times New Roman" w:eastAsia="Times New Roman" w:hAnsi="Times New Roman" w:cs="Times New Roman"/>
          <w:color w:val="000000"/>
          <w:sz w:val="20"/>
          <w:szCs w:val="20"/>
          <w:lang w:val="en-US"/>
        </w:rPr>
      </w:pPr>
      <w:r w:rsidRPr="003763F3">
        <w:rPr>
          <w:rFonts w:ascii="Times New Roman" w:eastAsia="Times New Roman" w:hAnsi="Times New Roman" w:cs="Times New Roman"/>
          <w:color w:val="000000"/>
          <w:sz w:val="20"/>
          <w:szCs w:val="20"/>
          <w:lang w:val="en-US"/>
        </w:rPr>
        <w:t xml:space="preserve">THE </w:t>
      </w:r>
      <w:r w:rsidR="00974EDB">
        <w:rPr>
          <w:rFonts w:ascii="Times New Roman" w:eastAsia="Times New Roman" w:hAnsi="Times New Roman" w:cs="Times New Roman"/>
          <w:color w:val="000000"/>
          <w:sz w:val="20"/>
          <w:szCs w:val="20"/>
          <w:lang w:val="en-US"/>
        </w:rPr>
        <w:t>SUFM A</w:t>
      </w:r>
      <w:r w:rsidRPr="003763F3">
        <w:rPr>
          <w:rFonts w:ascii="Times New Roman" w:eastAsia="Times New Roman" w:hAnsi="Times New Roman" w:cs="Times New Roman"/>
          <w:color w:val="000000"/>
          <w:sz w:val="20"/>
          <w:szCs w:val="20"/>
          <w:lang w:val="en-US"/>
        </w:rPr>
        <w:t xml:space="preserve">PROACH </w:t>
      </w:r>
      <w:r w:rsidR="00974EDB">
        <w:rPr>
          <w:rFonts w:ascii="Times New Roman" w:eastAsia="Times New Roman" w:hAnsi="Times New Roman" w:cs="Times New Roman"/>
          <w:color w:val="000000"/>
          <w:sz w:val="20"/>
          <w:szCs w:val="20"/>
          <w:lang w:val="en-US"/>
        </w:rPr>
        <w:t>TO USED</w:t>
      </w:r>
      <w:r w:rsidRPr="003763F3">
        <w:rPr>
          <w:rFonts w:ascii="Times New Roman" w:eastAsia="Times New Roman" w:hAnsi="Times New Roman" w:cs="Times New Roman"/>
          <w:color w:val="000000"/>
          <w:sz w:val="20"/>
          <w:szCs w:val="20"/>
          <w:lang w:val="en-US"/>
        </w:rPr>
        <w:t xml:space="preserve"> FUEL MANAGEMENT</w:t>
      </w:r>
    </w:p>
    <w:p w14:paraId="095F5112" w14:textId="77777777" w:rsidR="00974EDB" w:rsidRPr="00974EDB" w:rsidRDefault="00974EDB" w:rsidP="00974EDB">
      <w:pPr>
        <w:spacing w:before="100" w:beforeAutospacing="1" w:after="100" w:afterAutospacing="1"/>
        <w:ind w:firstLine="709"/>
        <w:jc w:val="both"/>
        <w:rPr>
          <w:sz w:val="20"/>
          <w:szCs w:val="20"/>
        </w:rPr>
      </w:pPr>
      <w:r w:rsidRPr="00974EDB">
        <w:rPr>
          <w:sz w:val="20"/>
          <w:szCs w:val="20"/>
        </w:rPr>
        <w:t xml:space="preserve">SUFM is a working group of dedicated individuals spanning the globe and who work within numerous aspects of the nuclear apparatus, notably in industry.  Its members strive to promote the sound, safe, sustainable and proliferation-proof management of used fuel through the sharing of information and best practices. It accomplishes this through the gathering of the views and insights of the nuclear industry and stakeholders (including newcomers) on the back-end of the fuel cycle and considers how the industry can best respond to the concerns and needs of its members. SUFM helps to explain how used fuel management can further contribute to the sustainability of nuclear energy through information gathering activities and participation in preparing reports and papers. Finally, SUFM produces guidelines or objectives to aid communicators (i.e., utilities, media, communication agencies, politicians and other stakeholders) to more effectively communicate with the public. </w:t>
      </w:r>
    </w:p>
    <w:p w14:paraId="69259250" w14:textId="71BD521E" w:rsidR="00EA412D" w:rsidRDefault="00974EDB" w:rsidP="001E4F9C">
      <w:pPr>
        <w:spacing w:before="100" w:beforeAutospacing="1" w:after="100" w:afterAutospacing="1"/>
        <w:ind w:firstLine="709"/>
        <w:jc w:val="both"/>
        <w:rPr>
          <w:sz w:val="20"/>
          <w:szCs w:val="20"/>
        </w:rPr>
      </w:pPr>
      <w:r w:rsidRPr="00974EDB">
        <w:rPr>
          <w:sz w:val="20"/>
          <w:szCs w:val="20"/>
        </w:rPr>
        <w:t>For nuclear power to be a compelling method of energy production, and to gain a better public perception, used fuel management must be seen as “sustainable”. SUFM has developed the pertinent conditions it believes are necessary for achieving this sought-out sustainability. SUFM’s approach for achieving the sustainable management of used fuel is presented in Figure 1.</w:t>
      </w:r>
    </w:p>
    <w:p w14:paraId="07043194" w14:textId="4C35227D" w:rsidR="00974EDB" w:rsidRDefault="00974EDB" w:rsidP="00974EDB">
      <w:pPr>
        <w:spacing w:before="100" w:beforeAutospacing="1" w:after="100" w:afterAutospacing="1"/>
        <w:ind w:firstLine="360"/>
        <w:jc w:val="center"/>
        <w:rPr>
          <w:sz w:val="20"/>
          <w:szCs w:val="20"/>
        </w:rPr>
      </w:pPr>
      <w:r>
        <w:rPr>
          <w:noProof/>
          <w:sz w:val="20"/>
          <w:szCs w:val="20"/>
          <w:lang w:val="en-GB" w:eastAsia="en-GB"/>
        </w:rPr>
        <w:drawing>
          <wp:inline distT="0" distB="0" distL="0" distR="0" wp14:anchorId="2D790355" wp14:editId="591E7772">
            <wp:extent cx="5273776" cy="3693373"/>
            <wp:effectExtent l="133350" t="114300" r="155575" b="1739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1 May 19 2018 revised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3776" cy="36933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0FABCBA" w14:textId="272BDAB3" w:rsidR="00974EDB" w:rsidRPr="00974EDB" w:rsidRDefault="00974EDB" w:rsidP="00974EDB">
      <w:pPr>
        <w:spacing w:before="100" w:beforeAutospacing="1" w:after="100" w:afterAutospacing="1"/>
        <w:jc w:val="center"/>
        <w:rPr>
          <w:noProof/>
          <w:sz w:val="20"/>
          <w:szCs w:val="20"/>
          <w:lang w:eastAsia="ko-KR"/>
        </w:rPr>
      </w:pPr>
      <w:r w:rsidRPr="00974EDB">
        <w:rPr>
          <w:noProof/>
          <w:sz w:val="20"/>
          <w:szCs w:val="20"/>
          <w:lang w:eastAsia="ko-KR"/>
        </w:rPr>
        <w:t>Fig 1: SUFM App</w:t>
      </w:r>
      <w:r w:rsidR="00A35A3E">
        <w:rPr>
          <w:noProof/>
          <w:sz w:val="20"/>
          <w:szCs w:val="20"/>
          <w:lang w:eastAsia="ko-KR"/>
        </w:rPr>
        <w:t>r</w:t>
      </w:r>
      <w:r w:rsidRPr="00974EDB">
        <w:rPr>
          <w:noProof/>
          <w:sz w:val="20"/>
          <w:szCs w:val="20"/>
          <w:lang w:eastAsia="ko-KR"/>
        </w:rPr>
        <w:t>oach for Achieving Sustainable Used Fuel Management</w:t>
      </w:r>
    </w:p>
    <w:bookmarkEnd w:id="0"/>
    <w:bookmarkEnd w:id="1"/>
    <w:bookmarkEnd w:id="2"/>
    <w:bookmarkEnd w:id="3"/>
    <w:bookmarkEnd w:id="4"/>
    <w:bookmarkEnd w:id="5"/>
    <w:p w14:paraId="52161DFF" w14:textId="0438303A" w:rsidR="00EA412D" w:rsidRPr="00C53C8D" w:rsidRDefault="00974EDB" w:rsidP="006056B8">
      <w:pPr>
        <w:pStyle w:val="Paragraphedeliste"/>
        <w:numPr>
          <w:ilvl w:val="0"/>
          <w:numId w:val="24"/>
        </w:numPr>
        <w:spacing w:before="100" w:beforeAutospacing="1" w:after="100" w:afterAutospacing="1" w:line="240" w:lineRule="auto"/>
        <w:rPr>
          <w:rFonts w:ascii="Times New Roman" w:eastAsia="Times New Roman" w:hAnsi="Times New Roman" w:cs="Times New Roman"/>
          <w:sz w:val="20"/>
          <w:szCs w:val="20"/>
          <w:lang w:eastAsia="fr-FR"/>
        </w:rPr>
      </w:pPr>
      <w:r>
        <w:rPr>
          <w:rFonts w:ascii="Times New Roman" w:hAnsi="Times New Roman" w:cs="Times New Roman"/>
          <w:sz w:val="20"/>
          <w:szCs w:val="20"/>
        </w:rPr>
        <w:lastRenderedPageBreak/>
        <w:t>CURRENT AND PROJECTED FUTURE INVENTORY OF USED FUEL</w:t>
      </w:r>
    </w:p>
    <w:p w14:paraId="115A529A" w14:textId="732F0F42" w:rsidR="005924DC" w:rsidRPr="00974EDB" w:rsidRDefault="00974EDB" w:rsidP="00974EDB">
      <w:pPr>
        <w:spacing w:before="100" w:beforeAutospacing="1" w:after="100" w:afterAutospacing="1"/>
        <w:ind w:firstLine="709"/>
        <w:jc w:val="both"/>
        <w:rPr>
          <w:rFonts w:eastAsia="MS Mincho"/>
          <w:sz w:val="20"/>
          <w:szCs w:val="20"/>
        </w:rPr>
      </w:pPr>
      <w:r w:rsidRPr="00974EDB">
        <w:rPr>
          <w:rFonts w:eastAsia="MS Mincho"/>
          <w:sz w:val="20"/>
          <w:szCs w:val="20"/>
        </w:rPr>
        <w:t xml:space="preserve">Current and future projected inventories of used fuel are generally presented in metric </w:t>
      </w:r>
      <w:proofErr w:type="spellStart"/>
      <w:r w:rsidRPr="00974EDB">
        <w:rPr>
          <w:rFonts w:eastAsia="MS Mincho"/>
          <w:sz w:val="20"/>
          <w:szCs w:val="20"/>
        </w:rPr>
        <w:t>tonnes</w:t>
      </w:r>
      <w:proofErr w:type="spellEnd"/>
      <w:r w:rsidRPr="00974EDB">
        <w:rPr>
          <w:rFonts w:eastAsia="MS Mincho"/>
          <w:sz w:val="20"/>
          <w:szCs w:val="20"/>
        </w:rPr>
        <w:t xml:space="preserve"> of heavy metal (</w:t>
      </w:r>
      <w:proofErr w:type="spellStart"/>
      <w:r w:rsidRPr="00974EDB">
        <w:rPr>
          <w:rFonts w:eastAsia="MS Mincho"/>
          <w:sz w:val="20"/>
          <w:szCs w:val="20"/>
        </w:rPr>
        <w:t>tHM</w:t>
      </w:r>
      <w:proofErr w:type="spellEnd"/>
      <w:r w:rsidRPr="00974EDB">
        <w:rPr>
          <w:rFonts w:eastAsia="MS Mincho"/>
          <w:sz w:val="20"/>
          <w:szCs w:val="20"/>
        </w:rPr>
        <w:t>). The approach is useful as it describes the mass of heavy metals (e.g. plutonium, thorium, uranium and minor actinides) contained in the used fuel.</w:t>
      </w:r>
      <w:r w:rsidRPr="00974EDB">
        <w:rPr>
          <w:sz w:val="20"/>
          <w:szCs w:val="20"/>
        </w:rPr>
        <w:t xml:space="preserve"> </w:t>
      </w:r>
      <w:r w:rsidRPr="00974EDB">
        <w:rPr>
          <w:rFonts w:eastAsia="MS Mincho"/>
          <w:sz w:val="20"/>
          <w:szCs w:val="20"/>
        </w:rPr>
        <w:t>From the start of nuclear power-based electricity production in 1954, though to the end of 2016, a total of about 390 000 </w:t>
      </w:r>
      <w:proofErr w:type="spellStart"/>
      <w:r w:rsidRPr="00974EDB">
        <w:rPr>
          <w:rFonts w:eastAsia="MS Mincho"/>
          <w:sz w:val="20"/>
          <w:szCs w:val="20"/>
        </w:rPr>
        <w:t>tHM</w:t>
      </w:r>
      <w:proofErr w:type="spellEnd"/>
      <w:r w:rsidRPr="00974EDB">
        <w:rPr>
          <w:rFonts w:eastAsia="MS Mincho"/>
          <w:sz w:val="20"/>
          <w:szCs w:val="20"/>
        </w:rPr>
        <w:t xml:space="preserve"> of used fuel has accumulated from all nuclear power plants worldwide</w:t>
      </w:r>
      <w:r w:rsidRPr="00974EDB">
        <w:rPr>
          <w:rStyle w:val="Appelnotedebasdep"/>
          <w:rFonts w:eastAsia="MS Mincho"/>
          <w:sz w:val="20"/>
          <w:szCs w:val="20"/>
        </w:rPr>
        <w:footnoteReference w:id="2"/>
      </w:r>
      <w:r w:rsidRPr="00974EDB">
        <w:rPr>
          <w:rFonts w:eastAsia="MS Mincho"/>
          <w:sz w:val="20"/>
          <w:szCs w:val="20"/>
        </w:rPr>
        <w:t xml:space="preserve">, with ~ 30% of this used fuel being reprocessed.  Over half of used fuel is kept in wet storage at site in spent fuel pools (SFP). After an initial cooling period of at least a few years in a SFP, some used fuel has been transferred into </w:t>
      </w:r>
      <w:r w:rsidR="00C60119">
        <w:rPr>
          <w:rFonts w:eastAsia="MS Mincho"/>
          <w:sz w:val="20"/>
          <w:szCs w:val="20"/>
        </w:rPr>
        <w:t xml:space="preserve">site specific/centralized </w:t>
      </w:r>
      <w:r w:rsidRPr="00974EDB">
        <w:rPr>
          <w:rFonts w:eastAsia="MS Mincho"/>
          <w:sz w:val="20"/>
          <w:szCs w:val="20"/>
        </w:rPr>
        <w:t>dry storage or wet storage facilities. Figure 2 shows the share of this fuel for the different types of storage</w:t>
      </w:r>
      <w:r w:rsidRPr="00974EDB">
        <w:rPr>
          <w:rStyle w:val="Appelnotedebasdep"/>
          <w:rFonts w:eastAsia="MS Mincho"/>
          <w:sz w:val="20"/>
          <w:szCs w:val="20"/>
        </w:rPr>
        <w:footnoteReference w:id="3"/>
      </w:r>
      <w:r w:rsidRPr="00974EDB">
        <w:rPr>
          <w:rFonts w:eastAsia="MS Mincho"/>
          <w:sz w:val="20"/>
          <w:szCs w:val="20"/>
        </w:rPr>
        <w:t xml:space="preserve"> [1]. </w:t>
      </w:r>
    </w:p>
    <w:p w14:paraId="5E7087F9" w14:textId="18343A97" w:rsidR="005924DC" w:rsidRPr="006056B8" w:rsidRDefault="005924DC" w:rsidP="00974EDB">
      <w:pPr>
        <w:jc w:val="center"/>
        <w:rPr>
          <w:sz w:val="20"/>
          <w:szCs w:val="20"/>
        </w:rPr>
      </w:pPr>
      <w:r w:rsidRPr="006056B8">
        <w:rPr>
          <w:sz w:val="20"/>
          <w:szCs w:val="20"/>
        </w:rPr>
        <w:fldChar w:fldCharType="begin"/>
      </w:r>
      <w:r w:rsidR="006F23BC">
        <w:rPr>
          <w:sz w:val="20"/>
          <w:szCs w:val="20"/>
        </w:rPr>
        <w:instrText xml:space="preserve"> INCLUDEPICTURE "C:\\var\\folders\\by\\78hd72bx2q76vkf5tdhcp3hh0000gn\\T\\com.microsoft.Word\\WebArchiveCopyPasteTempFiles\\page77image1496" \* MERGEFORMAT </w:instrText>
      </w:r>
      <w:r w:rsidRPr="006056B8">
        <w:rPr>
          <w:sz w:val="20"/>
          <w:szCs w:val="20"/>
        </w:rPr>
        <w:fldChar w:fldCharType="separate"/>
      </w:r>
      <w:r w:rsidRPr="006056B8">
        <w:rPr>
          <w:noProof/>
          <w:sz w:val="20"/>
          <w:szCs w:val="20"/>
          <w:lang w:val="en-GB" w:eastAsia="en-GB"/>
        </w:rPr>
        <w:drawing>
          <wp:inline distT="0" distB="0" distL="0" distR="0" wp14:anchorId="3526C3BF" wp14:editId="6174B7F9">
            <wp:extent cx="3510781" cy="2870791"/>
            <wp:effectExtent l="76200" t="76200" r="128270" b="139700"/>
            <wp:docPr id="1" name="Image 1" descr="page77image1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77image14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2624" cy="29540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6056B8">
        <w:rPr>
          <w:sz w:val="20"/>
          <w:szCs w:val="20"/>
        </w:rPr>
        <w:fldChar w:fldCharType="end"/>
      </w:r>
    </w:p>
    <w:p w14:paraId="57F7088D" w14:textId="631ED776" w:rsidR="005924DC" w:rsidRPr="006056B8" w:rsidRDefault="005924DC" w:rsidP="0071260C">
      <w:pPr>
        <w:ind w:right="-2"/>
        <w:jc w:val="center"/>
        <w:rPr>
          <w:rFonts w:eastAsia="MS Mincho"/>
          <w:sz w:val="20"/>
          <w:szCs w:val="20"/>
        </w:rPr>
      </w:pPr>
    </w:p>
    <w:p w14:paraId="7EA90530" w14:textId="60EC2CAD" w:rsidR="005924DC" w:rsidRPr="006056B8" w:rsidRDefault="005924DC" w:rsidP="005924DC">
      <w:pPr>
        <w:pStyle w:val="Lgende"/>
        <w:spacing w:after="0"/>
        <w:jc w:val="center"/>
        <w:rPr>
          <w:rFonts w:ascii="Times New Roman" w:eastAsia="MS Mincho" w:hAnsi="Times New Roman" w:cs="Times New Roman"/>
          <w:i w:val="0"/>
          <w:color w:val="auto"/>
          <w:sz w:val="20"/>
          <w:szCs w:val="20"/>
        </w:rPr>
      </w:pPr>
      <w:r w:rsidRPr="006056B8">
        <w:rPr>
          <w:rFonts w:ascii="Times New Roman" w:hAnsi="Times New Roman" w:cs="Times New Roman"/>
          <w:i w:val="0"/>
          <w:color w:val="auto"/>
          <w:sz w:val="20"/>
          <w:szCs w:val="20"/>
        </w:rPr>
        <w:t xml:space="preserve">Fig </w:t>
      </w:r>
      <w:r w:rsidR="00974EDB">
        <w:rPr>
          <w:rFonts w:ascii="Times New Roman" w:hAnsi="Times New Roman" w:cs="Times New Roman"/>
          <w:i w:val="0"/>
          <w:color w:val="auto"/>
          <w:sz w:val="20"/>
          <w:szCs w:val="20"/>
        </w:rPr>
        <w:t>2</w:t>
      </w:r>
      <w:r w:rsidRPr="006056B8">
        <w:rPr>
          <w:rFonts w:ascii="Times New Roman" w:hAnsi="Times New Roman" w:cs="Times New Roman"/>
          <w:i w:val="0"/>
          <w:color w:val="auto"/>
          <w:sz w:val="20"/>
          <w:szCs w:val="20"/>
        </w:rPr>
        <w:t xml:space="preserve">: </w:t>
      </w:r>
      <w:r w:rsidRPr="006056B8">
        <w:rPr>
          <w:rFonts w:ascii="Times New Roman" w:eastAsia="MS Mincho" w:hAnsi="Times New Roman" w:cs="Times New Roman"/>
          <w:i w:val="0"/>
          <w:iCs w:val="0"/>
          <w:color w:val="auto"/>
          <w:sz w:val="20"/>
          <w:szCs w:val="20"/>
        </w:rPr>
        <w:t xml:space="preserve">Nuclear </w:t>
      </w:r>
      <w:r w:rsidR="00615DEC">
        <w:rPr>
          <w:rFonts w:ascii="Times New Roman" w:eastAsia="MS Mincho" w:hAnsi="Times New Roman" w:cs="Times New Roman"/>
          <w:i w:val="0"/>
          <w:iCs w:val="0"/>
          <w:color w:val="auto"/>
          <w:sz w:val="20"/>
          <w:szCs w:val="20"/>
        </w:rPr>
        <w:t>P</w:t>
      </w:r>
      <w:r w:rsidRPr="006056B8">
        <w:rPr>
          <w:rFonts w:ascii="Times New Roman" w:eastAsia="MS Mincho" w:hAnsi="Times New Roman" w:cs="Times New Roman"/>
          <w:i w:val="0"/>
          <w:iCs w:val="0"/>
          <w:color w:val="auto"/>
          <w:sz w:val="20"/>
          <w:szCs w:val="20"/>
        </w:rPr>
        <w:t xml:space="preserve">ower </w:t>
      </w:r>
      <w:r w:rsidR="00615DEC">
        <w:rPr>
          <w:rFonts w:ascii="Times New Roman" w:eastAsia="MS Mincho" w:hAnsi="Times New Roman" w:cs="Times New Roman"/>
          <w:i w:val="0"/>
          <w:iCs w:val="0"/>
          <w:color w:val="auto"/>
          <w:sz w:val="20"/>
          <w:szCs w:val="20"/>
        </w:rPr>
        <w:t>P</w:t>
      </w:r>
      <w:r w:rsidRPr="006056B8">
        <w:rPr>
          <w:rFonts w:ascii="Times New Roman" w:eastAsia="MS Mincho" w:hAnsi="Times New Roman" w:cs="Times New Roman"/>
          <w:i w:val="0"/>
          <w:iCs w:val="0"/>
          <w:color w:val="auto"/>
          <w:sz w:val="20"/>
          <w:szCs w:val="20"/>
        </w:rPr>
        <w:t xml:space="preserve">lant </w:t>
      </w:r>
      <w:r w:rsidR="00615DEC">
        <w:rPr>
          <w:rFonts w:ascii="Times New Roman" w:eastAsia="MS Mincho" w:hAnsi="Times New Roman" w:cs="Times New Roman"/>
          <w:i w:val="0"/>
          <w:iCs w:val="0"/>
          <w:color w:val="auto"/>
          <w:sz w:val="20"/>
          <w:szCs w:val="20"/>
        </w:rPr>
        <w:t>S</w:t>
      </w:r>
      <w:r w:rsidRPr="006056B8">
        <w:rPr>
          <w:rFonts w:ascii="Times New Roman" w:eastAsia="MS Mincho" w:hAnsi="Times New Roman" w:cs="Times New Roman"/>
          <w:i w:val="0"/>
          <w:iCs w:val="0"/>
          <w:color w:val="auto"/>
          <w:sz w:val="20"/>
          <w:szCs w:val="20"/>
        </w:rPr>
        <w:t xml:space="preserve">pent </w:t>
      </w:r>
      <w:r w:rsidR="00615DEC">
        <w:rPr>
          <w:rFonts w:ascii="Times New Roman" w:eastAsia="MS Mincho" w:hAnsi="Times New Roman" w:cs="Times New Roman"/>
          <w:i w:val="0"/>
          <w:iCs w:val="0"/>
          <w:color w:val="auto"/>
          <w:sz w:val="20"/>
          <w:szCs w:val="20"/>
        </w:rPr>
        <w:t>F</w:t>
      </w:r>
      <w:r w:rsidRPr="006056B8">
        <w:rPr>
          <w:rFonts w:ascii="Times New Roman" w:eastAsia="MS Mincho" w:hAnsi="Times New Roman" w:cs="Times New Roman"/>
          <w:i w:val="0"/>
          <w:iCs w:val="0"/>
          <w:color w:val="auto"/>
          <w:sz w:val="20"/>
          <w:szCs w:val="20"/>
        </w:rPr>
        <w:t xml:space="preserve">uel </w:t>
      </w:r>
      <w:r w:rsidR="00615DEC">
        <w:rPr>
          <w:rFonts w:ascii="Times New Roman" w:eastAsia="MS Mincho" w:hAnsi="Times New Roman" w:cs="Times New Roman"/>
          <w:i w:val="0"/>
          <w:iCs w:val="0"/>
          <w:color w:val="auto"/>
          <w:sz w:val="20"/>
          <w:szCs w:val="20"/>
        </w:rPr>
        <w:t>S</w:t>
      </w:r>
      <w:r w:rsidRPr="006056B8">
        <w:rPr>
          <w:rFonts w:ascii="Times New Roman" w:eastAsia="MS Mincho" w:hAnsi="Times New Roman" w:cs="Times New Roman"/>
          <w:i w:val="0"/>
          <w:iCs w:val="0"/>
          <w:color w:val="auto"/>
          <w:sz w:val="20"/>
          <w:szCs w:val="20"/>
        </w:rPr>
        <w:t xml:space="preserve">torage by </w:t>
      </w:r>
      <w:r w:rsidR="00615DEC">
        <w:rPr>
          <w:rFonts w:ascii="Times New Roman" w:eastAsia="MS Mincho" w:hAnsi="Times New Roman" w:cs="Times New Roman"/>
          <w:i w:val="0"/>
          <w:iCs w:val="0"/>
          <w:color w:val="auto"/>
          <w:sz w:val="20"/>
          <w:szCs w:val="20"/>
        </w:rPr>
        <w:t>T</w:t>
      </w:r>
      <w:r w:rsidRPr="006056B8">
        <w:rPr>
          <w:rFonts w:ascii="Times New Roman" w:eastAsia="MS Mincho" w:hAnsi="Times New Roman" w:cs="Times New Roman"/>
          <w:i w:val="0"/>
          <w:iCs w:val="0"/>
          <w:color w:val="auto"/>
          <w:sz w:val="20"/>
          <w:szCs w:val="20"/>
        </w:rPr>
        <w:t>ype</w:t>
      </w:r>
    </w:p>
    <w:p w14:paraId="313CA595" w14:textId="77777777" w:rsidR="005924DC" w:rsidRPr="00023937" w:rsidRDefault="005924DC" w:rsidP="0071260C">
      <w:pPr>
        <w:ind w:right="-2"/>
        <w:jc w:val="center"/>
        <w:rPr>
          <w:rFonts w:eastAsia="MS Mincho"/>
          <w:sz w:val="20"/>
          <w:szCs w:val="20"/>
        </w:rPr>
      </w:pPr>
    </w:p>
    <w:p w14:paraId="55DAF702" w14:textId="077298F2" w:rsidR="005924DC" w:rsidRPr="00023937" w:rsidRDefault="0071260C" w:rsidP="005924DC">
      <w:pPr>
        <w:ind w:left="851" w:hanging="851"/>
        <w:rPr>
          <w:rFonts w:eastAsia="MS Mincho"/>
          <w:sz w:val="20"/>
          <w:szCs w:val="20"/>
        </w:rPr>
      </w:pPr>
      <w:bookmarkStart w:id="7" w:name="_Toc472005171"/>
      <w:bookmarkStart w:id="8" w:name="_Toc472005172"/>
      <w:bookmarkEnd w:id="7"/>
      <w:bookmarkEnd w:id="8"/>
      <w:r w:rsidRPr="00023937">
        <w:rPr>
          <w:rFonts w:eastAsia="MS Mincho"/>
          <w:sz w:val="20"/>
          <w:szCs w:val="20"/>
        </w:rPr>
        <w:tab/>
      </w:r>
    </w:p>
    <w:p w14:paraId="3E7AFBBB" w14:textId="56778C83" w:rsidR="00C53C8D" w:rsidRDefault="00615DEC" w:rsidP="00615DEC">
      <w:pPr>
        <w:ind w:firstLine="709"/>
        <w:jc w:val="both"/>
        <w:rPr>
          <w:rFonts w:eastAsia="MS Mincho"/>
          <w:b/>
          <w:bCs/>
          <w:sz w:val="20"/>
          <w:szCs w:val="20"/>
        </w:rPr>
      </w:pPr>
      <w:r w:rsidRPr="00615DEC">
        <w:rPr>
          <w:rFonts w:eastAsia="MS Mincho"/>
          <w:sz w:val="20"/>
          <w:szCs w:val="20"/>
        </w:rPr>
        <w:t xml:space="preserve">It is expected that the used fuel inventory from nuclear power reactors will, however, double between 2015 through to year 2040. When considering the present trend in power plant decommissioning coupled with current envisaged new build projects, this used fuel inventory is expected to reach almost 600,000 </w:t>
      </w:r>
      <w:proofErr w:type="spellStart"/>
      <w:r w:rsidRPr="00615DEC">
        <w:rPr>
          <w:rFonts w:eastAsia="MS Mincho"/>
          <w:sz w:val="20"/>
          <w:szCs w:val="20"/>
        </w:rPr>
        <w:t>tHM</w:t>
      </w:r>
      <w:proofErr w:type="spellEnd"/>
      <w:r w:rsidRPr="00615DEC">
        <w:rPr>
          <w:rFonts w:eastAsia="MS Mincho"/>
          <w:sz w:val="20"/>
          <w:szCs w:val="20"/>
        </w:rPr>
        <w:t xml:space="preserve"> by 2050, with a substantial share of this growth occurring in Asia.</w:t>
      </w:r>
    </w:p>
    <w:p w14:paraId="661C020A" w14:textId="77777777" w:rsidR="00C53C8D" w:rsidRPr="006056B8" w:rsidRDefault="00C53C8D" w:rsidP="006001FD">
      <w:pPr>
        <w:ind w:left="567"/>
        <w:jc w:val="both"/>
        <w:rPr>
          <w:rFonts w:eastAsia="MS Mincho"/>
          <w:b/>
          <w:bCs/>
          <w:sz w:val="20"/>
          <w:szCs w:val="20"/>
        </w:rPr>
      </w:pPr>
    </w:p>
    <w:p w14:paraId="596E770B" w14:textId="3269FD6C" w:rsidR="00C53C8D" w:rsidRPr="00C53C8D" w:rsidRDefault="00C53C8D" w:rsidP="00615DEC">
      <w:pPr>
        <w:pStyle w:val="Paragraphedeliste"/>
        <w:numPr>
          <w:ilvl w:val="0"/>
          <w:numId w:val="24"/>
        </w:numPr>
        <w:spacing w:after="0" w:line="240" w:lineRule="auto"/>
        <w:ind w:left="0"/>
        <w:jc w:val="both"/>
        <w:rPr>
          <w:rFonts w:ascii="Times New Roman" w:eastAsia="MS Mincho" w:hAnsi="Times New Roman" w:cs="Times New Roman"/>
          <w:sz w:val="20"/>
          <w:szCs w:val="20"/>
        </w:rPr>
      </w:pPr>
      <w:r w:rsidRPr="00C53C8D">
        <w:rPr>
          <w:rFonts w:ascii="Times New Roman" w:eastAsia="MS Mincho" w:hAnsi="Times New Roman" w:cs="Times New Roman"/>
          <w:sz w:val="20"/>
          <w:szCs w:val="20"/>
          <w:lang w:val="en-US"/>
        </w:rPr>
        <w:t xml:space="preserve">PRESENT AND FUTURE MANAGEMENT OF </w:t>
      </w:r>
      <w:r w:rsidR="00A35A3E">
        <w:rPr>
          <w:rFonts w:ascii="Times New Roman" w:eastAsia="MS Mincho" w:hAnsi="Times New Roman" w:cs="Times New Roman"/>
          <w:sz w:val="20"/>
          <w:szCs w:val="20"/>
          <w:lang w:val="en-US"/>
        </w:rPr>
        <w:t>USED</w:t>
      </w:r>
      <w:r w:rsidRPr="00C53C8D">
        <w:rPr>
          <w:rFonts w:ascii="Times New Roman" w:eastAsia="MS Mincho" w:hAnsi="Times New Roman" w:cs="Times New Roman"/>
          <w:sz w:val="20"/>
          <w:szCs w:val="20"/>
          <w:lang w:val="en-US"/>
        </w:rPr>
        <w:t xml:space="preserve"> FUEL  </w:t>
      </w:r>
    </w:p>
    <w:p w14:paraId="25AA7959" w14:textId="77777777" w:rsidR="00615DEC" w:rsidRDefault="00615DEC" w:rsidP="00615DEC">
      <w:pPr>
        <w:ind w:firstLine="360"/>
        <w:jc w:val="both"/>
        <w:rPr>
          <w:rFonts w:eastAsia="MS Mincho"/>
          <w:sz w:val="20"/>
          <w:szCs w:val="20"/>
        </w:rPr>
      </w:pPr>
    </w:p>
    <w:p w14:paraId="12ADDFF8" w14:textId="77777777" w:rsidR="00615DEC" w:rsidRPr="00615DEC" w:rsidRDefault="00615DEC" w:rsidP="00615DEC">
      <w:pPr>
        <w:ind w:firstLine="709"/>
        <w:jc w:val="both"/>
        <w:rPr>
          <w:rFonts w:eastAsia="MS Mincho"/>
          <w:sz w:val="20"/>
          <w:szCs w:val="20"/>
        </w:rPr>
      </w:pPr>
      <w:r w:rsidRPr="00615DEC">
        <w:rPr>
          <w:rFonts w:eastAsia="MS Mincho"/>
          <w:sz w:val="20"/>
          <w:szCs w:val="20"/>
        </w:rPr>
        <w:t xml:space="preserve">Used fuel that is discharged from power plants is successfully managed according to existing and mature infrastructures and technologies, </w:t>
      </w:r>
      <w:r w:rsidRPr="00615DEC">
        <w:rPr>
          <w:sz w:val="20"/>
          <w:szCs w:val="20"/>
        </w:rPr>
        <w:t xml:space="preserve">while also protecting human health and the environment. This is a fact associated with either chosen route of used fuel management a nation undertakes currently, or whichever route (or routes) these States embark on in the future. </w:t>
      </w:r>
      <w:r w:rsidRPr="00615DEC">
        <w:rPr>
          <w:rFonts w:eastAsia="MS Mincho"/>
          <w:sz w:val="20"/>
          <w:szCs w:val="20"/>
        </w:rPr>
        <w:t xml:space="preserve">The planned disposition of used fuel is summarized in Figure 3 based on the fraction of the total </w:t>
      </w:r>
      <w:proofErr w:type="spellStart"/>
      <w:r w:rsidRPr="00615DEC">
        <w:rPr>
          <w:rFonts w:eastAsia="MS Mincho"/>
          <w:sz w:val="20"/>
          <w:szCs w:val="20"/>
        </w:rPr>
        <w:t>tHM</w:t>
      </w:r>
      <w:proofErr w:type="spellEnd"/>
      <w:r w:rsidRPr="00615DEC">
        <w:rPr>
          <w:rFonts w:eastAsia="MS Mincho"/>
          <w:sz w:val="20"/>
          <w:szCs w:val="20"/>
        </w:rPr>
        <w:t xml:space="preserve"> of used fuel that has been discharged to date.</w:t>
      </w:r>
    </w:p>
    <w:p w14:paraId="0A858A6E" w14:textId="77777777" w:rsidR="0066554C" w:rsidRPr="00615DEC" w:rsidRDefault="0066554C" w:rsidP="00615DEC">
      <w:pPr>
        <w:jc w:val="both"/>
        <w:rPr>
          <w:rFonts w:eastAsia="MS Mincho"/>
          <w:sz w:val="20"/>
          <w:szCs w:val="20"/>
        </w:rPr>
      </w:pPr>
    </w:p>
    <w:p w14:paraId="5CF6658B" w14:textId="77777777" w:rsidR="0071260C" w:rsidRPr="00023937" w:rsidRDefault="0071260C" w:rsidP="0071260C">
      <w:pPr>
        <w:jc w:val="both"/>
        <w:rPr>
          <w:rFonts w:eastAsia="MS Mincho"/>
          <w:sz w:val="20"/>
          <w:szCs w:val="20"/>
        </w:rPr>
      </w:pPr>
    </w:p>
    <w:p w14:paraId="73A279A2" w14:textId="3559044D" w:rsidR="0071260C" w:rsidRPr="006056B8" w:rsidRDefault="0071260C" w:rsidP="0071260C">
      <w:pPr>
        <w:keepNext/>
        <w:jc w:val="center"/>
        <w:rPr>
          <w:sz w:val="20"/>
          <w:szCs w:val="20"/>
        </w:rPr>
      </w:pPr>
      <w:r w:rsidRPr="006056B8">
        <w:rPr>
          <w:rFonts w:eastAsia="MS Mincho"/>
          <w:noProof/>
          <w:sz w:val="20"/>
          <w:szCs w:val="20"/>
          <w:lang w:val="en-GB" w:eastAsia="en-GB"/>
        </w:rPr>
        <w:lastRenderedPageBreak/>
        <w:drawing>
          <wp:inline distT="0" distB="0" distL="0" distR="0" wp14:anchorId="278110D1" wp14:editId="66012983">
            <wp:extent cx="4057331" cy="2764465"/>
            <wp:effectExtent l="0" t="0" r="63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101466" cy="2794536"/>
                    </a:xfrm>
                    <a:prstGeom prst="rect">
                      <a:avLst/>
                    </a:prstGeom>
                    <a:noFill/>
                  </pic:spPr>
                </pic:pic>
              </a:graphicData>
            </a:graphic>
          </wp:inline>
        </w:drawing>
      </w:r>
    </w:p>
    <w:p w14:paraId="3306DB69" w14:textId="291C1207" w:rsidR="0066554C" w:rsidRPr="006056B8" w:rsidRDefault="0066554C" w:rsidP="0071260C">
      <w:pPr>
        <w:keepNext/>
        <w:jc w:val="center"/>
        <w:rPr>
          <w:sz w:val="20"/>
          <w:szCs w:val="20"/>
        </w:rPr>
      </w:pPr>
    </w:p>
    <w:p w14:paraId="3B212A85" w14:textId="789674EB" w:rsidR="0071260C" w:rsidRPr="006056B8" w:rsidRDefault="0066554C" w:rsidP="0066554C">
      <w:pPr>
        <w:pStyle w:val="Lgende"/>
        <w:jc w:val="center"/>
        <w:rPr>
          <w:rFonts w:ascii="Times New Roman" w:eastAsia="MS Mincho" w:hAnsi="Times New Roman" w:cs="Times New Roman"/>
          <w:i w:val="0"/>
          <w:color w:val="auto"/>
          <w:sz w:val="20"/>
          <w:szCs w:val="20"/>
        </w:rPr>
      </w:pPr>
      <w:bookmarkStart w:id="9" w:name="_Ref509434404"/>
      <w:bookmarkStart w:id="10" w:name="_Ref509434332"/>
      <w:r w:rsidRPr="006056B8">
        <w:rPr>
          <w:rFonts w:ascii="Times New Roman" w:hAnsi="Times New Roman" w:cs="Times New Roman"/>
          <w:i w:val="0"/>
          <w:color w:val="auto"/>
          <w:sz w:val="20"/>
          <w:szCs w:val="20"/>
        </w:rPr>
        <w:t xml:space="preserve">Fig </w:t>
      </w:r>
      <w:bookmarkEnd w:id="9"/>
      <w:r w:rsidR="00974EDB">
        <w:rPr>
          <w:rFonts w:ascii="Times New Roman" w:hAnsi="Times New Roman" w:cs="Times New Roman"/>
          <w:i w:val="0"/>
          <w:color w:val="auto"/>
          <w:sz w:val="20"/>
          <w:szCs w:val="20"/>
        </w:rPr>
        <w:t>3</w:t>
      </w:r>
      <w:r w:rsidR="0071260C" w:rsidRPr="006056B8">
        <w:rPr>
          <w:rFonts w:ascii="Times New Roman" w:hAnsi="Times New Roman" w:cs="Times New Roman"/>
          <w:i w:val="0"/>
          <w:color w:val="auto"/>
          <w:sz w:val="20"/>
          <w:szCs w:val="20"/>
        </w:rPr>
        <w:t xml:space="preserve">: Summary of </w:t>
      </w:r>
      <w:r w:rsidR="00615DEC">
        <w:rPr>
          <w:rFonts w:ascii="Times New Roman" w:hAnsi="Times New Roman" w:cs="Times New Roman"/>
          <w:i w:val="0"/>
          <w:color w:val="auto"/>
          <w:sz w:val="20"/>
          <w:szCs w:val="20"/>
        </w:rPr>
        <w:t>E</w:t>
      </w:r>
      <w:r w:rsidR="0071260C" w:rsidRPr="006056B8">
        <w:rPr>
          <w:rFonts w:ascii="Times New Roman" w:hAnsi="Times New Roman" w:cs="Times New Roman"/>
          <w:i w:val="0"/>
          <w:color w:val="auto"/>
          <w:sz w:val="20"/>
          <w:szCs w:val="20"/>
        </w:rPr>
        <w:t xml:space="preserve">xisting </w:t>
      </w:r>
      <w:r w:rsidR="00615DEC">
        <w:rPr>
          <w:rFonts w:ascii="Times New Roman" w:hAnsi="Times New Roman" w:cs="Times New Roman"/>
          <w:i w:val="0"/>
          <w:color w:val="auto"/>
          <w:sz w:val="20"/>
          <w:szCs w:val="20"/>
        </w:rPr>
        <w:t>S</w:t>
      </w:r>
      <w:r w:rsidR="0071260C" w:rsidRPr="006056B8">
        <w:rPr>
          <w:rFonts w:ascii="Times New Roman" w:hAnsi="Times New Roman" w:cs="Times New Roman"/>
          <w:i w:val="0"/>
          <w:color w:val="auto"/>
          <w:sz w:val="20"/>
          <w:szCs w:val="20"/>
        </w:rPr>
        <w:t xml:space="preserve">pent </w:t>
      </w:r>
      <w:r w:rsidR="00615DEC">
        <w:rPr>
          <w:rFonts w:ascii="Times New Roman" w:hAnsi="Times New Roman" w:cs="Times New Roman"/>
          <w:i w:val="0"/>
          <w:color w:val="auto"/>
          <w:sz w:val="20"/>
          <w:szCs w:val="20"/>
        </w:rPr>
        <w:t>F</w:t>
      </w:r>
      <w:r w:rsidR="0071260C" w:rsidRPr="006056B8">
        <w:rPr>
          <w:rFonts w:ascii="Times New Roman" w:hAnsi="Times New Roman" w:cs="Times New Roman"/>
          <w:i w:val="0"/>
          <w:color w:val="auto"/>
          <w:sz w:val="20"/>
          <w:szCs w:val="20"/>
        </w:rPr>
        <w:t xml:space="preserve">uel by </w:t>
      </w:r>
      <w:r w:rsidR="00615DEC">
        <w:rPr>
          <w:rFonts w:ascii="Times New Roman" w:hAnsi="Times New Roman" w:cs="Times New Roman"/>
          <w:i w:val="0"/>
          <w:color w:val="auto"/>
          <w:sz w:val="20"/>
          <w:szCs w:val="20"/>
        </w:rPr>
        <w:t>P</w:t>
      </w:r>
      <w:r w:rsidR="0071260C" w:rsidRPr="006056B8">
        <w:rPr>
          <w:rFonts w:ascii="Times New Roman" w:hAnsi="Times New Roman" w:cs="Times New Roman"/>
          <w:i w:val="0"/>
          <w:color w:val="auto"/>
          <w:sz w:val="20"/>
          <w:szCs w:val="20"/>
        </w:rPr>
        <w:t xml:space="preserve">lanned </w:t>
      </w:r>
      <w:r w:rsidR="00615DEC">
        <w:rPr>
          <w:rFonts w:ascii="Times New Roman" w:hAnsi="Times New Roman" w:cs="Times New Roman"/>
          <w:i w:val="0"/>
          <w:color w:val="auto"/>
          <w:sz w:val="20"/>
          <w:szCs w:val="20"/>
        </w:rPr>
        <w:t>D</w:t>
      </w:r>
      <w:r w:rsidR="0071260C" w:rsidRPr="006056B8">
        <w:rPr>
          <w:rFonts w:ascii="Times New Roman" w:hAnsi="Times New Roman" w:cs="Times New Roman"/>
          <w:i w:val="0"/>
          <w:color w:val="auto"/>
          <w:sz w:val="20"/>
          <w:szCs w:val="20"/>
        </w:rPr>
        <w:t>isposition.</w:t>
      </w:r>
      <w:bookmarkEnd w:id="10"/>
    </w:p>
    <w:p w14:paraId="445D9129" w14:textId="6F695275" w:rsidR="00615DEC" w:rsidRDefault="00BF5287" w:rsidP="003C251D">
      <w:pPr>
        <w:ind w:firstLine="709"/>
        <w:jc w:val="both"/>
        <w:rPr>
          <w:rFonts w:eastAsia="MS Mincho"/>
          <w:sz w:val="20"/>
          <w:szCs w:val="20"/>
        </w:rPr>
      </w:pPr>
      <w:r>
        <w:rPr>
          <w:rFonts w:eastAsia="MS Mincho"/>
          <w:sz w:val="20"/>
          <w:szCs w:val="20"/>
        </w:rPr>
        <w:t>C</w:t>
      </w:r>
      <w:r w:rsidR="00615DEC" w:rsidRPr="00615DEC">
        <w:rPr>
          <w:rFonts w:eastAsia="MS Mincho"/>
          <w:sz w:val="20"/>
          <w:szCs w:val="20"/>
        </w:rPr>
        <w:t xml:space="preserve">urrently, there exist </w:t>
      </w:r>
      <w:r w:rsidR="00C60119">
        <w:rPr>
          <w:rFonts w:eastAsia="MS Mincho"/>
          <w:sz w:val="20"/>
          <w:szCs w:val="20"/>
        </w:rPr>
        <w:t>two</w:t>
      </w:r>
      <w:r w:rsidR="00C60119" w:rsidRPr="00615DEC">
        <w:rPr>
          <w:rFonts w:eastAsia="MS Mincho"/>
          <w:sz w:val="20"/>
          <w:szCs w:val="20"/>
        </w:rPr>
        <w:t xml:space="preserve"> </w:t>
      </w:r>
      <w:r w:rsidR="00615DEC" w:rsidRPr="00615DEC">
        <w:rPr>
          <w:rFonts w:eastAsia="MS Mincho"/>
          <w:sz w:val="20"/>
          <w:szCs w:val="20"/>
        </w:rPr>
        <w:t xml:space="preserve">strategies to ensure a safe and cost-effective overall management of used fuel. As previously discussed, the chosen strategy differs from one country to another. The </w:t>
      </w:r>
      <w:r w:rsidR="00615DEC" w:rsidRPr="00615DEC">
        <w:rPr>
          <w:rFonts w:eastAsia="MS Mincho"/>
          <w:i/>
          <w:sz w:val="20"/>
          <w:szCs w:val="20"/>
        </w:rPr>
        <w:t>Joint Convention on the Safety of Spent Fuel Management and on the Safety of Radioactive Management</w:t>
      </w:r>
      <w:r w:rsidR="00615DEC" w:rsidRPr="00615DEC">
        <w:rPr>
          <w:rFonts w:eastAsia="MS Mincho"/>
          <w:sz w:val="20"/>
          <w:szCs w:val="20"/>
        </w:rPr>
        <w:t xml:space="preserve"> [2] recognizes the importance of fuel cycle policy remaining the prerogative of the State</w:t>
      </w:r>
      <w:r w:rsidR="00615DEC" w:rsidRPr="00615DEC">
        <w:rPr>
          <w:rStyle w:val="Appelnotedebasdep"/>
          <w:rFonts w:eastAsia="MS Mincho"/>
          <w:sz w:val="20"/>
          <w:szCs w:val="20"/>
        </w:rPr>
        <w:footnoteReference w:id="4"/>
      </w:r>
      <w:r w:rsidR="00615DEC" w:rsidRPr="00615DEC">
        <w:rPr>
          <w:rFonts w:eastAsia="MS Mincho"/>
          <w:sz w:val="20"/>
          <w:szCs w:val="20"/>
        </w:rPr>
        <w:t xml:space="preserve"> to make according to its goals, which is described in Table 1.</w:t>
      </w:r>
    </w:p>
    <w:p w14:paraId="555EE4BC" w14:textId="3479F09E" w:rsidR="00BF5287" w:rsidRDefault="00BF5287" w:rsidP="00615DEC">
      <w:pPr>
        <w:ind w:firstLine="357"/>
        <w:jc w:val="both"/>
        <w:rPr>
          <w:rFonts w:eastAsia="MS Mincho"/>
          <w:sz w:val="20"/>
          <w:szCs w:val="20"/>
        </w:rPr>
      </w:pPr>
    </w:p>
    <w:p w14:paraId="45109B97" w14:textId="77777777" w:rsidR="00BF5287" w:rsidRPr="00615DEC" w:rsidRDefault="00BF5287" w:rsidP="00615DEC">
      <w:pPr>
        <w:ind w:firstLine="357"/>
        <w:jc w:val="both"/>
        <w:rPr>
          <w:rFonts w:eastAsia="MS Mincho"/>
          <w:sz w:val="20"/>
          <w:szCs w:val="20"/>
        </w:rPr>
      </w:pPr>
    </w:p>
    <w:p w14:paraId="32D14246" w14:textId="16878AED" w:rsidR="00615DEC" w:rsidRPr="00615DEC" w:rsidRDefault="00615DEC" w:rsidP="00BF5287">
      <w:pPr>
        <w:jc w:val="center"/>
        <w:rPr>
          <w:rFonts w:eastAsia="MS Mincho"/>
          <w:b/>
          <w:sz w:val="20"/>
          <w:szCs w:val="20"/>
        </w:rPr>
      </w:pPr>
      <w:r w:rsidRPr="00615DEC">
        <w:rPr>
          <w:rFonts w:eastAsia="MS Mincho"/>
          <w:b/>
          <w:sz w:val="20"/>
          <w:szCs w:val="20"/>
        </w:rPr>
        <w:t xml:space="preserve">Table 1: The </w:t>
      </w:r>
      <w:r w:rsidR="008D1805">
        <w:rPr>
          <w:rFonts w:eastAsia="MS Mincho"/>
          <w:b/>
          <w:sz w:val="20"/>
          <w:szCs w:val="20"/>
        </w:rPr>
        <w:t>Two</w:t>
      </w:r>
      <w:r w:rsidR="008D1805" w:rsidRPr="00615DEC">
        <w:rPr>
          <w:rFonts w:eastAsia="MS Mincho"/>
          <w:b/>
          <w:sz w:val="20"/>
          <w:szCs w:val="20"/>
        </w:rPr>
        <w:t xml:space="preserve"> </w:t>
      </w:r>
      <w:r w:rsidRPr="00615DEC">
        <w:rPr>
          <w:rFonts w:eastAsia="MS Mincho"/>
          <w:b/>
          <w:sz w:val="20"/>
          <w:szCs w:val="20"/>
        </w:rPr>
        <w:t>Strategies for Used Fuel Management</w:t>
      </w:r>
    </w:p>
    <w:tbl>
      <w:tblPr>
        <w:tblStyle w:val="Grilledutableau"/>
        <w:tblW w:w="0" w:type="auto"/>
        <w:tblInd w:w="357" w:type="dxa"/>
        <w:tblLook w:val="04A0" w:firstRow="1" w:lastRow="0" w:firstColumn="1" w:lastColumn="0" w:noHBand="0" w:noVBand="1"/>
      </w:tblPr>
      <w:tblGrid>
        <w:gridCol w:w="1990"/>
        <w:gridCol w:w="6709"/>
      </w:tblGrid>
      <w:tr w:rsidR="00615DEC" w14:paraId="342CA90E" w14:textId="77777777" w:rsidTr="000B3A9A">
        <w:tc>
          <w:tcPr>
            <w:tcW w:w="2019" w:type="dxa"/>
            <w:shd w:val="clear" w:color="auto" w:fill="BFBFBF" w:themeFill="background1" w:themeFillShade="BF"/>
            <w:vAlign w:val="center"/>
          </w:tcPr>
          <w:p w14:paraId="20E839F8" w14:textId="77777777" w:rsidR="00615DEC" w:rsidRPr="00615DEC" w:rsidRDefault="00615DEC" w:rsidP="000B3A9A">
            <w:pPr>
              <w:jc w:val="center"/>
              <w:rPr>
                <w:rFonts w:eastAsia="MS Mincho"/>
                <w:b/>
                <w:sz w:val="20"/>
                <w:szCs w:val="20"/>
              </w:rPr>
            </w:pPr>
            <w:r w:rsidRPr="00615DEC">
              <w:rPr>
                <w:rFonts w:eastAsia="MS Mincho"/>
                <w:b/>
                <w:sz w:val="20"/>
                <w:szCs w:val="20"/>
              </w:rPr>
              <w:t xml:space="preserve">Option </w:t>
            </w:r>
          </w:p>
        </w:tc>
        <w:tc>
          <w:tcPr>
            <w:tcW w:w="6906" w:type="dxa"/>
            <w:shd w:val="clear" w:color="auto" w:fill="BFBFBF" w:themeFill="background1" w:themeFillShade="BF"/>
          </w:tcPr>
          <w:p w14:paraId="08049DF6" w14:textId="77777777" w:rsidR="00615DEC" w:rsidRPr="00615DEC" w:rsidRDefault="00615DEC" w:rsidP="000B3A9A">
            <w:pPr>
              <w:jc w:val="center"/>
              <w:rPr>
                <w:rFonts w:eastAsia="MS Mincho"/>
                <w:b/>
                <w:sz w:val="20"/>
                <w:szCs w:val="20"/>
              </w:rPr>
            </w:pPr>
            <w:r w:rsidRPr="00615DEC">
              <w:rPr>
                <w:rFonts w:eastAsia="MS Mincho"/>
                <w:b/>
                <w:sz w:val="20"/>
                <w:szCs w:val="20"/>
              </w:rPr>
              <w:t xml:space="preserve">Description </w:t>
            </w:r>
          </w:p>
        </w:tc>
      </w:tr>
      <w:tr w:rsidR="00615DEC" w14:paraId="3DC895FB" w14:textId="77777777" w:rsidTr="000B3A9A">
        <w:tc>
          <w:tcPr>
            <w:tcW w:w="2019" w:type="dxa"/>
            <w:shd w:val="clear" w:color="auto" w:fill="FFF2CC" w:themeFill="accent4" w:themeFillTint="33"/>
            <w:vAlign w:val="center"/>
          </w:tcPr>
          <w:p w14:paraId="305E4AE4" w14:textId="77777777" w:rsidR="00615DEC" w:rsidRPr="00615DEC" w:rsidRDefault="00615DEC" w:rsidP="000B3A9A">
            <w:pPr>
              <w:jc w:val="center"/>
              <w:rPr>
                <w:rFonts w:eastAsia="MS Mincho"/>
                <w:b/>
                <w:sz w:val="20"/>
                <w:szCs w:val="20"/>
              </w:rPr>
            </w:pPr>
            <w:r w:rsidRPr="00615DEC">
              <w:rPr>
                <w:rFonts w:eastAsia="MS Mincho"/>
                <w:b/>
                <w:sz w:val="20"/>
                <w:szCs w:val="20"/>
              </w:rPr>
              <w:t>Open Cycle</w:t>
            </w:r>
          </w:p>
        </w:tc>
        <w:tc>
          <w:tcPr>
            <w:tcW w:w="6906" w:type="dxa"/>
            <w:shd w:val="clear" w:color="auto" w:fill="FFF2CC" w:themeFill="accent4" w:themeFillTint="33"/>
          </w:tcPr>
          <w:p w14:paraId="2C6BC746" w14:textId="62E4E6F4" w:rsidR="00615DEC" w:rsidRPr="00615DEC" w:rsidRDefault="00615DEC" w:rsidP="000B3A9A">
            <w:pPr>
              <w:jc w:val="both"/>
              <w:rPr>
                <w:rFonts w:eastAsia="MS Mincho"/>
                <w:sz w:val="20"/>
                <w:szCs w:val="20"/>
              </w:rPr>
            </w:pPr>
            <w:r w:rsidRPr="00615DEC">
              <w:rPr>
                <w:rFonts w:eastAsia="MS Mincho"/>
                <w:sz w:val="20"/>
                <w:szCs w:val="20"/>
              </w:rPr>
              <w:t>Referred to as the “once through” strategy. It considers spent fuel as a waste product. Following a period of interim storage, the spent fuel is packaged to meet disposal acceptance criteria before final disposal in a DGR.</w:t>
            </w:r>
          </w:p>
        </w:tc>
      </w:tr>
      <w:tr w:rsidR="00615DEC" w14:paraId="27D9EDB2" w14:textId="77777777" w:rsidTr="000B3A9A">
        <w:tc>
          <w:tcPr>
            <w:tcW w:w="2019" w:type="dxa"/>
            <w:shd w:val="clear" w:color="auto" w:fill="E2EFD9" w:themeFill="accent6" w:themeFillTint="33"/>
            <w:vAlign w:val="center"/>
          </w:tcPr>
          <w:p w14:paraId="532E97F2" w14:textId="77777777" w:rsidR="00615DEC" w:rsidRPr="00615DEC" w:rsidRDefault="00615DEC" w:rsidP="000B3A9A">
            <w:pPr>
              <w:jc w:val="center"/>
              <w:rPr>
                <w:rFonts w:eastAsia="MS Mincho"/>
                <w:b/>
                <w:sz w:val="20"/>
                <w:szCs w:val="20"/>
              </w:rPr>
            </w:pPr>
            <w:r w:rsidRPr="00615DEC">
              <w:rPr>
                <w:rFonts w:eastAsia="MS Mincho"/>
                <w:b/>
                <w:sz w:val="20"/>
                <w:szCs w:val="20"/>
              </w:rPr>
              <w:t>Closed Cycle</w:t>
            </w:r>
          </w:p>
        </w:tc>
        <w:tc>
          <w:tcPr>
            <w:tcW w:w="6906" w:type="dxa"/>
            <w:shd w:val="clear" w:color="auto" w:fill="E2EFD9" w:themeFill="accent6" w:themeFillTint="33"/>
          </w:tcPr>
          <w:p w14:paraId="3D880FFB" w14:textId="77777777" w:rsidR="00615DEC" w:rsidRPr="00615DEC" w:rsidRDefault="00615DEC" w:rsidP="000B3A9A">
            <w:pPr>
              <w:jc w:val="both"/>
              <w:rPr>
                <w:rFonts w:eastAsia="MS Mincho"/>
                <w:sz w:val="20"/>
                <w:szCs w:val="20"/>
              </w:rPr>
            </w:pPr>
            <w:r w:rsidRPr="00615DEC">
              <w:rPr>
                <w:rFonts w:eastAsia="MS Mincho"/>
                <w:sz w:val="20"/>
                <w:szCs w:val="20"/>
              </w:rPr>
              <w:t>This strategy considers spent fuel to be a potential future energy resource, and also includes the “partially closed cycle”. The spent fuel is reprocessed in order to recover valuable fissile materials (uranium and plutonium). The High-level waste (HLW) (along with other wastes such as Low-level (LLW) and Intermediate-level (ILW) waste resulting from reprocessing is then stored awaiting future disposal, normally in a deep geological repository. It should be mentioned that the “closed cycle” can refer to one or more cycles of the recovered valuable material.</w:t>
            </w:r>
          </w:p>
        </w:tc>
      </w:tr>
      <w:tr w:rsidR="00615DEC" w14:paraId="55A7FE3A" w14:textId="77777777" w:rsidTr="000B3A9A">
        <w:tc>
          <w:tcPr>
            <w:tcW w:w="8925" w:type="dxa"/>
            <w:gridSpan w:val="2"/>
            <w:shd w:val="clear" w:color="auto" w:fill="D9D9D9" w:themeFill="background1" w:themeFillShade="D9"/>
            <w:vAlign w:val="center"/>
          </w:tcPr>
          <w:p w14:paraId="6E809383" w14:textId="68E97166" w:rsidR="00615DEC" w:rsidRPr="00615DEC" w:rsidRDefault="008D1805" w:rsidP="000B3A9A">
            <w:pPr>
              <w:jc w:val="center"/>
              <w:rPr>
                <w:rFonts w:eastAsia="MS Mincho"/>
                <w:sz w:val="20"/>
                <w:szCs w:val="20"/>
              </w:rPr>
            </w:pPr>
            <w:r>
              <w:rPr>
                <w:rFonts w:eastAsia="MS Mincho"/>
                <w:sz w:val="20"/>
                <w:szCs w:val="20"/>
              </w:rPr>
              <w:t>Alternative</w:t>
            </w:r>
            <w:r w:rsidRPr="00615DEC">
              <w:rPr>
                <w:rFonts w:eastAsia="MS Mincho"/>
                <w:sz w:val="20"/>
                <w:szCs w:val="20"/>
              </w:rPr>
              <w:t xml:space="preserve"> </w:t>
            </w:r>
            <w:r w:rsidR="00615DEC" w:rsidRPr="00615DEC">
              <w:rPr>
                <w:rFonts w:eastAsia="MS Mincho"/>
                <w:sz w:val="20"/>
                <w:szCs w:val="20"/>
              </w:rPr>
              <w:t>Option</w:t>
            </w:r>
          </w:p>
        </w:tc>
      </w:tr>
      <w:tr w:rsidR="00615DEC" w14:paraId="10EF2AE2" w14:textId="77777777" w:rsidTr="00615DEC">
        <w:tc>
          <w:tcPr>
            <w:tcW w:w="2019" w:type="dxa"/>
            <w:shd w:val="clear" w:color="auto" w:fill="FBE4D5" w:themeFill="accent2" w:themeFillTint="33"/>
            <w:vAlign w:val="center"/>
          </w:tcPr>
          <w:p w14:paraId="28D0D7CE" w14:textId="6BFF9E9E" w:rsidR="00615DEC" w:rsidRDefault="00615DEC" w:rsidP="00615DEC">
            <w:pPr>
              <w:jc w:val="center"/>
              <w:rPr>
                <w:rFonts w:eastAsia="MS Mincho"/>
                <w:b/>
                <w:sz w:val="20"/>
                <w:szCs w:val="20"/>
              </w:rPr>
            </w:pPr>
            <w:r w:rsidRPr="00615DEC">
              <w:rPr>
                <w:rFonts w:eastAsia="MS Mincho"/>
                <w:b/>
                <w:sz w:val="20"/>
                <w:szCs w:val="20"/>
              </w:rPr>
              <w:t>Alternative</w:t>
            </w:r>
          </w:p>
          <w:p w14:paraId="4875049D" w14:textId="013C2DA3" w:rsidR="008D1805" w:rsidRPr="00615DEC" w:rsidRDefault="008D1805" w:rsidP="00615DEC">
            <w:pPr>
              <w:jc w:val="center"/>
              <w:rPr>
                <w:rFonts w:eastAsia="MS Mincho"/>
                <w:b/>
                <w:sz w:val="20"/>
                <w:szCs w:val="20"/>
              </w:rPr>
            </w:pPr>
            <w:r>
              <w:rPr>
                <w:rFonts w:eastAsia="MS Mincho"/>
                <w:b/>
                <w:sz w:val="20"/>
                <w:szCs w:val="20"/>
              </w:rPr>
              <w:t>Method</w:t>
            </w:r>
          </w:p>
          <w:p w14:paraId="6EF3C06A" w14:textId="77777777" w:rsidR="00615DEC" w:rsidRPr="00615DEC" w:rsidRDefault="00615DEC" w:rsidP="00615DEC">
            <w:pPr>
              <w:jc w:val="center"/>
              <w:rPr>
                <w:rFonts w:eastAsia="MS Mincho"/>
                <w:b/>
                <w:sz w:val="20"/>
                <w:szCs w:val="20"/>
              </w:rPr>
            </w:pPr>
          </w:p>
        </w:tc>
        <w:tc>
          <w:tcPr>
            <w:tcW w:w="6906" w:type="dxa"/>
            <w:shd w:val="clear" w:color="auto" w:fill="FBE4D5" w:themeFill="accent2" w:themeFillTint="33"/>
          </w:tcPr>
          <w:p w14:paraId="1829A6C2" w14:textId="77777777" w:rsidR="00615DEC" w:rsidRPr="00615DEC" w:rsidRDefault="00615DEC" w:rsidP="000B3A9A">
            <w:pPr>
              <w:jc w:val="both"/>
              <w:rPr>
                <w:rFonts w:eastAsia="MS Mincho"/>
                <w:sz w:val="20"/>
                <w:szCs w:val="20"/>
              </w:rPr>
            </w:pPr>
            <w:r w:rsidRPr="00615DEC">
              <w:rPr>
                <w:rFonts w:eastAsia="MS Mincho"/>
                <w:sz w:val="20"/>
                <w:szCs w:val="20"/>
              </w:rPr>
              <w:t xml:space="preserve">States may seek flexibility, while keeping open the option to examine ‘other’ alternatives. A number of countries are awaiting a decision on the future strategy to be implemented or consider the open cycle as its current reference. </w:t>
            </w:r>
          </w:p>
        </w:tc>
      </w:tr>
    </w:tbl>
    <w:p w14:paraId="424CE1BD" w14:textId="77777777" w:rsidR="00615DEC" w:rsidRDefault="00615DEC" w:rsidP="00615DEC">
      <w:pPr>
        <w:ind w:left="357"/>
        <w:jc w:val="both"/>
        <w:rPr>
          <w:rFonts w:ascii="Arial" w:eastAsia="MS Mincho" w:hAnsi="Arial" w:cs="Arial"/>
          <w:b/>
          <w:sz w:val="20"/>
          <w:szCs w:val="20"/>
        </w:rPr>
      </w:pPr>
    </w:p>
    <w:p w14:paraId="1A7CEDFF" w14:textId="77777777" w:rsidR="00615DEC" w:rsidRDefault="00615DEC" w:rsidP="00615DEC">
      <w:pPr>
        <w:ind w:left="708"/>
        <w:jc w:val="both"/>
        <w:rPr>
          <w:rFonts w:ascii="Arial" w:eastAsia="MS Mincho" w:hAnsi="Arial" w:cs="Arial"/>
          <w:sz w:val="20"/>
          <w:szCs w:val="20"/>
        </w:rPr>
      </w:pPr>
    </w:p>
    <w:p w14:paraId="45C31D6A" w14:textId="37C827EB" w:rsidR="00615DEC" w:rsidRPr="00615DEC" w:rsidRDefault="00615DEC" w:rsidP="00615DEC">
      <w:pPr>
        <w:ind w:firstLine="709"/>
        <w:jc w:val="both"/>
        <w:rPr>
          <w:rFonts w:eastAsia="MS Mincho"/>
          <w:sz w:val="20"/>
          <w:szCs w:val="20"/>
        </w:rPr>
      </w:pPr>
      <w:r w:rsidRPr="00615DEC">
        <w:rPr>
          <w:rFonts w:eastAsia="MS Mincho"/>
          <w:sz w:val="20"/>
          <w:szCs w:val="20"/>
        </w:rPr>
        <w:t xml:space="preserve">The majority of countries have adopted or reference the “open cycle” strategy, while certain countries with some of the largest nuclear power </w:t>
      </w:r>
      <w:proofErr w:type="spellStart"/>
      <w:r w:rsidRPr="00615DEC">
        <w:rPr>
          <w:rFonts w:eastAsia="MS Mincho"/>
          <w:sz w:val="20"/>
          <w:szCs w:val="20"/>
        </w:rPr>
        <w:t>programmes</w:t>
      </w:r>
      <w:proofErr w:type="spellEnd"/>
      <w:r w:rsidRPr="00615DEC">
        <w:rPr>
          <w:rFonts w:eastAsia="MS Mincho"/>
          <w:sz w:val="20"/>
          <w:szCs w:val="20"/>
        </w:rPr>
        <w:t xml:space="preserve"> (e.g. France, United Kingdom, Russian Federation, Japan and China) have adopted a “closed cycle” policy. Other countries with a small nuclear fleet, like the Netherlands, have also opted for the closed cycle strategy, with reprocessing services provided by </w:t>
      </w:r>
      <w:r w:rsidR="00C60119">
        <w:rPr>
          <w:rFonts w:eastAsia="MS Mincho"/>
          <w:sz w:val="20"/>
          <w:szCs w:val="20"/>
        </w:rPr>
        <w:t>commercial</w:t>
      </w:r>
      <w:r w:rsidR="00E90252">
        <w:rPr>
          <w:rFonts w:eastAsia="MS Mincho"/>
          <w:sz w:val="20"/>
          <w:szCs w:val="20"/>
        </w:rPr>
        <w:t xml:space="preserve"> companies</w:t>
      </w:r>
      <w:r w:rsidR="00C60119">
        <w:rPr>
          <w:rFonts w:eastAsia="MS Mincho"/>
          <w:sz w:val="20"/>
          <w:szCs w:val="20"/>
        </w:rPr>
        <w:t xml:space="preserve"> in </w:t>
      </w:r>
      <w:r w:rsidRPr="00615DEC">
        <w:rPr>
          <w:rFonts w:eastAsia="MS Mincho"/>
          <w:sz w:val="20"/>
          <w:szCs w:val="20"/>
        </w:rPr>
        <w:t>another State having this capability. Additionally, there are other countries, namely Germany, United Kingdom</w:t>
      </w:r>
      <w:r w:rsidRPr="00615DEC">
        <w:rPr>
          <w:rStyle w:val="Appelnotedebasdep"/>
          <w:rFonts w:eastAsia="MS Mincho"/>
          <w:sz w:val="20"/>
          <w:szCs w:val="20"/>
        </w:rPr>
        <w:footnoteReference w:id="5"/>
      </w:r>
      <w:r w:rsidRPr="00615DEC">
        <w:rPr>
          <w:rFonts w:eastAsia="MS Mincho"/>
          <w:sz w:val="20"/>
          <w:szCs w:val="20"/>
        </w:rPr>
        <w:t xml:space="preserve"> (UK) and the United States of America, that have changed their policy from a “closed cycle” to “open cycle”. </w:t>
      </w:r>
    </w:p>
    <w:p w14:paraId="694C33D0" w14:textId="77777777" w:rsidR="00615DEC" w:rsidRPr="00EA412D" w:rsidRDefault="00615DEC" w:rsidP="00615DEC">
      <w:pPr>
        <w:jc w:val="both"/>
        <w:rPr>
          <w:rFonts w:ascii="Arial" w:eastAsia="MS Mincho" w:hAnsi="Arial" w:cs="Arial"/>
          <w:sz w:val="20"/>
          <w:szCs w:val="20"/>
        </w:rPr>
      </w:pPr>
    </w:p>
    <w:p w14:paraId="2B6C9745" w14:textId="2B51F186" w:rsidR="00615DEC" w:rsidRPr="00615DEC" w:rsidRDefault="00615DEC" w:rsidP="00615DEC">
      <w:pPr>
        <w:ind w:firstLine="709"/>
        <w:jc w:val="both"/>
        <w:rPr>
          <w:color w:val="000000"/>
          <w:sz w:val="20"/>
          <w:szCs w:val="20"/>
        </w:rPr>
      </w:pPr>
      <w:r w:rsidRPr="00615DEC">
        <w:rPr>
          <w:color w:val="000000"/>
          <w:sz w:val="20"/>
          <w:szCs w:val="20"/>
        </w:rPr>
        <w:t>It should be noted that the amount of used fuel from n</w:t>
      </w:r>
      <w:r w:rsidRPr="00615DEC">
        <w:rPr>
          <w:color w:val="000000"/>
          <w:sz w:val="20"/>
          <w:szCs w:val="20"/>
          <w:lang w:eastAsia="en-GB"/>
        </w:rPr>
        <w:t>on-power</w:t>
      </w:r>
      <w:r w:rsidRPr="00615DEC">
        <w:rPr>
          <w:color w:val="000000"/>
          <w:sz w:val="20"/>
          <w:szCs w:val="20"/>
        </w:rPr>
        <w:t xml:space="preserve"> reactors is not dealt with within the confines of this paper. However, it is interesting to note that some countries are returning their non-power reactor used fuel to the country of origin, mainly the Russian Federation and the United States of America (USA)</w:t>
      </w:r>
      <w:r w:rsidR="00E24578">
        <w:rPr>
          <w:color w:val="000000"/>
          <w:sz w:val="20"/>
          <w:szCs w:val="20"/>
        </w:rPr>
        <w:t xml:space="preserve">, while </w:t>
      </w:r>
      <w:r w:rsidR="00E24578">
        <w:rPr>
          <w:color w:val="000000"/>
          <w:sz w:val="20"/>
          <w:szCs w:val="20"/>
        </w:rPr>
        <w:lastRenderedPageBreak/>
        <w:t xml:space="preserve">others </w:t>
      </w:r>
      <w:r w:rsidR="00E24578" w:rsidRPr="00E24578">
        <w:rPr>
          <w:color w:val="000000"/>
          <w:sz w:val="20"/>
          <w:szCs w:val="20"/>
        </w:rPr>
        <w:t>, such as Australia</w:t>
      </w:r>
      <w:r w:rsidR="00E24578">
        <w:rPr>
          <w:rStyle w:val="Appelnotedebasdep"/>
          <w:color w:val="000000"/>
          <w:sz w:val="20"/>
          <w:szCs w:val="20"/>
        </w:rPr>
        <w:footnoteReference w:id="6"/>
      </w:r>
      <w:r w:rsidR="00E24578" w:rsidRPr="00E24578">
        <w:rPr>
          <w:color w:val="000000"/>
          <w:sz w:val="20"/>
          <w:szCs w:val="20"/>
        </w:rPr>
        <w:t>, Belgium</w:t>
      </w:r>
      <w:r w:rsidR="00E24578">
        <w:rPr>
          <w:rStyle w:val="Appelnotedebasdep"/>
          <w:color w:val="000000"/>
          <w:sz w:val="20"/>
          <w:szCs w:val="20"/>
        </w:rPr>
        <w:footnoteReference w:id="7"/>
      </w:r>
      <w:r w:rsidR="00E24578" w:rsidRPr="00E24578">
        <w:rPr>
          <w:color w:val="000000"/>
          <w:sz w:val="20"/>
          <w:szCs w:val="20"/>
        </w:rPr>
        <w:t xml:space="preserve"> and Sweden</w:t>
      </w:r>
      <w:r w:rsidR="00CA6D1C">
        <w:rPr>
          <w:rStyle w:val="Appelnotedebasdep"/>
          <w:color w:val="000000"/>
          <w:sz w:val="20"/>
          <w:szCs w:val="20"/>
        </w:rPr>
        <w:footnoteReference w:id="8"/>
      </w:r>
      <w:r w:rsidR="00E24578">
        <w:rPr>
          <w:color w:val="000000"/>
          <w:sz w:val="20"/>
          <w:szCs w:val="20"/>
        </w:rPr>
        <w:t>,</w:t>
      </w:r>
      <w:r w:rsidR="00E24578" w:rsidRPr="00E24578">
        <w:rPr>
          <w:color w:val="000000"/>
          <w:sz w:val="20"/>
          <w:szCs w:val="20"/>
        </w:rPr>
        <w:t xml:space="preserve"> have </w:t>
      </w:r>
      <w:r w:rsidR="00E24578">
        <w:rPr>
          <w:color w:val="000000"/>
          <w:sz w:val="20"/>
          <w:szCs w:val="20"/>
        </w:rPr>
        <w:t xml:space="preserve">opted to </w:t>
      </w:r>
      <w:r w:rsidR="00E24578" w:rsidRPr="00E24578">
        <w:rPr>
          <w:color w:val="000000"/>
          <w:sz w:val="20"/>
          <w:szCs w:val="20"/>
        </w:rPr>
        <w:t>reprocess th</w:t>
      </w:r>
      <w:r w:rsidR="00E24578">
        <w:rPr>
          <w:color w:val="000000"/>
          <w:sz w:val="20"/>
          <w:szCs w:val="20"/>
        </w:rPr>
        <w:t>is</w:t>
      </w:r>
      <w:r w:rsidR="00E24578" w:rsidRPr="00E24578">
        <w:rPr>
          <w:color w:val="000000"/>
          <w:sz w:val="20"/>
          <w:szCs w:val="20"/>
        </w:rPr>
        <w:t xml:space="preserve"> spent fuel</w:t>
      </w:r>
      <w:r w:rsidR="00E24578">
        <w:rPr>
          <w:color w:val="000000"/>
          <w:sz w:val="20"/>
          <w:szCs w:val="20"/>
        </w:rPr>
        <w:t xml:space="preserve"> from their research reactors.</w:t>
      </w:r>
    </w:p>
    <w:p w14:paraId="1630A95B" w14:textId="44B73AF5" w:rsidR="00905C88" w:rsidRPr="00615DEC" w:rsidRDefault="00905C88" w:rsidP="00C53C8D">
      <w:pPr>
        <w:ind w:firstLine="708"/>
        <w:jc w:val="both"/>
        <w:rPr>
          <w:color w:val="000000"/>
          <w:sz w:val="20"/>
          <w:szCs w:val="20"/>
        </w:rPr>
      </w:pPr>
    </w:p>
    <w:p w14:paraId="32922306" w14:textId="77777777" w:rsidR="0071260C" w:rsidRPr="00023937" w:rsidRDefault="0071260C" w:rsidP="0071260C">
      <w:pPr>
        <w:jc w:val="both"/>
        <w:rPr>
          <w:color w:val="000000"/>
          <w:sz w:val="20"/>
          <w:szCs w:val="20"/>
        </w:rPr>
      </w:pPr>
    </w:p>
    <w:p w14:paraId="2B56729A" w14:textId="5BFAFBE8" w:rsidR="0071260C" w:rsidRPr="00C53C8D" w:rsidRDefault="0071260C" w:rsidP="00C53C8D">
      <w:pPr>
        <w:pStyle w:val="Paragraphedeliste"/>
        <w:numPr>
          <w:ilvl w:val="1"/>
          <w:numId w:val="26"/>
        </w:numPr>
        <w:jc w:val="both"/>
        <w:rPr>
          <w:rFonts w:ascii="Times New Roman" w:eastAsia="MS Mincho" w:hAnsi="Times New Roman" w:cs="Times New Roman"/>
          <w:b/>
          <w:bCs/>
          <w:sz w:val="20"/>
          <w:szCs w:val="20"/>
          <w:lang w:val="en-US"/>
        </w:rPr>
      </w:pPr>
      <w:r w:rsidRPr="00C53C8D">
        <w:rPr>
          <w:rFonts w:ascii="Times New Roman" w:eastAsia="MS Mincho" w:hAnsi="Times New Roman" w:cs="Times New Roman"/>
          <w:b/>
          <w:bCs/>
          <w:sz w:val="20"/>
          <w:szCs w:val="20"/>
          <w:lang w:val="en-US"/>
        </w:rPr>
        <w:t>The “</w:t>
      </w:r>
      <w:r w:rsidR="00615DEC">
        <w:rPr>
          <w:rFonts w:ascii="Times New Roman" w:eastAsia="MS Mincho" w:hAnsi="Times New Roman" w:cs="Times New Roman"/>
          <w:b/>
          <w:bCs/>
          <w:sz w:val="20"/>
          <w:szCs w:val="20"/>
          <w:lang w:val="en-US"/>
        </w:rPr>
        <w:t>C</w:t>
      </w:r>
      <w:r w:rsidRPr="00C53C8D">
        <w:rPr>
          <w:rFonts w:ascii="Times New Roman" w:eastAsia="MS Mincho" w:hAnsi="Times New Roman" w:cs="Times New Roman"/>
          <w:b/>
          <w:bCs/>
          <w:sz w:val="20"/>
          <w:szCs w:val="20"/>
          <w:lang w:val="en-US"/>
        </w:rPr>
        <w:t xml:space="preserve">losed </w:t>
      </w:r>
      <w:r w:rsidR="00615DEC">
        <w:rPr>
          <w:rFonts w:ascii="Times New Roman" w:eastAsia="MS Mincho" w:hAnsi="Times New Roman" w:cs="Times New Roman"/>
          <w:b/>
          <w:bCs/>
          <w:sz w:val="20"/>
          <w:szCs w:val="20"/>
          <w:lang w:val="en-US"/>
        </w:rPr>
        <w:t>C</w:t>
      </w:r>
      <w:r w:rsidRPr="00C53C8D">
        <w:rPr>
          <w:rFonts w:ascii="Times New Roman" w:eastAsia="MS Mincho" w:hAnsi="Times New Roman" w:cs="Times New Roman"/>
          <w:b/>
          <w:bCs/>
          <w:sz w:val="20"/>
          <w:szCs w:val="20"/>
          <w:lang w:val="en-US"/>
        </w:rPr>
        <w:t xml:space="preserve">ycle”: Reprocessing of </w:t>
      </w:r>
      <w:r w:rsidR="00615DEC">
        <w:rPr>
          <w:rFonts w:ascii="Times New Roman" w:eastAsia="MS Mincho" w:hAnsi="Times New Roman" w:cs="Times New Roman"/>
          <w:b/>
          <w:bCs/>
          <w:sz w:val="20"/>
          <w:szCs w:val="20"/>
          <w:lang w:val="en-US"/>
        </w:rPr>
        <w:t>Used Fuel and R</w:t>
      </w:r>
      <w:r w:rsidRPr="00C53C8D">
        <w:rPr>
          <w:rFonts w:ascii="Times New Roman" w:eastAsia="MS Mincho" w:hAnsi="Times New Roman" w:cs="Times New Roman"/>
          <w:b/>
          <w:bCs/>
          <w:sz w:val="20"/>
          <w:szCs w:val="20"/>
          <w:lang w:val="en-US"/>
        </w:rPr>
        <w:t xml:space="preserve">euse of </w:t>
      </w:r>
      <w:r w:rsidR="00615DEC">
        <w:rPr>
          <w:rFonts w:ascii="Times New Roman" w:eastAsia="MS Mincho" w:hAnsi="Times New Roman" w:cs="Times New Roman"/>
          <w:b/>
          <w:bCs/>
          <w:sz w:val="20"/>
          <w:szCs w:val="20"/>
          <w:lang w:val="en-US"/>
        </w:rPr>
        <w:t>U</w:t>
      </w:r>
      <w:r w:rsidRPr="00C53C8D">
        <w:rPr>
          <w:rFonts w:ascii="Times New Roman" w:eastAsia="MS Mincho" w:hAnsi="Times New Roman" w:cs="Times New Roman"/>
          <w:b/>
          <w:bCs/>
          <w:sz w:val="20"/>
          <w:szCs w:val="20"/>
          <w:lang w:val="en-US"/>
        </w:rPr>
        <w:t xml:space="preserve">ranium and </w:t>
      </w:r>
      <w:r w:rsidR="00615DEC">
        <w:rPr>
          <w:rFonts w:ascii="Times New Roman" w:eastAsia="MS Mincho" w:hAnsi="Times New Roman" w:cs="Times New Roman"/>
          <w:b/>
          <w:bCs/>
          <w:sz w:val="20"/>
          <w:szCs w:val="20"/>
          <w:lang w:val="en-US"/>
        </w:rPr>
        <w:t>P</w:t>
      </w:r>
      <w:r w:rsidRPr="00C53C8D">
        <w:rPr>
          <w:rFonts w:ascii="Times New Roman" w:eastAsia="MS Mincho" w:hAnsi="Times New Roman" w:cs="Times New Roman"/>
          <w:b/>
          <w:bCs/>
          <w:sz w:val="20"/>
          <w:szCs w:val="20"/>
          <w:lang w:val="en-US"/>
        </w:rPr>
        <w:t>lutonium</w:t>
      </w:r>
    </w:p>
    <w:p w14:paraId="73925BF9" w14:textId="7F4D4BB0" w:rsidR="00615DEC" w:rsidRPr="00615DEC" w:rsidRDefault="00615DEC" w:rsidP="00615DEC">
      <w:pPr>
        <w:ind w:firstLine="709"/>
        <w:jc w:val="both"/>
        <w:rPr>
          <w:rFonts w:eastAsia="MS Mincho"/>
          <w:sz w:val="20"/>
          <w:szCs w:val="20"/>
        </w:rPr>
      </w:pPr>
      <w:r w:rsidRPr="00615DEC">
        <w:rPr>
          <w:rFonts w:eastAsia="MS Mincho"/>
          <w:sz w:val="20"/>
          <w:szCs w:val="20"/>
        </w:rPr>
        <w:t xml:space="preserve">Used fuel undergoing reprocessing is separated into several main </w:t>
      </w:r>
      <w:r w:rsidR="00A35A3E" w:rsidRPr="00615DEC">
        <w:rPr>
          <w:rFonts w:eastAsia="MS Mincho"/>
          <w:sz w:val="20"/>
          <w:szCs w:val="20"/>
        </w:rPr>
        <w:t>components:</w:t>
      </w:r>
      <w:r w:rsidRPr="00615DEC">
        <w:rPr>
          <w:rFonts w:eastAsia="MS Mincho"/>
          <w:sz w:val="20"/>
          <w:szCs w:val="20"/>
        </w:rPr>
        <w:t xml:space="preserve"> uranium, plutonium, and waste containing minor actinides, fission and activation products. The uranium and plutonium can be recycled as part of nuclear fuel for reactors, while the minor actinides, fission and activation products are currently considered to be waste products. The minor actinide and fission product wastes are vitrified, followed by its interim storage in a very stable matrix before its transport and final disposal</w:t>
      </w:r>
      <w:r w:rsidR="009A4EB3">
        <w:rPr>
          <w:rFonts w:eastAsia="MS Mincho"/>
          <w:sz w:val="20"/>
          <w:szCs w:val="20"/>
        </w:rPr>
        <w:t xml:space="preserve">. </w:t>
      </w:r>
      <w:r w:rsidRPr="00615DEC">
        <w:rPr>
          <w:rFonts w:eastAsia="MS Mincho"/>
          <w:sz w:val="20"/>
          <w:szCs w:val="20"/>
        </w:rPr>
        <w:t xml:space="preserve"> The main activation products (hulls and end-pieces) from reprocessing are conditioned in a stable matrix and also interim stored awaiting final disposal</w:t>
      </w:r>
      <w:r w:rsidR="00C60119">
        <w:rPr>
          <w:rFonts w:eastAsia="MS Mincho"/>
          <w:sz w:val="20"/>
          <w:szCs w:val="20"/>
        </w:rPr>
        <w:t>.</w:t>
      </w:r>
      <w:r w:rsidRPr="00615DEC">
        <w:rPr>
          <w:rFonts w:eastAsia="MS Mincho"/>
          <w:sz w:val="20"/>
          <w:szCs w:val="20"/>
        </w:rPr>
        <w:t xml:space="preserve">   </w:t>
      </w:r>
    </w:p>
    <w:p w14:paraId="50DF5997" w14:textId="77777777" w:rsidR="00615DEC" w:rsidRPr="00615DEC" w:rsidRDefault="00615DEC" w:rsidP="00615DEC">
      <w:pPr>
        <w:ind w:firstLine="709"/>
        <w:jc w:val="both"/>
        <w:rPr>
          <w:rFonts w:eastAsia="MS Mincho"/>
          <w:sz w:val="20"/>
          <w:szCs w:val="20"/>
        </w:rPr>
      </w:pPr>
    </w:p>
    <w:p w14:paraId="237CD2B2" w14:textId="4778B360" w:rsidR="00615DEC" w:rsidRPr="00615DEC" w:rsidRDefault="00615DEC" w:rsidP="00615DEC">
      <w:pPr>
        <w:ind w:firstLine="709"/>
        <w:jc w:val="both"/>
        <w:rPr>
          <w:rFonts w:eastAsia="MS Mincho"/>
          <w:sz w:val="20"/>
          <w:szCs w:val="20"/>
        </w:rPr>
      </w:pPr>
      <w:r w:rsidRPr="00615DEC">
        <w:rPr>
          <w:rFonts w:eastAsia="MS Mincho"/>
          <w:sz w:val="20"/>
          <w:szCs w:val="20"/>
        </w:rPr>
        <w:t>Currently, the countries which operate reprocessing facilities are France, India, and the Russian Federation. The UK previously operated reprocessing facilities for Light Water Reactor fuel until recently (closed in 2018) and will still operate the Magnox reprocessing plant until around 2020</w:t>
      </w:r>
      <w:r w:rsidRPr="00615DEC">
        <w:rPr>
          <w:rStyle w:val="Appelnotedebasdep"/>
          <w:rFonts w:eastAsia="MS Mincho"/>
          <w:sz w:val="20"/>
          <w:szCs w:val="20"/>
        </w:rPr>
        <w:footnoteReference w:id="9"/>
      </w:r>
      <w:r w:rsidRPr="00615DEC">
        <w:rPr>
          <w:rFonts w:eastAsia="MS Mincho"/>
          <w:sz w:val="20"/>
          <w:szCs w:val="20"/>
        </w:rPr>
        <w:t xml:space="preserve">. China is operating a pilot plant and is looking to deploy </w:t>
      </w:r>
      <w:r w:rsidR="009A4EB3">
        <w:rPr>
          <w:rFonts w:eastAsia="MS Mincho"/>
          <w:sz w:val="20"/>
          <w:szCs w:val="20"/>
        </w:rPr>
        <w:t>demonstration and</w:t>
      </w:r>
      <w:r w:rsidRPr="00615DEC">
        <w:rPr>
          <w:rFonts w:eastAsia="MS Mincho"/>
          <w:sz w:val="20"/>
          <w:szCs w:val="20"/>
        </w:rPr>
        <w:t xml:space="preserve"> industrial facilit</w:t>
      </w:r>
      <w:r w:rsidR="009A4EB3">
        <w:rPr>
          <w:rFonts w:eastAsia="MS Mincho"/>
          <w:sz w:val="20"/>
          <w:szCs w:val="20"/>
        </w:rPr>
        <w:t>ies</w:t>
      </w:r>
      <w:r w:rsidRPr="00615DEC">
        <w:rPr>
          <w:rFonts w:eastAsia="MS Mincho"/>
          <w:sz w:val="20"/>
          <w:szCs w:val="20"/>
        </w:rPr>
        <w:t xml:space="preserve">. Japan is planning to commission in 2021 its </w:t>
      </w:r>
      <w:proofErr w:type="spellStart"/>
      <w:r w:rsidRPr="00615DEC">
        <w:rPr>
          <w:rFonts w:eastAsia="MS Mincho"/>
          <w:sz w:val="20"/>
          <w:szCs w:val="20"/>
        </w:rPr>
        <w:t>Rokkasho</w:t>
      </w:r>
      <w:proofErr w:type="spellEnd"/>
      <w:r w:rsidRPr="00615DEC">
        <w:rPr>
          <w:rFonts w:eastAsia="MS Mincho"/>
          <w:sz w:val="20"/>
          <w:szCs w:val="20"/>
        </w:rPr>
        <w:t>-Mura plant</w:t>
      </w:r>
      <w:r w:rsidR="009A4EB3">
        <w:rPr>
          <w:rFonts w:eastAsia="MS Mincho"/>
          <w:sz w:val="20"/>
          <w:szCs w:val="20"/>
        </w:rPr>
        <w:t>, including implementation of safety measures required following the Fukushima accident</w:t>
      </w:r>
      <w:r w:rsidRPr="00615DEC">
        <w:rPr>
          <w:rStyle w:val="Appelnotedebasdep"/>
          <w:rFonts w:eastAsia="MS Mincho"/>
          <w:sz w:val="20"/>
          <w:szCs w:val="20"/>
        </w:rPr>
        <w:footnoteReference w:id="10"/>
      </w:r>
      <w:r w:rsidRPr="00615DEC">
        <w:rPr>
          <w:rFonts w:eastAsia="MS Mincho"/>
          <w:sz w:val="20"/>
          <w:szCs w:val="20"/>
        </w:rPr>
        <w:t xml:space="preserve">. In the past, reprocessing was also carried out by the USA. </w:t>
      </w:r>
      <w:r w:rsidR="008D1805" w:rsidRPr="008D1805">
        <w:rPr>
          <w:rFonts w:eastAsia="MS Mincho"/>
          <w:sz w:val="20"/>
          <w:szCs w:val="20"/>
        </w:rPr>
        <w:t>India</w:t>
      </w:r>
      <w:r w:rsidR="008D1805">
        <w:rPr>
          <w:rStyle w:val="Appelnotedebasdep"/>
          <w:rFonts w:eastAsia="MS Mincho"/>
          <w:sz w:val="20"/>
          <w:szCs w:val="20"/>
        </w:rPr>
        <w:footnoteReference w:id="11"/>
      </w:r>
      <w:r w:rsidR="008D1805" w:rsidRPr="008D1805">
        <w:rPr>
          <w:rFonts w:eastAsia="MS Mincho"/>
          <w:sz w:val="20"/>
          <w:szCs w:val="20"/>
        </w:rPr>
        <w:t xml:space="preserve"> </w:t>
      </w:r>
      <w:r w:rsidR="008D1805">
        <w:rPr>
          <w:rFonts w:eastAsia="MS Mincho"/>
          <w:sz w:val="20"/>
          <w:szCs w:val="20"/>
        </w:rPr>
        <w:t>has and is developing reprocessing</w:t>
      </w:r>
      <w:r w:rsidR="008D1805" w:rsidRPr="008D1805">
        <w:rPr>
          <w:rFonts w:eastAsia="MS Mincho"/>
          <w:sz w:val="20"/>
          <w:szCs w:val="20"/>
        </w:rPr>
        <w:t xml:space="preserve"> facilities for both thermal and fast reactor spent fuel</w:t>
      </w:r>
      <w:r w:rsidR="008D1805">
        <w:rPr>
          <w:rFonts w:eastAsia="MS Mincho"/>
          <w:sz w:val="20"/>
          <w:szCs w:val="20"/>
        </w:rPr>
        <w:t>. Additionally, it has developed a</w:t>
      </w:r>
      <w:r w:rsidR="008D1805" w:rsidRPr="008D1805">
        <w:rPr>
          <w:rFonts w:eastAsia="MS Mincho"/>
          <w:sz w:val="20"/>
          <w:szCs w:val="20"/>
        </w:rPr>
        <w:t xml:space="preserve"> unique strategy for using its Thorium reserves in its advanced reactors</w:t>
      </w:r>
      <w:r w:rsidR="008D1805">
        <w:rPr>
          <w:rFonts w:eastAsia="MS Mincho"/>
          <w:sz w:val="20"/>
          <w:szCs w:val="20"/>
        </w:rPr>
        <w:t>,</w:t>
      </w:r>
      <w:r w:rsidR="008D1805" w:rsidRPr="008D1805">
        <w:rPr>
          <w:rFonts w:eastAsia="MS Mincho"/>
          <w:sz w:val="20"/>
          <w:szCs w:val="20"/>
        </w:rPr>
        <w:t xml:space="preserve"> after breeding U233 in fast reactors.</w:t>
      </w:r>
      <w:r w:rsidR="008D1805">
        <w:rPr>
          <w:rFonts w:eastAsia="MS Mincho"/>
          <w:sz w:val="20"/>
          <w:szCs w:val="20"/>
        </w:rPr>
        <w:t xml:space="preserve"> </w:t>
      </w:r>
      <w:r w:rsidRPr="00615DEC">
        <w:rPr>
          <w:rFonts w:eastAsia="MS Mincho"/>
          <w:sz w:val="20"/>
          <w:szCs w:val="20"/>
        </w:rPr>
        <w:t>Other countries</w:t>
      </w:r>
      <w:r w:rsidRPr="00615DEC">
        <w:rPr>
          <w:rStyle w:val="Appelnotedebasdep"/>
          <w:rFonts w:eastAsia="MS Mincho"/>
          <w:sz w:val="20"/>
          <w:szCs w:val="20"/>
        </w:rPr>
        <w:footnoteReference w:id="12"/>
      </w:r>
      <w:r w:rsidRPr="00615DEC">
        <w:rPr>
          <w:rFonts w:eastAsia="MS Mincho"/>
          <w:sz w:val="20"/>
          <w:szCs w:val="20"/>
        </w:rPr>
        <w:t xml:space="preserve">  have used services provided by foreign facilities (e.g., UK, France and the Russian Federation</w:t>
      </w:r>
      <w:r w:rsidRPr="00615DEC">
        <w:rPr>
          <w:rStyle w:val="Appelnotedebasdep"/>
          <w:rFonts w:eastAsia="MS Mincho"/>
          <w:sz w:val="20"/>
          <w:szCs w:val="20"/>
        </w:rPr>
        <w:footnoteReference w:id="13"/>
      </w:r>
      <w:r w:rsidRPr="00615DEC">
        <w:rPr>
          <w:rFonts w:eastAsia="MS Mincho"/>
          <w:sz w:val="20"/>
          <w:szCs w:val="20"/>
        </w:rPr>
        <w:t>) for the reprocessing of their fuel.</w:t>
      </w:r>
    </w:p>
    <w:p w14:paraId="06ABAC2B" w14:textId="77777777" w:rsidR="00615DEC" w:rsidRPr="00615DEC" w:rsidRDefault="00615DEC" w:rsidP="00615DEC">
      <w:pPr>
        <w:ind w:firstLine="709"/>
        <w:jc w:val="both"/>
        <w:rPr>
          <w:rFonts w:eastAsia="MS Mincho"/>
          <w:sz w:val="20"/>
          <w:szCs w:val="20"/>
        </w:rPr>
      </w:pPr>
    </w:p>
    <w:p w14:paraId="02F89543" w14:textId="77777777" w:rsidR="00615DEC" w:rsidRPr="00615DEC" w:rsidRDefault="00615DEC" w:rsidP="00615DEC">
      <w:pPr>
        <w:ind w:firstLine="709"/>
        <w:jc w:val="both"/>
        <w:rPr>
          <w:rFonts w:eastAsia="MS Mincho"/>
          <w:sz w:val="20"/>
          <w:szCs w:val="20"/>
        </w:rPr>
      </w:pPr>
      <w:r w:rsidRPr="00615DEC">
        <w:rPr>
          <w:rFonts w:eastAsia="MS Mincho"/>
          <w:sz w:val="20"/>
          <w:szCs w:val="20"/>
        </w:rPr>
        <w:t xml:space="preserve">The commercial capacity for reprocessing of used fuel was 4,800 </w:t>
      </w:r>
      <w:proofErr w:type="spellStart"/>
      <w:r w:rsidRPr="00615DEC">
        <w:rPr>
          <w:rFonts w:eastAsia="MS Mincho"/>
          <w:sz w:val="20"/>
          <w:szCs w:val="20"/>
        </w:rPr>
        <w:t>tHM</w:t>
      </w:r>
      <w:proofErr w:type="spellEnd"/>
      <w:r w:rsidRPr="00615DEC">
        <w:rPr>
          <w:rFonts w:eastAsia="MS Mincho"/>
          <w:sz w:val="20"/>
          <w:szCs w:val="20"/>
        </w:rPr>
        <w:t xml:space="preserve"> in February 2018. This capacity will experience a temporary reduction phase, before enjoying an upswing as new facilities in the Russian Federation, China and Japan come into operation.</w:t>
      </w:r>
    </w:p>
    <w:p w14:paraId="72BB4C95" w14:textId="77777777" w:rsidR="00B27D1C" w:rsidRPr="00615DEC" w:rsidRDefault="00B27D1C" w:rsidP="00B27D1C">
      <w:pPr>
        <w:ind w:left="360"/>
        <w:jc w:val="both"/>
        <w:rPr>
          <w:rFonts w:eastAsia="MS Mincho"/>
          <w:b/>
          <w:bCs/>
          <w:sz w:val="20"/>
          <w:szCs w:val="20"/>
        </w:rPr>
      </w:pPr>
    </w:p>
    <w:p w14:paraId="35623909" w14:textId="3F423BA1" w:rsidR="00B27D1C" w:rsidRPr="00C53C8D" w:rsidRDefault="00C53C8D" w:rsidP="00C53C8D">
      <w:pPr>
        <w:jc w:val="both"/>
        <w:rPr>
          <w:rFonts w:eastAsia="MS Mincho"/>
          <w:sz w:val="20"/>
          <w:szCs w:val="20"/>
        </w:rPr>
      </w:pPr>
      <w:r>
        <w:rPr>
          <w:rFonts w:eastAsia="MS Mincho"/>
          <w:b/>
          <w:bCs/>
          <w:sz w:val="20"/>
          <w:szCs w:val="20"/>
        </w:rPr>
        <w:t xml:space="preserve">4.2 </w:t>
      </w:r>
      <w:r w:rsidR="00B27D1C" w:rsidRPr="00C53C8D">
        <w:rPr>
          <w:rFonts w:eastAsia="MS Mincho"/>
          <w:b/>
          <w:bCs/>
          <w:sz w:val="20"/>
          <w:szCs w:val="20"/>
        </w:rPr>
        <w:t>The “</w:t>
      </w:r>
      <w:r w:rsidR="00615DEC">
        <w:rPr>
          <w:rFonts w:eastAsia="MS Mincho"/>
          <w:b/>
          <w:bCs/>
          <w:sz w:val="20"/>
          <w:szCs w:val="20"/>
        </w:rPr>
        <w:t>O</w:t>
      </w:r>
      <w:r w:rsidR="00B27D1C" w:rsidRPr="00C53C8D">
        <w:rPr>
          <w:rFonts w:eastAsia="MS Mincho"/>
          <w:b/>
          <w:bCs/>
          <w:sz w:val="20"/>
          <w:szCs w:val="20"/>
        </w:rPr>
        <w:t xml:space="preserve">pen </w:t>
      </w:r>
      <w:r w:rsidR="00615DEC">
        <w:rPr>
          <w:rFonts w:eastAsia="MS Mincho"/>
          <w:b/>
          <w:bCs/>
          <w:sz w:val="20"/>
          <w:szCs w:val="20"/>
        </w:rPr>
        <w:t>C</w:t>
      </w:r>
      <w:r w:rsidR="00B27D1C" w:rsidRPr="00C53C8D">
        <w:rPr>
          <w:rFonts w:eastAsia="MS Mincho"/>
          <w:b/>
          <w:bCs/>
          <w:sz w:val="20"/>
          <w:szCs w:val="20"/>
        </w:rPr>
        <w:t xml:space="preserve">ycle”: Direct </w:t>
      </w:r>
      <w:r w:rsidR="00615DEC">
        <w:rPr>
          <w:rFonts w:eastAsia="MS Mincho"/>
          <w:b/>
          <w:bCs/>
          <w:sz w:val="20"/>
          <w:szCs w:val="20"/>
        </w:rPr>
        <w:t>D</w:t>
      </w:r>
      <w:r w:rsidR="00B27D1C" w:rsidRPr="00C53C8D">
        <w:rPr>
          <w:rFonts w:eastAsia="MS Mincho"/>
          <w:b/>
          <w:bCs/>
          <w:sz w:val="20"/>
          <w:szCs w:val="20"/>
        </w:rPr>
        <w:t xml:space="preserve">isposal of </w:t>
      </w:r>
      <w:r w:rsidR="00615DEC">
        <w:rPr>
          <w:rFonts w:eastAsia="MS Mincho"/>
          <w:b/>
          <w:bCs/>
          <w:sz w:val="20"/>
          <w:szCs w:val="20"/>
        </w:rPr>
        <w:t>Used</w:t>
      </w:r>
      <w:r w:rsidR="00B27D1C" w:rsidRPr="00C53C8D">
        <w:rPr>
          <w:rFonts w:eastAsia="MS Mincho"/>
          <w:b/>
          <w:bCs/>
          <w:sz w:val="20"/>
          <w:szCs w:val="20"/>
        </w:rPr>
        <w:t xml:space="preserve"> </w:t>
      </w:r>
      <w:r w:rsidR="00615DEC">
        <w:rPr>
          <w:rFonts w:eastAsia="MS Mincho"/>
          <w:b/>
          <w:bCs/>
          <w:sz w:val="20"/>
          <w:szCs w:val="20"/>
        </w:rPr>
        <w:t>F</w:t>
      </w:r>
      <w:r w:rsidR="00B27D1C" w:rsidRPr="00C53C8D">
        <w:rPr>
          <w:rFonts w:eastAsia="MS Mincho"/>
          <w:b/>
          <w:bCs/>
          <w:sz w:val="20"/>
          <w:szCs w:val="20"/>
        </w:rPr>
        <w:t>uel</w:t>
      </w:r>
    </w:p>
    <w:p w14:paraId="0BDEFA12" w14:textId="77777777" w:rsidR="003C251D" w:rsidRDefault="003C251D" w:rsidP="007A6E8C">
      <w:pPr>
        <w:ind w:firstLine="709"/>
        <w:jc w:val="both"/>
        <w:rPr>
          <w:rFonts w:eastAsia="MS Mincho"/>
          <w:sz w:val="20"/>
          <w:szCs w:val="20"/>
        </w:rPr>
      </w:pPr>
    </w:p>
    <w:p w14:paraId="5382D3C3" w14:textId="1E1D9BE1" w:rsidR="007A6E8C" w:rsidRPr="007A6E8C" w:rsidRDefault="007A6E8C" w:rsidP="007A6E8C">
      <w:pPr>
        <w:ind w:firstLine="709"/>
        <w:jc w:val="both"/>
        <w:rPr>
          <w:rFonts w:eastAsia="MS Mincho"/>
          <w:sz w:val="20"/>
          <w:szCs w:val="20"/>
        </w:rPr>
      </w:pPr>
      <w:r w:rsidRPr="007A6E8C">
        <w:rPr>
          <w:rFonts w:eastAsia="MS Mincho"/>
          <w:sz w:val="20"/>
          <w:szCs w:val="20"/>
        </w:rPr>
        <w:t>The “open cycle” option</w:t>
      </w:r>
      <w:r w:rsidRPr="007A6E8C">
        <w:rPr>
          <w:rStyle w:val="Appelnotedebasdep"/>
          <w:rFonts w:eastAsia="MS Mincho"/>
          <w:sz w:val="20"/>
          <w:szCs w:val="20"/>
        </w:rPr>
        <w:footnoteReference w:id="14"/>
      </w:r>
      <w:r w:rsidRPr="007A6E8C">
        <w:rPr>
          <w:rFonts w:eastAsia="MS Mincho"/>
          <w:sz w:val="20"/>
          <w:szCs w:val="20"/>
        </w:rPr>
        <w:t xml:space="preserve"> views the used fuel as waste</w:t>
      </w:r>
      <w:r w:rsidR="009A4EB3">
        <w:rPr>
          <w:rFonts w:eastAsia="MS Mincho"/>
          <w:sz w:val="20"/>
          <w:szCs w:val="20"/>
        </w:rPr>
        <w:t>. Used fuel may initially be</w:t>
      </w:r>
      <w:r w:rsidRPr="007A6E8C">
        <w:rPr>
          <w:rFonts w:eastAsia="MS Mincho"/>
          <w:sz w:val="20"/>
          <w:szCs w:val="20"/>
        </w:rPr>
        <w:t xml:space="preserve"> stored for several decades to allow the decay heat to be reduced</w:t>
      </w:r>
      <w:r w:rsidR="009A4EB3">
        <w:rPr>
          <w:rFonts w:eastAsia="MS Mincho"/>
          <w:sz w:val="20"/>
          <w:szCs w:val="20"/>
        </w:rPr>
        <w:t xml:space="preserve">, though this timeframe is likely to increase depending on the progression of </w:t>
      </w:r>
      <w:r w:rsidR="00351C4C">
        <w:rPr>
          <w:rFonts w:eastAsia="MS Mincho"/>
          <w:sz w:val="20"/>
          <w:szCs w:val="20"/>
        </w:rPr>
        <w:t>a DGR in the State</w:t>
      </w:r>
      <w:r w:rsidRPr="007A6E8C">
        <w:rPr>
          <w:rFonts w:eastAsia="MS Mincho"/>
          <w:sz w:val="20"/>
          <w:szCs w:val="20"/>
        </w:rPr>
        <w:t>. Before being sent to the DGR for final disposal, the used fuel is to be encapsulated in a corrosion resistant and mechanically stable container, which will provide isolation for a suitable duration (often thousands of years or more). The requirements for the container life and integrity depends on the DGR concept and the chosen geological medium. Depending on the adopted disposal concept, an extra container or overpack for the used fuel container may be required.</w:t>
      </w:r>
    </w:p>
    <w:p w14:paraId="5D02C943" w14:textId="77777777" w:rsidR="007A6E8C" w:rsidRPr="007A6E8C" w:rsidRDefault="007A6E8C" w:rsidP="007A6E8C">
      <w:pPr>
        <w:ind w:firstLine="709"/>
        <w:jc w:val="both"/>
        <w:rPr>
          <w:rFonts w:eastAsia="MS Mincho"/>
          <w:sz w:val="20"/>
          <w:szCs w:val="20"/>
        </w:rPr>
      </w:pPr>
    </w:p>
    <w:p w14:paraId="4EEFFEFB" w14:textId="77777777" w:rsidR="007A6E8C" w:rsidRPr="007A6E8C" w:rsidRDefault="007A6E8C" w:rsidP="007A6E8C">
      <w:pPr>
        <w:ind w:firstLine="709"/>
        <w:jc w:val="both"/>
        <w:rPr>
          <w:rFonts w:eastAsia="MS Mincho"/>
          <w:sz w:val="20"/>
          <w:szCs w:val="20"/>
        </w:rPr>
      </w:pPr>
      <w:r w:rsidRPr="007A6E8C">
        <w:rPr>
          <w:rFonts w:eastAsia="MS Mincho"/>
          <w:sz w:val="20"/>
          <w:szCs w:val="20"/>
        </w:rPr>
        <w:t xml:space="preserve">There is presently a broad consensus among technical experts that the preferred method of ensuring long-term safety for HLW and used fuel is isolation in a DGR. Geological disposal facilities for long-lived waste, if properly sited and constructed, will provide passive multi-barrier isolation of radioactive materials. Investigations are ongoing for different types of geological media and associated engineered barriers in many countries. </w:t>
      </w:r>
      <w:r w:rsidRPr="007A6E8C">
        <w:rPr>
          <w:rFonts w:eastAsia="MS Mincho"/>
          <w:sz w:val="20"/>
          <w:szCs w:val="20"/>
        </w:rPr>
        <w:lastRenderedPageBreak/>
        <w:t xml:space="preserve">Emplacement in carefully engineered structures buried deep within suitable geological formations provides for the long-term stability of used fuel management. At depths of several hundreds of </w:t>
      </w:r>
      <w:proofErr w:type="spellStart"/>
      <w:r w:rsidRPr="007A6E8C">
        <w:rPr>
          <w:rFonts w:eastAsia="MS Mincho"/>
          <w:sz w:val="20"/>
          <w:szCs w:val="20"/>
        </w:rPr>
        <w:t>metres</w:t>
      </w:r>
      <w:proofErr w:type="spellEnd"/>
      <w:r w:rsidRPr="007A6E8C">
        <w:rPr>
          <w:rFonts w:eastAsia="MS Mincho"/>
          <w:sz w:val="20"/>
          <w:szCs w:val="20"/>
        </w:rPr>
        <w:t xml:space="preserve">, in a tectonically stable location, processes that could disrupt the disposal facility are so slow that the deep geological layers and groundwater system remain practically unchanged over hundreds of thousands or even millions of years. </w:t>
      </w:r>
    </w:p>
    <w:p w14:paraId="4A631B88" w14:textId="77777777" w:rsidR="00B27D1C" w:rsidRPr="007A6E8C" w:rsidRDefault="00B27D1C" w:rsidP="00905C88">
      <w:pPr>
        <w:ind w:left="360"/>
        <w:jc w:val="both"/>
        <w:rPr>
          <w:rFonts w:eastAsia="MS Mincho"/>
          <w:sz w:val="20"/>
          <w:szCs w:val="20"/>
        </w:rPr>
      </w:pPr>
    </w:p>
    <w:p w14:paraId="34A2707F" w14:textId="451B1F57" w:rsidR="00C85D62" w:rsidRPr="006056B8" w:rsidRDefault="00C85D62" w:rsidP="00B27D1C">
      <w:pPr>
        <w:pStyle w:val="Paragraphedeliste"/>
        <w:widowControl w:val="0"/>
        <w:numPr>
          <w:ilvl w:val="1"/>
          <w:numId w:val="17"/>
        </w:numPr>
        <w:tabs>
          <w:tab w:val="left" w:pos="220"/>
          <w:tab w:val="left" w:pos="720"/>
        </w:tabs>
        <w:autoSpaceDE w:val="0"/>
        <w:autoSpaceDN w:val="0"/>
        <w:adjustRightInd w:val="0"/>
        <w:spacing w:after="266"/>
        <w:rPr>
          <w:rFonts w:ascii="Times New Roman" w:hAnsi="Times New Roman" w:cs="Times New Roman"/>
          <w:b/>
          <w:color w:val="000000"/>
          <w:sz w:val="20"/>
          <w:szCs w:val="20"/>
          <w:lang w:eastAsia="en-GB"/>
        </w:rPr>
      </w:pPr>
      <w:r w:rsidRPr="006056B8">
        <w:rPr>
          <w:rFonts w:ascii="Times New Roman" w:hAnsi="Times New Roman" w:cs="Times New Roman"/>
          <w:b/>
          <w:color w:val="000000"/>
          <w:sz w:val="20"/>
          <w:szCs w:val="20"/>
          <w:lang w:eastAsia="en-GB"/>
        </w:rPr>
        <w:t xml:space="preserve">Drivers for </w:t>
      </w:r>
      <w:r w:rsidR="007A6E8C">
        <w:rPr>
          <w:rFonts w:ascii="Times New Roman" w:hAnsi="Times New Roman" w:cs="Times New Roman"/>
          <w:b/>
          <w:color w:val="000000"/>
          <w:sz w:val="20"/>
          <w:szCs w:val="20"/>
          <w:lang w:eastAsia="en-GB"/>
        </w:rPr>
        <w:t>Used</w:t>
      </w:r>
      <w:r w:rsidRPr="006056B8">
        <w:rPr>
          <w:rFonts w:ascii="Times New Roman" w:hAnsi="Times New Roman" w:cs="Times New Roman"/>
          <w:b/>
          <w:color w:val="000000"/>
          <w:sz w:val="20"/>
          <w:szCs w:val="20"/>
          <w:lang w:eastAsia="en-GB"/>
        </w:rPr>
        <w:t xml:space="preserve"> </w:t>
      </w:r>
      <w:r w:rsidR="007A6E8C">
        <w:rPr>
          <w:rFonts w:ascii="Times New Roman" w:hAnsi="Times New Roman" w:cs="Times New Roman"/>
          <w:b/>
          <w:color w:val="000000"/>
          <w:sz w:val="20"/>
          <w:szCs w:val="20"/>
          <w:lang w:eastAsia="en-GB"/>
        </w:rPr>
        <w:t>F</w:t>
      </w:r>
      <w:r w:rsidRPr="006056B8">
        <w:rPr>
          <w:rFonts w:ascii="Times New Roman" w:hAnsi="Times New Roman" w:cs="Times New Roman"/>
          <w:b/>
          <w:color w:val="000000"/>
          <w:sz w:val="20"/>
          <w:szCs w:val="20"/>
          <w:lang w:eastAsia="en-GB"/>
        </w:rPr>
        <w:t xml:space="preserve">uel </w:t>
      </w:r>
      <w:r w:rsidR="007A6E8C">
        <w:rPr>
          <w:rFonts w:ascii="Times New Roman" w:hAnsi="Times New Roman" w:cs="Times New Roman"/>
          <w:b/>
          <w:color w:val="000000"/>
          <w:sz w:val="20"/>
          <w:szCs w:val="20"/>
          <w:lang w:eastAsia="en-GB"/>
        </w:rPr>
        <w:t>M</w:t>
      </w:r>
      <w:r w:rsidRPr="006056B8">
        <w:rPr>
          <w:rFonts w:ascii="Times New Roman" w:hAnsi="Times New Roman" w:cs="Times New Roman"/>
          <w:b/>
          <w:color w:val="000000"/>
          <w:sz w:val="20"/>
          <w:szCs w:val="20"/>
          <w:lang w:eastAsia="en-GB"/>
        </w:rPr>
        <w:t xml:space="preserve">anagement </w:t>
      </w:r>
      <w:r w:rsidR="007A6E8C">
        <w:rPr>
          <w:rFonts w:ascii="Times New Roman" w:hAnsi="Times New Roman" w:cs="Times New Roman"/>
          <w:b/>
          <w:color w:val="000000"/>
          <w:sz w:val="20"/>
          <w:szCs w:val="20"/>
          <w:lang w:eastAsia="en-GB"/>
        </w:rPr>
        <w:t>S</w:t>
      </w:r>
      <w:r w:rsidRPr="006056B8">
        <w:rPr>
          <w:rFonts w:ascii="Times New Roman" w:hAnsi="Times New Roman" w:cs="Times New Roman"/>
          <w:b/>
          <w:color w:val="000000"/>
          <w:sz w:val="20"/>
          <w:szCs w:val="20"/>
          <w:lang w:eastAsia="en-GB"/>
        </w:rPr>
        <w:t>trategies</w:t>
      </w:r>
    </w:p>
    <w:p w14:paraId="666A3EB6" w14:textId="68F9BB19" w:rsidR="007A6E8C" w:rsidRPr="007A6E8C" w:rsidRDefault="007A6E8C" w:rsidP="007A6E8C">
      <w:pPr>
        <w:widowControl w:val="0"/>
        <w:autoSpaceDE w:val="0"/>
        <w:autoSpaceDN w:val="0"/>
        <w:adjustRightInd w:val="0"/>
        <w:ind w:firstLine="709"/>
        <w:jc w:val="both"/>
        <w:rPr>
          <w:color w:val="000000"/>
          <w:sz w:val="20"/>
          <w:szCs w:val="20"/>
        </w:rPr>
      </w:pPr>
      <w:r w:rsidRPr="007A6E8C">
        <w:rPr>
          <w:color w:val="000000"/>
          <w:sz w:val="20"/>
          <w:szCs w:val="20"/>
        </w:rPr>
        <w:t xml:space="preserve">Countries choosing the “open cycle” generally have no immediate interest or purpose in using the uranium and plutonium recovered from the reprocessing of the used fuel. From a financing point of view, the “open cycle” allows the nuclear operators to finance interim storage costs early on, which are relatively low and supports at a later stage the future costs of the encapsulation facility. Moreover, this allows flexibility by the nuclear operator to decide in the future whether to continue with an “open cycle” or to switch to the “closed cycle” route. This will </w:t>
      </w:r>
      <w:r w:rsidR="00BD25D6" w:rsidRPr="007A6E8C">
        <w:rPr>
          <w:color w:val="000000"/>
          <w:sz w:val="20"/>
          <w:szCs w:val="20"/>
        </w:rPr>
        <w:t>require both</w:t>
      </w:r>
      <w:r w:rsidRPr="007A6E8C">
        <w:rPr>
          <w:color w:val="000000"/>
          <w:sz w:val="20"/>
          <w:szCs w:val="20"/>
        </w:rPr>
        <w:t xml:space="preserve"> a</w:t>
      </w:r>
      <w:r w:rsidR="00351C4C">
        <w:rPr>
          <w:color w:val="000000"/>
          <w:sz w:val="20"/>
          <w:szCs w:val="20"/>
        </w:rPr>
        <w:t>n</w:t>
      </w:r>
      <w:r w:rsidRPr="007A6E8C">
        <w:rPr>
          <w:color w:val="000000"/>
          <w:sz w:val="20"/>
          <w:szCs w:val="20"/>
        </w:rPr>
        <w:t xml:space="preserve"> initial interim storage facility and later construction of an encapsulating facility before the used fuel is eventual</w:t>
      </w:r>
      <w:r w:rsidR="00351C4C">
        <w:rPr>
          <w:color w:val="000000"/>
          <w:sz w:val="20"/>
          <w:szCs w:val="20"/>
        </w:rPr>
        <w:t>ly</w:t>
      </w:r>
      <w:r w:rsidRPr="007A6E8C">
        <w:rPr>
          <w:color w:val="000000"/>
          <w:sz w:val="20"/>
          <w:szCs w:val="20"/>
        </w:rPr>
        <w:t xml:space="preserve"> disposed in a DGR. This latter stage could occur many decades after the used fuel has been discharged from the reactor.</w:t>
      </w:r>
    </w:p>
    <w:p w14:paraId="14F4CC9F" w14:textId="77777777" w:rsidR="007A6E8C" w:rsidRPr="007A6E8C" w:rsidRDefault="007A6E8C" w:rsidP="007A6E8C">
      <w:pPr>
        <w:widowControl w:val="0"/>
        <w:autoSpaceDE w:val="0"/>
        <w:autoSpaceDN w:val="0"/>
        <w:adjustRightInd w:val="0"/>
        <w:rPr>
          <w:rFonts w:ascii="Arial" w:hAnsi="Arial" w:cs="Arial"/>
          <w:color w:val="000000"/>
          <w:sz w:val="20"/>
          <w:szCs w:val="20"/>
        </w:rPr>
      </w:pPr>
    </w:p>
    <w:p w14:paraId="0E5AB6F2" w14:textId="77777777" w:rsidR="007A6E8C" w:rsidRPr="007A6E8C" w:rsidRDefault="007A6E8C" w:rsidP="007A6E8C">
      <w:pPr>
        <w:widowControl w:val="0"/>
        <w:autoSpaceDE w:val="0"/>
        <w:autoSpaceDN w:val="0"/>
        <w:adjustRightInd w:val="0"/>
        <w:ind w:firstLine="709"/>
        <w:jc w:val="both"/>
        <w:rPr>
          <w:color w:val="000000"/>
          <w:sz w:val="20"/>
          <w:szCs w:val="20"/>
        </w:rPr>
      </w:pPr>
      <w:r w:rsidRPr="007A6E8C">
        <w:rPr>
          <w:color w:val="000000"/>
          <w:sz w:val="20"/>
          <w:szCs w:val="20"/>
        </w:rPr>
        <w:t xml:space="preserve">Other countries make the choice of the “closed cycle”. Generally speaking, the recycling activities are considered to be a sustainable approach and are usually promoted at the national level. Recycling in the nuclear industry is in line with this principle by taking advantage of the valuable material contained in the used fuel in view of its reuse in recycled fuel. Consequently, reprocessing allows further reduction of the radiotoxicity and volume of the HLW to be disposed in the DGR, together with the conditioning in the best available matrix. Moreover, it allows for standardization of HLW packages and provides a savings up to 15 to 25% of natural uranium resources. More decisively for these countries, it keeps the recovered uranium and plutonium available not only for the Gen III reactors, but also for Gen IV reactor deployment. </w:t>
      </w:r>
    </w:p>
    <w:p w14:paraId="49292AD2" w14:textId="77777777" w:rsidR="007A6E8C" w:rsidRPr="007A6E8C" w:rsidRDefault="007A6E8C" w:rsidP="007A6E8C">
      <w:pPr>
        <w:widowControl w:val="0"/>
        <w:autoSpaceDE w:val="0"/>
        <w:autoSpaceDN w:val="0"/>
        <w:adjustRightInd w:val="0"/>
        <w:ind w:firstLine="709"/>
        <w:jc w:val="both"/>
        <w:rPr>
          <w:color w:val="000000"/>
          <w:sz w:val="20"/>
          <w:szCs w:val="20"/>
        </w:rPr>
      </w:pPr>
    </w:p>
    <w:p w14:paraId="4B5C8A03" w14:textId="7E2087FD" w:rsidR="007A6E8C" w:rsidRPr="007A6E8C" w:rsidRDefault="007A6E8C" w:rsidP="007A6E8C">
      <w:pPr>
        <w:widowControl w:val="0"/>
        <w:autoSpaceDE w:val="0"/>
        <w:autoSpaceDN w:val="0"/>
        <w:adjustRightInd w:val="0"/>
        <w:ind w:firstLine="709"/>
        <w:jc w:val="both"/>
        <w:rPr>
          <w:color w:val="000000"/>
          <w:sz w:val="20"/>
          <w:szCs w:val="20"/>
        </w:rPr>
      </w:pPr>
      <w:r w:rsidRPr="007A6E8C">
        <w:rPr>
          <w:color w:val="000000"/>
          <w:sz w:val="20"/>
          <w:szCs w:val="20"/>
          <w:lang w:eastAsia="en-GB"/>
        </w:rPr>
        <w:t>The strategy at the national or corporate level plays indeed a dominant role. Some countries may decide to prepare the ground for the future development of nuclear energy through the deployment of the Gen IV nuclear power plants, increase/secure their independence towards the uranium supply, or ensure other flexibilities by keeping all options open. Some countries with a small nuclear power plant fleet may want to define an overall implementation plan while maintaining the option of a possible future shared solution for their used fuel management. These drivers forming the Sustainability Model are presented in Table 2</w:t>
      </w:r>
      <w:r w:rsidRPr="007A6E8C">
        <w:rPr>
          <w:color w:val="000000"/>
          <w:sz w:val="20"/>
          <w:szCs w:val="20"/>
        </w:rPr>
        <w:t>. Looking at the driver, Economics, the most recent study comparing the competitiveness of “open” and “closed” cycle concludes that these two approaches are economically comparable when fully integrating the total fuel cycle costs [</w:t>
      </w:r>
      <w:r w:rsidR="00611290">
        <w:rPr>
          <w:color w:val="000000"/>
          <w:sz w:val="20"/>
          <w:szCs w:val="20"/>
        </w:rPr>
        <w:t>3</w:t>
      </w:r>
      <w:r w:rsidRPr="007A6E8C">
        <w:rPr>
          <w:color w:val="000000"/>
          <w:sz w:val="20"/>
          <w:szCs w:val="20"/>
        </w:rPr>
        <w:t xml:space="preserve">]. </w:t>
      </w:r>
    </w:p>
    <w:p w14:paraId="3827791F" w14:textId="77777777" w:rsidR="007A6E8C" w:rsidRPr="007A6E8C" w:rsidRDefault="007A6E8C" w:rsidP="007A6E8C">
      <w:pPr>
        <w:widowControl w:val="0"/>
        <w:autoSpaceDE w:val="0"/>
        <w:autoSpaceDN w:val="0"/>
        <w:adjustRightInd w:val="0"/>
        <w:jc w:val="both"/>
        <w:rPr>
          <w:rFonts w:ascii="Arial" w:hAnsi="Arial" w:cs="Arial"/>
          <w:color w:val="000000"/>
          <w:sz w:val="20"/>
          <w:szCs w:val="20"/>
        </w:rPr>
      </w:pPr>
    </w:p>
    <w:p w14:paraId="5D5E608B" w14:textId="410DE7B3" w:rsidR="007A6E8C" w:rsidRPr="007A6E8C" w:rsidRDefault="00BF5287" w:rsidP="007A6E8C">
      <w:pPr>
        <w:widowControl w:val="0"/>
        <w:autoSpaceDE w:val="0"/>
        <w:autoSpaceDN w:val="0"/>
        <w:adjustRightInd w:val="0"/>
        <w:jc w:val="center"/>
        <w:rPr>
          <w:b/>
          <w:color w:val="000000"/>
          <w:sz w:val="20"/>
          <w:szCs w:val="20"/>
        </w:rPr>
      </w:pPr>
      <w:r>
        <w:rPr>
          <w:b/>
          <w:color w:val="000000"/>
          <w:sz w:val="20"/>
          <w:szCs w:val="20"/>
        </w:rPr>
        <w:t>T</w:t>
      </w:r>
      <w:r w:rsidR="007A6E8C" w:rsidRPr="007A6E8C">
        <w:rPr>
          <w:b/>
          <w:color w:val="000000"/>
          <w:sz w:val="20"/>
          <w:szCs w:val="20"/>
        </w:rPr>
        <w:t>able 2: The Drivers of Sustainable Used Fuel Management</w:t>
      </w:r>
    </w:p>
    <w:tbl>
      <w:tblPr>
        <w:tblStyle w:val="Grilledutableau"/>
        <w:tblW w:w="0" w:type="auto"/>
        <w:tblLook w:val="04A0" w:firstRow="1" w:lastRow="0" w:firstColumn="1" w:lastColumn="0" w:noHBand="0" w:noVBand="1"/>
      </w:tblPr>
      <w:tblGrid>
        <w:gridCol w:w="2485"/>
        <w:gridCol w:w="6571"/>
      </w:tblGrid>
      <w:tr w:rsidR="007A6E8C" w:rsidRPr="007A6E8C" w14:paraId="005A0B31" w14:textId="77777777" w:rsidTr="007A6E8C">
        <w:trPr>
          <w:trHeight w:val="242"/>
          <w:tblHeader/>
        </w:trPr>
        <w:tc>
          <w:tcPr>
            <w:tcW w:w="2485" w:type="dxa"/>
            <w:shd w:val="clear" w:color="auto" w:fill="BFBFBF" w:themeFill="background1" w:themeFillShade="BF"/>
            <w:vAlign w:val="center"/>
          </w:tcPr>
          <w:p w14:paraId="08AA9CE0" w14:textId="77777777" w:rsidR="007A6E8C" w:rsidRPr="007A6E8C" w:rsidRDefault="007A6E8C" w:rsidP="000B3A9A">
            <w:pPr>
              <w:widowControl w:val="0"/>
              <w:autoSpaceDE w:val="0"/>
              <w:autoSpaceDN w:val="0"/>
              <w:adjustRightInd w:val="0"/>
              <w:jc w:val="center"/>
              <w:rPr>
                <w:b/>
                <w:color w:val="000000"/>
                <w:sz w:val="20"/>
                <w:szCs w:val="20"/>
              </w:rPr>
            </w:pPr>
            <w:r w:rsidRPr="007A6E8C">
              <w:rPr>
                <w:b/>
                <w:color w:val="000000"/>
                <w:sz w:val="20"/>
                <w:szCs w:val="20"/>
              </w:rPr>
              <w:t>Driver</w:t>
            </w:r>
          </w:p>
        </w:tc>
        <w:tc>
          <w:tcPr>
            <w:tcW w:w="6571" w:type="dxa"/>
            <w:shd w:val="clear" w:color="auto" w:fill="BFBFBF" w:themeFill="background1" w:themeFillShade="BF"/>
            <w:vAlign w:val="center"/>
          </w:tcPr>
          <w:p w14:paraId="1450F1D4" w14:textId="77777777" w:rsidR="007A6E8C" w:rsidRPr="007A6E8C" w:rsidRDefault="007A6E8C" w:rsidP="000B3A9A">
            <w:pPr>
              <w:widowControl w:val="0"/>
              <w:autoSpaceDE w:val="0"/>
              <w:autoSpaceDN w:val="0"/>
              <w:adjustRightInd w:val="0"/>
              <w:jc w:val="center"/>
              <w:rPr>
                <w:b/>
                <w:color w:val="000000"/>
                <w:sz w:val="20"/>
                <w:szCs w:val="20"/>
              </w:rPr>
            </w:pPr>
            <w:r w:rsidRPr="007A6E8C">
              <w:rPr>
                <w:b/>
                <w:color w:val="000000"/>
                <w:sz w:val="20"/>
                <w:szCs w:val="20"/>
              </w:rPr>
              <w:t>Description</w:t>
            </w:r>
          </w:p>
        </w:tc>
      </w:tr>
      <w:tr w:rsidR="007A6E8C" w:rsidRPr="007A6E8C" w14:paraId="15BBA4D7" w14:textId="77777777" w:rsidTr="000B3A9A">
        <w:tc>
          <w:tcPr>
            <w:tcW w:w="2485" w:type="dxa"/>
            <w:shd w:val="clear" w:color="auto" w:fill="A8D08D" w:themeFill="accent6" w:themeFillTint="99"/>
            <w:vAlign w:val="center"/>
          </w:tcPr>
          <w:p w14:paraId="196BFA9F" w14:textId="77777777" w:rsidR="007A6E8C" w:rsidRPr="007A6E8C" w:rsidRDefault="007A6E8C" w:rsidP="000B3A9A">
            <w:pPr>
              <w:widowControl w:val="0"/>
              <w:autoSpaceDE w:val="0"/>
              <w:autoSpaceDN w:val="0"/>
              <w:adjustRightInd w:val="0"/>
              <w:jc w:val="center"/>
              <w:rPr>
                <w:b/>
                <w:color w:val="000000"/>
                <w:sz w:val="20"/>
                <w:szCs w:val="20"/>
              </w:rPr>
            </w:pPr>
            <w:r w:rsidRPr="007A6E8C">
              <w:rPr>
                <w:b/>
                <w:color w:val="000000"/>
                <w:sz w:val="20"/>
                <w:szCs w:val="20"/>
              </w:rPr>
              <w:t>Economics</w:t>
            </w:r>
          </w:p>
        </w:tc>
        <w:tc>
          <w:tcPr>
            <w:tcW w:w="6571" w:type="dxa"/>
            <w:shd w:val="clear" w:color="auto" w:fill="A8D08D" w:themeFill="accent6" w:themeFillTint="99"/>
          </w:tcPr>
          <w:p w14:paraId="5E7A527E" w14:textId="208965B3" w:rsidR="007A6E8C" w:rsidRPr="007A6E8C" w:rsidRDefault="007A6E8C" w:rsidP="000B3A9A">
            <w:pPr>
              <w:widowControl w:val="0"/>
              <w:autoSpaceDE w:val="0"/>
              <w:autoSpaceDN w:val="0"/>
              <w:adjustRightInd w:val="0"/>
              <w:jc w:val="both"/>
              <w:rPr>
                <w:color w:val="000000"/>
                <w:sz w:val="20"/>
                <w:szCs w:val="20"/>
              </w:rPr>
            </w:pPr>
            <w:r w:rsidRPr="007A6E8C">
              <w:rPr>
                <w:color w:val="000000"/>
                <w:sz w:val="20"/>
                <w:szCs w:val="20"/>
              </w:rPr>
              <w:t xml:space="preserve">Concerns the economic viability for </w:t>
            </w:r>
            <w:r w:rsidR="00351C4C">
              <w:rPr>
                <w:color w:val="000000"/>
                <w:sz w:val="20"/>
                <w:szCs w:val="20"/>
              </w:rPr>
              <w:t xml:space="preserve">the nuclear fuel cycle, including the </w:t>
            </w:r>
            <w:r w:rsidRPr="007A6E8C">
              <w:rPr>
                <w:color w:val="000000"/>
                <w:sz w:val="20"/>
                <w:szCs w:val="20"/>
              </w:rPr>
              <w:t>funding and building a DGR. This compartment plays a central role in policy decisions. For example, the “closed cycle” allows for the reuse of valuable material which generates fresh uranium savings, while the “open cycle” reduces the cash flow curve for the nuclear operator postponing at a later stage the financing for an encapsulation facility. It also provides the nuclear operators the flexibility to decide the used fuel management option that could be chosen. Moreover, socio-economic development opportunities may be considered of importance through the industrial infrastructure that one option or the other may generate. The medical use of radioisotopes recovered during reprocessing operations may also impact the overall economy considered.</w:t>
            </w:r>
          </w:p>
        </w:tc>
      </w:tr>
      <w:tr w:rsidR="007A6E8C" w:rsidRPr="007A6E8C" w14:paraId="19ADAAA5" w14:textId="77777777" w:rsidTr="000B3A9A">
        <w:tc>
          <w:tcPr>
            <w:tcW w:w="2485" w:type="dxa"/>
            <w:shd w:val="clear" w:color="auto" w:fill="FFD966" w:themeFill="accent4" w:themeFillTint="99"/>
            <w:vAlign w:val="center"/>
          </w:tcPr>
          <w:p w14:paraId="5AAF9BD4" w14:textId="77777777" w:rsidR="007A6E8C" w:rsidRPr="007A6E8C" w:rsidRDefault="007A6E8C" w:rsidP="000B3A9A">
            <w:pPr>
              <w:widowControl w:val="0"/>
              <w:autoSpaceDE w:val="0"/>
              <w:autoSpaceDN w:val="0"/>
              <w:adjustRightInd w:val="0"/>
              <w:jc w:val="center"/>
              <w:rPr>
                <w:b/>
                <w:color w:val="000000"/>
                <w:sz w:val="20"/>
                <w:szCs w:val="20"/>
              </w:rPr>
            </w:pPr>
            <w:r w:rsidRPr="007A6E8C">
              <w:rPr>
                <w:b/>
                <w:color w:val="000000"/>
                <w:sz w:val="20"/>
                <w:szCs w:val="20"/>
              </w:rPr>
              <w:t>Environment</w:t>
            </w:r>
          </w:p>
        </w:tc>
        <w:tc>
          <w:tcPr>
            <w:tcW w:w="6571" w:type="dxa"/>
            <w:shd w:val="clear" w:color="auto" w:fill="FFD966" w:themeFill="accent4" w:themeFillTint="99"/>
          </w:tcPr>
          <w:p w14:paraId="1DF9F80C" w14:textId="177C98E0" w:rsidR="007A6E8C" w:rsidRPr="007A6E8C" w:rsidRDefault="007A6E8C" w:rsidP="000B3A9A">
            <w:pPr>
              <w:widowControl w:val="0"/>
              <w:autoSpaceDE w:val="0"/>
              <w:autoSpaceDN w:val="0"/>
              <w:adjustRightInd w:val="0"/>
              <w:jc w:val="both"/>
              <w:rPr>
                <w:color w:val="000000"/>
                <w:sz w:val="20"/>
                <w:szCs w:val="20"/>
              </w:rPr>
            </w:pPr>
            <w:r w:rsidRPr="007A6E8C">
              <w:rPr>
                <w:color w:val="000000"/>
                <w:sz w:val="20"/>
                <w:szCs w:val="20"/>
              </w:rPr>
              <w:t xml:space="preserve">The </w:t>
            </w:r>
            <w:r w:rsidR="008D1805">
              <w:rPr>
                <w:color w:val="000000"/>
                <w:sz w:val="20"/>
                <w:szCs w:val="20"/>
              </w:rPr>
              <w:t>driver</w:t>
            </w:r>
            <w:r w:rsidR="008D1805" w:rsidRPr="007A6E8C">
              <w:rPr>
                <w:color w:val="000000"/>
                <w:sz w:val="20"/>
                <w:szCs w:val="20"/>
              </w:rPr>
              <w:t xml:space="preserve"> </w:t>
            </w:r>
            <w:r w:rsidRPr="007A6E8C">
              <w:rPr>
                <w:color w:val="000000"/>
                <w:sz w:val="20"/>
                <w:szCs w:val="20"/>
              </w:rPr>
              <w:t>ensures that environmental factors are at the forefront of decision-making processes</w:t>
            </w:r>
            <w:r w:rsidR="00351C4C">
              <w:rPr>
                <w:color w:val="000000"/>
                <w:sz w:val="20"/>
                <w:szCs w:val="20"/>
              </w:rPr>
              <w:t xml:space="preserve"> throughout the nuclear fuel cycle</w:t>
            </w:r>
            <w:r w:rsidRPr="007A6E8C">
              <w:rPr>
                <w:color w:val="000000"/>
                <w:sz w:val="20"/>
                <w:szCs w:val="20"/>
              </w:rPr>
              <w:t xml:space="preserve"> in minimizing as far as possible any negative effects on all stakeholders, and that these are thoroughly investigated and taken into consideration.</w:t>
            </w:r>
            <w:r w:rsidR="0097702B">
              <w:rPr>
                <w:color w:val="000000"/>
                <w:sz w:val="20"/>
                <w:szCs w:val="20"/>
              </w:rPr>
              <w:t xml:space="preserve"> For waste disposal, </w:t>
            </w:r>
            <w:r w:rsidRPr="007A6E8C">
              <w:rPr>
                <w:color w:val="000000"/>
                <w:sz w:val="20"/>
                <w:szCs w:val="20"/>
              </w:rPr>
              <w:t xml:space="preserve"> the packages to be disposed of in the DGR are encapsulated used fuel in the “open cycle” route. The encapsulated used fuel package still contains major actinides (uranium and plutonium). In the case of the “closed cycle” route, these actinides are separated from the fission products reducing thus the radiotoxicity of the HLW to be disposed of in the DGR. In addition, the lower overall volume of the HLW allows for a smaller footprint of a factor 3 to 4 of the DGR.</w:t>
            </w:r>
          </w:p>
        </w:tc>
      </w:tr>
      <w:tr w:rsidR="007A6E8C" w:rsidRPr="007A6E8C" w14:paraId="5E6505AC" w14:textId="77777777" w:rsidTr="000B3A9A">
        <w:tc>
          <w:tcPr>
            <w:tcW w:w="2485" w:type="dxa"/>
            <w:shd w:val="clear" w:color="auto" w:fill="8EAADB" w:themeFill="accent1" w:themeFillTint="99"/>
            <w:vAlign w:val="center"/>
          </w:tcPr>
          <w:p w14:paraId="36783DF4" w14:textId="77777777" w:rsidR="007A6E8C" w:rsidRPr="007A6E8C" w:rsidRDefault="007A6E8C" w:rsidP="000B3A9A">
            <w:pPr>
              <w:widowControl w:val="0"/>
              <w:autoSpaceDE w:val="0"/>
              <w:autoSpaceDN w:val="0"/>
              <w:adjustRightInd w:val="0"/>
              <w:jc w:val="center"/>
              <w:rPr>
                <w:b/>
                <w:color w:val="000000"/>
                <w:sz w:val="20"/>
                <w:szCs w:val="20"/>
              </w:rPr>
            </w:pPr>
            <w:r w:rsidRPr="007A6E8C">
              <w:rPr>
                <w:b/>
                <w:color w:val="000000"/>
                <w:sz w:val="20"/>
                <w:szCs w:val="20"/>
              </w:rPr>
              <w:t>Society/Politics</w:t>
            </w:r>
          </w:p>
        </w:tc>
        <w:tc>
          <w:tcPr>
            <w:tcW w:w="6571" w:type="dxa"/>
            <w:shd w:val="clear" w:color="auto" w:fill="8EAADB" w:themeFill="accent1" w:themeFillTint="99"/>
          </w:tcPr>
          <w:p w14:paraId="3DED9474" w14:textId="41E62C6E" w:rsidR="007A6E8C" w:rsidRPr="007A6E8C" w:rsidRDefault="007A6E8C" w:rsidP="000B3A9A">
            <w:pPr>
              <w:widowControl w:val="0"/>
              <w:autoSpaceDE w:val="0"/>
              <w:autoSpaceDN w:val="0"/>
              <w:adjustRightInd w:val="0"/>
              <w:jc w:val="both"/>
              <w:rPr>
                <w:color w:val="000000"/>
                <w:sz w:val="20"/>
                <w:szCs w:val="20"/>
              </w:rPr>
            </w:pPr>
            <w:r w:rsidRPr="007A6E8C">
              <w:rPr>
                <w:color w:val="000000"/>
                <w:sz w:val="20"/>
                <w:szCs w:val="20"/>
              </w:rPr>
              <w:t>Ensures that ample oversight is given to the waste management facility siting, design, construction and operation so that these activities reflect the desires and will of the society</w:t>
            </w:r>
            <w:r w:rsidR="00611290">
              <w:rPr>
                <w:color w:val="000000"/>
                <w:sz w:val="20"/>
                <w:szCs w:val="20"/>
              </w:rPr>
              <w:t>.</w:t>
            </w:r>
            <w:r w:rsidRPr="007A6E8C">
              <w:rPr>
                <w:color w:val="000000"/>
                <w:sz w:val="20"/>
                <w:szCs w:val="20"/>
              </w:rPr>
              <w:t xml:space="preserve"> Further ensures that dedicated decisions taken at the national </w:t>
            </w:r>
            <w:r w:rsidRPr="007A6E8C">
              <w:rPr>
                <w:color w:val="000000"/>
                <w:sz w:val="20"/>
                <w:szCs w:val="20"/>
              </w:rPr>
              <w:lastRenderedPageBreak/>
              <w:t xml:space="preserve">level, such as the compliance with a law or a directive, the need to </w:t>
            </w:r>
            <w:r w:rsidR="0097702B">
              <w:rPr>
                <w:color w:val="000000"/>
                <w:sz w:val="20"/>
                <w:szCs w:val="20"/>
              </w:rPr>
              <w:t>integrate</w:t>
            </w:r>
            <w:r w:rsidR="0097702B" w:rsidRPr="007A6E8C">
              <w:rPr>
                <w:color w:val="000000"/>
                <w:sz w:val="20"/>
                <w:szCs w:val="20"/>
              </w:rPr>
              <w:t xml:space="preserve"> </w:t>
            </w:r>
            <w:r w:rsidRPr="007A6E8C">
              <w:rPr>
                <w:color w:val="000000"/>
                <w:sz w:val="20"/>
                <w:szCs w:val="20"/>
              </w:rPr>
              <w:t>the public or social acceptance</w:t>
            </w:r>
            <w:r w:rsidR="0097702B">
              <w:rPr>
                <w:color w:val="000000"/>
                <w:sz w:val="20"/>
                <w:szCs w:val="20"/>
              </w:rPr>
              <w:t xml:space="preserve"> in decision-making processes</w:t>
            </w:r>
            <w:r w:rsidRPr="007A6E8C">
              <w:rPr>
                <w:color w:val="000000"/>
                <w:sz w:val="20"/>
                <w:szCs w:val="20"/>
              </w:rPr>
              <w:t xml:space="preserve">, or the deployment of industrial vision taken at the national level is kept in focus. </w:t>
            </w:r>
          </w:p>
        </w:tc>
      </w:tr>
      <w:tr w:rsidR="007A6E8C" w:rsidRPr="007A6E8C" w14:paraId="7F3C037E" w14:textId="77777777" w:rsidTr="000B3A9A">
        <w:tc>
          <w:tcPr>
            <w:tcW w:w="2485" w:type="dxa"/>
            <w:shd w:val="clear" w:color="auto" w:fill="C189B9"/>
            <w:vAlign w:val="center"/>
          </w:tcPr>
          <w:p w14:paraId="506737A9" w14:textId="77777777" w:rsidR="007A6E8C" w:rsidRPr="007A6E8C" w:rsidRDefault="007A6E8C" w:rsidP="000B3A9A">
            <w:pPr>
              <w:widowControl w:val="0"/>
              <w:autoSpaceDE w:val="0"/>
              <w:autoSpaceDN w:val="0"/>
              <w:adjustRightInd w:val="0"/>
              <w:jc w:val="center"/>
              <w:rPr>
                <w:b/>
                <w:color w:val="000000"/>
                <w:sz w:val="20"/>
                <w:szCs w:val="20"/>
              </w:rPr>
            </w:pPr>
            <w:r w:rsidRPr="007A6E8C">
              <w:rPr>
                <w:b/>
                <w:color w:val="000000"/>
                <w:sz w:val="20"/>
                <w:szCs w:val="20"/>
              </w:rPr>
              <w:lastRenderedPageBreak/>
              <w:t>Non-proliferation</w:t>
            </w:r>
          </w:p>
        </w:tc>
        <w:tc>
          <w:tcPr>
            <w:tcW w:w="6571" w:type="dxa"/>
            <w:shd w:val="clear" w:color="auto" w:fill="C189B9"/>
          </w:tcPr>
          <w:p w14:paraId="22CF2144" w14:textId="564C7C20" w:rsidR="007A6E8C" w:rsidRPr="007A6E8C" w:rsidRDefault="007A6E8C" w:rsidP="000B3A9A">
            <w:pPr>
              <w:widowControl w:val="0"/>
              <w:autoSpaceDE w:val="0"/>
              <w:autoSpaceDN w:val="0"/>
              <w:adjustRightInd w:val="0"/>
              <w:jc w:val="both"/>
              <w:rPr>
                <w:color w:val="000000"/>
                <w:sz w:val="20"/>
                <w:szCs w:val="20"/>
              </w:rPr>
            </w:pPr>
            <w:r w:rsidRPr="007A6E8C">
              <w:rPr>
                <w:color w:val="000000"/>
                <w:sz w:val="20"/>
                <w:szCs w:val="20"/>
              </w:rPr>
              <w:t>Such considerations vary from the “closed cycle” to the “open cycle”. In the latter case, the valuable material is contained in the used fuel to be disposed, thus creating a need for a safeguards control regime during a period to be determined</w:t>
            </w:r>
            <w:r w:rsidR="001375F1">
              <w:rPr>
                <w:color w:val="000000"/>
                <w:sz w:val="20"/>
                <w:szCs w:val="20"/>
              </w:rPr>
              <w:t xml:space="preserve"> to provide for its security and physical protection</w:t>
            </w:r>
            <w:r w:rsidRPr="007A6E8C">
              <w:rPr>
                <w:color w:val="000000"/>
                <w:sz w:val="20"/>
                <w:szCs w:val="20"/>
              </w:rPr>
              <w:t xml:space="preserve">. In the case of the “closed cycle” route, HLW to be disposed are free from any safeguards control regime. The separated plutonium having been separated with the objective to be recycled would, however, need to be managed under a safeguards control regime.   </w:t>
            </w:r>
          </w:p>
        </w:tc>
      </w:tr>
    </w:tbl>
    <w:p w14:paraId="3C5EF827" w14:textId="77777777" w:rsidR="007A6E8C" w:rsidRPr="007A6E8C" w:rsidRDefault="007A6E8C" w:rsidP="007A6E8C">
      <w:pPr>
        <w:widowControl w:val="0"/>
        <w:autoSpaceDE w:val="0"/>
        <w:autoSpaceDN w:val="0"/>
        <w:adjustRightInd w:val="0"/>
        <w:jc w:val="both"/>
        <w:rPr>
          <w:rFonts w:ascii="Arial" w:hAnsi="Arial" w:cs="Arial"/>
          <w:color w:val="000000"/>
          <w:sz w:val="20"/>
          <w:szCs w:val="20"/>
        </w:rPr>
      </w:pPr>
    </w:p>
    <w:p w14:paraId="41B60E5E" w14:textId="7BC742BC" w:rsidR="007A6E8C" w:rsidRPr="007A6E8C" w:rsidRDefault="007A6E8C" w:rsidP="007A6E8C">
      <w:pPr>
        <w:widowControl w:val="0"/>
        <w:autoSpaceDE w:val="0"/>
        <w:autoSpaceDN w:val="0"/>
        <w:adjustRightInd w:val="0"/>
        <w:ind w:firstLine="709"/>
        <w:jc w:val="both"/>
        <w:rPr>
          <w:color w:val="000000"/>
          <w:sz w:val="20"/>
          <w:szCs w:val="20"/>
          <w:lang w:eastAsia="en-GB"/>
        </w:rPr>
      </w:pPr>
      <w:r w:rsidRPr="007A6E8C">
        <w:rPr>
          <w:color w:val="000000"/>
          <w:sz w:val="20"/>
          <w:szCs w:val="20"/>
          <w:lang w:eastAsia="en-GB"/>
        </w:rPr>
        <w:t xml:space="preserve">It is important to point out that a used fuel management strategy is always defined at the national level, even </w:t>
      </w:r>
      <w:r w:rsidR="0097702B">
        <w:rPr>
          <w:color w:val="000000"/>
          <w:sz w:val="20"/>
          <w:szCs w:val="20"/>
          <w:lang w:eastAsia="en-GB"/>
        </w:rPr>
        <w:t>though</w:t>
      </w:r>
      <w:r w:rsidRPr="007A6E8C">
        <w:rPr>
          <w:color w:val="000000"/>
          <w:sz w:val="20"/>
          <w:szCs w:val="20"/>
          <w:lang w:eastAsia="en-GB"/>
        </w:rPr>
        <w:t xml:space="preserve"> </w:t>
      </w:r>
      <w:r w:rsidR="001375F1">
        <w:rPr>
          <w:color w:val="000000"/>
          <w:sz w:val="20"/>
          <w:szCs w:val="20"/>
          <w:lang w:eastAsia="en-GB"/>
        </w:rPr>
        <w:t xml:space="preserve">it is the </w:t>
      </w:r>
      <w:r w:rsidRPr="007A6E8C">
        <w:rPr>
          <w:color w:val="000000"/>
          <w:sz w:val="20"/>
          <w:szCs w:val="20"/>
          <w:lang w:eastAsia="en-GB"/>
        </w:rPr>
        <w:t xml:space="preserve">nuclear operators </w:t>
      </w:r>
      <w:r w:rsidR="0097702B">
        <w:rPr>
          <w:color w:val="000000"/>
          <w:sz w:val="20"/>
          <w:szCs w:val="20"/>
          <w:lang w:eastAsia="en-GB"/>
        </w:rPr>
        <w:t>as</w:t>
      </w:r>
      <w:r w:rsidR="0097702B" w:rsidRPr="007A6E8C">
        <w:rPr>
          <w:color w:val="000000"/>
          <w:sz w:val="20"/>
          <w:szCs w:val="20"/>
          <w:lang w:eastAsia="en-GB"/>
        </w:rPr>
        <w:t xml:space="preserve"> privately-owned</w:t>
      </w:r>
      <w:r w:rsidRPr="007A6E8C">
        <w:rPr>
          <w:color w:val="000000"/>
          <w:sz w:val="20"/>
          <w:szCs w:val="20"/>
          <w:lang w:eastAsia="en-GB"/>
        </w:rPr>
        <w:t xml:space="preserve"> companies</w:t>
      </w:r>
      <w:r w:rsidR="0097702B">
        <w:rPr>
          <w:color w:val="000000"/>
          <w:sz w:val="20"/>
          <w:szCs w:val="20"/>
          <w:lang w:eastAsia="en-GB"/>
        </w:rPr>
        <w:t xml:space="preserve"> </w:t>
      </w:r>
      <w:r w:rsidR="001375F1">
        <w:rPr>
          <w:color w:val="000000"/>
          <w:sz w:val="20"/>
          <w:szCs w:val="20"/>
          <w:lang w:eastAsia="en-GB"/>
        </w:rPr>
        <w:t xml:space="preserve">that </w:t>
      </w:r>
      <w:r w:rsidR="0097702B">
        <w:rPr>
          <w:color w:val="000000"/>
          <w:sz w:val="20"/>
          <w:szCs w:val="20"/>
          <w:lang w:eastAsia="en-GB"/>
        </w:rPr>
        <w:t>must make certain strategic decisions within this framework</w:t>
      </w:r>
      <w:r w:rsidRPr="007A6E8C">
        <w:rPr>
          <w:color w:val="000000"/>
          <w:sz w:val="20"/>
          <w:szCs w:val="20"/>
          <w:lang w:eastAsia="en-GB"/>
        </w:rPr>
        <w:t>. It should be observed that the main factor leading to the choice of a used fuel management strategy in the frame of a long-term vision of an overall national energy program is usually driven primarily by the compartment of Politics, pushed along by social factors inherent to the State. Moreover, while important, the economical factor is not considered as the primary driver in decision-making processes. Additionally, keeping flexibility for later options is also an important piece of the decision-making puzzle. This approach could be of interest to the new comers to the nuclear industry as a driver for the definition of their strategy. Autonomy, or controlling one’s own destiny, is also another major factor influencing the option chosen.</w:t>
      </w:r>
    </w:p>
    <w:p w14:paraId="0051F642" w14:textId="77777777" w:rsidR="007A6E8C" w:rsidRPr="007A6E8C" w:rsidRDefault="007A6E8C" w:rsidP="007A6E8C">
      <w:pPr>
        <w:ind w:firstLine="709"/>
        <w:rPr>
          <w:color w:val="000000"/>
          <w:sz w:val="20"/>
          <w:szCs w:val="20"/>
          <w:lang w:eastAsia="en-GB"/>
        </w:rPr>
      </w:pPr>
    </w:p>
    <w:p w14:paraId="6360E7BD" w14:textId="77777777" w:rsidR="007A6E8C" w:rsidRPr="007A6E8C" w:rsidRDefault="007A6E8C" w:rsidP="007A6E8C">
      <w:pPr>
        <w:ind w:firstLine="709"/>
        <w:jc w:val="both"/>
        <w:rPr>
          <w:color w:val="000000"/>
          <w:sz w:val="20"/>
          <w:szCs w:val="20"/>
          <w:lang w:eastAsia="en-GB"/>
        </w:rPr>
      </w:pPr>
      <w:r w:rsidRPr="007A6E8C">
        <w:rPr>
          <w:color w:val="000000"/>
          <w:sz w:val="20"/>
          <w:szCs w:val="20"/>
          <w:lang w:eastAsia="en-GB"/>
        </w:rPr>
        <w:t>In general, it appears that most countries with a large nuclear program have independently implemented their used fuel management strategy with a long-term view. With the exception of the USA, the other major nuclear countries have made the choice of the “closed cycle” with the long-term view of the implementation of Gen IV reactors. Delays in such implementation could occur and may raise some concerns related to the management of the valuable materials if not recycled in the Gen III reactor fleet.</w:t>
      </w:r>
    </w:p>
    <w:p w14:paraId="76571841" w14:textId="0A86AC9C" w:rsidR="00C53C8D" w:rsidRDefault="00C53C8D" w:rsidP="00C53C8D">
      <w:pPr>
        <w:ind w:firstLine="708"/>
        <w:rPr>
          <w:color w:val="000000"/>
          <w:sz w:val="20"/>
          <w:szCs w:val="20"/>
          <w:lang w:val="en-GB" w:eastAsia="en-GB"/>
        </w:rPr>
      </w:pPr>
    </w:p>
    <w:p w14:paraId="568F9942" w14:textId="63C51DE5" w:rsidR="00DE6FB3" w:rsidRPr="006056B8" w:rsidRDefault="00C85D62" w:rsidP="00DE6FB3">
      <w:pPr>
        <w:pStyle w:val="Paragraphedeliste"/>
        <w:widowControl w:val="0"/>
        <w:numPr>
          <w:ilvl w:val="1"/>
          <w:numId w:val="17"/>
        </w:numPr>
        <w:autoSpaceDE w:val="0"/>
        <w:autoSpaceDN w:val="0"/>
        <w:adjustRightInd w:val="0"/>
        <w:spacing w:after="240"/>
        <w:rPr>
          <w:rFonts w:ascii="Times New Roman" w:hAnsi="Times New Roman" w:cs="Times New Roman"/>
          <w:b/>
          <w:color w:val="000000"/>
          <w:sz w:val="20"/>
          <w:szCs w:val="20"/>
        </w:rPr>
      </w:pPr>
      <w:r w:rsidRPr="006056B8">
        <w:rPr>
          <w:rFonts w:ascii="Times New Roman" w:hAnsi="Times New Roman" w:cs="Times New Roman"/>
          <w:b/>
          <w:color w:val="000000"/>
          <w:sz w:val="20"/>
          <w:szCs w:val="20"/>
        </w:rPr>
        <w:t xml:space="preserve">Challenges and </w:t>
      </w:r>
      <w:r w:rsidR="007A6E8C">
        <w:rPr>
          <w:rFonts w:ascii="Times New Roman" w:hAnsi="Times New Roman" w:cs="Times New Roman"/>
          <w:b/>
          <w:color w:val="000000"/>
          <w:sz w:val="20"/>
          <w:szCs w:val="20"/>
        </w:rPr>
        <w:t>A</w:t>
      </w:r>
      <w:r w:rsidRPr="006056B8">
        <w:rPr>
          <w:rFonts w:ascii="Times New Roman" w:hAnsi="Times New Roman" w:cs="Times New Roman"/>
          <w:b/>
          <w:color w:val="000000"/>
          <w:sz w:val="20"/>
          <w:szCs w:val="20"/>
        </w:rPr>
        <w:t>chievements</w:t>
      </w:r>
    </w:p>
    <w:p w14:paraId="326801E7" w14:textId="26581EA2" w:rsidR="007A6E8C" w:rsidRPr="007A6E8C" w:rsidRDefault="007A6E8C" w:rsidP="007A6E8C">
      <w:pPr>
        <w:widowControl w:val="0"/>
        <w:autoSpaceDE w:val="0"/>
        <w:autoSpaceDN w:val="0"/>
        <w:adjustRightInd w:val="0"/>
        <w:ind w:firstLine="709"/>
        <w:jc w:val="both"/>
        <w:rPr>
          <w:color w:val="000000"/>
          <w:sz w:val="20"/>
          <w:szCs w:val="20"/>
        </w:rPr>
      </w:pPr>
      <w:r w:rsidRPr="007A6E8C">
        <w:rPr>
          <w:color w:val="000000"/>
          <w:sz w:val="20"/>
          <w:szCs w:val="20"/>
        </w:rPr>
        <w:t xml:space="preserve">Section 4.1 presents ongoing used fuel management opportunities and demonstrates that all parts of the back-end of the fuel cycle (interim storage, recycling, </w:t>
      </w:r>
      <w:r w:rsidR="0097702B">
        <w:rPr>
          <w:color w:val="000000"/>
          <w:sz w:val="20"/>
          <w:szCs w:val="20"/>
        </w:rPr>
        <w:t xml:space="preserve">and </w:t>
      </w:r>
      <w:r w:rsidRPr="007A6E8C">
        <w:rPr>
          <w:color w:val="000000"/>
          <w:sz w:val="20"/>
          <w:szCs w:val="20"/>
        </w:rPr>
        <w:t xml:space="preserve">transportation) are industrially and safely implemented presently and for the next decades, whatever the delay in constructing a DGR facility. In fact, clear progress is being made in three countries (Finland, Sweden and France) with defined schedules. It should be recognized that carrying out the construction and operation of a DGR is and continues to remain slow in many countries for the foreseeable future. This has resulted in the need for planned or continuing interim storage (planned, built and operated as AR or AFR sites) for used fuel and HLW until DGRs are available. However, the progress at the back-end of the nuclear fuel cycle does face a number of potential challenges, as presented in Table 3. </w:t>
      </w:r>
    </w:p>
    <w:p w14:paraId="5B1DBFC7" w14:textId="77777777" w:rsidR="007A6E8C" w:rsidRPr="007A6E8C" w:rsidRDefault="007A6E8C" w:rsidP="007A6E8C">
      <w:pPr>
        <w:widowControl w:val="0"/>
        <w:autoSpaceDE w:val="0"/>
        <w:autoSpaceDN w:val="0"/>
        <w:adjustRightInd w:val="0"/>
        <w:jc w:val="both"/>
        <w:rPr>
          <w:rFonts w:ascii="Arial" w:hAnsi="Arial" w:cs="Arial"/>
          <w:color w:val="000000"/>
          <w:sz w:val="20"/>
          <w:szCs w:val="20"/>
        </w:rPr>
      </w:pPr>
    </w:p>
    <w:p w14:paraId="1F530C5D" w14:textId="77777777" w:rsidR="007A6E8C" w:rsidRPr="007A6E8C" w:rsidRDefault="007A6E8C" w:rsidP="007A6E8C">
      <w:pPr>
        <w:widowControl w:val="0"/>
        <w:autoSpaceDE w:val="0"/>
        <w:autoSpaceDN w:val="0"/>
        <w:adjustRightInd w:val="0"/>
        <w:jc w:val="center"/>
        <w:rPr>
          <w:b/>
          <w:color w:val="000000"/>
          <w:sz w:val="20"/>
          <w:szCs w:val="20"/>
        </w:rPr>
      </w:pPr>
      <w:r w:rsidRPr="007A6E8C">
        <w:rPr>
          <w:b/>
          <w:color w:val="000000"/>
          <w:sz w:val="20"/>
          <w:szCs w:val="20"/>
        </w:rPr>
        <w:t>Table 3:  Potential Challenges Facing Used Fuel Management Activities</w:t>
      </w:r>
    </w:p>
    <w:tbl>
      <w:tblPr>
        <w:tblStyle w:val="Grilledutableau"/>
        <w:tblW w:w="0" w:type="auto"/>
        <w:tblLook w:val="04A0" w:firstRow="1" w:lastRow="0" w:firstColumn="1" w:lastColumn="0" w:noHBand="0" w:noVBand="1"/>
      </w:tblPr>
      <w:tblGrid>
        <w:gridCol w:w="2758"/>
        <w:gridCol w:w="6298"/>
      </w:tblGrid>
      <w:tr w:rsidR="007A6E8C" w:rsidRPr="007A6E8C" w14:paraId="6D9D7FC2" w14:textId="77777777" w:rsidTr="007A6E8C">
        <w:trPr>
          <w:trHeight w:val="266"/>
          <w:tblHeader/>
        </w:trPr>
        <w:tc>
          <w:tcPr>
            <w:tcW w:w="2758" w:type="dxa"/>
            <w:shd w:val="clear" w:color="auto" w:fill="BFBFBF" w:themeFill="background1" w:themeFillShade="BF"/>
            <w:vAlign w:val="center"/>
          </w:tcPr>
          <w:p w14:paraId="500E01CF" w14:textId="77777777" w:rsidR="007A6E8C" w:rsidRPr="007A6E8C" w:rsidRDefault="007A6E8C" w:rsidP="000B3A9A">
            <w:pPr>
              <w:jc w:val="center"/>
              <w:rPr>
                <w:b/>
                <w:color w:val="000000"/>
                <w:sz w:val="20"/>
                <w:szCs w:val="20"/>
              </w:rPr>
            </w:pPr>
            <w:r w:rsidRPr="007A6E8C">
              <w:rPr>
                <w:color w:val="000000"/>
                <w:sz w:val="20"/>
                <w:szCs w:val="20"/>
              </w:rPr>
              <w:t xml:space="preserve"> </w:t>
            </w:r>
            <w:r w:rsidRPr="007A6E8C">
              <w:rPr>
                <w:b/>
                <w:color w:val="000000"/>
                <w:sz w:val="20"/>
                <w:szCs w:val="20"/>
              </w:rPr>
              <w:t xml:space="preserve">Challenge </w:t>
            </w:r>
          </w:p>
        </w:tc>
        <w:tc>
          <w:tcPr>
            <w:tcW w:w="6298" w:type="dxa"/>
            <w:shd w:val="clear" w:color="auto" w:fill="BFBFBF" w:themeFill="background1" w:themeFillShade="BF"/>
            <w:vAlign w:val="center"/>
          </w:tcPr>
          <w:p w14:paraId="44683A9D" w14:textId="77777777" w:rsidR="007A6E8C" w:rsidRPr="007A6E8C" w:rsidRDefault="007A6E8C" w:rsidP="000B3A9A">
            <w:pPr>
              <w:jc w:val="center"/>
              <w:rPr>
                <w:b/>
                <w:color w:val="000000"/>
                <w:sz w:val="20"/>
                <w:szCs w:val="20"/>
              </w:rPr>
            </w:pPr>
            <w:r w:rsidRPr="007A6E8C">
              <w:rPr>
                <w:b/>
                <w:color w:val="000000"/>
                <w:sz w:val="20"/>
                <w:szCs w:val="20"/>
              </w:rPr>
              <w:t xml:space="preserve">Description </w:t>
            </w:r>
          </w:p>
        </w:tc>
      </w:tr>
      <w:tr w:rsidR="007A6E8C" w:rsidRPr="007A6E8C" w14:paraId="13B4BED3" w14:textId="77777777" w:rsidTr="000B3A9A">
        <w:tc>
          <w:tcPr>
            <w:tcW w:w="2758" w:type="dxa"/>
            <w:shd w:val="clear" w:color="auto" w:fill="8EAADB" w:themeFill="accent1" w:themeFillTint="99"/>
            <w:vAlign w:val="center"/>
          </w:tcPr>
          <w:p w14:paraId="4E3B36CD" w14:textId="77777777" w:rsidR="007A6E8C" w:rsidRPr="007A6E8C" w:rsidRDefault="007A6E8C" w:rsidP="000B3A9A">
            <w:pPr>
              <w:jc w:val="center"/>
              <w:rPr>
                <w:b/>
                <w:color w:val="000000"/>
                <w:sz w:val="20"/>
                <w:szCs w:val="20"/>
              </w:rPr>
            </w:pPr>
            <w:r w:rsidRPr="007A6E8C">
              <w:rPr>
                <w:b/>
                <w:color w:val="000000"/>
                <w:sz w:val="20"/>
                <w:szCs w:val="20"/>
              </w:rPr>
              <w:t>Challenge 1</w:t>
            </w:r>
          </w:p>
          <w:p w14:paraId="50B24418" w14:textId="77777777" w:rsidR="007A6E8C" w:rsidRPr="007A6E8C" w:rsidRDefault="007A6E8C" w:rsidP="000B3A9A">
            <w:pPr>
              <w:jc w:val="center"/>
              <w:rPr>
                <w:color w:val="000000"/>
                <w:sz w:val="20"/>
                <w:szCs w:val="20"/>
              </w:rPr>
            </w:pPr>
            <w:r w:rsidRPr="007A6E8C">
              <w:rPr>
                <w:color w:val="000000"/>
                <w:sz w:val="20"/>
                <w:szCs w:val="20"/>
              </w:rPr>
              <w:t>(Interim Storage)</w:t>
            </w:r>
          </w:p>
        </w:tc>
        <w:tc>
          <w:tcPr>
            <w:tcW w:w="6298" w:type="dxa"/>
            <w:shd w:val="clear" w:color="auto" w:fill="8EAADB" w:themeFill="accent1" w:themeFillTint="99"/>
          </w:tcPr>
          <w:p w14:paraId="61EB1C97" w14:textId="041B9899" w:rsidR="007A6E8C" w:rsidRPr="007A6E8C" w:rsidRDefault="007A6E8C" w:rsidP="000B3A9A">
            <w:pPr>
              <w:jc w:val="both"/>
              <w:rPr>
                <w:color w:val="000000"/>
                <w:sz w:val="20"/>
                <w:szCs w:val="20"/>
              </w:rPr>
            </w:pPr>
            <w:r w:rsidRPr="007A6E8C">
              <w:rPr>
                <w:color w:val="000000"/>
                <w:sz w:val="20"/>
                <w:szCs w:val="20"/>
              </w:rPr>
              <w:t xml:space="preserve">The length involved in the interim storage of used fuel </w:t>
            </w:r>
            <w:r w:rsidR="009103E3">
              <w:rPr>
                <w:color w:val="000000"/>
                <w:sz w:val="20"/>
                <w:szCs w:val="20"/>
              </w:rPr>
              <w:t>will</w:t>
            </w:r>
            <w:r w:rsidR="009103E3" w:rsidRPr="007A6E8C">
              <w:rPr>
                <w:color w:val="000000"/>
                <w:sz w:val="20"/>
                <w:szCs w:val="20"/>
              </w:rPr>
              <w:t xml:space="preserve"> </w:t>
            </w:r>
            <w:r w:rsidRPr="007A6E8C">
              <w:rPr>
                <w:color w:val="000000"/>
                <w:sz w:val="20"/>
                <w:szCs w:val="20"/>
              </w:rPr>
              <w:t>expand over many decades. As the requirements for storage capacity for used fuel are increasing, new storage is successively being built outside of the reactor buildings (AR or AFR). Most of these facilities are dry storage, but some wet storages pools are also being built.</w:t>
            </w:r>
            <w:r w:rsidR="009103E3">
              <w:rPr>
                <w:color w:val="000000"/>
                <w:sz w:val="20"/>
                <w:szCs w:val="20"/>
              </w:rPr>
              <w:t xml:space="preserve"> The challenge is to ensure the continued safety of existing systems and to design new systems with an extended storage period that allow for suitable ageing management. </w:t>
            </w:r>
          </w:p>
        </w:tc>
      </w:tr>
      <w:tr w:rsidR="007A6E8C" w:rsidRPr="007A6E8C" w14:paraId="1B70E8D6" w14:textId="77777777" w:rsidTr="000B3A9A">
        <w:tc>
          <w:tcPr>
            <w:tcW w:w="2758" w:type="dxa"/>
            <w:shd w:val="clear" w:color="auto" w:fill="A8D08D" w:themeFill="accent6" w:themeFillTint="99"/>
            <w:vAlign w:val="center"/>
          </w:tcPr>
          <w:p w14:paraId="180962B2" w14:textId="77777777" w:rsidR="007A6E8C" w:rsidRPr="007A6E8C" w:rsidRDefault="007A6E8C" w:rsidP="000B3A9A">
            <w:pPr>
              <w:jc w:val="center"/>
              <w:rPr>
                <w:b/>
                <w:color w:val="000000"/>
                <w:sz w:val="20"/>
                <w:szCs w:val="20"/>
              </w:rPr>
            </w:pPr>
            <w:r w:rsidRPr="007A6E8C">
              <w:rPr>
                <w:b/>
                <w:color w:val="000000"/>
                <w:sz w:val="20"/>
                <w:szCs w:val="20"/>
              </w:rPr>
              <w:t>Challenge 2</w:t>
            </w:r>
          </w:p>
          <w:p w14:paraId="3B1C096D" w14:textId="77777777" w:rsidR="007A6E8C" w:rsidRPr="007A6E8C" w:rsidRDefault="007A6E8C" w:rsidP="000B3A9A">
            <w:pPr>
              <w:jc w:val="center"/>
              <w:rPr>
                <w:color w:val="000000"/>
                <w:sz w:val="20"/>
                <w:szCs w:val="20"/>
              </w:rPr>
            </w:pPr>
            <w:r w:rsidRPr="007A6E8C">
              <w:rPr>
                <w:color w:val="000000"/>
                <w:sz w:val="20"/>
                <w:szCs w:val="20"/>
              </w:rPr>
              <w:t>(Transportation)</w:t>
            </w:r>
          </w:p>
        </w:tc>
        <w:tc>
          <w:tcPr>
            <w:tcW w:w="6298" w:type="dxa"/>
            <w:shd w:val="clear" w:color="auto" w:fill="A8D08D" w:themeFill="accent6" w:themeFillTint="99"/>
          </w:tcPr>
          <w:p w14:paraId="3DA26E5E" w14:textId="77777777" w:rsidR="007A6E8C" w:rsidRPr="007A6E8C" w:rsidRDefault="007A6E8C" w:rsidP="000B3A9A">
            <w:pPr>
              <w:jc w:val="both"/>
              <w:rPr>
                <w:color w:val="000000"/>
                <w:sz w:val="20"/>
                <w:szCs w:val="20"/>
              </w:rPr>
            </w:pPr>
            <w:r w:rsidRPr="007A6E8C">
              <w:rPr>
                <w:color w:val="000000"/>
                <w:sz w:val="20"/>
                <w:szCs w:val="20"/>
              </w:rPr>
              <w:t xml:space="preserve"> Used fuel will have to be transported, possibly after repackaging when required in the frame of the “open cycle”, and then possibly transported again to the DGR. A significant challenge is related to handling of the used fuel and its integrity after several decades of storage following an extended period of interim storage, especially in dry storage conditions.</w:t>
            </w:r>
          </w:p>
        </w:tc>
      </w:tr>
      <w:tr w:rsidR="007A6E8C" w:rsidRPr="007A6E8C" w14:paraId="6608D545" w14:textId="77777777" w:rsidTr="000B3A9A">
        <w:tc>
          <w:tcPr>
            <w:tcW w:w="2758" w:type="dxa"/>
            <w:vMerge w:val="restart"/>
            <w:shd w:val="clear" w:color="auto" w:fill="FFD966" w:themeFill="accent4" w:themeFillTint="99"/>
            <w:vAlign w:val="center"/>
          </w:tcPr>
          <w:p w14:paraId="55A127AB" w14:textId="77777777" w:rsidR="007A6E8C" w:rsidRPr="007A6E8C" w:rsidRDefault="007A6E8C" w:rsidP="000B3A9A">
            <w:pPr>
              <w:jc w:val="center"/>
              <w:rPr>
                <w:b/>
                <w:color w:val="000000"/>
                <w:sz w:val="20"/>
                <w:szCs w:val="20"/>
              </w:rPr>
            </w:pPr>
            <w:r w:rsidRPr="007A6E8C">
              <w:rPr>
                <w:b/>
                <w:color w:val="000000"/>
                <w:sz w:val="20"/>
                <w:szCs w:val="20"/>
              </w:rPr>
              <w:t>Challenge 3</w:t>
            </w:r>
          </w:p>
          <w:p w14:paraId="227BA15E" w14:textId="77777777" w:rsidR="007A6E8C" w:rsidRPr="007A6E8C" w:rsidRDefault="007A6E8C" w:rsidP="000B3A9A">
            <w:pPr>
              <w:jc w:val="center"/>
              <w:rPr>
                <w:color w:val="000000"/>
                <w:sz w:val="20"/>
                <w:szCs w:val="20"/>
              </w:rPr>
            </w:pPr>
            <w:r w:rsidRPr="007A6E8C">
              <w:rPr>
                <w:color w:val="000000"/>
                <w:sz w:val="20"/>
                <w:szCs w:val="20"/>
              </w:rPr>
              <w:t>(Public Perception)</w:t>
            </w:r>
          </w:p>
        </w:tc>
        <w:tc>
          <w:tcPr>
            <w:tcW w:w="6298" w:type="dxa"/>
            <w:shd w:val="clear" w:color="auto" w:fill="FFD966" w:themeFill="accent4" w:themeFillTint="99"/>
          </w:tcPr>
          <w:p w14:paraId="7BEA493E" w14:textId="77777777" w:rsidR="007A6E8C" w:rsidRPr="007A6E8C" w:rsidRDefault="007A6E8C" w:rsidP="000B3A9A">
            <w:pPr>
              <w:jc w:val="both"/>
              <w:rPr>
                <w:color w:val="000000"/>
                <w:sz w:val="20"/>
                <w:szCs w:val="20"/>
              </w:rPr>
            </w:pPr>
            <w:r w:rsidRPr="007A6E8C">
              <w:rPr>
                <w:color w:val="000000"/>
                <w:sz w:val="20"/>
                <w:szCs w:val="20"/>
              </w:rPr>
              <w:t>There are a number of challenges surrounding the public perception of nuclear power programs, including long-term storage of used fuel, following (i.e., Fukushima and Chernobyl), as well as the NIMBY (Not In My Back Yard) syndrome with any associated public misinformation.</w:t>
            </w:r>
          </w:p>
        </w:tc>
      </w:tr>
      <w:tr w:rsidR="007A6E8C" w:rsidRPr="007A6E8C" w14:paraId="07463322" w14:textId="77777777" w:rsidTr="000B3A9A">
        <w:tc>
          <w:tcPr>
            <w:tcW w:w="2758" w:type="dxa"/>
            <w:vMerge/>
            <w:shd w:val="clear" w:color="auto" w:fill="FFF2CC" w:themeFill="accent4" w:themeFillTint="33"/>
            <w:vAlign w:val="center"/>
          </w:tcPr>
          <w:p w14:paraId="7BEA9ABE" w14:textId="77777777" w:rsidR="007A6E8C" w:rsidRPr="007A6E8C" w:rsidRDefault="007A6E8C" w:rsidP="000B3A9A">
            <w:pPr>
              <w:jc w:val="center"/>
              <w:rPr>
                <w:b/>
                <w:color w:val="000000"/>
                <w:sz w:val="20"/>
                <w:szCs w:val="20"/>
              </w:rPr>
            </w:pPr>
          </w:p>
        </w:tc>
        <w:tc>
          <w:tcPr>
            <w:tcW w:w="6298" w:type="dxa"/>
            <w:shd w:val="clear" w:color="auto" w:fill="FFF2CC" w:themeFill="accent4" w:themeFillTint="33"/>
          </w:tcPr>
          <w:p w14:paraId="723F73B1" w14:textId="77777777" w:rsidR="007A6E8C" w:rsidRPr="007A6E8C" w:rsidRDefault="007A6E8C" w:rsidP="000B3A9A">
            <w:pPr>
              <w:jc w:val="both"/>
              <w:rPr>
                <w:color w:val="000000"/>
                <w:sz w:val="20"/>
                <w:szCs w:val="20"/>
              </w:rPr>
            </w:pPr>
            <w:r w:rsidRPr="007A6E8C">
              <w:rPr>
                <w:color w:val="000000"/>
                <w:sz w:val="20"/>
                <w:szCs w:val="20"/>
              </w:rPr>
              <w:t xml:space="preserve">Once a site has been chosen and accepted by the public, maintaining public acceptance over the duration of the project will also be a challenge, since this </w:t>
            </w:r>
            <w:r w:rsidRPr="007A6E8C">
              <w:rPr>
                <w:color w:val="000000"/>
                <w:sz w:val="20"/>
                <w:szCs w:val="20"/>
              </w:rPr>
              <w:lastRenderedPageBreak/>
              <w:t>process will extend many decades to a century or more in some cases. Causes leading to delay in the schedule for a DGR include: (1) Identification of the siting activities; (2) Fluid public acceptance; (3) Technical implementation; and, (4) Regulatory lack of experience in licensing such facilities.</w:t>
            </w:r>
          </w:p>
        </w:tc>
      </w:tr>
      <w:tr w:rsidR="007A6E8C" w:rsidRPr="007A6E8C" w14:paraId="48ACAA55" w14:textId="77777777" w:rsidTr="000B3A9A">
        <w:tc>
          <w:tcPr>
            <w:tcW w:w="2758" w:type="dxa"/>
            <w:shd w:val="clear" w:color="auto" w:fill="F4B083" w:themeFill="accent2" w:themeFillTint="99"/>
            <w:vAlign w:val="center"/>
          </w:tcPr>
          <w:p w14:paraId="2B244D22" w14:textId="77777777" w:rsidR="007A6E8C" w:rsidRPr="007A6E8C" w:rsidRDefault="007A6E8C" w:rsidP="000B3A9A">
            <w:pPr>
              <w:jc w:val="center"/>
              <w:rPr>
                <w:b/>
                <w:color w:val="000000"/>
                <w:sz w:val="20"/>
                <w:szCs w:val="20"/>
              </w:rPr>
            </w:pPr>
            <w:r w:rsidRPr="007A6E8C">
              <w:rPr>
                <w:b/>
                <w:color w:val="000000"/>
                <w:sz w:val="20"/>
                <w:szCs w:val="20"/>
              </w:rPr>
              <w:lastRenderedPageBreak/>
              <w:t>Challenge 4</w:t>
            </w:r>
          </w:p>
          <w:p w14:paraId="2AAFEA85" w14:textId="77777777" w:rsidR="007A6E8C" w:rsidRPr="007A6E8C" w:rsidRDefault="007A6E8C" w:rsidP="000B3A9A">
            <w:pPr>
              <w:jc w:val="center"/>
              <w:rPr>
                <w:color w:val="000000"/>
                <w:sz w:val="20"/>
                <w:szCs w:val="20"/>
              </w:rPr>
            </w:pPr>
            <w:r w:rsidRPr="007A6E8C">
              <w:rPr>
                <w:color w:val="000000"/>
                <w:sz w:val="20"/>
                <w:szCs w:val="20"/>
              </w:rPr>
              <w:t>(Siting Approach)</w:t>
            </w:r>
          </w:p>
        </w:tc>
        <w:tc>
          <w:tcPr>
            <w:tcW w:w="6298" w:type="dxa"/>
            <w:shd w:val="clear" w:color="auto" w:fill="F4B083" w:themeFill="accent2" w:themeFillTint="99"/>
          </w:tcPr>
          <w:p w14:paraId="39C4A9A3" w14:textId="77777777" w:rsidR="007A6E8C" w:rsidRPr="007A6E8C" w:rsidRDefault="007A6E8C" w:rsidP="000B3A9A">
            <w:pPr>
              <w:jc w:val="both"/>
              <w:rPr>
                <w:color w:val="000000"/>
                <w:sz w:val="20"/>
                <w:szCs w:val="20"/>
              </w:rPr>
            </w:pPr>
            <w:r w:rsidRPr="007A6E8C">
              <w:rPr>
                <w:color w:val="000000"/>
                <w:sz w:val="20"/>
                <w:szCs w:val="20"/>
              </w:rPr>
              <w:t xml:space="preserve">Most countries are facing delays in their </w:t>
            </w:r>
            <w:proofErr w:type="spellStart"/>
            <w:r w:rsidRPr="007A6E8C">
              <w:rPr>
                <w:color w:val="000000"/>
                <w:sz w:val="20"/>
                <w:szCs w:val="20"/>
              </w:rPr>
              <w:t>programmes</w:t>
            </w:r>
            <w:proofErr w:type="spellEnd"/>
            <w:r w:rsidRPr="007A6E8C">
              <w:rPr>
                <w:color w:val="000000"/>
                <w:sz w:val="20"/>
                <w:szCs w:val="20"/>
              </w:rPr>
              <w:t xml:space="preserve"> for the DGR of used fuel and other HLW. In certain cases, the process to find a site has completely restarted, with some countries taking a science focused siting approach. Still, other countries are committed to a consent-based model. Additionally, there are States that are embarking on a hybrid siting approach, which is a combination of science/consent-based siting. </w:t>
            </w:r>
          </w:p>
        </w:tc>
      </w:tr>
    </w:tbl>
    <w:p w14:paraId="554E84FA" w14:textId="10CCB465" w:rsidR="008D0BFD" w:rsidRDefault="008D0BFD" w:rsidP="008D0BFD">
      <w:pPr>
        <w:ind w:left="700"/>
        <w:jc w:val="both"/>
        <w:rPr>
          <w:color w:val="000000"/>
          <w:sz w:val="20"/>
          <w:szCs w:val="20"/>
        </w:rPr>
      </w:pPr>
    </w:p>
    <w:p w14:paraId="2B8D9545" w14:textId="77777777" w:rsidR="003647F4" w:rsidRDefault="003647F4" w:rsidP="008D0BFD">
      <w:pPr>
        <w:ind w:left="700"/>
        <w:jc w:val="both"/>
        <w:rPr>
          <w:color w:val="000000"/>
          <w:sz w:val="20"/>
          <w:szCs w:val="20"/>
        </w:rPr>
      </w:pPr>
    </w:p>
    <w:p w14:paraId="71A4361B" w14:textId="77777777" w:rsidR="003647F4" w:rsidRDefault="003647F4" w:rsidP="008D0BFD">
      <w:pPr>
        <w:ind w:left="700"/>
        <w:jc w:val="both"/>
        <w:rPr>
          <w:color w:val="000000"/>
          <w:sz w:val="20"/>
          <w:szCs w:val="20"/>
        </w:rPr>
      </w:pPr>
    </w:p>
    <w:p w14:paraId="755858D7" w14:textId="77777777" w:rsidR="003647F4" w:rsidRDefault="003647F4" w:rsidP="008D0BFD">
      <w:pPr>
        <w:ind w:left="700"/>
        <w:jc w:val="both"/>
        <w:rPr>
          <w:color w:val="000000"/>
          <w:sz w:val="20"/>
          <w:szCs w:val="20"/>
        </w:rPr>
      </w:pPr>
    </w:p>
    <w:p w14:paraId="53750FDD" w14:textId="15452464" w:rsidR="008A2569" w:rsidRPr="007A6E8C" w:rsidRDefault="008A2569" w:rsidP="008A2569">
      <w:pPr>
        <w:pStyle w:val="Paragraphedeliste"/>
        <w:numPr>
          <w:ilvl w:val="0"/>
          <w:numId w:val="24"/>
        </w:numPr>
        <w:jc w:val="both"/>
        <w:rPr>
          <w:rFonts w:ascii="Times New Roman" w:eastAsia="MS Mincho" w:hAnsi="Times New Roman" w:cs="Times New Roman"/>
          <w:sz w:val="20"/>
          <w:szCs w:val="20"/>
          <w:lang w:val="en-US"/>
        </w:rPr>
      </w:pPr>
      <w:r w:rsidRPr="007A6E8C">
        <w:rPr>
          <w:rFonts w:ascii="Times New Roman" w:eastAsia="MS Mincho" w:hAnsi="Times New Roman" w:cs="Times New Roman"/>
          <w:sz w:val="20"/>
          <w:szCs w:val="20"/>
          <w:lang w:val="en-US"/>
        </w:rPr>
        <w:t>AN INDUSTRIAL VIEW O</w:t>
      </w:r>
      <w:r w:rsidR="007A6E8C" w:rsidRPr="007A6E8C">
        <w:rPr>
          <w:rFonts w:ascii="Times New Roman" w:eastAsia="MS Mincho" w:hAnsi="Times New Roman" w:cs="Times New Roman"/>
          <w:sz w:val="20"/>
          <w:szCs w:val="20"/>
          <w:lang w:val="en-US"/>
        </w:rPr>
        <w:t>F</w:t>
      </w:r>
      <w:r w:rsidRPr="007A6E8C">
        <w:rPr>
          <w:rFonts w:ascii="Times New Roman" w:eastAsia="MS Mincho" w:hAnsi="Times New Roman" w:cs="Times New Roman"/>
          <w:sz w:val="20"/>
          <w:szCs w:val="20"/>
          <w:lang w:val="en-US"/>
        </w:rPr>
        <w:t xml:space="preserve"> THE R&amp;D AND INNOVATION IN </w:t>
      </w:r>
      <w:r w:rsidR="007A6E8C" w:rsidRPr="007A6E8C">
        <w:rPr>
          <w:rFonts w:ascii="Times New Roman" w:eastAsia="MS Mincho" w:hAnsi="Times New Roman" w:cs="Times New Roman"/>
          <w:sz w:val="20"/>
          <w:szCs w:val="20"/>
          <w:lang w:val="en-US"/>
        </w:rPr>
        <w:t>USED</w:t>
      </w:r>
      <w:r w:rsidRPr="007A6E8C">
        <w:rPr>
          <w:rFonts w:ascii="Times New Roman" w:eastAsia="MS Mincho" w:hAnsi="Times New Roman" w:cs="Times New Roman"/>
          <w:sz w:val="20"/>
          <w:szCs w:val="20"/>
          <w:lang w:val="en-US"/>
        </w:rPr>
        <w:t xml:space="preserve"> FUEL MANAGEMENT</w:t>
      </w:r>
    </w:p>
    <w:p w14:paraId="245B0848" w14:textId="77777777" w:rsidR="008A2569" w:rsidRPr="008A2569" w:rsidRDefault="008A2569" w:rsidP="008A2569">
      <w:pPr>
        <w:jc w:val="both"/>
        <w:rPr>
          <w:color w:val="000000"/>
          <w:sz w:val="20"/>
          <w:szCs w:val="20"/>
        </w:rPr>
      </w:pPr>
    </w:p>
    <w:p w14:paraId="365E2F51" w14:textId="3AC799F8" w:rsidR="00BF5287" w:rsidRDefault="007A6E8C" w:rsidP="00BF5287">
      <w:pPr>
        <w:pStyle w:val="Paragraphedeliste"/>
        <w:spacing w:after="0" w:line="240" w:lineRule="auto"/>
        <w:ind w:left="0" w:firstLine="709"/>
        <w:jc w:val="both"/>
        <w:rPr>
          <w:rFonts w:ascii="Times New Roman" w:hAnsi="Times New Roman" w:cs="Times New Roman"/>
          <w:color w:val="000000"/>
          <w:sz w:val="20"/>
          <w:szCs w:val="20"/>
        </w:rPr>
      </w:pPr>
      <w:r w:rsidRPr="007A6E8C">
        <w:rPr>
          <w:rFonts w:ascii="Times New Roman" w:hAnsi="Times New Roman" w:cs="Times New Roman"/>
          <w:color w:val="000000"/>
          <w:sz w:val="20"/>
          <w:szCs w:val="20"/>
        </w:rPr>
        <w:t xml:space="preserve">Today, in the more liberalized and competitive energy market the focus on used fuel management leans towards the reduction of costs given the uncertain risks of the future unknown aspects of used fuel management activities. There have been essentially three “waves” since the initial developed practices with used fuel management, which are presented in Table 4. </w:t>
      </w:r>
    </w:p>
    <w:p w14:paraId="166A9BB5" w14:textId="12E435B7" w:rsidR="00BF5287" w:rsidRDefault="00BF5287" w:rsidP="00BF5287">
      <w:pPr>
        <w:pStyle w:val="Paragraphedeliste"/>
        <w:spacing w:after="0" w:line="240" w:lineRule="auto"/>
        <w:ind w:left="0" w:firstLine="709"/>
        <w:jc w:val="both"/>
        <w:rPr>
          <w:rFonts w:ascii="Times New Roman" w:hAnsi="Times New Roman" w:cs="Times New Roman"/>
          <w:b/>
          <w:color w:val="000000"/>
          <w:sz w:val="20"/>
          <w:szCs w:val="20"/>
        </w:rPr>
      </w:pPr>
    </w:p>
    <w:p w14:paraId="0689B281" w14:textId="34352881" w:rsidR="007A6E8C" w:rsidRPr="007A6E8C" w:rsidRDefault="007A6E8C" w:rsidP="007A6E8C">
      <w:pPr>
        <w:pStyle w:val="Paragraphedeliste"/>
        <w:spacing w:after="0" w:line="240" w:lineRule="auto"/>
        <w:ind w:left="0"/>
        <w:jc w:val="center"/>
        <w:rPr>
          <w:rFonts w:ascii="Times New Roman" w:hAnsi="Times New Roman" w:cs="Times New Roman"/>
          <w:b/>
          <w:color w:val="000000"/>
          <w:sz w:val="20"/>
          <w:szCs w:val="20"/>
        </w:rPr>
      </w:pPr>
      <w:r w:rsidRPr="007A6E8C">
        <w:rPr>
          <w:rFonts w:ascii="Times New Roman" w:hAnsi="Times New Roman" w:cs="Times New Roman"/>
          <w:b/>
          <w:color w:val="000000"/>
          <w:sz w:val="20"/>
          <w:szCs w:val="20"/>
        </w:rPr>
        <w:t>Table 4: Historic Trends in Used Fuel Management</w:t>
      </w:r>
    </w:p>
    <w:tbl>
      <w:tblPr>
        <w:tblStyle w:val="Grilledutableau"/>
        <w:tblW w:w="0" w:type="auto"/>
        <w:tblLook w:val="04A0" w:firstRow="1" w:lastRow="0" w:firstColumn="1" w:lastColumn="0" w:noHBand="0" w:noVBand="1"/>
      </w:tblPr>
      <w:tblGrid>
        <w:gridCol w:w="2460"/>
        <w:gridCol w:w="6596"/>
      </w:tblGrid>
      <w:tr w:rsidR="007A6E8C" w:rsidRPr="007A6E8C" w14:paraId="1D5059E8" w14:textId="77777777" w:rsidTr="00BF5287">
        <w:trPr>
          <w:trHeight w:val="187"/>
          <w:tblHeader/>
        </w:trPr>
        <w:tc>
          <w:tcPr>
            <w:tcW w:w="2460" w:type="dxa"/>
            <w:shd w:val="clear" w:color="auto" w:fill="BFBFBF" w:themeFill="background1" w:themeFillShade="BF"/>
            <w:vAlign w:val="center"/>
          </w:tcPr>
          <w:p w14:paraId="6B91C5D1" w14:textId="77777777" w:rsidR="007A6E8C" w:rsidRPr="007A6E8C" w:rsidRDefault="007A6E8C" w:rsidP="000B3A9A">
            <w:pPr>
              <w:pStyle w:val="Paragraphedeliste"/>
              <w:spacing w:after="0" w:line="240" w:lineRule="auto"/>
              <w:ind w:left="0"/>
              <w:jc w:val="center"/>
              <w:rPr>
                <w:rFonts w:ascii="Times New Roman" w:hAnsi="Times New Roman" w:cs="Times New Roman"/>
                <w:b/>
                <w:color w:val="000000"/>
                <w:sz w:val="20"/>
                <w:szCs w:val="20"/>
              </w:rPr>
            </w:pPr>
            <w:r w:rsidRPr="007A6E8C">
              <w:rPr>
                <w:rFonts w:ascii="Times New Roman" w:hAnsi="Times New Roman" w:cs="Times New Roman"/>
                <w:b/>
                <w:color w:val="000000"/>
                <w:sz w:val="20"/>
                <w:szCs w:val="20"/>
              </w:rPr>
              <w:t>Trend</w:t>
            </w:r>
          </w:p>
        </w:tc>
        <w:tc>
          <w:tcPr>
            <w:tcW w:w="6596" w:type="dxa"/>
            <w:shd w:val="clear" w:color="auto" w:fill="BFBFBF" w:themeFill="background1" w:themeFillShade="BF"/>
            <w:vAlign w:val="center"/>
          </w:tcPr>
          <w:p w14:paraId="525EE3A7" w14:textId="77777777" w:rsidR="007A6E8C" w:rsidRPr="007A6E8C" w:rsidRDefault="007A6E8C" w:rsidP="000B3A9A">
            <w:pPr>
              <w:pStyle w:val="Paragraphedeliste"/>
              <w:spacing w:after="0" w:line="240" w:lineRule="auto"/>
              <w:ind w:left="0"/>
              <w:jc w:val="center"/>
              <w:rPr>
                <w:rFonts w:ascii="Times New Roman" w:hAnsi="Times New Roman" w:cs="Times New Roman"/>
                <w:b/>
                <w:color w:val="000000"/>
                <w:sz w:val="20"/>
                <w:szCs w:val="20"/>
              </w:rPr>
            </w:pPr>
            <w:r w:rsidRPr="007A6E8C">
              <w:rPr>
                <w:rFonts w:ascii="Times New Roman" w:hAnsi="Times New Roman" w:cs="Times New Roman"/>
                <w:b/>
                <w:color w:val="000000"/>
                <w:sz w:val="20"/>
                <w:szCs w:val="20"/>
              </w:rPr>
              <w:t>Development</w:t>
            </w:r>
          </w:p>
        </w:tc>
      </w:tr>
      <w:tr w:rsidR="007A6E8C" w:rsidRPr="007A6E8C" w14:paraId="4ECC87A1" w14:textId="77777777" w:rsidTr="000B3A9A">
        <w:tc>
          <w:tcPr>
            <w:tcW w:w="2460" w:type="dxa"/>
            <w:shd w:val="clear" w:color="auto" w:fill="FFD966" w:themeFill="accent4" w:themeFillTint="99"/>
            <w:vAlign w:val="center"/>
          </w:tcPr>
          <w:p w14:paraId="2E95E3C3" w14:textId="77777777" w:rsidR="007A6E8C" w:rsidRPr="007A6E8C" w:rsidRDefault="007A6E8C" w:rsidP="000B3A9A">
            <w:pPr>
              <w:pStyle w:val="Paragraphedeliste"/>
              <w:spacing w:after="0" w:line="240" w:lineRule="auto"/>
              <w:ind w:left="0"/>
              <w:jc w:val="center"/>
              <w:rPr>
                <w:rFonts w:ascii="Times New Roman" w:hAnsi="Times New Roman" w:cs="Times New Roman"/>
                <w:b/>
                <w:color w:val="000000"/>
                <w:sz w:val="20"/>
                <w:szCs w:val="20"/>
              </w:rPr>
            </w:pPr>
            <w:r w:rsidRPr="007A6E8C">
              <w:rPr>
                <w:rFonts w:ascii="Times New Roman" w:hAnsi="Times New Roman" w:cs="Times New Roman"/>
                <w:b/>
                <w:color w:val="000000"/>
                <w:sz w:val="20"/>
                <w:szCs w:val="20"/>
              </w:rPr>
              <w:t>Wave 1</w:t>
            </w:r>
          </w:p>
        </w:tc>
        <w:tc>
          <w:tcPr>
            <w:tcW w:w="6596" w:type="dxa"/>
            <w:shd w:val="clear" w:color="auto" w:fill="FFD966" w:themeFill="accent4" w:themeFillTint="99"/>
          </w:tcPr>
          <w:p w14:paraId="474F7872" w14:textId="77777777" w:rsidR="007A6E8C" w:rsidRPr="007A6E8C" w:rsidRDefault="007A6E8C" w:rsidP="000B3A9A">
            <w:pPr>
              <w:pStyle w:val="Paragraphedeliste"/>
              <w:spacing w:after="0" w:line="240" w:lineRule="auto"/>
              <w:ind w:left="0"/>
              <w:jc w:val="both"/>
              <w:rPr>
                <w:rFonts w:ascii="Times New Roman" w:hAnsi="Times New Roman" w:cs="Times New Roman"/>
                <w:color w:val="000000"/>
                <w:sz w:val="20"/>
                <w:szCs w:val="20"/>
              </w:rPr>
            </w:pPr>
            <w:r w:rsidRPr="007A6E8C">
              <w:rPr>
                <w:rFonts w:ascii="Times New Roman" w:hAnsi="Times New Roman" w:cs="Times New Roman"/>
                <w:color w:val="000000"/>
                <w:sz w:val="20"/>
                <w:szCs w:val="20"/>
              </w:rPr>
              <w:t>Wave 1 dates back to the first decades of nuclear energy development where the transition towards fast spectrum reactors and closed fuel cycles was largely motivated by the reduced dependency on natural uranium, while also reducing the amount of spent fuel to be managed.</w:t>
            </w:r>
          </w:p>
        </w:tc>
      </w:tr>
      <w:tr w:rsidR="007A6E8C" w:rsidRPr="007A6E8C" w14:paraId="40E738E2" w14:textId="77777777" w:rsidTr="000B3A9A">
        <w:tc>
          <w:tcPr>
            <w:tcW w:w="2460" w:type="dxa"/>
            <w:shd w:val="clear" w:color="auto" w:fill="FFE599" w:themeFill="accent4" w:themeFillTint="66"/>
            <w:vAlign w:val="center"/>
          </w:tcPr>
          <w:p w14:paraId="177BF9A4" w14:textId="77777777" w:rsidR="007A6E8C" w:rsidRPr="007A6E8C" w:rsidRDefault="007A6E8C" w:rsidP="000B3A9A">
            <w:pPr>
              <w:pStyle w:val="Paragraphedeliste"/>
              <w:spacing w:after="0" w:line="240" w:lineRule="auto"/>
              <w:ind w:left="0"/>
              <w:jc w:val="center"/>
              <w:rPr>
                <w:rFonts w:ascii="Times New Roman" w:hAnsi="Times New Roman" w:cs="Times New Roman"/>
                <w:b/>
                <w:color w:val="000000"/>
                <w:sz w:val="20"/>
                <w:szCs w:val="20"/>
              </w:rPr>
            </w:pPr>
            <w:r w:rsidRPr="007A6E8C">
              <w:rPr>
                <w:rFonts w:ascii="Times New Roman" w:hAnsi="Times New Roman" w:cs="Times New Roman"/>
                <w:b/>
                <w:color w:val="000000"/>
                <w:sz w:val="20"/>
                <w:szCs w:val="20"/>
              </w:rPr>
              <w:t>Wave 2</w:t>
            </w:r>
          </w:p>
        </w:tc>
        <w:tc>
          <w:tcPr>
            <w:tcW w:w="6596" w:type="dxa"/>
            <w:shd w:val="clear" w:color="auto" w:fill="FFE599" w:themeFill="accent4" w:themeFillTint="66"/>
          </w:tcPr>
          <w:p w14:paraId="0A24CD5E" w14:textId="77777777" w:rsidR="007A6E8C" w:rsidRPr="007A6E8C" w:rsidRDefault="007A6E8C" w:rsidP="000B3A9A">
            <w:pPr>
              <w:pStyle w:val="Paragraphedeliste"/>
              <w:spacing w:after="0" w:line="240" w:lineRule="auto"/>
              <w:ind w:left="0"/>
              <w:jc w:val="both"/>
              <w:rPr>
                <w:rFonts w:ascii="Times New Roman" w:hAnsi="Times New Roman" w:cs="Times New Roman"/>
                <w:color w:val="000000"/>
                <w:sz w:val="20"/>
                <w:szCs w:val="20"/>
              </w:rPr>
            </w:pPr>
            <w:r w:rsidRPr="007A6E8C">
              <w:rPr>
                <w:rFonts w:ascii="Times New Roman" w:hAnsi="Times New Roman" w:cs="Times New Roman"/>
                <w:color w:val="000000"/>
                <w:sz w:val="20"/>
                <w:szCs w:val="20"/>
              </w:rPr>
              <w:t xml:space="preserve">The second wave covers the continued delay in DGR deployment programs. This includes State government, as well as international initiatives, studying options to reduce the amount and radiotoxicity of the waste to be disposed of. The Partitioning and Transmutation research seeking the most advanced fuel cycle options aimed at maximally reducing the amount of waste and transuranic content of the wastes is also associated with wave 2. </w:t>
            </w:r>
          </w:p>
        </w:tc>
      </w:tr>
      <w:tr w:rsidR="007A6E8C" w:rsidRPr="007A6E8C" w14:paraId="03DDCE5F" w14:textId="77777777" w:rsidTr="000B3A9A">
        <w:tc>
          <w:tcPr>
            <w:tcW w:w="2460" w:type="dxa"/>
            <w:shd w:val="clear" w:color="auto" w:fill="FFF2CC" w:themeFill="accent4" w:themeFillTint="33"/>
            <w:vAlign w:val="center"/>
          </w:tcPr>
          <w:p w14:paraId="017E169D" w14:textId="77777777" w:rsidR="007A6E8C" w:rsidRPr="007A6E8C" w:rsidRDefault="007A6E8C" w:rsidP="000B3A9A">
            <w:pPr>
              <w:pStyle w:val="Paragraphedeliste"/>
              <w:spacing w:after="0" w:line="240" w:lineRule="auto"/>
              <w:ind w:left="0"/>
              <w:jc w:val="center"/>
              <w:rPr>
                <w:rFonts w:ascii="Times New Roman" w:hAnsi="Times New Roman" w:cs="Times New Roman"/>
                <w:b/>
                <w:color w:val="000000"/>
                <w:sz w:val="20"/>
                <w:szCs w:val="20"/>
              </w:rPr>
            </w:pPr>
            <w:r w:rsidRPr="007A6E8C">
              <w:rPr>
                <w:rFonts w:ascii="Times New Roman" w:hAnsi="Times New Roman" w:cs="Times New Roman"/>
                <w:b/>
                <w:color w:val="000000"/>
                <w:sz w:val="20"/>
                <w:szCs w:val="20"/>
              </w:rPr>
              <w:t>Wave 3</w:t>
            </w:r>
          </w:p>
        </w:tc>
        <w:tc>
          <w:tcPr>
            <w:tcW w:w="6596" w:type="dxa"/>
            <w:shd w:val="clear" w:color="auto" w:fill="FFF2CC" w:themeFill="accent4" w:themeFillTint="33"/>
          </w:tcPr>
          <w:p w14:paraId="5D3636B6" w14:textId="77777777" w:rsidR="007A6E8C" w:rsidRPr="007A6E8C" w:rsidRDefault="007A6E8C" w:rsidP="000B3A9A">
            <w:pPr>
              <w:pStyle w:val="Paragraphedeliste"/>
              <w:spacing w:after="0" w:line="240" w:lineRule="auto"/>
              <w:ind w:left="0"/>
              <w:jc w:val="both"/>
              <w:rPr>
                <w:rFonts w:ascii="Times New Roman" w:hAnsi="Times New Roman" w:cs="Times New Roman"/>
                <w:b/>
                <w:color w:val="000000"/>
                <w:sz w:val="20"/>
                <w:szCs w:val="20"/>
              </w:rPr>
            </w:pPr>
            <w:r w:rsidRPr="007A6E8C">
              <w:rPr>
                <w:rFonts w:ascii="Times New Roman" w:hAnsi="Times New Roman" w:cs="Times New Roman"/>
                <w:color w:val="000000"/>
                <w:sz w:val="20"/>
                <w:szCs w:val="20"/>
              </w:rPr>
              <w:t>Wave 3 operates nearly in tandem with wave 2, as the nuclear industry and utilities deploy new and innovative approaches to further the performance of fuels and the waste arising from Nuclear Power Plants and fuel cycle facilities. These performance gains guarantee continued competitiveness and compliance with regulatory changes over time.</w:t>
            </w:r>
          </w:p>
        </w:tc>
      </w:tr>
    </w:tbl>
    <w:p w14:paraId="6F42C0D1" w14:textId="77777777" w:rsidR="007A6E8C" w:rsidRPr="00C375DA" w:rsidRDefault="007A6E8C" w:rsidP="007A6E8C">
      <w:pPr>
        <w:pStyle w:val="Paragraphedeliste"/>
        <w:spacing w:after="0" w:line="240" w:lineRule="auto"/>
        <w:ind w:left="0"/>
        <w:jc w:val="both"/>
        <w:rPr>
          <w:rFonts w:ascii="Arial" w:hAnsi="Arial" w:cs="Arial"/>
          <w:b/>
          <w:color w:val="000000"/>
          <w:sz w:val="20"/>
          <w:szCs w:val="20"/>
        </w:rPr>
      </w:pPr>
    </w:p>
    <w:p w14:paraId="6EEBF581" w14:textId="77777777" w:rsidR="007A6E8C" w:rsidRPr="008D0BFD" w:rsidRDefault="007A6E8C" w:rsidP="007A6E8C">
      <w:pPr>
        <w:pStyle w:val="Paragraphedeliste"/>
        <w:spacing w:after="0" w:line="240" w:lineRule="auto"/>
        <w:ind w:left="0"/>
        <w:jc w:val="both"/>
        <w:rPr>
          <w:rFonts w:ascii="Arial" w:hAnsi="Arial" w:cs="Arial"/>
          <w:color w:val="000000"/>
          <w:sz w:val="20"/>
          <w:szCs w:val="20"/>
        </w:rPr>
      </w:pPr>
    </w:p>
    <w:p w14:paraId="6D363F23" w14:textId="77777777" w:rsidR="007A6E8C" w:rsidRPr="007A6E8C" w:rsidRDefault="007A6E8C" w:rsidP="007A6E8C">
      <w:pPr>
        <w:ind w:firstLine="709"/>
        <w:jc w:val="both"/>
        <w:rPr>
          <w:color w:val="000000"/>
          <w:sz w:val="20"/>
          <w:szCs w:val="20"/>
        </w:rPr>
      </w:pPr>
      <w:r w:rsidRPr="007A6E8C">
        <w:rPr>
          <w:color w:val="000000"/>
          <w:sz w:val="20"/>
          <w:szCs w:val="20"/>
        </w:rPr>
        <w:t>While the strategic objectives of the first two “waves” may continue to remain relevant in the long run, utilities will need to ensure that short to long-term management of used fuel is adequately manages long-term risk, while being exposed to an increasing amount of uncertain socio-political and technical-economic impacts increasingly affecting their competitiveness and financial rating.</w:t>
      </w:r>
    </w:p>
    <w:p w14:paraId="5521037F" w14:textId="77777777" w:rsidR="007A6E8C" w:rsidRPr="007A6E8C" w:rsidRDefault="007A6E8C" w:rsidP="007A6E8C">
      <w:pPr>
        <w:ind w:firstLine="709"/>
        <w:jc w:val="both"/>
        <w:rPr>
          <w:color w:val="000000"/>
          <w:sz w:val="20"/>
          <w:szCs w:val="20"/>
        </w:rPr>
      </w:pPr>
    </w:p>
    <w:p w14:paraId="6E8FFA9F" w14:textId="31B9EA98" w:rsidR="007A6E8C" w:rsidRPr="007A6E8C" w:rsidRDefault="007A6E8C" w:rsidP="007A6E8C">
      <w:pPr>
        <w:ind w:firstLine="709"/>
        <w:jc w:val="both"/>
        <w:rPr>
          <w:color w:val="000000"/>
          <w:sz w:val="20"/>
          <w:szCs w:val="20"/>
        </w:rPr>
      </w:pPr>
      <w:r w:rsidRPr="007A6E8C">
        <w:rPr>
          <w:color w:val="000000"/>
          <w:sz w:val="20"/>
          <w:szCs w:val="20"/>
        </w:rPr>
        <w:t>Today’s solutions, fruit of past Research &amp; Development (R&amp;D) provide a number of avenues for improved sustainability of used fuel management activities.  In this regard, new build projects and fuel cycle developments may see industrial deployment during the coming two decades as an outgrowth of today’s investments and R&amp;D. Particularly, multi-recycling schemes in LWR</w:t>
      </w:r>
      <w:r w:rsidR="00391531">
        <w:rPr>
          <w:rStyle w:val="Appelnotedebasdep"/>
          <w:color w:val="000000"/>
          <w:sz w:val="20"/>
          <w:szCs w:val="20"/>
        </w:rPr>
        <w:footnoteReference w:id="15"/>
      </w:r>
      <w:r w:rsidRPr="007A6E8C">
        <w:rPr>
          <w:color w:val="000000"/>
          <w:sz w:val="20"/>
          <w:szCs w:val="20"/>
        </w:rPr>
        <w:t>/VVER</w:t>
      </w:r>
      <w:r w:rsidR="0053775A">
        <w:rPr>
          <w:color w:val="000000"/>
          <w:sz w:val="20"/>
          <w:szCs w:val="20"/>
        </w:rPr>
        <w:t>s</w:t>
      </w:r>
      <w:r w:rsidRPr="007A6E8C">
        <w:rPr>
          <w:rStyle w:val="Appelnotedebasdep"/>
          <w:color w:val="000000"/>
          <w:sz w:val="20"/>
          <w:szCs w:val="20"/>
        </w:rPr>
        <w:footnoteReference w:id="16"/>
      </w:r>
      <w:r w:rsidRPr="007A6E8C">
        <w:rPr>
          <w:color w:val="000000"/>
          <w:sz w:val="20"/>
          <w:szCs w:val="20"/>
        </w:rPr>
        <w:t xml:space="preserve"> could provide solutions to used fuel management in meaningfully reducing their cost and risk exposure. Choices in tomorrow’s R&amp;D will lead to further improvements though, the fruits of these efforts will not be realized until the latter half of this century. </w:t>
      </w:r>
      <w:r w:rsidRPr="007A6E8C">
        <w:rPr>
          <w:color w:val="000000"/>
          <w:sz w:val="20"/>
          <w:szCs w:val="20"/>
        </w:rPr>
        <w:lastRenderedPageBreak/>
        <w:t>Fortunately, there is no shortage of evolutionary and innovative solutions to further improve used fuel management, as shown in Figure 4.</w:t>
      </w:r>
    </w:p>
    <w:p w14:paraId="2B0A8A03" w14:textId="77777777" w:rsidR="002B2F02" w:rsidRPr="008A2569" w:rsidRDefault="002B2F02" w:rsidP="002B2F02">
      <w:pPr>
        <w:rPr>
          <w:color w:val="000000"/>
          <w:sz w:val="20"/>
          <w:szCs w:val="20"/>
        </w:rPr>
      </w:pPr>
    </w:p>
    <w:p w14:paraId="4E5D6EDA" w14:textId="77777777" w:rsidR="002B2F02" w:rsidRPr="008A2569" w:rsidRDefault="002B2F02" w:rsidP="002B2F02">
      <w:pPr>
        <w:rPr>
          <w:color w:val="000000"/>
          <w:sz w:val="20"/>
          <w:szCs w:val="20"/>
        </w:rPr>
      </w:pPr>
    </w:p>
    <w:p w14:paraId="71729242" w14:textId="77777777" w:rsidR="002B2F02" w:rsidRPr="006056B8" w:rsidRDefault="002B2F02" w:rsidP="00BF5287">
      <w:pPr>
        <w:keepNext/>
        <w:jc w:val="center"/>
        <w:rPr>
          <w:color w:val="000000"/>
          <w:sz w:val="20"/>
          <w:szCs w:val="20"/>
        </w:rPr>
      </w:pPr>
      <w:r w:rsidRPr="006056B8">
        <w:rPr>
          <w:noProof/>
          <w:color w:val="000000"/>
          <w:sz w:val="20"/>
          <w:szCs w:val="20"/>
          <w:lang w:val="en-GB" w:eastAsia="en-GB"/>
        </w:rPr>
        <w:drawing>
          <wp:inline distT="0" distB="0" distL="0" distR="0" wp14:anchorId="5D6012B6" wp14:editId="53042DE5">
            <wp:extent cx="5648874" cy="3359889"/>
            <wp:effectExtent l="76200" t="76200" r="142875" b="126365"/>
            <wp:docPr id="38914" name="Picture 4">
              <a:extLst xmlns:a="http://schemas.openxmlformats.org/drawingml/2006/main">
                <a:ext uri="{FF2B5EF4-FFF2-40B4-BE49-F238E27FC236}">
                  <a16:creationId xmlns:a16="http://schemas.microsoft.com/office/drawing/2014/main" id="{D1F9AD6E-3927-C747-B177-185A710E43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14" name="Picture 4">
                      <a:extLst>
                        <a:ext uri="{FF2B5EF4-FFF2-40B4-BE49-F238E27FC236}">
                          <a16:creationId xmlns:a16="http://schemas.microsoft.com/office/drawing/2014/main" id="{D1F9AD6E-3927-C747-B177-185A710E4363}"/>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62032" cy="33677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361F1D9" w14:textId="49604ADE" w:rsidR="002B2F02" w:rsidRDefault="002B2F02" w:rsidP="00023937">
      <w:pPr>
        <w:pStyle w:val="Lgende"/>
        <w:jc w:val="center"/>
        <w:rPr>
          <w:rFonts w:ascii="Times New Roman" w:hAnsi="Times New Roman" w:cs="Times New Roman"/>
          <w:i w:val="0"/>
          <w:iCs w:val="0"/>
          <w:color w:val="000000"/>
          <w:sz w:val="20"/>
          <w:szCs w:val="20"/>
        </w:rPr>
      </w:pPr>
      <w:r w:rsidRPr="006056B8">
        <w:rPr>
          <w:rFonts w:ascii="Times New Roman" w:hAnsi="Times New Roman" w:cs="Times New Roman"/>
          <w:i w:val="0"/>
          <w:iCs w:val="0"/>
          <w:color w:val="000000"/>
          <w:sz w:val="20"/>
          <w:szCs w:val="20"/>
        </w:rPr>
        <w:t>Fig</w:t>
      </w:r>
      <w:r w:rsidR="008D0BFD" w:rsidRPr="006056B8">
        <w:rPr>
          <w:rFonts w:ascii="Times New Roman" w:hAnsi="Times New Roman" w:cs="Times New Roman"/>
          <w:i w:val="0"/>
          <w:iCs w:val="0"/>
          <w:color w:val="000000"/>
          <w:sz w:val="20"/>
          <w:szCs w:val="20"/>
        </w:rPr>
        <w:t xml:space="preserve"> </w:t>
      </w:r>
      <w:r w:rsidR="007A6E8C">
        <w:rPr>
          <w:rFonts w:ascii="Times New Roman" w:hAnsi="Times New Roman" w:cs="Times New Roman"/>
          <w:i w:val="0"/>
          <w:iCs w:val="0"/>
          <w:color w:val="000000"/>
          <w:sz w:val="20"/>
          <w:szCs w:val="20"/>
        </w:rPr>
        <w:t>4</w:t>
      </w:r>
      <w:r w:rsidR="008D0BFD" w:rsidRPr="006056B8">
        <w:rPr>
          <w:rFonts w:ascii="Times New Roman" w:hAnsi="Times New Roman" w:cs="Times New Roman"/>
          <w:i w:val="0"/>
          <w:iCs w:val="0"/>
          <w:color w:val="000000"/>
          <w:sz w:val="20"/>
          <w:szCs w:val="20"/>
        </w:rPr>
        <w:t>:</w:t>
      </w:r>
      <w:r w:rsidRPr="006056B8">
        <w:rPr>
          <w:rFonts w:ascii="Times New Roman" w:hAnsi="Times New Roman" w:cs="Times New Roman"/>
          <w:i w:val="0"/>
          <w:iCs w:val="0"/>
          <w:color w:val="000000"/>
          <w:sz w:val="20"/>
          <w:szCs w:val="20"/>
        </w:rPr>
        <w:t xml:space="preserve"> Overview of </w:t>
      </w:r>
      <w:r w:rsidR="007A6E8C">
        <w:rPr>
          <w:rFonts w:ascii="Times New Roman" w:hAnsi="Times New Roman" w:cs="Times New Roman"/>
          <w:i w:val="0"/>
          <w:iCs w:val="0"/>
          <w:color w:val="000000"/>
          <w:sz w:val="20"/>
          <w:szCs w:val="20"/>
        </w:rPr>
        <w:t>S</w:t>
      </w:r>
      <w:r w:rsidRPr="006056B8">
        <w:rPr>
          <w:rFonts w:ascii="Times New Roman" w:hAnsi="Times New Roman" w:cs="Times New Roman"/>
          <w:i w:val="0"/>
          <w:iCs w:val="0"/>
          <w:color w:val="000000"/>
          <w:sz w:val="20"/>
          <w:szCs w:val="20"/>
        </w:rPr>
        <w:t xml:space="preserve">ynergistic </w:t>
      </w:r>
      <w:r w:rsidR="007A6E8C">
        <w:rPr>
          <w:rFonts w:ascii="Times New Roman" w:hAnsi="Times New Roman" w:cs="Times New Roman"/>
          <w:i w:val="0"/>
          <w:iCs w:val="0"/>
          <w:color w:val="000000"/>
          <w:sz w:val="20"/>
          <w:szCs w:val="20"/>
        </w:rPr>
        <w:t>O</w:t>
      </w:r>
      <w:r w:rsidRPr="006056B8">
        <w:rPr>
          <w:rFonts w:ascii="Times New Roman" w:hAnsi="Times New Roman" w:cs="Times New Roman"/>
          <w:i w:val="0"/>
          <w:iCs w:val="0"/>
          <w:color w:val="000000"/>
          <w:sz w:val="20"/>
          <w:szCs w:val="20"/>
        </w:rPr>
        <w:t xml:space="preserve">ptions for </w:t>
      </w:r>
      <w:r w:rsidR="007A6E8C">
        <w:rPr>
          <w:rFonts w:ascii="Times New Roman" w:hAnsi="Times New Roman" w:cs="Times New Roman"/>
          <w:i w:val="0"/>
          <w:iCs w:val="0"/>
          <w:color w:val="000000"/>
          <w:sz w:val="20"/>
          <w:szCs w:val="20"/>
        </w:rPr>
        <w:t>I</w:t>
      </w:r>
      <w:r w:rsidRPr="006056B8">
        <w:rPr>
          <w:rFonts w:ascii="Times New Roman" w:hAnsi="Times New Roman" w:cs="Times New Roman"/>
          <w:i w:val="0"/>
          <w:iCs w:val="0"/>
          <w:color w:val="000000"/>
          <w:sz w:val="20"/>
          <w:szCs w:val="20"/>
        </w:rPr>
        <w:t xml:space="preserve">mproved </w:t>
      </w:r>
      <w:r w:rsidR="007A6E8C">
        <w:rPr>
          <w:rFonts w:ascii="Times New Roman" w:hAnsi="Times New Roman" w:cs="Times New Roman"/>
          <w:i w:val="0"/>
          <w:iCs w:val="0"/>
          <w:color w:val="000000"/>
          <w:sz w:val="20"/>
          <w:szCs w:val="20"/>
        </w:rPr>
        <w:t>Used F</w:t>
      </w:r>
      <w:r w:rsidR="008D0BFD" w:rsidRPr="006056B8">
        <w:rPr>
          <w:rFonts w:ascii="Times New Roman" w:hAnsi="Times New Roman" w:cs="Times New Roman"/>
          <w:i w:val="0"/>
          <w:iCs w:val="0"/>
          <w:color w:val="000000"/>
          <w:sz w:val="20"/>
          <w:szCs w:val="20"/>
        </w:rPr>
        <w:t xml:space="preserve">uel </w:t>
      </w:r>
      <w:r w:rsidR="007A6E8C">
        <w:rPr>
          <w:rFonts w:ascii="Times New Roman" w:hAnsi="Times New Roman" w:cs="Times New Roman"/>
          <w:i w:val="0"/>
          <w:iCs w:val="0"/>
          <w:color w:val="000000"/>
          <w:sz w:val="20"/>
          <w:szCs w:val="20"/>
        </w:rPr>
        <w:t>M</w:t>
      </w:r>
      <w:r w:rsidRPr="006056B8">
        <w:rPr>
          <w:rFonts w:ascii="Times New Roman" w:hAnsi="Times New Roman" w:cs="Times New Roman"/>
          <w:i w:val="0"/>
          <w:iCs w:val="0"/>
          <w:color w:val="000000"/>
          <w:sz w:val="20"/>
          <w:szCs w:val="20"/>
        </w:rPr>
        <w:t>anagement</w:t>
      </w:r>
    </w:p>
    <w:p w14:paraId="0E24F673" w14:textId="0E74EE15" w:rsidR="003C251D" w:rsidRDefault="003C251D" w:rsidP="003C251D">
      <w:pPr>
        <w:rPr>
          <w:lang w:val="en-GB" w:eastAsia="en-US"/>
        </w:rPr>
      </w:pPr>
    </w:p>
    <w:p w14:paraId="36DE650F" w14:textId="77777777" w:rsidR="00BE148D" w:rsidRPr="003C251D" w:rsidRDefault="00BE148D" w:rsidP="003C251D">
      <w:pPr>
        <w:rPr>
          <w:lang w:val="en-GB" w:eastAsia="en-US"/>
        </w:rPr>
      </w:pPr>
    </w:p>
    <w:p w14:paraId="661A78C5" w14:textId="3813A0C3" w:rsidR="00FD017D" w:rsidRPr="007A6E8C" w:rsidRDefault="008A2569" w:rsidP="007A6E8C">
      <w:pPr>
        <w:pStyle w:val="Paragraphedeliste"/>
        <w:numPr>
          <w:ilvl w:val="0"/>
          <w:numId w:val="33"/>
        </w:numPr>
        <w:rPr>
          <w:rFonts w:ascii="Times New Roman" w:hAnsi="Times New Roman" w:cs="Times New Roman"/>
          <w:color w:val="000000"/>
          <w:sz w:val="20"/>
          <w:szCs w:val="20"/>
        </w:rPr>
      </w:pPr>
      <w:r w:rsidRPr="007A6E8C">
        <w:rPr>
          <w:rFonts w:ascii="Times New Roman" w:hAnsi="Times New Roman" w:cs="Times New Roman"/>
          <w:color w:val="000000"/>
          <w:sz w:val="20"/>
          <w:szCs w:val="20"/>
        </w:rPr>
        <w:t>CONCLUSIONS</w:t>
      </w:r>
    </w:p>
    <w:p w14:paraId="388BB2BC" w14:textId="0CB520FA" w:rsidR="00A35A3E" w:rsidRPr="00A35A3E" w:rsidRDefault="00A35A3E" w:rsidP="00A35A3E">
      <w:pPr>
        <w:ind w:firstLine="709"/>
        <w:jc w:val="both"/>
        <w:rPr>
          <w:color w:val="000000"/>
          <w:sz w:val="20"/>
          <w:szCs w:val="20"/>
        </w:rPr>
      </w:pPr>
      <w:r w:rsidRPr="00A35A3E">
        <w:rPr>
          <w:bCs/>
          <w:color w:val="000000"/>
          <w:sz w:val="20"/>
          <w:szCs w:val="20"/>
        </w:rPr>
        <w:t xml:space="preserve">As presented herein, industrial infrastructures </w:t>
      </w:r>
      <w:r w:rsidRPr="00A35A3E">
        <w:rPr>
          <w:color w:val="000000"/>
          <w:sz w:val="20"/>
          <w:szCs w:val="20"/>
        </w:rPr>
        <w:t xml:space="preserve">and technologies are readily available (or planned) to assist in the efficient and safe management </w:t>
      </w:r>
      <w:r w:rsidR="009103E3">
        <w:rPr>
          <w:color w:val="000000"/>
          <w:sz w:val="20"/>
          <w:szCs w:val="20"/>
        </w:rPr>
        <w:t>through the various</w:t>
      </w:r>
      <w:r w:rsidRPr="00A35A3E">
        <w:rPr>
          <w:color w:val="000000"/>
          <w:sz w:val="20"/>
          <w:szCs w:val="20"/>
        </w:rPr>
        <w:t xml:space="preserve"> stages of </w:t>
      </w:r>
      <w:r w:rsidR="001375F1">
        <w:rPr>
          <w:color w:val="000000"/>
          <w:sz w:val="20"/>
          <w:szCs w:val="20"/>
        </w:rPr>
        <w:t xml:space="preserve">the </w:t>
      </w:r>
      <w:r w:rsidRPr="00A35A3E">
        <w:rPr>
          <w:color w:val="000000"/>
          <w:sz w:val="20"/>
          <w:szCs w:val="20"/>
        </w:rPr>
        <w:t>used fuel cycle (i.e., storage (wet or dry) (AR or AFR), reprocessing, recycling and transportation (road, rail, sea)). With regard to choosing an “open” or “closed” fuel cycle, despite ongoing delays in siting, constructing and operating a DGR, this does not impose a</w:t>
      </w:r>
      <w:r w:rsidR="009103E3">
        <w:rPr>
          <w:color w:val="000000"/>
          <w:sz w:val="20"/>
          <w:szCs w:val="20"/>
        </w:rPr>
        <w:t xml:space="preserve">n </w:t>
      </w:r>
      <w:r w:rsidR="00BD25D6">
        <w:rPr>
          <w:color w:val="000000"/>
          <w:sz w:val="20"/>
          <w:szCs w:val="20"/>
        </w:rPr>
        <w:t xml:space="preserve">inordinate </w:t>
      </w:r>
      <w:r w:rsidR="00BD25D6" w:rsidRPr="00A35A3E">
        <w:rPr>
          <w:color w:val="000000"/>
          <w:sz w:val="20"/>
          <w:szCs w:val="20"/>
        </w:rPr>
        <w:t>discriminatory</w:t>
      </w:r>
      <w:r w:rsidRPr="00A35A3E">
        <w:rPr>
          <w:color w:val="000000"/>
          <w:sz w:val="20"/>
          <w:szCs w:val="20"/>
        </w:rPr>
        <w:t xml:space="preserve"> economic impact when comparing the “open” and “closed” cycle. However, this is not the case with other aspects of used fuel management. Indeed, in the case of the “open cycle”, the long-term storage of used fuel may raise specific issues in terms of safety (cladding integrity) or security (physical protection), while the long-term storage of reprocessed spent fuel and other HLW does not raise such additional issues. </w:t>
      </w:r>
    </w:p>
    <w:p w14:paraId="6254B455" w14:textId="77777777" w:rsidR="00A35A3E" w:rsidRPr="00A35A3E" w:rsidRDefault="00A35A3E" w:rsidP="00A35A3E">
      <w:pPr>
        <w:ind w:firstLine="709"/>
        <w:jc w:val="both"/>
        <w:rPr>
          <w:color w:val="000000"/>
          <w:sz w:val="20"/>
          <w:szCs w:val="20"/>
          <w:lang w:eastAsia="en-GB"/>
        </w:rPr>
      </w:pPr>
    </w:p>
    <w:p w14:paraId="6696F924" w14:textId="27BCB9AF" w:rsidR="00A35A3E" w:rsidRPr="00A35A3E" w:rsidRDefault="00A35A3E" w:rsidP="00A35A3E">
      <w:pPr>
        <w:ind w:firstLine="709"/>
        <w:jc w:val="both"/>
        <w:rPr>
          <w:color w:val="000000"/>
          <w:sz w:val="20"/>
          <w:szCs w:val="20"/>
        </w:rPr>
      </w:pPr>
      <w:r w:rsidRPr="00A35A3E">
        <w:rPr>
          <w:color w:val="000000"/>
          <w:sz w:val="20"/>
          <w:szCs w:val="20"/>
          <w:lang w:eastAsia="en-GB"/>
        </w:rPr>
        <w:t>Proposed</w:t>
      </w:r>
      <w:r w:rsidRPr="00A35A3E">
        <w:rPr>
          <w:color w:val="000000"/>
          <w:sz w:val="20"/>
          <w:szCs w:val="20"/>
        </w:rPr>
        <w:t xml:space="preserve"> timelines for the operations of DGRs varies from country to country but to-date it is estimated that the earliest operation of a DGR may occur in 2024, with other successive operational start-ups occurring throughout the 21</w:t>
      </w:r>
      <w:r w:rsidRPr="00A35A3E">
        <w:rPr>
          <w:color w:val="000000"/>
          <w:sz w:val="20"/>
          <w:szCs w:val="20"/>
          <w:vertAlign w:val="superscript"/>
        </w:rPr>
        <w:t>st</w:t>
      </w:r>
      <w:r w:rsidRPr="00A35A3E">
        <w:rPr>
          <w:color w:val="000000"/>
          <w:sz w:val="20"/>
          <w:szCs w:val="20"/>
        </w:rPr>
        <w:t xml:space="preserve"> Century.   Most designs for used fuel and HLW disposal are strongly influenced by the heat load of the waste. A reduction in heat load would make the design of a DGR more compact and, in some respects, easier to design. A positive side effect of current delays in implementing the DGR is that it reduces the radioactivity and subsequently the heat load that will be emplaced in the DGR. However, it causes upper ground interim storage to be seen as indefinite ‘interim’ storage</w:t>
      </w:r>
      <w:r w:rsidR="00E90252">
        <w:rPr>
          <w:color w:val="000000"/>
          <w:sz w:val="20"/>
          <w:szCs w:val="20"/>
        </w:rPr>
        <w:t xml:space="preserve"> with no end-point</w:t>
      </w:r>
      <w:r w:rsidRPr="00A35A3E">
        <w:rPr>
          <w:color w:val="000000"/>
          <w:sz w:val="20"/>
          <w:szCs w:val="20"/>
        </w:rPr>
        <w:t xml:space="preserve">, triggering stronger </w:t>
      </w:r>
      <w:r w:rsidRPr="00A35A3E">
        <w:rPr>
          <w:color w:val="000000"/>
          <w:sz w:val="20"/>
          <w:szCs w:val="20"/>
          <w:lang w:eastAsia="en-GB"/>
        </w:rPr>
        <w:t>negative</w:t>
      </w:r>
      <w:r w:rsidRPr="00A35A3E">
        <w:rPr>
          <w:color w:val="000000"/>
          <w:sz w:val="20"/>
          <w:szCs w:val="20"/>
        </w:rPr>
        <w:t xml:space="preserve"> views from the public and politicians on issues surrounding nuclear waste management.</w:t>
      </w:r>
    </w:p>
    <w:p w14:paraId="48E0D93B" w14:textId="77777777" w:rsidR="00A35A3E" w:rsidRPr="00A35A3E" w:rsidRDefault="00A35A3E" w:rsidP="00A35A3E">
      <w:pPr>
        <w:pStyle w:val="Paragraphedeliste"/>
        <w:spacing w:after="0" w:line="240" w:lineRule="auto"/>
        <w:ind w:left="0" w:firstLine="709"/>
        <w:rPr>
          <w:rFonts w:ascii="Times New Roman" w:hAnsi="Times New Roman" w:cs="Times New Roman"/>
          <w:color w:val="000000"/>
          <w:sz w:val="20"/>
          <w:szCs w:val="20"/>
          <w:lang w:val="en-US"/>
        </w:rPr>
      </w:pPr>
    </w:p>
    <w:p w14:paraId="74FA8FA3" w14:textId="1FC8694B" w:rsidR="00A35A3E" w:rsidRDefault="00A35A3E" w:rsidP="00A35A3E">
      <w:pPr>
        <w:ind w:firstLine="709"/>
        <w:jc w:val="both"/>
        <w:rPr>
          <w:sz w:val="20"/>
          <w:szCs w:val="20"/>
        </w:rPr>
      </w:pPr>
      <w:r w:rsidRPr="00A35A3E">
        <w:rPr>
          <w:color w:val="000000"/>
          <w:sz w:val="20"/>
          <w:szCs w:val="20"/>
        </w:rPr>
        <w:t>Finally, currently available and/or planned infrastructures will provide for the safe and secure management of used nuclear fuel and other HLW for</w:t>
      </w:r>
      <w:r w:rsidRPr="00A35A3E">
        <w:rPr>
          <w:bCs/>
          <w:color w:val="000000"/>
          <w:sz w:val="20"/>
          <w:szCs w:val="20"/>
        </w:rPr>
        <w:t xml:space="preserve"> many decades, while </w:t>
      </w:r>
      <w:r w:rsidR="001375F1">
        <w:rPr>
          <w:bCs/>
          <w:color w:val="000000"/>
          <w:sz w:val="20"/>
          <w:szCs w:val="20"/>
        </w:rPr>
        <w:t>efforts to</w:t>
      </w:r>
      <w:r w:rsidR="001375F1" w:rsidRPr="00A35A3E">
        <w:rPr>
          <w:bCs/>
          <w:color w:val="000000"/>
          <w:sz w:val="20"/>
          <w:szCs w:val="20"/>
        </w:rPr>
        <w:t xml:space="preserve"> </w:t>
      </w:r>
      <w:r w:rsidRPr="00A35A3E">
        <w:rPr>
          <w:bCs/>
          <w:color w:val="000000"/>
          <w:sz w:val="20"/>
          <w:szCs w:val="20"/>
        </w:rPr>
        <w:t>complete and operate a DGR</w:t>
      </w:r>
      <w:r w:rsidR="001375F1">
        <w:rPr>
          <w:bCs/>
          <w:color w:val="000000"/>
          <w:sz w:val="20"/>
          <w:szCs w:val="20"/>
        </w:rPr>
        <w:t xml:space="preserve"> continue</w:t>
      </w:r>
      <w:r w:rsidRPr="00A35A3E">
        <w:rPr>
          <w:bCs/>
          <w:color w:val="000000"/>
          <w:sz w:val="20"/>
          <w:szCs w:val="20"/>
        </w:rPr>
        <w:t xml:space="preserve">.  </w:t>
      </w:r>
      <w:r w:rsidRPr="00A35A3E">
        <w:rPr>
          <w:color w:val="000000"/>
          <w:sz w:val="20"/>
          <w:szCs w:val="20"/>
        </w:rPr>
        <w:t>Though there are a few positive trajectories in three countries (i.e., Finland, Sweden and France) it is likely imagined that most of the planned DGR projects will suffer some type of lengthy delay</w:t>
      </w:r>
      <w:r w:rsidRPr="00A35A3E">
        <w:rPr>
          <w:bCs/>
          <w:color w:val="000000"/>
          <w:sz w:val="20"/>
          <w:szCs w:val="20"/>
        </w:rPr>
        <w:t xml:space="preserve">, mostly as a result of lack of political ambition, influenced by negative social views of long-term disposal of nuclear waste. </w:t>
      </w:r>
      <w:r w:rsidRPr="00A35A3E">
        <w:rPr>
          <w:color w:val="000000"/>
          <w:sz w:val="20"/>
          <w:szCs w:val="20"/>
        </w:rPr>
        <w:t>This being said, the global nuclear industry h</w:t>
      </w:r>
      <w:r w:rsidRPr="00A35A3E">
        <w:rPr>
          <w:sz w:val="20"/>
          <w:szCs w:val="20"/>
        </w:rPr>
        <w:t>as full capacity to mitigate both seen and unseen risks or uncertainties, all while</w:t>
      </w:r>
      <w:r w:rsidRPr="00A35A3E">
        <w:rPr>
          <w:color w:val="000000"/>
          <w:sz w:val="20"/>
          <w:szCs w:val="20"/>
        </w:rPr>
        <w:t xml:space="preserve"> it continues to d</w:t>
      </w:r>
      <w:r w:rsidRPr="00A35A3E">
        <w:rPr>
          <w:sz w:val="20"/>
          <w:szCs w:val="20"/>
        </w:rPr>
        <w:t xml:space="preserve">evelop implementable innovative programs to constantly increase efficiency and safety. </w:t>
      </w:r>
    </w:p>
    <w:p w14:paraId="62617A5D" w14:textId="77777777" w:rsidR="003647F4" w:rsidRDefault="003647F4" w:rsidP="00A35A3E">
      <w:pPr>
        <w:ind w:firstLine="709"/>
        <w:jc w:val="both"/>
        <w:rPr>
          <w:sz w:val="20"/>
          <w:szCs w:val="20"/>
        </w:rPr>
      </w:pPr>
    </w:p>
    <w:p w14:paraId="50A02943" w14:textId="77777777" w:rsidR="003647F4" w:rsidRDefault="003647F4" w:rsidP="00A35A3E">
      <w:pPr>
        <w:ind w:firstLine="709"/>
        <w:jc w:val="both"/>
        <w:rPr>
          <w:sz w:val="20"/>
          <w:szCs w:val="20"/>
        </w:rPr>
      </w:pPr>
    </w:p>
    <w:p w14:paraId="7911F1C6" w14:textId="40751F35" w:rsidR="00A35A3E" w:rsidRDefault="00A35A3E" w:rsidP="00A35A3E">
      <w:pPr>
        <w:ind w:firstLine="709"/>
        <w:jc w:val="both"/>
        <w:rPr>
          <w:sz w:val="20"/>
          <w:szCs w:val="20"/>
        </w:rPr>
      </w:pPr>
    </w:p>
    <w:p w14:paraId="043DE12E" w14:textId="3AD5A78A" w:rsidR="00A35A3E" w:rsidRPr="00A35A3E" w:rsidRDefault="00A35A3E" w:rsidP="00A35A3E">
      <w:pPr>
        <w:pStyle w:val="Paragraphedeliste"/>
        <w:numPr>
          <w:ilvl w:val="0"/>
          <w:numId w:val="33"/>
        </w:numPr>
        <w:rPr>
          <w:rFonts w:ascii="Times New Roman" w:hAnsi="Times New Roman" w:cs="Times New Roman"/>
          <w:color w:val="000000"/>
          <w:sz w:val="20"/>
          <w:szCs w:val="20"/>
        </w:rPr>
      </w:pPr>
      <w:r w:rsidRPr="00A35A3E">
        <w:rPr>
          <w:rFonts w:ascii="Times New Roman" w:hAnsi="Times New Roman" w:cs="Times New Roman"/>
          <w:color w:val="000000"/>
          <w:sz w:val="20"/>
          <w:szCs w:val="20"/>
        </w:rPr>
        <w:tab/>
        <w:t xml:space="preserve">REFERENCES </w:t>
      </w:r>
    </w:p>
    <w:p w14:paraId="0F392526" w14:textId="77777777" w:rsidR="00A35A3E" w:rsidRDefault="00A35A3E" w:rsidP="00A35A3E">
      <w:pPr>
        <w:jc w:val="both"/>
        <w:rPr>
          <w:sz w:val="20"/>
          <w:szCs w:val="20"/>
        </w:rPr>
      </w:pPr>
    </w:p>
    <w:p w14:paraId="54F451F7" w14:textId="384B79AF" w:rsidR="00A35A3E" w:rsidRDefault="00A35A3E" w:rsidP="00A35A3E">
      <w:pPr>
        <w:jc w:val="both"/>
        <w:rPr>
          <w:rFonts w:eastAsia="MS Mincho"/>
          <w:sz w:val="20"/>
          <w:szCs w:val="20"/>
        </w:rPr>
      </w:pPr>
      <w:r w:rsidRPr="00A35A3E">
        <w:rPr>
          <w:sz w:val="20"/>
          <w:szCs w:val="20"/>
        </w:rPr>
        <w:t xml:space="preserve">[1] </w:t>
      </w:r>
      <w:r w:rsidRPr="00A35A3E">
        <w:rPr>
          <w:rFonts w:eastAsia="MS Mincho"/>
          <w:sz w:val="20"/>
          <w:szCs w:val="20"/>
        </w:rPr>
        <w:t>IAEA Energy Technical Series NW-T-1.14, Status &amp; Trends on Spent Fuel and Radioactive Waste Management.</w:t>
      </w:r>
    </w:p>
    <w:p w14:paraId="4287F395" w14:textId="77777777" w:rsidR="00A35A3E" w:rsidRPr="00A35A3E" w:rsidRDefault="00A35A3E" w:rsidP="00A35A3E">
      <w:pPr>
        <w:jc w:val="both"/>
        <w:rPr>
          <w:rFonts w:eastAsia="MS Mincho"/>
          <w:sz w:val="20"/>
          <w:szCs w:val="20"/>
        </w:rPr>
      </w:pPr>
    </w:p>
    <w:p w14:paraId="3BF949AC" w14:textId="47DF3E77" w:rsidR="00A35A3E" w:rsidRDefault="00A35A3E" w:rsidP="00A35A3E">
      <w:pPr>
        <w:jc w:val="both"/>
        <w:rPr>
          <w:rFonts w:eastAsia="MS Mincho"/>
          <w:sz w:val="20"/>
          <w:szCs w:val="20"/>
        </w:rPr>
      </w:pPr>
      <w:r w:rsidRPr="00A35A3E">
        <w:rPr>
          <w:rFonts w:eastAsia="MS Mincho"/>
          <w:sz w:val="20"/>
          <w:szCs w:val="20"/>
        </w:rPr>
        <w:t xml:space="preserve">[2] International Atomic Energy Agency, INFCIRC/546, JOINT CONVENTION ON THE SAFETY OF SPENT FUEL MANAGEMENT AND ON THE SAFETY OF RADIOACTIVE WASTE MANAGEMENT, 24 December 1997, </w:t>
      </w:r>
      <w:hyperlink r:id="rId18" w:history="1">
        <w:r w:rsidRPr="00A35A3E">
          <w:rPr>
            <w:rStyle w:val="Lienhypertexte"/>
            <w:rFonts w:eastAsia="MS Mincho"/>
            <w:sz w:val="20"/>
            <w:szCs w:val="20"/>
          </w:rPr>
          <w:t>https://www.iaea.org/sites/default/files/infcirc546.pdf</w:t>
        </w:r>
      </w:hyperlink>
      <w:r w:rsidRPr="00A35A3E">
        <w:rPr>
          <w:rFonts w:eastAsia="MS Mincho"/>
          <w:sz w:val="20"/>
          <w:szCs w:val="20"/>
        </w:rPr>
        <w:t xml:space="preserve">, Accessed May 15, 2019. </w:t>
      </w:r>
    </w:p>
    <w:p w14:paraId="5A6C422E" w14:textId="77777777" w:rsidR="00A35A3E" w:rsidRPr="00A35A3E" w:rsidRDefault="00A35A3E" w:rsidP="00A35A3E">
      <w:pPr>
        <w:jc w:val="both"/>
        <w:rPr>
          <w:rFonts w:eastAsia="MS Mincho"/>
          <w:sz w:val="20"/>
          <w:szCs w:val="20"/>
        </w:rPr>
      </w:pPr>
    </w:p>
    <w:p w14:paraId="4A3EECD2" w14:textId="52FEACA4" w:rsidR="00A35A3E" w:rsidRDefault="00A35A3E" w:rsidP="00A35A3E">
      <w:pPr>
        <w:jc w:val="both"/>
        <w:rPr>
          <w:rFonts w:eastAsia="MS Mincho"/>
          <w:sz w:val="20"/>
          <w:szCs w:val="20"/>
        </w:rPr>
      </w:pPr>
      <w:r w:rsidRPr="00A35A3E">
        <w:rPr>
          <w:rFonts w:eastAsia="MS Mincho"/>
          <w:sz w:val="20"/>
          <w:szCs w:val="20"/>
        </w:rPr>
        <w:t>[</w:t>
      </w:r>
      <w:r w:rsidR="00611290">
        <w:rPr>
          <w:rFonts w:eastAsia="MS Mincho"/>
          <w:sz w:val="20"/>
          <w:szCs w:val="20"/>
        </w:rPr>
        <w:t>3</w:t>
      </w:r>
      <w:r w:rsidRPr="00A35A3E">
        <w:rPr>
          <w:rFonts w:eastAsia="MS Mincho"/>
          <w:sz w:val="20"/>
          <w:szCs w:val="20"/>
        </w:rPr>
        <w:t xml:space="preserve">] </w:t>
      </w:r>
      <w:proofErr w:type="spellStart"/>
      <w:r w:rsidRPr="00A35A3E">
        <w:rPr>
          <w:rFonts w:eastAsia="MS Mincho"/>
          <w:sz w:val="20"/>
          <w:szCs w:val="20"/>
        </w:rPr>
        <w:t>Organisation</w:t>
      </w:r>
      <w:proofErr w:type="spellEnd"/>
      <w:r w:rsidRPr="00A35A3E">
        <w:rPr>
          <w:rFonts w:eastAsia="MS Mincho"/>
          <w:sz w:val="20"/>
          <w:szCs w:val="20"/>
        </w:rPr>
        <w:t xml:space="preserve"> for Economic Co-operation and Development, Nuclear Energy Agency, “THE ECONOMICS OF THE BACK END OF THE NUCLEAR FUEL CYCLE”, NEA No. 7061, </w:t>
      </w:r>
      <w:hyperlink r:id="rId19" w:history="1">
        <w:r w:rsidRPr="00A35A3E">
          <w:rPr>
            <w:rStyle w:val="Lienhypertexte"/>
            <w:rFonts w:eastAsia="MS Mincho"/>
            <w:sz w:val="20"/>
            <w:szCs w:val="20"/>
          </w:rPr>
          <w:t>https://www.oecd-nea.org/ndd/pubs/2013/7061-ebenfc.pdf</w:t>
        </w:r>
      </w:hyperlink>
      <w:r w:rsidRPr="00A35A3E">
        <w:rPr>
          <w:rFonts w:eastAsia="MS Mincho"/>
          <w:sz w:val="20"/>
          <w:szCs w:val="20"/>
        </w:rPr>
        <w:t xml:space="preserve">, Accessed May 15, 2019. </w:t>
      </w:r>
    </w:p>
    <w:p w14:paraId="5F3919F7" w14:textId="77777777" w:rsidR="00A35A3E" w:rsidRPr="00A35A3E" w:rsidRDefault="00A35A3E" w:rsidP="00A35A3E">
      <w:pPr>
        <w:jc w:val="both"/>
        <w:rPr>
          <w:color w:val="000000"/>
          <w:sz w:val="20"/>
          <w:szCs w:val="20"/>
        </w:rPr>
      </w:pPr>
    </w:p>
    <w:p w14:paraId="144302F7" w14:textId="77777777" w:rsidR="00A35A3E" w:rsidRPr="00A35A3E" w:rsidRDefault="00A35A3E" w:rsidP="00A35A3E">
      <w:pPr>
        <w:rPr>
          <w:sz w:val="20"/>
          <w:szCs w:val="20"/>
        </w:rPr>
      </w:pPr>
    </w:p>
    <w:sectPr w:rsidR="00A35A3E" w:rsidRPr="00A35A3E" w:rsidSect="00D22CC8">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AAC5E" w14:textId="77777777" w:rsidR="00C23C8E" w:rsidRDefault="00C23C8E" w:rsidP="00024618">
      <w:r>
        <w:separator/>
      </w:r>
    </w:p>
  </w:endnote>
  <w:endnote w:type="continuationSeparator" w:id="0">
    <w:p w14:paraId="2CA4A70E" w14:textId="77777777" w:rsidR="00C23C8E" w:rsidRDefault="00C23C8E" w:rsidP="0002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63603" w14:textId="77777777" w:rsidR="00C23C8E" w:rsidRDefault="00C23C8E" w:rsidP="00024618">
      <w:r>
        <w:separator/>
      </w:r>
    </w:p>
  </w:footnote>
  <w:footnote w:type="continuationSeparator" w:id="0">
    <w:p w14:paraId="248821E3" w14:textId="77777777" w:rsidR="00C23C8E" w:rsidRDefault="00C23C8E" w:rsidP="00024618">
      <w:r>
        <w:continuationSeparator/>
      </w:r>
    </w:p>
  </w:footnote>
  <w:footnote w:id="1">
    <w:p w14:paraId="5FAFF626" w14:textId="2F735D65" w:rsidR="00F737A4" w:rsidRPr="00A90436" w:rsidRDefault="00F737A4" w:rsidP="00F737A4">
      <w:pPr>
        <w:pStyle w:val="Notedebasdepage"/>
        <w:jc w:val="both"/>
        <w:rPr>
          <w:rFonts w:ascii="Times New Roman" w:hAnsi="Times New Roman" w:cs="Times New Roman"/>
          <w:sz w:val="16"/>
          <w:szCs w:val="16"/>
        </w:rPr>
      </w:pPr>
      <w:r w:rsidRPr="00A90436">
        <w:rPr>
          <w:rStyle w:val="Appelnotedebasdep"/>
          <w:rFonts w:ascii="Times New Roman" w:hAnsi="Times New Roman" w:cs="Times New Roman"/>
          <w:sz w:val="16"/>
          <w:szCs w:val="16"/>
        </w:rPr>
        <w:footnoteRef/>
      </w:r>
      <w:r w:rsidRPr="00A90436">
        <w:rPr>
          <w:rFonts w:ascii="Times New Roman" w:hAnsi="Times New Roman" w:cs="Times New Roman"/>
          <w:sz w:val="16"/>
          <w:szCs w:val="16"/>
        </w:rPr>
        <w:t xml:space="preserve"> See International Atomic Energy Agency, “The Nuclear Fuel Cycle”, </w:t>
      </w:r>
      <w:hyperlink r:id="rId1" w:history="1">
        <w:r w:rsidRPr="00A90436">
          <w:rPr>
            <w:rStyle w:val="Lienhypertexte"/>
            <w:rFonts w:ascii="Times New Roman" w:hAnsi="Times New Roman" w:cs="Times New Roman"/>
            <w:sz w:val="16"/>
            <w:szCs w:val="16"/>
          </w:rPr>
          <w:t>https://www.iaea.org/sites/default/files/nfc0811.pdf</w:t>
        </w:r>
      </w:hyperlink>
      <w:r w:rsidRPr="00A90436">
        <w:rPr>
          <w:rFonts w:ascii="Times New Roman" w:hAnsi="Times New Roman" w:cs="Times New Roman"/>
          <w:sz w:val="16"/>
          <w:szCs w:val="16"/>
        </w:rPr>
        <w:t xml:space="preserve">, viewed June 04, 2019. </w:t>
      </w:r>
    </w:p>
  </w:footnote>
  <w:footnote w:id="2">
    <w:p w14:paraId="2F88DBC2" w14:textId="77777777" w:rsidR="00974EDB" w:rsidRPr="00974EDB" w:rsidRDefault="00974EDB" w:rsidP="00974EDB">
      <w:pPr>
        <w:pStyle w:val="Notedebasdepage"/>
        <w:jc w:val="both"/>
        <w:rPr>
          <w:rFonts w:ascii="Times New Roman" w:hAnsi="Times New Roman" w:cs="Times New Roman"/>
          <w:sz w:val="16"/>
          <w:szCs w:val="16"/>
        </w:rPr>
      </w:pPr>
      <w:r w:rsidRPr="00974EDB">
        <w:rPr>
          <w:rStyle w:val="Appelnotedebasdep"/>
          <w:rFonts w:ascii="Times New Roman" w:hAnsi="Times New Roman" w:cs="Times New Roman"/>
          <w:sz w:val="16"/>
          <w:szCs w:val="16"/>
        </w:rPr>
        <w:footnoteRef/>
      </w:r>
      <w:r w:rsidRPr="00974EDB">
        <w:rPr>
          <w:rFonts w:ascii="Times New Roman" w:hAnsi="Times New Roman" w:cs="Times New Roman"/>
          <w:sz w:val="16"/>
          <w:szCs w:val="16"/>
        </w:rPr>
        <w:t xml:space="preserve"> This includes used fuel discharged in India and Pakistan. </w:t>
      </w:r>
    </w:p>
  </w:footnote>
  <w:footnote w:id="3">
    <w:p w14:paraId="30636B48" w14:textId="77777777" w:rsidR="00974EDB" w:rsidRPr="00992112" w:rsidRDefault="00974EDB" w:rsidP="00974EDB">
      <w:pPr>
        <w:pStyle w:val="Notedebasdepage"/>
        <w:jc w:val="both"/>
        <w:rPr>
          <w:rFonts w:ascii="Arial" w:hAnsi="Arial" w:cs="Arial"/>
          <w:sz w:val="16"/>
          <w:szCs w:val="16"/>
        </w:rPr>
      </w:pPr>
      <w:r w:rsidRPr="00974EDB">
        <w:rPr>
          <w:rStyle w:val="Appelnotedebasdep"/>
          <w:rFonts w:ascii="Times New Roman" w:hAnsi="Times New Roman" w:cs="Times New Roman"/>
          <w:sz w:val="16"/>
          <w:szCs w:val="16"/>
        </w:rPr>
        <w:footnoteRef/>
      </w:r>
      <w:r w:rsidRPr="00974EDB">
        <w:rPr>
          <w:rFonts w:ascii="Times New Roman" w:hAnsi="Times New Roman" w:cs="Times New Roman"/>
          <w:sz w:val="16"/>
          <w:szCs w:val="16"/>
        </w:rPr>
        <w:t xml:space="preserve"> In Figure 2, “AFR” is away-from-reactor and “AR” is at-reactor.</w:t>
      </w:r>
      <w:r w:rsidRPr="00992112">
        <w:rPr>
          <w:rFonts w:ascii="Arial" w:hAnsi="Arial" w:cs="Arial"/>
          <w:sz w:val="16"/>
          <w:szCs w:val="16"/>
        </w:rPr>
        <w:t xml:space="preserve"> </w:t>
      </w:r>
    </w:p>
  </w:footnote>
  <w:footnote w:id="4">
    <w:p w14:paraId="7FF3EA55" w14:textId="77777777" w:rsidR="00615DEC" w:rsidRPr="00615DEC" w:rsidRDefault="00615DEC" w:rsidP="00615DEC">
      <w:pPr>
        <w:pStyle w:val="Notedebasdepage"/>
        <w:jc w:val="both"/>
        <w:rPr>
          <w:rFonts w:ascii="Times New Roman" w:hAnsi="Times New Roman" w:cs="Times New Roman"/>
          <w:sz w:val="16"/>
          <w:szCs w:val="16"/>
        </w:rPr>
      </w:pPr>
      <w:r w:rsidRPr="00615DEC">
        <w:rPr>
          <w:rStyle w:val="Appelnotedebasdep"/>
          <w:rFonts w:ascii="Times New Roman" w:hAnsi="Times New Roman" w:cs="Times New Roman"/>
          <w:sz w:val="16"/>
          <w:szCs w:val="16"/>
        </w:rPr>
        <w:footnoteRef/>
      </w:r>
      <w:r w:rsidRPr="00615DEC">
        <w:rPr>
          <w:rFonts w:ascii="Times New Roman" w:hAnsi="Times New Roman" w:cs="Times New Roman"/>
          <w:sz w:val="16"/>
          <w:szCs w:val="16"/>
        </w:rPr>
        <w:t xml:space="preserve"> See: Preamble para. vii</w:t>
      </w:r>
    </w:p>
  </w:footnote>
  <w:footnote w:id="5">
    <w:p w14:paraId="4B71CEE4" w14:textId="77777777" w:rsidR="00615DEC" w:rsidRPr="00E24578" w:rsidRDefault="00615DEC" w:rsidP="003647F4">
      <w:pPr>
        <w:pStyle w:val="Notedebasdepage"/>
        <w:rPr>
          <w:rFonts w:ascii="Times New Roman" w:hAnsi="Times New Roman" w:cs="Times New Roman"/>
          <w:sz w:val="16"/>
          <w:szCs w:val="16"/>
        </w:rPr>
      </w:pPr>
      <w:r w:rsidRPr="00E24578">
        <w:rPr>
          <w:rStyle w:val="Appelnotedebasdep"/>
          <w:rFonts w:ascii="Times New Roman" w:hAnsi="Times New Roman" w:cs="Times New Roman"/>
          <w:sz w:val="16"/>
          <w:szCs w:val="16"/>
        </w:rPr>
        <w:footnoteRef/>
      </w:r>
      <w:r w:rsidRPr="00E24578">
        <w:rPr>
          <w:rFonts w:ascii="Times New Roman" w:hAnsi="Times New Roman" w:cs="Times New Roman"/>
          <w:sz w:val="16"/>
          <w:szCs w:val="16"/>
        </w:rPr>
        <w:t xml:space="preserve"> The UK has opted for an “open cycle” strategy for Sizewell B and the 16GWe of New Build to be implemented. All existing commercial scale reprocessing in the UK has already been terminated or will be terminated in the near future. </w:t>
      </w:r>
    </w:p>
  </w:footnote>
  <w:footnote w:id="6">
    <w:p w14:paraId="46F13C3A" w14:textId="534B8DBF" w:rsidR="00E24578" w:rsidRPr="00E24578" w:rsidRDefault="00E24578" w:rsidP="003647F4">
      <w:pPr>
        <w:pStyle w:val="Notedebasdepage"/>
        <w:rPr>
          <w:rFonts w:ascii="Times New Roman" w:hAnsi="Times New Roman" w:cs="Times New Roman"/>
          <w:sz w:val="16"/>
          <w:szCs w:val="16"/>
        </w:rPr>
      </w:pPr>
      <w:r w:rsidRPr="00E24578">
        <w:rPr>
          <w:rStyle w:val="Appelnotedebasdep"/>
          <w:rFonts w:ascii="Times New Roman" w:hAnsi="Times New Roman" w:cs="Times New Roman"/>
          <w:sz w:val="16"/>
          <w:szCs w:val="16"/>
        </w:rPr>
        <w:footnoteRef/>
      </w:r>
      <w:r w:rsidRPr="00E24578">
        <w:rPr>
          <w:rFonts w:ascii="Times New Roman" w:hAnsi="Times New Roman" w:cs="Times New Roman"/>
          <w:sz w:val="16"/>
          <w:szCs w:val="16"/>
        </w:rPr>
        <w:t xml:space="preserve"> See: Parliament of Australia, “Reprocessing Nuclear Fuel-France”, </w:t>
      </w:r>
      <w:hyperlink r:id="rId2" w:history="1">
        <w:r w:rsidRPr="00E24578">
          <w:rPr>
            <w:rStyle w:val="Lienhypertexte"/>
            <w:rFonts w:ascii="Times New Roman" w:hAnsi="Times New Roman" w:cs="Times New Roman"/>
            <w:sz w:val="16"/>
            <w:szCs w:val="16"/>
          </w:rPr>
          <w:t>https://www.aph.gov.au/Parliamentary_Business/Committees/Joint/Treaties/PACERPlus-Agreement/Report_179/section?id=committees%2Freportjnt%2F024162%2F25857</w:t>
        </w:r>
      </w:hyperlink>
      <w:r w:rsidRPr="00E24578">
        <w:rPr>
          <w:rFonts w:ascii="Times New Roman" w:hAnsi="Times New Roman" w:cs="Times New Roman"/>
          <w:sz w:val="16"/>
          <w:szCs w:val="16"/>
        </w:rPr>
        <w:t xml:space="preserve">, Accessed May 23, 2019. </w:t>
      </w:r>
    </w:p>
  </w:footnote>
  <w:footnote w:id="7">
    <w:p w14:paraId="42BEE33A" w14:textId="50D0F353" w:rsidR="00E24578" w:rsidRPr="00CA6D1C" w:rsidRDefault="00E24578">
      <w:pPr>
        <w:pStyle w:val="Notedebasdepage"/>
        <w:rPr>
          <w:rFonts w:ascii="Times New Roman" w:hAnsi="Times New Roman" w:cs="Times New Roman"/>
          <w:sz w:val="16"/>
          <w:szCs w:val="16"/>
        </w:rPr>
      </w:pPr>
      <w:r w:rsidRPr="00CA6D1C">
        <w:rPr>
          <w:rStyle w:val="Appelnotedebasdep"/>
          <w:rFonts w:ascii="Times New Roman" w:hAnsi="Times New Roman" w:cs="Times New Roman"/>
          <w:sz w:val="16"/>
          <w:szCs w:val="16"/>
        </w:rPr>
        <w:footnoteRef/>
      </w:r>
      <w:r w:rsidRPr="00CA6D1C">
        <w:rPr>
          <w:rFonts w:ascii="Times New Roman" w:hAnsi="Times New Roman" w:cs="Times New Roman"/>
          <w:sz w:val="16"/>
          <w:szCs w:val="16"/>
        </w:rPr>
        <w:t xml:space="preserve"> See: </w:t>
      </w:r>
      <w:proofErr w:type="spellStart"/>
      <w:r w:rsidRPr="00CA6D1C">
        <w:rPr>
          <w:rFonts w:ascii="Times New Roman" w:hAnsi="Times New Roman" w:cs="Times New Roman"/>
          <w:sz w:val="16"/>
          <w:szCs w:val="16"/>
        </w:rPr>
        <w:t>Areva</w:t>
      </w:r>
      <w:proofErr w:type="spellEnd"/>
      <w:r w:rsidRPr="00CA6D1C">
        <w:rPr>
          <w:rFonts w:ascii="Times New Roman" w:hAnsi="Times New Roman" w:cs="Times New Roman"/>
          <w:sz w:val="16"/>
          <w:szCs w:val="16"/>
        </w:rPr>
        <w:t xml:space="preserve">, “AREVA LA HAGUE: RENEWAL OF CONTRACT FOR USED FUEL MANAGEMENT FOR A BELGIAN RESEARCH REACTOR”, </w:t>
      </w:r>
      <w:hyperlink r:id="rId3" w:history="1">
        <w:r w:rsidRPr="00CA6D1C">
          <w:rPr>
            <w:rStyle w:val="Lienhypertexte"/>
            <w:rFonts w:ascii="Times New Roman" w:hAnsi="Times New Roman" w:cs="Times New Roman"/>
            <w:sz w:val="16"/>
            <w:szCs w:val="16"/>
          </w:rPr>
          <w:t>http://www.sa.areva.com/EN/news-10303/areva-la-hague-renewal-of-contract-for-used-fuel-management-for-a-belgian-research-reactor.html</w:t>
        </w:r>
      </w:hyperlink>
      <w:r w:rsidRPr="00CA6D1C">
        <w:rPr>
          <w:rFonts w:ascii="Times New Roman" w:hAnsi="Times New Roman" w:cs="Times New Roman"/>
          <w:sz w:val="16"/>
          <w:szCs w:val="16"/>
        </w:rPr>
        <w:t xml:space="preserve">, Accessed May 23, 2019. Also see: World Nuclear News, </w:t>
      </w:r>
      <w:r w:rsidR="00CA6D1C" w:rsidRPr="00CA6D1C">
        <w:rPr>
          <w:rFonts w:ascii="Times New Roman" w:hAnsi="Times New Roman" w:cs="Times New Roman"/>
          <w:sz w:val="16"/>
          <w:szCs w:val="16"/>
        </w:rPr>
        <w:t>“</w:t>
      </w:r>
      <w:proofErr w:type="spellStart"/>
      <w:r w:rsidRPr="00CA6D1C">
        <w:rPr>
          <w:rFonts w:ascii="Times New Roman" w:hAnsi="Times New Roman" w:cs="Times New Roman"/>
          <w:sz w:val="16"/>
          <w:szCs w:val="16"/>
        </w:rPr>
        <w:t>Areva</w:t>
      </w:r>
      <w:proofErr w:type="spellEnd"/>
      <w:r w:rsidRPr="00CA6D1C">
        <w:rPr>
          <w:rFonts w:ascii="Times New Roman" w:hAnsi="Times New Roman" w:cs="Times New Roman"/>
          <w:sz w:val="16"/>
          <w:szCs w:val="16"/>
        </w:rPr>
        <w:t xml:space="preserve"> signs nuclear fuel cycle contracts</w:t>
      </w:r>
      <w:r w:rsidR="00CA6D1C" w:rsidRPr="00CA6D1C">
        <w:rPr>
          <w:rFonts w:ascii="Times New Roman" w:hAnsi="Times New Roman" w:cs="Times New Roman"/>
          <w:sz w:val="16"/>
          <w:szCs w:val="16"/>
        </w:rPr>
        <w:t xml:space="preserve">” (July 01, 2016), </w:t>
      </w:r>
      <w:hyperlink r:id="rId4" w:history="1">
        <w:r w:rsidR="00CA6D1C" w:rsidRPr="00CA6D1C">
          <w:rPr>
            <w:rStyle w:val="Lienhypertexte"/>
            <w:rFonts w:ascii="Times New Roman" w:hAnsi="Times New Roman" w:cs="Times New Roman"/>
            <w:sz w:val="16"/>
            <w:szCs w:val="16"/>
          </w:rPr>
          <w:t>http://www.world-nuclear-news.org/C-Areva-signs-nuclear-fuel-cycle-contracts-0107165.html</w:t>
        </w:r>
      </w:hyperlink>
      <w:r w:rsidR="00CA6D1C" w:rsidRPr="00CA6D1C">
        <w:rPr>
          <w:rFonts w:ascii="Times New Roman" w:hAnsi="Times New Roman" w:cs="Times New Roman"/>
          <w:sz w:val="16"/>
          <w:szCs w:val="16"/>
        </w:rPr>
        <w:t xml:space="preserve">, Accessed, May 23, 2019. </w:t>
      </w:r>
    </w:p>
  </w:footnote>
  <w:footnote w:id="8">
    <w:p w14:paraId="18A076A2" w14:textId="4F42B330" w:rsidR="00CA6D1C" w:rsidRPr="001375F1" w:rsidRDefault="00CA6D1C" w:rsidP="001375F1">
      <w:pPr>
        <w:rPr>
          <w:sz w:val="16"/>
          <w:szCs w:val="16"/>
        </w:rPr>
      </w:pPr>
      <w:r w:rsidRPr="00033128">
        <w:rPr>
          <w:rStyle w:val="Appelnotedebasdep"/>
          <w:sz w:val="16"/>
          <w:szCs w:val="16"/>
        </w:rPr>
        <w:footnoteRef/>
      </w:r>
      <w:r w:rsidRPr="00033128">
        <w:rPr>
          <w:sz w:val="16"/>
          <w:szCs w:val="16"/>
        </w:rPr>
        <w:t xml:space="preserve"> Initially, a limited amount of fuel was sent abroad for reprocessing</w:t>
      </w:r>
      <w:r w:rsidR="00033128" w:rsidRPr="00033128">
        <w:rPr>
          <w:sz w:val="16"/>
          <w:szCs w:val="16"/>
        </w:rPr>
        <w:t xml:space="preserve">. However, the </w:t>
      </w:r>
      <w:r w:rsidRPr="00033128">
        <w:rPr>
          <w:sz w:val="16"/>
          <w:szCs w:val="16"/>
        </w:rPr>
        <w:t xml:space="preserve">approximately two </w:t>
      </w:r>
      <w:proofErr w:type="spellStart"/>
      <w:r w:rsidRPr="00033128">
        <w:rPr>
          <w:sz w:val="16"/>
          <w:szCs w:val="16"/>
        </w:rPr>
        <w:t>tonnes</w:t>
      </w:r>
      <w:proofErr w:type="spellEnd"/>
      <w:r w:rsidRPr="00033128">
        <w:rPr>
          <w:sz w:val="16"/>
          <w:szCs w:val="16"/>
        </w:rPr>
        <w:t xml:space="preserve"> of spent nuclear fuel from </w:t>
      </w:r>
      <w:proofErr w:type="spellStart"/>
      <w:r w:rsidRPr="00033128">
        <w:rPr>
          <w:sz w:val="16"/>
          <w:szCs w:val="16"/>
        </w:rPr>
        <w:t>Studsvik</w:t>
      </w:r>
      <w:proofErr w:type="spellEnd"/>
      <w:r w:rsidRPr="00033128">
        <w:rPr>
          <w:sz w:val="16"/>
          <w:szCs w:val="16"/>
        </w:rPr>
        <w:t xml:space="preserve"> Nuclear </w:t>
      </w:r>
      <w:r w:rsidRPr="008D1805">
        <w:rPr>
          <w:sz w:val="16"/>
          <w:szCs w:val="16"/>
        </w:rPr>
        <w:t>AB’s research activities are currently</w:t>
      </w:r>
      <w:r w:rsidR="00033128" w:rsidRPr="008D1805">
        <w:rPr>
          <w:sz w:val="16"/>
          <w:szCs w:val="16"/>
        </w:rPr>
        <w:t xml:space="preserve"> stored at the </w:t>
      </w:r>
      <w:r w:rsidRPr="008D1805">
        <w:rPr>
          <w:sz w:val="16"/>
          <w:szCs w:val="16"/>
        </w:rPr>
        <w:t>interim storage</w:t>
      </w:r>
      <w:r w:rsidR="00033128" w:rsidRPr="00BE148D">
        <w:rPr>
          <w:sz w:val="16"/>
          <w:szCs w:val="16"/>
        </w:rPr>
        <w:t xml:space="preserve"> facility, </w:t>
      </w:r>
      <w:proofErr w:type="spellStart"/>
      <w:r w:rsidRPr="00BE148D">
        <w:rPr>
          <w:sz w:val="16"/>
          <w:szCs w:val="16"/>
        </w:rPr>
        <w:t>Clab</w:t>
      </w:r>
      <w:proofErr w:type="spellEnd"/>
      <w:r w:rsidRPr="00BE148D">
        <w:rPr>
          <w:sz w:val="16"/>
          <w:szCs w:val="16"/>
        </w:rPr>
        <w:t xml:space="preserve">. </w:t>
      </w:r>
      <w:r w:rsidRPr="00391531">
        <w:rPr>
          <w:sz w:val="16"/>
          <w:szCs w:val="16"/>
        </w:rPr>
        <w:t xml:space="preserve">No fuel or radioactive waste from </w:t>
      </w:r>
      <w:r w:rsidR="00033128" w:rsidRPr="00391531">
        <w:rPr>
          <w:sz w:val="16"/>
          <w:szCs w:val="16"/>
        </w:rPr>
        <w:t>Sweden’s initial</w:t>
      </w:r>
      <w:r w:rsidRPr="00391531">
        <w:rPr>
          <w:sz w:val="16"/>
          <w:szCs w:val="16"/>
        </w:rPr>
        <w:t xml:space="preserve"> </w:t>
      </w:r>
      <w:r w:rsidR="00033128" w:rsidRPr="00391531">
        <w:rPr>
          <w:sz w:val="16"/>
          <w:szCs w:val="16"/>
        </w:rPr>
        <w:t>re</w:t>
      </w:r>
      <w:r w:rsidRPr="00391531">
        <w:rPr>
          <w:sz w:val="16"/>
          <w:szCs w:val="16"/>
        </w:rPr>
        <w:t xml:space="preserve">processing </w:t>
      </w:r>
      <w:r w:rsidR="00033128" w:rsidRPr="00ED50CE">
        <w:rPr>
          <w:sz w:val="16"/>
          <w:szCs w:val="16"/>
        </w:rPr>
        <w:t xml:space="preserve">activities </w:t>
      </w:r>
      <w:r w:rsidRPr="00ED50CE">
        <w:rPr>
          <w:sz w:val="16"/>
          <w:szCs w:val="16"/>
        </w:rPr>
        <w:t>will be</w:t>
      </w:r>
      <w:r w:rsidRPr="00423735">
        <w:rPr>
          <w:sz w:val="16"/>
          <w:szCs w:val="16"/>
        </w:rPr>
        <w:t xml:space="preserve"> returned to Sweden.</w:t>
      </w:r>
      <w:r w:rsidR="00033128" w:rsidRPr="00423735">
        <w:rPr>
          <w:sz w:val="16"/>
          <w:szCs w:val="16"/>
        </w:rPr>
        <w:t xml:space="preserve"> For </w:t>
      </w:r>
      <w:r w:rsidR="00033128">
        <w:rPr>
          <w:sz w:val="16"/>
          <w:szCs w:val="16"/>
        </w:rPr>
        <w:t>details on these activities,</w:t>
      </w:r>
      <w:r w:rsidR="00033128" w:rsidRPr="00033128">
        <w:rPr>
          <w:sz w:val="16"/>
          <w:szCs w:val="16"/>
        </w:rPr>
        <w:t xml:space="preserve"> go to Section A.7.2</w:t>
      </w:r>
      <w:r w:rsidR="00033128">
        <w:rPr>
          <w:sz w:val="16"/>
          <w:szCs w:val="16"/>
        </w:rPr>
        <w:t xml:space="preserve"> (pg. 32)</w:t>
      </w:r>
      <w:r w:rsidR="00033128" w:rsidRPr="00033128">
        <w:rPr>
          <w:sz w:val="16"/>
          <w:szCs w:val="16"/>
        </w:rPr>
        <w:t xml:space="preserve">, Sweden’s sixth national report under the Joint Convention on the safety of spent fuel management and on the safety of radioactive waste management, Ds 2017:51, </w:t>
      </w:r>
      <w:hyperlink r:id="rId5" w:history="1">
        <w:r w:rsidR="00033128" w:rsidRPr="00033128">
          <w:rPr>
            <w:rStyle w:val="Lienhypertexte"/>
            <w:rFonts w:eastAsiaTheme="majorEastAsia"/>
            <w:sz w:val="16"/>
            <w:szCs w:val="16"/>
          </w:rPr>
          <w:t>https://www.regeringen.se/4ab666/contentassets/1ea2b3363834451eb0f39f0060e6ace3/swedens-sixth-national-report-under-the-joint-convention-on-the-safety-of-spent-fuel-management-and-on-the-safety-of-radioactive-waste-management.pdf</w:t>
        </w:r>
      </w:hyperlink>
      <w:r w:rsidR="00033128" w:rsidRPr="00033128">
        <w:rPr>
          <w:sz w:val="16"/>
          <w:szCs w:val="16"/>
        </w:rPr>
        <w:t xml:space="preserve">,  </w:t>
      </w:r>
      <w:r w:rsidR="00033128">
        <w:rPr>
          <w:sz w:val="16"/>
          <w:szCs w:val="16"/>
        </w:rPr>
        <w:t>A</w:t>
      </w:r>
      <w:r w:rsidR="00033128" w:rsidRPr="00033128">
        <w:rPr>
          <w:sz w:val="16"/>
          <w:szCs w:val="16"/>
        </w:rPr>
        <w:t xml:space="preserve">ccessed </w:t>
      </w:r>
      <w:r w:rsidR="00033128">
        <w:rPr>
          <w:sz w:val="16"/>
          <w:szCs w:val="16"/>
        </w:rPr>
        <w:t>May 23</w:t>
      </w:r>
      <w:r w:rsidR="00033128" w:rsidRPr="00033128">
        <w:rPr>
          <w:sz w:val="16"/>
          <w:szCs w:val="16"/>
        </w:rPr>
        <w:t>, 2019.</w:t>
      </w:r>
    </w:p>
  </w:footnote>
  <w:footnote w:id="9">
    <w:p w14:paraId="1582E231" w14:textId="77777777" w:rsidR="00615DEC" w:rsidRPr="007A6E8C" w:rsidRDefault="00615DEC" w:rsidP="003647F4">
      <w:pPr>
        <w:pStyle w:val="Notedebasdepage"/>
        <w:rPr>
          <w:rFonts w:ascii="Times New Roman" w:hAnsi="Times New Roman" w:cs="Times New Roman"/>
          <w:sz w:val="16"/>
          <w:szCs w:val="16"/>
        </w:rPr>
      </w:pPr>
      <w:r w:rsidRPr="007A6E8C">
        <w:rPr>
          <w:rStyle w:val="Appelnotedebasdep"/>
          <w:rFonts w:ascii="Times New Roman" w:hAnsi="Times New Roman" w:cs="Times New Roman"/>
          <w:sz w:val="16"/>
          <w:szCs w:val="16"/>
        </w:rPr>
        <w:footnoteRef/>
      </w:r>
      <w:r w:rsidRPr="007A6E8C">
        <w:rPr>
          <w:rFonts w:ascii="Times New Roman" w:hAnsi="Times New Roman" w:cs="Times New Roman"/>
          <w:sz w:val="16"/>
          <w:szCs w:val="16"/>
        </w:rPr>
        <w:t xml:space="preserve"> See: Nuclear Decommissioning Authority, Factsheet, </w:t>
      </w:r>
      <w:r w:rsidRPr="007A6E8C">
        <w:rPr>
          <w:rFonts w:ascii="Times New Roman" w:hAnsi="Times New Roman" w:cs="Times New Roman"/>
          <w:i/>
          <w:sz w:val="16"/>
          <w:szCs w:val="16"/>
        </w:rPr>
        <w:t>Understanding activities that produce radioactive wastes in the UK</w:t>
      </w:r>
      <w:r w:rsidRPr="007A6E8C">
        <w:rPr>
          <w:rFonts w:ascii="Times New Roman" w:hAnsi="Times New Roman" w:cs="Times New Roman"/>
          <w:sz w:val="16"/>
          <w:szCs w:val="16"/>
        </w:rPr>
        <w:t xml:space="preserve">, </w:t>
      </w:r>
      <w:hyperlink r:id="rId6" w:history="1">
        <w:r w:rsidRPr="007A6E8C">
          <w:rPr>
            <w:rStyle w:val="Lienhypertexte"/>
            <w:rFonts w:ascii="Times New Roman" w:hAnsi="Times New Roman" w:cs="Times New Roman"/>
            <w:sz w:val="16"/>
            <w:szCs w:val="16"/>
          </w:rPr>
          <w:t>http://ukinventory.nda.gov.uk/wp-content/uploads/sites/2/2014/01/Fact-sheet-spent-fuel-reprocessing.pdf</w:t>
        </w:r>
      </w:hyperlink>
      <w:r w:rsidRPr="007A6E8C">
        <w:rPr>
          <w:rFonts w:ascii="Times New Roman" w:hAnsi="Times New Roman" w:cs="Times New Roman"/>
          <w:sz w:val="16"/>
          <w:szCs w:val="16"/>
        </w:rPr>
        <w:t xml:space="preserve">, Accessed May 15, 2019. </w:t>
      </w:r>
    </w:p>
  </w:footnote>
  <w:footnote w:id="10">
    <w:p w14:paraId="592C23C7" w14:textId="77777777" w:rsidR="00615DEC" w:rsidRPr="007A6E8C" w:rsidRDefault="00615DEC" w:rsidP="007A6E8C">
      <w:pPr>
        <w:pStyle w:val="Notedebasdepage"/>
        <w:jc w:val="both"/>
        <w:rPr>
          <w:rFonts w:ascii="Times New Roman" w:hAnsi="Times New Roman" w:cs="Times New Roman"/>
          <w:sz w:val="16"/>
          <w:szCs w:val="16"/>
        </w:rPr>
      </w:pPr>
      <w:r w:rsidRPr="007A6E8C">
        <w:rPr>
          <w:rStyle w:val="Appelnotedebasdep"/>
          <w:rFonts w:ascii="Times New Roman" w:hAnsi="Times New Roman" w:cs="Times New Roman"/>
          <w:sz w:val="16"/>
          <w:szCs w:val="16"/>
        </w:rPr>
        <w:footnoteRef/>
      </w:r>
      <w:r w:rsidRPr="007A6E8C">
        <w:rPr>
          <w:rFonts w:ascii="Times New Roman" w:hAnsi="Times New Roman" w:cs="Times New Roman"/>
          <w:sz w:val="16"/>
          <w:szCs w:val="16"/>
        </w:rPr>
        <w:t xml:space="preserve"> See: Japan Nuclear Fuel Limited, Website, “Reprocessing”, </w:t>
      </w:r>
      <w:hyperlink r:id="rId7" w:history="1">
        <w:r w:rsidRPr="007A6E8C">
          <w:rPr>
            <w:rStyle w:val="Lienhypertexte"/>
            <w:rFonts w:ascii="Times New Roman" w:hAnsi="Times New Roman" w:cs="Times New Roman"/>
            <w:sz w:val="16"/>
            <w:szCs w:val="16"/>
          </w:rPr>
          <w:t>https://www.jnfl.co.jp/en/business/reprocessing/</w:t>
        </w:r>
      </w:hyperlink>
      <w:r w:rsidRPr="007A6E8C">
        <w:rPr>
          <w:rFonts w:ascii="Times New Roman" w:hAnsi="Times New Roman" w:cs="Times New Roman"/>
          <w:sz w:val="16"/>
          <w:szCs w:val="16"/>
        </w:rPr>
        <w:t xml:space="preserve">, Accessed May 15, 2019. </w:t>
      </w:r>
    </w:p>
  </w:footnote>
  <w:footnote w:id="11">
    <w:p w14:paraId="0F471F17" w14:textId="70D8DD34" w:rsidR="008D1805" w:rsidRPr="008D1805" w:rsidRDefault="008D1805">
      <w:pPr>
        <w:pStyle w:val="Notedebasdepage"/>
        <w:rPr>
          <w:rFonts w:ascii="Times New Roman" w:hAnsi="Times New Roman" w:cs="Times New Roman"/>
          <w:sz w:val="16"/>
          <w:szCs w:val="16"/>
        </w:rPr>
      </w:pPr>
      <w:r w:rsidRPr="008D1805">
        <w:rPr>
          <w:rStyle w:val="Appelnotedebasdep"/>
          <w:rFonts w:ascii="Times New Roman" w:hAnsi="Times New Roman" w:cs="Times New Roman"/>
          <w:sz w:val="16"/>
          <w:szCs w:val="16"/>
        </w:rPr>
        <w:footnoteRef/>
      </w:r>
      <w:r w:rsidRPr="008D1805">
        <w:rPr>
          <w:rFonts w:ascii="Times New Roman" w:hAnsi="Times New Roman" w:cs="Times New Roman"/>
          <w:sz w:val="16"/>
          <w:szCs w:val="16"/>
        </w:rPr>
        <w:t xml:space="preserve"> See: Indian Programme on Reprocessing, </w:t>
      </w:r>
      <w:hyperlink r:id="rId8" w:history="1">
        <w:r w:rsidRPr="008D1805">
          <w:rPr>
            <w:rStyle w:val="Lienhypertexte"/>
            <w:rFonts w:ascii="Times New Roman" w:hAnsi="Times New Roman" w:cs="Times New Roman"/>
            <w:sz w:val="16"/>
            <w:szCs w:val="16"/>
          </w:rPr>
          <w:t>http://www.barc.gov.in/publications/eb/golden/nfc/toc/Chapter%206/6.pdf</w:t>
        </w:r>
      </w:hyperlink>
      <w:r w:rsidRPr="008D1805">
        <w:rPr>
          <w:rFonts w:ascii="Times New Roman" w:hAnsi="Times New Roman" w:cs="Times New Roman"/>
          <w:sz w:val="16"/>
          <w:szCs w:val="16"/>
        </w:rPr>
        <w:t xml:space="preserve">, Accessed May 23, 2019. </w:t>
      </w:r>
    </w:p>
  </w:footnote>
  <w:footnote w:id="12">
    <w:p w14:paraId="0D65800F" w14:textId="77777777" w:rsidR="00615DEC" w:rsidRPr="007A6E8C" w:rsidRDefault="00615DEC" w:rsidP="007A6E8C">
      <w:pPr>
        <w:pStyle w:val="Notedebasdepage"/>
        <w:jc w:val="both"/>
        <w:rPr>
          <w:rFonts w:ascii="Times New Roman" w:hAnsi="Times New Roman" w:cs="Times New Roman"/>
          <w:sz w:val="16"/>
          <w:szCs w:val="16"/>
        </w:rPr>
      </w:pPr>
      <w:r w:rsidRPr="007A6E8C">
        <w:rPr>
          <w:rStyle w:val="Appelnotedebasdep"/>
          <w:rFonts w:ascii="Times New Roman" w:hAnsi="Times New Roman" w:cs="Times New Roman"/>
          <w:sz w:val="16"/>
          <w:szCs w:val="16"/>
        </w:rPr>
        <w:footnoteRef/>
      </w:r>
      <w:r w:rsidRPr="007A6E8C">
        <w:rPr>
          <w:rFonts w:ascii="Times New Roman" w:hAnsi="Times New Roman" w:cs="Times New Roman"/>
          <w:sz w:val="16"/>
          <w:szCs w:val="16"/>
        </w:rPr>
        <w:t xml:space="preserve"> This includes: Belgium, Bulgaria, Hungary, Ukraine, Czech Republic, Germany, Italy, Japan, the Netherlands, Slovakia, Spain, Sweden and Switzerland. </w:t>
      </w:r>
    </w:p>
  </w:footnote>
  <w:footnote w:id="13">
    <w:p w14:paraId="09EE6F1B" w14:textId="77777777" w:rsidR="00615DEC" w:rsidRPr="007A6E8C" w:rsidRDefault="00615DEC" w:rsidP="007A6E8C">
      <w:pPr>
        <w:pStyle w:val="Notedebasdepage"/>
        <w:jc w:val="both"/>
        <w:rPr>
          <w:rFonts w:ascii="Times New Roman" w:hAnsi="Times New Roman" w:cs="Times New Roman"/>
          <w:sz w:val="16"/>
          <w:szCs w:val="16"/>
        </w:rPr>
      </w:pPr>
      <w:r w:rsidRPr="007A6E8C">
        <w:rPr>
          <w:rStyle w:val="Appelnotedebasdep"/>
          <w:rFonts w:ascii="Times New Roman" w:hAnsi="Times New Roman" w:cs="Times New Roman"/>
          <w:sz w:val="16"/>
          <w:szCs w:val="16"/>
        </w:rPr>
        <w:footnoteRef/>
      </w:r>
      <w:r w:rsidRPr="007A6E8C">
        <w:rPr>
          <w:rFonts w:ascii="Times New Roman" w:hAnsi="Times New Roman" w:cs="Times New Roman"/>
          <w:sz w:val="16"/>
          <w:szCs w:val="16"/>
        </w:rPr>
        <w:t xml:space="preserve"> Including the time period of the former Union of Soviet Socialist Republics. </w:t>
      </w:r>
    </w:p>
  </w:footnote>
  <w:footnote w:id="14">
    <w:p w14:paraId="6815D5BF" w14:textId="77777777" w:rsidR="007A6E8C" w:rsidRPr="002B1C1B" w:rsidRDefault="007A6E8C" w:rsidP="007A6E8C">
      <w:pPr>
        <w:pStyle w:val="Notedebasdepage"/>
        <w:rPr>
          <w:rFonts w:ascii="Arial" w:hAnsi="Arial" w:cs="Arial"/>
          <w:sz w:val="16"/>
          <w:szCs w:val="16"/>
        </w:rPr>
      </w:pPr>
      <w:r w:rsidRPr="007A6E8C">
        <w:rPr>
          <w:rStyle w:val="Appelnotedebasdep"/>
          <w:rFonts w:ascii="Times New Roman" w:hAnsi="Times New Roman" w:cs="Times New Roman"/>
          <w:sz w:val="16"/>
          <w:szCs w:val="16"/>
        </w:rPr>
        <w:footnoteRef/>
      </w:r>
      <w:r w:rsidRPr="007A6E8C">
        <w:rPr>
          <w:rFonts w:ascii="Times New Roman" w:hAnsi="Times New Roman" w:cs="Times New Roman"/>
          <w:sz w:val="16"/>
          <w:szCs w:val="16"/>
        </w:rPr>
        <w:t xml:space="preserve"> Also known as “once through” or “direct disposal” cycle.</w:t>
      </w:r>
      <w:r w:rsidRPr="002B1C1B">
        <w:rPr>
          <w:rFonts w:ascii="Arial" w:hAnsi="Arial" w:cs="Arial"/>
          <w:sz w:val="16"/>
          <w:szCs w:val="16"/>
        </w:rPr>
        <w:t xml:space="preserve"> </w:t>
      </w:r>
    </w:p>
  </w:footnote>
  <w:footnote w:id="15">
    <w:p w14:paraId="3A674252" w14:textId="56C3F8BF" w:rsidR="00391531" w:rsidRPr="00391531" w:rsidRDefault="00391531" w:rsidP="003647F4">
      <w:pPr>
        <w:pStyle w:val="Notedebasdepage"/>
        <w:rPr>
          <w:rFonts w:ascii="Times New Roman" w:hAnsi="Times New Roman" w:cs="Times New Roman"/>
          <w:sz w:val="16"/>
          <w:szCs w:val="16"/>
        </w:rPr>
      </w:pPr>
      <w:r w:rsidRPr="00391531">
        <w:rPr>
          <w:rStyle w:val="Appelnotedebasdep"/>
          <w:rFonts w:ascii="Times New Roman" w:hAnsi="Times New Roman" w:cs="Times New Roman"/>
          <w:sz w:val="16"/>
          <w:szCs w:val="16"/>
        </w:rPr>
        <w:footnoteRef/>
      </w:r>
      <w:r w:rsidRPr="00391531">
        <w:rPr>
          <w:rFonts w:ascii="Times New Roman" w:hAnsi="Times New Roman" w:cs="Times New Roman"/>
          <w:sz w:val="16"/>
          <w:szCs w:val="16"/>
        </w:rPr>
        <w:t xml:space="preserve"> See: </w:t>
      </w:r>
      <w:proofErr w:type="spellStart"/>
      <w:r w:rsidRPr="00391531">
        <w:rPr>
          <w:rFonts w:ascii="Times New Roman" w:hAnsi="Times New Roman" w:cs="Times New Roman"/>
          <w:sz w:val="16"/>
          <w:szCs w:val="16"/>
        </w:rPr>
        <w:t>Hesketh</w:t>
      </w:r>
      <w:proofErr w:type="spellEnd"/>
      <w:r w:rsidRPr="00391531">
        <w:rPr>
          <w:rFonts w:ascii="Times New Roman" w:hAnsi="Times New Roman" w:cs="Times New Roman"/>
          <w:sz w:val="16"/>
          <w:szCs w:val="16"/>
        </w:rPr>
        <w:t xml:space="preserve">, K., A REVIEW OF MULTIPLE RECYCLE OF PLUTONIUM IN LWRS, </w:t>
      </w:r>
      <w:hyperlink r:id="rId9" w:history="1">
        <w:r w:rsidRPr="00391531">
          <w:rPr>
            <w:rStyle w:val="Lienhypertexte"/>
            <w:rFonts w:ascii="Times New Roman" w:hAnsi="Times New Roman" w:cs="Times New Roman"/>
            <w:sz w:val="16"/>
            <w:szCs w:val="16"/>
          </w:rPr>
          <w:t>https://inis.iaea.org/collection/NCLCollectionStore/_Public/28/047/28047174.pdf?r=1&amp;r=1</w:t>
        </w:r>
      </w:hyperlink>
      <w:r w:rsidRPr="00391531">
        <w:rPr>
          <w:rFonts w:ascii="Times New Roman" w:hAnsi="Times New Roman" w:cs="Times New Roman"/>
          <w:sz w:val="16"/>
          <w:szCs w:val="16"/>
        </w:rPr>
        <w:t>, Accessed May 23, 2019. Also see, Nuclear Energy Agency, Working Party on Scientific Issues of Reactor Systems (WPRS), “Physics of Plutonium Recycling</w:t>
      </w:r>
      <w:r w:rsidRPr="00ED50CE">
        <w:rPr>
          <w:rFonts w:ascii="Times New Roman" w:hAnsi="Times New Roman" w:cs="Times New Roman"/>
          <w:sz w:val="16"/>
          <w:szCs w:val="16"/>
        </w:rPr>
        <w:t xml:space="preserve">”, </w:t>
      </w:r>
      <w:hyperlink r:id="rId10" w:history="1">
        <w:r w:rsidRPr="00391531">
          <w:rPr>
            <w:rStyle w:val="Lienhypertexte"/>
            <w:rFonts w:ascii="Times New Roman" w:hAnsi="Times New Roman" w:cs="Times New Roman"/>
            <w:sz w:val="16"/>
            <w:szCs w:val="16"/>
          </w:rPr>
          <w:t>https://www.oecd-nea.org/science/wprs/wppr/execsum.html</w:t>
        </w:r>
      </w:hyperlink>
      <w:r w:rsidRPr="00391531">
        <w:rPr>
          <w:rFonts w:ascii="Times New Roman" w:hAnsi="Times New Roman" w:cs="Times New Roman"/>
          <w:sz w:val="16"/>
          <w:szCs w:val="16"/>
        </w:rPr>
        <w:t>, Accessed May 2, 2019.</w:t>
      </w:r>
      <w:r>
        <w:t xml:space="preserve"> </w:t>
      </w:r>
    </w:p>
  </w:footnote>
  <w:footnote w:id="16">
    <w:p w14:paraId="248E9DA6" w14:textId="77777777" w:rsidR="007A6E8C" w:rsidRPr="00391531" w:rsidRDefault="007A6E8C" w:rsidP="007A6E8C">
      <w:pPr>
        <w:pStyle w:val="Notedebasdepage"/>
        <w:jc w:val="both"/>
        <w:rPr>
          <w:rFonts w:ascii="Times New Roman" w:hAnsi="Times New Roman" w:cs="Times New Roman"/>
          <w:sz w:val="16"/>
          <w:szCs w:val="16"/>
        </w:rPr>
      </w:pPr>
      <w:r w:rsidRPr="00391531">
        <w:rPr>
          <w:rStyle w:val="Appelnotedebasdep"/>
          <w:rFonts w:ascii="Times New Roman" w:hAnsi="Times New Roman" w:cs="Times New Roman"/>
          <w:sz w:val="16"/>
          <w:szCs w:val="16"/>
        </w:rPr>
        <w:footnoteRef/>
      </w:r>
      <w:r w:rsidRPr="00391531">
        <w:rPr>
          <w:rFonts w:ascii="Times New Roman" w:hAnsi="Times New Roman" w:cs="Times New Roman"/>
          <w:sz w:val="16"/>
          <w:szCs w:val="16"/>
        </w:rPr>
        <w:t xml:space="preserve"> See: ROSATOM, </w:t>
      </w:r>
      <w:r w:rsidRPr="00391531">
        <w:rPr>
          <w:rFonts w:ascii="Times New Roman" w:hAnsi="Times New Roman" w:cs="Times New Roman"/>
          <w:i/>
          <w:sz w:val="16"/>
          <w:szCs w:val="16"/>
        </w:rPr>
        <w:t>The VVER Today</w:t>
      </w:r>
      <w:r w:rsidRPr="00391531">
        <w:rPr>
          <w:rFonts w:ascii="Times New Roman" w:hAnsi="Times New Roman" w:cs="Times New Roman"/>
          <w:sz w:val="16"/>
          <w:szCs w:val="16"/>
        </w:rPr>
        <w:t xml:space="preserve">, </w:t>
      </w:r>
      <w:hyperlink r:id="rId11" w:history="1">
        <w:r w:rsidRPr="00391531">
          <w:rPr>
            <w:rStyle w:val="Lienhypertexte"/>
            <w:rFonts w:ascii="Times New Roman" w:hAnsi="Times New Roman" w:cs="Times New Roman"/>
            <w:sz w:val="16"/>
            <w:szCs w:val="16"/>
          </w:rPr>
          <w:t>https://www.rosatom.ru/upload/iblock/0be/0be1220af25741375138ecd1afb18743.pdf</w:t>
        </w:r>
      </w:hyperlink>
      <w:r w:rsidRPr="00391531">
        <w:rPr>
          <w:rFonts w:ascii="Times New Roman" w:hAnsi="Times New Roman" w:cs="Times New Roman"/>
          <w:sz w:val="16"/>
          <w:szCs w:val="16"/>
        </w:rPr>
        <w:t xml:space="preserve">, Accessed May 15, 2019.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BDBF" w14:textId="69E8C53D" w:rsidR="00024618" w:rsidRPr="00024618" w:rsidRDefault="00024618" w:rsidP="00024618">
    <w:pPr>
      <w:pStyle w:val="En-tte"/>
      <w:jc w:val="center"/>
      <w:rPr>
        <w:sz w:val="20"/>
        <w:szCs w:val="20"/>
      </w:rPr>
    </w:pPr>
    <w:r w:rsidRPr="00024618">
      <w:rPr>
        <w:sz w:val="20"/>
        <w:szCs w:val="20"/>
      </w:rPr>
      <w:t xml:space="preserve">GORLIN </w:t>
    </w:r>
    <w:r w:rsidR="003C251D">
      <w:rPr>
        <w:sz w:val="20"/>
        <w:szCs w:val="20"/>
      </w:rPr>
      <w:t>et.</w:t>
    </w:r>
    <w:r w:rsidRPr="00024618">
      <w:rPr>
        <w:sz w:val="20"/>
        <w:szCs w:val="20"/>
      </w:rPr>
      <w:t xml:space="preserve">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6F6"/>
    <w:multiLevelType w:val="hybridMultilevel"/>
    <w:tmpl w:val="4F54B5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582BD0"/>
    <w:multiLevelType w:val="hybridMultilevel"/>
    <w:tmpl w:val="BB1827A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7A03A29"/>
    <w:multiLevelType w:val="hybridMultilevel"/>
    <w:tmpl w:val="921242E0"/>
    <w:lvl w:ilvl="0" w:tplc="CF22C290">
      <w:start w:val="5"/>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A982DB6"/>
    <w:multiLevelType w:val="hybridMultilevel"/>
    <w:tmpl w:val="B1F0E520"/>
    <w:lvl w:ilvl="0" w:tplc="4BE05810">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7D7CC0"/>
    <w:multiLevelType w:val="hybridMultilevel"/>
    <w:tmpl w:val="5180F91E"/>
    <w:lvl w:ilvl="0" w:tplc="9D04471C">
      <w:start w:val="1"/>
      <w:numFmt w:val="bullet"/>
      <w:lvlText w:val="•"/>
      <w:lvlJc w:val="left"/>
      <w:pPr>
        <w:tabs>
          <w:tab w:val="num" w:pos="720"/>
        </w:tabs>
        <w:ind w:left="720" w:hanging="360"/>
      </w:pPr>
      <w:rPr>
        <w:rFonts w:ascii="Times New Roman" w:hAnsi="Times New Roman" w:hint="default"/>
      </w:rPr>
    </w:lvl>
    <w:lvl w:ilvl="1" w:tplc="8B5E1D70">
      <w:numFmt w:val="bullet"/>
      <w:lvlText w:val="•"/>
      <w:lvlJc w:val="left"/>
      <w:pPr>
        <w:tabs>
          <w:tab w:val="num" w:pos="1440"/>
        </w:tabs>
        <w:ind w:left="1440" w:hanging="360"/>
      </w:pPr>
      <w:rPr>
        <w:rFonts w:ascii="Times New Roman" w:hAnsi="Times New Roman" w:hint="default"/>
      </w:rPr>
    </w:lvl>
    <w:lvl w:ilvl="2" w:tplc="D98C56BC" w:tentative="1">
      <w:start w:val="1"/>
      <w:numFmt w:val="bullet"/>
      <w:lvlText w:val="•"/>
      <w:lvlJc w:val="left"/>
      <w:pPr>
        <w:tabs>
          <w:tab w:val="num" w:pos="2160"/>
        </w:tabs>
        <w:ind w:left="2160" w:hanging="360"/>
      </w:pPr>
      <w:rPr>
        <w:rFonts w:ascii="Times New Roman" w:hAnsi="Times New Roman" w:hint="default"/>
      </w:rPr>
    </w:lvl>
    <w:lvl w:ilvl="3" w:tplc="D0B655EC" w:tentative="1">
      <w:start w:val="1"/>
      <w:numFmt w:val="bullet"/>
      <w:lvlText w:val="•"/>
      <w:lvlJc w:val="left"/>
      <w:pPr>
        <w:tabs>
          <w:tab w:val="num" w:pos="2880"/>
        </w:tabs>
        <w:ind w:left="2880" w:hanging="360"/>
      </w:pPr>
      <w:rPr>
        <w:rFonts w:ascii="Times New Roman" w:hAnsi="Times New Roman" w:hint="default"/>
      </w:rPr>
    </w:lvl>
    <w:lvl w:ilvl="4" w:tplc="93803F4C" w:tentative="1">
      <w:start w:val="1"/>
      <w:numFmt w:val="bullet"/>
      <w:lvlText w:val="•"/>
      <w:lvlJc w:val="left"/>
      <w:pPr>
        <w:tabs>
          <w:tab w:val="num" w:pos="3600"/>
        </w:tabs>
        <w:ind w:left="3600" w:hanging="360"/>
      </w:pPr>
      <w:rPr>
        <w:rFonts w:ascii="Times New Roman" w:hAnsi="Times New Roman" w:hint="default"/>
      </w:rPr>
    </w:lvl>
    <w:lvl w:ilvl="5" w:tplc="DAF473BA" w:tentative="1">
      <w:start w:val="1"/>
      <w:numFmt w:val="bullet"/>
      <w:lvlText w:val="•"/>
      <w:lvlJc w:val="left"/>
      <w:pPr>
        <w:tabs>
          <w:tab w:val="num" w:pos="4320"/>
        </w:tabs>
        <w:ind w:left="4320" w:hanging="360"/>
      </w:pPr>
      <w:rPr>
        <w:rFonts w:ascii="Times New Roman" w:hAnsi="Times New Roman" w:hint="default"/>
      </w:rPr>
    </w:lvl>
    <w:lvl w:ilvl="6" w:tplc="0FAA6D80" w:tentative="1">
      <w:start w:val="1"/>
      <w:numFmt w:val="bullet"/>
      <w:lvlText w:val="•"/>
      <w:lvlJc w:val="left"/>
      <w:pPr>
        <w:tabs>
          <w:tab w:val="num" w:pos="5040"/>
        </w:tabs>
        <w:ind w:left="5040" w:hanging="360"/>
      </w:pPr>
      <w:rPr>
        <w:rFonts w:ascii="Times New Roman" w:hAnsi="Times New Roman" w:hint="default"/>
      </w:rPr>
    </w:lvl>
    <w:lvl w:ilvl="7" w:tplc="661CAE16" w:tentative="1">
      <w:start w:val="1"/>
      <w:numFmt w:val="bullet"/>
      <w:lvlText w:val="•"/>
      <w:lvlJc w:val="left"/>
      <w:pPr>
        <w:tabs>
          <w:tab w:val="num" w:pos="5760"/>
        </w:tabs>
        <w:ind w:left="5760" w:hanging="360"/>
      </w:pPr>
      <w:rPr>
        <w:rFonts w:ascii="Times New Roman" w:hAnsi="Times New Roman" w:hint="default"/>
      </w:rPr>
    </w:lvl>
    <w:lvl w:ilvl="8" w:tplc="28B4FFE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D94C22"/>
    <w:multiLevelType w:val="hybridMultilevel"/>
    <w:tmpl w:val="CEE020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3B71A44"/>
    <w:multiLevelType w:val="multilevel"/>
    <w:tmpl w:val="D606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EC6E8F"/>
    <w:multiLevelType w:val="hybridMultilevel"/>
    <w:tmpl w:val="20B65B2C"/>
    <w:lvl w:ilvl="0" w:tplc="FECC5F9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EA1919"/>
    <w:multiLevelType w:val="multilevel"/>
    <w:tmpl w:val="81A633D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 w15:restartNumberingAfterBreak="0">
    <w:nsid w:val="1909153A"/>
    <w:multiLevelType w:val="hybridMultilevel"/>
    <w:tmpl w:val="0C1CF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C4682B"/>
    <w:multiLevelType w:val="hybridMultilevel"/>
    <w:tmpl w:val="F9D89126"/>
    <w:lvl w:ilvl="0" w:tplc="F7446CD0">
      <w:start w:val="1"/>
      <w:numFmt w:val="bullet"/>
      <w:lvlText w:val=""/>
      <w:lvlJc w:val="left"/>
      <w:pPr>
        <w:tabs>
          <w:tab w:val="num" w:pos="720"/>
        </w:tabs>
        <w:ind w:left="720" w:hanging="360"/>
      </w:pPr>
      <w:rPr>
        <w:rFonts w:ascii="Wingdings" w:hAnsi="Wingdings" w:hint="default"/>
      </w:rPr>
    </w:lvl>
    <w:lvl w:ilvl="1" w:tplc="CF1A8F62" w:tentative="1">
      <w:start w:val="1"/>
      <w:numFmt w:val="bullet"/>
      <w:lvlText w:val=""/>
      <w:lvlJc w:val="left"/>
      <w:pPr>
        <w:tabs>
          <w:tab w:val="num" w:pos="1440"/>
        </w:tabs>
        <w:ind w:left="1440" w:hanging="360"/>
      </w:pPr>
      <w:rPr>
        <w:rFonts w:ascii="Wingdings" w:hAnsi="Wingdings" w:hint="default"/>
      </w:rPr>
    </w:lvl>
    <w:lvl w:ilvl="2" w:tplc="5010F9FA" w:tentative="1">
      <w:start w:val="1"/>
      <w:numFmt w:val="bullet"/>
      <w:lvlText w:val=""/>
      <w:lvlJc w:val="left"/>
      <w:pPr>
        <w:tabs>
          <w:tab w:val="num" w:pos="2160"/>
        </w:tabs>
        <w:ind w:left="2160" w:hanging="360"/>
      </w:pPr>
      <w:rPr>
        <w:rFonts w:ascii="Wingdings" w:hAnsi="Wingdings" w:hint="default"/>
      </w:rPr>
    </w:lvl>
    <w:lvl w:ilvl="3" w:tplc="8982C3FE" w:tentative="1">
      <w:start w:val="1"/>
      <w:numFmt w:val="bullet"/>
      <w:lvlText w:val=""/>
      <w:lvlJc w:val="left"/>
      <w:pPr>
        <w:tabs>
          <w:tab w:val="num" w:pos="2880"/>
        </w:tabs>
        <w:ind w:left="2880" w:hanging="360"/>
      </w:pPr>
      <w:rPr>
        <w:rFonts w:ascii="Wingdings" w:hAnsi="Wingdings" w:hint="default"/>
      </w:rPr>
    </w:lvl>
    <w:lvl w:ilvl="4" w:tplc="61F8BFBC" w:tentative="1">
      <w:start w:val="1"/>
      <w:numFmt w:val="bullet"/>
      <w:lvlText w:val=""/>
      <w:lvlJc w:val="left"/>
      <w:pPr>
        <w:tabs>
          <w:tab w:val="num" w:pos="3600"/>
        </w:tabs>
        <w:ind w:left="3600" w:hanging="360"/>
      </w:pPr>
      <w:rPr>
        <w:rFonts w:ascii="Wingdings" w:hAnsi="Wingdings" w:hint="default"/>
      </w:rPr>
    </w:lvl>
    <w:lvl w:ilvl="5" w:tplc="497EFDFE" w:tentative="1">
      <w:start w:val="1"/>
      <w:numFmt w:val="bullet"/>
      <w:lvlText w:val=""/>
      <w:lvlJc w:val="left"/>
      <w:pPr>
        <w:tabs>
          <w:tab w:val="num" w:pos="4320"/>
        </w:tabs>
        <w:ind w:left="4320" w:hanging="360"/>
      </w:pPr>
      <w:rPr>
        <w:rFonts w:ascii="Wingdings" w:hAnsi="Wingdings" w:hint="default"/>
      </w:rPr>
    </w:lvl>
    <w:lvl w:ilvl="6" w:tplc="8976E29E" w:tentative="1">
      <w:start w:val="1"/>
      <w:numFmt w:val="bullet"/>
      <w:lvlText w:val=""/>
      <w:lvlJc w:val="left"/>
      <w:pPr>
        <w:tabs>
          <w:tab w:val="num" w:pos="5040"/>
        </w:tabs>
        <w:ind w:left="5040" w:hanging="360"/>
      </w:pPr>
      <w:rPr>
        <w:rFonts w:ascii="Wingdings" w:hAnsi="Wingdings" w:hint="default"/>
      </w:rPr>
    </w:lvl>
    <w:lvl w:ilvl="7" w:tplc="717E897C" w:tentative="1">
      <w:start w:val="1"/>
      <w:numFmt w:val="bullet"/>
      <w:lvlText w:val=""/>
      <w:lvlJc w:val="left"/>
      <w:pPr>
        <w:tabs>
          <w:tab w:val="num" w:pos="5760"/>
        </w:tabs>
        <w:ind w:left="5760" w:hanging="360"/>
      </w:pPr>
      <w:rPr>
        <w:rFonts w:ascii="Wingdings" w:hAnsi="Wingdings" w:hint="default"/>
      </w:rPr>
    </w:lvl>
    <w:lvl w:ilvl="8" w:tplc="BFEA03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206957"/>
    <w:multiLevelType w:val="multilevel"/>
    <w:tmpl w:val="9878CB24"/>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47F527B"/>
    <w:multiLevelType w:val="multilevel"/>
    <w:tmpl w:val="18C822F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13" w15:restartNumberingAfterBreak="0">
    <w:nsid w:val="29211F7B"/>
    <w:multiLevelType w:val="multilevel"/>
    <w:tmpl w:val="B82853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0AC7394"/>
    <w:multiLevelType w:val="hybridMultilevel"/>
    <w:tmpl w:val="9EF245A2"/>
    <w:lvl w:ilvl="0" w:tplc="EE6A0EDC">
      <w:start w:val="1"/>
      <w:numFmt w:val="bullet"/>
      <w:lvlText w:val=""/>
      <w:lvlJc w:val="left"/>
      <w:pPr>
        <w:tabs>
          <w:tab w:val="num" w:pos="720"/>
        </w:tabs>
        <w:ind w:left="720" w:hanging="360"/>
      </w:pPr>
      <w:rPr>
        <w:rFonts w:ascii="Wingdings" w:hAnsi="Wingdings" w:hint="default"/>
      </w:rPr>
    </w:lvl>
    <w:lvl w:ilvl="1" w:tplc="7CAEC0AC" w:tentative="1">
      <w:start w:val="1"/>
      <w:numFmt w:val="bullet"/>
      <w:lvlText w:val=""/>
      <w:lvlJc w:val="left"/>
      <w:pPr>
        <w:tabs>
          <w:tab w:val="num" w:pos="1440"/>
        </w:tabs>
        <w:ind w:left="1440" w:hanging="360"/>
      </w:pPr>
      <w:rPr>
        <w:rFonts w:ascii="Wingdings" w:hAnsi="Wingdings" w:hint="default"/>
      </w:rPr>
    </w:lvl>
    <w:lvl w:ilvl="2" w:tplc="F864D1D0" w:tentative="1">
      <w:start w:val="1"/>
      <w:numFmt w:val="bullet"/>
      <w:lvlText w:val=""/>
      <w:lvlJc w:val="left"/>
      <w:pPr>
        <w:tabs>
          <w:tab w:val="num" w:pos="2160"/>
        </w:tabs>
        <w:ind w:left="2160" w:hanging="360"/>
      </w:pPr>
      <w:rPr>
        <w:rFonts w:ascii="Wingdings" w:hAnsi="Wingdings" w:hint="default"/>
      </w:rPr>
    </w:lvl>
    <w:lvl w:ilvl="3" w:tplc="B42A5330" w:tentative="1">
      <w:start w:val="1"/>
      <w:numFmt w:val="bullet"/>
      <w:lvlText w:val=""/>
      <w:lvlJc w:val="left"/>
      <w:pPr>
        <w:tabs>
          <w:tab w:val="num" w:pos="2880"/>
        </w:tabs>
        <w:ind w:left="2880" w:hanging="360"/>
      </w:pPr>
      <w:rPr>
        <w:rFonts w:ascii="Wingdings" w:hAnsi="Wingdings" w:hint="default"/>
      </w:rPr>
    </w:lvl>
    <w:lvl w:ilvl="4" w:tplc="DC182A22" w:tentative="1">
      <w:start w:val="1"/>
      <w:numFmt w:val="bullet"/>
      <w:lvlText w:val=""/>
      <w:lvlJc w:val="left"/>
      <w:pPr>
        <w:tabs>
          <w:tab w:val="num" w:pos="3600"/>
        </w:tabs>
        <w:ind w:left="3600" w:hanging="360"/>
      </w:pPr>
      <w:rPr>
        <w:rFonts w:ascii="Wingdings" w:hAnsi="Wingdings" w:hint="default"/>
      </w:rPr>
    </w:lvl>
    <w:lvl w:ilvl="5" w:tplc="D5BE7F32" w:tentative="1">
      <w:start w:val="1"/>
      <w:numFmt w:val="bullet"/>
      <w:lvlText w:val=""/>
      <w:lvlJc w:val="left"/>
      <w:pPr>
        <w:tabs>
          <w:tab w:val="num" w:pos="4320"/>
        </w:tabs>
        <w:ind w:left="4320" w:hanging="360"/>
      </w:pPr>
      <w:rPr>
        <w:rFonts w:ascii="Wingdings" w:hAnsi="Wingdings" w:hint="default"/>
      </w:rPr>
    </w:lvl>
    <w:lvl w:ilvl="6" w:tplc="11B4A53E" w:tentative="1">
      <w:start w:val="1"/>
      <w:numFmt w:val="bullet"/>
      <w:lvlText w:val=""/>
      <w:lvlJc w:val="left"/>
      <w:pPr>
        <w:tabs>
          <w:tab w:val="num" w:pos="5040"/>
        </w:tabs>
        <w:ind w:left="5040" w:hanging="360"/>
      </w:pPr>
      <w:rPr>
        <w:rFonts w:ascii="Wingdings" w:hAnsi="Wingdings" w:hint="default"/>
      </w:rPr>
    </w:lvl>
    <w:lvl w:ilvl="7" w:tplc="E7181046" w:tentative="1">
      <w:start w:val="1"/>
      <w:numFmt w:val="bullet"/>
      <w:lvlText w:val=""/>
      <w:lvlJc w:val="left"/>
      <w:pPr>
        <w:tabs>
          <w:tab w:val="num" w:pos="5760"/>
        </w:tabs>
        <w:ind w:left="5760" w:hanging="360"/>
      </w:pPr>
      <w:rPr>
        <w:rFonts w:ascii="Wingdings" w:hAnsi="Wingdings" w:hint="default"/>
      </w:rPr>
    </w:lvl>
    <w:lvl w:ilvl="8" w:tplc="9E90A4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9E45C2"/>
    <w:multiLevelType w:val="multilevel"/>
    <w:tmpl w:val="E0BC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3277AC"/>
    <w:multiLevelType w:val="hybridMultilevel"/>
    <w:tmpl w:val="3DB46E42"/>
    <w:lvl w:ilvl="0" w:tplc="74D4619C">
      <w:start w:val="5"/>
      <w:numFmt w:val="bullet"/>
      <w:lvlText w:val="-"/>
      <w:lvlJc w:val="left"/>
      <w:pPr>
        <w:ind w:left="1776" w:hanging="360"/>
      </w:pPr>
      <w:rPr>
        <w:rFonts w:ascii="Calibri" w:eastAsiaTheme="minorEastAsia" w:hAnsi="Calibri" w:cs="Calibri" w:hint="default"/>
        <w:b w:val="0"/>
        <w:color w:val="auto"/>
        <w:sz w:val="22"/>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15:restartNumberingAfterBreak="0">
    <w:nsid w:val="38A66EED"/>
    <w:multiLevelType w:val="hybridMultilevel"/>
    <w:tmpl w:val="7834D53C"/>
    <w:lvl w:ilvl="0" w:tplc="040C0001">
      <w:start w:val="1"/>
      <w:numFmt w:val="bullet"/>
      <w:lvlText w:val=""/>
      <w:lvlJc w:val="left"/>
      <w:pPr>
        <w:ind w:left="720" w:hanging="360"/>
      </w:pPr>
      <w:rPr>
        <w:rFonts w:ascii="Symbol" w:hAnsi="Symbol" w:hint="default"/>
      </w:rPr>
    </w:lvl>
    <w:lvl w:ilvl="1" w:tplc="CF1A8F62" w:tentative="1">
      <w:start w:val="1"/>
      <w:numFmt w:val="bullet"/>
      <w:lvlText w:val=""/>
      <w:lvlJc w:val="left"/>
      <w:pPr>
        <w:tabs>
          <w:tab w:val="num" w:pos="1440"/>
        </w:tabs>
        <w:ind w:left="1440" w:hanging="360"/>
      </w:pPr>
      <w:rPr>
        <w:rFonts w:ascii="Wingdings" w:hAnsi="Wingdings" w:hint="default"/>
      </w:rPr>
    </w:lvl>
    <w:lvl w:ilvl="2" w:tplc="5010F9FA" w:tentative="1">
      <w:start w:val="1"/>
      <w:numFmt w:val="bullet"/>
      <w:lvlText w:val=""/>
      <w:lvlJc w:val="left"/>
      <w:pPr>
        <w:tabs>
          <w:tab w:val="num" w:pos="2160"/>
        </w:tabs>
        <w:ind w:left="2160" w:hanging="360"/>
      </w:pPr>
      <w:rPr>
        <w:rFonts w:ascii="Wingdings" w:hAnsi="Wingdings" w:hint="default"/>
      </w:rPr>
    </w:lvl>
    <w:lvl w:ilvl="3" w:tplc="8982C3FE" w:tentative="1">
      <w:start w:val="1"/>
      <w:numFmt w:val="bullet"/>
      <w:lvlText w:val=""/>
      <w:lvlJc w:val="left"/>
      <w:pPr>
        <w:tabs>
          <w:tab w:val="num" w:pos="2880"/>
        </w:tabs>
        <w:ind w:left="2880" w:hanging="360"/>
      </w:pPr>
      <w:rPr>
        <w:rFonts w:ascii="Wingdings" w:hAnsi="Wingdings" w:hint="default"/>
      </w:rPr>
    </w:lvl>
    <w:lvl w:ilvl="4" w:tplc="61F8BFBC" w:tentative="1">
      <w:start w:val="1"/>
      <w:numFmt w:val="bullet"/>
      <w:lvlText w:val=""/>
      <w:lvlJc w:val="left"/>
      <w:pPr>
        <w:tabs>
          <w:tab w:val="num" w:pos="3600"/>
        </w:tabs>
        <w:ind w:left="3600" w:hanging="360"/>
      </w:pPr>
      <w:rPr>
        <w:rFonts w:ascii="Wingdings" w:hAnsi="Wingdings" w:hint="default"/>
      </w:rPr>
    </w:lvl>
    <w:lvl w:ilvl="5" w:tplc="497EFDFE" w:tentative="1">
      <w:start w:val="1"/>
      <w:numFmt w:val="bullet"/>
      <w:lvlText w:val=""/>
      <w:lvlJc w:val="left"/>
      <w:pPr>
        <w:tabs>
          <w:tab w:val="num" w:pos="4320"/>
        </w:tabs>
        <w:ind w:left="4320" w:hanging="360"/>
      </w:pPr>
      <w:rPr>
        <w:rFonts w:ascii="Wingdings" w:hAnsi="Wingdings" w:hint="default"/>
      </w:rPr>
    </w:lvl>
    <w:lvl w:ilvl="6" w:tplc="8976E29E" w:tentative="1">
      <w:start w:val="1"/>
      <w:numFmt w:val="bullet"/>
      <w:lvlText w:val=""/>
      <w:lvlJc w:val="left"/>
      <w:pPr>
        <w:tabs>
          <w:tab w:val="num" w:pos="5040"/>
        </w:tabs>
        <w:ind w:left="5040" w:hanging="360"/>
      </w:pPr>
      <w:rPr>
        <w:rFonts w:ascii="Wingdings" w:hAnsi="Wingdings" w:hint="default"/>
      </w:rPr>
    </w:lvl>
    <w:lvl w:ilvl="7" w:tplc="717E897C" w:tentative="1">
      <w:start w:val="1"/>
      <w:numFmt w:val="bullet"/>
      <w:lvlText w:val=""/>
      <w:lvlJc w:val="left"/>
      <w:pPr>
        <w:tabs>
          <w:tab w:val="num" w:pos="5760"/>
        </w:tabs>
        <w:ind w:left="5760" w:hanging="360"/>
      </w:pPr>
      <w:rPr>
        <w:rFonts w:ascii="Wingdings" w:hAnsi="Wingdings" w:hint="default"/>
      </w:rPr>
    </w:lvl>
    <w:lvl w:ilvl="8" w:tplc="BFEA03E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47245"/>
    <w:multiLevelType w:val="hybridMultilevel"/>
    <w:tmpl w:val="157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9092D"/>
    <w:multiLevelType w:val="hybridMultilevel"/>
    <w:tmpl w:val="5502BDFC"/>
    <w:lvl w:ilvl="0" w:tplc="53323B0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4941FFD"/>
    <w:multiLevelType w:val="hybridMultilevel"/>
    <w:tmpl w:val="ADAC289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4F9C6689"/>
    <w:multiLevelType w:val="hybridMultilevel"/>
    <w:tmpl w:val="DE54FBB0"/>
    <w:lvl w:ilvl="0" w:tplc="26667A0C">
      <w:start w:val="1"/>
      <w:numFmt w:val="bullet"/>
      <w:lvlText w:val=""/>
      <w:lvlJc w:val="left"/>
      <w:pPr>
        <w:tabs>
          <w:tab w:val="num" w:pos="720"/>
        </w:tabs>
        <w:ind w:left="720" w:hanging="360"/>
      </w:pPr>
      <w:rPr>
        <w:rFonts w:ascii="Wingdings" w:hAnsi="Wingdings" w:hint="default"/>
      </w:rPr>
    </w:lvl>
    <w:lvl w:ilvl="1" w:tplc="7ACA14F2">
      <w:start w:val="866"/>
      <w:numFmt w:val="bullet"/>
      <w:lvlText w:val=""/>
      <w:lvlJc w:val="left"/>
      <w:pPr>
        <w:tabs>
          <w:tab w:val="num" w:pos="1440"/>
        </w:tabs>
        <w:ind w:left="1440" w:hanging="360"/>
      </w:pPr>
      <w:rPr>
        <w:rFonts w:ascii="Wingdings" w:hAnsi="Wingdings" w:hint="default"/>
      </w:rPr>
    </w:lvl>
    <w:lvl w:ilvl="2" w:tplc="EFAAE7DE" w:tentative="1">
      <w:start w:val="1"/>
      <w:numFmt w:val="bullet"/>
      <w:lvlText w:val=""/>
      <w:lvlJc w:val="left"/>
      <w:pPr>
        <w:tabs>
          <w:tab w:val="num" w:pos="2160"/>
        </w:tabs>
        <w:ind w:left="2160" w:hanging="360"/>
      </w:pPr>
      <w:rPr>
        <w:rFonts w:ascii="Wingdings" w:hAnsi="Wingdings" w:hint="default"/>
      </w:rPr>
    </w:lvl>
    <w:lvl w:ilvl="3" w:tplc="ED2C5446" w:tentative="1">
      <w:start w:val="1"/>
      <w:numFmt w:val="bullet"/>
      <w:lvlText w:val=""/>
      <w:lvlJc w:val="left"/>
      <w:pPr>
        <w:tabs>
          <w:tab w:val="num" w:pos="2880"/>
        </w:tabs>
        <w:ind w:left="2880" w:hanging="360"/>
      </w:pPr>
      <w:rPr>
        <w:rFonts w:ascii="Wingdings" w:hAnsi="Wingdings" w:hint="default"/>
      </w:rPr>
    </w:lvl>
    <w:lvl w:ilvl="4" w:tplc="5E344C04" w:tentative="1">
      <w:start w:val="1"/>
      <w:numFmt w:val="bullet"/>
      <w:lvlText w:val=""/>
      <w:lvlJc w:val="left"/>
      <w:pPr>
        <w:tabs>
          <w:tab w:val="num" w:pos="3600"/>
        </w:tabs>
        <w:ind w:left="3600" w:hanging="360"/>
      </w:pPr>
      <w:rPr>
        <w:rFonts w:ascii="Wingdings" w:hAnsi="Wingdings" w:hint="default"/>
      </w:rPr>
    </w:lvl>
    <w:lvl w:ilvl="5" w:tplc="AD005DA4" w:tentative="1">
      <w:start w:val="1"/>
      <w:numFmt w:val="bullet"/>
      <w:lvlText w:val=""/>
      <w:lvlJc w:val="left"/>
      <w:pPr>
        <w:tabs>
          <w:tab w:val="num" w:pos="4320"/>
        </w:tabs>
        <w:ind w:left="4320" w:hanging="360"/>
      </w:pPr>
      <w:rPr>
        <w:rFonts w:ascii="Wingdings" w:hAnsi="Wingdings" w:hint="default"/>
      </w:rPr>
    </w:lvl>
    <w:lvl w:ilvl="6" w:tplc="C7187056" w:tentative="1">
      <w:start w:val="1"/>
      <w:numFmt w:val="bullet"/>
      <w:lvlText w:val=""/>
      <w:lvlJc w:val="left"/>
      <w:pPr>
        <w:tabs>
          <w:tab w:val="num" w:pos="5040"/>
        </w:tabs>
        <w:ind w:left="5040" w:hanging="360"/>
      </w:pPr>
      <w:rPr>
        <w:rFonts w:ascii="Wingdings" w:hAnsi="Wingdings" w:hint="default"/>
      </w:rPr>
    </w:lvl>
    <w:lvl w:ilvl="7" w:tplc="267A83B4" w:tentative="1">
      <w:start w:val="1"/>
      <w:numFmt w:val="bullet"/>
      <w:lvlText w:val=""/>
      <w:lvlJc w:val="left"/>
      <w:pPr>
        <w:tabs>
          <w:tab w:val="num" w:pos="5760"/>
        </w:tabs>
        <w:ind w:left="5760" w:hanging="360"/>
      </w:pPr>
      <w:rPr>
        <w:rFonts w:ascii="Wingdings" w:hAnsi="Wingdings" w:hint="default"/>
      </w:rPr>
    </w:lvl>
    <w:lvl w:ilvl="8" w:tplc="02420DA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632596"/>
    <w:multiLevelType w:val="hybridMultilevel"/>
    <w:tmpl w:val="38E403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280C48"/>
    <w:multiLevelType w:val="hybridMultilevel"/>
    <w:tmpl w:val="92CAB2DE"/>
    <w:lvl w:ilvl="0" w:tplc="87006ED0">
      <w:start w:val="1"/>
      <w:numFmt w:val="bullet"/>
      <w:lvlText w:val=""/>
      <w:lvlJc w:val="left"/>
      <w:pPr>
        <w:tabs>
          <w:tab w:val="num" w:pos="720"/>
        </w:tabs>
        <w:ind w:left="720" w:hanging="360"/>
      </w:pPr>
      <w:rPr>
        <w:rFonts w:ascii="Wingdings" w:hAnsi="Wingdings" w:hint="default"/>
      </w:rPr>
    </w:lvl>
    <w:lvl w:ilvl="1" w:tplc="851C0934">
      <w:start w:val="1"/>
      <w:numFmt w:val="bullet"/>
      <w:lvlText w:val=""/>
      <w:lvlJc w:val="left"/>
      <w:pPr>
        <w:tabs>
          <w:tab w:val="num" w:pos="1440"/>
        </w:tabs>
        <w:ind w:left="1440" w:hanging="360"/>
      </w:pPr>
      <w:rPr>
        <w:rFonts w:ascii="Wingdings" w:hAnsi="Wingdings" w:hint="default"/>
      </w:rPr>
    </w:lvl>
    <w:lvl w:ilvl="2" w:tplc="721ACF60">
      <w:start w:val="514"/>
      <w:numFmt w:val="bullet"/>
      <w:lvlText w:val=""/>
      <w:lvlJc w:val="left"/>
      <w:pPr>
        <w:tabs>
          <w:tab w:val="num" w:pos="2160"/>
        </w:tabs>
        <w:ind w:left="2160" w:hanging="360"/>
      </w:pPr>
      <w:rPr>
        <w:rFonts w:ascii="Wingdings" w:hAnsi="Wingdings" w:hint="default"/>
      </w:rPr>
    </w:lvl>
    <w:lvl w:ilvl="3" w:tplc="474A5F90" w:tentative="1">
      <w:start w:val="1"/>
      <w:numFmt w:val="bullet"/>
      <w:lvlText w:val=""/>
      <w:lvlJc w:val="left"/>
      <w:pPr>
        <w:tabs>
          <w:tab w:val="num" w:pos="2880"/>
        </w:tabs>
        <w:ind w:left="2880" w:hanging="360"/>
      </w:pPr>
      <w:rPr>
        <w:rFonts w:ascii="Wingdings" w:hAnsi="Wingdings" w:hint="default"/>
      </w:rPr>
    </w:lvl>
    <w:lvl w:ilvl="4" w:tplc="AEA6B474" w:tentative="1">
      <w:start w:val="1"/>
      <w:numFmt w:val="bullet"/>
      <w:lvlText w:val=""/>
      <w:lvlJc w:val="left"/>
      <w:pPr>
        <w:tabs>
          <w:tab w:val="num" w:pos="3600"/>
        </w:tabs>
        <w:ind w:left="3600" w:hanging="360"/>
      </w:pPr>
      <w:rPr>
        <w:rFonts w:ascii="Wingdings" w:hAnsi="Wingdings" w:hint="default"/>
      </w:rPr>
    </w:lvl>
    <w:lvl w:ilvl="5" w:tplc="7B8C3B84" w:tentative="1">
      <w:start w:val="1"/>
      <w:numFmt w:val="bullet"/>
      <w:lvlText w:val=""/>
      <w:lvlJc w:val="left"/>
      <w:pPr>
        <w:tabs>
          <w:tab w:val="num" w:pos="4320"/>
        </w:tabs>
        <w:ind w:left="4320" w:hanging="360"/>
      </w:pPr>
      <w:rPr>
        <w:rFonts w:ascii="Wingdings" w:hAnsi="Wingdings" w:hint="default"/>
      </w:rPr>
    </w:lvl>
    <w:lvl w:ilvl="6" w:tplc="86B8CB0C" w:tentative="1">
      <w:start w:val="1"/>
      <w:numFmt w:val="bullet"/>
      <w:lvlText w:val=""/>
      <w:lvlJc w:val="left"/>
      <w:pPr>
        <w:tabs>
          <w:tab w:val="num" w:pos="5040"/>
        </w:tabs>
        <w:ind w:left="5040" w:hanging="360"/>
      </w:pPr>
      <w:rPr>
        <w:rFonts w:ascii="Wingdings" w:hAnsi="Wingdings" w:hint="default"/>
      </w:rPr>
    </w:lvl>
    <w:lvl w:ilvl="7" w:tplc="30CC6000" w:tentative="1">
      <w:start w:val="1"/>
      <w:numFmt w:val="bullet"/>
      <w:lvlText w:val=""/>
      <w:lvlJc w:val="left"/>
      <w:pPr>
        <w:tabs>
          <w:tab w:val="num" w:pos="5760"/>
        </w:tabs>
        <w:ind w:left="5760" w:hanging="360"/>
      </w:pPr>
      <w:rPr>
        <w:rFonts w:ascii="Wingdings" w:hAnsi="Wingdings" w:hint="default"/>
      </w:rPr>
    </w:lvl>
    <w:lvl w:ilvl="8" w:tplc="5DB692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87606"/>
    <w:multiLevelType w:val="hybridMultilevel"/>
    <w:tmpl w:val="4404B2F2"/>
    <w:lvl w:ilvl="0" w:tplc="86642E16">
      <w:start w:val="1"/>
      <w:numFmt w:val="bullet"/>
      <w:lvlText w:val=""/>
      <w:lvlJc w:val="left"/>
      <w:pPr>
        <w:tabs>
          <w:tab w:val="num" w:pos="502"/>
        </w:tabs>
        <w:ind w:left="502" w:hanging="360"/>
      </w:pPr>
      <w:rPr>
        <w:rFonts w:ascii="Wingdings" w:hAnsi="Wingdings" w:hint="default"/>
      </w:rPr>
    </w:lvl>
    <w:lvl w:ilvl="1" w:tplc="4BE05510" w:tentative="1">
      <w:start w:val="1"/>
      <w:numFmt w:val="bullet"/>
      <w:lvlText w:val=""/>
      <w:lvlJc w:val="left"/>
      <w:pPr>
        <w:tabs>
          <w:tab w:val="num" w:pos="1222"/>
        </w:tabs>
        <w:ind w:left="1222" w:hanging="360"/>
      </w:pPr>
      <w:rPr>
        <w:rFonts w:ascii="Wingdings" w:hAnsi="Wingdings" w:hint="default"/>
      </w:rPr>
    </w:lvl>
    <w:lvl w:ilvl="2" w:tplc="A3429AFA" w:tentative="1">
      <w:start w:val="1"/>
      <w:numFmt w:val="bullet"/>
      <w:lvlText w:val=""/>
      <w:lvlJc w:val="left"/>
      <w:pPr>
        <w:tabs>
          <w:tab w:val="num" w:pos="1942"/>
        </w:tabs>
        <w:ind w:left="1942" w:hanging="360"/>
      </w:pPr>
      <w:rPr>
        <w:rFonts w:ascii="Wingdings" w:hAnsi="Wingdings" w:hint="default"/>
      </w:rPr>
    </w:lvl>
    <w:lvl w:ilvl="3" w:tplc="099630F2" w:tentative="1">
      <w:start w:val="1"/>
      <w:numFmt w:val="bullet"/>
      <w:lvlText w:val=""/>
      <w:lvlJc w:val="left"/>
      <w:pPr>
        <w:tabs>
          <w:tab w:val="num" w:pos="2662"/>
        </w:tabs>
        <w:ind w:left="2662" w:hanging="360"/>
      </w:pPr>
      <w:rPr>
        <w:rFonts w:ascii="Wingdings" w:hAnsi="Wingdings" w:hint="default"/>
      </w:rPr>
    </w:lvl>
    <w:lvl w:ilvl="4" w:tplc="1B0281B8" w:tentative="1">
      <w:start w:val="1"/>
      <w:numFmt w:val="bullet"/>
      <w:lvlText w:val=""/>
      <w:lvlJc w:val="left"/>
      <w:pPr>
        <w:tabs>
          <w:tab w:val="num" w:pos="3382"/>
        </w:tabs>
        <w:ind w:left="3382" w:hanging="360"/>
      </w:pPr>
      <w:rPr>
        <w:rFonts w:ascii="Wingdings" w:hAnsi="Wingdings" w:hint="default"/>
      </w:rPr>
    </w:lvl>
    <w:lvl w:ilvl="5" w:tplc="EE586C84" w:tentative="1">
      <w:start w:val="1"/>
      <w:numFmt w:val="bullet"/>
      <w:lvlText w:val=""/>
      <w:lvlJc w:val="left"/>
      <w:pPr>
        <w:tabs>
          <w:tab w:val="num" w:pos="4102"/>
        </w:tabs>
        <w:ind w:left="4102" w:hanging="360"/>
      </w:pPr>
      <w:rPr>
        <w:rFonts w:ascii="Wingdings" w:hAnsi="Wingdings" w:hint="default"/>
      </w:rPr>
    </w:lvl>
    <w:lvl w:ilvl="6" w:tplc="5BCC1E4C" w:tentative="1">
      <w:start w:val="1"/>
      <w:numFmt w:val="bullet"/>
      <w:lvlText w:val=""/>
      <w:lvlJc w:val="left"/>
      <w:pPr>
        <w:tabs>
          <w:tab w:val="num" w:pos="4822"/>
        </w:tabs>
        <w:ind w:left="4822" w:hanging="360"/>
      </w:pPr>
      <w:rPr>
        <w:rFonts w:ascii="Wingdings" w:hAnsi="Wingdings" w:hint="default"/>
      </w:rPr>
    </w:lvl>
    <w:lvl w:ilvl="7" w:tplc="C7D00F34" w:tentative="1">
      <w:start w:val="1"/>
      <w:numFmt w:val="bullet"/>
      <w:lvlText w:val=""/>
      <w:lvlJc w:val="left"/>
      <w:pPr>
        <w:tabs>
          <w:tab w:val="num" w:pos="5542"/>
        </w:tabs>
        <w:ind w:left="5542" w:hanging="360"/>
      </w:pPr>
      <w:rPr>
        <w:rFonts w:ascii="Wingdings" w:hAnsi="Wingdings" w:hint="default"/>
      </w:rPr>
    </w:lvl>
    <w:lvl w:ilvl="8" w:tplc="95648D8C" w:tentative="1">
      <w:start w:val="1"/>
      <w:numFmt w:val="bullet"/>
      <w:lvlText w:val=""/>
      <w:lvlJc w:val="left"/>
      <w:pPr>
        <w:tabs>
          <w:tab w:val="num" w:pos="6262"/>
        </w:tabs>
        <w:ind w:left="6262" w:hanging="360"/>
      </w:pPr>
      <w:rPr>
        <w:rFonts w:ascii="Wingdings" w:hAnsi="Wingdings" w:hint="default"/>
      </w:rPr>
    </w:lvl>
  </w:abstractNum>
  <w:abstractNum w:abstractNumId="25" w15:restartNumberingAfterBreak="0">
    <w:nsid w:val="5E6C22F1"/>
    <w:multiLevelType w:val="hybridMultilevel"/>
    <w:tmpl w:val="CF9045FA"/>
    <w:lvl w:ilvl="0" w:tplc="D87A3774">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3243AB2"/>
    <w:multiLevelType w:val="multilevel"/>
    <w:tmpl w:val="F318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136986"/>
    <w:multiLevelType w:val="hybridMultilevel"/>
    <w:tmpl w:val="1A9ACB12"/>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28" w15:restartNumberingAfterBreak="0">
    <w:nsid w:val="689455AC"/>
    <w:multiLevelType w:val="hybridMultilevel"/>
    <w:tmpl w:val="F0DCD65A"/>
    <w:lvl w:ilvl="0" w:tplc="E1D67B02">
      <w:start w:val="1"/>
      <w:numFmt w:val="bullet"/>
      <w:lvlText w:val=""/>
      <w:lvlJc w:val="left"/>
      <w:pPr>
        <w:tabs>
          <w:tab w:val="num" w:pos="720"/>
        </w:tabs>
        <w:ind w:left="720" w:hanging="360"/>
      </w:pPr>
      <w:rPr>
        <w:rFonts w:ascii="Wingdings" w:hAnsi="Wingdings" w:hint="default"/>
      </w:rPr>
    </w:lvl>
    <w:lvl w:ilvl="1" w:tplc="93EC45CE" w:tentative="1">
      <w:start w:val="1"/>
      <w:numFmt w:val="bullet"/>
      <w:lvlText w:val=""/>
      <w:lvlJc w:val="left"/>
      <w:pPr>
        <w:tabs>
          <w:tab w:val="num" w:pos="1440"/>
        </w:tabs>
        <w:ind w:left="1440" w:hanging="360"/>
      </w:pPr>
      <w:rPr>
        <w:rFonts w:ascii="Wingdings" w:hAnsi="Wingdings" w:hint="default"/>
      </w:rPr>
    </w:lvl>
    <w:lvl w:ilvl="2" w:tplc="78BAD210" w:tentative="1">
      <w:start w:val="1"/>
      <w:numFmt w:val="bullet"/>
      <w:lvlText w:val=""/>
      <w:lvlJc w:val="left"/>
      <w:pPr>
        <w:tabs>
          <w:tab w:val="num" w:pos="2160"/>
        </w:tabs>
        <w:ind w:left="2160" w:hanging="360"/>
      </w:pPr>
      <w:rPr>
        <w:rFonts w:ascii="Wingdings" w:hAnsi="Wingdings" w:hint="default"/>
      </w:rPr>
    </w:lvl>
    <w:lvl w:ilvl="3" w:tplc="2CA29C4C" w:tentative="1">
      <w:start w:val="1"/>
      <w:numFmt w:val="bullet"/>
      <w:lvlText w:val=""/>
      <w:lvlJc w:val="left"/>
      <w:pPr>
        <w:tabs>
          <w:tab w:val="num" w:pos="2880"/>
        </w:tabs>
        <w:ind w:left="2880" w:hanging="360"/>
      </w:pPr>
      <w:rPr>
        <w:rFonts w:ascii="Wingdings" w:hAnsi="Wingdings" w:hint="default"/>
      </w:rPr>
    </w:lvl>
    <w:lvl w:ilvl="4" w:tplc="ADE6BF84" w:tentative="1">
      <w:start w:val="1"/>
      <w:numFmt w:val="bullet"/>
      <w:lvlText w:val=""/>
      <w:lvlJc w:val="left"/>
      <w:pPr>
        <w:tabs>
          <w:tab w:val="num" w:pos="3600"/>
        </w:tabs>
        <w:ind w:left="3600" w:hanging="360"/>
      </w:pPr>
      <w:rPr>
        <w:rFonts w:ascii="Wingdings" w:hAnsi="Wingdings" w:hint="default"/>
      </w:rPr>
    </w:lvl>
    <w:lvl w:ilvl="5" w:tplc="D1121C88" w:tentative="1">
      <w:start w:val="1"/>
      <w:numFmt w:val="bullet"/>
      <w:lvlText w:val=""/>
      <w:lvlJc w:val="left"/>
      <w:pPr>
        <w:tabs>
          <w:tab w:val="num" w:pos="4320"/>
        </w:tabs>
        <w:ind w:left="4320" w:hanging="360"/>
      </w:pPr>
      <w:rPr>
        <w:rFonts w:ascii="Wingdings" w:hAnsi="Wingdings" w:hint="default"/>
      </w:rPr>
    </w:lvl>
    <w:lvl w:ilvl="6" w:tplc="E5D00864" w:tentative="1">
      <w:start w:val="1"/>
      <w:numFmt w:val="bullet"/>
      <w:lvlText w:val=""/>
      <w:lvlJc w:val="left"/>
      <w:pPr>
        <w:tabs>
          <w:tab w:val="num" w:pos="5040"/>
        </w:tabs>
        <w:ind w:left="5040" w:hanging="360"/>
      </w:pPr>
      <w:rPr>
        <w:rFonts w:ascii="Wingdings" w:hAnsi="Wingdings" w:hint="default"/>
      </w:rPr>
    </w:lvl>
    <w:lvl w:ilvl="7" w:tplc="49EC4A70" w:tentative="1">
      <w:start w:val="1"/>
      <w:numFmt w:val="bullet"/>
      <w:lvlText w:val=""/>
      <w:lvlJc w:val="left"/>
      <w:pPr>
        <w:tabs>
          <w:tab w:val="num" w:pos="5760"/>
        </w:tabs>
        <w:ind w:left="5760" w:hanging="360"/>
      </w:pPr>
      <w:rPr>
        <w:rFonts w:ascii="Wingdings" w:hAnsi="Wingdings" w:hint="default"/>
      </w:rPr>
    </w:lvl>
    <w:lvl w:ilvl="8" w:tplc="3AA8B80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7B0B47"/>
    <w:multiLevelType w:val="multilevel"/>
    <w:tmpl w:val="C5BEAE4A"/>
    <w:lvl w:ilvl="0">
      <w:start w:val="1"/>
      <w:numFmt w:val="decimal"/>
      <w:pStyle w:val="Titre1"/>
      <w:lvlText w:val="%1."/>
      <w:lvlJc w:val="left"/>
      <w:pPr>
        <w:ind w:left="360" w:hanging="360"/>
      </w:pPr>
      <w:rPr>
        <w:rFonts w:hint="default"/>
        <w:b/>
      </w:rPr>
    </w:lvl>
    <w:lvl w:ilvl="1">
      <w:start w:val="1"/>
      <w:numFmt w:val="decimal"/>
      <w:pStyle w:val="Titre2"/>
      <w:lvlText w:val="%1.%2."/>
      <w:lvlJc w:val="left"/>
      <w:pPr>
        <w:ind w:left="2700" w:hanging="432"/>
      </w:pPr>
      <w:rPr>
        <w:rFonts w:hint="default"/>
      </w:rPr>
    </w:lvl>
    <w:lvl w:ilvl="2">
      <w:start w:val="1"/>
      <w:numFmt w:val="decimal"/>
      <w:pStyle w:val="Titre3"/>
      <w:lvlText w:val="%1.%2.%3."/>
      <w:lvlJc w:val="left"/>
      <w:pPr>
        <w:ind w:left="1224" w:hanging="504"/>
      </w:pPr>
      <w:rPr>
        <w:rFonts w:hint="default"/>
        <w:i w:val="0"/>
        <w:iCs w:val="0"/>
        <w: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92001C8"/>
    <w:multiLevelType w:val="hybridMultilevel"/>
    <w:tmpl w:val="2228D748"/>
    <w:lvl w:ilvl="0" w:tplc="9A3EE124">
      <w:start w:val="1"/>
      <w:numFmt w:val="bullet"/>
      <w:lvlText w:val="•"/>
      <w:lvlJc w:val="left"/>
      <w:pPr>
        <w:tabs>
          <w:tab w:val="num" w:pos="720"/>
        </w:tabs>
        <w:ind w:left="720" w:hanging="360"/>
      </w:pPr>
      <w:rPr>
        <w:rFonts w:ascii="Times New Roman" w:hAnsi="Times New Roman" w:hint="default"/>
      </w:rPr>
    </w:lvl>
    <w:lvl w:ilvl="1" w:tplc="B23AE9F6">
      <w:start w:val="65"/>
      <w:numFmt w:val="bullet"/>
      <w:lvlText w:val="•"/>
      <w:lvlJc w:val="left"/>
      <w:pPr>
        <w:tabs>
          <w:tab w:val="num" w:pos="1440"/>
        </w:tabs>
        <w:ind w:left="1440" w:hanging="360"/>
      </w:pPr>
      <w:rPr>
        <w:rFonts w:ascii="Arial" w:hAnsi="Arial" w:hint="default"/>
      </w:rPr>
    </w:lvl>
    <w:lvl w:ilvl="2" w:tplc="FEF8F9D0" w:tentative="1">
      <w:start w:val="1"/>
      <w:numFmt w:val="bullet"/>
      <w:lvlText w:val="•"/>
      <w:lvlJc w:val="left"/>
      <w:pPr>
        <w:tabs>
          <w:tab w:val="num" w:pos="2160"/>
        </w:tabs>
        <w:ind w:left="2160" w:hanging="360"/>
      </w:pPr>
      <w:rPr>
        <w:rFonts w:ascii="Times New Roman" w:hAnsi="Times New Roman" w:hint="default"/>
      </w:rPr>
    </w:lvl>
    <w:lvl w:ilvl="3" w:tplc="6E38F9FE" w:tentative="1">
      <w:start w:val="1"/>
      <w:numFmt w:val="bullet"/>
      <w:lvlText w:val="•"/>
      <w:lvlJc w:val="left"/>
      <w:pPr>
        <w:tabs>
          <w:tab w:val="num" w:pos="2880"/>
        </w:tabs>
        <w:ind w:left="2880" w:hanging="360"/>
      </w:pPr>
      <w:rPr>
        <w:rFonts w:ascii="Times New Roman" w:hAnsi="Times New Roman" w:hint="default"/>
      </w:rPr>
    </w:lvl>
    <w:lvl w:ilvl="4" w:tplc="3A6248F2" w:tentative="1">
      <w:start w:val="1"/>
      <w:numFmt w:val="bullet"/>
      <w:lvlText w:val="•"/>
      <w:lvlJc w:val="left"/>
      <w:pPr>
        <w:tabs>
          <w:tab w:val="num" w:pos="3600"/>
        </w:tabs>
        <w:ind w:left="3600" w:hanging="360"/>
      </w:pPr>
      <w:rPr>
        <w:rFonts w:ascii="Times New Roman" w:hAnsi="Times New Roman" w:hint="default"/>
      </w:rPr>
    </w:lvl>
    <w:lvl w:ilvl="5" w:tplc="C114B53A" w:tentative="1">
      <w:start w:val="1"/>
      <w:numFmt w:val="bullet"/>
      <w:lvlText w:val="•"/>
      <w:lvlJc w:val="left"/>
      <w:pPr>
        <w:tabs>
          <w:tab w:val="num" w:pos="4320"/>
        </w:tabs>
        <w:ind w:left="4320" w:hanging="360"/>
      </w:pPr>
      <w:rPr>
        <w:rFonts w:ascii="Times New Roman" w:hAnsi="Times New Roman" w:hint="default"/>
      </w:rPr>
    </w:lvl>
    <w:lvl w:ilvl="6" w:tplc="17EAAA1E" w:tentative="1">
      <w:start w:val="1"/>
      <w:numFmt w:val="bullet"/>
      <w:lvlText w:val="•"/>
      <w:lvlJc w:val="left"/>
      <w:pPr>
        <w:tabs>
          <w:tab w:val="num" w:pos="5040"/>
        </w:tabs>
        <w:ind w:left="5040" w:hanging="360"/>
      </w:pPr>
      <w:rPr>
        <w:rFonts w:ascii="Times New Roman" w:hAnsi="Times New Roman" w:hint="default"/>
      </w:rPr>
    </w:lvl>
    <w:lvl w:ilvl="7" w:tplc="BBC88AB8" w:tentative="1">
      <w:start w:val="1"/>
      <w:numFmt w:val="bullet"/>
      <w:lvlText w:val="•"/>
      <w:lvlJc w:val="left"/>
      <w:pPr>
        <w:tabs>
          <w:tab w:val="num" w:pos="5760"/>
        </w:tabs>
        <w:ind w:left="5760" w:hanging="360"/>
      </w:pPr>
      <w:rPr>
        <w:rFonts w:ascii="Times New Roman" w:hAnsi="Times New Roman" w:hint="default"/>
      </w:rPr>
    </w:lvl>
    <w:lvl w:ilvl="8" w:tplc="1AD0ECE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AB25E76"/>
    <w:multiLevelType w:val="hybridMultilevel"/>
    <w:tmpl w:val="2318B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1230F7"/>
    <w:multiLevelType w:val="hybridMultilevel"/>
    <w:tmpl w:val="49A472A4"/>
    <w:lvl w:ilvl="0" w:tplc="59240E00">
      <w:start w:val="1"/>
      <w:numFmt w:val="bullet"/>
      <w:lvlText w:val=""/>
      <w:lvlJc w:val="left"/>
      <w:pPr>
        <w:tabs>
          <w:tab w:val="num" w:pos="720"/>
        </w:tabs>
        <w:ind w:left="720" w:hanging="360"/>
      </w:pPr>
      <w:rPr>
        <w:rFonts w:ascii="Wingdings" w:hAnsi="Wingdings" w:hint="default"/>
      </w:rPr>
    </w:lvl>
    <w:lvl w:ilvl="1" w:tplc="62B084DA">
      <w:start w:val="483"/>
      <w:numFmt w:val="bullet"/>
      <w:lvlText w:val=""/>
      <w:lvlJc w:val="left"/>
      <w:pPr>
        <w:tabs>
          <w:tab w:val="num" w:pos="1440"/>
        </w:tabs>
        <w:ind w:left="1440" w:hanging="360"/>
      </w:pPr>
      <w:rPr>
        <w:rFonts w:ascii="Wingdings" w:hAnsi="Wingdings" w:hint="default"/>
      </w:rPr>
    </w:lvl>
    <w:lvl w:ilvl="2" w:tplc="29E0BA48" w:tentative="1">
      <w:start w:val="1"/>
      <w:numFmt w:val="bullet"/>
      <w:lvlText w:val=""/>
      <w:lvlJc w:val="left"/>
      <w:pPr>
        <w:tabs>
          <w:tab w:val="num" w:pos="2160"/>
        </w:tabs>
        <w:ind w:left="2160" w:hanging="360"/>
      </w:pPr>
      <w:rPr>
        <w:rFonts w:ascii="Wingdings" w:hAnsi="Wingdings" w:hint="default"/>
      </w:rPr>
    </w:lvl>
    <w:lvl w:ilvl="3" w:tplc="12E8AB82" w:tentative="1">
      <w:start w:val="1"/>
      <w:numFmt w:val="bullet"/>
      <w:lvlText w:val=""/>
      <w:lvlJc w:val="left"/>
      <w:pPr>
        <w:tabs>
          <w:tab w:val="num" w:pos="2880"/>
        </w:tabs>
        <w:ind w:left="2880" w:hanging="360"/>
      </w:pPr>
      <w:rPr>
        <w:rFonts w:ascii="Wingdings" w:hAnsi="Wingdings" w:hint="default"/>
      </w:rPr>
    </w:lvl>
    <w:lvl w:ilvl="4" w:tplc="44C4761A" w:tentative="1">
      <w:start w:val="1"/>
      <w:numFmt w:val="bullet"/>
      <w:lvlText w:val=""/>
      <w:lvlJc w:val="left"/>
      <w:pPr>
        <w:tabs>
          <w:tab w:val="num" w:pos="3600"/>
        </w:tabs>
        <w:ind w:left="3600" w:hanging="360"/>
      </w:pPr>
      <w:rPr>
        <w:rFonts w:ascii="Wingdings" w:hAnsi="Wingdings" w:hint="default"/>
      </w:rPr>
    </w:lvl>
    <w:lvl w:ilvl="5" w:tplc="3C5CE87E" w:tentative="1">
      <w:start w:val="1"/>
      <w:numFmt w:val="bullet"/>
      <w:lvlText w:val=""/>
      <w:lvlJc w:val="left"/>
      <w:pPr>
        <w:tabs>
          <w:tab w:val="num" w:pos="4320"/>
        </w:tabs>
        <w:ind w:left="4320" w:hanging="360"/>
      </w:pPr>
      <w:rPr>
        <w:rFonts w:ascii="Wingdings" w:hAnsi="Wingdings" w:hint="default"/>
      </w:rPr>
    </w:lvl>
    <w:lvl w:ilvl="6" w:tplc="D2E2A404" w:tentative="1">
      <w:start w:val="1"/>
      <w:numFmt w:val="bullet"/>
      <w:lvlText w:val=""/>
      <w:lvlJc w:val="left"/>
      <w:pPr>
        <w:tabs>
          <w:tab w:val="num" w:pos="5040"/>
        </w:tabs>
        <w:ind w:left="5040" w:hanging="360"/>
      </w:pPr>
      <w:rPr>
        <w:rFonts w:ascii="Wingdings" w:hAnsi="Wingdings" w:hint="default"/>
      </w:rPr>
    </w:lvl>
    <w:lvl w:ilvl="7" w:tplc="969C858E" w:tentative="1">
      <w:start w:val="1"/>
      <w:numFmt w:val="bullet"/>
      <w:lvlText w:val=""/>
      <w:lvlJc w:val="left"/>
      <w:pPr>
        <w:tabs>
          <w:tab w:val="num" w:pos="5760"/>
        </w:tabs>
        <w:ind w:left="5760" w:hanging="360"/>
      </w:pPr>
      <w:rPr>
        <w:rFonts w:ascii="Wingdings" w:hAnsi="Wingdings" w:hint="default"/>
      </w:rPr>
    </w:lvl>
    <w:lvl w:ilvl="8" w:tplc="0DB2E6B6"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6"/>
  </w:num>
  <w:num w:numId="3">
    <w:abstractNumId w:val="28"/>
  </w:num>
  <w:num w:numId="4">
    <w:abstractNumId w:val="24"/>
  </w:num>
  <w:num w:numId="5">
    <w:abstractNumId w:val="27"/>
  </w:num>
  <w:num w:numId="6">
    <w:abstractNumId w:val="3"/>
  </w:num>
  <w:num w:numId="7">
    <w:abstractNumId w:val="9"/>
  </w:num>
  <w:num w:numId="8">
    <w:abstractNumId w:val="23"/>
  </w:num>
  <w:num w:numId="9">
    <w:abstractNumId w:val="21"/>
  </w:num>
  <w:num w:numId="10">
    <w:abstractNumId w:val="32"/>
  </w:num>
  <w:num w:numId="11">
    <w:abstractNumId w:val="4"/>
  </w:num>
  <w:num w:numId="12">
    <w:abstractNumId w:val="0"/>
  </w:num>
  <w:num w:numId="13">
    <w:abstractNumId w:val="10"/>
  </w:num>
  <w:num w:numId="14">
    <w:abstractNumId w:val="14"/>
  </w:num>
  <w:num w:numId="15">
    <w:abstractNumId w:val="11"/>
  </w:num>
  <w:num w:numId="16">
    <w:abstractNumId w:val="18"/>
  </w:num>
  <w:num w:numId="17">
    <w:abstractNumId w:val="12"/>
  </w:num>
  <w:num w:numId="18">
    <w:abstractNumId w:val="16"/>
  </w:num>
  <w:num w:numId="19">
    <w:abstractNumId w:val="2"/>
  </w:num>
  <w:num w:numId="20">
    <w:abstractNumId w:val="30"/>
  </w:num>
  <w:num w:numId="21">
    <w:abstractNumId w:val="20"/>
  </w:num>
  <w:num w:numId="22">
    <w:abstractNumId w:val="19"/>
  </w:num>
  <w:num w:numId="23">
    <w:abstractNumId w:val="5"/>
  </w:num>
  <w:num w:numId="24">
    <w:abstractNumId w:val="1"/>
  </w:num>
  <w:num w:numId="25">
    <w:abstractNumId w:val="22"/>
  </w:num>
  <w:num w:numId="26">
    <w:abstractNumId w:val="13"/>
  </w:num>
  <w:num w:numId="27">
    <w:abstractNumId w:val="7"/>
  </w:num>
  <w:num w:numId="28">
    <w:abstractNumId w:val="25"/>
  </w:num>
  <w:num w:numId="29">
    <w:abstractNumId w:val="17"/>
  </w:num>
  <w:num w:numId="30">
    <w:abstractNumId w:val="31"/>
  </w:num>
  <w:num w:numId="31">
    <w:abstractNumId w:val="15"/>
  </w:num>
  <w:num w:numId="32">
    <w:abstractNumId w:val="2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60C"/>
    <w:rsid w:val="00023937"/>
    <w:rsid w:val="00024618"/>
    <w:rsid w:val="0002671E"/>
    <w:rsid w:val="00033128"/>
    <w:rsid w:val="0004194B"/>
    <w:rsid w:val="00044652"/>
    <w:rsid w:val="000B0730"/>
    <w:rsid w:val="001375F1"/>
    <w:rsid w:val="001503B9"/>
    <w:rsid w:val="001E4F9C"/>
    <w:rsid w:val="00214851"/>
    <w:rsid w:val="002828A3"/>
    <w:rsid w:val="00291A83"/>
    <w:rsid w:val="0029205F"/>
    <w:rsid w:val="002B2F02"/>
    <w:rsid w:val="00351C4C"/>
    <w:rsid w:val="003647F4"/>
    <w:rsid w:val="003763F3"/>
    <w:rsid w:val="003868A6"/>
    <w:rsid w:val="00391531"/>
    <w:rsid w:val="00397192"/>
    <w:rsid w:val="003A4F60"/>
    <w:rsid w:val="003C17C7"/>
    <w:rsid w:val="003C251D"/>
    <w:rsid w:val="003D2954"/>
    <w:rsid w:val="00416625"/>
    <w:rsid w:val="00423735"/>
    <w:rsid w:val="00460A49"/>
    <w:rsid w:val="004E145A"/>
    <w:rsid w:val="00511985"/>
    <w:rsid w:val="00514B93"/>
    <w:rsid w:val="00527B79"/>
    <w:rsid w:val="0053775A"/>
    <w:rsid w:val="00591BC8"/>
    <w:rsid w:val="005924DC"/>
    <w:rsid w:val="005D23F9"/>
    <w:rsid w:val="005D69C2"/>
    <w:rsid w:val="006001FD"/>
    <w:rsid w:val="006056B8"/>
    <w:rsid w:val="00611290"/>
    <w:rsid w:val="00615DEC"/>
    <w:rsid w:val="00661F72"/>
    <w:rsid w:val="0066554C"/>
    <w:rsid w:val="00670DE9"/>
    <w:rsid w:val="0068055D"/>
    <w:rsid w:val="006F23BC"/>
    <w:rsid w:val="0071260C"/>
    <w:rsid w:val="0075651D"/>
    <w:rsid w:val="00792367"/>
    <w:rsid w:val="007A6E8C"/>
    <w:rsid w:val="00821D7D"/>
    <w:rsid w:val="00824377"/>
    <w:rsid w:val="0087341B"/>
    <w:rsid w:val="00891E26"/>
    <w:rsid w:val="008A2569"/>
    <w:rsid w:val="008D0BFD"/>
    <w:rsid w:val="008D1805"/>
    <w:rsid w:val="008E0487"/>
    <w:rsid w:val="00905C88"/>
    <w:rsid w:val="009103E3"/>
    <w:rsid w:val="009239FB"/>
    <w:rsid w:val="00974EDB"/>
    <w:rsid w:val="0097702B"/>
    <w:rsid w:val="009A4EB3"/>
    <w:rsid w:val="009D14CC"/>
    <w:rsid w:val="00A35607"/>
    <w:rsid w:val="00A35A3E"/>
    <w:rsid w:val="00A90436"/>
    <w:rsid w:val="00B27D1C"/>
    <w:rsid w:val="00B47E44"/>
    <w:rsid w:val="00B65563"/>
    <w:rsid w:val="00BB4A54"/>
    <w:rsid w:val="00BC4728"/>
    <w:rsid w:val="00BD25D6"/>
    <w:rsid w:val="00BE06E7"/>
    <w:rsid w:val="00BE148D"/>
    <w:rsid w:val="00BF5287"/>
    <w:rsid w:val="00C23C8E"/>
    <w:rsid w:val="00C50B6A"/>
    <w:rsid w:val="00C53C8D"/>
    <w:rsid w:val="00C60119"/>
    <w:rsid w:val="00C85D62"/>
    <w:rsid w:val="00CA6D1C"/>
    <w:rsid w:val="00CB1402"/>
    <w:rsid w:val="00D22CC8"/>
    <w:rsid w:val="00D26293"/>
    <w:rsid w:val="00D3649C"/>
    <w:rsid w:val="00D77A50"/>
    <w:rsid w:val="00DC2472"/>
    <w:rsid w:val="00DD2A5B"/>
    <w:rsid w:val="00DE6FB3"/>
    <w:rsid w:val="00E24578"/>
    <w:rsid w:val="00E343CB"/>
    <w:rsid w:val="00E90252"/>
    <w:rsid w:val="00EA412D"/>
    <w:rsid w:val="00ED50CE"/>
    <w:rsid w:val="00EE5A24"/>
    <w:rsid w:val="00EF3C5A"/>
    <w:rsid w:val="00F359F9"/>
    <w:rsid w:val="00F737A4"/>
    <w:rsid w:val="00F86CA3"/>
    <w:rsid w:val="00FD0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BC4C9"/>
  <w15:docId w15:val="{D54228D3-72A1-8A41-9BF7-33736C57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985"/>
    <w:rPr>
      <w:rFonts w:ascii="Times New Roman" w:eastAsia="Times New Roman" w:hAnsi="Times New Roman" w:cs="Times New Roman"/>
      <w:lang w:val="en-US" w:eastAsia="fr-FR"/>
    </w:rPr>
  </w:style>
  <w:style w:type="paragraph" w:styleId="Titre1">
    <w:name w:val="heading 1"/>
    <w:basedOn w:val="Normal"/>
    <w:next w:val="Normal"/>
    <w:link w:val="Titre1Car"/>
    <w:uiPriority w:val="9"/>
    <w:qFormat/>
    <w:rsid w:val="0071260C"/>
    <w:pPr>
      <w:keepNext/>
      <w:keepLines/>
      <w:numPr>
        <w:numId w:val="1"/>
      </w:numPr>
      <w:spacing w:before="360" w:after="160" w:line="259" w:lineRule="auto"/>
      <w:jc w:val="center"/>
      <w:outlineLvl w:val="0"/>
    </w:pPr>
    <w:rPr>
      <w:rFonts w:ascii="Times New Roman Bold" w:eastAsiaTheme="majorEastAsia" w:hAnsi="Times New Roman Bold" w:cstheme="majorBidi"/>
      <w:b/>
      <w:bCs/>
      <w:caps/>
      <w:color w:val="000000" w:themeColor="text1"/>
      <w:sz w:val="28"/>
      <w:szCs w:val="36"/>
      <w:lang w:val="en-GB" w:eastAsia="en-US"/>
    </w:rPr>
  </w:style>
  <w:style w:type="paragraph" w:styleId="Titre2">
    <w:name w:val="heading 2"/>
    <w:basedOn w:val="Normal"/>
    <w:next w:val="Normal"/>
    <w:link w:val="Titre2Car"/>
    <w:uiPriority w:val="9"/>
    <w:unhideWhenUsed/>
    <w:qFormat/>
    <w:rsid w:val="0071260C"/>
    <w:pPr>
      <w:keepNext/>
      <w:keepLines/>
      <w:numPr>
        <w:ilvl w:val="1"/>
        <w:numId w:val="1"/>
      </w:numPr>
      <w:spacing w:before="240" w:line="259" w:lineRule="auto"/>
      <w:ind w:left="431" w:hanging="431"/>
      <w:outlineLvl w:val="1"/>
    </w:pPr>
    <w:rPr>
      <w:rFonts w:asciiTheme="majorBidi" w:eastAsiaTheme="majorEastAsia" w:hAnsiTheme="majorBidi" w:cstheme="majorBidi"/>
      <w:bCs/>
      <w:color w:val="000000" w:themeColor="text1"/>
      <w:szCs w:val="28"/>
      <w:lang w:eastAsia="en-US"/>
    </w:rPr>
  </w:style>
  <w:style w:type="paragraph" w:styleId="Titre3">
    <w:name w:val="heading 3"/>
    <w:basedOn w:val="Normal"/>
    <w:next w:val="Normal"/>
    <w:link w:val="Titre3Car"/>
    <w:uiPriority w:val="9"/>
    <w:unhideWhenUsed/>
    <w:qFormat/>
    <w:rsid w:val="0071260C"/>
    <w:pPr>
      <w:numPr>
        <w:ilvl w:val="2"/>
        <w:numId w:val="1"/>
      </w:numPr>
      <w:ind w:left="567" w:hanging="567"/>
      <w:jc w:val="both"/>
      <w:outlineLvl w:val="2"/>
    </w:pPr>
    <w:rPr>
      <w:rFonts w:eastAsia="MS Mincho"/>
      <w:b/>
      <w:sz w:val="22"/>
      <w:szCs w:val="22"/>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1260C"/>
    <w:rPr>
      <w:rFonts w:ascii="Times New Roman Bold" w:eastAsiaTheme="majorEastAsia" w:hAnsi="Times New Roman Bold" w:cstheme="majorBidi"/>
      <w:b/>
      <w:bCs/>
      <w:caps/>
      <w:color w:val="000000" w:themeColor="text1"/>
      <w:sz w:val="28"/>
      <w:szCs w:val="36"/>
      <w:lang w:val="en-GB"/>
    </w:rPr>
  </w:style>
  <w:style w:type="character" w:customStyle="1" w:styleId="Titre2Car">
    <w:name w:val="Titre 2 Car"/>
    <w:basedOn w:val="Policepardfaut"/>
    <w:link w:val="Titre2"/>
    <w:uiPriority w:val="9"/>
    <w:rsid w:val="0071260C"/>
    <w:rPr>
      <w:rFonts w:asciiTheme="majorBidi" w:eastAsiaTheme="majorEastAsia" w:hAnsiTheme="majorBidi" w:cstheme="majorBidi"/>
      <w:bCs/>
      <w:color w:val="000000" w:themeColor="text1"/>
      <w:szCs w:val="28"/>
      <w:lang w:val="en-US"/>
    </w:rPr>
  </w:style>
  <w:style w:type="character" w:customStyle="1" w:styleId="Titre3Car">
    <w:name w:val="Titre 3 Car"/>
    <w:basedOn w:val="Policepardfaut"/>
    <w:link w:val="Titre3"/>
    <w:uiPriority w:val="9"/>
    <w:rsid w:val="0071260C"/>
    <w:rPr>
      <w:rFonts w:ascii="Times New Roman" w:eastAsia="MS Mincho" w:hAnsi="Times New Roman" w:cs="Times New Roman"/>
      <w:b/>
      <w:sz w:val="22"/>
      <w:szCs w:val="22"/>
      <w:lang w:val="en-GB"/>
    </w:rPr>
  </w:style>
  <w:style w:type="paragraph" w:styleId="Lgende">
    <w:name w:val="caption"/>
    <w:basedOn w:val="Normal"/>
    <w:next w:val="Normal"/>
    <w:uiPriority w:val="35"/>
    <w:unhideWhenUsed/>
    <w:qFormat/>
    <w:rsid w:val="0071260C"/>
    <w:pPr>
      <w:spacing w:after="200"/>
    </w:pPr>
    <w:rPr>
      <w:rFonts w:asciiTheme="minorHAnsi" w:eastAsiaTheme="minorEastAsia" w:hAnsiTheme="minorHAnsi" w:cstheme="minorBidi"/>
      <w:i/>
      <w:iCs/>
      <w:color w:val="44546A" w:themeColor="text2"/>
      <w:sz w:val="18"/>
      <w:szCs w:val="18"/>
      <w:lang w:val="en-GB" w:eastAsia="en-US"/>
    </w:rPr>
  </w:style>
  <w:style w:type="character" w:styleId="Marquedecommentaire">
    <w:name w:val="annotation reference"/>
    <w:basedOn w:val="Policepardfaut"/>
    <w:uiPriority w:val="99"/>
    <w:semiHidden/>
    <w:unhideWhenUsed/>
    <w:rsid w:val="0071260C"/>
    <w:rPr>
      <w:sz w:val="16"/>
      <w:szCs w:val="16"/>
    </w:rPr>
  </w:style>
  <w:style w:type="paragraph" w:styleId="Commentaire">
    <w:name w:val="annotation text"/>
    <w:basedOn w:val="Normal"/>
    <w:link w:val="CommentaireCar"/>
    <w:uiPriority w:val="99"/>
    <w:unhideWhenUsed/>
    <w:rsid w:val="0071260C"/>
    <w:pPr>
      <w:spacing w:after="160"/>
    </w:pPr>
    <w:rPr>
      <w:rFonts w:asciiTheme="minorHAnsi" w:eastAsiaTheme="minorEastAsia" w:hAnsiTheme="minorHAnsi" w:cstheme="minorBidi"/>
      <w:sz w:val="20"/>
      <w:szCs w:val="20"/>
      <w:lang w:val="en-GB" w:eastAsia="en-US"/>
    </w:rPr>
  </w:style>
  <w:style w:type="character" w:customStyle="1" w:styleId="CommentaireCar">
    <w:name w:val="Commentaire Car"/>
    <w:basedOn w:val="Policepardfaut"/>
    <w:link w:val="Commentaire"/>
    <w:uiPriority w:val="99"/>
    <w:rsid w:val="0071260C"/>
    <w:rPr>
      <w:rFonts w:eastAsiaTheme="minorEastAsia"/>
      <w:sz w:val="20"/>
      <w:szCs w:val="20"/>
      <w:lang w:val="en-GB"/>
    </w:rPr>
  </w:style>
  <w:style w:type="table" w:customStyle="1" w:styleId="PlainTable41">
    <w:name w:val="Plain Table 41"/>
    <w:basedOn w:val="TableauNormal"/>
    <w:uiPriority w:val="44"/>
    <w:rsid w:val="0071260C"/>
    <w:rPr>
      <w:rFonts w:eastAsiaTheme="minorEastAsia"/>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edebulles">
    <w:name w:val="Balloon Text"/>
    <w:basedOn w:val="Normal"/>
    <w:link w:val="TextedebullesCar"/>
    <w:uiPriority w:val="99"/>
    <w:semiHidden/>
    <w:unhideWhenUsed/>
    <w:rsid w:val="0071260C"/>
    <w:rPr>
      <w:sz w:val="18"/>
      <w:szCs w:val="18"/>
    </w:rPr>
  </w:style>
  <w:style w:type="character" w:customStyle="1" w:styleId="TextedebullesCar">
    <w:name w:val="Texte de bulles Car"/>
    <w:basedOn w:val="Policepardfaut"/>
    <w:link w:val="Textedebulles"/>
    <w:uiPriority w:val="99"/>
    <w:semiHidden/>
    <w:rsid w:val="0071260C"/>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71260C"/>
    <w:pPr>
      <w:spacing w:before="100" w:beforeAutospacing="1" w:after="100" w:afterAutospacing="1"/>
    </w:pPr>
  </w:style>
  <w:style w:type="paragraph" w:styleId="Corpsdetexte">
    <w:name w:val="Body Text"/>
    <w:basedOn w:val="Normal"/>
    <w:link w:val="CorpsdetexteCar"/>
    <w:uiPriority w:val="99"/>
    <w:unhideWhenUsed/>
    <w:rsid w:val="00C85D62"/>
    <w:pPr>
      <w:spacing w:after="120" w:line="276" w:lineRule="auto"/>
    </w:pPr>
    <w:rPr>
      <w:rFonts w:eastAsiaTheme="minorEastAsia"/>
      <w:noProof/>
      <w:sz w:val="22"/>
      <w:szCs w:val="22"/>
      <w:lang w:val="en-GB" w:eastAsia="en-GB"/>
    </w:rPr>
  </w:style>
  <w:style w:type="character" w:customStyle="1" w:styleId="CorpsdetexteCar">
    <w:name w:val="Corps de texte Car"/>
    <w:basedOn w:val="Policepardfaut"/>
    <w:link w:val="Corpsdetexte"/>
    <w:uiPriority w:val="99"/>
    <w:rsid w:val="00C85D62"/>
    <w:rPr>
      <w:rFonts w:ascii="Times New Roman" w:eastAsiaTheme="minorEastAsia" w:hAnsi="Times New Roman" w:cs="Times New Roman"/>
      <w:noProof/>
      <w:sz w:val="22"/>
      <w:szCs w:val="22"/>
      <w:lang w:val="en-GB" w:eastAsia="en-GB"/>
    </w:rPr>
  </w:style>
  <w:style w:type="paragraph" w:styleId="Paragraphedeliste">
    <w:name w:val="List Paragraph"/>
    <w:basedOn w:val="Normal"/>
    <w:uiPriority w:val="34"/>
    <w:qFormat/>
    <w:rsid w:val="00C85D62"/>
    <w:pPr>
      <w:spacing w:after="160" w:line="259" w:lineRule="auto"/>
      <w:ind w:left="720"/>
      <w:contextualSpacing/>
    </w:pPr>
    <w:rPr>
      <w:rFonts w:asciiTheme="minorHAnsi" w:eastAsiaTheme="minorEastAsia" w:hAnsiTheme="minorHAnsi" w:cstheme="minorBidi"/>
      <w:sz w:val="22"/>
      <w:szCs w:val="22"/>
      <w:lang w:val="en-GB" w:eastAsia="en-US"/>
    </w:rPr>
  </w:style>
  <w:style w:type="character" w:styleId="Lienhypertexte">
    <w:name w:val="Hyperlink"/>
    <w:basedOn w:val="Policepardfaut"/>
    <w:uiPriority w:val="99"/>
    <w:unhideWhenUsed/>
    <w:rsid w:val="00511985"/>
    <w:rPr>
      <w:color w:val="0563C1" w:themeColor="hyperlink"/>
      <w:u w:val="single"/>
    </w:rPr>
  </w:style>
  <w:style w:type="character" w:customStyle="1" w:styleId="UnresolvedMention1">
    <w:name w:val="Unresolved Mention1"/>
    <w:basedOn w:val="Policepardfaut"/>
    <w:uiPriority w:val="99"/>
    <w:semiHidden/>
    <w:unhideWhenUsed/>
    <w:rsid w:val="00511985"/>
    <w:rPr>
      <w:color w:val="605E5C"/>
      <w:shd w:val="clear" w:color="auto" w:fill="E1DFDD"/>
    </w:rPr>
  </w:style>
  <w:style w:type="character" w:styleId="Lienhypertextesuivivisit">
    <w:name w:val="FollowedHyperlink"/>
    <w:basedOn w:val="Policepardfaut"/>
    <w:uiPriority w:val="99"/>
    <w:semiHidden/>
    <w:unhideWhenUsed/>
    <w:rsid w:val="00511985"/>
    <w:rPr>
      <w:color w:val="954F72" w:themeColor="followedHyperlink"/>
      <w:u w:val="single"/>
    </w:rPr>
  </w:style>
  <w:style w:type="character" w:customStyle="1" w:styleId="st">
    <w:name w:val="st"/>
    <w:basedOn w:val="Policepardfaut"/>
    <w:rsid w:val="006056B8"/>
  </w:style>
  <w:style w:type="paragraph" w:styleId="En-tte">
    <w:name w:val="header"/>
    <w:basedOn w:val="Normal"/>
    <w:link w:val="En-tteCar"/>
    <w:uiPriority w:val="99"/>
    <w:unhideWhenUsed/>
    <w:rsid w:val="00024618"/>
    <w:pPr>
      <w:tabs>
        <w:tab w:val="center" w:pos="4536"/>
        <w:tab w:val="right" w:pos="9072"/>
      </w:tabs>
    </w:pPr>
  </w:style>
  <w:style w:type="character" w:customStyle="1" w:styleId="En-tteCar">
    <w:name w:val="En-tête Car"/>
    <w:basedOn w:val="Policepardfaut"/>
    <w:link w:val="En-tte"/>
    <w:uiPriority w:val="99"/>
    <w:rsid w:val="00024618"/>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024618"/>
    <w:pPr>
      <w:tabs>
        <w:tab w:val="center" w:pos="4536"/>
        <w:tab w:val="right" w:pos="9072"/>
      </w:tabs>
    </w:pPr>
  </w:style>
  <w:style w:type="character" w:customStyle="1" w:styleId="PieddepageCar">
    <w:name w:val="Pied de page Car"/>
    <w:basedOn w:val="Policepardfaut"/>
    <w:link w:val="Pieddepage"/>
    <w:uiPriority w:val="99"/>
    <w:rsid w:val="00024618"/>
    <w:rPr>
      <w:rFonts w:ascii="Times New Roman" w:eastAsia="Times New Roman" w:hAnsi="Times New Roman" w:cs="Times New Roman"/>
      <w:lang w:eastAsia="fr-FR"/>
    </w:rPr>
  </w:style>
  <w:style w:type="character" w:customStyle="1" w:styleId="apple-converted-space">
    <w:name w:val="apple-converted-space"/>
    <w:basedOn w:val="Policepardfaut"/>
    <w:rsid w:val="00BE06E7"/>
  </w:style>
  <w:style w:type="paragraph" w:styleId="Notedebasdepage">
    <w:name w:val="footnote text"/>
    <w:basedOn w:val="Normal"/>
    <w:link w:val="NotedebasdepageCar"/>
    <w:uiPriority w:val="99"/>
    <w:semiHidden/>
    <w:unhideWhenUsed/>
    <w:rsid w:val="00974EDB"/>
    <w:rPr>
      <w:rFonts w:asciiTheme="minorHAnsi" w:eastAsiaTheme="minorEastAsia" w:hAnsiTheme="minorHAnsi" w:cstheme="minorBidi"/>
      <w:sz w:val="20"/>
      <w:szCs w:val="20"/>
      <w:lang w:val="en-GB" w:eastAsia="en-US"/>
    </w:rPr>
  </w:style>
  <w:style w:type="character" w:customStyle="1" w:styleId="NotedebasdepageCar">
    <w:name w:val="Note de bas de page Car"/>
    <w:basedOn w:val="Policepardfaut"/>
    <w:link w:val="Notedebasdepage"/>
    <w:uiPriority w:val="99"/>
    <w:semiHidden/>
    <w:rsid w:val="00974EDB"/>
    <w:rPr>
      <w:rFonts w:eastAsiaTheme="minorEastAsia"/>
      <w:sz w:val="20"/>
      <w:szCs w:val="20"/>
      <w:lang w:val="en-GB"/>
    </w:rPr>
  </w:style>
  <w:style w:type="character" w:styleId="Appelnotedebasdep">
    <w:name w:val="footnote reference"/>
    <w:basedOn w:val="Policepardfaut"/>
    <w:uiPriority w:val="99"/>
    <w:semiHidden/>
    <w:unhideWhenUsed/>
    <w:rsid w:val="00974EDB"/>
    <w:rPr>
      <w:vertAlign w:val="superscript"/>
    </w:rPr>
  </w:style>
  <w:style w:type="table" w:styleId="Grilledutableau">
    <w:name w:val="Table Grid"/>
    <w:basedOn w:val="TableauNormal"/>
    <w:uiPriority w:val="39"/>
    <w:unhideWhenUsed/>
    <w:rsid w:val="00615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60A49"/>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90252"/>
    <w:pPr>
      <w:spacing w:after="0"/>
    </w:pPr>
    <w:rPr>
      <w:rFonts w:ascii="Times New Roman" w:eastAsia="Times New Roman" w:hAnsi="Times New Roman" w:cs="Times New Roman"/>
      <w:b/>
      <w:bCs/>
      <w:lang w:val="en-US" w:eastAsia="fr-FR"/>
    </w:rPr>
  </w:style>
  <w:style w:type="character" w:customStyle="1" w:styleId="ObjetducommentaireCar">
    <w:name w:val="Objet du commentaire Car"/>
    <w:basedOn w:val="CommentaireCar"/>
    <w:link w:val="Objetducommentaire"/>
    <w:uiPriority w:val="99"/>
    <w:semiHidden/>
    <w:rsid w:val="00E90252"/>
    <w:rPr>
      <w:rFonts w:ascii="Times New Roman" w:eastAsia="Times New Roman" w:hAnsi="Times New Roman"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6753">
      <w:bodyDiv w:val="1"/>
      <w:marLeft w:val="0"/>
      <w:marRight w:val="0"/>
      <w:marTop w:val="0"/>
      <w:marBottom w:val="0"/>
      <w:divBdr>
        <w:top w:val="none" w:sz="0" w:space="0" w:color="auto"/>
        <w:left w:val="none" w:sz="0" w:space="0" w:color="auto"/>
        <w:bottom w:val="none" w:sz="0" w:space="0" w:color="auto"/>
        <w:right w:val="none" w:sz="0" w:space="0" w:color="auto"/>
      </w:divBdr>
    </w:div>
    <w:div w:id="195971965">
      <w:bodyDiv w:val="1"/>
      <w:marLeft w:val="0"/>
      <w:marRight w:val="0"/>
      <w:marTop w:val="0"/>
      <w:marBottom w:val="0"/>
      <w:divBdr>
        <w:top w:val="none" w:sz="0" w:space="0" w:color="auto"/>
        <w:left w:val="none" w:sz="0" w:space="0" w:color="auto"/>
        <w:bottom w:val="none" w:sz="0" w:space="0" w:color="auto"/>
        <w:right w:val="none" w:sz="0" w:space="0" w:color="auto"/>
      </w:divBdr>
    </w:div>
    <w:div w:id="434255182">
      <w:bodyDiv w:val="1"/>
      <w:marLeft w:val="0"/>
      <w:marRight w:val="0"/>
      <w:marTop w:val="0"/>
      <w:marBottom w:val="0"/>
      <w:divBdr>
        <w:top w:val="none" w:sz="0" w:space="0" w:color="auto"/>
        <w:left w:val="none" w:sz="0" w:space="0" w:color="auto"/>
        <w:bottom w:val="none" w:sz="0" w:space="0" w:color="auto"/>
        <w:right w:val="none" w:sz="0" w:space="0" w:color="auto"/>
      </w:divBdr>
    </w:div>
    <w:div w:id="580992142">
      <w:bodyDiv w:val="1"/>
      <w:marLeft w:val="0"/>
      <w:marRight w:val="0"/>
      <w:marTop w:val="0"/>
      <w:marBottom w:val="0"/>
      <w:divBdr>
        <w:top w:val="none" w:sz="0" w:space="0" w:color="auto"/>
        <w:left w:val="none" w:sz="0" w:space="0" w:color="auto"/>
        <w:bottom w:val="none" w:sz="0" w:space="0" w:color="auto"/>
        <w:right w:val="none" w:sz="0" w:space="0" w:color="auto"/>
      </w:divBdr>
      <w:divsChild>
        <w:div w:id="2127699074">
          <w:marLeft w:val="821"/>
          <w:marRight w:val="0"/>
          <w:marTop w:val="0"/>
          <w:marBottom w:val="240"/>
          <w:divBdr>
            <w:top w:val="none" w:sz="0" w:space="0" w:color="auto"/>
            <w:left w:val="none" w:sz="0" w:space="0" w:color="auto"/>
            <w:bottom w:val="none" w:sz="0" w:space="0" w:color="auto"/>
            <w:right w:val="none" w:sz="0" w:space="0" w:color="auto"/>
          </w:divBdr>
        </w:div>
        <w:div w:id="26876713">
          <w:marLeft w:val="821"/>
          <w:marRight w:val="0"/>
          <w:marTop w:val="0"/>
          <w:marBottom w:val="240"/>
          <w:divBdr>
            <w:top w:val="none" w:sz="0" w:space="0" w:color="auto"/>
            <w:left w:val="none" w:sz="0" w:space="0" w:color="auto"/>
            <w:bottom w:val="none" w:sz="0" w:space="0" w:color="auto"/>
            <w:right w:val="none" w:sz="0" w:space="0" w:color="auto"/>
          </w:divBdr>
        </w:div>
        <w:div w:id="1599556833">
          <w:marLeft w:val="821"/>
          <w:marRight w:val="0"/>
          <w:marTop w:val="0"/>
          <w:marBottom w:val="240"/>
          <w:divBdr>
            <w:top w:val="none" w:sz="0" w:space="0" w:color="auto"/>
            <w:left w:val="none" w:sz="0" w:space="0" w:color="auto"/>
            <w:bottom w:val="none" w:sz="0" w:space="0" w:color="auto"/>
            <w:right w:val="none" w:sz="0" w:space="0" w:color="auto"/>
          </w:divBdr>
        </w:div>
        <w:div w:id="2013604644">
          <w:marLeft w:val="821"/>
          <w:marRight w:val="0"/>
          <w:marTop w:val="0"/>
          <w:marBottom w:val="240"/>
          <w:divBdr>
            <w:top w:val="none" w:sz="0" w:space="0" w:color="auto"/>
            <w:left w:val="none" w:sz="0" w:space="0" w:color="auto"/>
            <w:bottom w:val="none" w:sz="0" w:space="0" w:color="auto"/>
            <w:right w:val="none" w:sz="0" w:space="0" w:color="auto"/>
          </w:divBdr>
        </w:div>
      </w:divsChild>
    </w:div>
    <w:div w:id="749733170">
      <w:bodyDiv w:val="1"/>
      <w:marLeft w:val="0"/>
      <w:marRight w:val="0"/>
      <w:marTop w:val="0"/>
      <w:marBottom w:val="0"/>
      <w:divBdr>
        <w:top w:val="none" w:sz="0" w:space="0" w:color="auto"/>
        <w:left w:val="none" w:sz="0" w:space="0" w:color="auto"/>
        <w:bottom w:val="none" w:sz="0" w:space="0" w:color="auto"/>
        <w:right w:val="none" w:sz="0" w:space="0" w:color="auto"/>
      </w:divBdr>
    </w:div>
    <w:div w:id="921765215">
      <w:bodyDiv w:val="1"/>
      <w:marLeft w:val="0"/>
      <w:marRight w:val="0"/>
      <w:marTop w:val="0"/>
      <w:marBottom w:val="0"/>
      <w:divBdr>
        <w:top w:val="none" w:sz="0" w:space="0" w:color="auto"/>
        <w:left w:val="none" w:sz="0" w:space="0" w:color="auto"/>
        <w:bottom w:val="none" w:sz="0" w:space="0" w:color="auto"/>
        <w:right w:val="none" w:sz="0" w:space="0" w:color="auto"/>
      </w:divBdr>
    </w:div>
    <w:div w:id="1072964891">
      <w:bodyDiv w:val="1"/>
      <w:marLeft w:val="0"/>
      <w:marRight w:val="0"/>
      <w:marTop w:val="0"/>
      <w:marBottom w:val="0"/>
      <w:divBdr>
        <w:top w:val="none" w:sz="0" w:space="0" w:color="auto"/>
        <w:left w:val="none" w:sz="0" w:space="0" w:color="auto"/>
        <w:bottom w:val="none" w:sz="0" w:space="0" w:color="auto"/>
        <w:right w:val="none" w:sz="0" w:space="0" w:color="auto"/>
      </w:divBdr>
      <w:divsChild>
        <w:div w:id="1322001486">
          <w:marLeft w:val="547"/>
          <w:marRight w:val="0"/>
          <w:marTop w:val="86"/>
          <w:marBottom w:val="0"/>
          <w:divBdr>
            <w:top w:val="none" w:sz="0" w:space="0" w:color="auto"/>
            <w:left w:val="none" w:sz="0" w:space="0" w:color="auto"/>
            <w:bottom w:val="none" w:sz="0" w:space="0" w:color="auto"/>
            <w:right w:val="none" w:sz="0" w:space="0" w:color="auto"/>
          </w:divBdr>
        </w:div>
        <w:div w:id="679357009">
          <w:marLeft w:val="720"/>
          <w:marRight w:val="0"/>
          <w:marTop w:val="86"/>
          <w:marBottom w:val="0"/>
          <w:divBdr>
            <w:top w:val="none" w:sz="0" w:space="0" w:color="auto"/>
            <w:left w:val="none" w:sz="0" w:space="0" w:color="auto"/>
            <w:bottom w:val="none" w:sz="0" w:space="0" w:color="auto"/>
            <w:right w:val="none" w:sz="0" w:space="0" w:color="auto"/>
          </w:divBdr>
        </w:div>
        <w:div w:id="1980108652">
          <w:marLeft w:val="720"/>
          <w:marRight w:val="0"/>
          <w:marTop w:val="86"/>
          <w:marBottom w:val="0"/>
          <w:divBdr>
            <w:top w:val="none" w:sz="0" w:space="0" w:color="auto"/>
            <w:left w:val="none" w:sz="0" w:space="0" w:color="auto"/>
            <w:bottom w:val="none" w:sz="0" w:space="0" w:color="auto"/>
            <w:right w:val="none" w:sz="0" w:space="0" w:color="auto"/>
          </w:divBdr>
        </w:div>
        <w:div w:id="507060282">
          <w:marLeft w:val="720"/>
          <w:marRight w:val="0"/>
          <w:marTop w:val="86"/>
          <w:marBottom w:val="0"/>
          <w:divBdr>
            <w:top w:val="none" w:sz="0" w:space="0" w:color="auto"/>
            <w:left w:val="none" w:sz="0" w:space="0" w:color="auto"/>
            <w:bottom w:val="none" w:sz="0" w:space="0" w:color="auto"/>
            <w:right w:val="none" w:sz="0" w:space="0" w:color="auto"/>
          </w:divBdr>
        </w:div>
        <w:div w:id="899444691">
          <w:marLeft w:val="720"/>
          <w:marRight w:val="0"/>
          <w:marTop w:val="86"/>
          <w:marBottom w:val="0"/>
          <w:divBdr>
            <w:top w:val="none" w:sz="0" w:space="0" w:color="auto"/>
            <w:left w:val="none" w:sz="0" w:space="0" w:color="auto"/>
            <w:bottom w:val="none" w:sz="0" w:space="0" w:color="auto"/>
            <w:right w:val="none" w:sz="0" w:space="0" w:color="auto"/>
          </w:divBdr>
        </w:div>
        <w:div w:id="1215458970">
          <w:marLeft w:val="547"/>
          <w:marRight w:val="0"/>
          <w:marTop w:val="86"/>
          <w:marBottom w:val="0"/>
          <w:divBdr>
            <w:top w:val="none" w:sz="0" w:space="0" w:color="auto"/>
            <w:left w:val="none" w:sz="0" w:space="0" w:color="auto"/>
            <w:bottom w:val="none" w:sz="0" w:space="0" w:color="auto"/>
            <w:right w:val="none" w:sz="0" w:space="0" w:color="auto"/>
          </w:divBdr>
        </w:div>
        <w:div w:id="527716382">
          <w:marLeft w:val="720"/>
          <w:marRight w:val="0"/>
          <w:marTop w:val="86"/>
          <w:marBottom w:val="0"/>
          <w:divBdr>
            <w:top w:val="none" w:sz="0" w:space="0" w:color="auto"/>
            <w:left w:val="none" w:sz="0" w:space="0" w:color="auto"/>
            <w:bottom w:val="none" w:sz="0" w:space="0" w:color="auto"/>
            <w:right w:val="none" w:sz="0" w:space="0" w:color="auto"/>
          </w:divBdr>
        </w:div>
        <w:div w:id="845631320">
          <w:marLeft w:val="720"/>
          <w:marRight w:val="0"/>
          <w:marTop w:val="86"/>
          <w:marBottom w:val="0"/>
          <w:divBdr>
            <w:top w:val="none" w:sz="0" w:space="0" w:color="auto"/>
            <w:left w:val="none" w:sz="0" w:space="0" w:color="auto"/>
            <w:bottom w:val="none" w:sz="0" w:space="0" w:color="auto"/>
            <w:right w:val="none" w:sz="0" w:space="0" w:color="auto"/>
          </w:divBdr>
        </w:div>
        <w:div w:id="1033117794">
          <w:marLeft w:val="720"/>
          <w:marRight w:val="0"/>
          <w:marTop w:val="86"/>
          <w:marBottom w:val="0"/>
          <w:divBdr>
            <w:top w:val="none" w:sz="0" w:space="0" w:color="auto"/>
            <w:left w:val="none" w:sz="0" w:space="0" w:color="auto"/>
            <w:bottom w:val="none" w:sz="0" w:space="0" w:color="auto"/>
            <w:right w:val="none" w:sz="0" w:space="0" w:color="auto"/>
          </w:divBdr>
        </w:div>
        <w:div w:id="1529638057">
          <w:marLeft w:val="547"/>
          <w:marRight w:val="0"/>
          <w:marTop w:val="86"/>
          <w:marBottom w:val="0"/>
          <w:divBdr>
            <w:top w:val="none" w:sz="0" w:space="0" w:color="auto"/>
            <w:left w:val="none" w:sz="0" w:space="0" w:color="auto"/>
            <w:bottom w:val="none" w:sz="0" w:space="0" w:color="auto"/>
            <w:right w:val="none" w:sz="0" w:space="0" w:color="auto"/>
          </w:divBdr>
        </w:div>
      </w:divsChild>
    </w:div>
    <w:div w:id="1090858957">
      <w:bodyDiv w:val="1"/>
      <w:marLeft w:val="0"/>
      <w:marRight w:val="0"/>
      <w:marTop w:val="0"/>
      <w:marBottom w:val="0"/>
      <w:divBdr>
        <w:top w:val="none" w:sz="0" w:space="0" w:color="auto"/>
        <w:left w:val="none" w:sz="0" w:space="0" w:color="auto"/>
        <w:bottom w:val="none" w:sz="0" w:space="0" w:color="auto"/>
        <w:right w:val="none" w:sz="0" w:space="0" w:color="auto"/>
      </w:divBdr>
    </w:div>
    <w:div w:id="1152329861">
      <w:bodyDiv w:val="1"/>
      <w:marLeft w:val="0"/>
      <w:marRight w:val="0"/>
      <w:marTop w:val="0"/>
      <w:marBottom w:val="0"/>
      <w:divBdr>
        <w:top w:val="none" w:sz="0" w:space="0" w:color="auto"/>
        <w:left w:val="none" w:sz="0" w:space="0" w:color="auto"/>
        <w:bottom w:val="none" w:sz="0" w:space="0" w:color="auto"/>
        <w:right w:val="none" w:sz="0" w:space="0" w:color="auto"/>
      </w:divBdr>
    </w:div>
    <w:div w:id="1190340319">
      <w:bodyDiv w:val="1"/>
      <w:marLeft w:val="0"/>
      <w:marRight w:val="0"/>
      <w:marTop w:val="0"/>
      <w:marBottom w:val="0"/>
      <w:divBdr>
        <w:top w:val="none" w:sz="0" w:space="0" w:color="auto"/>
        <w:left w:val="none" w:sz="0" w:space="0" w:color="auto"/>
        <w:bottom w:val="none" w:sz="0" w:space="0" w:color="auto"/>
        <w:right w:val="none" w:sz="0" w:space="0" w:color="auto"/>
      </w:divBdr>
    </w:div>
    <w:div w:id="1214152101">
      <w:bodyDiv w:val="1"/>
      <w:marLeft w:val="0"/>
      <w:marRight w:val="0"/>
      <w:marTop w:val="0"/>
      <w:marBottom w:val="0"/>
      <w:divBdr>
        <w:top w:val="none" w:sz="0" w:space="0" w:color="auto"/>
        <w:left w:val="none" w:sz="0" w:space="0" w:color="auto"/>
        <w:bottom w:val="none" w:sz="0" w:space="0" w:color="auto"/>
        <w:right w:val="none" w:sz="0" w:space="0" w:color="auto"/>
      </w:divBdr>
      <w:divsChild>
        <w:div w:id="1243296615">
          <w:marLeft w:val="0"/>
          <w:marRight w:val="0"/>
          <w:marTop w:val="0"/>
          <w:marBottom w:val="180"/>
          <w:divBdr>
            <w:top w:val="none" w:sz="0" w:space="0" w:color="auto"/>
            <w:left w:val="none" w:sz="0" w:space="0" w:color="auto"/>
            <w:bottom w:val="none" w:sz="0" w:space="0" w:color="auto"/>
            <w:right w:val="none" w:sz="0" w:space="0" w:color="auto"/>
          </w:divBdr>
        </w:div>
        <w:div w:id="1227574165">
          <w:marLeft w:val="720"/>
          <w:marRight w:val="0"/>
          <w:marTop w:val="0"/>
          <w:marBottom w:val="180"/>
          <w:divBdr>
            <w:top w:val="none" w:sz="0" w:space="0" w:color="auto"/>
            <w:left w:val="none" w:sz="0" w:space="0" w:color="auto"/>
            <w:bottom w:val="none" w:sz="0" w:space="0" w:color="auto"/>
            <w:right w:val="none" w:sz="0" w:space="0" w:color="auto"/>
          </w:divBdr>
        </w:div>
        <w:div w:id="984554284">
          <w:marLeft w:val="720"/>
          <w:marRight w:val="0"/>
          <w:marTop w:val="0"/>
          <w:marBottom w:val="180"/>
          <w:divBdr>
            <w:top w:val="none" w:sz="0" w:space="0" w:color="auto"/>
            <w:left w:val="none" w:sz="0" w:space="0" w:color="auto"/>
            <w:bottom w:val="none" w:sz="0" w:space="0" w:color="auto"/>
            <w:right w:val="none" w:sz="0" w:space="0" w:color="auto"/>
          </w:divBdr>
        </w:div>
        <w:div w:id="1126656734">
          <w:marLeft w:val="720"/>
          <w:marRight w:val="0"/>
          <w:marTop w:val="0"/>
          <w:marBottom w:val="180"/>
          <w:divBdr>
            <w:top w:val="none" w:sz="0" w:space="0" w:color="auto"/>
            <w:left w:val="none" w:sz="0" w:space="0" w:color="auto"/>
            <w:bottom w:val="none" w:sz="0" w:space="0" w:color="auto"/>
            <w:right w:val="none" w:sz="0" w:space="0" w:color="auto"/>
          </w:divBdr>
        </w:div>
        <w:div w:id="1283340719">
          <w:marLeft w:val="720"/>
          <w:marRight w:val="0"/>
          <w:marTop w:val="0"/>
          <w:marBottom w:val="180"/>
          <w:divBdr>
            <w:top w:val="none" w:sz="0" w:space="0" w:color="auto"/>
            <w:left w:val="none" w:sz="0" w:space="0" w:color="auto"/>
            <w:bottom w:val="none" w:sz="0" w:space="0" w:color="auto"/>
            <w:right w:val="none" w:sz="0" w:space="0" w:color="auto"/>
          </w:divBdr>
        </w:div>
        <w:div w:id="463548648">
          <w:marLeft w:val="0"/>
          <w:marRight w:val="0"/>
          <w:marTop w:val="0"/>
          <w:marBottom w:val="180"/>
          <w:divBdr>
            <w:top w:val="none" w:sz="0" w:space="0" w:color="auto"/>
            <w:left w:val="none" w:sz="0" w:space="0" w:color="auto"/>
            <w:bottom w:val="none" w:sz="0" w:space="0" w:color="auto"/>
            <w:right w:val="none" w:sz="0" w:space="0" w:color="auto"/>
          </w:divBdr>
        </w:div>
      </w:divsChild>
    </w:div>
    <w:div w:id="1243679160">
      <w:bodyDiv w:val="1"/>
      <w:marLeft w:val="0"/>
      <w:marRight w:val="0"/>
      <w:marTop w:val="0"/>
      <w:marBottom w:val="0"/>
      <w:divBdr>
        <w:top w:val="none" w:sz="0" w:space="0" w:color="auto"/>
        <w:left w:val="none" w:sz="0" w:space="0" w:color="auto"/>
        <w:bottom w:val="none" w:sz="0" w:space="0" w:color="auto"/>
        <w:right w:val="none" w:sz="0" w:space="0" w:color="auto"/>
      </w:divBdr>
    </w:div>
    <w:div w:id="1319769126">
      <w:bodyDiv w:val="1"/>
      <w:marLeft w:val="0"/>
      <w:marRight w:val="0"/>
      <w:marTop w:val="0"/>
      <w:marBottom w:val="0"/>
      <w:divBdr>
        <w:top w:val="none" w:sz="0" w:space="0" w:color="auto"/>
        <w:left w:val="none" w:sz="0" w:space="0" w:color="auto"/>
        <w:bottom w:val="none" w:sz="0" w:space="0" w:color="auto"/>
        <w:right w:val="none" w:sz="0" w:space="0" w:color="auto"/>
      </w:divBdr>
      <w:divsChild>
        <w:div w:id="600799433">
          <w:marLeft w:val="547"/>
          <w:marRight w:val="0"/>
          <w:marTop w:val="0"/>
          <w:marBottom w:val="180"/>
          <w:divBdr>
            <w:top w:val="none" w:sz="0" w:space="0" w:color="auto"/>
            <w:left w:val="none" w:sz="0" w:space="0" w:color="auto"/>
            <w:bottom w:val="none" w:sz="0" w:space="0" w:color="auto"/>
            <w:right w:val="none" w:sz="0" w:space="0" w:color="auto"/>
          </w:divBdr>
        </w:div>
        <w:div w:id="1800027385">
          <w:marLeft w:val="1267"/>
          <w:marRight w:val="0"/>
          <w:marTop w:val="0"/>
          <w:marBottom w:val="180"/>
          <w:divBdr>
            <w:top w:val="none" w:sz="0" w:space="0" w:color="auto"/>
            <w:left w:val="none" w:sz="0" w:space="0" w:color="auto"/>
            <w:bottom w:val="none" w:sz="0" w:space="0" w:color="auto"/>
            <w:right w:val="none" w:sz="0" w:space="0" w:color="auto"/>
          </w:divBdr>
        </w:div>
        <w:div w:id="1709909986">
          <w:marLeft w:val="547"/>
          <w:marRight w:val="0"/>
          <w:marTop w:val="0"/>
          <w:marBottom w:val="180"/>
          <w:divBdr>
            <w:top w:val="none" w:sz="0" w:space="0" w:color="auto"/>
            <w:left w:val="none" w:sz="0" w:space="0" w:color="auto"/>
            <w:bottom w:val="none" w:sz="0" w:space="0" w:color="auto"/>
            <w:right w:val="none" w:sz="0" w:space="0" w:color="auto"/>
          </w:divBdr>
        </w:div>
        <w:div w:id="1623539038">
          <w:marLeft w:val="1267"/>
          <w:marRight w:val="0"/>
          <w:marTop w:val="0"/>
          <w:marBottom w:val="180"/>
          <w:divBdr>
            <w:top w:val="none" w:sz="0" w:space="0" w:color="auto"/>
            <w:left w:val="none" w:sz="0" w:space="0" w:color="auto"/>
            <w:bottom w:val="none" w:sz="0" w:space="0" w:color="auto"/>
            <w:right w:val="none" w:sz="0" w:space="0" w:color="auto"/>
          </w:divBdr>
        </w:div>
      </w:divsChild>
    </w:div>
    <w:div w:id="1384135095">
      <w:bodyDiv w:val="1"/>
      <w:marLeft w:val="0"/>
      <w:marRight w:val="0"/>
      <w:marTop w:val="0"/>
      <w:marBottom w:val="0"/>
      <w:divBdr>
        <w:top w:val="none" w:sz="0" w:space="0" w:color="auto"/>
        <w:left w:val="none" w:sz="0" w:space="0" w:color="auto"/>
        <w:bottom w:val="none" w:sz="0" w:space="0" w:color="auto"/>
        <w:right w:val="none" w:sz="0" w:space="0" w:color="auto"/>
      </w:divBdr>
      <w:divsChild>
        <w:div w:id="1996644053">
          <w:marLeft w:val="547"/>
          <w:marRight w:val="0"/>
          <w:marTop w:val="86"/>
          <w:marBottom w:val="0"/>
          <w:divBdr>
            <w:top w:val="none" w:sz="0" w:space="0" w:color="auto"/>
            <w:left w:val="none" w:sz="0" w:space="0" w:color="auto"/>
            <w:bottom w:val="none" w:sz="0" w:space="0" w:color="auto"/>
            <w:right w:val="none" w:sz="0" w:space="0" w:color="auto"/>
          </w:divBdr>
        </w:div>
        <w:div w:id="2120561429">
          <w:marLeft w:val="547"/>
          <w:marRight w:val="0"/>
          <w:marTop w:val="86"/>
          <w:marBottom w:val="0"/>
          <w:divBdr>
            <w:top w:val="none" w:sz="0" w:space="0" w:color="auto"/>
            <w:left w:val="none" w:sz="0" w:space="0" w:color="auto"/>
            <w:bottom w:val="none" w:sz="0" w:space="0" w:color="auto"/>
            <w:right w:val="none" w:sz="0" w:space="0" w:color="auto"/>
          </w:divBdr>
        </w:div>
        <w:div w:id="1526752420">
          <w:marLeft w:val="547"/>
          <w:marRight w:val="0"/>
          <w:marTop w:val="86"/>
          <w:marBottom w:val="0"/>
          <w:divBdr>
            <w:top w:val="none" w:sz="0" w:space="0" w:color="auto"/>
            <w:left w:val="none" w:sz="0" w:space="0" w:color="auto"/>
            <w:bottom w:val="none" w:sz="0" w:space="0" w:color="auto"/>
            <w:right w:val="none" w:sz="0" w:space="0" w:color="auto"/>
          </w:divBdr>
        </w:div>
        <w:div w:id="1583875809">
          <w:marLeft w:val="720"/>
          <w:marRight w:val="0"/>
          <w:marTop w:val="96"/>
          <w:marBottom w:val="0"/>
          <w:divBdr>
            <w:top w:val="none" w:sz="0" w:space="0" w:color="auto"/>
            <w:left w:val="none" w:sz="0" w:space="0" w:color="auto"/>
            <w:bottom w:val="none" w:sz="0" w:space="0" w:color="auto"/>
            <w:right w:val="none" w:sz="0" w:space="0" w:color="auto"/>
          </w:divBdr>
        </w:div>
        <w:div w:id="1535343273">
          <w:marLeft w:val="720"/>
          <w:marRight w:val="0"/>
          <w:marTop w:val="96"/>
          <w:marBottom w:val="0"/>
          <w:divBdr>
            <w:top w:val="none" w:sz="0" w:space="0" w:color="auto"/>
            <w:left w:val="none" w:sz="0" w:space="0" w:color="auto"/>
            <w:bottom w:val="none" w:sz="0" w:space="0" w:color="auto"/>
            <w:right w:val="none" w:sz="0" w:space="0" w:color="auto"/>
          </w:divBdr>
        </w:div>
      </w:divsChild>
    </w:div>
    <w:div w:id="1569874315">
      <w:bodyDiv w:val="1"/>
      <w:marLeft w:val="0"/>
      <w:marRight w:val="0"/>
      <w:marTop w:val="0"/>
      <w:marBottom w:val="0"/>
      <w:divBdr>
        <w:top w:val="none" w:sz="0" w:space="0" w:color="auto"/>
        <w:left w:val="none" w:sz="0" w:space="0" w:color="auto"/>
        <w:bottom w:val="none" w:sz="0" w:space="0" w:color="auto"/>
        <w:right w:val="none" w:sz="0" w:space="0" w:color="auto"/>
      </w:divBdr>
      <w:divsChild>
        <w:div w:id="1235970859">
          <w:marLeft w:val="547"/>
          <w:marRight w:val="0"/>
          <w:marTop w:val="86"/>
          <w:marBottom w:val="0"/>
          <w:divBdr>
            <w:top w:val="none" w:sz="0" w:space="0" w:color="auto"/>
            <w:left w:val="none" w:sz="0" w:space="0" w:color="auto"/>
            <w:bottom w:val="none" w:sz="0" w:space="0" w:color="auto"/>
            <w:right w:val="none" w:sz="0" w:space="0" w:color="auto"/>
          </w:divBdr>
        </w:div>
        <w:div w:id="483551434">
          <w:marLeft w:val="720"/>
          <w:marRight w:val="0"/>
          <w:marTop w:val="86"/>
          <w:marBottom w:val="0"/>
          <w:divBdr>
            <w:top w:val="none" w:sz="0" w:space="0" w:color="auto"/>
            <w:left w:val="none" w:sz="0" w:space="0" w:color="auto"/>
            <w:bottom w:val="none" w:sz="0" w:space="0" w:color="auto"/>
            <w:right w:val="none" w:sz="0" w:space="0" w:color="auto"/>
          </w:divBdr>
        </w:div>
        <w:div w:id="481122092">
          <w:marLeft w:val="720"/>
          <w:marRight w:val="0"/>
          <w:marTop w:val="86"/>
          <w:marBottom w:val="0"/>
          <w:divBdr>
            <w:top w:val="none" w:sz="0" w:space="0" w:color="auto"/>
            <w:left w:val="none" w:sz="0" w:space="0" w:color="auto"/>
            <w:bottom w:val="none" w:sz="0" w:space="0" w:color="auto"/>
            <w:right w:val="none" w:sz="0" w:space="0" w:color="auto"/>
          </w:divBdr>
        </w:div>
        <w:div w:id="1488520499">
          <w:marLeft w:val="720"/>
          <w:marRight w:val="0"/>
          <w:marTop w:val="86"/>
          <w:marBottom w:val="0"/>
          <w:divBdr>
            <w:top w:val="none" w:sz="0" w:space="0" w:color="auto"/>
            <w:left w:val="none" w:sz="0" w:space="0" w:color="auto"/>
            <w:bottom w:val="none" w:sz="0" w:space="0" w:color="auto"/>
            <w:right w:val="none" w:sz="0" w:space="0" w:color="auto"/>
          </w:divBdr>
        </w:div>
        <w:div w:id="153642425">
          <w:marLeft w:val="720"/>
          <w:marRight w:val="0"/>
          <w:marTop w:val="86"/>
          <w:marBottom w:val="0"/>
          <w:divBdr>
            <w:top w:val="none" w:sz="0" w:space="0" w:color="auto"/>
            <w:left w:val="none" w:sz="0" w:space="0" w:color="auto"/>
            <w:bottom w:val="none" w:sz="0" w:space="0" w:color="auto"/>
            <w:right w:val="none" w:sz="0" w:space="0" w:color="auto"/>
          </w:divBdr>
        </w:div>
        <w:div w:id="2135949697">
          <w:marLeft w:val="547"/>
          <w:marRight w:val="0"/>
          <w:marTop w:val="86"/>
          <w:marBottom w:val="0"/>
          <w:divBdr>
            <w:top w:val="none" w:sz="0" w:space="0" w:color="auto"/>
            <w:left w:val="none" w:sz="0" w:space="0" w:color="auto"/>
            <w:bottom w:val="none" w:sz="0" w:space="0" w:color="auto"/>
            <w:right w:val="none" w:sz="0" w:space="0" w:color="auto"/>
          </w:divBdr>
        </w:div>
        <w:div w:id="1771467271">
          <w:marLeft w:val="720"/>
          <w:marRight w:val="0"/>
          <w:marTop w:val="86"/>
          <w:marBottom w:val="0"/>
          <w:divBdr>
            <w:top w:val="none" w:sz="0" w:space="0" w:color="auto"/>
            <w:left w:val="none" w:sz="0" w:space="0" w:color="auto"/>
            <w:bottom w:val="none" w:sz="0" w:space="0" w:color="auto"/>
            <w:right w:val="none" w:sz="0" w:space="0" w:color="auto"/>
          </w:divBdr>
        </w:div>
        <w:div w:id="187918005">
          <w:marLeft w:val="720"/>
          <w:marRight w:val="0"/>
          <w:marTop w:val="86"/>
          <w:marBottom w:val="0"/>
          <w:divBdr>
            <w:top w:val="none" w:sz="0" w:space="0" w:color="auto"/>
            <w:left w:val="none" w:sz="0" w:space="0" w:color="auto"/>
            <w:bottom w:val="none" w:sz="0" w:space="0" w:color="auto"/>
            <w:right w:val="none" w:sz="0" w:space="0" w:color="auto"/>
          </w:divBdr>
        </w:div>
        <w:div w:id="1827504053">
          <w:marLeft w:val="720"/>
          <w:marRight w:val="0"/>
          <w:marTop w:val="86"/>
          <w:marBottom w:val="0"/>
          <w:divBdr>
            <w:top w:val="none" w:sz="0" w:space="0" w:color="auto"/>
            <w:left w:val="none" w:sz="0" w:space="0" w:color="auto"/>
            <w:bottom w:val="none" w:sz="0" w:space="0" w:color="auto"/>
            <w:right w:val="none" w:sz="0" w:space="0" w:color="auto"/>
          </w:divBdr>
        </w:div>
        <w:div w:id="332532516">
          <w:marLeft w:val="547"/>
          <w:marRight w:val="0"/>
          <w:marTop w:val="86"/>
          <w:marBottom w:val="0"/>
          <w:divBdr>
            <w:top w:val="none" w:sz="0" w:space="0" w:color="auto"/>
            <w:left w:val="none" w:sz="0" w:space="0" w:color="auto"/>
            <w:bottom w:val="none" w:sz="0" w:space="0" w:color="auto"/>
            <w:right w:val="none" w:sz="0" w:space="0" w:color="auto"/>
          </w:divBdr>
        </w:div>
      </w:divsChild>
    </w:div>
    <w:div w:id="1692683712">
      <w:bodyDiv w:val="1"/>
      <w:marLeft w:val="0"/>
      <w:marRight w:val="0"/>
      <w:marTop w:val="0"/>
      <w:marBottom w:val="0"/>
      <w:divBdr>
        <w:top w:val="none" w:sz="0" w:space="0" w:color="auto"/>
        <w:left w:val="none" w:sz="0" w:space="0" w:color="auto"/>
        <w:bottom w:val="none" w:sz="0" w:space="0" w:color="auto"/>
        <w:right w:val="none" w:sz="0" w:space="0" w:color="auto"/>
      </w:divBdr>
      <w:divsChild>
        <w:div w:id="1901286338">
          <w:marLeft w:val="0"/>
          <w:marRight w:val="0"/>
          <w:marTop w:val="0"/>
          <w:marBottom w:val="0"/>
          <w:divBdr>
            <w:top w:val="none" w:sz="0" w:space="0" w:color="auto"/>
            <w:left w:val="none" w:sz="0" w:space="0" w:color="auto"/>
            <w:bottom w:val="none" w:sz="0" w:space="0" w:color="auto"/>
            <w:right w:val="none" w:sz="0" w:space="0" w:color="auto"/>
          </w:divBdr>
        </w:div>
      </w:divsChild>
    </w:div>
    <w:div w:id="1755007049">
      <w:bodyDiv w:val="1"/>
      <w:marLeft w:val="0"/>
      <w:marRight w:val="0"/>
      <w:marTop w:val="0"/>
      <w:marBottom w:val="0"/>
      <w:divBdr>
        <w:top w:val="none" w:sz="0" w:space="0" w:color="auto"/>
        <w:left w:val="none" w:sz="0" w:space="0" w:color="auto"/>
        <w:bottom w:val="none" w:sz="0" w:space="0" w:color="auto"/>
        <w:right w:val="none" w:sz="0" w:space="0" w:color="auto"/>
      </w:divBdr>
    </w:div>
    <w:div w:id="2002150997">
      <w:bodyDiv w:val="1"/>
      <w:marLeft w:val="0"/>
      <w:marRight w:val="0"/>
      <w:marTop w:val="0"/>
      <w:marBottom w:val="0"/>
      <w:divBdr>
        <w:top w:val="none" w:sz="0" w:space="0" w:color="auto"/>
        <w:left w:val="none" w:sz="0" w:space="0" w:color="auto"/>
        <w:bottom w:val="none" w:sz="0" w:space="0" w:color="auto"/>
        <w:right w:val="none" w:sz="0" w:space="0" w:color="auto"/>
      </w:divBdr>
      <w:divsChild>
        <w:div w:id="1894609618">
          <w:marLeft w:val="734"/>
          <w:marRight w:val="0"/>
          <w:marTop w:val="0"/>
          <w:marBottom w:val="180"/>
          <w:divBdr>
            <w:top w:val="none" w:sz="0" w:space="0" w:color="auto"/>
            <w:left w:val="none" w:sz="0" w:space="0" w:color="auto"/>
            <w:bottom w:val="none" w:sz="0" w:space="0" w:color="auto"/>
            <w:right w:val="none" w:sz="0" w:space="0" w:color="auto"/>
          </w:divBdr>
        </w:div>
        <w:div w:id="1641880215">
          <w:marLeft w:val="1627"/>
          <w:marRight w:val="0"/>
          <w:marTop w:val="0"/>
          <w:marBottom w:val="180"/>
          <w:divBdr>
            <w:top w:val="none" w:sz="0" w:space="0" w:color="auto"/>
            <w:left w:val="none" w:sz="0" w:space="0" w:color="auto"/>
            <w:bottom w:val="none" w:sz="0" w:space="0" w:color="auto"/>
            <w:right w:val="none" w:sz="0" w:space="0" w:color="auto"/>
          </w:divBdr>
        </w:div>
        <w:div w:id="611402399">
          <w:marLeft w:val="1627"/>
          <w:marRight w:val="0"/>
          <w:marTop w:val="0"/>
          <w:marBottom w:val="180"/>
          <w:divBdr>
            <w:top w:val="none" w:sz="0" w:space="0" w:color="auto"/>
            <w:left w:val="none" w:sz="0" w:space="0" w:color="auto"/>
            <w:bottom w:val="none" w:sz="0" w:space="0" w:color="auto"/>
            <w:right w:val="none" w:sz="0" w:space="0" w:color="auto"/>
          </w:divBdr>
        </w:div>
        <w:div w:id="548684938">
          <w:marLeft w:val="734"/>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lBaryshnikov@rosatom.ru" TargetMode="External"/><Relationship Id="rId13" Type="http://schemas.openxmlformats.org/officeDocument/2006/relationships/hyperlink" Target="mailto:henri.zaccai@gmail.com" TargetMode="External"/><Relationship Id="rId18" Type="http://schemas.openxmlformats.org/officeDocument/2006/relationships/hyperlink" Target="https://www.iaea.org/sites/default/files/infcirc546.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rge.gorlin@world-nuclear.org" TargetMode="Externa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ddurpel@nuclear-21.net"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jedlow@edlow.com" TargetMode="External"/><Relationship Id="rId19" Type="http://schemas.openxmlformats.org/officeDocument/2006/relationships/hyperlink" Target="https://www.oecd-nea.org/ndd/pubs/2013/7061-ebenfc.pdf" TargetMode="External"/><Relationship Id="rId4" Type="http://schemas.openxmlformats.org/officeDocument/2006/relationships/settings" Target="settings.xml"/><Relationship Id="rId9" Type="http://schemas.openxmlformats.org/officeDocument/2006/relationships/hyperlink" Target="mailto:cecile.evans@orano.group" TargetMode="External"/><Relationship Id="rId14" Type="http://schemas.openxmlformats.org/officeDocument/2006/relationships/image" Target="media/image1.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arc.gov.in/publications/eb/golden/nfc/toc/Chapter%206/6.pdf" TargetMode="External"/><Relationship Id="rId3" Type="http://schemas.openxmlformats.org/officeDocument/2006/relationships/hyperlink" Target="http://www.sa.areva.com/EN/news-10303/areva-la-hague-renewal-of-contract-for-used-fuel-management-for-a-belgian-research-reactor.html" TargetMode="External"/><Relationship Id="rId7" Type="http://schemas.openxmlformats.org/officeDocument/2006/relationships/hyperlink" Target="https://www.jnfl.co.jp/en/business/reprocessing/" TargetMode="External"/><Relationship Id="rId2" Type="http://schemas.openxmlformats.org/officeDocument/2006/relationships/hyperlink" Target="https://www.aph.gov.au/Parliamentary_Business/Committees/Joint/Treaties/PACERPlus-Agreement/Report_179/section?id=committees%2Freportjnt%2F024162%2F25857" TargetMode="External"/><Relationship Id="rId1" Type="http://schemas.openxmlformats.org/officeDocument/2006/relationships/hyperlink" Target="https://www.iaea.org/sites/default/files/nfc0811.pdf" TargetMode="External"/><Relationship Id="rId6" Type="http://schemas.openxmlformats.org/officeDocument/2006/relationships/hyperlink" Target="http://ukinventory.nda.gov.uk/wp-content/uploads/sites/2/2014/01/Fact-sheet-spent-fuel-reprocessing.pdf" TargetMode="External"/><Relationship Id="rId11" Type="http://schemas.openxmlformats.org/officeDocument/2006/relationships/hyperlink" Target="https://www.rosatom.ru/upload/iblock/0be/0be1220af25741375138ecd1afb18743.pdf" TargetMode="External"/><Relationship Id="rId5" Type="http://schemas.openxmlformats.org/officeDocument/2006/relationships/hyperlink" Target="https://www.regeringen.se/4ab666/contentassets/1ea2b3363834451eb0f39f0060e6ace3/swedens-sixth-national-report-under-the-joint-convention-on-the-safety-of-spent-fuel-management-and-on-the-safety-of-radioactive-waste-management.pdf" TargetMode="External"/><Relationship Id="rId10" Type="http://schemas.openxmlformats.org/officeDocument/2006/relationships/hyperlink" Target="https://www.oecd-nea.org/science/wprs/wppr/execsum.html" TargetMode="External"/><Relationship Id="rId4" Type="http://schemas.openxmlformats.org/officeDocument/2006/relationships/hyperlink" Target="http://www.world-nuclear-news.org/C-Areva-signs-nuclear-fuel-cycle-contracts-0107165.html" TargetMode="External"/><Relationship Id="rId9" Type="http://schemas.openxmlformats.org/officeDocument/2006/relationships/hyperlink" Target="https://inis.iaea.org/collection/NCLCollectionStore/_Public/28/047/28047174.pdf?r=1&amp;r=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3B40D-972C-6741-8836-AD6F1F0C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4551</Words>
  <Characters>25035</Characters>
  <Application>Microsoft Office Word</Application>
  <DocSecurity>0</DocSecurity>
  <Lines>208</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 Zaccai</dc:creator>
  <cp:lastModifiedBy>Henri Zaccai</cp:lastModifiedBy>
  <cp:revision>2</cp:revision>
  <dcterms:created xsi:type="dcterms:W3CDTF">2019-06-04T19:46:00Z</dcterms:created>
  <dcterms:modified xsi:type="dcterms:W3CDTF">2019-06-04T19:46:00Z</dcterms:modified>
</cp:coreProperties>
</file>