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0B" w:rsidRPr="00D57AF6" w:rsidRDefault="00CA50D5" w:rsidP="00D57AF6">
      <w:pPr>
        <w:jc w:val="both"/>
        <w:rPr>
          <w:rFonts w:ascii="Times New Roman" w:hAnsi="Times New Roman" w:cs="Times New Roman"/>
          <w:b/>
          <w:caps/>
          <w:sz w:val="24"/>
          <w:szCs w:val="24"/>
        </w:rPr>
      </w:pPr>
      <w:r w:rsidRPr="00D57AF6">
        <w:rPr>
          <w:rFonts w:ascii="Times New Roman" w:hAnsi="Times New Roman" w:cs="Times New Roman"/>
          <w:b/>
          <w:caps/>
          <w:sz w:val="24"/>
          <w:szCs w:val="24"/>
        </w:rPr>
        <w:t>TURKISH REGULATION ON DECOMMISSIONING FOR NUCLEAR FACILITIES</w:t>
      </w:r>
    </w:p>
    <w:p w:rsidR="00152AF7" w:rsidRPr="00D57AF6" w:rsidRDefault="00CA50D5" w:rsidP="00D57AF6">
      <w:pPr>
        <w:spacing w:after="0" w:line="240" w:lineRule="auto"/>
        <w:jc w:val="both"/>
        <w:rPr>
          <w:rFonts w:ascii="Times New Roman" w:hAnsi="Times New Roman" w:cs="Times New Roman"/>
          <w:sz w:val="24"/>
          <w:szCs w:val="24"/>
          <w:lang w:val="en-GB"/>
        </w:rPr>
      </w:pPr>
      <w:r w:rsidRPr="00D57AF6">
        <w:rPr>
          <w:rFonts w:ascii="Times New Roman" w:hAnsi="Times New Roman" w:cs="Times New Roman"/>
          <w:sz w:val="24"/>
          <w:szCs w:val="24"/>
          <w:lang w:val="en-GB"/>
        </w:rPr>
        <w:t>DOĞAN, Kemal</w:t>
      </w:r>
      <w:r w:rsidR="00FC42A8" w:rsidRPr="00D57AF6">
        <w:rPr>
          <w:rFonts w:ascii="Times New Roman" w:hAnsi="Times New Roman" w:cs="Times New Roman"/>
          <w:sz w:val="24"/>
          <w:szCs w:val="24"/>
          <w:lang w:val="en-GB"/>
        </w:rPr>
        <w:t>,</w:t>
      </w:r>
    </w:p>
    <w:p w:rsidR="00152AF7" w:rsidRPr="00D57AF6" w:rsidRDefault="00CA50D5" w:rsidP="00D57AF6">
      <w:pPr>
        <w:spacing w:after="0" w:line="240" w:lineRule="auto"/>
        <w:jc w:val="both"/>
        <w:rPr>
          <w:rFonts w:ascii="Times New Roman" w:hAnsi="Times New Roman" w:cs="Times New Roman"/>
          <w:sz w:val="24"/>
          <w:szCs w:val="24"/>
        </w:rPr>
      </w:pPr>
      <w:r w:rsidRPr="00D57AF6">
        <w:rPr>
          <w:rFonts w:ascii="Times New Roman" w:hAnsi="Times New Roman" w:cs="Times New Roman"/>
          <w:sz w:val="24"/>
          <w:szCs w:val="24"/>
        </w:rPr>
        <w:t>Turkish Atomic Energy Authority</w:t>
      </w:r>
      <w:r w:rsidR="001E2A23" w:rsidRPr="00D57AF6">
        <w:rPr>
          <w:rFonts w:ascii="Times New Roman" w:hAnsi="Times New Roman" w:cs="Times New Roman"/>
          <w:sz w:val="24"/>
          <w:szCs w:val="24"/>
        </w:rPr>
        <w:t xml:space="preserve">, </w:t>
      </w:r>
      <w:r w:rsidRPr="00D57AF6">
        <w:rPr>
          <w:rFonts w:ascii="Times New Roman" w:hAnsi="Times New Roman" w:cs="Times New Roman"/>
          <w:sz w:val="24"/>
          <w:szCs w:val="24"/>
        </w:rPr>
        <w:t>Nuclear Safety Department</w:t>
      </w:r>
      <w:r w:rsidR="001E2A23" w:rsidRPr="00D57AF6">
        <w:rPr>
          <w:rFonts w:ascii="Times New Roman" w:hAnsi="Times New Roman" w:cs="Times New Roman"/>
          <w:sz w:val="24"/>
          <w:szCs w:val="24"/>
        </w:rPr>
        <w:t>,</w:t>
      </w:r>
      <w:r w:rsidR="00FC42A8" w:rsidRPr="00D57AF6">
        <w:rPr>
          <w:rFonts w:ascii="Times New Roman" w:hAnsi="Times New Roman" w:cs="Times New Roman"/>
          <w:sz w:val="24"/>
          <w:szCs w:val="24"/>
        </w:rPr>
        <w:t xml:space="preserve"> Address </w:t>
      </w:r>
      <w:r w:rsidRPr="00D57AF6">
        <w:rPr>
          <w:rFonts w:ascii="Times New Roman" w:hAnsi="Times New Roman" w:cs="Times New Roman"/>
          <w:sz w:val="24"/>
          <w:szCs w:val="24"/>
        </w:rPr>
        <w:t xml:space="preserve">Mustafa Kemal </w:t>
      </w:r>
      <w:proofErr w:type="spellStart"/>
      <w:r w:rsidRPr="00D57AF6">
        <w:rPr>
          <w:rFonts w:ascii="Times New Roman" w:hAnsi="Times New Roman" w:cs="Times New Roman"/>
          <w:sz w:val="24"/>
          <w:szCs w:val="24"/>
        </w:rPr>
        <w:t>Mahallesi</w:t>
      </w:r>
      <w:proofErr w:type="spellEnd"/>
      <w:r w:rsidRPr="00D57AF6">
        <w:rPr>
          <w:rFonts w:ascii="Times New Roman" w:hAnsi="Times New Roman" w:cs="Times New Roman"/>
          <w:sz w:val="24"/>
          <w:szCs w:val="24"/>
        </w:rPr>
        <w:t xml:space="preserve"> </w:t>
      </w:r>
      <w:proofErr w:type="spellStart"/>
      <w:r w:rsidRPr="00D57AF6">
        <w:rPr>
          <w:rFonts w:ascii="Times New Roman" w:hAnsi="Times New Roman" w:cs="Times New Roman"/>
          <w:sz w:val="24"/>
          <w:szCs w:val="24"/>
        </w:rPr>
        <w:t>Dumlupınar</w:t>
      </w:r>
      <w:proofErr w:type="spellEnd"/>
      <w:r w:rsidRPr="00D57AF6">
        <w:rPr>
          <w:rFonts w:ascii="Times New Roman" w:hAnsi="Times New Roman" w:cs="Times New Roman"/>
          <w:sz w:val="24"/>
          <w:szCs w:val="24"/>
        </w:rPr>
        <w:t xml:space="preserve"> </w:t>
      </w:r>
      <w:proofErr w:type="spellStart"/>
      <w:r w:rsidRPr="00D57AF6">
        <w:rPr>
          <w:rFonts w:ascii="Times New Roman" w:hAnsi="Times New Roman" w:cs="Times New Roman"/>
          <w:sz w:val="24"/>
          <w:szCs w:val="24"/>
        </w:rPr>
        <w:t>Bulvarı</w:t>
      </w:r>
      <w:proofErr w:type="spellEnd"/>
      <w:r w:rsidRPr="00D57AF6">
        <w:rPr>
          <w:rFonts w:ascii="Times New Roman" w:hAnsi="Times New Roman" w:cs="Times New Roman"/>
          <w:sz w:val="24"/>
          <w:szCs w:val="24"/>
        </w:rPr>
        <w:t xml:space="preserve"> No</w:t>
      </w:r>
      <w:proofErr w:type="gramStart"/>
      <w:r w:rsidRPr="00D57AF6">
        <w:rPr>
          <w:rFonts w:ascii="Times New Roman" w:hAnsi="Times New Roman" w:cs="Times New Roman"/>
          <w:sz w:val="24"/>
          <w:szCs w:val="24"/>
        </w:rPr>
        <w:t>:192</w:t>
      </w:r>
      <w:proofErr w:type="gramEnd"/>
      <w:r w:rsidRPr="00D57AF6">
        <w:rPr>
          <w:rFonts w:ascii="Times New Roman" w:hAnsi="Times New Roman" w:cs="Times New Roman"/>
          <w:sz w:val="24"/>
          <w:szCs w:val="24"/>
        </w:rPr>
        <w:t xml:space="preserve"> </w:t>
      </w:r>
      <w:proofErr w:type="spellStart"/>
      <w:r w:rsidRPr="00D57AF6">
        <w:rPr>
          <w:rFonts w:ascii="Times New Roman" w:hAnsi="Times New Roman" w:cs="Times New Roman"/>
          <w:sz w:val="24"/>
          <w:szCs w:val="24"/>
        </w:rPr>
        <w:t>Çankaya</w:t>
      </w:r>
      <w:proofErr w:type="spellEnd"/>
      <w:r w:rsidRPr="00D57AF6">
        <w:rPr>
          <w:rFonts w:ascii="Times New Roman" w:hAnsi="Times New Roman" w:cs="Times New Roman"/>
          <w:sz w:val="24"/>
          <w:szCs w:val="24"/>
        </w:rPr>
        <w:t xml:space="preserve"> 06510 Ankara</w:t>
      </w:r>
      <w:r w:rsidR="00FC42A8" w:rsidRPr="00D57AF6">
        <w:rPr>
          <w:rFonts w:ascii="Times New Roman" w:hAnsi="Times New Roman" w:cs="Times New Roman"/>
          <w:sz w:val="24"/>
          <w:szCs w:val="24"/>
        </w:rPr>
        <w:t xml:space="preserve">, </w:t>
      </w:r>
      <w:r w:rsidRPr="00D57AF6">
        <w:rPr>
          <w:rFonts w:ascii="Times New Roman" w:hAnsi="Times New Roman" w:cs="Times New Roman"/>
          <w:sz w:val="24"/>
          <w:szCs w:val="24"/>
        </w:rPr>
        <w:t>Turkey</w:t>
      </w:r>
    </w:p>
    <w:p w:rsidR="00152AF7" w:rsidRPr="00D57AF6" w:rsidRDefault="007C0F54" w:rsidP="00D57AF6">
      <w:pPr>
        <w:spacing w:after="0" w:line="240" w:lineRule="auto"/>
        <w:jc w:val="both"/>
        <w:rPr>
          <w:rFonts w:ascii="Times New Roman" w:hAnsi="Times New Roman" w:cs="Times New Roman"/>
          <w:sz w:val="24"/>
          <w:szCs w:val="24"/>
        </w:rPr>
      </w:pPr>
      <w:r w:rsidRPr="00D57AF6">
        <w:rPr>
          <w:rFonts w:ascii="Times New Roman" w:hAnsi="Times New Roman" w:cs="Times New Roman"/>
          <w:sz w:val="24"/>
          <w:szCs w:val="24"/>
        </w:rPr>
        <w:t>E</w:t>
      </w:r>
      <w:r w:rsidR="00152AF7" w:rsidRPr="00D57AF6">
        <w:rPr>
          <w:rFonts w:ascii="Times New Roman" w:hAnsi="Times New Roman" w:cs="Times New Roman"/>
          <w:sz w:val="24"/>
          <w:szCs w:val="24"/>
        </w:rPr>
        <w:t>-</w:t>
      </w:r>
      <w:r w:rsidRPr="00D57AF6">
        <w:rPr>
          <w:rFonts w:ascii="Times New Roman" w:hAnsi="Times New Roman" w:cs="Times New Roman"/>
          <w:sz w:val="24"/>
          <w:szCs w:val="24"/>
        </w:rPr>
        <w:t xml:space="preserve">mail address: </w:t>
      </w:r>
      <w:r w:rsidR="00CA50D5" w:rsidRPr="00D57AF6">
        <w:rPr>
          <w:rFonts w:ascii="Times New Roman" w:hAnsi="Times New Roman" w:cs="Times New Roman"/>
          <w:sz w:val="24"/>
          <w:szCs w:val="24"/>
        </w:rPr>
        <w:t>k.dogan@taek.gov.tr</w:t>
      </w:r>
    </w:p>
    <w:p w:rsidR="00D76CF3" w:rsidRDefault="00D76CF3" w:rsidP="00D57AF6">
      <w:pPr>
        <w:spacing w:line="240" w:lineRule="auto"/>
        <w:jc w:val="both"/>
        <w:rPr>
          <w:rFonts w:ascii="Times New Roman" w:hAnsi="Times New Roman" w:cs="Times New Roman"/>
          <w:b/>
          <w:sz w:val="24"/>
          <w:szCs w:val="24"/>
        </w:rPr>
      </w:pPr>
    </w:p>
    <w:p w:rsidR="004D08D6" w:rsidRPr="00D57AF6" w:rsidRDefault="004D08D6" w:rsidP="004D08D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ÜNVER, Özge</w:t>
      </w:r>
      <w:r w:rsidRPr="00D57AF6">
        <w:rPr>
          <w:rFonts w:ascii="Times New Roman" w:hAnsi="Times New Roman" w:cs="Times New Roman"/>
          <w:sz w:val="24"/>
          <w:szCs w:val="24"/>
          <w:lang w:val="en-GB"/>
        </w:rPr>
        <w:t>,</w:t>
      </w:r>
    </w:p>
    <w:p w:rsidR="004D08D6" w:rsidRPr="00D57AF6" w:rsidRDefault="004D08D6" w:rsidP="004D08D6">
      <w:pPr>
        <w:spacing w:after="0" w:line="240" w:lineRule="auto"/>
        <w:jc w:val="both"/>
        <w:rPr>
          <w:rFonts w:ascii="Times New Roman" w:hAnsi="Times New Roman" w:cs="Times New Roman"/>
          <w:sz w:val="24"/>
          <w:szCs w:val="24"/>
        </w:rPr>
      </w:pPr>
      <w:r w:rsidRPr="00D57AF6">
        <w:rPr>
          <w:rFonts w:ascii="Times New Roman" w:hAnsi="Times New Roman" w:cs="Times New Roman"/>
          <w:sz w:val="24"/>
          <w:szCs w:val="24"/>
        </w:rPr>
        <w:t xml:space="preserve">Turkish Atomic Energy Authority, Nuclear Safety Department, Address Mustafa Kemal </w:t>
      </w:r>
      <w:proofErr w:type="spellStart"/>
      <w:r w:rsidRPr="00D57AF6">
        <w:rPr>
          <w:rFonts w:ascii="Times New Roman" w:hAnsi="Times New Roman" w:cs="Times New Roman"/>
          <w:sz w:val="24"/>
          <w:szCs w:val="24"/>
        </w:rPr>
        <w:t>Mahallesi</w:t>
      </w:r>
      <w:proofErr w:type="spellEnd"/>
      <w:r w:rsidRPr="00D57AF6">
        <w:rPr>
          <w:rFonts w:ascii="Times New Roman" w:hAnsi="Times New Roman" w:cs="Times New Roman"/>
          <w:sz w:val="24"/>
          <w:szCs w:val="24"/>
        </w:rPr>
        <w:t xml:space="preserve"> </w:t>
      </w:r>
      <w:proofErr w:type="spellStart"/>
      <w:r w:rsidRPr="00D57AF6">
        <w:rPr>
          <w:rFonts w:ascii="Times New Roman" w:hAnsi="Times New Roman" w:cs="Times New Roman"/>
          <w:sz w:val="24"/>
          <w:szCs w:val="24"/>
        </w:rPr>
        <w:t>Dumlupınar</w:t>
      </w:r>
      <w:proofErr w:type="spellEnd"/>
      <w:r w:rsidRPr="00D57AF6">
        <w:rPr>
          <w:rFonts w:ascii="Times New Roman" w:hAnsi="Times New Roman" w:cs="Times New Roman"/>
          <w:sz w:val="24"/>
          <w:szCs w:val="24"/>
        </w:rPr>
        <w:t xml:space="preserve"> </w:t>
      </w:r>
      <w:proofErr w:type="spellStart"/>
      <w:r w:rsidRPr="00D57AF6">
        <w:rPr>
          <w:rFonts w:ascii="Times New Roman" w:hAnsi="Times New Roman" w:cs="Times New Roman"/>
          <w:sz w:val="24"/>
          <w:szCs w:val="24"/>
        </w:rPr>
        <w:t>Bulvarı</w:t>
      </w:r>
      <w:proofErr w:type="spellEnd"/>
      <w:r w:rsidRPr="00D57AF6">
        <w:rPr>
          <w:rFonts w:ascii="Times New Roman" w:hAnsi="Times New Roman" w:cs="Times New Roman"/>
          <w:sz w:val="24"/>
          <w:szCs w:val="24"/>
        </w:rPr>
        <w:t xml:space="preserve"> No</w:t>
      </w:r>
      <w:proofErr w:type="gramStart"/>
      <w:r w:rsidRPr="00D57AF6">
        <w:rPr>
          <w:rFonts w:ascii="Times New Roman" w:hAnsi="Times New Roman" w:cs="Times New Roman"/>
          <w:sz w:val="24"/>
          <w:szCs w:val="24"/>
        </w:rPr>
        <w:t>:192</w:t>
      </w:r>
      <w:proofErr w:type="gramEnd"/>
      <w:r w:rsidRPr="00D57AF6">
        <w:rPr>
          <w:rFonts w:ascii="Times New Roman" w:hAnsi="Times New Roman" w:cs="Times New Roman"/>
          <w:sz w:val="24"/>
          <w:szCs w:val="24"/>
        </w:rPr>
        <w:t xml:space="preserve"> </w:t>
      </w:r>
      <w:proofErr w:type="spellStart"/>
      <w:r w:rsidRPr="00D57AF6">
        <w:rPr>
          <w:rFonts w:ascii="Times New Roman" w:hAnsi="Times New Roman" w:cs="Times New Roman"/>
          <w:sz w:val="24"/>
          <w:szCs w:val="24"/>
        </w:rPr>
        <w:t>Çankaya</w:t>
      </w:r>
      <w:proofErr w:type="spellEnd"/>
      <w:r w:rsidRPr="00D57AF6">
        <w:rPr>
          <w:rFonts w:ascii="Times New Roman" w:hAnsi="Times New Roman" w:cs="Times New Roman"/>
          <w:sz w:val="24"/>
          <w:szCs w:val="24"/>
        </w:rPr>
        <w:t xml:space="preserve"> 06510 Ankara, Turkey</w:t>
      </w:r>
    </w:p>
    <w:p w:rsidR="004D08D6" w:rsidRPr="00D57AF6" w:rsidRDefault="004D08D6" w:rsidP="004D08D6">
      <w:pPr>
        <w:spacing w:after="0" w:line="240" w:lineRule="auto"/>
        <w:jc w:val="both"/>
        <w:rPr>
          <w:rFonts w:ascii="Times New Roman" w:hAnsi="Times New Roman" w:cs="Times New Roman"/>
          <w:sz w:val="24"/>
          <w:szCs w:val="24"/>
        </w:rPr>
      </w:pPr>
      <w:r w:rsidRPr="00D57AF6">
        <w:rPr>
          <w:rFonts w:ascii="Times New Roman" w:hAnsi="Times New Roman" w:cs="Times New Roman"/>
          <w:sz w:val="24"/>
          <w:szCs w:val="24"/>
        </w:rPr>
        <w:t xml:space="preserve">E-mail address: </w:t>
      </w:r>
      <w:r>
        <w:rPr>
          <w:rFonts w:ascii="Times New Roman" w:hAnsi="Times New Roman" w:cs="Times New Roman"/>
          <w:sz w:val="24"/>
          <w:szCs w:val="24"/>
        </w:rPr>
        <w:t>ozge.unver</w:t>
      </w:r>
      <w:r w:rsidRPr="00D57AF6">
        <w:rPr>
          <w:rFonts w:ascii="Times New Roman" w:hAnsi="Times New Roman" w:cs="Times New Roman"/>
          <w:sz w:val="24"/>
          <w:szCs w:val="24"/>
        </w:rPr>
        <w:t>@taek.gov.tr</w:t>
      </w:r>
    </w:p>
    <w:p w:rsidR="004D08D6" w:rsidRPr="00D57AF6" w:rsidRDefault="004D08D6" w:rsidP="00D57AF6">
      <w:pPr>
        <w:spacing w:line="240" w:lineRule="auto"/>
        <w:jc w:val="both"/>
        <w:rPr>
          <w:rFonts w:ascii="Times New Roman" w:hAnsi="Times New Roman" w:cs="Times New Roman"/>
          <w:b/>
          <w:sz w:val="24"/>
          <w:szCs w:val="24"/>
        </w:rPr>
      </w:pPr>
    </w:p>
    <w:p w:rsidR="008B6E9C" w:rsidRDefault="004B2660" w:rsidP="00D57AF6">
      <w:pPr>
        <w:spacing w:line="24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7C0F54" w:rsidRPr="00D57AF6" w:rsidRDefault="00974896" w:rsidP="00D57A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regulation </w:t>
      </w:r>
      <w:r w:rsidR="00557BB4">
        <w:rPr>
          <w:rFonts w:ascii="Times New Roman" w:hAnsi="Times New Roman" w:cs="Times New Roman"/>
          <w:sz w:val="24"/>
          <w:szCs w:val="24"/>
        </w:rPr>
        <w:t xml:space="preserve">regarding the </w:t>
      </w:r>
      <w:r>
        <w:rPr>
          <w:rFonts w:ascii="Times New Roman" w:hAnsi="Times New Roman" w:cs="Times New Roman"/>
          <w:sz w:val="24"/>
          <w:szCs w:val="24"/>
        </w:rPr>
        <w:t xml:space="preserve">decommissioning </w:t>
      </w:r>
      <w:r w:rsidR="00557BB4">
        <w:rPr>
          <w:rFonts w:ascii="Times New Roman" w:hAnsi="Times New Roman" w:cs="Times New Roman"/>
          <w:sz w:val="24"/>
          <w:szCs w:val="24"/>
        </w:rPr>
        <w:t xml:space="preserve">of nuclear facilities </w:t>
      </w:r>
      <w:r w:rsidR="00C56A4B">
        <w:rPr>
          <w:rFonts w:ascii="Times New Roman" w:hAnsi="Times New Roman" w:cs="Times New Roman"/>
          <w:sz w:val="24"/>
          <w:szCs w:val="24"/>
        </w:rPr>
        <w:t xml:space="preserve">is being developed to </w:t>
      </w:r>
      <w:r w:rsidR="00CA25CA">
        <w:rPr>
          <w:rFonts w:ascii="Times New Roman" w:hAnsi="Times New Roman" w:cs="Times New Roman"/>
          <w:sz w:val="24"/>
          <w:szCs w:val="24"/>
        </w:rPr>
        <w:t>improve</w:t>
      </w:r>
      <w:r w:rsidR="00C56A4B">
        <w:rPr>
          <w:rFonts w:ascii="Times New Roman" w:hAnsi="Times New Roman" w:cs="Times New Roman"/>
          <w:sz w:val="24"/>
          <w:szCs w:val="24"/>
        </w:rPr>
        <w:t xml:space="preserve"> </w:t>
      </w:r>
      <w:r w:rsidR="003E17E4">
        <w:rPr>
          <w:rFonts w:ascii="Times New Roman" w:hAnsi="Times New Roman" w:cs="Times New Roman"/>
          <w:sz w:val="24"/>
          <w:szCs w:val="24"/>
        </w:rPr>
        <w:t xml:space="preserve">the regulatory </w:t>
      </w:r>
      <w:r w:rsidR="00C90C9C">
        <w:rPr>
          <w:rFonts w:ascii="Times New Roman" w:hAnsi="Times New Roman" w:cs="Times New Roman"/>
          <w:sz w:val="24"/>
          <w:szCs w:val="24"/>
        </w:rPr>
        <w:t xml:space="preserve">infrastructure </w:t>
      </w:r>
      <w:r w:rsidR="006C7106">
        <w:rPr>
          <w:rFonts w:ascii="Times New Roman" w:hAnsi="Times New Roman" w:cs="Times New Roman"/>
          <w:sz w:val="24"/>
          <w:szCs w:val="24"/>
        </w:rPr>
        <w:t>related to nuclear facilities</w:t>
      </w:r>
      <w:r w:rsidR="003E17E4">
        <w:rPr>
          <w:rFonts w:ascii="Times New Roman" w:hAnsi="Times New Roman" w:cs="Times New Roman"/>
          <w:sz w:val="24"/>
          <w:szCs w:val="24"/>
        </w:rPr>
        <w:t xml:space="preserve">. </w:t>
      </w:r>
      <w:r w:rsidR="001F7A36">
        <w:rPr>
          <w:rFonts w:ascii="Times New Roman" w:hAnsi="Times New Roman" w:cs="Times New Roman"/>
          <w:sz w:val="24"/>
          <w:szCs w:val="24"/>
        </w:rPr>
        <w:t xml:space="preserve">This new regulation is of great significance considering existing and planned nuclear facilities in Turkey. </w:t>
      </w:r>
      <w:r w:rsidR="00E3110A" w:rsidRPr="00D57AF6">
        <w:rPr>
          <w:rFonts w:ascii="Times New Roman" w:hAnsi="Times New Roman" w:cs="Times New Roman"/>
          <w:sz w:val="24"/>
          <w:szCs w:val="24"/>
        </w:rPr>
        <w:t xml:space="preserve">The purpose of the draft regulation on decommissioning for nuclear facilities is to regulate the rules to be applied during safely decommissioning of nuclear facilities. This draft </w:t>
      </w:r>
      <w:r w:rsidR="003E17E4">
        <w:rPr>
          <w:rFonts w:ascii="Times New Roman" w:hAnsi="Times New Roman" w:cs="Times New Roman"/>
          <w:sz w:val="24"/>
          <w:szCs w:val="24"/>
        </w:rPr>
        <w:t>r</w:t>
      </w:r>
      <w:r w:rsidR="00E3110A" w:rsidRPr="00D57AF6">
        <w:rPr>
          <w:rFonts w:ascii="Times New Roman" w:hAnsi="Times New Roman" w:cs="Times New Roman"/>
          <w:sz w:val="24"/>
          <w:szCs w:val="24"/>
        </w:rPr>
        <w:t xml:space="preserve">egulation covers </w:t>
      </w:r>
      <w:r w:rsidR="00891656">
        <w:rPr>
          <w:rFonts w:ascii="Times New Roman" w:hAnsi="Times New Roman" w:cs="Times New Roman"/>
          <w:sz w:val="24"/>
          <w:szCs w:val="24"/>
        </w:rPr>
        <w:t>t</w:t>
      </w:r>
      <w:r w:rsidR="00891656" w:rsidRPr="00891656">
        <w:rPr>
          <w:rFonts w:ascii="Times New Roman" w:hAnsi="Times New Roman" w:cs="Times New Roman"/>
          <w:sz w:val="24"/>
          <w:szCs w:val="24"/>
        </w:rPr>
        <w:t xml:space="preserve">echnical aspects </w:t>
      </w:r>
      <w:r w:rsidR="00891656">
        <w:rPr>
          <w:rFonts w:ascii="Times New Roman" w:hAnsi="Times New Roman" w:cs="Times New Roman"/>
          <w:sz w:val="24"/>
          <w:szCs w:val="24"/>
        </w:rPr>
        <w:t xml:space="preserve">of decommissioning such as </w:t>
      </w:r>
      <w:r w:rsidR="002F2C14">
        <w:rPr>
          <w:rFonts w:ascii="Times New Roman" w:hAnsi="Times New Roman" w:cs="Times New Roman"/>
          <w:sz w:val="24"/>
          <w:szCs w:val="24"/>
        </w:rPr>
        <w:t xml:space="preserve">protection of the environment, </w:t>
      </w:r>
      <w:r w:rsidR="00B56B50">
        <w:rPr>
          <w:rFonts w:ascii="Times New Roman" w:hAnsi="Times New Roman" w:cs="Times New Roman"/>
          <w:sz w:val="24"/>
          <w:szCs w:val="24"/>
        </w:rPr>
        <w:t xml:space="preserve">planning and management of decommissioning, </w:t>
      </w:r>
      <w:r w:rsidR="00E3110A" w:rsidRPr="00D57AF6">
        <w:rPr>
          <w:rFonts w:ascii="Times New Roman" w:hAnsi="Times New Roman" w:cs="Times New Roman"/>
          <w:sz w:val="24"/>
          <w:szCs w:val="24"/>
        </w:rPr>
        <w:t xml:space="preserve">and roles </w:t>
      </w:r>
      <w:r w:rsidR="00B56B50">
        <w:rPr>
          <w:rFonts w:ascii="Times New Roman" w:hAnsi="Times New Roman" w:cs="Times New Roman"/>
          <w:sz w:val="24"/>
          <w:szCs w:val="24"/>
        </w:rPr>
        <w:t xml:space="preserve">and responsibilities of the </w:t>
      </w:r>
      <w:r w:rsidR="00376443">
        <w:rPr>
          <w:rFonts w:ascii="Times New Roman" w:hAnsi="Times New Roman" w:cs="Times New Roman"/>
          <w:sz w:val="24"/>
          <w:szCs w:val="24"/>
        </w:rPr>
        <w:t>authorized persons</w:t>
      </w:r>
      <w:r w:rsidR="00B56B50">
        <w:rPr>
          <w:rFonts w:ascii="Times New Roman" w:hAnsi="Times New Roman" w:cs="Times New Roman"/>
          <w:sz w:val="24"/>
          <w:szCs w:val="24"/>
        </w:rPr>
        <w:t xml:space="preserve"> </w:t>
      </w:r>
      <w:r w:rsidR="00E3110A" w:rsidRPr="00D57AF6">
        <w:rPr>
          <w:rFonts w:ascii="Times New Roman" w:hAnsi="Times New Roman" w:cs="Times New Roman"/>
          <w:sz w:val="24"/>
          <w:szCs w:val="24"/>
        </w:rPr>
        <w:t xml:space="preserve">in the decommissioning process of nuclear </w:t>
      </w:r>
      <w:r w:rsidR="00C95705">
        <w:rPr>
          <w:rFonts w:ascii="Times New Roman" w:hAnsi="Times New Roman" w:cs="Times New Roman"/>
          <w:sz w:val="24"/>
          <w:szCs w:val="24"/>
        </w:rPr>
        <w:t>facilities</w:t>
      </w:r>
      <w:r w:rsidR="00E3110A" w:rsidRPr="00D57AF6">
        <w:rPr>
          <w:rFonts w:ascii="Times New Roman" w:hAnsi="Times New Roman" w:cs="Times New Roman"/>
          <w:sz w:val="24"/>
          <w:szCs w:val="24"/>
        </w:rPr>
        <w:t>.</w:t>
      </w:r>
      <w:r w:rsidR="005757B2" w:rsidRPr="00D57AF6">
        <w:rPr>
          <w:rFonts w:ascii="Times New Roman" w:hAnsi="Times New Roman" w:cs="Times New Roman"/>
          <w:sz w:val="24"/>
          <w:szCs w:val="24"/>
        </w:rPr>
        <w:t xml:space="preserve"> </w:t>
      </w:r>
      <w:r w:rsidR="00CF3C36">
        <w:rPr>
          <w:rFonts w:ascii="Times New Roman" w:hAnsi="Times New Roman" w:cs="Times New Roman"/>
          <w:sz w:val="24"/>
          <w:szCs w:val="24"/>
        </w:rPr>
        <w:t xml:space="preserve">There are also other regulation covering clearance levels and release of sites from regulatory control, and </w:t>
      </w:r>
      <w:r w:rsidR="00CF3C36" w:rsidRPr="00D57AF6">
        <w:rPr>
          <w:rFonts w:ascii="Times New Roman" w:hAnsi="Times New Roman" w:cs="Times New Roman"/>
          <w:sz w:val="24"/>
          <w:szCs w:val="24"/>
        </w:rPr>
        <w:t>intergovernmental agreements</w:t>
      </w:r>
      <w:r w:rsidR="00CF3C36">
        <w:rPr>
          <w:rFonts w:ascii="Times New Roman" w:hAnsi="Times New Roman" w:cs="Times New Roman"/>
          <w:sz w:val="24"/>
          <w:szCs w:val="24"/>
        </w:rPr>
        <w:t xml:space="preserve"> signed for Sinop and Akkuyu NPPs</w:t>
      </w:r>
      <w:r w:rsidR="00CF3C36" w:rsidRPr="00D57AF6">
        <w:rPr>
          <w:rFonts w:ascii="Times New Roman" w:hAnsi="Times New Roman" w:cs="Times New Roman"/>
          <w:sz w:val="24"/>
          <w:szCs w:val="24"/>
        </w:rPr>
        <w:t xml:space="preserve"> </w:t>
      </w:r>
      <w:r w:rsidR="00C534F5">
        <w:rPr>
          <w:rFonts w:ascii="Times New Roman" w:hAnsi="Times New Roman" w:cs="Times New Roman"/>
          <w:sz w:val="24"/>
          <w:szCs w:val="24"/>
        </w:rPr>
        <w:t>setting</w:t>
      </w:r>
      <w:r w:rsidR="00CF3C36">
        <w:rPr>
          <w:rFonts w:ascii="Times New Roman" w:hAnsi="Times New Roman" w:cs="Times New Roman"/>
          <w:sz w:val="24"/>
          <w:szCs w:val="24"/>
        </w:rPr>
        <w:t xml:space="preserve"> forth r</w:t>
      </w:r>
      <w:r w:rsidR="00E3110A" w:rsidRPr="00D57AF6">
        <w:rPr>
          <w:rFonts w:ascii="Times New Roman" w:hAnsi="Times New Roman" w:cs="Times New Roman"/>
          <w:sz w:val="24"/>
          <w:szCs w:val="24"/>
        </w:rPr>
        <w:t>esponsibilities of the operating organizations including the financial issues which are also given in this paper.</w:t>
      </w:r>
    </w:p>
    <w:p w:rsidR="004B2660" w:rsidRPr="003C175F" w:rsidRDefault="003C175F" w:rsidP="003C175F">
      <w:pPr>
        <w:spacing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9126CA">
        <w:rPr>
          <w:rFonts w:ascii="Times New Roman" w:hAnsi="Times New Roman" w:cs="Times New Roman"/>
          <w:b/>
          <w:sz w:val="24"/>
          <w:szCs w:val="24"/>
        </w:rPr>
        <w:t xml:space="preserve"> </w:t>
      </w:r>
      <w:r w:rsidR="004B2660" w:rsidRPr="003C175F">
        <w:rPr>
          <w:rFonts w:ascii="Times New Roman" w:hAnsi="Times New Roman" w:cs="Times New Roman"/>
          <w:b/>
          <w:sz w:val="24"/>
          <w:szCs w:val="24"/>
        </w:rPr>
        <w:t>INTRODUCTION</w:t>
      </w:r>
    </w:p>
    <w:p w:rsidR="006A4002" w:rsidRDefault="006A4002" w:rsidP="00220DCE">
      <w:pPr>
        <w:spacing w:line="240" w:lineRule="auto"/>
        <w:jc w:val="both"/>
        <w:rPr>
          <w:rFonts w:ascii="Times New Roman" w:hAnsi="Times New Roman" w:cs="Times New Roman"/>
          <w:sz w:val="24"/>
          <w:szCs w:val="24"/>
        </w:rPr>
      </w:pPr>
      <w:r w:rsidRPr="00D57AF6">
        <w:rPr>
          <w:rFonts w:ascii="Times New Roman" w:hAnsi="Times New Roman" w:cs="Times New Roman"/>
          <w:sz w:val="24"/>
          <w:szCs w:val="24"/>
        </w:rPr>
        <w:t>Turkey has currently no nuclear power plant (NPP) in operation but two NPP projects are being implemented: Akkuyu NPP and Sinop NPP</w:t>
      </w:r>
      <w:r w:rsidRPr="00895884">
        <w:rPr>
          <w:rFonts w:ascii="Times New Roman" w:hAnsi="Times New Roman" w:cs="Times New Roman"/>
          <w:sz w:val="24"/>
          <w:szCs w:val="24"/>
        </w:rPr>
        <w:t xml:space="preserve">. </w:t>
      </w:r>
      <w:r>
        <w:rPr>
          <w:rFonts w:ascii="Times New Roman" w:hAnsi="Times New Roman" w:cs="Times New Roman"/>
          <w:sz w:val="24"/>
          <w:szCs w:val="24"/>
        </w:rPr>
        <w:t>F</w:t>
      </w:r>
      <w:r w:rsidRPr="00895884">
        <w:rPr>
          <w:rFonts w:ascii="Times New Roman" w:hAnsi="Times New Roman" w:cs="Times New Roman"/>
          <w:sz w:val="24"/>
          <w:szCs w:val="24"/>
        </w:rPr>
        <w:t>urthermore a uranium mining project application</w:t>
      </w:r>
      <w:r>
        <w:rPr>
          <w:rFonts w:ascii="Times New Roman" w:hAnsi="Times New Roman" w:cs="Times New Roman"/>
          <w:sz w:val="24"/>
          <w:szCs w:val="24"/>
        </w:rPr>
        <w:t xml:space="preserve"> is received for </w:t>
      </w:r>
      <w:proofErr w:type="spellStart"/>
      <w:r>
        <w:rPr>
          <w:rFonts w:ascii="Times New Roman" w:hAnsi="Times New Roman" w:cs="Times New Roman"/>
          <w:sz w:val="24"/>
          <w:szCs w:val="24"/>
        </w:rPr>
        <w:t>Temrezli</w:t>
      </w:r>
      <w:proofErr w:type="spellEnd"/>
      <w:r>
        <w:rPr>
          <w:rFonts w:ascii="Times New Roman" w:hAnsi="Times New Roman" w:cs="Times New Roman"/>
          <w:sz w:val="24"/>
          <w:szCs w:val="24"/>
        </w:rPr>
        <w:t xml:space="preserve"> Site in </w:t>
      </w:r>
      <w:proofErr w:type="spellStart"/>
      <w:r w:rsidRPr="00895884">
        <w:rPr>
          <w:rFonts w:ascii="Times New Roman" w:hAnsi="Times New Roman" w:cs="Times New Roman"/>
          <w:sz w:val="24"/>
          <w:szCs w:val="24"/>
        </w:rPr>
        <w:t>Yozgat</w:t>
      </w:r>
      <w:proofErr w:type="spellEnd"/>
      <w:r w:rsidRPr="00895884">
        <w:rPr>
          <w:rFonts w:ascii="Times New Roman" w:hAnsi="Times New Roman" w:cs="Times New Roman"/>
          <w:sz w:val="24"/>
          <w:szCs w:val="24"/>
        </w:rPr>
        <w:t xml:space="preserve">. </w:t>
      </w:r>
      <w:r>
        <w:rPr>
          <w:rFonts w:ascii="Times New Roman" w:hAnsi="Times New Roman" w:cs="Times New Roman"/>
          <w:sz w:val="24"/>
          <w:szCs w:val="24"/>
        </w:rPr>
        <w:t xml:space="preserve">Nuclear facilities in operation for long years are two research </w:t>
      </w:r>
      <w:r w:rsidRPr="006C7B9D">
        <w:rPr>
          <w:rFonts w:ascii="Times New Roman" w:hAnsi="Times New Roman" w:cs="Times New Roman"/>
          <w:sz w:val="24"/>
          <w:szCs w:val="24"/>
        </w:rPr>
        <w:t>reactors located in İstanbul</w:t>
      </w:r>
      <w:r>
        <w:rPr>
          <w:rFonts w:ascii="Times New Roman" w:hAnsi="Times New Roman" w:cs="Times New Roman"/>
          <w:sz w:val="24"/>
          <w:szCs w:val="24"/>
        </w:rPr>
        <w:t xml:space="preserve">. </w:t>
      </w:r>
      <w:r w:rsidRPr="00AA3B10">
        <w:rPr>
          <w:rFonts w:ascii="Times New Roman" w:hAnsi="Times New Roman" w:cs="Times New Roman"/>
          <w:sz w:val="24"/>
          <w:szCs w:val="24"/>
        </w:rPr>
        <w:t>TR-2 research reactor which</w:t>
      </w:r>
      <w:r>
        <w:rPr>
          <w:rFonts w:ascii="Times New Roman" w:hAnsi="Times New Roman" w:cs="Times New Roman"/>
          <w:sz w:val="24"/>
          <w:szCs w:val="24"/>
        </w:rPr>
        <w:t xml:space="preserve"> </w:t>
      </w:r>
      <w:r w:rsidR="00CF4C4E">
        <w:rPr>
          <w:rFonts w:ascii="Times New Roman" w:hAnsi="Times New Roman" w:cs="Times New Roman"/>
          <w:sz w:val="24"/>
          <w:szCs w:val="24"/>
        </w:rPr>
        <w:t>is</w:t>
      </w:r>
      <w:r>
        <w:rPr>
          <w:rFonts w:ascii="Times New Roman" w:hAnsi="Times New Roman" w:cs="Times New Roman"/>
          <w:sz w:val="24"/>
          <w:szCs w:val="24"/>
        </w:rPr>
        <w:t xml:space="preserve"> located in </w:t>
      </w:r>
      <w:proofErr w:type="spellStart"/>
      <w:r>
        <w:rPr>
          <w:rFonts w:ascii="Times New Roman" w:hAnsi="Times New Roman" w:cs="Times New Roman"/>
          <w:sz w:val="24"/>
          <w:szCs w:val="24"/>
        </w:rPr>
        <w:t>Çekmece</w:t>
      </w:r>
      <w:proofErr w:type="spellEnd"/>
      <w:r>
        <w:rPr>
          <w:rFonts w:ascii="Times New Roman" w:hAnsi="Times New Roman" w:cs="Times New Roman"/>
          <w:sz w:val="24"/>
          <w:szCs w:val="24"/>
        </w:rPr>
        <w:t xml:space="preserve"> </w:t>
      </w:r>
      <w:r w:rsidR="001261C6">
        <w:rPr>
          <w:rFonts w:ascii="Times New Roman" w:hAnsi="Times New Roman" w:cs="Times New Roman"/>
          <w:sz w:val="24"/>
          <w:szCs w:val="24"/>
        </w:rPr>
        <w:t xml:space="preserve">Nuclear </w:t>
      </w:r>
      <w:r>
        <w:rPr>
          <w:rFonts w:ascii="Times New Roman" w:hAnsi="Times New Roman" w:cs="Times New Roman"/>
          <w:sz w:val="24"/>
          <w:szCs w:val="24"/>
        </w:rPr>
        <w:t xml:space="preserve">Research </w:t>
      </w:r>
      <w:r w:rsidR="00CF4C4E">
        <w:rPr>
          <w:rFonts w:ascii="Times New Roman" w:hAnsi="Times New Roman" w:cs="Times New Roman"/>
          <w:sz w:val="24"/>
          <w:szCs w:val="24"/>
        </w:rPr>
        <w:t xml:space="preserve">and Training </w:t>
      </w:r>
      <w:r>
        <w:rPr>
          <w:rFonts w:ascii="Times New Roman" w:hAnsi="Times New Roman" w:cs="Times New Roman"/>
          <w:sz w:val="24"/>
          <w:szCs w:val="24"/>
        </w:rPr>
        <w:t>Center of T</w:t>
      </w:r>
      <w:r w:rsidR="001261C6">
        <w:rPr>
          <w:rFonts w:ascii="Times New Roman" w:hAnsi="Times New Roman" w:cs="Times New Roman"/>
          <w:sz w:val="24"/>
          <w:szCs w:val="24"/>
        </w:rPr>
        <w:t xml:space="preserve">urkish </w:t>
      </w:r>
      <w:r>
        <w:rPr>
          <w:rFonts w:ascii="Times New Roman" w:hAnsi="Times New Roman" w:cs="Times New Roman"/>
          <w:sz w:val="24"/>
          <w:szCs w:val="24"/>
        </w:rPr>
        <w:t>A</w:t>
      </w:r>
      <w:r w:rsidR="001261C6">
        <w:rPr>
          <w:rFonts w:ascii="Times New Roman" w:hAnsi="Times New Roman" w:cs="Times New Roman"/>
          <w:sz w:val="24"/>
          <w:szCs w:val="24"/>
        </w:rPr>
        <w:t xml:space="preserve">tomic Energy Authority </w:t>
      </w:r>
      <w:r w:rsidRPr="00AA3B10">
        <w:rPr>
          <w:rFonts w:ascii="Times New Roman" w:hAnsi="Times New Roman" w:cs="Times New Roman"/>
          <w:sz w:val="24"/>
          <w:szCs w:val="24"/>
        </w:rPr>
        <w:t>reached criticality with its 5 MW nominal power in 1981</w:t>
      </w:r>
      <w:r>
        <w:rPr>
          <w:rFonts w:ascii="Times New Roman" w:hAnsi="Times New Roman" w:cs="Times New Roman"/>
          <w:sz w:val="24"/>
          <w:szCs w:val="24"/>
        </w:rPr>
        <w:t>.</w:t>
      </w:r>
      <w:r w:rsidRPr="00AA3B10">
        <w:rPr>
          <w:rFonts w:ascii="Times New Roman" w:hAnsi="Times New Roman" w:cs="Times New Roman"/>
          <w:sz w:val="24"/>
          <w:szCs w:val="24"/>
        </w:rPr>
        <w:t xml:space="preserve"> </w:t>
      </w:r>
      <w:r w:rsidRPr="00A46C0D">
        <w:rPr>
          <w:rFonts w:ascii="Times New Roman" w:hAnsi="Times New Roman" w:cs="Times New Roman"/>
          <w:sz w:val="24"/>
          <w:szCs w:val="24"/>
        </w:rPr>
        <w:t xml:space="preserve">TRIGA Mark II reactor with its 250 kW was </w:t>
      </w:r>
      <w:r>
        <w:rPr>
          <w:rFonts w:ascii="Times New Roman" w:hAnsi="Times New Roman" w:cs="Times New Roman"/>
          <w:sz w:val="24"/>
          <w:szCs w:val="24"/>
        </w:rPr>
        <w:t xml:space="preserve">commissioned </w:t>
      </w:r>
      <w:r w:rsidRPr="00A46C0D">
        <w:rPr>
          <w:rFonts w:ascii="Times New Roman" w:hAnsi="Times New Roman" w:cs="Times New Roman"/>
          <w:sz w:val="24"/>
          <w:szCs w:val="24"/>
        </w:rPr>
        <w:t>in 1979</w:t>
      </w:r>
      <w:r>
        <w:rPr>
          <w:rFonts w:ascii="Times New Roman" w:hAnsi="Times New Roman" w:cs="Times New Roman"/>
          <w:sz w:val="24"/>
          <w:szCs w:val="24"/>
        </w:rPr>
        <w:t>.</w:t>
      </w:r>
    </w:p>
    <w:p w:rsidR="004B2660" w:rsidRDefault="004B2660" w:rsidP="00220DCE">
      <w:pPr>
        <w:spacing w:line="240" w:lineRule="auto"/>
        <w:jc w:val="both"/>
        <w:rPr>
          <w:rFonts w:ascii="Times New Roman" w:hAnsi="Times New Roman" w:cs="Times New Roman"/>
          <w:sz w:val="24"/>
          <w:szCs w:val="24"/>
        </w:rPr>
      </w:pPr>
      <w:r w:rsidRPr="004B2660">
        <w:rPr>
          <w:rFonts w:ascii="Times New Roman" w:hAnsi="Times New Roman" w:cs="Times New Roman"/>
          <w:sz w:val="24"/>
          <w:szCs w:val="24"/>
        </w:rPr>
        <w:t>The regulation being developed</w:t>
      </w:r>
      <w:r w:rsidR="00EE29F9">
        <w:rPr>
          <w:rFonts w:ascii="Times New Roman" w:hAnsi="Times New Roman" w:cs="Times New Roman"/>
          <w:sz w:val="24"/>
          <w:szCs w:val="24"/>
        </w:rPr>
        <w:t xml:space="preserve"> will be in line with IAEA documents; </w:t>
      </w:r>
      <w:r w:rsidR="00AC00DA">
        <w:rPr>
          <w:rFonts w:ascii="Times New Roman" w:hAnsi="Times New Roman" w:cs="Times New Roman"/>
          <w:sz w:val="24"/>
          <w:szCs w:val="24"/>
        </w:rPr>
        <w:t>particularly</w:t>
      </w:r>
      <w:r w:rsidRPr="004B2660">
        <w:rPr>
          <w:rFonts w:ascii="Times New Roman" w:hAnsi="Times New Roman" w:cs="Times New Roman"/>
          <w:sz w:val="24"/>
          <w:szCs w:val="24"/>
        </w:rPr>
        <w:t xml:space="preserve"> IAEA GSR Part-6</w:t>
      </w:r>
      <w:r w:rsidR="00304ED9">
        <w:rPr>
          <w:rFonts w:ascii="Times New Roman" w:hAnsi="Times New Roman" w:cs="Times New Roman"/>
          <w:sz w:val="24"/>
          <w:szCs w:val="24"/>
        </w:rPr>
        <w:t xml:space="preserve"> “</w:t>
      </w:r>
      <w:r w:rsidR="00304ED9" w:rsidRPr="00304ED9">
        <w:rPr>
          <w:rFonts w:ascii="Times New Roman" w:hAnsi="Times New Roman" w:cs="Times New Roman"/>
          <w:sz w:val="24"/>
          <w:szCs w:val="24"/>
        </w:rPr>
        <w:t>Decommissioning of</w:t>
      </w:r>
      <w:r w:rsidR="00304ED9">
        <w:rPr>
          <w:rFonts w:ascii="Times New Roman" w:hAnsi="Times New Roman" w:cs="Times New Roman"/>
          <w:sz w:val="24"/>
          <w:szCs w:val="24"/>
        </w:rPr>
        <w:t xml:space="preserve"> </w:t>
      </w:r>
      <w:r w:rsidR="00304ED9" w:rsidRPr="00304ED9">
        <w:rPr>
          <w:rFonts w:ascii="Times New Roman" w:hAnsi="Times New Roman" w:cs="Times New Roman"/>
          <w:sz w:val="24"/>
          <w:szCs w:val="24"/>
        </w:rPr>
        <w:t>Facilities</w:t>
      </w:r>
      <w:r w:rsidR="00304ED9">
        <w:rPr>
          <w:rFonts w:ascii="Times New Roman" w:hAnsi="Times New Roman" w:cs="Times New Roman"/>
          <w:sz w:val="24"/>
          <w:szCs w:val="24"/>
        </w:rPr>
        <w:t>”</w:t>
      </w:r>
      <w:r w:rsidRPr="004B2660">
        <w:rPr>
          <w:rFonts w:ascii="Times New Roman" w:hAnsi="Times New Roman" w:cs="Times New Roman"/>
          <w:sz w:val="24"/>
          <w:szCs w:val="24"/>
        </w:rPr>
        <w:t xml:space="preserve">, </w:t>
      </w:r>
      <w:r w:rsidR="00304ED9">
        <w:rPr>
          <w:rFonts w:ascii="Times New Roman" w:hAnsi="Times New Roman" w:cs="Times New Roman"/>
          <w:sz w:val="24"/>
          <w:szCs w:val="24"/>
        </w:rPr>
        <w:t>IAEA WS-G-2.1 “</w:t>
      </w:r>
      <w:r w:rsidR="00304ED9" w:rsidRPr="00304ED9">
        <w:rPr>
          <w:rFonts w:ascii="Times New Roman" w:hAnsi="Times New Roman" w:cs="Times New Roman"/>
          <w:sz w:val="24"/>
          <w:szCs w:val="24"/>
        </w:rPr>
        <w:t>Decommissioning of</w:t>
      </w:r>
      <w:r w:rsidR="00304ED9">
        <w:rPr>
          <w:rFonts w:ascii="Times New Roman" w:hAnsi="Times New Roman" w:cs="Times New Roman"/>
          <w:sz w:val="24"/>
          <w:szCs w:val="24"/>
        </w:rPr>
        <w:t xml:space="preserve"> </w:t>
      </w:r>
      <w:r w:rsidR="00304ED9" w:rsidRPr="00304ED9">
        <w:rPr>
          <w:rFonts w:ascii="Times New Roman" w:hAnsi="Times New Roman" w:cs="Times New Roman"/>
          <w:sz w:val="24"/>
          <w:szCs w:val="24"/>
        </w:rPr>
        <w:t>Nuclear Power Plants</w:t>
      </w:r>
      <w:r w:rsidR="00304ED9">
        <w:rPr>
          <w:rFonts w:ascii="Times New Roman" w:hAnsi="Times New Roman" w:cs="Times New Roman"/>
          <w:sz w:val="24"/>
          <w:szCs w:val="24"/>
        </w:rPr>
        <w:t xml:space="preserve"> </w:t>
      </w:r>
      <w:r w:rsidR="00304ED9" w:rsidRPr="00304ED9">
        <w:rPr>
          <w:rFonts w:ascii="Times New Roman" w:hAnsi="Times New Roman" w:cs="Times New Roman"/>
          <w:sz w:val="24"/>
          <w:szCs w:val="24"/>
        </w:rPr>
        <w:t>and Research Reactors</w:t>
      </w:r>
      <w:r w:rsidR="00304ED9">
        <w:rPr>
          <w:rFonts w:ascii="Times New Roman" w:hAnsi="Times New Roman" w:cs="Times New Roman"/>
          <w:sz w:val="24"/>
          <w:szCs w:val="24"/>
        </w:rPr>
        <w:t>”</w:t>
      </w:r>
      <w:r w:rsidR="00AC00DA">
        <w:rPr>
          <w:rFonts w:ascii="Times New Roman" w:hAnsi="Times New Roman" w:cs="Times New Roman"/>
          <w:sz w:val="24"/>
          <w:szCs w:val="24"/>
        </w:rPr>
        <w:t xml:space="preserve"> and </w:t>
      </w:r>
      <w:r w:rsidR="00220DCE">
        <w:rPr>
          <w:rFonts w:ascii="Times New Roman" w:hAnsi="Times New Roman" w:cs="Times New Roman"/>
          <w:sz w:val="24"/>
          <w:szCs w:val="24"/>
        </w:rPr>
        <w:t>IAEA WS-R-5 “Decommissioning o</w:t>
      </w:r>
      <w:r w:rsidR="00220DCE" w:rsidRPr="00220DCE">
        <w:rPr>
          <w:rFonts w:ascii="Times New Roman" w:hAnsi="Times New Roman" w:cs="Times New Roman"/>
          <w:sz w:val="24"/>
          <w:szCs w:val="24"/>
        </w:rPr>
        <w:t>f</w:t>
      </w:r>
      <w:r w:rsidR="00220DCE">
        <w:rPr>
          <w:rFonts w:ascii="Times New Roman" w:hAnsi="Times New Roman" w:cs="Times New Roman"/>
          <w:sz w:val="24"/>
          <w:szCs w:val="24"/>
        </w:rPr>
        <w:t xml:space="preserve"> </w:t>
      </w:r>
      <w:r w:rsidR="00220DCE" w:rsidRPr="00220DCE">
        <w:rPr>
          <w:rFonts w:ascii="Times New Roman" w:hAnsi="Times New Roman" w:cs="Times New Roman"/>
          <w:sz w:val="24"/>
          <w:szCs w:val="24"/>
        </w:rPr>
        <w:t>Facilities Using</w:t>
      </w:r>
      <w:r w:rsidR="00220DCE">
        <w:rPr>
          <w:rFonts w:ascii="Times New Roman" w:hAnsi="Times New Roman" w:cs="Times New Roman"/>
          <w:sz w:val="24"/>
          <w:szCs w:val="24"/>
        </w:rPr>
        <w:t xml:space="preserve"> </w:t>
      </w:r>
      <w:r w:rsidR="00220DCE" w:rsidRPr="00220DCE">
        <w:rPr>
          <w:rFonts w:ascii="Times New Roman" w:hAnsi="Times New Roman" w:cs="Times New Roman"/>
          <w:sz w:val="24"/>
          <w:szCs w:val="24"/>
        </w:rPr>
        <w:t>Radioactive Material</w:t>
      </w:r>
      <w:r w:rsidR="00220DCE">
        <w:rPr>
          <w:rFonts w:ascii="Times New Roman" w:hAnsi="Times New Roman" w:cs="Times New Roman"/>
          <w:sz w:val="24"/>
          <w:szCs w:val="24"/>
        </w:rPr>
        <w:t>”</w:t>
      </w:r>
      <w:r w:rsidR="00EE29F9">
        <w:rPr>
          <w:rFonts w:ascii="Times New Roman" w:hAnsi="Times New Roman" w:cs="Times New Roman"/>
          <w:sz w:val="24"/>
          <w:szCs w:val="24"/>
        </w:rPr>
        <w:t xml:space="preserve"> are taken as reference</w:t>
      </w:r>
      <w:r w:rsidR="00304ED9">
        <w:rPr>
          <w:rFonts w:ascii="Times New Roman" w:hAnsi="Times New Roman" w:cs="Times New Roman"/>
          <w:sz w:val="24"/>
          <w:szCs w:val="24"/>
        </w:rPr>
        <w:t>.</w:t>
      </w:r>
      <w:r>
        <w:rPr>
          <w:rFonts w:ascii="Times New Roman" w:hAnsi="Times New Roman" w:cs="Times New Roman"/>
          <w:sz w:val="24"/>
          <w:szCs w:val="24"/>
        </w:rPr>
        <w:t xml:space="preserve"> Technical aspects</w:t>
      </w:r>
      <w:r w:rsidR="0013224A">
        <w:rPr>
          <w:rFonts w:ascii="Times New Roman" w:hAnsi="Times New Roman" w:cs="Times New Roman"/>
          <w:sz w:val="24"/>
          <w:szCs w:val="24"/>
        </w:rPr>
        <w:t xml:space="preserve"> of decommissioning</w:t>
      </w:r>
      <w:r w:rsidR="00403C50">
        <w:rPr>
          <w:rFonts w:ascii="Times New Roman" w:hAnsi="Times New Roman" w:cs="Times New Roman"/>
          <w:sz w:val="24"/>
          <w:szCs w:val="24"/>
        </w:rPr>
        <w:t xml:space="preserve">; namely </w:t>
      </w:r>
      <w:r w:rsidR="0013224A">
        <w:rPr>
          <w:rFonts w:ascii="Times New Roman" w:hAnsi="Times New Roman" w:cs="Times New Roman"/>
          <w:sz w:val="24"/>
          <w:szCs w:val="24"/>
        </w:rPr>
        <w:t xml:space="preserve"> </w:t>
      </w:r>
      <w:r w:rsidR="00403C50" w:rsidRPr="00403C50">
        <w:rPr>
          <w:rFonts w:ascii="Times New Roman" w:hAnsi="Times New Roman" w:cs="Times New Roman"/>
          <w:sz w:val="24"/>
          <w:szCs w:val="24"/>
        </w:rPr>
        <w:t>protection of the environment, planning</w:t>
      </w:r>
      <w:r w:rsidR="009F7406">
        <w:rPr>
          <w:rFonts w:ascii="Times New Roman" w:hAnsi="Times New Roman" w:cs="Times New Roman"/>
          <w:sz w:val="24"/>
          <w:szCs w:val="24"/>
        </w:rPr>
        <w:t>,</w:t>
      </w:r>
      <w:r w:rsidR="00403C50" w:rsidRPr="00403C50">
        <w:rPr>
          <w:rFonts w:ascii="Times New Roman" w:hAnsi="Times New Roman" w:cs="Times New Roman"/>
          <w:sz w:val="24"/>
          <w:szCs w:val="24"/>
        </w:rPr>
        <w:t xml:space="preserve"> management </w:t>
      </w:r>
      <w:r w:rsidR="009F7406">
        <w:rPr>
          <w:rFonts w:ascii="Times New Roman" w:hAnsi="Times New Roman" w:cs="Times New Roman"/>
          <w:sz w:val="24"/>
          <w:szCs w:val="24"/>
        </w:rPr>
        <w:t xml:space="preserve">and conduct </w:t>
      </w:r>
      <w:r w:rsidR="00403C50" w:rsidRPr="00403C50">
        <w:rPr>
          <w:rFonts w:ascii="Times New Roman" w:hAnsi="Times New Roman" w:cs="Times New Roman"/>
          <w:sz w:val="24"/>
          <w:szCs w:val="24"/>
        </w:rPr>
        <w:t>of decommissioning, and roles and responsibilities of the operators in the decommissionin</w:t>
      </w:r>
      <w:r w:rsidR="00403C50">
        <w:rPr>
          <w:rFonts w:ascii="Times New Roman" w:hAnsi="Times New Roman" w:cs="Times New Roman"/>
          <w:sz w:val="24"/>
          <w:szCs w:val="24"/>
        </w:rPr>
        <w:t>g process of nuclear facilities, waste management</w:t>
      </w:r>
      <w:r w:rsidR="006B252D">
        <w:rPr>
          <w:rFonts w:ascii="Times New Roman" w:hAnsi="Times New Roman" w:cs="Times New Roman"/>
          <w:sz w:val="24"/>
          <w:szCs w:val="24"/>
        </w:rPr>
        <w:t xml:space="preserve"> during decommissioning</w:t>
      </w:r>
      <w:r w:rsidR="00403C50">
        <w:rPr>
          <w:rFonts w:ascii="Times New Roman" w:hAnsi="Times New Roman" w:cs="Times New Roman"/>
          <w:sz w:val="24"/>
          <w:szCs w:val="24"/>
        </w:rPr>
        <w:t xml:space="preserve">, content of decommissioning plans </w:t>
      </w:r>
      <w:r>
        <w:rPr>
          <w:rFonts w:ascii="Times New Roman" w:hAnsi="Times New Roman" w:cs="Times New Roman"/>
          <w:sz w:val="24"/>
          <w:szCs w:val="24"/>
        </w:rPr>
        <w:t>are planned to be</w:t>
      </w:r>
      <w:r w:rsidR="00913F42">
        <w:rPr>
          <w:rFonts w:ascii="Times New Roman" w:hAnsi="Times New Roman" w:cs="Times New Roman"/>
          <w:sz w:val="24"/>
          <w:szCs w:val="24"/>
        </w:rPr>
        <w:t xml:space="preserve"> covered by this new regulation</w:t>
      </w:r>
      <w:r>
        <w:rPr>
          <w:rFonts w:ascii="Times New Roman" w:hAnsi="Times New Roman" w:cs="Times New Roman"/>
          <w:sz w:val="24"/>
          <w:szCs w:val="24"/>
        </w:rPr>
        <w:t xml:space="preserve">. </w:t>
      </w:r>
      <w:r w:rsidR="007456F8">
        <w:rPr>
          <w:rFonts w:ascii="Times New Roman" w:hAnsi="Times New Roman" w:cs="Times New Roman"/>
          <w:sz w:val="24"/>
          <w:szCs w:val="24"/>
        </w:rPr>
        <w:t>Policy for decommissioning</w:t>
      </w:r>
      <w:r>
        <w:rPr>
          <w:rFonts w:ascii="Times New Roman" w:hAnsi="Times New Roman" w:cs="Times New Roman"/>
          <w:sz w:val="24"/>
          <w:szCs w:val="24"/>
        </w:rPr>
        <w:t xml:space="preserve"> </w:t>
      </w:r>
      <w:r w:rsidR="007456F8">
        <w:rPr>
          <w:rFonts w:ascii="Times New Roman" w:hAnsi="Times New Roman" w:cs="Times New Roman"/>
          <w:sz w:val="24"/>
          <w:szCs w:val="24"/>
        </w:rPr>
        <w:t xml:space="preserve">and for site usage after release from regulatory control </w:t>
      </w:r>
      <w:r>
        <w:rPr>
          <w:rFonts w:ascii="Times New Roman" w:hAnsi="Times New Roman" w:cs="Times New Roman"/>
          <w:sz w:val="24"/>
          <w:szCs w:val="24"/>
        </w:rPr>
        <w:t>ha</w:t>
      </w:r>
      <w:r w:rsidR="00C807F9">
        <w:rPr>
          <w:rFonts w:ascii="Times New Roman" w:hAnsi="Times New Roman" w:cs="Times New Roman"/>
          <w:sz w:val="24"/>
          <w:szCs w:val="24"/>
        </w:rPr>
        <w:t>s</w:t>
      </w:r>
      <w:r>
        <w:rPr>
          <w:rFonts w:ascii="Times New Roman" w:hAnsi="Times New Roman" w:cs="Times New Roman"/>
          <w:sz w:val="24"/>
          <w:szCs w:val="24"/>
        </w:rPr>
        <w:t xml:space="preserve"> to be de</w:t>
      </w:r>
      <w:r w:rsidR="00C807F9">
        <w:rPr>
          <w:rFonts w:ascii="Times New Roman" w:hAnsi="Times New Roman" w:cs="Times New Roman"/>
          <w:sz w:val="24"/>
          <w:szCs w:val="24"/>
        </w:rPr>
        <w:t>cided</w:t>
      </w:r>
      <w:r>
        <w:rPr>
          <w:rFonts w:ascii="Times New Roman" w:hAnsi="Times New Roman" w:cs="Times New Roman"/>
          <w:sz w:val="24"/>
          <w:szCs w:val="24"/>
        </w:rPr>
        <w:t xml:space="preserve"> at </w:t>
      </w:r>
      <w:r w:rsidR="007456F8">
        <w:rPr>
          <w:rFonts w:ascii="Times New Roman" w:hAnsi="Times New Roman" w:cs="Times New Roman"/>
          <w:sz w:val="24"/>
          <w:szCs w:val="24"/>
        </w:rPr>
        <w:t>the higher level</w:t>
      </w:r>
      <w:r>
        <w:rPr>
          <w:rFonts w:ascii="Times New Roman" w:hAnsi="Times New Roman" w:cs="Times New Roman"/>
          <w:sz w:val="24"/>
          <w:szCs w:val="24"/>
        </w:rPr>
        <w:t xml:space="preserve"> legislation, i.e. law, white paper, etc.</w:t>
      </w:r>
      <w:r w:rsidR="00505BDB">
        <w:rPr>
          <w:rFonts w:ascii="Times New Roman" w:hAnsi="Times New Roman" w:cs="Times New Roman"/>
          <w:sz w:val="24"/>
          <w:szCs w:val="24"/>
        </w:rPr>
        <w:t>, which are out of the scope of this paper.</w:t>
      </w:r>
    </w:p>
    <w:p w:rsidR="009126CA" w:rsidRPr="004B2660" w:rsidRDefault="009126CA" w:rsidP="00220DCE">
      <w:pPr>
        <w:spacing w:line="240" w:lineRule="auto"/>
        <w:jc w:val="both"/>
        <w:rPr>
          <w:rFonts w:ascii="Times New Roman" w:hAnsi="Times New Roman" w:cs="Times New Roman"/>
          <w:sz w:val="24"/>
          <w:szCs w:val="24"/>
        </w:rPr>
      </w:pPr>
      <w:bookmarkStart w:id="0" w:name="_GoBack"/>
      <w:bookmarkEnd w:id="0"/>
    </w:p>
    <w:p w:rsidR="004B2660" w:rsidRDefault="003C175F" w:rsidP="00D57AF6">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4B2660">
        <w:rPr>
          <w:rFonts w:ascii="Times New Roman" w:hAnsi="Times New Roman" w:cs="Times New Roman"/>
          <w:b/>
          <w:sz w:val="24"/>
          <w:szCs w:val="24"/>
        </w:rPr>
        <w:t>DRAF</w:t>
      </w:r>
      <w:r w:rsidR="00F94A63">
        <w:rPr>
          <w:rFonts w:ascii="Times New Roman" w:hAnsi="Times New Roman" w:cs="Times New Roman"/>
          <w:b/>
          <w:sz w:val="24"/>
          <w:szCs w:val="24"/>
        </w:rPr>
        <w:t>T</w:t>
      </w:r>
      <w:r w:rsidR="004D7806">
        <w:rPr>
          <w:rFonts w:ascii="Times New Roman" w:hAnsi="Times New Roman" w:cs="Times New Roman"/>
          <w:b/>
          <w:sz w:val="24"/>
          <w:szCs w:val="24"/>
        </w:rPr>
        <w:t xml:space="preserve"> REGULATION ON DECOMMISSIONING FOR NUCLEAR FACILITIES </w:t>
      </w:r>
    </w:p>
    <w:p w:rsidR="00DF19FA" w:rsidRPr="00D57AF6" w:rsidRDefault="00E52BE8" w:rsidP="00D57AF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Protection of people and </w:t>
      </w:r>
      <w:r w:rsidR="00D731E8">
        <w:rPr>
          <w:rFonts w:ascii="Times New Roman" w:hAnsi="Times New Roman" w:cs="Times New Roman"/>
          <w:b/>
          <w:sz w:val="24"/>
          <w:szCs w:val="24"/>
        </w:rPr>
        <w:t>environment</w:t>
      </w:r>
    </w:p>
    <w:p w:rsidR="00E27C89" w:rsidRDefault="00E27C89" w:rsidP="00D731E8">
      <w:pPr>
        <w:pStyle w:val="ListeParagraf"/>
        <w:numPr>
          <w:ilvl w:val="0"/>
          <w:numId w:val="4"/>
        </w:numPr>
        <w:spacing w:line="240" w:lineRule="auto"/>
        <w:jc w:val="both"/>
        <w:rPr>
          <w:rFonts w:ascii="Times New Roman" w:hAnsi="Times New Roman" w:cs="Times New Roman"/>
          <w:sz w:val="24"/>
          <w:szCs w:val="24"/>
        </w:rPr>
      </w:pPr>
      <w:r w:rsidRPr="00E27C89">
        <w:rPr>
          <w:rFonts w:ascii="Times New Roman" w:hAnsi="Times New Roman" w:cs="Times New Roman"/>
          <w:sz w:val="24"/>
          <w:szCs w:val="24"/>
        </w:rPr>
        <w:t xml:space="preserve">The normal operation dose limits for the exposure of workers and members of public shall </w:t>
      </w:r>
      <w:r>
        <w:rPr>
          <w:rFonts w:ascii="Times New Roman" w:hAnsi="Times New Roman" w:cs="Times New Roman"/>
          <w:sz w:val="24"/>
          <w:szCs w:val="24"/>
        </w:rPr>
        <w:t xml:space="preserve">be </w:t>
      </w:r>
      <w:r w:rsidRPr="00E27C89">
        <w:rPr>
          <w:rFonts w:ascii="Times New Roman" w:hAnsi="Times New Roman" w:cs="Times New Roman"/>
          <w:sz w:val="24"/>
          <w:szCs w:val="24"/>
        </w:rPr>
        <w:t xml:space="preserve">applied during decommissioning activities. </w:t>
      </w:r>
    </w:p>
    <w:p w:rsidR="00D57AF6" w:rsidRPr="008B6E9C" w:rsidRDefault="00076F19" w:rsidP="008B6E9C">
      <w:pPr>
        <w:pStyle w:val="ListeParagraf"/>
        <w:numPr>
          <w:ilvl w:val="0"/>
          <w:numId w:val="4"/>
        </w:numPr>
        <w:spacing w:line="240" w:lineRule="auto"/>
        <w:jc w:val="both"/>
        <w:rPr>
          <w:rFonts w:ascii="Times New Roman" w:hAnsi="Times New Roman" w:cs="Times New Roman"/>
          <w:sz w:val="24"/>
          <w:szCs w:val="24"/>
        </w:rPr>
      </w:pPr>
      <w:r w:rsidRPr="00076F19">
        <w:rPr>
          <w:rFonts w:ascii="Times New Roman" w:hAnsi="Times New Roman" w:cs="Times New Roman"/>
          <w:sz w:val="24"/>
          <w:szCs w:val="24"/>
        </w:rPr>
        <w:t>A graded approach shall be applied in all aspects of decommissioning</w:t>
      </w:r>
      <w:r>
        <w:rPr>
          <w:rFonts w:ascii="Times New Roman" w:hAnsi="Times New Roman" w:cs="Times New Roman"/>
          <w:sz w:val="24"/>
          <w:szCs w:val="24"/>
        </w:rPr>
        <w:t xml:space="preserve"> </w:t>
      </w:r>
      <w:r w:rsidRPr="00076F19">
        <w:rPr>
          <w:rFonts w:ascii="Times New Roman" w:hAnsi="Times New Roman" w:cs="Times New Roman"/>
          <w:sz w:val="24"/>
          <w:szCs w:val="24"/>
        </w:rPr>
        <w:t>in determining the scope and level of detail for any particular facility,</w:t>
      </w:r>
      <w:r>
        <w:rPr>
          <w:rFonts w:ascii="Times New Roman" w:hAnsi="Times New Roman" w:cs="Times New Roman"/>
          <w:sz w:val="24"/>
          <w:szCs w:val="24"/>
        </w:rPr>
        <w:t xml:space="preserve"> </w:t>
      </w:r>
      <w:r w:rsidRPr="00076F19">
        <w:rPr>
          <w:rFonts w:ascii="Times New Roman" w:hAnsi="Times New Roman" w:cs="Times New Roman"/>
          <w:sz w:val="24"/>
          <w:szCs w:val="24"/>
        </w:rPr>
        <w:t>consistent with the magnitude of the possible radiation risks arising from</w:t>
      </w:r>
      <w:r w:rsidR="008B6E9C">
        <w:rPr>
          <w:rFonts w:ascii="Times New Roman" w:hAnsi="Times New Roman" w:cs="Times New Roman"/>
          <w:sz w:val="24"/>
          <w:szCs w:val="24"/>
        </w:rPr>
        <w:t xml:space="preserve"> </w:t>
      </w:r>
      <w:r w:rsidRPr="008B6E9C">
        <w:rPr>
          <w:rFonts w:ascii="Times New Roman" w:hAnsi="Times New Roman" w:cs="Times New Roman"/>
          <w:sz w:val="24"/>
          <w:szCs w:val="24"/>
        </w:rPr>
        <w:t xml:space="preserve">the decommissioning. </w:t>
      </w:r>
    </w:p>
    <w:p w:rsidR="00D57AF6" w:rsidRPr="00835CF5" w:rsidRDefault="00835CF5" w:rsidP="00835CF5">
      <w:pPr>
        <w:pStyle w:val="ListeParagraf"/>
        <w:numPr>
          <w:ilvl w:val="0"/>
          <w:numId w:val="4"/>
        </w:numPr>
        <w:spacing w:line="240" w:lineRule="auto"/>
        <w:jc w:val="both"/>
        <w:rPr>
          <w:rFonts w:ascii="Times New Roman" w:hAnsi="Times New Roman" w:cs="Times New Roman"/>
          <w:sz w:val="24"/>
          <w:szCs w:val="24"/>
        </w:rPr>
      </w:pPr>
      <w:r w:rsidRPr="00835CF5">
        <w:rPr>
          <w:rFonts w:ascii="Times New Roman" w:hAnsi="Times New Roman" w:cs="Times New Roman"/>
          <w:sz w:val="24"/>
          <w:szCs w:val="24"/>
        </w:rPr>
        <w:t>The final decommissioning plan shall be supported by a safety assessment addressing the planned decommissioning actions and incidents, including</w:t>
      </w:r>
      <w:r>
        <w:rPr>
          <w:rFonts w:ascii="Times New Roman" w:hAnsi="Times New Roman" w:cs="Times New Roman"/>
          <w:sz w:val="24"/>
          <w:szCs w:val="24"/>
        </w:rPr>
        <w:t xml:space="preserve"> </w:t>
      </w:r>
      <w:r w:rsidRPr="00835CF5">
        <w:rPr>
          <w:rFonts w:ascii="Times New Roman" w:hAnsi="Times New Roman" w:cs="Times New Roman"/>
          <w:sz w:val="24"/>
          <w:szCs w:val="24"/>
        </w:rPr>
        <w:t>accidents that may occur or situations that may arise during decommissioning.</w:t>
      </w:r>
      <w:r w:rsidR="00A42052">
        <w:rPr>
          <w:rFonts w:ascii="Times New Roman" w:hAnsi="Times New Roman" w:cs="Times New Roman"/>
          <w:sz w:val="24"/>
          <w:szCs w:val="24"/>
        </w:rPr>
        <w:t xml:space="preserve"> </w:t>
      </w:r>
    </w:p>
    <w:p w:rsidR="00D57AF6" w:rsidRPr="00D57AF6" w:rsidRDefault="00A13993" w:rsidP="00D57AF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Responsibilities of </w:t>
      </w:r>
      <w:r w:rsidR="0045499B">
        <w:rPr>
          <w:rFonts w:ascii="Times New Roman" w:hAnsi="Times New Roman" w:cs="Times New Roman"/>
          <w:b/>
          <w:sz w:val="24"/>
          <w:szCs w:val="24"/>
        </w:rPr>
        <w:t>t</w:t>
      </w:r>
      <w:r>
        <w:rPr>
          <w:rFonts w:ascii="Times New Roman" w:hAnsi="Times New Roman" w:cs="Times New Roman"/>
          <w:b/>
          <w:sz w:val="24"/>
          <w:szCs w:val="24"/>
        </w:rPr>
        <w:t xml:space="preserve">he </w:t>
      </w:r>
      <w:r w:rsidR="00376443">
        <w:rPr>
          <w:rFonts w:ascii="Times New Roman" w:hAnsi="Times New Roman" w:cs="Times New Roman"/>
          <w:b/>
          <w:sz w:val="24"/>
          <w:szCs w:val="24"/>
        </w:rPr>
        <w:t>Authorized Person</w:t>
      </w:r>
      <w:r>
        <w:rPr>
          <w:rFonts w:ascii="Times New Roman" w:hAnsi="Times New Roman" w:cs="Times New Roman"/>
          <w:b/>
          <w:sz w:val="24"/>
          <w:szCs w:val="24"/>
        </w:rPr>
        <w:t xml:space="preserve"> </w:t>
      </w:r>
    </w:p>
    <w:p w:rsidR="00D57AF6" w:rsidRDefault="00895884" w:rsidP="00812285">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Operator shall determine</w:t>
      </w:r>
      <w:r w:rsidR="00096FBB">
        <w:rPr>
          <w:rFonts w:ascii="Times New Roman" w:hAnsi="Times New Roman" w:cs="Times New Roman"/>
          <w:sz w:val="24"/>
          <w:szCs w:val="24"/>
        </w:rPr>
        <w:t xml:space="preserve"> and </w:t>
      </w:r>
      <w:r>
        <w:rPr>
          <w:rFonts w:ascii="Times New Roman" w:hAnsi="Times New Roman" w:cs="Times New Roman"/>
          <w:sz w:val="24"/>
          <w:szCs w:val="24"/>
        </w:rPr>
        <w:t>justify</w:t>
      </w:r>
      <w:r w:rsidR="00812285">
        <w:rPr>
          <w:rFonts w:ascii="Times New Roman" w:hAnsi="Times New Roman" w:cs="Times New Roman"/>
          <w:sz w:val="24"/>
          <w:szCs w:val="24"/>
        </w:rPr>
        <w:t xml:space="preserve"> </w:t>
      </w:r>
      <w:r w:rsidR="00096FBB">
        <w:rPr>
          <w:rFonts w:ascii="Times New Roman" w:hAnsi="Times New Roman" w:cs="Times New Roman"/>
          <w:sz w:val="24"/>
          <w:szCs w:val="24"/>
        </w:rPr>
        <w:t xml:space="preserve">the decommissioning strategy </w:t>
      </w:r>
      <w:r w:rsidR="00244932">
        <w:rPr>
          <w:rFonts w:ascii="Times New Roman" w:hAnsi="Times New Roman" w:cs="Times New Roman"/>
          <w:sz w:val="24"/>
          <w:szCs w:val="24"/>
        </w:rPr>
        <w:t xml:space="preserve">in </w:t>
      </w:r>
      <w:r w:rsidR="00096FBB" w:rsidRPr="00096FBB">
        <w:rPr>
          <w:rFonts w:ascii="Times New Roman" w:hAnsi="Times New Roman" w:cs="Times New Roman"/>
          <w:sz w:val="24"/>
          <w:szCs w:val="24"/>
        </w:rPr>
        <w:t>accordance with national legislation.</w:t>
      </w:r>
      <w:r w:rsidR="00096FBB">
        <w:rPr>
          <w:rFonts w:ascii="Times New Roman" w:hAnsi="Times New Roman" w:cs="Times New Roman"/>
          <w:sz w:val="24"/>
          <w:szCs w:val="24"/>
        </w:rPr>
        <w:t xml:space="preserve"> </w:t>
      </w:r>
    </w:p>
    <w:p w:rsidR="00D57AF6" w:rsidRPr="00860D90" w:rsidRDefault="00895884" w:rsidP="00812285">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Operator shall prepare</w:t>
      </w:r>
      <w:r w:rsidR="00860D90">
        <w:rPr>
          <w:rFonts w:ascii="Times New Roman" w:hAnsi="Times New Roman" w:cs="Times New Roman"/>
          <w:sz w:val="24"/>
          <w:szCs w:val="24"/>
        </w:rPr>
        <w:t xml:space="preserve"> and </w:t>
      </w:r>
      <w:r w:rsidR="00812285" w:rsidRPr="00812285">
        <w:rPr>
          <w:rFonts w:ascii="Times New Roman" w:hAnsi="Times New Roman" w:cs="Times New Roman"/>
          <w:sz w:val="24"/>
          <w:szCs w:val="24"/>
        </w:rPr>
        <w:t>s</w:t>
      </w:r>
      <w:r>
        <w:rPr>
          <w:rFonts w:ascii="Times New Roman" w:hAnsi="Times New Roman" w:cs="Times New Roman"/>
          <w:sz w:val="24"/>
          <w:szCs w:val="24"/>
        </w:rPr>
        <w:t>ubmit</w:t>
      </w:r>
      <w:r w:rsidR="00812285">
        <w:rPr>
          <w:rFonts w:ascii="Times New Roman" w:hAnsi="Times New Roman" w:cs="Times New Roman"/>
          <w:sz w:val="24"/>
          <w:szCs w:val="24"/>
        </w:rPr>
        <w:t xml:space="preserve"> </w:t>
      </w:r>
      <w:r w:rsidR="00860D90" w:rsidRPr="00860D90">
        <w:rPr>
          <w:rFonts w:ascii="Times New Roman" w:hAnsi="Times New Roman" w:cs="Times New Roman"/>
          <w:sz w:val="24"/>
          <w:szCs w:val="24"/>
        </w:rPr>
        <w:t>an initial decommissioning plan and its updates</w:t>
      </w:r>
      <w:r w:rsidR="00860D90">
        <w:rPr>
          <w:rFonts w:ascii="Times New Roman" w:hAnsi="Times New Roman" w:cs="Times New Roman"/>
          <w:sz w:val="24"/>
          <w:szCs w:val="24"/>
        </w:rPr>
        <w:t xml:space="preserve"> every 10 years </w:t>
      </w:r>
      <w:r w:rsidR="00860D90" w:rsidRPr="00860D90">
        <w:rPr>
          <w:rFonts w:ascii="Times New Roman" w:hAnsi="Times New Roman" w:cs="Times New Roman"/>
          <w:sz w:val="24"/>
          <w:szCs w:val="24"/>
        </w:rPr>
        <w:t>for review by the regulatory body.</w:t>
      </w:r>
      <w:r w:rsidR="00860D90">
        <w:rPr>
          <w:rFonts w:ascii="Times New Roman" w:hAnsi="Times New Roman" w:cs="Times New Roman"/>
          <w:sz w:val="24"/>
          <w:szCs w:val="24"/>
        </w:rPr>
        <w:t xml:space="preserve"> </w:t>
      </w:r>
    </w:p>
    <w:p w:rsidR="00D57AF6" w:rsidRDefault="00895884" w:rsidP="001B195A">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Operator </w:t>
      </w:r>
      <w:r w:rsidR="00244932">
        <w:rPr>
          <w:rFonts w:ascii="Times New Roman" w:hAnsi="Times New Roman" w:cs="Times New Roman"/>
          <w:sz w:val="24"/>
          <w:szCs w:val="24"/>
        </w:rPr>
        <w:t>shall establish</w:t>
      </w:r>
      <w:r>
        <w:rPr>
          <w:rFonts w:ascii="Times New Roman" w:hAnsi="Times New Roman" w:cs="Times New Roman"/>
          <w:sz w:val="24"/>
          <w:szCs w:val="24"/>
        </w:rPr>
        <w:t xml:space="preserve"> and implement</w:t>
      </w:r>
      <w:r w:rsidR="001B195A" w:rsidRPr="001B195A">
        <w:rPr>
          <w:rFonts w:ascii="Times New Roman" w:hAnsi="Times New Roman" w:cs="Times New Roman"/>
          <w:sz w:val="24"/>
          <w:szCs w:val="24"/>
        </w:rPr>
        <w:t xml:space="preserve"> an integrated management system</w:t>
      </w:r>
      <w:r w:rsidR="001B195A">
        <w:rPr>
          <w:rFonts w:ascii="Times New Roman" w:hAnsi="Times New Roman" w:cs="Times New Roman"/>
          <w:sz w:val="24"/>
          <w:szCs w:val="24"/>
        </w:rPr>
        <w:t xml:space="preserve"> and i</w:t>
      </w:r>
      <w:r w:rsidR="0057638E">
        <w:rPr>
          <w:rFonts w:ascii="Times New Roman" w:hAnsi="Times New Roman" w:cs="Times New Roman"/>
          <w:sz w:val="24"/>
          <w:szCs w:val="24"/>
        </w:rPr>
        <w:t>t updates regularly and submits</w:t>
      </w:r>
      <w:r w:rsidR="001B195A">
        <w:rPr>
          <w:rFonts w:ascii="Times New Roman" w:hAnsi="Times New Roman" w:cs="Times New Roman"/>
          <w:sz w:val="24"/>
          <w:szCs w:val="24"/>
        </w:rPr>
        <w:t xml:space="preserve"> for review by the regulatory body.</w:t>
      </w:r>
      <w:r w:rsidR="001B195A" w:rsidRPr="001B195A">
        <w:rPr>
          <w:rFonts w:ascii="Times New Roman" w:hAnsi="Times New Roman" w:cs="Times New Roman"/>
          <w:sz w:val="24"/>
          <w:szCs w:val="24"/>
        </w:rPr>
        <w:t xml:space="preserve"> </w:t>
      </w:r>
    </w:p>
    <w:p w:rsidR="00D57AF6" w:rsidRPr="00D73227" w:rsidRDefault="00136ADC" w:rsidP="00D7322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Operator shall foster</w:t>
      </w:r>
      <w:r w:rsidR="00D73227" w:rsidRPr="00D73227">
        <w:rPr>
          <w:rFonts w:ascii="Times New Roman" w:hAnsi="Times New Roman" w:cs="Times New Roman"/>
          <w:sz w:val="24"/>
          <w:szCs w:val="24"/>
        </w:rPr>
        <w:t xml:space="preserve"> a safety culture in order to encourage a questioning and learning</w:t>
      </w:r>
      <w:r w:rsidR="00D73227">
        <w:rPr>
          <w:rFonts w:ascii="Times New Roman" w:hAnsi="Times New Roman" w:cs="Times New Roman"/>
          <w:sz w:val="24"/>
          <w:szCs w:val="24"/>
        </w:rPr>
        <w:t xml:space="preserve"> </w:t>
      </w:r>
      <w:r w:rsidR="00D73227" w:rsidRPr="00D73227">
        <w:rPr>
          <w:rFonts w:ascii="Times New Roman" w:hAnsi="Times New Roman" w:cs="Times New Roman"/>
          <w:sz w:val="24"/>
          <w:szCs w:val="24"/>
        </w:rPr>
        <w:t>attitude towards safety, and to discourage complacency</w:t>
      </w:r>
      <w:r w:rsidR="00D73227">
        <w:rPr>
          <w:rFonts w:ascii="Times New Roman" w:hAnsi="Times New Roman" w:cs="Times New Roman"/>
          <w:sz w:val="24"/>
          <w:szCs w:val="24"/>
        </w:rPr>
        <w:t>.</w:t>
      </w:r>
      <w:r w:rsidR="00D73227" w:rsidRPr="00D73227">
        <w:rPr>
          <w:rFonts w:ascii="Times New Roman" w:hAnsi="Times New Roman" w:cs="Times New Roman"/>
          <w:sz w:val="24"/>
          <w:szCs w:val="24"/>
        </w:rPr>
        <w:t xml:space="preserve"> </w:t>
      </w:r>
    </w:p>
    <w:p w:rsidR="00D57AF6" w:rsidRPr="00C74EBA" w:rsidRDefault="00136ADC" w:rsidP="00C74EBA">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Operator shall provide</w:t>
      </w:r>
      <w:r w:rsidR="00C74EBA" w:rsidRPr="00C74EBA">
        <w:rPr>
          <w:rFonts w:ascii="Times New Roman" w:hAnsi="Times New Roman" w:cs="Times New Roman"/>
          <w:sz w:val="24"/>
          <w:szCs w:val="24"/>
        </w:rPr>
        <w:t xml:space="preserve"> financial</w:t>
      </w:r>
      <w:r w:rsidR="00C74EBA">
        <w:rPr>
          <w:rFonts w:ascii="Times New Roman" w:hAnsi="Times New Roman" w:cs="Times New Roman"/>
          <w:sz w:val="24"/>
          <w:szCs w:val="24"/>
        </w:rPr>
        <w:t xml:space="preserve"> </w:t>
      </w:r>
      <w:r w:rsidR="00C74EBA" w:rsidRPr="00C74EBA">
        <w:rPr>
          <w:rFonts w:ascii="Times New Roman" w:hAnsi="Times New Roman" w:cs="Times New Roman"/>
          <w:sz w:val="24"/>
          <w:szCs w:val="24"/>
        </w:rPr>
        <w:t>assurances and resources to cover the costs associated with safe decommissioning, including the management of the resulting radioactive waste</w:t>
      </w:r>
      <w:r w:rsidR="00C74EBA">
        <w:rPr>
          <w:rFonts w:ascii="Times New Roman" w:hAnsi="Times New Roman" w:cs="Times New Roman"/>
          <w:sz w:val="24"/>
          <w:szCs w:val="24"/>
        </w:rPr>
        <w:t>.</w:t>
      </w:r>
      <w:r w:rsidR="00C74EBA" w:rsidRPr="00C74EBA">
        <w:rPr>
          <w:rFonts w:ascii="Times New Roman" w:hAnsi="Times New Roman" w:cs="Times New Roman"/>
          <w:sz w:val="24"/>
          <w:szCs w:val="24"/>
        </w:rPr>
        <w:t xml:space="preserve"> </w:t>
      </w:r>
    </w:p>
    <w:p w:rsidR="00D57AF6" w:rsidRPr="002524EF" w:rsidRDefault="00136ADC" w:rsidP="00812285">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Operator shall notify</w:t>
      </w:r>
      <w:r w:rsidR="00812285">
        <w:rPr>
          <w:rFonts w:ascii="Times New Roman" w:hAnsi="Times New Roman" w:cs="Times New Roman"/>
          <w:sz w:val="24"/>
          <w:szCs w:val="24"/>
        </w:rPr>
        <w:t xml:space="preserve"> </w:t>
      </w:r>
      <w:r w:rsidR="002524EF" w:rsidRPr="002524EF">
        <w:rPr>
          <w:rFonts w:ascii="Times New Roman" w:hAnsi="Times New Roman" w:cs="Times New Roman"/>
          <w:sz w:val="24"/>
          <w:szCs w:val="24"/>
        </w:rPr>
        <w:t>the regulatory body</w:t>
      </w:r>
      <w:r w:rsidR="002524EF">
        <w:rPr>
          <w:rFonts w:ascii="Times New Roman" w:hAnsi="Times New Roman" w:cs="Times New Roman"/>
          <w:sz w:val="24"/>
          <w:szCs w:val="24"/>
        </w:rPr>
        <w:t xml:space="preserve"> at least five years before</w:t>
      </w:r>
      <w:r w:rsidR="002524EF" w:rsidRPr="002524EF">
        <w:rPr>
          <w:rFonts w:ascii="Times New Roman" w:hAnsi="Times New Roman" w:cs="Times New Roman"/>
          <w:sz w:val="24"/>
          <w:szCs w:val="24"/>
        </w:rPr>
        <w:t xml:space="preserve"> the permanent shutdown of the facility. </w:t>
      </w:r>
    </w:p>
    <w:p w:rsidR="00D57AF6" w:rsidRPr="005072B8" w:rsidRDefault="00136ADC" w:rsidP="005072B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Operator shall submit</w:t>
      </w:r>
      <w:r w:rsidR="005072B8" w:rsidRPr="005072B8">
        <w:rPr>
          <w:rFonts w:ascii="Times New Roman" w:hAnsi="Times New Roman" w:cs="Times New Roman"/>
          <w:sz w:val="24"/>
          <w:szCs w:val="24"/>
        </w:rPr>
        <w:t xml:space="preserve"> a final decommissioning plan and supporting documents for</w:t>
      </w:r>
      <w:r w:rsidR="005072B8">
        <w:rPr>
          <w:rFonts w:ascii="Times New Roman" w:hAnsi="Times New Roman" w:cs="Times New Roman"/>
          <w:sz w:val="24"/>
          <w:szCs w:val="24"/>
        </w:rPr>
        <w:t xml:space="preserve"> </w:t>
      </w:r>
      <w:r w:rsidR="005072B8" w:rsidRPr="005072B8">
        <w:rPr>
          <w:rFonts w:ascii="Times New Roman" w:hAnsi="Times New Roman" w:cs="Times New Roman"/>
          <w:sz w:val="24"/>
          <w:szCs w:val="24"/>
        </w:rPr>
        <w:t>review and approval by the regulatory body</w:t>
      </w:r>
      <w:r w:rsidR="00370B77">
        <w:rPr>
          <w:rFonts w:ascii="Times New Roman" w:hAnsi="Times New Roman" w:cs="Times New Roman"/>
          <w:sz w:val="24"/>
          <w:szCs w:val="24"/>
        </w:rPr>
        <w:t xml:space="preserve"> to obtain an authorization f</w:t>
      </w:r>
      <w:r w:rsidR="005072B8" w:rsidRPr="005072B8">
        <w:rPr>
          <w:rFonts w:ascii="Times New Roman" w:hAnsi="Times New Roman" w:cs="Times New Roman"/>
          <w:sz w:val="24"/>
          <w:szCs w:val="24"/>
        </w:rPr>
        <w:t>o</w:t>
      </w:r>
      <w:r w:rsidR="00370B77">
        <w:rPr>
          <w:rFonts w:ascii="Times New Roman" w:hAnsi="Times New Roman" w:cs="Times New Roman"/>
          <w:sz w:val="24"/>
          <w:szCs w:val="24"/>
        </w:rPr>
        <w:t>r</w:t>
      </w:r>
      <w:r w:rsidR="005072B8" w:rsidRPr="005072B8">
        <w:rPr>
          <w:rFonts w:ascii="Times New Roman" w:hAnsi="Times New Roman" w:cs="Times New Roman"/>
          <w:sz w:val="24"/>
          <w:szCs w:val="24"/>
        </w:rPr>
        <w:t xml:space="preserve"> conduct</w:t>
      </w:r>
      <w:r w:rsidR="00370B77">
        <w:rPr>
          <w:rFonts w:ascii="Times New Roman" w:hAnsi="Times New Roman" w:cs="Times New Roman"/>
          <w:sz w:val="24"/>
          <w:szCs w:val="24"/>
        </w:rPr>
        <w:t>ing</w:t>
      </w:r>
      <w:r w:rsidR="005072B8" w:rsidRPr="005072B8">
        <w:rPr>
          <w:rFonts w:ascii="Times New Roman" w:hAnsi="Times New Roman" w:cs="Times New Roman"/>
          <w:sz w:val="24"/>
          <w:szCs w:val="24"/>
        </w:rPr>
        <w:t xml:space="preserve"> decommissioning</w:t>
      </w:r>
      <w:r w:rsidR="00370B77">
        <w:rPr>
          <w:rFonts w:ascii="Times New Roman" w:hAnsi="Times New Roman" w:cs="Times New Roman"/>
          <w:sz w:val="24"/>
          <w:szCs w:val="24"/>
        </w:rPr>
        <w:t xml:space="preserve">, </w:t>
      </w:r>
      <w:r w:rsidR="00370B77" w:rsidRPr="005072B8">
        <w:rPr>
          <w:rFonts w:ascii="Times New Roman" w:hAnsi="Times New Roman" w:cs="Times New Roman"/>
          <w:sz w:val="24"/>
          <w:szCs w:val="24"/>
        </w:rPr>
        <w:t>in accordance with national regulations</w:t>
      </w:r>
      <w:r w:rsidR="00370B77">
        <w:rPr>
          <w:rFonts w:ascii="Times New Roman" w:hAnsi="Times New Roman" w:cs="Times New Roman"/>
          <w:sz w:val="24"/>
          <w:szCs w:val="24"/>
        </w:rPr>
        <w:t>.</w:t>
      </w:r>
      <w:r w:rsidR="005072B8" w:rsidRPr="005072B8">
        <w:rPr>
          <w:rFonts w:ascii="Times New Roman" w:hAnsi="Times New Roman" w:cs="Times New Roman"/>
          <w:sz w:val="24"/>
          <w:szCs w:val="24"/>
        </w:rPr>
        <w:t xml:space="preserve"> </w:t>
      </w:r>
    </w:p>
    <w:p w:rsidR="00D57AF6" w:rsidRPr="009F5DFA" w:rsidRDefault="00136ADC" w:rsidP="009F5DFA">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Operator shall manage</w:t>
      </w:r>
      <w:r w:rsidR="009F5DFA" w:rsidRPr="009F5DFA">
        <w:rPr>
          <w:rFonts w:ascii="Times New Roman" w:hAnsi="Times New Roman" w:cs="Times New Roman"/>
          <w:sz w:val="24"/>
          <w:szCs w:val="24"/>
        </w:rPr>
        <w:t xml:space="preserve"> the decomm</w:t>
      </w:r>
      <w:r>
        <w:rPr>
          <w:rFonts w:ascii="Times New Roman" w:hAnsi="Times New Roman" w:cs="Times New Roman"/>
          <w:sz w:val="24"/>
          <w:szCs w:val="24"/>
        </w:rPr>
        <w:t>issioning project and conduct</w:t>
      </w:r>
      <w:r w:rsidR="009F5DFA" w:rsidRPr="009F5DFA">
        <w:rPr>
          <w:rFonts w:ascii="Times New Roman" w:hAnsi="Times New Roman" w:cs="Times New Roman"/>
          <w:sz w:val="24"/>
          <w:szCs w:val="24"/>
        </w:rPr>
        <w:t xml:space="preserve"> decommissioning</w:t>
      </w:r>
      <w:r w:rsidR="009F5DFA">
        <w:rPr>
          <w:rFonts w:ascii="Times New Roman" w:hAnsi="Times New Roman" w:cs="Times New Roman"/>
          <w:sz w:val="24"/>
          <w:szCs w:val="24"/>
        </w:rPr>
        <w:t xml:space="preserve"> </w:t>
      </w:r>
      <w:r w:rsidR="009F5DFA" w:rsidRPr="009F5DFA">
        <w:rPr>
          <w:rFonts w:ascii="Times New Roman" w:hAnsi="Times New Roman" w:cs="Times New Roman"/>
          <w:sz w:val="24"/>
          <w:szCs w:val="24"/>
        </w:rPr>
        <w:t>action</w:t>
      </w:r>
      <w:r w:rsidR="00726201">
        <w:rPr>
          <w:rFonts w:ascii="Times New Roman" w:hAnsi="Times New Roman" w:cs="Times New Roman"/>
          <w:sz w:val="24"/>
          <w:szCs w:val="24"/>
        </w:rPr>
        <w:t xml:space="preserve">s. </w:t>
      </w:r>
    </w:p>
    <w:p w:rsidR="00D57AF6" w:rsidRPr="00200ECF" w:rsidRDefault="00136ADC" w:rsidP="00200ECF">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Operator shall manage</w:t>
      </w:r>
      <w:r w:rsidR="00200ECF" w:rsidRPr="009F5DFA">
        <w:rPr>
          <w:rFonts w:ascii="Times New Roman" w:hAnsi="Times New Roman" w:cs="Times New Roman"/>
          <w:sz w:val="24"/>
          <w:szCs w:val="24"/>
        </w:rPr>
        <w:t xml:space="preserve"> </w:t>
      </w:r>
      <w:r w:rsidR="00200ECF" w:rsidRPr="00200ECF">
        <w:rPr>
          <w:rFonts w:ascii="Times New Roman" w:hAnsi="Times New Roman" w:cs="Times New Roman"/>
          <w:sz w:val="24"/>
          <w:szCs w:val="24"/>
        </w:rPr>
        <w:t>the remaining operational waste from the facility and all waste</w:t>
      </w:r>
      <w:r w:rsidR="004A75DE">
        <w:rPr>
          <w:rFonts w:ascii="Times New Roman" w:hAnsi="Times New Roman" w:cs="Times New Roman"/>
          <w:sz w:val="24"/>
          <w:szCs w:val="24"/>
        </w:rPr>
        <w:t xml:space="preserve"> aroused</w:t>
      </w:r>
      <w:r w:rsidR="00200ECF">
        <w:rPr>
          <w:rFonts w:ascii="Times New Roman" w:hAnsi="Times New Roman" w:cs="Times New Roman"/>
          <w:sz w:val="24"/>
          <w:szCs w:val="24"/>
        </w:rPr>
        <w:t xml:space="preserve"> </w:t>
      </w:r>
      <w:r w:rsidR="004A75DE">
        <w:rPr>
          <w:rFonts w:ascii="Times New Roman" w:hAnsi="Times New Roman" w:cs="Times New Roman"/>
          <w:sz w:val="24"/>
          <w:szCs w:val="24"/>
        </w:rPr>
        <w:t>during</w:t>
      </w:r>
      <w:r w:rsidR="00200ECF" w:rsidRPr="00200ECF">
        <w:rPr>
          <w:rFonts w:ascii="Times New Roman" w:hAnsi="Times New Roman" w:cs="Times New Roman"/>
          <w:sz w:val="24"/>
          <w:szCs w:val="24"/>
        </w:rPr>
        <w:t xml:space="preserve"> decommissioning.</w:t>
      </w:r>
      <w:r w:rsidR="00200ECF">
        <w:rPr>
          <w:rFonts w:ascii="Times New Roman" w:hAnsi="Times New Roman" w:cs="Times New Roman"/>
          <w:sz w:val="24"/>
          <w:szCs w:val="24"/>
        </w:rPr>
        <w:t xml:space="preserve"> </w:t>
      </w:r>
    </w:p>
    <w:p w:rsidR="00D57AF6" w:rsidRPr="006050BD" w:rsidRDefault="004F4EB5" w:rsidP="006050B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Operator shall ensure</w:t>
      </w:r>
      <w:r w:rsidR="006050BD" w:rsidRPr="006050BD">
        <w:rPr>
          <w:rFonts w:ascii="Times New Roman" w:hAnsi="Times New Roman" w:cs="Times New Roman"/>
          <w:sz w:val="24"/>
          <w:szCs w:val="24"/>
        </w:rPr>
        <w:t xml:space="preserve"> that the facility is maintained in a safe configuration during the</w:t>
      </w:r>
      <w:r w:rsidR="006050BD">
        <w:rPr>
          <w:rFonts w:ascii="Times New Roman" w:hAnsi="Times New Roman" w:cs="Times New Roman"/>
          <w:sz w:val="24"/>
          <w:szCs w:val="24"/>
        </w:rPr>
        <w:t xml:space="preserve"> </w:t>
      </w:r>
      <w:r w:rsidR="006050BD" w:rsidRPr="006050BD">
        <w:rPr>
          <w:rFonts w:ascii="Times New Roman" w:hAnsi="Times New Roman" w:cs="Times New Roman"/>
          <w:sz w:val="24"/>
          <w:szCs w:val="24"/>
        </w:rPr>
        <w:t xml:space="preserve">period of transition following </w:t>
      </w:r>
      <w:r w:rsidR="005C2205">
        <w:rPr>
          <w:rFonts w:ascii="Times New Roman" w:hAnsi="Times New Roman" w:cs="Times New Roman"/>
          <w:sz w:val="24"/>
          <w:szCs w:val="24"/>
        </w:rPr>
        <w:t xml:space="preserve">the </w:t>
      </w:r>
      <w:r w:rsidR="006050BD" w:rsidRPr="006050BD">
        <w:rPr>
          <w:rFonts w:ascii="Times New Roman" w:hAnsi="Times New Roman" w:cs="Times New Roman"/>
          <w:sz w:val="24"/>
          <w:szCs w:val="24"/>
        </w:rPr>
        <w:t>permanent shutdown and until the approval</w:t>
      </w:r>
      <w:r w:rsidR="006050BD">
        <w:rPr>
          <w:rFonts w:ascii="Times New Roman" w:hAnsi="Times New Roman" w:cs="Times New Roman"/>
          <w:sz w:val="24"/>
          <w:szCs w:val="24"/>
        </w:rPr>
        <w:t xml:space="preserve"> </w:t>
      </w:r>
      <w:r w:rsidR="006050BD" w:rsidRPr="006050BD">
        <w:rPr>
          <w:rFonts w:ascii="Times New Roman" w:hAnsi="Times New Roman" w:cs="Times New Roman"/>
          <w:sz w:val="24"/>
          <w:szCs w:val="24"/>
        </w:rPr>
        <w:t xml:space="preserve">of the final decommissioning plan. </w:t>
      </w:r>
    </w:p>
    <w:p w:rsidR="00D57AF6" w:rsidRPr="00E143B5" w:rsidRDefault="004F4EB5" w:rsidP="00E143B5">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Operator shall perform</w:t>
      </w:r>
      <w:r w:rsidR="00E143B5" w:rsidRPr="00E143B5">
        <w:rPr>
          <w:rFonts w:ascii="Times New Roman" w:hAnsi="Times New Roman" w:cs="Times New Roman"/>
          <w:sz w:val="24"/>
          <w:szCs w:val="24"/>
        </w:rPr>
        <w:t xml:space="preserve"> safety assessments in</w:t>
      </w:r>
      <w:r w:rsidR="00E143B5">
        <w:rPr>
          <w:rFonts w:ascii="Times New Roman" w:hAnsi="Times New Roman" w:cs="Times New Roman"/>
          <w:sz w:val="24"/>
          <w:szCs w:val="24"/>
        </w:rPr>
        <w:t xml:space="preserve"> </w:t>
      </w:r>
      <w:r w:rsidR="00E143B5" w:rsidRPr="00E143B5">
        <w:rPr>
          <w:rFonts w:ascii="Times New Roman" w:hAnsi="Times New Roman" w:cs="Times New Roman"/>
          <w:sz w:val="24"/>
          <w:szCs w:val="24"/>
        </w:rPr>
        <w:t xml:space="preserve">support of decommissioning actions. </w:t>
      </w:r>
    </w:p>
    <w:p w:rsidR="00D57AF6" w:rsidRPr="001728B3" w:rsidRDefault="006555D0" w:rsidP="001728B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Operator shall prepare and implement</w:t>
      </w:r>
      <w:r w:rsidR="001728B3" w:rsidRPr="001728B3">
        <w:rPr>
          <w:rFonts w:ascii="Times New Roman" w:hAnsi="Times New Roman" w:cs="Times New Roman"/>
          <w:sz w:val="24"/>
          <w:szCs w:val="24"/>
        </w:rPr>
        <w:t xml:space="preserve"> appropriate safety procedures, including</w:t>
      </w:r>
      <w:r w:rsidR="001728B3">
        <w:rPr>
          <w:rFonts w:ascii="Times New Roman" w:hAnsi="Times New Roman" w:cs="Times New Roman"/>
          <w:sz w:val="24"/>
          <w:szCs w:val="24"/>
        </w:rPr>
        <w:t xml:space="preserve"> </w:t>
      </w:r>
      <w:r w:rsidR="001728B3" w:rsidRPr="001728B3">
        <w:rPr>
          <w:rFonts w:ascii="Times New Roman" w:hAnsi="Times New Roman" w:cs="Times New Roman"/>
          <w:sz w:val="24"/>
          <w:szCs w:val="24"/>
        </w:rPr>
        <w:t xml:space="preserve">emergency plans. </w:t>
      </w:r>
    </w:p>
    <w:p w:rsidR="00D57AF6" w:rsidRPr="00451793" w:rsidRDefault="006555D0" w:rsidP="0045179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Operator shall ensure</w:t>
      </w:r>
      <w:r w:rsidR="00451793" w:rsidRPr="00451793">
        <w:rPr>
          <w:rFonts w:ascii="Times New Roman" w:hAnsi="Times New Roman" w:cs="Times New Roman"/>
          <w:sz w:val="24"/>
          <w:szCs w:val="24"/>
        </w:rPr>
        <w:t xml:space="preserve"> that properly trained, qualified and competent staff </w:t>
      </w:r>
      <w:r w:rsidR="005C2205">
        <w:rPr>
          <w:rFonts w:ascii="Times New Roman" w:hAnsi="Times New Roman" w:cs="Times New Roman"/>
          <w:sz w:val="24"/>
          <w:szCs w:val="24"/>
        </w:rPr>
        <w:t>is</w:t>
      </w:r>
      <w:r w:rsidR="00451793" w:rsidRPr="00451793">
        <w:rPr>
          <w:rFonts w:ascii="Times New Roman" w:hAnsi="Times New Roman" w:cs="Times New Roman"/>
          <w:sz w:val="24"/>
          <w:szCs w:val="24"/>
        </w:rPr>
        <w:t xml:space="preserve"> available</w:t>
      </w:r>
      <w:r w:rsidR="00451793">
        <w:rPr>
          <w:rFonts w:ascii="Times New Roman" w:hAnsi="Times New Roman" w:cs="Times New Roman"/>
          <w:sz w:val="24"/>
          <w:szCs w:val="24"/>
        </w:rPr>
        <w:t xml:space="preserve"> </w:t>
      </w:r>
      <w:r w:rsidR="00451793" w:rsidRPr="00451793">
        <w:rPr>
          <w:rFonts w:ascii="Times New Roman" w:hAnsi="Times New Roman" w:cs="Times New Roman"/>
          <w:sz w:val="24"/>
          <w:szCs w:val="24"/>
        </w:rPr>
        <w:t xml:space="preserve">for the decommissioning project. </w:t>
      </w:r>
    </w:p>
    <w:p w:rsidR="00D57AF6" w:rsidRDefault="006555D0" w:rsidP="0045179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Operator shall </w:t>
      </w:r>
      <w:r w:rsidR="00451793">
        <w:rPr>
          <w:rFonts w:ascii="Times New Roman" w:hAnsi="Times New Roman" w:cs="Times New Roman"/>
          <w:sz w:val="24"/>
          <w:szCs w:val="24"/>
        </w:rPr>
        <w:t>p</w:t>
      </w:r>
      <w:r w:rsidR="008B416F">
        <w:rPr>
          <w:rFonts w:ascii="Times New Roman" w:hAnsi="Times New Roman" w:cs="Times New Roman"/>
          <w:sz w:val="24"/>
          <w:szCs w:val="24"/>
        </w:rPr>
        <w:t>erform</w:t>
      </w:r>
      <w:r w:rsidR="00451793" w:rsidRPr="00451793">
        <w:rPr>
          <w:rFonts w:ascii="Times New Roman" w:hAnsi="Times New Roman" w:cs="Times New Roman"/>
          <w:sz w:val="24"/>
          <w:szCs w:val="24"/>
        </w:rPr>
        <w:t xml:space="preserve"> radiological surveys in support of decommissioning. </w:t>
      </w:r>
    </w:p>
    <w:p w:rsidR="00D57AF6" w:rsidRDefault="006555D0" w:rsidP="00D56D6A">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Operator shall</w:t>
      </w:r>
      <w:r w:rsidR="00451793">
        <w:rPr>
          <w:rFonts w:ascii="Times New Roman" w:hAnsi="Times New Roman" w:cs="Times New Roman"/>
          <w:sz w:val="24"/>
          <w:szCs w:val="24"/>
        </w:rPr>
        <w:t xml:space="preserve"> </w:t>
      </w:r>
      <w:r>
        <w:rPr>
          <w:rFonts w:ascii="Times New Roman" w:hAnsi="Times New Roman" w:cs="Times New Roman"/>
          <w:sz w:val="24"/>
          <w:szCs w:val="24"/>
        </w:rPr>
        <w:t>verify</w:t>
      </w:r>
      <w:r w:rsidR="00D56D6A">
        <w:rPr>
          <w:rFonts w:ascii="Times New Roman" w:hAnsi="Times New Roman" w:cs="Times New Roman"/>
          <w:sz w:val="24"/>
          <w:szCs w:val="24"/>
        </w:rPr>
        <w:t xml:space="preserve"> </w:t>
      </w:r>
      <w:r w:rsidR="00451793" w:rsidRPr="00451793">
        <w:rPr>
          <w:rFonts w:ascii="Times New Roman" w:hAnsi="Times New Roman" w:cs="Times New Roman"/>
          <w:sz w:val="24"/>
          <w:szCs w:val="24"/>
        </w:rPr>
        <w:t>that end state criteria have been met by performing a final survey.</w:t>
      </w:r>
      <w:r w:rsidR="00451793">
        <w:rPr>
          <w:rFonts w:ascii="Times New Roman" w:hAnsi="Times New Roman" w:cs="Times New Roman"/>
          <w:sz w:val="24"/>
          <w:szCs w:val="24"/>
        </w:rPr>
        <w:t xml:space="preserve"> </w:t>
      </w:r>
    </w:p>
    <w:p w:rsidR="00D57AF6" w:rsidRPr="00757F79" w:rsidRDefault="006555D0" w:rsidP="00757F79">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Operator shall keep and retain records and submit</w:t>
      </w:r>
      <w:r w:rsidR="00757F79" w:rsidRPr="00757F79">
        <w:rPr>
          <w:rFonts w:ascii="Times New Roman" w:hAnsi="Times New Roman" w:cs="Times New Roman"/>
          <w:sz w:val="24"/>
          <w:szCs w:val="24"/>
        </w:rPr>
        <w:t xml:space="preserve"> reports as required by the</w:t>
      </w:r>
      <w:r w:rsidR="00757F79">
        <w:rPr>
          <w:rFonts w:ascii="Times New Roman" w:hAnsi="Times New Roman" w:cs="Times New Roman"/>
          <w:sz w:val="24"/>
          <w:szCs w:val="24"/>
        </w:rPr>
        <w:t xml:space="preserve"> </w:t>
      </w:r>
      <w:r w:rsidR="00757F79" w:rsidRPr="00757F79">
        <w:rPr>
          <w:rFonts w:ascii="Times New Roman" w:hAnsi="Times New Roman" w:cs="Times New Roman"/>
          <w:sz w:val="24"/>
          <w:szCs w:val="24"/>
        </w:rPr>
        <w:t xml:space="preserve">regulatory body. </w:t>
      </w:r>
    </w:p>
    <w:p w:rsidR="00337B74" w:rsidRDefault="0035512F" w:rsidP="00452003">
      <w:pPr>
        <w:jc w:val="both"/>
        <w:rPr>
          <w:rFonts w:ascii="Times New Roman" w:hAnsi="Times New Roman" w:cs="Times New Roman"/>
          <w:sz w:val="24"/>
          <w:szCs w:val="24"/>
        </w:rPr>
      </w:pPr>
      <w:r>
        <w:rPr>
          <w:rFonts w:ascii="Times New Roman" w:hAnsi="Times New Roman" w:cs="Times New Roman"/>
          <w:b/>
          <w:sz w:val="24"/>
          <w:szCs w:val="24"/>
        </w:rPr>
        <w:t>Management of Decommissioning</w:t>
      </w:r>
      <w:r w:rsidR="00337B74">
        <w:rPr>
          <w:rFonts w:ascii="Times New Roman" w:hAnsi="Times New Roman" w:cs="Times New Roman"/>
          <w:b/>
          <w:sz w:val="24"/>
          <w:szCs w:val="24"/>
        </w:rPr>
        <w:t xml:space="preserve">: </w:t>
      </w:r>
      <w:r w:rsidR="00452003" w:rsidRPr="00452003">
        <w:rPr>
          <w:rFonts w:ascii="Times New Roman" w:hAnsi="Times New Roman" w:cs="Times New Roman"/>
          <w:sz w:val="24"/>
          <w:szCs w:val="24"/>
        </w:rPr>
        <w:t xml:space="preserve">Operator </w:t>
      </w:r>
      <w:r w:rsidR="006555D0">
        <w:rPr>
          <w:rFonts w:ascii="Times New Roman" w:hAnsi="Times New Roman" w:cs="Times New Roman"/>
          <w:sz w:val="24"/>
          <w:szCs w:val="24"/>
        </w:rPr>
        <w:t xml:space="preserve">shall establish </w:t>
      </w:r>
      <w:r w:rsidR="00452003">
        <w:rPr>
          <w:rFonts w:ascii="Times New Roman" w:hAnsi="Times New Roman" w:cs="Times New Roman"/>
          <w:sz w:val="24"/>
          <w:szCs w:val="24"/>
        </w:rPr>
        <w:t>a</w:t>
      </w:r>
      <w:r w:rsidR="00452003" w:rsidRPr="00452003">
        <w:rPr>
          <w:rFonts w:ascii="Times New Roman" w:hAnsi="Times New Roman" w:cs="Times New Roman"/>
          <w:sz w:val="24"/>
          <w:szCs w:val="24"/>
        </w:rPr>
        <w:t>n integrated management system</w:t>
      </w:r>
      <w:r w:rsidR="00452003">
        <w:rPr>
          <w:rFonts w:ascii="Times New Roman" w:hAnsi="Times New Roman" w:cs="Times New Roman"/>
          <w:sz w:val="24"/>
          <w:szCs w:val="24"/>
        </w:rPr>
        <w:t xml:space="preserve"> and this system</w:t>
      </w:r>
      <w:r w:rsidR="00452003" w:rsidRPr="00452003">
        <w:rPr>
          <w:rFonts w:ascii="Times New Roman" w:hAnsi="Times New Roman" w:cs="Times New Roman"/>
          <w:sz w:val="24"/>
          <w:szCs w:val="24"/>
        </w:rPr>
        <w:t xml:space="preserve"> shall provide a single framework for the arrangements and processes necessary to address all the goals of the operating organization, including goals relevant to decommissioning. These goals shall include safety, health, </w:t>
      </w:r>
      <w:proofErr w:type="gramStart"/>
      <w:r w:rsidR="00452003" w:rsidRPr="00452003">
        <w:rPr>
          <w:rFonts w:ascii="Times New Roman" w:hAnsi="Times New Roman" w:cs="Times New Roman"/>
          <w:sz w:val="24"/>
          <w:szCs w:val="24"/>
        </w:rPr>
        <w:t>security</w:t>
      </w:r>
      <w:proofErr w:type="gramEnd"/>
      <w:r w:rsidR="00452003" w:rsidRPr="00452003">
        <w:rPr>
          <w:rFonts w:ascii="Times New Roman" w:hAnsi="Times New Roman" w:cs="Times New Roman"/>
          <w:sz w:val="24"/>
          <w:szCs w:val="24"/>
        </w:rPr>
        <w:t>, environmental, quality and economic elements.</w:t>
      </w:r>
      <w:r w:rsidR="00452003" w:rsidRPr="00452003">
        <w:rPr>
          <w:rFonts w:ascii="Times New Roman" w:hAnsi="Times New Roman" w:cs="Times New Roman"/>
          <w:b/>
          <w:sz w:val="24"/>
          <w:szCs w:val="24"/>
        </w:rPr>
        <w:t xml:space="preserve"> </w:t>
      </w:r>
    </w:p>
    <w:p w:rsidR="00B90EB2" w:rsidRDefault="000E6436" w:rsidP="00337B74">
      <w:pPr>
        <w:jc w:val="both"/>
        <w:rPr>
          <w:rFonts w:ascii="Times New Roman" w:hAnsi="Times New Roman" w:cs="Times New Roman"/>
          <w:sz w:val="24"/>
          <w:szCs w:val="24"/>
        </w:rPr>
      </w:pPr>
      <w:r>
        <w:rPr>
          <w:rFonts w:ascii="Times New Roman" w:hAnsi="Times New Roman" w:cs="Times New Roman"/>
          <w:b/>
          <w:sz w:val="24"/>
          <w:szCs w:val="24"/>
        </w:rPr>
        <w:t>Decommissioning Strategy</w:t>
      </w:r>
      <w:r w:rsidR="00B90EB2">
        <w:rPr>
          <w:rFonts w:ascii="Times New Roman" w:hAnsi="Times New Roman" w:cs="Times New Roman"/>
          <w:b/>
          <w:sz w:val="24"/>
          <w:szCs w:val="24"/>
        </w:rPr>
        <w:t xml:space="preserve">: </w:t>
      </w:r>
      <w:r w:rsidR="006555D0">
        <w:rPr>
          <w:rFonts w:ascii="Times New Roman" w:hAnsi="Times New Roman" w:cs="Times New Roman"/>
          <w:sz w:val="24"/>
          <w:szCs w:val="24"/>
        </w:rPr>
        <w:t>Operator shall complete</w:t>
      </w:r>
      <w:r w:rsidR="000B3BBE">
        <w:rPr>
          <w:rFonts w:ascii="Times New Roman" w:hAnsi="Times New Roman" w:cs="Times New Roman"/>
          <w:sz w:val="24"/>
          <w:szCs w:val="24"/>
        </w:rPr>
        <w:t xml:space="preserve"> all</w:t>
      </w:r>
      <w:r w:rsidR="00325931">
        <w:rPr>
          <w:rFonts w:ascii="Times New Roman" w:hAnsi="Times New Roman" w:cs="Times New Roman"/>
          <w:sz w:val="24"/>
          <w:szCs w:val="24"/>
        </w:rPr>
        <w:t xml:space="preserve"> the</w:t>
      </w:r>
      <w:r w:rsidR="000B3BBE">
        <w:rPr>
          <w:rFonts w:ascii="Times New Roman" w:hAnsi="Times New Roman" w:cs="Times New Roman"/>
          <w:sz w:val="24"/>
          <w:szCs w:val="24"/>
        </w:rPr>
        <w:t xml:space="preserve"> decommissio</w:t>
      </w:r>
      <w:r w:rsidR="00B619DC">
        <w:rPr>
          <w:rFonts w:ascii="Times New Roman" w:hAnsi="Times New Roman" w:cs="Times New Roman"/>
          <w:sz w:val="24"/>
          <w:szCs w:val="24"/>
        </w:rPr>
        <w:t>ning activities in 60 years. O</w:t>
      </w:r>
      <w:r w:rsidR="006555D0">
        <w:rPr>
          <w:rFonts w:ascii="Times New Roman" w:hAnsi="Times New Roman" w:cs="Times New Roman"/>
          <w:sz w:val="24"/>
          <w:szCs w:val="24"/>
        </w:rPr>
        <w:t>perator shall release</w:t>
      </w:r>
      <w:r w:rsidR="00B619DC" w:rsidRPr="00B619DC">
        <w:rPr>
          <w:rFonts w:ascii="Times New Roman" w:hAnsi="Times New Roman" w:cs="Times New Roman"/>
          <w:sz w:val="24"/>
          <w:szCs w:val="24"/>
        </w:rPr>
        <w:t xml:space="preserve"> of site from regulatory control according to restricted use or unrestricted use depending on the site owner's demand</w:t>
      </w:r>
      <w:r w:rsidR="00B619DC">
        <w:rPr>
          <w:rFonts w:ascii="Times New Roman" w:hAnsi="Times New Roman" w:cs="Times New Roman"/>
          <w:sz w:val="24"/>
          <w:szCs w:val="24"/>
        </w:rPr>
        <w:t xml:space="preserve">. </w:t>
      </w:r>
    </w:p>
    <w:p w:rsidR="00B90EB2" w:rsidRDefault="00AA5134" w:rsidP="00B9155F">
      <w:pPr>
        <w:jc w:val="both"/>
        <w:rPr>
          <w:rFonts w:ascii="Times New Roman" w:hAnsi="Times New Roman" w:cs="Times New Roman"/>
          <w:sz w:val="24"/>
          <w:szCs w:val="24"/>
        </w:rPr>
      </w:pPr>
      <w:r>
        <w:rPr>
          <w:rFonts w:ascii="Times New Roman" w:hAnsi="Times New Roman" w:cs="Times New Roman"/>
          <w:b/>
          <w:sz w:val="24"/>
          <w:szCs w:val="24"/>
        </w:rPr>
        <w:t>Plann</w:t>
      </w:r>
      <w:r w:rsidR="0045499B">
        <w:rPr>
          <w:rFonts w:ascii="Times New Roman" w:hAnsi="Times New Roman" w:cs="Times New Roman"/>
          <w:b/>
          <w:sz w:val="24"/>
          <w:szCs w:val="24"/>
        </w:rPr>
        <w:t xml:space="preserve">ing for Decommissioning </w:t>
      </w:r>
      <w:proofErr w:type="gramStart"/>
      <w:r w:rsidR="0045499B">
        <w:rPr>
          <w:rFonts w:ascii="Times New Roman" w:hAnsi="Times New Roman" w:cs="Times New Roman"/>
          <w:b/>
          <w:sz w:val="24"/>
          <w:szCs w:val="24"/>
        </w:rPr>
        <w:t>During</w:t>
      </w:r>
      <w:proofErr w:type="gramEnd"/>
      <w:r w:rsidR="0045499B">
        <w:rPr>
          <w:rFonts w:ascii="Times New Roman" w:hAnsi="Times New Roman" w:cs="Times New Roman"/>
          <w:b/>
          <w:sz w:val="24"/>
          <w:szCs w:val="24"/>
        </w:rPr>
        <w:t xml:space="preserve"> t</w:t>
      </w:r>
      <w:r>
        <w:rPr>
          <w:rFonts w:ascii="Times New Roman" w:hAnsi="Times New Roman" w:cs="Times New Roman"/>
          <w:b/>
          <w:sz w:val="24"/>
          <w:szCs w:val="24"/>
        </w:rPr>
        <w:t>he Lifetime of The Facility</w:t>
      </w:r>
      <w:r w:rsidR="00B9155F">
        <w:rPr>
          <w:rFonts w:ascii="Times New Roman" w:hAnsi="Times New Roman" w:cs="Times New Roman"/>
          <w:b/>
          <w:sz w:val="24"/>
          <w:szCs w:val="24"/>
        </w:rPr>
        <w:t xml:space="preserve">: </w:t>
      </w:r>
      <w:r w:rsidR="00B9155F" w:rsidRPr="00B9155F">
        <w:rPr>
          <w:rFonts w:ascii="Times New Roman" w:hAnsi="Times New Roman" w:cs="Times New Roman"/>
          <w:sz w:val="24"/>
          <w:szCs w:val="24"/>
        </w:rPr>
        <w:t xml:space="preserve">The </w:t>
      </w:r>
      <w:r w:rsidR="00032CE8" w:rsidRPr="00032CE8">
        <w:rPr>
          <w:rFonts w:ascii="Times New Roman" w:hAnsi="Times New Roman" w:cs="Times New Roman"/>
          <w:sz w:val="24"/>
          <w:szCs w:val="24"/>
        </w:rPr>
        <w:t>authorized person</w:t>
      </w:r>
      <w:r w:rsidR="00B9155F" w:rsidRPr="00B9155F">
        <w:rPr>
          <w:rFonts w:ascii="Times New Roman" w:hAnsi="Times New Roman" w:cs="Times New Roman"/>
          <w:sz w:val="24"/>
          <w:szCs w:val="24"/>
        </w:rPr>
        <w:t xml:space="preserve"> shall prepare a decommissioning plan and shall maintain it</w:t>
      </w:r>
      <w:r w:rsidR="00B9155F">
        <w:rPr>
          <w:rFonts w:ascii="Times New Roman" w:hAnsi="Times New Roman" w:cs="Times New Roman"/>
          <w:sz w:val="24"/>
          <w:szCs w:val="24"/>
        </w:rPr>
        <w:t xml:space="preserve"> </w:t>
      </w:r>
      <w:r w:rsidR="00B9155F" w:rsidRPr="00B9155F">
        <w:rPr>
          <w:rFonts w:ascii="Times New Roman" w:hAnsi="Times New Roman" w:cs="Times New Roman"/>
          <w:sz w:val="24"/>
          <w:szCs w:val="24"/>
        </w:rPr>
        <w:t>throughout the lifetime of the facility</w:t>
      </w:r>
      <w:r w:rsidR="00325931">
        <w:rPr>
          <w:rFonts w:ascii="Times New Roman" w:hAnsi="Times New Roman" w:cs="Times New Roman"/>
          <w:sz w:val="24"/>
          <w:szCs w:val="24"/>
        </w:rPr>
        <w:t xml:space="preserve">, </w:t>
      </w:r>
      <w:r w:rsidR="00B9155F" w:rsidRPr="00B9155F">
        <w:rPr>
          <w:rFonts w:ascii="Times New Roman" w:hAnsi="Times New Roman" w:cs="Times New Roman"/>
          <w:sz w:val="24"/>
          <w:szCs w:val="24"/>
        </w:rPr>
        <w:t>in order to show that decommissioning can be</w:t>
      </w:r>
      <w:r w:rsidR="00B9155F">
        <w:rPr>
          <w:rFonts w:ascii="Times New Roman" w:hAnsi="Times New Roman" w:cs="Times New Roman"/>
          <w:sz w:val="24"/>
          <w:szCs w:val="24"/>
        </w:rPr>
        <w:t xml:space="preserve"> </w:t>
      </w:r>
      <w:r w:rsidR="00B9155F" w:rsidRPr="00B9155F">
        <w:rPr>
          <w:rFonts w:ascii="Times New Roman" w:hAnsi="Times New Roman" w:cs="Times New Roman"/>
          <w:sz w:val="24"/>
          <w:szCs w:val="24"/>
        </w:rPr>
        <w:t>accomplished safel</w:t>
      </w:r>
      <w:r w:rsidR="00325931">
        <w:rPr>
          <w:rFonts w:ascii="Times New Roman" w:hAnsi="Times New Roman" w:cs="Times New Roman"/>
          <w:sz w:val="24"/>
          <w:szCs w:val="24"/>
        </w:rPr>
        <w:t xml:space="preserve">y to meet the defined end state, </w:t>
      </w:r>
      <w:r w:rsidR="00325931" w:rsidRPr="00B9155F">
        <w:rPr>
          <w:rFonts w:ascii="Times New Roman" w:hAnsi="Times New Roman" w:cs="Times New Roman"/>
          <w:sz w:val="24"/>
          <w:szCs w:val="24"/>
        </w:rPr>
        <w:t>in accordance with the requirements</w:t>
      </w:r>
      <w:r w:rsidR="00325931">
        <w:rPr>
          <w:rFonts w:ascii="Times New Roman" w:hAnsi="Times New Roman" w:cs="Times New Roman"/>
          <w:sz w:val="24"/>
          <w:szCs w:val="24"/>
        </w:rPr>
        <w:t xml:space="preserve"> of the regulatory body.</w:t>
      </w:r>
    </w:p>
    <w:p w:rsidR="00B9155F" w:rsidRDefault="00E31375" w:rsidP="00B9155F">
      <w:pPr>
        <w:jc w:val="both"/>
        <w:rPr>
          <w:rFonts w:ascii="Times New Roman" w:hAnsi="Times New Roman" w:cs="Times New Roman"/>
          <w:sz w:val="24"/>
          <w:szCs w:val="24"/>
        </w:rPr>
      </w:pPr>
      <w:r>
        <w:rPr>
          <w:rFonts w:ascii="Times New Roman" w:hAnsi="Times New Roman" w:cs="Times New Roman"/>
          <w:sz w:val="24"/>
          <w:szCs w:val="24"/>
        </w:rPr>
        <w:t>Operator shall prepare</w:t>
      </w:r>
      <w:r w:rsidR="00C240BC">
        <w:rPr>
          <w:rFonts w:ascii="Times New Roman" w:hAnsi="Times New Roman" w:cs="Times New Roman"/>
          <w:sz w:val="24"/>
          <w:szCs w:val="24"/>
        </w:rPr>
        <w:t xml:space="preserve"> </w:t>
      </w:r>
      <w:r>
        <w:rPr>
          <w:rFonts w:ascii="Times New Roman" w:hAnsi="Times New Roman" w:cs="Times New Roman"/>
          <w:sz w:val="24"/>
          <w:szCs w:val="24"/>
        </w:rPr>
        <w:t>and submit</w:t>
      </w:r>
      <w:r w:rsidR="007E23BF">
        <w:rPr>
          <w:rFonts w:ascii="Times New Roman" w:hAnsi="Times New Roman" w:cs="Times New Roman"/>
          <w:sz w:val="24"/>
          <w:szCs w:val="24"/>
        </w:rPr>
        <w:t xml:space="preserve"> a </w:t>
      </w:r>
      <w:r w:rsidR="00C240BC">
        <w:rPr>
          <w:rFonts w:ascii="Times New Roman" w:hAnsi="Times New Roman" w:cs="Times New Roman"/>
          <w:sz w:val="24"/>
          <w:szCs w:val="24"/>
        </w:rPr>
        <w:t xml:space="preserve">pre-decommissioning plan </w:t>
      </w:r>
      <w:r w:rsidR="00F0600A">
        <w:rPr>
          <w:rFonts w:ascii="Times New Roman" w:hAnsi="Times New Roman" w:cs="Times New Roman"/>
          <w:sz w:val="24"/>
          <w:szCs w:val="24"/>
        </w:rPr>
        <w:t xml:space="preserve">to regulatory body </w:t>
      </w:r>
      <w:r w:rsidR="00C240BC">
        <w:rPr>
          <w:rFonts w:ascii="Times New Roman" w:hAnsi="Times New Roman" w:cs="Times New Roman"/>
          <w:sz w:val="24"/>
          <w:szCs w:val="24"/>
        </w:rPr>
        <w:t xml:space="preserve">with </w:t>
      </w:r>
      <w:r w:rsidR="007E23BF">
        <w:rPr>
          <w:rFonts w:ascii="Times New Roman" w:hAnsi="Times New Roman" w:cs="Times New Roman"/>
          <w:sz w:val="24"/>
          <w:szCs w:val="24"/>
        </w:rPr>
        <w:t xml:space="preserve">the </w:t>
      </w:r>
      <w:r w:rsidR="00C240BC">
        <w:rPr>
          <w:rFonts w:ascii="Times New Roman" w:hAnsi="Times New Roman" w:cs="Times New Roman"/>
          <w:sz w:val="24"/>
          <w:szCs w:val="24"/>
        </w:rPr>
        <w:t xml:space="preserve">construction licensee application. </w:t>
      </w:r>
    </w:p>
    <w:p w:rsidR="00B9155F" w:rsidRDefault="00E31375" w:rsidP="00B9155F">
      <w:pPr>
        <w:jc w:val="both"/>
        <w:rPr>
          <w:rFonts w:ascii="Times New Roman" w:hAnsi="Times New Roman" w:cs="Times New Roman"/>
          <w:sz w:val="24"/>
          <w:szCs w:val="24"/>
        </w:rPr>
      </w:pPr>
      <w:r>
        <w:rPr>
          <w:rFonts w:ascii="Times New Roman" w:hAnsi="Times New Roman" w:cs="Times New Roman"/>
          <w:sz w:val="24"/>
          <w:szCs w:val="24"/>
        </w:rPr>
        <w:t>Operator shall prepare and submit</w:t>
      </w:r>
      <w:r w:rsidR="001B5FDF">
        <w:rPr>
          <w:rFonts w:ascii="Times New Roman" w:hAnsi="Times New Roman" w:cs="Times New Roman"/>
          <w:sz w:val="24"/>
          <w:szCs w:val="24"/>
        </w:rPr>
        <w:t xml:space="preserve"> </w:t>
      </w:r>
      <w:r w:rsidR="00C10B5D">
        <w:rPr>
          <w:rFonts w:ascii="Times New Roman" w:hAnsi="Times New Roman" w:cs="Times New Roman"/>
          <w:sz w:val="24"/>
          <w:szCs w:val="24"/>
        </w:rPr>
        <w:t xml:space="preserve">a final decommissioning plan to </w:t>
      </w:r>
      <w:r w:rsidR="001B5FDF">
        <w:rPr>
          <w:rFonts w:ascii="Times New Roman" w:hAnsi="Times New Roman" w:cs="Times New Roman"/>
          <w:sz w:val="24"/>
          <w:szCs w:val="24"/>
        </w:rPr>
        <w:t xml:space="preserve">regulatory body before at least five years </w:t>
      </w:r>
      <w:r w:rsidR="00C10B5D">
        <w:rPr>
          <w:rFonts w:ascii="Times New Roman" w:hAnsi="Times New Roman" w:cs="Times New Roman"/>
          <w:sz w:val="24"/>
          <w:szCs w:val="24"/>
        </w:rPr>
        <w:t xml:space="preserve">before </w:t>
      </w:r>
      <w:r w:rsidR="001B5FDF">
        <w:rPr>
          <w:rFonts w:ascii="Times New Roman" w:hAnsi="Times New Roman" w:cs="Times New Roman"/>
          <w:sz w:val="24"/>
          <w:szCs w:val="24"/>
        </w:rPr>
        <w:t xml:space="preserve">the permanent shutdown decision. </w:t>
      </w:r>
    </w:p>
    <w:p w:rsidR="00B9155F" w:rsidRDefault="00AA5134" w:rsidP="00642760">
      <w:pPr>
        <w:jc w:val="both"/>
        <w:rPr>
          <w:rFonts w:ascii="Times New Roman" w:hAnsi="Times New Roman" w:cs="Times New Roman"/>
          <w:sz w:val="24"/>
          <w:szCs w:val="24"/>
        </w:rPr>
      </w:pPr>
      <w:r>
        <w:rPr>
          <w:rFonts w:ascii="Times New Roman" w:hAnsi="Times New Roman" w:cs="Times New Roman"/>
          <w:b/>
          <w:sz w:val="24"/>
          <w:szCs w:val="24"/>
        </w:rPr>
        <w:t>Conduct of Decommissioning</w:t>
      </w:r>
      <w:r w:rsidR="00B9155F" w:rsidRPr="00B9155F">
        <w:rPr>
          <w:rFonts w:ascii="Times New Roman" w:hAnsi="Times New Roman" w:cs="Times New Roman"/>
          <w:b/>
          <w:sz w:val="24"/>
          <w:szCs w:val="24"/>
        </w:rPr>
        <w:t>:</w:t>
      </w:r>
      <w:r w:rsidR="00B9155F">
        <w:rPr>
          <w:rFonts w:ascii="Times New Roman" w:hAnsi="Times New Roman" w:cs="Times New Roman"/>
          <w:sz w:val="24"/>
          <w:szCs w:val="24"/>
        </w:rPr>
        <w:t xml:space="preserve"> </w:t>
      </w:r>
      <w:r w:rsidR="00E31375">
        <w:rPr>
          <w:rFonts w:ascii="Times New Roman" w:hAnsi="Times New Roman" w:cs="Times New Roman"/>
          <w:sz w:val="24"/>
          <w:szCs w:val="24"/>
        </w:rPr>
        <w:t xml:space="preserve">Operator shall </w:t>
      </w:r>
      <w:r w:rsidR="00642760" w:rsidRPr="00642760">
        <w:rPr>
          <w:rFonts w:ascii="Times New Roman" w:hAnsi="Times New Roman" w:cs="Times New Roman"/>
          <w:sz w:val="24"/>
          <w:szCs w:val="24"/>
        </w:rPr>
        <w:t>implement the final</w:t>
      </w:r>
      <w:r w:rsidR="00642760">
        <w:rPr>
          <w:rFonts w:ascii="Times New Roman" w:hAnsi="Times New Roman" w:cs="Times New Roman"/>
          <w:sz w:val="24"/>
          <w:szCs w:val="24"/>
        </w:rPr>
        <w:t xml:space="preserve"> decommissioning plan</w:t>
      </w:r>
      <w:r w:rsidR="00642760" w:rsidRPr="00642760">
        <w:rPr>
          <w:rFonts w:ascii="Times New Roman" w:hAnsi="Times New Roman" w:cs="Times New Roman"/>
          <w:sz w:val="24"/>
          <w:szCs w:val="24"/>
        </w:rPr>
        <w:t xml:space="preserve"> in compliance with national regulations. </w:t>
      </w:r>
    </w:p>
    <w:p w:rsidR="00540EFF" w:rsidRDefault="00C7656D" w:rsidP="009141F5">
      <w:pPr>
        <w:jc w:val="both"/>
        <w:rPr>
          <w:rFonts w:ascii="Times New Roman" w:hAnsi="Times New Roman" w:cs="Times New Roman"/>
          <w:sz w:val="24"/>
          <w:szCs w:val="24"/>
        </w:rPr>
      </w:pPr>
      <w:r>
        <w:rPr>
          <w:rFonts w:ascii="Times New Roman" w:hAnsi="Times New Roman" w:cs="Times New Roman"/>
          <w:b/>
          <w:sz w:val="24"/>
          <w:szCs w:val="24"/>
        </w:rPr>
        <w:t>Radioactive Waste Management in Decommissioning</w:t>
      </w:r>
      <w:r w:rsidR="00540EFF" w:rsidRPr="00540EFF">
        <w:rPr>
          <w:rFonts w:ascii="Times New Roman" w:hAnsi="Times New Roman" w:cs="Times New Roman"/>
          <w:b/>
          <w:sz w:val="24"/>
          <w:szCs w:val="24"/>
        </w:rPr>
        <w:t>:</w:t>
      </w:r>
      <w:r w:rsidR="00540EFF">
        <w:rPr>
          <w:rFonts w:ascii="Times New Roman" w:hAnsi="Times New Roman" w:cs="Times New Roman"/>
          <w:sz w:val="24"/>
          <w:szCs w:val="24"/>
        </w:rPr>
        <w:t xml:space="preserve"> </w:t>
      </w:r>
      <w:r w:rsidR="009141F5" w:rsidRPr="009141F5">
        <w:rPr>
          <w:rFonts w:ascii="Times New Roman" w:hAnsi="Times New Roman" w:cs="Times New Roman"/>
          <w:sz w:val="24"/>
          <w:szCs w:val="24"/>
        </w:rPr>
        <w:t xml:space="preserve">Radioactive waste </w:t>
      </w:r>
      <w:r w:rsidR="00B55148">
        <w:rPr>
          <w:rFonts w:ascii="Times New Roman" w:hAnsi="Times New Roman" w:cs="Times New Roman"/>
          <w:sz w:val="24"/>
          <w:szCs w:val="24"/>
        </w:rPr>
        <w:t>remained</w:t>
      </w:r>
      <w:r w:rsidR="009141F5" w:rsidRPr="009141F5">
        <w:rPr>
          <w:rFonts w:ascii="Times New Roman" w:hAnsi="Times New Roman" w:cs="Times New Roman"/>
          <w:sz w:val="24"/>
          <w:szCs w:val="24"/>
        </w:rPr>
        <w:t xml:space="preserve"> from</w:t>
      </w:r>
      <w:r w:rsidR="00B55148">
        <w:rPr>
          <w:rFonts w:ascii="Times New Roman" w:hAnsi="Times New Roman" w:cs="Times New Roman"/>
          <w:sz w:val="24"/>
          <w:szCs w:val="24"/>
        </w:rPr>
        <w:t xml:space="preserve"> the</w:t>
      </w:r>
      <w:r w:rsidR="009141F5" w:rsidRPr="009141F5">
        <w:rPr>
          <w:rFonts w:ascii="Times New Roman" w:hAnsi="Times New Roman" w:cs="Times New Roman"/>
          <w:sz w:val="24"/>
          <w:szCs w:val="24"/>
        </w:rPr>
        <w:t xml:space="preserve"> </w:t>
      </w:r>
      <w:r w:rsidR="00B55148">
        <w:rPr>
          <w:rFonts w:ascii="Times New Roman" w:hAnsi="Times New Roman" w:cs="Times New Roman"/>
          <w:sz w:val="24"/>
          <w:szCs w:val="24"/>
        </w:rPr>
        <w:t>operational activities at the facility</w:t>
      </w:r>
      <w:r w:rsidR="009141F5" w:rsidRPr="009141F5">
        <w:rPr>
          <w:rFonts w:ascii="Times New Roman" w:hAnsi="Times New Roman" w:cs="Times New Roman"/>
          <w:sz w:val="24"/>
          <w:szCs w:val="24"/>
        </w:rPr>
        <w:t xml:space="preserve"> and radioactive waste that is generated during decommissioning shall be</w:t>
      </w:r>
      <w:r w:rsidR="009141F5">
        <w:rPr>
          <w:rFonts w:ascii="Times New Roman" w:hAnsi="Times New Roman" w:cs="Times New Roman"/>
          <w:sz w:val="24"/>
          <w:szCs w:val="24"/>
        </w:rPr>
        <w:t xml:space="preserve"> </w:t>
      </w:r>
      <w:r w:rsidR="005E061F">
        <w:rPr>
          <w:rFonts w:ascii="Times New Roman" w:hAnsi="Times New Roman" w:cs="Times New Roman"/>
          <w:sz w:val="24"/>
          <w:szCs w:val="24"/>
        </w:rPr>
        <w:t>disposed of properly by operator</w:t>
      </w:r>
      <w:r w:rsidR="009141F5" w:rsidRPr="009141F5">
        <w:rPr>
          <w:rFonts w:ascii="Times New Roman" w:hAnsi="Times New Roman" w:cs="Times New Roman"/>
          <w:sz w:val="24"/>
          <w:szCs w:val="24"/>
        </w:rPr>
        <w:t>. If disposal capacity is not available, radioactive waste</w:t>
      </w:r>
      <w:r w:rsidR="009141F5">
        <w:rPr>
          <w:rFonts w:ascii="Times New Roman" w:hAnsi="Times New Roman" w:cs="Times New Roman"/>
          <w:sz w:val="24"/>
          <w:szCs w:val="24"/>
        </w:rPr>
        <w:t xml:space="preserve"> </w:t>
      </w:r>
      <w:r w:rsidR="009141F5" w:rsidRPr="009141F5">
        <w:rPr>
          <w:rFonts w:ascii="Times New Roman" w:hAnsi="Times New Roman" w:cs="Times New Roman"/>
          <w:sz w:val="24"/>
          <w:szCs w:val="24"/>
        </w:rPr>
        <w:t xml:space="preserve">shall be stored </w:t>
      </w:r>
      <w:r w:rsidR="009141F5" w:rsidRPr="00C15FE5">
        <w:rPr>
          <w:rFonts w:ascii="Times New Roman" w:hAnsi="Times New Roman" w:cs="Times New Roman"/>
          <w:sz w:val="24"/>
          <w:szCs w:val="24"/>
        </w:rPr>
        <w:t xml:space="preserve">safely in accordance with the </w:t>
      </w:r>
      <w:r w:rsidR="00C15FE5" w:rsidRPr="00C15FE5">
        <w:rPr>
          <w:rFonts w:ascii="Times New Roman" w:hAnsi="Times New Roman" w:cs="Times New Roman"/>
          <w:sz w:val="24"/>
          <w:szCs w:val="24"/>
        </w:rPr>
        <w:t>national legislations</w:t>
      </w:r>
      <w:r w:rsidR="009141F5" w:rsidRPr="00C15FE5">
        <w:rPr>
          <w:rFonts w:ascii="Times New Roman" w:hAnsi="Times New Roman" w:cs="Times New Roman"/>
          <w:sz w:val="24"/>
          <w:szCs w:val="24"/>
        </w:rPr>
        <w:t xml:space="preserve">. </w:t>
      </w:r>
    </w:p>
    <w:p w:rsidR="00540EFF" w:rsidRDefault="009E1E32" w:rsidP="009E1E32">
      <w:pPr>
        <w:jc w:val="both"/>
        <w:rPr>
          <w:rFonts w:ascii="Times New Roman" w:hAnsi="Times New Roman" w:cs="Times New Roman"/>
          <w:sz w:val="24"/>
          <w:szCs w:val="24"/>
        </w:rPr>
      </w:pPr>
      <w:r>
        <w:rPr>
          <w:rFonts w:ascii="Times New Roman" w:hAnsi="Times New Roman" w:cs="Times New Roman"/>
          <w:b/>
          <w:sz w:val="24"/>
          <w:szCs w:val="24"/>
        </w:rPr>
        <w:t>Completion o</w:t>
      </w:r>
      <w:r w:rsidRPr="009E1E32">
        <w:rPr>
          <w:rFonts w:ascii="Times New Roman" w:hAnsi="Times New Roman" w:cs="Times New Roman"/>
          <w:b/>
          <w:sz w:val="24"/>
          <w:szCs w:val="24"/>
        </w:rPr>
        <w:t>f Decommissioning</w:t>
      </w:r>
      <w:r>
        <w:rPr>
          <w:rFonts w:ascii="Times New Roman" w:hAnsi="Times New Roman" w:cs="Times New Roman"/>
          <w:b/>
          <w:sz w:val="24"/>
          <w:szCs w:val="24"/>
        </w:rPr>
        <w:t xml:space="preserve"> Actions and Termination of t</w:t>
      </w:r>
      <w:r w:rsidRPr="009E1E32">
        <w:rPr>
          <w:rFonts w:ascii="Times New Roman" w:hAnsi="Times New Roman" w:cs="Times New Roman"/>
          <w:b/>
          <w:sz w:val="24"/>
          <w:szCs w:val="24"/>
        </w:rPr>
        <w:t>he</w:t>
      </w:r>
      <w:r>
        <w:rPr>
          <w:rFonts w:ascii="Times New Roman" w:hAnsi="Times New Roman" w:cs="Times New Roman"/>
          <w:b/>
          <w:sz w:val="24"/>
          <w:szCs w:val="24"/>
        </w:rPr>
        <w:t xml:space="preserve"> Authorization f</w:t>
      </w:r>
      <w:r w:rsidRPr="009E1E32">
        <w:rPr>
          <w:rFonts w:ascii="Times New Roman" w:hAnsi="Times New Roman" w:cs="Times New Roman"/>
          <w:b/>
          <w:sz w:val="24"/>
          <w:szCs w:val="24"/>
        </w:rPr>
        <w:t>or Decommissioning</w:t>
      </w:r>
      <w:r w:rsidR="008B6E9C">
        <w:rPr>
          <w:rFonts w:ascii="Times New Roman" w:hAnsi="Times New Roman" w:cs="Times New Roman"/>
          <w:b/>
          <w:sz w:val="24"/>
          <w:szCs w:val="24"/>
        </w:rPr>
        <w:t>:</w:t>
      </w:r>
      <w:r w:rsidRPr="009E1E32">
        <w:rPr>
          <w:rFonts w:ascii="Times New Roman" w:hAnsi="Times New Roman" w:cs="Times New Roman"/>
          <w:b/>
          <w:sz w:val="24"/>
          <w:szCs w:val="24"/>
        </w:rPr>
        <w:t xml:space="preserve"> </w:t>
      </w:r>
      <w:r w:rsidR="00114604">
        <w:rPr>
          <w:rFonts w:ascii="Times New Roman" w:hAnsi="Times New Roman" w:cs="Times New Roman"/>
          <w:sz w:val="24"/>
          <w:szCs w:val="24"/>
        </w:rPr>
        <w:t>Site release of the nuclear facilities is regulated by “Regulation on Clearance in Nuclear Facilities and R</w:t>
      </w:r>
      <w:r w:rsidR="00114604" w:rsidRPr="00114604">
        <w:rPr>
          <w:rFonts w:ascii="Times New Roman" w:hAnsi="Times New Roman" w:cs="Times New Roman"/>
          <w:sz w:val="24"/>
          <w:szCs w:val="24"/>
        </w:rPr>
        <w:t>elease of</w:t>
      </w:r>
      <w:r w:rsidR="00114604">
        <w:rPr>
          <w:rFonts w:ascii="Times New Roman" w:hAnsi="Times New Roman" w:cs="Times New Roman"/>
          <w:sz w:val="24"/>
          <w:szCs w:val="24"/>
        </w:rPr>
        <w:t xml:space="preserve"> Site </w:t>
      </w:r>
      <w:r w:rsidR="00A376ED">
        <w:rPr>
          <w:rFonts w:ascii="Times New Roman" w:hAnsi="Times New Roman" w:cs="Times New Roman"/>
          <w:sz w:val="24"/>
          <w:szCs w:val="24"/>
        </w:rPr>
        <w:t>from</w:t>
      </w:r>
      <w:r w:rsidR="00114604">
        <w:rPr>
          <w:rFonts w:ascii="Times New Roman" w:hAnsi="Times New Roman" w:cs="Times New Roman"/>
          <w:sz w:val="24"/>
          <w:szCs w:val="24"/>
        </w:rPr>
        <w:t xml:space="preserve"> Regulatory C</w:t>
      </w:r>
      <w:r w:rsidR="00114604" w:rsidRPr="00114604">
        <w:rPr>
          <w:rFonts w:ascii="Times New Roman" w:hAnsi="Times New Roman" w:cs="Times New Roman"/>
          <w:sz w:val="24"/>
          <w:szCs w:val="24"/>
        </w:rPr>
        <w:t>ontrol</w:t>
      </w:r>
      <w:r w:rsidR="00114604">
        <w:rPr>
          <w:rFonts w:ascii="Times New Roman" w:hAnsi="Times New Roman" w:cs="Times New Roman"/>
          <w:sz w:val="24"/>
          <w:szCs w:val="24"/>
        </w:rPr>
        <w:t xml:space="preserve">”. </w:t>
      </w:r>
      <w:r w:rsidR="00BA2EC1">
        <w:rPr>
          <w:rFonts w:ascii="Times New Roman" w:hAnsi="Times New Roman" w:cs="Times New Roman"/>
          <w:sz w:val="24"/>
          <w:szCs w:val="24"/>
        </w:rPr>
        <w:t>During</w:t>
      </w:r>
      <w:r w:rsidR="00114604" w:rsidRPr="00114604">
        <w:rPr>
          <w:rFonts w:ascii="Times New Roman" w:hAnsi="Times New Roman" w:cs="Times New Roman"/>
          <w:sz w:val="24"/>
          <w:szCs w:val="24"/>
        </w:rPr>
        <w:t xml:space="preserve"> the completion of decommissioning actions, </w:t>
      </w:r>
      <w:r w:rsidR="00114604">
        <w:rPr>
          <w:rFonts w:ascii="Times New Roman" w:hAnsi="Times New Roman" w:cs="Times New Roman"/>
          <w:sz w:val="24"/>
          <w:szCs w:val="24"/>
        </w:rPr>
        <w:t>operator</w:t>
      </w:r>
      <w:r w:rsidR="00114604" w:rsidRPr="00114604">
        <w:rPr>
          <w:rFonts w:ascii="Times New Roman" w:hAnsi="Times New Roman" w:cs="Times New Roman"/>
          <w:sz w:val="24"/>
          <w:szCs w:val="24"/>
        </w:rPr>
        <w:t xml:space="preserve"> shall</w:t>
      </w:r>
      <w:r w:rsidR="00E31375">
        <w:rPr>
          <w:rFonts w:ascii="Times New Roman" w:hAnsi="Times New Roman" w:cs="Times New Roman"/>
          <w:sz w:val="24"/>
          <w:szCs w:val="24"/>
        </w:rPr>
        <w:t xml:space="preserve"> demonstrate</w:t>
      </w:r>
      <w:r w:rsidR="00114604">
        <w:rPr>
          <w:rFonts w:ascii="Times New Roman" w:hAnsi="Times New Roman" w:cs="Times New Roman"/>
          <w:sz w:val="24"/>
          <w:szCs w:val="24"/>
        </w:rPr>
        <w:t xml:space="preserve"> </w:t>
      </w:r>
      <w:r w:rsidR="00114604" w:rsidRPr="00114604">
        <w:rPr>
          <w:rFonts w:ascii="Times New Roman" w:hAnsi="Times New Roman" w:cs="Times New Roman"/>
          <w:sz w:val="24"/>
          <w:szCs w:val="24"/>
        </w:rPr>
        <w:t>that the end state criteria as specified in the final decommissioning plan</w:t>
      </w:r>
      <w:r w:rsidR="00114604">
        <w:rPr>
          <w:rFonts w:ascii="Times New Roman" w:hAnsi="Times New Roman" w:cs="Times New Roman"/>
          <w:sz w:val="24"/>
          <w:szCs w:val="24"/>
        </w:rPr>
        <w:t xml:space="preserve"> </w:t>
      </w:r>
      <w:r w:rsidR="00114604" w:rsidRPr="00114604">
        <w:rPr>
          <w:rFonts w:ascii="Times New Roman" w:hAnsi="Times New Roman" w:cs="Times New Roman"/>
          <w:sz w:val="24"/>
          <w:szCs w:val="24"/>
        </w:rPr>
        <w:t xml:space="preserve">have been met. </w:t>
      </w:r>
      <w:r w:rsidR="00114604">
        <w:rPr>
          <w:rFonts w:ascii="Times New Roman" w:hAnsi="Times New Roman" w:cs="Times New Roman"/>
          <w:sz w:val="24"/>
          <w:szCs w:val="24"/>
        </w:rPr>
        <w:t>TAEK</w:t>
      </w:r>
      <w:r w:rsidR="00114604" w:rsidRPr="00114604">
        <w:rPr>
          <w:rFonts w:ascii="Times New Roman" w:hAnsi="Times New Roman" w:cs="Times New Roman"/>
          <w:sz w:val="24"/>
          <w:szCs w:val="24"/>
        </w:rPr>
        <w:t xml:space="preserve"> shall</w:t>
      </w:r>
      <w:r w:rsidR="00E31375">
        <w:rPr>
          <w:rFonts w:ascii="Times New Roman" w:hAnsi="Times New Roman" w:cs="Times New Roman"/>
          <w:sz w:val="24"/>
          <w:szCs w:val="24"/>
        </w:rPr>
        <w:t xml:space="preserve"> </w:t>
      </w:r>
      <w:r w:rsidR="00114604" w:rsidRPr="00114604">
        <w:rPr>
          <w:rFonts w:ascii="Times New Roman" w:hAnsi="Times New Roman" w:cs="Times New Roman"/>
          <w:sz w:val="24"/>
          <w:szCs w:val="24"/>
        </w:rPr>
        <w:t>veri</w:t>
      </w:r>
      <w:r w:rsidR="00BA2EC1">
        <w:rPr>
          <w:rFonts w:ascii="Times New Roman" w:hAnsi="Times New Roman" w:cs="Times New Roman"/>
          <w:sz w:val="24"/>
          <w:szCs w:val="24"/>
        </w:rPr>
        <w:t xml:space="preserve">fy the </w:t>
      </w:r>
      <w:r w:rsidR="00114604" w:rsidRPr="00114604">
        <w:rPr>
          <w:rFonts w:ascii="Times New Roman" w:hAnsi="Times New Roman" w:cs="Times New Roman"/>
          <w:sz w:val="24"/>
          <w:szCs w:val="24"/>
        </w:rPr>
        <w:t>compliance with the end state criteria and shall decide on</w:t>
      </w:r>
      <w:r w:rsidR="00114604">
        <w:rPr>
          <w:rFonts w:ascii="Times New Roman" w:hAnsi="Times New Roman" w:cs="Times New Roman"/>
          <w:sz w:val="24"/>
          <w:szCs w:val="24"/>
        </w:rPr>
        <w:t xml:space="preserve"> </w:t>
      </w:r>
      <w:r w:rsidR="00114604" w:rsidRPr="00114604">
        <w:rPr>
          <w:rFonts w:ascii="Times New Roman" w:hAnsi="Times New Roman" w:cs="Times New Roman"/>
          <w:sz w:val="24"/>
          <w:szCs w:val="24"/>
        </w:rPr>
        <w:t xml:space="preserve">termination of the authorization for decommissioning. </w:t>
      </w:r>
    </w:p>
    <w:p w:rsidR="00D9068B" w:rsidRPr="003C175F" w:rsidRDefault="003C175F" w:rsidP="00B9155F">
      <w:pPr>
        <w:jc w:val="both"/>
        <w:rPr>
          <w:rFonts w:ascii="Times New Roman" w:hAnsi="Times New Roman" w:cs="Times New Roman"/>
          <w:b/>
          <w:sz w:val="24"/>
          <w:szCs w:val="24"/>
        </w:rPr>
      </w:pPr>
      <w:r>
        <w:rPr>
          <w:rFonts w:ascii="Times New Roman" w:hAnsi="Times New Roman" w:cs="Times New Roman"/>
          <w:b/>
          <w:sz w:val="24"/>
          <w:szCs w:val="24"/>
        </w:rPr>
        <w:t xml:space="preserve">III. </w:t>
      </w:r>
      <w:r w:rsidR="00D9068B" w:rsidRPr="003C175F">
        <w:rPr>
          <w:rFonts w:ascii="Times New Roman" w:hAnsi="Times New Roman" w:cs="Times New Roman"/>
          <w:b/>
          <w:sz w:val="24"/>
          <w:szCs w:val="24"/>
        </w:rPr>
        <w:t>OTHER LEGISLATIONS AND REGULATIONS ON DECOMMISSIONING</w:t>
      </w:r>
    </w:p>
    <w:p w:rsidR="00D9068B" w:rsidRPr="003C175F" w:rsidRDefault="00ED58C6" w:rsidP="00B9155F">
      <w:pPr>
        <w:jc w:val="both"/>
        <w:rPr>
          <w:rFonts w:ascii="Times New Roman" w:hAnsi="Times New Roman" w:cs="Times New Roman"/>
          <w:b/>
          <w:sz w:val="24"/>
          <w:szCs w:val="24"/>
        </w:rPr>
      </w:pPr>
      <w:r w:rsidRPr="003C175F">
        <w:rPr>
          <w:rFonts w:ascii="Times New Roman" w:hAnsi="Times New Roman" w:cs="Times New Roman"/>
          <w:b/>
          <w:sz w:val="24"/>
          <w:szCs w:val="24"/>
        </w:rPr>
        <w:t xml:space="preserve">Provisions </w:t>
      </w:r>
      <w:r>
        <w:rPr>
          <w:rFonts w:ascii="Times New Roman" w:hAnsi="Times New Roman" w:cs="Times New Roman"/>
          <w:b/>
          <w:sz w:val="24"/>
          <w:szCs w:val="24"/>
        </w:rPr>
        <w:t xml:space="preserve">of </w:t>
      </w:r>
      <w:r w:rsidR="004B2660" w:rsidRPr="003C175F">
        <w:rPr>
          <w:rFonts w:ascii="Times New Roman" w:hAnsi="Times New Roman" w:cs="Times New Roman"/>
          <w:b/>
          <w:sz w:val="24"/>
          <w:szCs w:val="24"/>
        </w:rPr>
        <w:t>I</w:t>
      </w:r>
      <w:r>
        <w:rPr>
          <w:rFonts w:ascii="Times New Roman" w:hAnsi="Times New Roman" w:cs="Times New Roman"/>
          <w:b/>
          <w:sz w:val="24"/>
          <w:szCs w:val="24"/>
        </w:rPr>
        <w:t xml:space="preserve">ntergovernmental </w:t>
      </w:r>
      <w:r w:rsidR="004B2660" w:rsidRPr="003C175F">
        <w:rPr>
          <w:rFonts w:ascii="Times New Roman" w:hAnsi="Times New Roman" w:cs="Times New Roman"/>
          <w:b/>
          <w:sz w:val="24"/>
          <w:szCs w:val="24"/>
        </w:rPr>
        <w:t>A</w:t>
      </w:r>
      <w:r>
        <w:rPr>
          <w:rFonts w:ascii="Times New Roman" w:hAnsi="Times New Roman" w:cs="Times New Roman"/>
          <w:b/>
          <w:sz w:val="24"/>
          <w:szCs w:val="24"/>
        </w:rPr>
        <w:t>greements</w:t>
      </w:r>
      <w:r w:rsidR="00203220">
        <w:rPr>
          <w:rFonts w:ascii="Times New Roman" w:hAnsi="Times New Roman" w:cs="Times New Roman"/>
          <w:b/>
          <w:sz w:val="24"/>
          <w:szCs w:val="24"/>
        </w:rPr>
        <w:t xml:space="preserve"> (IGA)</w:t>
      </w:r>
      <w:r w:rsidR="00D9068B" w:rsidRPr="003C175F">
        <w:rPr>
          <w:rFonts w:ascii="Times New Roman" w:hAnsi="Times New Roman" w:cs="Times New Roman"/>
          <w:b/>
          <w:sz w:val="24"/>
          <w:szCs w:val="24"/>
        </w:rPr>
        <w:t>:</w:t>
      </w:r>
    </w:p>
    <w:p w:rsidR="00A376ED" w:rsidRPr="00A376ED" w:rsidRDefault="00A92627" w:rsidP="00A376ED">
      <w:pPr>
        <w:jc w:val="both"/>
        <w:rPr>
          <w:rFonts w:ascii="Times New Roman" w:hAnsi="Times New Roman" w:cs="Times New Roman"/>
          <w:sz w:val="24"/>
          <w:szCs w:val="24"/>
        </w:rPr>
      </w:pPr>
      <w:r>
        <w:rPr>
          <w:rFonts w:ascii="Times New Roman" w:hAnsi="Times New Roman" w:cs="Times New Roman"/>
          <w:sz w:val="24"/>
          <w:szCs w:val="24"/>
        </w:rPr>
        <w:t xml:space="preserve">In accordance with </w:t>
      </w:r>
      <w:r w:rsidR="00A376ED" w:rsidRPr="00A376ED">
        <w:rPr>
          <w:rFonts w:ascii="Times New Roman" w:hAnsi="Times New Roman" w:cs="Times New Roman"/>
          <w:sz w:val="24"/>
          <w:szCs w:val="24"/>
        </w:rPr>
        <w:t>IGA b</w:t>
      </w:r>
      <w:r w:rsidR="00A376ED">
        <w:rPr>
          <w:rFonts w:ascii="Times New Roman" w:hAnsi="Times New Roman" w:cs="Times New Roman"/>
          <w:sz w:val="24"/>
          <w:szCs w:val="24"/>
        </w:rPr>
        <w:t>et</w:t>
      </w:r>
      <w:r w:rsidR="00A376ED" w:rsidRPr="00A376ED">
        <w:rPr>
          <w:rFonts w:ascii="Times New Roman" w:hAnsi="Times New Roman" w:cs="Times New Roman"/>
          <w:sz w:val="24"/>
          <w:szCs w:val="24"/>
        </w:rPr>
        <w:t>w</w:t>
      </w:r>
      <w:r w:rsidR="00A376ED">
        <w:rPr>
          <w:rFonts w:ascii="Times New Roman" w:hAnsi="Times New Roman" w:cs="Times New Roman"/>
          <w:sz w:val="24"/>
          <w:szCs w:val="24"/>
        </w:rPr>
        <w:t>een</w:t>
      </w:r>
      <w:r w:rsidR="00A376ED" w:rsidRPr="00A376ED">
        <w:rPr>
          <w:rFonts w:ascii="Times New Roman" w:hAnsi="Times New Roman" w:cs="Times New Roman"/>
          <w:sz w:val="24"/>
          <w:szCs w:val="24"/>
        </w:rPr>
        <w:t xml:space="preserve"> RF and TR on Construction and Operation of NPP in Akkuyu site</w:t>
      </w:r>
      <w:r w:rsidR="00A376ED">
        <w:rPr>
          <w:rFonts w:ascii="Times New Roman" w:hAnsi="Times New Roman" w:cs="Times New Roman"/>
          <w:sz w:val="24"/>
          <w:szCs w:val="24"/>
        </w:rPr>
        <w:t xml:space="preserve"> </w:t>
      </w:r>
      <w:r>
        <w:rPr>
          <w:rFonts w:ascii="Times New Roman" w:hAnsi="Times New Roman" w:cs="Times New Roman"/>
          <w:sz w:val="24"/>
          <w:szCs w:val="24"/>
        </w:rPr>
        <w:t xml:space="preserve">signed in 12.05.2010 and </w:t>
      </w:r>
      <w:r w:rsidR="00A376ED" w:rsidRPr="00A376ED">
        <w:rPr>
          <w:rFonts w:ascii="Times New Roman" w:hAnsi="Times New Roman" w:cs="Times New Roman"/>
          <w:sz w:val="24"/>
          <w:szCs w:val="24"/>
        </w:rPr>
        <w:t>IGA b</w:t>
      </w:r>
      <w:r w:rsidR="00A376ED">
        <w:rPr>
          <w:rFonts w:ascii="Times New Roman" w:hAnsi="Times New Roman" w:cs="Times New Roman"/>
          <w:sz w:val="24"/>
          <w:szCs w:val="24"/>
        </w:rPr>
        <w:t>etween</w:t>
      </w:r>
      <w:r w:rsidR="00A376ED" w:rsidRPr="00A376ED">
        <w:rPr>
          <w:rFonts w:ascii="Times New Roman" w:hAnsi="Times New Roman" w:cs="Times New Roman"/>
          <w:sz w:val="24"/>
          <w:szCs w:val="24"/>
        </w:rPr>
        <w:t xml:space="preserve"> Japan and TR on Development of NPP’s and Nuclear Industry</w:t>
      </w:r>
      <w:r>
        <w:rPr>
          <w:rFonts w:ascii="Times New Roman" w:hAnsi="Times New Roman" w:cs="Times New Roman"/>
          <w:sz w:val="24"/>
          <w:szCs w:val="24"/>
        </w:rPr>
        <w:t xml:space="preserve"> signed in 03.05.2013, project companies are responsible for the </w:t>
      </w:r>
      <w:r>
        <w:rPr>
          <w:rFonts w:ascii="Times New Roman" w:hAnsi="Times New Roman" w:cs="Times New Roman"/>
          <w:sz w:val="24"/>
          <w:szCs w:val="24"/>
        </w:rPr>
        <w:lastRenderedPageBreak/>
        <w:t>decommissioning of the NPP</w:t>
      </w:r>
      <w:r w:rsidR="00166F06">
        <w:rPr>
          <w:rFonts w:ascii="Times New Roman" w:hAnsi="Times New Roman" w:cs="Times New Roman"/>
          <w:sz w:val="24"/>
          <w:szCs w:val="24"/>
        </w:rPr>
        <w:t>s, and p</w:t>
      </w:r>
      <w:r w:rsidR="00F87B91">
        <w:rPr>
          <w:rFonts w:ascii="Times New Roman" w:hAnsi="Times New Roman" w:cs="Times New Roman"/>
          <w:sz w:val="24"/>
          <w:szCs w:val="24"/>
        </w:rPr>
        <w:t>roject companies have to contribute to decommissioning fund 0.15 US Dollar cent/kWh.</w:t>
      </w:r>
    </w:p>
    <w:p w:rsidR="004B2660" w:rsidRPr="00075716" w:rsidRDefault="00D9068B" w:rsidP="00B9155F">
      <w:pPr>
        <w:jc w:val="both"/>
        <w:rPr>
          <w:rFonts w:ascii="Times New Roman" w:hAnsi="Times New Roman" w:cs="Times New Roman"/>
          <w:b/>
          <w:sz w:val="24"/>
          <w:szCs w:val="24"/>
        </w:rPr>
      </w:pPr>
      <w:r w:rsidRPr="00075716">
        <w:rPr>
          <w:rFonts w:ascii="Times New Roman" w:hAnsi="Times New Roman" w:cs="Times New Roman"/>
          <w:b/>
          <w:sz w:val="24"/>
          <w:szCs w:val="24"/>
        </w:rPr>
        <w:t xml:space="preserve">Regulation on </w:t>
      </w:r>
      <w:r w:rsidR="004764F9" w:rsidRPr="00075716">
        <w:rPr>
          <w:rFonts w:ascii="Times New Roman" w:hAnsi="Times New Roman" w:cs="Times New Roman"/>
          <w:b/>
          <w:sz w:val="24"/>
          <w:szCs w:val="24"/>
        </w:rPr>
        <w:t xml:space="preserve">Clearance in Nuclear Facilities and </w:t>
      </w:r>
      <w:r w:rsidRPr="00075716">
        <w:rPr>
          <w:rFonts w:ascii="Times New Roman" w:hAnsi="Times New Roman" w:cs="Times New Roman"/>
          <w:b/>
          <w:sz w:val="24"/>
          <w:szCs w:val="24"/>
        </w:rPr>
        <w:t xml:space="preserve">Release of Sites from Regulatory Control </w:t>
      </w:r>
    </w:p>
    <w:p w:rsidR="00072D83" w:rsidRDefault="00424B4F" w:rsidP="00072D83">
      <w:pPr>
        <w:autoSpaceDE w:val="0"/>
        <w:autoSpaceDN w:val="0"/>
        <w:adjustRightInd w:val="0"/>
        <w:spacing w:after="0" w:line="240" w:lineRule="auto"/>
        <w:jc w:val="both"/>
        <w:rPr>
          <w:rFonts w:ascii="TimesTen-Roman" w:hAnsi="TimesTen-Roman" w:cs="TimesTen-Roman"/>
          <w:sz w:val="24"/>
          <w:szCs w:val="24"/>
        </w:rPr>
      </w:pPr>
      <w:r w:rsidRPr="00075716">
        <w:rPr>
          <w:rFonts w:ascii="TimesTen-Roman" w:hAnsi="TimesTen-Roman" w:cs="TimesTen-Roman"/>
          <w:sz w:val="24"/>
          <w:szCs w:val="24"/>
        </w:rPr>
        <w:t xml:space="preserve">This regulation </w:t>
      </w:r>
      <w:r w:rsidR="00075716" w:rsidRPr="00075716">
        <w:rPr>
          <w:rFonts w:ascii="TimesTen-Roman" w:hAnsi="TimesTen-Roman" w:cs="TimesTen-Roman"/>
          <w:sz w:val="24"/>
          <w:szCs w:val="24"/>
        </w:rPr>
        <w:t xml:space="preserve">which </w:t>
      </w:r>
      <w:r w:rsidRPr="00075716">
        <w:rPr>
          <w:rFonts w:ascii="TimesTen-Roman" w:hAnsi="TimesTen-Roman" w:cs="TimesTen-Roman"/>
          <w:sz w:val="24"/>
          <w:szCs w:val="24"/>
        </w:rPr>
        <w:t>has been in force since 2013</w:t>
      </w:r>
      <w:r w:rsidR="008D3630">
        <w:rPr>
          <w:rFonts w:ascii="TimesTen-Roman" w:hAnsi="TimesTen-Roman" w:cs="TimesTen-Roman"/>
          <w:sz w:val="24"/>
          <w:szCs w:val="24"/>
        </w:rPr>
        <w:t xml:space="preserve"> covers clearance limits </w:t>
      </w:r>
      <w:r w:rsidR="00075716" w:rsidRPr="00075716">
        <w:rPr>
          <w:rFonts w:ascii="TimesTen-Roman" w:hAnsi="TimesTen-Roman" w:cs="TimesTen-Roman"/>
          <w:sz w:val="24"/>
          <w:szCs w:val="24"/>
        </w:rPr>
        <w:t>for differe</w:t>
      </w:r>
      <w:r w:rsidR="00D22A5A">
        <w:rPr>
          <w:rFonts w:ascii="TimesTen-Roman" w:hAnsi="TimesTen-Roman" w:cs="TimesTen-Roman"/>
          <w:sz w:val="24"/>
          <w:szCs w:val="24"/>
        </w:rPr>
        <w:t xml:space="preserve">nt scenarios </w:t>
      </w:r>
      <w:r w:rsidR="008D3630">
        <w:rPr>
          <w:rFonts w:ascii="TimesTen-Roman" w:hAnsi="TimesTen-Roman" w:cs="TimesTen-Roman"/>
          <w:sz w:val="24"/>
          <w:szCs w:val="24"/>
        </w:rPr>
        <w:t xml:space="preserve">in terms of activity concentration and/or surface contamination given for different radioisotopes. </w:t>
      </w:r>
      <w:r w:rsidR="00072D83">
        <w:rPr>
          <w:rFonts w:ascii="TimesTen-Roman" w:hAnsi="TimesTen-Roman" w:cs="TimesTen-Roman"/>
          <w:sz w:val="24"/>
          <w:szCs w:val="24"/>
        </w:rPr>
        <w:t>In this regulation;</w:t>
      </w:r>
    </w:p>
    <w:p w:rsidR="00072D83" w:rsidRDefault="008F1ACA" w:rsidP="00072D83">
      <w:pPr>
        <w:pStyle w:val="ListeParagraf"/>
        <w:numPr>
          <w:ilvl w:val="0"/>
          <w:numId w:val="7"/>
        </w:numPr>
        <w:autoSpaceDE w:val="0"/>
        <w:autoSpaceDN w:val="0"/>
        <w:adjustRightInd w:val="0"/>
        <w:spacing w:after="0" w:line="240" w:lineRule="auto"/>
        <w:jc w:val="both"/>
        <w:rPr>
          <w:rFonts w:ascii="TimesTen-Roman" w:hAnsi="TimesTen-Roman" w:cs="TimesTen-Roman"/>
          <w:sz w:val="24"/>
          <w:szCs w:val="24"/>
        </w:rPr>
      </w:pPr>
      <w:r w:rsidRPr="00072D83">
        <w:rPr>
          <w:rFonts w:ascii="TimesTen-Roman" w:hAnsi="TimesTen-Roman" w:cs="TimesTen-Roman"/>
          <w:sz w:val="24"/>
          <w:szCs w:val="24"/>
        </w:rPr>
        <w:t>Clearance</w:t>
      </w:r>
      <w:r w:rsidR="008D3630" w:rsidRPr="00072D83">
        <w:rPr>
          <w:rFonts w:ascii="TimesTen-Roman" w:hAnsi="TimesTen-Roman" w:cs="TimesTen-Roman"/>
          <w:sz w:val="24"/>
          <w:szCs w:val="24"/>
        </w:rPr>
        <w:t xml:space="preserve"> limits for radioactive substance and waste</w:t>
      </w:r>
      <w:r w:rsidR="00AC4084" w:rsidRPr="00072D83">
        <w:rPr>
          <w:rFonts w:ascii="TimesTen-Roman" w:hAnsi="TimesTen-Roman" w:cs="TimesTen-Roman"/>
          <w:sz w:val="24"/>
          <w:szCs w:val="24"/>
        </w:rPr>
        <w:t xml:space="preserve"> less </w:t>
      </w:r>
      <w:r w:rsidR="008D3630" w:rsidRPr="00072D83">
        <w:rPr>
          <w:rFonts w:ascii="TimesTen-Roman" w:hAnsi="TimesTen-Roman" w:cs="TimesTen-Roman"/>
          <w:sz w:val="24"/>
          <w:szCs w:val="24"/>
        </w:rPr>
        <w:t xml:space="preserve">than 1 </w:t>
      </w:r>
      <w:r w:rsidR="00AC4084" w:rsidRPr="00072D83">
        <w:rPr>
          <w:rFonts w:ascii="TimesTen-Roman" w:hAnsi="TimesTen-Roman" w:cs="TimesTen-Roman"/>
          <w:sz w:val="24"/>
          <w:szCs w:val="24"/>
        </w:rPr>
        <w:t>tone</w:t>
      </w:r>
      <w:r w:rsidR="00072D83">
        <w:rPr>
          <w:rFonts w:ascii="TimesTen-Roman" w:hAnsi="TimesTen-Roman" w:cs="TimesTen-Roman"/>
          <w:sz w:val="24"/>
          <w:szCs w:val="24"/>
        </w:rPr>
        <w:t>,</w:t>
      </w:r>
      <w:r w:rsidR="008D3630" w:rsidRPr="00072D83">
        <w:rPr>
          <w:rFonts w:ascii="TimesTen-Roman" w:hAnsi="TimesTen-Roman" w:cs="TimesTen-Roman"/>
          <w:sz w:val="24"/>
          <w:szCs w:val="24"/>
        </w:rPr>
        <w:t xml:space="preserve"> </w:t>
      </w:r>
    </w:p>
    <w:p w:rsidR="00072D83" w:rsidRPr="00072D83" w:rsidRDefault="008F1ACA" w:rsidP="00072D83">
      <w:pPr>
        <w:pStyle w:val="ListeParagraf"/>
        <w:numPr>
          <w:ilvl w:val="0"/>
          <w:numId w:val="7"/>
        </w:numPr>
        <w:autoSpaceDE w:val="0"/>
        <w:autoSpaceDN w:val="0"/>
        <w:adjustRightInd w:val="0"/>
        <w:spacing w:after="0" w:line="240" w:lineRule="auto"/>
        <w:jc w:val="both"/>
        <w:rPr>
          <w:rFonts w:ascii="TimesTen-Roman" w:hAnsi="TimesTen-Roman" w:cs="TimesTen-Roman"/>
          <w:sz w:val="24"/>
          <w:szCs w:val="24"/>
        </w:rPr>
      </w:pPr>
      <w:r w:rsidRPr="00072D83">
        <w:rPr>
          <w:rFonts w:ascii="TimesTen-Roman" w:hAnsi="TimesTen-Roman" w:cs="TimesTen-Roman"/>
          <w:sz w:val="24"/>
          <w:szCs w:val="24"/>
        </w:rPr>
        <w:t>Clearance</w:t>
      </w:r>
      <w:r w:rsidR="00072D83" w:rsidRPr="00072D83">
        <w:rPr>
          <w:rFonts w:ascii="TimesTen-Roman" w:hAnsi="TimesTen-Roman" w:cs="TimesTen-Roman"/>
          <w:sz w:val="24"/>
          <w:szCs w:val="24"/>
        </w:rPr>
        <w:t xml:space="preserve"> limits for radioactive substance and waste </w:t>
      </w:r>
      <w:r w:rsidR="008D3630" w:rsidRPr="00072D83">
        <w:rPr>
          <w:rFonts w:ascii="TimesTen-Roman" w:hAnsi="TimesTen-Roman" w:cs="TimesTen-Roman"/>
          <w:sz w:val="24"/>
          <w:szCs w:val="24"/>
        </w:rPr>
        <w:t xml:space="preserve">over 1 </w:t>
      </w:r>
      <w:r w:rsidR="00AC4084" w:rsidRPr="00072D83">
        <w:rPr>
          <w:rFonts w:ascii="TimesTen-Roman" w:hAnsi="TimesTen-Roman" w:cs="TimesTen-Roman"/>
          <w:sz w:val="24"/>
          <w:szCs w:val="24"/>
        </w:rPr>
        <w:t>tone</w:t>
      </w:r>
      <w:r w:rsidR="008D3630" w:rsidRPr="00072D83">
        <w:rPr>
          <w:rFonts w:ascii="TimesTen-Roman" w:hAnsi="TimesTen-Roman" w:cs="TimesTen-Roman"/>
          <w:sz w:val="24"/>
          <w:szCs w:val="24"/>
        </w:rPr>
        <w:t xml:space="preserve">, </w:t>
      </w:r>
    </w:p>
    <w:p w:rsidR="00072D83" w:rsidRPr="00072D83" w:rsidRDefault="009F3BBB" w:rsidP="00072D83">
      <w:pPr>
        <w:pStyle w:val="ListeParagraf"/>
        <w:numPr>
          <w:ilvl w:val="0"/>
          <w:numId w:val="7"/>
        </w:numPr>
        <w:autoSpaceDE w:val="0"/>
        <w:autoSpaceDN w:val="0"/>
        <w:adjustRightInd w:val="0"/>
        <w:spacing w:after="0" w:line="240" w:lineRule="auto"/>
        <w:jc w:val="both"/>
        <w:rPr>
          <w:rFonts w:ascii="TimesTen-Roman" w:hAnsi="TimesTen-Roman" w:cs="TimesTen-Roman"/>
          <w:sz w:val="24"/>
          <w:szCs w:val="24"/>
        </w:rPr>
      </w:pPr>
      <w:r>
        <w:rPr>
          <w:rFonts w:ascii="TimesTen-Roman" w:hAnsi="TimesTen-Roman" w:cs="TimesTen-Roman"/>
          <w:sz w:val="24"/>
          <w:szCs w:val="24"/>
        </w:rPr>
        <w:t>C</w:t>
      </w:r>
      <w:r w:rsidR="008D3630" w:rsidRPr="00072D83">
        <w:rPr>
          <w:rFonts w:ascii="TimesTen-Roman" w:hAnsi="TimesTen-Roman" w:cs="TimesTen-Roman"/>
          <w:sz w:val="24"/>
          <w:szCs w:val="24"/>
        </w:rPr>
        <w:t xml:space="preserve">learance limits due to direct use of metals, </w:t>
      </w:r>
    </w:p>
    <w:p w:rsidR="00072D83" w:rsidRPr="00072D83" w:rsidRDefault="009F3BBB" w:rsidP="00072D83">
      <w:pPr>
        <w:pStyle w:val="ListeParagraf"/>
        <w:numPr>
          <w:ilvl w:val="0"/>
          <w:numId w:val="7"/>
        </w:numPr>
        <w:autoSpaceDE w:val="0"/>
        <w:autoSpaceDN w:val="0"/>
        <w:adjustRightInd w:val="0"/>
        <w:spacing w:after="0" w:line="240" w:lineRule="auto"/>
        <w:jc w:val="both"/>
        <w:rPr>
          <w:rFonts w:ascii="TimesTen-Roman" w:hAnsi="TimesTen-Roman" w:cs="TimesTen-Roman"/>
          <w:sz w:val="24"/>
          <w:szCs w:val="24"/>
        </w:rPr>
      </w:pPr>
      <w:r>
        <w:rPr>
          <w:rFonts w:ascii="TimesTen-Roman" w:hAnsi="TimesTen-Roman" w:cs="TimesTen-Roman"/>
          <w:sz w:val="24"/>
          <w:szCs w:val="24"/>
        </w:rPr>
        <w:t>C</w:t>
      </w:r>
      <w:r w:rsidR="008D3630" w:rsidRPr="00072D83">
        <w:rPr>
          <w:rFonts w:ascii="TimesTen-Roman" w:hAnsi="TimesTen-Roman" w:cs="TimesTen-Roman"/>
          <w:sz w:val="24"/>
          <w:szCs w:val="24"/>
        </w:rPr>
        <w:t xml:space="preserve">learance limits due to recycling of metals, </w:t>
      </w:r>
    </w:p>
    <w:p w:rsidR="00072D83" w:rsidRPr="00072D83" w:rsidRDefault="009F3BBB" w:rsidP="00072D83">
      <w:pPr>
        <w:pStyle w:val="ListeParagraf"/>
        <w:numPr>
          <w:ilvl w:val="0"/>
          <w:numId w:val="7"/>
        </w:numPr>
        <w:autoSpaceDE w:val="0"/>
        <w:autoSpaceDN w:val="0"/>
        <w:adjustRightInd w:val="0"/>
        <w:spacing w:after="0" w:line="240" w:lineRule="auto"/>
        <w:jc w:val="both"/>
        <w:rPr>
          <w:rFonts w:ascii="TimesTen-Roman" w:hAnsi="TimesTen-Roman" w:cs="TimesTen-Roman"/>
          <w:sz w:val="24"/>
          <w:szCs w:val="24"/>
        </w:rPr>
      </w:pPr>
      <w:r>
        <w:rPr>
          <w:rFonts w:ascii="TimesTen-Roman" w:hAnsi="TimesTen-Roman" w:cs="TimesTen-Roman"/>
          <w:sz w:val="24"/>
          <w:szCs w:val="24"/>
        </w:rPr>
        <w:t>C</w:t>
      </w:r>
      <w:r w:rsidR="008D3630" w:rsidRPr="00072D83">
        <w:rPr>
          <w:rFonts w:ascii="TimesTen-Roman" w:hAnsi="TimesTen-Roman" w:cs="TimesTen-Roman"/>
          <w:sz w:val="24"/>
          <w:szCs w:val="24"/>
        </w:rPr>
        <w:t>learance limits for buildings which are decided not to be demolished or to be reused for a non-nuclear purpose</w:t>
      </w:r>
      <w:r w:rsidR="00AC4084" w:rsidRPr="00072D83">
        <w:rPr>
          <w:rFonts w:ascii="TimesTen-Roman" w:hAnsi="TimesTen-Roman" w:cs="TimesTen-Roman"/>
          <w:sz w:val="24"/>
          <w:szCs w:val="24"/>
        </w:rPr>
        <w:t>,</w:t>
      </w:r>
      <w:r w:rsidR="00E74A2E" w:rsidRPr="00072D83">
        <w:rPr>
          <w:rFonts w:ascii="TimesTen-Roman" w:hAnsi="TimesTen-Roman" w:cs="TimesTen-Roman"/>
          <w:sz w:val="24"/>
          <w:szCs w:val="24"/>
        </w:rPr>
        <w:t xml:space="preserve"> </w:t>
      </w:r>
    </w:p>
    <w:p w:rsidR="00072D83" w:rsidRDefault="009F3BBB" w:rsidP="00072D83">
      <w:pPr>
        <w:pStyle w:val="ListeParagraf"/>
        <w:numPr>
          <w:ilvl w:val="0"/>
          <w:numId w:val="7"/>
        </w:numPr>
        <w:autoSpaceDE w:val="0"/>
        <w:autoSpaceDN w:val="0"/>
        <w:adjustRightInd w:val="0"/>
        <w:spacing w:after="0" w:line="240" w:lineRule="auto"/>
        <w:jc w:val="both"/>
      </w:pPr>
      <w:r>
        <w:rPr>
          <w:rFonts w:ascii="TimesTen-Roman" w:hAnsi="TimesTen-Roman" w:cs="TimesTen-Roman"/>
          <w:sz w:val="24"/>
          <w:szCs w:val="24"/>
        </w:rPr>
        <w:t>C</w:t>
      </w:r>
      <w:r w:rsidR="00E74A2E" w:rsidRPr="00072D83">
        <w:rPr>
          <w:rFonts w:ascii="TimesTen-Roman" w:hAnsi="TimesTen-Roman" w:cs="TimesTen-Roman"/>
          <w:sz w:val="24"/>
          <w:szCs w:val="24"/>
        </w:rPr>
        <w:t>learance limits just for buildings which are planned to be demolished</w:t>
      </w:r>
      <w:r w:rsidR="008F5030" w:rsidRPr="00072D83">
        <w:rPr>
          <w:rFonts w:ascii="TimesTen-Roman" w:hAnsi="TimesTen-Roman" w:cs="TimesTen-Roman"/>
          <w:sz w:val="24"/>
          <w:szCs w:val="24"/>
        </w:rPr>
        <w:t>,</w:t>
      </w:r>
      <w:r w:rsidR="008F5030" w:rsidRPr="008F5030">
        <w:t xml:space="preserve"> </w:t>
      </w:r>
      <w:r w:rsidR="00AC4084">
        <w:t xml:space="preserve">and </w:t>
      </w:r>
    </w:p>
    <w:p w:rsidR="00072D83" w:rsidRPr="00072D83" w:rsidRDefault="009F3BBB" w:rsidP="00072D83">
      <w:pPr>
        <w:pStyle w:val="ListeParagraf"/>
        <w:numPr>
          <w:ilvl w:val="0"/>
          <w:numId w:val="7"/>
        </w:numPr>
        <w:autoSpaceDE w:val="0"/>
        <w:autoSpaceDN w:val="0"/>
        <w:adjustRightInd w:val="0"/>
        <w:spacing w:after="0" w:line="240" w:lineRule="auto"/>
        <w:jc w:val="both"/>
        <w:rPr>
          <w:rFonts w:ascii="TimesTen-Roman" w:hAnsi="TimesTen-Roman" w:cs="TimesTen-Roman"/>
          <w:sz w:val="24"/>
          <w:szCs w:val="24"/>
        </w:rPr>
      </w:pPr>
      <w:r>
        <w:rPr>
          <w:rFonts w:ascii="TimesTen-Roman" w:hAnsi="TimesTen-Roman" w:cs="TimesTen-Roman"/>
          <w:sz w:val="24"/>
          <w:szCs w:val="24"/>
        </w:rPr>
        <w:t>C</w:t>
      </w:r>
      <w:r w:rsidR="008F5030" w:rsidRPr="00072D83">
        <w:rPr>
          <w:rFonts w:ascii="TimesTen-Roman" w:hAnsi="TimesTen-Roman" w:cs="TimesTen-Roman"/>
          <w:sz w:val="24"/>
          <w:szCs w:val="24"/>
        </w:rPr>
        <w:t xml:space="preserve">learance limits for building rubble which arise from demolition of building </w:t>
      </w:r>
    </w:p>
    <w:p w:rsidR="00072D83" w:rsidRDefault="008D3630" w:rsidP="00072D83">
      <w:pPr>
        <w:autoSpaceDE w:val="0"/>
        <w:autoSpaceDN w:val="0"/>
        <w:adjustRightInd w:val="0"/>
        <w:spacing w:after="0" w:line="240" w:lineRule="auto"/>
        <w:jc w:val="both"/>
        <w:rPr>
          <w:rFonts w:ascii="TimesTen-Roman" w:hAnsi="TimesTen-Roman" w:cs="TimesTen-Roman"/>
          <w:sz w:val="24"/>
          <w:szCs w:val="24"/>
        </w:rPr>
      </w:pPr>
      <w:proofErr w:type="gramStart"/>
      <w:r>
        <w:rPr>
          <w:rFonts w:ascii="TimesTen-Roman" w:hAnsi="TimesTen-Roman" w:cs="TimesTen-Roman"/>
          <w:sz w:val="24"/>
          <w:szCs w:val="24"/>
        </w:rPr>
        <w:t>are</w:t>
      </w:r>
      <w:proofErr w:type="gramEnd"/>
      <w:r>
        <w:rPr>
          <w:rFonts w:ascii="TimesTen-Roman" w:hAnsi="TimesTen-Roman" w:cs="TimesTen-Roman"/>
          <w:sz w:val="24"/>
          <w:szCs w:val="24"/>
        </w:rPr>
        <w:t xml:space="preserve"> given separately. </w:t>
      </w:r>
    </w:p>
    <w:p w:rsidR="00072D83" w:rsidRDefault="00072D83" w:rsidP="00072D83">
      <w:pPr>
        <w:autoSpaceDE w:val="0"/>
        <w:autoSpaceDN w:val="0"/>
        <w:adjustRightInd w:val="0"/>
        <w:spacing w:after="0" w:line="240" w:lineRule="auto"/>
        <w:jc w:val="both"/>
        <w:rPr>
          <w:rFonts w:ascii="TimesTen-Roman" w:hAnsi="TimesTen-Roman" w:cs="TimesTen-Roman"/>
          <w:sz w:val="24"/>
          <w:szCs w:val="24"/>
        </w:rPr>
      </w:pPr>
    </w:p>
    <w:p w:rsidR="00072D83" w:rsidRDefault="008D3630" w:rsidP="00072D83">
      <w:pPr>
        <w:autoSpaceDE w:val="0"/>
        <w:autoSpaceDN w:val="0"/>
        <w:adjustRightInd w:val="0"/>
        <w:spacing w:after="0" w:line="240" w:lineRule="auto"/>
        <w:jc w:val="both"/>
        <w:rPr>
          <w:rFonts w:ascii="TimesTen-Roman" w:hAnsi="TimesTen-Roman" w:cs="TimesTen-Roman"/>
          <w:sz w:val="24"/>
          <w:szCs w:val="24"/>
        </w:rPr>
      </w:pPr>
      <w:r>
        <w:rPr>
          <w:rFonts w:ascii="TimesTen-Roman" w:hAnsi="TimesTen-Roman" w:cs="TimesTen-Roman"/>
          <w:sz w:val="24"/>
          <w:szCs w:val="24"/>
        </w:rPr>
        <w:t xml:space="preserve">This regulation also covers </w:t>
      </w:r>
      <w:r w:rsidR="00D22A5A">
        <w:rPr>
          <w:rFonts w:ascii="TimesTen-Roman" w:hAnsi="TimesTen-Roman" w:cs="TimesTen-Roman"/>
          <w:sz w:val="24"/>
          <w:szCs w:val="24"/>
        </w:rPr>
        <w:t>criteria for release of sites</w:t>
      </w:r>
      <w:r>
        <w:rPr>
          <w:rFonts w:ascii="TimesTen-Roman" w:hAnsi="TimesTen-Roman" w:cs="TimesTen-Roman"/>
          <w:sz w:val="24"/>
          <w:szCs w:val="24"/>
        </w:rPr>
        <w:t xml:space="preserve"> from regulatory control</w:t>
      </w:r>
      <w:r w:rsidR="00D22A5A">
        <w:rPr>
          <w:rFonts w:ascii="TimesTen-Roman" w:hAnsi="TimesTen-Roman" w:cs="TimesTen-Roman"/>
          <w:sz w:val="24"/>
          <w:szCs w:val="24"/>
        </w:rPr>
        <w:t xml:space="preserve">. </w:t>
      </w:r>
      <w:r w:rsidR="00072D83">
        <w:rPr>
          <w:rFonts w:ascii="TimesTen-Roman" w:hAnsi="TimesTen-Roman" w:cs="TimesTen-Roman"/>
          <w:sz w:val="24"/>
          <w:szCs w:val="24"/>
        </w:rPr>
        <w:t>Accruing to this regulation;</w:t>
      </w:r>
    </w:p>
    <w:p w:rsidR="00072D83" w:rsidRPr="001B5B1A" w:rsidRDefault="00D22A5A" w:rsidP="006B4A51">
      <w:pPr>
        <w:pStyle w:val="ListeParagraf"/>
        <w:numPr>
          <w:ilvl w:val="0"/>
          <w:numId w:val="6"/>
        </w:numPr>
        <w:autoSpaceDE w:val="0"/>
        <w:autoSpaceDN w:val="0"/>
        <w:adjustRightInd w:val="0"/>
        <w:spacing w:after="0" w:line="240" w:lineRule="auto"/>
        <w:jc w:val="both"/>
        <w:rPr>
          <w:rFonts w:ascii="TimesTen-Roman" w:hAnsi="TimesTen-Roman" w:cs="TimesTen-Roman"/>
          <w:sz w:val="24"/>
          <w:szCs w:val="24"/>
        </w:rPr>
      </w:pPr>
      <w:r w:rsidRPr="001B5B1A">
        <w:rPr>
          <w:rFonts w:ascii="TimesTen-Roman" w:hAnsi="TimesTen-Roman" w:cs="TimesTen-Roman"/>
          <w:sz w:val="24"/>
          <w:szCs w:val="24"/>
        </w:rPr>
        <w:t xml:space="preserve">Sites can be released from regulatory control for restricted or unrestricted use provided that site release criteria are met. </w:t>
      </w:r>
      <w:r w:rsidR="00072D83" w:rsidRPr="001B5B1A">
        <w:rPr>
          <w:rFonts w:ascii="TimesTen-Roman" w:hAnsi="TimesTen-Roman" w:cs="TimesTen-Roman"/>
          <w:sz w:val="24"/>
          <w:szCs w:val="24"/>
        </w:rPr>
        <w:t xml:space="preserve">After removal of site from regulatory control, effective dose exposed by critical groups cannot exceed 300 </w:t>
      </w:r>
      <w:proofErr w:type="spellStart"/>
      <w:r w:rsidR="00072D83" w:rsidRPr="001B5B1A">
        <w:rPr>
          <w:rFonts w:ascii="TimesTen-Roman" w:hAnsi="TimesTen-Roman" w:cs="TimesTen-Roman"/>
          <w:sz w:val="24"/>
          <w:szCs w:val="24"/>
        </w:rPr>
        <w:t>μSv</w:t>
      </w:r>
      <w:proofErr w:type="spellEnd"/>
      <w:r w:rsidR="00072D83" w:rsidRPr="001B5B1A">
        <w:rPr>
          <w:rFonts w:ascii="TimesTen-Roman" w:hAnsi="TimesTen-Roman" w:cs="TimesTen-Roman"/>
          <w:sz w:val="24"/>
          <w:szCs w:val="24"/>
        </w:rPr>
        <w:t xml:space="preserve"> per year. </w:t>
      </w:r>
    </w:p>
    <w:p w:rsidR="00072D83" w:rsidRPr="00072D83" w:rsidRDefault="00072D83" w:rsidP="00072D83">
      <w:pPr>
        <w:pStyle w:val="ListeParagraf"/>
        <w:numPr>
          <w:ilvl w:val="0"/>
          <w:numId w:val="6"/>
        </w:numPr>
        <w:autoSpaceDE w:val="0"/>
        <w:autoSpaceDN w:val="0"/>
        <w:adjustRightInd w:val="0"/>
        <w:spacing w:after="0" w:line="240" w:lineRule="auto"/>
        <w:jc w:val="both"/>
        <w:rPr>
          <w:rFonts w:ascii="TimesTen-Roman" w:hAnsi="TimesTen-Roman" w:cs="TimesTen-Roman"/>
          <w:sz w:val="24"/>
          <w:szCs w:val="24"/>
        </w:rPr>
      </w:pPr>
      <w:r w:rsidRPr="00072D83">
        <w:rPr>
          <w:rFonts w:ascii="TimesTen-Roman" w:hAnsi="TimesTen-Roman" w:cs="TimesTen-Roman"/>
          <w:sz w:val="24"/>
          <w:szCs w:val="24"/>
        </w:rPr>
        <w:t xml:space="preserve">For removal of site from regulatory control, buildings preserving their integrity and rubble which are planned to remain on site should be cleared from regulatory control. </w:t>
      </w:r>
    </w:p>
    <w:p w:rsidR="00072D83" w:rsidRPr="00072D83" w:rsidRDefault="00072D83" w:rsidP="00072D83">
      <w:pPr>
        <w:pStyle w:val="ListeParagraf"/>
        <w:numPr>
          <w:ilvl w:val="0"/>
          <w:numId w:val="6"/>
        </w:numPr>
        <w:autoSpaceDE w:val="0"/>
        <w:autoSpaceDN w:val="0"/>
        <w:adjustRightInd w:val="0"/>
        <w:spacing w:after="0" w:line="240" w:lineRule="auto"/>
        <w:jc w:val="both"/>
        <w:rPr>
          <w:rFonts w:ascii="TimesTen-Roman" w:hAnsi="TimesTen-Roman" w:cs="TimesTen-Roman"/>
          <w:sz w:val="24"/>
          <w:szCs w:val="24"/>
        </w:rPr>
      </w:pPr>
      <w:r w:rsidRPr="00072D83">
        <w:rPr>
          <w:rFonts w:ascii="TimesTen-Roman" w:hAnsi="TimesTen-Roman" w:cs="TimesTen-Roman"/>
          <w:sz w:val="24"/>
          <w:szCs w:val="24"/>
        </w:rPr>
        <w:t xml:space="preserve">After removal of site from regulatory control, site usage restriction can be applied to comply with the aforementioned dose constraint. Site usage restrictions and how to apply these restrictions are included in the application submitted for removal of site from regulatory control by the authorized person who is authorized for decommissioning of nuclear facility. Removal of site from regulatory control as convenient to restricted use can be done as long as complying with dose constraint. </w:t>
      </w:r>
    </w:p>
    <w:p w:rsidR="008D3630" w:rsidRPr="00072D83" w:rsidRDefault="00072D83" w:rsidP="00072D83">
      <w:pPr>
        <w:pStyle w:val="ListeParagraf"/>
        <w:numPr>
          <w:ilvl w:val="0"/>
          <w:numId w:val="6"/>
        </w:numPr>
        <w:autoSpaceDE w:val="0"/>
        <w:autoSpaceDN w:val="0"/>
        <w:adjustRightInd w:val="0"/>
        <w:spacing w:after="0" w:line="240" w:lineRule="auto"/>
        <w:jc w:val="both"/>
        <w:rPr>
          <w:rFonts w:ascii="TimesTen-Roman" w:hAnsi="TimesTen-Roman" w:cs="TimesTen-Roman"/>
          <w:sz w:val="24"/>
          <w:szCs w:val="24"/>
        </w:rPr>
      </w:pPr>
      <w:r w:rsidRPr="00072D83">
        <w:rPr>
          <w:rFonts w:ascii="TimesTen-Roman" w:hAnsi="TimesTen-Roman" w:cs="TimesTen-Roman"/>
          <w:sz w:val="24"/>
          <w:szCs w:val="24"/>
        </w:rPr>
        <w:t xml:space="preserve">Site-specific levels for removal from regulatory control regarding activities of radionuclides on site are derived by </w:t>
      </w:r>
      <w:r w:rsidRPr="00032CE8">
        <w:rPr>
          <w:rFonts w:ascii="TimesTen-Roman" w:hAnsi="TimesTen-Roman" w:cs="TimesTen-Roman"/>
          <w:sz w:val="24"/>
          <w:szCs w:val="24"/>
        </w:rPr>
        <w:t>authorized person for</w:t>
      </w:r>
      <w:r w:rsidRPr="00072D83">
        <w:rPr>
          <w:rFonts w:ascii="TimesTen-Roman" w:hAnsi="TimesTen-Roman" w:cs="TimesTen-Roman"/>
          <w:sz w:val="24"/>
          <w:szCs w:val="24"/>
        </w:rPr>
        <w:t xml:space="preserve"> decommissioning of nuclear facility, based on the dose constraint, by taking into account site usage conditions after removal of site from regulatory control and all radiation exposure pathways.</w:t>
      </w:r>
    </w:p>
    <w:p w:rsidR="008D3630" w:rsidRDefault="008D3630" w:rsidP="0005755E">
      <w:pPr>
        <w:autoSpaceDE w:val="0"/>
        <w:autoSpaceDN w:val="0"/>
        <w:adjustRightInd w:val="0"/>
        <w:spacing w:after="0" w:line="240" w:lineRule="auto"/>
        <w:jc w:val="both"/>
        <w:rPr>
          <w:rFonts w:ascii="TimesTen-Roman" w:hAnsi="TimesTen-Roman" w:cs="TimesTen-Roman"/>
          <w:sz w:val="24"/>
          <w:szCs w:val="24"/>
        </w:rPr>
      </w:pPr>
    </w:p>
    <w:p w:rsidR="004B2660" w:rsidRPr="00075716" w:rsidRDefault="00857FA7" w:rsidP="0005755E">
      <w:pPr>
        <w:autoSpaceDE w:val="0"/>
        <w:autoSpaceDN w:val="0"/>
        <w:adjustRightInd w:val="0"/>
        <w:spacing w:after="0" w:line="240" w:lineRule="auto"/>
        <w:jc w:val="both"/>
        <w:rPr>
          <w:rFonts w:ascii="TimesTen-Roman" w:hAnsi="TimesTen-Roman" w:cs="TimesTen-Roman"/>
          <w:sz w:val="24"/>
          <w:szCs w:val="24"/>
        </w:rPr>
      </w:pPr>
      <w:r>
        <w:rPr>
          <w:rFonts w:ascii="TimesTen-Roman" w:hAnsi="TimesTen-Roman" w:cs="TimesTen-Roman"/>
          <w:sz w:val="24"/>
          <w:szCs w:val="24"/>
        </w:rPr>
        <w:t>This regulation was developed taking into account</w:t>
      </w:r>
      <w:r w:rsidR="00424B4F" w:rsidRPr="00075716">
        <w:rPr>
          <w:rFonts w:ascii="TimesTen-Roman" w:hAnsi="TimesTen-Roman" w:cs="TimesTen-Roman"/>
          <w:sz w:val="24"/>
          <w:szCs w:val="24"/>
        </w:rPr>
        <w:t xml:space="preserve"> </w:t>
      </w:r>
      <w:r>
        <w:rPr>
          <w:rFonts w:ascii="Times New Roman" w:hAnsi="Times New Roman" w:cs="Times New Roman"/>
          <w:sz w:val="24"/>
          <w:szCs w:val="24"/>
        </w:rPr>
        <w:t xml:space="preserve">European Commission Reports 89, 113 and 157, and </w:t>
      </w:r>
      <w:r w:rsidRPr="00075716">
        <w:rPr>
          <w:rFonts w:ascii="TimesTen-Roman" w:hAnsi="TimesTen-Roman" w:cs="TimesTen-Roman"/>
          <w:sz w:val="24"/>
          <w:szCs w:val="24"/>
        </w:rPr>
        <w:t xml:space="preserve">IAEA </w:t>
      </w:r>
      <w:r w:rsidRPr="00075716">
        <w:rPr>
          <w:rFonts w:ascii="Times New Roman" w:hAnsi="Times New Roman" w:cs="Times New Roman"/>
          <w:sz w:val="24"/>
          <w:szCs w:val="24"/>
        </w:rPr>
        <w:t xml:space="preserve">WS-G-5.1 </w:t>
      </w:r>
      <w:r w:rsidR="00424B4F" w:rsidRPr="00075716">
        <w:rPr>
          <w:rFonts w:ascii="Times New Roman" w:hAnsi="Times New Roman" w:cs="Times New Roman"/>
          <w:sz w:val="24"/>
          <w:szCs w:val="24"/>
        </w:rPr>
        <w:t>“</w:t>
      </w:r>
      <w:r w:rsidR="00424B4F" w:rsidRPr="00075716">
        <w:rPr>
          <w:rFonts w:ascii="TimesTen-Roman" w:hAnsi="TimesTen-Roman" w:cs="TimesTen-Roman"/>
          <w:sz w:val="24"/>
          <w:szCs w:val="24"/>
        </w:rPr>
        <w:t xml:space="preserve">Release of Sites </w:t>
      </w:r>
      <w:r w:rsidR="00075716" w:rsidRPr="00075716">
        <w:rPr>
          <w:rFonts w:ascii="TimesTen-Roman" w:hAnsi="TimesTen-Roman" w:cs="TimesTen-Roman"/>
          <w:sz w:val="24"/>
          <w:szCs w:val="24"/>
        </w:rPr>
        <w:t>from</w:t>
      </w:r>
      <w:r w:rsidR="00424B4F" w:rsidRPr="00075716">
        <w:rPr>
          <w:rFonts w:ascii="TimesTen-Roman" w:hAnsi="TimesTen-Roman" w:cs="TimesTen-Roman"/>
          <w:sz w:val="24"/>
          <w:szCs w:val="24"/>
        </w:rPr>
        <w:t xml:space="preserve"> Regulatory Control on Terminatıon of Practices”</w:t>
      </w:r>
      <w:r>
        <w:rPr>
          <w:rFonts w:ascii="TimesTen-Roman" w:hAnsi="TimesTen-Roman" w:cs="TimesTen-Roman"/>
          <w:sz w:val="24"/>
          <w:szCs w:val="24"/>
        </w:rPr>
        <w:t xml:space="preserve"> and IAEA RS-G-1.7 “</w:t>
      </w:r>
      <w:r w:rsidRPr="00857FA7">
        <w:rPr>
          <w:rFonts w:ascii="TimesTen-Roman" w:hAnsi="TimesTen-Roman" w:cs="TimesTen-Roman"/>
          <w:sz w:val="24"/>
          <w:szCs w:val="24"/>
        </w:rPr>
        <w:t>Application of the</w:t>
      </w:r>
      <w:r>
        <w:rPr>
          <w:rFonts w:ascii="TimesTen-Roman" w:hAnsi="TimesTen-Roman" w:cs="TimesTen-Roman"/>
          <w:sz w:val="24"/>
          <w:szCs w:val="24"/>
        </w:rPr>
        <w:t xml:space="preserve"> </w:t>
      </w:r>
      <w:r w:rsidRPr="00857FA7">
        <w:rPr>
          <w:rFonts w:ascii="TimesTen-Roman" w:hAnsi="TimesTen-Roman" w:cs="TimesTen-Roman"/>
          <w:sz w:val="24"/>
          <w:szCs w:val="24"/>
        </w:rPr>
        <w:t>Concepts of Exclusion,</w:t>
      </w:r>
      <w:r>
        <w:rPr>
          <w:rFonts w:ascii="TimesTen-Roman" w:hAnsi="TimesTen-Roman" w:cs="TimesTen-Roman"/>
          <w:sz w:val="24"/>
          <w:szCs w:val="24"/>
        </w:rPr>
        <w:t xml:space="preserve"> </w:t>
      </w:r>
      <w:r w:rsidRPr="00857FA7">
        <w:rPr>
          <w:rFonts w:ascii="TimesTen-Roman" w:hAnsi="TimesTen-Roman" w:cs="TimesTen-Roman"/>
          <w:sz w:val="24"/>
          <w:szCs w:val="24"/>
        </w:rPr>
        <w:t>Exemption and</w:t>
      </w:r>
      <w:r>
        <w:rPr>
          <w:rFonts w:ascii="TimesTen-Roman" w:hAnsi="TimesTen-Roman" w:cs="TimesTen-Roman"/>
          <w:sz w:val="24"/>
          <w:szCs w:val="24"/>
        </w:rPr>
        <w:t xml:space="preserve"> </w:t>
      </w:r>
      <w:r w:rsidRPr="00857FA7">
        <w:rPr>
          <w:rFonts w:ascii="TimesTen-Roman" w:hAnsi="TimesTen-Roman" w:cs="TimesTen-Roman"/>
          <w:sz w:val="24"/>
          <w:szCs w:val="24"/>
        </w:rPr>
        <w:t>Clearance</w:t>
      </w:r>
      <w:r>
        <w:rPr>
          <w:rFonts w:ascii="TimesTen-Roman" w:hAnsi="TimesTen-Roman" w:cs="TimesTen-Roman"/>
          <w:sz w:val="24"/>
          <w:szCs w:val="24"/>
        </w:rPr>
        <w:t>”.</w:t>
      </w:r>
    </w:p>
    <w:p w:rsidR="00424B4F" w:rsidRPr="00075716" w:rsidRDefault="00424B4F" w:rsidP="00424B4F">
      <w:pPr>
        <w:autoSpaceDE w:val="0"/>
        <w:autoSpaceDN w:val="0"/>
        <w:adjustRightInd w:val="0"/>
        <w:spacing w:after="0" w:line="240" w:lineRule="auto"/>
        <w:rPr>
          <w:rFonts w:ascii="Times New Roman" w:hAnsi="Times New Roman" w:cs="Times New Roman"/>
          <w:b/>
          <w:sz w:val="24"/>
          <w:szCs w:val="24"/>
        </w:rPr>
      </w:pPr>
    </w:p>
    <w:p w:rsidR="00B9155F" w:rsidRDefault="003C175F" w:rsidP="00B9155F">
      <w:pPr>
        <w:jc w:val="both"/>
        <w:rPr>
          <w:rFonts w:ascii="Times New Roman" w:hAnsi="Times New Roman" w:cs="Times New Roman"/>
          <w:b/>
          <w:sz w:val="24"/>
          <w:szCs w:val="24"/>
        </w:rPr>
      </w:pPr>
      <w:r>
        <w:rPr>
          <w:rFonts w:ascii="Times New Roman" w:hAnsi="Times New Roman" w:cs="Times New Roman"/>
          <w:b/>
          <w:sz w:val="24"/>
          <w:szCs w:val="24"/>
        </w:rPr>
        <w:t xml:space="preserve">IV. </w:t>
      </w:r>
      <w:r w:rsidR="004B2660" w:rsidRPr="00075716">
        <w:rPr>
          <w:rFonts w:ascii="Times New Roman" w:hAnsi="Times New Roman" w:cs="Times New Roman"/>
          <w:b/>
          <w:sz w:val="24"/>
          <w:szCs w:val="24"/>
        </w:rPr>
        <w:t>CONCLUSION AND FUTURE</w:t>
      </w:r>
      <w:r w:rsidR="004B2660" w:rsidRPr="004B2660">
        <w:rPr>
          <w:rFonts w:ascii="Times New Roman" w:hAnsi="Times New Roman" w:cs="Times New Roman"/>
          <w:b/>
          <w:sz w:val="24"/>
          <w:szCs w:val="24"/>
        </w:rPr>
        <w:t xml:space="preserve"> WORK</w:t>
      </w:r>
    </w:p>
    <w:p w:rsidR="00577B87" w:rsidRPr="003C175F" w:rsidRDefault="003C175F" w:rsidP="00B9155F">
      <w:pPr>
        <w:jc w:val="both"/>
        <w:rPr>
          <w:rFonts w:ascii="Times New Roman" w:hAnsi="Times New Roman" w:cs="Times New Roman"/>
          <w:sz w:val="24"/>
          <w:szCs w:val="24"/>
        </w:rPr>
      </w:pPr>
      <w:r w:rsidRPr="003C175F">
        <w:rPr>
          <w:rFonts w:ascii="Times New Roman" w:hAnsi="Times New Roman" w:cs="Times New Roman"/>
          <w:sz w:val="24"/>
          <w:szCs w:val="24"/>
        </w:rPr>
        <w:t xml:space="preserve">The </w:t>
      </w:r>
      <w:r w:rsidR="00F93DDF">
        <w:rPr>
          <w:rFonts w:ascii="Times New Roman" w:hAnsi="Times New Roman" w:cs="Times New Roman"/>
          <w:sz w:val="24"/>
          <w:szCs w:val="24"/>
        </w:rPr>
        <w:t>work on developing the</w:t>
      </w:r>
      <w:r w:rsidRPr="003C175F">
        <w:rPr>
          <w:rFonts w:ascii="Times New Roman" w:hAnsi="Times New Roman" w:cs="Times New Roman"/>
          <w:sz w:val="24"/>
          <w:szCs w:val="24"/>
        </w:rPr>
        <w:t xml:space="preserve"> regulation on decommissioning for nuclear facilities </w:t>
      </w:r>
      <w:r w:rsidR="00F93DDF">
        <w:rPr>
          <w:rFonts w:ascii="Times New Roman" w:hAnsi="Times New Roman" w:cs="Times New Roman"/>
          <w:sz w:val="24"/>
          <w:szCs w:val="24"/>
        </w:rPr>
        <w:t>is of great significance</w:t>
      </w:r>
      <w:r w:rsidR="00B96529">
        <w:rPr>
          <w:rFonts w:ascii="Times New Roman" w:hAnsi="Times New Roman" w:cs="Times New Roman"/>
          <w:sz w:val="24"/>
          <w:szCs w:val="24"/>
        </w:rPr>
        <w:t>,</w:t>
      </w:r>
      <w:r w:rsidR="00F93DDF">
        <w:rPr>
          <w:rFonts w:ascii="Times New Roman" w:hAnsi="Times New Roman" w:cs="Times New Roman"/>
          <w:sz w:val="24"/>
          <w:szCs w:val="24"/>
        </w:rPr>
        <w:t xml:space="preserve"> since it will fill the regulation deficiency</w:t>
      </w:r>
      <w:r w:rsidR="00A84E18">
        <w:rPr>
          <w:rFonts w:ascii="Times New Roman" w:hAnsi="Times New Roman" w:cs="Times New Roman"/>
          <w:sz w:val="24"/>
          <w:szCs w:val="24"/>
        </w:rPr>
        <w:t xml:space="preserve"> and support regulatory infrastructure related to nuclear facilities</w:t>
      </w:r>
      <w:r w:rsidR="00F93DDF">
        <w:rPr>
          <w:rFonts w:ascii="Times New Roman" w:hAnsi="Times New Roman" w:cs="Times New Roman"/>
          <w:sz w:val="24"/>
          <w:szCs w:val="24"/>
        </w:rPr>
        <w:t xml:space="preserve"> </w:t>
      </w:r>
      <w:r w:rsidRPr="003C175F">
        <w:rPr>
          <w:rFonts w:ascii="Times New Roman" w:hAnsi="Times New Roman" w:cs="Times New Roman"/>
          <w:sz w:val="24"/>
          <w:szCs w:val="24"/>
        </w:rPr>
        <w:t xml:space="preserve">when it is in </w:t>
      </w:r>
      <w:r w:rsidR="00C0536F" w:rsidRPr="003C175F">
        <w:rPr>
          <w:rFonts w:ascii="Times New Roman" w:hAnsi="Times New Roman" w:cs="Times New Roman"/>
          <w:sz w:val="24"/>
          <w:szCs w:val="24"/>
        </w:rPr>
        <w:t>force.</w:t>
      </w:r>
      <w:r w:rsidR="00C0536F">
        <w:rPr>
          <w:rFonts w:ascii="Times New Roman" w:hAnsi="Times New Roman" w:cs="Times New Roman"/>
          <w:sz w:val="24"/>
          <w:szCs w:val="24"/>
        </w:rPr>
        <w:t xml:space="preserve"> Though it may </w:t>
      </w:r>
      <w:r w:rsidR="0064292B">
        <w:rPr>
          <w:rFonts w:ascii="Times New Roman" w:hAnsi="Times New Roman" w:cs="Times New Roman"/>
          <w:sz w:val="24"/>
          <w:szCs w:val="24"/>
        </w:rPr>
        <w:t>not be seen</w:t>
      </w:r>
      <w:r w:rsidR="00C0536F">
        <w:rPr>
          <w:rFonts w:ascii="Times New Roman" w:hAnsi="Times New Roman" w:cs="Times New Roman"/>
          <w:sz w:val="24"/>
          <w:szCs w:val="24"/>
        </w:rPr>
        <w:t xml:space="preserve"> as urgent tak</w:t>
      </w:r>
      <w:r w:rsidR="00A457AE">
        <w:rPr>
          <w:rFonts w:ascii="Times New Roman" w:hAnsi="Times New Roman" w:cs="Times New Roman"/>
          <w:sz w:val="24"/>
          <w:szCs w:val="24"/>
        </w:rPr>
        <w:t>ing</w:t>
      </w:r>
      <w:r w:rsidR="00C0536F">
        <w:rPr>
          <w:rFonts w:ascii="Times New Roman" w:hAnsi="Times New Roman" w:cs="Times New Roman"/>
          <w:sz w:val="24"/>
          <w:szCs w:val="24"/>
        </w:rPr>
        <w:t xml:space="preserve"> into account schedule of NPP projects, </w:t>
      </w:r>
      <w:proofErr w:type="spellStart"/>
      <w:r w:rsidR="00C0536F">
        <w:rPr>
          <w:rFonts w:ascii="Times New Roman" w:hAnsi="Times New Roman" w:cs="Times New Roman"/>
          <w:sz w:val="24"/>
          <w:szCs w:val="24"/>
        </w:rPr>
        <w:t>Temrezli</w:t>
      </w:r>
      <w:proofErr w:type="spellEnd"/>
      <w:r w:rsidR="00C0536F">
        <w:rPr>
          <w:rFonts w:ascii="Times New Roman" w:hAnsi="Times New Roman" w:cs="Times New Roman"/>
          <w:sz w:val="24"/>
          <w:szCs w:val="24"/>
        </w:rPr>
        <w:t xml:space="preserve"> project </w:t>
      </w:r>
      <w:r w:rsidR="00A457AE">
        <w:rPr>
          <w:rFonts w:ascii="Times New Roman" w:hAnsi="Times New Roman" w:cs="Times New Roman"/>
          <w:sz w:val="24"/>
          <w:szCs w:val="24"/>
        </w:rPr>
        <w:t xml:space="preserve">of which the facility life is rather </w:t>
      </w:r>
      <w:r w:rsidR="00A457AE">
        <w:rPr>
          <w:rFonts w:ascii="Times New Roman" w:hAnsi="Times New Roman" w:cs="Times New Roman"/>
          <w:sz w:val="24"/>
          <w:szCs w:val="24"/>
        </w:rPr>
        <w:lastRenderedPageBreak/>
        <w:t xml:space="preserve">shorter </w:t>
      </w:r>
      <w:r w:rsidR="00A457AE" w:rsidRPr="0064292B">
        <w:rPr>
          <w:rFonts w:ascii="Times New Roman" w:hAnsi="Times New Roman" w:cs="Times New Roman"/>
          <w:sz w:val="24"/>
          <w:szCs w:val="24"/>
        </w:rPr>
        <w:t xml:space="preserve">compered to NPPs, </w:t>
      </w:r>
      <w:r w:rsidR="00C0536F" w:rsidRPr="0064292B">
        <w:rPr>
          <w:rFonts w:ascii="Times New Roman" w:hAnsi="Times New Roman" w:cs="Times New Roman"/>
          <w:sz w:val="24"/>
          <w:szCs w:val="24"/>
        </w:rPr>
        <w:t>and research reactors</w:t>
      </w:r>
      <w:r w:rsidR="00A457AE" w:rsidRPr="0064292B">
        <w:rPr>
          <w:rFonts w:ascii="Times New Roman" w:hAnsi="Times New Roman" w:cs="Times New Roman"/>
          <w:sz w:val="24"/>
          <w:szCs w:val="24"/>
        </w:rPr>
        <w:t xml:space="preserve"> which </w:t>
      </w:r>
      <w:r w:rsidR="0064292B" w:rsidRPr="0064292B">
        <w:rPr>
          <w:rFonts w:ascii="Times New Roman" w:hAnsi="Times New Roman" w:cs="Times New Roman"/>
          <w:sz w:val="24"/>
          <w:szCs w:val="24"/>
        </w:rPr>
        <w:t xml:space="preserve">were commissioned </w:t>
      </w:r>
      <w:r w:rsidR="00A457AE" w:rsidRPr="0064292B">
        <w:rPr>
          <w:rFonts w:ascii="Times New Roman" w:hAnsi="Times New Roman" w:cs="Times New Roman"/>
          <w:sz w:val="24"/>
          <w:szCs w:val="24"/>
        </w:rPr>
        <w:t>long years</w:t>
      </w:r>
      <w:r w:rsidR="0064292B" w:rsidRPr="0064292B">
        <w:rPr>
          <w:rFonts w:ascii="Times New Roman" w:hAnsi="Times New Roman" w:cs="Times New Roman"/>
          <w:sz w:val="24"/>
          <w:szCs w:val="24"/>
        </w:rPr>
        <w:t xml:space="preserve"> ago</w:t>
      </w:r>
      <w:r w:rsidR="0064292B">
        <w:rPr>
          <w:rFonts w:ascii="Times New Roman" w:hAnsi="Times New Roman" w:cs="Times New Roman"/>
          <w:sz w:val="24"/>
          <w:szCs w:val="24"/>
        </w:rPr>
        <w:t>, decommissioning may be a concern for Turkey  in the midterm.</w:t>
      </w:r>
      <w:r w:rsidR="00A457AE">
        <w:rPr>
          <w:rFonts w:ascii="Times New Roman" w:hAnsi="Times New Roman" w:cs="Times New Roman"/>
          <w:sz w:val="24"/>
          <w:szCs w:val="24"/>
        </w:rPr>
        <w:t xml:space="preserve"> </w:t>
      </w:r>
      <w:r w:rsidR="00150171">
        <w:rPr>
          <w:rFonts w:ascii="Times New Roman" w:hAnsi="Times New Roman" w:cs="Times New Roman"/>
          <w:sz w:val="24"/>
          <w:szCs w:val="24"/>
        </w:rPr>
        <w:t>Decommissioning and waste management p</w:t>
      </w:r>
      <w:r w:rsidR="00577B87">
        <w:rPr>
          <w:rFonts w:ascii="Times New Roman" w:hAnsi="Times New Roman" w:cs="Times New Roman"/>
          <w:sz w:val="24"/>
          <w:szCs w:val="24"/>
        </w:rPr>
        <w:t xml:space="preserve">olicy development studies </w:t>
      </w:r>
      <w:r w:rsidR="00BB2F02">
        <w:rPr>
          <w:rFonts w:ascii="Times New Roman" w:hAnsi="Times New Roman" w:cs="Times New Roman"/>
          <w:sz w:val="24"/>
          <w:szCs w:val="24"/>
        </w:rPr>
        <w:t>have also to be completed.</w:t>
      </w:r>
      <w:r w:rsidR="00577B87">
        <w:rPr>
          <w:rFonts w:ascii="Times New Roman" w:hAnsi="Times New Roman" w:cs="Times New Roman"/>
          <w:sz w:val="24"/>
          <w:szCs w:val="24"/>
        </w:rPr>
        <w:t xml:space="preserve"> </w:t>
      </w:r>
    </w:p>
    <w:sectPr w:rsidR="00577B87" w:rsidRPr="003C1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740"/>
    <w:multiLevelType w:val="hybridMultilevel"/>
    <w:tmpl w:val="B5CAB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0B348A"/>
    <w:multiLevelType w:val="hybridMultilevel"/>
    <w:tmpl w:val="AC7E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98F64F3"/>
    <w:multiLevelType w:val="hybridMultilevel"/>
    <w:tmpl w:val="F170F46A"/>
    <w:lvl w:ilvl="0" w:tplc="4580C11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F1538CD"/>
    <w:multiLevelType w:val="hybridMultilevel"/>
    <w:tmpl w:val="2F7AE280"/>
    <w:lvl w:ilvl="0" w:tplc="4580C11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EB5BC7"/>
    <w:multiLevelType w:val="hybridMultilevel"/>
    <w:tmpl w:val="8B7A3C68"/>
    <w:lvl w:ilvl="0" w:tplc="1DD8347A">
      <w:start w:val="16"/>
      <w:numFmt w:val="bullet"/>
      <w:lvlText w:val=""/>
      <w:lvlJc w:val="left"/>
      <w:pPr>
        <w:ind w:left="720" w:hanging="360"/>
      </w:pPr>
      <w:rPr>
        <w:rFonts w:ascii="Symbol" w:eastAsiaTheme="minorHAnsi" w:hAnsi="Symbol"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40B62E0"/>
    <w:multiLevelType w:val="hybridMultilevel"/>
    <w:tmpl w:val="AC4E9F5E"/>
    <w:lvl w:ilvl="0" w:tplc="4580C11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FD112F5"/>
    <w:multiLevelType w:val="hybridMultilevel"/>
    <w:tmpl w:val="BF9EAF0A"/>
    <w:lvl w:ilvl="0" w:tplc="623021C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apid Comm Mass Spectro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p9aptev9a52yesaftvpre72z9xaffxw0ez&quot;&gt;My EndNote Library&lt;record-ids&gt;&lt;item&gt;8&lt;/item&gt;&lt;/record-ids&gt;&lt;/item&gt;&lt;/Libraries&gt;"/>
  </w:docVars>
  <w:rsids>
    <w:rsidRoot w:val="003373E5"/>
    <w:rsid w:val="00032CE8"/>
    <w:rsid w:val="00036DCC"/>
    <w:rsid w:val="00052B0B"/>
    <w:rsid w:val="0005755E"/>
    <w:rsid w:val="00072D83"/>
    <w:rsid w:val="00072E16"/>
    <w:rsid w:val="00075716"/>
    <w:rsid w:val="00076F19"/>
    <w:rsid w:val="0009003F"/>
    <w:rsid w:val="00096FBB"/>
    <w:rsid w:val="000B3BBE"/>
    <w:rsid w:val="000E6436"/>
    <w:rsid w:val="00114604"/>
    <w:rsid w:val="001261C6"/>
    <w:rsid w:val="0013224A"/>
    <w:rsid w:val="00134132"/>
    <w:rsid w:val="00136ADC"/>
    <w:rsid w:val="00150171"/>
    <w:rsid w:val="00152AF7"/>
    <w:rsid w:val="00166F06"/>
    <w:rsid w:val="001728B3"/>
    <w:rsid w:val="001A3799"/>
    <w:rsid w:val="001B195A"/>
    <w:rsid w:val="001B5B1A"/>
    <w:rsid w:val="001B5CE1"/>
    <w:rsid w:val="001B5FDF"/>
    <w:rsid w:val="001C21FA"/>
    <w:rsid w:val="001E2A23"/>
    <w:rsid w:val="001F7A36"/>
    <w:rsid w:val="00200ECF"/>
    <w:rsid w:val="00203220"/>
    <w:rsid w:val="00220DCE"/>
    <w:rsid w:val="00244932"/>
    <w:rsid w:val="002524EF"/>
    <w:rsid w:val="002B672B"/>
    <w:rsid w:val="002C73EA"/>
    <w:rsid w:val="002E00CB"/>
    <w:rsid w:val="002F2C14"/>
    <w:rsid w:val="00304ED9"/>
    <w:rsid w:val="00325931"/>
    <w:rsid w:val="00333C7C"/>
    <w:rsid w:val="003373E5"/>
    <w:rsid w:val="00337B74"/>
    <w:rsid w:val="0035512F"/>
    <w:rsid w:val="00370B77"/>
    <w:rsid w:val="00376443"/>
    <w:rsid w:val="00377EB8"/>
    <w:rsid w:val="003A5699"/>
    <w:rsid w:val="003B012D"/>
    <w:rsid w:val="003C175F"/>
    <w:rsid w:val="003E17E4"/>
    <w:rsid w:val="00403C50"/>
    <w:rsid w:val="00424B4F"/>
    <w:rsid w:val="00427126"/>
    <w:rsid w:val="004426A8"/>
    <w:rsid w:val="00451793"/>
    <w:rsid w:val="00452003"/>
    <w:rsid w:val="0045499B"/>
    <w:rsid w:val="004764F9"/>
    <w:rsid w:val="00485F3E"/>
    <w:rsid w:val="004A1FD4"/>
    <w:rsid w:val="004A471A"/>
    <w:rsid w:val="004A75DE"/>
    <w:rsid w:val="004B2660"/>
    <w:rsid w:val="004D08D6"/>
    <w:rsid w:val="004D7806"/>
    <w:rsid w:val="004E6628"/>
    <w:rsid w:val="004F4EB5"/>
    <w:rsid w:val="0050446E"/>
    <w:rsid w:val="00505BDB"/>
    <w:rsid w:val="005072B8"/>
    <w:rsid w:val="00510B04"/>
    <w:rsid w:val="00525FE0"/>
    <w:rsid w:val="00540EFF"/>
    <w:rsid w:val="00557BB4"/>
    <w:rsid w:val="00557F94"/>
    <w:rsid w:val="00563581"/>
    <w:rsid w:val="005757B2"/>
    <w:rsid w:val="0057638E"/>
    <w:rsid w:val="00577B87"/>
    <w:rsid w:val="0058081A"/>
    <w:rsid w:val="005901BC"/>
    <w:rsid w:val="005C2205"/>
    <w:rsid w:val="005C687F"/>
    <w:rsid w:val="005C758F"/>
    <w:rsid w:val="005E061F"/>
    <w:rsid w:val="006050BD"/>
    <w:rsid w:val="00642760"/>
    <w:rsid w:val="0064292B"/>
    <w:rsid w:val="006555D0"/>
    <w:rsid w:val="006A4002"/>
    <w:rsid w:val="006B099D"/>
    <w:rsid w:val="006B252D"/>
    <w:rsid w:val="006C7106"/>
    <w:rsid w:val="006C7B9D"/>
    <w:rsid w:val="006D43AE"/>
    <w:rsid w:val="006E5BD2"/>
    <w:rsid w:val="006F7891"/>
    <w:rsid w:val="00726201"/>
    <w:rsid w:val="007456F8"/>
    <w:rsid w:val="00757F79"/>
    <w:rsid w:val="007A4991"/>
    <w:rsid w:val="007B376C"/>
    <w:rsid w:val="007C0F54"/>
    <w:rsid w:val="007E23BF"/>
    <w:rsid w:val="00812285"/>
    <w:rsid w:val="00835CF5"/>
    <w:rsid w:val="00857FA7"/>
    <w:rsid w:val="00860D90"/>
    <w:rsid w:val="0089099C"/>
    <w:rsid w:val="00891656"/>
    <w:rsid w:val="00895884"/>
    <w:rsid w:val="008B416F"/>
    <w:rsid w:val="008B6E9C"/>
    <w:rsid w:val="008D1ADC"/>
    <w:rsid w:val="008D3630"/>
    <w:rsid w:val="008F1ACA"/>
    <w:rsid w:val="008F5030"/>
    <w:rsid w:val="00907BE1"/>
    <w:rsid w:val="009126CA"/>
    <w:rsid w:val="00913F42"/>
    <w:rsid w:val="009141F5"/>
    <w:rsid w:val="00946941"/>
    <w:rsid w:val="00974896"/>
    <w:rsid w:val="009D64E7"/>
    <w:rsid w:val="009E1E32"/>
    <w:rsid w:val="009F3BBB"/>
    <w:rsid w:val="009F5DFA"/>
    <w:rsid w:val="009F7406"/>
    <w:rsid w:val="00A13993"/>
    <w:rsid w:val="00A376ED"/>
    <w:rsid w:val="00A42052"/>
    <w:rsid w:val="00A457AE"/>
    <w:rsid w:val="00A46C0D"/>
    <w:rsid w:val="00A84E18"/>
    <w:rsid w:val="00A92627"/>
    <w:rsid w:val="00AA3B10"/>
    <w:rsid w:val="00AA5134"/>
    <w:rsid w:val="00AB0473"/>
    <w:rsid w:val="00AC00DA"/>
    <w:rsid w:val="00AC4084"/>
    <w:rsid w:val="00AD16F1"/>
    <w:rsid w:val="00B458AF"/>
    <w:rsid w:val="00B55148"/>
    <w:rsid w:val="00B56B50"/>
    <w:rsid w:val="00B619DC"/>
    <w:rsid w:val="00B90EB2"/>
    <w:rsid w:val="00B9155F"/>
    <w:rsid w:val="00B96529"/>
    <w:rsid w:val="00BA2EC1"/>
    <w:rsid w:val="00BB2F02"/>
    <w:rsid w:val="00BD5296"/>
    <w:rsid w:val="00C0536F"/>
    <w:rsid w:val="00C10B5D"/>
    <w:rsid w:val="00C15FE5"/>
    <w:rsid w:val="00C1643C"/>
    <w:rsid w:val="00C21AC7"/>
    <w:rsid w:val="00C240BC"/>
    <w:rsid w:val="00C534F5"/>
    <w:rsid w:val="00C56A4B"/>
    <w:rsid w:val="00C57549"/>
    <w:rsid w:val="00C645F7"/>
    <w:rsid w:val="00C74EBA"/>
    <w:rsid w:val="00C7656D"/>
    <w:rsid w:val="00C807F9"/>
    <w:rsid w:val="00C90C9C"/>
    <w:rsid w:val="00C95705"/>
    <w:rsid w:val="00CA25CA"/>
    <w:rsid w:val="00CA50D5"/>
    <w:rsid w:val="00CA69D6"/>
    <w:rsid w:val="00CC2D55"/>
    <w:rsid w:val="00CF3C36"/>
    <w:rsid w:val="00CF4C4E"/>
    <w:rsid w:val="00CF6157"/>
    <w:rsid w:val="00D05960"/>
    <w:rsid w:val="00D22A5A"/>
    <w:rsid w:val="00D5159A"/>
    <w:rsid w:val="00D56D6A"/>
    <w:rsid w:val="00D57AF6"/>
    <w:rsid w:val="00D62EC3"/>
    <w:rsid w:val="00D731E8"/>
    <w:rsid w:val="00D73227"/>
    <w:rsid w:val="00D76CF3"/>
    <w:rsid w:val="00D9068B"/>
    <w:rsid w:val="00D92186"/>
    <w:rsid w:val="00DA1FD0"/>
    <w:rsid w:val="00DF19FA"/>
    <w:rsid w:val="00E143B5"/>
    <w:rsid w:val="00E27C89"/>
    <w:rsid w:val="00E3110A"/>
    <w:rsid w:val="00E31375"/>
    <w:rsid w:val="00E52BE8"/>
    <w:rsid w:val="00E74A2E"/>
    <w:rsid w:val="00E847B5"/>
    <w:rsid w:val="00ED58C6"/>
    <w:rsid w:val="00EE29F9"/>
    <w:rsid w:val="00F0600A"/>
    <w:rsid w:val="00F219BF"/>
    <w:rsid w:val="00F5019D"/>
    <w:rsid w:val="00F87B91"/>
    <w:rsid w:val="00F93DDF"/>
    <w:rsid w:val="00F94A63"/>
    <w:rsid w:val="00FA043A"/>
    <w:rsid w:val="00FC4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F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F54"/>
    <w:rPr>
      <w:rFonts w:ascii="Tahoma" w:hAnsi="Tahoma" w:cs="Tahoma"/>
      <w:sz w:val="16"/>
      <w:szCs w:val="16"/>
      <w:lang w:val="en-US"/>
    </w:rPr>
  </w:style>
  <w:style w:type="table" w:styleId="TabloKlavuzu">
    <w:name w:val="Table Grid"/>
    <w:basedOn w:val="NormalTablo"/>
    <w:uiPriority w:val="59"/>
    <w:rsid w:val="007C0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C0F54"/>
    <w:rPr>
      <w:color w:val="0000FF" w:themeColor="hyperlink"/>
      <w:u w:val="single"/>
    </w:rPr>
  </w:style>
  <w:style w:type="paragraph" w:customStyle="1" w:styleId="EndNoteBibliographyTitle">
    <w:name w:val="EndNote Bibliography Title"/>
    <w:basedOn w:val="Normal"/>
    <w:link w:val="EndNoteBibliographyTitleChar"/>
    <w:rsid w:val="00427126"/>
    <w:pPr>
      <w:spacing w:after="0"/>
      <w:jc w:val="center"/>
    </w:pPr>
    <w:rPr>
      <w:rFonts w:ascii="Calibri" w:hAnsi="Calibri"/>
      <w:noProof/>
    </w:rPr>
  </w:style>
  <w:style w:type="character" w:customStyle="1" w:styleId="EndNoteBibliographyTitleChar">
    <w:name w:val="EndNote Bibliography Title Char"/>
    <w:basedOn w:val="VarsaylanParagrafYazTipi"/>
    <w:link w:val="EndNoteBibliographyTitle"/>
    <w:rsid w:val="00427126"/>
    <w:rPr>
      <w:rFonts w:ascii="Calibri" w:hAnsi="Calibri"/>
      <w:noProof/>
      <w:lang w:val="en-US"/>
    </w:rPr>
  </w:style>
  <w:style w:type="paragraph" w:customStyle="1" w:styleId="EndNoteBibliography">
    <w:name w:val="EndNote Bibliography"/>
    <w:basedOn w:val="Normal"/>
    <w:link w:val="EndNoteBibliographyChar"/>
    <w:rsid w:val="00427126"/>
    <w:pPr>
      <w:spacing w:line="240" w:lineRule="auto"/>
    </w:pPr>
    <w:rPr>
      <w:rFonts w:ascii="Calibri" w:hAnsi="Calibri"/>
      <w:noProof/>
    </w:rPr>
  </w:style>
  <w:style w:type="character" w:customStyle="1" w:styleId="EndNoteBibliographyChar">
    <w:name w:val="EndNote Bibliography Char"/>
    <w:basedOn w:val="VarsaylanParagrafYazTipi"/>
    <w:link w:val="EndNoteBibliography"/>
    <w:rsid w:val="00427126"/>
    <w:rPr>
      <w:rFonts w:ascii="Calibri" w:hAnsi="Calibri"/>
      <w:noProof/>
      <w:lang w:val="en-US"/>
    </w:rPr>
  </w:style>
  <w:style w:type="character" w:customStyle="1" w:styleId="maintitle">
    <w:name w:val="maintitle"/>
    <w:basedOn w:val="VarsaylanParagrafYazTipi"/>
    <w:rsid w:val="00152AF7"/>
  </w:style>
  <w:style w:type="paragraph" w:styleId="ListeParagraf">
    <w:name w:val="List Paragraph"/>
    <w:basedOn w:val="Normal"/>
    <w:uiPriority w:val="34"/>
    <w:qFormat/>
    <w:rsid w:val="00D57AF6"/>
    <w:pPr>
      <w:ind w:left="720"/>
      <w:contextualSpacing/>
    </w:pPr>
  </w:style>
  <w:style w:type="character" w:styleId="AklamaBavurusu">
    <w:name w:val="annotation reference"/>
    <w:basedOn w:val="VarsaylanParagrafYazTipi"/>
    <w:uiPriority w:val="99"/>
    <w:semiHidden/>
    <w:unhideWhenUsed/>
    <w:rsid w:val="009D64E7"/>
    <w:rPr>
      <w:sz w:val="16"/>
      <w:szCs w:val="16"/>
    </w:rPr>
  </w:style>
  <w:style w:type="paragraph" w:styleId="AklamaMetni">
    <w:name w:val="annotation text"/>
    <w:basedOn w:val="Normal"/>
    <w:link w:val="AklamaMetniChar"/>
    <w:uiPriority w:val="99"/>
    <w:semiHidden/>
    <w:unhideWhenUsed/>
    <w:rsid w:val="009D64E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D64E7"/>
    <w:rPr>
      <w:sz w:val="20"/>
      <w:szCs w:val="20"/>
      <w:lang w:val="en-US"/>
    </w:rPr>
  </w:style>
  <w:style w:type="paragraph" w:styleId="AklamaKonusu">
    <w:name w:val="annotation subject"/>
    <w:basedOn w:val="AklamaMetni"/>
    <w:next w:val="AklamaMetni"/>
    <w:link w:val="AklamaKonusuChar"/>
    <w:uiPriority w:val="99"/>
    <w:semiHidden/>
    <w:unhideWhenUsed/>
    <w:rsid w:val="009D64E7"/>
    <w:rPr>
      <w:b/>
      <w:bCs/>
    </w:rPr>
  </w:style>
  <w:style w:type="character" w:customStyle="1" w:styleId="AklamaKonusuChar">
    <w:name w:val="Açıklama Konusu Char"/>
    <w:basedOn w:val="AklamaMetniChar"/>
    <w:link w:val="AklamaKonusu"/>
    <w:uiPriority w:val="99"/>
    <w:semiHidden/>
    <w:rsid w:val="009D64E7"/>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F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F54"/>
    <w:rPr>
      <w:rFonts w:ascii="Tahoma" w:hAnsi="Tahoma" w:cs="Tahoma"/>
      <w:sz w:val="16"/>
      <w:szCs w:val="16"/>
      <w:lang w:val="en-US"/>
    </w:rPr>
  </w:style>
  <w:style w:type="table" w:styleId="TabloKlavuzu">
    <w:name w:val="Table Grid"/>
    <w:basedOn w:val="NormalTablo"/>
    <w:uiPriority w:val="59"/>
    <w:rsid w:val="007C0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C0F54"/>
    <w:rPr>
      <w:color w:val="0000FF" w:themeColor="hyperlink"/>
      <w:u w:val="single"/>
    </w:rPr>
  </w:style>
  <w:style w:type="paragraph" w:customStyle="1" w:styleId="EndNoteBibliographyTitle">
    <w:name w:val="EndNote Bibliography Title"/>
    <w:basedOn w:val="Normal"/>
    <w:link w:val="EndNoteBibliographyTitleChar"/>
    <w:rsid w:val="00427126"/>
    <w:pPr>
      <w:spacing w:after="0"/>
      <w:jc w:val="center"/>
    </w:pPr>
    <w:rPr>
      <w:rFonts w:ascii="Calibri" w:hAnsi="Calibri"/>
      <w:noProof/>
    </w:rPr>
  </w:style>
  <w:style w:type="character" w:customStyle="1" w:styleId="EndNoteBibliographyTitleChar">
    <w:name w:val="EndNote Bibliography Title Char"/>
    <w:basedOn w:val="VarsaylanParagrafYazTipi"/>
    <w:link w:val="EndNoteBibliographyTitle"/>
    <w:rsid w:val="00427126"/>
    <w:rPr>
      <w:rFonts w:ascii="Calibri" w:hAnsi="Calibri"/>
      <w:noProof/>
      <w:lang w:val="en-US"/>
    </w:rPr>
  </w:style>
  <w:style w:type="paragraph" w:customStyle="1" w:styleId="EndNoteBibliography">
    <w:name w:val="EndNote Bibliography"/>
    <w:basedOn w:val="Normal"/>
    <w:link w:val="EndNoteBibliographyChar"/>
    <w:rsid w:val="00427126"/>
    <w:pPr>
      <w:spacing w:line="240" w:lineRule="auto"/>
    </w:pPr>
    <w:rPr>
      <w:rFonts w:ascii="Calibri" w:hAnsi="Calibri"/>
      <w:noProof/>
    </w:rPr>
  </w:style>
  <w:style w:type="character" w:customStyle="1" w:styleId="EndNoteBibliographyChar">
    <w:name w:val="EndNote Bibliography Char"/>
    <w:basedOn w:val="VarsaylanParagrafYazTipi"/>
    <w:link w:val="EndNoteBibliography"/>
    <w:rsid w:val="00427126"/>
    <w:rPr>
      <w:rFonts w:ascii="Calibri" w:hAnsi="Calibri"/>
      <w:noProof/>
      <w:lang w:val="en-US"/>
    </w:rPr>
  </w:style>
  <w:style w:type="character" w:customStyle="1" w:styleId="maintitle">
    <w:name w:val="maintitle"/>
    <w:basedOn w:val="VarsaylanParagrafYazTipi"/>
    <w:rsid w:val="00152AF7"/>
  </w:style>
  <w:style w:type="paragraph" w:styleId="ListeParagraf">
    <w:name w:val="List Paragraph"/>
    <w:basedOn w:val="Normal"/>
    <w:uiPriority w:val="34"/>
    <w:qFormat/>
    <w:rsid w:val="00D57AF6"/>
    <w:pPr>
      <w:ind w:left="720"/>
      <w:contextualSpacing/>
    </w:pPr>
  </w:style>
  <w:style w:type="character" w:styleId="AklamaBavurusu">
    <w:name w:val="annotation reference"/>
    <w:basedOn w:val="VarsaylanParagrafYazTipi"/>
    <w:uiPriority w:val="99"/>
    <w:semiHidden/>
    <w:unhideWhenUsed/>
    <w:rsid w:val="009D64E7"/>
    <w:rPr>
      <w:sz w:val="16"/>
      <w:szCs w:val="16"/>
    </w:rPr>
  </w:style>
  <w:style w:type="paragraph" w:styleId="AklamaMetni">
    <w:name w:val="annotation text"/>
    <w:basedOn w:val="Normal"/>
    <w:link w:val="AklamaMetniChar"/>
    <w:uiPriority w:val="99"/>
    <w:semiHidden/>
    <w:unhideWhenUsed/>
    <w:rsid w:val="009D64E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D64E7"/>
    <w:rPr>
      <w:sz w:val="20"/>
      <w:szCs w:val="20"/>
      <w:lang w:val="en-US"/>
    </w:rPr>
  </w:style>
  <w:style w:type="paragraph" w:styleId="AklamaKonusu">
    <w:name w:val="annotation subject"/>
    <w:basedOn w:val="AklamaMetni"/>
    <w:next w:val="AklamaMetni"/>
    <w:link w:val="AklamaKonusuChar"/>
    <w:uiPriority w:val="99"/>
    <w:semiHidden/>
    <w:unhideWhenUsed/>
    <w:rsid w:val="009D64E7"/>
    <w:rPr>
      <w:b/>
      <w:bCs/>
    </w:rPr>
  </w:style>
  <w:style w:type="character" w:customStyle="1" w:styleId="AklamaKonusuChar">
    <w:name w:val="Açıklama Konusu Char"/>
    <w:basedOn w:val="AklamaMetniChar"/>
    <w:link w:val="AklamaKonusu"/>
    <w:uiPriority w:val="99"/>
    <w:semiHidden/>
    <w:rsid w:val="009D64E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66">
      <w:bodyDiv w:val="1"/>
      <w:marLeft w:val="0"/>
      <w:marRight w:val="0"/>
      <w:marTop w:val="0"/>
      <w:marBottom w:val="0"/>
      <w:divBdr>
        <w:top w:val="none" w:sz="0" w:space="0" w:color="auto"/>
        <w:left w:val="none" w:sz="0" w:space="0" w:color="auto"/>
        <w:bottom w:val="none" w:sz="0" w:space="0" w:color="auto"/>
        <w:right w:val="none" w:sz="0" w:space="0" w:color="auto"/>
      </w:divBdr>
    </w:div>
    <w:div w:id="502206873">
      <w:bodyDiv w:val="1"/>
      <w:marLeft w:val="0"/>
      <w:marRight w:val="0"/>
      <w:marTop w:val="0"/>
      <w:marBottom w:val="0"/>
      <w:divBdr>
        <w:top w:val="none" w:sz="0" w:space="0" w:color="auto"/>
        <w:left w:val="none" w:sz="0" w:space="0" w:color="auto"/>
        <w:bottom w:val="none" w:sz="0" w:space="0" w:color="auto"/>
        <w:right w:val="none" w:sz="0" w:space="0" w:color="auto"/>
      </w:divBdr>
    </w:div>
    <w:div w:id="935092161">
      <w:bodyDiv w:val="1"/>
      <w:marLeft w:val="0"/>
      <w:marRight w:val="0"/>
      <w:marTop w:val="0"/>
      <w:marBottom w:val="0"/>
      <w:divBdr>
        <w:top w:val="none" w:sz="0" w:space="0" w:color="auto"/>
        <w:left w:val="none" w:sz="0" w:space="0" w:color="auto"/>
        <w:bottom w:val="none" w:sz="0" w:space="0" w:color="auto"/>
        <w:right w:val="none" w:sz="0" w:space="0" w:color="auto"/>
      </w:divBdr>
      <w:divsChild>
        <w:div w:id="1873686142">
          <w:marLeft w:val="547"/>
          <w:marRight w:val="0"/>
          <w:marTop w:val="0"/>
          <w:marBottom w:val="0"/>
          <w:divBdr>
            <w:top w:val="none" w:sz="0" w:space="0" w:color="auto"/>
            <w:left w:val="none" w:sz="0" w:space="0" w:color="auto"/>
            <w:bottom w:val="none" w:sz="0" w:space="0" w:color="auto"/>
            <w:right w:val="none" w:sz="0" w:space="0" w:color="auto"/>
          </w:divBdr>
        </w:div>
        <w:div w:id="853456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9336-8CC0-4662-AD88-6F3DDD58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9813</Characters>
  <Application>Microsoft Office Word</Application>
  <DocSecurity>0</DocSecurity>
  <Lines>81</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WASSENAAR, Leonard</dc:creator>
  <cp:lastModifiedBy>Kemal Doğan</cp:lastModifiedBy>
  <cp:revision>3</cp:revision>
  <dcterms:created xsi:type="dcterms:W3CDTF">2016-04-06T12:53:00Z</dcterms:created>
  <dcterms:modified xsi:type="dcterms:W3CDTF">2016-04-06T12:54:00Z</dcterms:modified>
</cp:coreProperties>
</file>