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2B0B" w:rsidRPr="007C0F54" w:rsidRDefault="00FC42A8" w:rsidP="001E2A23">
      <w:pPr>
        <w:rPr>
          <w:rFonts w:ascii="Times New Roman" w:hAnsi="Times New Roman" w:cs="Times New Roman"/>
          <w:b/>
          <w:caps/>
          <w:sz w:val="28"/>
        </w:rPr>
      </w:pPr>
      <w:r w:rsidRPr="007C0F54">
        <w:rPr>
          <w:rFonts w:ascii="Times New Roman" w:hAnsi="Times New Roman" w:cs="Times New Roman"/>
          <w:b/>
          <w:caps/>
          <w:sz w:val="28"/>
        </w:rPr>
        <w:t xml:space="preserve">This is the title of my </w:t>
      </w:r>
      <w:r w:rsidR="001E2A23">
        <w:rPr>
          <w:rFonts w:ascii="Times New Roman" w:hAnsi="Times New Roman" w:cs="Times New Roman"/>
          <w:b/>
          <w:caps/>
          <w:sz w:val="28"/>
        </w:rPr>
        <w:t xml:space="preserve">D&amp;ER </w:t>
      </w:r>
      <w:r w:rsidRPr="007C0F54">
        <w:rPr>
          <w:rFonts w:ascii="Times New Roman" w:hAnsi="Times New Roman" w:cs="Times New Roman"/>
          <w:b/>
          <w:caps/>
          <w:sz w:val="28"/>
        </w:rPr>
        <w:t>paper submitted to the 201</w:t>
      </w:r>
      <w:r w:rsidR="001E2A23">
        <w:rPr>
          <w:rFonts w:ascii="Times New Roman" w:hAnsi="Times New Roman" w:cs="Times New Roman"/>
          <w:b/>
          <w:caps/>
          <w:sz w:val="28"/>
        </w:rPr>
        <w:t>6</w:t>
      </w:r>
      <w:r w:rsidRPr="007C0F54">
        <w:rPr>
          <w:rFonts w:ascii="Times New Roman" w:hAnsi="Times New Roman" w:cs="Times New Roman"/>
          <w:b/>
          <w:caps/>
          <w:sz w:val="28"/>
        </w:rPr>
        <w:t xml:space="preserve"> </w:t>
      </w:r>
      <w:r w:rsidR="00427126">
        <w:rPr>
          <w:rFonts w:ascii="Times New Roman" w:hAnsi="Times New Roman" w:cs="Times New Roman"/>
          <w:b/>
          <w:caps/>
          <w:sz w:val="28"/>
        </w:rPr>
        <w:t xml:space="preserve">IAEA </w:t>
      </w:r>
      <w:r w:rsidR="001E2A23" w:rsidRPr="001E2A23">
        <w:rPr>
          <w:rFonts w:ascii="Times New Roman" w:hAnsi="Times New Roman" w:cs="Times New Roman"/>
          <w:b/>
          <w:caps/>
          <w:sz w:val="28"/>
        </w:rPr>
        <w:t>International Conference on</w:t>
      </w:r>
      <w:r w:rsidR="001E2A23">
        <w:rPr>
          <w:rFonts w:ascii="Times New Roman" w:hAnsi="Times New Roman" w:cs="Times New Roman"/>
          <w:b/>
          <w:caps/>
          <w:sz w:val="28"/>
        </w:rPr>
        <w:t xml:space="preserve"> </w:t>
      </w:r>
      <w:r w:rsidR="001E2A23" w:rsidRPr="001E2A23">
        <w:rPr>
          <w:rFonts w:ascii="Times New Roman" w:hAnsi="Times New Roman" w:cs="Times New Roman"/>
          <w:b/>
          <w:caps/>
          <w:sz w:val="28"/>
        </w:rPr>
        <w:t>Advancing the Global Implementation of Decommissioning and Environmental Remediation Programmes</w:t>
      </w:r>
    </w:p>
    <w:p w:rsidR="00152AF7" w:rsidRPr="001E2A23" w:rsidRDefault="001E2A23" w:rsidP="00152AF7">
      <w:pPr>
        <w:spacing w:after="0" w:line="240" w:lineRule="auto"/>
        <w:rPr>
          <w:rFonts w:ascii="time" w:hAnsi="time" w:cs="Times New Roman"/>
          <w:sz w:val="24"/>
          <w:szCs w:val="24"/>
          <w:lang w:val="en-GB"/>
        </w:rPr>
      </w:pPr>
      <w:r w:rsidRPr="001E2A23">
        <w:rPr>
          <w:rFonts w:ascii="time" w:hAnsi="time" w:cs="Times New Roman"/>
          <w:sz w:val="24"/>
          <w:szCs w:val="24"/>
          <w:lang w:val="en-GB"/>
        </w:rPr>
        <w:t>LJUBENOV, Vladan</w:t>
      </w:r>
      <w:r w:rsidR="00FC42A8" w:rsidRPr="001E2A23">
        <w:rPr>
          <w:rFonts w:ascii="time" w:hAnsi="time" w:cs="Times New Roman"/>
          <w:sz w:val="24"/>
          <w:szCs w:val="24"/>
          <w:lang w:val="en-GB"/>
        </w:rPr>
        <w:t>,</w:t>
      </w:r>
    </w:p>
    <w:p w:rsidR="00152AF7" w:rsidRDefault="001E2A23" w:rsidP="001E2A23">
      <w:pPr>
        <w:spacing w:after="0" w:line="240" w:lineRule="auto"/>
        <w:rPr>
          <w:rFonts w:ascii="time" w:hAnsi="time"/>
          <w:sz w:val="24"/>
        </w:rPr>
      </w:pPr>
      <w:r w:rsidRPr="001E2A23">
        <w:rPr>
          <w:rFonts w:ascii="time" w:hAnsi="time"/>
          <w:sz w:val="24"/>
        </w:rPr>
        <w:t>Decomm</w:t>
      </w:r>
      <w:r>
        <w:rPr>
          <w:rFonts w:ascii="time" w:hAnsi="time"/>
          <w:sz w:val="24"/>
        </w:rPr>
        <w:t xml:space="preserve">issioning and Remediation Unit, </w:t>
      </w:r>
      <w:r w:rsidRPr="001E2A23">
        <w:rPr>
          <w:rFonts w:ascii="time" w:hAnsi="time"/>
          <w:sz w:val="24"/>
        </w:rPr>
        <w:t>Waste an</w:t>
      </w:r>
      <w:r>
        <w:rPr>
          <w:rFonts w:ascii="time" w:hAnsi="time"/>
          <w:sz w:val="24"/>
        </w:rPr>
        <w:t>d Environmental Safety Section,</w:t>
      </w:r>
      <w:r w:rsidR="00FC42A8" w:rsidRPr="00FC42A8">
        <w:rPr>
          <w:rFonts w:ascii="time" w:hAnsi="time"/>
          <w:sz w:val="24"/>
        </w:rPr>
        <w:t xml:space="preserve"> </w:t>
      </w:r>
      <w:r w:rsidR="00FC42A8">
        <w:rPr>
          <w:rFonts w:ascii="time" w:hAnsi="time"/>
          <w:sz w:val="24"/>
        </w:rPr>
        <w:t>Address and Street, Vienna</w:t>
      </w:r>
      <w:r w:rsidR="00FC42A8" w:rsidRPr="00FC42A8">
        <w:rPr>
          <w:rFonts w:ascii="time" w:hAnsi="time"/>
          <w:sz w:val="24"/>
        </w:rPr>
        <w:t>, Austria</w:t>
      </w:r>
    </w:p>
    <w:p w:rsidR="00152AF7" w:rsidRDefault="007C0F54" w:rsidP="00152AF7">
      <w:pPr>
        <w:spacing w:after="0" w:line="240" w:lineRule="auto"/>
        <w:rPr>
          <w:rFonts w:ascii="time" w:hAnsi="time"/>
          <w:sz w:val="24"/>
        </w:rPr>
      </w:pPr>
      <w:r>
        <w:rPr>
          <w:rFonts w:ascii="time" w:hAnsi="time"/>
          <w:sz w:val="24"/>
        </w:rPr>
        <w:t>E</w:t>
      </w:r>
      <w:r w:rsidR="00152AF7">
        <w:rPr>
          <w:rFonts w:ascii="time" w:hAnsi="time"/>
          <w:sz w:val="24"/>
        </w:rPr>
        <w:t>-</w:t>
      </w:r>
      <w:r>
        <w:rPr>
          <w:rFonts w:ascii="time" w:hAnsi="time"/>
          <w:sz w:val="24"/>
        </w:rPr>
        <w:t xml:space="preserve">mail address: </w:t>
      </w:r>
      <w:r w:rsidR="001E2A23" w:rsidRPr="001E2A23">
        <w:rPr>
          <w:rFonts w:ascii="time" w:hAnsi="time"/>
          <w:sz w:val="24"/>
        </w:rPr>
        <w:t>V.Ljubenov@iaea.org</w:t>
      </w:r>
    </w:p>
    <w:p w:rsidR="00D76CF3" w:rsidRDefault="00D76CF3" w:rsidP="00E847B5">
      <w:pPr>
        <w:spacing w:line="240" w:lineRule="auto"/>
        <w:rPr>
          <w:rFonts w:ascii="time" w:hAnsi="time"/>
          <w:b/>
          <w:sz w:val="24"/>
        </w:rPr>
      </w:pPr>
    </w:p>
    <w:p w:rsidR="007C0F54" w:rsidRDefault="00152AF7" w:rsidP="00E847B5">
      <w:pPr>
        <w:spacing w:line="240" w:lineRule="auto"/>
        <w:rPr>
          <w:rFonts w:ascii="time" w:hAnsi="time"/>
          <w:sz w:val="24"/>
        </w:rPr>
      </w:pPr>
      <w:r w:rsidRPr="00152AF7">
        <w:rPr>
          <w:rFonts w:ascii="time" w:hAnsi="time"/>
          <w:b/>
          <w:sz w:val="24"/>
        </w:rPr>
        <w:t>Abstract:</w:t>
      </w:r>
      <w:r>
        <w:rPr>
          <w:rFonts w:ascii="time" w:hAnsi="time"/>
          <w:sz w:val="24"/>
        </w:rPr>
        <w:t xml:space="preserve"> </w:t>
      </w:r>
      <w:r w:rsidR="004426A8">
        <w:rPr>
          <w:rFonts w:ascii="time" w:hAnsi="time"/>
          <w:sz w:val="24"/>
        </w:rPr>
        <w:t xml:space="preserve">The Conference </w:t>
      </w:r>
      <w:r w:rsidR="00C21AC7">
        <w:rPr>
          <w:rFonts w:ascii="time" w:hAnsi="time"/>
          <w:sz w:val="24"/>
        </w:rPr>
        <w:t xml:space="preserve">will cover </w:t>
      </w:r>
      <w:r w:rsidR="007C0F54" w:rsidRPr="007C0F54">
        <w:rPr>
          <w:rFonts w:ascii="time" w:hAnsi="time"/>
          <w:sz w:val="24"/>
        </w:rPr>
        <w:t xml:space="preserve">various areas of </w:t>
      </w:r>
      <w:r w:rsidR="001E2A23">
        <w:rPr>
          <w:rFonts w:ascii="time" w:hAnsi="time"/>
          <w:sz w:val="24"/>
        </w:rPr>
        <w:t xml:space="preserve">decommissioning and environmental remediation </w:t>
      </w:r>
      <w:r w:rsidR="00D76CF3">
        <w:rPr>
          <w:rFonts w:ascii="time" w:hAnsi="time"/>
          <w:sz w:val="24"/>
        </w:rPr>
        <w:t xml:space="preserve">(D&amp;ER) </w:t>
      </w:r>
      <w:r w:rsidR="00C21AC7">
        <w:rPr>
          <w:rFonts w:ascii="time" w:hAnsi="time"/>
          <w:sz w:val="24"/>
        </w:rPr>
        <w:t>and will be organized around the following topics:</w:t>
      </w:r>
      <w:r w:rsidR="00E847B5">
        <w:rPr>
          <w:rFonts w:ascii="time" w:hAnsi="time"/>
          <w:sz w:val="24"/>
        </w:rPr>
        <w:t xml:space="preserve"> n</w:t>
      </w:r>
      <w:r w:rsidR="00E847B5" w:rsidRPr="00E847B5">
        <w:rPr>
          <w:rFonts w:ascii="time" w:hAnsi="time"/>
          <w:sz w:val="24"/>
        </w:rPr>
        <w:t>ational policies and st</w:t>
      </w:r>
      <w:r w:rsidR="00D76CF3">
        <w:rPr>
          <w:rFonts w:ascii="time" w:hAnsi="time"/>
          <w:sz w:val="24"/>
        </w:rPr>
        <w:t>rategies to enable and enhance D&amp;ER</w:t>
      </w:r>
      <w:r w:rsidR="00E847B5">
        <w:rPr>
          <w:rFonts w:ascii="time" w:hAnsi="time"/>
          <w:sz w:val="24"/>
        </w:rPr>
        <w:t>, r</w:t>
      </w:r>
      <w:r w:rsidR="00E847B5" w:rsidRPr="00E847B5">
        <w:rPr>
          <w:rFonts w:ascii="time" w:hAnsi="time"/>
          <w:sz w:val="24"/>
        </w:rPr>
        <w:t>egulatory framework and standards</w:t>
      </w:r>
      <w:r w:rsidR="00D76CF3">
        <w:rPr>
          <w:rFonts w:ascii="time" w:hAnsi="time"/>
          <w:sz w:val="24"/>
        </w:rPr>
        <w:t xml:space="preserve"> for D&amp;ER</w:t>
      </w:r>
      <w:r w:rsidR="00E847B5">
        <w:rPr>
          <w:rFonts w:ascii="time" w:hAnsi="time"/>
          <w:sz w:val="24"/>
        </w:rPr>
        <w:t>, d</w:t>
      </w:r>
      <w:r w:rsidR="00E847B5" w:rsidRPr="00E847B5">
        <w:rPr>
          <w:rFonts w:ascii="time" w:hAnsi="time"/>
          <w:sz w:val="24"/>
        </w:rPr>
        <w:t xml:space="preserve">ecision-making process: societal and stakeholder involvement during the life cycle of </w:t>
      </w:r>
      <w:r w:rsidR="00D76CF3">
        <w:rPr>
          <w:rFonts w:ascii="time" w:hAnsi="time"/>
          <w:sz w:val="24"/>
        </w:rPr>
        <w:t xml:space="preserve">D&amp;ER </w:t>
      </w:r>
      <w:r w:rsidR="00E847B5" w:rsidRPr="00E847B5">
        <w:rPr>
          <w:rFonts w:ascii="time" w:hAnsi="time"/>
          <w:sz w:val="24"/>
        </w:rPr>
        <w:t>projects</w:t>
      </w:r>
      <w:r w:rsidR="00E847B5">
        <w:rPr>
          <w:rFonts w:ascii="time" w:hAnsi="time"/>
          <w:sz w:val="24"/>
        </w:rPr>
        <w:t>, t</w:t>
      </w:r>
      <w:r w:rsidR="00E847B5" w:rsidRPr="00E847B5">
        <w:rPr>
          <w:rFonts w:ascii="time" w:hAnsi="time"/>
          <w:sz w:val="24"/>
        </w:rPr>
        <w:t xml:space="preserve">echnical and technological aspects of </w:t>
      </w:r>
      <w:r w:rsidR="00D76CF3">
        <w:rPr>
          <w:rFonts w:ascii="time" w:hAnsi="time"/>
          <w:sz w:val="24"/>
        </w:rPr>
        <w:t xml:space="preserve">D&amp;ER </w:t>
      </w:r>
      <w:r w:rsidR="00E847B5" w:rsidRPr="00E847B5">
        <w:rPr>
          <w:rFonts w:ascii="time" w:hAnsi="time"/>
          <w:sz w:val="24"/>
        </w:rPr>
        <w:t>(involving parallel sessions for decommissioning and environmental remediation)</w:t>
      </w:r>
      <w:r w:rsidR="00E847B5">
        <w:rPr>
          <w:rFonts w:ascii="time" w:hAnsi="time"/>
          <w:sz w:val="24"/>
        </w:rPr>
        <w:t>, p</w:t>
      </w:r>
      <w:r w:rsidR="00E847B5" w:rsidRPr="00E847B5">
        <w:rPr>
          <w:rFonts w:ascii="time" w:hAnsi="time"/>
          <w:sz w:val="24"/>
        </w:rPr>
        <w:t>roject management and supply chain considerations</w:t>
      </w:r>
      <w:r w:rsidR="00E847B5">
        <w:rPr>
          <w:rFonts w:ascii="time" w:hAnsi="time"/>
          <w:sz w:val="24"/>
        </w:rPr>
        <w:t>, o</w:t>
      </w:r>
      <w:r w:rsidR="00E847B5" w:rsidRPr="00E847B5">
        <w:rPr>
          <w:rFonts w:ascii="time" w:hAnsi="time"/>
          <w:sz w:val="24"/>
        </w:rPr>
        <w:t xml:space="preserve">ptimizing waste and materials management in </w:t>
      </w:r>
      <w:r w:rsidR="00D76CF3">
        <w:rPr>
          <w:rFonts w:ascii="time" w:hAnsi="time"/>
          <w:sz w:val="24"/>
        </w:rPr>
        <w:t xml:space="preserve">D&amp;ER </w:t>
      </w:r>
      <w:r w:rsidR="00E847B5">
        <w:rPr>
          <w:rFonts w:ascii="time" w:hAnsi="time"/>
          <w:sz w:val="24"/>
        </w:rPr>
        <w:t>and i</w:t>
      </w:r>
      <w:r w:rsidR="00E847B5" w:rsidRPr="00E847B5">
        <w:rPr>
          <w:rFonts w:ascii="time" w:hAnsi="time"/>
          <w:sz w:val="24"/>
        </w:rPr>
        <w:t>nternational cooperation</w:t>
      </w:r>
      <w:r w:rsidR="00E847B5">
        <w:rPr>
          <w:rFonts w:ascii="time" w:hAnsi="time"/>
          <w:sz w:val="24"/>
        </w:rPr>
        <w:t>.</w:t>
      </w:r>
      <w:r w:rsidR="00E847B5" w:rsidRPr="00E847B5">
        <w:rPr>
          <w:rFonts w:ascii="time" w:hAnsi="time"/>
          <w:sz w:val="24"/>
        </w:rPr>
        <w:t xml:space="preserve"> </w:t>
      </w:r>
      <w:r w:rsidR="00C21AC7" w:rsidRPr="00C21AC7">
        <w:rPr>
          <w:rFonts w:ascii="time" w:hAnsi="time"/>
          <w:sz w:val="24"/>
        </w:rPr>
        <w:t>Experts from Member States who wish to present a paper at the conference must submit an extended synopsis (in English) with 300 to 800 words (i.e. two A4 format pages of single spaced typing, or the equivalent, including any tables or diagrams and a few pertinent references) to be uploaded to the conference’s web browser-based file submission system (IAEA-INDICO) by 16 November 2015. No other submission route will be accepted</w:t>
      </w:r>
      <w:r w:rsidR="00C21AC7">
        <w:rPr>
          <w:rFonts w:ascii="time" w:hAnsi="time"/>
          <w:sz w:val="24"/>
        </w:rPr>
        <w:t xml:space="preserve">. </w:t>
      </w:r>
      <w:r w:rsidR="007C0F54" w:rsidRPr="007C0F54">
        <w:rPr>
          <w:rFonts w:ascii="time" w:hAnsi="time"/>
          <w:sz w:val="24"/>
        </w:rPr>
        <w:t xml:space="preserve">Where the number of oral requests exceeds slots available, the IAEA reserves the right to assign papers to an appropriate poster session. </w:t>
      </w:r>
      <w:bookmarkStart w:id="0" w:name="_GoBack"/>
      <w:bookmarkEnd w:id="0"/>
      <w:r w:rsidR="007C0F54" w:rsidRPr="007C0F54">
        <w:rPr>
          <w:rFonts w:ascii="time" w:hAnsi="time"/>
          <w:sz w:val="24"/>
        </w:rPr>
        <w:t xml:space="preserve">A Book of </w:t>
      </w:r>
      <w:r>
        <w:rPr>
          <w:rFonts w:ascii="time" w:hAnsi="time"/>
          <w:sz w:val="24"/>
        </w:rPr>
        <w:t>Synops</w:t>
      </w:r>
      <w:r w:rsidR="00B458AF">
        <w:rPr>
          <w:rFonts w:ascii="time" w:hAnsi="time"/>
          <w:sz w:val="24"/>
        </w:rPr>
        <w:t>e</w:t>
      </w:r>
      <w:r>
        <w:rPr>
          <w:rFonts w:ascii="time" w:hAnsi="time"/>
          <w:sz w:val="24"/>
        </w:rPr>
        <w:t>s</w:t>
      </w:r>
      <w:r w:rsidR="007C0F54" w:rsidRPr="007C0F54">
        <w:rPr>
          <w:rFonts w:ascii="time" w:hAnsi="time"/>
          <w:sz w:val="24"/>
        </w:rPr>
        <w:t xml:space="preserve"> of accepted contributions will be made available online about one week befor</w:t>
      </w:r>
      <w:r>
        <w:rPr>
          <w:rFonts w:ascii="time" w:hAnsi="time"/>
          <w:sz w:val="24"/>
        </w:rPr>
        <w:t xml:space="preserve">e the opening of the </w:t>
      </w:r>
      <w:r w:rsidR="00AD16F1">
        <w:rPr>
          <w:rFonts w:ascii="time" w:hAnsi="time"/>
          <w:sz w:val="24"/>
        </w:rPr>
        <w:t>Conference</w:t>
      </w:r>
      <w:r w:rsidR="004426A8" w:rsidRPr="004426A8">
        <w:rPr>
          <w:rFonts w:ascii="time" w:hAnsi="time"/>
          <w:sz w:val="24"/>
        </w:rPr>
        <w:t>.</w:t>
      </w:r>
    </w:p>
    <w:p w:rsidR="004426A8" w:rsidRDefault="004426A8">
      <w:pPr>
        <w:rPr>
          <w:rFonts w:ascii="time" w:hAnsi="time"/>
          <w:sz w:val="24"/>
        </w:rPr>
      </w:pPr>
    </w:p>
    <w:p w:rsidR="00152AF7" w:rsidRDefault="00152AF7">
      <w:pPr>
        <w:rPr>
          <w:rFonts w:ascii="time" w:hAnsi="time"/>
          <w:sz w:val="24"/>
        </w:rPr>
      </w:pPr>
      <w:r>
        <w:rPr>
          <w:rFonts w:ascii="time" w:hAnsi="time"/>
          <w:sz w:val="24"/>
        </w:rPr>
        <w:t>1. INTRODUCTION</w:t>
      </w:r>
    </w:p>
    <w:p w:rsidR="00FC42A8" w:rsidRDefault="007C0F54" w:rsidP="005C687F">
      <w:pPr>
        <w:spacing w:line="240" w:lineRule="auto"/>
        <w:rPr>
          <w:rFonts w:ascii="time" w:hAnsi="time"/>
          <w:sz w:val="24"/>
        </w:rPr>
      </w:pPr>
      <w:r w:rsidRPr="007C0F54">
        <w:rPr>
          <w:rFonts w:ascii="time" w:hAnsi="time"/>
          <w:sz w:val="24"/>
        </w:rPr>
        <w:t xml:space="preserve">The first step in submission requires creation of a user account on the INDICO conference system, using the 'Login' tab in the top right corner of the page. If you are already a registered INDICO user, please log into the system. </w:t>
      </w:r>
    </w:p>
    <w:p w:rsidR="00152AF7" w:rsidRDefault="00152AF7">
      <w:pPr>
        <w:rPr>
          <w:rFonts w:ascii="time" w:hAnsi="time"/>
          <w:sz w:val="24"/>
        </w:rPr>
      </w:pPr>
      <w:r>
        <w:rPr>
          <w:rFonts w:ascii="time" w:hAnsi="time"/>
          <w:sz w:val="24"/>
        </w:rPr>
        <w:t>2. METHDOS</w:t>
      </w:r>
    </w:p>
    <w:p w:rsidR="00FC42A8" w:rsidRDefault="006F7891">
      <w:pPr>
        <w:rPr>
          <w:rFonts w:ascii="time" w:hAnsi="time"/>
          <w:sz w:val="24"/>
        </w:rPr>
      </w:pPr>
      <w:r>
        <w:rPr>
          <w:rFonts w:ascii="time" w:hAnsi="time"/>
          <w:sz w:val="24"/>
        </w:rPr>
        <w:t xml:space="preserve">Figure 1 shows </w:t>
      </w:r>
      <w:r w:rsidR="00427126">
        <w:rPr>
          <w:rFonts w:ascii="time" w:hAnsi="time"/>
          <w:sz w:val="24"/>
        </w:rPr>
        <w:t xml:space="preserve">an example of </w:t>
      </w:r>
      <w:r>
        <w:rPr>
          <w:rFonts w:ascii="time" w:hAnsi="time"/>
          <w:sz w:val="24"/>
        </w:rPr>
        <w:t>m</w:t>
      </w:r>
      <w:r w:rsidRPr="006F7891">
        <w:rPr>
          <w:rFonts w:ascii="time" w:hAnsi="time"/>
          <w:sz w:val="24"/>
        </w:rPr>
        <w:t>etal decontamination by grinding</w:t>
      </w:r>
      <w:r>
        <w:rPr>
          <w:rFonts w:ascii="time" w:hAnsi="time"/>
          <w:sz w:val="24"/>
        </w:rPr>
        <w:t xml:space="preserve"> in </w:t>
      </w:r>
      <w:r w:rsidR="001E2A23">
        <w:rPr>
          <w:rFonts w:ascii="time" w:hAnsi="time"/>
          <w:sz w:val="24"/>
        </w:rPr>
        <w:t>a facility being d</w:t>
      </w:r>
      <w:r>
        <w:rPr>
          <w:rFonts w:ascii="time" w:hAnsi="time"/>
          <w:sz w:val="24"/>
        </w:rPr>
        <w:t xml:space="preserve">ecommissioned </w:t>
      </w:r>
      <w:r w:rsidR="007C0F54">
        <w:rPr>
          <w:rFonts w:ascii="time" w:hAnsi="time"/>
          <w:sz w:val="24"/>
        </w:rPr>
        <w:t xml:space="preserve">in </w:t>
      </w:r>
      <w:r>
        <w:rPr>
          <w:rFonts w:ascii="time" w:hAnsi="time"/>
          <w:sz w:val="24"/>
        </w:rPr>
        <w:t xml:space="preserve">Sellafield. </w:t>
      </w:r>
      <w:r w:rsidR="007C0F54">
        <w:rPr>
          <w:rFonts w:ascii="time" w:hAnsi="time"/>
          <w:sz w:val="24"/>
        </w:rPr>
        <w:t>Figure 1:</w:t>
      </w:r>
    </w:p>
    <w:p w:rsidR="004426A8" w:rsidRDefault="004426A8">
      <w:pPr>
        <w:rPr>
          <w:rFonts w:ascii="time" w:hAnsi="time"/>
          <w:sz w:val="24"/>
        </w:rPr>
      </w:pPr>
    </w:p>
    <w:p w:rsidR="007C0F54" w:rsidRPr="007C0F54" w:rsidRDefault="006F7891" w:rsidP="00427126">
      <w:pPr>
        <w:rPr>
          <w:rFonts w:ascii="time" w:hAnsi="time"/>
          <w:i/>
          <w:sz w:val="24"/>
        </w:rPr>
      </w:pPr>
      <w:r>
        <w:rPr>
          <w:noProof/>
          <w:lang w:val="en-GB" w:eastAsia="en-GB"/>
        </w:rPr>
        <w:drawing>
          <wp:inline distT="0" distB="0" distL="0" distR="0" wp14:anchorId="25A50D62" wp14:editId="255749BA">
            <wp:extent cx="994356" cy="13364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995789" cy="1338357"/>
                    </a:xfrm>
                    <a:prstGeom prst="rect">
                      <a:avLst/>
                    </a:prstGeom>
                  </pic:spPr>
                </pic:pic>
              </a:graphicData>
            </a:graphic>
          </wp:inline>
        </w:drawing>
      </w:r>
      <w:r w:rsidR="007C0F54">
        <w:rPr>
          <w:rFonts w:ascii="time" w:hAnsi="time"/>
          <w:sz w:val="24"/>
        </w:rPr>
        <w:br/>
      </w:r>
      <w:proofErr w:type="gramStart"/>
      <w:r w:rsidR="007C0F54" w:rsidRPr="007C0F54">
        <w:rPr>
          <w:rFonts w:ascii="time" w:hAnsi="time"/>
          <w:i/>
          <w:sz w:val="24"/>
        </w:rPr>
        <w:t>Figure 1.</w:t>
      </w:r>
      <w:proofErr w:type="gramEnd"/>
      <w:r w:rsidR="007C0F54" w:rsidRPr="007C0F54">
        <w:rPr>
          <w:rFonts w:ascii="time" w:hAnsi="time"/>
          <w:i/>
          <w:sz w:val="24"/>
        </w:rPr>
        <w:t xml:space="preserve"> </w:t>
      </w:r>
      <w:r w:rsidRPr="006F7891">
        <w:rPr>
          <w:rFonts w:ascii="time" w:hAnsi="time"/>
          <w:i/>
          <w:sz w:val="24"/>
        </w:rPr>
        <w:t>Metal decontamination by grinding</w:t>
      </w:r>
      <w:r w:rsidR="007C0F54" w:rsidRPr="007C0F54">
        <w:rPr>
          <w:rFonts w:ascii="time" w:hAnsi="time"/>
          <w:i/>
          <w:sz w:val="24"/>
        </w:rPr>
        <w:t>.</w:t>
      </w:r>
    </w:p>
    <w:p w:rsidR="00152AF7" w:rsidRDefault="00152AF7">
      <w:pPr>
        <w:rPr>
          <w:rFonts w:ascii="time" w:hAnsi="time"/>
          <w:sz w:val="24"/>
        </w:rPr>
      </w:pPr>
      <w:r>
        <w:rPr>
          <w:rFonts w:ascii="time" w:hAnsi="time"/>
          <w:sz w:val="24"/>
        </w:rPr>
        <w:lastRenderedPageBreak/>
        <w:t>3. RESULTS</w:t>
      </w:r>
    </w:p>
    <w:p w:rsidR="007C0F54" w:rsidRDefault="007C0F54" w:rsidP="005C687F">
      <w:pPr>
        <w:spacing w:line="240" w:lineRule="auto"/>
        <w:rPr>
          <w:rFonts w:ascii="time" w:hAnsi="time"/>
          <w:sz w:val="24"/>
        </w:rPr>
      </w:pPr>
      <w:r w:rsidRPr="007C0F54">
        <w:rPr>
          <w:rFonts w:ascii="time" w:hAnsi="time"/>
          <w:sz w:val="24"/>
        </w:rPr>
        <w:t xml:space="preserve">The first step in submission requires creation of a user account on the INDICO conference system, using the 'Login' tab in the top right corner of the page. If you are already a registered INDICO user, please log into the system. </w:t>
      </w:r>
      <w:r w:rsidR="00E847B5" w:rsidRPr="00E847B5">
        <w:rPr>
          <w:rFonts w:ascii="time" w:hAnsi="time"/>
          <w:sz w:val="24"/>
        </w:rPr>
        <w:t xml:space="preserve">Summary of Constraints and Strategies </w:t>
      </w:r>
      <w:r w:rsidR="00E847B5">
        <w:rPr>
          <w:rFonts w:ascii="time" w:hAnsi="time"/>
          <w:sz w:val="24"/>
        </w:rPr>
        <w:t xml:space="preserve">in Decommissioning and Environmental Remediation </w:t>
      </w:r>
      <w:r>
        <w:rPr>
          <w:rFonts w:ascii="time" w:hAnsi="time"/>
          <w:sz w:val="24"/>
        </w:rPr>
        <w:t>are tabulated in in Table 1 as shown below:</w:t>
      </w:r>
    </w:p>
    <w:p w:rsidR="007C0F54" w:rsidRPr="007C0F54" w:rsidRDefault="007C0F54">
      <w:pPr>
        <w:rPr>
          <w:rFonts w:ascii="time" w:hAnsi="time"/>
          <w:i/>
          <w:sz w:val="24"/>
        </w:rPr>
      </w:pPr>
      <w:proofErr w:type="gramStart"/>
      <w:r w:rsidRPr="007C0F54">
        <w:rPr>
          <w:rFonts w:ascii="time" w:hAnsi="time"/>
          <w:i/>
          <w:sz w:val="24"/>
        </w:rPr>
        <w:t>Table 1.</w:t>
      </w:r>
      <w:proofErr w:type="gramEnd"/>
      <w:r w:rsidRPr="007C0F54">
        <w:rPr>
          <w:rFonts w:ascii="time" w:hAnsi="time"/>
          <w:i/>
          <w:sz w:val="24"/>
        </w:rPr>
        <w:t xml:space="preserve">  </w:t>
      </w:r>
      <w:proofErr w:type="gramStart"/>
      <w:r w:rsidR="00E847B5" w:rsidRPr="00E847B5">
        <w:rPr>
          <w:rFonts w:ascii="time" w:hAnsi="time"/>
          <w:i/>
          <w:sz w:val="24"/>
        </w:rPr>
        <w:t>Summary of Constraints and Strategies – Resource Issues</w:t>
      </w:r>
      <w:r w:rsidRPr="007C0F54">
        <w:rPr>
          <w:rFonts w:ascii="time" w:hAnsi="time"/>
          <w:i/>
          <w:sz w:val="24"/>
        </w:rPr>
        <w:t>.</w:t>
      </w:r>
      <w:proofErr w:type="gramEnd"/>
    </w:p>
    <w:tbl>
      <w:tblPr>
        <w:tblStyle w:val="TableGrid"/>
        <w:tblW w:w="0" w:type="auto"/>
        <w:jc w:val="center"/>
        <w:tblLook w:val="04A0" w:firstRow="1" w:lastRow="0" w:firstColumn="1" w:lastColumn="0" w:noHBand="0" w:noVBand="1"/>
      </w:tblPr>
      <w:tblGrid>
        <w:gridCol w:w="2210"/>
        <w:gridCol w:w="6700"/>
      </w:tblGrid>
      <w:tr w:rsidR="00E847B5" w:rsidRPr="00E847B5" w:rsidTr="004426A8">
        <w:trPr>
          <w:jc w:val="center"/>
        </w:trPr>
        <w:tc>
          <w:tcPr>
            <w:tcW w:w="2210" w:type="dxa"/>
          </w:tcPr>
          <w:p w:rsidR="00E847B5" w:rsidRPr="00E847B5" w:rsidRDefault="00E847B5" w:rsidP="00D76CF3">
            <w:pPr>
              <w:jc w:val="center"/>
              <w:rPr>
                <w:rFonts w:ascii="time" w:hAnsi="time"/>
                <w:sz w:val="24"/>
                <w:lang w:val="en-GB"/>
              </w:rPr>
            </w:pPr>
            <w:r w:rsidRPr="00E847B5">
              <w:rPr>
                <w:rFonts w:ascii="time" w:hAnsi="time"/>
                <w:sz w:val="24"/>
                <w:lang w:val="en-GB"/>
              </w:rPr>
              <w:t>Constraint</w:t>
            </w:r>
          </w:p>
        </w:tc>
        <w:tc>
          <w:tcPr>
            <w:tcW w:w="6700" w:type="dxa"/>
          </w:tcPr>
          <w:p w:rsidR="00E847B5" w:rsidRPr="00E847B5" w:rsidRDefault="00E847B5" w:rsidP="00D76CF3">
            <w:pPr>
              <w:jc w:val="center"/>
              <w:rPr>
                <w:rFonts w:ascii="time" w:hAnsi="time"/>
                <w:sz w:val="24"/>
                <w:lang w:val="en-GB"/>
              </w:rPr>
            </w:pPr>
            <w:r w:rsidRPr="00E847B5">
              <w:rPr>
                <w:rFonts w:ascii="time" w:hAnsi="time"/>
                <w:sz w:val="24"/>
                <w:lang w:val="en-GB"/>
              </w:rPr>
              <w:t>Solution</w:t>
            </w:r>
          </w:p>
        </w:tc>
      </w:tr>
      <w:tr w:rsidR="00E847B5" w:rsidRPr="00E847B5" w:rsidTr="004426A8">
        <w:trPr>
          <w:jc w:val="center"/>
        </w:trPr>
        <w:tc>
          <w:tcPr>
            <w:tcW w:w="2210" w:type="dxa"/>
          </w:tcPr>
          <w:p w:rsidR="00E847B5" w:rsidRPr="00E847B5" w:rsidRDefault="00E847B5" w:rsidP="00E847B5">
            <w:pPr>
              <w:rPr>
                <w:rFonts w:ascii="time" w:hAnsi="time"/>
                <w:sz w:val="24"/>
                <w:lang w:val="en-GB"/>
              </w:rPr>
            </w:pPr>
            <w:r w:rsidRPr="00E847B5">
              <w:rPr>
                <w:rFonts w:ascii="time" w:hAnsi="time"/>
                <w:sz w:val="24"/>
                <w:lang w:val="en-GB"/>
              </w:rPr>
              <w:t>Inadequate funding and cooperation</w:t>
            </w:r>
          </w:p>
        </w:tc>
        <w:tc>
          <w:tcPr>
            <w:tcW w:w="6700" w:type="dxa"/>
          </w:tcPr>
          <w:p w:rsidR="00E847B5" w:rsidRPr="00E847B5" w:rsidRDefault="00E847B5" w:rsidP="00E847B5">
            <w:pPr>
              <w:rPr>
                <w:rFonts w:ascii="time" w:hAnsi="time"/>
                <w:sz w:val="24"/>
                <w:lang w:val="en-GB"/>
              </w:rPr>
            </w:pPr>
            <w:r w:rsidRPr="00E847B5">
              <w:rPr>
                <w:rFonts w:ascii="time" w:hAnsi="time"/>
                <w:sz w:val="24"/>
                <w:lang w:val="en-GB"/>
              </w:rPr>
              <w:t>Establish an independent D&amp;ER fund early in the facilities lifecycle to collect funds during operation</w:t>
            </w:r>
          </w:p>
          <w:p w:rsidR="00E847B5" w:rsidRPr="00E847B5" w:rsidRDefault="00E847B5" w:rsidP="00E847B5">
            <w:pPr>
              <w:rPr>
                <w:rFonts w:ascii="time" w:hAnsi="time"/>
                <w:sz w:val="24"/>
                <w:lang w:val="en-GB"/>
              </w:rPr>
            </w:pPr>
            <w:r w:rsidRPr="00E847B5">
              <w:rPr>
                <w:rFonts w:ascii="time" w:hAnsi="time"/>
                <w:sz w:val="24"/>
                <w:lang w:val="en-GB"/>
              </w:rPr>
              <w:t>Look for other sources of funds from international organizations</w:t>
            </w:r>
          </w:p>
        </w:tc>
      </w:tr>
      <w:tr w:rsidR="00E847B5" w:rsidRPr="00E847B5" w:rsidTr="004426A8">
        <w:trPr>
          <w:jc w:val="center"/>
        </w:trPr>
        <w:tc>
          <w:tcPr>
            <w:tcW w:w="2210" w:type="dxa"/>
          </w:tcPr>
          <w:p w:rsidR="00E847B5" w:rsidRPr="00E847B5" w:rsidRDefault="00E847B5" w:rsidP="00E847B5">
            <w:pPr>
              <w:rPr>
                <w:rFonts w:ascii="time" w:hAnsi="time"/>
                <w:sz w:val="24"/>
                <w:lang w:val="en-GB"/>
              </w:rPr>
            </w:pPr>
            <w:r w:rsidRPr="00E847B5">
              <w:rPr>
                <w:rFonts w:ascii="time" w:hAnsi="time"/>
                <w:sz w:val="24"/>
                <w:lang w:val="en-GB"/>
              </w:rPr>
              <w:t>Lack of Historical Knowledge</w:t>
            </w:r>
          </w:p>
        </w:tc>
        <w:tc>
          <w:tcPr>
            <w:tcW w:w="6700" w:type="dxa"/>
          </w:tcPr>
          <w:p w:rsidR="00E847B5" w:rsidRPr="00E847B5" w:rsidRDefault="00E847B5" w:rsidP="00E847B5">
            <w:pPr>
              <w:rPr>
                <w:rFonts w:ascii="time" w:hAnsi="time"/>
                <w:sz w:val="24"/>
                <w:lang w:val="en-GB"/>
              </w:rPr>
            </w:pPr>
            <w:r w:rsidRPr="00E847B5">
              <w:rPr>
                <w:rFonts w:ascii="time" w:hAnsi="time"/>
                <w:sz w:val="24"/>
                <w:lang w:val="en-GB"/>
              </w:rPr>
              <w:t>Perform a good characterization of the facility or site</w:t>
            </w:r>
          </w:p>
          <w:p w:rsidR="00E847B5" w:rsidRPr="00E847B5" w:rsidRDefault="00E847B5" w:rsidP="00E847B5">
            <w:pPr>
              <w:rPr>
                <w:rFonts w:ascii="time" w:hAnsi="time"/>
                <w:sz w:val="24"/>
                <w:lang w:val="en-GB"/>
              </w:rPr>
            </w:pPr>
            <w:r w:rsidRPr="00E847B5">
              <w:rPr>
                <w:rFonts w:ascii="time" w:hAnsi="time"/>
                <w:sz w:val="24"/>
                <w:lang w:val="en-GB"/>
              </w:rPr>
              <w:t>Interview current and past operational employees</w:t>
            </w:r>
          </w:p>
        </w:tc>
      </w:tr>
      <w:tr w:rsidR="00E847B5" w:rsidRPr="00E847B5" w:rsidTr="004426A8">
        <w:trPr>
          <w:jc w:val="center"/>
        </w:trPr>
        <w:tc>
          <w:tcPr>
            <w:tcW w:w="2210" w:type="dxa"/>
          </w:tcPr>
          <w:p w:rsidR="00E847B5" w:rsidRPr="00E847B5" w:rsidRDefault="00E847B5" w:rsidP="00E847B5">
            <w:pPr>
              <w:rPr>
                <w:rFonts w:ascii="time" w:hAnsi="time"/>
                <w:sz w:val="24"/>
                <w:lang w:val="en-GB"/>
              </w:rPr>
            </w:pPr>
            <w:r w:rsidRPr="00E847B5">
              <w:rPr>
                <w:rFonts w:ascii="time" w:hAnsi="time"/>
                <w:sz w:val="24"/>
                <w:lang w:val="en-GB"/>
              </w:rPr>
              <w:t>Lack of Qualified Personnel</w:t>
            </w:r>
          </w:p>
        </w:tc>
        <w:tc>
          <w:tcPr>
            <w:tcW w:w="6700" w:type="dxa"/>
          </w:tcPr>
          <w:p w:rsidR="00E847B5" w:rsidRPr="00E847B5" w:rsidRDefault="00E847B5" w:rsidP="00E847B5">
            <w:pPr>
              <w:rPr>
                <w:rFonts w:ascii="time" w:hAnsi="time"/>
                <w:sz w:val="24"/>
                <w:lang w:val="en-GB"/>
              </w:rPr>
            </w:pPr>
            <w:r w:rsidRPr="00E847B5">
              <w:rPr>
                <w:rFonts w:ascii="time" w:hAnsi="time"/>
                <w:sz w:val="24"/>
                <w:lang w:val="en-GB"/>
              </w:rPr>
              <w:t>Establish a retaining programme for operations personnel</w:t>
            </w:r>
          </w:p>
          <w:p w:rsidR="00E847B5" w:rsidRPr="00E847B5" w:rsidRDefault="00E847B5" w:rsidP="00E847B5">
            <w:pPr>
              <w:rPr>
                <w:rFonts w:ascii="time" w:hAnsi="time"/>
                <w:sz w:val="24"/>
                <w:lang w:val="en-GB"/>
              </w:rPr>
            </w:pPr>
            <w:r w:rsidRPr="00E847B5">
              <w:rPr>
                <w:rFonts w:ascii="time" w:hAnsi="time"/>
                <w:sz w:val="24"/>
                <w:lang w:val="en-GB"/>
              </w:rPr>
              <w:t>Hire D&amp;ER specialists</w:t>
            </w:r>
          </w:p>
        </w:tc>
      </w:tr>
    </w:tbl>
    <w:p w:rsidR="00E847B5" w:rsidRDefault="00E847B5">
      <w:pPr>
        <w:rPr>
          <w:rFonts w:ascii="time" w:hAnsi="time"/>
          <w:sz w:val="24"/>
          <w:lang w:val="en-GB"/>
        </w:rPr>
      </w:pPr>
    </w:p>
    <w:p w:rsidR="00B458AF" w:rsidRDefault="00B458AF">
      <w:pPr>
        <w:rPr>
          <w:rFonts w:ascii="time" w:hAnsi="time"/>
          <w:sz w:val="24"/>
        </w:rPr>
      </w:pPr>
      <w:r>
        <w:rPr>
          <w:rFonts w:ascii="time" w:hAnsi="time"/>
          <w:sz w:val="24"/>
        </w:rPr>
        <w:t>4. CONCLUSIONS</w:t>
      </w:r>
    </w:p>
    <w:p w:rsidR="00427126" w:rsidRDefault="00427126">
      <w:pPr>
        <w:rPr>
          <w:rFonts w:ascii="time" w:hAnsi="time"/>
          <w:sz w:val="24"/>
        </w:rPr>
      </w:pPr>
      <w:r>
        <w:rPr>
          <w:rFonts w:ascii="time" w:hAnsi="time"/>
          <w:sz w:val="24"/>
        </w:rPr>
        <w:t>All of the citations in my abstract</w:t>
      </w:r>
      <w:r w:rsidR="00B458AF">
        <w:rPr>
          <w:rFonts w:ascii="time" w:hAnsi="time"/>
          <w:sz w:val="24"/>
        </w:rPr>
        <w:t xml:space="preserve"> [1]</w:t>
      </w:r>
      <w:r>
        <w:rPr>
          <w:rFonts w:ascii="time" w:hAnsi="time"/>
          <w:sz w:val="24"/>
        </w:rPr>
        <w:t xml:space="preserve"> must follow the </w:t>
      </w:r>
      <w:r w:rsidR="00C1643C" w:rsidRPr="00C1643C">
        <w:rPr>
          <w:rFonts w:ascii="time" w:hAnsi="time"/>
          <w:sz w:val="24"/>
        </w:rPr>
        <w:t>IAEA</w:t>
      </w:r>
      <w:r w:rsidRPr="00C1643C">
        <w:rPr>
          <w:rFonts w:ascii="time" w:hAnsi="time"/>
          <w:sz w:val="24"/>
        </w:rPr>
        <w:t xml:space="preserve"> </w:t>
      </w:r>
      <w:r>
        <w:rPr>
          <w:rFonts w:ascii="time" w:hAnsi="time"/>
          <w:sz w:val="24"/>
        </w:rPr>
        <w:t xml:space="preserve">citation style </w:t>
      </w:r>
      <w:r w:rsidR="00CA69D6">
        <w:rPr>
          <w:rFonts w:ascii="time" w:hAnsi="time"/>
          <w:sz w:val="24"/>
        </w:rPr>
        <w:t xml:space="preserve">[2-10], </w:t>
      </w:r>
      <w:r w:rsidR="00C1643C">
        <w:rPr>
          <w:rFonts w:ascii="time" w:hAnsi="time"/>
          <w:sz w:val="24"/>
        </w:rPr>
        <w:t>as shown below</w:t>
      </w:r>
      <w:r w:rsidR="00CA69D6">
        <w:rPr>
          <w:rFonts w:ascii="time" w:hAnsi="time"/>
          <w:sz w:val="24"/>
        </w:rPr>
        <w:t>.</w:t>
      </w:r>
    </w:p>
    <w:p w:rsidR="00C1643C" w:rsidRDefault="00C1643C" w:rsidP="00152AF7">
      <w:pPr>
        <w:jc w:val="center"/>
        <w:rPr>
          <w:rFonts w:ascii="time" w:hAnsi="time"/>
          <w:b/>
          <w:sz w:val="24"/>
        </w:rPr>
      </w:pPr>
    </w:p>
    <w:p w:rsidR="007C0F54" w:rsidRPr="00152AF7" w:rsidRDefault="00152AF7" w:rsidP="00152AF7">
      <w:pPr>
        <w:jc w:val="center"/>
        <w:rPr>
          <w:rFonts w:ascii="time" w:hAnsi="time"/>
          <w:b/>
          <w:sz w:val="24"/>
        </w:rPr>
      </w:pPr>
      <w:r w:rsidRPr="00152AF7">
        <w:rPr>
          <w:rFonts w:ascii="time" w:hAnsi="time"/>
          <w:b/>
          <w:sz w:val="24"/>
        </w:rPr>
        <w:t>REFERENCES</w:t>
      </w:r>
    </w:p>
    <w:p w:rsidR="00C645F7" w:rsidRDefault="00427126" w:rsidP="00C1643C">
      <w:pPr>
        <w:pStyle w:val="EndNoteBibliography"/>
        <w:spacing w:after="0"/>
        <w:ind w:left="720" w:hanging="720"/>
        <w:rPr>
          <w:rFonts w:ascii="TimesNewRoman" w:hAnsi="TimesNewRoman" w:cs="TimesNewRoman"/>
          <w:lang w:val="en-GB"/>
        </w:rPr>
      </w:pPr>
      <w:r w:rsidRPr="00427126">
        <w:rPr>
          <w:rFonts w:ascii="time" w:hAnsi="time"/>
          <w:sz w:val="24"/>
        </w:rPr>
        <w:fldChar w:fldCharType="begin"/>
      </w:r>
      <w:r w:rsidRPr="00427126">
        <w:rPr>
          <w:rFonts w:ascii="time" w:hAnsi="time"/>
          <w:sz w:val="24"/>
        </w:rPr>
        <w:instrText xml:space="preserve"> ADDIN EN.REFLIST </w:instrText>
      </w:r>
      <w:r w:rsidRPr="00427126">
        <w:rPr>
          <w:rFonts w:ascii="time" w:hAnsi="time"/>
          <w:sz w:val="24"/>
        </w:rPr>
        <w:fldChar w:fldCharType="separate"/>
      </w:r>
      <w:r w:rsidR="00C645F7">
        <w:rPr>
          <w:rFonts w:ascii="TimesNewRoman" w:hAnsi="TimesNewRoman" w:cs="TimesNewRoman"/>
          <w:lang w:val="en-GB"/>
        </w:rPr>
        <w:t xml:space="preserve">[1] </w:t>
      </w:r>
      <w:r w:rsidR="00C1643C">
        <w:rPr>
          <w:rFonts w:ascii="TimesNewRoman" w:hAnsi="TimesNewRoman" w:cs="TimesNewRoman"/>
          <w:lang w:val="en-GB"/>
        </w:rPr>
        <w:tab/>
      </w:r>
      <w:r w:rsidR="00C645F7">
        <w:rPr>
          <w:rFonts w:ascii="TimesNewRoman" w:hAnsi="TimesNewRoman" w:cs="TimesNewRoman"/>
          <w:lang w:val="en-GB"/>
        </w:rPr>
        <w:t>STEPHENSON, R., Introduction to Nuclear Engineering, 2nd edn, McGraw-Hill, New York</w:t>
      </w:r>
    </w:p>
    <w:p w:rsidR="00C645F7" w:rsidRDefault="00C645F7" w:rsidP="00C1643C">
      <w:pPr>
        <w:autoSpaceDE w:val="0"/>
        <w:autoSpaceDN w:val="0"/>
        <w:adjustRightInd w:val="0"/>
        <w:spacing w:after="0" w:line="240" w:lineRule="auto"/>
        <w:ind w:left="720"/>
        <w:rPr>
          <w:rFonts w:ascii="TimesNewRoman" w:hAnsi="TimesNewRoman" w:cs="TimesNewRoman"/>
          <w:lang w:val="en-GB"/>
        </w:rPr>
      </w:pPr>
      <w:r>
        <w:rPr>
          <w:rFonts w:ascii="TimesNewRoman" w:hAnsi="TimesNewRoman" w:cs="TimesNewRoman"/>
          <w:lang w:val="en-GB"/>
        </w:rPr>
        <w:t>(1958)</w:t>
      </w:r>
      <w:r w:rsidR="00C1643C">
        <w:rPr>
          <w:rFonts w:ascii="TimesNewRoman" w:hAnsi="TimesNewRoman" w:cs="TimesNewRoman"/>
          <w:lang w:val="en-GB"/>
        </w:rPr>
        <w:t xml:space="preserve"> </w:t>
      </w:r>
      <w:r>
        <w:rPr>
          <w:rFonts w:ascii="TimesNewRoman" w:hAnsi="TimesNewRoman" w:cs="TimesNewRoman"/>
          <w:lang w:val="en-GB"/>
        </w:rPr>
        <w:t xml:space="preserve"> 491 pp.</w:t>
      </w:r>
    </w:p>
    <w:p w:rsidR="00C1643C" w:rsidRDefault="00C1643C" w:rsidP="00C1643C">
      <w:pPr>
        <w:autoSpaceDE w:val="0"/>
        <w:autoSpaceDN w:val="0"/>
        <w:adjustRightInd w:val="0"/>
        <w:spacing w:after="0" w:line="240" w:lineRule="auto"/>
        <w:rPr>
          <w:rFonts w:ascii="TimesNewRoman" w:hAnsi="TimesNewRoman" w:cs="TimesNewRoman"/>
          <w:lang w:val="en-GB"/>
        </w:rPr>
      </w:pPr>
      <w:r>
        <w:rPr>
          <w:rFonts w:ascii="TimesNewRoman" w:hAnsi="TimesNewRoman" w:cs="TimesNewRoman"/>
          <w:lang w:val="en-GB"/>
        </w:rPr>
        <w:t xml:space="preserve">[2] </w:t>
      </w:r>
      <w:r>
        <w:rPr>
          <w:rFonts w:ascii="TimesNewRoman" w:hAnsi="TimesNewRoman" w:cs="TimesNewRoman"/>
          <w:lang w:val="en-GB"/>
        </w:rPr>
        <w:tab/>
        <w:t xml:space="preserve">GEYH, M.A., Messungen der Tritium-Konzentration in Salzlaugen, Kali Steinsalz </w:t>
      </w:r>
      <w:r>
        <w:rPr>
          <w:rFonts w:ascii="TimesNewRoman,Bold" w:hAnsi="TimesNewRoman,Bold" w:cs="TimesNewRoman,Bold"/>
          <w:b/>
          <w:bCs/>
          <w:lang w:val="en-GB"/>
        </w:rPr>
        <w:t xml:space="preserve">5 </w:t>
      </w:r>
      <w:r>
        <w:rPr>
          <w:rFonts w:ascii="TimesNewRoman" w:hAnsi="TimesNewRoman" w:cs="TimesNewRoman"/>
          <w:lang w:val="en-GB"/>
        </w:rPr>
        <w:t>(1969)</w:t>
      </w:r>
    </w:p>
    <w:p w:rsidR="00C1643C" w:rsidRDefault="00C1643C" w:rsidP="00C1643C">
      <w:pPr>
        <w:autoSpaceDE w:val="0"/>
        <w:autoSpaceDN w:val="0"/>
        <w:adjustRightInd w:val="0"/>
        <w:spacing w:after="0" w:line="240" w:lineRule="auto"/>
        <w:ind w:left="720"/>
        <w:rPr>
          <w:rFonts w:ascii="TimesNewRoman" w:hAnsi="TimesNewRoman" w:cs="TimesNewRoman"/>
          <w:lang w:val="en-GB"/>
        </w:rPr>
      </w:pPr>
      <w:r>
        <w:rPr>
          <w:rFonts w:ascii="TimesNewRoman" w:hAnsi="TimesNewRoman" w:cs="TimesNewRoman"/>
          <w:lang w:val="en-GB"/>
        </w:rPr>
        <w:t>208.</w:t>
      </w:r>
    </w:p>
    <w:p w:rsidR="00C645F7" w:rsidRDefault="00C645F7" w:rsidP="00C1643C">
      <w:pPr>
        <w:autoSpaceDE w:val="0"/>
        <w:autoSpaceDN w:val="0"/>
        <w:adjustRightInd w:val="0"/>
        <w:spacing w:after="0" w:line="240" w:lineRule="auto"/>
        <w:ind w:left="720" w:hanging="720"/>
        <w:rPr>
          <w:rFonts w:ascii="TimesNewRoman" w:hAnsi="TimesNewRoman" w:cs="TimesNewRoman"/>
          <w:lang w:val="en-GB"/>
        </w:rPr>
      </w:pPr>
      <w:r>
        <w:rPr>
          <w:rFonts w:ascii="TimesNewRoman" w:hAnsi="TimesNewRoman" w:cs="TimesNewRoman"/>
          <w:lang w:val="en-GB"/>
        </w:rPr>
        <w:t>[</w:t>
      </w:r>
      <w:r w:rsidR="00C1643C">
        <w:rPr>
          <w:rFonts w:ascii="TimesNewRoman" w:hAnsi="TimesNewRoman" w:cs="TimesNewRoman"/>
          <w:lang w:val="en-GB"/>
        </w:rPr>
        <w:t>3</w:t>
      </w:r>
      <w:r>
        <w:rPr>
          <w:rFonts w:ascii="TimesNewRoman" w:hAnsi="TimesNewRoman" w:cs="TimesNewRoman"/>
          <w:lang w:val="en-GB"/>
        </w:rPr>
        <w:t xml:space="preserve">] </w:t>
      </w:r>
      <w:r w:rsidR="00C1643C">
        <w:rPr>
          <w:rFonts w:ascii="TimesNewRoman" w:hAnsi="TimesNewRoman" w:cs="TimesNewRoman"/>
          <w:lang w:val="en-GB"/>
        </w:rPr>
        <w:tab/>
      </w:r>
      <w:r>
        <w:rPr>
          <w:rFonts w:ascii="TimesNewRoman" w:hAnsi="TimesNewRoman" w:cs="TimesNewRoman"/>
          <w:lang w:val="en-GB"/>
        </w:rPr>
        <w:t>INTERNATIONAL COMMISSION ON RADIOLOGICAL PROTECTION, Evaluation of</w:t>
      </w:r>
    </w:p>
    <w:p w:rsidR="00C645F7" w:rsidRDefault="00C645F7" w:rsidP="00C1643C">
      <w:pPr>
        <w:autoSpaceDE w:val="0"/>
        <w:autoSpaceDN w:val="0"/>
        <w:adjustRightInd w:val="0"/>
        <w:spacing w:after="0" w:line="240" w:lineRule="auto"/>
        <w:ind w:left="720"/>
        <w:rPr>
          <w:rFonts w:ascii="TimesNewRoman" w:hAnsi="TimesNewRoman" w:cs="TimesNewRoman"/>
          <w:lang w:val="en-GB"/>
        </w:rPr>
      </w:pPr>
      <w:r>
        <w:rPr>
          <w:rFonts w:ascii="TimesNewRoman" w:hAnsi="TimesNewRoman" w:cs="TimesNewRoman"/>
          <w:lang w:val="en-GB"/>
        </w:rPr>
        <w:t>Radiation Doses to Body Tissues from Internal Contamination due to Occupational Exposure,</w:t>
      </w:r>
    </w:p>
    <w:p w:rsidR="00C645F7" w:rsidRDefault="00C645F7" w:rsidP="00C1643C">
      <w:pPr>
        <w:autoSpaceDE w:val="0"/>
        <w:autoSpaceDN w:val="0"/>
        <w:adjustRightInd w:val="0"/>
        <w:spacing w:after="0" w:line="240" w:lineRule="auto"/>
        <w:ind w:left="720"/>
        <w:rPr>
          <w:rFonts w:ascii="TimesNewRoman" w:hAnsi="TimesNewRoman" w:cs="TimesNewRoman"/>
          <w:lang w:val="en-GB"/>
        </w:rPr>
      </w:pPr>
      <w:r>
        <w:rPr>
          <w:rFonts w:ascii="TimesNewRoman" w:hAnsi="TimesNewRoman" w:cs="TimesNewRoman"/>
          <w:lang w:val="en-GB"/>
        </w:rPr>
        <w:t>Publication 10, Pergamon Press, Oxford and New York (1968).</w:t>
      </w:r>
    </w:p>
    <w:p w:rsidR="00C645F7" w:rsidRDefault="00C645F7" w:rsidP="00C1643C">
      <w:pPr>
        <w:autoSpaceDE w:val="0"/>
        <w:autoSpaceDN w:val="0"/>
        <w:adjustRightInd w:val="0"/>
        <w:spacing w:after="0" w:line="240" w:lineRule="auto"/>
        <w:ind w:left="720" w:hanging="720"/>
        <w:rPr>
          <w:rFonts w:ascii="TimesNewRoman" w:hAnsi="TimesNewRoman" w:cs="TimesNewRoman"/>
          <w:lang w:val="en-GB"/>
        </w:rPr>
      </w:pPr>
      <w:r>
        <w:rPr>
          <w:rFonts w:ascii="TimesNewRoman" w:hAnsi="TimesNewRoman" w:cs="TimesNewRoman"/>
          <w:lang w:val="en-GB"/>
        </w:rPr>
        <w:t>[</w:t>
      </w:r>
      <w:r w:rsidR="00C1643C">
        <w:rPr>
          <w:rFonts w:ascii="TimesNewRoman" w:hAnsi="TimesNewRoman" w:cs="TimesNewRoman"/>
          <w:lang w:val="en-GB"/>
        </w:rPr>
        <w:t>4</w:t>
      </w:r>
      <w:r>
        <w:rPr>
          <w:rFonts w:ascii="TimesNewRoman" w:hAnsi="TimesNewRoman" w:cs="TimesNewRoman"/>
          <w:lang w:val="en-GB"/>
        </w:rPr>
        <w:t xml:space="preserve">] </w:t>
      </w:r>
      <w:r w:rsidR="00C1643C">
        <w:rPr>
          <w:rFonts w:ascii="TimesNewRoman" w:hAnsi="TimesNewRoman" w:cs="TimesNewRoman"/>
          <w:lang w:val="en-GB"/>
        </w:rPr>
        <w:tab/>
      </w:r>
      <w:r>
        <w:rPr>
          <w:rFonts w:ascii="TimesNewRoman" w:hAnsi="TimesNewRoman" w:cs="TimesNewRoman"/>
          <w:lang w:val="en-GB"/>
        </w:rPr>
        <w:t>GUTHRIE, F.E., PERRY, J.J. (Eds), Introduction to Environmental Toxicology, Blackwell,</w:t>
      </w:r>
    </w:p>
    <w:p w:rsidR="00C1643C" w:rsidRDefault="00C645F7" w:rsidP="00C1643C">
      <w:pPr>
        <w:autoSpaceDE w:val="0"/>
        <w:autoSpaceDN w:val="0"/>
        <w:adjustRightInd w:val="0"/>
        <w:spacing w:after="0" w:line="240" w:lineRule="auto"/>
        <w:ind w:firstLine="720"/>
        <w:rPr>
          <w:rFonts w:ascii="TimesNewRoman" w:hAnsi="TimesNewRoman" w:cs="TimesNewRoman"/>
          <w:lang w:val="en-GB"/>
        </w:rPr>
      </w:pPr>
      <w:r>
        <w:rPr>
          <w:rFonts w:ascii="TimesNewRoman" w:hAnsi="TimesNewRoman" w:cs="TimesNewRoman"/>
          <w:lang w:val="en-GB"/>
        </w:rPr>
        <w:t>Oxford (1980).</w:t>
      </w:r>
      <w:r w:rsidR="00C1643C" w:rsidRPr="00C1643C">
        <w:rPr>
          <w:rFonts w:ascii="TimesNewRoman" w:hAnsi="TimesNewRoman" w:cs="TimesNewRoman"/>
          <w:lang w:val="en-GB"/>
        </w:rPr>
        <w:t xml:space="preserve"> </w:t>
      </w:r>
    </w:p>
    <w:p w:rsidR="00C1643C" w:rsidRDefault="00C1643C" w:rsidP="00C1643C">
      <w:pPr>
        <w:autoSpaceDE w:val="0"/>
        <w:autoSpaceDN w:val="0"/>
        <w:adjustRightInd w:val="0"/>
        <w:spacing w:after="0" w:line="240" w:lineRule="auto"/>
        <w:rPr>
          <w:rFonts w:ascii="TimesNewRoman" w:hAnsi="TimesNewRoman" w:cs="TimesNewRoman"/>
          <w:lang w:val="en-GB"/>
        </w:rPr>
      </w:pPr>
      <w:r>
        <w:rPr>
          <w:rFonts w:ascii="TimesNewRoman" w:hAnsi="TimesNewRoman" w:cs="TimesNewRoman"/>
          <w:lang w:val="en-GB"/>
        </w:rPr>
        <w:t>[5]</w:t>
      </w:r>
      <w:r>
        <w:rPr>
          <w:rFonts w:ascii="TimesNewRoman" w:hAnsi="TimesNewRoman" w:cs="TimesNewRoman"/>
          <w:lang w:val="en-GB"/>
        </w:rPr>
        <w:tab/>
        <w:t xml:space="preserve"> HOWLAND, G.P., HART, R.W., “Radiation biology of cultured plant cells”, Applied and</w:t>
      </w:r>
    </w:p>
    <w:p w:rsidR="00C1643C" w:rsidRDefault="00C1643C" w:rsidP="00C1643C">
      <w:pPr>
        <w:autoSpaceDE w:val="0"/>
        <w:autoSpaceDN w:val="0"/>
        <w:adjustRightInd w:val="0"/>
        <w:spacing w:after="0" w:line="240" w:lineRule="auto"/>
        <w:ind w:firstLine="720"/>
        <w:rPr>
          <w:rFonts w:ascii="TimesNewRoman" w:hAnsi="TimesNewRoman" w:cs="TimesNewRoman"/>
          <w:lang w:val="en-GB"/>
        </w:rPr>
      </w:pPr>
      <w:r>
        <w:rPr>
          <w:rFonts w:ascii="TimesNewRoman" w:hAnsi="TimesNewRoman" w:cs="TimesNewRoman"/>
          <w:lang w:val="en-GB"/>
        </w:rPr>
        <w:t>Fundamental Aspects of Plant Cell, Tissue, and Organ Culture, 2nd edn (REINERT, J.,</w:t>
      </w:r>
    </w:p>
    <w:p w:rsidR="00C1643C" w:rsidRDefault="00C1643C" w:rsidP="00C1643C">
      <w:pPr>
        <w:autoSpaceDE w:val="0"/>
        <w:autoSpaceDN w:val="0"/>
        <w:adjustRightInd w:val="0"/>
        <w:spacing w:after="0" w:line="240" w:lineRule="auto"/>
        <w:ind w:firstLine="720"/>
        <w:rPr>
          <w:rFonts w:ascii="TimesNewRoman" w:hAnsi="TimesNewRoman" w:cs="TimesNewRoman"/>
          <w:lang w:val="en-GB"/>
        </w:rPr>
      </w:pPr>
      <w:r>
        <w:rPr>
          <w:rFonts w:ascii="TimesNewRoman" w:hAnsi="TimesNewRoman" w:cs="TimesNewRoman"/>
          <w:lang w:val="en-GB"/>
        </w:rPr>
        <w:t>BAJAJ, Y.R.S., Eds), Springer-Verlag, Berlin (in press).</w:t>
      </w:r>
    </w:p>
    <w:p w:rsidR="00C1643C" w:rsidRDefault="00C1643C" w:rsidP="00C1643C">
      <w:pPr>
        <w:autoSpaceDE w:val="0"/>
        <w:autoSpaceDN w:val="0"/>
        <w:adjustRightInd w:val="0"/>
        <w:spacing w:after="0" w:line="240" w:lineRule="auto"/>
        <w:rPr>
          <w:rFonts w:ascii="TimesNewRoman" w:hAnsi="TimesNewRoman" w:cs="TimesNewRoman"/>
          <w:lang w:val="en-GB"/>
        </w:rPr>
      </w:pPr>
      <w:r>
        <w:rPr>
          <w:rFonts w:ascii="TimesNewRoman" w:hAnsi="TimesNewRoman" w:cs="TimesNewRoman"/>
          <w:lang w:val="en-GB"/>
        </w:rPr>
        <w:t xml:space="preserve">[6] </w:t>
      </w:r>
      <w:r>
        <w:rPr>
          <w:rFonts w:ascii="TimesNewRoman" w:hAnsi="TimesNewRoman" w:cs="TimesNewRoman"/>
          <w:lang w:val="en-GB"/>
        </w:rPr>
        <w:tab/>
        <w:t>BURKE, S.D., HOWELL, J.P., “Impact of prolonged wet storage of DOE reactor irradiated</w:t>
      </w:r>
    </w:p>
    <w:p w:rsidR="00C1643C" w:rsidRDefault="00C1643C" w:rsidP="00C1643C">
      <w:pPr>
        <w:autoSpaceDE w:val="0"/>
        <w:autoSpaceDN w:val="0"/>
        <w:adjustRightInd w:val="0"/>
        <w:spacing w:after="0" w:line="240" w:lineRule="auto"/>
        <w:ind w:firstLine="720"/>
        <w:rPr>
          <w:rFonts w:ascii="TimesNewRoman" w:hAnsi="TimesNewRoman" w:cs="TimesNewRoman"/>
          <w:lang w:val="en-GB"/>
        </w:rPr>
      </w:pPr>
      <w:r>
        <w:rPr>
          <w:rFonts w:ascii="TimesNewRoman" w:hAnsi="TimesNewRoman" w:cs="TimesNewRoman"/>
          <w:lang w:val="en-GB"/>
        </w:rPr>
        <w:t>nuclear materials at the Savannah River Site”, Proc. Topical Mtg on DOE Spent Nuclear Fuel</w:t>
      </w:r>
    </w:p>
    <w:p w:rsidR="00C645F7" w:rsidRDefault="00C1643C" w:rsidP="00C1643C">
      <w:pPr>
        <w:autoSpaceDE w:val="0"/>
        <w:autoSpaceDN w:val="0"/>
        <w:adjustRightInd w:val="0"/>
        <w:spacing w:after="0" w:line="240" w:lineRule="auto"/>
        <w:ind w:left="720"/>
        <w:rPr>
          <w:rFonts w:ascii="TimesNewRoman" w:hAnsi="TimesNewRoman" w:cs="TimesNewRoman"/>
          <w:lang w:val="en-GB"/>
        </w:rPr>
      </w:pPr>
      <w:r>
        <w:rPr>
          <w:rFonts w:ascii="TimesNewRoman" w:hAnsi="TimesNewRoman" w:cs="TimesNewRoman"/>
          <w:lang w:val="en-GB"/>
        </w:rPr>
        <w:t>— Challenges and Initiatives, Salt Lake City, 1994, USDOE, Washington, DC (1994) 118–124.</w:t>
      </w:r>
    </w:p>
    <w:p w:rsidR="00C1643C" w:rsidRDefault="00C1643C" w:rsidP="00C1643C">
      <w:pPr>
        <w:autoSpaceDE w:val="0"/>
        <w:autoSpaceDN w:val="0"/>
        <w:adjustRightInd w:val="0"/>
        <w:spacing w:after="0" w:line="240" w:lineRule="auto"/>
        <w:ind w:left="720" w:hanging="720"/>
        <w:rPr>
          <w:rFonts w:ascii="TimesNewRoman" w:hAnsi="TimesNewRoman" w:cs="TimesNewRoman"/>
          <w:lang w:val="en-GB"/>
        </w:rPr>
      </w:pPr>
      <w:r>
        <w:rPr>
          <w:rFonts w:ascii="TimesNewRoman" w:hAnsi="TimesNewRoman" w:cs="TimesNewRoman"/>
          <w:lang w:val="en-GB"/>
        </w:rPr>
        <w:t xml:space="preserve">[7] </w:t>
      </w:r>
      <w:r>
        <w:rPr>
          <w:rFonts w:ascii="TimesNewRoman" w:hAnsi="TimesNewRoman" w:cs="TimesNewRoman"/>
          <w:lang w:val="en-GB"/>
        </w:rPr>
        <w:tab/>
        <w:t xml:space="preserve">COCHRANE, M.P., DUFFS, C.M., Endosperm cell number in barley, Nature </w:t>
      </w:r>
      <w:r>
        <w:rPr>
          <w:rFonts w:ascii="TimesNewRoman,Bold" w:hAnsi="TimesNewRoman,Bold" w:cs="TimesNewRoman,Bold"/>
          <w:b/>
          <w:bCs/>
          <w:lang w:val="en-GB"/>
        </w:rPr>
        <w:t xml:space="preserve">289 </w:t>
      </w:r>
      <w:r>
        <w:rPr>
          <w:rFonts w:ascii="TimesNewRoman" w:hAnsi="TimesNewRoman" w:cs="TimesNewRoman"/>
          <w:lang w:val="en-GB"/>
        </w:rPr>
        <w:t>(1981) 399.</w:t>
      </w:r>
    </w:p>
    <w:p w:rsidR="00C1643C" w:rsidRDefault="00C1643C" w:rsidP="00C1643C">
      <w:pPr>
        <w:autoSpaceDE w:val="0"/>
        <w:autoSpaceDN w:val="0"/>
        <w:adjustRightInd w:val="0"/>
        <w:spacing w:after="0" w:line="240" w:lineRule="auto"/>
        <w:ind w:left="720" w:hanging="720"/>
        <w:rPr>
          <w:rFonts w:ascii="TimesNewRoman" w:hAnsi="TimesNewRoman" w:cs="TimesNewRoman"/>
          <w:lang w:val="en-GB"/>
        </w:rPr>
      </w:pPr>
      <w:r>
        <w:rPr>
          <w:rFonts w:ascii="TimesNewRoman" w:hAnsi="TimesNewRoman" w:cs="TimesNewRoman"/>
          <w:lang w:val="en-GB"/>
        </w:rPr>
        <w:t xml:space="preserve">[8] </w:t>
      </w:r>
      <w:r>
        <w:rPr>
          <w:rFonts w:ascii="TimesNewRoman" w:hAnsi="TimesNewRoman" w:cs="TimesNewRoman"/>
          <w:lang w:val="en-GB"/>
        </w:rPr>
        <w:tab/>
        <w:t xml:space="preserve">BLOUNT, E.I., Symmetry properties of triplet superconductors, Phys. Rev., B: Condens. Matter </w:t>
      </w:r>
      <w:r>
        <w:rPr>
          <w:rFonts w:ascii="TimesNewRoman,Bold" w:hAnsi="TimesNewRoman,Bold" w:cs="TimesNewRoman,Bold"/>
          <w:b/>
          <w:bCs/>
          <w:lang w:val="en-GB"/>
        </w:rPr>
        <w:t xml:space="preserve">32 </w:t>
      </w:r>
      <w:r>
        <w:rPr>
          <w:rFonts w:ascii="TimesNewRoman" w:hAnsi="TimesNewRoman" w:cs="TimesNewRoman"/>
          <w:lang w:val="en-GB"/>
        </w:rPr>
        <w:t>(1985) 2935.</w:t>
      </w:r>
    </w:p>
    <w:p w:rsidR="00C1643C" w:rsidRDefault="00C1643C" w:rsidP="00C1643C">
      <w:pPr>
        <w:autoSpaceDE w:val="0"/>
        <w:autoSpaceDN w:val="0"/>
        <w:adjustRightInd w:val="0"/>
        <w:spacing w:after="0" w:line="240" w:lineRule="auto"/>
        <w:ind w:left="720" w:hanging="720"/>
        <w:rPr>
          <w:rFonts w:ascii="TimesNewRoman" w:hAnsi="TimesNewRoman" w:cs="TimesNewRoman"/>
          <w:lang w:val="en-GB"/>
        </w:rPr>
      </w:pPr>
      <w:r>
        <w:rPr>
          <w:rFonts w:ascii="TimesNewRoman" w:hAnsi="TimesNewRoman" w:cs="TimesNewRoman"/>
          <w:lang w:val="en-GB"/>
        </w:rPr>
        <w:t xml:space="preserve">[9] </w:t>
      </w:r>
      <w:r>
        <w:rPr>
          <w:rFonts w:ascii="TimesNewRoman" w:hAnsi="TimesNewRoman" w:cs="TimesNewRoman"/>
          <w:lang w:val="en-GB"/>
        </w:rPr>
        <w:tab/>
        <w:t xml:space="preserve">TEPPER, L., Suboptimal control study of a nuclear power plant, IEEE Trans. Nucl. Sci. </w:t>
      </w:r>
      <w:r>
        <w:rPr>
          <w:rFonts w:ascii="TimesNewRoman,Bold" w:hAnsi="TimesNewRoman,Bold" w:cs="TimesNewRoman,Bold"/>
          <w:b/>
          <w:bCs/>
          <w:lang w:val="en-GB"/>
        </w:rPr>
        <w:t xml:space="preserve">NS-22 </w:t>
      </w:r>
      <w:r>
        <w:rPr>
          <w:rFonts w:ascii="TimesNewRoman" w:hAnsi="TimesNewRoman" w:cs="TimesNewRoman"/>
          <w:lang w:val="en-GB"/>
        </w:rPr>
        <w:t>(1975) 812.</w:t>
      </w:r>
    </w:p>
    <w:p w:rsidR="00C1643C" w:rsidRDefault="00C1643C" w:rsidP="00C1643C">
      <w:pPr>
        <w:autoSpaceDE w:val="0"/>
        <w:autoSpaceDN w:val="0"/>
        <w:adjustRightInd w:val="0"/>
        <w:spacing w:after="0" w:line="240" w:lineRule="auto"/>
        <w:rPr>
          <w:rFonts w:ascii="TimesNewRoman,Bold" w:hAnsi="TimesNewRoman,Bold" w:cs="TimesNewRoman,Bold"/>
          <w:b/>
          <w:bCs/>
          <w:lang w:val="en-GB"/>
        </w:rPr>
      </w:pPr>
      <w:r>
        <w:rPr>
          <w:rFonts w:ascii="TimesNewRoman" w:hAnsi="TimesNewRoman" w:cs="TimesNewRoman"/>
          <w:lang w:val="en-GB"/>
        </w:rPr>
        <w:t xml:space="preserve">[10] </w:t>
      </w:r>
      <w:r>
        <w:rPr>
          <w:rFonts w:ascii="TimesNewRoman" w:hAnsi="TimesNewRoman" w:cs="TimesNewRoman"/>
          <w:lang w:val="en-GB"/>
        </w:rPr>
        <w:tab/>
        <w:t xml:space="preserve">PEACOCK, K.L., Design of discrete bandpass filters for petroleum exploration, Oil Gas J. </w:t>
      </w:r>
      <w:r>
        <w:rPr>
          <w:rFonts w:ascii="TimesNewRoman,Bold" w:hAnsi="TimesNewRoman,Bold" w:cs="TimesNewRoman,Bold"/>
          <w:b/>
          <w:bCs/>
          <w:lang w:val="en-GB"/>
        </w:rPr>
        <w:t>83</w:t>
      </w:r>
    </w:p>
    <w:p w:rsidR="00427126" w:rsidRPr="00427126" w:rsidRDefault="00C1643C" w:rsidP="00C21AC7">
      <w:pPr>
        <w:autoSpaceDE w:val="0"/>
        <w:autoSpaceDN w:val="0"/>
        <w:adjustRightInd w:val="0"/>
        <w:spacing w:after="0" w:line="240" w:lineRule="auto"/>
        <w:ind w:left="720"/>
        <w:rPr>
          <w:rFonts w:ascii="time" w:hAnsi="time"/>
          <w:sz w:val="24"/>
        </w:rPr>
      </w:pPr>
      <w:r>
        <w:rPr>
          <w:rFonts w:ascii="TimesNewRoman" w:hAnsi="TimesNewRoman" w:cs="TimesNewRoman"/>
          <w:lang w:val="en-GB"/>
        </w:rPr>
        <w:t>42 (1985) 121.</w:t>
      </w:r>
      <w:r w:rsidR="00427126" w:rsidRPr="00427126">
        <w:rPr>
          <w:rFonts w:ascii="time" w:hAnsi="time"/>
          <w:sz w:val="24"/>
        </w:rPr>
        <w:fldChar w:fldCharType="end"/>
      </w:r>
    </w:p>
    <w:sectPr w:rsidR="00427126" w:rsidRPr="0042712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ime">
    <w:altName w:val="Times New Roman"/>
    <w:panose1 w:val="00000000000000000000"/>
    <w:charset w:val="00"/>
    <w:family w:val="roman"/>
    <w:notTrueType/>
    <w:pitch w:val="default"/>
  </w:font>
  <w:font w:name="TimesNewRoman">
    <w:panose1 w:val="00000000000000000000"/>
    <w:charset w:val="00"/>
    <w:family w:val="roman"/>
    <w:notTrueType/>
    <w:pitch w:val="default"/>
    <w:sig w:usb0="00000003" w:usb1="00000000" w:usb2="00000000" w:usb3="00000000" w:csb0="00000001" w:csb1="00000000"/>
  </w:font>
  <w:font w:name="TimesNewRoman,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Rapid Comm Mass Spectrom&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0p9aptev9a52yesaftvpre72z9xaffxw0ez&quot;&gt;My EndNote Library&lt;record-ids&gt;&lt;item&gt;8&lt;/item&gt;&lt;/record-ids&gt;&lt;/item&gt;&lt;/Libraries&gt;"/>
  </w:docVars>
  <w:rsids>
    <w:rsidRoot w:val="003373E5"/>
    <w:rsid w:val="00052B0B"/>
    <w:rsid w:val="00152AF7"/>
    <w:rsid w:val="001E2A23"/>
    <w:rsid w:val="003373E5"/>
    <w:rsid w:val="00427126"/>
    <w:rsid w:val="004426A8"/>
    <w:rsid w:val="004E6628"/>
    <w:rsid w:val="005C687F"/>
    <w:rsid w:val="006F7891"/>
    <w:rsid w:val="007C0F54"/>
    <w:rsid w:val="00AD16F1"/>
    <w:rsid w:val="00B458AF"/>
    <w:rsid w:val="00C1643C"/>
    <w:rsid w:val="00C21AC7"/>
    <w:rsid w:val="00C645F7"/>
    <w:rsid w:val="00CA69D6"/>
    <w:rsid w:val="00D76CF3"/>
    <w:rsid w:val="00E847B5"/>
    <w:rsid w:val="00FC42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0F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0F54"/>
    <w:rPr>
      <w:rFonts w:ascii="Tahoma" w:hAnsi="Tahoma" w:cs="Tahoma"/>
      <w:sz w:val="16"/>
      <w:szCs w:val="16"/>
      <w:lang w:val="en-US"/>
    </w:rPr>
  </w:style>
  <w:style w:type="table" w:styleId="TableGrid">
    <w:name w:val="Table Grid"/>
    <w:basedOn w:val="TableNormal"/>
    <w:uiPriority w:val="59"/>
    <w:rsid w:val="007C0F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C0F54"/>
    <w:rPr>
      <w:color w:val="0000FF" w:themeColor="hyperlink"/>
      <w:u w:val="single"/>
    </w:rPr>
  </w:style>
  <w:style w:type="paragraph" w:customStyle="1" w:styleId="EndNoteBibliographyTitle">
    <w:name w:val="EndNote Bibliography Title"/>
    <w:basedOn w:val="Normal"/>
    <w:link w:val="EndNoteBibliographyTitleChar"/>
    <w:rsid w:val="00427126"/>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427126"/>
    <w:rPr>
      <w:rFonts w:ascii="Calibri" w:hAnsi="Calibri"/>
      <w:noProof/>
      <w:lang w:val="en-US"/>
    </w:rPr>
  </w:style>
  <w:style w:type="paragraph" w:customStyle="1" w:styleId="EndNoteBibliography">
    <w:name w:val="EndNote Bibliography"/>
    <w:basedOn w:val="Normal"/>
    <w:link w:val="EndNoteBibliographyChar"/>
    <w:rsid w:val="00427126"/>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427126"/>
    <w:rPr>
      <w:rFonts w:ascii="Calibri" w:hAnsi="Calibri"/>
      <w:noProof/>
      <w:lang w:val="en-US"/>
    </w:rPr>
  </w:style>
  <w:style w:type="character" w:customStyle="1" w:styleId="maintitle">
    <w:name w:val="maintitle"/>
    <w:basedOn w:val="DefaultParagraphFont"/>
    <w:rsid w:val="00152AF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0F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0F54"/>
    <w:rPr>
      <w:rFonts w:ascii="Tahoma" w:hAnsi="Tahoma" w:cs="Tahoma"/>
      <w:sz w:val="16"/>
      <w:szCs w:val="16"/>
      <w:lang w:val="en-US"/>
    </w:rPr>
  </w:style>
  <w:style w:type="table" w:styleId="TableGrid">
    <w:name w:val="Table Grid"/>
    <w:basedOn w:val="TableNormal"/>
    <w:uiPriority w:val="59"/>
    <w:rsid w:val="007C0F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C0F54"/>
    <w:rPr>
      <w:color w:val="0000FF" w:themeColor="hyperlink"/>
      <w:u w:val="single"/>
    </w:rPr>
  </w:style>
  <w:style w:type="paragraph" w:customStyle="1" w:styleId="EndNoteBibliographyTitle">
    <w:name w:val="EndNote Bibliography Title"/>
    <w:basedOn w:val="Normal"/>
    <w:link w:val="EndNoteBibliographyTitleChar"/>
    <w:rsid w:val="00427126"/>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427126"/>
    <w:rPr>
      <w:rFonts w:ascii="Calibri" w:hAnsi="Calibri"/>
      <w:noProof/>
      <w:lang w:val="en-US"/>
    </w:rPr>
  </w:style>
  <w:style w:type="paragraph" w:customStyle="1" w:styleId="EndNoteBibliography">
    <w:name w:val="EndNote Bibliography"/>
    <w:basedOn w:val="Normal"/>
    <w:link w:val="EndNoteBibliographyChar"/>
    <w:rsid w:val="00427126"/>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427126"/>
    <w:rPr>
      <w:rFonts w:ascii="Calibri" w:hAnsi="Calibri"/>
      <w:noProof/>
      <w:lang w:val="en-US"/>
    </w:rPr>
  </w:style>
  <w:style w:type="character" w:customStyle="1" w:styleId="maintitle">
    <w:name w:val="maintitle"/>
    <w:basedOn w:val="DefaultParagraphFont"/>
    <w:rsid w:val="00152A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F2DFFA-EE00-44B8-BA31-6AD1ECDF4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664</Words>
  <Characters>3957</Characters>
  <Application>Microsoft Office Word</Application>
  <DocSecurity>4</DocSecurity>
  <Lines>146</Lines>
  <Paragraphs>55</Paragraphs>
  <ScaleCrop>false</ScaleCrop>
  <HeadingPairs>
    <vt:vector size="2" baseType="variant">
      <vt:variant>
        <vt:lpstr>Title</vt:lpstr>
      </vt:variant>
      <vt:variant>
        <vt:i4>1</vt:i4>
      </vt:variant>
    </vt:vector>
  </HeadingPairs>
  <TitlesOfParts>
    <vt:vector size="1" baseType="lpstr">
      <vt:lpstr/>
    </vt:vector>
  </TitlesOfParts>
  <Company>IAEA</Company>
  <LinksUpToDate>false</LinksUpToDate>
  <CharactersWithSpaces>4566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WASSENAAR, Leonard</dc:creator>
  <cp:lastModifiedBy>MORRISON, Karen</cp:lastModifiedBy>
  <cp:revision>2</cp:revision>
  <dcterms:created xsi:type="dcterms:W3CDTF">2015-07-29T12:45:00Z</dcterms:created>
  <dcterms:modified xsi:type="dcterms:W3CDTF">2015-07-29T12:45:00Z</dcterms:modified>
</cp:coreProperties>
</file>