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70" w:rsidRPr="00EE29B9" w:rsidRDefault="00CC6AC1" w:rsidP="00CC6AC1">
      <w:pPr>
        <w:pStyle w:val="Heading1"/>
      </w:pPr>
      <w:bookmarkStart w:id="0" w:name="_GoBack"/>
      <w:bookmarkEnd w:id="0"/>
      <w:r w:rsidRPr="00CC6AC1">
        <w:t xml:space="preserve">Collaborative learning in the </w:t>
      </w:r>
      <w:r w:rsidR="0029064F">
        <w:t xml:space="preserve">scientific </w:t>
      </w:r>
      <w:r w:rsidR="0029064F" w:rsidRPr="00F42556">
        <w:t>Community of Practice</w:t>
      </w:r>
    </w:p>
    <w:p w:rsidR="003B5E0E" w:rsidRPr="003B5E0E" w:rsidRDefault="00CC6AC1" w:rsidP="00537496">
      <w:pPr>
        <w:pStyle w:val="Subtitle"/>
      </w:pPr>
      <w:r>
        <w:t>Case study</w:t>
      </w:r>
    </w:p>
    <w:p w:rsidR="00802381" w:rsidRDefault="00802381" w:rsidP="00537496">
      <w:pPr>
        <w:pStyle w:val="Authornameandaffiliation"/>
      </w:pPr>
    </w:p>
    <w:p w:rsidR="003B5E0E" w:rsidRDefault="007660D1" w:rsidP="00537496">
      <w:pPr>
        <w:pStyle w:val="Authornameandaffiliation"/>
      </w:pPr>
      <w:r>
        <w:t>J</w:t>
      </w:r>
      <w:r w:rsidR="00FF386F" w:rsidRPr="00FF386F">
        <w:t>.</w:t>
      </w:r>
      <w:r>
        <w:t>JESIONKOWSKA</w:t>
      </w:r>
    </w:p>
    <w:p w:rsidR="00676159" w:rsidRDefault="00676159" w:rsidP="00676159">
      <w:pPr>
        <w:pStyle w:val="Authornameandaffiliation"/>
        <w:rPr>
          <w:lang w:val="en-GB"/>
        </w:rPr>
      </w:pPr>
      <w:r w:rsidRPr="00EF40BD">
        <w:rPr>
          <w:lang w:val="en-GB"/>
        </w:rPr>
        <w:t>Joint Research Centre, European Commission</w:t>
      </w:r>
    </w:p>
    <w:p w:rsidR="00676159" w:rsidRPr="00FF386F" w:rsidRDefault="00676159" w:rsidP="00676159">
      <w:pPr>
        <w:pStyle w:val="Authornameandaffiliation"/>
      </w:pPr>
      <w:r>
        <w:rPr>
          <w:lang w:val="en-GB"/>
        </w:rPr>
        <w:t>Geel, Belgium</w:t>
      </w:r>
    </w:p>
    <w:p w:rsidR="009151F3" w:rsidRPr="00FF386F" w:rsidRDefault="009151F3" w:rsidP="009151F3">
      <w:pPr>
        <w:pStyle w:val="Authornameandaffiliation"/>
      </w:pPr>
      <w:r w:rsidRPr="00676159">
        <w:t>Department of Education and Training, University of Liège, Belgium</w:t>
      </w:r>
    </w:p>
    <w:p w:rsidR="009151F3" w:rsidRDefault="009151F3" w:rsidP="009151F3">
      <w:pPr>
        <w:pStyle w:val="Authornameandaffiliation"/>
      </w:pPr>
      <w:r w:rsidRPr="00676159">
        <w:t>Liège, Belgium</w:t>
      </w:r>
    </w:p>
    <w:p w:rsidR="00FF386F" w:rsidRDefault="00FF386F" w:rsidP="00537496">
      <w:pPr>
        <w:pStyle w:val="Authornameandaffiliation"/>
      </w:pPr>
      <w:r>
        <w:t xml:space="preserve">Email: </w:t>
      </w:r>
      <w:r w:rsidR="00676159" w:rsidRPr="00676159">
        <w:t>j.jesionkowska@doct.ulg.ac.be</w:t>
      </w:r>
    </w:p>
    <w:p w:rsidR="00FF386F" w:rsidRDefault="00FF386F" w:rsidP="00537496">
      <w:pPr>
        <w:pStyle w:val="Authornameandaffiliation"/>
      </w:pPr>
    </w:p>
    <w:p w:rsidR="00647F33" w:rsidRDefault="00647F33" w:rsidP="0079584A">
      <w:pPr>
        <w:pStyle w:val="Authornameandaffiliation"/>
        <w:rPr>
          <w:b/>
        </w:rPr>
      </w:pPr>
      <w:r w:rsidRPr="00647F33">
        <w:rPr>
          <w:b/>
        </w:rPr>
        <w:t>Abstract</w:t>
      </w:r>
    </w:p>
    <w:p w:rsidR="0079584A" w:rsidRPr="0079584A" w:rsidRDefault="0079584A" w:rsidP="0079584A">
      <w:pPr>
        <w:pStyle w:val="Authornameandaffiliation"/>
        <w:rPr>
          <w:b/>
        </w:rPr>
      </w:pPr>
    </w:p>
    <w:p w:rsidR="0079584A" w:rsidRDefault="0079584A" w:rsidP="0079584A">
      <w:pPr>
        <w:pStyle w:val="Abstracttext"/>
      </w:pPr>
      <w:r>
        <w:t>The paper describes research done in the scope of doctoral project. The aim of the study is to discover how to improve the process of collaborative learning in the community of scientists by the development of a community of practice. A mixed methods approach was used combining data from content analysis, interviews and questionnaires. Results show that such community helps to build relationships and network with others, it motivates to share work-related knowledge, represents an area of common interest for organization, but also that it is mainly driven by the willingness of members and is lacking instruments to share ideas.</w:t>
      </w:r>
    </w:p>
    <w:p w:rsidR="00647F33" w:rsidRDefault="00F523CA" w:rsidP="00537496">
      <w:pPr>
        <w:pStyle w:val="Heading2"/>
        <w:numPr>
          <w:ilvl w:val="1"/>
          <w:numId w:val="10"/>
        </w:numPr>
      </w:pPr>
      <w:r>
        <w:t>INTRODUCTION</w:t>
      </w:r>
    </w:p>
    <w:p w:rsidR="00793C39" w:rsidRDefault="00A068F8" w:rsidP="00480EDB">
      <w:pPr>
        <w:pStyle w:val="BodyText"/>
      </w:pPr>
      <w:r>
        <w:t xml:space="preserve">The challenges in modern nuclear science require more and more collaboration of scientists from different units, different institutions, often different countries and continents. </w:t>
      </w:r>
      <w:r w:rsidR="00793C39">
        <w:t>The global scale of many large-scale projects or 'big sci</w:t>
      </w:r>
      <w:r w:rsidR="00821A01">
        <w:t xml:space="preserve">ence' </w:t>
      </w:r>
      <w:r w:rsidR="004C034B">
        <w:t>[1]</w:t>
      </w:r>
      <w:r w:rsidR="00793C39">
        <w:t xml:space="preserve"> forces scientists to start broader and more inclusive international cooperation. </w:t>
      </w:r>
      <w:r w:rsidR="00480EDB">
        <w:t xml:space="preserve">Scientific collaboration is a social process in which people share their human capitals to produce  knowledge </w:t>
      </w:r>
      <w:r w:rsidR="000F4F1E">
        <w:t>[2]</w:t>
      </w:r>
      <w:r w:rsidR="00480EDB">
        <w:t xml:space="preserve">. </w:t>
      </w:r>
      <w:r>
        <w:t xml:space="preserve">Collaboration takes place at </w:t>
      </w:r>
      <w:r w:rsidR="00FA4449">
        <w:t xml:space="preserve">organizational, national, and international levels. </w:t>
      </w:r>
      <w:r w:rsidR="00C05A49" w:rsidRPr="00C05A49">
        <w:t>Scientific collaboration</w:t>
      </w:r>
      <w:r w:rsidR="00C05A49">
        <w:t xml:space="preserve"> in all domains</w:t>
      </w:r>
      <w:r w:rsidR="00C05A49" w:rsidRPr="00C05A49">
        <w:t xml:space="preserve"> is increasing in frequency and importance</w:t>
      </w:r>
      <w:r w:rsidR="00DE204D">
        <w:t xml:space="preserve"> [3]</w:t>
      </w:r>
      <w:r w:rsidR="00480EDB">
        <w:t xml:space="preserve">. </w:t>
      </w:r>
      <w:r w:rsidR="00793C39">
        <w:t xml:space="preserve">Scientific collaborations spans fields, institutions, sectors, and countries </w:t>
      </w:r>
      <w:r w:rsidR="00DE204D">
        <w:t>[4]</w:t>
      </w:r>
      <w:r w:rsidR="00793C39">
        <w:t>.</w:t>
      </w:r>
      <w:r w:rsidR="00BA58D2">
        <w:t xml:space="preserve"> Increasingly, public and private research funding agencies require interdisciplinary, international and inter-institutional collaboration.</w:t>
      </w:r>
      <w:r w:rsidR="00793C39">
        <w:t xml:space="preserve"> </w:t>
      </w:r>
      <w:r w:rsidR="00BA58D2">
        <w:t>Many i</w:t>
      </w:r>
      <w:r w:rsidR="00BA58D2" w:rsidRPr="00E962C4">
        <w:t>nformation</w:t>
      </w:r>
      <w:r w:rsidR="00BA58D2">
        <w:t xml:space="preserve"> and knowledge</w:t>
      </w:r>
      <w:r w:rsidR="00BA58D2" w:rsidRPr="00E962C4">
        <w:t xml:space="preserve"> is embedded in collaboration networks</w:t>
      </w:r>
      <w:r w:rsidR="00DE204D">
        <w:t xml:space="preserve"> [5]</w:t>
      </w:r>
      <w:r w:rsidR="00BA58D2">
        <w:t xml:space="preserve">. </w:t>
      </w:r>
      <w:r w:rsidR="00793C39">
        <w:t>It has the potential to solve complex scientific problems. Collaboration in science has led to scientific breakthroughs that would not otherwise have been possible</w:t>
      </w:r>
      <w:r w:rsidR="00DE204D">
        <w:t xml:space="preserve"> [6]</w:t>
      </w:r>
      <w:r w:rsidR="00793C39">
        <w:t>.</w:t>
      </w:r>
      <w:r w:rsidR="00E962C4">
        <w:t xml:space="preserve"> </w:t>
      </w:r>
    </w:p>
    <w:p w:rsidR="0066266E" w:rsidRDefault="0066266E" w:rsidP="0066266E">
      <w:pPr>
        <w:pStyle w:val="BodyText"/>
        <w:ind w:firstLine="0"/>
      </w:pPr>
    </w:p>
    <w:p w:rsidR="0066266E" w:rsidRDefault="0066266E" w:rsidP="009F52B2">
      <w:pPr>
        <w:pStyle w:val="Heading2"/>
        <w:numPr>
          <w:ilvl w:val="1"/>
          <w:numId w:val="10"/>
        </w:numPr>
      </w:pPr>
      <w:r>
        <w:t>collaborative learning</w:t>
      </w:r>
      <w:r w:rsidR="009F52B2">
        <w:t xml:space="preserve"> and community of practice</w:t>
      </w:r>
    </w:p>
    <w:p w:rsidR="009F52B2" w:rsidRDefault="0066266E" w:rsidP="0066266E">
      <w:pPr>
        <w:pStyle w:val="BodyText"/>
      </w:pPr>
      <w:r>
        <w:t>Learning is an integral component of scientific collaboration, especially interdisciplinary</w:t>
      </w:r>
      <w:r w:rsidR="00DE204D">
        <w:t xml:space="preserve"> [7]</w:t>
      </w:r>
      <w:r>
        <w:t xml:space="preserve">. Collaboration is viewed as “one of the most effective forms of </w:t>
      </w:r>
      <w:r>
        <w:lastRenderedPageBreak/>
        <w:t xml:space="preserve">knowledge transfer” </w:t>
      </w:r>
      <w:r w:rsidR="00DE204D">
        <w:t>[8]</w:t>
      </w:r>
      <w:r>
        <w:t>. Scientists need to learn from each other to develop a common working understanding regarding their research project and how they can integrate their specialized knowledge</w:t>
      </w:r>
      <w:r w:rsidR="00B304B4">
        <w:t xml:space="preserve"> to</w:t>
      </w:r>
      <w:r>
        <w:t xml:space="preserve"> </w:t>
      </w:r>
      <w:r w:rsidR="00B304B4">
        <w:t>create and maint</w:t>
      </w:r>
      <w:r w:rsidR="00707C78">
        <w:t xml:space="preserve">ain a strong nuclear knowledge </w:t>
      </w:r>
      <w:r w:rsidR="00B304B4">
        <w:t xml:space="preserve">base. </w:t>
      </w:r>
      <w:r>
        <w:t xml:space="preserve">Learning requires time, reflexivity, disclosure, risk taking, and trust </w:t>
      </w:r>
      <w:r w:rsidR="00DE204D">
        <w:t>[</w:t>
      </w:r>
      <w:r w:rsidR="003A12E9">
        <w:t>7</w:t>
      </w:r>
      <w:r w:rsidR="00DE204D">
        <w:t>]</w:t>
      </w:r>
      <w:r>
        <w:t>. It takes time to teach and learn from others. Disciplines and specialized areas of expertise</w:t>
      </w:r>
      <w:r w:rsidR="00707C78">
        <w:t>,</w:t>
      </w:r>
      <w:r>
        <w:t xml:space="preserve"> </w:t>
      </w:r>
      <w:r w:rsidR="00707C78">
        <w:t xml:space="preserve">like nuclear science, </w:t>
      </w:r>
      <w:r>
        <w:t>have their own concepts, methods, and languages; it is important to identify and understand these differences</w:t>
      </w:r>
      <w:r w:rsidR="00DE204D">
        <w:t xml:space="preserve"> [</w:t>
      </w:r>
      <w:r w:rsidR="003A12E9">
        <w:t>3</w:t>
      </w:r>
      <w:r w:rsidR="00DE204D">
        <w:t>]</w:t>
      </w:r>
      <w:r>
        <w:t xml:space="preserve">. These challenges can be met by  </w:t>
      </w:r>
      <w:r w:rsidR="009F52B2">
        <w:t xml:space="preserve">creating communities of practice between scientists involved in operating  end  utilizing  nuclear  technology. </w:t>
      </w:r>
    </w:p>
    <w:p w:rsidR="00711C04" w:rsidRDefault="00946BD6" w:rsidP="00711C04">
      <w:pPr>
        <w:pStyle w:val="BodyText"/>
      </w:pPr>
      <w:r>
        <w:t>Community of P</w:t>
      </w:r>
      <w:r w:rsidR="009F52B2">
        <w:t>ractice</w:t>
      </w:r>
      <w:r>
        <w:t xml:space="preserve"> (CoP)</w:t>
      </w:r>
      <w:r w:rsidR="009F52B2">
        <w:t xml:space="preserve"> is </w:t>
      </w:r>
      <w:r w:rsidR="00D0747E" w:rsidRPr="00D0747E">
        <w:t>“</w:t>
      </w:r>
      <w:r w:rsidR="00D0747E">
        <w:t xml:space="preserve">a </w:t>
      </w:r>
      <w:r w:rsidR="00D0747E" w:rsidRPr="00D0747E">
        <w:t>group of people who share a concern, a set of problems, or a passion about a topic, and who deepen their knowledge and expertise in this area by interac</w:t>
      </w:r>
      <w:r w:rsidR="00D0747E">
        <w:t xml:space="preserve">ting on an ongoing basis” (p.4) </w:t>
      </w:r>
      <w:r w:rsidR="00DE204D">
        <w:t>[</w:t>
      </w:r>
      <w:r w:rsidR="003A12E9">
        <w:t>9</w:t>
      </w:r>
      <w:r w:rsidR="00DE204D">
        <w:t>]</w:t>
      </w:r>
      <w:r w:rsidR="00D0747E">
        <w:t xml:space="preserve">. </w:t>
      </w:r>
      <w:r w:rsidR="00DE204D">
        <w:t>According to Wenger</w:t>
      </w:r>
      <w:r w:rsidR="003A12E9">
        <w:t xml:space="preserve"> [10</w:t>
      </w:r>
      <w:r w:rsidRPr="00946BD6">
        <w:t xml:space="preserve">], people who want to participate in CoPs get ready to share their knowledge, sharpen their expertise, build up interpersonal networks and pursue their interest. </w:t>
      </w:r>
      <w:r w:rsidR="00D079E4" w:rsidRPr="00946BD6">
        <w:t>Communities facilitate organisational learning by supporting the sharing of distributed knowledge as it is creat</w:t>
      </w:r>
      <w:r w:rsidR="003A12E9">
        <w:t>ed, valued and understood [11</w:t>
      </w:r>
      <w:r w:rsidR="00D079E4">
        <w:t xml:space="preserve">]. </w:t>
      </w:r>
      <w:r w:rsidR="00D079E4" w:rsidRPr="00946BD6">
        <w:t xml:space="preserve">CoPs often focus on sharing best practices and creating new knowledge to advance a domain of professional practice. </w:t>
      </w:r>
      <w:r>
        <w:t>This approach to knowledge management can lead to developing and maintaining a strong nuclear knowledge  base at the organizational, national, and international levels.</w:t>
      </w:r>
    </w:p>
    <w:p w:rsidR="009F52B2" w:rsidRDefault="009F52B2" w:rsidP="009F52B2">
      <w:pPr>
        <w:pStyle w:val="Heading2"/>
        <w:numPr>
          <w:ilvl w:val="1"/>
          <w:numId w:val="10"/>
        </w:numPr>
      </w:pPr>
      <w:r>
        <w:t>Relevance of collaborative learning for Nuclear knowledge building</w:t>
      </w:r>
    </w:p>
    <w:p w:rsidR="00E37B27" w:rsidRDefault="00581640" w:rsidP="00E37B27">
      <w:pPr>
        <w:pStyle w:val="BodyText"/>
      </w:pPr>
      <w:r>
        <w:t xml:space="preserve">Nuclear  knowledge is  complex, it requires significant financial commitment and government support,  and  it  has  been  developed,  shared  and  transferred  over  many  generations. Nuclear  knowledge  </w:t>
      </w:r>
      <w:r w:rsidR="00FE5FA1">
        <w:t>is</w:t>
      </w:r>
      <w:r>
        <w:t xml:space="preserve">  embedded  in plant designs, training programmes, work plans or practices, and  decision  making</w:t>
      </w:r>
      <w:r w:rsidR="00FE5FA1">
        <w:t>. The  personal  skill  sets  and  experience  needed  to  safely  apply  this  knowledge  to  real  world  applicat</w:t>
      </w:r>
      <w:r w:rsidR="00DE204D">
        <w:t>ions  is  particularly  scarce [</w:t>
      </w:r>
      <w:r w:rsidR="003A12E9">
        <w:t>12</w:t>
      </w:r>
      <w:r w:rsidR="00DE204D">
        <w:t>]</w:t>
      </w:r>
      <w:r w:rsidR="00FE5FA1">
        <w:t xml:space="preserve">. A way to </w:t>
      </w:r>
      <w:r w:rsidR="00E37B27">
        <w:t xml:space="preserve">address the challenges of managing the nuclear knowledge could be </w:t>
      </w:r>
      <w:r w:rsidR="00FE5FA1">
        <w:t>by creating and developing online networks of experts in the field nuclear technology: Communities of Practice. Knowledge of the community is larger and deeper than individual one, each one can contribute to the cognitive development of the group helping to (re)structure knowledge</w:t>
      </w:r>
      <w:r w:rsidR="00DE204D">
        <w:t xml:space="preserve"> [</w:t>
      </w:r>
      <w:r w:rsidR="003A12E9">
        <w:t>13</w:t>
      </w:r>
      <w:r w:rsidR="00DE204D">
        <w:t>]</w:t>
      </w:r>
      <w:r w:rsidR="00FE5FA1">
        <w:t>.</w:t>
      </w:r>
      <w:r w:rsidR="00E37B27" w:rsidRPr="00E37B27">
        <w:t xml:space="preserve"> </w:t>
      </w:r>
      <w:r w:rsidR="00E37B27">
        <w:t xml:space="preserve">Crating and developing a CoP could be a method to </w:t>
      </w:r>
      <w:r w:rsidR="00E37B27" w:rsidRPr="00BA2058">
        <w:t>establish  and  manage  nuclear  competencies,  information  and  records,  work  processes,  analysis and verification techniques, and the interpretation of data.</w:t>
      </w:r>
    </w:p>
    <w:p w:rsidR="00FE5FA1" w:rsidRDefault="00FE5FA1" w:rsidP="00F12B04">
      <w:pPr>
        <w:pStyle w:val="BodyText"/>
      </w:pPr>
    </w:p>
    <w:p w:rsidR="00334AA0" w:rsidRDefault="00334AA0" w:rsidP="00334AA0">
      <w:pPr>
        <w:pStyle w:val="Heading2"/>
        <w:numPr>
          <w:ilvl w:val="1"/>
          <w:numId w:val="10"/>
        </w:numPr>
      </w:pPr>
      <w:r w:rsidRPr="00334AA0">
        <w:t>METHODOLOGY</w:t>
      </w:r>
    </w:p>
    <w:p w:rsidR="00334AA0" w:rsidRPr="00334AA0" w:rsidRDefault="00334AA0" w:rsidP="00334AA0">
      <w:pPr>
        <w:pStyle w:val="BodyText"/>
        <w:ind w:firstLine="0"/>
      </w:pPr>
      <w:r w:rsidRPr="00334AA0">
        <w:t xml:space="preserve">This project is a </w:t>
      </w:r>
      <w:r w:rsidR="00F3081A">
        <w:t>case study: a</w:t>
      </w:r>
      <w:r w:rsidRPr="00334AA0">
        <w:t xml:space="preserve"> group </w:t>
      </w:r>
      <w:r w:rsidR="00F3081A">
        <w:t>of scientists involved into a training programme in the area of analytical chemistry. This</w:t>
      </w:r>
      <w:r w:rsidR="00F3081A" w:rsidRPr="00334AA0">
        <w:t xml:space="preserve"> specific case </w:t>
      </w:r>
      <w:r w:rsidR="00F3081A">
        <w:t>is used</w:t>
      </w:r>
      <w:r w:rsidR="00F3081A" w:rsidRPr="00334AA0">
        <w:t xml:space="preserve"> </w:t>
      </w:r>
      <w:r w:rsidRPr="00334AA0">
        <w:t xml:space="preserve">to provide insight into a </w:t>
      </w:r>
      <w:r w:rsidRPr="00334AA0">
        <w:lastRenderedPageBreak/>
        <w:t>particular case – collaborative learning in a group of scientists. This case study provides a good description about the knowledge sharing in a multinational group of scientists working in the field of analytical chemistry.</w:t>
      </w:r>
    </w:p>
    <w:p w:rsidR="00F3081A" w:rsidRDefault="00F3081A" w:rsidP="00334AA0">
      <w:pPr>
        <w:pStyle w:val="BodyText"/>
        <w:ind w:firstLine="0"/>
      </w:pPr>
      <w:r>
        <w:t>Mixed methods</w:t>
      </w:r>
      <w:r w:rsidR="00DE204D">
        <w:t xml:space="preserve"> [</w:t>
      </w:r>
      <w:r w:rsidR="003A12E9">
        <w:t>14</w:t>
      </w:r>
      <w:r w:rsidR="002E5022">
        <w:t>]</w:t>
      </w:r>
      <w:r>
        <w:t xml:space="preserve"> are used: </w:t>
      </w:r>
      <w:r w:rsidRPr="00F3081A">
        <w:t>qualitative and quantitative methods, such as interviews, focus groups, questionnaires, observation grids. Actors are involved at the different steps of t</w:t>
      </w:r>
      <w:r w:rsidR="00842FB2">
        <w:t>he work. Data was collected in 4</w:t>
      </w:r>
      <w:r w:rsidRPr="00F3081A">
        <w:t xml:space="preserve"> steps described in the table below.</w:t>
      </w:r>
    </w:p>
    <w:p w:rsidR="00F3081A" w:rsidRDefault="00F3081A" w:rsidP="00F3081A">
      <w:pPr>
        <w:pStyle w:val="BodyText"/>
        <w:ind w:firstLine="0"/>
      </w:pPr>
    </w:p>
    <w:p w:rsidR="00F3081A" w:rsidRDefault="00F3081A" w:rsidP="00F3081A">
      <w:pPr>
        <w:pStyle w:val="BodyText"/>
        <w:ind w:firstLine="0"/>
      </w:pPr>
      <w:r>
        <w:t>TABLE 1.</w:t>
      </w:r>
      <w:r>
        <w:tab/>
      </w:r>
      <w:r w:rsidRPr="00F3081A">
        <w:rPr>
          <w:caps/>
        </w:rPr>
        <w:t>Steps and tasks of data collection</w:t>
      </w:r>
    </w:p>
    <w:p w:rsidR="00F3081A" w:rsidRDefault="00F3081A" w:rsidP="00F3081A">
      <w:pPr>
        <w:pStyle w:val="BodyText"/>
      </w:pP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351"/>
      </w:tblGrid>
      <w:tr w:rsidR="00F3081A" w:rsidTr="00F3081A">
        <w:trPr>
          <w:jc w:val="center"/>
        </w:trPr>
        <w:tc>
          <w:tcPr>
            <w:tcW w:w="1188" w:type="pct"/>
            <w:tcBorders>
              <w:top w:val="single" w:sz="4" w:space="0" w:color="auto"/>
              <w:bottom w:val="single" w:sz="4" w:space="0" w:color="auto"/>
            </w:tcBorders>
          </w:tcPr>
          <w:p w:rsidR="00F3081A" w:rsidRDefault="00F3081A" w:rsidP="0032062C">
            <w:pPr>
              <w:pStyle w:val="BodyText"/>
            </w:pPr>
            <w:r>
              <w:rPr>
                <w:rStyle w:val="NLC-table"/>
              </w:rPr>
              <w:t>Step</w:t>
            </w:r>
          </w:p>
        </w:tc>
        <w:tc>
          <w:tcPr>
            <w:tcW w:w="3812" w:type="pct"/>
            <w:tcBorders>
              <w:top w:val="single" w:sz="4" w:space="0" w:color="auto"/>
              <w:bottom w:val="single" w:sz="4" w:space="0" w:color="auto"/>
            </w:tcBorders>
          </w:tcPr>
          <w:p w:rsidR="00F3081A" w:rsidRDefault="00F3081A" w:rsidP="0032062C">
            <w:pPr>
              <w:pStyle w:val="BodyText"/>
            </w:pPr>
            <w:r>
              <w:rPr>
                <w:rStyle w:val="NLC-table"/>
              </w:rPr>
              <w:t>Tasks</w:t>
            </w:r>
          </w:p>
        </w:tc>
      </w:tr>
      <w:tr w:rsidR="00F3081A" w:rsidTr="0032062C">
        <w:trPr>
          <w:jc w:val="center"/>
        </w:trPr>
        <w:tc>
          <w:tcPr>
            <w:tcW w:w="1188" w:type="pct"/>
            <w:tcBorders>
              <w:top w:val="single" w:sz="4" w:space="0" w:color="auto"/>
            </w:tcBorders>
          </w:tcPr>
          <w:p w:rsidR="00930FFD" w:rsidRDefault="00930FFD" w:rsidP="0032062C">
            <w:pPr>
              <w:pStyle w:val="BodyText"/>
              <w:ind w:firstLine="0"/>
              <w:jc w:val="left"/>
            </w:pPr>
          </w:p>
          <w:p w:rsidR="00F3081A" w:rsidRPr="00333C2B" w:rsidRDefault="00F3081A" w:rsidP="0032062C">
            <w:pPr>
              <w:pStyle w:val="BodyText"/>
              <w:ind w:firstLine="0"/>
              <w:jc w:val="left"/>
              <w:rPr>
                <w:rStyle w:val="NLC-table"/>
              </w:rPr>
            </w:pPr>
            <w:r w:rsidRPr="006347F2">
              <w:t>Content analysis</w:t>
            </w:r>
          </w:p>
        </w:tc>
        <w:tc>
          <w:tcPr>
            <w:tcW w:w="3812" w:type="pct"/>
            <w:tcBorders>
              <w:top w:val="single" w:sz="4" w:space="0" w:color="auto"/>
            </w:tcBorders>
          </w:tcPr>
          <w:p w:rsidR="00930FFD" w:rsidRDefault="00930FFD" w:rsidP="0032062C">
            <w:pPr>
              <w:pStyle w:val="BodyText"/>
              <w:ind w:firstLine="0"/>
              <w:jc w:val="center"/>
            </w:pPr>
          </w:p>
          <w:p w:rsidR="00F3081A" w:rsidRPr="009A5532" w:rsidRDefault="00F3081A" w:rsidP="0032062C">
            <w:pPr>
              <w:pStyle w:val="BodyText"/>
              <w:ind w:firstLine="0"/>
              <w:jc w:val="center"/>
            </w:pPr>
            <w:r>
              <w:t>R</w:t>
            </w:r>
            <w:r w:rsidRPr="006347F2">
              <w:t>eviewing all documents concerning the group, to study the learning process of the group</w:t>
            </w:r>
          </w:p>
          <w:p w:rsidR="00F3081A" w:rsidRPr="00333C2B" w:rsidRDefault="00F3081A" w:rsidP="0032062C">
            <w:pPr>
              <w:pStyle w:val="BodyText"/>
              <w:ind w:firstLine="0"/>
              <w:jc w:val="center"/>
              <w:rPr>
                <w:rStyle w:val="NLC-table"/>
              </w:rPr>
            </w:pPr>
          </w:p>
        </w:tc>
      </w:tr>
      <w:tr w:rsidR="00F3081A" w:rsidTr="0032062C">
        <w:trPr>
          <w:jc w:val="center"/>
        </w:trPr>
        <w:tc>
          <w:tcPr>
            <w:tcW w:w="1188" w:type="pct"/>
          </w:tcPr>
          <w:p w:rsidR="00F3081A" w:rsidRPr="00333C2B" w:rsidRDefault="00F3081A" w:rsidP="0032062C">
            <w:pPr>
              <w:pStyle w:val="BodyText"/>
              <w:ind w:firstLine="0"/>
              <w:jc w:val="left"/>
              <w:rPr>
                <w:rStyle w:val="NLC-table"/>
              </w:rPr>
            </w:pPr>
            <w:r w:rsidRPr="006347F2">
              <w:t>Interviews</w:t>
            </w:r>
          </w:p>
        </w:tc>
        <w:tc>
          <w:tcPr>
            <w:tcW w:w="3812" w:type="pct"/>
          </w:tcPr>
          <w:p w:rsidR="00F3081A" w:rsidRPr="006347F2" w:rsidRDefault="00F3081A" w:rsidP="0032062C">
            <w:pPr>
              <w:pStyle w:val="BodyText"/>
              <w:ind w:firstLine="0"/>
              <w:jc w:val="center"/>
            </w:pPr>
            <w:r>
              <w:t>T</w:t>
            </w:r>
            <w:r w:rsidRPr="006347F2">
              <w:t xml:space="preserve">he semi structured, open-end interviews involving the </w:t>
            </w:r>
            <w:r>
              <w:t xml:space="preserve">programme </w:t>
            </w:r>
            <w:r w:rsidRPr="006347F2">
              <w:t>coordinators.</w:t>
            </w:r>
          </w:p>
          <w:p w:rsidR="00F3081A" w:rsidRDefault="00F3081A" w:rsidP="0032062C">
            <w:pPr>
              <w:pStyle w:val="BodyText"/>
              <w:ind w:firstLine="0"/>
              <w:jc w:val="center"/>
            </w:pPr>
            <w:r w:rsidRPr="006347F2">
              <w:t>the interviews were digitally recorded and transcribed and sent to the interviewe</w:t>
            </w:r>
            <w:r>
              <w:t>es to be checked and corrected</w:t>
            </w:r>
          </w:p>
          <w:p w:rsidR="00F3081A" w:rsidRPr="006347F2" w:rsidRDefault="00F3081A" w:rsidP="0032062C">
            <w:pPr>
              <w:pStyle w:val="BodyText"/>
              <w:ind w:firstLine="0"/>
              <w:jc w:val="center"/>
              <w:rPr>
                <w:rStyle w:val="NLC-table"/>
              </w:rPr>
            </w:pPr>
          </w:p>
        </w:tc>
      </w:tr>
      <w:tr w:rsidR="00F3081A" w:rsidTr="0032062C">
        <w:trPr>
          <w:jc w:val="center"/>
        </w:trPr>
        <w:tc>
          <w:tcPr>
            <w:tcW w:w="1188" w:type="pct"/>
          </w:tcPr>
          <w:p w:rsidR="00F3081A" w:rsidRPr="009A5532" w:rsidRDefault="00F3081A" w:rsidP="0032062C">
            <w:pPr>
              <w:pStyle w:val="BodyText"/>
              <w:ind w:firstLine="0"/>
              <w:jc w:val="left"/>
            </w:pPr>
            <w:r w:rsidRPr="006347F2">
              <w:t xml:space="preserve">Questionnaires </w:t>
            </w:r>
          </w:p>
          <w:p w:rsidR="00F3081A" w:rsidRPr="00333C2B" w:rsidRDefault="00F3081A" w:rsidP="0032062C">
            <w:pPr>
              <w:pStyle w:val="BodyText"/>
              <w:ind w:firstLine="0"/>
              <w:jc w:val="left"/>
              <w:rPr>
                <w:rStyle w:val="NLC-table"/>
              </w:rPr>
            </w:pPr>
          </w:p>
        </w:tc>
        <w:tc>
          <w:tcPr>
            <w:tcW w:w="3812" w:type="pct"/>
          </w:tcPr>
          <w:p w:rsidR="00F3081A" w:rsidRDefault="00F3081A" w:rsidP="0032062C">
            <w:pPr>
              <w:pStyle w:val="BodyText"/>
              <w:ind w:firstLine="0"/>
              <w:jc w:val="center"/>
            </w:pPr>
            <w:r>
              <w:t>O</w:t>
            </w:r>
            <w:r w:rsidRPr="006347F2">
              <w:t xml:space="preserve">nline questionnaires allowed collecting data from a group spread over the Europe. </w:t>
            </w:r>
            <w:r>
              <w:t>The</w:t>
            </w:r>
            <w:r w:rsidRPr="006347F2">
              <w:t xml:space="preserve"> framework was developed using the information gathered in the previous phase</w:t>
            </w:r>
          </w:p>
          <w:p w:rsidR="002E5022" w:rsidRPr="00333C2B" w:rsidRDefault="002E5022" w:rsidP="0032062C">
            <w:pPr>
              <w:pStyle w:val="BodyText"/>
              <w:ind w:firstLine="0"/>
              <w:jc w:val="center"/>
              <w:rPr>
                <w:rStyle w:val="NLC-table"/>
              </w:rPr>
            </w:pPr>
          </w:p>
        </w:tc>
      </w:tr>
      <w:tr w:rsidR="002E5022" w:rsidTr="0032062C">
        <w:trPr>
          <w:jc w:val="center"/>
        </w:trPr>
        <w:tc>
          <w:tcPr>
            <w:tcW w:w="1188" w:type="pct"/>
          </w:tcPr>
          <w:p w:rsidR="002E5022" w:rsidRPr="006347F2" w:rsidRDefault="002E5022" w:rsidP="0032062C">
            <w:pPr>
              <w:pStyle w:val="BodyText"/>
              <w:ind w:firstLine="0"/>
              <w:jc w:val="left"/>
            </w:pPr>
            <w:r>
              <w:t>Discussion</w:t>
            </w:r>
          </w:p>
        </w:tc>
        <w:tc>
          <w:tcPr>
            <w:tcW w:w="3812" w:type="pct"/>
          </w:tcPr>
          <w:p w:rsidR="002E5022" w:rsidRDefault="002E5022" w:rsidP="002E5022">
            <w:pPr>
              <w:pStyle w:val="BodyText"/>
              <w:ind w:firstLine="0"/>
              <w:jc w:val="center"/>
            </w:pPr>
            <w:r>
              <w:t>A discussion with all present members</w:t>
            </w:r>
          </w:p>
          <w:p w:rsidR="00930FFD" w:rsidRDefault="00930FFD" w:rsidP="002E5022">
            <w:pPr>
              <w:pStyle w:val="BodyText"/>
              <w:ind w:firstLine="0"/>
              <w:jc w:val="center"/>
            </w:pPr>
          </w:p>
        </w:tc>
      </w:tr>
    </w:tbl>
    <w:p w:rsidR="00F3081A" w:rsidRDefault="00F3081A" w:rsidP="00334AA0">
      <w:pPr>
        <w:pStyle w:val="BodyText"/>
        <w:ind w:firstLine="0"/>
      </w:pPr>
    </w:p>
    <w:p w:rsidR="006009B5" w:rsidRDefault="006009B5" w:rsidP="006009B5">
      <w:pPr>
        <w:pStyle w:val="Heading2"/>
        <w:numPr>
          <w:ilvl w:val="1"/>
          <w:numId w:val="10"/>
        </w:numPr>
      </w:pPr>
      <w:r>
        <w:t>Results</w:t>
      </w:r>
    </w:p>
    <w:p w:rsidR="009406A0" w:rsidRDefault="009406A0" w:rsidP="009406A0">
      <w:pPr>
        <w:pStyle w:val="BodyText"/>
      </w:pPr>
      <w:r>
        <w:t>Data from all the 4 steps of the research was collected and analysed. Early findings are summarized below:</w:t>
      </w:r>
    </w:p>
    <w:p w:rsidR="009406A0" w:rsidRDefault="00821A01" w:rsidP="009406A0">
      <w:pPr>
        <w:pStyle w:val="BodyText"/>
        <w:ind w:firstLine="0"/>
      </w:pPr>
      <w:r>
        <w:t>(</w:t>
      </w:r>
      <w:r w:rsidR="009406A0">
        <w:t>1</w:t>
      </w:r>
      <w:r>
        <w:t>)</w:t>
      </w:r>
      <w:r w:rsidR="009406A0">
        <w:t xml:space="preserve"> The studied group collaborate in a European programme for life-long learning about how to interpret the metrological requirements of ISO/IEC-17025 for chemical and bio-analytical measurements in many different sectors (environment, food, consumer protection, etc.). It is operational across many parts of Europe via national teams. These teams use shareware pedagogic tools which have been harmonized at European level by a joint effort of many experts across Europe working in an editorial board. The purpose of the group is to facilitate the training of metrology in chemistry to laboratory staff, researchers, educators, decision-makers and accreditation assessors, in order to strengthen the measurement infrastructure.</w:t>
      </w:r>
    </w:p>
    <w:p w:rsidR="009406A0" w:rsidRDefault="00821A01" w:rsidP="009406A0">
      <w:pPr>
        <w:pStyle w:val="BodyText"/>
        <w:ind w:firstLine="0"/>
      </w:pPr>
      <w:r>
        <w:lastRenderedPageBreak/>
        <w:t>(</w:t>
      </w:r>
      <w:r w:rsidR="009406A0">
        <w:t>2</w:t>
      </w:r>
      <w:r>
        <w:t>)</w:t>
      </w:r>
      <w:r w:rsidR="009406A0">
        <w:t xml:space="preserve"> The programme coordinators were interviewed. The interviews were analysed using thematic analysis approach. 71 initial codes were identified. After deeper analysis those codes were grouped into 5 defined themes: </w:t>
      </w:r>
    </w:p>
    <w:p w:rsidR="009151F3" w:rsidRDefault="009151F3" w:rsidP="009151F3">
      <w:pPr>
        <w:pStyle w:val="ListEmdash"/>
      </w:pPr>
      <w:r>
        <w:t>Purpose;</w:t>
      </w:r>
    </w:p>
    <w:p w:rsidR="009151F3" w:rsidRDefault="009151F3" w:rsidP="009151F3">
      <w:pPr>
        <w:pStyle w:val="BodyText"/>
        <w:numPr>
          <w:ilvl w:val="0"/>
          <w:numId w:val="20"/>
        </w:numPr>
        <w:ind w:left="709"/>
      </w:pPr>
      <w:r>
        <w:t>Members;</w:t>
      </w:r>
    </w:p>
    <w:p w:rsidR="009151F3" w:rsidRDefault="009151F3" w:rsidP="009151F3">
      <w:pPr>
        <w:pStyle w:val="BodyText"/>
        <w:numPr>
          <w:ilvl w:val="0"/>
          <w:numId w:val="20"/>
        </w:numPr>
        <w:ind w:left="709"/>
      </w:pPr>
      <w:r>
        <w:t>Participant interactions;</w:t>
      </w:r>
    </w:p>
    <w:p w:rsidR="009151F3" w:rsidRDefault="009406A0" w:rsidP="009151F3">
      <w:pPr>
        <w:pStyle w:val="BodyText"/>
        <w:numPr>
          <w:ilvl w:val="0"/>
          <w:numId w:val="20"/>
        </w:numPr>
        <w:ind w:left="709"/>
      </w:pPr>
      <w:r>
        <w:t>Benefits</w:t>
      </w:r>
      <w:r w:rsidR="009151F3">
        <w:t>;</w:t>
      </w:r>
    </w:p>
    <w:p w:rsidR="009406A0" w:rsidRDefault="009406A0" w:rsidP="009151F3">
      <w:pPr>
        <w:pStyle w:val="BodyText"/>
        <w:numPr>
          <w:ilvl w:val="0"/>
          <w:numId w:val="20"/>
        </w:numPr>
        <w:ind w:left="709"/>
      </w:pPr>
      <w:r>
        <w:t>Communication.</w:t>
      </w:r>
    </w:p>
    <w:p w:rsidR="006009B5" w:rsidRDefault="00821A01" w:rsidP="009406A0">
      <w:pPr>
        <w:pStyle w:val="BodyText"/>
        <w:ind w:firstLine="0"/>
      </w:pPr>
      <w:r>
        <w:t>(</w:t>
      </w:r>
      <w:r w:rsidR="009406A0">
        <w:t>3</w:t>
      </w:r>
      <w:r>
        <w:t>)</w:t>
      </w:r>
      <w:r w:rsidR="009406A0">
        <w:t xml:space="preserve"> Community members stated that the community helps to build relationships and network with others, motivates to share work-related knowledge, represents an area of common interest of the group, provides an informal, welcoming social environment, benefits daily work from the established relationships, breaks down communication barriers among members, has a user-friendly communication platform and builds up an agreed set of communal resources over time. But also that the community is mainly driven by the willingness of members. Only one person said that it is not efficient, and that it does not really exist.</w:t>
      </w:r>
    </w:p>
    <w:p w:rsidR="009406A0" w:rsidRDefault="00821A01" w:rsidP="009406A0">
      <w:pPr>
        <w:pStyle w:val="BodyText"/>
        <w:ind w:firstLine="0"/>
      </w:pPr>
      <w:r>
        <w:t>(</w:t>
      </w:r>
      <w:r w:rsidR="009406A0">
        <w:t>4</w:t>
      </w:r>
      <w:r>
        <w:t>)</w:t>
      </w:r>
      <w:r w:rsidR="009406A0">
        <w:t xml:space="preserve"> </w:t>
      </w:r>
      <w:r w:rsidR="00340AA6">
        <w:t xml:space="preserve">A community meeting was organised, present members stated that they feel as a part of the community, they want to meet other members, they feel like a team. But they want to be updated every day, not only at the meetings. There is an idea to move part of the community’s activities from face-to-face to online environment. That would increase the impact, but there is a need to make sure there is no loss of the quality. Community members asked to keep the face-to-face events, to share the experience and learn from each other. </w:t>
      </w:r>
    </w:p>
    <w:p w:rsidR="00334AA0" w:rsidRDefault="00334AA0" w:rsidP="00334AA0">
      <w:pPr>
        <w:pStyle w:val="Heading2"/>
        <w:numPr>
          <w:ilvl w:val="1"/>
          <w:numId w:val="10"/>
        </w:numPr>
      </w:pPr>
      <w:r>
        <w:t>CONCLUSION</w:t>
      </w:r>
    </w:p>
    <w:p w:rsidR="001C58F5" w:rsidRDefault="00F12B04" w:rsidP="009151F3">
      <w:pPr>
        <w:pStyle w:val="BodyText"/>
      </w:pPr>
      <w:r>
        <w:t xml:space="preserve">Communities of practice provide a new model for connecting people in the spirit of learning, knowledge sharing, and collaboration as well as individual, group, and organizational development. It gives new possibilities which could be used in </w:t>
      </w:r>
      <w:r w:rsidR="00334AA0">
        <w:t>nuclear</w:t>
      </w:r>
      <w:r>
        <w:t xml:space="preserve"> environment. It would support partnership among participants, enable easier exchange of information, share best practices and initiate joint projects and training courses. Hence there is a need to res</w:t>
      </w:r>
      <w:r w:rsidR="00334AA0">
        <w:t xml:space="preserve">earch these possibilities in </w:t>
      </w:r>
      <w:r w:rsidR="003751A9">
        <w:t>the area of nuclear knowledge management</w:t>
      </w:r>
      <w:r>
        <w:t>.</w:t>
      </w:r>
    </w:p>
    <w:p w:rsidR="00D26ADA" w:rsidRPr="00285755" w:rsidRDefault="00D26ADA" w:rsidP="00537496">
      <w:pPr>
        <w:pStyle w:val="Otherunnumberedheadings"/>
      </w:pPr>
      <w:r>
        <w:t>References</w:t>
      </w:r>
    </w:p>
    <w:p w:rsidR="000F4F1E" w:rsidRDefault="00E67202" w:rsidP="000F4F1E">
      <w:pPr>
        <w:pStyle w:val="Referencelist"/>
      </w:pPr>
      <w:r w:rsidRPr="00E67202">
        <w:t>Weinberg, A., M. (1961). Impact of Large-Scale Science on the United States. Science 134 (3473): 161–164.</w:t>
      </w:r>
    </w:p>
    <w:p w:rsidR="00E67202" w:rsidRDefault="00E67202" w:rsidP="000F4F1E">
      <w:pPr>
        <w:pStyle w:val="Referencelist"/>
      </w:pPr>
      <w:r w:rsidRPr="00E67202">
        <w:t>Bozeman, B., Fay, D., &amp; Slade, C. P. (2013). Research collaboration in universities and academic entrepreneurship: the-state-of-the-art. The Journal of Technology Transfer, 38(1), 1-67.</w:t>
      </w:r>
    </w:p>
    <w:p w:rsidR="00DE204D" w:rsidRDefault="00B83438" w:rsidP="000F4F1E">
      <w:pPr>
        <w:pStyle w:val="Referencelist"/>
      </w:pPr>
      <w:r w:rsidRPr="00B83438">
        <w:t>Sonnenwald, D. H. (2007). Scientific collaboration. Annual review of information science and technology, 41(1), 643-681.</w:t>
      </w:r>
    </w:p>
    <w:p w:rsidR="00DE204D" w:rsidRDefault="00B83438" w:rsidP="000F4F1E">
      <w:pPr>
        <w:pStyle w:val="Referencelist"/>
      </w:pPr>
      <w:r>
        <w:lastRenderedPageBreak/>
        <w:t>Walsh, J. P.,</w:t>
      </w:r>
      <w:r w:rsidRPr="00B83438">
        <w:t xml:space="preserve"> Maloney, N. G. (2007). Collaboration structure, communication media, and problems in scientific work teams. Journal of Computer-Mediated Communication 12(2), 712-732. </w:t>
      </w:r>
    </w:p>
    <w:p w:rsidR="00DE204D" w:rsidRDefault="00DE204D" w:rsidP="000F4F1E">
      <w:pPr>
        <w:pStyle w:val="Referencelist"/>
      </w:pPr>
      <w:r w:rsidRPr="00DE204D">
        <w:t xml:space="preserve">F., Ghasemian, K., Zamanifar, N., Ghasem-Aqaee, N., Contractor (2016) Toward a better scientific collaboration success prediction model through the feature space expansion. Scientometrics, Vol.108(2), pp.777-801 </w:t>
      </w:r>
    </w:p>
    <w:p w:rsidR="00DE204D" w:rsidRDefault="001E55CE" w:rsidP="000F4F1E">
      <w:pPr>
        <w:pStyle w:val="Referencelist"/>
      </w:pPr>
      <w:r>
        <w:t xml:space="preserve"> National Research Council. (2015). Enhancing the Effectiveness of Team Science. Committee on the Science of Team Science, Nancy J. Cooke and Margaret L. Hilton, Editors. Board on Behavioral, Cognitive, and Sensory Sciences, Division of Behavioral and Social Sciences and Education. Washington, DC: The National Academies Press.</w:t>
      </w:r>
    </w:p>
    <w:p w:rsidR="00DE204D" w:rsidRDefault="00AA242A" w:rsidP="000F4F1E">
      <w:pPr>
        <w:pStyle w:val="Referencelist"/>
      </w:pPr>
      <w:r w:rsidRPr="00AA242A">
        <w:t>Solomon, N., Boud, D., Leontios, M., &amp; Staron, M. (2001). Researchers are learners too: Collaboration in research on workplace learning. Journal of Workplace Learning, 13(7/8), 274-281.</w:t>
      </w:r>
    </w:p>
    <w:p w:rsidR="00DE204D" w:rsidRDefault="003A12E9" w:rsidP="000F4F1E">
      <w:pPr>
        <w:pStyle w:val="Referencelist"/>
      </w:pPr>
      <w:r w:rsidRPr="003A12E9">
        <w:t>Lambert, R. (2003). Lambert Review of Business-University Collaboration: Final Report. (2003). Norwich: HM Treasury. Retrieved June 12, 2005 from http://www.hm-treasury.gov.uk/media/DDE/65/lambert_review_final_450.pdf.</w:t>
      </w:r>
    </w:p>
    <w:p w:rsidR="00E67202" w:rsidRDefault="00E67202" w:rsidP="000F4F1E">
      <w:pPr>
        <w:pStyle w:val="Referencelist"/>
      </w:pPr>
      <w:r w:rsidRPr="00E67202">
        <w:t>Wenger, E., McDermott, R., Snyder, W., (2002). Cultivating Communities of Practice. Harvard Business Press</w:t>
      </w:r>
    </w:p>
    <w:p w:rsidR="00DE204D" w:rsidRDefault="003A12E9" w:rsidP="000F4F1E">
      <w:pPr>
        <w:pStyle w:val="Referencelist"/>
      </w:pPr>
      <w:r w:rsidRPr="003A12E9">
        <w:t>Wenger, E. (1998). Communities of Practice. Learning, Meaning, and Identity. Cambridge University Press</w:t>
      </w:r>
    </w:p>
    <w:p w:rsidR="00DE204D" w:rsidRDefault="00DE204D" w:rsidP="000F4F1E">
      <w:pPr>
        <w:pStyle w:val="Referencelist"/>
      </w:pPr>
      <w:r w:rsidRPr="00DE204D">
        <w:t>Kimmerle M., Ferre C. L., Kotwica K. A., Michel G. F. (2010). Development of role differentiated bimanual manipulation during the infant's first year. Dev. Psychobiol. 52, 168–180.</w:t>
      </w:r>
    </w:p>
    <w:p w:rsidR="00DE204D" w:rsidRDefault="00DE204D" w:rsidP="000F4F1E">
      <w:pPr>
        <w:pStyle w:val="Referencelist"/>
      </w:pPr>
      <w:r w:rsidRPr="00DE204D">
        <w:t>Managing N</w:t>
      </w:r>
      <w:r w:rsidR="001E55CE">
        <w:t xml:space="preserve">uclear Knowledge A Pocket Guide. Retrieved from </w:t>
      </w:r>
      <w:r w:rsidR="001E55CE" w:rsidRPr="00AA242A">
        <w:t>http://</w:t>
      </w:r>
      <w:r w:rsidR="001E55CE" w:rsidRPr="001E55CE">
        <w:t>www.iaea.org/nuclearknowledge</w:t>
      </w:r>
    </w:p>
    <w:p w:rsidR="00DE204D" w:rsidRDefault="008C68CA" w:rsidP="008C68CA">
      <w:pPr>
        <w:pStyle w:val="Referencelist"/>
      </w:pPr>
      <w:r>
        <w:t>Denis, B. (2001) Collaborative learning in a virtual campus : allowing future teachers live what their future learners could live about technologies and education. in 9th European conference EARLI Bridging instruction to learning, University of Friburg - August 28-September 1, 2001</w:t>
      </w:r>
    </w:p>
    <w:p w:rsidR="00DE204D" w:rsidRDefault="008C68CA" w:rsidP="000F4F1E">
      <w:pPr>
        <w:pStyle w:val="Referencelist"/>
      </w:pPr>
      <w:r w:rsidRPr="008C68CA">
        <w:t>Mertens, D.M.; Bazeley, P.; Bowleg, L.; Fielding, N.; Maxwell, J.; Molina-Azorin, J.F.; Niglas, K. (2016). The Future of Mixed Methods: A Five Year Projection to 2020. MMIRA koduleht; http://mmira.wildapricot.org/: MMIRA.</w:t>
      </w:r>
    </w:p>
    <w:p w:rsidR="00D0747E" w:rsidRDefault="00D0747E" w:rsidP="001E55CE">
      <w:pPr>
        <w:pStyle w:val="Referencelist"/>
        <w:numPr>
          <w:ilvl w:val="0"/>
          <w:numId w:val="0"/>
        </w:numPr>
        <w:ind w:left="720"/>
      </w:pPr>
    </w:p>
    <w:sectPr w:rsidR="00D0747E" w:rsidSect="001D5CEE">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948" w:right="2552" w:bottom="2552" w:left="2552"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1FF" w:rsidRDefault="004241FF">
      <w:r>
        <w:separator/>
      </w:r>
    </w:p>
  </w:endnote>
  <w:endnote w:type="continuationSeparator" w:id="0">
    <w:p w:rsidR="004241FF" w:rsidRDefault="0042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28420D">
    <w:pPr>
      <w:pStyle w:val="zyxClassification1"/>
    </w:pPr>
    <w:r>
      <w:fldChar w:fldCharType="begin"/>
    </w:r>
    <w:r w:rsidR="00E20E70">
      <w:instrText xml:space="preserve"> DOCPROPERTY "IaeaClassification"  \* MERGEFORMAT </w:instrText>
    </w:r>
    <w:r>
      <w:fldChar w:fldCharType="end"/>
    </w:r>
  </w:p>
  <w:p w:rsidR="00E20E70" w:rsidRDefault="0028420D">
    <w:pPr>
      <w:pStyle w:val="zyxClassification2"/>
    </w:pPr>
    <w:r>
      <w:fldChar w:fldCharType="begin"/>
    </w:r>
    <w:r w:rsidR="00E20E70">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28420D">
    <w:pPr>
      <w:pStyle w:val="zyxClassification1"/>
    </w:pPr>
    <w:r>
      <w:fldChar w:fldCharType="begin"/>
    </w:r>
    <w:r w:rsidR="00E20E70">
      <w:instrText xml:space="preserve"> DOCPROPERTY "IaeaClassification"  \* MERGEFORMAT </w:instrText>
    </w:r>
    <w:r>
      <w:fldChar w:fldCharType="end"/>
    </w:r>
  </w:p>
  <w:p w:rsidR="00E20E70" w:rsidRPr="00037321" w:rsidRDefault="0028420D">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037321"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0A440B">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Default="0028420D">
          <w:pPr>
            <w:pStyle w:val="zyxDistribution"/>
            <w:framePr w:wrap="auto" w:vAnchor="margin" w:hAnchor="text" w:xAlign="left" w:yAlign="inline"/>
            <w:suppressOverlap w:val="0"/>
          </w:pPr>
          <w:r>
            <w:fldChar w:fldCharType="begin"/>
          </w:r>
          <w:r w:rsidR="00E20E70">
            <w:instrText xml:space="preserve"> DOCPROPERTY "IaeaDistribution"  \* MERGEFORMAT </w:instrText>
          </w:r>
          <w:r>
            <w:fldChar w:fldCharType="end"/>
          </w:r>
        </w:p>
        <w:p w:rsidR="00E20E70" w:rsidRDefault="0028420D">
          <w:pPr>
            <w:pStyle w:val="zyxSensitivity"/>
            <w:framePr w:wrap="auto" w:vAnchor="margin" w:hAnchor="text" w:xAlign="left" w:yAlign="inline"/>
            <w:suppressOverlap w:val="0"/>
          </w:pPr>
          <w:r>
            <w:fldChar w:fldCharType="begin"/>
          </w:r>
          <w:r w:rsidR="00E20E70">
            <w:instrText xml:space="preserve"> DOCPROPERTY "IaeaSensitivity"  \* MERGEFORMAT </w:instrText>
          </w:r>
          <w:r>
            <w:fldChar w:fldCharType="end"/>
          </w:r>
        </w:p>
      </w:tc>
      <w:bookmarkStart w:id="2" w:name="DOC_bkmClassification2"/>
      <w:tc>
        <w:tcPr>
          <w:tcW w:w="5670" w:type="dxa"/>
          <w:tcMar>
            <w:right w:w="249" w:type="dxa"/>
          </w:tcMar>
        </w:tcPr>
        <w:p w:rsidR="00E20E70" w:rsidRDefault="0028420D">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bookmarkEnd w:id="2"/>
        </w:p>
        <w:p w:rsidR="00E20E70" w:rsidRDefault="0028420D">
          <w:pPr>
            <w:spacing w:after="20" w:line="220" w:lineRule="exact"/>
            <w:jc w:val="right"/>
            <w:rPr>
              <w:rFonts w:ascii="Arial" w:hAnsi="Arial" w:cs="Arial"/>
              <w:color w:val="FF0000"/>
            </w:rPr>
          </w:pPr>
          <w:r>
            <w:rPr>
              <w:rFonts w:ascii="Arial" w:hAnsi="Arial"/>
              <w:b/>
            </w:rPr>
            <w:fldChar w:fldCharType="begin"/>
          </w:r>
          <w:r w:rsidR="00E20E70">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E20E70">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E20E70" w:rsidRDefault="0028420D">
    <w:r>
      <w:rPr>
        <w:sz w:val="16"/>
      </w:rPr>
      <w:fldChar w:fldCharType="begin"/>
    </w:r>
    <w:r w:rsidR="00E20E70">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1FF" w:rsidRDefault="004241FF">
      <w:r>
        <w:t>___________________________________________________________________________</w:t>
      </w:r>
    </w:p>
  </w:footnote>
  <w:footnote w:type="continuationSeparator" w:id="0">
    <w:p w:rsidR="004241FF" w:rsidRDefault="004241FF">
      <w:r>
        <w:t>___________________________________________________________________________</w:t>
      </w:r>
    </w:p>
  </w:footnote>
  <w:footnote w:type="continuationNotice" w:id="1">
    <w:p w:rsidR="004241FF" w:rsidRDefault="004241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F3" w:rsidRDefault="00CF7AF3" w:rsidP="00CF7AF3">
    <w:pPr>
      <w:pStyle w:val="Runninghead"/>
    </w:pPr>
    <w:r>
      <w:tab/>
      <w:t>IAEA-CN-123/45</w:t>
    </w:r>
  </w:p>
  <w:p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rsidR="00E20E70" w:rsidRDefault="00CF7AF3" w:rsidP="00CF7AF3">
    <w:pPr>
      <w:pStyle w:val="zyxClassification1"/>
      <w:tabs>
        <w:tab w:val="left" w:pos="3956"/>
        <w:tab w:val="right" w:pos="9071"/>
      </w:tabs>
      <w:jc w:val="left"/>
    </w:pPr>
    <w:r>
      <w:tab/>
    </w:r>
    <w:r w:rsidR="0028420D">
      <w:fldChar w:fldCharType="begin"/>
    </w:r>
    <w:r w:rsidR="00E20E70">
      <w:instrText xml:space="preserve"> DOCPROPERTY "IaeaClassification"  \* MERGEFORMAT </w:instrText>
    </w:r>
    <w:r w:rsidR="0028420D">
      <w:fldChar w:fldCharType="end"/>
    </w:r>
  </w:p>
  <w:p w:rsidR="00E20E70" w:rsidRDefault="0028420D">
    <w:pPr>
      <w:pStyle w:val="zyxClassification2"/>
    </w:pPr>
    <w:r>
      <w:fldChar w:fldCharType="begin"/>
    </w:r>
    <w:r w:rsidR="00E20E70">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5E673D" w:rsidP="00B82FA5">
    <w:pPr>
      <w:pStyle w:val="Runninghead"/>
    </w:pPr>
    <w:r>
      <w:t>JESIONKOWSKA</w:t>
    </w:r>
  </w:p>
  <w:p w:rsidR="00037321" w:rsidRPr="009E1558" w:rsidRDefault="00037321" w:rsidP="00037321">
    <w:pPr>
      <w:jc w:val="center"/>
      <w:rPr>
        <w:color w:val="BFBFBF" w:themeColor="background1" w:themeShade="B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1" w:name="DOC_bkmClassification1"/>
      <w:tc>
        <w:tcPr>
          <w:tcW w:w="5702" w:type="dxa"/>
          <w:vMerge w:val="restart"/>
          <w:tcMar>
            <w:right w:w="193" w:type="dxa"/>
          </w:tcMar>
        </w:tcPr>
        <w:p w:rsidR="00E20E70" w:rsidRDefault="0028420D">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bookmarkEnd w:id="1"/>
        </w:p>
        <w:p w:rsidR="00E20E70" w:rsidRDefault="0028420D">
          <w:pPr>
            <w:pStyle w:val="zyxConfid2Red"/>
          </w:pPr>
          <w:r>
            <w:fldChar w:fldCharType="begin"/>
          </w:r>
          <w:r w:rsidR="00E20E70">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A440B"/>
    <w:rsid w:val="000E7FA7"/>
    <w:rsid w:val="000F4F1E"/>
    <w:rsid w:val="000F7E94"/>
    <w:rsid w:val="001119D6"/>
    <w:rsid w:val="001308F2"/>
    <w:rsid w:val="001313E8"/>
    <w:rsid w:val="001C58F5"/>
    <w:rsid w:val="001D5CEE"/>
    <w:rsid w:val="001E55CE"/>
    <w:rsid w:val="002071D9"/>
    <w:rsid w:val="00256822"/>
    <w:rsid w:val="002701C8"/>
    <w:rsid w:val="00274790"/>
    <w:rsid w:val="0028402C"/>
    <w:rsid w:val="0028420D"/>
    <w:rsid w:val="00285755"/>
    <w:rsid w:val="0029064F"/>
    <w:rsid w:val="002A1F9C"/>
    <w:rsid w:val="002A6667"/>
    <w:rsid w:val="002B29C2"/>
    <w:rsid w:val="002C4208"/>
    <w:rsid w:val="002E5022"/>
    <w:rsid w:val="0032062C"/>
    <w:rsid w:val="00334AA0"/>
    <w:rsid w:val="00340AA6"/>
    <w:rsid w:val="00352DE1"/>
    <w:rsid w:val="003728E6"/>
    <w:rsid w:val="003751A9"/>
    <w:rsid w:val="003A12E9"/>
    <w:rsid w:val="003A5661"/>
    <w:rsid w:val="003B10DC"/>
    <w:rsid w:val="003B5E0E"/>
    <w:rsid w:val="003D255A"/>
    <w:rsid w:val="00414116"/>
    <w:rsid w:val="00416949"/>
    <w:rsid w:val="004241FF"/>
    <w:rsid w:val="0043283D"/>
    <w:rsid w:val="004370D8"/>
    <w:rsid w:val="00472C43"/>
    <w:rsid w:val="00480425"/>
    <w:rsid w:val="00480EDB"/>
    <w:rsid w:val="004C034B"/>
    <w:rsid w:val="004E0ACA"/>
    <w:rsid w:val="00537496"/>
    <w:rsid w:val="00544ED3"/>
    <w:rsid w:val="00581640"/>
    <w:rsid w:val="0058654F"/>
    <w:rsid w:val="00596ACA"/>
    <w:rsid w:val="005D0438"/>
    <w:rsid w:val="005E39BC"/>
    <w:rsid w:val="005E673D"/>
    <w:rsid w:val="005F00A0"/>
    <w:rsid w:val="005F4498"/>
    <w:rsid w:val="006009B5"/>
    <w:rsid w:val="00647F33"/>
    <w:rsid w:val="00662532"/>
    <w:rsid w:val="0066266E"/>
    <w:rsid w:val="00676159"/>
    <w:rsid w:val="006B2274"/>
    <w:rsid w:val="006B2D6D"/>
    <w:rsid w:val="00707C78"/>
    <w:rsid w:val="00711C04"/>
    <w:rsid w:val="00717C6F"/>
    <w:rsid w:val="007445DA"/>
    <w:rsid w:val="007660D1"/>
    <w:rsid w:val="00793C39"/>
    <w:rsid w:val="0079584A"/>
    <w:rsid w:val="007B3448"/>
    <w:rsid w:val="007B4FD1"/>
    <w:rsid w:val="00802381"/>
    <w:rsid w:val="00821A01"/>
    <w:rsid w:val="00842FB2"/>
    <w:rsid w:val="00883848"/>
    <w:rsid w:val="00897ED5"/>
    <w:rsid w:val="008B6BB9"/>
    <w:rsid w:val="008C68CA"/>
    <w:rsid w:val="00911543"/>
    <w:rsid w:val="009151F3"/>
    <w:rsid w:val="00930FFD"/>
    <w:rsid w:val="009406A0"/>
    <w:rsid w:val="00946BD6"/>
    <w:rsid w:val="009519C9"/>
    <w:rsid w:val="00957DBA"/>
    <w:rsid w:val="009D0B86"/>
    <w:rsid w:val="009E0D5B"/>
    <w:rsid w:val="009E1558"/>
    <w:rsid w:val="009F52B2"/>
    <w:rsid w:val="00A0573C"/>
    <w:rsid w:val="00A068F8"/>
    <w:rsid w:val="00A42898"/>
    <w:rsid w:val="00A81269"/>
    <w:rsid w:val="00AA242A"/>
    <w:rsid w:val="00AB6ACE"/>
    <w:rsid w:val="00AC5A3A"/>
    <w:rsid w:val="00B304B4"/>
    <w:rsid w:val="00B82FA5"/>
    <w:rsid w:val="00B83438"/>
    <w:rsid w:val="00BA0154"/>
    <w:rsid w:val="00BA2058"/>
    <w:rsid w:val="00BA58D2"/>
    <w:rsid w:val="00BD1400"/>
    <w:rsid w:val="00BD605C"/>
    <w:rsid w:val="00BE2A76"/>
    <w:rsid w:val="00C05A49"/>
    <w:rsid w:val="00C65E60"/>
    <w:rsid w:val="00CC6AC1"/>
    <w:rsid w:val="00CE5A52"/>
    <w:rsid w:val="00CF7AF3"/>
    <w:rsid w:val="00D0747E"/>
    <w:rsid w:val="00D079E4"/>
    <w:rsid w:val="00D26ADA"/>
    <w:rsid w:val="00D35A78"/>
    <w:rsid w:val="00D555A1"/>
    <w:rsid w:val="00D624A6"/>
    <w:rsid w:val="00D64DC2"/>
    <w:rsid w:val="00DA46CA"/>
    <w:rsid w:val="00DE204D"/>
    <w:rsid w:val="00DF21EB"/>
    <w:rsid w:val="00E20E70"/>
    <w:rsid w:val="00E25B68"/>
    <w:rsid w:val="00E37B27"/>
    <w:rsid w:val="00E67202"/>
    <w:rsid w:val="00E84003"/>
    <w:rsid w:val="00E962C4"/>
    <w:rsid w:val="00EB0CE4"/>
    <w:rsid w:val="00EC10FC"/>
    <w:rsid w:val="00EE0041"/>
    <w:rsid w:val="00EE29B9"/>
    <w:rsid w:val="00F004EE"/>
    <w:rsid w:val="00F12B04"/>
    <w:rsid w:val="00F205ED"/>
    <w:rsid w:val="00F3081A"/>
    <w:rsid w:val="00F42556"/>
    <w:rsid w:val="00F42E23"/>
    <w:rsid w:val="00F45EEE"/>
    <w:rsid w:val="00F51E9C"/>
    <w:rsid w:val="00F523CA"/>
    <w:rsid w:val="00F74A9D"/>
    <w:rsid w:val="00FA19B0"/>
    <w:rsid w:val="00FA4449"/>
    <w:rsid w:val="00FE5FA1"/>
    <w:rsid w:val="00FF3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267">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NLC-table">
    <w:name w:val="NLC - table"/>
    <w:uiPriority w:val="99"/>
    <w:qFormat/>
    <w:rsid w:val="00F3081A"/>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267">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NLC-table">
    <w:name w:val="NLC - table"/>
    <w:uiPriority w:val="99"/>
    <w:qFormat/>
    <w:rsid w:val="00F3081A"/>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64AE7F77-DB80-4C5E-BD44-BA7446A1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5</Pages>
  <Words>1713</Words>
  <Characters>9770</Characters>
  <Application>Microsoft Office Word</Application>
  <DocSecurity>4</DocSecurity>
  <Lines>81</Lines>
  <Paragraphs>22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IAEA</vt:lpstr>
      <vt:lpstr>IAEA</vt:lpstr>
    </vt:vector>
  </TitlesOfParts>
  <Company>IAEA</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BELLELLI, Alessandro</cp:lastModifiedBy>
  <cp:revision>2</cp:revision>
  <cp:lastPrinted>2015-12-01T10:27:00Z</cp:lastPrinted>
  <dcterms:created xsi:type="dcterms:W3CDTF">2016-09-06T12:42:00Z</dcterms:created>
  <dcterms:modified xsi:type="dcterms:W3CDTF">2016-09-06T12:42:00Z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Mendeley Document_1">
    <vt:lpwstr>True</vt:lpwstr>
  </property>
  <property fmtid="{D5CDD505-2E9C-101B-9397-08002B2CF9AE}" pid="12" name="Mendeley User Name_1">
    <vt:lpwstr>joannajesionkowska@gmail.com@www.mendeley.com</vt:lpwstr>
  </property>
  <property fmtid="{D5CDD505-2E9C-101B-9397-08002B2CF9AE}" pid="13" name="Mendeley Citation Style_1">
    <vt:lpwstr>http://www.zotero.org/styles/apa</vt:lpwstr>
  </property>
  <property fmtid="{D5CDD505-2E9C-101B-9397-08002B2CF9AE}" pid="14" name="Mendeley Recent Style Id 0_1">
    <vt:lpwstr>http://www.zotero.org/styles/american-medical-association</vt:lpwstr>
  </property>
  <property fmtid="{D5CDD505-2E9C-101B-9397-08002B2CF9AE}" pid="15" name="Mendeley Recent Style Name 0_1">
    <vt:lpwstr>American Medical Association</vt:lpwstr>
  </property>
  <property fmtid="{D5CDD505-2E9C-101B-9397-08002B2CF9AE}" pid="16" name="Mendeley Recent Style Id 1_1">
    <vt:lpwstr>http://www.zotero.org/styles/american-political-science-association</vt:lpwstr>
  </property>
  <property fmtid="{D5CDD505-2E9C-101B-9397-08002B2CF9AE}" pid="17" name="Mendeley Recent Style Name 1_1">
    <vt:lpwstr>American Political Science Association</vt:lpwstr>
  </property>
  <property fmtid="{D5CDD505-2E9C-101B-9397-08002B2CF9AE}" pid="18" name="Mendeley Recent Style Id 2_1">
    <vt:lpwstr>http://www.zotero.org/styles/apa</vt:lpwstr>
  </property>
  <property fmtid="{D5CDD505-2E9C-101B-9397-08002B2CF9AE}" pid="19" name="Mendeley Recent Style Name 2_1">
    <vt:lpwstr>American Psychological Association 6th edition</vt:lpwstr>
  </property>
  <property fmtid="{D5CDD505-2E9C-101B-9397-08002B2CF9AE}" pid="20" name="Mendeley Recent Style Id 3_1">
    <vt:lpwstr>http://www.zotero.org/styles/american-sociological-association</vt:lpwstr>
  </property>
  <property fmtid="{D5CDD505-2E9C-101B-9397-08002B2CF9AE}" pid="21" name="Mendeley Recent Style Name 3_1">
    <vt:lpwstr>American Sociological Association</vt:lpwstr>
  </property>
  <property fmtid="{D5CDD505-2E9C-101B-9397-08002B2CF9AE}" pid="22" name="Mendeley Recent Style Id 4_1">
    <vt:lpwstr>http://www.zotero.org/styles/chicago-author-date</vt:lpwstr>
  </property>
  <property fmtid="{D5CDD505-2E9C-101B-9397-08002B2CF9AE}" pid="23" name="Mendeley Recent Style Name 4_1">
    <vt:lpwstr>Chicago Manual of Style 16th edition (author-date)</vt:lpwstr>
  </property>
  <property fmtid="{D5CDD505-2E9C-101B-9397-08002B2CF9AE}" pid="24" name="Mendeley Recent Style Id 5_1">
    <vt:lpwstr>http://www.zotero.org/styles/harvard1</vt:lpwstr>
  </property>
  <property fmtid="{D5CDD505-2E9C-101B-9397-08002B2CF9AE}" pid="25" name="Mendeley Recent Style Name 5_1">
    <vt:lpwstr>Harvard Reference format 1 (author-date)</vt:lpwstr>
  </property>
  <property fmtid="{D5CDD505-2E9C-101B-9397-08002B2CF9AE}" pid="26" name="Mendeley Recent Style Id 6_1">
    <vt:lpwstr>http://www.zotero.org/styles/ieee</vt:lpwstr>
  </property>
  <property fmtid="{D5CDD505-2E9C-101B-9397-08002B2CF9AE}" pid="27" name="Mendeley Recent Style Name 6_1">
    <vt:lpwstr>IEEE</vt:lpwstr>
  </property>
  <property fmtid="{D5CDD505-2E9C-101B-9397-08002B2CF9AE}" pid="28" name="Mendeley Recent Style Id 7_1">
    <vt:lpwstr>http://www.zotero.org/styles/modern-humanities-research-association</vt:lpwstr>
  </property>
  <property fmtid="{D5CDD505-2E9C-101B-9397-08002B2CF9AE}" pid="29" name="Mendeley Recent Style Name 7_1">
    <vt:lpwstr>Modern Humanities Research Association 3rd edition (note with bibliography)</vt:lpwstr>
  </property>
  <property fmtid="{D5CDD505-2E9C-101B-9397-08002B2CF9AE}" pid="30" name="Mendeley Recent Style Id 8_1">
    <vt:lpwstr>http://www.zotero.org/styles/modern-language-association</vt:lpwstr>
  </property>
  <property fmtid="{D5CDD505-2E9C-101B-9397-08002B2CF9AE}" pid="31" name="Mendeley Recent Style Name 8_1">
    <vt:lpwstr>Modern Language Association 7th edition</vt:lpwstr>
  </property>
  <property fmtid="{D5CDD505-2E9C-101B-9397-08002B2CF9AE}" pid="32" name="Mendeley Recent Style Id 9_1">
    <vt:lpwstr>http://www.zotero.org/styles/nature</vt:lpwstr>
  </property>
  <property fmtid="{D5CDD505-2E9C-101B-9397-08002B2CF9AE}" pid="33" name="Mendeley Recent Style Name 9_1">
    <vt:lpwstr>Nature</vt:lpwstr>
  </property>
</Properties>
</file>