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5868"/>
      </w:tblGrid>
      <w:tr w:rsidR="0063330D" w:rsidTr="000833A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155701" w:rsidP="00155701">
            <w:pPr>
              <w:jc w:val="right"/>
            </w:pPr>
            <w:r>
              <w:t>[Put your chapter logo in here if you have one]</w:t>
            </w:r>
          </w:p>
        </w:tc>
      </w:tr>
      <w:tr w:rsidR="00155701" w:rsidTr="000833A4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155701" w:rsidRDefault="0066109C" w:rsidP="0066109C">
            <w:pPr>
              <w:pStyle w:val="Heading1"/>
              <w:spacing w:before="120" w:after="120"/>
              <w:jc w:val="center"/>
              <w:outlineLvl w:val="0"/>
            </w:pPr>
            <w:proofErr w:type="spellStart"/>
            <w:r>
              <w:t>WiN</w:t>
            </w:r>
            <w:proofErr w:type="spellEnd"/>
            <w:r>
              <w:t xml:space="preserve"> Turkey </w:t>
            </w:r>
            <w:r w:rsidR="0063330D">
              <w:t>–</w:t>
            </w:r>
            <w:r>
              <w:t>NUKAD</w:t>
            </w:r>
          </w:p>
        </w:tc>
      </w:tr>
      <w:tr w:rsidR="0063330D" w:rsidTr="000833A4">
        <w:trPr>
          <w:trHeight w:val="271"/>
        </w:trPr>
        <w:tc>
          <w:tcPr>
            <w:tcW w:w="3148" w:type="dxa"/>
          </w:tcPr>
          <w:p w:rsidR="00155701" w:rsidRDefault="00155701" w:rsidP="00155701">
            <w:pPr>
              <w:spacing w:after="120"/>
            </w:pPr>
            <w:r>
              <w:t>Chapter president</w:t>
            </w:r>
          </w:p>
        </w:tc>
        <w:tc>
          <w:tcPr>
            <w:tcW w:w="5868" w:type="dxa"/>
          </w:tcPr>
          <w:p w:rsidR="00155701" w:rsidRDefault="0066109C" w:rsidP="0066109C">
            <w:pPr>
              <w:spacing w:after="120"/>
            </w:pPr>
            <w:r>
              <w:t>Bahire Gül Göktepe</w:t>
            </w:r>
          </w:p>
        </w:tc>
      </w:tr>
      <w:tr w:rsidR="0063330D" w:rsidTr="000833A4">
        <w:tc>
          <w:tcPr>
            <w:tcW w:w="3148" w:type="dxa"/>
          </w:tcPr>
          <w:p w:rsidR="00155701" w:rsidRDefault="00155701" w:rsidP="00155701">
            <w:pPr>
              <w:spacing w:after="120"/>
            </w:pPr>
            <w:r>
              <w:t>Chapter board members</w:t>
            </w:r>
          </w:p>
        </w:tc>
        <w:tc>
          <w:tcPr>
            <w:tcW w:w="5868" w:type="dxa"/>
          </w:tcPr>
          <w:p w:rsidR="00250948" w:rsidRDefault="00250948" w:rsidP="0063330D">
            <w:pPr>
              <w:spacing w:after="120"/>
            </w:pPr>
            <w:r>
              <w:t xml:space="preserve">Most of the members work for the </w:t>
            </w:r>
            <w:r w:rsidR="0066109C">
              <w:t>Turkish Atomic Energy Authority</w:t>
            </w:r>
            <w:r>
              <w:t xml:space="preserve">. Some others work at </w:t>
            </w:r>
            <w:r w:rsidR="0063330D">
              <w:t xml:space="preserve">nuclear science institutes or at </w:t>
            </w:r>
            <w:proofErr w:type="gramStart"/>
            <w:r w:rsidR="0063330D">
              <w:t xml:space="preserve">the </w:t>
            </w:r>
            <w:r>
              <w:t xml:space="preserve"> nuclear</w:t>
            </w:r>
            <w:proofErr w:type="gramEnd"/>
            <w:r>
              <w:t xml:space="preserve"> departments of the </w:t>
            </w:r>
            <w:r w:rsidR="0063330D">
              <w:t xml:space="preserve"> </w:t>
            </w:r>
            <w:r>
              <w:t>u</w:t>
            </w:r>
            <w:r w:rsidR="0066109C">
              <w:t xml:space="preserve">niversities </w:t>
            </w:r>
            <w:r>
              <w:t>(</w:t>
            </w:r>
            <w:proofErr w:type="spellStart"/>
            <w:r w:rsidR="0066109C">
              <w:t>Hacettepe</w:t>
            </w:r>
            <w:proofErr w:type="spellEnd"/>
            <w:r w:rsidR="0066109C">
              <w:t>, Istanbul Technical</w:t>
            </w:r>
            <w:r>
              <w:t xml:space="preserve">, </w:t>
            </w:r>
            <w:proofErr w:type="spellStart"/>
            <w:r>
              <w:t>Ege</w:t>
            </w:r>
            <w:proofErr w:type="spellEnd"/>
            <w:r w:rsidR="0092725F">
              <w:t xml:space="preserve">, </w:t>
            </w:r>
            <w:proofErr w:type="spellStart"/>
            <w:r w:rsidR="0092725F">
              <w:t>Akdeniz</w:t>
            </w:r>
            <w:proofErr w:type="spellEnd"/>
            <w:r w:rsidR="0063330D">
              <w:t xml:space="preserve">). </w:t>
            </w:r>
            <w:r>
              <w:t xml:space="preserve"> Some </w:t>
            </w:r>
            <w:r w:rsidR="0063330D">
              <w:t xml:space="preserve">members </w:t>
            </w:r>
            <w:r>
              <w:t>work for the Ministry of Energy and Natural Resources</w:t>
            </w:r>
            <w:r w:rsidR="0063330D">
              <w:t xml:space="preserve"> and Electricity Generation Co</w:t>
            </w:r>
            <w:r>
              <w:t>.</w:t>
            </w:r>
            <w:r w:rsidR="0063330D">
              <w:t xml:space="preserve"> Few members work in nuclear medicine departments of the university hospitals.</w:t>
            </w:r>
            <w:r w:rsidR="0095435C">
              <w:t xml:space="preserve"> </w:t>
            </w:r>
          </w:p>
        </w:tc>
        <w:bookmarkStart w:id="0" w:name="_GoBack"/>
        <w:bookmarkEnd w:id="0"/>
      </w:tr>
      <w:tr w:rsidR="0063330D" w:rsidTr="000833A4">
        <w:tc>
          <w:tcPr>
            <w:tcW w:w="3148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5868" w:type="dxa"/>
          </w:tcPr>
          <w:p w:rsidR="00155701" w:rsidRDefault="00250948" w:rsidP="0095435C">
            <w:pPr>
              <w:spacing w:after="120"/>
            </w:pPr>
            <w:r>
              <w:t>11</w:t>
            </w:r>
            <w:r w:rsidR="0095435C">
              <w:t>8</w:t>
            </w:r>
            <w:r>
              <w:t xml:space="preserve"> (one hundred and </w:t>
            </w:r>
            <w:r w:rsidR="0095435C">
              <w:t>eighteen</w:t>
            </w:r>
            <w:r>
              <w:t xml:space="preserve"> </w:t>
            </w:r>
            <w:r w:rsidR="00F96E1D">
              <w:t>)</w:t>
            </w:r>
          </w:p>
        </w:tc>
      </w:tr>
      <w:tr w:rsidR="0063330D" w:rsidTr="000833A4">
        <w:tc>
          <w:tcPr>
            <w:tcW w:w="3148" w:type="dxa"/>
          </w:tcPr>
          <w:p w:rsidR="00155701" w:rsidRDefault="00155701" w:rsidP="00155701">
            <w:pPr>
              <w:spacing w:after="120"/>
            </w:pPr>
            <w:r>
              <w:t xml:space="preserve">Chapter accepted by </w:t>
            </w:r>
            <w:proofErr w:type="spellStart"/>
            <w:r>
              <w:t>WiN</w:t>
            </w:r>
            <w:proofErr w:type="spellEnd"/>
            <w:r>
              <w:t xml:space="preserve"> Global</w:t>
            </w:r>
          </w:p>
        </w:tc>
        <w:tc>
          <w:tcPr>
            <w:tcW w:w="5868" w:type="dxa"/>
          </w:tcPr>
          <w:p w:rsidR="00155701" w:rsidRDefault="0063330D" w:rsidP="0063330D">
            <w:pPr>
              <w:spacing w:after="120"/>
            </w:pPr>
            <w:r>
              <w:t>Established in y</w:t>
            </w:r>
            <w:r w:rsidR="00CE3EBC">
              <w:t xml:space="preserve">ear 2000 </w:t>
            </w:r>
            <w:r>
              <w:t>by</w:t>
            </w:r>
            <w:r w:rsidR="00CE3EBC">
              <w:t xml:space="preserve"> a small group of scientist at </w:t>
            </w:r>
            <w:proofErr w:type="spellStart"/>
            <w:r w:rsidR="00CE3EBC">
              <w:t>Cekmece</w:t>
            </w:r>
            <w:proofErr w:type="spellEnd"/>
            <w:r w:rsidR="00CE3EBC">
              <w:t xml:space="preserve"> Nuclear Research and Training </w:t>
            </w:r>
            <w:proofErr w:type="spellStart"/>
            <w:r w:rsidR="00CE3EBC">
              <w:t>Center</w:t>
            </w:r>
            <w:proofErr w:type="spellEnd"/>
            <w:r w:rsidR="00CE3EBC">
              <w:t>. Enlarged with participation of more nuclear scientist in 2008</w:t>
            </w:r>
            <w:r>
              <w:t>,</w:t>
            </w:r>
            <w:r w:rsidR="00CE3EBC">
              <w:t xml:space="preserve"> restructured in 2011.</w:t>
            </w:r>
          </w:p>
        </w:tc>
      </w:tr>
      <w:tr w:rsidR="0063330D" w:rsidTr="000833A4">
        <w:tc>
          <w:tcPr>
            <w:tcW w:w="3148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5868" w:type="dxa"/>
          </w:tcPr>
          <w:p w:rsidR="00230716" w:rsidRDefault="00230716" w:rsidP="00230716">
            <w:pPr>
              <w:pStyle w:val="NoSpacing"/>
              <w:jc w:val="both"/>
            </w:pPr>
            <w:r>
              <w:t xml:space="preserve">Stages of Dynamic development of </w:t>
            </w:r>
            <w:r w:rsidRPr="00552F38">
              <w:t>Nuclear Infrastructure</w:t>
            </w:r>
            <w:r>
              <w:t xml:space="preserve"> in Turkey:</w:t>
            </w:r>
          </w:p>
          <w:p w:rsidR="00230716" w:rsidRPr="00552F38" w:rsidRDefault="00230716" w:rsidP="00230716">
            <w:pPr>
              <w:pStyle w:val="NoSpacing"/>
              <w:numPr>
                <w:ilvl w:val="0"/>
                <w:numId w:val="14"/>
              </w:numPr>
              <w:jc w:val="both"/>
            </w:pPr>
            <w:r w:rsidRPr="00552F38">
              <w:t>Close cooperation with the IAEA</w:t>
            </w:r>
            <w:r>
              <w:t xml:space="preserve"> </w:t>
            </w:r>
            <w:r w:rsidRPr="00552F38">
              <w:t>R&amp;D</w:t>
            </w:r>
          </w:p>
          <w:p w:rsidR="00230716" w:rsidRPr="00552F38" w:rsidRDefault="00230716" w:rsidP="00230716">
            <w:pPr>
              <w:pStyle w:val="NoSpacing"/>
              <w:numPr>
                <w:ilvl w:val="0"/>
                <w:numId w:val="14"/>
              </w:numPr>
            </w:pPr>
            <w:r w:rsidRPr="00552F38">
              <w:t>Technical Cooperation</w:t>
            </w:r>
          </w:p>
          <w:p w:rsidR="00230716" w:rsidRPr="00552F38" w:rsidRDefault="00230716" w:rsidP="00230716">
            <w:pPr>
              <w:pStyle w:val="NoSpacing"/>
              <w:numPr>
                <w:ilvl w:val="0"/>
                <w:numId w:val="14"/>
              </w:numPr>
            </w:pPr>
            <w:r w:rsidRPr="00552F38">
              <w:t>INIR Mission</w:t>
            </w:r>
          </w:p>
          <w:p w:rsidR="00230716" w:rsidRPr="00552F38" w:rsidRDefault="00230716" w:rsidP="00230716">
            <w:pPr>
              <w:pStyle w:val="NoSpacing"/>
              <w:numPr>
                <w:ilvl w:val="0"/>
                <w:numId w:val="14"/>
              </w:numPr>
            </w:pPr>
            <w:r w:rsidRPr="00552F38">
              <w:t>Human Resource Development</w:t>
            </w:r>
          </w:p>
          <w:p w:rsidR="00230716" w:rsidRPr="00552F38" w:rsidRDefault="00230716" w:rsidP="00230716">
            <w:pPr>
              <w:pStyle w:val="NoSpacing"/>
              <w:numPr>
                <w:ilvl w:val="0"/>
                <w:numId w:val="14"/>
              </w:numPr>
            </w:pPr>
            <w:r w:rsidRPr="00552F38">
              <w:t>Waste Management Framework</w:t>
            </w:r>
          </w:p>
          <w:p w:rsidR="00230716" w:rsidRPr="00552F38" w:rsidRDefault="00230716" w:rsidP="00230716">
            <w:pPr>
              <w:pStyle w:val="NoSpacing"/>
              <w:numPr>
                <w:ilvl w:val="0"/>
                <w:numId w:val="14"/>
              </w:numPr>
            </w:pPr>
            <w:r w:rsidRPr="00552F38">
              <w:t>Safety, Safeguards, Security</w:t>
            </w:r>
          </w:p>
          <w:p w:rsidR="00230716" w:rsidRPr="00552F38" w:rsidRDefault="00230716" w:rsidP="00230716">
            <w:pPr>
              <w:pStyle w:val="NoSpacing"/>
              <w:numPr>
                <w:ilvl w:val="0"/>
                <w:numId w:val="14"/>
              </w:numPr>
            </w:pPr>
            <w:r w:rsidRPr="00552F38">
              <w:t>Nuclear Law</w:t>
            </w:r>
          </w:p>
          <w:p w:rsidR="00B72D08" w:rsidRDefault="00B72D08" w:rsidP="00230716">
            <w:pPr>
              <w:pStyle w:val="NormalWeb"/>
              <w:spacing w:before="115"/>
              <w:rPr>
                <w:sz w:val="20"/>
                <w:szCs w:val="20"/>
              </w:rPr>
            </w:pPr>
          </w:p>
          <w:p w:rsidR="00316EA4" w:rsidRPr="00552F38" w:rsidRDefault="00B72D08" w:rsidP="00230716">
            <w:pPr>
              <w:pStyle w:val="NormalWeb"/>
              <w:spacing w:before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30716">
              <w:rPr>
                <w:sz w:val="20"/>
                <w:szCs w:val="20"/>
              </w:rPr>
              <w:t>Human resource development:</w:t>
            </w:r>
          </w:p>
          <w:p w:rsidR="00316EA4" w:rsidRPr="00552F38" w:rsidRDefault="00316EA4" w:rsidP="00552F38">
            <w:pPr>
              <w:pStyle w:val="NormalWeb"/>
              <w:numPr>
                <w:ilvl w:val="0"/>
                <w:numId w:val="2"/>
              </w:numPr>
              <w:spacing w:before="115"/>
              <w:rPr>
                <w:sz w:val="20"/>
                <w:szCs w:val="20"/>
              </w:rPr>
            </w:pPr>
            <w:r w:rsidRPr="00552F38">
              <w:rPr>
                <w:sz w:val="20"/>
                <w:szCs w:val="20"/>
              </w:rPr>
              <w:t xml:space="preserve">In addition to highly educated personnel at TAEK  (apprx 1000 and ministries: </w:t>
            </w:r>
          </w:p>
          <w:p w:rsidR="00316EA4" w:rsidRPr="00552F38" w:rsidRDefault="00316EA4" w:rsidP="00552F38">
            <w:pPr>
              <w:pStyle w:val="NormalWeb"/>
              <w:numPr>
                <w:ilvl w:val="0"/>
                <w:numId w:val="2"/>
              </w:numPr>
              <w:spacing w:before="115"/>
              <w:rPr>
                <w:sz w:val="20"/>
                <w:szCs w:val="20"/>
              </w:rPr>
            </w:pPr>
            <w:r w:rsidRPr="00552F38">
              <w:rPr>
                <w:sz w:val="20"/>
                <w:szCs w:val="20"/>
              </w:rPr>
              <w:t>330 students graduated from Hacettepe University</w:t>
            </w:r>
          </w:p>
          <w:p w:rsidR="00316EA4" w:rsidRPr="00552F38" w:rsidRDefault="00316EA4" w:rsidP="00552F38">
            <w:pPr>
              <w:pStyle w:val="NormalWeb"/>
              <w:numPr>
                <w:ilvl w:val="0"/>
                <w:numId w:val="2"/>
              </w:numPr>
              <w:spacing w:before="115"/>
              <w:rPr>
                <w:sz w:val="20"/>
                <w:szCs w:val="20"/>
              </w:rPr>
            </w:pPr>
            <w:r w:rsidRPr="00552F38">
              <w:rPr>
                <w:sz w:val="20"/>
                <w:szCs w:val="20"/>
              </w:rPr>
              <w:t>350 engineers working in TAEK</w:t>
            </w:r>
          </w:p>
          <w:p w:rsidR="00316EA4" w:rsidRPr="00552F38" w:rsidRDefault="00316EA4" w:rsidP="00552F38">
            <w:pPr>
              <w:pStyle w:val="NormalWeb"/>
              <w:numPr>
                <w:ilvl w:val="0"/>
                <w:numId w:val="2"/>
              </w:numPr>
              <w:spacing w:before="115"/>
              <w:rPr>
                <w:sz w:val="20"/>
                <w:szCs w:val="20"/>
              </w:rPr>
            </w:pPr>
            <w:r w:rsidRPr="00552F38">
              <w:rPr>
                <w:sz w:val="20"/>
                <w:szCs w:val="20"/>
              </w:rPr>
              <w:t>181 students at MEPHI (in total 600)</w:t>
            </w:r>
          </w:p>
          <w:p w:rsidR="00316EA4" w:rsidRPr="00552F38" w:rsidRDefault="00316EA4" w:rsidP="00552F38">
            <w:pPr>
              <w:pStyle w:val="NormalWeb"/>
              <w:numPr>
                <w:ilvl w:val="0"/>
                <w:numId w:val="2"/>
              </w:numPr>
              <w:spacing w:before="115"/>
              <w:rPr>
                <w:sz w:val="20"/>
                <w:szCs w:val="20"/>
              </w:rPr>
            </w:pPr>
            <w:r w:rsidRPr="00552F38">
              <w:rPr>
                <w:sz w:val="20"/>
                <w:szCs w:val="20"/>
              </w:rPr>
              <w:t>IAEA Workshop for HR Development Planning</w:t>
            </w:r>
          </w:p>
          <w:p w:rsidR="00552F38" w:rsidRPr="00230716" w:rsidRDefault="00316EA4" w:rsidP="007719E5">
            <w:pPr>
              <w:pStyle w:val="NormalWeb"/>
              <w:numPr>
                <w:ilvl w:val="0"/>
                <w:numId w:val="2"/>
              </w:numPr>
              <w:spacing w:before="115"/>
              <w:rPr>
                <w:sz w:val="20"/>
                <w:szCs w:val="20"/>
              </w:rPr>
            </w:pPr>
            <w:r w:rsidRPr="00230716">
              <w:rPr>
                <w:sz w:val="20"/>
                <w:szCs w:val="20"/>
              </w:rPr>
              <w:t>HR Working Group set up (NEPIO and Hacettepe Üniversitesi)</w:t>
            </w:r>
            <w:r w:rsidR="00552F38" w:rsidRPr="00230716">
              <w:rPr>
                <w:sz w:val="20"/>
                <w:szCs w:val="20"/>
              </w:rPr>
              <w:t xml:space="preserve">   Using HR Modelling Tool</w:t>
            </w:r>
          </w:p>
          <w:p w:rsidR="00552F38" w:rsidRPr="00B72D08" w:rsidRDefault="00B72D08" w:rsidP="00B72D08">
            <w:pPr>
              <w:pStyle w:val="NoSpacing"/>
            </w:pPr>
            <w:r>
              <w:rPr>
                <w:lang w:val="en-US"/>
              </w:rPr>
              <w:t>b</w:t>
            </w:r>
            <w:r w:rsidR="0081526C" w:rsidRPr="00B72D08">
              <w:rPr>
                <w:lang w:val="en-US"/>
              </w:rPr>
              <w:t>-</w:t>
            </w:r>
            <w:r w:rsidR="00552F38" w:rsidRPr="00B72D08">
              <w:rPr>
                <w:lang w:val="en-US"/>
              </w:rPr>
              <w:t xml:space="preserve"> </w:t>
            </w:r>
            <w:r w:rsidR="00552F38" w:rsidRPr="00B72D08">
              <w:t xml:space="preserve">INIR Mission </w:t>
            </w:r>
            <w:r w:rsidR="0081526C" w:rsidRPr="00B72D08">
              <w:t xml:space="preserve">conducted by the IAEA upon </w:t>
            </w:r>
            <w:proofErr w:type="spellStart"/>
            <w:r w:rsidR="0081526C" w:rsidRPr="00B72D08">
              <w:t>invation</w:t>
            </w:r>
            <w:proofErr w:type="spellEnd"/>
            <w:r w:rsidR="0081526C" w:rsidRPr="00B72D08">
              <w:t xml:space="preserve"> by the Turkish authorities</w:t>
            </w:r>
            <w:r w:rsidR="00230716" w:rsidRPr="00B72D08">
              <w:t xml:space="preserve"> </w:t>
            </w:r>
            <w:r w:rsidR="00552F38" w:rsidRPr="00B72D08">
              <w:t>(Main conclusions):</w:t>
            </w:r>
          </w:p>
          <w:p w:rsidR="00316EA4" w:rsidRPr="00B72D08" w:rsidRDefault="00316EA4" w:rsidP="00B72D08">
            <w:pPr>
              <w:pStyle w:val="NoSpacing"/>
              <w:numPr>
                <w:ilvl w:val="0"/>
                <w:numId w:val="17"/>
              </w:numPr>
            </w:pPr>
            <w:r w:rsidRPr="00B72D08">
              <w:t>Nuclear Energy Policy Document</w:t>
            </w:r>
          </w:p>
          <w:p w:rsidR="00316EA4" w:rsidRPr="00B72D08" w:rsidRDefault="00316EA4" w:rsidP="00B72D08">
            <w:pPr>
              <w:pStyle w:val="NoSpacing"/>
              <w:numPr>
                <w:ilvl w:val="0"/>
                <w:numId w:val="17"/>
              </w:numPr>
            </w:pPr>
            <w:r w:rsidRPr="00B72D08">
              <w:t>Nuclear Energy Law</w:t>
            </w:r>
          </w:p>
          <w:p w:rsidR="00316EA4" w:rsidRPr="00B72D08" w:rsidRDefault="00316EA4" w:rsidP="00B72D08">
            <w:pPr>
              <w:pStyle w:val="NoSpacing"/>
              <w:numPr>
                <w:ilvl w:val="0"/>
                <w:numId w:val="17"/>
              </w:numPr>
            </w:pPr>
            <w:r w:rsidRPr="00B72D08">
              <w:t>CPPNM Amendment</w:t>
            </w:r>
          </w:p>
          <w:p w:rsidR="00316EA4" w:rsidRPr="00B72D08" w:rsidRDefault="00316EA4" w:rsidP="00B72D08">
            <w:pPr>
              <w:pStyle w:val="NoSpacing"/>
              <w:numPr>
                <w:ilvl w:val="0"/>
                <w:numId w:val="17"/>
              </w:numPr>
            </w:pPr>
            <w:r w:rsidRPr="00B72D08">
              <w:t>Joint Convention on SF/WM</w:t>
            </w:r>
          </w:p>
          <w:p w:rsidR="00316EA4" w:rsidRPr="00B72D08" w:rsidRDefault="00316EA4" w:rsidP="00B72D08">
            <w:pPr>
              <w:pStyle w:val="NoSpacing"/>
              <w:numPr>
                <w:ilvl w:val="0"/>
                <w:numId w:val="17"/>
              </w:numPr>
            </w:pPr>
            <w:r w:rsidRPr="00B72D08">
              <w:t>Human Resource Development</w:t>
            </w:r>
          </w:p>
          <w:p w:rsidR="00B72D08" w:rsidRDefault="00B72D08" w:rsidP="00230716">
            <w:pPr>
              <w:pStyle w:val="NoSpacing"/>
            </w:pPr>
          </w:p>
          <w:p w:rsidR="00552F38" w:rsidRPr="00552F38" w:rsidRDefault="00B72D08" w:rsidP="00230716">
            <w:pPr>
              <w:pStyle w:val="NoSpacing"/>
            </w:pPr>
            <w:r>
              <w:t>c</w:t>
            </w:r>
            <w:r w:rsidR="00552F38" w:rsidRPr="00552F38">
              <w:rPr>
                <w:lang w:val="en-US"/>
              </w:rPr>
              <w:t xml:space="preserve">- </w:t>
            </w:r>
            <w:r w:rsidR="00552F38" w:rsidRPr="00552F38">
              <w:t>Nuclear Energy Law</w:t>
            </w:r>
          </w:p>
          <w:p w:rsidR="00316EA4" w:rsidRPr="00552F38" w:rsidRDefault="00316EA4" w:rsidP="00230716">
            <w:pPr>
              <w:pStyle w:val="NoSpacing"/>
            </w:pPr>
            <w:r w:rsidRPr="00552F38">
              <w:t xml:space="preserve"> Draft law has been prapared.</w:t>
            </w:r>
          </w:p>
          <w:p w:rsidR="00B72D08" w:rsidRDefault="00B72D08" w:rsidP="00230716">
            <w:pPr>
              <w:pStyle w:val="NoSpacing"/>
            </w:pPr>
          </w:p>
          <w:p w:rsidR="00316EA4" w:rsidRPr="00552F38" w:rsidRDefault="00B72D08" w:rsidP="00230716">
            <w:pPr>
              <w:pStyle w:val="NoSpacing"/>
            </w:pPr>
            <w:r>
              <w:lastRenderedPageBreak/>
              <w:t>d</w:t>
            </w:r>
            <w:r w:rsidR="00316EA4" w:rsidRPr="00552F38">
              <w:t>-Third Party Liability law</w:t>
            </w:r>
          </w:p>
          <w:p w:rsidR="00316EA4" w:rsidRPr="00552F38" w:rsidRDefault="00316EA4" w:rsidP="00230716">
            <w:pPr>
              <w:pStyle w:val="NoSpacing"/>
            </w:pPr>
            <w:r w:rsidRPr="00552F38">
              <w:t xml:space="preserve"> Draft law has been prepared.</w:t>
            </w:r>
          </w:p>
          <w:p w:rsidR="00316EA4" w:rsidRPr="00552F38" w:rsidRDefault="00316EA4" w:rsidP="00230716">
            <w:pPr>
              <w:pStyle w:val="NoSpacing"/>
            </w:pPr>
            <w:r w:rsidRPr="00552F38">
              <w:t xml:space="preserve"> Paris Convention 2004 Additional Protocol</w:t>
            </w:r>
          </w:p>
          <w:p w:rsidR="00B72D08" w:rsidRDefault="000533D4" w:rsidP="00B72D08">
            <w:pPr>
              <w:pStyle w:val="NoSpacing"/>
              <w:rPr>
                <w:lang w:val="en-US"/>
              </w:rPr>
            </w:pPr>
            <w:r w:rsidRPr="00230716">
              <w:rPr>
                <w:lang w:val="en-US"/>
              </w:rPr>
              <w:t xml:space="preserve"> </w:t>
            </w:r>
          </w:p>
          <w:p w:rsidR="000533D4" w:rsidRPr="00230716" w:rsidRDefault="00B72D08" w:rsidP="00B72D08">
            <w:pPr>
              <w:pStyle w:val="NoSpacing"/>
            </w:pPr>
            <w:r>
              <w:rPr>
                <w:lang w:val="en-US"/>
              </w:rPr>
              <w:t>e</w:t>
            </w:r>
            <w:r w:rsidR="00230716" w:rsidRPr="00230716">
              <w:rPr>
                <w:lang w:val="en-US"/>
              </w:rPr>
              <w:t>-</w:t>
            </w:r>
            <w:r w:rsidR="000533D4" w:rsidRPr="00230716">
              <w:t xml:space="preserve">Nuclear Energy Policy Document prepared </w:t>
            </w:r>
            <w:r w:rsidR="00230716" w:rsidRPr="00230716">
              <w:t xml:space="preserve">describing </w:t>
            </w:r>
          </w:p>
          <w:p w:rsidR="00316EA4" w:rsidRPr="00230716" w:rsidRDefault="00316EA4" w:rsidP="00B72D08">
            <w:pPr>
              <w:pStyle w:val="NoSpacing"/>
              <w:numPr>
                <w:ilvl w:val="0"/>
                <w:numId w:val="16"/>
              </w:numPr>
            </w:pPr>
            <w:r w:rsidRPr="00230716">
              <w:t>National position</w:t>
            </w:r>
          </w:p>
          <w:p w:rsidR="00316EA4" w:rsidRPr="00230716" w:rsidRDefault="00316EA4" w:rsidP="00B72D08">
            <w:pPr>
              <w:pStyle w:val="NoSpacing"/>
              <w:numPr>
                <w:ilvl w:val="0"/>
                <w:numId w:val="16"/>
              </w:numPr>
            </w:pPr>
            <w:proofErr w:type="spellStart"/>
            <w:r w:rsidRPr="00230716">
              <w:t>Safety,security</w:t>
            </w:r>
            <w:proofErr w:type="spellEnd"/>
            <w:r w:rsidRPr="00230716">
              <w:t xml:space="preserve"> and safeguards</w:t>
            </w:r>
          </w:p>
          <w:p w:rsidR="00316EA4" w:rsidRPr="00230716" w:rsidRDefault="00316EA4" w:rsidP="00B72D08">
            <w:pPr>
              <w:pStyle w:val="NoSpacing"/>
              <w:numPr>
                <w:ilvl w:val="0"/>
                <w:numId w:val="16"/>
              </w:numPr>
            </w:pPr>
            <w:r w:rsidRPr="00230716">
              <w:t>Waste management</w:t>
            </w:r>
          </w:p>
          <w:p w:rsidR="00316EA4" w:rsidRPr="00230716" w:rsidRDefault="00316EA4" w:rsidP="00B72D08">
            <w:pPr>
              <w:pStyle w:val="NoSpacing"/>
              <w:numPr>
                <w:ilvl w:val="0"/>
                <w:numId w:val="16"/>
              </w:numPr>
            </w:pPr>
            <w:r w:rsidRPr="00230716">
              <w:t>Emergency</w:t>
            </w:r>
          </w:p>
          <w:p w:rsidR="00316EA4" w:rsidRPr="00230716" w:rsidRDefault="00316EA4" w:rsidP="00B72D08">
            <w:pPr>
              <w:pStyle w:val="NoSpacing"/>
              <w:numPr>
                <w:ilvl w:val="0"/>
                <w:numId w:val="16"/>
              </w:numPr>
            </w:pPr>
            <w:r w:rsidRPr="00230716">
              <w:t>Human Resource Planning</w:t>
            </w:r>
          </w:p>
          <w:p w:rsidR="00316EA4" w:rsidRPr="00230716" w:rsidRDefault="00316EA4" w:rsidP="00B72D08">
            <w:pPr>
              <w:pStyle w:val="NoSpacing"/>
              <w:numPr>
                <w:ilvl w:val="0"/>
                <w:numId w:val="16"/>
              </w:numPr>
            </w:pPr>
            <w:r w:rsidRPr="00230716">
              <w:t>Stakeholder Involvement</w:t>
            </w:r>
          </w:p>
          <w:p w:rsidR="00316EA4" w:rsidRPr="00230716" w:rsidRDefault="00316EA4" w:rsidP="00B72D08">
            <w:pPr>
              <w:pStyle w:val="NoSpacing"/>
              <w:numPr>
                <w:ilvl w:val="0"/>
                <w:numId w:val="16"/>
              </w:numPr>
            </w:pPr>
            <w:r w:rsidRPr="00230716">
              <w:t>Industrial Involvement</w:t>
            </w:r>
          </w:p>
          <w:p w:rsidR="00B72D08" w:rsidRDefault="00B72D08" w:rsidP="00230716">
            <w:pPr>
              <w:pStyle w:val="NoSpacing"/>
            </w:pPr>
          </w:p>
          <w:p w:rsidR="000533D4" w:rsidRDefault="00B72D08" w:rsidP="00230716">
            <w:pPr>
              <w:pStyle w:val="NoSpacing"/>
            </w:pPr>
            <w:r>
              <w:t>f</w:t>
            </w:r>
            <w:r w:rsidR="00230716">
              <w:t xml:space="preserve">- Localization: </w:t>
            </w:r>
            <w:r w:rsidR="000533D4" w:rsidRPr="00552F38">
              <w:t>Company Inventory Research</w:t>
            </w:r>
            <w:r w:rsidR="00230716">
              <w:t xml:space="preserve"> was carried out by NEPIO</w:t>
            </w:r>
          </w:p>
          <w:p w:rsidR="00316EA4" w:rsidRPr="000533D4" w:rsidRDefault="00316EA4" w:rsidP="00230716">
            <w:pPr>
              <w:pStyle w:val="NoSpacing"/>
              <w:numPr>
                <w:ilvl w:val="0"/>
                <w:numId w:val="15"/>
              </w:numPr>
            </w:pPr>
            <w:r w:rsidRPr="000533D4">
              <w:rPr>
                <w:lang w:val="en-US"/>
              </w:rPr>
              <w:t>Interviews with 250 companies</w:t>
            </w:r>
          </w:p>
          <w:p w:rsidR="00316EA4" w:rsidRPr="000533D4" w:rsidRDefault="00316EA4" w:rsidP="00230716">
            <w:pPr>
              <w:pStyle w:val="NoSpacing"/>
              <w:numPr>
                <w:ilvl w:val="0"/>
                <w:numId w:val="15"/>
              </w:numPr>
            </w:pPr>
            <w:r w:rsidRPr="000533D4">
              <w:rPr>
                <w:lang w:val="en-US"/>
              </w:rPr>
              <w:t>International expert support for companies</w:t>
            </w:r>
          </w:p>
          <w:p w:rsidR="00316EA4" w:rsidRPr="000533D4" w:rsidRDefault="00316EA4" w:rsidP="00230716">
            <w:pPr>
              <w:pStyle w:val="NoSpacing"/>
              <w:numPr>
                <w:ilvl w:val="0"/>
                <w:numId w:val="15"/>
              </w:numPr>
            </w:pPr>
            <w:r w:rsidRPr="000533D4">
              <w:rPr>
                <w:lang w:val="en-US"/>
              </w:rPr>
              <w:t>Cooperation with international companies</w:t>
            </w:r>
          </w:p>
          <w:p w:rsidR="00BD4F36" w:rsidRDefault="00316EA4" w:rsidP="00230716">
            <w:pPr>
              <w:pStyle w:val="NoSpacing"/>
              <w:numPr>
                <w:ilvl w:val="0"/>
                <w:numId w:val="15"/>
              </w:numPr>
            </w:pPr>
            <w:r w:rsidRPr="000533D4">
              <w:rPr>
                <w:lang w:val="en-US"/>
              </w:rPr>
              <w:t xml:space="preserve">University-Industry </w:t>
            </w:r>
            <w:proofErr w:type="spellStart"/>
            <w:r w:rsidRPr="000533D4">
              <w:rPr>
                <w:lang w:val="en-US"/>
              </w:rPr>
              <w:t>Cooperat</w:t>
            </w:r>
            <w:proofErr w:type="spellEnd"/>
            <w:r w:rsidRPr="000533D4">
              <w:t>i</w:t>
            </w:r>
            <w:r w:rsidRPr="000533D4">
              <w:rPr>
                <w:lang w:val="en-US"/>
              </w:rPr>
              <w:t>on Model</w:t>
            </w:r>
          </w:p>
        </w:tc>
      </w:tr>
      <w:tr w:rsidR="0063330D" w:rsidTr="000833A4">
        <w:tc>
          <w:tcPr>
            <w:tcW w:w="3148" w:type="dxa"/>
          </w:tcPr>
          <w:p w:rsidR="00155701" w:rsidRDefault="00155701" w:rsidP="00155701">
            <w:pPr>
              <w:spacing w:after="120"/>
            </w:pPr>
            <w:r>
              <w:lastRenderedPageBreak/>
              <w:t>Nuclear medical applications</w:t>
            </w:r>
          </w:p>
        </w:tc>
        <w:tc>
          <w:tcPr>
            <w:tcW w:w="5868" w:type="dxa"/>
          </w:tcPr>
          <w:p w:rsidR="00BD4F36" w:rsidRDefault="00BD4F36" w:rsidP="00BD4F36">
            <w:r>
              <w:t xml:space="preserve">Number of medical radiation on laboratories in Turkey: </w:t>
            </w:r>
          </w:p>
          <w:p w:rsidR="00BD4F36" w:rsidRDefault="00BD4F36" w:rsidP="00BD4F36">
            <w:r>
              <w:t>Iodine</w:t>
            </w:r>
            <w:r>
              <w:t xml:space="preserve"> 131 </w:t>
            </w:r>
            <w:r>
              <w:t xml:space="preserve">therapy </w:t>
            </w:r>
            <w:proofErr w:type="spellStart"/>
            <w:r>
              <w:t>centers</w:t>
            </w:r>
            <w:proofErr w:type="spellEnd"/>
            <w:r>
              <w:t xml:space="preserve"> </w:t>
            </w:r>
            <w:r>
              <w:t xml:space="preserve"> </w:t>
            </w:r>
            <w:r>
              <w:t>:</w:t>
            </w:r>
            <w:r>
              <w:t xml:space="preserve"> 49 </w:t>
            </w:r>
          </w:p>
          <w:p w:rsidR="00BD4F36" w:rsidRDefault="00BD4F36" w:rsidP="00BD4F36">
            <w:r>
              <w:t>Irradiation facilities : 4</w:t>
            </w:r>
          </w:p>
          <w:p w:rsidR="00BD4F36" w:rsidRDefault="00BD4F36" w:rsidP="00BD4F36">
            <w:r>
              <w:t>FDG</w:t>
            </w:r>
            <w:r>
              <w:t xml:space="preserve"> production facilities:</w:t>
            </w:r>
            <w:r>
              <w:t xml:space="preserve"> 15 </w:t>
            </w:r>
          </w:p>
          <w:p w:rsidR="00585BB5" w:rsidRDefault="00585BB5" w:rsidP="001E0122"/>
          <w:p w:rsidR="00585BB5" w:rsidRDefault="001E0122" w:rsidP="001E0122">
            <w:r>
              <w:t>No of nuclear medical equipment</w:t>
            </w:r>
            <w:r w:rsidR="00585BB5">
              <w:t xml:space="preserve"> (</w:t>
            </w:r>
            <w:proofErr w:type="spellStart"/>
            <w:r w:rsidR="00585BB5">
              <w:t>apprx</w:t>
            </w:r>
            <w:proofErr w:type="spellEnd"/>
            <w:r w:rsidR="00585BB5">
              <w:t>) used in these laboratories:</w:t>
            </w:r>
          </w:p>
          <w:p w:rsidR="001E0122" w:rsidRDefault="00585BB5" w:rsidP="001E0122">
            <w:r>
              <w:t>270</w:t>
            </w:r>
            <w:r w:rsidR="001E0122">
              <w:t xml:space="preserve"> radiotherapy </w:t>
            </w:r>
          </w:p>
          <w:p w:rsidR="001E0122" w:rsidRDefault="001E0122" w:rsidP="001E0122">
            <w:r>
              <w:t>4</w:t>
            </w:r>
            <w:r w:rsidR="00585BB5">
              <w:t>80</w:t>
            </w:r>
            <w:r>
              <w:t xml:space="preserve"> nuclear medicine </w:t>
            </w:r>
            <w:r>
              <w:t>108 PET/CT)</w:t>
            </w:r>
          </w:p>
          <w:p w:rsidR="00155701" w:rsidRDefault="00585BB5" w:rsidP="00585BB5">
            <w:r>
              <w:t>135</w:t>
            </w:r>
            <w:r>
              <w:t>30</w:t>
            </w:r>
            <w:r>
              <w:t xml:space="preserve"> </w:t>
            </w:r>
            <w:r>
              <w:t xml:space="preserve">radiology </w:t>
            </w:r>
            <w:r>
              <w:t xml:space="preserve">(1540 </w:t>
            </w:r>
            <w:r w:rsidR="00D33BC8">
              <w:t xml:space="preserve">computed </w:t>
            </w:r>
            <w:r>
              <w:t>tomography</w:t>
            </w:r>
            <w:r w:rsidR="00D33BC8">
              <w:t>).</w:t>
            </w:r>
          </w:p>
          <w:p w:rsidR="00585BB5" w:rsidRDefault="00585BB5" w:rsidP="00585BB5"/>
        </w:tc>
      </w:tr>
      <w:tr w:rsidR="0063330D" w:rsidTr="000833A4">
        <w:tc>
          <w:tcPr>
            <w:tcW w:w="3148" w:type="dxa"/>
          </w:tcPr>
          <w:p w:rsidR="004E086F" w:rsidRDefault="004E086F" w:rsidP="004E086F">
            <w:pPr>
              <w:spacing w:after="120"/>
            </w:pPr>
          </w:p>
        </w:tc>
        <w:tc>
          <w:tcPr>
            <w:tcW w:w="5868" w:type="dxa"/>
          </w:tcPr>
          <w:p w:rsidR="00155701" w:rsidRPr="004E086F" w:rsidRDefault="00155701" w:rsidP="004E086F">
            <w:pPr>
              <w:pStyle w:val="NoSpacing"/>
            </w:pPr>
          </w:p>
        </w:tc>
      </w:tr>
      <w:tr w:rsidR="0063330D" w:rsidTr="000833A4">
        <w:tc>
          <w:tcPr>
            <w:tcW w:w="3148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5868" w:type="dxa"/>
          </w:tcPr>
          <w:p w:rsidR="00316EA4" w:rsidRPr="00856F18" w:rsidRDefault="00316EA4" w:rsidP="00316EA4">
            <w:pPr>
              <w:spacing w:line="252" w:lineRule="atLeast"/>
              <w:textAlignment w:val="baseline"/>
              <w:outlineLvl w:val="1"/>
              <w:rPr>
                <w:rFonts w:ascii="Calibri" w:hAnsi="Calibri"/>
                <w:bCs/>
                <w:color w:val="555555"/>
                <w:bdr w:val="none" w:sz="0" w:space="0" w:color="auto" w:frame="1"/>
              </w:rPr>
            </w:pPr>
            <w:r w:rsidRPr="00856F18">
              <w:rPr>
                <w:rFonts w:ascii="Calibri" w:hAnsi="Calibri"/>
                <w:bCs/>
                <w:color w:val="555555"/>
                <w:bdr w:val="none" w:sz="0" w:space="0" w:color="auto" w:frame="1"/>
              </w:rPr>
              <w:t xml:space="preserve">Turkish Atomic Energy Authority’s </w:t>
            </w:r>
            <w:r w:rsidR="0095435C" w:rsidRPr="00856F18">
              <w:rPr>
                <w:rFonts w:ascii="Calibri" w:hAnsi="Calibri"/>
                <w:bCs/>
                <w:color w:val="555555"/>
                <w:bdr w:val="none" w:sz="0" w:space="0" w:color="auto" w:frame="1"/>
              </w:rPr>
              <w:t xml:space="preserve"> (TAEA) </w:t>
            </w:r>
            <w:r w:rsidRPr="00856F18">
              <w:rPr>
                <w:rFonts w:ascii="Calibri" w:hAnsi="Calibri"/>
                <w:bCs/>
                <w:color w:val="555555"/>
                <w:bdr w:val="none" w:sz="0" w:space="0" w:color="auto" w:frame="1"/>
              </w:rPr>
              <w:t>nuclear research  facilities:</w:t>
            </w:r>
          </w:p>
          <w:p w:rsidR="001665AE" w:rsidRPr="00820B8B" w:rsidRDefault="001665AE" w:rsidP="00316EA4">
            <w:pPr>
              <w:pStyle w:val="ListParagraph"/>
              <w:numPr>
                <w:ilvl w:val="0"/>
                <w:numId w:val="11"/>
              </w:numPr>
              <w:spacing w:line="252" w:lineRule="atLeast"/>
              <w:textAlignment w:val="baseline"/>
              <w:outlineLvl w:val="1"/>
              <w:rPr>
                <w:rFonts w:ascii="Calibri" w:hAnsi="Calibri" w:cs="Arial"/>
                <w:color w:val="555555"/>
                <w:sz w:val="22"/>
                <w:szCs w:val="22"/>
              </w:rPr>
            </w:pPr>
            <w:r w:rsidRPr="00856F18">
              <w:rPr>
                <w:rFonts w:ascii="Calibri" w:hAnsi="Calibri"/>
                <w:bCs/>
                <w:color w:val="555555"/>
                <w:sz w:val="22"/>
                <w:szCs w:val="22"/>
                <w:bdr w:val="none" w:sz="0" w:space="0" w:color="auto" w:frame="1"/>
              </w:rPr>
              <w:t>Çekmece Nuclear Research and Training Center</w:t>
            </w:r>
            <w:r w:rsidR="00316EA4" w:rsidRPr="00856F18">
              <w:rPr>
                <w:rFonts w:ascii="Calibri" w:hAnsi="Calibri"/>
                <w:bCs/>
                <w:color w:val="555555"/>
                <w:sz w:val="22"/>
                <w:szCs w:val="22"/>
                <w:bdr w:val="none" w:sz="0" w:space="0" w:color="auto" w:frame="1"/>
              </w:rPr>
              <w:t xml:space="preserve"> (CNAEM) </w:t>
            </w:r>
            <w:r w:rsidR="00820B8B" w:rsidRPr="00856F18">
              <w:rPr>
                <w:rFonts w:ascii="Calibri" w:hAnsi="Calibri"/>
                <w:bCs/>
                <w:color w:val="555555"/>
                <w:sz w:val="22"/>
                <w:szCs w:val="22"/>
                <w:bdr w:val="none" w:sz="0" w:space="0" w:color="auto" w:frame="1"/>
              </w:rPr>
              <w:t>with</w:t>
            </w:r>
            <w:r w:rsidR="00820B8B" w:rsidRPr="00820B8B">
              <w:rPr>
                <w:rFonts w:ascii="Calibri" w:hAnsi="Calibri"/>
                <w:b/>
                <w:bCs/>
                <w:color w:val="55555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20B8B">
              <w:rPr>
                <w:rFonts w:ascii="Calibri" w:hAnsi="Calibri" w:cs="Arial"/>
                <w:color w:val="555555"/>
                <w:sz w:val="22"/>
                <w:szCs w:val="22"/>
              </w:rPr>
              <w:t xml:space="preserve"> TR-2 Research Reactor with  5 MW nominal power. </w:t>
            </w:r>
          </w:p>
          <w:p w:rsidR="001665AE" w:rsidRPr="00820B8B" w:rsidRDefault="001665AE" w:rsidP="00316EA4">
            <w:pPr>
              <w:pStyle w:val="ListParagraph"/>
              <w:numPr>
                <w:ilvl w:val="0"/>
                <w:numId w:val="11"/>
              </w:numPr>
              <w:spacing w:line="252" w:lineRule="atLeast"/>
              <w:textAlignment w:val="baseline"/>
              <w:outlineLvl w:val="1"/>
              <w:rPr>
                <w:rFonts w:ascii="Calibri" w:hAnsi="Calibri" w:cs="Arial"/>
                <w:color w:val="555555"/>
                <w:sz w:val="22"/>
                <w:szCs w:val="22"/>
              </w:rPr>
            </w:pPr>
            <w:r w:rsidRPr="00820B8B">
              <w:rPr>
                <w:rFonts w:ascii="Calibri" w:hAnsi="Calibri" w:cs="Arial"/>
                <w:color w:val="555555"/>
                <w:sz w:val="22"/>
                <w:szCs w:val="22"/>
              </w:rPr>
              <w:t>Ankara Nuclear Research and Training Center (ANAEM)</w:t>
            </w:r>
            <w:r w:rsidR="00820B8B" w:rsidRPr="00820B8B">
              <w:rPr>
                <w:rFonts w:ascii="Calibri" w:hAnsi="Calibri" w:cs="Arial"/>
                <w:color w:val="555555"/>
                <w:sz w:val="22"/>
                <w:szCs w:val="22"/>
              </w:rPr>
              <w:t>.</w:t>
            </w:r>
          </w:p>
          <w:p w:rsidR="00A133DE" w:rsidRPr="00856F18" w:rsidRDefault="00A133DE" w:rsidP="00316EA4">
            <w:pPr>
              <w:pStyle w:val="ListParagraph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856F18">
              <w:rPr>
                <w:rFonts w:ascii="Calibri" w:hAnsi="Calibri"/>
                <w:bCs/>
                <w:color w:val="555555"/>
                <w:sz w:val="22"/>
                <w:szCs w:val="22"/>
                <w:bdr w:val="none" w:sz="0" w:space="0" w:color="auto" w:frame="1"/>
              </w:rPr>
              <w:t>Sarayköy Nuclear Research and Training Center</w:t>
            </w:r>
            <w:r w:rsidR="00316EA4" w:rsidRPr="00856F18">
              <w:rPr>
                <w:rFonts w:ascii="Calibri" w:hAnsi="Calibri"/>
                <w:bCs/>
                <w:color w:val="55555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56F18">
              <w:rPr>
                <w:rFonts w:ascii="Calibri" w:hAnsi="Calibri"/>
                <w:bCs/>
                <w:color w:val="555555"/>
                <w:sz w:val="22"/>
                <w:szCs w:val="22"/>
              </w:rPr>
              <w:t xml:space="preserve">SANAEM) </w:t>
            </w:r>
            <w:r w:rsidR="00820B8B" w:rsidRPr="00856F18">
              <w:rPr>
                <w:rFonts w:ascii="Calibri" w:hAnsi="Calibri"/>
                <w:bCs/>
                <w:color w:val="555555"/>
                <w:sz w:val="22"/>
                <w:szCs w:val="22"/>
              </w:rPr>
              <w:t xml:space="preserve">with </w:t>
            </w:r>
            <w:r w:rsidR="00316EA4" w:rsidRPr="00856F18">
              <w:rPr>
                <w:rFonts w:ascii="Calibri" w:hAnsi="Calibri"/>
                <w:bCs/>
                <w:color w:val="555555"/>
                <w:sz w:val="22"/>
                <w:szCs w:val="22"/>
              </w:rPr>
              <w:t xml:space="preserve"> </w:t>
            </w:r>
            <w:hyperlink r:id="rId5" w:history="1">
              <w:r w:rsidRPr="00856F18">
                <w:rPr>
                  <w:rFonts w:ascii="Calibri" w:hAnsi="Calibri"/>
                  <w:bCs/>
                  <w:sz w:val="22"/>
                  <w:szCs w:val="22"/>
                  <w:bdr w:val="none" w:sz="0" w:space="0" w:color="auto" w:frame="1"/>
                </w:rPr>
                <w:t>Proton Accelerator Facility</w:t>
              </w:r>
            </w:hyperlink>
          </w:p>
          <w:p w:rsidR="00A133DE" w:rsidRPr="00820B8B" w:rsidRDefault="00820B8B" w:rsidP="00316EA4">
            <w:pPr>
              <w:spacing w:line="252" w:lineRule="atLeast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b/>
                <w:bCs/>
                <w:u w:val="single"/>
                <w:lang w:val="tr-TR" w:eastAsia="tr-TR"/>
              </w:rPr>
            </w:pPr>
            <w:r w:rsidRPr="00820B8B">
              <w:rPr>
                <w:rFonts w:ascii="Calibri" w:hAnsi="Calibri" w:cs="Arial"/>
                <w:bCs/>
                <w:color w:val="252525"/>
                <w:shd w:val="clear" w:color="auto" w:fill="FFFFFF"/>
              </w:rPr>
              <w:t>TRIGA Mark-II Training and Research Reactor</w:t>
            </w:r>
            <w:r w:rsidRPr="00820B8B">
              <w:rPr>
                <w:rFonts w:ascii="Calibri" w:hAnsi="Calibri" w:cs="Arial"/>
                <w:bCs/>
                <w:color w:val="252525"/>
                <w:shd w:val="clear" w:color="auto" w:fill="FFFFFF"/>
              </w:rPr>
              <w:t>,</w:t>
            </w:r>
            <w:r>
              <w:rPr>
                <w:rFonts w:ascii="Calibri" w:hAnsi="Calibri" w:cs="Arial"/>
                <w:bCs/>
                <w:color w:val="252525"/>
                <w:shd w:val="clear" w:color="auto" w:fill="FFFFFF"/>
              </w:rPr>
              <w:t xml:space="preserve"> </w:t>
            </w:r>
            <w:r w:rsidRPr="00820B8B">
              <w:rPr>
                <w:rFonts w:ascii="Calibri" w:hAnsi="Calibri" w:cs="Arial"/>
                <w:bCs/>
                <w:color w:val="252525"/>
                <w:shd w:val="clear" w:color="auto" w:fill="FFFFFF"/>
              </w:rPr>
              <w:t>loc</w:t>
            </w:r>
            <w:r w:rsidRPr="00820B8B">
              <w:rPr>
                <w:rFonts w:ascii="Calibri" w:hAnsi="Calibri" w:cs="Arial"/>
                <w:color w:val="252525"/>
                <w:shd w:val="clear" w:color="auto" w:fill="FFFFFF"/>
              </w:rPr>
              <w:t>ated in</w:t>
            </w:r>
            <w:r w:rsidRPr="00820B8B">
              <w:rPr>
                <w:rStyle w:val="apple-converted-space"/>
                <w:rFonts w:ascii="Calibri" w:hAnsi="Calibri" w:cs="Arial"/>
                <w:color w:val="252525"/>
                <w:shd w:val="clear" w:color="auto" w:fill="FFFFFF"/>
              </w:rPr>
              <w:t> </w:t>
            </w:r>
            <w:hyperlink r:id="rId6" w:tooltip="Istanbul Technical University" w:history="1">
              <w:r w:rsidRPr="00820B8B">
                <w:rPr>
                  <w:rStyle w:val="Hyperlink"/>
                  <w:rFonts w:ascii="Calibri" w:hAnsi="Calibri" w:cs="Arial"/>
                  <w:color w:val="auto"/>
                  <w:u w:val="none"/>
                  <w:shd w:val="clear" w:color="auto" w:fill="FFFFFF"/>
                </w:rPr>
                <w:t>Istanbul Technical University</w:t>
              </w:r>
            </w:hyperlink>
            <w:r>
              <w:rPr>
                <w:rFonts w:ascii="Calibri" w:hAnsi="Calibri"/>
              </w:rPr>
              <w:t>.</w:t>
            </w:r>
          </w:p>
          <w:p w:rsidR="0081526C" w:rsidRDefault="0081526C" w:rsidP="00754ADE">
            <w:pPr>
              <w:spacing w:after="120"/>
            </w:pPr>
          </w:p>
          <w:p w:rsidR="00155701" w:rsidRDefault="00754ADE" w:rsidP="00754ADE">
            <w:pPr>
              <w:spacing w:after="120"/>
            </w:pPr>
            <w:r>
              <w:t xml:space="preserve">Large spectrum of nuclear </w:t>
            </w:r>
            <w:r>
              <w:t>R&amp;D</w:t>
            </w:r>
            <w:r>
              <w:t xml:space="preserve"> as well as nuclear and isotopic application activities are carried out in all above research facilities. </w:t>
            </w:r>
          </w:p>
        </w:tc>
      </w:tr>
      <w:tr w:rsidR="0063330D" w:rsidTr="000833A4">
        <w:tc>
          <w:tcPr>
            <w:tcW w:w="3148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5868" w:type="dxa"/>
          </w:tcPr>
          <w:p w:rsidR="00754ADE" w:rsidRDefault="00754ADE" w:rsidP="00C150F0">
            <w:pPr>
              <w:spacing w:after="120"/>
            </w:pPr>
            <w:r>
              <w:t>Turkish authorities evaluated preliminary</w:t>
            </w:r>
            <w:r>
              <w:t xml:space="preserve"> lessons learned from Fukushima Accident</w:t>
            </w:r>
            <w:r>
              <w:t xml:space="preserve"> for the nuclear research facilities in Turkey and NPPs under planning and development stages.</w:t>
            </w:r>
          </w:p>
          <w:p w:rsidR="0095435C" w:rsidRDefault="00754ADE" w:rsidP="00C150F0">
            <w:pPr>
              <w:spacing w:after="120"/>
            </w:pPr>
            <w:r>
              <w:lastRenderedPageBreak/>
              <w:t>T</w:t>
            </w:r>
            <w:r w:rsidR="005F77C3">
              <w:t>AEA signed Joint Declaration on EU “Stress Tests”</w:t>
            </w:r>
            <w:r w:rsidR="0095435C">
              <w:t>.</w:t>
            </w:r>
          </w:p>
          <w:p w:rsidR="00155701" w:rsidRDefault="005F77C3" w:rsidP="00C150F0">
            <w:pPr>
              <w:spacing w:after="120"/>
            </w:pPr>
            <w:r>
              <w:t xml:space="preserve"> A draft national report of Turkey has been </w:t>
            </w:r>
            <w:r w:rsidR="0095435C">
              <w:t xml:space="preserve">prepared </w:t>
            </w:r>
            <w:r>
              <w:t>under EU “Stress Tests”</w:t>
            </w:r>
          </w:p>
          <w:p w:rsidR="0095435C" w:rsidRDefault="005F77C3" w:rsidP="00C150F0">
            <w:pPr>
              <w:spacing w:after="120"/>
            </w:pPr>
            <w:proofErr w:type="spellStart"/>
            <w:r>
              <w:t>A</w:t>
            </w:r>
            <w:r w:rsidR="004F2800">
              <w:t>kkuyu</w:t>
            </w:r>
            <w:proofErr w:type="spellEnd"/>
            <w:r w:rsidR="004F2800">
              <w:t xml:space="preserve"> Project Company updated</w:t>
            </w:r>
            <w:r>
              <w:t xml:space="preserve"> earthquake and tsunami studies previously carried out at </w:t>
            </w:r>
            <w:proofErr w:type="spellStart"/>
            <w:r>
              <w:t>Akkuyu</w:t>
            </w:r>
            <w:proofErr w:type="spellEnd"/>
            <w:r>
              <w:t xml:space="preserve"> site. </w:t>
            </w:r>
          </w:p>
          <w:p w:rsidR="004F2800" w:rsidRDefault="0095435C" w:rsidP="00C150F0">
            <w:pPr>
              <w:spacing w:after="120"/>
            </w:pPr>
            <w:r>
              <w:t>TAEA reviewed</w:t>
            </w:r>
            <w:r w:rsidR="005F77C3">
              <w:t xml:space="preserve"> existing regulations related to earthquakes and tsunamis, calculation methods </w:t>
            </w:r>
            <w:r w:rsidR="00754ADE">
              <w:t>and hazard</w:t>
            </w:r>
            <w:r w:rsidR="005F77C3">
              <w:t xml:space="preserve"> a</w:t>
            </w:r>
            <w:r w:rsidR="004F2800">
              <w:t>ssessments</w:t>
            </w:r>
            <w:r w:rsidR="005F77C3">
              <w:t xml:space="preserve">. </w:t>
            </w:r>
          </w:p>
          <w:p w:rsidR="00354031" w:rsidRDefault="00354031" w:rsidP="00C150F0">
            <w:pPr>
              <w:spacing w:after="120"/>
            </w:pPr>
            <w:r>
              <w:t xml:space="preserve">Emergency plans and procedures </w:t>
            </w:r>
            <w:r>
              <w:t xml:space="preserve">are reviewed </w:t>
            </w:r>
            <w:r>
              <w:t>to reflect IAEA recommendations and world experience after the Fukushima.</w:t>
            </w:r>
            <w:r>
              <w:t xml:space="preserve"> </w:t>
            </w:r>
          </w:p>
          <w:p w:rsidR="005F77C3" w:rsidRDefault="005F77C3" w:rsidP="00C150F0">
            <w:pPr>
              <w:spacing w:after="120"/>
            </w:pPr>
            <w:r>
              <w:t xml:space="preserve">TAEA continues a </w:t>
            </w:r>
            <w:r w:rsidR="004F2800">
              <w:t xml:space="preserve">planning </w:t>
            </w:r>
            <w:r>
              <w:t xml:space="preserve">study on the </w:t>
            </w:r>
            <w:r w:rsidR="0095435C">
              <w:t>separation</w:t>
            </w:r>
            <w:r>
              <w:t xml:space="preserve"> of Regulatory Body and R&amp;D organizations and</w:t>
            </w:r>
            <w:r w:rsidR="0095435C">
              <w:t xml:space="preserve"> for</w:t>
            </w:r>
            <w:r>
              <w:t xml:space="preserve"> the establishment of an independent Regulatory Body</w:t>
            </w:r>
            <w:r w:rsidR="0095435C">
              <w:t>.</w:t>
            </w:r>
          </w:p>
          <w:p w:rsidR="005F77C3" w:rsidRDefault="005F77C3" w:rsidP="00C150F0">
            <w:pPr>
              <w:spacing w:after="120"/>
            </w:pPr>
          </w:p>
        </w:tc>
      </w:tr>
      <w:tr w:rsidR="0063330D" w:rsidTr="000833A4">
        <w:tc>
          <w:tcPr>
            <w:tcW w:w="3148" w:type="dxa"/>
          </w:tcPr>
          <w:p w:rsidR="004E086F" w:rsidRDefault="004E086F" w:rsidP="004E086F">
            <w:pPr>
              <w:spacing w:after="120"/>
            </w:pPr>
            <w:r>
              <w:lastRenderedPageBreak/>
              <w:t>Waste management philosophy</w:t>
            </w:r>
          </w:p>
          <w:p w:rsidR="00CB5FA1" w:rsidRDefault="00CB5FA1" w:rsidP="00CB5FA1">
            <w:pPr>
              <w:spacing w:after="120"/>
            </w:pPr>
          </w:p>
        </w:tc>
        <w:tc>
          <w:tcPr>
            <w:tcW w:w="5868" w:type="dxa"/>
          </w:tcPr>
          <w:p w:rsidR="0081526C" w:rsidRDefault="00E24C9C" w:rsidP="00230716">
            <w:pPr>
              <w:pStyle w:val="NoSpacing"/>
            </w:pPr>
            <w:r w:rsidRPr="004E086F">
              <w:t>TAE</w:t>
            </w:r>
            <w:r>
              <w:t>A</w:t>
            </w:r>
            <w:r w:rsidRPr="004E086F">
              <w:t xml:space="preserve"> has role and responsibility to regulate management of ra</w:t>
            </w:r>
            <w:r w:rsidR="0081526C">
              <w:t>dioactive wastes.</w:t>
            </w:r>
          </w:p>
          <w:p w:rsidR="00B72D08" w:rsidRDefault="00B72D08" w:rsidP="00230716">
            <w:pPr>
              <w:pStyle w:val="NoSpacing"/>
            </w:pPr>
            <w:r>
              <w:t xml:space="preserve">Radioactive waste management is carried out at the </w:t>
            </w:r>
            <w:proofErr w:type="spellStart"/>
            <w:r>
              <w:t>Cekmece</w:t>
            </w:r>
            <w:proofErr w:type="spellEnd"/>
            <w:r>
              <w:t xml:space="preserve"> Nuclear Research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r>
              <w:t xml:space="preserve">under the licence of </w:t>
            </w:r>
            <w:proofErr w:type="gramStart"/>
            <w:r>
              <w:t>TAEA</w:t>
            </w:r>
            <w:r>
              <w:t xml:space="preserve"> .</w:t>
            </w:r>
            <w:proofErr w:type="gramEnd"/>
          </w:p>
          <w:p w:rsidR="00B72D08" w:rsidRDefault="00B72D08" w:rsidP="00230716">
            <w:pPr>
              <w:pStyle w:val="NoSpacing"/>
              <w:rPr>
                <w:rFonts w:eastAsiaTheme="minorEastAsia" w:cs="Arial"/>
                <w:color w:val="000000" w:themeColor="text1"/>
                <w:kern w:val="24"/>
                <w:sz w:val="24"/>
                <w:szCs w:val="24"/>
                <w:lang w:val="tr-TR" w:eastAsia="tr-TR"/>
              </w:rPr>
            </w:pPr>
          </w:p>
          <w:p w:rsidR="0081526C" w:rsidRPr="0081526C" w:rsidRDefault="0081526C" w:rsidP="00230716">
            <w:pPr>
              <w:pStyle w:val="NoSpacing"/>
              <w:rPr>
                <w:rFonts w:eastAsiaTheme="minorEastAsia" w:cs="Arial"/>
                <w:color w:val="000000" w:themeColor="text1"/>
                <w:kern w:val="24"/>
                <w:sz w:val="24"/>
                <w:szCs w:val="24"/>
              </w:rPr>
            </w:pPr>
            <w:r w:rsidRPr="0081526C">
              <w:rPr>
                <w:rFonts w:eastAsiaTheme="minorEastAsia" w:cs="Arial"/>
                <w:color w:val="000000" w:themeColor="text1"/>
                <w:kern w:val="24"/>
                <w:sz w:val="24"/>
                <w:szCs w:val="24"/>
                <w:lang w:val="tr-TR" w:eastAsia="tr-TR"/>
              </w:rPr>
              <w:t xml:space="preserve">Principles of </w:t>
            </w:r>
            <w:r w:rsidRPr="0081526C">
              <w:rPr>
                <w:rFonts w:cs="Arial"/>
                <w:color w:val="000000" w:themeColor="text1"/>
                <w:kern w:val="24"/>
                <w:sz w:val="24"/>
                <w:szCs w:val="24"/>
              </w:rPr>
              <w:t xml:space="preserve">Draft Policy on </w:t>
            </w:r>
            <w:proofErr w:type="spellStart"/>
            <w:r w:rsidRPr="0081526C">
              <w:rPr>
                <w:rFonts w:cs="Arial"/>
                <w:color w:val="000000" w:themeColor="text1"/>
                <w:kern w:val="24"/>
                <w:sz w:val="24"/>
                <w:szCs w:val="24"/>
              </w:rPr>
              <w:t>Radwaste</w:t>
            </w:r>
            <w:proofErr w:type="spellEnd"/>
            <w:r w:rsidRPr="0081526C">
              <w:rPr>
                <w:rFonts w:cs="Arial"/>
                <w:color w:val="000000" w:themeColor="text1"/>
                <w:kern w:val="24"/>
                <w:sz w:val="24"/>
                <w:szCs w:val="24"/>
              </w:rPr>
              <w:t xml:space="preserve"> Management </w:t>
            </w:r>
          </w:p>
          <w:p w:rsidR="0081526C" w:rsidRDefault="0081526C" w:rsidP="00230716">
            <w:pPr>
              <w:pStyle w:val="NoSpacing"/>
              <w:rPr>
                <w:rFonts w:eastAsiaTheme="minorEastAsia" w:cs="Arial"/>
                <w:color w:val="000000" w:themeColor="text1"/>
                <w:kern w:val="24"/>
                <w:sz w:val="24"/>
                <w:szCs w:val="24"/>
                <w:lang w:val="tr-TR" w:eastAsia="tr-TR"/>
              </w:rPr>
            </w:pPr>
            <w:r w:rsidRPr="0081526C">
              <w:rPr>
                <w:rFonts w:eastAsiaTheme="minorEastAsia" w:cs="Arial"/>
                <w:color w:val="000000" w:themeColor="text1"/>
                <w:kern w:val="24"/>
                <w:sz w:val="24"/>
                <w:szCs w:val="24"/>
                <w:lang w:val="tr-TR" w:eastAsia="tr-TR"/>
              </w:rPr>
              <w:t>and Decommissioning</w:t>
            </w:r>
            <w:r w:rsidR="00B72D08">
              <w:rPr>
                <w:rFonts w:eastAsiaTheme="minorEastAsia" w:cs="Arial"/>
                <w:color w:val="000000" w:themeColor="text1"/>
                <w:kern w:val="24"/>
                <w:sz w:val="24"/>
                <w:szCs w:val="24"/>
                <w:lang w:val="tr-TR" w:eastAsia="tr-TR"/>
              </w:rPr>
              <w:t xml:space="preserve"> in Turkey:</w:t>
            </w:r>
          </w:p>
          <w:p w:rsidR="00000000" w:rsidRPr="0081526C" w:rsidRDefault="000833A4" w:rsidP="0081526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andara" w:eastAsiaTheme="minorEastAsia" w:hAnsi="Candara" w:cs="Arial"/>
                <w:color w:val="000000" w:themeColor="text1"/>
                <w:kern w:val="24"/>
              </w:rPr>
            </w:pPr>
            <w:r w:rsidRPr="0081526C">
              <w:rPr>
                <w:rFonts w:eastAsiaTheme="minorHAnsi"/>
              </w:rPr>
              <w:t xml:space="preserve">Waste management </w:t>
            </w:r>
            <w:r w:rsidRPr="0081526C">
              <w:rPr>
                <w:rFonts w:eastAsiaTheme="minorHAnsi"/>
                <w:lang w:val="en-US"/>
              </w:rPr>
              <w:t xml:space="preserve">and decommissioning </w:t>
            </w:r>
            <w:r w:rsidRPr="0081526C">
              <w:rPr>
                <w:rFonts w:eastAsiaTheme="minorHAnsi"/>
              </w:rPr>
              <w:t xml:space="preserve">responsibility </w:t>
            </w:r>
            <w:r w:rsidRPr="0081526C">
              <w:rPr>
                <w:rFonts w:eastAsiaTheme="minorHAnsi"/>
                <w:lang w:val="en-US"/>
              </w:rPr>
              <w:t>rests</w:t>
            </w:r>
            <w:r w:rsidRPr="0081526C">
              <w:rPr>
                <w:rFonts w:eastAsiaTheme="minorHAnsi"/>
              </w:rPr>
              <w:t xml:space="preserve"> with the waste producer</w:t>
            </w:r>
            <w:r w:rsidRPr="0081526C">
              <w:rPr>
                <w:rFonts w:eastAsiaTheme="minorHAnsi"/>
                <w:lang w:val="en-US"/>
              </w:rPr>
              <w:t>/operator.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en-US"/>
              </w:rPr>
              <w:t>Cost of waste management and decommissioning shall be paid by operator.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tr-TR"/>
              </w:rPr>
              <w:t>Waste</w:t>
            </w:r>
            <w:r w:rsidRPr="0081526C">
              <w:rPr>
                <w:lang w:val="en-US"/>
              </w:rPr>
              <w:t>s should be</w:t>
            </w:r>
            <w:r w:rsidRPr="0081526C">
              <w:rPr>
                <w:lang w:val="tr-TR"/>
              </w:rPr>
              <w:t xml:space="preserve"> minimis</w:t>
            </w:r>
            <w:proofErr w:type="spellStart"/>
            <w:r w:rsidRPr="0081526C">
              <w:rPr>
                <w:lang w:val="en-US"/>
              </w:rPr>
              <w:t>ed</w:t>
            </w:r>
            <w:proofErr w:type="spellEnd"/>
            <w:r w:rsidRPr="0081526C">
              <w:rPr>
                <w:lang w:val="en-US"/>
              </w:rPr>
              <w:t xml:space="preserve"> (including decommissioning)</w:t>
            </w:r>
            <w:r w:rsidRPr="0081526C">
              <w:rPr>
                <w:lang w:val="tr-TR"/>
              </w:rPr>
              <w:t>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en-US"/>
              </w:rPr>
              <w:t>Radiation protection of the public and environment should be ensured (incl. decommissioning) and undue burden on future generations should be avoided.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tr-TR"/>
              </w:rPr>
              <w:t>Transboundary impacts</w:t>
            </w:r>
            <w:r w:rsidRPr="0081526C">
              <w:rPr>
                <w:lang w:val="en-US"/>
              </w:rPr>
              <w:t xml:space="preserve"> and </w:t>
            </w:r>
            <w:proofErr w:type="spellStart"/>
            <w:r w:rsidRPr="0081526C">
              <w:rPr>
                <w:lang w:val="en-US"/>
              </w:rPr>
              <w:t>i</w:t>
            </w:r>
            <w:proofErr w:type="spellEnd"/>
            <w:r w:rsidRPr="0081526C">
              <w:rPr>
                <w:lang w:val="tr-TR"/>
              </w:rPr>
              <w:t>nterdependencies among t</w:t>
            </w:r>
            <w:r w:rsidRPr="0081526C">
              <w:rPr>
                <w:lang w:val="tr-TR"/>
              </w:rPr>
              <w:t>he waste management steps</w:t>
            </w:r>
            <w:r w:rsidRPr="0081526C">
              <w:rPr>
                <w:lang w:val="en-US"/>
              </w:rPr>
              <w:t xml:space="preserve"> shall be considered.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tr-TR"/>
              </w:rPr>
              <w:t>Import</w:t>
            </w:r>
            <w:r w:rsidRPr="0081526C">
              <w:rPr>
                <w:lang w:val="en-US"/>
              </w:rPr>
              <w:t xml:space="preserve"> of</w:t>
            </w:r>
            <w:r w:rsidRPr="0081526C">
              <w:rPr>
                <w:lang w:val="en-US"/>
              </w:rPr>
              <w:t xml:space="preserve"> waste</w:t>
            </w:r>
            <w:r w:rsidRPr="0081526C">
              <w:rPr>
                <w:lang w:val="tr-TR"/>
              </w:rPr>
              <w:t xml:space="preserve"> is forbidden.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tr-TR"/>
              </w:rPr>
              <w:t>Transport</w:t>
            </w:r>
            <w:r w:rsidRPr="0081526C">
              <w:rPr>
                <w:lang w:val="en-US"/>
              </w:rPr>
              <w:t xml:space="preserve"> shall be carried out acc.</w:t>
            </w:r>
            <w:r w:rsidRPr="0081526C">
              <w:rPr>
                <w:lang w:val="en-US"/>
              </w:rPr>
              <w:t>to regulations</w:t>
            </w:r>
            <w:r w:rsidRPr="0081526C">
              <w:rPr>
                <w:lang w:val="tr-TR"/>
              </w:rPr>
              <w:t>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tr-TR"/>
              </w:rPr>
              <w:t xml:space="preserve">Safety of waste facilities shall be </w:t>
            </w:r>
            <w:proofErr w:type="spellStart"/>
            <w:r w:rsidRPr="0081526C">
              <w:rPr>
                <w:lang w:val="en-US"/>
              </w:rPr>
              <w:t>ensu</w:t>
            </w:r>
            <w:r w:rsidRPr="0081526C">
              <w:rPr>
                <w:lang w:val="en-US"/>
              </w:rPr>
              <w:t>r</w:t>
            </w:r>
            <w:proofErr w:type="spellEnd"/>
            <w:r w:rsidRPr="0081526C">
              <w:rPr>
                <w:lang w:val="tr-TR"/>
              </w:rPr>
              <w:t>ed by operator.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tr-TR"/>
              </w:rPr>
              <w:t xml:space="preserve">Disposal and storage are carried out in Turkey. </w:t>
            </w:r>
          </w:p>
          <w:p w:rsidR="00000000" w:rsidRPr="0081526C" w:rsidRDefault="000833A4" w:rsidP="0081526C">
            <w:pPr>
              <w:numPr>
                <w:ilvl w:val="0"/>
                <w:numId w:val="12"/>
              </w:numPr>
              <w:spacing w:after="120"/>
              <w:rPr>
                <w:lang w:val="tr-TR"/>
              </w:rPr>
            </w:pPr>
            <w:r w:rsidRPr="0081526C">
              <w:rPr>
                <w:lang w:val="en-US"/>
              </w:rPr>
              <w:t>Public should be informed.</w:t>
            </w:r>
          </w:p>
          <w:p w:rsidR="00E24C9C" w:rsidRDefault="00E24C9C" w:rsidP="0081526C">
            <w:pPr>
              <w:spacing w:after="120"/>
            </w:pPr>
          </w:p>
        </w:tc>
      </w:tr>
      <w:tr w:rsidR="000833A4" w:rsidTr="000833A4">
        <w:tc>
          <w:tcPr>
            <w:tcW w:w="3148" w:type="dxa"/>
          </w:tcPr>
          <w:p w:rsidR="000833A4" w:rsidRDefault="000833A4" w:rsidP="004E086F">
            <w:pPr>
              <w:spacing w:after="120"/>
            </w:pPr>
            <w:r>
              <w:t>Role of women in newcomer countries</w:t>
            </w:r>
          </w:p>
        </w:tc>
        <w:tc>
          <w:tcPr>
            <w:tcW w:w="5868" w:type="dxa"/>
          </w:tcPr>
          <w:p w:rsidR="000833A4" w:rsidRPr="000833A4" w:rsidRDefault="000833A4" w:rsidP="000833A4">
            <w:pPr>
              <w:pStyle w:val="NoSpacing"/>
              <w:ind w:left="360"/>
              <w:rPr>
                <w:lang w:val="tr-TR"/>
              </w:rPr>
            </w:pPr>
            <w:r w:rsidRPr="000833A4">
              <w:rPr>
                <w:bCs/>
                <w:lang w:val="en-US"/>
              </w:rPr>
              <w:t>Women nuclear scientists and engineers will have an important role for the development of nuclear power and public acceptance,  in particular;</w:t>
            </w:r>
          </w:p>
          <w:p w:rsidR="00000000" w:rsidRPr="000833A4" w:rsidRDefault="000833A4" w:rsidP="000833A4">
            <w:pPr>
              <w:pStyle w:val="NoSpacing"/>
              <w:numPr>
                <w:ilvl w:val="0"/>
                <w:numId w:val="18"/>
              </w:numPr>
              <w:rPr>
                <w:lang w:val="tr-TR"/>
              </w:rPr>
            </w:pPr>
            <w:r w:rsidRPr="000833A4">
              <w:rPr>
                <w:bCs/>
                <w:lang w:val="en-US"/>
              </w:rPr>
              <w:lastRenderedPageBreak/>
              <w:t>For developing transparency</w:t>
            </w:r>
            <w:r w:rsidRPr="000833A4">
              <w:rPr>
                <w:bCs/>
                <w:lang w:val="en-US"/>
              </w:rPr>
              <w:t xml:space="preserve"> in information sharing with stakeholders.</w:t>
            </w:r>
          </w:p>
          <w:p w:rsidR="00000000" w:rsidRPr="000833A4" w:rsidRDefault="000833A4" w:rsidP="000833A4">
            <w:pPr>
              <w:pStyle w:val="NoSpacing"/>
              <w:numPr>
                <w:ilvl w:val="0"/>
                <w:numId w:val="18"/>
              </w:numPr>
              <w:rPr>
                <w:lang w:val="tr-TR"/>
              </w:rPr>
            </w:pPr>
            <w:r w:rsidRPr="000833A4">
              <w:rPr>
                <w:bCs/>
                <w:lang w:val="en-US"/>
              </w:rPr>
              <w:t xml:space="preserve">For </w:t>
            </w:r>
            <w:r w:rsidRPr="000833A4">
              <w:rPr>
                <w:bCs/>
                <w:lang w:val="en-US"/>
              </w:rPr>
              <w:t>gai</w:t>
            </w:r>
            <w:r w:rsidRPr="000833A4">
              <w:rPr>
                <w:bCs/>
                <w:lang w:val="en-US"/>
              </w:rPr>
              <w:t>ning</w:t>
            </w:r>
            <w:r w:rsidRPr="000833A4">
              <w:rPr>
                <w:bCs/>
                <w:lang w:val="en-US"/>
              </w:rPr>
              <w:t xml:space="preserve"> public confidence and handling c</w:t>
            </w:r>
            <w:r w:rsidRPr="000833A4">
              <w:rPr>
                <w:bCs/>
                <w:lang w:val="en-US"/>
              </w:rPr>
              <w:t>ommunication problems effectively.</w:t>
            </w:r>
          </w:p>
          <w:p w:rsidR="00000000" w:rsidRPr="000833A4" w:rsidRDefault="000833A4" w:rsidP="000833A4">
            <w:pPr>
              <w:pStyle w:val="NoSpacing"/>
              <w:numPr>
                <w:ilvl w:val="0"/>
                <w:numId w:val="18"/>
              </w:numPr>
              <w:rPr>
                <w:lang w:val="tr-TR"/>
              </w:rPr>
            </w:pPr>
            <w:r w:rsidRPr="000833A4">
              <w:rPr>
                <w:bCs/>
                <w:lang w:val="en-US"/>
              </w:rPr>
              <w:t>For nuclear</w:t>
            </w:r>
            <w:r w:rsidRPr="000833A4">
              <w:rPr>
                <w:bCs/>
                <w:lang w:val="en-US"/>
              </w:rPr>
              <w:t xml:space="preserve"> education, </w:t>
            </w:r>
            <w:r w:rsidRPr="000833A4">
              <w:rPr>
                <w:bCs/>
                <w:lang w:val="en-US"/>
              </w:rPr>
              <w:t>public relations and communication with media.</w:t>
            </w:r>
          </w:p>
          <w:p w:rsidR="000833A4" w:rsidRPr="004E086F" w:rsidRDefault="000833A4" w:rsidP="000833A4">
            <w:pPr>
              <w:pStyle w:val="NoSpacing"/>
              <w:numPr>
                <w:ilvl w:val="0"/>
                <w:numId w:val="18"/>
              </w:numPr>
            </w:pPr>
            <w:r w:rsidRPr="000833A4">
              <w:rPr>
                <w:bCs/>
                <w:lang w:val="en-US"/>
              </w:rPr>
              <w:t>For the development of s</w:t>
            </w:r>
            <w:r w:rsidRPr="000833A4">
              <w:rPr>
                <w:bCs/>
                <w:lang w:val="en-US"/>
              </w:rPr>
              <w:t>afety culture.</w:t>
            </w:r>
          </w:p>
        </w:tc>
      </w:tr>
    </w:tbl>
    <w:p w:rsidR="00EE10E3" w:rsidRDefault="00EE10E3" w:rsidP="00087C19"/>
    <w:sectPr w:rsidR="00EE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238"/>
    <w:multiLevelType w:val="hybridMultilevel"/>
    <w:tmpl w:val="DA50D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25E"/>
    <w:multiLevelType w:val="hybridMultilevel"/>
    <w:tmpl w:val="0B96F4A6"/>
    <w:lvl w:ilvl="0" w:tplc="2C32E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45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83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4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EE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80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67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21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E6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5004"/>
    <w:multiLevelType w:val="hybridMultilevel"/>
    <w:tmpl w:val="C23E5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03E68"/>
    <w:multiLevelType w:val="hybridMultilevel"/>
    <w:tmpl w:val="CF129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3473"/>
    <w:multiLevelType w:val="hybridMultilevel"/>
    <w:tmpl w:val="D9B45494"/>
    <w:lvl w:ilvl="0" w:tplc="45180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1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2B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1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EC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65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21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AC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0F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22E7D"/>
    <w:multiLevelType w:val="hybridMultilevel"/>
    <w:tmpl w:val="5D4EE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3036D"/>
    <w:multiLevelType w:val="hybridMultilevel"/>
    <w:tmpl w:val="46F8FCAC"/>
    <w:lvl w:ilvl="0" w:tplc="F6D4E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CE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C1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4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0B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4A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6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8E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2C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00E9"/>
    <w:multiLevelType w:val="hybridMultilevel"/>
    <w:tmpl w:val="0E3A155E"/>
    <w:lvl w:ilvl="0" w:tplc="32D81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A67A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08C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C6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4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AF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61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6EA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A9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B74C37"/>
    <w:multiLevelType w:val="hybridMultilevel"/>
    <w:tmpl w:val="2F149C82"/>
    <w:lvl w:ilvl="0" w:tplc="BF523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6D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6B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0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26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63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A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25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0C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13686"/>
    <w:multiLevelType w:val="hybridMultilevel"/>
    <w:tmpl w:val="FF24CDF0"/>
    <w:lvl w:ilvl="0" w:tplc="F5462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67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9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CD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EE0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24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A5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AD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84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D0E3A"/>
    <w:multiLevelType w:val="hybridMultilevel"/>
    <w:tmpl w:val="EC480A6C"/>
    <w:lvl w:ilvl="0" w:tplc="2C32E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83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4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EE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80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67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21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E6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D0934"/>
    <w:multiLevelType w:val="hybridMultilevel"/>
    <w:tmpl w:val="62F00DB8"/>
    <w:lvl w:ilvl="0" w:tplc="BCA6D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22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2E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0F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8B7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A0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26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E0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A3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736C2"/>
    <w:multiLevelType w:val="hybridMultilevel"/>
    <w:tmpl w:val="CDCCB8E6"/>
    <w:lvl w:ilvl="0" w:tplc="DBAAA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61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0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E7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87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40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F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20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6321B"/>
    <w:multiLevelType w:val="hybridMultilevel"/>
    <w:tmpl w:val="F9A85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1426"/>
    <w:multiLevelType w:val="hybridMultilevel"/>
    <w:tmpl w:val="6728DCDE"/>
    <w:lvl w:ilvl="0" w:tplc="D17293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05F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224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FC0C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4CD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EA9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A00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8B0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081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E3A766A"/>
    <w:multiLevelType w:val="hybridMultilevel"/>
    <w:tmpl w:val="0F36C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E0B5C"/>
    <w:multiLevelType w:val="hybridMultilevel"/>
    <w:tmpl w:val="F2ECF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3"/>
    <w:rsid w:val="00012492"/>
    <w:rsid w:val="000533D4"/>
    <w:rsid w:val="000833A4"/>
    <w:rsid w:val="00087C19"/>
    <w:rsid w:val="00100EA2"/>
    <w:rsid w:val="0011010A"/>
    <w:rsid w:val="00123A0B"/>
    <w:rsid w:val="00155701"/>
    <w:rsid w:val="001665AE"/>
    <w:rsid w:val="00194610"/>
    <w:rsid w:val="001E0122"/>
    <w:rsid w:val="00230716"/>
    <w:rsid w:val="00250948"/>
    <w:rsid w:val="00316EA4"/>
    <w:rsid w:val="00354031"/>
    <w:rsid w:val="003A4D89"/>
    <w:rsid w:val="003F4AAC"/>
    <w:rsid w:val="004E086F"/>
    <w:rsid w:val="004F2800"/>
    <w:rsid w:val="00552F38"/>
    <w:rsid w:val="00585BB5"/>
    <w:rsid w:val="005A2EA1"/>
    <w:rsid w:val="005F77C3"/>
    <w:rsid w:val="0063330D"/>
    <w:rsid w:val="0066109C"/>
    <w:rsid w:val="00754ADE"/>
    <w:rsid w:val="0081526C"/>
    <w:rsid w:val="00820B8B"/>
    <w:rsid w:val="00856F18"/>
    <w:rsid w:val="009037C1"/>
    <w:rsid w:val="0092725F"/>
    <w:rsid w:val="0095435C"/>
    <w:rsid w:val="00A133DE"/>
    <w:rsid w:val="00AF10A9"/>
    <w:rsid w:val="00B72D08"/>
    <w:rsid w:val="00BD4F36"/>
    <w:rsid w:val="00C150F0"/>
    <w:rsid w:val="00CB5FA1"/>
    <w:rsid w:val="00CE3EBC"/>
    <w:rsid w:val="00CF58B3"/>
    <w:rsid w:val="00D33BC8"/>
    <w:rsid w:val="00E24C9C"/>
    <w:rsid w:val="00EE10E3"/>
    <w:rsid w:val="00F60A97"/>
    <w:rsid w:val="00F96E1D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3EF5-5245-4136-8DE1-F864720F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552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5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20B8B"/>
  </w:style>
  <w:style w:type="character" w:styleId="Hyperlink">
    <w:name w:val="Hyperlink"/>
    <w:basedOn w:val="DefaultParagraphFont"/>
    <w:uiPriority w:val="99"/>
    <w:semiHidden/>
    <w:unhideWhenUsed/>
    <w:rsid w:val="00820B8B"/>
    <w:rPr>
      <w:color w:val="0000FF"/>
      <w:u w:val="single"/>
    </w:rPr>
  </w:style>
  <w:style w:type="paragraph" w:styleId="NoSpacing">
    <w:name w:val="No Spacing"/>
    <w:uiPriority w:val="1"/>
    <w:qFormat/>
    <w:rsid w:val="004E0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32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11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7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9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3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3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9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0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8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6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3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0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stanbul_Technical_University" TargetMode="External"/><Relationship Id="rId5" Type="http://schemas.openxmlformats.org/officeDocument/2006/relationships/hyperlink" Target="http://www.taek.gov.tr/en/institutional/affiliates/saraykoy-nuclear-research-and-training-center/291-research-a-development-division/912-proton-accelerator-faci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IAEA-SG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Kerry</dc:creator>
  <cp:keywords/>
  <cp:lastModifiedBy>Bahire Gül Göktepe</cp:lastModifiedBy>
  <cp:revision>4</cp:revision>
  <dcterms:created xsi:type="dcterms:W3CDTF">2015-07-24T12:44:00Z</dcterms:created>
  <dcterms:modified xsi:type="dcterms:W3CDTF">2015-07-24T13:23:00Z</dcterms:modified>
</cp:coreProperties>
</file>