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27"/>
        <w:gridCol w:w="6015"/>
      </w:tblGrid>
      <w:tr w:rsidR="0010567E" w:rsidRPr="00482BAC" w:rsidTr="00A22EFB">
        <w:tc>
          <w:tcPr>
            <w:tcW w:w="3227" w:type="dxa"/>
            <w:tcBorders>
              <w:top w:val="single" w:sz="4" w:space="0" w:color="auto"/>
              <w:left w:val="single" w:sz="4" w:space="0" w:color="auto"/>
              <w:bottom w:val="single" w:sz="4" w:space="0" w:color="auto"/>
              <w:right w:val="nil"/>
            </w:tcBorders>
          </w:tcPr>
          <w:p w:rsidR="0010567E" w:rsidRPr="00482BAC" w:rsidRDefault="0010567E" w:rsidP="00A22EFB">
            <w:pPr>
              <w:jc w:val="center"/>
            </w:pPr>
          </w:p>
        </w:tc>
        <w:tc>
          <w:tcPr>
            <w:tcW w:w="6015" w:type="dxa"/>
            <w:tcBorders>
              <w:top w:val="single" w:sz="4" w:space="0" w:color="auto"/>
              <w:left w:val="nil"/>
              <w:bottom w:val="single" w:sz="4" w:space="0" w:color="auto"/>
              <w:right w:val="single" w:sz="4" w:space="0" w:color="auto"/>
            </w:tcBorders>
          </w:tcPr>
          <w:p w:rsidR="0010567E" w:rsidRPr="00482BAC" w:rsidRDefault="0010567E" w:rsidP="00A22EFB">
            <w:pPr>
              <w:wordWrap w:val="0"/>
              <w:jc w:val="right"/>
              <w:rPr>
                <w:lang w:eastAsia="zh-CN"/>
              </w:rPr>
            </w:pPr>
            <w:r w:rsidRPr="00B667E0">
              <w:rPr>
                <w:noProof/>
                <w:lang w:eastAsia="en-GB"/>
              </w:rPr>
              <w:drawing>
                <wp:inline distT="0" distB="0" distL="0" distR="0" wp14:anchorId="7A610C57" wp14:editId="78236834">
                  <wp:extent cx="1928826" cy="1174068"/>
                  <wp:effectExtent l="0" t="0" r="0" b="7620"/>
                  <wp:docPr id="16" name="图片 9" descr="确认标志-jp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确认标志-jpg-03.jpg"/>
                          <pic:cNvPicPr>
                            <a:picLocks noChangeAspect="1"/>
                          </pic:cNvPicPr>
                        </pic:nvPicPr>
                        <pic:blipFill>
                          <a:blip r:embed="rId6" cstate="print"/>
                          <a:srcRect l="17836" t="23813" r="13794" b="20624"/>
                          <a:stretch>
                            <a:fillRect/>
                          </a:stretch>
                        </pic:blipFill>
                        <pic:spPr>
                          <a:xfrm>
                            <a:off x="0" y="0"/>
                            <a:ext cx="1928826" cy="1174068"/>
                          </a:xfrm>
                          <a:prstGeom prst="rect">
                            <a:avLst/>
                          </a:prstGeom>
                        </pic:spPr>
                      </pic:pic>
                    </a:graphicData>
                  </a:graphic>
                </wp:inline>
              </w:drawing>
            </w:r>
          </w:p>
        </w:tc>
      </w:tr>
      <w:tr w:rsidR="0010567E" w:rsidRPr="00482BAC" w:rsidTr="00A22EFB">
        <w:tc>
          <w:tcPr>
            <w:tcW w:w="9242" w:type="dxa"/>
            <w:gridSpan w:val="2"/>
            <w:tcBorders>
              <w:top w:val="single" w:sz="4" w:space="0" w:color="auto"/>
            </w:tcBorders>
          </w:tcPr>
          <w:p w:rsidR="0010567E" w:rsidRPr="00482BAC" w:rsidRDefault="0010567E" w:rsidP="0010567E">
            <w:pPr>
              <w:pStyle w:val="Heading1"/>
              <w:jc w:val="center"/>
              <w:outlineLvl w:val="0"/>
            </w:pPr>
            <w:bookmarkStart w:id="0" w:name="_Toc426624250"/>
            <w:bookmarkStart w:id="1" w:name="_GoBack"/>
            <w:bookmarkEnd w:id="1"/>
            <w:r w:rsidRPr="00482BAC">
              <w:t>China</w:t>
            </w:r>
            <w:bookmarkEnd w:id="0"/>
          </w:p>
        </w:tc>
      </w:tr>
      <w:tr w:rsidR="0010567E" w:rsidRPr="00482BAC" w:rsidTr="00A22EFB">
        <w:trPr>
          <w:trHeight w:val="271"/>
        </w:trPr>
        <w:tc>
          <w:tcPr>
            <w:tcW w:w="3227" w:type="dxa"/>
          </w:tcPr>
          <w:p w:rsidR="0010567E" w:rsidRPr="00482BAC" w:rsidRDefault="0010567E" w:rsidP="00A22EFB">
            <w:pPr>
              <w:spacing w:after="120"/>
            </w:pPr>
            <w:r w:rsidRPr="00482BAC">
              <w:t>Chapter president</w:t>
            </w:r>
          </w:p>
        </w:tc>
        <w:tc>
          <w:tcPr>
            <w:tcW w:w="6015" w:type="dxa"/>
          </w:tcPr>
          <w:p w:rsidR="0010567E" w:rsidRPr="00482BAC" w:rsidRDefault="0010567E" w:rsidP="00A22EFB">
            <w:pPr>
              <w:spacing w:after="120"/>
              <w:rPr>
                <w:lang w:eastAsia="zh-CN"/>
              </w:rPr>
            </w:pPr>
            <w:r w:rsidRPr="00482BAC">
              <w:rPr>
                <w:lang w:eastAsia="zh-CN"/>
              </w:rPr>
              <w:t>Ma Lu</w:t>
            </w:r>
          </w:p>
        </w:tc>
      </w:tr>
      <w:tr w:rsidR="0010567E" w:rsidRPr="00482BAC" w:rsidTr="00A22EFB">
        <w:tc>
          <w:tcPr>
            <w:tcW w:w="3227" w:type="dxa"/>
          </w:tcPr>
          <w:p w:rsidR="0010567E" w:rsidRPr="00482BAC" w:rsidRDefault="0010567E" w:rsidP="00A22EFB">
            <w:pPr>
              <w:spacing w:after="120"/>
            </w:pPr>
            <w:r w:rsidRPr="00482BAC">
              <w:t>Chapter board members</w:t>
            </w:r>
          </w:p>
        </w:tc>
        <w:tc>
          <w:tcPr>
            <w:tcW w:w="6015" w:type="dxa"/>
          </w:tcPr>
          <w:p w:rsidR="0010567E" w:rsidRPr="00482BAC" w:rsidRDefault="0010567E" w:rsidP="00A22EFB">
            <w:pPr>
              <w:spacing w:after="120"/>
              <w:rPr>
                <w:lang w:eastAsia="zh-CN"/>
              </w:rPr>
            </w:pPr>
            <w:r w:rsidRPr="00482BAC">
              <w:rPr>
                <w:lang w:eastAsia="zh-CN"/>
              </w:rPr>
              <w:t>28 board members, from</w:t>
            </w:r>
            <w:r w:rsidRPr="00482BAC">
              <w:t xml:space="preserve"> NPP</w:t>
            </w:r>
            <w:r w:rsidRPr="00482BAC">
              <w:rPr>
                <w:lang w:eastAsia="zh-CN"/>
              </w:rPr>
              <w:t>s, university, research institutes, etc.</w:t>
            </w:r>
          </w:p>
        </w:tc>
      </w:tr>
      <w:tr w:rsidR="0010567E" w:rsidRPr="00482BAC" w:rsidTr="00A22EFB">
        <w:tc>
          <w:tcPr>
            <w:tcW w:w="3227" w:type="dxa"/>
          </w:tcPr>
          <w:p w:rsidR="0010567E" w:rsidRPr="00482BAC" w:rsidRDefault="0010567E" w:rsidP="00A22EFB">
            <w:pPr>
              <w:spacing w:after="120"/>
            </w:pPr>
            <w:r w:rsidRPr="00482BAC">
              <w:t>Number of members</w:t>
            </w:r>
          </w:p>
        </w:tc>
        <w:tc>
          <w:tcPr>
            <w:tcW w:w="6015" w:type="dxa"/>
          </w:tcPr>
          <w:p w:rsidR="0010567E" w:rsidRPr="00482BAC" w:rsidRDefault="0010567E" w:rsidP="00A22EFB">
            <w:pPr>
              <w:spacing w:after="120"/>
              <w:rPr>
                <w:lang w:eastAsia="zh-CN"/>
              </w:rPr>
            </w:pPr>
            <w:r w:rsidRPr="00482BAC">
              <w:rPr>
                <w:lang w:eastAsia="zh-CN"/>
              </w:rPr>
              <w:t>About 10,000</w:t>
            </w:r>
          </w:p>
        </w:tc>
      </w:tr>
      <w:tr w:rsidR="0010567E" w:rsidRPr="00482BAC" w:rsidTr="00A22EFB">
        <w:tc>
          <w:tcPr>
            <w:tcW w:w="3227" w:type="dxa"/>
          </w:tcPr>
          <w:p w:rsidR="0010567E" w:rsidRPr="00482BAC" w:rsidRDefault="0010567E" w:rsidP="00A22EFB">
            <w:pPr>
              <w:spacing w:after="120"/>
            </w:pPr>
            <w:r w:rsidRPr="00482BAC">
              <w:t>Chapter accepted by WiN Global</w:t>
            </w:r>
          </w:p>
        </w:tc>
        <w:tc>
          <w:tcPr>
            <w:tcW w:w="6015" w:type="dxa"/>
          </w:tcPr>
          <w:p w:rsidR="0010567E" w:rsidRPr="00482BAC" w:rsidRDefault="0010567E" w:rsidP="00A22EFB">
            <w:pPr>
              <w:spacing w:after="120"/>
              <w:rPr>
                <w:lang w:eastAsia="zh-CN"/>
              </w:rPr>
            </w:pPr>
            <w:r w:rsidRPr="00482BAC">
              <w:rPr>
                <w:lang w:eastAsia="zh-CN"/>
              </w:rPr>
              <w:t>2006</w:t>
            </w:r>
          </w:p>
        </w:tc>
      </w:tr>
      <w:tr w:rsidR="0010567E" w:rsidRPr="00482BAC" w:rsidTr="00A22EFB">
        <w:tc>
          <w:tcPr>
            <w:tcW w:w="3227" w:type="dxa"/>
          </w:tcPr>
          <w:p w:rsidR="0010567E" w:rsidRPr="00482BAC" w:rsidRDefault="0010567E" w:rsidP="00A22EFB">
            <w:pPr>
              <w:spacing w:after="120"/>
            </w:pPr>
            <w:r w:rsidRPr="00482BAC">
              <w:t>Nuclear power infrastructure</w:t>
            </w:r>
          </w:p>
        </w:tc>
        <w:tc>
          <w:tcPr>
            <w:tcW w:w="6015" w:type="dxa"/>
          </w:tcPr>
          <w:p w:rsidR="0010567E" w:rsidRPr="00482BAC" w:rsidRDefault="0010567E" w:rsidP="00A22EFB">
            <w:pPr>
              <w:spacing w:after="120"/>
              <w:jc w:val="both"/>
            </w:pPr>
            <w:r w:rsidRPr="00482BAC">
              <w:rPr>
                <w:lang w:eastAsia="zh-CN"/>
              </w:rPr>
              <w:t xml:space="preserve">At present, there are 26 nuclear power units in operation and 24 units under construction in China’s mainland. Having the largest number of units under construction, China has the most robust nuclear power market </w:t>
            </w:r>
            <w:r w:rsidRPr="00482BAC">
              <w:t xml:space="preserve">in the world. In addition, According to the Medium and Long Term Nuclear Power Development Plan, China’s total installed capacity of nuclear power in operation will reach 58GWe by 2020, and with 30GWe under construction. </w:t>
            </w:r>
          </w:p>
          <w:p w:rsidR="0010567E" w:rsidRPr="00482BAC" w:rsidRDefault="0010567E" w:rsidP="00A22EFB">
            <w:pPr>
              <w:spacing w:after="120"/>
              <w:jc w:val="both"/>
            </w:pPr>
            <w:r w:rsidRPr="00482BAC">
              <w:t>While developing the mainstream PWR, China is also looking into the future and conducting a lot of scientific studies and project practices, including fast reactor, high temperature gas-cooled experimental reactor and nuclear fusion, etc.</w:t>
            </w:r>
          </w:p>
          <w:p w:rsidR="0010567E" w:rsidRPr="00482BAC" w:rsidRDefault="0010567E" w:rsidP="00A22EFB">
            <w:pPr>
              <w:spacing w:after="120"/>
              <w:jc w:val="both"/>
              <w:rPr>
                <w:lang w:eastAsia="zh-CN"/>
              </w:rPr>
            </w:pPr>
            <w:r w:rsidRPr="00482BAC">
              <w:t>China adopts a closed</w:t>
            </w:r>
            <w:r w:rsidRPr="00482BAC">
              <w:rPr>
                <w:lang w:eastAsia="zh-CN"/>
              </w:rPr>
              <w:t xml:space="preserve"> fuel cycle strategy and has built a complete nuclear fuel cycle industry, including uranium mining, conversion, fuel fabrication and reprocessing.</w:t>
            </w:r>
          </w:p>
        </w:tc>
      </w:tr>
      <w:tr w:rsidR="0010567E" w:rsidRPr="00482BAC" w:rsidTr="00A22EFB">
        <w:tc>
          <w:tcPr>
            <w:tcW w:w="3227" w:type="dxa"/>
          </w:tcPr>
          <w:p w:rsidR="0010567E" w:rsidRPr="00482BAC" w:rsidRDefault="0010567E" w:rsidP="00A22EFB">
            <w:pPr>
              <w:spacing w:after="120"/>
            </w:pPr>
            <w:r w:rsidRPr="00482BAC">
              <w:t>Nuclear medical applications</w:t>
            </w:r>
          </w:p>
        </w:tc>
        <w:tc>
          <w:tcPr>
            <w:tcW w:w="6015" w:type="dxa"/>
          </w:tcPr>
          <w:p w:rsidR="0010567E" w:rsidRPr="00482BAC" w:rsidRDefault="0010567E" w:rsidP="00A22EFB">
            <w:pPr>
              <w:spacing w:after="120"/>
              <w:jc w:val="both"/>
              <w:rPr>
                <w:lang w:eastAsia="zh-CN"/>
              </w:rPr>
            </w:pPr>
            <w:r w:rsidRPr="00482BAC">
              <w:rPr>
                <w:lang w:eastAsia="zh-CN"/>
              </w:rPr>
              <w:t>China has around 30 nuclear medical labs, focusing on molecular nuclear medicine, molecular imaging probes, molecular probes etc.</w:t>
            </w:r>
          </w:p>
        </w:tc>
      </w:tr>
      <w:tr w:rsidR="0010567E" w:rsidRPr="00482BAC" w:rsidTr="00A22EFB">
        <w:tc>
          <w:tcPr>
            <w:tcW w:w="3227" w:type="dxa"/>
          </w:tcPr>
          <w:p w:rsidR="0010567E" w:rsidRPr="00482BAC" w:rsidRDefault="0010567E" w:rsidP="00A22EFB">
            <w:pPr>
              <w:spacing w:after="120"/>
            </w:pPr>
            <w:r w:rsidRPr="00482BAC">
              <w:t>Waste management philosophy</w:t>
            </w:r>
          </w:p>
        </w:tc>
        <w:tc>
          <w:tcPr>
            <w:tcW w:w="6015" w:type="dxa"/>
          </w:tcPr>
          <w:p w:rsidR="0010567E" w:rsidRPr="00482BAC" w:rsidRDefault="0010567E" w:rsidP="00A22EFB">
            <w:pPr>
              <w:spacing w:after="120"/>
              <w:jc w:val="both"/>
            </w:pPr>
            <w:r w:rsidRPr="00482BAC">
              <w:t xml:space="preserve">It should be stated in the first place that China doesn’t regard spent fuel as radioactive waste. China deals with and disposes of radioactive waste in a strict manner in compliance with the principle of “radioactive waste minimization” and according to the requirements of nuclear safety laws and regulations. Low </w:t>
            </w:r>
            <w:bookmarkStart w:id="2" w:name="OLE_LINK12"/>
            <w:bookmarkStart w:id="3" w:name="OLE_LINK13"/>
            <w:r w:rsidRPr="00482BAC">
              <w:t>and medium level liquid waste</w:t>
            </w:r>
            <w:bookmarkEnd w:id="2"/>
            <w:bookmarkEnd w:id="3"/>
            <w:r w:rsidRPr="00482BAC">
              <w:t xml:space="preserve"> is treated with cement solidification and bitumen solidification while high level liquid waste is treated with glass solidification. Low and medium level waste is disposed of in near-surface area while the high level waste is disposed of in centralized deep geological facility.</w:t>
            </w:r>
          </w:p>
        </w:tc>
      </w:tr>
      <w:tr w:rsidR="0010567E" w:rsidRPr="00482BAC" w:rsidTr="00A22EFB">
        <w:tc>
          <w:tcPr>
            <w:tcW w:w="3227" w:type="dxa"/>
          </w:tcPr>
          <w:p w:rsidR="0010567E" w:rsidRPr="00482BAC" w:rsidRDefault="0010567E" w:rsidP="00A22EFB">
            <w:pPr>
              <w:spacing w:after="120"/>
            </w:pPr>
            <w:r w:rsidRPr="00482BAC">
              <w:t>Research</w:t>
            </w:r>
          </w:p>
        </w:tc>
        <w:tc>
          <w:tcPr>
            <w:tcW w:w="6015" w:type="dxa"/>
          </w:tcPr>
          <w:p w:rsidR="0010567E" w:rsidRPr="00482BAC" w:rsidRDefault="0010567E" w:rsidP="00A22EFB">
            <w:pPr>
              <w:spacing w:after="120"/>
              <w:jc w:val="both"/>
            </w:pPr>
            <w:r w:rsidRPr="00482BAC">
              <w:t xml:space="preserve">China’s nuclear research covers various aspects, including reactor, nuclear fuel cycle, nuclear technology application etc. China has a series of nuclear R&amp;D facilities, including advanced research reactor, experiment fast reactor, HL-2A TOKAMAK etc. China’s nuclear research activities include basic nuclear </w:t>
            </w:r>
            <w:r w:rsidRPr="00482BAC">
              <w:lastRenderedPageBreak/>
              <w:t xml:space="preserve">research, large advanced PWR, HTGR, super-critical water cooled reactor, fast reactor, molten salt and fusion devices. In addition, research activities such as uranium exploration and mining, uranium enrichment, high performance fuel assemblies, spent fuel processing and radioactive waste treatment and disposal etc., are also being carried out. </w:t>
            </w:r>
          </w:p>
        </w:tc>
      </w:tr>
      <w:tr w:rsidR="0010567E" w:rsidRPr="00482BAC" w:rsidTr="00A22EFB">
        <w:tc>
          <w:tcPr>
            <w:tcW w:w="3227" w:type="dxa"/>
          </w:tcPr>
          <w:p w:rsidR="0010567E" w:rsidRPr="00482BAC" w:rsidRDefault="0010567E" w:rsidP="00A22EFB">
            <w:pPr>
              <w:spacing w:after="120"/>
            </w:pPr>
            <w:r w:rsidRPr="00482BAC">
              <w:lastRenderedPageBreak/>
              <w:t>Post-Fukushima</w:t>
            </w:r>
          </w:p>
        </w:tc>
        <w:tc>
          <w:tcPr>
            <w:tcW w:w="6015" w:type="dxa"/>
          </w:tcPr>
          <w:p w:rsidR="0010567E" w:rsidRPr="00482BAC" w:rsidRDefault="0010567E" w:rsidP="00A22EFB">
            <w:pPr>
              <w:jc w:val="both"/>
              <w:rPr>
                <w:lang w:eastAsia="zh-CN"/>
              </w:rPr>
            </w:pPr>
            <w:r w:rsidRPr="00482BAC">
              <w:t>Since Fukushima accident, China has adopted the world’s highest safety standards for the construction of new nuclear power projects. The new units must meet GEN III safety standards. Chinese Regulator has issued a lot of new or revised regulations to enhance the safety standard.</w:t>
            </w:r>
          </w:p>
        </w:tc>
      </w:tr>
    </w:tbl>
    <w:p w:rsidR="00EE10E3" w:rsidRDefault="00EE10E3" w:rsidP="00087C19"/>
    <w:sectPr w:rsidR="00EE1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19B"/>
    <w:multiLevelType w:val="hybridMultilevel"/>
    <w:tmpl w:val="10FC0254"/>
    <w:lvl w:ilvl="0" w:tplc="AAECC514">
      <w:start w:val="1"/>
      <w:numFmt w:val="bullet"/>
      <w:lvlText w:val="•"/>
      <w:lvlJc w:val="left"/>
      <w:pPr>
        <w:tabs>
          <w:tab w:val="num" w:pos="720"/>
        </w:tabs>
        <w:ind w:left="720" w:hanging="360"/>
      </w:pPr>
      <w:rPr>
        <w:rFonts w:ascii="Arial" w:hAnsi="Arial" w:hint="default"/>
      </w:rPr>
    </w:lvl>
    <w:lvl w:ilvl="1" w:tplc="029A1F4E">
      <w:start w:val="604"/>
      <w:numFmt w:val="bullet"/>
      <w:lvlText w:val="–"/>
      <w:lvlJc w:val="left"/>
      <w:pPr>
        <w:tabs>
          <w:tab w:val="num" w:pos="1440"/>
        </w:tabs>
        <w:ind w:left="1440" w:hanging="360"/>
      </w:pPr>
      <w:rPr>
        <w:rFonts w:ascii="Arial" w:hAnsi="Arial" w:hint="default"/>
      </w:rPr>
    </w:lvl>
    <w:lvl w:ilvl="2" w:tplc="559A8AAE" w:tentative="1">
      <w:start w:val="1"/>
      <w:numFmt w:val="bullet"/>
      <w:lvlText w:val="•"/>
      <w:lvlJc w:val="left"/>
      <w:pPr>
        <w:tabs>
          <w:tab w:val="num" w:pos="2160"/>
        </w:tabs>
        <w:ind w:left="2160" w:hanging="360"/>
      </w:pPr>
      <w:rPr>
        <w:rFonts w:ascii="Arial" w:hAnsi="Arial" w:hint="default"/>
      </w:rPr>
    </w:lvl>
    <w:lvl w:ilvl="3" w:tplc="C7BE5ECE" w:tentative="1">
      <w:start w:val="1"/>
      <w:numFmt w:val="bullet"/>
      <w:lvlText w:val="•"/>
      <w:lvlJc w:val="left"/>
      <w:pPr>
        <w:tabs>
          <w:tab w:val="num" w:pos="2880"/>
        </w:tabs>
        <w:ind w:left="2880" w:hanging="360"/>
      </w:pPr>
      <w:rPr>
        <w:rFonts w:ascii="Arial" w:hAnsi="Arial" w:hint="default"/>
      </w:rPr>
    </w:lvl>
    <w:lvl w:ilvl="4" w:tplc="6D92F8CC" w:tentative="1">
      <w:start w:val="1"/>
      <w:numFmt w:val="bullet"/>
      <w:lvlText w:val="•"/>
      <w:lvlJc w:val="left"/>
      <w:pPr>
        <w:tabs>
          <w:tab w:val="num" w:pos="3600"/>
        </w:tabs>
        <w:ind w:left="3600" w:hanging="360"/>
      </w:pPr>
      <w:rPr>
        <w:rFonts w:ascii="Arial" w:hAnsi="Arial" w:hint="default"/>
      </w:rPr>
    </w:lvl>
    <w:lvl w:ilvl="5" w:tplc="4426D426" w:tentative="1">
      <w:start w:val="1"/>
      <w:numFmt w:val="bullet"/>
      <w:lvlText w:val="•"/>
      <w:lvlJc w:val="left"/>
      <w:pPr>
        <w:tabs>
          <w:tab w:val="num" w:pos="4320"/>
        </w:tabs>
        <w:ind w:left="4320" w:hanging="360"/>
      </w:pPr>
      <w:rPr>
        <w:rFonts w:ascii="Arial" w:hAnsi="Arial" w:hint="default"/>
      </w:rPr>
    </w:lvl>
    <w:lvl w:ilvl="6" w:tplc="6BB21228" w:tentative="1">
      <w:start w:val="1"/>
      <w:numFmt w:val="bullet"/>
      <w:lvlText w:val="•"/>
      <w:lvlJc w:val="left"/>
      <w:pPr>
        <w:tabs>
          <w:tab w:val="num" w:pos="5040"/>
        </w:tabs>
        <w:ind w:left="5040" w:hanging="360"/>
      </w:pPr>
      <w:rPr>
        <w:rFonts w:ascii="Arial" w:hAnsi="Arial" w:hint="default"/>
      </w:rPr>
    </w:lvl>
    <w:lvl w:ilvl="7" w:tplc="C44E8D00" w:tentative="1">
      <w:start w:val="1"/>
      <w:numFmt w:val="bullet"/>
      <w:lvlText w:val="•"/>
      <w:lvlJc w:val="left"/>
      <w:pPr>
        <w:tabs>
          <w:tab w:val="num" w:pos="5760"/>
        </w:tabs>
        <w:ind w:left="5760" w:hanging="360"/>
      </w:pPr>
      <w:rPr>
        <w:rFonts w:ascii="Arial" w:hAnsi="Arial" w:hint="default"/>
      </w:rPr>
    </w:lvl>
    <w:lvl w:ilvl="8" w:tplc="C292DD1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E3"/>
    <w:rsid w:val="00012492"/>
    <w:rsid w:val="00087C19"/>
    <w:rsid w:val="0010567E"/>
    <w:rsid w:val="0011010A"/>
    <w:rsid w:val="00155701"/>
    <w:rsid w:val="00194610"/>
    <w:rsid w:val="003A4D89"/>
    <w:rsid w:val="003F4AAC"/>
    <w:rsid w:val="009037C1"/>
    <w:rsid w:val="00AF10A9"/>
    <w:rsid w:val="00C150F0"/>
    <w:rsid w:val="00CB5FA1"/>
    <w:rsid w:val="00EE10E3"/>
    <w:rsid w:val="00F60A97"/>
    <w:rsid w:val="00FF0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46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05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46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05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72601">
      <w:bodyDiv w:val="1"/>
      <w:marLeft w:val="0"/>
      <w:marRight w:val="0"/>
      <w:marTop w:val="0"/>
      <w:marBottom w:val="0"/>
      <w:divBdr>
        <w:top w:val="none" w:sz="0" w:space="0" w:color="auto"/>
        <w:left w:val="none" w:sz="0" w:space="0" w:color="auto"/>
        <w:bottom w:val="none" w:sz="0" w:space="0" w:color="auto"/>
        <w:right w:val="none" w:sz="0" w:space="0" w:color="auto"/>
      </w:divBdr>
      <w:divsChild>
        <w:div w:id="2017415550">
          <w:marLeft w:val="547"/>
          <w:marRight w:val="0"/>
          <w:marTop w:val="96"/>
          <w:marBottom w:val="0"/>
          <w:divBdr>
            <w:top w:val="none" w:sz="0" w:space="0" w:color="auto"/>
            <w:left w:val="none" w:sz="0" w:space="0" w:color="auto"/>
            <w:bottom w:val="none" w:sz="0" w:space="0" w:color="auto"/>
            <w:right w:val="none" w:sz="0" w:space="0" w:color="auto"/>
          </w:divBdr>
        </w:div>
        <w:div w:id="1368138936">
          <w:marLeft w:val="547"/>
          <w:marRight w:val="0"/>
          <w:marTop w:val="96"/>
          <w:marBottom w:val="0"/>
          <w:divBdr>
            <w:top w:val="none" w:sz="0" w:space="0" w:color="auto"/>
            <w:left w:val="none" w:sz="0" w:space="0" w:color="auto"/>
            <w:bottom w:val="none" w:sz="0" w:space="0" w:color="auto"/>
            <w:right w:val="none" w:sz="0" w:space="0" w:color="auto"/>
          </w:divBdr>
        </w:div>
        <w:div w:id="1123232184">
          <w:marLeft w:val="1166"/>
          <w:marRight w:val="0"/>
          <w:marTop w:val="86"/>
          <w:marBottom w:val="0"/>
          <w:divBdr>
            <w:top w:val="none" w:sz="0" w:space="0" w:color="auto"/>
            <w:left w:val="none" w:sz="0" w:space="0" w:color="auto"/>
            <w:bottom w:val="none" w:sz="0" w:space="0" w:color="auto"/>
            <w:right w:val="none" w:sz="0" w:space="0" w:color="auto"/>
          </w:divBdr>
        </w:div>
        <w:div w:id="1022130736">
          <w:marLeft w:val="1166"/>
          <w:marRight w:val="0"/>
          <w:marTop w:val="86"/>
          <w:marBottom w:val="0"/>
          <w:divBdr>
            <w:top w:val="none" w:sz="0" w:space="0" w:color="auto"/>
            <w:left w:val="none" w:sz="0" w:space="0" w:color="auto"/>
            <w:bottom w:val="none" w:sz="0" w:space="0" w:color="auto"/>
            <w:right w:val="none" w:sz="0" w:space="0" w:color="auto"/>
          </w:divBdr>
        </w:div>
      </w:divsChild>
    </w:div>
    <w:div w:id="1080757990">
      <w:bodyDiv w:val="1"/>
      <w:marLeft w:val="0"/>
      <w:marRight w:val="0"/>
      <w:marTop w:val="0"/>
      <w:marBottom w:val="0"/>
      <w:divBdr>
        <w:top w:val="none" w:sz="0" w:space="0" w:color="auto"/>
        <w:left w:val="none" w:sz="0" w:space="0" w:color="auto"/>
        <w:bottom w:val="none" w:sz="0" w:space="0" w:color="auto"/>
        <w:right w:val="none" w:sz="0" w:space="0" w:color="auto"/>
      </w:divBdr>
      <w:divsChild>
        <w:div w:id="1640187533">
          <w:marLeft w:val="547"/>
          <w:marRight w:val="0"/>
          <w:marTop w:val="96"/>
          <w:marBottom w:val="0"/>
          <w:divBdr>
            <w:top w:val="none" w:sz="0" w:space="0" w:color="auto"/>
            <w:left w:val="none" w:sz="0" w:space="0" w:color="auto"/>
            <w:bottom w:val="none" w:sz="0" w:space="0" w:color="auto"/>
            <w:right w:val="none" w:sz="0" w:space="0" w:color="auto"/>
          </w:divBdr>
        </w:div>
        <w:div w:id="1703902758">
          <w:marLeft w:val="547"/>
          <w:marRight w:val="0"/>
          <w:marTop w:val="96"/>
          <w:marBottom w:val="0"/>
          <w:divBdr>
            <w:top w:val="none" w:sz="0" w:space="0" w:color="auto"/>
            <w:left w:val="none" w:sz="0" w:space="0" w:color="auto"/>
            <w:bottom w:val="none" w:sz="0" w:space="0" w:color="auto"/>
            <w:right w:val="none" w:sz="0" w:space="0" w:color="auto"/>
          </w:divBdr>
        </w:div>
        <w:div w:id="1993755130">
          <w:marLeft w:val="1166"/>
          <w:marRight w:val="0"/>
          <w:marTop w:val="86"/>
          <w:marBottom w:val="0"/>
          <w:divBdr>
            <w:top w:val="none" w:sz="0" w:space="0" w:color="auto"/>
            <w:left w:val="none" w:sz="0" w:space="0" w:color="auto"/>
            <w:bottom w:val="none" w:sz="0" w:space="0" w:color="auto"/>
            <w:right w:val="none" w:sz="0" w:space="0" w:color="auto"/>
          </w:divBdr>
        </w:div>
        <w:div w:id="482359385">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IAEA-SG</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MCCORMACK, Kerry</dc:creator>
  <cp:lastModifiedBy>Muelhauser, Francoise</cp:lastModifiedBy>
  <cp:revision>2</cp:revision>
  <dcterms:created xsi:type="dcterms:W3CDTF">2015-08-20T06:15:00Z</dcterms:created>
  <dcterms:modified xsi:type="dcterms:W3CDTF">2015-08-20T06:15:00Z</dcterms:modified>
</cp:coreProperties>
</file>