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015"/>
      </w:tblGrid>
      <w:tr w:rsidR="00194610" w:rsidTr="00155701">
        <w:tc>
          <w:tcPr>
            <w:tcW w:w="3227" w:type="dxa"/>
            <w:tcBorders>
              <w:top w:val="single" w:sz="4" w:space="0" w:color="auto"/>
              <w:left w:val="single" w:sz="4" w:space="0" w:color="auto"/>
              <w:bottom w:val="single" w:sz="4" w:space="0" w:color="auto"/>
              <w:right w:val="nil"/>
            </w:tcBorders>
          </w:tcPr>
          <w:p w:rsidR="00194610" w:rsidRDefault="00194610" w:rsidP="00155701"/>
        </w:tc>
        <w:tc>
          <w:tcPr>
            <w:tcW w:w="6015" w:type="dxa"/>
            <w:tcBorders>
              <w:top w:val="single" w:sz="4" w:space="0" w:color="auto"/>
              <w:left w:val="nil"/>
              <w:bottom w:val="single" w:sz="4" w:space="0" w:color="auto"/>
              <w:right w:val="single" w:sz="4" w:space="0" w:color="auto"/>
            </w:tcBorders>
          </w:tcPr>
          <w:p w:rsidR="00194610" w:rsidRDefault="00CB6E40" w:rsidP="00CB6E40">
            <w:pPr>
              <w:jc w:val="right"/>
            </w:pPr>
            <w:r>
              <w:rPr>
                <w:noProof/>
                <w:lang w:eastAsia="en-GB"/>
              </w:rPr>
              <w:drawing>
                <wp:inline distT="0" distB="0" distL="0" distR="0" wp14:anchorId="3A37EAB9" wp14:editId="0E349E7E">
                  <wp:extent cx="1527449" cy="715992"/>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 Taiwan  logo_Global版中文簡銜.jpg"/>
                          <pic:cNvPicPr/>
                        </pic:nvPicPr>
                        <pic:blipFill>
                          <a:blip r:embed="rId8">
                            <a:extLst>
                              <a:ext uri="{28A0092B-C50C-407E-A947-70E740481C1C}">
                                <a14:useLocalDpi xmlns:a14="http://schemas.microsoft.com/office/drawing/2010/main" val="0"/>
                              </a:ext>
                            </a:extLst>
                          </a:blip>
                          <a:stretch>
                            <a:fillRect/>
                          </a:stretch>
                        </pic:blipFill>
                        <pic:spPr>
                          <a:xfrm>
                            <a:off x="0" y="0"/>
                            <a:ext cx="1527810" cy="716161"/>
                          </a:xfrm>
                          <a:prstGeom prst="rect">
                            <a:avLst/>
                          </a:prstGeom>
                        </pic:spPr>
                      </pic:pic>
                    </a:graphicData>
                  </a:graphic>
                </wp:inline>
              </w:drawing>
            </w:r>
          </w:p>
        </w:tc>
      </w:tr>
      <w:tr w:rsidR="00155701" w:rsidTr="00155701">
        <w:tc>
          <w:tcPr>
            <w:tcW w:w="9242" w:type="dxa"/>
            <w:gridSpan w:val="2"/>
            <w:tcBorders>
              <w:top w:val="single" w:sz="4" w:space="0" w:color="auto"/>
            </w:tcBorders>
          </w:tcPr>
          <w:p w:rsidR="00155701" w:rsidRDefault="00155701" w:rsidP="00F649E7">
            <w:pPr>
              <w:pStyle w:val="Heading1"/>
              <w:spacing w:before="120" w:after="120"/>
              <w:jc w:val="center"/>
              <w:outlineLvl w:val="0"/>
              <w:rPr>
                <w:lang w:eastAsia="zh-TW"/>
              </w:rPr>
            </w:pPr>
          </w:p>
        </w:tc>
      </w:tr>
      <w:tr w:rsidR="00155701" w:rsidTr="00155701">
        <w:trPr>
          <w:trHeight w:val="271"/>
        </w:trPr>
        <w:tc>
          <w:tcPr>
            <w:tcW w:w="3227" w:type="dxa"/>
          </w:tcPr>
          <w:p w:rsidR="00155701" w:rsidRDefault="00155701" w:rsidP="00155701">
            <w:pPr>
              <w:spacing w:after="120"/>
            </w:pPr>
            <w:r>
              <w:t>Chapter president</w:t>
            </w:r>
            <w:bookmarkStart w:id="0" w:name="_GoBack"/>
            <w:bookmarkEnd w:id="0"/>
          </w:p>
        </w:tc>
        <w:tc>
          <w:tcPr>
            <w:tcW w:w="6015" w:type="dxa"/>
          </w:tcPr>
          <w:p w:rsidR="00155701" w:rsidRDefault="00A67DD3" w:rsidP="00155701">
            <w:pPr>
              <w:spacing w:after="120"/>
              <w:rPr>
                <w:lang w:eastAsia="zh-TW"/>
              </w:rPr>
            </w:pPr>
            <w:proofErr w:type="spellStart"/>
            <w:r>
              <w:rPr>
                <w:rFonts w:hint="eastAsia"/>
                <w:lang w:eastAsia="zh-TW"/>
              </w:rPr>
              <w:t>Shung-Hwei</w:t>
            </w:r>
            <w:proofErr w:type="spellEnd"/>
            <w:r>
              <w:rPr>
                <w:rFonts w:hint="eastAsia"/>
                <w:lang w:eastAsia="zh-TW"/>
              </w:rPr>
              <w:t xml:space="preserve"> FAN</w:t>
            </w:r>
            <w:r w:rsidR="00363ABB">
              <w:rPr>
                <w:rFonts w:hint="eastAsia"/>
                <w:lang w:eastAsia="zh-TW"/>
              </w:rPr>
              <w:t xml:space="preserve"> (2014-16)</w:t>
            </w:r>
          </w:p>
        </w:tc>
      </w:tr>
      <w:tr w:rsidR="00155701" w:rsidTr="00194610">
        <w:tc>
          <w:tcPr>
            <w:tcW w:w="3227" w:type="dxa"/>
          </w:tcPr>
          <w:p w:rsidR="00155701" w:rsidRDefault="00155701" w:rsidP="00155701">
            <w:pPr>
              <w:spacing w:after="120"/>
            </w:pPr>
            <w:r>
              <w:t>Chapter board members</w:t>
            </w:r>
          </w:p>
        </w:tc>
        <w:tc>
          <w:tcPr>
            <w:tcW w:w="6015" w:type="dxa"/>
          </w:tcPr>
          <w:p w:rsidR="00155701" w:rsidRDefault="00D74A1E" w:rsidP="00D74A1E">
            <w:pPr>
              <w:spacing w:after="120"/>
              <w:jc w:val="both"/>
              <w:rPr>
                <w:lang w:eastAsia="zh-TW"/>
              </w:rPr>
            </w:pPr>
            <w:r>
              <w:rPr>
                <w:rFonts w:cs="Arial"/>
                <w:lang w:val="en-CA"/>
              </w:rPr>
              <w:t>Our chapter</w:t>
            </w:r>
            <w:r w:rsidR="00140CCB" w:rsidRPr="009C352E">
              <w:rPr>
                <w:rFonts w:cs="Arial"/>
                <w:lang w:val="en-CA"/>
              </w:rPr>
              <w:t xml:space="preserve"> operates as a special division under the Chung</w:t>
            </w:r>
            <w:r w:rsidR="00140CCB">
              <w:rPr>
                <w:rFonts w:eastAsia="PMingLiU" w:cs="Arial"/>
                <w:lang w:val="en-CA" w:eastAsia="zh-TW"/>
              </w:rPr>
              <w:t>-</w:t>
            </w:r>
            <w:proofErr w:type="spellStart"/>
            <w:r w:rsidR="00140CCB" w:rsidRPr="00484257">
              <w:rPr>
                <w:rFonts w:cs="Arial"/>
                <w:lang w:val="en-CA"/>
              </w:rPr>
              <w:t>Hwa</w:t>
            </w:r>
            <w:proofErr w:type="spellEnd"/>
            <w:r w:rsidR="00140CCB" w:rsidRPr="00484257">
              <w:rPr>
                <w:rFonts w:cs="Arial"/>
                <w:lang w:val="en-CA"/>
              </w:rPr>
              <w:t xml:space="preserve"> Nuclear Society.</w:t>
            </w:r>
            <w:r w:rsidR="00140CCB">
              <w:rPr>
                <w:rFonts w:cs="Arial" w:hint="eastAsia"/>
                <w:lang w:val="en-CA" w:eastAsia="zh-TW"/>
              </w:rPr>
              <w:t xml:space="preserve"> It </w:t>
            </w:r>
            <w:r w:rsidR="00140CCB" w:rsidRPr="009C352E">
              <w:rPr>
                <w:rFonts w:cs="Arial"/>
                <w:lang w:val="en-CA"/>
              </w:rPr>
              <w:t xml:space="preserve">has </w:t>
            </w:r>
            <w:r w:rsidR="00140CCB">
              <w:rPr>
                <w:rFonts w:eastAsia="PMingLiU" w:cs="Arial"/>
                <w:lang w:val="en-CA" w:eastAsia="zh-TW"/>
              </w:rPr>
              <w:t>nine</w:t>
            </w:r>
            <w:r w:rsidR="00140CCB" w:rsidRPr="009C352E">
              <w:rPr>
                <w:rFonts w:cs="Arial"/>
                <w:lang w:val="en-CA"/>
              </w:rPr>
              <w:t xml:space="preserve"> steering committee members </w:t>
            </w:r>
            <w:r w:rsidR="00140CCB">
              <w:rPr>
                <w:rFonts w:cs="Arial" w:hint="eastAsia"/>
                <w:lang w:val="en-CA" w:eastAsia="zh-TW"/>
              </w:rPr>
              <w:t xml:space="preserve">(i.e. board members) </w:t>
            </w:r>
            <w:r w:rsidR="00140CCB" w:rsidRPr="009C352E">
              <w:rPr>
                <w:rFonts w:cs="Arial"/>
                <w:lang w:val="en-CA"/>
              </w:rPr>
              <w:t>by election, including chair and vice chair (i.e.</w:t>
            </w:r>
            <w:r w:rsidR="00EF4614">
              <w:rPr>
                <w:rFonts w:cs="Arial"/>
                <w:lang w:val="en-CA"/>
              </w:rPr>
              <w:t xml:space="preserve"> president and vice president)</w:t>
            </w:r>
            <w:r w:rsidR="00EF4614">
              <w:rPr>
                <w:rFonts w:cs="Arial" w:hint="eastAsia"/>
                <w:lang w:val="en-CA" w:eastAsia="zh-TW"/>
              </w:rPr>
              <w:t xml:space="preserve">, serving two-year terms. </w:t>
            </w:r>
            <w:r w:rsidR="00530C4B">
              <w:rPr>
                <w:rFonts w:cs="Arial" w:hint="eastAsia"/>
                <w:lang w:val="en-CA" w:eastAsia="zh-TW"/>
              </w:rPr>
              <w:t>Past presidents are invited to serve as advisors. Chapter</w:t>
            </w:r>
            <w:r w:rsidR="00EF4614">
              <w:rPr>
                <w:rFonts w:cs="Arial" w:hint="eastAsia"/>
                <w:lang w:val="en-CA" w:eastAsia="zh-TW"/>
              </w:rPr>
              <w:t xml:space="preserve"> members are mostly from the nuclear regulatory agency, utility, and research, academic and medical institutes. Among the remaining, there are entrepreneurs</w:t>
            </w:r>
            <w:r w:rsidR="00530C4B">
              <w:rPr>
                <w:rFonts w:cs="Arial" w:hint="eastAsia"/>
                <w:lang w:val="en-CA" w:eastAsia="zh-TW"/>
              </w:rPr>
              <w:t>,</w:t>
            </w:r>
            <w:r w:rsidR="00EF4614">
              <w:rPr>
                <w:rFonts w:cs="Arial" w:hint="eastAsia"/>
                <w:lang w:val="en-CA" w:eastAsia="zh-TW"/>
              </w:rPr>
              <w:t xml:space="preserve"> </w:t>
            </w:r>
            <w:r w:rsidR="00530C4B">
              <w:rPr>
                <w:rFonts w:cs="Arial" w:hint="eastAsia"/>
                <w:lang w:val="en-CA" w:eastAsia="zh-TW"/>
              </w:rPr>
              <w:t xml:space="preserve">home makers </w:t>
            </w:r>
            <w:r w:rsidR="00EF4614">
              <w:rPr>
                <w:rFonts w:cs="Arial" w:hint="eastAsia"/>
                <w:lang w:val="en-CA" w:eastAsia="zh-TW"/>
              </w:rPr>
              <w:t xml:space="preserve">and retired educators and scientists. </w:t>
            </w:r>
          </w:p>
        </w:tc>
      </w:tr>
      <w:tr w:rsidR="00155701" w:rsidTr="00194610">
        <w:tc>
          <w:tcPr>
            <w:tcW w:w="3227" w:type="dxa"/>
          </w:tcPr>
          <w:p w:rsidR="00155701" w:rsidRDefault="00155701" w:rsidP="00155701">
            <w:pPr>
              <w:spacing w:after="120"/>
            </w:pPr>
            <w:r>
              <w:t>Number of members</w:t>
            </w:r>
          </w:p>
        </w:tc>
        <w:tc>
          <w:tcPr>
            <w:tcW w:w="6015" w:type="dxa"/>
          </w:tcPr>
          <w:p w:rsidR="00155701" w:rsidRDefault="00A67DD3" w:rsidP="00155701">
            <w:pPr>
              <w:spacing w:after="120"/>
              <w:rPr>
                <w:lang w:eastAsia="zh-TW"/>
              </w:rPr>
            </w:pPr>
            <w:r>
              <w:rPr>
                <w:rFonts w:hint="eastAsia"/>
                <w:lang w:eastAsia="zh-TW"/>
              </w:rPr>
              <w:t>Local/Global: 149/53</w:t>
            </w:r>
          </w:p>
        </w:tc>
      </w:tr>
      <w:tr w:rsidR="00155701" w:rsidTr="00194610">
        <w:tc>
          <w:tcPr>
            <w:tcW w:w="3227" w:type="dxa"/>
          </w:tcPr>
          <w:p w:rsidR="00155701" w:rsidRDefault="00155701" w:rsidP="00155701">
            <w:pPr>
              <w:spacing w:after="120"/>
            </w:pPr>
            <w:r>
              <w:t>Chapter accepted by WiN Global</w:t>
            </w:r>
          </w:p>
        </w:tc>
        <w:tc>
          <w:tcPr>
            <w:tcW w:w="6015" w:type="dxa"/>
          </w:tcPr>
          <w:p w:rsidR="00155701" w:rsidRDefault="00A67DD3" w:rsidP="00A67DD3">
            <w:pPr>
              <w:spacing w:after="120"/>
            </w:pPr>
            <w:r>
              <w:rPr>
                <w:rFonts w:hint="eastAsia"/>
                <w:lang w:eastAsia="zh-TW"/>
              </w:rPr>
              <w:t>February 1994</w:t>
            </w:r>
          </w:p>
        </w:tc>
      </w:tr>
      <w:tr w:rsidR="00155701" w:rsidTr="00194610">
        <w:tc>
          <w:tcPr>
            <w:tcW w:w="3227" w:type="dxa"/>
          </w:tcPr>
          <w:p w:rsidR="00155701" w:rsidRDefault="00087C19" w:rsidP="00155701">
            <w:pPr>
              <w:spacing w:after="120"/>
            </w:pPr>
            <w:r>
              <w:t>N</w:t>
            </w:r>
            <w:r w:rsidR="00155701">
              <w:t>uclear power infrastructure</w:t>
            </w:r>
          </w:p>
        </w:tc>
        <w:tc>
          <w:tcPr>
            <w:tcW w:w="6015" w:type="dxa"/>
          </w:tcPr>
          <w:p w:rsidR="000F3209" w:rsidRDefault="007B6921" w:rsidP="00D74A1E">
            <w:pPr>
              <w:spacing w:after="120"/>
              <w:jc w:val="both"/>
              <w:rPr>
                <w:lang w:val="en-US" w:eastAsia="zh-TW"/>
              </w:rPr>
            </w:pPr>
            <w:r>
              <w:rPr>
                <w:rFonts w:hint="eastAsia"/>
                <w:lang w:eastAsia="zh-TW"/>
              </w:rPr>
              <w:t>T</w:t>
            </w:r>
            <w:r w:rsidR="00ED7F24" w:rsidRPr="0099602D">
              <w:t xml:space="preserve">here are </w:t>
            </w:r>
            <w:r w:rsidR="005B3B6A">
              <w:rPr>
                <w:rFonts w:hint="eastAsia"/>
                <w:lang w:eastAsia="zh-TW"/>
              </w:rPr>
              <w:t xml:space="preserve">three NPPs at </w:t>
            </w:r>
            <w:proofErr w:type="spellStart"/>
            <w:r w:rsidR="005B3B6A">
              <w:rPr>
                <w:rFonts w:hint="eastAsia"/>
                <w:lang w:eastAsia="zh-TW"/>
              </w:rPr>
              <w:t>Chinshan</w:t>
            </w:r>
            <w:proofErr w:type="spellEnd"/>
            <w:r w:rsidR="005B3B6A">
              <w:rPr>
                <w:rFonts w:hint="eastAsia"/>
                <w:lang w:eastAsia="zh-TW"/>
              </w:rPr>
              <w:t xml:space="preserve">, </w:t>
            </w:r>
            <w:proofErr w:type="spellStart"/>
            <w:r w:rsidR="005B3B6A">
              <w:rPr>
                <w:rFonts w:hint="eastAsia"/>
                <w:lang w:eastAsia="zh-TW"/>
              </w:rPr>
              <w:t>Kuosheng</w:t>
            </w:r>
            <w:proofErr w:type="spellEnd"/>
            <w:r w:rsidR="005B3B6A">
              <w:rPr>
                <w:rFonts w:hint="eastAsia"/>
                <w:lang w:eastAsia="zh-TW"/>
              </w:rPr>
              <w:t xml:space="preserve"> and </w:t>
            </w:r>
            <w:proofErr w:type="spellStart"/>
            <w:r w:rsidR="005B3B6A">
              <w:rPr>
                <w:rFonts w:hint="eastAsia"/>
                <w:lang w:eastAsia="zh-TW"/>
              </w:rPr>
              <w:t>Maanshan</w:t>
            </w:r>
            <w:proofErr w:type="spellEnd"/>
            <w:r w:rsidR="005B3B6A">
              <w:rPr>
                <w:rFonts w:hint="eastAsia"/>
                <w:lang w:eastAsia="zh-TW"/>
              </w:rPr>
              <w:t xml:space="preserve">, operated by state-owned utility </w:t>
            </w:r>
            <w:proofErr w:type="spellStart"/>
            <w:r w:rsidR="005B3B6A">
              <w:rPr>
                <w:rFonts w:hint="eastAsia"/>
                <w:lang w:eastAsia="zh-TW"/>
              </w:rPr>
              <w:t>Taipower</w:t>
            </w:r>
            <w:proofErr w:type="spellEnd"/>
            <w:r w:rsidR="005B3B6A">
              <w:rPr>
                <w:rFonts w:hint="eastAsia"/>
                <w:lang w:eastAsia="zh-TW"/>
              </w:rPr>
              <w:t xml:space="preserve">, with two units at each site. </w:t>
            </w:r>
            <w:r w:rsidR="00ED7F24" w:rsidRPr="0099602D">
              <w:t>They contribute</w:t>
            </w:r>
            <w:r w:rsidR="00775713">
              <w:rPr>
                <w:rFonts w:hint="eastAsia"/>
                <w:lang w:eastAsia="zh-TW"/>
              </w:rPr>
              <w:t>d</w:t>
            </w:r>
            <w:r w:rsidR="00ED7F24" w:rsidRPr="0099602D">
              <w:t xml:space="preserve"> to</w:t>
            </w:r>
            <w:r w:rsidR="00ED7F24" w:rsidRPr="00473071">
              <w:t xml:space="preserve"> </w:t>
            </w:r>
            <w:r w:rsidR="00473071" w:rsidRPr="00473071">
              <w:rPr>
                <w:rFonts w:hint="eastAsia"/>
                <w:lang w:eastAsia="zh-TW"/>
              </w:rPr>
              <w:t>16.3%</w:t>
            </w:r>
            <w:r w:rsidR="00ED7F24" w:rsidRPr="00473071">
              <w:t xml:space="preserve"> o</w:t>
            </w:r>
            <w:r w:rsidR="00ED7F24" w:rsidRPr="0099602D">
              <w:t xml:space="preserve">f total electricity generated </w:t>
            </w:r>
            <w:r w:rsidR="00EF4614">
              <w:rPr>
                <w:rFonts w:hint="eastAsia"/>
                <w:lang w:eastAsia="zh-TW"/>
              </w:rPr>
              <w:t>in 2014</w:t>
            </w:r>
            <w:r w:rsidR="005B3B6A">
              <w:rPr>
                <w:rFonts w:hint="eastAsia"/>
                <w:lang w:eastAsia="zh-TW"/>
              </w:rPr>
              <w:t xml:space="preserve">, with an average </w:t>
            </w:r>
            <w:r w:rsidR="00ED7F24" w:rsidRPr="0099602D">
              <w:t xml:space="preserve">capacity factor of these units about </w:t>
            </w:r>
            <w:r w:rsidR="00ED7F24" w:rsidRPr="00771B14">
              <w:t>92</w:t>
            </w:r>
            <w:r w:rsidR="00771B14" w:rsidRPr="00771B14">
              <w:rPr>
                <w:rFonts w:hint="eastAsia"/>
                <w:lang w:eastAsia="zh-TW"/>
              </w:rPr>
              <w:t>.8</w:t>
            </w:r>
            <w:r w:rsidR="00ED7F24" w:rsidRPr="00771B14">
              <w:t>%</w:t>
            </w:r>
            <w:r w:rsidR="00ED7F24" w:rsidRPr="0099602D">
              <w:t>.</w:t>
            </w:r>
            <w:r w:rsidR="0099602D" w:rsidRPr="0099602D">
              <w:rPr>
                <w:rFonts w:hint="eastAsia"/>
                <w:lang w:eastAsia="zh-TW"/>
              </w:rPr>
              <w:t xml:space="preserve"> </w:t>
            </w:r>
            <w:r w:rsidR="000F3209">
              <w:rPr>
                <w:rFonts w:hint="eastAsia"/>
                <w:lang w:eastAsia="zh-TW"/>
              </w:rPr>
              <w:t>Construction of t</w:t>
            </w:r>
            <w:r w:rsidR="00ED7F24" w:rsidRPr="007B6921">
              <w:rPr>
                <w:bCs/>
                <w:lang w:val="en-US"/>
              </w:rPr>
              <w:t>wo ABWRs</w:t>
            </w:r>
            <w:r w:rsidR="00ED7F24" w:rsidRPr="0099602D">
              <w:rPr>
                <w:lang w:val="en-US"/>
              </w:rPr>
              <w:t xml:space="preserve"> </w:t>
            </w:r>
            <w:r w:rsidR="000F3209" w:rsidRPr="0099602D">
              <w:rPr>
                <w:lang w:val="en-US"/>
              </w:rPr>
              <w:t xml:space="preserve">at </w:t>
            </w:r>
            <w:r w:rsidR="000F3209">
              <w:rPr>
                <w:rFonts w:hint="eastAsia"/>
                <w:lang w:val="en-US" w:eastAsia="zh-TW"/>
              </w:rPr>
              <w:t>the</w:t>
            </w:r>
            <w:r w:rsidR="000F3209" w:rsidRPr="0099602D">
              <w:rPr>
                <w:lang w:val="en-US"/>
              </w:rPr>
              <w:t xml:space="preserve"> fourth plant, </w:t>
            </w:r>
            <w:proofErr w:type="spellStart"/>
            <w:r w:rsidR="000F3209" w:rsidRPr="0099602D">
              <w:rPr>
                <w:lang w:val="en-US"/>
              </w:rPr>
              <w:t>Lungmen</w:t>
            </w:r>
            <w:proofErr w:type="spellEnd"/>
            <w:r w:rsidR="000F3209">
              <w:rPr>
                <w:rFonts w:hint="eastAsia"/>
                <w:lang w:val="en-US" w:eastAsia="zh-TW"/>
              </w:rPr>
              <w:t xml:space="preserve">, was nearly completed. However, effective July 1, 2015, Unit 1 has been mothballed, and construction of Unit 2 suspended. </w:t>
            </w:r>
          </w:p>
          <w:p w:rsidR="0099602D" w:rsidRDefault="00CB6E40" w:rsidP="00D74A1E">
            <w:pPr>
              <w:spacing w:after="120"/>
              <w:jc w:val="both"/>
              <w:rPr>
                <w:lang w:val="en-US" w:eastAsia="zh-TW"/>
              </w:rPr>
            </w:pPr>
            <w:r>
              <w:rPr>
                <w:rFonts w:hint="eastAsia"/>
                <w:lang w:eastAsia="zh-TW"/>
              </w:rPr>
              <w:t xml:space="preserve">There is </w:t>
            </w:r>
            <w:r w:rsidR="0099602D" w:rsidRPr="0099602D">
              <w:rPr>
                <w:lang w:val="en-US" w:eastAsia="zh-TW"/>
              </w:rPr>
              <w:t>only one research reactor in operation</w:t>
            </w:r>
            <w:r w:rsidR="00EF4614">
              <w:rPr>
                <w:rFonts w:hint="eastAsia"/>
                <w:lang w:val="en-US" w:eastAsia="zh-TW"/>
              </w:rPr>
              <w:t xml:space="preserve">, </w:t>
            </w:r>
            <w:r>
              <w:rPr>
                <w:rFonts w:hint="eastAsia"/>
                <w:lang w:val="en-US" w:eastAsia="zh-TW"/>
              </w:rPr>
              <w:t xml:space="preserve">Tsing-Hua University Open-pool Reactor (THOR) for </w:t>
            </w:r>
            <w:r>
              <w:rPr>
                <w:lang w:val="en-US" w:eastAsia="zh-TW"/>
              </w:rPr>
              <w:t>research</w:t>
            </w:r>
            <w:r>
              <w:rPr>
                <w:rFonts w:hint="eastAsia"/>
                <w:lang w:val="en-US" w:eastAsia="zh-TW"/>
              </w:rPr>
              <w:t xml:space="preserve"> and medical isotope production; </w:t>
            </w:r>
            <w:r w:rsidR="0099602D" w:rsidRPr="0099602D">
              <w:rPr>
                <w:lang w:val="en-US" w:eastAsia="zh-TW"/>
              </w:rPr>
              <w:t>the rest have been decommissioned.</w:t>
            </w:r>
            <w:r>
              <w:rPr>
                <w:rFonts w:hint="eastAsia"/>
                <w:lang w:val="en-US" w:eastAsia="zh-TW"/>
              </w:rPr>
              <w:t xml:space="preserve"> </w:t>
            </w:r>
          </w:p>
          <w:p w:rsidR="00E27622" w:rsidRDefault="0099602D" w:rsidP="00D74A1E">
            <w:pPr>
              <w:spacing w:after="120"/>
              <w:jc w:val="both"/>
              <w:rPr>
                <w:lang w:val="en-US" w:eastAsia="zh-TW"/>
              </w:rPr>
            </w:pPr>
            <w:r>
              <w:rPr>
                <w:rFonts w:hint="eastAsia"/>
                <w:lang w:val="en-US" w:eastAsia="zh-TW"/>
              </w:rPr>
              <w:t>About half of the low-level waste is being stored at storage facilities</w:t>
            </w:r>
            <w:r w:rsidR="00CB6E40">
              <w:rPr>
                <w:rFonts w:hint="eastAsia"/>
                <w:lang w:val="en-US" w:eastAsia="zh-TW"/>
              </w:rPr>
              <w:t xml:space="preserve"> at the NPP sites. The other half has been stored at an interim storage facility on an offshore island </w:t>
            </w:r>
            <w:proofErr w:type="spellStart"/>
            <w:r w:rsidR="00CB6E40">
              <w:rPr>
                <w:rFonts w:hint="eastAsia"/>
                <w:lang w:val="en-US" w:eastAsia="zh-TW"/>
              </w:rPr>
              <w:t>Lanyu</w:t>
            </w:r>
            <w:proofErr w:type="spellEnd"/>
            <w:r w:rsidR="00CB6E40">
              <w:rPr>
                <w:rFonts w:hint="eastAsia"/>
                <w:lang w:val="en-US" w:eastAsia="zh-TW"/>
              </w:rPr>
              <w:t xml:space="preserve">. </w:t>
            </w:r>
          </w:p>
          <w:p w:rsidR="00155701" w:rsidRPr="00ED7F24" w:rsidRDefault="0099602D" w:rsidP="00D74A1E">
            <w:pPr>
              <w:spacing w:after="120"/>
              <w:jc w:val="both"/>
              <w:rPr>
                <w:color w:val="365F91" w:themeColor="accent1" w:themeShade="BF"/>
              </w:rPr>
            </w:pPr>
            <w:r w:rsidRPr="005B3B6A">
              <w:rPr>
                <w:rFonts w:hint="eastAsia"/>
                <w:lang w:val="en-US" w:eastAsia="zh-TW"/>
              </w:rPr>
              <w:t xml:space="preserve">A </w:t>
            </w:r>
            <w:r w:rsidR="00AC47DB" w:rsidRPr="005B3B6A">
              <w:rPr>
                <w:rFonts w:hint="eastAsia"/>
                <w:lang w:val="en-US" w:eastAsia="zh-TW"/>
              </w:rPr>
              <w:t xml:space="preserve">spent fuel </w:t>
            </w:r>
            <w:r w:rsidRPr="005B3B6A">
              <w:rPr>
                <w:rFonts w:hint="eastAsia"/>
                <w:lang w:val="en-US" w:eastAsia="zh-TW"/>
              </w:rPr>
              <w:t xml:space="preserve">dry </w:t>
            </w:r>
            <w:r w:rsidR="00F3476C" w:rsidRPr="005B3B6A">
              <w:rPr>
                <w:rFonts w:hint="eastAsia"/>
                <w:lang w:val="en-US" w:eastAsia="zh-TW"/>
              </w:rPr>
              <w:t xml:space="preserve">storage facility has been constructed </w:t>
            </w:r>
            <w:r w:rsidR="000F3209" w:rsidRPr="005B3B6A">
              <w:rPr>
                <w:rFonts w:hint="eastAsia"/>
                <w:lang w:val="en-US" w:eastAsia="zh-TW"/>
              </w:rPr>
              <w:t xml:space="preserve">onsite at the </w:t>
            </w:r>
            <w:proofErr w:type="spellStart"/>
            <w:r w:rsidR="000F3209" w:rsidRPr="005B3B6A">
              <w:rPr>
                <w:rFonts w:hint="eastAsia"/>
                <w:lang w:val="en-US" w:eastAsia="zh-TW"/>
              </w:rPr>
              <w:t>Chinshan</w:t>
            </w:r>
            <w:proofErr w:type="spellEnd"/>
            <w:r w:rsidR="000F3209" w:rsidRPr="005B3B6A">
              <w:rPr>
                <w:rFonts w:hint="eastAsia"/>
                <w:lang w:val="en-US" w:eastAsia="zh-TW"/>
              </w:rPr>
              <w:t xml:space="preserve"> NPP</w:t>
            </w:r>
            <w:r w:rsidR="00CC0F67">
              <w:rPr>
                <w:rFonts w:hint="eastAsia"/>
                <w:lang w:val="en-US" w:eastAsia="zh-TW"/>
              </w:rPr>
              <w:t xml:space="preserve"> for </w:t>
            </w:r>
            <w:r w:rsidR="00AC47DB">
              <w:rPr>
                <w:rFonts w:hint="eastAsia"/>
                <w:lang w:val="en-US" w:eastAsia="zh-TW"/>
              </w:rPr>
              <w:t>three</w:t>
            </w:r>
            <w:r w:rsidR="00CC0F67">
              <w:rPr>
                <w:rFonts w:hint="eastAsia"/>
                <w:lang w:val="en-US" w:eastAsia="zh-TW"/>
              </w:rPr>
              <w:t xml:space="preserve"> years</w:t>
            </w:r>
            <w:r w:rsidR="00E27622">
              <w:rPr>
                <w:rFonts w:hint="eastAsia"/>
                <w:lang w:val="en-US" w:eastAsia="zh-TW"/>
              </w:rPr>
              <w:t xml:space="preserve">, pending </w:t>
            </w:r>
            <w:r w:rsidR="000F3209" w:rsidRPr="005B3B6A">
              <w:rPr>
                <w:rFonts w:hint="eastAsia"/>
                <w:lang w:val="en-US" w:eastAsia="zh-TW"/>
              </w:rPr>
              <w:t xml:space="preserve">approval of </w:t>
            </w:r>
            <w:proofErr w:type="spellStart"/>
            <w:r w:rsidR="005B3B6A" w:rsidRPr="005B3B6A">
              <w:rPr>
                <w:rFonts w:hint="eastAsia"/>
                <w:lang w:val="en-US" w:eastAsia="zh-TW"/>
              </w:rPr>
              <w:t>Taipower</w:t>
            </w:r>
            <w:r w:rsidR="005B3B6A" w:rsidRPr="005B3B6A">
              <w:rPr>
                <w:lang w:val="en-US" w:eastAsia="zh-TW"/>
              </w:rPr>
              <w:t>’</w:t>
            </w:r>
            <w:r w:rsidR="005B3B6A" w:rsidRPr="005B3B6A">
              <w:rPr>
                <w:rFonts w:hint="eastAsia"/>
                <w:lang w:val="en-US" w:eastAsia="zh-TW"/>
              </w:rPr>
              <w:t>s</w:t>
            </w:r>
            <w:proofErr w:type="spellEnd"/>
            <w:r w:rsidR="005B3B6A" w:rsidRPr="005B3B6A">
              <w:rPr>
                <w:rFonts w:hint="eastAsia"/>
                <w:lang w:val="en-US" w:eastAsia="zh-TW"/>
              </w:rPr>
              <w:t xml:space="preserve"> Water and Soil Conservation Plan by the local government. </w:t>
            </w:r>
          </w:p>
        </w:tc>
      </w:tr>
      <w:tr w:rsidR="00155701" w:rsidTr="00194610">
        <w:tc>
          <w:tcPr>
            <w:tcW w:w="3227" w:type="dxa"/>
          </w:tcPr>
          <w:p w:rsidR="00155701" w:rsidRDefault="00155701" w:rsidP="00155701">
            <w:pPr>
              <w:spacing w:after="120"/>
            </w:pPr>
            <w:r w:rsidRPr="00530C4B">
              <w:t>Nuclear medical applications</w:t>
            </w:r>
          </w:p>
        </w:tc>
        <w:tc>
          <w:tcPr>
            <w:tcW w:w="6015" w:type="dxa"/>
          </w:tcPr>
          <w:p w:rsidR="0099602D" w:rsidRDefault="0099602D" w:rsidP="00D74A1E">
            <w:pPr>
              <w:spacing w:after="120"/>
              <w:jc w:val="both"/>
              <w:rPr>
                <w:lang w:val="en-AU" w:eastAsia="zh-TW"/>
              </w:rPr>
            </w:pPr>
            <w:r w:rsidRPr="0099602D">
              <w:rPr>
                <w:lang w:val="en-US" w:eastAsia="zh-TW"/>
              </w:rPr>
              <w:t xml:space="preserve">We have </w:t>
            </w:r>
            <w:r w:rsidRPr="0099602D">
              <w:rPr>
                <w:lang w:val="en-AU" w:eastAsia="zh-TW"/>
              </w:rPr>
              <w:t xml:space="preserve">one Proton and Radiation Therapy </w:t>
            </w:r>
            <w:proofErr w:type="spellStart"/>
            <w:r w:rsidRPr="0099602D">
              <w:rPr>
                <w:lang w:val="en-AU" w:eastAsia="zh-TW"/>
              </w:rPr>
              <w:t>Center</w:t>
            </w:r>
            <w:proofErr w:type="spellEnd"/>
            <w:r w:rsidRPr="0099602D">
              <w:rPr>
                <w:lang w:val="en-AU" w:eastAsia="zh-TW"/>
              </w:rPr>
              <w:t xml:space="preserve"> at a university hospital </w:t>
            </w:r>
            <w:r w:rsidR="00530C4B">
              <w:rPr>
                <w:rFonts w:hint="eastAsia"/>
                <w:lang w:val="en-AU" w:eastAsia="zh-TW"/>
              </w:rPr>
              <w:t xml:space="preserve">in operation since </w:t>
            </w:r>
            <w:r w:rsidR="00192B90">
              <w:rPr>
                <w:rFonts w:hint="eastAsia"/>
                <w:lang w:val="en-AU" w:eastAsia="zh-TW"/>
              </w:rPr>
              <w:t>2014</w:t>
            </w:r>
            <w:r w:rsidRPr="0099602D">
              <w:rPr>
                <w:lang w:val="en-AU" w:eastAsia="zh-TW"/>
              </w:rPr>
              <w:t>, and two others under construction. In addition, there are 1</w:t>
            </w:r>
            <w:r w:rsidR="00192B90">
              <w:rPr>
                <w:rFonts w:hint="eastAsia"/>
                <w:lang w:val="en-AU" w:eastAsia="zh-TW"/>
              </w:rPr>
              <w:t>1</w:t>
            </w:r>
            <w:r w:rsidRPr="0099602D">
              <w:rPr>
                <w:lang w:val="en-AU" w:eastAsia="zh-TW"/>
              </w:rPr>
              <w:t xml:space="preserve"> cyclotrons at </w:t>
            </w:r>
            <w:r w:rsidR="00192B90">
              <w:rPr>
                <w:rFonts w:hint="eastAsia"/>
                <w:lang w:val="en-AU" w:eastAsia="zh-TW"/>
              </w:rPr>
              <w:t xml:space="preserve">a </w:t>
            </w:r>
            <w:r w:rsidRPr="0099602D">
              <w:rPr>
                <w:lang w:val="en-AU" w:eastAsia="zh-TW"/>
              </w:rPr>
              <w:t xml:space="preserve">research </w:t>
            </w:r>
            <w:proofErr w:type="spellStart"/>
            <w:r w:rsidRPr="0099602D">
              <w:rPr>
                <w:lang w:val="en-AU" w:eastAsia="zh-TW"/>
              </w:rPr>
              <w:t>center</w:t>
            </w:r>
            <w:proofErr w:type="spellEnd"/>
            <w:r w:rsidRPr="0099602D">
              <w:rPr>
                <w:lang w:val="en-AU" w:eastAsia="zh-TW"/>
              </w:rPr>
              <w:t xml:space="preserve"> and </w:t>
            </w:r>
            <w:r w:rsidR="00192B90">
              <w:rPr>
                <w:rFonts w:hint="eastAsia"/>
                <w:lang w:val="en-AU" w:eastAsia="zh-TW"/>
              </w:rPr>
              <w:t xml:space="preserve">9 </w:t>
            </w:r>
            <w:r w:rsidRPr="0099602D">
              <w:rPr>
                <w:lang w:val="en-AU" w:eastAsia="zh-TW"/>
              </w:rPr>
              <w:t>hospitals for pharmaceuticals manufacturing,</w:t>
            </w:r>
            <w:r>
              <w:rPr>
                <w:rFonts w:hint="eastAsia"/>
                <w:lang w:val="en-AU" w:eastAsia="zh-TW"/>
              </w:rPr>
              <w:t xml:space="preserve"> </w:t>
            </w:r>
            <w:r w:rsidRPr="0099602D">
              <w:rPr>
                <w:lang w:val="en-AU" w:eastAsia="zh-TW"/>
              </w:rPr>
              <w:t xml:space="preserve">as well as large numbers of various medical equipment and facilities, such as Gamma Knife and Cyber. </w:t>
            </w:r>
          </w:p>
          <w:p w:rsidR="00155701" w:rsidRPr="00363ABB" w:rsidRDefault="00363ABB" w:rsidP="00D74A1E">
            <w:pPr>
              <w:spacing w:after="120"/>
              <w:jc w:val="both"/>
              <w:rPr>
                <w:lang w:val="en-AU" w:eastAsia="zh-TW"/>
              </w:rPr>
            </w:pPr>
            <w:r>
              <w:rPr>
                <w:rFonts w:hint="eastAsia"/>
                <w:lang w:val="en-AU" w:eastAsia="zh-TW"/>
              </w:rPr>
              <w:t xml:space="preserve">The </w:t>
            </w:r>
            <w:r w:rsidR="00530C4B" w:rsidRPr="00530C4B">
              <w:rPr>
                <w:rFonts w:hint="eastAsia"/>
                <w:lang w:val="en-AU" w:eastAsia="zh-TW"/>
              </w:rPr>
              <w:t xml:space="preserve">Institute of Nuclear Energy Research (INER) has engaged in the new radiopharmaceutical research for more than 20 years. Tc-99m Trodat-1 was the first Tc-99m-labeling </w:t>
            </w:r>
            <w:proofErr w:type="spellStart"/>
            <w:r w:rsidR="00530C4B" w:rsidRPr="00530C4B">
              <w:rPr>
                <w:rFonts w:hint="eastAsia"/>
                <w:lang w:val="en-AU" w:eastAsia="zh-TW"/>
              </w:rPr>
              <w:t>radiopharma</w:t>
            </w:r>
            <w:r w:rsidR="00771B14">
              <w:rPr>
                <w:rFonts w:hint="eastAsia"/>
                <w:lang w:val="en-AU" w:eastAsia="zh-TW"/>
              </w:rPr>
              <w:t>-</w:t>
            </w:r>
            <w:r w:rsidR="00530C4B" w:rsidRPr="00530C4B">
              <w:rPr>
                <w:rFonts w:hint="eastAsia"/>
                <w:lang w:val="en-AU" w:eastAsia="zh-TW"/>
              </w:rPr>
              <w:t>ceutical</w:t>
            </w:r>
            <w:proofErr w:type="spellEnd"/>
            <w:r w:rsidR="00530C4B" w:rsidRPr="00530C4B">
              <w:rPr>
                <w:rFonts w:hint="eastAsia"/>
                <w:lang w:val="en-AU" w:eastAsia="zh-TW"/>
              </w:rPr>
              <w:t xml:space="preserve"> for </w:t>
            </w:r>
            <w:r w:rsidR="00530C4B" w:rsidRPr="00530C4B">
              <w:rPr>
                <w:lang w:val="en-AU" w:eastAsia="zh-TW"/>
              </w:rPr>
              <w:t>dopamine</w:t>
            </w:r>
            <w:r w:rsidR="00530C4B" w:rsidRPr="00530C4B">
              <w:rPr>
                <w:rFonts w:hint="eastAsia"/>
                <w:lang w:val="en-AU" w:eastAsia="zh-TW"/>
              </w:rPr>
              <w:t>-transporter imaging in the world which could be used for the diagnosis of Parkinson</w:t>
            </w:r>
            <w:r w:rsidR="00530C4B" w:rsidRPr="00530C4B">
              <w:rPr>
                <w:lang w:val="en-AU" w:eastAsia="zh-TW"/>
              </w:rPr>
              <w:t>’</w:t>
            </w:r>
            <w:r w:rsidR="00530C4B" w:rsidRPr="00530C4B">
              <w:rPr>
                <w:rFonts w:hint="eastAsia"/>
                <w:lang w:val="en-AU" w:eastAsia="zh-TW"/>
              </w:rPr>
              <w:t xml:space="preserve">s and related </w:t>
            </w:r>
            <w:r w:rsidR="00530C4B" w:rsidRPr="00530C4B">
              <w:rPr>
                <w:rFonts w:hint="eastAsia"/>
                <w:lang w:val="en-AU" w:eastAsia="zh-TW"/>
              </w:rPr>
              <w:lastRenderedPageBreak/>
              <w:t xml:space="preserve">diseases.  The drug license-out for Tc-99m Trodat-1 to local industry was established in 2015. Re-188 Liposome is the brand-newly therapeutic radiopharmaceutical developed by INER. In 2014, the first-in-human phase 1 </w:t>
            </w:r>
            <w:r w:rsidR="00530C4B" w:rsidRPr="00530C4B">
              <w:rPr>
                <w:lang w:val="en-AU" w:eastAsia="zh-TW"/>
              </w:rPr>
              <w:t>clinical</w:t>
            </w:r>
            <w:r w:rsidR="00530C4B" w:rsidRPr="00530C4B">
              <w:rPr>
                <w:rFonts w:hint="eastAsia"/>
                <w:lang w:val="en-AU" w:eastAsia="zh-TW"/>
              </w:rPr>
              <w:t xml:space="preserve"> trial of Re-188 Liposome for the </w:t>
            </w:r>
            <w:r w:rsidR="00530C4B" w:rsidRPr="00530C4B">
              <w:rPr>
                <w:lang w:val="en-AU" w:eastAsia="zh-TW"/>
              </w:rPr>
              <w:t>metastatic</w:t>
            </w:r>
            <w:r w:rsidR="00530C4B" w:rsidRPr="00530C4B">
              <w:rPr>
                <w:rFonts w:hint="eastAsia"/>
                <w:lang w:val="en-AU" w:eastAsia="zh-TW"/>
              </w:rPr>
              <w:t xml:space="preserve"> cancer treatment was performed </w:t>
            </w:r>
            <w:r w:rsidR="00D74A1E">
              <w:rPr>
                <w:rFonts w:hint="eastAsia"/>
                <w:lang w:val="en-AU" w:eastAsia="zh-TW"/>
              </w:rPr>
              <w:t xml:space="preserve">to evaluate the safety in </w:t>
            </w:r>
            <w:r w:rsidR="00D74A1E">
              <w:rPr>
                <w:lang w:val="en-AU" w:eastAsia="zh-TW"/>
              </w:rPr>
              <w:t>the country</w:t>
            </w:r>
            <w:r w:rsidR="00530C4B" w:rsidRPr="00530C4B">
              <w:rPr>
                <w:rFonts w:hint="eastAsia"/>
                <w:lang w:val="en-AU" w:eastAsia="zh-TW"/>
              </w:rPr>
              <w:t xml:space="preserve">. Radiopharmaceutical Manufacturing </w:t>
            </w:r>
            <w:r w:rsidR="00530C4B" w:rsidRPr="00530C4B">
              <w:rPr>
                <w:lang w:val="en-AU" w:eastAsia="zh-TW"/>
              </w:rPr>
              <w:t>Centre</w:t>
            </w:r>
            <w:r w:rsidR="00530C4B" w:rsidRPr="00530C4B">
              <w:rPr>
                <w:rFonts w:hint="eastAsia"/>
                <w:lang w:val="en-AU" w:eastAsia="zh-TW"/>
              </w:rPr>
              <w:t xml:space="preserve"> (RMC) in the INER has obtained 17 radiopharmaceutical drug licenses fro</w:t>
            </w:r>
            <w:r w:rsidR="00D74A1E">
              <w:rPr>
                <w:rFonts w:hint="eastAsia"/>
                <w:lang w:val="en-AU" w:eastAsia="zh-TW"/>
              </w:rPr>
              <w:t>m Department of Health</w:t>
            </w:r>
            <w:r w:rsidR="00530C4B" w:rsidRPr="00530C4B">
              <w:rPr>
                <w:rFonts w:hint="eastAsia"/>
                <w:lang w:val="en-AU" w:eastAsia="zh-TW"/>
              </w:rPr>
              <w:t>. In 2014, RMC got the approval of PIC/s-GMP certification which is the ne</w:t>
            </w:r>
            <w:r w:rsidR="00D74A1E">
              <w:rPr>
                <w:rFonts w:hint="eastAsia"/>
                <w:lang w:val="en-AU" w:eastAsia="zh-TW"/>
              </w:rPr>
              <w:t>west manufacturing standar</w:t>
            </w:r>
            <w:r w:rsidR="00D74A1E">
              <w:rPr>
                <w:lang w:val="en-AU" w:eastAsia="zh-TW"/>
              </w:rPr>
              <w:t>d</w:t>
            </w:r>
            <w:r w:rsidR="00530C4B" w:rsidRPr="00530C4B">
              <w:rPr>
                <w:rFonts w:hint="eastAsia"/>
                <w:lang w:val="en-AU" w:eastAsia="zh-TW"/>
              </w:rPr>
              <w:t xml:space="preserve">. RMC regularly supplies the </w:t>
            </w:r>
            <w:r w:rsidR="00530C4B" w:rsidRPr="00530C4B">
              <w:rPr>
                <w:lang w:val="en-AU" w:eastAsia="zh-TW"/>
              </w:rPr>
              <w:t>radiopharmaceuticals</w:t>
            </w:r>
            <w:r w:rsidR="00530C4B" w:rsidRPr="00530C4B">
              <w:rPr>
                <w:rFonts w:hint="eastAsia"/>
                <w:lang w:val="en-AU" w:eastAsia="zh-TW"/>
              </w:rPr>
              <w:t xml:space="preserve"> for the domestic hospital need, but also support the </w:t>
            </w:r>
            <w:r w:rsidR="00530C4B" w:rsidRPr="00530C4B">
              <w:rPr>
                <w:lang w:val="en-AU" w:eastAsia="zh-TW"/>
              </w:rPr>
              <w:t>clinical</w:t>
            </w:r>
            <w:r w:rsidR="00530C4B" w:rsidRPr="00530C4B">
              <w:rPr>
                <w:rFonts w:hint="eastAsia"/>
                <w:lang w:val="en-AU" w:eastAsia="zh-TW"/>
              </w:rPr>
              <w:t xml:space="preserve"> application for international cooperation.</w:t>
            </w:r>
          </w:p>
        </w:tc>
      </w:tr>
      <w:tr w:rsidR="00155701" w:rsidTr="00194610">
        <w:tc>
          <w:tcPr>
            <w:tcW w:w="3227" w:type="dxa"/>
          </w:tcPr>
          <w:p w:rsidR="00155701" w:rsidRDefault="00087C19" w:rsidP="00155701">
            <w:pPr>
              <w:spacing w:after="120"/>
            </w:pPr>
            <w:r w:rsidRPr="00BD5AF5">
              <w:rPr>
                <w:color w:val="000000" w:themeColor="text1"/>
              </w:rPr>
              <w:lastRenderedPageBreak/>
              <w:t>Waste m</w:t>
            </w:r>
            <w:r w:rsidR="00155701" w:rsidRPr="00BD5AF5">
              <w:rPr>
                <w:color w:val="000000" w:themeColor="text1"/>
              </w:rPr>
              <w:t>anagement philosophy</w:t>
            </w:r>
          </w:p>
        </w:tc>
        <w:tc>
          <w:tcPr>
            <w:tcW w:w="6015" w:type="dxa"/>
          </w:tcPr>
          <w:p w:rsidR="008117F5" w:rsidRPr="008117F5" w:rsidRDefault="008117F5" w:rsidP="00D74A1E">
            <w:pPr>
              <w:spacing w:after="120"/>
              <w:jc w:val="both"/>
              <w:rPr>
                <w:bCs/>
              </w:rPr>
            </w:pPr>
            <w:r w:rsidRPr="008117F5">
              <w:rPr>
                <w:bCs/>
              </w:rPr>
              <w:t xml:space="preserve">The strategies for Low-level waste (LLW) management are “volume reduction, storage safely and final disposal.” </w:t>
            </w:r>
            <w:r w:rsidR="002D4F69">
              <w:rPr>
                <w:rFonts w:hint="eastAsia"/>
                <w:bCs/>
                <w:lang w:eastAsia="zh-TW"/>
              </w:rPr>
              <w:t xml:space="preserve">Since a </w:t>
            </w:r>
            <w:r w:rsidRPr="008117F5">
              <w:rPr>
                <w:bCs/>
              </w:rPr>
              <w:t>volume reduction strategy program</w:t>
            </w:r>
            <w:r>
              <w:rPr>
                <w:rFonts w:hint="eastAsia"/>
                <w:bCs/>
                <w:lang w:eastAsia="zh-TW"/>
              </w:rPr>
              <w:t xml:space="preserve"> </w:t>
            </w:r>
            <w:r w:rsidR="002D4F69">
              <w:rPr>
                <w:rFonts w:hint="eastAsia"/>
                <w:bCs/>
                <w:lang w:eastAsia="zh-TW"/>
              </w:rPr>
              <w:t xml:space="preserve">was </w:t>
            </w:r>
            <w:r>
              <w:rPr>
                <w:rFonts w:hint="eastAsia"/>
                <w:bCs/>
                <w:lang w:eastAsia="zh-TW"/>
              </w:rPr>
              <w:t>launched</w:t>
            </w:r>
            <w:r w:rsidRPr="008117F5">
              <w:rPr>
                <w:bCs/>
              </w:rPr>
              <w:t xml:space="preserve"> in 1990, </w:t>
            </w:r>
            <w:proofErr w:type="spellStart"/>
            <w:r>
              <w:rPr>
                <w:rFonts w:hint="eastAsia"/>
                <w:bCs/>
                <w:lang w:eastAsia="zh-TW"/>
              </w:rPr>
              <w:t>Taipwoer</w:t>
            </w:r>
            <w:proofErr w:type="spellEnd"/>
            <w:r w:rsidRPr="008117F5">
              <w:rPr>
                <w:bCs/>
              </w:rPr>
              <w:t xml:space="preserve"> has successfully reduced its annual output of solidified LLRW to about 1</w:t>
            </w:r>
            <w:r w:rsidR="00F606B4">
              <w:rPr>
                <w:rFonts w:hint="eastAsia"/>
                <w:bCs/>
                <w:lang w:eastAsia="zh-TW"/>
              </w:rPr>
              <w:t>76</w:t>
            </w:r>
            <w:r w:rsidRPr="008117F5">
              <w:rPr>
                <w:bCs/>
              </w:rPr>
              <w:t xml:space="preserve"> </w:t>
            </w:r>
            <w:r w:rsidR="00F606B4" w:rsidRPr="008117F5">
              <w:rPr>
                <w:bCs/>
              </w:rPr>
              <w:t>(55</w:t>
            </w:r>
            <w:r w:rsidR="00F606B4">
              <w:rPr>
                <w:rFonts w:hint="eastAsia"/>
                <w:bCs/>
                <w:lang w:eastAsia="zh-TW"/>
              </w:rPr>
              <w:t>-</w:t>
            </w:r>
            <w:r w:rsidR="00F606B4" w:rsidRPr="008117F5">
              <w:rPr>
                <w:bCs/>
              </w:rPr>
              <w:t>gal)</w:t>
            </w:r>
            <w:r w:rsidR="002D4F69">
              <w:rPr>
                <w:rFonts w:hint="eastAsia"/>
                <w:bCs/>
                <w:lang w:eastAsia="zh-TW"/>
              </w:rPr>
              <w:t xml:space="preserve"> </w:t>
            </w:r>
            <w:r w:rsidRPr="008117F5">
              <w:rPr>
                <w:bCs/>
              </w:rPr>
              <w:t>drums in 201</w:t>
            </w:r>
            <w:r w:rsidR="00F606B4">
              <w:rPr>
                <w:rFonts w:hint="eastAsia"/>
                <w:bCs/>
                <w:lang w:eastAsia="zh-TW"/>
              </w:rPr>
              <w:t>4</w:t>
            </w:r>
            <w:r w:rsidR="002D4F69">
              <w:rPr>
                <w:rFonts w:hint="eastAsia"/>
                <w:bCs/>
                <w:lang w:eastAsia="zh-TW"/>
              </w:rPr>
              <w:t>,</w:t>
            </w:r>
            <w:r w:rsidRPr="008117F5">
              <w:rPr>
                <w:bCs/>
              </w:rPr>
              <w:t xml:space="preserve"> </w:t>
            </w:r>
            <w:r w:rsidR="002D4F69">
              <w:rPr>
                <w:rFonts w:hint="eastAsia"/>
                <w:bCs/>
                <w:lang w:eastAsia="zh-TW"/>
              </w:rPr>
              <w:t xml:space="preserve">which </w:t>
            </w:r>
            <w:r w:rsidRPr="008117F5">
              <w:rPr>
                <w:bCs/>
              </w:rPr>
              <w:t xml:space="preserve">is only 1.4 % of </w:t>
            </w:r>
            <w:r w:rsidR="002D4F69">
              <w:rPr>
                <w:rFonts w:hint="eastAsia"/>
                <w:bCs/>
                <w:lang w:eastAsia="zh-TW"/>
              </w:rPr>
              <w:t xml:space="preserve">over </w:t>
            </w:r>
            <w:r w:rsidRPr="008117F5">
              <w:rPr>
                <w:bCs/>
              </w:rPr>
              <w:t>12</w:t>
            </w:r>
            <w:r w:rsidR="002D4F69">
              <w:rPr>
                <w:rFonts w:hint="eastAsia"/>
                <w:bCs/>
                <w:lang w:eastAsia="zh-TW"/>
              </w:rPr>
              <w:t xml:space="preserve"> thousand</w:t>
            </w:r>
            <w:r w:rsidRPr="008117F5">
              <w:rPr>
                <w:bCs/>
              </w:rPr>
              <w:t xml:space="preserve"> drums in 1983. Currently, the accumulated amount of LLW is </w:t>
            </w:r>
            <w:r w:rsidR="00F606B4">
              <w:rPr>
                <w:rFonts w:hint="eastAsia"/>
                <w:bCs/>
                <w:lang w:eastAsia="zh-TW"/>
              </w:rPr>
              <w:t>about 220</w:t>
            </w:r>
            <w:r w:rsidRPr="008117F5">
              <w:rPr>
                <w:bCs/>
              </w:rPr>
              <w:t xml:space="preserve"> thousand drums</w:t>
            </w:r>
            <w:r w:rsidR="00F606B4">
              <w:rPr>
                <w:rFonts w:hint="eastAsia"/>
                <w:bCs/>
                <w:lang w:eastAsia="zh-TW"/>
              </w:rPr>
              <w:t xml:space="preserve">; roughly half </w:t>
            </w:r>
            <w:r w:rsidRPr="008117F5">
              <w:rPr>
                <w:bCs/>
              </w:rPr>
              <w:t xml:space="preserve">stored at NPPs, </w:t>
            </w:r>
            <w:r w:rsidR="00F606B4">
              <w:rPr>
                <w:rFonts w:hint="eastAsia"/>
                <w:bCs/>
                <w:lang w:eastAsia="zh-TW"/>
              </w:rPr>
              <w:t xml:space="preserve">half at </w:t>
            </w:r>
            <w:proofErr w:type="spellStart"/>
            <w:r w:rsidR="00E27622">
              <w:rPr>
                <w:bCs/>
              </w:rPr>
              <w:t>Lanyu</w:t>
            </w:r>
            <w:proofErr w:type="spellEnd"/>
            <w:r w:rsidR="00E27622">
              <w:rPr>
                <w:bCs/>
              </w:rPr>
              <w:t xml:space="preserve"> </w:t>
            </w:r>
            <w:r w:rsidRPr="008117F5">
              <w:rPr>
                <w:bCs/>
              </w:rPr>
              <w:t xml:space="preserve">and </w:t>
            </w:r>
            <w:r w:rsidR="00E27622">
              <w:rPr>
                <w:rFonts w:hint="eastAsia"/>
                <w:bCs/>
                <w:lang w:eastAsia="zh-TW"/>
              </w:rPr>
              <w:t xml:space="preserve">about 7% at </w:t>
            </w:r>
            <w:r w:rsidRPr="008117F5">
              <w:rPr>
                <w:bCs/>
              </w:rPr>
              <w:t>INER</w:t>
            </w:r>
            <w:r w:rsidR="00E27622">
              <w:rPr>
                <w:rFonts w:hint="eastAsia"/>
                <w:bCs/>
                <w:lang w:eastAsia="zh-TW"/>
              </w:rPr>
              <w:t xml:space="preserve">. </w:t>
            </w:r>
            <w:r w:rsidRPr="008117F5">
              <w:rPr>
                <w:rFonts w:hint="eastAsia"/>
                <w:bCs/>
              </w:rPr>
              <w:t xml:space="preserve"> </w:t>
            </w:r>
            <w:r w:rsidRPr="008117F5">
              <w:rPr>
                <w:bCs/>
              </w:rPr>
              <w:t xml:space="preserve">In order to lay down a legal process for site selection of LLW final disposal facility, the “Act on Sites for Establishment of Low Level Radioactive Waste Final Disposal Facility” was promulgated in 2006. The Ministry of Economic Affairs (MOEA) selected </w:t>
            </w:r>
            <w:r w:rsidR="00E27622">
              <w:rPr>
                <w:rFonts w:hint="eastAsia"/>
                <w:bCs/>
                <w:lang w:eastAsia="zh-TW"/>
              </w:rPr>
              <w:t xml:space="preserve">two locations </w:t>
            </w:r>
            <w:r w:rsidRPr="008117F5">
              <w:rPr>
                <w:bCs/>
              </w:rPr>
              <w:t>as Recommended Candidate Sites in July, 2012.</w:t>
            </w:r>
            <w:r w:rsidR="00E27622">
              <w:rPr>
                <w:rFonts w:hint="eastAsia"/>
                <w:bCs/>
                <w:lang w:eastAsia="zh-TW"/>
              </w:rPr>
              <w:t xml:space="preserve"> </w:t>
            </w:r>
            <w:r w:rsidR="00E27622">
              <w:rPr>
                <w:rFonts w:hint="eastAsia"/>
                <w:lang w:val="en-US" w:eastAsia="zh-TW"/>
              </w:rPr>
              <w:t>Local r</w:t>
            </w:r>
            <w:r w:rsidR="00E27622">
              <w:rPr>
                <w:lang w:val="en-US" w:eastAsia="zh-TW"/>
              </w:rPr>
              <w:t>eferendum</w:t>
            </w:r>
            <w:r w:rsidR="00E27622">
              <w:rPr>
                <w:rFonts w:hint="eastAsia"/>
                <w:lang w:val="en-US" w:eastAsia="zh-TW"/>
              </w:rPr>
              <w:t xml:space="preserve"> is required by law, however, local governments </w:t>
            </w:r>
            <w:r w:rsidR="00B12CBF">
              <w:rPr>
                <w:rFonts w:hint="eastAsia"/>
                <w:lang w:val="en-US" w:eastAsia="zh-TW"/>
              </w:rPr>
              <w:t xml:space="preserve">has not been </w:t>
            </w:r>
            <w:r w:rsidR="00E27622">
              <w:rPr>
                <w:rFonts w:hint="eastAsia"/>
                <w:lang w:val="en-US" w:eastAsia="zh-TW"/>
              </w:rPr>
              <w:t>cooperat</w:t>
            </w:r>
            <w:r w:rsidR="00B12CBF">
              <w:rPr>
                <w:rFonts w:hint="eastAsia"/>
                <w:lang w:val="en-US" w:eastAsia="zh-TW"/>
              </w:rPr>
              <w:t>ing</w:t>
            </w:r>
            <w:r w:rsidR="00E27622">
              <w:rPr>
                <w:rFonts w:hint="eastAsia"/>
                <w:lang w:val="en-US" w:eastAsia="zh-TW"/>
              </w:rPr>
              <w:t xml:space="preserve"> </w:t>
            </w:r>
            <w:r w:rsidR="00B12CBF">
              <w:rPr>
                <w:rFonts w:hint="eastAsia"/>
                <w:lang w:val="en-US" w:eastAsia="zh-TW"/>
              </w:rPr>
              <w:t xml:space="preserve">with </w:t>
            </w:r>
            <w:r w:rsidR="00B12CBF">
              <w:rPr>
                <w:lang w:val="en-US" w:eastAsia="zh-TW"/>
              </w:rPr>
              <w:t>the</w:t>
            </w:r>
            <w:r w:rsidR="00B12CBF">
              <w:rPr>
                <w:rFonts w:hint="eastAsia"/>
                <w:lang w:val="en-US" w:eastAsia="zh-TW"/>
              </w:rPr>
              <w:t xml:space="preserve"> central government </w:t>
            </w:r>
            <w:r w:rsidR="00E27622">
              <w:rPr>
                <w:rFonts w:hint="eastAsia"/>
                <w:lang w:val="en-US" w:eastAsia="zh-TW"/>
              </w:rPr>
              <w:t xml:space="preserve">in conducting </w:t>
            </w:r>
            <w:r w:rsidR="00B12CBF">
              <w:rPr>
                <w:rFonts w:hint="eastAsia"/>
                <w:lang w:val="en-US" w:eastAsia="zh-TW"/>
              </w:rPr>
              <w:t xml:space="preserve">such referendum </w:t>
            </w:r>
            <w:r w:rsidR="00E27622">
              <w:rPr>
                <w:rFonts w:hint="eastAsia"/>
                <w:lang w:val="en-US" w:eastAsia="zh-TW"/>
              </w:rPr>
              <w:t xml:space="preserve">due to significant pressure from antinuclear groups. Communications among all stake holders are much needed in order to move forward. </w:t>
            </w:r>
          </w:p>
          <w:p w:rsidR="00155701" w:rsidRPr="0081701A" w:rsidRDefault="008117F5" w:rsidP="00D74A1E">
            <w:pPr>
              <w:spacing w:after="120"/>
              <w:jc w:val="both"/>
              <w:rPr>
                <w:bCs/>
                <w:lang w:eastAsia="zh-TW"/>
              </w:rPr>
            </w:pPr>
            <w:r w:rsidRPr="008117F5">
              <w:rPr>
                <w:bCs/>
              </w:rPr>
              <w:t>The strateg</w:t>
            </w:r>
            <w:r w:rsidR="00D74A1E">
              <w:rPr>
                <w:bCs/>
              </w:rPr>
              <w:t>ies for spent fuel management</w:t>
            </w:r>
            <w:r w:rsidRPr="008117F5">
              <w:rPr>
                <w:bCs/>
              </w:rPr>
              <w:t xml:space="preserve"> are “storage in spent fuel pools for the near term, onsite dry storage for the medium term, and final disposal for the long term”. Currently, all spent nuclear fuels are stored in NPP storage pools. </w:t>
            </w:r>
            <w:r w:rsidR="00417D3E">
              <w:rPr>
                <w:rFonts w:hint="eastAsia"/>
                <w:bCs/>
                <w:lang w:eastAsia="zh-TW"/>
              </w:rPr>
              <w:t xml:space="preserve">As for onsite dry storage, </w:t>
            </w:r>
            <w:proofErr w:type="spellStart"/>
            <w:r w:rsidRPr="008117F5">
              <w:rPr>
                <w:bCs/>
              </w:rPr>
              <w:t>T</w:t>
            </w:r>
            <w:r w:rsidR="00E27622">
              <w:rPr>
                <w:rFonts w:hint="eastAsia"/>
                <w:bCs/>
                <w:lang w:eastAsia="zh-TW"/>
              </w:rPr>
              <w:t>aipower</w:t>
            </w:r>
            <w:proofErr w:type="spellEnd"/>
            <w:r w:rsidR="00E27622">
              <w:rPr>
                <w:rFonts w:hint="eastAsia"/>
                <w:bCs/>
                <w:lang w:eastAsia="zh-TW"/>
              </w:rPr>
              <w:t xml:space="preserve"> </w:t>
            </w:r>
            <w:r w:rsidRPr="008117F5">
              <w:rPr>
                <w:bCs/>
              </w:rPr>
              <w:t xml:space="preserve">completed the </w:t>
            </w:r>
            <w:r w:rsidR="00417D3E">
              <w:rPr>
                <w:rFonts w:hint="eastAsia"/>
                <w:bCs/>
                <w:lang w:eastAsia="zh-TW"/>
              </w:rPr>
              <w:t xml:space="preserve">construction </w:t>
            </w:r>
            <w:r w:rsidR="007D3700">
              <w:rPr>
                <w:rFonts w:hint="eastAsia"/>
                <w:bCs/>
                <w:lang w:eastAsia="zh-TW"/>
              </w:rPr>
              <w:t xml:space="preserve">and cold test </w:t>
            </w:r>
            <w:r w:rsidR="00417D3E">
              <w:rPr>
                <w:rFonts w:hint="eastAsia"/>
                <w:bCs/>
                <w:lang w:eastAsia="zh-TW"/>
              </w:rPr>
              <w:t xml:space="preserve">for </w:t>
            </w:r>
            <w:r w:rsidR="007D3700">
              <w:rPr>
                <w:rFonts w:hint="eastAsia"/>
                <w:bCs/>
                <w:lang w:eastAsia="zh-TW"/>
              </w:rPr>
              <w:t xml:space="preserve">the dry storage facility at </w:t>
            </w:r>
            <w:proofErr w:type="spellStart"/>
            <w:r w:rsidR="007D3700">
              <w:rPr>
                <w:rFonts w:hint="eastAsia"/>
                <w:bCs/>
                <w:lang w:eastAsia="zh-TW"/>
              </w:rPr>
              <w:t>Chinshan</w:t>
            </w:r>
            <w:proofErr w:type="spellEnd"/>
            <w:r w:rsidR="007D3700">
              <w:rPr>
                <w:rFonts w:hint="eastAsia"/>
                <w:bCs/>
                <w:lang w:eastAsia="zh-TW"/>
              </w:rPr>
              <w:t xml:space="preserve"> NPP in 2012; and has </w:t>
            </w:r>
            <w:r w:rsidR="00B12CBF">
              <w:rPr>
                <w:rFonts w:hint="eastAsia"/>
                <w:bCs/>
                <w:lang w:eastAsia="zh-TW"/>
              </w:rPr>
              <w:t xml:space="preserve">since </w:t>
            </w:r>
            <w:r w:rsidR="007D3700">
              <w:rPr>
                <w:rFonts w:hint="eastAsia"/>
                <w:bCs/>
                <w:lang w:eastAsia="zh-TW"/>
              </w:rPr>
              <w:t xml:space="preserve">been awaiting </w:t>
            </w:r>
            <w:r w:rsidR="00417D3E">
              <w:rPr>
                <w:rFonts w:hint="eastAsia"/>
                <w:bCs/>
                <w:lang w:eastAsia="zh-TW"/>
              </w:rPr>
              <w:t>approval of its</w:t>
            </w:r>
            <w:r w:rsidR="00417D3E" w:rsidRPr="008117F5">
              <w:rPr>
                <w:bCs/>
              </w:rPr>
              <w:t xml:space="preserve"> Water and Soil Conservation </w:t>
            </w:r>
            <w:r w:rsidR="00B12CBF">
              <w:rPr>
                <w:rFonts w:hint="eastAsia"/>
                <w:bCs/>
                <w:lang w:eastAsia="zh-TW"/>
              </w:rPr>
              <w:t xml:space="preserve">Plan </w:t>
            </w:r>
            <w:r w:rsidR="00417D3E">
              <w:rPr>
                <w:rFonts w:hint="eastAsia"/>
                <w:bCs/>
                <w:lang w:eastAsia="zh-TW"/>
              </w:rPr>
              <w:t xml:space="preserve">by </w:t>
            </w:r>
            <w:r w:rsidR="00417D3E" w:rsidRPr="008117F5">
              <w:rPr>
                <w:bCs/>
              </w:rPr>
              <w:t>New Taipei City Government</w:t>
            </w:r>
            <w:r w:rsidR="00417D3E">
              <w:rPr>
                <w:rFonts w:hint="eastAsia"/>
                <w:bCs/>
                <w:lang w:eastAsia="zh-TW"/>
              </w:rPr>
              <w:t xml:space="preserve"> to</w:t>
            </w:r>
            <w:r w:rsidRPr="008117F5">
              <w:rPr>
                <w:bCs/>
              </w:rPr>
              <w:t xml:space="preserve"> carry out hot test</w:t>
            </w:r>
            <w:r w:rsidR="00417D3E">
              <w:rPr>
                <w:rFonts w:hint="eastAsia"/>
                <w:bCs/>
                <w:lang w:eastAsia="zh-TW"/>
              </w:rPr>
              <w:t xml:space="preserve">, then </w:t>
            </w:r>
            <w:r w:rsidR="00BD5AF5">
              <w:rPr>
                <w:rFonts w:hint="eastAsia"/>
                <w:bCs/>
                <w:lang w:eastAsia="zh-TW"/>
              </w:rPr>
              <w:t xml:space="preserve">if </w:t>
            </w:r>
            <w:r w:rsidR="00417D3E">
              <w:rPr>
                <w:rFonts w:hint="eastAsia"/>
                <w:bCs/>
                <w:lang w:eastAsia="zh-TW"/>
              </w:rPr>
              <w:t>passed</w:t>
            </w:r>
            <w:r w:rsidR="00BD5AF5">
              <w:rPr>
                <w:rFonts w:hint="eastAsia"/>
                <w:bCs/>
                <w:lang w:eastAsia="zh-TW"/>
              </w:rPr>
              <w:t xml:space="preserve">, begin operation. </w:t>
            </w:r>
            <w:r w:rsidR="004F076D">
              <w:rPr>
                <w:rFonts w:hint="eastAsia"/>
                <w:bCs/>
                <w:lang w:eastAsia="zh-TW"/>
              </w:rPr>
              <w:t>Delays of the project have also been largely caused by mass anti-nuclear activities. A similar</w:t>
            </w:r>
            <w:r w:rsidR="00BD5AF5">
              <w:rPr>
                <w:rFonts w:hint="eastAsia"/>
                <w:bCs/>
                <w:lang w:eastAsia="zh-TW"/>
              </w:rPr>
              <w:t xml:space="preserve"> project </w:t>
            </w:r>
            <w:r w:rsidR="004F076D">
              <w:rPr>
                <w:rFonts w:hint="eastAsia"/>
                <w:bCs/>
                <w:lang w:eastAsia="zh-TW"/>
              </w:rPr>
              <w:t xml:space="preserve">on </w:t>
            </w:r>
            <w:r w:rsidR="00BD5AF5">
              <w:rPr>
                <w:rFonts w:hint="eastAsia"/>
                <w:bCs/>
                <w:lang w:eastAsia="zh-TW"/>
              </w:rPr>
              <w:t xml:space="preserve">dry storage </w:t>
            </w:r>
            <w:r w:rsidR="004F076D">
              <w:rPr>
                <w:rFonts w:hint="eastAsia"/>
                <w:bCs/>
                <w:lang w:eastAsia="zh-TW"/>
              </w:rPr>
              <w:t xml:space="preserve">of spent fuel </w:t>
            </w:r>
            <w:r w:rsidRPr="008117F5">
              <w:rPr>
                <w:bCs/>
              </w:rPr>
              <w:t xml:space="preserve">at </w:t>
            </w:r>
            <w:proofErr w:type="spellStart"/>
            <w:r w:rsidRPr="008117F5">
              <w:rPr>
                <w:bCs/>
              </w:rPr>
              <w:t>Kuosheng</w:t>
            </w:r>
            <w:proofErr w:type="spellEnd"/>
            <w:r w:rsidRPr="008117F5">
              <w:rPr>
                <w:bCs/>
              </w:rPr>
              <w:t xml:space="preserve"> NP</w:t>
            </w:r>
            <w:r w:rsidR="00BD5AF5">
              <w:rPr>
                <w:rFonts w:hint="eastAsia"/>
                <w:bCs/>
                <w:lang w:eastAsia="zh-TW"/>
              </w:rPr>
              <w:t xml:space="preserve">P </w:t>
            </w:r>
            <w:r w:rsidR="002D4F69">
              <w:rPr>
                <w:rFonts w:hint="eastAsia"/>
                <w:bCs/>
                <w:lang w:eastAsia="zh-TW"/>
              </w:rPr>
              <w:t>is</w:t>
            </w:r>
            <w:r w:rsidR="00BD5AF5">
              <w:rPr>
                <w:rFonts w:hint="eastAsia"/>
                <w:bCs/>
                <w:lang w:eastAsia="zh-TW"/>
              </w:rPr>
              <w:t xml:space="preserve"> also in progress. </w:t>
            </w:r>
            <w:r w:rsidR="002D4F69">
              <w:rPr>
                <w:rFonts w:hint="eastAsia"/>
                <w:bCs/>
                <w:lang w:eastAsia="zh-TW"/>
              </w:rPr>
              <w:t xml:space="preserve">As to the final disposal, geological </w:t>
            </w:r>
            <w:r w:rsidR="002D4F69">
              <w:rPr>
                <w:bCs/>
                <w:lang w:eastAsia="zh-TW"/>
              </w:rPr>
              <w:t>assessment</w:t>
            </w:r>
            <w:r w:rsidR="002D4F69">
              <w:rPr>
                <w:rFonts w:hint="eastAsia"/>
                <w:bCs/>
                <w:lang w:eastAsia="zh-TW"/>
              </w:rPr>
              <w:t xml:space="preserve">s (2005-2017) are being conducted to determine suitable siting regions for spent nuclear fuel. </w:t>
            </w:r>
          </w:p>
        </w:tc>
      </w:tr>
      <w:tr w:rsidR="00155701" w:rsidTr="00194610">
        <w:tc>
          <w:tcPr>
            <w:tcW w:w="3227" w:type="dxa"/>
          </w:tcPr>
          <w:p w:rsidR="00155701" w:rsidRDefault="00155701" w:rsidP="00155701">
            <w:pPr>
              <w:spacing w:after="120"/>
            </w:pPr>
            <w:r w:rsidRPr="00584076">
              <w:rPr>
                <w:color w:val="000000" w:themeColor="text1"/>
              </w:rPr>
              <w:t>Research</w:t>
            </w:r>
          </w:p>
        </w:tc>
        <w:tc>
          <w:tcPr>
            <w:tcW w:w="6015" w:type="dxa"/>
          </w:tcPr>
          <w:p w:rsidR="009D13F5" w:rsidRDefault="007B6921" w:rsidP="00D74A1E">
            <w:pPr>
              <w:spacing w:after="120"/>
              <w:jc w:val="both"/>
              <w:rPr>
                <w:lang w:val="en-AU" w:eastAsia="zh-TW"/>
              </w:rPr>
            </w:pPr>
            <w:r>
              <w:rPr>
                <w:rFonts w:hint="eastAsia"/>
                <w:lang w:val="en-US" w:eastAsia="zh-TW"/>
              </w:rPr>
              <w:t>The</w:t>
            </w:r>
            <w:r w:rsidRPr="0099602D">
              <w:rPr>
                <w:lang w:val="en-US" w:eastAsia="zh-TW"/>
              </w:rPr>
              <w:t xml:space="preserve"> </w:t>
            </w:r>
            <w:r w:rsidRPr="0099602D">
              <w:rPr>
                <w:lang w:val="en-AU" w:eastAsia="zh-TW"/>
              </w:rPr>
              <w:t xml:space="preserve">National Synchrotron Radiation Research </w:t>
            </w:r>
            <w:proofErr w:type="spellStart"/>
            <w:r w:rsidRPr="0099602D">
              <w:rPr>
                <w:lang w:val="en-AU" w:eastAsia="zh-TW"/>
              </w:rPr>
              <w:t>Center</w:t>
            </w:r>
            <w:proofErr w:type="spellEnd"/>
            <w:r w:rsidRPr="0099602D">
              <w:rPr>
                <w:lang w:val="en-AU" w:eastAsia="zh-TW"/>
              </w:rPr>
              <w:t xml:space="preserve"> (NSRRC)</w:t>
            </w:r>
            <w:r>
              <w:rPr>
                <w:rFonts w:hint="eastAsia"/>
                <w:lang w:val="en-AU" w:eastAsia="zh-TW"/>
              </w:rPr>
              <w:t xml:space="preserve"> houses the </w:t>
            </w:r>
            <w:r>
              <w:rPr>
                <w:lang w:val="en-AU" w:eastAsia="zh-TW"/>
              </w:rPr>
              <w:t>“</w:t>
            </w:r>
            <w:r>
              <w:rPr>
                <w:rFonts w:hint="eastAsia"/>
                <w:lang w:val="en-AU" w:eastAsia="zh-TW"/>
              </w:rPr>
              <w:t>Taiwan Light Source</w:t>
            </w:r>
            <w:r>
              <w:rPr>
                <w:lang w:val="en-AU" w:eastAsia="zh-TW"/>
              </w:rPr>
              <w:t>”</w:t>
            </w:r>
            <w:r>
              <w:rPr>
                <w:rFonts w:hint="eastAsia"/>
                <w:lang w:val="en-AU" w:eastAsia="zh-TW"/>
              </w:rPr>
              <w:t xml:space="preserve"> and </w:t>
            </w:r>
            <w:r>
              <w:rPr>
                <w:lang w:val="en-AU" w:eastAsia="zh-TW"/>
              </w:rPr>
              <w:t>“</w:t>
            </w:r>
            <w:r>
              <w:rPr>
                <w:rFonts w:hint="eastAsia"/>
                <w:lang w:val="en-AU" w:eastAsia="zh-TW"/>
              </w:rPr>
              <w:t>Taiwan Photon Source</w:t>
            </w:r>
            <w:r>
              <w:rPr>
                <w:lang w:val="en-AU" w:eastAsia="zh-TW"/>
              </w:rPr>
              <w:t>”</w:t>
            </w:r>
            <w:r>
              <w:rPr>
                <w:rFonts w:hint="eastAsia"/>
                <w:lang w:val="en-AU" w:eastAsia="zh-TW"/>
              </w:rPr>
              <w:t>, the la</w:t>
            </w:r>
            <w:r w:rsidR="00DC6BA2">
              <w:rPr>
                <w:rFonts w:hint="eastAsia"/>
                <w:lang w:val="en-AU" w:eastAsia="zh-TW"/>
              </w:rPr>
              <w:t>t</w:t>
            </w:r>
            <w:r>
              <w:rPr>
                <w:rFonts w:hint="eastAsia"/>
                <w:lang w:val="en-AU" w:eastAsia="zh-TW"/>
              </w:rPr>
              <w:t>ter</w:t>
            </w:r>
            <w:r w:rsidR="006B6777">
              <w:rPr>
                <w:rFonts w:hint="eastAsia"/>
                <w:lang w:val="en-AU" w:eastAsia="zh-TW"/>
              </w:rPr>
              <w:t xml:space="preserve">, </w:t>
            </w:r>
            <w:r w:rsidR="006B6777">
              <w:rPr>
                <w:lang w:val="en-AU" w:eastAsia="zh-TW"/>
              </w:rPr>
              <w:t>inaugurated</w:t>
            </w:r>
            <w:r w:rsidR="006B6777">
              <w:rPr>
                <w:rFonts w:hint="eastAsia"/>
                <w:lang w:val="en-AU" w:eastAsia="zh-TW"/>
              </w:rPr>
              <w:t xml:space="preserve"> in January 2015,</w:t>
            </w:r>
            <w:r>
              <w:rPr>
                <w:rFonts w:hint="eastAsia"/>
                <w:lang w:val="en-AU" w:eastAsia="zh-TW"/>
              </w:rPr>
              <w:t xml:space="preserve"> </w:t>
            </w:r>
            <w:r w:rsidR="00DB7E24">
              <w:rPr>
                <w:rFonts w:hint="eastAsia"/>
                <w:lang w:val="en-AU" w:eastAsia="zh-TW"/>
              </w:rPr>
              <w:t xml:space="preserve">will soon </w:t>
            </w:r>
            <w:r w:rsidR="006B6777">
              <w:rPr>
                <w:rFonts w:hint="eastAsia"/>
                <w:lang w:val="en-AU" w:eastAsia="zh-TW"/>
              </w:rPr>
              <w:t xml:space="preserve">become one of the </w:t>
            </w:r>
            <w:r w:rsidR="008025C4">
              <w:rPr>
                <w:rFonts w:hint="eastAsia"/>
                <w:lang w:val="en-AU" w:eastAsia="zh-TW"/>
              </w:rPr>
              <w:t>world</w:t>
            </w:r>
            <w:r w:rsidR="008025C4">
              <w:rPr>
                <w:lang w:val="en-AU" w:eastAsia="zh-TW"/>
              </w:rPr>
              <w:t>’</w:t>
            </w:r>
            <w:r w:rsidR="008025C4">
              <w:rPr>
                <w:rFonts w:hint="eastAsia"/>
                <w:lang w:val="en-AU" w:eastAsia="zh-TW"/>
              </w:rPr>
              <w:t xml:space="preserve">s brightest </w:t>
            </w:r>
            <w:r w:rsidR="006B6777">
              <w:rPr>
                <w:rFonts w:hint="eastAsia"/>
                <w:lang w:val="en-AU" w:eastAsia="zh-TW"/>
              </w:rPr>
              <w:t xml:space="preserve">sources </w:t>
            </w:r>
            <w:r w:rsidR="008025C4">
              <w:rPr>
                <w:rFonts w:hint="eastAsia"/>
                <w:lang w:val="en-AU" w:eastAsia="zh-TW"/>
              </w:rPr>
              <w:t>of X-rays</w:t>
            </w:r>
            <w:r w:rsidR="006B6777">
              <w:rPr>
                <w:rFonts w:hint="eastAsia"/>
                <w:lang w:val="en-AU" w:eastAsia="zh-TW"/>
              </w:rPr>
              <w:t xml:space="preserve">. </w:t>
            </w:r>
          </w:p>
          <w:p w:rsidR="00155701" w:rsidRPr="00ED7F24" w:rsidRDefault="00A378AB" w:rsidP="00D74A1E">
            <w:pPr>
              <w:spacing w:after="120"/>
              <w:jc w:val="both"/>
              <w:rPr>
                <w:color w:val="365F91" w:themeColor="accent1" w:themeShade="BF"/>
              </w:rPr>
            </w:pPr>
            <w:r>
              <w:rPr>
                <w:rFonts w:hint="eastAsia"/>
                <w:lang w:val="en-AU" w:eastAsia="zh-TW"/>
              </w:rPr>
              <w:t>Major research activities conducted by INER include</w:t>
            </w:r>
            <w:r w:rsidR="00584076">
              <w:rPr>
                <w:rFonts w:hint="eastAsia"/>
                <w:lang w:val="en-AU" w:eastAsia="zh-TW"/>
              </w:rPr>
              <w:t xml:space="preserve">, among </w:t>
            </w:r>
            <w:r w:rsidR="00584076">
              <w:rPr>
                <w:rFonts w:hint="eastAsia"/>
                <w:lang w:val="en-AU" w:eastAsia="zh-TW"/>
              </w:rPr>
              <w:lastRenderedPageBreak/>
              <w:t>others</w:t>
            </w:r>
            <w:r>
              <w:rPr>
                <w:rFonts w:hint="eastAsia"/>
                <w:lang w:val="en-AU" w:eastAsia="zh-TW"/>
              </w:rPr>
              <w:t xml:space="preserve">: </w:t>
            </w:r>
            <w:r>
              <w:rPr>
                <w:lang w:val="en-AU" w:eastAsia="zh-TW"/>
              </w:rPr>
              <w:t>structural</w:t>
            </w:r>
            <w:r>
              <w:rPr>
                <w:rFonts w:hint="eastAsia"/>
                <w:lang w:val="en-AU" w:eastAsia="zh-TW"/>
              </w:rPr>
              <w:t xml:space="preserve"> integrity of nuclear </w:t>
            </w:r>
            <w:r>
              <w:rPr>
                <w:lang w:val="en-AU" w:eastAsia="zh-TW"/>
              </w:rPr>
              <w:t>components</w:t>
            </w:r>
            <w:r>
              <w:rPr>
                <w:rFonts w:hint="eastAsia"/>
                <w:lang w:val="en-AU" w:eastAsia="zh-TW"/>
              </w:rPr>
              <w:t xml:space="preserve"> and fuel cladding, </w:t>
            </w:r>
            <w:r w:rsidR="00F30F96">
              <w:rPr>
                <w:rFonts w:hint="eastAsia"/>
                <w:lang w:val="en-AU" w:eastAsia="zh-TW"/>
              </w:rPr>
              <w:t xml:space="preserve">development and applications of plasma technologies for nuclear power system lifecycle, clearing legacy nuclear facilities, construction of nuclear industry platform, </w:t>
            </w:r>
            <w:r w:rsidR="00584076">
              <w:rPr>
                <w:rFonts w:hint="eastAsia"/>
                <w:lang w:val="en-AU" w:eastAsia="zh-TW"/>
              </w:rPr>
              <w:t xml:space="preserve">development of solar photovoltaic technology, and development and applications of plasma technologies in the green energy-saving environment.  </w:t>
            </w:r>
          </w:p>
        </w:tc>
      </w:tr>
      <w:tr w:rsidR="00155701" w:rsidTr="00194610">
        <w:tc>
          <w:tcPr>
            <w:tcW w:w="3227" w:type="dxa"/>
          </w:tcPr>
          <w:p w:rsidR="00155701" w:rsidRDefault="00155701" w:rsidP="00155701">
            <w:pPr>
              <w:spacing w:after="120"/>
            </w:pPr>
            <w:r w:rsidRPr="00BD5AF5">
              <w:rPr>
                <w:color w:val="000000" w:themeColor="text1"/>
              </w:rPr>
              <w:lastRenderedPageBreak/>
              <w:t>Post-Fukushima</w:t>
            </w:r>
          </w:p>
        </w:tc>
        <w:tc>
          <w:tcPr>
            <w:tcW w:w="6015" w:type="dxa"/>
          </w:tcPr>
          <w:p w:rsidR="000B4DA9" w:rsidRPr="00C200C5" w:rsidRDefault="000447D7" w:rsidP="00D74A1E">
            <w:pPr>
              <w:spacing w:after="120"/>
              <w:jc w:val="both"/>
              <w:rPr>
                <w:rFonts w:eastAsia="PMingLiU"/>
                <w:bCs/>
                <w:color w:val="000000" w:themeColor="text1"/>
                <w:lang w:eastAsia="zh-TW"/>
              </w:rPr>
            </w:pPr>
            <w:r w:rsidRPr="00C200C5">
              <w:rPr>
                <w:color w:val="000000" w:themeColor="text1"/>
                <w:lang w:eastAsia="zh-TW"/>
              </w:rPr>
              <w:t xml:space="preserve">While nuclear power plants continued to operate without interruption </w:t>
            </w:r>
            <w:r w:rsidR="00155701" w:rsidRPr="00C200C5">
              <w:rPr>
                <w:color w:val="000000" w:themeColor="text1"/>
              </w:rPr>
              <w:t xml:space="preserve">since the Fukushima </w:t>
            </w:r>
            <w:r w:rsidR="00087C19" w:rsidRPr="00C200C5">
              <w:rPr>
                <w:color w:val="000000" w:themeColor="text1"/>
              </w:rPr>
              <w:t>accident</w:t>
            </w:r>
            <w:r w:rsidRPr="00C200C5">
              <w:rPr>
                <w:color w:val="000000" w:themeColor="text1"/>
                <w:lang w:eastAsia="zh-TW"/>
              </w:rPr>
              <w:t xml:space="preserve">, all of the </w:t>
            </w:r>
            <w:r w:rsidR="00155701" w:rsidRPr="00C200C5">
              <w:rPr>
                <w:color w:val="000000" w:themeColor="text1"/>
              </w:rPr>
              <w:t xml:space="preserve">facilities </w:t>
            </w:r>
            <w:r w:rsidRPr="00C200C5">
              <w:rPr>
                <w:color w:val="000000" w:themeColor="text1"/>
                <w:lang w:eastAsia="zh-TW"/>
              </w:rPr>
              <w:t xml:space="preserve">have </w:t>
            </w:r>
            <w:r w:rsidR="00155701" w:rsidRPr="00C200C5">
              <w:rPr>
                <w:color w:val="000000" w:themeColor="text1"/>
              </w:rPr>
              <w:t>undergone a safety evalua</w:t>
            </w:r>
            <w:r w:rsidR="00AF10A9" w:rsidRPr="00C200C5">
              <w:rPr>
                <w:color w:val="000000" w:themeColor="text1"/>
              </w:rPr>
              <w:t>tion</w:t>
            </w:r>
            <w:r w:rsidR="000B4DA9" w:rsidRPr="00C200C5">
              <w:rPr>
                <w:color w:val="000000" w:themeColor="text1"/>
                <w:lang w:eastAsia="zh-TW"/>
              </w:rPr>
              <w:t xml:space="preserve"> for </w:t>
            </w:r>
            <w:r w:rsidR="000B4DA9" w:rsidRPr="00C200C5">
              <w:rPr>
                <w:bCs/>
                <w:color w:val="000000" w:themeColor="text1"/>
              </w:rPr>
              <w:t>its capability to cope with extreme natural disasters, including earthquakes, tsunamis, extreme rainfalls and mudslides resulted from the related hazards, and take possible countermeasures. The reassessment program comprises two parts: (1) nuclear safety, and (2) radiation protection and emergency response preparedness. The outcome provides a comprehensive background on radioactive hazards, and how to protect against them, as well as an overview of the enhancement measures to nuclear safety and security for the accidents in light of the Fukushima accident. Lessons learned from the Fukushima accident as well as relevant international</w:t>
            </w:r>
            <w:r w:rsidR="000B4DA9" w:rsidRPr="00C200C5">
              <w:rPr>
                <w:rFonts w:eastAsia="PMingLiU"/>
                <w:bCs/>
                <w:color w:val="000000" w:themeColor="text1"/>
                <w:lang w:eastAsia="zh-TW"/>
              </w:rPr>
              <w:t xml:space="preserve"> </w:t>
            </w:r>
            <w:r w:rsidR="000B4DA9" w:rsidRPr="00C200C5">
              <w:rPr>
                <w:bCs/>
                <w:color w:val="000000" w:themeColor="text1"/>
              </w:rPr>
              <w:t>information available were used as references in the safety reassessment.</w:t>
            </w:r>
          </w:p>
          <w:p w:rsidR="00155701" w:rsidRPr="00C200C5" w:rsidRDefault="000B4DA9" w:rsidP="00D74A1E">
            <w:pPr>
              <w:spacing w:after="120"/>
              <w:jc w:val="both"/>
              <w:rPr>
                <w:bCs/>
                <w:color w:val="000000" w:themeColor="text1"/>
                <w:lang w:eastAsia="zh-TW"/>
              </w:rPr>
            </w:pPr>
            <w:r w:rsidRPr="00C200C5">
              <w:rPr>
                <w:rFonts w:eastAsia="PMingLiU"/>
                <w:bCs/>
                <w:color w:val="000000" w:themeColor="text1"/>
                <w:lang w:eastAsia="zh-TW"/>
              </w:rPr>
              <w:t xml:space="preserve">The key </w:t>
            </w:r>
            <w:r w:rsidRPr="00C200C5">
              <w:rPr>
                <w:bCs/>
                <w:color w:val="000000" w:themeColor="text1"/>
              </w:rPr>
              <w:t xml:space="preserve">safety reassessment </w:t>
            </w:r>
            <w:r w:rsidRPr="00C200C5">
              <w:rPr>
                <w:rFonts w:eastAsia="PMingLiU"/>
                <w:bCs/>
                <w:color w:val="000000" w:themeColor="text1"/>
                <w:lang w:eastAsia="zh-TW"/>
              </w:rPr>
              <w:t>results including</w:t>
            </w:r>
            <w:r w:rsidRPr="00C200C5">
              <w:rPr>
                <w:bCs/>
                <w:color w:val="000000" w:themeColor="text1"/>
              </w:rPr>
              <w:t xml:space="preserve"> the enhancement of capability to mitigate a </w:t>
            </w:r>
            <w:r w:rsidRPr="00B12CBF">
              <w:rPr>
                <w:bCs/>
                <w:szCs w:val="24"/>
              </w:rPr>
              <w:t>prolonged</w:t>
            </w:r>
            <w:r w:rsidRPr="00C200C5">
              <w:rPr>
                <w:bCs/>
                <w:color w:val="000000" w:themeColor="text1"/>
              </w:rPr>
              <w:t xml:space="preserve"> station blackout, protection against tsunami hazards, spent fuel pool cooling, hydrogen detection and explosion prevention, severe accident </w:t>
            </w:r>
            <w:r w:rsidRPr="00C200C5">
              <w:rPr>
                <w:bCs/>
                <w:color w:val="000000" w:themeColor="text1"/>
                <w:szCs w:val="24"/>
              </w:rPr>
              <w:t>management, protection against seismic hazards, critical i</w:t>
            </w:r>
            <w:r w:rsidRPr="00C200C5">
              <w:rPr>
                <w:bCs/>
                <w:color w:val="000000" w:themeColor="text1"/>
              </w:rPr>
              <w:t>nfrastructure, and safety culture.</w:t>
            </w:r>
            <w:r w:rsidRPr="00C200C5">
              <w:rPr>
                <w:bCs/>
                <w:color w:val="000000" w:themeColor="text1"/>
                <w:lang w:eastAsia="zh-TW"/>
              </w:rPr>
              <w:t xml:space="preserve"> </w:t>
            </w:r>
          </w:p>
          <w:p w:rsidR="00C200C5" w:rsidRPr="00C200C5" w:rsidRDefault="00C200C5" w:rsidP="00D74A1E">
            <w:pPr>
              <w:spacing w:after="120"/>
              <w:jc w:val="both"/>
              <w:rPr>
                <w:bCs/>
                <w:color w:val="000000" w:themeColor="text1"/>
                <w:lang w:eastAsia="zh-TW"/>
              </w:rPr>
            </w:pPr>
            <w:r w:rsidRPr="00C200C5">
              <w:rPr>
                <w:rFonts w:hint="eastAsia"/>
                <w:bCs/>
                <w:color w:val="000000" w:themeColor="text1"/>
                <w:lang w:eastAsia="zh-TW"/>
              </w:rPr>
              <w:t xml:space="preserve">In the area of </w:t>
            </w:r>
            <w:r w:rsidRPr="00C200C5">
              <w:rPr>
                <w:rFonts w:hint="eastAsia"/>
                <w:bCs/>
                <w:color w:val="000000" w:themeColor="text1"/>
              </w:rPr>
              <w:t>radiation</w:t>
            </w:r>
            <w:r w:rsidRPr="00C200C5">
              <w:rPr>
                <w:rFonts w:hint="eastAsia"/>
                <w:bCs/>
                <w:color w:val="000000" w:themeColor="text1"/>
                <w:lang w:eastAsia="zh-TW"/>
              </w:rPr>
              <w:t xml:space="preserve"> protection, </w:t>
            </w:r>
            <w:r w:rsidR="00B12CBF" w:rsidRPr="002308FA">
              <w:rPr>
                <w:bCs/>
                <w:szCs w:val="24"/>
              </w:rPr>
              <w:t>capabilities have</w:t>
            </w:r>
            <w:r w:rsidRPr="002308FA">
              <w:rPr>
                <w:bCs/>
                <w:szCs w:val="24"/>
              </w:rPr>
              <w:t xml:space="preserve"> </w:t>
            </w:r>
            <w:r>
              <w:rPr>
                <w:rFonts w:hint="eastAsia"/>
                <w:bCs/>
                <w:szCs w:val="24"/>
                <w:lang w:eastAsia="zh-TW"/>
              </w:rPr>
              <w:t xml:space="preserve">been </w:t>
            </w:r>
            <w:r w:rsidRPr="002308FA">
              <w:rPr>
                <w:bCs/>
                <w:szCs w:val="24"/>
              </w:rPr>
              <w:t>strengthened to support a</w:t>
            </w:r>
            <w:r>
              <w:rPr>
                <w:rFonts w:hint="eastAsia"/>
                <w:bCs/>
                <w:szCs w:val="24"/>
                <w:lang w:eastAsia="zh-TW"/>
              </w:rPr>
              <w:t>n</w:t>
            </w:r>
            <w:r w:rsidRPr="002308FA">
              <w:rPr>
                <w:bCs/>
                <w:szCs w:val="24"/>
              </w:rPr>
              <w:t xml:space="preserve"> established Radiation Detection Information System. The platform will be able to integrate </w:t>
            </w:r>
            <w:proofErr w:type="gramStart"/>
            <w:r w:rsidRPr="002308FA">
              <w:rPr>
                <w:bCs/>
                <w:szCs w:val="24"/>
              </w:rPr>
              <w:t xml:space="preserve">various environmental radiation information for </w:t>
            </w:r>
            <w:r w:rsidRPr="002308FA">
              <w:rPr>
                <w:rFonts w:eastAsia="PMingLiU"/>
                <w:bCs/>
                <w:szCs w:val="24"/>
                <w:lang w:eastAsia="zh-TW"/>
              </w:rPr>
              <w:t xml:space="preserve">the </w:t>
            </w:r>
            <w:r w:rsidRPr="002308FA">
              <w:rPr>
                <w:bCs/>
                <w:szCs w:val="24"/>
              </w:rPr>
              <w:t>government</w:t>
            </w:r>
            <w:r w:rsidRPr="002308FA">
              <w:rPr>
                <w:rFonts w:eastAsia="PMingLiU"/>
                <w:bCs/>
                <w:szCs w:val="24"/>
                <w:lang w:eastAsia="zh-TW"/>
              </w:rPr>
              <w:t xml:space="preserve"> </w:t>
            </w:r>
            <w:r w:rsidRPr="002308FA">
              <w:rPr>
                <w:bCs/>
                <w:szCs w:val="24"/>
              </w:rPr>
              <w:t>to provide immediate alarms</w:t>
            </w:r>
            <w:r w:rsidRPr="002308FA">
              <w:rPr>
                <w:rFonts w:eastAsia="PMingLiU"/>
                <w:bCs/>
                <w:szCs w:val="24"/>
                <w:lang w:eastAsia="zh-TW"/>
              </w:rPr>
              <w:t xml:space="preserve"> </w:t>
            </w:r>
            <w:r w:rsidRPr="002308FA">
              <w:rPr>
                <w:bCs/>
                <w:szCs w:val="24"/>
              </w:rPr>
              <w:t>and for the people to take shelter or evacuation actions</w:t>
            </w:r>
            <w:proofErr w:type="gramEnd"/>
            <w:r w:rsidRPr="002308FA">
              <w:rPr>
                <w:bCs/>
                <w:szCs w:val="24"/>
              </w:rPr>
              <w:t>.</w:t>
            </w:r>
          </w:p>
          <w:p w:rsidR="00C200C5" w:rsidRDefault="00C200C5" w:rsidP="00D74A1E">
            <w:pPr>
              <w:spacing w:after="120"/>
              <w:jc w:val="both"/>
              <w:rPr>
                <w:color w:val="000000" w:themeColor="text1"/>
                <w:lang w:eastAsia="zh-TW"/>
              </w:rPr>
            </w:pPr>
            <w:r w:rsidRPr="00C200C5">
              <w:rPr>
                <w:bCs/>
                <w:color w:val="000000" w:themeColor="text1"/>
              </w:rPr>
              <w:t xml:space="preserve">For the Emergency </w:t>
            </w:r>
            <w:r w:rsidRPr="00C200C5">
              <w:rPr>
                <w:bCs/>
                <w:color w:val="000000" w:themeColor="text1"/>
                <w:lang w:eastAsia="zh-TW"/>
              </w:rPr>
              <w:t>Preparedness</w:t>
            </w:r>
            <w:r w:rsidRPr="00C200C5">
              <w:rPr>
                <w:bCs/>
                <w:color w:val="000000" w:themeColor="text1"/>
              </w:rPr>
              <w:t xml:space="preserve">, </w:t>
            </w:r>
            <w:r w:rsidRPr="00C200C5">
              <w:rPr>
                <w:rFonts w:hint="eastAsia"/>
                <w:bCs/>
                <w:color w:val="000000" w:themeColor="text1"/>
                <w:lang w:eastAsia="zh-TW"/>
              </w:rPr>
              <w:t xml:space="preserve">enhancements are being implemented for </w:t>
            </w:r>
            <w:r w:rsidRPr="00C200C5">
              <w:rPr>
                <w:bCs/>
                <w:color w:val="000000" w:themeColor="text1"/>
              </w:rPr>
              <w:t>emergency communication, alert and notification system, iodine tablet arrangements and evacuation and reception.</w:t>
            </w:r>
            <w:r w:rsidRPr="00C200C5">
              <w:rPr>
                <w:rFonts w:hint="eastAsia"/>
                <w:bCs/>
                <w:color w:val="000000" w:themeColor="text1"/>
                <w:lang w:eastAsia="zh-TW"/>
              </w:rPr>
              <w:t xml:space="preserve"> In addition, </w:t>
            </w:r>
            <w:r w:rsidRPr="00C200C5">
              <w:rPr>
                <w:color w:val="000000" w:themeColor="text1"/>
              </w:rPr>
              <w:t>the evaluation system, geographical information systems (GIS) for nuclear emergency planning and nuclear emergency management platform system</w:t>
            </w:r>
            <w:r w:rsidRPr="00C200C5">
              <w:rPr>
                <w:rFonts w:hint="eastAsia"/>
                <w:color w:val="000000" w:themeColor="text1"/>
                <w:lang w:eastAsia="zh-TW"/>
              </w:rPr>
              <w:t xml:space="preserve"> were also reinforced.</w:t>
            </w:r>
          </w:p>
          <w:p w:rsidR="004602AA" w:rsidRDefault="005B105D" w:rsidP="00D74A1E">
            <w:pPr>
              <w:spacing w:after="120"/>
              <w:jc w:val="both"/>
              <w:rPr>
                <w:bCs/>
                <w:color w:val="000000" w:themeColor="text1"/>
                <w:lang w:eastAsia="zh-TW"/>
              </w:rPr>
            </w:pPr>
            <w:r>
              <w:rPr>
                <w:rFonts w:hint="eastAsia"/>
                <w:bCs/>
                <w:color w:val="000000" w:themeColor="text1"/>
                <w:lang w:eastAsia="zh-TW"/>
              </w:rPr>
              <w:t>Peer r</w:t>
            </w:r>
            <w:r w:rsidR="004602AA">
              <w:rPr>
                <w:rFonts w:hint="eastAsia"/>
                <w:bCs/>
                <w:color w:val="000000" w:themeColor="text1"/>
                <w:lang w:eastAsia="zh-TW"/>
              </w:rPr>
              <w:t>eviews by i</w:t>
            </w:r>
            <w:r w:rsidR="000B4DA9" w:rsidRPr="004602AA">
              <w:rPr>
                <w:bCs/>
                <w:color w:val="000000" w:themeColor="text1"/>
                <w:lang w:eastAsia="zh-TW"/>
              </w:rPr>
              <w:t>nternational</w:t>
            </w:r>
            <w:r w:rsidR="004602AA">
              <w:rPr>
                <w:rFonts w:hint="eastAsia"/>
                <w:bCs/>
                <w:color w:val="000000" w:themeColor="text1"/>
                <w:lang w:eastAsia="zh-TW"/>
              </w:rPr>
              <w:t xml:space="preserve"> experts </w:t>
            </w:r>
            <w:r w:rsidR="000B4DA9" w:rsidRPr="004602AA">
              <w:rPr>
                <w:bCs/>
                <w:color w:val="000000" w:themeColor="text1"/>
                <w:lang w:eastAsia="zh-TW"/>
              </w:rPr>
              <w:t>have also</w:t>
            </w:r>
            <w:r w:rsidR="00C200C5" w:rsidRPr="004602AA">
              <w:rPr>
                <w:bCs/>
                <w:color w:val="000000" w:themeColor="text1"/>
                <w:lang w:eastAsia="zh-TW"/>
              </w:rPr>
              <w:t xml:space="preserve"> been conducted through arrangements with</w:t>
            </w:r>
            <w:r w:rsidR="000B4DA9" w:rsidRPr="004602AA">
              <w:rPr>
                <w:bCs/>
                <w:color w:val="000000" w:themeColor="text1"/>
                <w:lang w:eastAsia="zh-TW"/>
              </w:rPr>
              <w:t xml:space="preserve"> </w:t>
            </w:r>
            <w:r>
              <w:rPr>
                <w:rFonts w:hint="eastAsia"/>
                <w:bCs/>
                <w:color w:val="000000" w:themeColor="text1"/>
                <w:lang w:eastAsia="zh-TW"/>
              </w:rPr>
              <w:t xml:space="preserve">EU </w:t>
            </w:r>
            <w:r w:rsidR="00C200C5" w:rsidRPr="004602AA">
              <w:rPr>
                <w:bCs/>
                <w:color w:val="000000" w:themeColor="text1"/>
                <w:lang w:eastAsia="zh-TW"/>
              </w:rPr>
              <w:t>and OECD/NEA</w:t>
            </w:r>
            <w:r w:rsidR="004602AA">
              <w:rPr>
                <w:rFonts w:hint="eastAsia"/>
                <w:bCs/>
                <w:color w:val="000000" w:themeColor="text1"/>
                <w:lang w:eastAsia="zh-TW"/>
              </w:rPr>
              <w:t xml:space="preserve"> on two of the operation plants as well as the </w:t>
            </w:r>
            <w:proofErr w:type="spellStart"/>
            <w:r w:rsidR="004602AA">
              <w:rPr>
                <w:rFonts w:hint="eastAsia"/>
                <w:bCs/>
                <w:color w:val="000000" w:themeColor="text1"/>
                <w:lang w:eastAsia="zh-TW"/>
              </w:rPr>
              <w:t>Lungmen</w:t>
            </w:r>
            <w:proofErr w:type="spellEnd"/>
            <w:r w:rsidR="004602AA">
              <w:rPr>
                <w:rFonts w:hint="eastAsia"/>
                <w:bCs/>
                <w:color w:val="000000" w:themeColor="text1"/>
                <w:lang w:eastAsia="zh-TW"/>
              </w:rPr>
              <w:t xml:space="preserve"> NPP</w:t>
            </w:r>
            <w:r>
              <w:rPr>
                <w:rFonts w:hint="eastAsia"/>
                <w:bCs/>
                <w:color w:val="000000" w:themeColor="text1"/>
                <w:lang w:eastAsia="zh-TW"/>
              </w:rPr>
              <w:t xml:space="preserve">, </w:t>
            </w:r>
            <w:r>
              <w:rPr>
                <w:bCs/>
                <w:color w:val="000000" w:themeColor="text1"/>
                <w:lang w:eastAsia="zh-TW"/>
              </w:rPr>
              <w:t>including</w:t>
            </w:r>
            <w:r>
              <w:rPr>
                <w:rFonts w:hint="eastAsia"/>
                <w:bCs/>
                <w:color w:val="000000" w:themeColor="text1"/>
                <w:lang w:eastAsia="zh-TW"/>
              </w:rPr>
              <w:t xml:space="preserve"> document review and plant walk-through</w:t>
            </w:r>
            <w:r w:rsidR="004602AA">
              <w:rPr>
                <w:rFonts w:hint="eastAsia"/>
                <w:bCs/>
                <w:color w:val="000000" w:themeColor="text1"/>
                <w:lang w:eastAsia="zh-TW"/>
              </w:rPr>
              <w:t xml:space="preserve">. </w:t>
            </w:r>
          </w:p>
          <w:p w:rsidR="000B4DA9" w:rsidRPr="004602AA" w:rsidRDefault="004602AA" w:rsidP="00D74A1E">
            <w:pPr>
              <w:spacing w:after="120"/>
              <w:jc w:val="both"/>
              <w:rPr>
                <w:color w:val="000000" w:themeColor="text1"/>
                <w:lang w:eastAsia="zh-TW"/>
              </w:rPr>
            </w:pPr>
            <w:r>
              <w:rPr>
                <w:rFonts w:hint="eastAsia"/>
                <w:bCs/>
                <w:color w:val="000000" w:themeColor="text1"/>
                <w:lang w:eastAsia="zh-TW"/>
              </w:rPr>
              <w:t>Despite all of the above efforts, public support for nuclear power r</w:t>
            </w:r>
            <w:r w:rsidR="00AE26EF">
              <w:rPr>
                <w:rFonts w:hint="eastAsia"/>
                <w:bCs/>
                <w:color w:val="000000" w:themeColor="text1"/>
                <w:lang w:eastAsia="zh-TW"/>
              </w:rPr>
              <w:t xml:space="preserve">emains low since a major drop </w:t>
            </w:r>
            <w:r w:rsidR="00AE26EF">
              <w:rPr>
                <w:rFonts w:hint="eastAsia"/>
                <w:bCs/>
                <w:color w:val="000000" w:themeColor="text1"/>
              </w:rPr>
              <w:t>right</w:t>
            </w:r>
            <w:r w:rsidR="00AE26EF">
              <w:rPr>
                <w:rFonts w:hint="eastAsia"/>
                <w:bCs/>
                <w:color w:val="000000" w:themeColor="text1"/>
                <w:lang w:eastAsia="zh-TW"/>
              </w:rPr>
              <w:t xml:space="preserve"> after the accident. </w:t>
            </w:r>
            <w:r w:rsidR="004F076D">
              <w:rPr>
                <w:rFonts w:hint="eastAsia"/>
                <w:bCs/>
                <w:color w:val="000000" w:themeColor="text1"/>
                <w:lang w:eastAsia="zh-TW"/>
              </w:rPr>
              <w:t xml:space="preserve">Only during the past year, some surveys suggest a slight recovery of support for nuclear power, i.e. pro-nuclear catching </w:t>
            </w:r>
            <w:r w:rsidR="004F076D">
              <w:rPr>
                <w:rFonts w:hint="eastAsia"/>
                <w:bCs/>
                <w:color w:val="000000" w:themeColor="text1"/>
                <w:lang w:eastAsia="zh-TW"/>
              </w:rPr>
              <w:lastRenderedPageBreak/>
              <w:t>up or equal to anti-nuclear. N</w:t>
            </w:r>
            <w:r w:rsidR="008117F5">
              <w:rPr>
                <w:rFonts w:hint="eastAsia"/>
                <w:bCs/>
                <w:color w:val="000000" w:themeColor="text1"/>
                <w:lang w:eastAsia="zh-TW"/>
              </w:rPr>
              <w:t xml:space="preserve">o policy has been set on whether to extend life or decommission </w:t>
            </w:r>
            <w:proofErr w:type="spellStart"/>
            <w:r w:rsidR="00B12CBF">
              <w:rPr>
                <w:rFonts w:hint="eastAsia"/>
                <w:bCs/>
                <w:color w:val="000000" w:themeColor="text1"/>
                <w:lang w:eastAsia="zh-TW"/>
              </w:rPr>
              <w:t>Chinshan</w:t>
            </w:r>
            <w:proofErr w:type="spellEnd"/>
            <w:r w:rsidR="008117F5" w:rsidRPr="008117F5">
              <w:rPr>
                <w:bCs/>
                <w:color w:val="000000" w:themeColor="text1"/>
                <w:lang w:eastAsia="zh-TW"/>
              </w:rPr>
              <w:t xml:space="preserve"> NPP</w:t>
            </w:r>
            <w:r w:rsidR="00B12CBF">
              <w:rPr>
                <w:rFonts w:hint="eastAsia"/>
                <w:bCs/>
                <w:color w:val="000000" w:themeColor="text1"/>
                <w:lang w:eastAsia="zh-TW"/>
              </w:rPr>
              <w:t xml:space="preserve"> upon expiration of its operating license (2018/2019)</w:t>
            </w:r>
            <w:r w:rsidR="008117F5">
              <w:rPr>
                <w:rFonts w:hint="eastAsia"/>
                <w:bCs/>
                <w:color w:val="000000" w:themeColor="text1"/>
                <w:lang w:eastAsia="zh-TW"/>
              </w:rPr>
              <w:t xml:space="preserve">. </w:t>
            </w:r>
            <w:r w:rsidR="00AE26EF">
              <w:rPr>
                <w:rFonts w:hint="eastAsia"/>
                <w:bCs/>
                <w:color w:val="000000" w:themeColor="text1"/>
                <w:lang w:eastAsia="zh-TW"/>
              </w:rPr>
              <w:t xml:space="preserve"> </w:t>
            </w:r>
            <w:r w:rsidRPr="004602AA">
              <w:rPr>
                <w:bCs/>
                <w:color w:val="000000" w:themeColor="text1"/>
                <w:lang w:eastAsia="zh-TW"/>
              </w:rPr>
              <w:t xml:space="preserve"> </w:t>
            </w:r>
          </w:p>
        </w:tc>
      </w:tr>
      <w:tr w:rsidR="00CB5FA1" w:rsidTr="00194610">
        <w:tc>
          <w:tcPr>
            <w:tcW w:w="3227" w:type="dxa"/>
          </w:tcPr>
          <w:p w:rsidR="00CB5FA1" w:rsidRDefault="00CB5FA1" w:rsidP="00CB5FA1">
            <w:pPr>
              <w:spacing w:after="120"/>
            </w:pPr>
          </w:p>
        </w:tc>
        <w:tc>
          <w:tcPr>
            <w:tcW w:w="6015" w:type="dxa"/>
          </w:tcPr>
          <w:p w:rsidR="00CB5FA1" w:rsidRPr="00ED7F24" w:rsidRDefault="00CB5FA1" w:rsidP="00155701">
            <w:pPr>
              <w:spacing w:after="120"/>
              <w:rPr>
                <w:color w:val="365F91" w:themeColor="accent1" w:themeShade="BF"/>
              </w:rPr>
            </w:pPr>
          </w:p>
        </w:tc>
      </w:tr>
    </w:tbl>
    <w:p w:rsidR="00CB6E40" w:rsidRDefault="00CB6E40" w:rsidP="000447D7">
      <w:pPr>
        <w:rPr>
          <w:lang w:eastAsia="zh-TW"/>
        </w:rPr>
      </w:pPr>
    </w:p>
    <w:sectPr w:rsidR="00CB6E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66" w:rsidRDefault="00382966" w:rsidP="004877FD">
      <w:pPr>
        <w:spacing w:after="0" w:line="240" w:lineRule="auto"/>
      </w:pPr>
      <w:r>
        <w:separator/>
      </w:r>
    </w:p>
  </w:endnote>
  <w:endnote w:type="continuationSeparator" w:id="0">
    <w:p w:rsidR="00382966" w:rsidRDefault="00382966" w:rsidP="0048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66" w:rsidRDefault="00382966" w:rsidP="004877FD">
      <w:pPr>
        <w:spacing w:after="0" w:line="240" w:lineRule="auto"/>
      </w:pPr>
      <w:r>
        <w:separator/>
      </w:r>
    </w:p>
  </w:footnote>
  <w:footnote w:type="continuationSeparator" w:id="0">
    <w:p w:rsidR="00382966" w:rsidRDefault="00382966" w:rsidP="00487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abstractNum w:abstractNumId="1">
    <w:nsid w:val="7B276D36"/>
    <w:multiLevelType w:val="hybridMultilevel"/>
    <w:tmpl w:val="18A4C854"/>
    <w:lvl w:ilvl="0" w:tplc="2CF8B4BA">
      <w:start w:val="1"/>
      <w:numFmt w:val="bullet"/>
      <w:pStyle w:val="Style4"/>
      <w:lvlText w:val="-"/>
      <w:lvlJc w:val="left"/>
      <w:pPr>
        <w:tabs>
          <w:tab w:val="num" w:pos="1077"/>
        </w:tabs>
        <w:ind w:left="1077" w:hanging="360"/>
      </w:pPr>
      <w:rPr>
        <w:rFonts w:ascii="Times New Roman" w:hAnsi="Times New Roman" w:cs="Times New Roman"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3"/>
    <w:rsid w:val="00012492"/>
    <w:rsid w:val="00034C61"/>
    <w:rsid w:val="000447D7"/>
    <w:rsid w:val="00087C19"/>
    <w:rsid w:val="000B4DA9"/>
    <w:rsid w:val="000D4C20"/>
    <w:rsid w:val="000F3209"/>
    <w:rsid w:val="0011010A"/>
    <w:rsid w:val="00140CCB"/>
    <w:rsid w:val="00155701"/>
    <w:rsid w:val="00192B90"/>
    <w:rsid w:val="00194610"/>
    <w:rsid w:val="00291F44"/>
    <w:rsid w:val="002D4F69"/>
    <w:rsid w:val="00334262"/>
    <w:rsid w:val="00363ABB"/>
    <w:rsid w:val="003767B6"/>
    <w:rsid w:val="00382966"/>
    <w:rsid w:val="003A4D89"/>
    <w:rsid w:val="003F4AAC"/>
    <w:rsid w:val="00417D3E"/>
    <w:rsid w:val="00450AB6"/>
    <w:rsid w:val="004602AA"/>
    <w:rsid w:val="00473071"/>
    <w:rsid w:val="004877FD"/>
    <w:rsid w:val="004F076D"/>
    <w:rsid w:val="00530C4B"/>
    <w:rsid w:val="00577FCB"/>
    <w:rsid w:val="00584076"/>
    <w:rsid w:val="005B06D5"/>
    <w:rsid w:val="005B105D"/>
    <w:rsid w:val="005B3B6A"/>
    <w:rsid w:val="006777B6"/>
    <w:rsid w:val="006B6777"/>
    <w:rsid w:val="00771B14"/>
    <w:rsid w:val="00775713"/>
    <w:rsid w:val="007B2510"/>
    <w:rsid w:val="007B6921"/>
    <w:rsid w:val="007C1372"/>
    <w:rsid w:val="007D3700"/>
    <w:rsid w:val="008025C4"/>
    <w:rsid w:val="008117F5"/>
    <w:rsid w:val="0081701A"/>
    <w:rsid w:val="009037C1"/>
    <w:rsid w:val="0099602D"/>
    <w:rsid w:val="009D13F5"/>
    <w:rsid w:val="00A00244"/>
    <w:rsid w:val="00A01F8F"/>
    <w:rsid w:val="00A378AB"/>
    <w:rsid w:val="00A458C4"/>
    <w:rsid w:val="00A67DD3"/>
    <w:rsid w:val="00AC47DB"/>
    <w:rsid w:val="00AE26EF"/>
    <w:rsid w:val="00AF10A9"/>
    <w:rsid w:val="00B12CBF"/>
    <w:rsid w:val="00B13F7A"/>
    <w:rsid w:val="00BD5AF5"/>
    <w:rsid w:val="00C150F0"/>
    <w:rsid w:val="00C200C5"/>
    <w:rsid w:val="00C34820"/>
    <w:rsid w:val="00CB5FA1"/>
    <w:rsid w:val="00CB6E40"/>
    <w:rsid w:val="00CC0F67"/>
    <w:rsid w:val="00D74A1E"/>
    <w:rsid w:val="00DB7E24"/>
    <w:rsid w:val="00DC6BA2"/>
    <w:rsid w:val="00E27622"/>
    <w:rsid w:val="00EC019F"/>
    <w:rsid w:val="00ED7F24"/>
    <w:rsid w:val="00EE10E3"/>
    <w:rsid w:val="00EF4614"/>
    <w:rsid w:val="00F30F96"/>
    <w:rsid w:val="00F3476C"/>
    <w:rsid w:val="00F606B4"/>
    <w:rsid w:val="00F60A97"/>
    <w:rsid w:val="00FC05EC"/>
    <w:rsid w:val="00FF087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77F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77FD"/>
    <w:rPr>
      <w:sz w:val="20"/>
      <w:szCs w:val="20"/>
    </w:rPr>
  </w:style>
  <w:style w:type="paragraph" w:styleId="Footer">
    <w:name w:val="footer"/>
    <w:basedOn w:val="Normal"/>
    <w:link w:val="FooterChar"/>
    <w:uiPriority w:val="99"/>
    <w:unhideWhenUsed/>
    <w:rsid w:val="004877F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77FD"/>
    <w:rPr>
      <w:sz w:val="20"/>
      <w:szCs w:val="20"/>
    </w:rPr>
  </w:style>
  <w:style w:type="paragraph" w:styleId="NormalWeb">
    <w:name w:val="Normal (Web)"/>
    <w:basedOn w:val="Normal"/>
    <w:uiPriority w:val="99"/>
    <w:semiHidden/>
    <w:unhideWhenUsed/>
    <w:rsid w:val="0099602D"/>
    <w:pPr>
      <w:spacing w:before="100" w:beforeAutospacing="1" w:after="100" w:afterAutospacing="1" w:line="240" w:lineRule="auto"/>
    </w:pPr>
    <w:rPr>
      <w:rFonts w:ascii="PMingLiU" w:eastAsia="PMingLiU" w:hAnsi="PMingLiU" w:cs="PMingLiU"/>
      <w:sz w:val="24"/>
      <w:szCs w:val="24"/>
      <w:lang w:val="en-US" w:eastAsia="zh-TW"/>
    </w:rPr>
  </w:style>
  <w:style w:type="paragraph" w:styleId="BalloonText">
    <w:name w:val="Balloon Text"/>
    <w:basedOn w:val="Normal"/>
    <w:link w:val="BalloonTextChar"/>
    <w:uiPriority w:val="99"/>
    <w:semiHidden/>
    <w:unhideWhenUsed/>
    <w:rsid w:val="00CB6E4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E40"/>
    <w:rPr>
      <w:rFonts w:asciiTheme="majorHAnsi" w:eastAsiaTheme="majorEastAsia" w:hAnsiTheme="majorHAnsi" w:cstheme="majorBidi"/>
      <w:sz w:val="18"/>
      <w:szCs w:val="18"/>
    </w:rPr>
  </w:style>
  <w:style w:type="paragraph" w:customStyle="1" w:styleId="Style4">
    <w:name w:val="Style4"/>
    <w:basedOn w:val="Normal"/>
    <w:rsid w:val="000B4DA9"/>
    <w:pPr>
      <w:numPr>
        <w:numId w:val="2"/>
      </w:numPr>
      <w:spacing w:after="0" w:line="240" w:lineRule="auto"/>
      <w:jc w:val="both"/>
    </w:pPr>
    <w:rPr>
      <w:rFonts w:ascii="Times New Roman" w:eastAsia="Batang" w:hAnsi="Times New Roman" w:cs="Times New Roman"/>
      <w:sz w:val="24"/>
      <w:szCs w:val="20"/>
      <w:lang w:val="en-US"/>
    </w:rPr>
  </w:style>
  <w:style w:type="paragraph" w:customStyle="1" w:styleId="1">
    <w:name w:val="字元 字元 字元 字元 字元1 字元 字元 字元 字元 字元 字元 字元 字元 字元"/>
    <w:basedOn w:val="Normal"/>
    <w:semiHidden/>
    <w:rsid w:val="000B4DA9"/>
    <w:pPr>
      <w:spacing w:after="160" w:line="240" w:lineRule="exact"/>
    </w:pPr>
    <w:rPr>
      <w:rFonts w:ascii="Verdana" w:eastAsia="Times New Roman" w:hAnsi="Verdana" w:cs="Mangal"/>
      <w:kern w:val="2"/>
      <w:sz w:val="2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77F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77FD"/>
    <w:rPr>
      <w:sz w:val="20"/>
      <w:szCs w:val="20"/>
    </w:rPr>
  </w:style>
  <w:style w:type="paragraph" w:styleId="Footer">
    <w:name w:val="footer"/>
    <w:basedOn w:val="Normal"/>
    <w:link w:val="FooterChar"/>
    <w:uiPriority w:val="99"/>
    <w:unhideWhenUsed/>
    <w:rsid w:val="004877F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77FD"/>
    <w:rPr>
      <w:sz w:val="20"/>
      <w:szCs w:val="20"/>
    </w:rPr>
  </w:style>
  <w:style w:type="paragraph" w:styleId="NormalWeb">
    <w:name w:val="Normal (Web)"/>
    <w:basedOn w:val="Normal"/>
    <w:uiPriority w:val="99"/>
    <w:semiHidden/>
    <w:unhideWhenUsed/>
    <w:rsid w:val="0099602D"/>
    <w:pPr>
      <w:spacing w:before="100" w:beforeAutospacing="1" w:after="100" w:afterAutospacing="1" w:line="240" w:lineRule="auto"/>
    </w:pPr>
    <w:rPr>
      <w:rFonts w:ascii="PMingLiU" w:eastAsia="PMingLiU" w:hAnsi="PMingLiU" w:cs="PMingLiU"/>
      <w:sz w:val="24"/>
      <w:szCs w:val="24"/>
      <w:lang w:val="en-US" w:eastAsia="zh-TW"/>
    </w:rPr>
  </w:style>
  <w:style w:type="paragraph" w:styleId="BalloonText">
    <w:name w:val="Balloon Text"/>
    <w:basedOn w:val="Normal"/>
    <w:link w:val="BalloonTextChar"/>
    <w:uiPriority w:val="99"/>
    <w:semiHidden/>
    <w:unhideWhenUsed/>
    <w:rsid w:val="00CB6E4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6E40"/>
    <w:rPr>
      <w:rFonts w:asciiTheme="majorHAnsi" w:eastAsiaTheme="majorEastAsia" w:hAnsiTheme="majorHAnsi" w:cstheme="majorBidi"/>
      <w:sz w:val="18"/>
      <w:szCs w:val="18"/>
    </w:rPr>
  </w:style>
  <w:style w:type="paragraph" w:customStyle="1" w:styleId="Style4">
    <w:name w:val="Style4"/>
    <w:basedOn w:val="Normal"/>
    <w:rsid w:val="000B4DA9"/>
    <w:pPr>
      <w:numPr>
        <w:numId w:val="2"/>
      </w:numPr>
      <w:spacing w:after="0" w:line="240" w:lineRule="auto"/>
      <w:jc w:val="both"/>
    </w:pPr>
    <w:rPr>
      <w:rFonts w:ascii="Times New Roman" w:eastAsia="Batang" w:hAnsi="Times New Roman" w:cs="Times New Roman"/>
      <w:sz w:val="24"/>
      <w:szCs w:val="20"/>
      <w:lang w:val="en-US"/>
    </w:rPr>
  </w:style>
  <w:style w:type="paragraph" w:customStyle="1" w:styleId="1">
    <w:name w:val="字元 字元 字元 字元 字元1 字元 字元 字元 字元 字元 字元 字元 字元 字元"/>
    <w:basedOn w:val="Normal"/>
    <w:semiHidden/>
    <w:rsid w:val="000B4DA9"/>
    <w:pPr>
      <w:spacing w:after="160" w:line="240" w:lineRule="exact"/>
    </w:pPr>
    <w:rPr>
      <w:rFonts w:ascii="Verdana" w:eastAsia="Times New Roman" w:hAnsi="Verdana" w:cs="Mangal"/>
      <w:kern w:val="2"/>
      <w:sz w:val="2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4105">
      <w:bodyDiv w:val="1"/>
      <w:marLeft w:val="0"/>
      <w:marRight w:val="0"/>
      <w:marTop w:val="0"/>
      <w:marBottom w:val="0"/>
      <w:divBdr>
        <w:top w:val="none" w:sz="0" w:space="0" w:color="auto"/>
        <w:left w:val="none" w:sz="0" w:space="0" w:color="auto"/>
        <w:bottom w:val="none" w:sz="0" w:space="0" w:color="auto"/>
        <w:right w:val="none" w:sz="0" w:space="0" w:color="auto"/>
      </w:divBdr>
    </w:div>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 w:id="15302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Muelhauser, Francoise</cp:lastModifiedBy>
  <cp:revision>2</cp:revision>
  <cp:lastPrinted>2015-07-17T14:47:00Z</cp:lastPrinted>
  <dcterms:created xsi:type="dcterms:W3CDTF">2015-08-14T07:52:00Z</dcterms:created>
  <dcterms:modified xsi:type="dcterms:W3CDTF">2015-08-14T07:52:00Z</dcterms:modified>
</cp:coreProperties>
</file>