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B0080E" w:rsidP="00B0080E">
            <w:pPr>
              <w:jc w:val="right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792538" cy="1440000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omen in Nuclear Schweiz kle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3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B0080E" w:rsidP="00B0080E">
            <w:pPr>
              <w:pStyle w:val="berschrift1"/>
              <w:spacing w:before="120" w:after="120"/>
              <w:jc w:val="center"/>
              <w:outlineLvl w:val="0"/>
            </w:pPr>
            <w:proofErr w:type="spellStart"/>
            <w:r>
              <w:t>WiN</w:t>
            </w:r>
            <w:proofErr w:type="spellEnd"/>
            <w:r>
              <w:t xml:space="preserve"> Switzerland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B0080E" w:rsidP="00155701">
            <w:pPr>
              <w:spacing w:after="120"/>
            </w:pPr>
            <w:r>
              <w:t>Helena Loner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CB7909" w:rsidRDefault="00CB7909" w:rsidP="00D721A7">
            <w:r>
              <w:t xml:space="preserve">Helena Loner / nuclear power plant </w:t>
            </w:r>
            <w:r w:rsidR="00D83DDF">
              <w:t>KKL</w:t>
            </w:r>
          </w:p>
          <w:p w:rsidR="00CB7909" w:rsidRDefault="00CB7909" w:rsidP="00D721A7">
            <w:r>
              <w:t xml:space="preserve">Ruth </w:t>
            </w:r>
            <w:proofErr w:type="spellStart"/>
            <w:r>
              <w:t>Schmid</w:t>
            </w:r>
            <w:proofErr w:type="spellEnd"/>
            <w:r>
              <w:t xml:space="preserve"> / communication</w:t>
            </w:r>
            <w:r w:rsidR="00D83DDF">
              <w:t xml:space="preserve"> </w:t>
            </w:r>
            <w:proofErr w:type="spellStart"/>
            <w:r w:rsidR="00D83DDF">
              <w:t>swissnuclear</w:t>
            </w:r>
            <w:proofErr w:type="spellEnd"/>
          </w:p>
          <w:p w:rsidR="00155701" w:rsidRDefault="00D83DDF" w:rsidP="00D721A7">
            <w:r>
              <w:t>Sara Tani</w:t>
            </w:r>
            <w:r w:rsidR="00CB7909">
              <w:t xml:space="preserve">a </w:t>
            </w:r>
            <w:proofErr w:type="spellStart"/>
            <w:r w:rsidR="00CB7909">
              <w:t>Mongelli</w:t>
            </w:r>
            <w:proofErr w:type="spellEnd"/>
            <w:r w:rsidR="00CB7909">
              <w:t xml:space="preserve"> / radioactive waste disposal</w:t>
            </w:r>
            <w:r>
              <w:t xml:space="preserve"> </w:t>
            </w:r>
            <w:proofErr w:type="spellStart"/>
            <w:r>
              <w:t>Axpo</w:t>
            </w:r>
            <w:proofErr w:type="spellEnd"/>
            <w:r>
              <w:t xml:space="preserve"> Power AG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837E50" w:rsidP="00155701">
            <w:pPr>
              <w:spacing w:after="120"/>
            </w:pPr>
            <w:r>
              <w:t>47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837E50" w:rsidP="00155701">
            <w:pPr>
              <w:spacing w:after="120"/>
            </w:pPr>
            <w:r>
              <w:t>1995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837E50" w:rsidRDefault="00837E50" w:rsidP="00D721A7">
            <w:r>
              <w:t>5 NPPs at 4 sites</w:t>
            </w:r>
          </w:p>
          <w:p w:rsidR="00837E50" w:rsidRDefault="00D83DDF" w:rsidP="00D721A7">
            <w:r>
              <w:t>1</w:t>
            </w:r>
            <w:r w:rsidR="00837E50">
              <w:t xml:space="preserve"> research reactors</w:t>
            </w:r>
            <w:r>
              <w:t xml:space="preserve"> (</w:t>
            </w:r>
            <w:r w:rsidR="009619B6">
              <w:t>University Lausanne)</w:t>
            </w:r>
          </w:p>
          <w:p w:rsidR="00837E50" w:rsidRDefault="00837E50" w:rsidP="00D721A7">
            <w:r>
              <w:t>1 interim storage facility</w:t>
            </w:r>
          </w:p>
          <w:p w:rsidR="00155701" w:rsidRDefault="00837E50" w:rsidP="00D721A7">
            <w:r>
              <w:t>No mines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212EB4" w:rsidRDefault="002F774F" w:rsidP="00212EB4">
            <w:r>
              <w:t>There are several university hospitals which do also research.</w:t>
            </w:r>
          </w:p>
          <w:p w:rsidR="00BC40D2" w:rsidRDefault="00BC40D2" w:rsidP="00212EB4">
            <w:r>
              <w:t xml:space="preserve">At PSI: </w:t>
            </w:r>
            <w:r w:rsidR="00212EB4">
              <w:t>Centre</w:t>
            </w:r>
            <w:r>
              <w:t xml:space="preserve"> for Proton Therapy, cooperation with the University Children’s Hospital in Zürich. It </w:t>
            </w:r>
            <w:r w:rsidR="00B95038">
              <w:t>operates</w:t>
            </w:r>
            <w:r>
              <w:t xml:space="preserve"> the worldwide first compact scanning gantry for the irradiation of deep-seated </w:t>
            </w:r>
            <w:r w:rsidR="00212EB4">
              <w:t>tumours</w:t>
            </w:r>
            <w:bookmarkStart w:id="0" w:name="_GoBack"/>
            <w:bookmarkEnd w:id="0"/>
            <w:r>
              <w:t xml:space="preserve"> </w:t>
            </w:r>
            <w:r w:rsidR="00B95038">
              <w:t xml:space="preserve">and ocular melanoma </w:t>
            </w:r>
            <w:r>
              <w:t>with proton beam.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155701" w:rsidRDefault="00D83DDF" w:rsidP="00BC40D2">
            <w:pPr>
              <w:spacing w:after="120"/>
            </w:pPr>
            <w:r>
              <w:t>Intermediate</w:t>
            </w:r>
            <w:r w:rsidR="00BC40D2">
              <w:t xml:space="preserve"> storage</w:t>
            </w:r>
            <w:r>
              <w:t xml:space="preserve"> in one central surface facility (ZWILAG)</w:t>
            </w:r>
            <w:r w:rsidR="00BC40D2">
              <w:t xml:space="preserve"> and on plant sites (n</w:t>
            </w:r>
            <w:r>
              <w:t>o export allowed</w:t>
            </w:r>
            <w:r w:rsidR="00BC40D2">
              <w:t>). Future d</w:t>
            </w:r>
            <w:r>
              <w:t xml:space="preserve">eep geological repository in </w:t>
            </w:r>
            <w:proofErr w:type="spellStart"/>
            <w:r>
              <w:t>op</w:t>
            </w:r>
            <w:r w:rsidR="00BC40D2">
              <w:t>a</w:t>
            </w:r>
            <w:r>
              <w:t>linus</w:t>
            </w:r>
            <w:proofErr w:type="spellEnd"/>
            <w:r>
              <w:t xml:space="preserve"> clay within </w:t>
            </w:r>
            <w:r w:rsidR="00BC40D2">
              <w:t xml:space="preserve">northern </w:t>
            </w:r>
            <w:r>
              <w:t xml:space="preserve">Switzerland. Site selection ongoing, decision </w:t>
            </w:r>
            <w:r w:rsidR="00BC40D2">
              <w:t xml:space="preserve">due </w:t>
            </w:r>
            <w:r>
              <w:t>around 2020, construction starting around 2030</w:t>
            </w:r>
            <w:r w:rsidR="00BC40D2">
              <w:t>, storage from 2050 onwards.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D83DDF" w:rsidP="00BC40D2">
            <w:pPr>
              <w:spacing w:after="120"/>
            </w:pPr>
            <w:r>
              <w:t>Nuclear research</w:t>
            </w:r>
            <w:r w:rsidR="00BC40D2">
              <w:t xml:space="preserve"> and education </w:t>
            </w:r>
            <w:r>
              <w:t xml:space="preserve">is </w:t>
            </w:r>
            <w:r w:rsidR="00BC40D2">
              <w:t xml:space="preserve">still </w:t>
            </w:r>
            <w:r>
              <w:t xml:space="preserve">done at the federal technical universities ETH Zurich </w:t>
            </w:r>
            <w:r w:rsidR="00BC40D2">
              <w:t xml:space="preserve">(Prof. </w:t>
            </w:r>
            <w:proofErr w:type="spellStart"/>
            <w:r w:rsidR="00BC40D2">
              <w:t>Prasser</w:t>
            </w:r>
            <w:proofErr w:type="spellEnd"/>
            <w:r w:rsidR="00BC40D2">
              <w:t xml:space="preserve">) </w:t>
            </w:r>
            <w:r>
              <w:t>and EPFL Lausanne</w:t>
            </w:r>
            <w:r w:rsidR="00BC40D2">
              <w:t xml:space="preserve"> (Prof. </w:t>
            </w:r>
            <w:proofErr w:type="spellStart"/>
            <w:r w:rsidR="00BC40D2">
              <w:t>Pautz</w:t>
            </w:r>
            <w:proofErr w:type="spellEnd"/>
            <w:r w:rsidR="00BC40D2">
              <w:t>)</w:t>
            </w:r>
            <w:r>
              <w:t xml:space="preserve">, as well as at Paul </w:t>
            </w:r>
            <w:proofErr w:type="spellStart"/>
            <w:r>
              <w:t>Scherrer</w:t>
            </w:r>
            <w:proofErr w:type="spellEnd"/>
            <w:r>
              <w:t xml:space="preserve"> Institute, Nuclear Energy and Safety Dept.</w:t>
            </w:r>
            <w:r w:rsidR="00BC40D2">
              <w:t xml:space="preserve"> Focus: decommissioning, materials ageing, fuel cladding, </w:t>
            </w:r>
            <w:proofErr w:type="gramStart"/>
            <w:r w:rsidR="00BC40D2">
              <w:t>fluid</w:t>
            </w:r>
            <w:proofErr w:type="gramEnd"/>
            <w:r w:rsidR="00BC40D2">
              <w:t xml:space="preserve"> dynamics.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D83DDF" w:rsidP="00D721A7">
            <w:pPr>
              <w:spacing w:after="120"/>
            </w:pPr>
            <w:r>
              <w:t>Switzerland took part in the EU-stress tests. The results were outstanding.</w:t>
            </w:r>
            <w:r w:rsidR="00BC40D2">
              <w:t xml:space="preserve"> </w:t>
            </w:r>
            <w:r>
              <w:t xml:space="preserve">Further </w:t>
            </w:r>
            <w:r w:rsidR="00BC40D2">
              <w:t xml:space="preserve">safety technical </w:t>
            </w:r>
            <w:r>
              <w:t xml:space="preserve">improvements </w:t>
            </w:r>
            <w:r w:rsidR="00D721A7">
              <w:t>were</w:t>
            </w:r>
            <w:r>
              <w:t xml:space="preserve"> implemented following ENSI demands (enhancing of safety margins).</w:t>
            </w:r>
            <w:r w:rsidR="00BC40D2">
              <w:t xml:space="preserve"> However, </w:t>
            </w:r>
            <w:r w:rsidR="00D721A7">
              <w:t>already in late spring 2011</w:t>
            </w:r>
            <w:r w:rsidR="00BC40D2">
              <w:t xml:space="preserve"> the Federal Government decided to phase out nuclear and push new renewable production (subsidies).</w:t>
            </w:r>
          </w:p>
        </w:tc>
      </w:tr>
      <w:tr w:rsidR="00CB5FA1" w:rsidTr="00194610">
        <w:tc>
          <w:tcPr>
            <w:tcW w:w="3227" w:type="dxa"/>
          </w:tcPr>
          <w:p w:rsidR="00CB5FA1" w:rsidRDefault="00CB5FA1" w:rsidP="00CB5FA1">
            <w:pPr>
              <w:spacing w:after="120"/>
            </w:pPr>
          </w:p>
        </w:tc>
        <w:tc>
          <w:tcPr>
            <w:tcW w:w="6015" w:type="dxa"/>
          </w:tcPr>
          <w:p w:rsidR="00CB5FA1" w:rsidRDefault="00D721A7" w:rsidP="00D721A7">
            <w:pPr>
              <w:spacing w:after="120"/>
            </w:pPr>
            <w:r>
              <w:t xml:space="preserve">Swiss nuclear energy is in a difficult market situation. The massive German subsidies for new renewables have destroyed the central </w:t>
            </w:r>
            <w:r w:rsidR="00212EB4">
              <w:t>European</w:t>
            </w:r>
            <w:r>
              <w:t xml:space="preserve"> electricity prices. Phase outs for economic reasons are becoming more and more </w:t>
            </w:r>
            <w:r w:rsidR="00212EB4">
              <w:t>likely</w:t>
            </w:r>
            <w:r>
              <w:t xml:space="preserve">. </w:t>
            </w:r>
          </w:p>
        </w:tc>
      </w:tr>
    </w:tbl>
    <w:p w:rsidR="00EE10E3" w:rsidRDefault="00EE10E3" w:rsidP="00087C19"/>
    <w:sectPr w:rsidR="00EE10E3" w:rsidSect="0097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E10E3"/>
    <w:rsid w:val="00012492"/>
    <w:rsid w:val="000568D6"/>
    <w:rsid w:val="00087C19"/>
    <w:rsid w:val="0011010A"/>
    <w:rsid w:val="00155701"/>
    <w:rsid w:val="00194610"/>
    <w:rsid w:val="00212EB4"/>
    <w:rsid w:val="0028145F"/>
    <w:rsid w:val="002F774F"/>
    <w:rsid w:val="003A4D89"/>
    <w:rsid w:val="003F4AAC"/>
    <w:rsid w:val="004D7D95"/>
    <w:rsid w:val="00586A33"/>
    <w:rsid w:val="005B5C6C"/>
    <w:rsid w:val="006578E5"/>
    <w:rsid w:val="00837E50"/>
    <w:rsid w:val="009037C1"/>
    <w:rsid w:val="009619B6"/>
    <w:rsid w:val="00971715"/>
    <w:rsid w:val="00AF10A9"/>
    <w:rsid w:val="00B0080E"/>
    <w:rsid w:val="00B95038"/>
    <w:rsid w:val="00BC40D2"/>
    <w:rsid w:val="00C150F0"/>
    <w:rsid w:val="00CB5FA1"/>
    <w:rsid w:val="00CB7909"/>
    <w:rsid w:val="00D721A7"/>
    <w:rsid w:val="00D83DDF"/>
    <w:rsid w:val="00EE10E3"/>
    <w:rsid w:val="00EF53CD"/>
    <w:rsid w:val="00F60A97"/>
    <w:rsid w:val="00FD3503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715"/>
  </w:style>
  <w:style w:type="paragraph" w:styleId="berschrift1">
    <w:name w:val="heading 1"/>
    <w:basedOn w:val="Standard"/>
    <w:next w:val="Standard"/>
    <w:link w:val="berschrift1Zchn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Helena</cp:lastModifiedBy>
  <cp:revision>4</cp:revision>
  <dcterms:created xsi:type="dcterms:W3CDTF">2015-07-11T12:45:00Z</dcterms:created>
  <dcterms:modified xsi:type="dcterms:W3CDTF">2015-07-12T18:55:00Z</dcterms:modified>
</cp:coreProperties>
</file>