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86" w:rsidRPr="006F7986" w:rsidRDefault="001D3AE7" w:rsidP="006F7986">
      <w:pPr>
        <w:pStyle w:val="Heading1"/>
        <w:jc w:val="center"/>
        <w:rPr>
          <w:rFonts w:ascii="Times New Roman" w:hAnsi="Times New Roman" w:cs="Times New Roman"/>
          <w:sz w:val="28"/>
          <w:szCs w:val="28"/>
        </w:rPr>
      </w:pPr>
      <w:r w:rsidRPr="001D3AE7">
        <w:rPr>
          <w:rFonts w:ascii="Times New Roman" w:hAnsi="Times New Roman" w:cs="Times New Roman"/>
          <w:sz w:val="28"/>
          <w:szCs w:val="28"/>
          <w:lang w:val="en-US"/>
        </w:rPr>
        <w:t>Developing Regional Spent Fuel Strategies</w:t>
      </w:r>
    </w:p>
    <w:p w:rsidR="00A8604F" w:rsidRPr="006F7986" w:rsidRDefault="00A8604F" w:rsidP="006F7986">
      <w:pPr>
        <w:jc w:val="center"/>
        <w:rPr>
          <w:rFonts w:ascii="Times New Roman" w:hAnsi="Times New Roman"/>
        </w:rPr>
      </w:pPr>
    </w:p>
    <w:p w:rsidR="00A8604F" w:rsidRPr="00733FE4" w:rsidRDefault="001D3AE7">
      <w:pPr>
        <w:rPr>
          <w:rFonts w:ascii="Times New Roman" w:hAnsi="Times New Roman"/>
        </w:rPr>
      </w:pPr>
      <w:r>
        <w:rPr>
          <w:rFonts w:ascii="Times New Roman" w:hAnsi="Times New Roman"/>
        </w:rPr>
        <w:t>T</w:t>
      </w:r>
      <w:r w:rsidR="00A8604F" w:rsidRPr="00733FE4">
        <w:rPr>
          <w:rFonts w:ascii="Times New Roman" w:hAnsi="Times New Roman"/>
        </w:rPr>
        <w:t xml:space="preserve">. </w:t>
      </w:r>
      <w:r>
        <w:rPr>
          <w:rFonts w:ascii="Times New Roman" w:hAnsi="Times New Roman"/>
        </w:rPr>
        <w:t>Isaacs</w:t>
      </w:r>
      <w:r w:rsidR="004C3FC9" w:rsidRPr="00733FE4">
        <w:rPr>
          <w:rFonts w:ascii="Times New Roman" w:hAnsi="Times New Roman"/>
          <w:vertAlign w:val="superscript"/>
        </w:rPr>
        <w:t>1</w:t>
      </w:r>
      <w:r w:rsidR="00A8604F" w:rsidRPr="00733FE4">
        <w:rPr>
          <w:rFonts w:ascii="Times New Roman" w:hAnsi="Times New Roman"/>
        </w:rPr>
        <w:t xml:space="preserve">, </w:t>
      </w:r>
      <w:r>
        <w:rPr>
          <w:rFonts w:ascii="Times New Roman" w:hAnsi="Times New Roman"/>
        </w:rPr>
        <w:t>A. Newman</w:t>
      </w:r>
      <w:r w:rsidR="004C3FC9" w:rsidRPr="00733FE4">
        <w:rPr>
          <w:rFonts w:ascii="Times New Roman" w:hAnsi="Times New Roman"/>
          <w:vertAlign w:val="superscript"/>
        </w:rPr>
        <w:t>1</w:t>
      </w:r>
      <w:r w:rsidR="00C73BBC" w:rsidRPr="00733FE4">
        <w:rPr>
          <w:rFonts w:ascii="Times New Roman" w:hAnsi="Times New Roman"/>
        </w:rPr>
        <w:t>,</w:t>
      </w:r>
      <w:r w:rsidR="00A8604F" w:rsidRPr="00733FE4">
        <w:rPr>
          <w:rFonts w:ascii="Times New Roman" w:hAnsi="Times New Roman"/>
        </w:rPr>
        <w:t xml:space="preserve"> </w:t>
      </w:r>
      <w:r>
        <w:rPr>
          <w:rFonts w:ascii="Times New Roman" w:hAnsi="Times New Roman"/>
        </w:rPr>
        <w:t>A. Constantin</w:t>
      </w:r>
      <w:r>
        <w:rPr>
          <w:rFonts w:ascii="Times New Roman" w:hAnsi="Times New Roman"/>
          <w:vertAlign w:val="superscript"/>
        </w:rPr>
        <w:t>2</w:t>
      </w:r>
      <w:r w:rsidR="006F7986">
        <w:rPr>
          <w:rFonts w:ascii="Times New Roman" w:hAnsi="Times New Roman"/>
          <w:vertAlign w:val="superscript"/>
        </w:rPr>
        <w:t xml:space="preserve"> </w:t>
      </w:r>
      <w:r w:rsidR="006F7986">
        <w:rPr>
          <w:rFonts w:ascii="Times New Roman" w:hAnsi="Times New Roman"/>
        </w:rPr>
        <w:t xml:space="preserve"> </w:t>
      </w:r>
    </w:p>
    <w:p w:rsidR="00A8604F" w:rsidRDefault="004C3FC9" w:rsidP="001D3AE7">
      <w:pPr>
        <w:rPr>
          <w:rFonts w:ascii="Times New Roman" w:hAnsi="Times New Roman"/>
          <w:lang w:val="en-US"/>
        </w:rPr>
      </w:pPr>
      <w:r w:rsidRPr="004C3FC9">
        <w:rPr>
          <w:rFonts w:ascii="Times New Roman" w:hAnsi="Times New Roman"/>
          <w:vertAlign w:val="superscript"/>
          <w:lang w:val="en-US"/>
        </w:rPr>
        <w:t>1</w:t>
      </w:r>
      <w:r w:rsidR="001D3AE7">
        <w:rPr>
          <w:rFonts w:ascii="Times New Roman" w:hAnsi="Times New Roman"/>
          <w:vertAlign w:val="superscript"/>
          <w:lang w:val="en-US"/>
        </w:rPr>
        <w:t xml:space="preserve"> </w:t>
      </w:r>
      <w:r w:rsidR="001D3AE7">
        <w:rPr>
          <w:rFonts w:ascii="Times New Roman" w:hAnsi="Times New Roman"/>
          <w:lang w:val="en-US"/>
        </w:rPr>
        <w:t xml:space="preserve">Nuclear Threat Initiative, </w:t>
      </w:r>
      <w:r w:rsidR="001D3AE7" w:rsidRPr="001D3AE7">
        <w:rPr>
          <w:rFonts w:ascii="Times New Roman" w:hAnsi="Times New Roman"/>
          <w:lang w:val="en-US"/>
        </w:rPr>
        <w:t>1747 Pennsylvania Avenue, NW,</w:t>
      </w:r>
      <w:r w:rsidR="001D3AE7">
        <w:rPr>
          <w:rFonts w:ascii="Times New Roman" w:hAnsi="Times New Roman"/>
          <w:lang w:val="en-US"/>
        </w:rPr>
        <w:t xml:space="preserve"> </w:t>
      </w:r>
      <w:r w:rsidR="001D3AE7" w:rsidRPr="001D3AE7">
        <w:rPr>
          <w:rFonts w:ascii="Times New Roman" w:hAnsi="Times New Roman"/>
          <w:lang w:val="en-US"/>
        </w:rPr>
        <w:t>Washington, DC 20006, USA</w:t>
      </w:r>
      <w:r w:rsidR="001D3AE7">
        <w:rPr>
          <w:rFonts w:ascii="Times New Roman" w:hAnsi="Times New Roman"/>
          <w:lang w:val="en-US"/>
        </w:rPr>
        <w:t xml:space="preserve"> </w:t>
      </w:r>
    </w:p>
    <w:p w:rsidR="001D3AE7" w:rsidRDefault="001D3AE7" w:rsidP="001D3AE7">
      <w:pPr>
        <w:rPr>
          <w:rFonts w:ascii="Times New Roman" w:hAnsi="Times New Roman"/>
          <w:lang w:val="en-US"/>
        </w:rPr>
      </w:pPr>
      <w:r>
        <w:rPr>
          <w:rFonts w:ascii="Times New Roman" w:hAnsi="Times New Roman"/>
          <w:vertAlign w:val="superscript"/>
          <w:lang w:val="en-US"/>
        </w:rPr>
        <w:t xml:space="preserve">2 </w:t>
      </w:r>
      <w:r>
        <w:rPr>
          <w:rFonts w:ascii="Times New Roman" w:hAnsi="Times New Roman"/>
          <w:lang w:val="en-US"/>
        </w:rPr>
        <w:t xml:space="preserve">Institute for Nuclear Research, </w:t>
      </w:r>
      <w:r w:rsidRPr="00847466">
        <w:rPr>
          <w:rFonts w:ascii="Times New Roman" w:hAnsi="Times New Roman"/>
          <w:lang w:val="en-US"/>
        </w:rPr>
        <w:t>Campului Str., Nr. 1, POB 78, 115400, Mioveni, Romania</w:t>
      </w:r>
    </w:p>
    <w:p w:rsidR="00A8604F" w:rsidRDefault="007C09EE">
      <w:pPr>
        <w:rPr>
          <w:lang w:val="en-US"/>
        </w:rPr>
      </w:pPr>
      <w:r w:rsidRPr="004C3FC9">
        <w:rPr>
          <w:rFonts w:ascii="Times New Roman" w:hAnsi="Times New Roman"/>
          <w:i/>
          <w:lang w:val="en-US"/>
        </w:rPr>
        <w:t>E</w:t>
      </w:r>
      <w:r w:rsidR="00A8604F" w:rsidRPr="004C3FC9">
        <w:rPr>
          <w:rFonts w:ascii="Times New Roman" w:hAnsi="Times New Roman"/>
          <w:i/>
          <w:lang w:val="en-US"/>
        </w:rPr>
        <w:t xml:space="preserve">-mail contact of main author: </w:t>
      </w:r>
      <w:r w:rsidR="001D3AE7">
        <w:rPr>
          <w:rFonts w:ascii="Times New Roman" w:hAnsi="Times New Roman"/>
          <w:i/>
          <w:lang w:val="en-US"/>
        </w:rPr>
        <w:t>thomasisaacs@aol.com</w:t>
      </w:r>
    </w:p>
    <w:p w:rsidR="00E76FB6" w:rsidRPr="00E76FB6" w:rsidRDefault="00A8604F" w:rsidP="00E76FB6">
      <w:pPr>
        <w:pStyle w:val="Abstract"/>
        <w:spacing w:after="0"/>
        <w:rPr>
          <w:sz w:val="20"/>
        </w:rPr>
      </w:pPr>
      <w:r>
        <w:rPr>
          <w:b/>
        </w:rPr>
        <w:t>Abstract</w:t>
      </w:r>
      <w:r>
        <w:t xml:space="preserve">. </w:t>
      </w:r>
      <w:r w:rsidR="00E76FB6" w:rsidRPr="00E76FB6">
        <w:rPr>
          <w:sz w:val="20"/>
        </w:rPr>
        <w:t xml:space="preserve">Despite well-developed repository programs in Sweden, Finland and France, and encouraging progress in several other countries including Canada, the vast majority of states – including the U.S. – continue to struggle developing and implementing timely plans to safely and securely dispose of spent fuel and high level waste produced by nuclear power programs. Spent fuel continues to accumulate in cooling pools with limited storage capacity. On-site dry cask storage is a longer-term, but still temporary, solution and reprocessing generates significant waste streams that require geologic disposal. The lack of spent fuel management options strains the credibility of the nuclear community and undercuts public and political acceptance for current and future nuclear activities. It is unethical, irresponsible and ultimately unsustainable to push the problem onto future generations. It is also a proliferation and security issue. The decisions that countries make on the back end of the fuel cycle (activities that could include dry cask storage, shipping spent fuel to away-from-reactor storage or to reprocessing plants and, eventually, the final disposal of spent fuel or high level waste) can include sensitive nuclear technologies such as plutonium separation.  </w:t>
      </w:r>
    </w:p>
    <w:p w:rsidR="00E76FB6" w:rsidRPr="00E76FB6" w:rsidRDefault="00E76FB6" w:rsidP="00847466">
      <w:pPr>
        <w:pStyle w:val="Abstract"/>
        <w:spacing w:before="0" w:after="0"/>
        <w:rPr>
          <w:sz w:val="20"/>
        </w:rPr>
      </w:pPr>
      <w:r w:rsidRPr="00E76FB6">
        <w:rPr>
          <w:sz w:val="20"/>
        </w:rPr>
        <w:t xml:space="preserve">Drawing on two years of work funded by the Hewlett and MacArthur Foundations, the </w:t>
      </w:r>
      <w:r w:rsidR="00847466">
        <w:rPr>
          <w:sz w:val="20"/>
        </w:rPr>
        <w:t>principal investigators</w:t>
      </w:r>
      <w:r w:rsidRPr="00E76FB6">
        <w:rPr>
          <w:sz w:val="20"/>
        </w:rPr>
        <w:t xml:space="preserve"> offer recommendations for developing spent fuel pathways that address broader fuel cycle concerns. Key findings include:</w:t>
      </w:r>
    </w:p>
    <w:p w:rsidR="00E76FB6" w:rsidRPr="00E76FB6" w:rsidRDefault="00E76FB6" w:rsidP="00847466">
      <w:pPr>
        <w:pStyle w:val="Abstract"/>
        <w:numPr>
          <w:ilvl w:val="0"/>
          <w:numId w:val="20"/>
        </w:numPr>
        <w:spacing w:before="0" w:after="0"/>
        <w:rPr>
          <w:sz w:val="20"/>
        </w:rPr>
      </w:pPr>
      <w:r w:rsidRPr="00E76FB6">
        <w:rPr>
          <w:sz w:val="20"/>
        </w:rPr>
        <w:t xml:space="preserve">many countries face storage and disposal siting challenges. This is particularly true in countries such as Japan and South Korea, where the need is urgent and growing. </w:t>
      </w:r>
    </w:p>
    <w:p w:rsidR="00E76FB6" w:rsidRPr="00E76FB6" w:rsidRDefault="00E76FB6" w:rsidP="00847466">
      <w:pPr>
        <w:pStyle w:val="Abstract"/>
        <w:numPr>
          <w:ilvl w:val="0"/>
          <w:numId w:val="21"/>
        </w:numPr>
        <w:spacing w:before="0" w:after="0"/>
        <w:rPr>
          <w:sz w:val="20"/>
        </w:rPr>
      </w:pPr>
      <w:r w:rsidRPr="00E76FB6">
        <w:rPr>
          <w:sz w:val="20"/>
        </w:rPr>
        <w:t>cooperative networks and regional frameworks for storage and disposal could be a productive way to address these problems in Asia and elsewhere. Such partnerships can enhance regional transparency and flexibility as well as improving global security and fortifying nonproliferation.</w:t>
      </w:r>
    </w:p>
    <w:p w:rsidR="00E76FB6" w:rsidRPr="00E76FB6" w:rsidRDefault="00E76FB6" w:rsidP="00847466">
      <w:pPr>
        <w:pStyle w:val="Abstract"/>
        <w:numPr>
          <w:ilvl w:val="0"/>
          <w:numId w:val="22"/>
        </w:numPr>
        <w:spacing w:before="0" w:after="0"/>
        <w:rPr>
          <w:sz w:val="20"/>
        </w:rPr>
      </w:pPr>
      <w:r w:rsidRPr="00E76FB6">
        <w:rPr>
          <w:sz w:val="20"/>
        </w:rPr>
        <w:t>the possibility of multinational options should not be used as an excuse for countries to neglect domestic responsibilities; all countries must have a national spent fuel management program. Conversely, national programs should not oppose concerted exploration of multinational approaches.</w:t>
      </w:r>
    </w:p>
    <w:p w:rsidR="00E76FB6" w:rsidRPr="00E76FB6" w:rsidRDefault="00E76FB6" w:rsidP="00847466">
      <w:pPr>
        <w:pStyle w:val="Abstract"/>
        <w:numPr>
          <w:ilvl w:val="0"/>
          <w:numId w:val="23"/>
        </w:numPr>
        <w:spacing w:before="0" w:after="0"/>
        <w:rPr>
          <w:sz w:val="20"/>
        </w:rPr>
      </w:pPr>
      <w:r w:rsidRPr="00E76FB6">
        <w:rPr>
          <w:sz w:val="20"/>
        </w:rPr>
        <w:t>geological disposal can be both a business venture and a public service. Even one success story could be a game changer, prompting regional waste management solutions in other parts of the world.</w:t>
      </w:r>
    </w:p>
    <w:p w:rsidR="00E76FB6" w:rsidRPr="00E76FB6" w:rsidRDefault="00E76FB6" w:rsidP="00847466">
      <w:pPr>
        <w:pStyle w:val="Abstract"/>
        <w:numPr>
          <w:ilvl w:val="0"/>
          <w:numId w:val="24"/>
        </w:numPr>
        <w:spacing w:before="0" w:after="0"/>
        <w:rPr>
          <w:sz w:val="20"/>
        </w:rPr>
      </w:pPr>
      <w:r w:rsidRPr="00E76FB6">
        <w:rPr>
          <w:sz w:val="20"/>
        </w:rPr>
        <w:t>many nations with spent fuel management issues state that sustained U.S. engagement in regional fuel cycle/spent fuel initiatives is necessary.</w:t>
      </w:r>
    </w:p>
    <w:p w:rsidR="00E76FB6" w:rsidRPr="00E76FB6" w:rsidRDefault="00E76FB6" w:rsidP="00847466">
      <w:pPr>
        <w:pStyle w:val="Abstract"/>
        <w:numPr>
          <w:ilvl w:val="0"/>
          <w:numId w:val="25"/>
        </w:numPr>
        <w:spacing w:before="0" w:after="0"/>
        <w:rPr>
          <w:sz w:val="20"/>
        </w:rPr>
      </w:pPr>
      <w:r w:rsidRPr="00E76FB6">
        <w:rPr>
          <w:sz w:val="20"/>
        </w:rPr>
        <w:t>many productive avenues of discussion can be pursued immediately that promote cooperation well before the difficult phase of repository siting.</w:t>
      </w:r>
    </w:p>
    <w:p w:rsidR="001D3AE7" w:rsidRPr="006635E9" w:rsidRDefault="001D3AE7" w:rsidP="00847466">
      <w:pPr>
        <w:pStyle w:val="Abstract"/>
        <w:spacing w:before="0" w:after="0"/>
        <w:rPr>
          <w:sz w:val="20"/>
          <w:szCs w:val="20"/>
        </w:rPr>
      </w:pPr>
    </w:p>
    <w:p w:rsidR="00DF14FD" w:rsidRPr="006635E9" w:rsidRDefault="00DF14FD" w:rsidP="00DF14FD">
      <w:pPr>
        <w:pStyle w:val="Textkrper"/>
        <w:rPr>
          <w:rFonts w:ascii="Times New Roman" w:hAnsi="Times New Roman"/>
          <w:lang w:val="en-US"/>
        </w:rPr>
      </w:pPr>
      <w:r w:rsidRPr="006635E9">
        <w:rPr>
          <w:rFonts w:ascii="Times New Roman" w:hAnsi="Times New Roman"/>
          <w:b/>
          <w:lang w:val="en-US"/>
        </w:rPr>
        <w:t>Key Words</w:t>
      </w:r>
      <w:r w:rsidRPr="006635E9">
        <w:rPr>
          <w:rFonts w:ascii="Times New Roman" w:hAnsi="Times New Roman"/>
          <w:lang w:val="en-US"/>
        </w:rPr>
        <w:t xml:space="preserve">: </w:t>
      </w:r>
      <w:r w:rsidR="001D3AE7">
        <w:rPr>
          <w:rFonts w:ascii="Times New Roman" w:hAnsi="Times New Roman"/>
          <w:lang w:val="en-US"/>
        </w:rPr>
        <w:t>spent fuel strategies, cooperative networks, spent fuel management</w:t>
      </w:r>
    </w:p>
    <w:p w:rsidR="00A8604F" w:rsidRDefault="00A8604F" w:rsidP="00487E6D">
      <w:pPr>
        <w:pStyle w:val="Heading3"/>
        <w:rPr>
          <w:lang w:val="en-US"/>
        </w:rPr>
      </w:pPr>
      <w:r>
        <w:rPr>
          <w:lang w:val="en-US"/>
        </w:rPr>
        <w:t>Introduction</w:t>
      </w:r>
    </w:p>
    <w:p w:rsidR="006B2F17" w:rsidRPr="0067752D" w:rsidRDefault="006B2F17" w:rsidP="006B2F17">
      <w:r w:rsidRPr="0067752D">
        <w:t>Thirty-one countries plus Taiwan operate nuclear power plants; sensitive fuel cycle capabilities are concentrated in fewer than ten of those countries. Globally, reactors generate about 10,500 metric tons of spent fuel each year. More than 270,000 metric tons of spent fuel is held in storage worldwide, most at reactor sites. About 90 percent of that spent fuel is in storage pools, the remainder is in dry casks. In addition, the amount of separated plutonium continues to grow internationally because it cannot be consumed as quickly as it is produced; decisions about reprocessing are often disconnected from use of the recovered products.</w:t>
      </w:r>
    </w:p>
    <w:p w:rsidR="006B2F17" w:rsidRPr="0067752D" w:rsidRDefault="006B2F17" w:rsidP="006B2F17">
      <w:r w:rsidRPr="0067752D">
        <w:t>Geological disposal is the internationally accepted strategy for permanently isolating spent nuclear fuel and high-level waste. Political and technical difficulties have so far delayed and, in many cases, prevented the construction and operation of any commercial repositories, though programs in several countries are making significant progress. Meanwhile, spent fuel continues to accumulate in cooling pools with limited storage capacity. On-site dry cask storage is a mid-term but still temporary solution, and reprocessing and recycling still generate significant waste streams that require permanent disposal. Both storage and disposal programs are needed: storage provides the interim solution until the repository is operating; the repository program provides a permanent solution and the necessary public and political assurance that the storage site will not become a de facto repository.</w:t>
      </w:r>
    </w:p>
    <w:p w:rsidR="006B2F17" w:rsidRPr="0067752D" w:rsidRDefault="006B2F17" w:rsidP="006B2F17">
      <w:r w:rsidRPr="0067752D">
        <w:t xml:space="preserve">Spent nuclear fuel needs to be stored for extended periods of time until the fuel has cooled sufficiently before repositories can begin accepting it – perhaps 40 years or more. In addition, increasingly high burn-up fuel and large dry storage canisters make moving spent fuel stored in such canisters problematic in the short to medium term because the allowable thermal and radiation limits for transportation can be substantially lower than the limits for storage, requiring an extended period of aging before the canisters have cooled down enough to be moved. In most cases it will be decades before repositories are open and able to accept waste in sufficient quantities to begin to significantly draw down the inventory. The longer spent fuel is stored, the less self-protecting it becomes as the strongly radiating shorter lived isotopes that provide the protection continue to decay, and thus as it becomes less radioactive, the greater security risk it presents. Therefore, high priority should be given to spent fuel storage options in program planning. Consideration should be given to siting interim storage facilities in locations where final disposal might also be feasible. Co-location with nuclear power plants has also proven to be a sound strategy in some cases. </w:t>
      </w:r>
    </w:p>
    <w:p w:rsidR="006B2F17" w:rsidRPr="0067752D" w:rsidRDefault="006B2F17" w:rsidP="006B2F17">
      <w:r w:rsidRPr="0067752D">
        <w:t xml:space="preserve">Despite the well-developed repository programs in Sweden, Finland and France, and encouraging progress towards siting national repositories in the UK and Canada, the vast majority of countries continue to struggle with developing and implementing plans to safely and securely dispose of the waste produced by </w:t>
      </w:r>
      <w:r w:rsidRPr="0067752D">
        <w:lastRenderedPageBreak/>
        <w:t>nuclear power programs. The lack of spent fuel management options – both interim storage and final disposal – strains the credibility of the nuclear community and undercuts public and political acceptance for all nuclear activities. Continuing along this path is ultimately unsustainable.</w:t>
      </w:r>
    </w:p>
    <w:p w:rsidR="006B2F17" w:rsidRPr="0067752D" w:rsidRDefault="006B2F17" w:rsidP="006B2F17">
      <w:r w:rsidRPr="0067752D">
        <w:t>The United States has no effective program for managing and ultimately disposing of the spent fuel and high-level radioactive waste produced by the nation’s nuclear power plants. Thirty years after the Nuclear Waste Policy Act was signed into law mandating the operation of a geologic repository by January 31, 1998, there is no active U.S. repository program though there is recent movement to restart the program. Years of work and billions of dollars have proven unsuccessful to date in meeting the nation’s spent fuel management and disposal needs. This has a direct impact on the prospects for nuclear power domestically as well as the U.S. ability to lead and influence fuel cycle developments in the rest of the world; the U.S. is unable to lead by example.</w:t>
      </w:r>
    </w:p>
    <w:p w:rsidR="00DF14FD" w:rsidRPr="006B2F17" w:rsidRDefault="006B2F17" w:rsidP="006B2F17">
      <w:pPr>
        <w:pStyle w:val="Textkrper"/>
        <w:spacing w:before="120"/>
        <w:rPr>
          <w:sz w:val="24"/>
        </w:rPr>
      </w:pPr>
      <w:r w:rsidRPr="006B2F17">
        <w:rPr>
          <w:sz w:val="24"/>
        </w:rPr>
        <w:t>For all countries, spent fuel presents both a waste management issue and a proliferation and security issue. The decisions that are made on the back end of the fuel cycle (activities that could include dry cask storage of spent fuel, shipping of spent fuel to away-from-reactor storage or to a reprocessing plant and, eventually, the final disposal of the spent fuel or the reprocessed high level waste) can include sensitive nuclear technologies such as plutonium separation. Meanwhile inventories of spent fuel continue to accumulate at reactor sites across the globe. Failure to manage these problems threatens national, regional and international security, exacerbates nonproliferation risks, jeopardizes the future of nuclear power and impacts serious efforts to deal with climate change.</w:t>
      </w:r>
      <w:r w:rsidR="00DF14FD" w:rsidRPr="006B2F17">
        <w:rPr>
          <w:sz w:val="24"/>
        </w:rPr>
        <w:t xml:space="preserve"> </w:t>
      </w:r>
    </w:p>
    <w:p w:rsidR="00A8604F" w:rsidRPr="00487E6D" w:rsidRDefault="006B2F17" w:rsidP="009F6A57">
      <w:pPr>
        <w:pStyle w:val="Heading3"/>
        <w:rPr>
          <w:lang w:val="en-US"/>
        </w:rPr>
      </w:pPr>
      <w:r>
        <w:rPr>
          <w:lang w:val="en-US"/>
        </w:rPr>
        <w:t>Cooperative approaches</w:t>
      </w:r>
    </w:p>
    <w:p w:rsidR="006B2F17" w:rsidRDefault="006B2F17" w:rsidP="006B2F17">
      <w:pPr>
        <w:spacing w:after="240"/>
      </w:pPr>
      <w:r>
        <w:t>Cooperative approaches to spent fuel management offer a number of potential benefits. They could: enhance global security; promote economies of scale; enable spent fuel to be consolidated more quickly at storage facilities and perhaps allow earlier access to disposal facilities; lower environmental impacts; provide a wider choice of geological conditions; present a business opportunity for the host country; provide an incentive for countries to forego enrichment and reprocessing; enhance regional transparency and confidence; enable the integration of engineering, hard science and social science research; create ‘breathing room</w:t>
      </w:r>
      <w:r w:rsidRPr="00256B7A">
        <w:t xml:space="preserve">’ (i.e. interim </w:t>
      </w:r>
      <w:r>
        <w:t>storage) while disposal options are developed; and demonstrate safe operation which helps build trust. If combined with a nuclear security regime, they could also enhance security and nonproliferation.</w:t>
      </w:r>
    </w:p>
    <w:p w:rsidR="006B2F17" w:rsidRDefault="006B2F17" w:rsidP="006B2F17">
      <w:pPr>
        <w:spacing w:after="240"/>
      </w:pPr>
      <w:r>
        <w:t>Many countries facing storage and final disposal siting challenges (geologic, financial and political) have</w:t>
      </w:r>
      <w:r>
        <w:rPr>
          <w:lang w:val="de-DE"/>
        </w:rPr>
        <w:t xml:space="preserve"> strong interest</w:t>
      </w:r>
      <w:r>
        <w:t>s in cooperating. In particular, about half of the countries currently operating nuclear power plants have fewer than five reactors. This means they do not accumulate spent fuel very quickly. It also means that spent fuel management becomes proportionately a very expensive component of their</w:t>
      </w:r>
      <w:r w:rsidRPr="00256B7A">
        <w:t xml:space="preserve"> </w:t>
      </w:r>
      <w:r>
        <w:t xml:space="preserve">nuclear programs. Access to a disposal pathway that limits responsibility for spent fuel management may make more sense financially and, in most cases, politically. Even countries with larger programs may find economic, security and even political benefits in multinational approaches. </w:t>
      </w:r>
    </w:p>
    <w:p w:rsidR="006B2F17" w:rsidRDefault="006B2F17" w:rsidP="006B2F17">
      <w:pPr>
        <w:spacing w:after="240"/>
      </w:pPr>
      <w:r>
        <w:rPr>
          <w:lang w:val="es-ES_tradnl"/>
        </w:rPr>
        <w:t xml:space="preserve">Spent fuel management in </w:t>
      </w:r>
      <w:r>
        <w:t>many European nations is considered a ‘European challenge</w:t>
      </w:r>
      <w:r w:rsidRPr="00256B7A">
        <w:t xml:space="preserve">’ </w:t>
      </w:r>
      <w:r>
        <w:t>that for some countries might be best solved by multinational cooperation. Notably, the European Council adopted a legally binding and enforceable European Commission proposal on 19 July 2011 which read in part: “Radioactive waste shall be disposed of in the Member State in which it was generated, unless agreements are concluded between Member States to use disposal facilities in one of them”[</w:t>
      </w:r>
      <w:r>
        <w:rPr>
          <w:rFonts w:ascii="Times New Roman Bold"/>
        </w:rPr>
        <w:t>1</w:t>
      </w:r>
      <w:r>
        <w:t xml:space="preserve">]. Other regions, including several countries in Asia, may choose to take the same approach although it should be noted that the complexities of managing liability and other legal arrangements are minimized to a significant extent in the EU and Euratom due to an existing common understanding of basic concepts and an agreed regulatory framework. </w:t>
      </w:r>
    </w:p>
    <w:p w:rsidR="006B2F17" w:rsidRDefault="006B2F17" w:rsidP="006B2F17">
      <w:pPr>
        <w:spacing w:after="240"/>
      </w:pPr>
      <w:r>
        <w:t>The creation of cooperative networks and regional frameworks for storage and disposal would be a productive way to pursue spent fuel management, particularly in Japan, South Korea and Taiwan where storage space shortages in spent fuel pools are becoming acute. There are no such groupings or approaches at present in Asia. A regional approach could present a ‘win-win-win</w:t>
      </w:r>
      <w:r w:rsidRPr="00256B7A">
        <w:t xml:space="preserve">’ </w:t>
      </w:r>
      <w:r>
        <w:t>path forward (globally, in Asia and in the US), allowing for the safe and effective expansion of nuclear power while simultaneously reducing security and nonproliferation concerns and helping to solve the spent fuel/high level waste dilemma.</w:t>
      </w:r>
    </w:p>
    <w:p w:rsidR="00A8604F" w:rsidRDefault="006B2F17" w:rsidP="006B2F17">
      <w:pPr>
        <w:pStyle w:val="Textkrper"/>
        <w:rPr>
          <w:rFonts w:ascii="Times New Roman" w:hAnsi="Times New Roman"/>
          <w:sz w:val="32"/>
          <w:lang w:val="en-US"/>
        </w:rPr>
      </w:pPr>
      <w:r w:rsidRPr="006B2F17">
        <w:rPr>
          <w:sz w:val="24"/>
        </w:rPr>
        <w:t>However, sensitivity to the mutual impacts of national and multinational initiatives is vital. The possibility of multinational options arising should not be used as an excuse for countries to neglect domestic responsibilities; all countries must have a vibrant national program for spent fuel management. By the same token, national programs should not oppose multinational approaches. International organizations such as the IAEA and the NEA should develop and promote consistent and even-handed views on both approaches.</w:t>
      </w:r>
      <w:r w:rsidR="00A8604F" w:rsidRPr="006B2F17">
        <w:rPr>
          <w:rFonts w:ascii="Times New Roman" w:hAnsi="Times New Roman"/>
          <w:sz w:val="32"/>
          <w:lang w:val="en-US"/>
        </w:rPr>
        <w:t xml:space="preserve"> </w:t>
      </w:r>
    </w:p>
    <w:p w:rsidR="006B2F17" w:rsidRPr="00487E6D" w:rsidRDefault="006B2F17" w:rsidP="006B2F17">
      <w:pPr>
        <w:pStyle w:val="Heading3"/>
        <w:rPr>
          <w:lang w:val="en-US"/>
        </w:rPr>
      </w:pPr>
      <w:r>
        <w:rPr>
          <w:lang w:val="en-US"/>
        </w:rPr>
        <w:t>Toward Solutions</w:t>
      </w:r>
    </w:p>
    <w:p w:rsidR="006B2F17" w:rsidRDefault="006B2F17" w:rsidP="006B2F17">
      <w:pPr>
        <w:spacing w:after="240"/>
      </w:pPr>
      <w:r>
        <w:t>For waste management programs to have best chance of success, it is extremely important to recognize that a national problem exists and for that recognition to translate into a national commitment to provide a solution in a reasonable amount of time. The problem cannot just be put off for future generations to deal with when the current generation is continuing to create the waste as it benefits from nuclear power. Several countries have had a national debate that led to a decision in principal which provided the foundation for, and clear national incentive to, address the problem. As the Blue Ribbon Commission on America</w:t>
      </w:r>
      <w:r w:rsidRPr="00256B7A">
        <w:t>’</w:t>
      </w:r>
      <w:r>
        <w:t xml:space="preserve">s Nuclear </w:t>
      </w:r>
      <w:r>
        <w:lastRenderedPageBreak/>
        <w:t>Future (BRC) observed: “This generation has a fundamental ethical obligation to avoid burdening future generations with the entire task of finding a safe permanent solution for managing hazardous nuclear materials they had no part in creating . . . while also preserving their energy options”[</w:t>
      </w:r>
      <w:r>
        <w:rPr>
          <w:rFonts w:ascii="Times New Roman Bold"/>
        </w:rPr>
        <w:t>2</w:t>
      </w:r>
      <w:r>
        <w:t>]. However, trying to find a host community should not be the first step in any national or regional spent fuel management strategy. Rather, it should be the eventual outgrowth of an adaptive, staged approach. For regional approaches, there are many types of cooperation short of disposal (e.g. research and development on materials and aging issues common to all parties, joint canister construction, transportation methods) that could be helpful starting points for a dialogue. Achieving a consensus view on the potential benefits and drawbacks of a range of cooperation including consideration of an ultimate multinational facility is a key prerequisite in this process.</w:t>
      </w:r>
    </w:p>
    <w:p w:rsidR="006B2F17" w:rsidRDefault="006B2F17" w:rsidP="006B2F17">
      <w:pPr>
        <w:spacing w:after="240"/>
      </w:pPr>
      <w:r>
        <w:t xml:space="preserve">A consent-based staged, adaptive approach has allowed successful national programs to move forward toward a consistent set of goals (that is, safe storage and timely disposal of HLW/SNF) while preserving the flexibility necessary to adjust to both </w:t>
      </w:r>
      <w:r w:rsidRPr="00416347">
        <w:t xml:space="preserve">changing conditions and new opportunities </w:t>
      </w:r>
      <w:r>
        <w:t xml:space="preserve">throughout the lengthy program period. This has also been recommended by the BRC for the US program. </w:t>
      </w:r>
    </w:p>
    <w:p w:rsidR="006B2F17" w:rsidRDefault="006B2F17" w:rsidP="006B2F17">
      <w:pPr>
        <w:spacing w:after="240"/>
      </w:pPr>
      <w:r>
        <w:t>Understanding that siting spent fuel storage and disposal facilities is extremely difficult, creative approaches to community engagement, such as the design of the Dutch Central Organisation for Radioactive Waste’s Highly Radioactive Waste Treatment and Storage Building (HABOG) which is orange and will be repainted in progressively lighter shades until it is white in about 100 years to reflect the reduction in the waste’s heat production, should be publicized widely</w:t>
      </w:r>
      <w:r w:rsidDel="00545C4A">
        <w:t xml:space="preserve"> </w:t>
      </w:r>
      <w:r>
        <w:t>and adapted to local conditions if possible[</w:t>
      </w:r>
      <w:r>
        <w:rPr>
          <w:rFonts w:ascii="Times New Roman Bold"/>
        </w:rPr>
        <w:t>3</w:t>
      </w:r>
      <w:r>
        <w:t>].</w:t>
      </w:r>
    </w:p>
    <w:p w:rsidR="006B2F17" w:rsidRDefault="006B2F17" w:rsidP="006B2F17">
      <w:pPr>
        <w:spacing w:after="240"/>
      </w:pPr>
      <w:r>
        <w:t>Viewing the management of commercial spent fuel as a contribution to national security is a powerful motivator – and has driven US and Russian threat reduction programs converting research reactors using HEU fuel to LEU and removing HEU from as many sites and countries as possible – but this argument has not been sufficiently emphasized with commercial spent fuel. According to a 2007 US-Russian National Academies workshop, “arrangements that would provide assured return of spent nuclear fuel could provide a much more powerful incentive for countries to rely on international nuclear fuel supply than would assured supply of fresh fuel, because assured take-back could mean that countries would not need to incur the cost and uncertainty of trying to establish their own repositories for spent nuclear fuel or nuclear waste”[</w:t>
      </w:r>
      <w:r>
        <w:rPr>
          <w:rFonts w:ascii="Times New Roman Bold"/>
        </w:rPr>
        <w:t>4</w:t>
      </w:r>
      <w:r>
        <w:t xml:space="preserve">]. </w:t>
      </w:r>
    </w:p>
    <w:p w:rsidR="006B2F17" w:rsidRDefault="006B2F17" w:rsidP="006B2F17">
      <w:pPr>
        <w:spacing w:after="240"/>
      </w:pPr>
      <w:r>
        <w:t xml:space="preserve">To be sure, large challenges remain for regional/international storage, disposal and take-back initiatives but the alternative – requiring each nuclear power nation to be self-sufficient at the back-end – is equally challenging. Serious consideration of factors such as security, non-proliferation and cost require the attention of all nuclear nations, particularly countries with small nuclear programs and limited resources but also countries with large nuclear programs. </w:t>
      </w:r>
    </w:p>
    <w:p w:rsidR="006B2F17" w:rsidRDefault="006B2F17" w:rsidP="006B2F17">
      <w:pPr>
        <w:spacing w:after="240"/>
      </w:pPr>
      <w:r>
        <w:t>Economics is not necessarily one of those challenges. While spent fuel disposal appears to be quite expensive, it is in fact a small fraction of the overall cost of electricity generated by nuclear power – roughly 5% of the total cost to the consumer. Therefore even significant rises in the cost of waste management do not present a substantial penalty to overall delivered costs, particularly when compared to the potential costs of failure to provide a workable disposal solution. Indeed, geological disposal can, in principle, be both a business venture and a public service. And while no viable business ventures have been initiated yet, the business case for spent fuel management is not the problem. What is needed is a driver (i.e. a country/countries and an initiative) to move things forward.</w:t>
      </w:r>
    </w:p>
    <w:p w:rsidR="006B2F17" w:rsidRDefault="006B2F17" w:rsidP="006B2F17">
      <w:pPr>
        <w:spacing w:after="240"/>
      </w:pPr>
      <w:r>
        <w:t>Several developments may serve as game changers for timely waste and broader fuel cycle management solutions in other parts of the world, including:</w:t>
      </w:r>
    </w:p>
    <w:p w:rsidR="006B2F17" w:rsidRDefault="006B2F17" w:rsidP="00847466">
      <w:pPr>
        <w:numPr>
          <w:ilvl w:val="0"/>
          <w:numId w:val="13"/>
        </w:numPr>
        <w:pBdr>
          <w:top w:val="nil"/>
          <w:left w:val="nil"/>
          <w:bottom w:val="nil"/>
          <w:right w:val="nil"/>
          <w:between w:val="nil"/>
          <w:bar w:val="nil"/>
        </w:pBdr>
        <w:suppressAutoHyphens w:val="0"/>
        <w:overflowPunct/>
        <w:autoSpaceDE/>
        <w:autoSpaceDN/>
        <w:adjustRightInd/>
        <w:spacing w:after="240"/>
        <w:ind w:left="360" w:hanging="360"/>
        <w:textAlignment w:val="auto"/>
      </w:pPr>
      <w:r>
        <w:rPr>
          <w:i/>
          <w:iCs/>
        </w:rPr>
        <w:t>the first operating national repository for HLW/SNF</w:t>
      </w:r>
      <w:r>
        <w:t>.  This might help to build confidence and overcome political resistance in other parts of the world, although it should be noted that licensing and operation of the U.S. Waste Isolation Pilot Plant (WIPP), the first custom-built deep repository, albeit for what would be considered intermediate level waste from military programs rather than HLW, did not have this effect;</w:t>
      </w:r>
    </w:p>
    <w:p w:rsidR="006B2F17" w:rsidRPr="006B2F17" w:rsidRDefault="006B2F17" w:rsidP="00847466">
      <w:pPr>
        <w:numPr>
          <w:ilvl w:val="0"/>
          <w:numId w:val="14"/>
        </w:numPr>
        <w:pBdr>
          <w:top w:val="nil"/>
          <w:left w:val="nil"/>
          <w:bottom w:val="nil"/>
          <w:right w:val="nil"/>
          <w:between w:val="nil"/>
          <w:bar w:val="nil"/>
        </w:pBdr>
        <w:suppressAutoHyphens w:val="0"/>
        <w:overflowPunct/>
        <w:autoSpaceDE/>
        <w:autoSpaceDN/>
        <w:adjustRightInd/>
        <w:spacing w:after="240"/>
        <w:ind w:left="360" w:hanging="360"/>
        <w:textAlignment w:val="auto"/>
        <w:rPr>
          <w:rFonts w:ascii="Times New Roman" w:hAnsi="Times New Roman"/>
          <w:sz w:val="32"/>
          <w:lang w:val="en-US"/>
        </w:rPr>
      </w:pPr>
      <w:r w:rsidRPr="006B2F17">
        <w:rPr>
          <w:i/>
          <w:iCs/>
        </w:rPr>
        <w:t>one or more countries providing a spent fuel take-back service</w:t>
      </w:r>
      <w:r>
        <w:t xml:space="preserve">. This could be an effective solution for many nuclear waste generators (from a security, safety and financial perspective) if an appropriate supplier country was willing to offer this service. Russia is promising to take back spent fuel as part of its nuclear reactor deals with Iran, Turkey and Vietnam. Providing that the country can ensure state-of-the-art competence and facilities to store and/or dispose of the spent fuel, the international community should support any and all such offers, recognizing that they enhance regional and global safety and security; </w:t>
      </w:r>
    </w:p>
    <w:p w:rsidR="006B2F17" w:rsidRPr="006B2F17" w:rsidRDefault="006B2F17" w:rsidP="00847466">
      <w:pPr>
        <w:numPr>
          <w:ilvl w:val="0"/>
          <w:numId w:val="14"/>
        </w:numPr>
        <w:pBdr>
          <w:top w:val="nil"/>
          <w:left w:val="nil"/>
          <w:bottom w:val="nil"/>
          <w:right w:val="nil"/>
          <w:between w:val="nil"/>
          <w:bar w:val="nil"/>
        </w:pBdr>
        <w:suppressAutoHyphens w:val="0"/>
        <w:overflowPunct/>
        <w:autoSpaceDE/>
        <w:autoSpaceDN/>
        <w:adjustRightInd/>
        <w:spacing w:after="240"/>
        <w:ind w:left="360" w:hanging="360"/>
        <w:textAlignment w:val="auto"/>
        <w:rPr>
          <w:rFonts w:ascii="Times New Roman" w:hAnsi="Times New Roman"/>
          <w:sz w:val="32"/>
          <w:lang w:val="en-US"/>
        </w:rPr>
      </w:pPr>
      <w:r w:rsidRPr="006B2F17">
        <w:rPr>
          <w:i/>
          <w:iCs/>
        </w:rPr>
        <w:t>a renewed multinational decision to minimize the impacts of climate change and a fundamental commitment to nuclear power as a key element in achieving that goal</w:t>
      </w:r>
      <w:r>
        <w:t>.</w:t>
      </w:r>
    </w:p>
    <w:p w:rsidR="006B2F17" w:rsidRPr="00487E6D" w:rsidRDefault="006B2F17" w:rsidP="006B2F17">
      <w:pPr>
        <w:pStyle w:val="Heading3"/>
        <w:rPr>
          <w:lang w:val="en-US"/>
        </w:rPr>
      </w:pPr>
      <w:r>
        <w:rPr>
          <w:lang w:val="en-US"/>
        </w:rPr>
        <w:lastRenderedPageBreak/>
        <w:t>Conclusions</w:t>
      </w:r>
    </w:p>
    <w:p w:rsidR="006B2F17" w:rsidRDefault="006B2F17" w:rsidP="006B2F17">
      <w:pPr>
        <w:pStyle w:val="Body"/>
        <w:spacing w:after="240"/>
        <w:jc w:val="both"/>
      </w:pPr>
      <w:r>
        <w:t>The lack of a repository program strains the credibility of the nuclear community and undercuts public and political acceptance for all nuclear activities.</w:t>
      </w:r>
    </w:p>
    <w:p w:rsidR="006B2F17" w:rsidRDefault="006B2F17" w:rsidP="006B2F17">
      <w:pPr>
        <w:pStyle w:val="Body"/>
        <w:spacing w:after="240"/>
        <w:jc w:val="both"/>
      </w:pPr>
      <w:r>
        <w:t>States must recognize that a national waste management problem exists and translate that recognition into a national commitment to provide a solution. Both storage and disposal programs for HLW/SNF are needed. Consideration should be given to siting interim storage facilities in locations where final disposal might also be feasible.</w:t>
      </w:r>
    </w:p>
    <w:p w:rsidR="006B2F17" w:rsidRDefault="006B2F17" w:rsidP="006B2F17">
      <w:pPr>
        <w:pStyle w:val="Body"/>
        <w:spacing w:after="240"/>
        <w:jc w:val="both"/>
      </w:pPr>
      <w:r>
        <w:t>Spent fuel disposal appears to be quite expensive but is in fact a small fraction of the overall cost of electricity generated by nuclear power. Geological disposal can, in principle, be both a business venture and a public service.</w:t>
      </w:r>
    </w:p>
    <w:p w:rsidR="006B2F17" w:rsidRDefault="006B2F17" w:rsidP="006B2F17">
      <w:pPr>
        <w:pStyle w:val="Body"/>
        <w:spacing w:after="240"/>
        <w:jc w:val="both"/>
        <w:rPr>
          <w:rFonts w:ascii="Times New Roman Bold" w:eastAsia="Times New Roman Bold" w:hAnsi="Times New Roman Bold" w:cs="Times New Roman Bold"/>
        </w:rPr>
      </w:pPr>
      <w:r>
        <w:t xml:space="preserve">The almost nonexistent back-end market potentially offers opportunities for leveraging the provision of a spent fuel disposal pathway in return for a commitment not to pursue sensitive fuel capabilities such as enrichment and reprocessing. </w:t>
      </w:r>
    </w:p>
    <w:p w:rsidR="006B2F17" w:rsidRDefault="006B2F17" w:rsidP="006B2F17">
      <w:pPr>
        <w:pStyle w:val="Body"/>
        <w:spacing w:after="240"/>
        <w:jc w:val="both"/>
      </w:pPr>
      <w:r>
        <w:t>If reprocessing is pursued as part of a closed fuel cycle, the stockpiling of plutonium should be avoided and recycling should be undertaken as soon as possible afterward to reuse the separated plutonium promptly to the maximum extent.</w:t>
      </w:r>
    </w:p>
    <w:p w:rsidR="006B2F17" w:rsidRDefault="006B2F17" w:rsidP="006B2F17">
      <w:pPr>
        <w:pStyle w:val="Body"/>
        <w:spacing w:after="240"/>
        <w:jc w:val="both"/>
      </w:pPr>
      <w:r>
        <w:t>A consent-based staged, adaptive approach to spent fuel management is proven global best practice. Trying to find a host community should not be the first step in any national or regional spent fuel management strategy, rather the eventual outgrowth of an adaptive, staged approach. Types of cooperation short of disposal (such as cooperative research and development and joint canister construction) can be helpful starting points for discussions aimed at regional approaches to spent fuel management.</w:t>
      </w:r>
    </w:p>
    <w:p w:rsidR="006B2F17" w:rsidRDefault="006B2F17" w:rsidP="006B2F17">
      <w:pPr>
        <w:pStyle w:val="Body"/>
        <w:spacing w:after="240"/>
        <w:jc w:val="both"/>
      </w:pPr>
      <w:r>
        <w:t>Viewing the management of commercial spent fuel as a contribution to national security would be a powerful motivator.</w:t>
      </w:r>
    </w:p>
    <w:p w:rsidR="006B2F17" w:rsidRDefault="006B2F17" w:rsidP="006B2F17">
      <w:pPr>
        <w:pStyle w:val="Body"/>
        <w:spacing w:after="240"/>
        <w:jc w:val="both"/>
      </w:pPr>
      <w:r>
        <w:t>Many countries facing storage and final disposal siting challenges (geologic and political) have an interest in regional approaches to spent fuel management. New nuclear entrants with small power programs or plans for such programs have a strong interest in regional approaches to spent fuel storage and disposal given that spent fuel management is proportionately a very expensive component of their nuclear programs.</w:t>
      </w:r>
    </w:p>
    <w:p w:rsidR="006B2F17" w:rsidRDefault="006B2F17" w:rsidP="006B2F17">
      <w:pPr>
        <w:pStyle w:val="Body"/>
        <w:spacing w:after="240"/>
        <w:jc w:val="both"/>
      </w:pPr>
      <w:r>
        <w:t xml:space="preserve">Large challenges remain for multinational storage and disposal initiatives but the alternative </w:t>
      </w:r>
      <w:r>
        <w:rPr>
          <w:rFonts w:hAnsi="Times New Roman"/>
        </w:rPr>
        <w:t xml:space="preserve">– </w:t>
      </w:r>
      <w:r>
        <w:t xml:space="preserve">requiring each nuclear power nation to be self-sufficient at the back-end </w:t>
      </w:r>
      <w:r>
        <w:rPr>
          <w:rFonts w:hAnsi="Times New Roman"/>
        </w:rPr>
        <w:t xml:space="preserve">– </w:t>
      </w:r>
      <w:r>
        <w:t>is equally challenging. Sensitivity to the mutual impacts of national and multinational initiatives is vital.</w:t>
      </w:r>
    </w:p>
    <w:p w:rsidR="006B2F17" w:rsidRDefault="006B2F17" w:rsidP="006B2F17">
      <w:pPr>
        <w:pStyle w:val="Body"/>
        <w:spacing w:after="240"/>
        <w:jc w:val="both"/>
      </w:pPr>
      <w:r>
        <w:t>Given the periods of time required for spent nuclear fuel to cool sufficiently and before repositories are open and able to accept waste, high priority should be given to spent fuel storage options in program planning.</w:t>
      </w:r>
    </w:p>
    <w:p w:rsidR="006B2F17" w:rsidRDefault="006B2F17" w:rsidP="006B2F17">
      <w:pPr>
        <w:pStyle w:val="Body"/>
        <w:spacing w:after="240"/>
        <w:jc w:val="both"/>
      </w:pPr>
      <w:r>
        <w:t>It is important that a clear analysis demonstrate, as quantitatively as is feasible, the differences between once-through fuel cycle programs and reprocessing/recycling programs with regard to national security and non-proliferation, as well as their impact on waste management in terms of such variables as costs, volumes, physical forms, toxicity of wastes and long term containment.</w:t>
      </w:r>
    </w:p>
    <w:p w:rsidR="006B2F17" w:rsidRDefault="006B2F17" w:rsidP="006B2F17">
      <w:pPr>
        <w:pStyle w:val="Body"/>
        <w:spacing w:after="240"/>
        <w:jc w:val="both"/>
      </w:pPr>
      <w:r>
        <w:t xml:space="preserve">Addressing non-technical issues when dealing with the public and their elected representatives at all levels of government has been shown to provide substantial benefits and has helped to make the siting of waste management facilities successful in several countries. Examples of </w:t>
      </w:r>
      <w:r>
        <w:rPr>
          <w:rFonts w:hAnsi="Times New Roman"/>
        </w:rPr>
        <w:t>‘</w:t>
      </w:r>
      <w:r>
        <w:t>added value</w:t>
      </w:r>
      <w:r>
        <w:rPr>
          <w:rFonts w:hAnsi="Times New Roman"/>
        </w:rPr>
        <w:t xml:space="preserve">’ </w:t>
      </w:r>
      <w:r>
        <w:t xml:space="preserve">include generating feelings of pride in the disposal mission (and spreading that message through site tours and speaking engagements) and providing a public service as well as contributing to regional and international security. </w:t>
      </w:r>
    </w:p>
    <w:p w:rsidR="006B2F17" w:rsidRDefault="006B2F17" w:rsidP="006B2F17">
      <w:pPr>
        <w:pStyle w:val="Body"/>
        <w:spacing w:after="240"/>
        <w:jc w:val="both"/>
      </w:pPr>
      <w:r>
        <w:t>Innovative solutions to spent fuel management in other parts of the world should be publicized. Discussing efforts that have been unsuccessful, and explaining why, can also serve a valuable educational purpose. Lessons learned should not be limited simply to the nuclear industry; important lessons can be drawn from other industries that require the use of controversial facilities.</w:t>
      </w:r>
    </w:p>
    <w:p w:rsidR="006B2F17" w:rsidRDefault="006B2F17" w:rsidP="006B2F17">
      <w:pPr>
        <w:pStyle w:val="Body"/>
        <w:spacing w:after="240"/>
        <w:jc w:val="both"/>
      </w:pPr>
      <w:r>
        <w:t>There are many technical and non-technical topics that can be studied collaboratively by regional partnerships that avoid the third rail of finding host sites, including:</w:t>
      </w:r>
    </w:p>
    <w:p w:rsidR="006B2F17" w:rsidRDefault="006B2F17" w:rsidP="00762FB5">
      <w:pPr>
        <w:pStyle w:val="Body"/>
        <w:numPr>
          <w:ilvl w:val="0"/>
          <w:numId w:val="15"/>
        </w:numPr>
        <w:tabs>
          <w:tab w:val="num" w:pos="360"/>
        </w:tabs>
        <w:ind w:left="360" w:hanging="360"/>
        <w:jc w:val="both"/>
      </w:pPr>
      <w:r>
        <w:t>long-term performance of wet and dry storage, long-term performance of SNF inside dry casks and different cask types;</w:t>
      </w:r>
    </w:p>
    <w:p w:rsidR="006B2F17" w:rsidRDefault="006B2F17" w:rsidP="00762FB5">
      <w:pPr>
        <w:pStyle w:val="Body"/>
        <w:numPr>
          <w:ilvl w:val="0"/>
          <w:numId w:val="16"/>
        </w:numPr>
        <w:tabs>
          <w:tab w:val="num" w:pos="360"/>
          <w:tab w:val="num" w:pos="926"/>
        </w:tabs>
        <w:ind w:left="360" w:hanging="360"/>
        <w:jc w:val="both"/>
      </w:pPr>
      <w:r>
        <w:t xml:space="preserve">spent fuel transportation; </w:t>
      </w:r>
    </w:p>
    <w:p w:rsidR="006B2F17" w:rsidRDefault="006B2F17" w:rsidP="00762FB5">
      <w:pPr>
        <w:pStyle w:val="Body"/>
        <w:numPr>
          <w:ilvl w:val="0"/>
          <w:numId w:val="17"/>
        </w:numPr>
        <w:tabs>
          <w:tab w:val="num" w:pos="360"/>
          <w:tab w:val="num" w:pos="926"/>
          <w:tab w:val="num" w:pos="1209"/>
        </w:tabs>
        <w:ind w:left="360" w:hanging="360"/>
        <w:jc w:val="both"/>
      </w:pPr>
      <w:r>
        <w:lastRenderedPageBreak/>
        <w:t xml:space="preserve">security aspects of spent fuel management; </w:t>
      </w:r>
    </w:p>
    <w:p w:rsidR="006B2F17" w:rsidRDefault="006B2F17" w:rsidP="00762FB5">
      <w:pPr>
        <w:pStyle w:val="Body"/>
        <w:numPr>
          <w:ilvl w:val="0"/>
          <w:numId w:val="18"/>
        </w:numPr>
        <w:tabs>
          <w:tab w:val="num" w:pos="360"/>
          <w:tab w:val="num" w:pos="926"/>
          <w:tab w:val="num" w:pos="1209"/>
          <w:tab w:val="num" w:pos="1492"/>
        </w:tabs>
        <w:ind w:left="360" w:hanging="360"/>
        <w:jc w:val="both"/>
      </w:pPr>
      <w:r>
        <w:t xml:space="preserve">siting strategies and criteria for (national) storage and disposal facilities; </w:t>
      </w:r>
    </w:p>
    <w:p w:rsidR="006B2F17" w:rsidRDefault="006B2F17" w:rsidP="00762FB5">
      <w:pPr>
        <w:pStyle w:val="Body"/>
        <w:numPr>
          <w:ilvl w:val="0"/>
          <w:numId w:val="18"/>
        </w:numPr>
        <w:tabs>
          <w:tab w:val="num" w:pos="360"/>
          <w:tab w:val="num" w:pos="926"/>
          <w:tab w:val="num" w:pos="1209"/>
          <w:tab w:val="num" w:pos="1492"/>
        </w:tabs>
        <w:ind w:left="360" w:hanging="360"/>
        <w:jc w:val="both"/>
      </w:pPr>
      <w:r>
        <w:t>comparison of direct disposal with (advanced) reprocessing strategies focusing on resulting waste inventories</w:t>
      </w:r>
      <w:r w:rsidRPr="006B2F17">
        <w:rPr>
          <w:rFonts w:hAnsi="Times New Roman"/>
        </w:rPr>
        <w:t xml:space="preserve">’ </w:t>
      </w:r>
      <w:r>
        <w:t xml:space="preserve">characteristics; </w:t>
      </w:r>
    </w:p>
    <w:p w:rsidR="006B2F17" w:rsidRDefault="006B2F17" w:rsidP="00762FB5">
      <w:pPr>
        <w:pStyle w:val="Body"/>
        <w:numPr>
          <w:ilvl w:val="0"/>
          <w:numId w:val="18"/>
        </w:numPr>
        <w:tabs>
          <w:tab w:val="num" w:pos="360"/>
          <w:tab w:val="num" w:pos="926"/>
          <w:tab w:val="num" w:pos="1209"/>
          <w:tab w:val="num" w:pos="1492"/>
        </w:tabs>
        <w:ind w:left="360" w:hanging="360"/>
        <w:jc w:val="both"/>
      </w:pPr>
      <w:r>
        <w:t xml:space="preserve">public communication and dialogue. </w:t>
      </w:r>
    </w:p>
    <w:p w:rsidR="006B2F17" w:rsidRDefault="006B2F17" w:rsidP="006B2F17">
      <w:pPr>
        <w:pStyle w:val="Body"/>
        <w:ind w:left="360"/>
        <w:jc w:val="both"/>
      </w:pPr>
    </w:p>
    <w:p w:rsidR="006B2F17" w:rsidRDefault="006B2F17" w:rsidP="006B2F17">
      <w:pPr>
        <w:pStyle w:val="Body"/>
        <w:spacing w:after="240"/>
        <w:jc w:val="both"/>
      </w:pPr>
      <w:r>
        <w:t xml:space="preserve">The establishment of a </w:t>
      </w:r>
      <w:r>
        <w:rPr>
          <w:rFonts w:hAnsi="Times New Roman"/>
        </w:rPr>
        <w:t>‘</w:t>
      </w:r>
      <w:r>
        <w:t>virtual multinational laboratory</w:t>
      </w:r>
      <w:r>
        <w:rPr>
          <w:rFonts w:hAnsi="Times New Roman"/>
        </w:rPr>
        <w:t xml:space="preserve">’ </w:t>
      </w:r>
      <w:r>
        <w:t xml:space="preserve">to support collaborative regional/international work on spent fuel management challenges might be one way to foster technical and institutional cooperation. </w:t>
      </w:r>
    </w:p>
    <w:p w:rsidR="006B2F17" w:rsidRDefault="006B2F17" w:rsidP="006B2F17">
      <w:pPr>
        <w:pBdr>
          <w:top w:val="nil"/>
          <w:left w:val="nil"/>
          <w:bottom w:val="nil"/>
          <w:right w:val="nil"/>
          <w:between w:val="nil"/>
          <w:bar w:val="nil"/>
        </w:pBdr>
        <w:suppressAutoHyphens w:val="0"/>
        <w:overflowPunct/>
        <w:autoSpaceDE/>
        <w:autoSpaceDN/>
        <w:adjustRightInd/>
        <w:spacing w:after="240"/>
        <w:textAlignment w:val="auto"/>
      </w:pPr>
      <w:r>
        <w:t>The need for action on creating spent fuel management pathways is urgent and first steps must be undertaken now. These steps should be small but concrete, with the initial emphasis on confidence-building measures.</w:t>
      </w:r>
    </w:p>
    <w:p w:rsidR="000A2CA7" w:rsidRDefault="000A2CA7" w:rsidP="000A2CA7">
      <w:pPr>
        <w:pStyle w:val="Heading3"/>
        <w:rPr>
          <w:lang w:val="en-US"/>
        </w:rPr>
      </w:pPr>
      <w:r>
        <w:rPr>
          <w:lang w:val="en-US"/>
        </w:rPr>
        <w:t>References</w:t>
      </w:r>
    </w:p>
    <w:p w:rsidR="00DC4A9D" w:rsidRDefault="00DC4A9D" w:rsidP="00762FB5">
      <w:pPr>
        <w:numPr>
          <w:ilvl w:val="0"/>
          <w:numId w:val="1"/>
        </w:numPr>
        <w:rPr>
          <w:rFonts w:ascii="Times New Roman" w:hAnsi="Times New Roman"/>
        </w:rPr>
      </w:pPr>
      <w:r w:rsidRPr="00DC4A9D">
        <w:rPr>
          <w:rFonts w:ascii="Times New Roman" w:hAnsi="Times New Roman"/>
        </w:rPr>
        <w:t>European Commission Press Release, “Nuclear waste: Commission welcomes adoption of radioactive waste directive,” 19 July 2011,</w:t>
      </w:r>
      <w:r>
        <w:rPr>
          <w:rFonts w:ascii="Times New Roman" w:hAnsi="Times New Roman"/>
        </w:rPr>
        <w:t xml:space="preserve"> available at web address: </w:t>
      </w:r>
      <w:r w:rsidRPr="00DC4A9D">
        <w:rPr>
          <w:rFonts w:ascii="Times New Roman" w:hAnsi="Times New Roman"/>
        </w:rPr>
        <w:t xml:space="preserve">http://europa.eu/rapid/pressReleasesAction.do?reference=IP/11/906 and </w:t>
      </w:r>
      <w:r w:rsidRPr="00DC4A9D">
        <w:rPr>
          <w:rFonts w:ascii="Times New Roman" w:hAnsi="Times New Roman"/>
          <w:i/>
          <w:iCs/>
        </w:rPr>
        <w:t>European Commission Proposal for a Council Directive on the Management of Spent Fuel and Radioactive Waste</w:t>
      </w:r>
      <w:r w:rsidRPr="00DC4A9D">
        <w:rPr>
          <w:rFonts w:ascii="Times New Roman" w:hAnsi="Times New Roman"/>
        </w:rPr>
        <w:t>, COM (2010) 618 Final, Brussels, 3 November 2010, http://eur-lex.europa.eu/LexUriServ/LexUriServ.do?uri=COM:2010:0618:FIN:EN:PDF</w:t>
      </w:r>
    </w:p>
    <w:p w:rsidR="00DC4A9D" w:rsidRPr="00DC4A9D" w:rsidRDefault="00DC4A9D" w:rsidP="00762FB5">
      <w:pPr>
        <w:numPr>
          <w:ilvl w:val="0"/>
          <w:numId w:val="1"/>
        </w:numPr>
        <w:rPr>
          <w:rFonts w:ascii="Times New Roman" w:hAnsi="Times New Roman"/>
        </w:rPr>
      </w:pPr>
      <w:r w:rsidRPr="00DC4A9D">
        <w:rPr>
          <w:rFonts w:ascii="Times New Roman" w:hAnsi="Times New Roman"/>
        </w:rPr>
        <w:t xml:space="preserve">Blue Ribbon Commission on America’s Nuclear Future, </w:t>
      </w:r>
      <w:r w:rsidRPr="00DC4A9D">
        <w:rPr>
          <w:rFonts w:ascii="Times New Roman" w:hAnsi="Times New Roman"/>
          <w:i/>
          <w:iCs/>
        </w:rPr>
        <w:t>Report to the Secretary of Energy</w:t>
      </w:r>
      <w:r w:rsidRPr="00DC4A9D">
        <w:rPr>
          <w:rFonts w:ascii="Times New Roman" w:hAnsi="Times New Roman"/>
        </w:rPr>
        <w:t xml:space="preserve">, January 26, 2012, p.vi- iv, </w:t>
      </w:r>
      <w:r>
        <w:rPr>
          <w:rFonts w:ascii="Times New Roman" w:hAnsi="Times New Roman"/>
        </w:rPr>
        <w:t xml:space="preserve">available at web address:  </w:t>
      </w:r>
      <w:r w:rsidRPr="00DC4A9D">
        <w:rPr>
          <w:rFonts w:ascii="Times New Roman" w:hAnsi="Times New Roman"/>
          <w:lang w:val="en-US"/>
        </w:rPr>
        <w:t>http://cybercemetery.unt.edu/archive/brc/20120620220235/http://brc.gov/sites/default/files/documents/brc_finalreport_jan2012.pdf</w:t>
      </w:r>
    </w:p>
    <w:p w:rsidR="00DC4A9D" w:rsidRDefault="00DC4A9D" w:rsidP="00762FB5">
      <w:pPr>
        <w:numPr>
          <w:ilvl w:val="0"/>
          <w:numId w:val="1"/>
        </w:numPr>
        <w:rPr>
          <w:rFonts w:ascii="Times New Roman" w:hAnsi="Times New Roman"/>
        </w:rPr>
      </w:pPr>
      <w:r w:rsidRPr="00DC4A9D">
        <w:rPr>
          <w:rFonts w:ascii="Times New Roman" w:hAnsi="Times New Roman"/>
        </w:rPr>
        <w:t>Jan Kastelein, COVRA N.V., “HABOG: One Building for High Level Waste and Spent Fuel in the Netherlands,” RRFM 2005, Budapest, 11-12 April 2005, http://www.euronuclear.org/meetings/rrfm2005/presentations/Kastelein.pdf; Travelogue of an Armchair Traveller, “HABOG – Nuclear Waste Management in An Artistic Way,” posted 15 December 2010,</w:t>
      </w:r>
      <w:r>
        <w:rPr>
          <w:rFonts w:ascii="Times New Roman" w:hAnsi="Times New Roman"/>
        </w:rPr>
        <w:t xml:space="preserve"> available at web address: </w:t>
      </w:r>
      <w:r w:rsidRPr="00DC4A9D">
        <w:rPr>
          <w:rFonts w:ascii="Times New Roman" w:hAnsi="Times New Roman"/>
        </w:rPr>
        <w:t xml:space="preserve"> </w:t>
      </w:r>
      <w:r w:rsidRPr="00DC4A9D">
        <w:rPr>
          <w:rFonts w:ascii="Times New Roman" w:hAnsi="Times New Roman"/>
          <w:lang w:val="en-US"/>
        </w:rPr>
        <w:t>http://armchairtravelogue.blogspot.ch/2010/12/habog-nuclear-waste-management-in.html</w:t>
      </w:r>
    </w:p>
    <w:p w:rsidR="00DC4A9D" w:rsidRDefault="00DC4A9D" w:rsidP="00762FB5">
      <w:pPr>
        <w:numPr>
          <w:ilvl w:val="0"/>
          <w:numId w:val="1"/>
        </w:numPr>
        <w:rPr>
          <w:rFonts w:ascii="Times New Roman" w:hAnsi="Times New Roman"/>
        </w:rPr>
      </w:pPr>
      <w:r w:rsidRPr="00DC4A9D">
        <w:rPr>
          <w:rFonts w:ascii="Times New Roman" w:hAnsi="Times New Roman"/>
        </w:rPr>
        <w:t xml:space="preserve">IAEA, </w:t>
      </w:r>
      <w:r w:rsidRPr="00DC4A9D">
        <w:rPr>
          <w:rFonts w:ascii="Times New Roman" w:hAnsi="Times New Roman"/>
          <w:i/>
          <w:iCs/>
        </w:rPr>
        <w:t>Viability of Sharing Facilities for the Disposal of Spent Fuel and Nuclear Waste: An Assessment of Recent Proposals</w:t>
      </w:r>
      <w:r w:rsidRPr="00DC4A9D">
        <w:rPr>
          <w:rFonts w:ascii="Times New Roman" w:hAnsi="Times New Roman"/>
        </w:rPr>
        <w:t>, IAEA-TECDOC-1658, Vienna, September 2011, p.22,</w:t>
      </w:r>
      <w:r>
        <w:rPr>
          <w:rFonts w:ascii="Times New Roman" w:hAnsi="Times New Roman"/>
        </w:rPr>
        <w:t xml:space="preserve"> available at web address:</w:t>
      </w:r>
      <w:r w:rsidRPr="00DC4A9D">
        <w:rPr>
          <w:rFonts w:ascii="Times New Roman" w:hAnsi="Times New Roman"/>
        </w:rPr>
        <w:t xml:space="preserve"> </w:t>
      </w:r>
      <w:r w:rsidRPr="00DC4A9D">
        <w:rPr>
          <w:rFonts w:ascii="Times New Roman" w:hAnsi="Times New Roman"/>
          <w:lang w:val="en-US"/>
        </w:rPr>
        <w:t>http://www-pub.iaea.org/MTCD/Publications/PDF/TE-1658_web.pdf</w:t>
      </w:r>
    </w:p>
    <w:p w:rsidR="00DC4A9D" w:rsidRDefault="00DC4A9D" w:rsidP="00DC4A9D">
      <w:pPr>
        <w:rPr>
          <w:rFonts w:ascii="Times New Roman Bold" w:eastAsia="Times New Roman Bold" w:hAnsi="Times New Roman Bold" w:cs="Times New Roman Bold"/>
        </w:rPr>
      </w:pPr>
      <w:r>
        <w:rPr>
          <w:rFonts w:ascii="Times New Roman Bold" w:eastAsia="Times New Roman Bold" w:hAnsi="Times New Roman Bold" w:cs="Times New Roman Bold"/>
        </w:rPr>
        <w:t>----</w:t>
      </w:r>
    </w:p>
    <w:p w:rsidR="00A8604F" w:rsidRPr="00E76FB6" w:rsidRDefault="00DC4A9D" w:rsidP="00DC4A9D">
      <w:pPr>
        <w:rPr>
          <w:rFonts w:ascii="Times New Roman" w:hAnsi="Times New Roman"/>
          <w:sz w:val="20"/>
          <w:lang w:val="en-US"/>
        </w:rPr>
      </w:pPr>
      <w:r w:rsidRPr="00E76FB6">
        <w:rPr>
          <w:sz w:val="20"/>
        </w:rPr>
        <w:t>This paper reflects the status of ongoing work by the Nuclear Threat Initiative, funded by a MacArthur Foundation grant, to explore ways in which further international cooperation on challenges at the back end fuel cycle can be mutually beneficial to cooperating parties.</w:t>
      </w:r>
    </w:p>
    <w:sectPr w:rsidR="00A8604F" w:rsidRPr="00E76FB6">
      <w:headerReference w:type="default" r:id="rId7"/>
      <w:type w:val="continuous"/>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25" w:rsidRDefault="001F7B25">
      <w:r>
        <w:separator/>
      </w:r>
    </w:p>
  </w:endnote>
  <w:endnote w:type="continuationSeparator" w:id="0">
    <w:p w:rsidR="001F7B25" w:rsidRDefault="001F7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25" w:rsidRDefault="001F7B25">
      <w:r>
        <w:separator/>
      </w:r>
    </w:p>
  </w:footnote>
  <w:footnote w:type="continuationSeparator" w:id="0">
    <w:p w:rsidR="001F7B25" w:rsidRDefault="001F7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BC" w:rsidRDefault="00C73BBC" w:rsidP="00487E6D">
    <w:pPr>
      <w:pStyle w:val="Header"/>
      <w:tabs>
        <w:tab w:val="clear" w:pos="8640"/>
        <w:tab w:val="right" w:pos="9072"/>
      </w:tabs>
      <w:rPr>
        <w:b/>
        <w:bCs/>
        <w:sz w:val="28"/>
      </w:rPr>
    </w:pPr>
    <w:r>
      <w:rPr>
        <w:rStyle w:val="PageNumber"/>
      </w:rPr>
      <w:fldChar w:fldCharType="begin"/>
    </w:r>
    <w:r>
      <w:rPr>
        <w:rStyle w:val="PageNumber"/>
      </w:rPr>
      <w:instrText xml:space="preserve"> PAGE </w:instrText>
    </w:r>
    <w:r>
      <w:rPr>
        <w:rStyle w:val="PageNumber"/>
      </w:rPr>
      <w:fldChar w:fldCharType="separate"/>
    </w:r>
    <w:r w:rsidR="002A7009">
      <w:rPr>
        <w:rStyle w:val="PageNumber"/>
        <w:noProof/>
      </w:rPr>
      <w:t>7</w:t>
    </w:r>
    <w:r>
      <w:rPr>
        <w:rStyle w:val="PageNumber"/>
      </w:rPr>
      <w:fldChar w:fldCharType="end"/>
    </w:r>
    <w:r>
      <w:rPr>
        <w:b/>
        <w:bCs/>
        <w:sz w:val="28"/>
      </w:rPr>
      <w:tab/>
    </w:r>
    <w:r>
      <w:rPr>
        <w:b/>
        <w:bCs/>
        <w:sz w:val="28"/>
      </w:rPr>
      <w:tab/>
    </w:r>
    <w:r w:rsidR="001D3AE7">
      <w:rPr>
        <w:b/>
        <w:bCs/>
        <w:sz w:val="28"/>
      </w:rPr>
      <w:t>IAEA-CN-226-21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A837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FC502E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02BB7"/>
    <w:multiLevelType w:val="multilevel"/>
    <w:tmpl w:val="6E6E00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0071F51"/>
    <w:multiLevelType w:val="multilevel"/>
    <w:tmpl w:val="38D01058"/>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A0728BB"/>
    <w:multiLevelType w:val="multilevel"/>
    <w:tmpl w:val="A6B874E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4">
    <w:nsid w:val="1ED332F8"/>
    <w:multiLevelType w:val="multilevel"/>
    <w:tmpl w:val="0DF4BDA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5">
    <w:nsid w:val="20D6623A"/>
    <w:multiLevelType w:val="multilevel"/>
    <w:tmpl w:val="0944D834"/>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6">
    <w:nsid w:val="236516A9"/>
    <w:multiLevelType w:val="multilevel"/>
    <w:tmpl w:val="28EC358A"/>
    <w:lvl w:ilvl="0">
      <w:numFmt w:val="bullet"/>
      <w:lvlText w:val="-"/>
      <w:lvlJc w:val="left"/>
      <w:rPr>
        <w:i/>
        <w:iCs/>
        <w:position w:val="0"/>
        <w:rtl w:val="0"/>
      </w:rPr>
    </w:lvl>
    <w:lvl w:ilvl="1">
      <w:start w:val="1"/>
      <w:numFmt w:val="bullet"/>
      <w:lvlText w:val="o"/>
      <w:lvlJc w:val="left"/>
      <w:rPr>
        <w:i/>
        <w:iCs/>
        <w:position w:val="0"/>
        <w:rtl w:val="0"/>
      </w:rPr>
    </w:lvl>
    <w:lvl w:ilvl="2">
      <w:start w:val="1"/>
      <w:numFmt w:val="bullet"/>
      <w:lvlText w:val="▪"/>
      <w:lvlJc w:val="left"/>
      <w:rPr>
        <w:i/>
        <w:iCs/>
        <w:position w:val="0"/>
        <w:rtl w:val="0"/>
      </w:rPr>
    </w:lvl>
    <w:lvl w:ilvl="3">
      <w:start w:val="1"/>
      <w:numFmt w:val="bullet"/>
      <w:lvlText w:val="•"/>
      <w:lvlJc w:val="left"/>
      <w:rPr>
        <w:i/>
        <w:iCs/>
        <w:position w:val="0"/>
        <w:rtl w:val="0"/>
      </w:rPr>
    </w:lvl>
    <w:lvl w:ilvl="4">
      <w:start w:val="1"/>
      <w:numFmt w:val="bullet"/>
      <w:lvlText w:val="o"/>
      <w:lvlJc w:val="left"/>
      <w:rPr>
        <w:i/>
        <w:iCs/>
        <w:position w:val="0"/>
        <w:rtl w:val="0"/>
      </w:rPr>
    </w:lvl>
    <w:lvl w:ilvl="5">
      <w:start w:val="1"/>
      <w:numFmt w:val="bullet"/>
      <w:lvlText w:val="▪"/>
      <w:lvlJc w:val="left"/>
      <w:rPr>
        <w:i/>
        <w:iCs/>
        <w:position w:val="0"/>
        <w:rtl w:val="0"/>
      </w:rPr>
    </w:lvl>
    <w:lvl w:ilvl="6">
      <w:start w:val="1"/>
      <w:numFmt w:val="bullet"/>
      <w:lvlText w:val="•"/>
      <w:lvlJc w:val="left"/>
      <w:rPr>
        <w:i/>
        <w:iCs/>
        <w:position w:val="0"/>
        <w:rtl w:val="0"/>
      </w:rPr>
    </w:lvl>
    <w:lvl w:ilvl="7">
      <w:start w:val="1"/>
      <w:numFmt w:val="bullet"/>
      <w:lvlText w:val="o"/>
      <w:lvlJc w:val="left"/>
      <w:rPr>
        <w:i/>
        <w:iCs/>
        <w:position w:val="0"/>
        <w:rtl w:val="0"/>
      </w:rPr>
    </w:lvl>
    <w:lvl w:ilvl="8">
      <w:start w:val="1"/>
      <w:numFmt w:val="bullet"/>
      <w:lvlText w:val="▪"/>
      <w:lvlJc w:val="left"/>
      <w:rPr>
        <w:i/>
        <w:iCs/>
        <w:position w:val="0"/>
        <w:rtl w:val="0"/>
      </w:rPr>
    </w:lvl>
  </w:abstractNum>
  <w:abstractNum w:abstractNumId="17">
    <w:nsid w:val="26BE12A6"/>
    <w:multiLevelType w:val="multilevel"/>
    <w:tmpl w:val="52EA3674"/>
    <w:styleLink w:val="List0"/>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8">
    <w:nsid w:val="2E0F26F5"/>
    <w:multiLevelType w:val="multilevel"/>
    <w:tmpl w:val="9C90C5E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3D33133A"/>
    <w:multiLevelType w:val="multilevel"/>
    <w:tmpl w:val="8FC86F5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486043EC"/>
    <w:multiLevelType w:val="multilevel"/>
    <w:tmpl w:val="108AD77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5DA95A84"/>
    <w:multiLevelType w:val="multilevel"/>
    <w:tmpl w:val="7D3E36AE"/>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2">
    <w:nsid w:val="5E924BBB"/>
    <w:multiLevelType w:val="multilevel"/>
    <w:tmpl w:val="F5A6A11E"/>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63FB5BB4"/>
    <w:multiLevelType w:val="multilevel"/>
    <w:tmpl w:val="BE0A04BE"/>
    <w:lvl w:ilvl="0">
      <w:numFmt w:val="bullet"/>
      <w:lvlText w:val="-"/>
      <w:lvlJc w:val="left"/>
      <w:rPr>
        <w:i/>
        <w:iCs/>
        <w:position w:val="0"/>
        <w:rtl w:val="0"/>
      </w:rPr>
    </w:lvl>
    <w:lvl w:ilvl="1">
      <w:start w:val="1"/>
      <w:numFmt w:val="bullet"/>
      <w:lvlText w:val="o"/>
      <w:lvlJc w:val="left"/>
      <w:rPr>
        <w:i/>
        <w:iCs/>
        <w:position w:val="0"/>
        <w:rtl w:val="0"/>
      </w:rPr>
    </w:lvl>
    <w:lvl w:ilvl="2">
      <w:start w:val="1"/>
      <w:numFmt w:val="bullet"/>
      <w:lvlText w:val="▪"/>
      <w:lvlJc w:val="left"/>
      <w:rPr>
        <w:i/>
        <w:iCs/>
        <w:position w:val="0"/>
        <w:rtl w:val="0"/>
      </w:rPr>
    </w:lvl>
    <w:lvl w:ilvl="3">
      <w:start w:val="1"/>
      <w:numFmt w:val="bullet"/>
      <w:lvlText w:val="•"/>
      <w:lvlJc w:val="left"/>
      <w:rPr>
        <w:i/>
        <w:iCs/>
        <w:position w:val="0"/>
        <w:rtl w:val="0"/>
      </w:rPr>
    </w:lvl>
    <w:lvl w:ilvl="4">
      <w:start w:val="1"/>
      <w:numFmt w:val="bullet"/>
      <w:lvlText w:val="o"/>
      <w:lvlJc w:val="left"/>
      <w:rPr>
        <w:i/>
        <w:iCs/>
        <w:position w:val="0"/>
        <w:rtl w:val="0"/>
      </w:rPr>
    </w:lvl>
    <w:lvl w:ilvl="5">
      <w:start w:val="1"/>
      <w:numFmt w:val="bullet"/>
      <w:lvlText w:val="▪"/>
      <w:lvlJc w:val="left"/>
      <w:rPr>
        <w:i/>
        <w:iCs/>
        <w:position w:val="0"/>
        <w:rtl w:val="0"/>
      </w:rPr>
    </w:lvl>
    <w:lvl w:ilvl="6">
      <w:start w:val="1"/>
      <w:numFmt w:val="bullet"/>
      <w:lvlText w:val="•"/>
      <w:lvlJc w:val="left"/>
      <w:rPr>
        <w:i/>
        <w:iCs/>
        <w:position w:val="0"/>
        <w:rtl w:val="0"/>
      </w:rPr>
    </w:lvl>
    <w:lvl w:ilvl="7">
      <w:start w:val="1"/>
      <w:numFmt w:val="bullet"/>
      <w:lvlText w:val="o"/>
      <w:lvlJc w:val="left"/>
      <w:rPr>
        <w:i/>
        <w:iCs/>
        <w:position w:val="0"/>
        <w:rtl w:val="0"/>
      </w:rPr>
    </w:lvl>
    <w:lvl w:ilvl="8">
      <w:start w:val="1"/>
      <w:numFmt w:val="bullet"/>
      <w:lvlText w:val="▪"/>
      <w:lvlJc w:val="left"/>
      <w:rPr>
        <w:i/>
        <w:iCs/>
        <w:position w:val="0"/>
        <w:rtl w:val="0"/>
      </w:rPr>
    </w:lvl>
  </w:abstractNum>
  <w:abstractNum w:abstractNumId="24">
    <w:nsid w:val="68653BC8"/>
    <w:multiLevelType w:val="hybridMultilevel"/>
    <w:tmpl w:val="3F284916"/>
    <w:lvl w:ilvl="0" w:tplc="83B08F88">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3"/>
  </w:num>
  <w:num w:numId="14">
    <w:abstractNumId w:val="16"/>
  </w:num>
  <w:num w:numId="15">
    <w:abstractNumId w:val="19"/>
  </w:num>
  <w:num w:numId="16">
    <w:abstractNumId w:val="18"/>
  </w:num>
  <w:num w:numId="17">
    <w:abstractNumId w:val="10"/>
  </w:num>
  <w:num w:numId="18">
    <w:abstractNumId w:val="20"/>
  </w:num>
  <w:num w:numId="19">
    <w:abstractNumId w:val="22"/>
  </w:num>
  <w:num w:numId="20">
    <w:abstractNumId w:val="14"/>
  </w:num>
  <w:num w:numId="21">
    <w:abstractNumId w:val="11"/>
  </w:num>
  <w:num w:numId="22">
    <w:abstractNumId w:val="15"/>
  </w:num>
  <w:num w:numId="23">
    <w:abstractNumId w:val="21"/>
  </w:num>
  <w:num w:numId="24">
    <w:abstractNumId w:val="13"/>
  </w:num>
  <w:num w:numId="25">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E0A0D"/>
    <w:rsid w:val="00014B1A"/>
    <w:rsid w:val="000A2CA7"/>
    <w:rsid w:val="000E7F3D"/>
    <w:rsid w:val="001A6B91"/>
    <w:rsid w:val="001A6DA6"/>
    <w:rsid w:val="001C7767"/>
    <w:rsid w:val="001D3A86"/>
    <w:rsid w:val="001D3AE7"/>
    <w:rsid w:val="001D7282"/>
    <w:rsid w:val="001E0A0D"/>
    <w:rsid w:val="001F6DAF"/>
    <w:rsid w:val="001F7B25"/>
    <w:rsid w:val="002A7009"/>
    <w:rsid w:val="002D4C83"/>
    <w:rsid w:val="00301983"/>
    <w:rsid w:val="00381AF7"/>
    <w:rsid w:val="003B0D5C"/>
    <w:rsid w:val="003C49C3"/>
    <w:rsid w:val="003C5FC9"/>
    <w:rsid w:val="003E7F23"/>
    <w:rsid w:val="00414D77"/>
    <w:rsid w:val="00433837"/>
    <w:rsid w:val="00433FAC"/>
    <w:rsid w:val="00450C8E"/>
    <w:rsid w:val="00487E6D"/>
    <w:rsid w:val="004954E1"/>
    <w:rsid w:val="00495F51"/>
    <w:rsid w:val="004C3FC9"/>
    <w:rsid w:val="005872DE"/>
    <w:rsid w:val="005C5ACC"/>
    <w:rsid w:val="005E7A81"/>
    <w:rsid w:val="00660F2B"/>
    <w:rsid w:val="006645D6"/>
    <w:rsid w:val="00686A63"/>
    <w:rsid w:val="006B2376"/>
    <w:rsid w:val="006B2F17"/>
    <w:rsid w:val="006D03FF"/>
    <w:rsid w:val="006F13D1"/>
    <w:rsid w:val="006F7986"/>
    <w:rsid w:val="00730AD7"/>
    <w:rsid w:val="00733FE4"/>
    <w:rsid w:val="00762FB5"/>
    <w:rsid w:val="00766791"/>
    <w:rsid w:val="007A04B5"/>
    <w:rsid w:val="007C09EE"/>
    <w:rsid w:val="00802734"/>
    <w:rsid w:val="00812B3F"/>
    <w:rsid w:val="0082490B"/>
    <w:rsid w:val="00847466"/>
    <w:rsid w:val="008955CD"/>
    <w:rsid w:val="00931C0C"/>
    <w:rsid w:val="009D7FF4"/>
    <w:rsid w:val="009E1F76"/>
    <w:rsid w:val="009E6821"/>
    <w:rsid w:val="009F6A57"/>
    <w:rsid w:val="00A8265F"/>
    <w:rsid w:val="00A8604F"/>
    <w:rsid w:val="00AD6865"/>
    <w:rsid w:val="00B8107F"/>
    <w:rsid w:val="00BB796E"/>
    <w:rsid w:val="00BD10FB"/>
    <w:rsid w:val="00C22FC3"/>
    <w:rsid w:val="00C35B7D"/>
    <w:rsid w:val="00C73BBC"/>
    <w:rsid w:val="00CD7E87"/>
    <w:rsid w:val="00D11FA3"/>
    <w:rsid w:val="00D50C24"/>
    <w:rsid w:val="00DC4A9D"/>
    <w:rsid w:val="00DF14FD"/>
    <w:rsid w:val="00E76FB6"/>
    <w:rsid w:val="00EA1554"/>
    <w:rsid w:val="00EB0B35"/>
    <w:rsid w:val="00EB74FD"/>
    <w:rsid w:val="00F31F0A"/>
    <w:rsid w:val="00F35374"/>
    <w:rsid w:val="00F40824"/>
    <w:rsid w:val="00FD7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57"/>
    <w:pPr>
      <w:suppressAutoHyphens/>
      <w:overflowPunct w:val="0"/>
      <w:autoSpaceDE w:val="0"/>
      <w:autoSpaceDN w:val="0"/>
      <w:adjustRightInd w:val="0"/>
      <w:spacing w:after="120"/>
      <w:jc w:val="both"/>
      <w:textAlignment w:val="baseline"/>
    </w:pPr>
    <w:rPr>
      <w:rFonts w:ascii="Times" w:hAnsi="Times"/>
      <w:sz w:val="24"/>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1F76"/>
    <w:pPr>
      <w:keepNext/>
      <w:numPr>
        <w:numId w:val="12"/>
      </w:numPr>
      <w:spacing w:before="240" w:after="240"/>
      <w:ind w:left="357" w:hanging="357"/>
      <w:outlineLvl w:val="2"/>
    </w:pPr>
    <w:rPr>
      <w:rFonts w:ascii="Times New Roman" w:hAnsi="Times New Roman" w:cs="Arial"/>
      <w:b/>
      <w:bCs/>
      <w:szCs w:val="26"/>
    </w:rPr>
  </w:style>
  <w:style w:type="paragraph" w:styleId="Heading4">
    <w:name w:val="heading 4"/>
    <w:basedOn w:val="Normal"/>
    <w:next w:val="Normal"/>
    <w:qFormat/>
    <w:rsid w:val="003C49C3"/>
    <w:pPr>
      <w:keepNext/>
      <w:spacing w:before="240" w:after="240"/>
      <w:outlineLvl w:val="3"/>
    </w:pPr>
    <w:rPr>
      <w:rFonts w:ascii="Times New Roman" w:hAnsi="Times New Roman"/>
      <w:b/>
      <w:bCs/>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vertAlign w:val="superscript"/>
    </w:rPr>
  </w:style>
  <w:style w:type="character" w:customStyle="1" w:styleId="WW-Absatz-Standardschriftart">
    <w:name w:val="WW-Absatz-Standardschriftart"/>
    <w:rPr>
      <w:sz w:val="24"/>
    </w:rPr>
  </w:style>
  <w:style w:type="character" w:styleId="Hyperlink">
    <w:name w:val="Hyperlink"/>
    <w:rPr>
      <w:color w:val="0000FF"/>
      <w:sz w:val="24"/>
      <w:u w:val="single"/>
    </w:rPr>
  </w:style>
  <w:style w:type="character" w:customStyle="1" w:styleId="Funotenzeichen">
    <w:name w:val="Fußnotenzeichen"/>
    <w:rPr>
      <w:sz w:val="24"/>
      <w:vertAlign w:val="superscript"/>
    </w:rPr>
  </w:style>
  <w:style w:type="paragraph" w:customStyle="1" w:styleId="Textkrper">
    <w:name w:val="Textkörper"/>
    <w:basedOn w:val="Normal"/>
    <w:link w:val="TextkrperChar"/>
    <w:rPr>
      <w:sz w:val="20"/>
      <w:lang/>
    </w:rPr>
  </w:style>
  <w:style w:type="paragraph" w:styleId="FootnoteText">
    <w:name w:val="footnote text"/>
    <w:basedOn w:val="Normal"/>
    <w:semiHidden/>
    <w:rPr>
      <w:sz w:val="20"/>
    </w:r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NormalWeb">
    <w:name w:val="Normal (Web)"/>
    <w:basedOn w:val="Normal"/>
    <w:pPr>
      <w:widowControl w:val="0"/>
      <w:suppressAutoHyphens w:val="0"/>
      <w:spacing w:before="100" w:after="100"/>
    </w:pPr>
    <w:rPr>
      <w:rFonts w:ascii="Arial Unicode MS" w:eastAsia="Arial Unicode MS"/>
      <w:lang w:val="en-U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Times New Roman" w:hAnsi="Times New Roman"/>
      <w:b/>
      <w:sz w:val="28"/>
      <w:lang w:val="en-US"/>
    </w:r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jc w:val="left"/>
    </w:pPr>
    <w:rPr>
      <w:rFonts w:ascii="Times" w:hAnsi="Times"/>
      <w:b w:val="0"/>
      <w:sz w:val="24"/>
      <w:lang w:val="en-GB"/>
    </w:r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 w:val="20"/>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Abstract">
    <w:name w:val="Abstract"/>
    <w:basedOn w:val="Textkrper"/>
    <w:link w:val="AbstractChar"/>
    <w:qFormat/>
    <w:rsid w:val="00DF14FD"/>
    <w:pPr>
      <w:spacing w:before="120"/>
    </w:pPr>
    <w:rPr>
      <w:rFonts w:ascii="Times New Roman" w:hAnsi="Times New Roman"/>
      <w:sz w:val="24"/>
      <w:szCs w:val="24"/>
      <w:lang w:val="en-US"/>
    </w:rPr>
  </w:style>
  <w:style w:type="character" w:customStyle="1" w:styleId="TextkrperChar">
    <w:name w:val="Textkörper Char"/>
    <w:link w:val="Textkrper"/>
    <w:rsid w:val="00DF14FD"/>
    <w:rPr>
      <w:rFonts w:ascii="Times" w:hAnsi="Times"/>
      <w:lang w:eastAsia="en-US"/>
    </w:rPr>
  </w:style>
  <w:style w:type="character" w:customStyle="1" w:styleId="AbstractChar">
    <w:name w:val="Abstract Char"/>
    <w:link w:val="Abstract"/>
    <w:rsid w:val="00DF14FD"/>
    <w:rPr>
      <w:sz w:val="24"/>
      <w:szCs w:val="24"/>
      <w:lang w:val="en-US" w:eastAsia="en-US"/>
    </w:rPr>
  </w:style>
  <w:style w:type="numbering" w:customStyle="1" w:styleId="ImportedStyle1">
    <w:name w:val="Imported Style 1"/>
    <w:rsid w:val="006B2F17"/>
  </w:style>
  <w:style w:type="paragraph" w:customStyle="1" w:styleId="Body">
    <w:name w:val="Body"/>
    <w:rsid w:val="006B2F17"/>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41">
    <w:name w:val="List 41"/>
    <w:basedOn w:val="NoList"/>
    <w:rsid w:val="006B2F17"/>
    <w:pPr>
      <w:numPr>
        <w:numId w:val="19"/>
      </w:numPr>
    </w:pPr>
  </w:style>
  <w:style w:type="character" w:customStyle="1" w:styleId="Hyperlink0">
    <w:name w:val="Hyperlink.0"/>
    <w:basedOn w:val="DefaultParagraphFont"/>
    <w:rsid w:val="00DC4A9D"/>
    <w:rPr>
      <w:caps w:val="0"/>
      <w:smallCaps w:val="0"/>
      <w:strike w:val="0"/>
      <w:dstrike w:val="0"/>
      <w:outline w:val="0"/>
      <w:color w:val="000000"/>
      <w:spacing w:val="0"/>
      <w:kern w:val="0"/>
      <w:position w:val="0"/>
      <w:sz w:val="22"/>
      <w:szCs w:val="22"/>
      <w:u w:val="none" w:color="000000"/>
      <w:vertAlign w:val="baseline"/>
      <w:lang w:val="en-US"/>
    </w:rPr>
  </w:style>
  <w:style w:type="numbering" w:customStyle="1" w:styleId="List0">
    <w:name w:val="List 0"/>
    <w:basedOn w:val="ImportedStyle1"/>
    <w:rsid w:val="00E76FB6"/>
    <w:pPr>
      <w:numPr>
        <w:numId w:val="2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3655</Words>
  <Characters>20837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Preparation and Submission of a Manuscript for the Proceedings</vt:lpstr>
    </vt:vector>
  </TitlesOfParts>
  <Company>IAEA</Company>
  <LinksUpToDate>false</LinksUpToDate>
  <CharactersWithSpaces>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Schneider Ursula</dc:creator>
  <cp:lastModifiedBy>Andrew Newman PhD</cp:lastModifiedBy>
  <cp:revision>2</cp:revision>
  <cp:lastPrinted>2008-06-26T13:21:00Z</cp:lastPrinted>
  <dcterms:created xsi:type="dcterms:W3CDTF">2015-05-14T13:54:00Z</dcterms:created>
  <dcterms:modified xsi:type="dcterms:W3CDTF">2015-05-14T13:54:00Z</dcterms:modified>
</cp:coreProperties>
</file>