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B5" w:rsidRDefault="00C318BF" w:rsidP="00A4234C">
      <w:pPr>
        <w:pStyle w:val="ad"/>
      </w:pPr>
      <w:bookmarkStart w:id="0" w:name="_GoBack"/>
      <w:bookmarkEnd w:id="0"/>
      <w:r w:rsidRPr="00C318BF">
        <w:t>Russian Support Experience to Strengthen Newcomer Countries Regulatory Infrastructure</w:t>
      </w:r>
    </w:p>
    <w:p w:rsidR="00A4234C" w:rsidRDefault="00A4234C">
      <w:pPr>
        <w:rPr>
          <w:rFonts w:ascii="Times New Roman" w:hAnsi="Times New Roman"/>
          <w:lang w:val="en-US"/>
        </w:rPr>
      </w:pPr>
    </w:p>
    <w:p w:rsidR="00A8604F" w:rsidRPr="00733FE4" w:rsidRDefault="00C318BF">
      <w:pPr>
        <w:rPr>
          <w:rFonts w:ascii="Times New Roman" w:hAnsi="Times New Roman"/>
        </w:rPr>
      </w:pPr>
      <w:r w:rsidRPr="00C318BF">
        <w:rPr>
          <w:rFonts w:ascii="Times New Roman" w:hAnsi="Times New Roman"/>
        </w:rPr>
        <w:t>T. Goryaeva</w:t>
      </w:r>
      <w:r w:rsidRPr="00C318BF">
        <w:rPr>
          <w:rFonts w:ascii="Times New Roman" w:hAnsi="Times New Roman"/>
          <w:vertAlign w:val="superscript"/>
        </w:rPr>
        <w:t>1</w:t>
      </w:r>
      <w:r w:rsidRPr="00C318BF">
        <w:rPr>
          <w:rFonts w:ascii="Times New Roman" w:hAnsi="Times New Roman"/>
        </w:rPr>
        <w:t>, E. Kapralov</w:t>
      </w:r>
      <w:r w:rsidRPr="00C318BF">
        <w:rPr>
          <w:rFonts w:ascii="Times New Roman" w:hAnsi="Times New Roman"/>
          <w:vertAlign w:val="superscript"/>
        </w:rPr>
        <w:t>1</w:t>
      </w:r>
      <w:r w:rsidRPr="00C318BF">
        <w:rPr>
          <w:rFonts w:ascii="Times New Roman" w:hAnsi="Times New Roman"/>
        </w:rPr>
        <w:t>,</w:t>
      </w:r>
      <w:r>
        <w:rPr>
          <w:rFonts w:ascii="Times New Roman" w:hAnsi="Times New Roman"/>
        </w:rPr>
        <w:t xml:space="preserve"> </w:t>
      </w:r>
      <w:r w:rsidRPr="00C318BF">
        <w:rPr>
          <w:rFonts w:ascii="Times New Roman" w:hAnsi="Times New Roman"/>
        </w:rPr>
        <w:t>M. Kuznetsov</w:t>
      </w:r>
      <w:r w:rsidRPr="00C318BF">
        <w:rPr>
          <w:rFonts w:ascii="Times New Roman" w:hAnsi="Times New Roman"/>
          <w:vertAlign w:val="superscript"/>
        </w:rPr>
        <w:t>1</w:t>
      </w:r>
      <w:r w:rsidRPr="00C318BF">
        <w:rPr>
          <w:rFonts w:ascii="Times New Roman" w:hAnsi="Times New Roman"/>
        </w:rPr>
        <w:t>, V. Potapov</w:t>
      </w:r>
      <w:r w:rsidRPr="00C318BF">
        <w:rPr>
          <w:rFonts w:ascii="Times New Roman" w:hAnsi="Times New Roman"/>
          <w:vertAlign w:val="superscript"/>
        </w:rPr>
        <w:t>1</w:t>
      </w:r>
    </w:p>
    <w:p w:rsidR="00A8604F" w:rsidRPr="00733FE4" w:rsidRDefault="00A8604F">
      <w:pPr>
        <w:rPr>
          <w:rFonts w:ascii="Times New Roman" w:hAnsi="Times New Roman"/>
        </w:rPr>
      </w:pPr>
    </w:p>
    <w:p w:rsidR="00A8604F" w:rsidRDefault="004C3FC9">
      <w:pPr>
        <w:rPr>
          <w:rFonts w:ascii="Times New Roman" w:hAnsi="Times New Roman"/>
          <w:lang w:val="en-US"/>
        </w:rPr>
      </w:pPr>
      <w:r w:rsidRPr="004C3FC9">
        <w:rPr>
          <w:rFonts w:ascii="Times New Roman" w:hAnsi="Times New Roman"/>
          <w:vertAlign w:val="superscript"/>
          <w:lang w:val="en-US"/>
        </w:rPr>
        <w:t>1</w:t>
      </w:r>
      <w:r w:rsidR="00C318BF">
        <w:rPr>
          <w:rFonts w:ascii="Times New Roman" w:hAnsi="Times New Roman"/>
          <w:lang w:val="en-US"/>
        </w:rPr>
        <w:t xml:space="preserve">Federal State Unitary Enterprise VO </w:t>
      </w:r>
      <w:r w:rsidR="00C318BF" w:rsidRPr="00C318BF">
        <w:rPr>
          <w:rFonts w:ascii="Times New Roman" w:hAnsi="Times New Roman"/>
          <w:lang w:val="en-US"/>
        </w:rPr>
        <w:t>«</w:t>
      </w:r>
      <w:r w:rsidR="00C318BF">
        <w:rPr>
          <w:rFonts w:ascii="Times New Roman" w:hAnsi="Times New Roman"/>
          <w:lang w:val="en-US"/>
        </w:rPr>
        <w:t>Safety</w:t>
      </w:r>
      <w:r w:rsidR="00C318BF" w:rsidRPr="00C318BF">
        <w:rPr>
          <w:rFonts w:ascii="Times New Roman" w:hAnsi="Times New Roman"/>
          <w:lang w:val="en-US"/>
        </w:rPr>
        <w:t>»</w:t>
      </w:r>
      <w:r w:rsidR="00A8604F">
        <w:rPr>
          <w:rFonts w:ascii="Times New Roman" w:hAnsi="Times New Roman"/>
          <w:lang w:val="en-US"/>
        </w:rPr>
        <w:t xml:space="preserve"> (</w:t>
      </w:r>
      <w:r w:rsidR="00C318BF">
        <w:rPr>
          <w:rFonts w:ascii="Times New Roman" w:hAnsi="Times New Roman"/>
          <w:lang w:val="en-US"/>
        </w:rPr>
        <w:t xml:space="preserve">FSUE VO </w:t>
      </w:r>
      <w:r w:rsidR="00C318BF" w:rsidRPr="00C318BF">
        <w:rPr>
          <w:rFonts w:ascii="Times New Roman" w:hAnsi="Times New Roman"/>
          <w:lang w:val="en-US"/>
        </w:rPr>
        <w:t>«</w:t>
      </w:r>
      <w:r w:rsidR="00C318BF">
        <w:rPr>
          <w:rFonts w:ascii="Times New Roman" w:hAnsi="Times New Roman"/>
          <w:lang w:val="en-US"/>
        </w:rPr>
        <w:t>Safety</w:t>
      </w:r>
      <w:r w:rsidR="00C318BF" w:rsidRPr="00C318BF">
        <w:rPr>
          <w:rFonts w:ascii="Times New Roman" w:hAnsi="Times New Roman"/>
          <w:lang w:val="en-US"/>
        </w:rPr>
        <w:t>»</w:t>
      </w:r>
      <w:r w:rsidR="00A8604F">
        <w:rPr>
          <w:rFonts w:ascii="Times New Roman" w:hAnsi="Times New Roman"/>
          <w:lang w:val="en-US"/>
        </w:rPr>
        <w:t xml:space="preserve">), </w:t>
      </w:r>
      <w:r w:rsidR="00C318BF">
        <w:rPr>
          <w:rFonts w:ascii="Times New Roman" w:hAnsi="Times New Roman"/>
          <w:lang w:val="en-US"/>
        </w:rPr>
        <w:t>Moscow</w:t>
      </w:r>
      <w:r w:rsidR="00A8604F">
        <w:rPr>
          <w:rFonts w:ascii="Times New Roman" w:hAnsi="Times New Roman"/>
          <w:lang w:val="en-US"/>
        </w:rPr>
        <w:t xml:space="preserve">, </w:t>
      </w:r>
      <w:r w:rsidR="00C318BF">
        <w:rPr>
          <w:rFonts w:ascii="Times New Roman" w:hAnsi="Times New Roman"/>
          <w:lang w:val="en-US"/>
        </w:rPr>
        <w:t>Russ</w:t>
      </w:r>
      <w:r w:rsidR="00A8604F">
        <w:rPr>
          <w:rFonts w:ascii="Times New Roman" w:hAnsi="Times New Roman"/>
          <w:lang w:val="en-US"/>
        </w:rPr>
        <w:t>ia</w:t>
      </w:r>
      <w:r w:rsidR="00D916C8">
        <w:rPr>
          <w:rFonts w:ascii="Times New Roman" w:hAnsi="Times New Roman"/>
          <w:lang w:val="en-US"/>
        </w:rPr>
        <w:t xml:space="preserve"> </w:t>
      </w:r>
      <w:r w:rsidR="00A8604F">
        <w:rPr>
          <w:rFonts w:ascii="Times New Roman" w:hAnsi="Times New Roman"/>
          <w:lang w:val="en-US"/>
        </w:rPr>
        <w:t xml:space="preserve"> </w:t>
      </w:r>
    </w:p>
    <w:p w:rsidR="00A8604F" w:rsidRDefault="00A8604F">
      <w:pPr>
        <w:rPr>
          <w:rFonts w:ascii="Times New Roman" w:hAnsi="Times New Roman"/>
          <w:lang w:val="en-US"/>
        </w:rPr>
      </w:pPr>
    </w:p>
    <w:p w:rsidR="00A8604F" w:rsidRPr="004C3FC9" w:rsidRDefault="007C09EE">
      <w:pPr>
        <w:rPr>
          <w:rFonts w:ascii="Times New Roman" w:hAnsi="Times New Roman"/>
          <w:i/>
          <w:lang w:val="en-US"/>
        </w:rPr>
      </w:pPr>
      <w:r w:rsidRPr="004C3FC9">
        <w:rPr>
          <w:rFonts w:ascii="Times New Roman" w:hAnsi="Times New Roman"/>
          <w:i/>
          <w:lang w:val="en-US"/>
        </w:rPr>
        <w:t>E</w:t>
      </w:r>
      <w:r w:rsidR="0019401F">
        <w:rPr>
          <w:rFonts w:ascii="Times New Roman" w:hAnsi="Times New Roman"/>
          <w:i/>
          <w:lang w:val="en-US"/>
        </w:rPr>
        <w:t xml:space="preserve">-mail contact of main author: </w:t>
      </w:r>
      <w:r w:rsidR="006F35CD">
        <w:rPr>
          <w:rFonts w:ascii="Times New Roman" w:hAnsi="Times New Roman"/>
          <w:i/>
          <w:lang w:val="en-US"/>
        </w:rPr>
        <w:t>kapralov</w:t>
      </w:r>
      <w:r w:rsidR="0019401F" w:rsidRPr="0019401F">
        <w:rPr>
          <w:rFonts w:ascii="Times New Roman" w:hAnsi="Times New Roman"/>
          <w:i/>
          <w:lang w:val="en-US"/>
        </w:rPr>
        <w:t>@</w:t>
      </w:r>
      <w:r w:rsidR="006F35CD">
        <w:rPr>
          <w:rFonts w:ascii="Times New Roman" w:hAnsi="Times New Roman"/>
          <w:i/>
          <w:lang w:val="en-US"/>
        </w:rPr>
        <w:t>vosafety</w:t>
      </w:r>
      <w:r w:rsidR="0019401F" w:rsidRPr="0019401F">
        <w:rPr>
          <w:rFonts w:ascii="Times New Roman" w:hAnsi="Times New Roman"/>
          <w:i/>
          <w:lang w:val="en-US"/>
        </w:rPr>
        <w:t>.</w:t>
      </w:r>
      <w:r w:rsidR="006F35CD">
        <w:rPr>
          <w:rFonts w:ascii="Times New Roman" w:hAnsi="Times New Roman"/>
          <w:i/>
          <w:lang w:val="en-US"/>
        </w:rPr>
        <w:t>ru</w:t>
      </w:r>
    </w:p>
    <w:p w:rsidR="00A8604F" w:rsidRDefault="00A8604F">
      <w:pPr>
        <w:rPr>
          <w:lang w:val="en-US"/>
        </w:rPr>
      </w:pPr>
    </w:p>
    <w:p w:rsidR="00A8604F" w:rsidRDefault="00A8604F" w:rsidP="00297E15">
      <w:pPr>
        <w:pStyle w:val="Textkrper1"/>
        <w:rPr>
          <w:rFonts w:ascii="Times New Roman" w:hAnsi="Times New Roman"/>
          <w:lang w:val="en-US"/>
        </w:rPr>
      </w:pPr>
      <w:r>
        <w:rPr>
          <w:rFonts w:ascii="Times New Roman" w:hAnsi="Times New Roman"/>
          <w:b/>
          <w:lang w:val="en-US"/>
        </w:rPr>
        <w:t>Abstract</w:t>
      </w:r>
      <w:r w:rsidR="000573B5">
        <w:rPr>
          <w:rFonts w:ascii="Times New Roman" w:hAnsi="Times New Roman"/>
          <w:lang w:val="en-US"/>
        </w:rPr>
        <w:t xml:space="preserve">. </w:t>
      </w:r>
      <w:r w:rsidR="009C3027" w:rsidRPr="009C3027">
        <w:rPr>
          <w:rFonts w:ascii="Times New Roman" w:hAnsi="Times New Roman"/>
          <w:lang w:val="en-US"/>
        </w:rPr>
        <w:t>The Russian Federation now implements an ambitious exporting program of Russian nuclear energy technologies including Russian design NPP constructing</w:t>
      </w:r>
      <w:r w:rsidR="009C3027">
        <w:rPr>
          <w:rFonts w:ascii="Times New Roman" w:hAnsi="Times New Roman"/>
          <w:lang w:val="en-US"/>
        </w:rPr>
        <w:t xml:space="preserve"> in a number of</w:t>
      </w:r>
      <w:r w:rsidR="009C3027" w:rsidRPr="009C3027">
        <w:rPr>
          <w:rFonts w:ascii="Times New Roman" w:hAnsi="Times New Roman"/>
          <w:lang w:val="en-US"/>
        </w:rPr>
        <w:t xml:space="preserve"> newcomer countries. According to the international agreements and best practice this leads to a necessity of providing a consistent nuclear regulatory infrastructure su</w:t>
      </w:r>
      <w:r w:rsidR="009C3027">
        <w:rPr>
          <w:rFonts w:ascii="Times New Roman" w:hAnsi="Times New Roman"/>
          <w:lang w:val="en-US"/>
        </w:rPr>
        <w:t xml:space="preserve">pport. </w:t>
      </w:r>
      <w:r w:rsidR="004D5738">
        <w:rPr>
          <w:rFonts w:ascii="Times New Roman" w:hAnsi="Times New Roman"/>
          <w:lang w:val="en-US"/>
        </w:rPr>
        <w:t xml:space="preserve">The Russian TSOs gain valuable </w:t>
      </w:r>
      <w:r w:rsidR="006E7C97">
        <w:rPr>
          <w:rFonts w:ascii="Times New Roman" w:hAnsi="Times New Roman"/>
          <w:lang w:val="en-US"/>
        </w:rPr>
        <w:t xml:space="preserve">experience </w:t>
      </w:r>
      <w:r w:rsidR="004D5738">
        <w:rPr>
          <w:rFonts w:ascii="Times New Roman" w:hAnsi="Times New Roman"/>
          <w:lang w:val="en-US"/>
        </w:rPr>
        <w:t xml:space="preserve">in assistance of the newcomer countries regulatory capacity building. </w:t>
      </w:r>
    </w:p>
    <w:p w:rsidR="00A8265F" w:rsidRDefault="00A8265F">
      <w:pPr>
        <w:pStyle w:val="Textkrper1"/>
        <w:rPr>
          <w:sz w:val="24"/>
          <w:lang w:val="en-US"/>
        </w:rPr>
      </w:pPr>
    </w:p>
    <w:p w:rsidR="00A8604F" w:rsidRDefault="00A8604F" w:rsidP="00487E6D">
      <w:pPr>
        <w:pStyle w:val="31"/>
        <w:rPr>
          <w:lang w:val="en-US"/>
        </w:rPr>
      </w:pPr>
      <w:r>
        <w:rPr>
          <w:lang w:val="en-US"/>
        </w:rPr>
        <w:t>Introduction</w:t>
      </w:r>
    </w:p>
    <w:p w:rsidR="00297E15" w:rsidRPr="00297E15" w:rsidRDefault="004D5738">
      <w:pPr>
        <w:pStyle w:val="Textkrper1"/>
        <w:rPr>
          <w:rFonts w:ascii="Times New Roman" w:hAnsi="Times New Roman"/>
          <w:sz w:val="24"/>
          <w:lang w:val="en-US"/>
        </w:rPr>
      </w:pPr>
      <w:r w:rsidRPr="004D5738">
        <w:rPr>
          <w:rFonts w:ascii="Times New Roman" w:hAnsi="Times New Roman"/>
          <w:sz w:val="24"/>
          <w:lang w:val="en-US"/>
        </w:rPr>
        <w:t>The Russian Federation now implements an ambitious exporting program of Russian nuclear energy technologies including Russian design NPP constructing all over the world including the newcomer countries. According to the international agreements</w:t>
      </w:r>
      <w:r w:rsidR="00492C8C">
        <w:rPr>
          <w:rFonts w:ascii="Times New Roman" w:hAnsi="Times New Roman"/>
          <w:sz w:val="24"/>
          <w:lang w:val="en-US"/>
        </w:rPr>
        <w:t>, IAEA approaches [1]</w:t>
      </w:r>
      <w:r w:rsidRPr="004D5738">
        <w:rPr>
          <w:rFonts w:ascii="Times New Roman" w:hAnsi="Times New Roman"/>
          <w:sz w:val="24"/>
          <w:lang w:val="en-US"/>
        </w:rPr>
        <w:t xml:space="preserve"> and best practice this leads to a necessity of providing a consistent nuclear regulatory infrastructure support to the newcomer countries. Such support activities include legal and regulatory base development support, transfer of regulatory practice and experience, technical and scientific consulting, personnel training and wide set of se</w:t>
      </w:r>
      <w:r>
        <w:rPr>
          <w:rFonts w:ascii="Times New Roman" w:hAnsi="Times New Roman"/>
          <w:sz w:val="24"/>
          <w:lang w:val="en-US"/>
        </w:rPr>
        <w:t>rvices rendered by Russian TSOs</w:t>
      </w:r>
      <w:r w:rsidR="00297E15" w:rsidRPr="00297E15">
        <w:rPr>
          <w:rFonts w:ascii="Times New Roman" w:hAnsi="Times New Roman"/>
          <w:sz w:val="24"/>
          <w:lang w:val="en-US"/>
        </w:rPr>
        <w:t xml:space="preserve">. </w:t>
      </w:r>
    </w:p>
    <w:p w:rsidR="00A8604F" w:rsidRPr="00487E6D" w:rsidRDefault="00D269B9" w:rsidP="009F6A57">
      <w:pPr>
        <w:pStyle w:val="31"/>
        <w:rPr>
          <w:lang w:val="en-US"/>
        </w:rPr>
      </w:pPr>
      <w:r>
        <w:rPr>
          <w:lang w:val="en-US"/>
        </w:rPr>
        <w:t xml:space="preserve">Russian TSO Approach to Assistance of Newcomer Countries Capacity Building  </w:t>
      </w:r>
    </w:p>
    <w:p w:rsidR="00A8604F" w:rsidRPr="009F6A57" w:rsidRDefault="00C170D0">
      <w:pPr>
        <w:pStyle w:val="Textkrper1"/>
        <w:rPr>
          <w:rFonts w:ascii="Times New Roman" w:hAnsi="Times New Roman"/>
          <w:sz w:val="24"/>
          <w:lang w:val="en-US"/>
        </w:rPr>
      </w:pPr>
      <w:r w:rsidRPr="00C170D0">
        <w:rPr>
          <w:rFonts w:ascii="Times New Roman" w:hAnsi="Times New Roman"/>
          <w:sz w:val="24"/>
          <w:lang w:val="en-US"/>
        </w:rPr>
        <w:t>Regulatory infrastructure support is based on the developed by Rostehnadzor methodology of the Complex Module Support Program (CMSP tool) that takes into consideration the corresponding IAEA approaches</w:t>
      </w:r>
      <w:r>
        <w:rPr>
          <w:rFonts w:ascii="Times New Roman" w:hAnsi="Times New Roman"/>
          <w:sz w:val="24"/>
          <w:lang w:val="en-US"/>
        </w:rPr>
        <w:t xml:space="preserve"> [</w:t>
      </w:r>
      <w:r w:rsidR="00492C8C">
        <w:rPr>
          <w:rFonts w:ascii="Times New Roman" w:hAnsi="Times New Roman"/>
          <w:sz w:val="24"/>
          <w:lang w:val="en-US"/>
        </w:rPr>
        <w:t>2</w:t>
      </w:r>
      <w:r>
        <w:rPr>
          <w:rFonts w:ascii="Times New Roman" w:hAnsi="Times New Roman"/>
          <w:sz w:val="24"/>
          <w:lang w:val="en-US"/>
        </w:rPr>
        <w:t>]</w:t>
      </w:r>
      <w:r w:rsidRPr="00C170D0">
        <w:rPr>
          <w:rFonts w:ascii="Times New Roman" w:hAnsi="Times New Roman"/>
          <w:sz w:val="24"/>
          <w:lang w:val="en-US"/>
        </w:rPr>
        <w:t>. The CMSP elements are already provided in the bilateral cooperation with Turkey, Vietnam, Jordan and Belarus. Rostehnadzor TSOs are the most active parti</w:t>
      </w:r>
      <w:r>
        <w:rPr>
          <w:rFonts w:ascii="Times New Roman" w:hAnsi="Times New Roman"/>
          <w:sz w:val="24"/>
          <w:lang w:val="en-US"/>
        </w:rPr>
        <w:t>cipants of the CMPS cooperation</w:t>
      </w:r>
      <w:r w:rsidR="00A8604F">
        <w:rPr>
          <w:rFonts w:ascii="Times New Roman" w:hAnsi="Times New Roman"/>
          <w:sz w:val="24"/>
          <w:lang w:val="en-US"/>
        </w:rPr>
        <w:t xml:space="preserve">. </w:t>
      </w:r>
    </w:p>
    <w:p w:rsidR="00A8604F" w:rsidRDefault="00EF1872" w:rsidP="00812B3F">
      <w:pPr>
        <w:pStyle w:val="41"/>
        <w:numPr>
          <w:ilvl w:val="0"/>
          <w:numId w:val="42"/>
        </w:numPr>
        <w:rPr>
          <w:lang w:val="en-US"/>
        </w:rPr>
      </w:pPr>
      <w:r>
        <w:rPr>
          <w:lang w:val="en-US"/>
        </w:rPr>
        <w:t xml:space="preserve">CMSP </w:t>
      </w:r>
      <w:r w:rsidR="00C77C87">
        <w:rPr>
          <w:lang w:val="en-US"/>
        </w:rPr>
        <w:t xml:space="preserve">General </w:t>
      </w:r>
      <w:r>
        <w:rPr>
          <w:lang w:val="en-US"/>
        </w:rPr>
        <w:t>Methodology</w:t>
      </w:r>
    </w:p>
    <w:p w:rsidR="00F71E2E" w:rsidRPr="00F71E2E" w:rsidRDefault="00F71E2E" w:rsidP="00F71E2E">
      <w:pPr>
        <w:rPr>
          <w:color w:val="000000" w:themeColor="text1"/>
          <w:sz w:val="20"/>
          <w:lang w:val="en-US"/>
        </w:rPr>
      </w:pPr>
      <w:r w:rsidRPr="00F71E2E">
        <w:rPr>
          <w:color w:val="000000" w:themeColor="text1"/>
          <w:lang w:val="en-US"/>
        </w:rPr>
        <w:t>CMSP consists of four modules covering the basic activities of regulatory infrastructure development in correspondence with the national nuclear program. The modules are:</w:t>
      </w:r>
    </w:p>
    <w:p w:rsidR="00F71E2E" w:rsidRDefault="00F71E2E" w:rsidP="00F71E2E">
      <w:pPr>
        <w:numPr>
          <w:ilvl w:val="0"/>
          <w:numId w:val="1"/>
        </w:numPr>
        <w:rPr>
          <w:lang w:val="en-US"/>
        </w:rPr>
      </w:pPr>
      <w:r w:rsidRPr="00FB61DF">
        <w:rPr>
          <w:rFonts w:ascii="Times New Roman" w:hAnsi="Times New Roman"/>
          <w:lang w:val="en-US"/>
        </w:rPr>
        <w:t>Development of a legal and normative base in the field of nuclear energy use</w:t>
      </w:r>
      <w:r>
        <w:rPr>
          <w:lang w:val="en-US"/>
        </w:rPr>
        <w:t>.</w:t>
      </w:r>
    </w:p>
    <w:p w:rsidR="00F71E2E" w:rsidRDefault="00F71E2E" w:rsidP="00F71E2E">
      <w:pPr>
        <w:numPr>
          <w:ilvl w:val="0"/>
          <w:numId w:val="1"/>
        </w:numPr>
        <w:rPr>
          <w:lang w:val="en-US"/>
        </w:rPr>
      </w:pPr>
      <w:r w:rsidRPr="00FB61DF">
        <w:rPr>
          <w:rFonts w:ascii="Times New Roman" w:hAnsi="Times New Roman"/>
          <w:lang w:val="en-US"/>
        </w:rPr>
        <w:t>Transfer of state’ licensing, safety assessment and supervision practices</w:t>
      </w:r>
      <w:r>
        <w:rPr>
          <w:lang w:val="en-US"/>
        </w:rPr>
        <w:t>.</w:t>
      </w:r>
    </w:p>
    <w:p w:rsidR="00F71E2E" w:rsidRDefault="00F71E2E" w:rsidP="00F71E2E">
      <w:pPr>
        <w:numPr>
          <w:ilvl w:val="0"/>
          <w:numId w:val="1"/>
        </w:numPr>
        <w:rPr>
          <w:lang w:val="en-US"/>
        </w:rPr>
      </w:pPr>
      <w:r w:rsidRPr="00FB61DF">
        <w:rPr>
          <w:rFonts w:ascii="Times New Roman" w:hAnsi="Times New Roman"/>
          <w:lang w:val="en-US"/>
        </w:rPr>
        <w:t>Strengthening a state regulatory body’ competency in technology-importing country</w:t>
      </w:r>
      <w:r>
        <w:rPr>
          <w:lang w:val="en-US"/>
        </w:rPr>
        <w:t xml:space="preserve">. </w:t>
      </w:r>
    </w:p>
    <w:p w:rsidR="00F71E2E" w:rsidRDefault="00F71E2E" w:rsidP="00F71E2E">
      <w:pPr>
        <w:numPr>
          <w:ilvl w:val="0"/>
          <w:numId w:val="1"/>
        </w:numPr>
        <w:rPr>
          <w:lang w:val="en-US"/>
        </w:rPr>
      </w:pPr>
      <w:r w:rsidRPr="00FB61DF">
        <w:rPr>
          <w:rFonts w:ascii="Times New Roman" w:hAnsi="Times New Roman"/>
          <w:lang w:val="en-US"/>
        </w:rPr>
        <w:t>Range of outsourcing services for the state regulatory body</w:t>
      </w:r>
      <w:r>
        <w:rPr>
          <w:lang w:val="en-US"/>
        </w:rPr>
        <w:t xml:space="preserve">. </w:t>
      </w:r>
    </w:p>
    <w:p w:rsidR="00792529" w:rsidRDefault="00792529" w:rsidP="00792529">
      <w:pPr>
        <w:pStyle w:val="41"/>
        <w:numPr>
          <w:ilvl w:val="0"/>
          <w:numId w:val="42"/>
        </w:numPr>
        <w:rPr>
          <w:lang w:val="en-US"/>
        </w:rPr>
      </w:pPr>
      <w:r>
        <w:rPr>
          <w:lang w:val="en-US"/>
        </w:rPr>
        <w:lastRenderedPageBreak/>
        <w:t xml:space="preserve">CMSP Module: </w:t>
      </w:r>
      <w:r w:rsidRPr="00792529">
        <w:rPr>
          <w:lang w:val="en-US"/>
        </w:rPr>
        <w:t>«Development of a legal and normative base in the field of nuclear energy use»</w:t>
      </w:r>
    </w:p>
    <w:p w:rsidR="00792529" w:rsidRPr="00F71E2E" w:rsidRDefault="00792529" w:rsidP="00792529">
      <w:pPr>
        <w:rPr>
          <w:color w:val="000000" w:themeColor="text1"/>
          <w:sz w:val="20"/>
          <w:lang w:val="en-US"/>
        </w:rPr>
      </w:pPr>
      <w:r>
        <w:rPr>
          <w:color w:val="000000" w:themeColor="text1"/>
          <w:lang w:val="en-US"/>
        </w:rPr>
        <w:t xml:space="preserve">The module goal is </w:t>
      </w:r>
      <w:r w:rsidRPr="00792529">
        <w:rPr>
          <w:color w:val="000000" w:themeColor="text1"/>
          <w:lang w:val="en-US"/>
        </w:rPr>
        <w:t>development of a legal and normative base, including national laws and other legislative acts, which establish regul</w:t>
      </w:r>
      <w:r>
        <w:rPr>
          <w:color w:val="000000" w:themeColor="text1"/>
          <w:lang w:val="en-US"/>
        </w:rPr>
        <w:t xml:space="preserve">ations for safety in the field </w:t>
      </w:r>
      <w:r w:rsidRPr="00792529">
        <w:rPr>
          <w:color w:val="000000" w:themeColor="text1"/>
          <w:lang w:val="en-US"/>
        </w:rPr>
        <w:t>of nuclear energy use, powers of government authorities, including safety regulatory body, roles and responsibilities of operating organizations, other aspects of state safety infrastructure</w:t>
      </w:r>
      <w:r>
        <w:rPr>
          <w:color w:val="000000" w:themeColor="text1"/>
          <w:lang w:val="en-US"/>
        </w:rPr>
        <w:t xml:space="preserve">. </w:t>
      </w:r>
      <w:r w:rsidR="00E754C2">
        <w:rPr>
          <w:color w:val="000000" w:themeColor="text1"/>
          <w:lang w:val="en-US"/>
        </w:rPr>
        <w:t>The module</w:t>
      </w:r>
      <w:r w:rsidRPr="00F71E2E">
        <w:rPr>
          <w:color w:val="000000" w:themeColor="text1"/>
          <w:lang w:val="en-US"/>
        </w:rPr>
        <w:t xml:space="preserve"> </w:t>
      </w:r>
      <w:r>
        <w:rPr>
          <w:color w:val="000000" w:themeColor="text1"/>
          <w:lang w:val="en-US"/>
        </w:rPr>
        <w:t>includes the following activities</w:t>
      </w:r>
      <w:r w:rsidRPr="00F71E2E">
        <w:rPr>
          <w:color w:val="000000" w:themeColor="text1"/>
          <w:lang w:val="en-US"/>
        </w:rPr>
        <w:t>:</w:t>
      </w:r>
    </w:p>
    <w:p w:rsidR="00792529" w:rsidRDefault="00792529" w:rsidP="00792529">
      <w:pPr>
        <w:numPr>
          <w:ilvl w:val="0"/>
          <w:numId w:val="1"/>
        </w:numPr>
        <w:rPr>
          <w:lang w:val="en-US"/>
        </w:rPr>
      </w:pPr>
      <w:r w:rsidRPr="00792529">
        <w:rPr>
          <w:rFonts w:ascii="Times New Roman" w:hAnsi="Times New Roman"/>
          <w:lang w:val="en-US"/>
        </w:rPr>
        <w:t xml:space="preserve">Analysis of </w:t>
      </w:r>
      <w:r>
        <w:rPr>
          <w:rFonts w:ascii="Times New Roman" w:hAnsi="Times New Roman"/>
          <w:lang w:val="en-US"/>
        </w:rPr>
        <w:t>newcomer</w:t>
      </w:r>
      <w:r w:rsidRPr="00792529">
        <w:rPr>
          <w:rFonts w:ascii="Times New Roman" w:hAnsi="Times New Roman"/>
          <w:lang w:val="en-US"/>
        </w:rPr>
        <w:t xml:space="preserve"> country’ current legal and normative base to identify</w:t>
      </w:r>
      <w:r>
        <w:rPr>
          <w:rFonts w:ascii="Times New Roman" w:hAnsi="Times New Roman"/>
          <w:lang w:val="en-US"/>
        </w:rPr>
        <w:t xml:space="preserve"> regulation gaps at the stages </w:t>
      </w:r>
      <w:r w:rsidRPr="00792529">
        <w:rPr>
          <w:rFonts w:ascii="Times New Roman" w:hAnsi="Times New Roman"/>
          <w:lang w:val="en-US"/>
        </w:rPr>
        <w:t>of NPP’ site selection, design, construction, operation and decommissioning. Adaptation of Russian and best international practices</w:t>
      </w:r>
      <w:r>
        <w:rPr>
          <w:lang w:val="en-US"/>
        </w:rPr>
        <w:t>.</w:t>
      </w:r>
    </w:p>
    <w:p w:rsidR="00792529" w:rsidRDefault="00792529" w:rsidP="00792529">
      <w:pPr>
        <w:numPr>
          <w:ilvl w:val="0"/>
          <w:numId w:val="1"/>
        </w:numPr>
        <w:rPr>
          <w:lang w:val="en-US"/>
        </w:rPr>
      </w:pPr>
      <w:r w:rsidRPr="00792529">
        <w:rPr>
          <w:rFonts w:ascii="Times New Roman" w:hAnsi="Times New Roman"/>
          <w:lang w:val="en-US"/>
        </w:rPr>
        <w:t xml:space="preserve">Analysis of </w:t>
      </w:r>
      <w:r>
        <w:rPr>
          <w:rFonts w:ascii="Times New Roman" w:hAnsi="Times New Roman"/>
          <w:lang w:val="en-US"/>
        </w:rPr>
        <w:t>newcomer</w:t>
      </w:r>
      <w:r w:rsidRPr="00792529">
        <w:rPr>
          <w:rFonts w:ascii="Times New Roman" w:hAnsi="Times New Roman"/>
          <w:lang w:val="en-US"/>
        </w:rPr>
        <w:t xml:space="preserve"> country current legal and normative base to identify regulation gaps in the fields of security of nuclear facilities and materials, accounting and control of nuclear materials, management of spent nuclear fuel and radioactive waste</w:t>
      </w:r>
      <w:r>
        <w:rPr>
          <w:lang w:val="en-US"/>
        </w:rPr>
        <w:t>.</w:t>
      </w:r>
    </w:p>
    <w:p w:rsidR="00792529" w:rsidRDefault="00792529" w:rsidP="00792529">
      <w:pPr>
        <w:numPr>
          <w:ilvl w:val="0"/>
          <w:numId w:val="1"/>
        </w:numPr>
        <w:rPr>
          <w:lang w:val="en-US"/>
        </w:rPr>
      </w:pPr>
      <w:r w:rsidRPr="00792529">
        <w:rPr>
          <w:rFonts w:ascii="Times New Roman" w:hAnsi="Times New Roman"/>
          <w:lang w:val="en-US"/>
        </w:rPr>
        <w:t>Assistance in development of legal base in the field of nuclear energy use, non-proliferation regime, national regulations of nuclear and radiation safety</w:t>
      </w:r>
      <w:r>
        <w:rPr>
          <w:lang w:val="en-US"/>
        </w:rPr>
        <w:t>.</w:t>
      </w:r>
    </w:p>
    <w:p w:rsidR="00792529" w:rsidRDefault="00792529" w:rsidP="00792529">
      <w:pPr>
        <w:numPr>
          <w:ilvl w:val="0"/>
          <w:numId w:val="1"/>
        </w:numPr>
        <w:rPr>
          <w:lang w:val="en-US"/>
        </w:rPr>
      </w:pPr>
      <w:r w:rsidRPr="00792529">
        <w:rPr>
          <w:lang w:val="en-US"/>
        </w:rPr>
        <w:t>Assistance in development of normative regulations in the field of nuclear energy use – compulsory rules and regulations, introduced by the state regulatory authority (in analogy with Russian Federal Norms and Regulations)</w:t>
      </w:r>
      <w:r>
        <w:rPr>
          <w:lang w:val="en-US"/>
        </w:rPr>
        <w:t>.</w:t>
      </w:r>
    </w:p>
    <w:p w:rsidR="00792529" w:rsidRDefault="00792529" w:rsidP="00792529">
      <w:pPr>
        <w:numPr>
          <w:ilvl w:val="0"/>
          <w:numId w:val="1"/>
        </w:numPr>
        <w:rPr>
          <w:lang w:val="en-US"/>
        </w:rPr>
      </w:pPr>
      <w:r w:rsidRPr="00792529">
        <w:rPr>
          <w:lang w:val="en-US"/>
        </w:rPr>
        <w:t>Assistance in development of requirements and recommendations, manuals and guides pertaining the activities of state regulatory body in the field of nuclear energy use (in analogy with Russian Guides, Administrative orders, etc.)</w:t>
      </w:r>
      <w:r>
        <w:rPr>
          <w:lang w:val="en-US"/>
        </w:rPr>
        <w:t xml:space="preserve">. </w:t>
      </w:r>
    </w:p>
    <w:p w:rsidR="00E754C2" w:rsidRDefault="00E754C2" w:rsidP="00E754C2">
      <w:pPr>
        <w:pStyle w:val="41"/>
        <w:numPr>
          <w:ilvl w:val="0"/>
          <w:numId w:val="42"/>
        </w:numPr>
        <w:rPr>
          <w:lang w:val="en-US"/>
        </w:rPr>
      </w:pPr>
      <w:r>
        <w:rPr>
          <w:lang w:val="en-US"/>
        </w:rPr>
        <w:t xml:space="preserve">CMSP Module: </w:t>
      </w:r>
      <w:r w:rsidRPr="00792529">
        <w:rPr>
          <w:lang w:val="en-US"/>
        </w:rPr>
        <w:t>«</w:t>
      </w:r>
      <w:r w:rsidRPr="00E754C2">
        <w:rPr>
          <w:lang w:val="en-US"/>
        </w:rPr>
        <w:t>Transfer of state’ licensing, safety assessment and supervision practices</w:t>
      </w:r>
      <w:r w:rsidRPr="00792529">
        <w:rPr>
          <w:lang w:val="en-US"/>
        </w:rPr>
        <w:t>»</w:t>
      </w:r>
    </w:p>
    <w:p w:rsidR="00E754C2" w:rsidRPr="00F71E2E" w:rsidRDefault="00E754C2" w:rsidP="00E754C2">
      <w:pPr>
        <w:rPr>
          <w:color w:val="000000" w:themeColor="text1"/>
          <w:sz w:val="20"/>
          <w:lang w:val="en-US"/>
        </w:rPr>
      </w:pPr>
      <w:r>
        <w:rPr>
          <w:color w:val="000000" w:themeColor="text1"/>
          <w:lang w:val="en-US"/>
        </w:rPr>
        <w:t xml:space="preserve">The module goal is </w:t>
      </w:r>
      <w:r w:rsidRPr="00E754C2">
        <w:rPr>
          <w:color w:val="000000" w:themeColor="text1"/>
          <w:lang w:val="en-US"/>
        </w:rPr>
        <w:t>development in importing country of sustainable methodology and infrastructure of safety regulation in the field of nuclear energy use</w:t>
      </w:r>
      <w:r>
        <w:rPr>
          <w:color w:val="000000" w:themeColor="text1"/>
          <w:lang w:val="en-US"/>
        </w:rPr>
        <w:t>. The module</w:t>
      </w:r>
      <w:r w:rsidRPr="00F71E2E">
        <w:rPr>
          <w:color w:val="000000" w:themeColor="text1"/>
          <w:lang w:val="en-US"/>
        </w:rPr>
        <w:t xml:space="preserve"> </w:t>
      </w:r>
      <w:r>
        <w:rPr>
          <w:color w:val="000000" w:themeColor="text1"/>
          <w:lang w:val="en-US"/>
        </w:rPr>
        <w:t>includes the following activities</w:t>
      </w:r>
      <w:r w:rsidRPr="00F71E2E">
        <w:rPr>
          <w:color w:val="000000" w:themeColor="text1"/>
          <w:lang w:val="en-US"/>
        </w:rPr>
        <w:t>:</w:t>
      </w:r>
    </w:p>
    <w:p w:rsidR="00E754C2" w:rsidRDefault="00E754C2" w:rsidP="00E754C2">
      <w:pPr>
        <w:numPr>
          <w:ilvl w:val="0"/>
          <w:numId w:val="1"/>
        </w:numPr>
        <w:rPr>
          <w:lang w:val="en-US"/>
        </w:rPr>
      </w:pPr>
      <w:r w:rsidRPr="00E754C2">
        <w:rPr>
          <w:rFonts w:ascii="Times New Roman" w:hAnsi="Times New Roman"/>
          <w:lang w:val="en-US"/>
        </w:rPr>
        <w:t>Participation in establishment of state licensing system at the stages of NPP’ site selection, design, construction, operation and decommissioning</w:t>
      </w:r>
      <w:r>
        <w:rPr>
          <w:lang w:val="en-US"/>
        </w:rPr>
        <w:t>.</w:t>
      </w:r>
    </w:p>
    <w:p w:rsidR="00E754C2" w:rsidRDefault="00E31B5B" w:rsidP="00E31B5B">
      <w:pPr>
        <w:numPr>
          <w:ilvl w:val="0"/>
          <w:numId w:val="1"/>
        </w:numPr>
        <w:rPr>
          <w:lang w:val="en-US"/>
        </w:rPr>
      </w:pPr>
      <w:r w:rsidRPr="00E31B5B">
        <w:rPr>
          <w:rFonts w:ascii="Times New Roman" w:hAnsi="Times New Roman"/>
          <w:lang w:val="en-US"/>
        </w:rPr>
        <w:t>Participation in establishment of safety assessment system, including assessment and analysis of design documentation and nuclear facilities safety assessment documentation</w:t>
      </w:r>
      <w:r w:rsidR="00E754C2">
        <w:rPr>
          <w:lang w:val="en-US"/>
        </w:rPr>
        <w:t>.</w:t>
      </w:r>
    </w:p>
    <w:p w:rsidR="00E754C2" w:rsidRDefault="00E31B5B" w:rsidP="00E31B5B">
      <w:pPr>
        <w:numPr>
          <w:ilvl w:val="0"/>
          <w:numId w:val="1"/>
        </w:numPr>
        <w:rPr>
          <w:lang w:val="en-US"/>
        </w:rPr>
      </w:pPr>
      <w:r w:rsidRPr="00E31B5B">
        <w:rPr>
          <w:rFonts w:ascii="Times New Roman" w:hAnsi="Times New Roman"/>
          <w:lang w:val="en-US"/>
        </w:rPr>
        <w:t>Participation in development of regulations on acceptance of safety assessment’ results by the state regulatory body in cases of outsourcing of assessment activities</w:t>
      </w:r>
      <w:r w:rsidR="00E754C2">
        <w:rPr>
          <w:lang w:val="en-US"/>
        </w:rPr>
        <w:t>.</w:t>
      </w:r>
    </w:p>
    <w:p w:rsidR="00E754C2" w:rsidRDefault="00E31B5B" w:rsidP="00E31B5B">
      <w:pPr>
        <w:numPr>
          <w:ilvl w:val="0"/>
          <w:numId w:val="1"/>
        </w:numPr>
        <w:rPr>
          <w:lang w:val="en-US"/>
        </w:rPr>
      </w:pPr>
      <w:r w:rsidRPr="00E31B5B">
        <w:rPr>
          <w:lang w:val="en-US"/>
        </w:rPr>
        <w:t xml:space="preserve">Assistance in development of system of state supervision over compliance with nuclear and radiation regulations during NPP </w:t>
      </w:r>
      <w:r w:rsidRPr="00E31B5B">
        <w:rPr>
          <w:lang w:val="en-US"/>
        </w:rPr>
        <w:lastRenderedPageBreak/>
        <w:t>construction, design and manufacture of NPP’ equipment, NPP commissioning and operation</w:t>
      </w:r>
      <w:r w:rsidR="00E754C2">
        <w:rPr>
          <w:lang w:val="en-US"/>
        </w:rPr>
        <w:t>.</w:t>
      </w:r>
    </w:p>
    <w:p w:rsidR="00E31B5B" w:rsidRDefault="00E31B5B" w:rsidP="00E31B5B">
      <w:pPr>
        <w:numPr>
          <w:ilvl w:val="0"/>
          <w:numId w:val="1"/>
        </w:numPr>
        <w:rPr>
          <w:lang w:val="en-US"/>
        </w:rPr>
      </w:pPr>
      <w:r w:rsidRPr="00E31B5B">
        <w:rPr>
          <w:lang w:val="en-US"/>
        </w:rPr>
        <w:t>Assistance in development of system of state supervision over compliance with regulations for nuclear security, accounting and control of nuclear materials, management of spent nuclear fuel and radioactive waste, NPP decommissioning</w:t>
      </w:r>
      <w:r w:rsidR="00E754C2">
        <w:rPr>
          <w:lang w:val="en-US"/>
        </w:rPr>
        <w:t>.</w:t>
      </w:r>
    </w:p>
    <w:p w:rsidR="00E31B5B" w:rsidRDefault="00E31B5B" w:rsidP="00E31B5B">
      <w:pPr>
        <w:numPr>
          <w:ilvl w:val="0"/>
          <w:numId w:val="1"/>
        </w:numPr>
        <w:rPr>
          <w:lang w:val="en-US"/>
        </w:rPr>
      </w:pPr>
      <w:r w:rsidRPr="00E31B5B">
        <w:rPr>
          <w:lang w:val="en-US"/>
        </w:rPr>
        <w:t>Assistance in development of regulations in the field of management (quality and safety management, integrated management systems) in the field of nuclear energy use, taking into account IAEA’ requirements and Russian state regulatory body experience</w:t>
      </w:r>
      <w:r>
        <w:rPr>
          <w:lang w:val="en-US"/>
        </w:rPr>
        <w:t>.</w:t>
      </w:r>
    </w:p>
    <w:p w:rsidR="00E31B5B" w:rsidRDefault="00E31B5B" w:rsidP="00E31B5B">
      <w:pPr>
        <w:rPr>
          <w:lang w:val="en-US"/>
        </w:rPr>
      </w:pPr>
    </w:p>
    <w:p w:rsidR="00E31B5B" w:rsidRDefault="00E31B5B" w:rsidP="00E31B5B">
      <w:pPr>
        <w:pStyle w:val="41"/>
        <w:numPr>
          <w:ilvl w:val="0"/>
          <w:numId w:val="42"/>
        </w:numPr>
        <w:rPr>
          <w:lang w:val="en-US"/>
        </w:rPr>
      </w:pPr>
      <w:r>
        <w:rPr>
          <w:lang w:val="en-US"/>
        </w:rPr>
        <w:t xml:space="preserve">CMSP Module: </w:t>
      </w:r>
      <w:r w:rsidRPr="00792529">
        <w:rPr>
          <w:lang w:val="en-US"/>
        </w:rPr>
        <w:t>«</w:t>
      </w:r>
      <w:r w:rsidRPr="00E31B5B">
        <w:rPr>
          <w:lang w:val="en-US"/>
        </w:rPr>
        <w:t>Strengthening a state regulatory body’ competency in technology-importing country</w:t>
      </w:r>
      <w:r w:rsidRPr="00792529">
        <w:rPr>
          <w:lang w:val="en-US"/>
        </w:rPr>
        <w:t>»</w:t>
      </w:r>
    </w:p>
    <w:p w:rsidR="00E31B5B" w:rsidRPr="00F71E2E" w:rsidRDefault="00E31B5B" w:rsidP="00E31B5B">
      <w:pPr>
        <w:rPr>
          <w:color w:val="000000" w:themeColor="text1"/>
          <w:sz w:val="20"/>
          <w:lang w:val="en-US"/>
        </w:rPr>
      </w:pPr>
      <w:r>
        <w:rPr>
          <w:color w:val="000000" w:themeColor="text1"/>
          <w:lang w:val="en-US"/>
        </w:rPr>
        <w:t xml:space="preserve">The module goal is </w:t>
      </w:r>
      <w:r w:rsidR="0008565D">
        <w:rPr>
          <w:color w:val="000000" w:themeColor="text1"/>
          <w:lang w:val="en-US"/>
        </w:rPr>
        <w:t>e</w:t>
      </w:r>
      <w:r w:rsidRPr="00E31B5B">
        <w:rPr>
          <w:color w:val="000000" w:themeColor="text1"/>
          <w:lang w:val="en-US"/>
        </w:rPr>
        <w:t>stablishment of qualification requirements for specialists of the state regulatory body in the field of nuclear energy use, including inspectors and safety assessment experts, formation of personnel training’ mechanisms, aimed at accomplishment of established qualification requirements, and development of management system of state regulatory body as backbone of its functioning</w:t>
      </w:r>
      <w:r>
        <w:rPr>
          <w:color w:val="000000" w:themeColor="text1"/>
          <w:lang w:val="en-US"/>
        </w:rPr>
        <w:t>. The module</w:t>
      </w:r>
      <w:r w:rsidRPr="00F71E2E">
        <w:rPr>
          <w:color w:val="000000" w:themeColor="text1"/>
          <w:lang w:val="en-US"/>
        </w:rPr>
        <w:t xml:space="preserve"> </w:t>
      </w:r>
      <w:r>
        <w:rPr>
          <w:color w:val="000000" w:themeColor="text1"/>
          <w:lang w:val="en-US"/>
        </w:rPr>
        <w:t>includes the following activities</w:t>
      </w:r>
      <w:r w:rsidRPr="00F71E2E">
        <w:rPr>
          <w:color w:val="000000" w:themeColor="text1"/>
          <w:lang w:val="en-US"/>
        </w:rPr>
        <w:t>:</w:t>
      </w:r>
    </w:p>
    <w:p w:rsidR="00E31B5B" w:rsidRDefault="001F115D" w:rsidP="001F115D">
      <w:pPr>
        <w:numPr>
          <w:ilvl w:val="0"/>
          <w:numId w:val="1"/>
        </w:numPr>
        <w:rPr>
          <w:lang w:val="en-US"/>
        </w:rPr>
      </w:pPr>
      <w:r w:rsidRPr="001F115D">
        <w:rPr>
          <w:rFonts w:ascii="Times New Roman" w:hAnsi="Times New Roman"/>
          <w:lang w:val="en-US"/>
        </w:rPr>
        <w:t>Assistance in development of a management system (quality management system) of the state regulatory body</w:t>
      </w:r>
      <w:r w:rsidR="00E31B5B">
        <w:rPr>
          <w:lang w:val="en-US"/>
        </w:rPr>
        <w:t>.</w:t>
      </w:r>
    </w:p>
    <w:p w:rsidR="00E31B5B" w:rsidRDefault="001F115D" w:rsidP="001F115D">
      <w:pPr>
        <w:numPr>
          <w:ilvl w:val="0"/>
          <w:numId w:val="1"/>
        </w:numPr>
        <w:rPr>
          <w:lang w:val="en-US"/>
        </w:rPr>
      </w:pPr>
      <w:r w:rsidRPr="001F115D">
        <w:rPr>
          <w:rFonts w:ascii="Times New Roman" w:hAnsi="Times New Roman"/>
          <w:lang w:val="en-US"/>
        </w:rPr>
        <w:t>Development of qualification requirements for specialists of the state regulatory body</w:t>
      </w:r>
      <w:r w:rsidR="00E31B5B">
        <w:rPr>
          <w:lang w:val="en-US"/>
        </w:rPr>
        <w:t>.</w:t>
      </w:r>
    </w:p>
    <w:p w:rsidR="00E31B5B" w:rsidRDefault="001F115D" w:rsidP="001F115D">
      <w:pPr>
        <w:numPr>
          <w:ilvl w:val="0"/>
          <w:numId w:val="1"/>
        </w:numPr>
        <w:rPr>
          <w:lang w:val="en-US"/>
        </w:rPr>
      </w:pPr>
      <w:r w:rsidRPr="001F115D">
        <w:rPr>
          <w:rFonts w:ascii="Times New Roman" w:hAnsi="Times New Roman"/>
          <w:lang w:val="en-US"/>
        </w:rPr>
        <w:t>Training of specialists of the state regulatory body, including workshops, traineeships, inspections, scientific visits, e-learning, virtual workshops, etc</w:t>
      </w:r>
      <w:r w:rsidR="00E31B5B">
        <w:rPr>
          <w:lang w:val="en-US"/>
        </w:rPr>
        <w:t>.</w:t>
      </w:r>
    </w:p>
    <w:p w:rsidR="001F115D" w:rsidRDefault="001F115D" w:rsidP="001F115D">
      <w:pPr>
        <w:pStyle w:val="41"/>
        <w:numPr>
          <w:ilvl w:val="0"/>
          <w:numId w:val="42"/>
        </w:numPr>
        <w:rPr>
          <w:lang w:val="en-US"/>
        </w:rPr>
      </w:pPr>
      <w:r>
        <w:rPr>
          <w:lang w:val="en-US"/>
        </w:rPr>
        <w:t xml:space="preserve">CMSP Module: </w:t>
      </w:r>
      <w:r w:rsidRPr="00792529">
        <w:rPr>
          <w:lang w:val="en-US"/>
        </w:rPr>
        <w:t>«</w:t>
      </w:r>
      <w:r w:rsidRPr="001F115D">
        <w:rPr>
          <w:lang w:val="en-US"/>
        </w:rPr>
        <w:t>Range of outsourcing services for the state regulatory body</w:t>
      </w:r>
      <w:r w:rsidRPr="00792529">
        <w:rPr>
          <w:lang w:val="en-US"/>
        </w:rPr>
        <w:t>»</w:t>
      </w:r>
    </w:p>
    <w:p w:rsidR="001F115D" w:rsidRPr="00F71E2E" w:rsidRDefault="001F115D" w:rsidP="001F115D">
      <w:pPr>
        <w:rPr>
          <w:color w:val="000000" w:themeColor="text1"/>
          <w:sz w:val="20"/>
          <w:lang w:val="en-US"/>
        </w:rPr>
      </w:pPr>
      <w:r>
        <w:rPr>
          <w:color w:val="000000" w:themeColor="text1"/>
          <w:lang w:val="en-US"/>
        </w:rPr>
        <w:t xml:space="preserve">The module goal is </w:t>
      </w:r>
      <w:r w:rsidR="0082099B">
        <w:rPr>
          <w:color w:val="000000" w:themeColor="text1"/>
          <w:lang w:val="en-US"/>
        </w:rPr>
        <w:t>d</w:t>
      </w:r>
      <w:r w:rsidRPr="001F115D">
        <w:rPr>
          <w:color w:val="000000" w:themeColor="text1"/>
          <w:lang w:val="en-US"/>
        </w:rPr>
        <w:t>irect rendering of technical support services for the state regulatory body, including quality supervision of manufacture, procurement and assembly of equipment for nuclear facilities under construction, nuclear facilities safety assessment, other outsourcing services</w:t>
      </w:r>
      <w:r>
        <w:rPr>
          <w:color w:val="000000" w:themeColor="text1"/>
          <w:lang w:val="en-US"/>
        </w:rPr>
        <w:t>. The module</w:t>
      </w:r>
      <w:r w:rsidRPr="00F71E2E">
        <w:rPr>
          <w:color w:val="000000" w:themeColor="text1"/>
          <w:lang w:val="en-US"/>
        </w:rPr>
        <w:t xml:space="preserve"> </w:t>
      </w:r>
      <w:r>
        <w:rPr>
          <w:color w:val="000000" w:themeColor="text1"/>
          <w:lang w:val="en-US"/>
        </w:rPr>
        <w:t>includes the following activities</w:t>
      </w:r>
      <w:r w:rsidRPr="00F71E2E">
        <w:rPr>
          <w:color w:val="000000" w:themeColor="text1"/>
          <w:lang w:val="en-US"/>
        </w:rPr>
        <w:t>:</w:t>
      </w:r>
    </w:p>
    <w:p w:rsidR="001F115D" w:rsidRDefault="001F115D" w:rsidP="001F115D">
      <w:pPr>
        <w:numPr>
          <w:ilvl w:val="0"/>
          <w:numId w:val="1"/>
        </w:numPr>
        <w:rPr>
          <w:lang w:val="en-US"/>
        </w:rPr>
      </w:pPr>
      <w:r w:rsidRPr="001F115D">
        <w:rPr>
          <w:rFonts w:ascii="Times New Roman" w:hAnsi="Times New Roman"/>
          <w:lang w:val="en-US"/>
        </w:rPr>
        <w:t>Assessment of technical decisions by designers of nuclear facilities with regard to safety requirements</w:t>
      </w:r>
      <w:r>
        <w:rPr>
          <w:lang w:val="en-US"/>
        </w:rPr>
        <w:t>.</w:t>
      </w:r>
    </w:p>
    <w:p w:rsidR="001F115D" w:rsidRDefault="001F115D" w:rsidP="001F115D">
      <w:pPr>
        <w:numPr>
          <w:ilvl w:val="0"/>
          <w:numId w:val="1"/>
        </w:numPr>
        <w:rPr>
          <w:lang w:val="en-US"/>
        </w:rPr>
      </w:pPr>
      <w:r w:rsidRPr="001F115D">
        <w:rPr>
          <w:rFonts w:ascii="Times New Roman" w:hAnsi="Times New Roman"/>
          <w:lang w:val="en-US"/>
        </w:rPr>
        <w:t>Assessment of manufacturers/suppliers of equipment, products, works and services for nuclear facilities under construction</w:t>
      </w:r>
      <w:r>
        <w:rPr>
          <w:lang w:val="en-US"/>
        </w:rPr>
        <w:t>.</w:t>
      </w:r>
    </w:p>
    <w:p w:rsidR="001F115D" w:rsidRDefault="001F115D" w:rsidP="001F115D">
      <w:pPr>
        <w:numPr>
          <w:ilvl w:val="0"/>
          <w:numId w:val="1"/>
        </w:numPr>
        <w:rPr>
          <w:lang w:val="en-US"/>
        </w:rPr>
      </w:pPr>
      <w:r w:rsidRPr="001F115D">
        <w:rPr>
          <w:rFonts w:ascii="Times New Roman" w:hAnsi="Times New Roman"/>
          <w:lang w:val="en-US"/>
        </w:rPr>
        <w:t>Supervision of quality of manufacture, packaging, transportation and assembly of equipment, products, works and services for nuclear facilities under construction</w:t>
      </w:r>
      <w:r>
        <w:rPr>
          <w:lang w:val="en-US"/>
        </w:rPr>
        <w:t>.</w:t>
      </w:r>
    </w:p>
    <w:p w:rsidR="001F115D" w:rsidRPr="001F115D" w:rsidRDefault="001F115D" w:rsidP="00E31B5B">
      <w:pPr>
        <w:numPr>
          <w:ilvl w:val="0"/>
          <w:numId w:val="1"/>
        </w:numPr>
        <w:rPr>
          <w:lang w:val="en-US"/>
        </w:rPr>
      </w:pPr>
      <w:r w:rsidRPr="001F115D">
        <w:rPr>
          <w:lang w:val="en-US"/>
        </w:rPr>
        <w:t>Safety assessment of nuclear facilities.</w:t>
      </w:r>
    </w:p>
    <w:p w:rsidR="00A8604F" w:rsidRPr="00487E6D" w:rsidRDefault="00176A26" w:rsidP="00812B3F">
      <w:pPr>
        <w:pStyle w:val="41"/>
        <w:numPr>
          <w:ilvl w:val="0"/>
          <w:numId w:val="42"/>
        </w:numPr>
        <w:rPr>
          <w:lang w:val="en-US"/>
        </w:rPr>
      </w:pPr>
      <w:r>
        <w:rPr>
          <w:lang w:val="en-US"/>
        </w:rPr>
        <w:lastRenderedPageBreak/>
        <w:t>CMSP Advantages</w:t>
      </w:r>
    </w:p>
    <w:p w:rsidR="00A8604F" w:rsidRPr="009B4075" w:rsidRDefault="009B4075">
      <w:pPr>
        <w:numPr>
          <w:ilvl w:val="12"/>
          <w:numId w:val="0"/>
        </w:numPr>
        <w:rPr>
          <w:lang w:val="en-US"/>
        </w:rPr>
      </w:pPr>
      <w:r w:rsidRPr="009B4075">
        <w:rPr>
          <w:bCs/>
          <w:lang w:val="en-US"/>
        </w:rPr>
        <w:t>One of the most powerful feature of the CMSP tool is an opportunity of fine tuning of the support activities and services to the requirements of the newcomer country based on the current level of knowledge, and regulatory infrastructure. On the example of Belarus having own significant experience in the nuclear sphere – professional nuclear scientific staff (Joint Institute for Power and Nuclear Research – Sosny of the National Academy of Sciences of Belarus) and related scientific staff, modern heavy industry, developed nuclear legal acts structure (partially based on the Russian legal and regulatory documents) CMSP tool shows its efficiency allowing to target only existing infrastructure deficits.</w:t>
      </w:r>
    </w:p>
    <w:p w:rsidR="00A8604F" w:rsidRPr="00487E6D" w:rsidRDefault="00176A26" w:rsidP="00487E6D">
      <w:pPr>
        <w:pStyle w:val="31"/>
        <w:rPr>
          <w:lang w:val="en-US"/>
        </w:rPr>
      </w:pPr>
      <w:r>
        <w:rPr>
          <w:lang w:val="en-US"/>
        </w:rPr>
        <w:t>Lessons Learnt and Experience</w:t>
      </w:r>
    </w:p>
    <w:p w:rsidR="001D6141" w:rsidRPr="001D6141" w:rsidRDefault="001D6141" w:rsidP="001D6141">
      <w:pPr>
        <w:pStyle w:val="Textkrper1"/>
        <w:rPr>
          <w:rFonts w:ascii="Times New Roman" w:hAnsi="Times New Roman"/>
          <w:sz w:val="24"/>
          <w:lang w:val="en-US"/>
        </w:rPr>
      </w:pPr>
      <w:r>
        <w:rPr>
          <w:rFonts w:ascii="Times New Roman" w:hAnsi="Times New Roman"/>
          <w:sz w:val="24"/>
          <w:lang w:val="en-US"/>
        </w:rPr>
        <w:t>Assistance experience to Belarus shows th</w:t>
      </w:r>
      <w:r w:rsidR="00492C8C">
        <w:rPr>
          <w:rFonts w:ascii="Times New Roman" w:hAnsi="Times New Roman"/>
          <w:sz w:val="24"/>
          <w:lang w:val="en-US"/>
        </w:rPr>
        <w:t>e</w:t>
      </w:r>
      <w:r w:rsidRPr="001D6141">
        <w:rPr>
          <w:rFonts w:ascii="Times New Roman" w:hAnsi="Times New Roman"/>
          <w:sz w:val="24"/>
          <w:lang w:val="en-US"/>
        </w:rPr>
        <w:t xml:space="preserve"> similar language makes it easy to introduce the same regulatory framework as in Russia. However, some specific areas of safety evaluation should be mastered and put into operation. Among them: safety analyses, accidents management (BDBAs, SA etc.), safety limits and conditions, human factor, methods of review conducting and organization. In turn, to be able to perform analyses it is necessary to have and to learn the use of specifically developed codes, and to have a group of qualified codes users.</w:t>
      </w:r>
    </w:p>
    <w:p w:rsidR="001D6141" w:rsidRPr="001D6141" w:rsidRDefault="001D6141" w:rsidP="001D6141">
      <w:pPr>
        <w:pStyle w:val="Textkrper1"/>
        <w:rPr>
          <w:rFonts w:ascii="Times New Roman" w:hAnsi="Times New Roman"/>
          <w:sz w:val="24"/>
          <w:lang w:val="en-US"/>
        </w:rPr>
      </w:pPr>
      <w:r w:rsidRPr="001D6141">
        <w:rPr>
          <w:rFonts w:ascii="Times New Roman" w:hAnsi="Times New Roman"/>
          <w:sz w:val="24"/>
          <w:lang w:val="en-US"/>
        </w:rPr>
        <w:t xml:space="preserve">Task important to be resolved is acceptance of the equipment at the manufacturing plants, which should result in confirmation of the following: implementation of procedures and processes envisaged by technical documentation, full implementation of inspections and tests during manufacturing, availability of documents with the inspection and test results, elimination of the detected non-conformities. In Russia it is one of RF TSO FSUE VO “Safety” functions.  </w:t>
      </w:r>
    </w:p>
    <w:p w:rsidR="007815EE" w:rsidRPr="004C3FC9" w:rsidRDefault="001D6141" w:rsidP="001D6141">
      <w:pPr>
        <w:pStyle w:val="Textkrper1"/>
        <w:rPr>
          <w:rFonts w:ascii="Times New Roman" w:hAnsi="Times New Roman"/>
          <w:sz w:val="24"/>
          <w:lang w:val="en-US"/>
        </w:rPr>
      </w:pPr>
      <w:r w:rsidRPr="001D6141">
        <w:rPr>
          <w:rFonts w:ascii="Times New Roman" w:hAnsi="Times New Roman"/>
          <w:sz w:val="24"/>
          <w:lang w:val="en-US"/>
        </w:rPr>
        <w:t xml:space="preserve">The most important CMSP directions for now are: development and support of the full scale national Belarus TSO on the base of the Sosny Institute, regulatory body specialists training providing interaction between the regulatory authority and other state authorities involved into the supervision process during the NPP construction for </w:t>
      </w:r>
      <w:r>
        <w:rPr>
          <w:rFonts w:ascii="Times New Roman" w:hAnsi="Times New Roman"/>
          <w:sz w:val="24"/>
          <w:lang w:val="en-US"/>
        </w:rPr>
        <w:t>their effective joint functions</w:t>
      </w:r>
      <w:r w:rsidR="00215FDA">
        <w:rPr>
          <w:rFonts w:ascii="Times New Roman" w:hAnsi="Times New Roman"/>
          <w:sz w:val="24"/>
          <w:lang w:val="en-US"/>
        </w:rPr>
        <w:t>,  fulfilling the corresponding milestones of the national nuclear power program [3].</w:t>
      </w:r>
    </w:p>
    <w:p w:rsidR="00A8604F" w:rsidRDefault="00A8604F">
      <w:pPr>
        <w:pStyle w:val="Textkrper1"/>
        <w:rPr>
          <w:rFonts w:ascii="Times New Roman" w:hAnsi="Times New Roman"/>
          <w:lang w:val="en-US"/>
        </w:rPr>
      </w:pPr>
    </w:p>
    <w:p w:rsidR="00A8604F" w:rsidRDefault="00A8604F">
      <w:pPr>
        <w:pStyle w:val="Textkrper1"/>
        <w:rPr>
          <w:b/>
          <w:sz w:val="24"/>
        </w:rPr>
      </w:pPr>
      <w:r>
        <w:rPr>
          <w:b/>
          <w:sz w:val="28"/>
        </w:rPr>
        <w:br w:type="page"/>
      </w:r>
      <w:r>
        <w:rPr>
          <w:b/>
          <w:sz w:val="28"/>
        </w:rPr>
        <w:lastRenderedPageBreak/>
        <w:t>Appendix 1: Reference</w:t>
      </w:r>
      <w:r w:rsidR="00CA237E">
        <w:rPr>
          <w:b/>
          <w:sz w:val="28"/>
        </w:rPr>
        <w:t>s</w:t>
      </w:r>
    </w:p>
    <w:p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rsidR="00A8604F" w:rsidRPr="00011944" w:rsidRDefault="00492C8C" w:rsidP="00011944">
      <w:pPr>
        <w:numPr>
          <w:ilvl w:val="0"/>
          <w:numId w:val="5"/>
        </w:numPr>
        <w:rPr>
          <w:rFonts w:ascii="Times New Roman" w:hAnsi="Times New Roman"/>
        </w:rPr>
      </w:pPr>
      <w:r w:rsidRPr="00011944">
        <w:rPr>
          <w:rFonts w:ascii="Times New Roman" w:hAnsi="Times New Roman"/>
        </w:rPr>
        <w:t xml:space="preserve">INTERNATIONAL ATOMIC ENERGY AGENCY, </w:t>
      </w:r>
      <w:r w:rsidRPr="00175AFF">
        <w:rPr>
          <w:rFonts w:ascii="Times New Roman" w:hAnsi="Times New Roman"/>
        </w:rPr>
        <w:t>Governmental, Legal and Regulatory Framework for Safety General Safety Requirements Part 1</w:t>
      </w:r>
      <w:r w:rsidRPr="00011944">
        <w:rPr>
          <w:rFonts w:ascii="Times New Roman" w:hAnsi="Times New Roman"/>
        </w:rPr>
        <w:t>, IAEA-</w:t>
      </w:r>
      <w:r>
        <w:rPr>
          <w:rFonts w:ascii="Times New Roman" w:hAnsi="Times New Roman"/>
        </w:rPr>
        <w:t>GSR part 1</w:t>
      </w:r>
      <w:r w:rsidRPr="00011944">
        <w:rPr>
          <w:rFonts w:ascii="Times New Roman" w:hAnsi="Times New Roman"/>
        </w:rPr>
        <w:t>, Vienna (</w:t>
      </w:r>
      <w:r>
        <w:rPr>
          <w:rFonts w:ascii="Times New Roman" w:hAnsi="Times New Roman"/>
        </w:rPr>
        <w:t>2010</w:t>
      </w:r>
      <w:r w:rsidRPr="00011944">
        <w:rPr>
          <w:rFonts w:ascii="Times New Roman" w:hAnsi="Times New Roman"/>
        </w:rPr>
        <w:t>)</w:t>
      </w:r>
      <w:r w:rsidR="00A8604F" w:rsidRPr="00011944">
        <w:rPr>
          <w:rFonts w:ascii="Times New Roman" w:hAnsi="Times New Roman"/>
        </w:rPr>
        <w:t>.</w:t>
      </w:r>
    </w:p>
    <w:p w:rsidR="00A8604F" w:rsidRDefault="00492C8C" w:rsidP="00175AFF">
      <w:pPr>
        <w:numPr>
          <w:ilvl w:val="0"/>
          <w:numId w:val="6"/>
        </w:numPr>
        <w:rPr>
          <w:rFonts w:ascii="Times New Roman" w:hAnsi="Times New Roman"/>
        </w:rPr>
      </w:pPr>
      <w:r w:rsidRPr="00011944">
        <w:rPr>
          <w:rFonts w:ascii="Times New Roman" w:hAnsi="Times New Roman"/>
        </w:rPr>
        <w:t>INTERNATIONAL ATOMIC ENERGY AGENCY, Establishing the Safety Infrastructure for a Nuclear Power Programme, IAEA-</w:t>
      </w:r>
      <w:r>
        <w:rPr>
          <w:rFonts w:ascii="Times New Roman" w:hAnsi="Times New Roman"/>
        </w:rPr>
        <w:t>SSG</w:t>
      </w:r>
      <w:r w:rsidRPr="00011944">
        <w:rPr>
          <w:rFonts w:ascii="Times New Roman" w:hAnsi="Times New Roman"/>
        </w:rPr>
        <w:t>-1</w:t>
      </w:r>
      <w:r>
        <w:rPr>
          <w:rFonts w:ascii="Times New Roman" w:hAnsi="Times New Roman"/>
        </w:rPr>
        <w:t>6</w:t>
      </w:r>
      <w:r w:rsidRPr="00011944">
        <w:rPr>
          <w:rFonts w:ascii="Times New Roman" w:hAnsi="Times New Roman"/>
        </w:rPr>
        <w:t>, Vienna (</w:t>
      </w:r>
      <w:r>
        <w:rPr>
          <w:rFonts w:ascii="Times New Roman" w:hAnsi="Times New Roman"/>
        </w:rPr>
        <w:t>2011</w:t>
      </w:r>
      <w:r w:rsidRPr="00011944">
        <w:rPr>
          <w:rFonts w:ascii="Times New Roman" w:hAnsi="Times New Roman"/>
        </w:rPr>
        <w:t>)</w:t>
      </w:r>
      <w:r w:rsidR="00A8604F">
        <w:rPr>
          <w:rFonts w:ascii="Times New Roman" w:hAnsi="Times New Roman"/>
        </w:rPr>
        <w:t>.</w:t>
      </w:r>
    </w:p>
    <w:p w:rsidR="00175AFF" w:rsidRDefault="00175AFF" w:rsidP="00175AFF">
      <w:pPr>
        <w:numPr>
          <w:ilvl w:val="0"/>
          <w:numId w:val="6"/>
        </w:numPr>
        <w:rPr>
          <w:rFonts w:ascii="Times New Roman" w:hAnsi="Times New Roman"/>
        </w:rPr>
      </w:pPr>
      <w:r w:rsidRPr="00011944">
        <w:rPr>
          <w:rFonts w:ascii="Times New Roman" w:hAnsi="Times New Roman"/>
        </w:rPr>
        <w:t xml:space="preserve">INTERNATIONAL ATOMIC ENERGY AGENCY, </w:t>
      </w:r>
      <w:r w:rsidRPr="00175AFF">
        <w:rPr>
          <w:rFonts w:ascii="Times New Roman" w:hAnsi="Times New Roman"/>
        </w:rPr>
        <w:t>Milestones in the Development of a National Infrastructure for Nuclear Power</w:t>
      </w:r>
      <w:r w:rsidRPr="00011944">
        <w:rPr>
          <w:rFonts w:ascii="Times New Roman" w:hAnsi="Times New Roman"/>
        </w:rPr>
        <w:t>, IAEA-</w:t>
      </w:r>
      <w:r w:rsidRPr="00175AFF">
        <w:t xml:space="preserve"> </w:t>
      </w:r>
      <w:r w:rsidRPr="00175AFF">
        <w:rPr>
          <w:rFonts w:ascii="Times New Roman" w:hAnsi="Times New Roman"/>
        </w:rPr>
        <w:t>NG-G-3.1</w:t>
      </w:r>
      <w:r w:rsidRPr="00011944">
        <w:rPr>
          <w:rFonts w:ascii="Times New Roman" w:hAnsi="Times New Roman"/>
        </w:rPr>
        <w:t>, Vienna (</w:t>
      </w:r>
      <w:r>
        <w:rPr>
          <w:rFonts w:ascii="Times New Roman" w:hAnsi="Times New Roman"/>
        </w:rPr>
        <w:t>2010</w:t>
      </w:r>
      <w:r w:rsidRPr="00011944">
        <w:rPr>
          <w:rFonts w:ascii="Times New Roman" w:hAnsi="Times New Roman"/>
        </w:rPr>
        <w:t>)</w:t>
      </w:r>
      <w:r>
        <w:rPr>
          <w:rFonts w:ascii="Times New Roman" w:hAnsi="Times New Roman"/>
        </w:rPr>
        <w:t>.</w:t>
      </w:r>
    </w:p>
    <w:p w:rsidR="00A8604F" w:rsidRPr="006F13D1" w:rsidRDefault="00A8604F" w:rsidP="006F13D1">
      <w:pPr>
        <w:pStyle w:val="Textkrper1"/>
        <w:rPr>
          <w:rFonts w:ascii="Times New Roman" w:hAnsi="Times New Roman"/>
          <w:sz w:val="24"/>
          <w:lang w:val="en-US"/>
        </w:rPr>
      </w:pPr>
    </w:p>
    <w:sectPr w:rsidR="00A8604F" w:rsidRPr="006F13D1">
      <w:headerReference w:type="default" r:id="rId8"/>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71" w:rsidRDefault="00C07A71">
      <w:r>
        <w:separator/>
      </w:r>
    </w:p>
  </w:endnote>
  <w:endnote w:type="continuationSeparator" w:id="0">
    <w:p w:rsidR="00C07A71" w:rsidRDefault="00C0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71" w:rsidRDefault="00C07A71">
      <w:r>
        <w:separator/>
      </w:r>
    </w:p>
  </w:footnote>
  <w:footnote w:type="continuationSeparator" w:id="0">
    <w:p w:rsidR="00C07A71" w:rsidRDefault="00C07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BC" w:rsidRPr="00EE4BB9" w:rsidRDefault="00C73BBC" w:rsidP="00487E6D">
    <w:pPr>
      <w:pStyle w:val="aa"/>
      <w:tabs>
        <w:tab w:val="clear" w:pos="8640"/>
        <w:tab w:val="right" w:pos="9072"/>
      </w:tabs>
      <w:rPr>
        <w:b/>
        <w:bCs/>
        <w:i/>
        <w:sz w:val="28"/>
      </w:rPr>
    </w:pPr>
    <w:r>
      <w:rPr>
        <w:rStyle w:val="ac"/>
      </w:rPr>
      <w:fldChar w:fldCharType="begin"/>
    </w:r>
    <w:r>
      <w:rPr>
        <w:rStyle w:val="ac"/>
      </w:rPr>
      <w:instrText xml:space="preserve"> PAGE </w:instrText>
    </w:r>
    <w:r>
      <w:rPr>
        <w:rStyle w:val="ac"/>
      </w:rPr>
      <w:fldChar w:fldCharType="separate"/>
    </w:r>
    <w:r w:rsidR="00EB3250">
      <w:rPr>
        <w:rStyle w:val="ac"/>
        <w:noProof/>
      </w:rPr>
      <w:t>1</w:t>
    </w:r>
    <w:r>
      <w:rPr>
        <w:rStyle w:val="ac"/>
      </w:rPr>
      <w:fldChar w:fldCharType="end"/>
    </w:r>
    <w:r w:rsidR="00EE4BB9">
      <w:rPr>
        <w:b/>
        <w:bCs/>
        <w:sz w:val="28"/>
      </w:rPr>
      <w:tab/>
    </w:r>
    <w:r w:rsidR="00EE4BB9">
      <w:rPr>
        <w:b/>
        <w:bCs/>
        <w:sz w:val="28"/>
      </w:rPr>
      <w:tab/>
      <w:t>IAEA-CN-214-</w:t>
    </w:r>
    <w:r w:rsidR="00EE4BB9">
      <w:rPr>
        <w:b/>
        <w:bCs/>
        <w:i/>
        <w:sz w:val="28"/>
      </w:rPr>
      <w:t>paper</w:t>
    </w:r>
    <w:r w:rsidR="00687A77">
      <w:rPr>
        <w:b/>
        <w:bCs/>
        <w:i/>
        <w:sz w:val="2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5"/>
      <w:lvlText w:val="%1."/>
      <w:lvlJc w:val="left"/>
      <w:pPr>
        <w:tabs>
          <w:tab w:val="num" w:pos="1492"/>
        </w:tabs>
        <w:ind w:left="1492" w:hanging="360"/>
      </w:pPr>
    </w:lvl>
  </w:abstractNum>
  <w:abstractNum w:abstractNumId="1">
    <w:nsid w:val="FFFFFF7D"/>
    <w:multiLevelType w:val="singleLevel"/>
    <w:tmpl w:val="4AD8C304"/>
    <w:lvl w:ilvl="0">
      <w:start w:val="1"/>
      <w:numFmt w:val="decimal"/>
      <w:pStyle w:val="4"/>
      <w:lvlText w:val="%1."/>
      <w:lvlJc w:val="left"/>
      <w:pPr>
        <w:tabs>
          <w:tab w:val="num" w:pos="1209"/>
        </w:tabs>
        <w:ind w:left="1209" w:hanging="360"/>
      </w:pPr>
    </w:lvl>
  </w:abstractNum>
  <w:abstractNum w:abstractNumId="2">
    <w:nsid w:val="FFFFFF7E"/>
    <w:multiLevelType w:val="singleLevel"/>
    <w:tmpl w:val="DEC82A62"/>
    <w:lvl w:ilvl="0">
      <w:start w:val="1"/>
      <w:numFmt w:val="decimal"/>
      <w:pStyle w:val="3"/>
      <w:lvlText w:val="%1."/>
      <w:lvlJc w:val="left"/>
      <w:pPr>
        <w:tabs>
          <w:tab w:val="num" w:pos="926"/>
        </w:tabs>
        <w:ind w:left="926" w:hanging="360"/>
      </w:pPr>
    </w:lvl>
  </w:abstractNum>
  <w:abstractNum w:abstractNumId="3">
    <w:nsid w:val="FFFFFF7F"/>
    <w:multiLevelType w:val="singleLevel"/>
    <w:tmpl w:val="A4D61D9A"/>
    <w:lvl w:ilvl="0">
      <w:start w:val="1"/>
      <w:numFmt w:val="decimal"/>
      <w:pStyle w:val="2"/>
      <w:lvlText w:val="%1."/>
      <w:lvlJc w:val="left"/>
      <w:pPr>
        <w:tabs>
          <w:tab w:val="num" w:pos="643"/>
        </w:tabs>
        <w:ind w:left="643" w:hanging="360"/>
      </w:pPr>
    </w:lvl>
  </w:abstractNum>
  <w:abstractNum w:abstractNumId="4">
    <w:nsid w:val="FFFFFF80"/>
    <w:multiLevelType w:val="singleLevel"/>
    <w:tmpl w:val="6DA8374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a"/>
      <w:lvlText w:val="%1."/>
      <w:lvlJc w:val="left"/>
      <w:pPr>
        <w:tabs>
          <w:tab w:val="num" w:pos="360"/>
        </w:tabs>
        <w:ind w:left="360" w:hanging="360"/>
      </w:pPr>
    </w:lvl>
  </w:abstractNum>
  <w:abstractNum w:abstractNumId="9">
    <w:nsid w:val="FFFFFF89"/>
    <w:multiLevelType w:val="singleLevel"/>
    <w:tmpl w:val="FC502EC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hybridMultilevel"/>
    <w:tmpl w:val="3F284916"/>
    <w:lvl w:ilvl="0" w:tplc="83B08F88">
      <w:start w:val="1"/>
      <w:numFmt w:val="decimal"/>
      <w:pStyle w:val="3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1944"/>
    <w:rsid w:val="00030BE1"/>
    <w:rsid w:val="0005716E"/>
    <w:rsid w:val="000573B5"/>
    <w:rsid w:val="0008565D"/>
    <w:rsid w:val="00087D72"/>
    <w:rsid w:val="00090A18"/>
    <w:rsid w:val="000A2FD8"/>
    <w:rsid w:val="000C1A2F"/>
    <w:rsid w:val="000E42C1"/>
    <w:rsid w:val="0016512D"/>
    <w:rsid w:val="00175AFF"/>
    <w:rsid w:val="00176A26"/>
    <w:rsid w:val="0019401F"/>
    <w:rsid w:val="001A0B25"/>
    <w:rsid w:val="001A6B91"/>
    <w:rsid w:val="001A6DA6"/>
    <w:rsid w:val="001C7767"/>
    <w:rsid w:val="001D3A86"/>
    <w:rsid w:val="001D6141"/>
    <w:rsid w:val="001D7282"/>
    <w:rsid w:val="001E0A0D"/>
    <w:rsid w:val="001E55A9"/>
    <w:rsid w:val="001F115D"/>
    <w:rsid w:val="00215FDA"/>
    <w:rsid w:val="00297E15"/>
    <w:rsid w:val="0035124C"/>
    <w:rsid w:val="003B0D5C"/>
    <w:rsid w:val="003C49C3"/>
    <w:rsid w:val="003C5FC9"/>
    <w:rsid w:val="003E7F23"/>
    <w:rsid w:val="00414D77"/>
    <w:rsid w:val="00433FAC"/>
    <w:rsid w:val="00450C8E"/>
    <w:rsid w:val="004779C1"/>
    <w:rsid w:val="00487E6D"/>
    <w:rsid w:val="00492C8C"/>
    <w:rsid w:val="004954E1"/>
    <w:rsid w:val="00495F51"/>
    <w:rsid w:val="004A35DD"/>
    <w:rsid w:val="004C3FC9"/>
    <w:rsid w:val="004D5738"/>
    <w:rsid w:val="005C5ACC"/>
    <w:rsid w:val="005E7A81"/>
    <w:rsid w:val="0060752F"/>
    <w:rsid w:val="006645D6"/>
    <w:rsid w:val="00683A8F"/>
    <w:rsid w:val="00686A63"/>
    <w:rsid w:val="00687A77"/>
    <w:rsid w:val="006B2376"/>
    <w:rsid w:val="006C1837"/>
    <w:rsid w:val="006D03FF"/>
    <w:rsid w:val="006E7C97"/>
    <w:rsid w:val="006F13D1"/>
    <w:rsid w:val="006F35CD"/>
    <w:rsid w:val="00733FE4"/>
    <w:rsid w:val="00766791"/>
    <w:rsid w:val="007815EE"/>
    <w:rsid w:val="00792529"/>
    <w:rsid w:val="007C09EE"/>
    <w:rsid w:val="00802734"/>
    <w:rsid w:val="00812B3F"/>
    <w:rsid w:val="0082099B"/>
    <w:rsid w:val="0082490B"/>
    <w:rsid w:val="008537C2"/>
    <w:rsid w:val="008A081E"/>
    <w:rsid w:val="00931C0C"/>
    <w:rsid w:val="00973F2C"/>
    <w:rsid w:val="00993D8E"/>
    <w:rsid w:val="009B4075"/>
    <w:rsid w:val="009C3027"/>
    <w:rsid w:val="009D7FF4"/>
    <w:rsid w:val="009E1F76"/>
    <w:rsid w:val="009F6A57"/>
    <w:rsid w:val="00A32F9A"/>
    <w:rsid w:val="00A4234C"/>
    <w:rsid w:val="00A8265F"/>
    <w:rsid w:val="00A8604F"/>
    <w:rsid w:val="00A93977"/>
    <w:rsid w:val="00A97694"/>
    <w:rsid w:val="00AC3C4E"/>
    <w:rsid w:val="00AE42D3"/>
    <w:rsid w:val="00AF5CFB"/>
    <w:rsid w:val="00B357C1"/>
    <w:rsid w:val="00B80C39"/>
    <w:rsid w:val="00B84C77"/>
    <w:rsid w:val="00B9706F"/>
    <w:rsid w:val="00BD10FB"/>
    <w:rsid w:val="00C07A71"/>
    <w:rsid w:val="00C170D0"/>
    <w:rsid w:val="00C17D3F"/>
    <w:rsid w:val="00C22FC3"/>
    <w:rsid w:val="00C318BF"/>
    <w:rsid w:val="00C5291F"/>
    <w:rsid w:val="00C73BBC"/>
    <w:rsid w:val="00C77C87"/>
    <w:rsid w:val="00CA237E"/>
    <w:rsid w:val="00CD7E87"/>
    <w:rsid w:val="00D01F60"/>
    <w:rsid w:val="00D11FA3"/>
    <w:rsid w:val="00D269B9"/>
    <w:rsid w:val="00D50C24"/>
    <w:rsid w:val="00D916C8"/>
    <w:rsid w:val="00DD0EFF"/>
    <w:rsid w:val="00DD4723"/>
    <w:rsid w:val="00DE066C"/>
    <w:rsid w:val="00E041ED"/>
    <w:rsid w:val="00E31B5B"/>
    <w:rsid w:val="00E754C2"/>
    <w:rsid w:val="00EB0B35"/>
    <w:rsid w:val="00EB3250"/>
    <w:rsid w:val="00EB74FD"/>
    <w:rsid w:val="00EE4BB9"/>
    <w:rsid w:val="00EF1872"/>
    <w:rsid w:val="00F35374"/>
    <w:rsid w:val="00F40824"/>
    <w:rsid w:val="00F71E2E"/>
    <w:rsid w:val="00FD746F"/>
    <w:rsid w:val="00FE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41">
    <w:name w:val="heading 4"/>
    <w:basedOn w:val="a1"/>
    <w:next w:val="a1"/>
    <w:qFormat/>
    <w:rsid w:val="003C49C3"/>
    <w:pPr>
      <w:keepNext/>
      <w:spacing w:before="240" w:after="240"/>
      <w:outlineLvl w:val="3"/>
    </w:pPr>
    <w:rPr>
      <w:rFonts w:ascii="Times New Roman" w:hAnsi="Times New Roman"/>
      <w:b/>
      <w:bCs/>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Cs w:val="24"/>
    </w:rPr>
  </w:style>
  <w:style w:type="paragraph" w:styleId="8">
    <w:name w:val="heading 8"/>
    <w:basedOn w:val="a1"/>
    <w:next w:val="a1"/>
    <w:qFormat/>
    <w:pPr>
      <w:spacing w:before="240" w:after="60"/>
      <w:outlineLvl w:val="7"/>
    </w:pPr>
    <w:rPr>
      <w:rFonts w:ascii="Times New Roman" w:hAnsi="Times New Roman"/>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Pr>
      <w:vertAlign w:val="superscript"/>
    </w:rPr>
  </w:style>
  <w:style w:type="character" w:customStyle="1" w:styleId="WW-Absatz-Standardschriftart">
    <w:name w:val="WW-Absatz-Standardschriftart"/>
    <w:rPr>
      <w:sz w:val="24"/>
    </w:rPr>
  </w:style>
  <w:style w:type="character" w:styleId="a6">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a1"/>
    <w:rPr>
      <w:sz w:val="20"/>
    </w:rPr>
  </w:style>
  <w:style w:type="paragraph" w:styleId="a7">
    <w:name w:val="footnote text"/>
    <w:basedOn w:val="a1"/>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a8">
    <w:name w:val="Normal (Web)"/>
    <w:basedOn w:val="a1"/>
    <w:pPr>
      <w:widowControl w:val="0"/>
      <w:suppressAutoHyphens w:val="0"/>
      <w:spacing w:before="100" w:after="100"/>
    </w:pPr>
    <w:rPr>
      <w:rFonts w:ascii="Arial Unicode MS" w:eastAsia="Arial Unicode MS"/>
      <w:lang w:val="en-US"/>
    </w:rPr>
  </w:style>
  <w:style w:type="character" w:styleId="a9">
    <w:name w:val="FollowedHyperlink"/>
    <w:rPr>
      <w:color w:val="800080"/>
      <w:u w:val="single"/>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page number"/>
    <w:basedOn w:val="a2"/>
  </w:style>
  <w:style w:type="paragraph" w:styleId="ad">
    <w:name w:val="Body Text"/>
    <w:basedOn w:val="a1"/>
    <w:pPr>
      <w:jc w:val="center"/>
    </w:pPr>
    <w:rPr>
      <w:rFonts w:ascii="Times New Roman" w:hAnsi="Times New Roman"/>
      <w:b/>
      <w:sz w:val="28"/>
      <w:lang w:val="en-US"/>
    </w:rPr>
  </w:style>
  <w:style w:type="paragraph" w:styleId="ae">
    <w:name w:val="Block Text"/>
    <w:basedOn w:val="a1"/>
    <w:pPr>
      <w:ind w:left="1440" w:right="1440"/>
    </w:pPr>
  </w:style>
  <w:style w:type="paragraph" w:styleId="22">
    <w:name w:val="Body Text 2"/>
    <w:basedOn w:val="a1"/>
    <w:pPr>
      <w:spacing w:line="480" w:lineRule="auto"/>
    </w:pPr>
  </w:style>
  <w:style w:type="paragraph" w:styleId="32">
    <w:name w:val="Body Text 3"/>
    <w:basedOn w:val="a1"/>
    <w:rPr>
      <w:sz w:val="16"/>
      <w:szCs w:val="16"/>
    </w:rPr>
  </w:style>
  <w:style w:type="paragraph" w:styleId="af">
    <w:name w:val="Body Text First Indent"/>
    <w:basedOn w:val="ad"/>
    <w:pPr>
      <w:ind w:firstLine="210"/>
      <w:jc w:val="left"/>
    </w:pPr>
    <w:rPr>
      <w:rFonts w:ascii="Times" w:hAnsi="Times"/>
      <w:b w:val="0"/>
      <w:sz w:val="24"/>
      <w:lang w:val="en-GB"/>
    </w:rPr>
  </w:style>
  <w:style w:type="paragraph" w:styleId="af0">
    <w:name w:val="Body Text Indent"/>
    <w:basedOn w:val="a1"/>
    <w:pPr>
      <w:ind w:left="283"/>
    </w:pPr>
  </w:style>
  <w:style w:type="paragraph" w:styleId="23">
    <w:name w:val="Body Text First Indent 2"/>
    <w:basedOn w:val="af0"/>
    <w:pPr>
      <w:ind w:firstLine="210"/>
    </w:pPr>
  </w:style>
  <w:style w:type="paragraph" w:styleId="24">
    <w:name w:val="Body Text Indent 2"/>
    <w:basedOn w:val="a1"/>
    <w:pPr>
      <w:spacing w:line="480" w:lineRule="auto"/>
      <w:ind w:left="283"/>
    </w:pPr>
  </w:style>
  <w:style w:type="paragraph" w:styleId="33">
    <w:name w:val="Body Text Indent 3"/>
    <w:basedOn w:val="a1"/>
    <w:pPr>
      <w:ind w:left="283"/>
    </w:pPr>
    <w:rPr>
      <w:sz w:val="16"/>
      <w:szCs w:val="16"/>
    </w:rPr>
  </w:style>
  <w:style w:type="paragraph" w:styleId="af1">
    <w:name w:val="caption"/>
    <w:basedOn w:val="a1"/>
    <w:next w:val="a1"/>
    <w:qFormat/>
    <w:pPr>
      <w:spacing w:before="120"/>
    </w:pPr>
    <w:rPr>
      <w:b/>
      <w:bCs/>
      <w:sz w:val="20"/>
    </w:rPr>
  </w:style>
  <w:style w:type="paragraph" w:styleId="af2">
    <w:name w:val="Closing"/>
    <w:basedOn w:val="a1"/>
    <w:pPr>
      <w:ind w:left="4252"/>
    </w:pPr>
  </w:style>
  <w:style w:type="paragraph" w:styleId="af3">
    <w:name w:val="annotation text"/>
    <w:basedOn w:val="a1"/>
    <w:link w:val="af4"/>
    <w:semiHidden/>
    <w:rPr>
      <w:sz w:val="20"/>
    </w:rPr>
  </w:style>
  <w:style w:type="paragraph" w:styleId="af5">
    <w:name w:val="Date"/>
    <w:basedOn w:val="a1"/>
    <w:next w:val="a1"/>
  </w:style>
  <w:style w:type="paragraph" w:styleId="af6">
    <w:name w:val="Document Map"/>
    <w:basedOn w:val="a1"/>
    <w:semiHidden/>
    <w:pPr>
      <w:shd w:val="clear" w:color="auto" w:fill="000080"/>
    </w:pPr>
    <w:rPr>
      <w:rFonts w:ascii="Tahoma" w:hAnsi="Tahoma" w:cs="Tahoma"/>
    </w:rPr>
  </w:style>
  <w:style w:type="paragraph" w:styleId="af7">
    <w:name w:val="E-mail Signature"/>
    <w:basedOn w:val="a1"/>
  </w:style>
  <w:style w:type="paragraph" w:styleId="af8">
    <w:name w:val="endnote text"/>
    <w:basedOn w:val="a1"/>
    <w:semiHidden/>
    <w:rPr>
      <w:sz w:val="20"/>
    </w:rPr>
  </w:style>
  <w:style w:type="paragraph" w:styleId="af9">
    <w:name w:val="envelope address"/>
    <w:basedOn w:val="a1"/>
    <w:pPr>
      <w:framePr w:w="7920" w:h="1980" w:hRule="exact" w:hSpace="180" w:wrap="auto" w:hAnchor="page" w:xAlign="center" w:yAlign="bottom"/>
      <w:ind w:left="2880"/>
    </w:pPr>
    <w:rPr>
      <w:rFonts w:ascii="Arial" w:hAnsi="Arial" w:cs="Arial"/>
      <w:szCs w:val="24"/>
    </w:rPr>
  </w:style>
  <w:style w:type="paragraph" w:styleId="25">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a">
    <w:name w:val="index heading"/>
    <w:basedOn w:val="a1"/>
    <w:next w:val="10"/>
    <w:semiHidden/>
    <w:rPr>
      <w:rFonts w:ascii="Arial" w:hAnsi="Arial" w:cs="Arial"/>
      <w:b/>
      <w:bCs/>
    </w:rPr>
  </w:style>
  <w:style w:type="paragraph" w:styleId="afb">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27"/>
      </w:numPr>
    </w:pPr>
  </w:style>
  <w:style w:type="paragraph" w:styleId="20">
    <w:name w:val="List Bullet 2"/>
    <w:basedOn w:val="a1"/>
    <w:autoRedefine/>
    <w:pPr>
      <w:numPr>
        <w:numId w:val="28"/>
      </w:numPr>
    </w:pPr>
  </w:style>
  <w:style w:type="paragraph" w:styleId="30">
    <w:name w:val="List Bullet 3"/>
    <w:basedOn w:val="a1"/>
    <w:autoRedefine/>
    <w:pPr>
      <w:numPr>
        <w:numId w:val="29"/>
      </w:numPr>
    </w:pPr>
  </w:style>
  <w:style w:type="paragraph" w:styleId="40">
    <w:name w:val="List Bullet 4"/>
    <w:basedOn w:val="a1"/>
    <w:autoRedefine/>
    <w:pPr>
      <w:numPr>
        <w:numId w:val="30"/>
      </w:numPr>
    </w:pPr>
  </w:style>
  <w:style w:type="paragraph" w:styleId="50">
    <w:name w:val="List Bullet 5"/>
    <w:basedOn w:val="a1"/>
    <w:autoRedefine/>
    <w:pPr>
      <w:numPr>
        <w:numId w:val="31"/>
      </w:numPr>
    </w:pPr>
  </w:style>
  <w:style w:type="paragraph" w:styleId="afc">
    <w:name w:val="List Continue"/>
    <w:basedOn w:val="a1"/>
    <w:pPr>
      <w:ind w:left="283"/>
    </w:pPr>
  </w:style>
  <w:style w:type="paragraph" w:styleId="28">
    <w:name w:val="List Continue 2"/>
    <w:basedOn w:val="a1"/>
    <w:pPr>
      <w:ind w:left="566"/>
    </w:pPr>
  </w:style>
  <w:style w:type="paragraph" w:styleId="36">
    <w:name w:val="List Continue 3"/>
    <w:basedOn w:val="a1"/>
    <w:pPr>
      <w:ind w:left="849"/>
    </w:pPr>
  </w:style>
  <w:style w:type="paragraph" w:styleId="44">
    <w:name w:val="List Continue 4"/>
    <w:basedOn w:val="a1"/>
    <w:pPr>
      <w:ind w:left="1132"/>
    </w:pPr>
  </w:style>
  <w:style w:type="paragraph" w:styleId="54">
    <w:name w:val="List Continue 5"/>
    <w:basedOn w:val="a1"/>
    <w:pPr>
      <w:ind w:left="1415"/>
    </w:pPr>
  </w:style>
  <w:style w:type="paragraph" w:styleId="a">
    <w:name w:val="List Number"/>
    <w:basedOn w:val="a1"/>
    <w:pPr>
      <w:numPr>
        <w:numId w:val="32"/>
      </w:numPr>
    </w:pPr>
  </w:style>
  <w:style w:type="paragraph" w:styleId="2">
    <w:name w:val="List Number 2"/>
    <w:basedOn w:val="a1"/>
    <w:pPr>
      <w:numPr>
        <w:numId w:val="33"/>
      </w:numPr>
    </w:pPr>
  </w:style>
  <w:style w:type="paragraph" w:styleId="3">
    <w:name w:val="List Number 3"/>
    <w:basedOn w:val="a1"/>
    <w:pPr>
      <w:numPr>
        <w:numId w:val="34"/>
      </w:numPr>
    </w:pPr>
  </w:style>
  <w:style w:type="paragraph" w:styleId="4">
    <w:name w:val="List Number 4"/>
    <w:basedOn w:val="a1"/>
    <w:pPr>
      <w:numPr>
        <w:numId w:val="35"/>
      </w:numPr>
    </w:pPr>
  </w:style>
  <w:style w:type="paragraph" w:styleId="5">
    <w:name w:val="List Number 5"/>
    <w:basedOn w:val="a1"/>
    <w:pPr>
      <w:numPr>
        <w:numId w:val="36"/>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af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
    <w:name w:val="Normal Indent"/>
    <w:basedOn w:val="a1"/>
    <w:pPr>
      <w:ind w:left="720"/>
    </w:pPr>
  </w:style>
  <w:style w:type="paragraph" w:styleId="aff0">
    <w:name w:val="Note Heading"/>
    <w:basedOn w:val="a1"/>
    <w:next w:val="a1"/>
  </w:style>
  <w:style w:type="paragraph" w:styleId="aff1">
    <w:name w:val="Plain Text"/>
    <w:basedOn w:val="a1"/>
    <w:rPr>
      <w:rFonts w:ascii="Courier New" w:hAnsi="Courier New" w:cs="Courier New"/>
      <w:sz w:val="20"/>
    </w:rPr>
  </w:style>
  <w:style w:type="paragraph" w:styleId="aff2">
    <w:name w:val="Salutation"/>
    <w:basedOn w:val="a1"/>
    <w:next w:val="a1"/>
  </w:style>
  <w:style w:type="paragraph" w:styleId="aff3">
    <w:name w:val="Signature"/>
    <w:basedOn w:val="a1"/>
    <w:pPr>
      <w:ind w:left="4252"/>
    </w:pPr>
  </w:style>
  <w:style w:type="paragraph" w:styleId="aff4">
    <w:name w:val="Subtitle"/>
    <w:basedOn w:val="a1"/>
    <w:qFormat/>
    <w:pPr>
      <w:spacing w:after="60"/>
      <w:jc w:val="center"/>
      <w:outlineLvl w:val="1"/>
    </w:pPr>
    <w:rPr>
      <w:rFonts w:ascii="Arial" w:hAnsi="Arial" w:cs="Arial"/>
      <w:szCs w:val="24"/>
    </w:rPr>
  </w:style>
  <w:style w:type="paragraph" w:styleId="aff5">
    <w:name w:val="table of authorities"/>
    <w:basedOn w:val="a1"/>
    <w:next w:val="a1"/>
    <w:semiHidden/>
    <w:pPr>
      <w:ind w:left="240" w:hanging="240"/>
    </w:pPr>
  </w:style>
  <w:style w:type="paragraph" w:styleId="aff6">
    <w:name w:val="table of figures"/>
    <w:basedOn w:val="a1"/>
    <w:next w:val="a1"/>
    <w:semiHidden/>
    <w:pPr>
      <w:ind w:left="480" w:hanging="480"/>
    </w:pPr>
  </w:style>
  <w:style w:type="paragraph" w:styleId="aff7">
    <w:name w:val="Title"/>
    <w:basedOn w:val="a1"/>
    <w:qFormat/>
    <w:pPr>
      <w:spacing w:before="240" w:after="60"/>
      <w:jc w:val="center"/>
      <w:outlineLvl w:val="0"/>
    </w:pPr>
    <w:rPr>
      <w:rFonts w:ascii="Arial" w:hAnsi="Arial" w:cs="Arial"/>
      <w:b/>
      <w:bCs/>
      <w:kern w:val="28"/>
      <w:sz w:val="32"/>
      <w:szCs w:val="32"/>
    </w:rPr>
  </w:style>
  <w:style w:type="paragraph" w:styleId="aff8">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9">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9">
    <w:name w:val="Balloon Text"/>
    <w:basedOn w:val="a1"/>
    <w:link w:val="affa"/>
    <w:rsid w:val="004779C1"/>
    <w:pPr>
      <w:spacing w:after="0"/>
    </w:pPr>
    <w:rPr>
      <w:rFonts w:ascii="Tahoma" w:hAnsi="Tahoma" w:cs="Tahoma"/>
      <w:sz w:val="16"/>
      <w:szCs w:val="16"/>
    </w:rPr>
  </w:style>
  <w:style w:type="character" w:customStyle="1" w:styleId="affa">
    <w:name w:val="Текст выноски Знак"/>
    <w:link w:val="aff9"/>
    <w:rsid w:val="004779C1"/>
    <w:rPr>
      <w:rFonts w:ascii="Tahoma" w:hAnsi="Tahoma" w:cs="Tahoma"/>
      <w:sz w:val="16"/>
      <w:szCs w:val="16"/>
      <w:lang w:eastAsia="en-US"/>
    </w:rPr>
  </w:style>
  <w:style w:type="character" w:styleId="affb">
    <w:name w:val="annotation reference"/>
    <w:rsid w:val="00D916C8"/>
    <w:rPr>
      <w:sz w:val="16"/>
      <w:szCs w:val="16"/>
    </w:rPr>
  </w:style>
  <w:style w:type="paragraph" w:styleId="affc">
    <w:name w:val="annotation subject"/>
    <w:basedOn w:val="af3"/>
    <w:next w:val="af3"/>
    <w:link w:val="affd"/>
    <w:rsid w:val="00D916C8"/>
    <w:rPr>
      <w:b/>
      <w:bCs/>
    </w:rPr>
  </w:style>
  <w:style w:type="character" w:customStyle="1" w:styleId="af4">
    <w:name w:val="Текст примечания Знак"/>
    <w:link w:val="af3"/>
    <w:semiHidden/>
    <w:rsid w:val="00D916C8"/>
    <w:rPr>
      <w:rFonts w:ascii="Times" w:hAnsi="Times"/>
      <w:lang w:eastAsia="en-US"/>
    </w:rPr>
  </w:style>
  <w:style w:type="character" w:customStyle="1" w:styleId="affd">
    <w:name w:val="Тема примечания Знак"/>
    <w:link w:val="affc"/>
    <w:rsid w:val="00D916C8"/>
    <w:rPr>
      <w:rFonts w:ascii="Times" w:hAnsi="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41">
    <w:name w:val="heading 4"/>
    <w:basedOn w:val="a1"/>
    <w:next w:val="a1"/>
    <w:qFormat/>
    <w:rsid w:val="003C49C3"/>
    <w:pPr>
      <w:keepNext/>
      <w:spacing w:before="240" w:after="240"/>
      <w:outlineLvl w:val="3"/>
    </w:pPr>
    <w:rPr>
      <w:rFonts w:ascii="Times New Roman" w:hAnsi="Times New Roman"/>
      <w:b/>
      <w:bCs/>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Cs w:val="24"/>
    </w:rPr>
  </w:style>
  <w:style w:type="paragraph" w:styleId="8">
    <w:name w:val="heading 8"/>
    <w:basedOn w:val="a1"/>
    <w:next w:val="a1"/>
    <w:qFormat/>
    <w:pPr>
      <w:spacing w:before="240" w:after="60"/>
      <w:outlineLvl w:val="7"/>
    </w:pPr>
    <w:rPr>
      <w:rFonts w:ascii="Times New Roman" w:hAnsi="Times New Roman"/>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Pr>
      <w:vertAlign w:val="superscript"/>
    </w:rPr>
  </w:style>
  <w:style w:type="character" w:customStyle="1" w:styleId="WW-Absatz-Standardschriftart">
    <w:name w:val="WW-Absatz-Standardschriftart"/>
    <w:rPr>
      <w:sz w:val="24"/>
    </w:rPr>
  </w:style>
  <w:style w:type="character" w:styleId="a6">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a1"/>
    <w:rPr>
      <w:sz w:val="20"/>
    </w:rPr>
  </w:style>
  <w:style w:type="paragraph" w:styleId="a7">
    <w:name w:val="footnote text"/>
    <w:basedOn w:val="a1"/>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a8">
    <w:name w:val="Normal (Web)"/>
    <w:basedOn w:val="a1"/>
    <w:pPr>
      <w:widowControl w:val="0"/>
      <w:suppressAutoHyphens w:val="0"/>
      <w:spacing w:before="100" w:after="100"/>
    </w:pPr>
    <w:rPr>
      <w:rFonts w:ascii="Arial Unicode MS" w:eastAsia="Arial Unicode MS"/>
      <w:lang w:val="en-US"/>
    </w:rPr>
  </w:style>
  <w:style w:type="character" w:styleId="a9">
    <w:name w:val="FollowedHyperlink"/>
    <w:rPr>
      <w:color w:val="800080"/>
      <w:u w:val="single"/>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page number"/>
    <w:basedOn w:val="a2"/>
  </w:style>
  <w:style w:type="paragraph" w:styleId="ad">
    <w:name w:val="Body Text"/>
    <w:basedOn w:val="a1"/>
    <w:pPr>
      <w:jc w:val="center"/>
    </w:pPr>
    <w:rPr>
      <w:rFonts w:ascii="Times New Roman" w:hAnsi="Times New Roman"/>
      <w:b/>
      <w:sz w:val="28"/>
      <w:lang w:val="en-US"/>
    </w:rPr>
  </w:style>
  <w:style w:type="paragraph" w:styleId="ae">
    <w:name w:val="Block Text"/>
    <w:basedOn w:val="a1"/>
    <w:pPr>
      <w:ind w:left="1440" w:right="1440"/>
    </w:pPr>
  </w:style>
  <w:style w:type="paragraph" w:styleId="22">
    <w:name w:val="Body Text 2"/>
    <w:basedOn w:val="a1"/>
    <w:pPr>
      <w:spacing w:line="480" w:lineRule="auto"/>
    </w:pPr>
  </w:style>
  <w:style w:type="paragraph" w:styleId="32">
    <w:name w:val="Body Text 3"/>
    <w:basedOn w:val="a1"/>
    <w:rPr>
      <w:sz w:val="16"/>
      <w:szCs w:val="16"/>
    </w:rPr>
  </w:style>
  <w:style w:type="paragraph" w:styleId="af">
    <w:name w:val="Body Text First Indent"/>
    <w:basedOn w:val="ad"/>
    <w:pPr>
      <w:ind w:firstLine="210"/>
      <w:jc w:val="left"/>
    </w:pPr>
    <w:rPr>
      <w:rFonts w:ascii="Times" w:hAnsi="Times"/>
      <w:b w:val="0"/>
      <w:sz w:val="24"/>
      <w:lang w:val="en-GB"/>
    </w:rPr>
  </w:style>
  <w:style w:type="paragraph" w:styleId="af0">
    <w:name w:val="Body Text Indent"/>
    <w:basedOn w:val="a1"/>
    <w:pPr>
      <w:ind w:left="283"/>
    </w:pPr>
  </w:style>
  <w:style w:type="paragraph" w:styleId="23">
    <w:name w:val="Body Text First Indent 2"/>
    <w:basedOn w:val="af0"/>
    <w:pPr>
      <w:ind w:firstLine="210"/>
    </w:pPr>
  </w:style>
  <w:style w:type="paragraph" w:styleId="24">
    <w:name w:val="Body Text Indent 2"/>
    <w:basedOn w:val="a1"/>
    <w:pPr>
      <w:spacing w:line="480" w:lineRule="auto"/>
      <w:ind w:left="283"/>
    </w:pPr>
  </w:style>
  <w:style w:type="paragraph" w:styleId="33">
    <w:name w:val="Body Text Indent 3"/>
    <w:basedOn w:val="a1"/>
    <w:pPr>
      <w:ind w:left="283"/>
    </w:pPr>
    <w:rPr>
      <w:sz w:val="16"/>
      <w:szCs w:val="16"/>
    </w:rPr>
  </w:style>
  <w:style w:type="paragraph" w:styleId="af1">
    <w:name w:val="caption"/>
    <w:basedOn w:val="a1"/>
    <w:next w:val="a1"/>
    <w:qFormat/>
    <w:pPr>
      <w:spacing w:before="120"/>
    </w:pPr>
    <w:rPr>
      <w:b/>
      <w:bCs/>
      <w:sz w:val="20"/>
    </w:rPr>
  </w:style>
  <w:style w:type="paragraph" w:styleId="af2">
    <w:name w:val="Closing"/>
    <w:basedOn w:val="a1"/>
    <w:pPr>
      <w:ind w:left="4252"/>
    </w:pPr>
  </w:style>
  <w:style w:type="paragraph" w:styleId="af3">
    <w:name w:val="annotation text"/>
    <w:basedOn w:val="a1"/>
    <w:link w:val="af4"/>
    <w:semiHidden/>
    <w:rPr>
      <w:sz w:val="20"/>
    </w:rPr>
  </w:style>
  <w:style w:type="paragraph" w:styleId="af5">
    <w:name w:val="Date"/>
    <w:basedOn w:val="a1"/>
    <w:next w:val="a1"/>
  </w:style>
  <w:style w:type="paragraph" w:styleId="af6">
    <w:name w:val="Document Map"/>
    <w:basedOn w:val="a1"/>
    <w:semiHidden/>
    <w:pPr>
      <w:shd w:val="clear" w:color="auto" w:fill="000080"/>
    </w:pPr>
    <w:rPr>
      <w:rFonts w:ascii="Tahoma" w:hAnsi="Tahoma" w:cs="Tahoma"/>
    </w:rPr>
  </w:style>
  <w:style w:type="paragraph" w:styleId="af7">
    <w:name w:val="E-mail Signature"/>
    <w:basedOn w:val="a1"/>
  </w:style>
  <w:style w:type="paragraph" w:styleId="af8">
    <w:name w:val="endnote text"/>
    <w:basedOn w:val="a1"/>
    <w:semiHidden/>
    <w:rPr>
      <w:sz w:val="20"/>
    </w:rPr>
  </w:style>
  <w:style w:type="paragraph" w:styleId="af9">
    <w:name w:val="envelope address"/>
    <w:basedOn w:val="a1"/>
    <w:pPr>
      <w:framePr w:w="7920" w:h="1980" w:hRule="exact" w:hSpace="180" w:wrap="auto" w:hAnchor="page" w:xAlign="center" w:yAlign="bottom"/>
      <w:ind w:left="2880"/>
    </w:pPr>
    <w:rPr>
      <w:rFonts w:ascii="Arial" w:hAnsi="Arial" w:cs="Arial"/>
      <w:szCs w:val="24"/>
    </w:rPr>
  </w:style>
  <w:style w:type="paragraph" w:styleId="25">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a">
    <w:name w:val="index heading"/>
    <w:basedOn w:val="a1"/>
    <w:next w:val="10"/>
    <w:semiHidden/>
    <w:rPr>
      <w:rFonts w:ascii="Arial" w:hAnsi="Arial" w:cs="Arial"/>
      <w:b/>
      <w:bCs/>
    </w:rPr>
  </w:style>
  <w:style w:type="paragraph" w:styleId="afb">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27"/>
      </w:numPr>
    </w:pPr>
  </w:style>
  <w:style w:type="paragraph" w:styleId="20">
    <w:name w:val="List Bullet 2"/>
    <w:basedOn w:val="a1"/>
    <w:autoRedefine/>
    <w:pPr>
      <w:numPr>
        <w:numId w:val="28"/>
      </w:numPr>
    </w:pPr>
  </w:style>
  <w:style w:type="paragraph" w:styleId="30">
    <w:name w:val="List Bullet 3"/>
    <w:basedOn w:val="a1"/>
    <w:autoRedefine/>
    <w:pPr>
      <w:numPr>
        <w:numId w:val="29"/>
      </w:numPr>
    </w:pPr>
  </w:style>
  <w:style w:type="paragraph" w:styleId="40">
    <w:name w:val="List Bullet 4"/>
    <w:basedOn w:val="a1"/>
    <w:autoRedefine/>
    <w:pPr>
      <w:numPr>
        <w:numId w:val="30"/>
      </w:numPr>
    </w:pPr>
  </w:style>
  <w:style w:type="paragraph" w:styleId="50">
    <w:name w:val="List Bullet 5"/>
    <w:basedOn w:val="a1"/>
    <w:autoRedefine/>
    <w:pPr>
      <w:numPr>
        <w:numId w:val="31"/>
      </w:numPr>
    </w:pPr>
  </w:style>
  <w:style w:type="paragraph" w:styleId="afc">
    <w:name w:val="List Continue"/>
    <w:basedOn w:val="a1"/>
    <w:pPr>
      <w:ind w:left="283"/>
    </w:pPr>
  </w:style>
  <w:style w:type="paragraph" w:styleId="28">
    <w:name w:val="List Continue 2"/>
    <w:basedOn w:val="a1"/>
    <w:pPr>
      <w:ind w:left="566"/>
    </w:pPr>
  </w:style>
  <w:style w:type="paragraph" w:styleId="36">
    <w:name w:val="List Continue 3"/>
    <w:basedOn w:val="a1"/>
    <w:pPr>
      <w:ind w:left="849"/>
    </w:pPr>
  </w:style>
  <w:style w:type="paragraph" w:styleId="44">
    <w:name w:val="List Continue 4"/>
    <w:basedOn w:val="a1"/>
    <w:pPr>
      <w:ind w:left="1132"/>
    </w:pPr>
  </w:style>
  <w:style w:type="paragraph" w:styleId="54">
    <w:name w:val="List Continue 5"/>
    <w:basedOn w:val="a1"/>
    <w:pPr>
      <w:ind w:left="1415"/>
    </w:pPr>
  </w:style>
  <w:style w:type="paragraph" w:styleId="a">
    <w:name w:val="List Number"/>
    <w:basedOn w:val="a1"/>
    <w:pPr>
      <w:numPr>
        <w:numId w:val="32"/>
      </w:numPr>
    </w:pPr>
  </w:style>
  <w:style w:type="paragraph" w:styleId="2">
    <w:name w:val="List Number 2"/>
    <w:basedOn w:val="a1"/>
    <w:pPr>
      <w:numPr>
        <w:numId w:val="33"/>
      </w:numPr>
    </w:pPr>
  </w:style>
  <w:style w:type="paragraph" w:styleId="3">
    <w:name w:val="List Number 3"/>
    <w:basedOn w:val="a1"/>
    <w:pPr>
      <w:numPr>
        <w:numId w:val="34"/>
      </w:numPr>
    </w:pPr>
  </w:style>
  <w:style w:type="paragraph" w:styleId="4">
    <w:name w:val="List Number 4"/>
    <w:basedOn w:val="a1"/>
    <w:pPr>
      <w:numPr>
        <w:numId w:val="35"/>
      </w:numPr>
    </w:pPr>
  </w:style>
  <w:style w:type="paragraph" w:styleId="5">
    <w:name w:val="List Number 5"/>
    <w:basedOn w:val="a1"/>
    <w:pPr>
      <w:numPr>
        <w:numId w:val="36"/>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af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
    <w:name w:val="Normal Indent"/>
    <w:basedOn w:val="a1"/>
    <w:pPr>
      <w:ind w:left="720"/>
    </w:pPr>
  </w:style>
  <w:style w:type="paragraph" w:styleId="aff0">
    <w:name w:val="Note Heading"/>
    <w:basedOn w:val="a1"/>
    <w:next w:val="a1"/>
  </w:style>
  <w:style w:type="paragraph" w:styleId="aff1">
    <w:name w:val="Plain Text"/>
    <w:basedOn w:val="a1"/>
    <w:rPr>
      <w:rFonts w:ascii="Courier New" w:hAnsi="Courier New" w:cs="Courier New"/>
      <w:sz w:val="20"/>
    </w:rPr>
  </w:style>
  <w:style w:type="paragraph" w:styleId="aff2">
    <w:name w:val="Salutation"/>
    <w:basedOn w:val="a1"/>
    <w:next w:val="a1"/>
  </w:style>
  <w:style w:type="paragraph" w:styleId="aff3">
    <w:name w:val="Signature"/>
    <w:basedOn w:val="a1"/>
    <w:pPr>
      <w:ind w:left="4252"/>
    </w:pPr>
  </w:style>
  <w:style w:type="paragraph" w:styleId="aff4">
    <w:name w:val="Subtitle"/>
    <w:basedOn w:val="a1"/>
    <w:qFormat/>
    <w:pPr>
      <w:spacing w:after="60"/>
      <w:jc w:val="center"/>
      <w:outlineLvl w:val="1"/>
    </w:pPr>
    <w:rPr>
      <w:rFonts w:ascii="Arial" w:hAnsi="Arial" w:cs="Arial"/>
      <w:szCs w:val="24"/>
    </w:rPr>
  </w:style>
  <w:style w:type="paragraph" w:styleId="aff5">
    <w:name w:val="table of authorities"/>
    <w:basedOn w:val="a1"/>
    <w:next w:val="a1"/>
    <w:semiHidden/>
    <w:pPr>
      <w:ind w:left="240" w:hanging="240"/>
    </w:pPr>
  </w:style>
  <w:style w:type="paragraph" w:styleId="aff6">
    <w:name w:val="table of figures"/>
    <w:basedOn w:val="a1"/>
    <w:next w:val="a1"/>
    <w:semiHidden/>
    <w:pPr>
      <w:ind w:left="480" w:hanging="480"/>
    </w:pPr>
  </w:style>
  <w:style w:type="paragraph" w:styleId="aff7">
    <w:name w:val="Title"/>
    <w:basedOn w:val="a1"/>
    <w:qFormat/>
    <w:pPr>
      <w:spacing w:before="240" w:after="60"/>
      <w:jc w:val="center"/>
      <w:outlineLvl w:val="0"/>
    </w:pPr>
    <w:rPr>
      <w:rFonts w:ascii="Arial" w:hAnsi="Arial" w:cs="Arial"/>
      <w:b/>
      <w:bCs/>
      <w:kern w:val="28"/>
      <w:sz w:val="32"/>
      <w:szCs w:val="32"/>
    </w:rPr>
  </w:style>
  <w:style w:type="paragraph" w:styleId="aff8">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9">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9">
    <w:name w:val="Balloon Text"/>
    <w:basedOn w:val="a1"/>
    <w:link w:val="affa"/>
    <w:rsid w:val="004779C1"/>
    <w:pPr>
      <w:spacing w:after="0"/>
    </w:pPr>
    <w:rPr>
      <w:rFonts w:ascii="Tahoma" w:hAnsi="Tahoma" w:cs="Tahoma"/>
      <w:sz w:val="16"/>
      <w:szCs w:val="16"/>
    </w:rPr>
  </w:style>
  <w:style w:type="character" w:customStyle="1" w:styleId="affa">
    <w:name w:val="Текст выноски Знак"/>
    <w:link w:val="aff9"/>
    <w:rsid w:val="004779C1"/>
    <w:rPr>
      <w:rFonts w:ascii="Tahoma" w:hAnsi="Tahoma" w:cs="Tahoma"/>
      <w:sz w:val="16"/>
      <w:szCs w:val="16"/>
      <w:lang w:eastAsia="en-US"/>
    </w:rPr>
  </w:style>
  <w:style w:type="character" w:styleId="affb">
    <w:name w:val="annotation reference"/>
    <w:rsid w:val="00D916C8"/>
    <w:rPr>
      <w:sz w:val="16"/>
      <w:szCs w:val="16"/>
    </w:rPr>
  </w:style>
  <w:style w:type="paragraph" w:styleId="affc">
    <w:name w:val="annotation subject"/>
    <w:basedOn w:val="af3"/>
    <w:next w:val="af3"/>
    <w:link w:val="affd"/>
    <w:rsid w:val="00D916C8"/>
    <w:rPr>
      <w:b/>
      <w:bCs/>
    </w:rPr>
  </w:style>
  <w:style w:type="character" w:customStyle="1" w:styleId="af4">
    <w:name w:val="Текст примечания Знак"/>
    <w:link w:val="af3"/>
    <w:semiHidden/>
    <w:rsid w:val="00D916C8"/>
    <w:rPr>
      <w:rFonts w:ascii="Times" w:hAnsi="Times"/>
      <w:lang w:eastAsia="en-US"/>
    </w:rPr>
  </w:style>
  <w:style w:type="character" w:customStyle="1" w:styleId="affd">
    <w:name w:val="Тема примечания Знак"/>
    <w:link w:val="affc"/>
    <w:rsid w:val="00D916C8"/>
    <w:rPr>
      <w:rFonts w:ascii="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9848</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Капралов Евгений Юрьевич</cp:lastModifiedBy>
  <cp:revision>2</cp:revision>
  <cp:lastPrinted>2008-06-26T05:21:00Z</cp:lastPrinted>
  <dcterms:created xsi:type="dcterms:W3CDTF">2014-07-31T11:57:00Z</dcterms:created>
  <dcterms:modified xsi:type="dcterms:W3CDTF">2014-07-31T11:57:00Z</dcterms:modified>
</cp:coreProperties>
</file>