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A13B2D" w:rsidRPr="00444E6C" w:rsidRDefault="00A13B2D" w:rsidP="00444E6C">
      <w:pPr>
        <w:pStyle w:val="NoSpacing"/>
        <w:jc w:val="center"/>
        <w:rPr>
          <w:b/>
          <w:sz w:val="28"/>
          <w:szCs w:val="28"/>
        </w:rPr>
      </w:pPr>
      <w:r w:rsidRPr="00444E6C">
        <w:rPr>
          <w:b/>
          <w:sz w:val="28"/>
          <w:szCs w:val="28"/>
        </w:rPr>
        <w:t>N</w:t>
      </w:r>
      <w:r w:rsidR="00444E6C">
        <w:rPr>
          <w:b/>
          <w:sz w:val="28"/>
          <w:szCs w:val="28"/>
        </w:rPr>
        <w:t>uclear</w:t>
      </w:r>
      <w:r w:rsidRPr="00444E6C">
        <w:rPr>
          <w:b/>
          <w:sz w:val="28"/>
          <w:szCs w:val="28"/>
        </w:rPr>
        <w:t xml:space="preserve"> Regulatory and Te</w:t>
      </w:r>
      <w:r w:rsidR="00444E6C">
        <w:rPr>
          <w:b/>
          <w:sz w:val="28"/>
          <w:szCs w:val="28"/>
        </w:rPr>
        <w:t>chnical Assistance Programs in S</w:t>
      </w:r>
      <w:r w:rsidRPr="00444E6C">
        <w:rPr>
          <w:b/>
          <w:sz w:val="28"/>
          <w:szCs w:val="28"/>
        </w:rPr>
        <w:t>upport of the International Mission of the US Nuclear Regulatory Commission</w:t>
      </w:r>
    </w:p>
    <w:p w:rsidR="00C0346E" w:rsidRDefault="00C0346E" w:rsidP="00B942D8">
      <w:pPr>
        <w:pStyle w:val="NoSpacing"/>
        <w:jc w:val="center"/>
      </w:pPr>
    </w:p>
    <w:p w:rsidR="00183002" w:rsidRDefault="0045604F" w:rsidP="00444E6C">
      <w:pPr>
        <w:pStyle w:val="NoSpacing"/>
      </w:pPr>
      <w:r w:rsidRPr="00B942D8">
        <w:t xml:space="preserve">J. E. </w:t>
      </w:r>
      <w:r w:rsidRPr="0045604F">
        <w:t>Ramsey</w:t>
      </w:r>
      <w:r w:rsidRPr="0045604F">
        <w:rPr>
          <w:vertAlign w:val="superscript"/>
        </w:rPr>
        <w:t>1</w:t>
      </w:r>
      <w:r>
        <w:t xml:space="preserve">, </w:t>
      </w:r>
      <w:r w:rsidR="00A13B2D" w:rsidRPr="0045604F">
        <w:t>E</w:t>
      </w:r>
      <w:r w:rsidR="00A13B2D" w:rsidRPr="00B942D8">
        <w:t>. A. Smiroldo</w:t>
      </w:r>
      <w:r w:rsidR="00183002">
        <w:rPr>
          <w:vertAlign w:val="superscript"/>
        </w:rPr>
        <w:t>1</w:t>
      </w:r>
      <w:r>
        <w:t>,</w:t>
      </w:r>
      <w:r w:rsidR="00183002">
        <w:t xml:space="preserve"> </w:t>
      </w:r>
      <w:r w:rsidR="00183002" w:rsidRPr="00B942D8">
        <w:t>P. Kohut</w:t>
      </w:r>
      <w:r w:rsidR="00183002">
        <w:rPr>
          <w:vertAlign w:val="superscript"/>
        </w:rPr>
        <w:t>2</w:t>
      </w:r>
      <w:r w:rsidR="00183002">
        <w:t>,</w:t>
      </w:r>
      <w:r w:rsidR="00183002" w:rsidRPr="00183002">
        <w:t xml:space="preserve"> </w:t>
      </w:r>
      <w:r w:rsidR="00183002" w:rsidRPr="00B942D8">
        <w:t>W. Horak</w:t>
      </w:r>
      <w:r w:rsidR="00183002">
        <w:rPr>
          <w:vertAlign w:val="superscript"/>
        </w:rPr>
        <w:t>2</w:t>
      </w:r>
    </w:p>
    <w:p w:rsidR="00C0346E" w:rsidRDefault="00C0346E" w:rsidP="00444E6C">
      <w:pPr>
        <w:pStyle w:val="NoSpacing"/>
        <w:ind w:left="-720"/>
      </w:pPr>
    </w:p>
    <w:p w:rsidR="00C0346E" w:rsidRDefault="00183002" w:rsidP="00444E6C">
      <w:pPr>
        <w:pStyle w:val="NoSpacing"/>
      </w:pPr>
      <w:r>
        <w:rPr>
          <w:vertAlign w:val="superscript"/>
        </w:rPr>
        <w:t>1</w:t>
      </w:r>
      <w:r w:rsidR="00C0346E">
        <w:t>US Nuclear Regulatory Commission</w:t>
      </w:r>
      <w:r>
        <w:t xml:space="preserve">, </w:t>
      </w:r>
      <w:r w:rsidR="00C0346E">
        <w:t>Office of International Programs</w:t>
      </w:r>
    </w:p>
    <w:p w:rsidR="00C0346E" w:rsidRDefault="00C0346E" w:rsidP="00444E6C">
      <w:pPr>
        <w:pStyle w:val="NoSpacing"/>
      </w:pPr>
      <w:r>
        <w:t>Rockville, Maryland, USA</w:t>
      </w:r>
    </w:p>
    <w:p w:rsidR="0045604F" w:rsidRDefault="0045604F" w:rsidP="00444E6C">
      <w:pPr>
        <w:pStyle w:val="NoSpacing"/>
      </w:pPr>
    </w:p>
    <w:p w:rsidR="0045604F" w:rsidRDefault="0045604F" w:rsidP="00444E6C">
      <w:pPr>
        <w:pStyle w:val="NoSpacing"/>
      </w:pPr>
      <w:r>
        <w:t xml:space="preserve">E-mail: </w:t>
      </w:r>
      <w:hyperlink r:id="rId9" w:history="1">
        <w:r w:rsidRPr="00EC3B4C">
          <w:rPr>
            <w:rStyle w:val="Hyperlink"/>
          </w:rPr>
          <w:t>jack.ramsey@nrc.gov</w:t>
        </w:r>
      </w:hyperlink>
    </w:p>
    <w:p w:rsidR="0045604F" w:rsidRDefault="0045604F" w:rsidP="00444E6C">
      <w:pPr>
        <w:pStyle w:val="NoSpacing"/>
      </w:pPr>
    </w:p>
    <w:p w:rsidR="00C0346E" w:rsidRDefault="00183002" w:rsidP="00444E6C">
      <w:pPr>
        <w:pStyle w:val="NoSpacing"/>
      </w:pPr>
      <w:r>
        <w:rPr>
          <w:vertAlign w:val="superscript"/>
        </w:rPr>
        <w:t>2</w:t>
      </w:r>
      <w:r w:rsidR="00C0346E">
        <w:t>Brookhaven National Laboratory</w:t>
      </w:r>
      <w:r>
        <w:t xml:space="preserve">, </w:t>
      </w:r>
      <w:r w:rsidR="00C0346E">
        <w:t>N</w:t>
      </w:r>
      <w:r w:rsidR="00AE0E54">
        <w:t>uclear Science and Technology De</w:t>
      </w:r>
      <w:r w:rsidR="00C0346E">
        <w:t>partment</w:t>
      </w:r>
    </w:p>
    <w:p w:rsidR="00C0346E" w:rsidRDefault="00C0346E" w:rsidP="00444E6C">
      <w:pPr>
        <w:pStyle w:val="NoSpacing"/>
      </w:pPr>
      <w:r w:rsidRPr="00C0346E">
        <w:t>Upton, New York</w:t>
      </w:r>
      <w:r>
        <w:t>,</w:t>
      </w:r>
      <w:r w:rsidRPr="00C0346E">
        <w:t xml:space="preserve"> USA</w:t>
      </w:r>
    </w:p>
    <w:p w:rsidR="0045604F" w:rsidRDefault="0045604F" w:rsidP="00444E6C">
      <w:pPr>
        <w:pStyle w:val="NoSpacing"/>
      </w:pPr>
    </w:p>
    <w:p w:rsidR="00C0346E" w:rsidRDefault="00C0346E" w:rsidP="00444E6C">
      <w:pPr>
        <w:pStyle w:val="NoSpacing"/>
      </w:pPr>
      <w:r>
        <w:t xml:space="preserve">E-mail: </w:t>
      </w:r>
      <w:hyperlink r:id="rId10" w:history="1">
        <w:r w:rsidR="0045604F" w:rsidRPr="00EC3B4C">
          <w:rPr>
            <w:rStyle w:val="Hyperlink"/>
          </w:rPr>
          <w:t>kohut@bnl.gov</w:t>
        </w:r>
      </w:hyperlink>
    </w:p>
    <w:p w:rsidR="002D6C7C" w:rsidRPr="00B942D8" w:rsidRDefault="002D6C7C" w:rsidP="00B942D8">
      <w:pPr>
        <w:pStyle w:val="NoSpacing"/>
      </w:pPr>
    </w:p>
    <w:p w:rsidR="006966E5" w:rsidRPr="00444E6C" w:rsidRDefault="00C0346E" w:rsidP="00444E6C">
      <w:pPr>
        <w:pStyle w:val="NoSpacing"/>
        <w:jc w:val="both"/>
        <w:rPr>
          <w:rFonts w:eastAsia="Times New Roman"/>
          <w:sz w:val="20"/>
          <w:szCs w:val="20"/>
        </w:rPr>
      </w:pPr>
      <w:r w:rsidRPr="00444E6C">
        <w:rPr>
          <w:b/>
          <w:sz w:val="20"/>
          <w:szCs w:val="20"/>
        </w:rPr>
        <w:t>Abstract</w:t>
      </w:r>
      <w:r w:rsidR="00444E6C" w:rsidRPr="00444E6C">
        <w:rPr>
          <w:b/>
          <w:sz w:val="20"/>
          <w:szCs w:val="20"/>
        </w:rPr>
        <w:t>.</w:t>
      </w:r>
      <w:r w:rsidR="00444E6C">
        <w:rPr>
          <w:b/>
        </w:rPr>
        <w:t xml:space="preserve"> </w:t>
      </w:r>
      <w:r w:rsidR="006966E5" w:rsidRPr="00444E6C">
        <w:rPr>
          <w:sz w:val="20"/>
          <w:szCs w:val="20"/>
        </w:rPr>
        <w:t xml:space="preserve">Nuclear energy offers long-term economic and environmental benefits providing a reliable energy source with significant environmental advantages in reducing the effect of human activities on global warming.  National governments in countries operating or planning to establish nuclear facilities have instituted regulatory regimes on the use of nuclear materials and facilities to insure a high level of operational safety.  International cooperation allows addressing safety problems in an international forum going beyond national regulatory regimes and offers the potential for cooperation and promotion of common nuclear standards through international regulatory coordination. The US Nuclear Regulatory Commission (NRC) supports the international safe and secure use of nuclear materials and actively participates in various international organizations.  </w:t>
      </w:r>
      <w:r w:rsidR="006966E5" w:rsidRPr="00444E6C">
        <w:rPr>
          <w:rFonts w:eastAsia="Times New Roman"/>
          <w:sz w:val="20"/>
          <w:szCs w:val="20"/>
        </w:rPr>
        <w:t xml:space="preserve">The </w:t>
      </w:r>
      <w:r w:rsidR="00BE2E0E" w:rsidRPr="00444E6C">
        <w:rPr>
          <w:rFonts w:eastAsia="Times New Roman"/>
          <w:sz w:val="20"/>
          <w:szCs w:val="20"/>
        </w:rPr>
        <w:t>NRC through the Office of International Programs (OIP) supports an international nuclear regulatory assistance program that provides</w:t>
      </w:r>
      <w:r w:rsidR="006966E5" w:rsidRPr="00444E6C">
        <w:rPr>
          <w:rFonts w:eastAsia="Times New Roman"/>
          <w:sz w:val="20"/>
          <w:szCs w:val="20"/>
        </w:rPr>
        <w:t xml:space="preserve"> critical training and technical knowledge of regulatory personnel using US technical experts based at NRC and Department of Energy (DOE) laboratories such as Brookhaven National Laboratory (BNL).  </w:t>
      </w:r>
    </w:p>
    <w:p w:rsidR="006966E5" w:rsidRPr="00444E6C" w:rsidRDefault="006966E5" w:rsidP="00183002">
      <w:pPr>
        <w:pStyle w:val="NoSpacing"/>
        <w:jc w:val="both"/>
        <w:rPr>
          <w:rFonts w:eastAsia="Times New Roman"/>
          <w:sz w:val="20"/>
          <w:szCs w:val="20"/>
        </w:rPr>
      </w:pPr>
    </w:p>
    <w:p w:rsidR="006966E5" w:rsidRPr="00444E6C" w:rsidRDefault="006966E5" w:rsidP="00C85DAC">
      <w:pPr>
        <w:pStyle w:val="NoSpacing"/>
        <w:jc w:val="both"/>
        <w:rPr>
          <w:sz w:val="20"/>
          <w:szCs w:val="20"/>
        </w:rPr>
      </w:pPr>
      <w:r w:rsidRPr="00444E6C">
        <w:rPr>
          <w:rFonts w:eastAsia="Times New Roman"/>
          <w:sz w:val="20"/>
          <w:szCs w:val="20"/>
        </w:rPr>
        <w:t xml:space="preserve">The </w:t>
      </w:r>
      <w:r w:rsidR="00BE2E0E" w:rsidRPr="00444E6C">
        <w:rPr>
          <w:rFonts w:eastAsia="Times New Roman"/>
          <w:sz w:val="20"/>
          <w:szCs w:val="20"/>
        </w:rPr>
        <w:t xml:space="preserve">OIP’s </w:t>
      </w:r>
      <w:r w:rsidRPr="00444E6C">
        <w:rPr>
          <w:rFonts w:eastAsia="Times New Roman"/>
          <w:sz w:val="20"/>
          <w:szCs w:val="20"/>
        </w:rPr>
        <w:t xml:space="preserve">international assistance, training, and technical support include wide ranging regulatory and technical areas through cooperative training programs, workshops, and joint projects. The main benefit of the regulatory and technical cooperation is the improvement in regulatory and technical capabilities both at the nuclear regulatory </w:t>
      </w:r>
      <w:r w:rsidR="00224D8F" w:rsidRPr="00444E6C">
        <w:rPr>
          <w:rFonts w:eastAsia="Times New Roman"/>
          <w:sz w:val="20"/>
          <w:szCs w:val="20"/>
        </w:rPr>
        <w:t xml:space="preserve">agencies </w:t>
      </w:r>
      <w:r w:rsidRPr="00444E6C">
        <w:rPr>
          <w:rFonts w:eastAsia="Times New Roman"/>
          <w:sz w:val="20"/>
          <w:szCs w:val="20"/>
        </w:rPr>
        <w:t xml:space="preserve">and the </w:t>
      </w:r>
      <w:r w:rsidR="00224D8F" w:rsidRPr="00444E6C">
        <w:rPr>
          <w:rFonts w:eastAsia="Times New Roman"/>
          <w:sz w:val="20"/>
          <w:szCs w:val="20"/>
        </w:rPr>
        <w:t>respective Technical Support Organizations (TSOs)</w:t>
      </w:r>
      <w:r w:rsidRPr="00444E6C">
        <w:rPr>
          <w:rFonts w:eastAsia="Times New Roman"/>
          <w:sz w:val="20"/>
          <w:szCs w:val="20"/>
        </w:rPr>
        <w:t>.  The future challenge is to ensure that the cooperation between NRC and foreign regulatory agencies responds to the country specific regulatory needs and further increase the capabilities with an overall increase in the safety of the nuclear facilities.</w:t>
      </w:r>
      <w:r w:rsidR="00444E6C">
        <w:rPr>
          <w:rFonts w:eastAsia="Times New Roman"/>
          <w:sz w:val="20"/>
          <w:szCs w:val="20"/>
        </w:rPr>
        <w:t xml:space="preserve"> </w:t>
      </w:r>
      <w:r w:rsidR="00224D8F" w:rsidRPr="00444E6C">
        <w:rPr>
          <w:sz w:val="20"/>
          <w:szCs w:val="20"/>
        </w:rPr>
        <w:t xml:space="preserve">The cooperative regulatory and technical assistance program improves the </w:t>
      </w:r>
      <w:r w:rsidR="003B11C4" w:rsidRPr="00444E6C">
        <w:rPr>
          <w:sz w:val="20"/>
          <w:szCs w:val="20"/>
        </w:rPr>
        <w:t xml:space="preserve">capabilities of the </w:t>
      </w:r>
      <w:r w:rsidR="00224D8F" w:rsidRPr="00444E6C">
        <w:rPr>
          <w:sz w:val="20"/>
          <w:szCs w:val="20"/>
        </w:rPr>
        <w:t xml:space="preserve">regulatory agencies and TSOs in the licensing process allowing improved reviews and confirmation of technical approaches selected by the licensees </w:t>
      </w:r>
      <w:r w:rsidR="003B11C4" w:rsidRPr="00444E6C">
        <w:rPr>
          <w:sz w:val="20"/>
          <w:szCs w:val="20"/>
        </w:rPr>
        <w:t xml:space="preserve">and insuring that adequate </w:t>
      </w:r>
      <w:r w:rsidR="00224D8F" w:rsidRPr="00444E6C">
        <w:rPr>
          <w:sz w:val="20"/>
          <w:szCs w:val="20"/>
        </w:rPr>
        <w:t xml:space="preserve">safety </w:t>
      </w:r>
      <w:r w:rsidR="003B11C4" w:rsidRPr="00444E6C">
        <w:rPr>
          <w:sz w:val="20"/>
          <w:szCs w:val="20"/>
        </w:rPr>
        <w:t>is maintained</w:t>
      </w:r>
      <w:r w:rsidR="00444E6C">
        <w:rPr>
          <w:sz w:val="20"/>
          <w:szCs w:val="20"/>
        </w:rPr>
        <w:t>.</w:t>
      </w:r>
      <w:r w:rsidR="008134A0" w:rsidRPr="00444E6C">
        <w:rPr>
          <w:rFonts w:eastAsia="Times New Roman"/>
          <w:sz w:val="20"/>
          <w:szCs w:val="20"/>
        </w:rPr>
        <w:t xml:space="preserve"> The paper will further explore the history and various components, which are used to transfer technologies and establish cooperative projects.</w:t>
      </w:r>
    </w:p>
    <w:p w:rsidR="006966E5" w:rsidRDefault="006966E5" w:rsidP="00183002">
      <w:pPr>
        <w:pStyle w:val="NoSpacing"/>
        <w:ind w:firstLine="720"/>
        <w:jc w:val="both"/>
      </w:pPr>
    </w:p>
    <w:p w:rsidR="006966E5" w:rsidRPr="00444E6C" w:rsidRDefault="00444E6C" w:rsidP="00183002">
      <w:pPr>
        <w:pStyle w:val="NoSpacing"/>
        <w:numPr>
          <w:ilvl w:val="0"/>
          <w:numId w:val="10"/>
        </w:numPr>
        <w:jc w:val="both"/>
        <w:rPr>
          <w:b/>
        </w:rPr>
      </w:pPr>
      <w:r>
        <w:rPr>
          <w:b/>
        </w:rPr>
        <w:t>Introduction</w:t>
      </w:r>
    </w:p>
    <w:p w:rsidR="006966E5" w:rsidRDefault="006966E5" w:rsidP="00183002">
      <w:pPr>
        <w:pStyle w:val="NoSpacing"/>
        <w:ind w:firstLine="720"/>
        <w:jc w:val="both"/>
      </w:pPr>
    </w:p>
    <w:p w:rsidR="00A4572D" w:rsidRPr="00B942D8" w:rsidRDefault="00601090" w:rsidP="005151E8">
      <w:pPr>
        <w:pStyle w:val="NoSpacing"/>
        <w:jc w:val="both"/>
      </w:pPr>
      <w:r w:rsidRPr="00601090">
        <w:t>Nuclear energy offer</w:t>
      </w:r>
      <w:r w:rsidRPr="00B942D8">
        <w:t xml:space="preserve">s </w:t>
      </w:r>
      <w:r w:rsidRPr="00601090">
        <w:t>long-term economic and environmental benefits</w:t>
      </w:r>
      <w:r w:rsidR="00B90C54">
        <w:t xml:space="preserve"> providing a reliable </w:t>
      </w:r>
      <w:r w:rsidRPr="00B942D8">
        <w:t xml:space="preserve">energy source with significant environmental advantages in reducing the effect of human activities on </w:t>
      </w:r>
      <w:r w:rsidRPr="00601090">
        <w:t>global</w:t>
      </w:r>
      <w:r w:rsidRPr="00B942D8">
        <w:t xml:space="preserve"> </w:t>
      </w:r>
      <w:r w:rsidRPr="00601090">
        <w:t>warming.</w:t>
      </w:r>
      <w:r w:rsidRPr="00B942D8">
        <w:t xml:space="preserve">  </w:t>
      </w:r>
      <w:r w:rsidR="00876F54" w:rsidRPr="00B942D8">
        <w:t xml:space="preserve">National governments in countries operating or planning to establish nuclear facilities have instituted regulatory regimes on the use of </w:t>
      </w:r>
      <w:r w:rsidR="00876F54" w:rsidRPr="00876F54">
        <w:t>n</w:t>
      </w:r>
      <w:r w:rsidR="00876F54" w:rsidRPr="00B942D8">
        <w:t>uclear materials and facilities to insure a high level of operational safety.  The national regulatory environments fully recognize the potential risk involved in operating nuclear facilities and the additional risk that could extend beyond national boundaries</w:t>
      </w:r>
      <w:r w:rsidR="00876F54" w:rsidRPr="00601090">
        <w:t>.</w:t>
      </w:r>
      <w:r w:rsidR="00876F54" w:rsidRPr="00B942D8">
        <w:t xml:space="preserve">  This unique feature of the risk in operating nuclear facilities require i</w:t>
      </w:r>
      <w:r w:rsidRPr="00601090">
        <w:t xml:space="preserve">nternational cooperation </w:t>
      </w:r>
      <w:r w:rsidR="00876F54" w:rsidRPr="00B942D8">
        <w:t>among nation states regardless whether they actually operate any nuclear facility</w:t>
      </w:r>
      <w:r w:rsidR="00A4572D" w:rsidRPr="00B942D8">
        <w:t>.  International cooperation allows addressing safety problems in an international forum going beyond national regulatory regimes and offers the potential for cooperation and promotion of common nuclear standards through international regulatory coordination.</w:t>
      </w:r>
    </w:p>
    <w:p w:rsidR="00B942D8" w:rsidRPr="00B942D8" w:rsidRDefault="00A750E7" w:rsidP="005151E8">
      <w:pPr>
        <w:pStyle w:val="NoSpacing"/>
        <w:jc w:val="both"/>
      </w:pPr>
      <w:r w:rsidRPr="00B942D8">
        <w:lastRenderedPageBreak/>
        <w:t xml:space="preserve">In the US the Atomic Energy Act of 1954 together with the Energy </w:t>
      </w:r>
      <w:r w:rsidR="00B942D8" w:rsidRPr="00B942D8">
        <w:t xml:space="preserve">Reorganization </w:t>
      </w:r>
      <w:r w:rsidRPr="00B942D8">
        <w:t>Act</w:t>
      </w:r>
      <w:r w:rsidR="00B942D8" w:rsidRPr="00B942D8">
        <w:t xml:space="preserve"> of</w:t>
      </w:r>
      <w:r w:rsidRPr="00B942D8">
        <w:t xml:space="preserve"> 1974</w:t>
      </w:r>
      <w:r w:rsidR="00B942D8" w:rsidRPr="00B942D8">
        <w:t xml:space="preserve"> (establishing US Department of Energy</w:t>
      </w:r>
      <w:r w:rsidR="001E26CE">
        <w:t xml:space="preserve"> (DOE)</w:t>
      </w:r>
      <w:r w:rsidR="00B942D8" w:rsidRPr="00B942D8">
        <w:t xml:space="preserve"> and Nuclear Regulatory Commission</w:t>
      </w:r>
      <w:r w:rsidR="001E26CE">
        <w:t xml:space="preserve"> (NRC)</w:t>
      </w:r>
      <w:r w:rsidR="00B942D8" w:rsidRPr="00B942D8">
        <w:t xml:space="preserve">) provide for the development and regulation of the uses of nuclear materials and facilities with the general goals of promoting “world peace, improve general welfare, increase the standard of living, and strengthen free competition in private enterprise.”  The Acts empower the </w:t>
      </w:r>
      <w:r w:rsidR="00B90C54">
        <w:t>NRC</w:t>
      </w:r>
      <w:r w:rsidR="00B942D8" w:rsidRPr="00B942D8">
        <w:t xml:space="preserve"> to establish rules and orders governing the use of nuclear materials “to protect health and safety and minimize danger to life and property.”  </w:t>
      </w:r>
      <w:r w:rsidR="007B1B43">
        <w:t>T</w:t>
      </w:r>
      <w:r w:rsidR="00B942D8">
        <w:t xml:space="preserve">he NRC </w:t>
      </w:r>
      <w:r w:rsidR="00B942D8" w:rsidRPr="00B942D8">
        <w:t xml:space="preserve">supports the </w:t>
      </w:r>
      <w:r w:rsidR="007B1B43">
        <w:t xml:space="preserve">international </w:t>
      </w:r>
      <w:r w:rsidR="00B942D8" w:rsidRPr="00B942D8">
        <w:t>safe and secure use of nuclear materials</w:t>
      </w:r>
      <w:r w:rsidR="007B1B43">
        <w:t xml:space="preserve"> and actively</w:t>
      </w:r>
      <w:r w:rsidR="00B942D8" w:rsidRPr="00B942D8">
        <w:t xml:space="preserve"> participates in</w:t>
      </w:r>
      <w:r w:rsidR="007B1B43">
        <w:t xml:space="preserve"> various</w:t>
      </w:r>
      <w:r w:rsidR="00B942D8" w:rsidRPr="00B942D8">
        <w:t xml:space="preserve"> international </w:t>
      </w:r>
      <w:r w:rsidR="007B1B43">
        <w:t>organizations.  It aims to provide</w:t>
      </w:r>
      <w:r w:rsidR="00B942D8" w:rsidRPr="00B942D8">
        <w:t xml:space="preserve"> advice and assistance to international organizations and foreign countries to develop effective regulatory organizations and safety standards. </w:t>
      </w:r>
      <w:r w:rsidR="007B1B43">
        <w:t xml:space="preserve"> Many of these a</w:t>
      </w:r>
      <w:r w:rsidR="00B942D8" w:rsidRPr="00B942D8">
        <w:t>ctiviti</w:t>
      </w:r>
      <w:r w:rsidR="007B1B43">
        <w:t>es are carried out in direct cooperation with</w:t>
      </w:r>
      <w:r w:rsidR="00B942D8" w:rsidRPr="00B942D8">
        <w:t xml:space="preserve"> the </w:t>
      </w:r>
      <w:r w:rsidR="00B942D8" w:rsidRPr="007B1B43">
        <w:t>International Atomic Energy Agency</w:t>
      </w:r>
      <w:r w:rsidR="007B1B43">
        <w:t xml:space="preserve"> (IAEA)</w:t>
      </w:r>
      <w:r w:rsidR="00B942D8" w:rsidRPr="00B942D8">
        <w:t xml:space="preserve">, the </w:t>
      </w:r>
      <w:r w:rsidR="00B942D8" w:rsidRPr="007B1B43">
        <w:t>Nuclear Energy Agency</w:t>
      </w:r>
      <w:r w:rsidR="007B1B43">
        <w:t xml:space="preserve"> (NEA)</w:t>
      </w:r>
      <w:r w:rsidR="00B942D8" w:rsidRPr="00B942D8">
        <w:t xml:space="preserve">, or other international organizations. </w:t>
      </w:r>
      <w:r w:rsidR="007B1B43">
        <w:t xml:space="preserve"> In addition, a number of programs in foreign countries are </w:t>
      </w:r>
      <w:r w:rsidR="00B942D8" w:rsidRPr="00B942D8">
        <w:t xml:space="preserve">conducted directly with </w:t>
      </w:r>
      <w:r w:rsidR="007B1B43">
        <w:t xml:space="preserve">the </w:t>
      </w:r>
      <w:r w:rsidR="00B942D8" w:rsidRPr="00B942D8">
        <w:t xml:space="preserve">counterpart agencies </w:t>
      </w:r>
      <w:r w:rsidR="007B1B43">
        <w:t xml:space="preserve">under bilateral </w:t>
      </w:r>
      <w:r w:rsidR="00B942D8" w:rsidRPr="00B942D8">
        <w:t>regulatory and research cooperation agreements.</w:t>
      </w:r>
    </w:p>
    <w:p w:rsidR="00A750E7" w:rsidRDefault="00A750E7" w:rsidP="00183002">
      <w:pPr>
        <w:pStyle w:val="NoSpacing"/>
        <w:jc w:val="both"/>
        <w:rPr>
          <w:rFonts w:eastAsia="Times New Roman"/>
          <w:sz w:val="26"/>
          <w:szCs w:val="26"/>
        </w:rPr>
      </w:pPr>
    </w:p>
    <w:p w:rsidR="00E514E9" w:rsidRDefault="006D5C0D" w:rsidP="005151E8">
      <w:pPr>
        <w:pStyle w:val="NoSpacing"/>
        <w:jc w:val="both"/>
      </w:pPr>
      <w:r w:rsidRPr="006D5C0D">
        <w:t xml:space="preserve">One of the key elements </w:t>
      </w:r>
      <w:r w:rsidRPr="001E26CE">
        <w:t>determining</w:t>
      </w:r>
      <w:r w:rsidRPr="006D5C0D">
        <w:t xml:space="preserve"> the operational safety of </w:t>
      </w:r>
      <w:r w:rsidRPr="001E26CE">
        <w:t xml:space="preserve">nuclear facilities is an appropriate regulatory regime establishing the </w:t>
      </w:r>
      <w:r w:rsidR="00B90C54">
        <w:t xml:space="preserve">regulatory </w:t>
      </w:r>
      <w:r w:rsidRPr="001E26CE">
        <w:t xml:space="preserve">requirements and the safety envelope for nuclear operations.  </w:t>
      </w:r>
      <w:r w:rsidR="00E514E9">
        <w:t>The US NRC Office of International Programs provides</w:t>
      </w:r>
      <w:r w:rsidR="00E514E9" w:rsidRPr="00AE0E54">
        <w:t xml:space="preserve"> overall coordination for NRC's international activities, in con</w:t>
      </w:r>
      <w:r w:rsidR="00E514E9">
        <w:t xml:space="preserve">cert with other NRC offices, </w:t>
      </w:r>
      <w:r w:rsidR="00E514E9" w:rsidRPr="00AE0E54">
        <w:t>carr</w:t>
      </w:r>
      <w:r w:rsidR="00E514E9">
        <w:t>ying</w:t>
      </w:r>
      <w:r w:rsidR="00E514E9" w:rsidRPr="00AE0E54">
        <w:t xml:space="preserve"> out poli</w:t>
      </w:r>
      <w:r w:rsidR="00E514E9">
        <w:t>cies in the international arena</w:t>
      </w:r>
      <w:r w:rsidR="00E514E9" w:rsidRPr="00AE0E54">
        <w:t xml:space="preserve">. </w:t>
      </w:r>
      <w:r w:rsidR="00E514E9">
        <w:t xml:space="preserve"> The </w:t>
      </w:r>
      <w:r w:rsidR="00CC0149">
        <w:t>OIP</w:t>
      </w:r>
      <w:r w:rsidR="00E514E9">
        <w:t xml:space="preserve"> e</w:t>
      </w:r>
      <w:r w:rsidR="00E514E9" w:rsidRPr="00AE0E54">
        <w:t>stablishes and maintains working relationships with individual countries and international nuclear organizations, as well as other involved U.S. Government agencies.</w:t>
      </w:r>
      <w:r w:rsidR="00E514E9">
        <w:t xml:space="preserve">  </w:t>
      </w:r>
      <w:r w:rsidR="00E514E9" w:rsidRPr="002A3F13">
        <w:t xml:space="preserve">The NRC actively participates in international working groups and provides advice and assistance to international organizations and foreign countries to develop effective regulatory organizations and enforce rigorous safety standards. </w:t>
      </w:r>
    </w:p>
    <w:p w:rsidR="00E514E9" w:rsidRPr="002A3F13" w:rsidRDefault="00E514E9" w:rsidP="00183002">
      <w:pPr>
        <w:pStyle w:val="NoSpacing"/>
        <w:jc w:val="both"/>
      </w:pPr>
    </w:p>
    <w:p w:rsidR="00E514E9" w:rsidRDefault="00E514E9" w:rsidP="005151E8">
      <w:pPr>
        <w:pStyle w:val="NoSpacing"/>
        <w:jc w:val="both"/>
        <w:rPr>
          <w:rFonts w:eastAsia="Times New Roman"/>
        </w:rPr>
      </w:pPr>
      <w:r>
        <w:t xml:space="preserve">Many </w:t>
      </w:r>
      <w:r w:rsidRPr="002A3F13">
        <w:t>activities are conducted directly with counterpart agencies in other countries pursuant to regulatory and research cooperation agreements.</w:t>
      </w:r>
      <w:r>
        <w:t xml:space="preserve">  </w:t>
      </w:r>
      <w:r w:rsidRPr="002A3F13">
        <w:rPr>
          <w:rFonts w:eastAsia="Times New Roman"/>
        </w:rPr>
        <w:t>NRC has close working relations with nuclear agencies in more than 35 countries</w:t>
      </w:r>
      <w:r>
        <w:rPr>
          <w:rFonts w:eastAsia="Times New Roman"/>
        </w:rPr>
        <w:t xml:space="preserve"> and</w:t>
      </w:r>
      <w:r w:rsidRPr="002A3F13">
        <w:rPr>
          <w:rFonts w:eastAsia="Times New Roman"/>
        </w:rPr>
        <w:t xml:space="preserve"> exchange operational safety data and other regulatory information. </w:t>
      </w:r>
      <w:r>
        <w:rPr>
          <w:rFonts w:eastAsia="Times New Roman"/>
        </w:rPr>
        <w:t xml:space="preserve">The </w:t>
      </w:r>
      <w:r w:rsidRPr="002A3F13">
        <w:rPr>
          <w:rFonts w:eastAsia="Times New Roman"/>
        </w:rPr>
        <w:t>NRC provides safety and safeguards advice, training, and other assistance to countries that seek U.S. help to improve their regulatory programs.</w:t>
      </w:r>
      <w:r>
        <w:rPr>
          <w:rFonts w:eastAsia="Times New Roman"/>
        </w:rPr>
        <w:t xml:space="preserve">  The N</w:t>
      </w:r>
      <w:r w:rsidRPr="002A3F13">
        <w:rPr>
          <w:rFonts w:eastAsia="Times New Roman"/>
        </w:rPr>
        <w:t>RC originally worked primarily with major nuclear power countries</w:t>
      </w:r>
      <w:r>
        <w:rPr>
          <w:rFonts w:eastAsia="Times New Roman"/>
        </w:rPr>
        <w:t>,</w:t>
      </w:r>
      <w:r w:rsidRPr="002A3F13">
        <w:rPr>
          <w:rFonts w:eastAsia="Times New Roman"/>
        </w:rPr>
        <w:t xml:space="preserve"> but later expanded its cooperation to include countries with small nuclear power programs, as well as some of those about to enter the nuclear field.</w:t>
      </w:r>
    </w:p>
    <w:p w:rsidR="00E514E9" w:rsidRPr="002A3F13" w:rsidRDefault="00E514E9" w:rsidP="00183002">
      <w:pPr>
        <w:pStyle w:val="NoSpacing"/>
        <w:jc w:val="both"/>
        <w:rPr>
          <w:rFonts w:eastAsia="Times New Roman"/>
        </w:rPr>
      </w:pPr>
    </w:p>
    <w:p w:rsidR="00E514E9" w:rsidRPr="002A3F13" w:rsidRDefault="00E514E9" w:rsidP="005151E8">
      <w:pPr>
        <w:pStyle w:val="NoSpacing"/>
        <w:jc w:val="both"/>
        <w:rPr>
          <w:rFonts w:eastAsia="Times New Roman"/>
        </w:rPr>
      </w:pPr>
      <w:r w:rsidRPr="002A3F13">
        <w:rPr>
          <w:rFonts w:eastAsia="Times New Roman"/>
        </w:rPr>
        <w:t>NRC's information exchange arrangements serve as communications channels with foreign regulatory authorities, establishing the framework for NRC to gain access</w:t>
      </w:r>
      <w:r>
        <w:rPr>
          <w:rFonts w:eastAsia="Times New Roman"/>
        </w:rPr>
        <w:t xml:space="preserve"> to non-U.S. safety information.  </w:t>
      </w:r>
      <w:r w:rsidRPr="002A3F13">
        <w:rPr>
          <w:rFonts w:eastAsia="Times New Roman"/>
        </w:rPr>
        <w:t>The</w:t>
      </w:r>
      <w:r>
        <w:rPr>
          <w:rFonts w:eastAsia="Times New Roman"/>
        </w:rPr>
        <w:t xml:space="preserve"> international cooperative programs </w:t>
      </w:r>
      <w:r w:rsidRPr="002A3F13">
        <w:rPr>
          <w:rFonts w:eastAsia="Times New Roman"/>
        </w:rPr>
        <w:t>also serve as vehicles for the health and safety assistance NRC supplies to less-developed countries in their attempts to prevent accidents and to develop and improve their re</w:t>
      </w:r>
      <w:r w:rsidR="00605EC9">
        <w:rPr>
          <w:rFonts w:eastAsia="Times New Roman"/>
        </w:rPr>
        <w:t xml:space="preserve">gulatory capabilities and </w:t>
      </w:r>
      <w:r w:rsidRPr="002A3F13">
        <w:rPr>
          <w:rFonts w:eastAsia="Times New Roman"/>
        </w:rPr>
        <w:t xml:space="preserve">nuclear safety infrastructure. </w:t>
      </w:r>
      <w:r>
        <w:rPr>
          <w:rFonts w:eastAsia="Times New Roman"/>
        </w:rPr>
        <w:t>The international cooperation</w:t>
      </w:r>
      <w:r w:rsidRPr="002A3F13">
        <w:rPr>
          <w:rFonts w:eastAsia="Times New Roman"/>
        </w:rPr>
        <w:t xml:space="preserve"> arrangements facilitate NRC's strategic goal to support the safe and secure use of nuclear materials and in nuclear non</w:t>
      </w:r>
      <w:r w:rsidR="00605EC9">
        <w:rPr>
          <w:rFonts w:eastAsia="Times New Roman"/>
        </w:rPr>
        <w:t>-</w:t>
      </w:r>
      <w:r w:rsidRPr="002A3F13">
        <w:rPr>
          <w:rFonts w:eastAsia="Times New Roman"/>
        </w:rPr>
        <w:t xml:space="preserve">proliferation both </w:t>
      </w:r>
      <w:r>
        <w:rPr>
          <w:rFonts w:eastAsia="Times New Roman"/>
        </w:rPr>
        <w:t xml:space="preserve">in the US </w:t>
      </w:r>
      <w:r w:rsidRPr="002A3F13">
        <w:rPr>
          <w:rFonts w:eastAsia="Times New Roman"/>
        </w:rPr>
        <w:t>and abroad.</w:t>
      </w:r>
    </w:p>
    <w:p w:rsidR="00E514E9" w:rsidRDefault="00E514E9" w:rsidP="00183002">
      <w:pPr>
        <w:pStyle w:val="NoSpacing"/>
        <w:jc w:val="both"/>
        <w:rPr>
          <w:rFonts w:eastAsia="Times New Roman"/>
        </w:rPr>
      </w:pPr>
    </w:p>
    <w:p w:rsidR="005D5D1F" w:rsidRDefault="00605EC9" w:rsidP="005151E8">
      <w:pPr>
        <w:pStyle w:val="NoSpacing"/>
        <w:jc w:val="both"/>
        <w:rPr>
          <w:rFonts w:eastAsia="Times New Roman"/>
        </w:rPr>
      </w:pPr>
      <w:r>
        <w:rPr>
          <w:rFonts w:eastAsia="Times New Roman"/>
        </w:rPr>
        <w:t xml:space="preserve">In the early 1990s the </w:t>
      </w:r>
      <w:r w:rsidR="006D5C0D" w:rsidRPr="001E26CE">
        <w:rPr>
          <w:rFonts w:eastAsia="Times New Roman"/>
        </w:rPr>
        <w:t xml:space="preserve">NRC </w:t>
      </w:r>
      <w:r>
        <w:rPr>
          <w:rFonts w:eastAsia="Times New Roman"/>
        </w:rPr>
        <w:t xml:space="preserve">OIP </w:t>
      </w:r>
      <w:r w:rsidR="006D5C0D" w:rsidRPr="001E26CE">
        <w:rPr>
          <w:rFonts w:eastAsia="Times New Roman"/>
        </w:rPr>
        <w:t xml:space="preserve">established an international regulatory safety assistance program </w:t>
      </w:r>
      <w:r w:rsidR="001E26CE" w:rsidRPr="001E26CE">
        <w:rPr>
          <w:rFonts w:eastAsia="Times New Roman"/>
        </w:rPr>
        <w:t>in countries with Soviet-designed nuclear reactors.  In many of those countries the nuclear regulatory authorities were not well established, had no clear division of responsibility</w:t>
      </w:r>
      <w:r w:rsidR="00CA59DC">
        <w:rPr>
          <w:rFonts w:eastAsia="Times New Roman"/>
        </w:rPr>
        <w:t>,</w:t>
      </w:r>
      <w:r w:rsidR="001E26CE" w:rsidRPr="001E26CE">
        <w:rPr>
          <w:rFonts w:eastAsia="Times New Roman"/>
        </w:rPr>
        <w:t xml:space="preserve"> and had difficulty in enforcing regulatory requirements due to lack of basic nuclear regulatory laws and legal requirements.  </w:t>
      </w:r>
      <w:r w:rsidR="006D5C0D" w:rsidRPr="001E26CE">
        <w:rPr>
          <w:rFonts w:eastAsia="Times New Roman"/>
        </w:rPr>
        <w:t xml:space="preserve">The </w:t>
      </w:r>
      <w:r w:rsidR="001E26CE" w:rsidRPr="001E26CE">
        <w:rPr>
          <w:rFonts w:eastAsia="Times New Roman"/>
        </w:rPr>
        <w:t>initial safety assistance programs</w:t>
      </w:r>
      <w:r w:rsidR="001E26CE">
        <w:rPr>
          <w:rFonts w:eastAsia="Times New Roman"/>
        </w:rPr>
        <w:t xml:space="preserve"> provided</w:t>
      </w:r>
      <w:r w:rsidR="001E26CE" w:rsidRPr="001E26CE">
        <w:rPr>
          <w:rFonts w:eastAsia="Times New Roman"/>
        </w:rPr>
        <w:t xml:space="preserve"> critical </w:t>
      </w:r>
      <w:r w:rsidR="006D5C0D" w:rsidRPr="006D5C0D">
        <w:rPr>
          <w:rFonts w:eastAsia="Times New Roman"/>
        </w:rPr>
        <w:t xml:space="preserve">training and technical knowledge </w:t>
      </w:r>
      <w:r w:rsidR="001E26CE" w:rsidRPr="001E26CE">
        <w:rPr>
          <w:rFonts w:eastAsia="Times New Roman"/>
        </w:rPr>
        <w:t>of regulatory</w:t>
      </w:r>
      <w:r w:rsidR="001E26CE">
        <w:rPr>
          <w:rFonts w:eastAsia="Times New Roman"/>
        </w:rPr>
        <w:t xml:space="preserve"> personnel using US technical experts based at NRC and DOE l</w:t>
      </w:r>
      <w:r w:rsidR="00A16BFD">
        <w:rPr>
          <w:rFonts w:eastAsia="Times New Roman"/>
        </w:rPr>
        <w:t>aboratories such as Brookhaven N</w:t>
      </w:r>
      <w:r w:rsidR="001E26CE">
        <w:rPr>
          <w:rFonts w:eastAsia="Times New Roman"/>
        </w:rPr>
        <w:t xml:space="preserve">ational Laboratory (BNL).  </w:t>
      </w:r>
    </w:p>
    <w:p w:rsidR="005D5D1F" w:rsidRDefault="005D5D1F" w:rsidP="00183002">
      <w:pPr>
        <w:pStyle w:val="NoSpacing"/>
        <w:ind w:firstLine="720"/>
        <w:jc w:val="both"/>
        <w:rPr>
          <w:rFonts w:eastAsia="Times New Roman"/>
        </w:rPr>
      </w:pPr>
    </w:p>
    <w:p w:rsidR="005D5D1F" w:rsidRDefault="005151E8" w:rsidP="005151E8">
      <w:pPr>
        <w:pStyle w:val="NoSpacing"/>
        <w:jc w:val="both"/>
        <w:rPr>
          <w:rFonts w:eastAsia="Times New Roman"/>
        </w:rPr>
      </w:pPr>
      <w:r>
        <w:rPr>
          <w:rFonts w:eastAsia="Times New Roman"/>
          <w:noProof/>
        </w:rPr>
        <w:drawing>
          <wp:anchor distT="0" distB="0" distL="114300" distR="114300" simplePos="0" relativeHeight="251658240" behindDoc="0" locked="0" layoutInCell="1" allowOverlap="1" wp14:anchorId="03609FE0" wp14:editId="2CE2192A">
            <wp:simplePos x="0" y="0"/>
            <wp:positionH relativeFrom="column">
              <wp:posOffset>1572895</wp:posOffset>
            </wp:positionH>
            <wp:positionV relativeFrom="paragraph">
              <wp:posOffset>1153795</wp:posOffset>
            </wp:positionV>
            <wp:extent cx="3047365" cy="1793240"/>
            <wp:effectExtent l="0" t="0" r="63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7365" cy="1793240"/>
                    </a:xfrm>
                    <a:prstGeom prst="rect">
                      <a:avLst/>
                    </a:prstGeom>
                    <a:noFill/>
                    <a:ln>
                      <a:noFill/>
                    </a:ln>
                  </pic:spPr>
                </pic:pic>
              </a:graphicData>
            </a:graphic>
            <wp14:sizeRelH relativeFrom="page">
              <wp14:pctWidth>0</wp14:pctWidth>
            </wp14:sizeRelH>
            <wp14:sizeRelV relativeFrom="page">
              <wp14:pctHeight>0</wp14:pctHeight>
            </wp14:sizeRelV>
          </wp:anchor>
        </w:drawing>
      </w:r>
      <w:r w:rsidR="00AF25A9">
        <w:rPr>
          <w:rFonts w:eastAsia="Times New Roman"/>
        </w:rPr>
        <w:t>The international assistance, t</w:t>
      </w:r>
      <w:r w:rsidR="00AF25A9" w:rsidRPr="00922FFB">
        <w:rPr>
          <w:rFonts w:eastAsia="Times New Roman"/>
        </w:rPr>
        <w:t>raining</w:t>
      </w:r>
      <w:r w:rsidR="00AF25A9">
        <w:rPr>
          <w:rFonts w:eastAsia="Times New Roman"/>
        </w:rPr>
        <w:t>,</w:t>
      </w:r>
      <w:r w:rsidR="00AF25A9" w:rsidRPr="00922FFB">
        <w:rPr>
          <w:rFonts w:eastAsia="Times New Roman"/>
        </w:rPr>
        <w:t xml:space="preserve"> and technical support </w:t>
      </w:r>
      <w:r w:rsidR="00AF25A9">
        <w:rPr>
          <w:rFonts w:eastAsia="Times New Roman"/>
        </w:rPr>
        <w:t>include wide ranging regulatory and technical areas containing a significant infrastructure component.  The nuclear regulatory support program is part of a large US international nuclear technical and regulatory assistance that is authorized by the US Government.  Figure 1 indicates the various institutional components and participants in this wide ranging cooperative program that involves governmental institutions with appropriate industrial partners.</w:t>
      </w:r>
    </w:p>
    <w:p w:rsidR="005151E8" w:rsidRDefault="00B23C1F" w:rsidP="00183002">
      <w:pPr>
        <w:pStyle w:val="NoSpacing"/>
        <w:ind w:firstLine="720"/>
        <w:jc w:val="both"/>
        <w:rPr>
          <w:rFonts w:eastAsia="Times New Roman"/>
        </w:rPr>
      </w:pPr>
      <w:r>
        <w:rPr>
          <w:noProof/>
        </w:rPr>
        <mc:AlternateContent>
          <mc:Choice Requires="wps">
            <w:drawing>
              <wp:anchor distT="0" distB="0" distL="114300" distR="114300" simplePos="0" relativeHeight="251660288" behindDoc="0" locked="0" layoutInCell="1" allowOverlap="1" wp14:anchorId="52421BE7" wp14:editId="4D35409D">
                <wp:simplePos x="0" y="0"/>
                <wp:positionH relativeFrom="column">
                  <wp:posOffset>1319530</wp:posOffset>
                </wp:positionH>
                <wp:positionV relativeFrom="paragraph">
                  <wp:posOffset>1898015</wp:posOffset>
                </wp:positionV>
                <wp:extent cx="3450590" cy="174625"/>
                <wp:effectExtent l="0" t="0" r="0" b="0"/>
                <wp:wrapNone/>
                <wp:docPr id="2" name="Text Box 2"/>
                <wp:cNvGraphicFramePr/>
                <a:graphic xmlns:a="http://schemas.openxmlformats.org/drawingml/2006/main">
                  <a:graphicData uri="http://schemas.microsoft.com/office/word/2010/wordprocessingShape">
                    <wps:wsp>
                      <wps:cNvSpPr txBox="1"/>
                      <wps:spPr>
                        <a:xfrm>
                          <a:off x="0" y="0"/>
                          <a:ext cx="3450590" cy="174625"/>
                        </a:xfrm>
                        <a:prstGeom prst="rect">
                          <a:avLst/>
                        </a:prstGeom>
                        <a:solidFill>
                          <a:prstClr val="white"/>
                        </a:solidFill>
                        <a:ln>
                          <a:noFill/>
                        </a:ln>
                        <a:effectLst/>
                      </wps:spPr>
                      <wps:txbx>
                        <w:txbxContent>
                          <w:p w:rsidR="00AF25A9" w:rsidRPr="005151E8" w:rsidRDefault="005151E8" w:rsidP="00AF25A9">
                            <w:pPr>
                              <w:pStyle w:val="Caption"/>
                              <w:jc w:val="center"/>
                              <w:rPr>
                                <w:rFonts w:eastAsia="Times New Roman"/>
                                <w:b w:val="0"/>
                                <w:i/>
                                <w:noProof/>
                                <w:color w:val="000000" w:themeColor="text1"/>
                                <w:sz w:val="22"/>
                                <w:szCs w:val="22"/>
                              </w:rPr>
                            </w:pPr>
                            <w:proofErr w:type="gramStart"/>
                            <w:r>
                              <w:rPr>
                                <w:b w:val="0"/>
                                <w:i/>
                                <w:color w:val="000000" w:themeColor="text1"/>
                                <w:sz w:val="22"/>
                                <w:szCs w:val="22"/>
                              </w:rPr>
                              <w:t>Fig.</w:t>
                            </w:r>
                            <w:proofErr w:type="gramEnd"/>
                            <w:r w:rsidR="00AF25A9" w:rsidRPr="005151E8">
                              <w:rPr>
                                <w:b w:val="0"/>
                                <w:i/>
                                <w:color w:val="000000" w:themeColor="text1"/>
                                <w:sz w:val="22"/>
                                <w:szCs w:val="22"/>
                              </w:rPr>
                              <w:t xml:space="preserve"> </w:t>
                            </w:r>
                            <w:r w:rsidR="00AF25A9" w:rsidRPr="005151E8">
                              <w:rPr>
                                <w:b w:val="0"/>
                                <w:i/>
                                <w:color w:val="000000" w:themeColor="text1"/>
                                <w:sz w:val="22"/>
                                <w:szCs w:val="22"/>
                              </w:rPr>
                              <w:fldChar w:fldCharType="begin"/>
                            </w:r>
                            <w:r w:rsidR="00AF25A9" w:rsidRPr="005151E8">
                              <w:rPr>
                                <w:b w:val="0"/>
                                <w:i/>
                                <w:color w:val="000000" w:themeColor="text1"/>
                                <w:sz w:val="22"/>
                                <w:szCs w:val="22"/>
                              </w:rPr>
                              <w:instrText xml:space="preserve"> SEQ Figure \* ARABIC </w:instrText>
                            </w:r>
                            <w:r w:rsidR="00AF25A9" w:rsidRPr="005151E8">
                              <w:rPr>
                                <w:b w:val="0"/>
                                <w:i/>
                                <w:color w:val="000000" w:themeColor="text1"/>
                                <w:sz w:val="22"/>
                                <w:szCs w:val="22"/>
                              </w:rPr>
                              <w:fldChar w:fldCharType="separate"/>
                            </w:r>
                            <w:r w:rsidR="00D80657" w:rsidRPr="005151E8">
                              <w:rPr>
                                <w:b w:val="0"/>
                                <w:i/>
                                <w:noProof/>
                                <w:color w:val="000000" w:themeColor="text1"/>
                                <w:sz w:val="22"/>
                                <w:szCs w:val="22"/>
                              </w:rPr>
                              <w:t>1</w:t>
                            </w:r>
                            <w:r w:rsidR="00AF25A9" w:rsidRPr="005151E8">
                              <w:rPr>
                                <w:b w:val="0"/>
                                <w:i/>
                                <w:color w:val="000000" w:themeColor="text1"/>
                                <w:sz w:val="22"/>
                                <w:szCs w:val="22"/>
                              </w:rPr>
                              <w:fldChar w:fldCharType="end"/>
                            </w:r>
                            <w:r w:rsidR="00AF25A9" w:rsidRPr="005151E8">
                              <w:rPr>
                                <w:b w:val="0"/>
                                <w:i/>
                                <w:color w:val="000000" w:themeColor="text1"/>
                                <w:sz w:val="22"/>
                                <w:szCs w:val="22"/>
                              </w:rPr>
                              <w:t xml:space="preserve"> US International Regulatory Support Process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3.9pt;margin-top:149.45pt;width:271.7pt;height:1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" stroked="f">
                <v:textbox inset="0,0,0,0">
                  <w:txbxContent>
                    <w:p w:rsidR="00AF25A9" w:rsidRPr="005151E8" w:rsidRDefault="005151E8" w:rsidP="00AF25A9">
                      <w:pPr>
                        <w:pStyle w:val="Caption"/>
                        <w:jc w:val="center"/>
                        <w:rPr>
                          <w:rFonts w:eastAsia="Times New Roman"/>
                          <w:b w:val="0"/>
                          <w:i/>
                          <w:noProof/>
                          <w:color w:val="000000" w:themeColor="text1"/>
                          <w:sz w:val="22"/>
                          <w:szCs w:val="22"/>
                        </w:rPr>
                      </w:pPr>
                      <w:proofErr w:type="gramStart"/>
                      <w:r>
                        <w:rPr>
                          <w:b w:val="0"/>
                          <w:i/>
                          <w:color w:val="000000" w:themeColor="text1"/>
                          <w:sz w:val="22"/>
                          <w:szCs w:val="22"/>
                        </w:rPr>
                        <w:t>Fig.</w:t>
                      </w:r>
                      <w:proofErr w:type="gramEnd"/>
                      <w:r w:rsidR="00AF25A9" w:rsidRPr="005151E8">
                        <w:rPr>
                          <w:b w:val="0"/>
                          <w:i/>
                          <w:color w:val="000000" w:themeColor="text1"/>
                          <w:sz w:val="22"/>
                          <w:szCs w:val="22"/>
                        </w:rPr>
                        <w:t xml:space="preserve"> </w:t>
                      </w:r>
                      <w:r w:rsidR="00AF25A9" w:rsidRPr="005151E8">
                        <w:rPr>
                          <w:b w:val="0"/>
                          <w:i/>
                          <w:color w:val="000000" w:themeColor="text1"/>
                          <w:sz w:val="22"/>
                          <w:szCs w:val="22"/>
                        </w:rPr>
                        <w:fldChar w:fldCharType="begin"/>
                      </w:r>
                      <w:r w:rsidR="00AF25A9" w:rsidRPr="005151E8">
                        <w:rPr>
                          <w:b w:val="0"/>
                          <w:i/>
                          <w:color w:val="000000" w:themeColor="text1"/>
                          <w:sz w:val="22"/>
                          <w:szCs w:val="22"/>
                        </w:rPr>
                        <w:instrText xml:space="preserve"> SEQ Figure \* ARABIC </w:instrText>
                      </w:r>
                      <w:r w:rsidR="00AF25A9" w:rsidRPr="005151E8">
                        <w:rPr>
                          <w:b w:val="0"/>
                          <w:i/>
                          <w:color w:val="000000" w:themeColor="text1"/>
                          <w:sz w:val="22"/>
                          <w:szCs w:val="22"/>
                        </w:rPr>
                        <w:fldChar w:fldCharType="separate"/>
                      </w:r>
                      <w:r w:rsidR="00D80657" w:rsidRPr="005151E8">
                        <w:rPr>
                          <w:b w:val="0"/>
                          <w:i/>
                          <w:noProof/>
                          <w:color w:val="000000" w:themeColor="text1"/>
                          <w:sz w:val="22"/>
                          <w:szCs w:val="22"/>
                        </w:rPr>
                        <w:t>1</w:t>
                      </w:r>
                      <w:r w:rsidR="00AF25A9" w:rsidRPr="005151E8">
                        <w:rPr>
                          <w:b w:val="0"/>
                          <w:i/>
                          <w:color w:val="000000" w:themeColor="text1"/>
                          <w:sz w:val="22"/>
                          <w:szCs w:val="22"/>
                        </w:rPr>
                        <w:fldChar w:fldCharType="end"/>
                      </w:r>
                      <w:r w:rsidR="00AF25A9" w:rsidRPr="005151E8">
                        <w:rPr>
                          <w:b w:val="0"/>
                          <w:i/>
                          <w:color w:val="000000" w:themeColor="text1"/>
                          <w:sz w:val="22"/>
                          <w:szCs w:val="22"/>
                        </w:rPr>
                        <w:t xml:space="preserve"> US International Regulatory Support Process</w:t>
                      </w:r>
                    </w:p>
                  </w:txbxContent>
                </v:textbox>
              </v:shape>
            </w:pict>
          </mc:Fallback>
        </mc:AlternateContent>
      </w:r>
    </w:p>
    <w:p w:rsidR="005151E8" w:rsidRDefault="005151E8" w:rsidP="00183002">
      <w:pPr>
        <w:pStyle w:val="NoSpacing"/>
        <w:ind w:firstLine="720"/>
        <w:jc w:val="both"/>
        <w:rPr>
          <w:rFonts w:eastAsia="Times New Roman"/>
        </w:rPr>
      </w:pPr>
    </w:p>
    <w:p w:rsidR="007A0389" w:rsidRDefault="00D77483" w:rsidP="005151E8">
      <w:pPr>
        <w:pStyle w:val="NoSpacing"/>
        <w:jc w:val="both"/>
        <w:rPr>
          <w:rFonts w:eastAsia="Times New Roman"/>
        </w:rPr>
      </w:pPr>
      <w:r>
        <w:rPr>
          <w:rFonts w:eastAsia="Times New Roman"/>
        </w:rPr>
        <w:t>The TSOs traditionally have been a significant factor in contributing to the regulatory process of the licensing, cons</w:t>
      </w:r>
      <w:r w:rsidR="00124BA3">
        <w:rPr>
          <w:rFonts w:eastAsia="Times New Roman"/>
        </w:rPr>
        <w:t>tructions, and operation of nuclear</w:t>
      </w:r>
      <w:r>
        <w:rPr>
          <w:rFonts w:eastAsia="Times New Roman"/>
        </w:rPr>
        <w:t xml:space="preserve"> power plants.  </w:t>
      </w:r>
      <w:r w:rsidR="00124BA3">
        <w:rPr>
          <w:rFonts w:eastAsia="Times New Roman"/>
        </w:rPr>
        <w:t>Historically, the TSOs helped establishing the</w:t>
      </w:r>
      <w:r>
        <w:rPr>
          <w:rFonts w:eastAsia="Times New Roman"/>
        </w:rPr>
        <w:t xml:space="preserve"> licensing framework in conformance of the regulatory standar</w:t>
      </w:r>
      <w:r w:rsidR="00124BA3">
        <w:rPr>
          <w:rFonts w:eastAsia="Times New Roman"/>
        </w:rPr>
        <w:t xml:space="preserve">ds existing in each country including </w:t>
      </w:r>
      <w:r>
        <w:rPr>
          <w:rFonts w:eastAsia="Times New Roman"/>
        </w:rPr>
        <w:t>appropriate</w:t>
      </w:r>
      <w:r w:rsidR="0038171D">
        <w:rPr>
          <w:rFonts w:eastAsia="Times New Roman"/>
        </w:rPr>
        <w:t xml:space="preserve"> laws and regulations.  </w:t>
      </w:r>
      <w:r w:rsidR="00583123">
        <w:rPr>
          <w:rFonts w:eastAsia="Times New Roman"/>
        </w:rPr>
        <w:t>In many countries</w:t>
      </w:r>
      <w:r w:rsidR="00124BA3">
        <w:rPr>
          <w:rFonts w:eastAsia="Times New Roman"/>
        </w:rPr>
        <w:t>,</w:t>
      </w:r>
      <w:r w:rsidR="00583123">
        <w:rPr>
          <w:rFonts w:eastAsia="Times New Roman"/>
        </w:rPr>
        <w:t xml:space="preserve"> the TSOs have seen increased activities due to potential expansion of </w:t>
      </w:r>
      <w:r w:rsidR="00124BA3">
        <w:rPr>
          <w:rFonts w:eastAsia="Times New Roman"/>
        </w:rPr>
        <w:t xml:space="preserve">the nuclear industry including plans for constructing </w:t>
      </w:r>
      <w:r w:rsidR="00583123">
        <w:rPr>
          <w:rFonts w:eastAsia="Times New Roman"/>
        </w:rPr>
        <w:t>new reactor</w:t>
      </w:r>
      <w:r w:rsidR="00124BA3">
        <w:rPr>
          <w:rFonts w:eastAsia="Times New Roman"/>
        </w:rPr>
        <w:t>s</w:t>
      </w:r>
      <w:r w:rsidR="00583123">
        <w:rPr>
          <w:rFonts w:eastAsia="Times New Roman"/>
        </w:rPr>
        <w:t xml:space="preserve"> and becoming a critical resource in the licensing process.  The regulatory bodies play a significant role in clarifying the role of TSOs, the expectation of their responsibilities, and support the TSOs efforts in improving their in-house technical capabilities and financial resources.  The US NRC’s regulatory assistance program fully recognizes that while the TSOs are largely independent organizations, they still have a specific relationship and perform most technical work at the request of the </w:t>
      </w:r>
      <w:r w:rsidR="00124BA3">
        <w:rPr>
          <w:rFonts w:eastAsia="Times New Roman"/>
        </w:rPr>
        <w:t xml:space="preserve">nuclear </w:t>
      </w:r>
      <w:r w:rsidR="00583123">
        <w:rPr>
          <w:rFonts w:eastAsia="Times New Roman"/>
        </w:rPr>
        <w:t xml:space="preserve">regulator. </w:t>
      </w:r>
    </w:p>
    <w:p w:rsidR="005D5D1F" w:rsidRDefault="005D5D1F" w:rsidP="00183002">
      <w:pPr>
        <w:pStyle w:val="NoSpacing"/>
        <w:ind w:firstLine="720"/>
        <w:jc w:val="both"/>
        <w:rPr>
          <w:rFonts w:eastAsia="Times New Roman"/>
        </w:rPr>
      </w:pPr>
    </w:p>
    <w:p w:rsidR="005D5D1F" w:rsidRPr="00444E6C" w:rsidRDefault="005D5D1F" w:rsidP="00183002">
      <w:pPr>
        <w:pStyle w:val="NoSpacing"/>
        <w:numPr>
          <w:ilvl w:val="0"/>
          <w:numId w:val="10"/>
        </w:numPr>
        <w:jc w:val="both"/>
        <w:rPr>
          <w:rFonts w:eastAsia="Times New Roman"/>
          <w:b/>
        </w:rPr>
      </w:pPr>
      <w:r w:rsidRPr="00444E6C">
        <w:rPr>
          <w:rFonts w:eastAsia="Times New Roman"/>
          <w:b/>
        </w:rPr>
        <w:t>P</w:t>
      </w:r>
      <w:r w:rsidR="00444E6C">
        <w:rPr>
          <w:rFonts w:eastAsia="Times New Roman"/>
          <w:b/>
        </w:rPr>
        <w:t>rogram Challenges</w:t>
      </w:r>
    </w:p>
    <w:p w:rsidR="005D5D1F" w:rsidRDefault="005D5D1F" w:rsidP="00183002">
      <w:pPr>
        <w:pStyle w:val="NoSpacing"/>
        <w:jc w:val="both"/>
        <w:rPr>
          <w:rFonts w:eastAsia="Times New Roman"/>
        </w:rPr>
      </w:pPr>
    </w:p>
    <w:p w:rsidR="00A16F5C" w:rsidRDefault="00F8189D" w:rsidP="005151E8">
      <w:pPr>
        <w:pStyle w:val="NoSpacing"/>
        <w:jc w:val="both"/>
        <w:rPr>
          <w:rFonts w:eastAsia="Times New Roman"/>
        </w:rPr>
      </w:pPr>
      <w:r>
        <w:t>The US NRC fully recognizes that TSOs providing support in regulatory decisions</w:t>
      </w:r>
      <w:r w:rsidR="008F667F">
        <w:t>, in general,</w:t>
      </w:r>
      <w:r>
        <w:t xml:space="preserve"> do not </w:t>
      </w:r>
      <w:r w:rsidR="008F667F">
        <w:t>carry out</w:t>
      </w:r>
      <w:r>
        <w:t xml:space="preserve"> technical developments to improve technologies or operational methodologies, which are more appropriate for the nuclear industry.  The technical developments</w:t>
      </w:r>
      <w:r w:rsidR="008F667F">
        <w:t xml:space="preserve"> performed by TSOs are</w:t>
      </w:r>
      <w:r>
        <w:t xml:space="preserve"> pri</w:t>
      </w:r>
      <w:r w:rsidR="008F667F">
        <w:t>marily serving</w:t>
      </w:r>
      <w:r>
        <w:t xml:space="preserve"> the needs of </w:t>
      </w:r>
      <w:r w:rsidR="008F667F">
        <w:t xml:space="preserve">the </w:t>
      </w:r>
      <w:r>
        <w:t xml:space="preserve">licensing processes and regulatory decisions making sure that the methods used by industries provide adequate safety.  The TSOs also need to expand their developmental horizons for potential future needs based on industry initiatives or general research directions.  The technical assistance program must respond to not only the regulatory needs </w:t>
      </w:r>
      <w:r w:rsidR="008F667F">
        <w:t>of</w:t>
      </w:r>
      <w:r>
        <w:t xml:space="preserve"> each country, but also provide support in developing TSO</w:t>
      </w:r>
      <w:r w:rsidR="008F667F">
        <w:t>’s</w:t>
      </w:r>
      <w:r>
        <w:t xml:space="preserve"> capabilities in wide-ranging technical areas that may serve future research and/or regulatory methodologies.  </w:t>
      </w:r>
      <w:r w:rsidR="008F667F">
        <w:t>R</w:t>
      </w:r>
      <w:r w:rsidR="009D24E4">
        <w:rPr>
          <w:rFonts w:eastAsia="Times New Roman"/>
        </w:rPr>
        <w:t>egulatory reviews require certain capabilities that provide the basis for selecting the organizations serving as a TSO for the nuclear regulator, such as a) technical competency in reviewing licensee’s methodology and proposed actions, b) capability of carrying out plant specific analysis, and c) have analytical capabilities, computer codes, and sufficient plant operating experience.</w:t>
      </w:r>
    </w:p>
    <w:p w:rsidR="00A16F5C" w:rsidRDefault="00A16F5C" w:rsidP="00183002">
      <w:pPr>
        <w:pStyle w:val="NoSpacing"/>
        <w:jc w:val="both"/>
        <w:rPr>
          <w:rFonts w:eastAsia="Times New Roman"/>
        </w:rPr>
      </w:pPr>
    </w:p>
    <w:p w:rsidR="00A16F5C" w:rsidRPr="00D80657" w:rsidRDefault="00B23C1F" w:rsidP="005151E8">
      <w:pPr>
        <w:pStyle w:val="NoSpacing"/>
        <w:jc w:val="both"/>
        <w:rPr>
          <w:rFonts w:eastAsia="Times New Roman"/>
        </w:rPr>
      </w:pPr>
      <w:r>
        <w:rPr>
          <w:rFonts w:eastAsia="Times New Roman"/>
          <w:noProof/>
        </w:rPr>
        <w:lastRenderedPageBreak/>
        <w:drawing>
          <wp:anchor distT="0" distB="0" distL="114300" distR="114300" simplePos="0" relativeHeight="251661312" behindDoc="0" locked="0" layoutInCell="1" allowOverlap="1" wp14:anchorId="0E8667C8" wp14:editId="55482A03">
            <wp:simplePos x="0" y="0"/>
            <wp:positionH relativeFrom="column">
              <wp:posOffset>1088390</wp:posOffset>
            </wp:positionH>
            <wp:positionV relativeFrom="paragraph">
              <wp:posOffset>3016885</wp:posOffset>
            </wp:positionV>
            <wp:extent cx="3204210" cy="166179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4210" cy="1661795"/>
                    </a:xfrm>
                    <a:prstGeom prst="rect">
                      <a:avLst/>
                    </a:prstGeom>
                    <a:noFill/>
                    <a:ln>
                      <a:noFill/>
                    </a:ln>
                  </pic:spPr>
                </pic:pic>
              </a:graphicData>
            </a:graphic>
            <wp14:sizeRelH relativeFrom="page">
              <wp14:pctWidth>0</wp14:pctWidth>
            </wp14:sizeRelH>
            <wp14:sizeRelV relativeFrom="page">
              <wp14:pctHeight>0</wp14:pctHeight>
            </wp14:sizeRelV>
          </wp:anchor>
        </w:drawing>
      </w:r>
      <w:r w:rsidR="00481ACB" w:rsidRPr="0093264C">
        <w:t xml:space="preserve">In the early 1990s, the US NRC regulatory assistance program was originated under the Lisbon Nuclear Safety Initiative recognizing the potential nuclear safety concerns in countries that had Soviet-designed nuclear reactors.   </w:t>
      </w:r>
      <w:r w:rsidR="0093264C" w:rsidRPr="00481ACB">
        <w:rPr>
          <w:rFonts w:eastAsia="Times New Roman"/>
        </w:rPr>
        <w:t xml:space="preserve">The objective of the </w:t>
      </w:r>
      <w:r w:rsidR="0093264C" w:rsidRPr="0093264C">
        <w:rPr>
          <w:rFonts w:eastAsia="Times New Roman"/>
        </w:rPr>
        <w:t xml:space="preserve">US NRC’s technical assistance program </w:t>
      </w:r>
      <w:r w:rsidR="0093264C" w:rsidRPr="00481ACB">
        <w:rPr>
          <w:rFonts w:eastAsia="Times New Roman"/>
        </w:rPr>
        <w:t xml:space="preserve">is </w:t>
      </w:r>
      <w:r w:rsidR="0093264C" w:rsidRPr="0093264C">
        <w:rPr>
          <w:rFonts w:eastAsia="Times New Roman"/>
        </w:rPr>
        <w:t>the</w:t>
      </w:r>
      <w:r w:rsidR="0093264C" w:rsidRPr="00481ACB">
        <w:rPr>
          <w:rFonts w:eastAsia="Times New Roman"/>
        </w:rPr>
        <w:t xml:space="preserve"> comprehensive improvement in </w:t>
      </w:r>
      <w:r w:rsidR="0093264C" w:rsidRPr="0093264C">
        <w:rPr>
          <w:rFonts w:eastAsia="Times New Roman"/>
        </w:rPr>
        <w:t xml:space="preserve">the regulatory capability of not only the nuclear regulator, but also the TSOs technical ability to provide significant support in regulatory decisions and also developing a regulatory regime that insures adequate nuclear safety.  </w:t>
      </w:r>
      <w:r w:rsidR="0093264C" w:rsidRPr="00481ACB">
        <w:rPr>
          <w:rFonts w:eastAsia="Times New Roman"/>
        </w:rPr>
        <w:t xml:space="preserve">One of the key elements that </w:t>
      </w:r>
      <w:r w:rsidR="0093264C" w:rsidRPr="0093264C">
        <w:rPr>
          <w:rFonts w:eastAsia="Times New Roman"/>
        </w:rPr>
        <w:t>determine</w:t>
      </w:r>
      <w:r w:rsidR="0093264C" w:rsidRPr="00481ACB">
        <w:rPr>
          <w:rFonts w:eastAsia="Times New Roman"/>
        </w:rPr>
        <w:t xml:space="preserve"> the </w:t>
      </w:r>
      <w:r w:rsidR="0093264C" w:rsidRPr="0093264C">
        <w:rPr>
          <w:rFonts w:eastAsia="Times New Roman"/>
        </w:rPr>
        <w:t>nuclear</w:t>
      </w:r>
      <w:r w:rsidR="0093264C" w:rsidRPr="00481ACB">
        <w:rPr>
          <w:rFonts w:eastAsia="Times New Roman"/>
        </w:rPr>
        <w:t xml:space="preserve"> safety is </w:t>
      </w:r>
      <w:r w:rsidR="0093264C" w:rsidRPr="0093264C">
        <w:rPr>
          <w:rFonts w:eastAsia="Times New Roman"/>
        </w:rPr>
        <w:t xml:space="preserve">a robust nuclear regulatory regime with an independent nuclear regulator at its center.  </w:t>
      </w:r>
      <w:r w:rsidR="00A16F5C">
        <w:rPr>
          <w:rFonts w:eastAsia="Times New Roman"/>
        </w:rPr>
        <w:t xml:space="preserve">In many countries, there is an expectation of a large expansion of nuclear power in the coming decades raising the concern of the nuclear regulator’s status, the organization and relationship of the nuclear industry, regulator, and the TSOs, and </w:t>
      </w:r>
      <w:r w:rsidR="001A670D">
        <w:rPr>
          <w:rFonts w:eastAsia="Times New Roman"/>
        </w:rPr>
        <w:t xml:space="preserve">the </w:t>
      </w:r>
      <w:r w:rsidR="00A16F5C">
        <w:rPr>
          <w:rFonts w:eastAsia="Times New Roman"/>
        </w:rPr>
        <w:t>availability of critical manpower for all these institutions.  The assistance program</w:t>
      </w:r>
      <w:r w:rsidR="001A670D">
        <w:rPr>
          <w:rFonts w:eastAsia="Times New Roman"/>
        </w:rPr>
        <w:t>,</w:t>
      </w:r>
      <w:r w:rsidR="00A16F5C">
        <w:rPr>
          <w:rFonts w:eastAsia="Times New Roman"/>
        </w:rPr>
        <w:t xml:space="preserve"> besides providing specific technical assistance, all along emphasized </w:t>
      </w:r>
      <w:r w:rsidR="00A16F5C" w:rsidRPr="00A16F5C">
        <w:t>the importance of an e</w:t>
      </w:r>
      <w:r w:rsidR="001A670D">
        <w:t>ffective regulatory structure to help</w:t>
      </w:r>
      <w:r w:rsidR="00A16F5C" w:rsidRPr="00A16F5C">
        <w:t xml:space="preserve"> sustaining a viable nuclear industry</w:t>
      </w:r>
      <w:r w:rsidR="00AE4131">
        <w:t xml:space="preserve"> and establishing and maintaining an independent and effective nuclear regulation</w:t>
      </w:r>
      <w:r w:rsidR="00A16F5C" w:rsidRPr="00A16F5C">
        <w:t>.</w:t>
      </w:r>
      <w:r w:rsidR="00A16F5C">
        <w:rPr>
          <w:rFonts w:ascii="Arial" w:hAnsi="Arial" w:cs="Arial"/>
          <w:sz w:val="22"/>
          <w:szCs w:val="22"/>
        </w:rPr>
        <w:t xml:space="preserve"> </w:t>
      </w:r>
      <w:r w:rsidR="00D80657">
        <w:rPr>
          <w:rFonts w:ascii="Arial" w:hAnsi="Arial" w:cs="Arial"/>
          <w:sz w:val="22"/>
          <w:szCs w:val="22"/>
        </w:rPr>
        <w:t xml:space="preserve"> </w:t>
      </w:r>
      <w:r w:rsidR="00D80657">
        <w:t>Figure 2 shows the most common organizational structures found in many countries either with an independent nuclear regulator or as part of a larger ministerial institution.</w:t>
      </w:r>
    </w:p>
    <w:p w:rsidR="007124A8" w:rsidRDefault="00D80657" w:rsidP="00183002">
      <w:pPr>
        <w:pStyle w:val="NoSpacing"/>
        <w:jc w:val="both"/>
        <w:rPr>
          <w:rFonts w:eastAsia="Times New Roman"/>
        </w:rPr>
      </w:pPr>
      <w:r>
        <w:rPr>
          <w:noProof/>
        </w:rPr>
        <mc:AlternateContent>
          <mc:Choice Requires="wps">
            <w:drawing>
              <wp:anchor distT="0" distB="0" distL="114300" distR="114300" simplePos="0" relativeHeight="251663360" behindDoc="0" locked="0" layoutInCell="1" allowOverlap="1" wp14:anchorId="51147540" wp14:editId="18E3044D">
                <wp:simplePos x="0" y="0"/>
                <wp:positionH relativeFrom="column">
                  <wp:posOffset>532130</wp:posOffset>
                </wp:positionH>
                <wp:positionV relativeFrom="paragraph">
                  <wp:posOffset>1704533</wp:posOffset>
                </wp:positionV>
                <wp:extent cx="4626859" cy="635"/>
                <wp:effectExtent l="0" t="0" r="2540" b="0"/>
                <wp:wrapNone/>
                <wp:docPr id="5" name="Text Box 5"/>
                <wp:cNvGraphicFramePr/>
                <a:graphic xmlns:a="http://schemas.openxmlformats.org/drawingml/2006/main">
                  <a:graphicData uri="http://schemas.microsoft.com/office/word/2010/wordprocessingShape">
                    <wps:wsp>
                      <wps:cNvSpPr txBox="1"/>
                      <wps:spPr>
                        <a:xfrm>
                          <a:off x="0" y="0"/>
                          <a:ext cx="4626859" cy="635"/>
                        </a:xfrm>
                        <a:prstGeom prst="rect">
                          <a:avLst/>
                        </a:prstGeom>
                        <a:solidFill>
                          <a:prstClr val="white"/>
                        </a:solidFill>
                        <a:ln>
                          <a:noFill/>
                        </a:ln>
                        <a:effectLst/>
                      </wps:spPr>
                      <wps:txbx>
                        <w:txbxContent>
                          <w:p w:rsidR="00D80657" w:rsidRPr="005151E8" w:rsidRDefault="005151E8" w:rsidP="00D80657">
                            <w:pPr>
                              <w:pStyle w:val="Caption"/>
                              <w:jc w:val="center"/>
                              <w:rPr>
                                <w:rFonts w:eastAsia="Times New Roman"/>
                                <w:b w:val="0"/>
                                <w:i/>
                                <w:noProof/>
                                <w:color w:val="000000" w:themeColor="text1"/>
                                <w:sz w:val="22"/>
                                <w:szCs w:val="22"/>
                              </w:rPr>
                            </w:pPr>
                            <w:proofErr w:type="gramStart"/>
                            <w:r>
                              <w:rPr>
                                <w:b w:val="0"/>
                                <w:i/>
                                <w:color w:val="000000" w:themeColor="text1"/>
                                <w:sz w:val="22"/>
                                <w:szCs w:val="22"/>
                              </w:rPr>
                              <w:t>Fig.</w:t>
                            </w:r>
                            <w:proofErr w:type="gramEnd"/>
                            <w:r w:rsidR="00D80657" w:rsidRPr="005151E8">
                              <w:rPr>
                                <w:b w:val="0"/>
                                <w:i/>
                                <w:color w:val="000000" w:themeColor="text1"/>
                                <w:sz w:val="22"/>
                                <w:szCs w:val="22"/>
                              </w:rPr>
                              <w:t xml:space="preserve"> </w:t>
                            </w:r>
                            <w:r w:rsidR="00D80657" w:rsidRPr="005151E8">
                              <w:rPr>
                                <w:b w:val="0"/>
                                <w:i/>
                                <w:color w:val="000000" w:themeColor="text1"/>
                                <w:sz w:val="22"/>
                                <w:szCs w:val="22"/>
                              </w:rPr>
                              <w:fldChar w:fldCharType="begin"/>
                            </w:r>
                            <w:r w:rsidR="00D80657" w:rsidRPr="005151E8">
                              <w:rPr>
                                <w:b w:val="0"/>
                                <w:i/>
                                <w:color w:val="000000" w:themeColor="text1"/>
                                <w:sz w:val="22"/>
                                <w:szCs w:val="22"/>
                              </w:rPr>
                              <w:instrText xml:space="preserve"> SEQ Figure \* ARABIC </w:instrText>
                            </w:r>
                            <w:r w:rsidR="00D80657" w:rsidRPr="005151E8">
                              <w:rPr>
                                <w:b w:val="0"/>
                                <w:i/>
                                <w:color w:val="000000" w:themeColor="text1"/>
                                <w:sz w:val="22"/>
                                <w:szCs w:val="22"/>
                              </w:rPr>
                              <w:fldChar w:fldCharType="separate"/>
                            </w:r>
                            <w:r w:rsidR="00D80657" w:rsidRPr="005151E8">
                              <w:rPr>
                                <w:b w:val="0"/>
                                <w:i/>
                                <w:noProof/>
                                <w:color w:val="000000" w:themeColor="text1"/>
                                <w:sz w:val="22"/>
                                <w:szCs w:val="22"/>
                              </w:rPr>
                              <w:t>2</w:t>
                            </w:r>
                            <w:r w:rsidR="00D80657" w:rsidRPr="005151E8">
                              <w:rPr>
                                <w:b w:val="0"/>
                                <w:i/>
                                <w:color w:val="000000" w:themeColor="text1"/>
                                <w:sz w:val="22"/>
                                <w:szCs w:val="22"/>
                              </w:rPr>
                              <w:fldChar w:fldCharType="end"/>
                            </w:r>
                            <w:r w:rsidR="00D80657" w:rsidRPr="005151E8">
                              <w:rPr>
                                <w:b w:val="0"/>
                                <w:i/>
                                <w:color w:val="000000" w:themeColor="text1"/>
                                <w:sz w:val="22"/>
                                <w:szCs w:val="22"/>
                              </w:rPr>
                              <w:t xml:space="preserve"> </w:t>
                            </w:r>
                            <w:r w:rsidR="00433339" w:rsidRPr="005151E8">
                              <w:rPr>
                                <w:b w:val="0"/>
                                <w:i/>
                                <w:color w:val="000000" w:themeColor="text1"/>
                                <w:sz w:val="22"/>
                                <w:szCs w:val="22"/>
                              </w:rPr>
                              <w:t xml:space="preserve">Nuclear Regulatory Organizations - </w:t>
                            </w:r>
                            <w:r w:rsidR="00D80657" w:rsidRPr="005151E8">
                              <w:rPr>
                                <w:b w:val="0"/>
                                <w:i/>
                                <w:color w:val="000000" w:themeColor="text1"/>
                                <w:sz w:val="22"/>
                                <w:szCs w:val="22"/>
                              </w:rPr>
                              <w:t xml:space="preserve">Common </w:t>
                            </w:r>
                            <w:r w:rsidR="000B5F78" w:rsidRPr="005151E8">
                              <w:rPr>
                                <w:b w:val="0"/>
                                <w:i/>
                                <w:color w:val="000000" w:themeColor="text1"/>
                                <w:sz w:val="22"/>
                                <w:szCs w:val="22"/>
                              </w:rPr>
                              <w:t>Institutional Arrangements</w:t>
                            </w:r>
                            <w:r w:rsidR="00433339" w:rsidRPr="005151E8">
                              <w:rPr>
                                <w:b w:val="0"/>
                                <w:i/>
                                <w:color w:val="000000" w:themeColor="text1"/>
                                <w:sz w:val="22"/>
                                <w:szCs w:val="22"/>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5" o:spid="_x0000_s1027" type="#_x0000_t202" style="position:absolute;left:0;text-align:left;margin-left:41.9pt;margin-top:134.2pt;width:364.3pt;height:.0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" stroked="f">
                <v:textbox style="mso-fit-shape-to-text:t" inset="0,0,0,0">
                  <w:txbxContent>
                    <w:p w:rsidR="00D80657" w:rsidRPr="005151E8" w:rsidRDefault="005151E8" w:rsidP="00D80657">
                      <w:pPr>
                        <w:pStyle w:val="Caption"/>
                        <w:jc w:val="center"/>
                        <w:rPr>
                          <w:rFonts w:eastAsia="Times New Roman"/>
                          <w:b w:val="0"/>
                          <w:i/>
                          <w:noProof/>
                          <w:color w:val="000000" w:themeColor="text1"/>
                          <w:sz w:val="22"/>
                          <w:szCs w:val="22"/>
                        </w:rPr>
                      </w:pPr>
                      <w:proofErr w:type="gramStart"/>
                      <w:r>
                        <w:rPr>
                          <w:b w:val="0"/>
                          <w:i/>
                          <w:color w:val="000000" w:themeColor="text1"/>
                          <w:sz w:val="22"/>
                          <w:szCs w:val="22"/>
                        </w:rPr>
                        <w:t>Fig.</w:t>
                      </w:r>
                      <w:proofErr w:type="gramEnd"/>
                      <w:r w:rsidR="00D80657" w:rsidRPr="005151E8">
                        <w:rPr>
                          <w:b w:val="0"/>
                          <w:i/>
                          <w:color w:val="000000" w:themeColor="text1"/>
                          <w:sz w:val="22"/>
                          <w:szCs w:val="22"/>
                        </w:rPr>
                        <w:t xml:space="preserve"> </w:t>
                      </w:r>
                      <w:r w:rsidR="00D80657" w:rsidRPr="005151E8">
                        <w:rPr>
                          <w:b w:val="0"/>
                          <w:i/>
                          <w:color w:val="000000" w:themeColor="text1"/>
                          <w:sz w:val="22"/>
                          <w:szCs w:val="22"/>
                        </w:rPr>
                        <w:fldChar w:fldCharType="begin"/>
                      </w:r>
                      <w:r w:rsidR="00D80657" w:rsidRPr="005151E8">
                        <w:rPr>
                          <w:b w:val="0"/>
                          <w:i/>
                          <w:color w:val="000000" w:themeColor="text1"/>
                          <w:sz w:val="22"/>
                          <w:szCs w:val="22"/>
                        </w:rPr>
                        <w:instrText xml:space="preserve"> SEQ Figure \* ARABIC </w:instrText>
                      </w:r>
                      <w:r w:rsidR="00D80657" w:rsidRPr="005151E8">
                        <w:rPr>
                          <w:b w:val="0"/>
                          <w:i/>
                          <w:color w:val="000000" w:themeColor="text1"/>
                          <w:sz w:val="22"/>
                          <w:szCs w:val="22"/>
                        </w:rPr>
                        <w:fldChar w:fldCharType="separate"/>
                      </w:r>
                      <w:r w:rsidR="00D80657" w:rsidRPr="005151E8">
                        <w:rPr>
                          <w:b w:val="0"/>
                          <w:i/>
                          <w:noProof/>
                          <w:color w:val="000000" w:themeColor="text1"/>
                          <w:sz w:val="22"/>
                          <w:szCs w:val="22"/>
                        </w:rPr>
                        <w:t>2</w:t>
                      </w:r>
                      <w:r w:rsidR="00D80657" w:rsidRPr="005151E8">
                        <w:rPr>
                          <w:b w:val="0"/>
                          <w:i/>
                          <w:color w:val="000000" w:themeColor="text1"/>
                          <w:sz w:val="22"/>
                          <w:szCs w:val="22"/>
                        </w:rPr>
                        <w:fldChar w:fldCharType="end"/>
                      </w:r>
                      <w:r w:rsidR="00D80657" w:rsidRPr="005151E8">
                        <w:rPr>
                          <w:b w:val="0"/>
                          <w:i/>
                          <w:color w:val="000000" w:themeColor="text1"/>
                          <w:sz w:val="22"/>
                          <w:szCs w:val="22"/>
                        </w:rPr>
                        <w:t xml:space="preserve"> </w:t>
                      </w:r>
                      <w:r w:rsidR="00433339" w:rsidRPr="005151E8">
                        <w:rPr>
                          <w:b w:val="0"/>
                          <w:i/>
                          <w:color w:val="000000" w:themeColor="text1"/>
                          <w:sz w:val="22"/>
                          <w:szCs w:val="22"/>
                        </w:rPr>
                        <w:t xml:space="preserve">Nuclear Regulatory Organizations - </w:t>
                      </w:r>
                      <w:r w:rsidR="00D80657" w:rsidRPr="005151E8">
                        <w:rPr>
                          <w:b w:val="0"/>
                          <w:i/>
                          <w:color w:val="000000" w:themeColor="text1"/>
                          <w:sz w:val="22"/>
                          <w:szCs w:val="22"/>
                        </w:rPr>
                        <w:t xml:space="preserve">Common </w:t>
                      </w:r>
                      <w:r w:rsidR="000B5F78" w:rsidRPr="005151E8">
                        <w:rPr>
                          <w:b w:val="0"/>
                          <w:i/>
                          <w:color w:val="000000" w:themeColor="text1"/>
                          <w:sz w:val="22"/>
                          <w:szCs w:val="22"/>
                        </w:rPr>
                        <w:t>Institutional Arrangements</w:t>
                      </w:r>
                      <w:r w:rsidR="00433339" w:rsidRPr="005151E8">
                        <w:rPr>
                          <w:b w:val="0"/>
                          <w:i/>
                          <w:color w:val="000000" w:themeColor="text1"/>
                          <w:sz w:val="22"/>
                          <w:szCs w:val="22"/>
                        </w:rPr>
                        <w:t xml:space="preserve"> </w:t>
                      </w:r>
                    </w:p>
                  </w:txbxContent>
                </v:textbox>
              </v:shape>
            </w:pict>
          </mc:Fallback>
        </mc:AlternateContent>
      </w:r>
    </w:p>
    <w:p w:rsidR="007124A8" w:rsidRDefault="007124A8" w:rsidP="00183002">
      <w:pPr>
        <w:pStyle w:val="NoSpacing"/>
        <w:jc w:val="both"/>
        <w:rPr>
          <w:rFonts w:eastAsia="Times New Roman"/>
        </w:rPr>
      </w:pPr>
    </w:p>
    <w:p w:rsidR="009D24E4" w:rsidRDefault="007124A8" w:rsidP="005151E8">
      <w:pPr>
        <w:pStyle w:val="NoSpacing"/>
        <w:jc w:val="both"/>
        <w:rPr>
          <w:rFonts w:eastAsia="Times New Roman"/>
        </w:rPr>
      </w:pPr>
      <w:r>
        <w:rPr>
          <w:rFonts w:eastAsia="Times New Roman"/>
        </w:rPr>
        <w:t xml:space="preserve">The international regulatory assistance program faced many challenges and successes in strengthening the regulatory and technical capabilities of the foreign nuclear regulatory organizations and the </w:t>
      </w:r>
      <w:r w:rsidR="0056764D">
        <w:rPr>
          <w:rFonts w:eastAsia="Times New Roman"/>
        </w:rPr>
        <w:t>TSOs.</w:t>
      </w:r>
      <w:r>
        <w:rPr>
          <w:rFonts w:eastAsia="Times New Roman"/>
        </w:rPr>
        <w:t xml:space="preserve">  Over the years the NRC’s international regulatory support program has expanded beyond its original scope encompassing many countries with operating or planned nuclear facilities</w:t>
      </w:r>
      <w:r w:rsidR="0097589F">
        <w:rPr>
          <w:rFonts w:eastAsia="Times New Roman"/>
        </w:rPr>
        <w:t xml:space="preserve">.  </w:t>
      </w:r>
      <w:r w:rsidR="009D24E4">
        <w:rPr>
          <w:rFonts w:eastAsia="Times New Roman"/>
        </w:rPr>
        <w:t>The international assistance, t</w:t>
      </w:r>
      <w:r w:rsidR="009D24E4" w:rsidRPr="00922FFB">
        <w:rPr>
          <w:rFonts w:eastAsia="Times New Roman"/>
        </w:rPr>
        <w:t>raining</w:t>
      </w:r>
      <w:r w:rsidR="009D24E4">
        <w:rPr>
          <w:rFonts w:eastAsia="Times New Roman"/>
        </w:rPr>
        <w:t>,</w:t>
      </w:r>
      <w:r w:rsidR="009D24E4" w:rsidRPr="00922FFB">
        <w:rPr>
          <w:rFonts w:eastAsia="Times New Roman"/>
        </w:rPr>
        <w:t xml:space="preserve"> and technical support </w:t>
      </w:r>
      <w:r w:rsidR="009D24E4">
        <w:rPr>
          <w:rFonts w:eastAsia="Times New Roman"/>
        </w:rPr>
        <w:t>include wide ranging regulatory and technical areas through cooperative training programs, workshops, and joint projects</w:t>
      </w:r>
      <w:r w:rsidR="0056764D">
        <w:rPr>
          <w:rFonts w:eastAsia="Times New Roman"/>
        </w:rPr>
        <w:t>, such as</w:t>
      </w:r>
      <w:r w:rsidR="009D24E4" w:rsidRPr="00922FFB">
        <w:rPr>
          <w:rFonts w:eastAsia="Times New Roman"/>
        </w:rPr>
        <w:t xml:space="preserve">: </w:t>
      </w:r>
    </w:p>
    <w:p w:rsidR="009D24E4" w:rsidRDefault="009D24E4" w:rsidP="00183002">
      <w:pPr>
        <w:pStyle w:val="NoSpacing"/>
        <w:jc w:val="both"/>
      </w:pPr>
    </w:p>
    <w:p w:rsidR="009D24E4" w:rsidRDefault="009D24E4" w:rsidP="00183002">
      <w:pPr>
        <w:pStyle w:val="NoSpacing"/>
        <w:numPr>
          <w:ilvl w:val="0"/>
          <w:numId w:val="16"/>
        </w:numPr>
        <w:ind w:left="1080"/>
        <w:jc w:val="both"/>
      </w:pPr>
      <w:r w:rsidRPr="00B90C54">
        <w:t xml:space="preserve">Safety analysis methodologies and code applications, </w:t>
      </w:r>
      <w:r>
        <w:t>design basis analyses</w:t>
      </w:r>
    </w:p>
    <w:p w:rsidR="007C0CAF" w:rsidRDefault="007C0CAF" w:rsidP="00183002">
      <w:pPr>
        <w:pStyle w:val="NoSpacing"/>
        <w:numPr>
          <w:ilvl w:val="0"/>
          <w:numId w:val="16"/>
        </w:numPr>
        <w:ind w:left="1080"/>
        <w:jc w:val="both"/>
      </w:pPr>
      <w:r>
        <w:t>Life cycle management, maintenance optimization, support periodic safety reviews</w:t>
      </w:r>
    </w:p>
    <w:p w:rsidR="009D24E4" w:rsidRDefault="009D24E4" w:rsidP="00183002">
      <w:pPr>
        <w:pStyle w:val="NoSpacing"/>
        <w:numPr>
          <w:ilvl w:val="0"/>
          <w:numId w:val="16"/>
        </w:numPr>
        <w:ind w:left="1080"/>
        <w:jc w:val="both"/>
      </w:pPr>
      <w:r>
        <w:t>L</w:t>
      </w:r>
      <w:r w:rsidRPr="00B90C54">
        <w:t xml:space="preserve">icensing and inspection procedures, </w:t>
      </w:r>
    </w:p>
    <w:p w:rsidR="009D24E4" w:rsidRDefault="009D24E4" w:rsidP="00183002">
      <w:pPr>
        <w:pStyle w:val="NoSpacing"/>
        <w:numPr>
          <w:ilvl w:val="0"/>
          <w:numId w:val="16"/>
        </w:numPr>
        <w:ind w:left="1080"/>
        <w:jc w:val="both"/>
      </w:pPr>
      <w:r>
        <w:t xml:space="preserve">Risk informed and </w:t>
      </w:r>
      <w:r w:rsidRPr="00B90C54">
        <w:t xml:space="preserve">analytical methods design basis analysis, </w:t>
      </w:r>
    </w:p>
    <w:p w:rsidR="009D24E4" w:rsidRDefault="009D24E4" w:rsidP="00183002">
      <w:pPr>
        <w:pStyle w:val="NoSpacing"/>
        <w:numPr>
          <w:ilvl w:val="0"/>
          <w:numId w:val="16"/>
        </w:numPr>
        <w:ind w:left="1080"/>
        <w:jc w:val="both"/>
      </w:pPr>
      <w:r>
        <w:t>S</w:t>
      </w:r>
      <w:r w:rsidRPr="00B90C54">
        <w:t xml:space="preserve">evere accident methodologies and procedures, </w:t>
      </w:r>
    </w:p>
    <w:p w:rsidR="009D24E4" w:rsidRDefault="009D24E4" w:rsidP="00183002">
      <w:pPr>
        <w:pStyle w:val="NoSpacing"/>
        <w:numPr>
          <w:ilvl w:val="0"/>
          <w:numId w:val="16"/>
        </w:numPr>
        <w:ind w:left="1080"/>
        <w:jc w:val="both"/>
      </w:pPr>
      <w:r>
        <w:t>E</w:t>
      </w:r>
      <w:r w:rsidRPr="00B90C54">
        <w:t xml:space="preserve">mergency response and infrastructure development, </w:t>
      </w:r>
    </w:p>
    <w:p w:rsidR="00624484" w:rsidRDefault="009D24E4" w:rsidP="00183002">
      <w:pPr>
        <w:pStyle w:val="NoSpacing"/>
        <w:numPr>
          <w:ilvl w:val="0"/>
          <w:numId w:val="16"/>
        </w:numPr>
        <w:ind w:left="1080"/>
        <w:jc w:val="both"/>
      </w:pPr>
      <w:r w:rsidRPr="009D24E4">
        <w:t>Development of regulatory guidelines and bases for regulatory actions</w:t>
      </w:r>
    </w:p>
    <w:p w:rsidR="00433339" w:rsidRPr="00624484" w:rsidRDefault="00624484" w:rsidP="00183002">
      <w:pPr>
        <w:pStyle w:val="NoSpacing"/>
        <w:numPr>
          <w:ilvl w:val="0"/>
          <w:numId w:val="16"/>
        </w:numPr>
        <w:ind w:left="1080"/>
        <w:jc w:val="both"/>
      </w:pPr>
      <w:r>
        <w:t>S</w:t>
      </w:r>
      <w:r w:rsidR="00433339" w:rsidRPr="00624484">
        <w:t>ignificant infrastructure component providing improvement in analytical hardware, dosimeter equipment, networking capabilities, and</w:t>
      </w:r>
      <w:r>
        <w:t xml:space="preserve"> communication infrastructure</w:t>
      </w:r>
    </w:p>
    <w:p w:rsidR="000D0F12" w:rsidRDefault="000D0F12" w:rsidP="00183002">
      <w:pPr>
        <w:pStyle w:val="NoSpacing"/>
        <w:jc w:val="both"/>
      </w:pPr>
    </w:p>
    <w:p w:rsidR="00624484" w:rsidRDefault="00624484" w:rsidP="005151E8">
      <w:pPr>
        <w:pStyle w:val="NoSpacing"/>
        <w:jc w:val="both"/>
      </w:pPr>
      <w:r>
        <w:lastRenderedPageBreak/>
        <w:t xml:space="preserve">The technical assistance program is tailored </w:t>
      </w:r>
      <w:r w:rsidR="0056764D">
        <w:t xml:space="preserve">encouraging </w:t>
      </w:r>
      <w:r>
        <w:t>the TSOs to develop and maintain close contact with the nuclear installations through the regulatory agencies.  In addition, the support programs have a significant component providing access and information exchange on international experience and regulatory standards</w:t>
      </w:r>
      <w:r w:rsidR="00AD3FF8">
        <w:t xml:space="preserve"> [1]</w:t>
      </w:r>
      <w:r>
        <w:t xml:space="preserve">.  Safety assessment methodologies are established insuring in-depth technical knowledge of the installation, supporting exchanges with the design and operating organizations, and providing the latest technical and scientific results from the international nuclear community.  </w:t>
      </w:r>
    </w:p>
    <w:p w:rsidR="00624484" w:rsidRDefault="00624484" w:rsidP="00183002">
      <w:pPr>
        <w:pStyle w:val="NoSpacing"/>
        <w:jc w:val="both"/>
        <w:rPr>
          <w:rFonts w:eastAsia="Calibri"/>
        </w:rPr>
      </w:pPr>
    </w:p>
    <w:p w:rsidR="007124A8" w:rsidRDefault="00624484" w:rsidP="00183002">
      <w:pPr>
        <w:pStyle w:val="NoSpacing"/>
        <w:jc w:val="both"/>
      </w:pPr>
      <w:r>
        <w:t xml:space="preserve">Many of the program elements were developed supporting comprehensive data bases at the TSOs including operating events, installation specific design and operating information, technical data, technical and regulatory assessments utilizing knowledge management systems.  </w:t>
      </w:r>
      <w:r w:rsidR="007124A8">
        <w:t xml:space="preserve"> Obtaining and transferring critical scientific tool</w:t>
      </w:r>
      <w:r w:rsidR="0056764D">
        <w:t>s</w:t>
      </w:r>
      <w:r w:rsidR="007124A8">
        <w:t>, compu</w:t>
      </w:r>
      <w:r w:rsidR="0056764D">
        <w:t xml:space="preserve">ter codes, and methodologies were and still are a </w:t>
      </w:r>
      <w:r w:rsidR="007124A8">
        <w:t>significant component of the cooperative program</w:t>
      </w:r>
      <w:r w:rsidR="0056764D">
        <w:t>s</w:t>
      </w:r>
      <w:r w:rsidR="007124A8">
        <w:t xml:space="preserve"> allowing the TSOs to perform analytical assessment as an independent agency</w:t>
      </w:r>
      <w:r w:rsidR="0056764D">
        <w:t>, and</w:t>
      </w:r>
      <w:r w:rsidR="007124A8">
        <w:t xml:space="preserve"> providing sound scientific and technical bases for critical regulatory decisions.  The internation</w:t>
      </w:r>
      <w:r w:rsidR="0056764D">
        <w:t>al regulator assistance program</w:t>
      </w:r>
      <w:r w:rsidR="007124A8">
        <w:t xml:space="preserve"> consider and use </w:t>
      </w:r>
      <w:r w:rsidR="0056764D">
        <w:t xml:space="preserve">the </w:t>
      </w:r>
      <w:r w:rsidR="007124A8">
        <w:t xml:space="preserve">basic principles applied in US NRC and international regulatory experience such as, </w:t>
      </w:r>
      <w:r w:rsidR="0056764D">
        <w:t>the defense-in-</w:t>
      </w:r>
      <w:r w:rsidR="007124A8">
        <w:t>depth concept, risk-informed regulatory approaches, and sound radiation protection principles.</w:t>
      </w:r>
    </w:p>
    <w:p w:rsidR="007124A8" w:rsidRDefault="007124A8" w:rsidP="00183002">
      <w:pPr>
        <w:pStyle w:val="NoSpacing"/>
        <w:jc w:val="both"/>
      </w:pPr>
    </w:p>
    <w:p w:rsidR="004C7552" w:rsidRDefault="00CA76FF" w:rsidP="005151E8">
      <w:pPr>
        <w:pStyle w:val="NoSpacing"/>
        <w:jc w:val="both"/>
      </w:pPr>
      <w:r>
        <w:t>The NRC’s nuclear regulatory assistance progra</w:t>
      </w:r>
      <w:r w:rsidR="00C431BF">
        <w:t xml:space="preserve">m has changed over the years </w:t>
      </w:r>
      <w:r>
        <w:t>respond</w:t>
      </w:r>
      <w:r w:rsidR="00C431BF">
        <w:t xml:space="preserve">ing to </w:t>
      </w:r>
      <w:r>
        <w:t>new</w:t>
      </w:r>
      <w:r w:rsidR="00C431BF">
        <w:t xml:space="preserve">, international developments, </w:t>
      </w:r>
      <w:r>
        <w:t xml:space="preserve">specifically the planned expansion of nuclear installations </w:t>
      </w:r>
      <w:r w:rsidR="004328A2">
        <w:t>in countries with relatively limited nuclear regulatory infrastructure.   The program provides assistance to</w:t>
      </w:r>
      <w:r w:rsidR="00ED2786">
        <w:t xml:space="preserve"> countries with new or expa</w:t>
      </w:r>
      <w:r w:rsidR="004328A2">
        <w:t>nding nu</w:t>
      </w:r>
      <w:r w:rsidR="0056764D">
        <w:t xml:space="preserve">clear power programs helping to </w:t>
      </w:r>
      <w:r w:rsidR="00ED2786">
        <w:t>establish and maintain effective nuclear safety and security regulatory authorities.</w:t>
      </w:r>
      <w:r w:rsidR="004328A2">
        <w:t xml:space="preserve">  The cooperation program assists</w:t>
      </w:r>
      <w:r w:rsidR="00ED2786" w:rsidRPr="00ED2786">
        <w:t xml:space="preserve"> in the development of re</w:t>
      </w:r>
      <w:r w:rsidR="004328A2">
        <w:t xml:space="preserve">gulatory agency infrastructure, </w:t>
      </w:r>
      <w:r w:rsidR="00ED2786" w:rsidRPr="00ED2786">
        <w:t xml:space="preserve">organization, staffing, training, and </w:t>
      </w:r>
      <w:r w:rsidR="0056764D">
        <w:t xml:space="preserve">also providing </w:t>
      </w:r>
      <w:r w:rsidR="004328A2">
        <w:t xml:space="preserve">significant </w:t>
      </w:r>
      <w:r w:rsidR="00ED2786" w:rsidRPr="00ED2786">
        <w:t>technical support</w:t>
      </w:r>
      <w:r w:rsidR="004328A2">
        <w:t xml:space="preserve">.  It also </w:t>
      </w:r>
      <w:r w:rsidR="0056764D">
        <w:t>supports the</w:t>
      </w:r>
      <w:r w:rsidR="004328A2">
        <w:t xml:space="preserve"> d</w:t>
      </w:r>
      <w:r w:rsidR="00ED2786" w:rsidRPr="00ED2786">
        <w:t xml:space="preserve">evelopment </w:t>
      </w:r>
      <w:r w:rsidR="003253CF" w:rsidRPr="00ED2786">
        <w:t>of nuclear regulatory programs</w:t>
      </w:r>
      <w:r w:rsidR="004328A2">
        <w:t xml:space="preserve">, overview of laws and </w:t>
      </w:r>
      <w:r w:rsidR="00ED2786" w:rsidRPr="00ED2786">
        <w:t>regulations</w:t>
      </w:r>
      <w:r w:rsidR="004328A2">
        <w:t xml:space="preserve"> related to nuclear industry and regulation as well as regulatory guidance, and the d</w:t>
      </w:r>
      <w:r w:rsidR="00ED2786" w:rsidRPr="00ED2786">
        <w:t>evelopment and delivery of training for regulatory agency management and staff</w:t>
      </w:r>
      <w:r w:rsidR="004328A2">
        <w:t>.</w:t>
      </w:r>
    </w:p>
    <w:p w:rsidR="004328A2" w:rsidRPr="004328A2" w:rsidRDefault="004328A2" w:rsidP="00183002">
      <w:pPr>
        <w:pStyle w:val="NoSpacing"/>
        <w:jc w:val="both"/>
      </w:pPr>
    </w:p>
    <w:p w:rsidR="000D0F12" w:rsidRPr="00E40F7B" w:rsidRDefault="003963DA" w:rsidP="005151E8">
      <w:pPr>
        <w:pStyle w:val="NoSpacing"/>
        <w:jc w:val="both"/>
      </w:pPr>
      <w:r>
        <w:t xml:space="preserve">In recent years the </w:t>
      </w:r>
      <w:r w:rsidR="000D0F12" w:rsidRPr="00E40F7B">
        <w:t>cooperation</w:t>
      </w:r>
      <w:r>
        <w:t xml:space="preserve"> has increased to technical areas beyond safety analys</w:t>
      </w:r>
      <w:r w:rsidR="00C431BF">
        <w:t xml:space="preserve">is, severe accident events, and initial licensing methodologies, </w:t>
      </w:r>
      <w:r>
        <w:t>issues related to new construction of nuclear facilities</w:t>
      </w:r>
      <w:r w:rsidR="00C431BF">
        <w:t xml:space="preserve">, and the application of a </w:t>
      </w:r>
      <w:r>
        <w:t>risk-informed regulatory regime</w:t>
      </w:r>
      <w:r w:rsidR="00057EA5">
        <w:t xml:space="preserve"> [2]</w:t>
      </w:r>
      <w:r>
        <w:t>.  A limited sample of recent cooperative programs indicates a wide-ranging interest among nuclear regulators in these specific technical areas</w:t>
      </w:r>
      <w:r w:rsidR="00673E0C">
        <w:t xml:space="preserve"> reflecting the need to expand the scientifi</w:t>
      </w:r>
      <w:r w:rsidR="00C431BF">
        <w:t>c knowledge base at the TSOs enabling a better response</w:t>
      </w:r>
      <w:r w:rsidR="00673E0C">
        <w:t xml:space="preserve"> to industry initiatives and future regulatory challenges</w:t>
      </w:r>
      <w:r>
        <w:t>:</w:t>
      </w:r>
      <w:r w:rsidR="00673E0C" w:rsidRPr="00673E0C">
        <w:rPr>
          <w:rFonts w:ascii="TimesTen-Roman" w:hAnsi="TimesTen-Roman" w:cs="TimesTen-Roman"/>
          <w:sz w:val="20"/>
          <w:szCs w:val="20"/>
        </w:rPr>
        <w:t xml:space="preserve"> </w:t>
      </w:r>
    </w:p>
    <w:p w:rsidR="003963DA" w:rsidRPr="003963DA" w:rsidRDefault="003963DA" w:rsidP="00183002">
      <w:pPr>
        <w:spacing w:after="0" w:line="240" w:lineRule="auto"/>
        <w:jc w:val="both"/>
        <w:rPr>
          <w:rFonts w:eastAsia="Calibri"/>
        </w:rPr>
      </w:pPr>
    </w:p>
    <w:p w:rsidR="000D0F12" w:rsidRPr="00E40F7B" w:rsidRDefault="000D0F12" w:rsidP="00183002">
      <w:pPr>
        <w:numPr>
          <w:ilvl w:val="0"/>
          <w:numId w:val="5"/>
        </w:numPr>
        <w:spacing w:after="0" w:line="240" w:lineRule="auto"/>
        <w:contextualSpacing/>
        <w:jc w:val="both"/>
        <w:rPr>
          <w:rFonts w:eastAsia="Calibri"/>
        </w:rPr>
      </w:pPr>
      <w:r w:rsidRPr="00E40F7B">
        <w:rPr>
          <w:rFonts w:eastAsia="Calibri"/>
        </w:rPr>
        <w:t>Assist in improving training guidance and instructions in</w:t>
      </w:r>
      <w:r w:rsidR="003963DA" w:rsidRPr="003963DA">
        <w:rPr>
          <w:rFonts w:eastAsia="Calibri"/>
        </w:rPr>
        <w:t xml:space="preserve">, a) </w:t>
      </w:r>
      <w:r w:rsidRPr="00E40F7B">
        <w:rPr>
          <w:rFonts w:eastAsia="Calibri"/>
        </w:rPr>
        <w:t>inspection procedures</w:t>
      </w:r>
      <w:r w:rsidR="003963DA" w:rsidRPr="003963DA">
        <w:rPr>
          <w:rFonts w:eastAsia="Calibri"/>
        </w:rPr>
        <w:t xml:space="preserve"> and b) </w:t>
      </w:r>
      <w:r w:rsidR="003963DA">
        <w:rPr>
          <w:rFonts w:eastAsia="Calibri"/>
        </w:rPr>
        <w:t>t</w:t>
      </w:r>
      <w:r w:rsidRPr="00E40F7B">
        <w:rPr>
          <w:rFonts w:eastAsia="Calibri"/>
        </w:rPr>
        <w:t xml:space="preserve">argeted inspections plans </w:t>
      </w:r>
      <w:bookmarkStart w:id="0" w:name="_GoBack"/>
      <w:bookmarkEnd w:id="0"/>
    </w:p>
    <w:p w:rsidR="000D0F12" w:rsidRPr="00E40F7B" w:rsidRDefault="000D0F12" w:rsidP="00183002">
      <w:pPr>
        <w:numPr>
          <w:ilvl w:val="0"/>
          <w:numId w:val="5"/>
        </w:numPr>
        <w:spacing w:after="0" w:line="240" w:lineRule="auto"/>
        <w:contextualSpacing/>
        <w:jc w:val="both"/>
        <w:rPr>
          <w:rFonts w:eastAsia="Calibri"/>
        </w:rPr>
      </w:pPr>
      <w:r w:rsidRPr="00E40F7B">
        <w:rPr>
          <w:rFonts w:eastAsia="Calibri"/>
        </w:rPr>
        <w:t xml:space="preserve">Cooperate on construction inspection methods as </w:t>
      </w:r>
      <w:r w:rsidR="003963DA">
        <w:rPr>
          <w:rFonts w:eastAsia="Calibri"/>
        </w:rPr>
        <w:t xml:space="preserve">applicable to certified designs </w:t>
      </w:r>
    </w:p>
    <w:p w:rsidR="000D0F12" w:rsidRPr="00E40F7B" w:rsidRDefault="000D0F12" w:rsidP="00183002">
      <w:pPr>
        <w:numPr>
          <w:ilvl w:val="0"/>
          <w:numId w:val="13"/>
        </w:numPr>
        <w:spacing w:after="0" w:line="240" w:lineRule="auto"/>
        <w:contextualSpacing/>
        <w:jc w:val="both"/>
        <w:rPr>
          <w:rFonts w:eastAsia="Calibri"/>
        </w:rPr>
      </w:pPr>
      <w:r w:rsidRPr="00E40F7B">
        <w:rPr>
          <w:rFonts w:eastAsia="Calibri"/>
        </w:rPr>
        <w:t>Assist in implementing risk-informed inspection process</w:t>
      </w:r>
      <w:r w:rsidR="003963DA">
        <w:rPr>
          <w:rFonts w:eastAsia="Calibri"/>
        </w:rPr>
        <w:t>es</w:t>
      </w:r>
      <w:r w:rsidR="007C0CAF">
        <w:rPr>
          <w:rFonts w:eastAsia="Calibri"/>
        </w:rPr>
        <w:t>, developing risk-informed regulatory regime</w:t>
      </w:r>
      <w:r w:rsidR="0097589F">
        <w:rPr>
          <w:rFonts w:eastAsia="Calibri"/>
        </w:rPr>
        <w:t xml:space="preserve"> and severe accident managements, external hazard analyses</w:t>
      </w:r>
    </w:p>
    <w:p w:rsidR="000D0F12" w:rsidRPr="00E40F7B" w:rsidRDefault="000D0F12" w:rsidP="00183002">
      <w:pPr>
        <w:numPr>
          <w:ilvl w:val="0"/>
          <w:numId w:val="13"/>
        </w:numPr>
        <w:spacing w:after="0" w:line="240" w:lineRule="auto"/>
        <w:contextualSpacing/>
        <w:jc w:val="both"/>
        <w:rPr>
          <w:rFonts w:eastAsia="Calibri"/>
        </w:rPr>
      </w:pPr>
      <w:r w:rsidRPr="00E40F7B">
        <w:rPr>
          <w:rFonts w:eastAsia="Calibri"/>
        </w:rPr>
        <w:t>Provide support in using PRA techniques for Technical Specification improvements</w:t>
      </w:r>
    </w:p>
    <w:p w:rsidR="000D0F12" w:rsidRDefault="000D0F12" w:rsidP="00183002">
      <w:pPr>
        <w:numPr>
          <w:ilvl w:val="0"/>
          <w:numId w:val="13"/>
        </w:numPr>
        <w:spacing w:after="0" w:line="240" w:lineRule="auto"/>
        <w:contextualSpacing/>
        <w:jc w:val="both"/>
        <w:rPr>
          <w:rFonts w:eastAsia="Calibri"/>
        </w:rPr>
      </w:pPr>
      <w:r w:rsidRPr="00E40F7B">
        <w:rPr>
          <w:rFonts w:eastAsia="Calibri"/>
        </w:rPr>
        <w:t>Information exchange on NPP license extension, aging</w:t>
      </w:r>
      <w:r w:rsidR="00673E0C">
        <w:rPr>
          <w:rFonts w:eastAsia="Calibri"/>
        </w:rPr>
        <w:t>, reduction of uncertainties in safety analysis assumptions and methodologies</w:t>
      </w:r>
    </w:p>
    <w:p w:rsidR="007C0CAF" w:rsidRPr="00E40F7B" w:rsidRDefault="007C0CAF" w:rsidP="00183002">
      <w:pPr>
        <w:numPr>
          <w:ilvl w:val="0"/>
          <w:numId w:val="13"/>
        </w:numPr>
        <w:spacing w:after="0" w:line="240" w:lineRule="auto"/>
        <w:contextualSpacing/>
        <w:jc w:val="both"/>
        <w:rPr>
          <w:rFonts w:eastAsia="Calibri"/>
        </w:rPr>
      </w:pPr>
      <w:r>
        <w:rPr>
          <w:rFonts w:eastAsia="Calibri"/>
        </w:rPr>
        <w:t>Evaluate methodologies assessing operating margins</w:t>
      </w:r>
    </w:p>
    <w:p w:rsidR="000D0F12" w:rsidRPr="00E40F7B" w:rsidRDefault="000D0F12" w:rsidP="00183002">
      <w:pPr>
        <w:numPr>
          <w:ilvl w:val="0"/>
          <w:numId w:val="13"/>
        </w:numPr>
        <w:spacing w:after="0" w:line="240" w:lineRule="auto"/>
        <w:contextualSpacing/>
        <w:jc w:val="both"/>
        <w:rPr>
          <w:rFonts w:eastAsia="Calibri"/>
        </w:rPr>
      </w:pPr>
      <w:r w:rsidRPr="00E40F7B">
        <w:rPr>
          <w:rFonts w:eastAsia="Calibri"/>
        </w:rPr>
        <w:t>Safety issues in application of digital instrumentation</w:t>
      </w:r>
    </w:p>
    <w:p w:rsidR="00673E0C" w:rsidRDefault="000D0F12" w:rsidP="00183002">
      <w:pPr>
        <w:numPr>
          <w:ilvl w:val="0"/>
          <w:numId w:val="7"/>
        </w:numPr>
        <w:spacing w:after="0" w:line="240" w:lineRule="auto"/>
        <w:contextualSpacing/>
        <w:jc w:val="both"/>
        <w:rPr>
          <w:rFonts w:eastAsia="Calibri"/>
        </w:rPr>
      </w:pPr>
      <w:r w:rsidRPr="00E40F7B">
        <w:rPr>
          <w:rFonts w:eastAsia="Calibri"/>
        </w:rPr>
        <w:lastRenderedPageBreak/>
        <w:t>Support establishing a regulatory review framework for standardized/certified designs</w:t>
      </w:r>
    </w:p>
    <w:p w:rsidR="000D0F12" w:rsidRPr="00E40F7B" w:rsidRDefault="00673E0C" w:rsidP="00183002">
      <w:pPr>
        <w:numPr>
          <w:ilvl w:val="0"/>
          <w:numId w:val="7"/>
        </w:numPr>
        <w:spacing w:after="0" w:line="240" w:lineRule="auto"/>
        <w:contextualSpacing/>
        <w:jc w:val="both"/>
        <w:rPr>
          <w:rFonts w:eastAsia="Calibri"/>
        </w:rPr>
      </w:pPr>
      <w:r w:rsidRPr="00673E0C">
        <w:rPr>
          <w:rFonts w:ascii="TimesTen-Roman" w:hAnsi="TimesTen-Roman" w:cs="TimesTen-Roman"/>
        </w:rPr>
        <w:t>Treatment of human and organizational factors</w:t>
      </w:r>
    </w:p>
    <w:p w:rsidR="000D0F12" w:rsidRPr="00E40F7B" w:rsidRDefault="000D0F12" w:rsidP="00183002">
      <w:pPr>
        <w:numPr>
          <w:ilvl w:val="0"/>
          <w:numId w:val="7"/>
        </w:numPr>
        <w:spacing w:after="0" w:line="240" w:lineRule="auto"/>
        <w:contextualSpacing/>
        <w:jc w:val="both"/>
        <w:rPr>
          <w:rFonts w:eastAsia="Calibri"/>
        </w:rPr>
      </w:pPr>
      <w:r w:rsidRPr="00E40F7B">
        <w:rPr>
          <w:rFonts w:eastAsia="Calibri"/>
        </w:rPr>
        <w:t>Univer</w:t>
      </w:r>
      <w:r w:rsidR="003963DA">
        <w:rPr>
          <w:rFonts w:eastAsia="Calibri"/>
        </w:rPr>
        <w:t xml:space="preserve">sity based regulatory training  </w:t>
      </w:r>
      <w:r w:rsidRPr="00E40F7B">
        <w:rPr>
          <w:rFonts w:eastAsia="Calibri"/>
        </w:rPr>
        <w:t>– providing potential future regulatory personnel</w:t>
      </w:r>
    </w:p>
    <w:p w:rsidR="000D0F12" w:rsidRPr="00E40F7B" w:rsidRDefault="000D0F12" w:rsidP="00183002">
      <w:pPr>
        <w:numPr>
          <w:ilvl w:val="0"/>
          <w:numId w:val="7"/>
        </w:numPr>
        <w:spacing w:after="0" w:line="240" w:lineRule="auto"/>
        <w:contextualSpacing/>
        <w:jc w:val="both"/>
        <w:rPr>
          <w:rFonts w:eastAsia="Calibri"/>
        </w:rPr>
      </w:pPr>
      <w:r w:rsidRPr="00E40F7B">
        <w:rPr>
          <w:rFonts w:eastAsia="Calibri"/>
        </w:rPr>
        <w:t>Modification of fuel</w:t>
      </w:r>
      <w:r w:rsidRPr="00E40F7B">
        <w:rPr>
          <w:rFonts w:eastAsia="Calibri"/>
          <w:lang w:val="en-CA"/>
        </w:rPr>
        <w:t xml:space="preserve"> cycle facilities, decommissioning approaches</w:t>
      </w:r>
      <w:r w:rsidRPr="00E40F7B">
        <w:rPr>
          <w:rFonts w:eastAsia="Calibri"/>
          <w:lang w:val="en-CA"/>
        </w:rPr>
        <w:fldChar w:fldCharType="begin"/>
      </w:r>
      <w:r w:rsidRPr="00E40F7B">
        <w:rPr>
          <w:rFonts w:eastAsia="Calibri"/>
          <w:lang w:val="en-CA"/>
        </w:rPr>
        <w:instrText xml:space="preserve"> SEQ CHAPTER \h \r 1</w:instrText>
      </w:r>
      <w:r w:rsidRPr="00E40F7B">
        <w:rPr>
          <w:rFonts w:eastAsia="Calibri"/>
          <w:lang w:val="en-CA"/>
        </w:rPr>
        <w:fldChar w:fldCharType="end"/>
      </w:r>
      <w:r w:rsidRPr="00E40F7B">
        <w:rPr>
          <w:rFonts w:eastAsia="Calibri"/>
        </w:rPr>
        <w:t>.</w:t>
      </w:r>
    </w:p>
    <w:p w:rsidR="005D5D1F" w:rsidRDefault="005D5D1F" w:rsidP="00183002">
      <w:pPr>
        <w:pStyle w:val="NoSpacing"/>
        <w:jc w:val="both"/>
        <w:rPr>
          <w:rFonts w:eastAsia="Times New Roman"/>
        </w:rPr>
      </w:pPr>
    </w:p>
    <w:p w:rsidR="004516C7" w:rsidRDefault="007C385B" w:rsidP="00183002">
      <w:pPr>
        <w:autoSpaceDE w:val="0"/>
        <w:autoSpaceDN w:val="0"/>
        <w:adjustRightInd w:val="0"/>
        <w:spacing w:after="0" w:line="240" w:lineRule="auto"/>
        <w:jc w:val="both"/>
        <w:rPr>
          <w:rFonts w:eastAsia="Times New Roman"/>
        </w:rPr>
      </w:pPr>
      <w:r>
        <w:rPr>
          <w:rFonts w:eastAsia="Times New Roman"/>
        </w:rPr>
        <w:t xml:space="preserve">In contrast to US </w:t>
      </w:r>
      <w:r w:rsidR="00C431BF">
        <w:rPr>
          <w:rFonts w:eastAsia="Times New Roman"/>
        </w:rPr>
        <w:t>practices, most countries have</w:t>
      </w:r>
      <w:r>
        <w:rPr>
          <w:rFonts w:eastAsia="Times New Roman"/>
        </w:rPr>
        <w:t xml:space="preserve"> limited set</w:t>
      </w:r>
      <w:r w:rsidR="00C431BF">
        <w:rPr>
          <w:rFonts w:eastAsia="Times New Roman"/>
        </w:rPr>
        <w:t>s</w:t>
      </w:r>
      <w:r>
        <w:rPr>
          <w:rFonts w:eastAsia="Times New Roman"/>
        </w:rPr>
        <w:t xml:space="preserve"> of TSOs that </w:t>
      </w:r>
      <w:r w:rsidR="00C431BF">
        <w:rPr>
          <w:rFonts w:eastAsia="Times New Roman"/>
        </w:rPr>
        <w:t xml:space="preserve">the nuclear regulator may </w:t>
      </w:r>
      <w:r>
        <w:rPr>
          <w:rFonts w:eastAsia="Times New Roman"/>
        </w:rPr>
        <w:t>r</w:t>
      </w:r>
      <w:r w:rsidR="00C431BF">
        <w:rPr>
          <w:rFonts w:eastAsia="Times New Roman"/>
        </w:rPr>
        <w:t>ely</w:t>
      </w:r>
      <w:r>
        <w:rPr>
          <w:rFonts w:eastAsia="Times New Roman"/>
        </w:rPr>
        <w:t xml:space="preserve"> on to supplement and augment regulatory review capabilities.  </w:t>
      </w:r>
      <w:r w:rsidR="00460C9A">
        <w:rPr>
          <w:rFonts w:eastAsia="Times New Roman"/>
        </w:rPr>
        <w:t>In addition, s</w:t>
      </w:r>
      <w:r w:rsidR="00FF5F8A">
        <w:rPr>
          <w:rFonts w:eastAsia="Times New Roman"/>
        </w:rPr>
        <w:t xml:space="preserve">ome of the countries have institutional arrangements assigning dedicated TSOs for regulatory review functions.  </w:t>
      </w:r>
      <w:r w:rsidR="00460C9A">
        <w:rPr>
          <w:rFonts w:eastAsia="Times New Roman"/>
        </w:rPr>
        <w:t xml:space="preserve">Normally, a few dedicated TSOs are </w:t>
      </w:r>
      <w:r>
        <w:rPr>
          <w:rFonts w:eastAsia="Times New Roman"/>
        </w:rPr>
        <w:t>available as separate legal entities allowing direct contractual relationship between the TSO</w:t>
      </w:r>
      <w:r w:rsidR="00460C9A">
        <w:rPr>
          <w:rFonts w:eastAsia="Times New Roman"/>
        </w:rPr>
        <w:t>s</w:t>
      </w:r>
      <w:r>
        <w:rPr>
          <w:rFonts w:eastAsia="Times New Roman"/>
        </w:rPr>
        <w:t xml:space="preserve"> and international organizations.  The technical assistance for TSOs concentrate on two general areas</w:t>
      </w:r>
      <w:r w:rsidR="00D85782">
        <w:rPr>
          <w:rFonts w:eastAsia="Times New Roman"/>
        </w:rPr>
        <w:t>, a)</w:t>
      </w:r>
      <w:r>
        <w:rPr>
          <w:rFonts w:eastAsia="Times New Roman"/>
        </w:rPr>
        <w:t xml:space="preserve"> developing very specialized skills and experience applicable to nuclear regulatory reviews and </w:t>
      </w:r>
      <w:r w:rsidR="00D85782">
        <w:rPr>
          <w:rFonts w:eastAsia="Times New Roman"/>
        </w:rPr>
        <w:t xml:space="preserve">b) </w:t>
      </w:r>
      <w:r w:rsidR="00460C9A">
        <w:rPr>
          <w:rFonts w:eastAsia="Times New Roman"/>
        </w:rPr>
        <w:t>improving</w:t>
      </w:r>
      <w:r>
        <w:rPr>
          <w:rFonts w:eastAsia="Times New Roman"/>
        </w:rPr>
        <w:t xml:space="preserve"> or develop</w:t>
      </w:r>
      <w:r w:rsidR="00460C9A">
        <w:rPr>
          <w:rFonts w:eastAsia="Times New Roman"/>
        </w:rPr>
        <w:t>ing</w:t>
      </w:r>
      <w:r>
        <w:rPr>
          <w:rFonts w:eastAsia="Times New Roman"/>
        </w:rPr>
        <w:t xml:space="preserve"> general engi</w:t>
      </w:r>
      <w:r w:rsidR="00D85782">
        <w:rPr>
          <w:rFonts w:eastAsia="Times New Roman"/>
        </w:rPr>
        <w:t xml:space="preserve">neering expertise. </w:t>
      </w:r>
      <w:r w:rsidR="00FF5F8A">
        <w:rPr>
          <w:rFonts w:eastAsia="Times New Roman"/>
        </w:rPr>
        <w:t xml:space="preserve"> In awarding contracts, the NRC encourages and supports assistance that avoids conflict of interests that may arise due to </w:t>
      </w:r>
      <w:r w:rsidR="00460C9A">
        <w:rPr>
          <w:rFonts w:eastAsia="Times New Roman"/>
        </w:rPr>
        <w:t>the limited nuclear expertise available in</w:t>
      </w:r>
      <w:r w:rsidR="00FF5F8A">
        <w:rPr>
          <w:rFonts w:eastAsia="Times New Roman"/>
        </w:rPr>
        <w:t xml:space="preserve"> many countries.  In order to maintain public confidence in the regulatory reviews, the conflict of interest issues are extremely important and are fully recognized by nuclear regulators.</w:t>
      </w:r>
      <w:r w:rsidR="004516C7">
        <w:rPr>
          <w:rFonts w:eastAsia="Times New Roman"/>
        </w:rPr>
        <w:t xml:space="preserve">  Due to the institutional arrangements</w:t>
      </w:r>
      <w:r w:rsidR="00460C9A">
        <w:rPr>
          <w:rFonts w:eastAsia="Times New Roman"/>
        </w:rPr>
        <w:t>,</w:t>
      </w:r>
      <w:r w:rsidR="004516C7">
        <w:rPr>
          <w:rFonts w:eastAsia="Times New Roman"/>
        </w:rPr>
        <w:t xml:space="preserve"> where dedicated TSOs are preselected for regulatory reviews, the contracting </w:t>
      </w:r>
      <w:r w:rsidR="00460C9A">
        <w:rPr>
          <w:rFonts w:eastAsia="Times New Roman"/>
        </w:rPr>
        <w:t>procedure</w:t>
      </w:r>
      <w:r w:rsidR="004516C7">
        <w:rPr>
          <w:rFonts w:eastAsia="Times New Roman"/>
        </w:rPr>
        <w:t xml:space="preserve"> is using mostly sole source processes, which pose difficult issues in the US involving sensitivities to legal requirements.  </w:t>
      </w:r>
      <w:r w:rsidR="00460C9A">
        <w:rPr>
          <w:rFonts w:eastAsia="Times New Roman"/>
        </w:rPr>
        <w:t>A sound contracting process ensures that the reg</w:t>
      </w:r>
      <w:r w:rsidR="006678EC">
        <w:rPr>
          <w:rFonts w:eastAsia="Times New Roman"/>
        </w:rPr>
        <w:t xml:space="preserve">ulatory agency has access to </w:t>
      </w:r>
      <w:r w:rsidR="00460C9A">
        <w:rPr>
          <w:rFonts w:eastAsia="Times New Roman"/>
        </w:rPr>
        <w:t xml:space="preserve">experienced and </w:t>
      </w:r>
      <w:r w:rsidR="006678EC">
        <w:rPr>
          <w:rFonts w:eastAsia="Times New Roman"/>
        </w:rPr>
        <w:t>knowledgeable</w:t>
      </w:r>
      <w:r w:rsidR="00460C9A">
        <w:rPr>
          <w:rFonts w:eastAsia="Times New Roman"/>
        </w:rPr>
        <w:t xml:space="preserve"> TSO staff that can provide technical </w:t>
      </w:r>
      <w:r w:rsidR="006678EC">
        <w:rPr>
          <w:rFonts w:eastAsia="Times New Roman"/>
        </w:rPr>
        <w:t xml:space="preserve">expertise enhancing the capabilities and public confidence of the regulator.  </w:t>
      </w:r>
    </w:p>
    <w:p w:rsidR="004516C7" w:rsidRDefault="004516C7" w:rsidP="00183002">
      <w:pPr>
        <w:pStyle w:val="NoSpacing"/>
        <w:jc w:val="both"/>
        <w:rPr>
          <w:rFonts w:eastAsia="Times New Roman"/>
        </w:rPr>
      </w:pPr>
      <w:r>
        <w:rPr>
          <w:rFonts w:eastAsia="Times New Roman"/>
        </w:rPr>
        <w:tab/>
      </w:r>
    </w:p>
    <w:p w:rsidR="005D5D1F" w:rsidRPr="00444E6C" w:rsidRDefault="00757C19" w:rsidP="00183002">
      <w:pPr>
        <w:pStyle w:val="NoSpacing"/>
        <w:numPr>
          <w:ilvl w:val="0"/>
          <w:numId w:val="10"/>
        </w:numPr>
        <w:jc w:val="both"/>
        <w:rPr>
          <w:rFonts w:eastAsia="Times New Roman"/>
          <w:b/>
        </w:rPr>
      </w:pPr>
      <w:r w:rsidRPr="00444E6C">
        <w:rPr>
          <w:rFonts w:eastAsia="Times New Roman"/>
          <w:b/>
        </w:rPr>
        <w:t>C</w:t>
      </w:r>
      <w:r w:rsidR="00444E6C">
        <w:rPr>
          <w:rFonts w:eastAsia="Times New Roman"/>
          <w:b/>
        </w:rPr>
        <w:t>onclusion</w:t>
      </w:r>
    </w:p>
    <w:p w:rsidR="004516C7" w:rsidRDefault="004516C7" w:rsidP="00183002">
      <w:pPr>
        <w:pStyle w:val="NoSpacing"/>
        <w:ind w:left="720"/>
        <w:jc w:val="both"/>
        <w:rPr>
          <w:rFonts w:eastAsia="Times New Roman"/>
        </w:rPr>
      </w:pPr>
    </w:p>
    <w:p w:rsidR="004516C7" w:rsidRDefault="004516C7" w:rsidP="005151E8">
      <w:pPr>
        <w:autoSpaceDE w:val="0"/>
        <w:autoSpaceDN w:val="0"/>
        <w:adjustRightInd w:val="0"/>
        <w:spacing w:after="0" w:line="240" w:lineRule="auto"/>
        <w:jc w:val="both"/>
        <w:rPr>
          <w:rFonts w:eastAsia="Times New Roman"/>
        </w:rPr>
      </w:pPr>
      <w:r>
        <w:rPr>
          <w:rFonts w:eastAsia="Times New Roman"/>
        </w:rPr>
        <w:t>One of the important objectives</w:t>
      </w:r>
      <w:r w:rsidR="00E32823">
        <w:rPr>
          <w:rFonts w:eastAsia="Times New Roman"/>
        </w:rPr>
        <w:t xml:space="preserve"> of the US NRC’s international regulatory assistance program </w:t>
      </w:r>
      <w:r>
        <w:rPr>
          <w:rFonts w:eastAsia="Times New Roman"/>
        </w:rPr>
        <w:t xml:space="preserve">is to strengthen the oversight capabilities and effectiveness of the foreign nuclear regulatory agencies and improve the TSO’s ability to carry out the required technical supports.  In each respective </w:t>
      </w:r>
      <w:r w:rsidR="00B75EF3">
        <w:rPr>
          <w:rFonts w:eastAsia="Times New Roman"/>
        </w:rPr>
        <w:t>country,</w:t>
      </w:r>
      <w:r>
        <w:rPr>
          <w:rFonts w:eastAsia="Times New Roman"/>
        </w:rPr>
        <w:t xml:space="preserve"> the </w:t>
      </w:r>
      <w:r w:rsidR="00B75EF3">
        <w:rPr>
          <w:rFonts w:eastAsia="Times New Roman"/>
        </w:rPr>
        <w:t xml:space="preserve">OIP’s regulatory assistance </w:t>
      </w:r>
      <w:r>
        <w:rPr>
          <w:rFonts w:eastAsia="Times New Roman"/>
        </w:rPr>
        <w:t xml:space="preserve">program further enhances the regulatory </w:t>
      </w:r>
      <w:r w:rsidR="00B75EF3">
        <w:rPr>
          <w:rFonts w:eastAsia="Times New Roman"/>
        </w:rPr>
        <w:t>regimes;</w:t>
      </w:r>
      <w:r>
        <w:rPr>
          <w:rFonts w:eastAsia="Times New Roman"/>
        </w:rPr>
        <w:t xml:space="preserve"> improve nuclear regulations and </w:t>
      </w:r>
      <w:r w:rsidR="00B75EF3">
        <w:rPr>
          <w:rFonts w:eastAsia="Times New Roman"/>
        </w:rPr>
        <w:t>standards, which are</w:t>
      </w:r>
      <w:r>
        <w:rPr>
          <w:rFonts w:eastAsia="Times New Roman"/>
        </w:rPr>
        <w:t xml:space="preserve"> more consistent with international and IAEA practices. The main benefit of the regulatory and technical cooperation is the improvement in regulatory and technical capabilities both at the nuclear regulatory agency and the TSOs.  </w:t>
      </w:r>
      <w:r w:rsidRPr="00660FC4">
        <w:rPr>
          <w:rFonts w:eastAsia="Times New Roman"/>
        </w:rPr>
        <w:t xml:space="preserve">The future challenge is to ensure that the </w:t>
      </w:r>
      <w:r w:rsidRPr="00860A4D">
        <w:rPr>
          <w:rFonts w:eastAsia="Times New Roman"/>
        </w:rPr>
        <w:t xml:space="preserve">cooperation between NRC and foreign regulatory </w:t>
      </w:r>
      <w:r>
        <w:rPr>
          <w:rFonts w:eastAsia="Times New Roman"/>
        </w:rPr>
        <w:t>agencies responds to the country specific regulatory needs and further increase the capabilities with an overall increase in the safety of the nuclear facilities.</w:t>
      </w:r>
    </w:p>
    <w:p w:rsidR="004516C7" w:rsidRDefault="004516C7" w:rsidP="00183002">
      <w:pPr>
        <w:pStyle w:val="NoSpacing"/>
        <w:ind w:left="720"/>
        <w:jc w:val="both"/>
        <w:rPr>
          <w:rFonts w:eastAsia="Times New Roman"/>
        </w:rPr>
      </w:pPr>
    </w:p>
    <w:p w:rsidR="004516C7" w:rsidRDefault="00E32823" w:rsidP="005151E8">
      <w:pPr>
        <w:autoSpaceDE w:val="0"/>
        <w:autoSpaceDN w:val="0"/>
        <w:adjustRightInd w:val="0"/>
        <w:spacing w:after="0" w:line="240" w:lineRule="auto"/>
        <w:jc w:val="both"/>
        <w:rPr>
          <w:rFonts w:eastAsia="Times New Roman"/>
        </w:rPr>
      </w:pPr>
      <w:r>
        <w:rPr>
          <w:rFonts w:eastAsia="Times New Roman"/>
        </w:rPr>
        <w:t>International cooperation among the nuclear regulatory agencies and TSOs significantly enhances nuclear safety in all the respective countries</w:t>
      </w:r>
      <w:r w:rsidRPr="00E32823">
        <w:rPr>
          <w:rFonts w:eastAsia="Times New Roman"/>
        </w:rPr>
        <w:t xml:space="preserve">.  </w:t>
      </w:r>
      <w:r w:rsidRPr="00E32823">
        <w:t xml:space="preserve"> The nuclear regulatory agencies have </w:t>
      </w:r>
      <w:r>
        <w:t>many important responsibilities, which are complimented by the TSOs technical expertise on specific technical and scientific areas</w:t>
      </w:r>
      <w:r w:rsidR="00B75EF3">
        <w:t>.  One of the important functions of the TSOs is to develop and maintain</w:t>
      </w:r>
      <w:r>
        <w:t xml:space="preserve"> well trained experts in the respective technical and scientific fields. The international nature of the nuclear industry also requires the cooperation among the </w:t>
      </w:r>
      <w:r w:rsidR="00B75EF3">
        <w:t xml:space="preserve">regulatory bodies including </w:t>
      </w:r>
      <w:r>
        <w:t xml:space="preserve">TSOs </w:t>
      </w:r>
      <w:r w:rsidR="00B75EF3">
        <w:t xml:space="preserve">contributing to the development of </w:t>
      </w:r>
      <w:r>
        <w:t>global network of institutions</w:t>
      </w:r>
      <w:r w:rsidR="00B75EF3">
        <w:t>, which</w:t>
      </w:r>
      <w:r>
        <w:t xml:space="preserve"> may serve as the bas</w:t>
      </w:r>
      <w:r w:rsidR="00B75EF3">
        <w:t>is for a coordinated approach to improved nuclear</w:t>
      </w:r>
      <w:r w:rsidR="00757C19">
        <w:t xml:space="preserve"> regulatory methodology</w:t>
      </w:r>
      <w:r w:rsidR="00B75EF3">
        <w:t xml:space="preserve"> and increased nuclear safety</w:t>
      </w:r>
      <w:r w:rsidR="00757C19">
        <w:t xml:space="preserve">.  </w:t>
      </w:r>
      <w:r>
        <w:t xml:space="preserve"> </w:t>
      </w:r>
    </w:p>
    <w:p w:rsidR="00E32823" w:rsidRDefault="00E32823" w:rsidP="00183002">
      <w:pPr>
        <w:pStyle w:val="NoSpacing"/>
        <w:ind w:left="720"/>
        <w:jc w:val="both"/>
        <w:rPr>
          <w:rFonts w:eastAsia="Times New Roman"/>
        </w:rPr>
      </w:pPr>
    </w:p>
    <w:p w:rsidR="005D5D1F" w:rsidRPr="00444E6C" w:rsidRDefault="00444E6C" w:rsidP="00183002">
      <w:pPr>
        <w:pStyle w:val="NoSpacing"/>
        <w:numPr>
          <w:ilvl w:val="0"/>
          <w:numId w:val="10"/>
        </w:numPr>
        <w:jc w:val="both"/>
        <w:rPr>
          <w:rFonts w:eastAsia="Times New Roman"/>
          <w:b/>
        </w:rPr>
      </w:pPr>
      <w:r>
        <w:rPr>
          <w:rFonts w:eastAsia="Times New Roman"/>
          <w:b/>
        </w:rPr>
        <w:t>References</w:t>
      </w:r>
    </w:p>
    <w:p w:rsidR="007A0389" w:rsidRDefault="007A0389" w:rsidP="0018300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jc w:val="both"/>
        <w:rPr>
          <w:rFonts w:eastAsia="Times New Roman"/>
        </w:rPr>
      </w:pPr>
    </w:p>
    <w:p w:rsidR="00057EA5" w:rsidRDefault="00425782" w:rsidP="00057EA5">
      <w:pPr>
        <w:pStyle w:val="ListParagraph"/>
        <w:numPr>
          <w:ilvl w:val="0"/>
          <w:numId w:val="17"/>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eastAsia="Times New Roman"/>
        </w:rPr>
      </w:pPr>
      <w:r>
        <w:rPr>
          <w:rFonts w:eastAsia="Times New Roman"/>
        </w:rPr>
        <w:t>Layton, M., et al., “Emerging need for Nuclear  Security Technical and Scientific Support,” Challenges Faced by Technical and Scientific Support Organizations in Enhancing Nuclear Safety and Security (Proc. Int. Conf. Tokyo, 2010) IAEA, Vienna 2011.</w:t>
      </w:r>
    </w:p>
    <w:p w:rsidR="00057EA5" w:rsidRPr="00057EA5" w:rsidRDefault="00057EA5" w:rsidP="00057EA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eastAsia="Times New Roman"/>
        </w:rPr>
      </w:pPr>
    </w:p>
    <w:p w:rsidR="00C0346E" w:rsidRDefault="00057EA5" w:rsidP="00057EA5">
      <w:pPr>
        <w:pStyle w:val="ListParagraph"/>
        <w:numPr>
          <w:ilvl w:val="0"/>
          <w:numId w:val="17"/>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pPr>
      <w:r>
        <w:t>“</w:t>
      </w:r>
      <w:r w:rsidR="00F17E10" w:rsidRPr="00F17E10">
        <w:t>Regulatory Analysis</w:t>
      </w:r>
      <w:r>
        <w:t xml:space="preserve"> </w:t>
      </w:r>
      <w:r w:rsidR="00F17E10" w:rsidRPr="00F17E10">
        <w:t>Guidelines of the U.S. Nuclear Regulatory</w:t>
      </w:r>
      <w:r>
        <w:t xml:space="preserve"> Commission,” </w:t>
      </w:r>
      <w:r>
        <w:t>NUREG/BR-0058</w:t>
      </w:r>
      <w:r>
        <w:t>, August 2004</w:t>
      </w:r>
    </w:p>
    <w:p w:rsidR="00C0346E" w:rsidRDefault="00C0346E" w:rsidP="00922FFB">
      <w:pPr>
        <w:autoSpaceDE w:val="0"/>
        <w:autoSpaceDN w:val="0"/>
        <w:adjustRightInd w:val="0"/>
        <w:spacing w:after="0" w:line="240" w:lineRule="auto"/>
        <w:rPr>
          <w:rFonts w:eastAsia="Times New Roman"/>
        </w:rPr>
      </w:pPr>
    </w:p>
    <w:p w:rsidR="00C0346E" w:rsidRDefault="00C0346E" w:rsidP="00922FFB">
      <w:pPr>
        <w:autoSpaceDE w:val="0"/>
        <w:autoSpaceDN w:val="0"/>
        <w:adjustRightInd w:val="0"/>
        <w:spacing w:after="0" w:line="240" w:lineRule="auto"/>
        <w:rPr>
          <w:rFonts w:eastAsia="Times New Roman"/>
        </w:rPr>
      </w:pPr>
    </w:p>
    <w:p w:rsidR="00C0346E" w:rsidRDefault="00C0346E" w:rsidP="00922FFB">
      <w:pPr>
        <w:autoSpaceDE w:val="0"/>
        <w:autoSpaceDN w:val="0"/>
        <w:adjustRightInd w:val="0"/>
        <w:spacing w:after="0" w:line="240" w:lineRule="auto"/>
        <w:rPr>
          <w:rFonts w:eastAsia="Times New Roman"/>
        </w:rPr>
      </w:pPr>
    </w:p>
    <w:p w:rsidR="00D77483" w:rsidRDefault="00D77483" w:rsidP="00D77483">
      <w:pPr>
        <w:autoSpaceDE w:val="0"/>
        <w:autoSpaceDN w:val="0"/>
        <w:adjustRightInd w:val="0"/>
        <w:spacing w:after="0" w:line="240" w:lineRule="auto"/>
        <w:rPr>
          <w:sz w:val="21"/>
          <w:szCs w:val="21"/>
        </w:rPr>
      </w:pPr>
    </w:p>
    <w:p w:rsidR="0097589F" w:rsidRPr="00AE0E54" w:rsidRDefault="0097589F" w:rsidP="0097589F">
      <w:pPr>
        <w:spacing w:before="100" w:beforeAutospacing="1" w:after="100" w:afterAutospacing="1" w:line="240" w:lineRule="auto"/>
        <w:rPr>
          <w:rFonts w:eastAsia="Times New Roman"/>
        </w:rPr>
      </w:pPr>
    </w:p>
    <w:p w:rsidR="00AE0E54" w:rsidRPr="00C0346E" w:rsidRDefault="00AE0E54" w:rsidP="00C0346E">
      <w:pPr>
        <w:autoSpaceDE w:val="0"/>
        <w:autoSpaceDN w:val="0"/>
        <w:adjustRightInd w:val="0"/>
        <w:spacing w:after="0" w:line="240" w:lineRule="auto"/>
        <w:rPr>
          <w:rFonts w:eastAsia="Times New Roman"/>
        </w:rPr>
      </w:pPr>
    </w:p>
    <w:sectPr w:rsidR="00AE0E54" w:rsidRPr="00C0346E" w:rsidSect="00183002">
      <w:headerReference w:type="default" r:id="rId1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A5A" w:rsidRDefault="00BD5A5A" w:rsidP="002D6C7C">
      <w:pPr>
        <w:spacing w:after="0" w:line="240" w:lineRule="auto"/>
      </w:pPr>
      <w:r>
        <w:separator/>
      </w:r>
    </w:p>
  </w:endnote>
  <w:endnote w:type="continuationSeparator" w:id="0">
    <w:p w:rsidR="00BD5A5A" w:rsidRDefault="00BD5A5A" w:rsidP="002D6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Ten-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A5A" w:rsidRDefault="00BD5A5A" w:rsidP="002D6C7C">
      <w:pPr>
        <w:spacing w:after="0" w:line="240" w:lineRule="auto"/>
      </w:pPr>
      <w:r>
        <w:separator/>
      </w:r>
    </w:p>
  </w:footnote>
  <w:footnote w:type="continuationSeparator" w:id="0">
    <w:p w:rsidR="00BD5A5A" w:rsidRDefault="00BD5A5A" w:rsidP="002D6C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002" w:rsidRDefault="00183002" w:rsidP="00183002">
    <w:pPr>
      <w:pStyle w:val="Header"/>
      <w:tabs>
        <w:tab w:val="clear" w:pos="9360"/>
        <w:tab w:val="right" w:pos="9000"/>
      </w:tabs>
    </w:pPr>
    <w:r>
      <w:tab/>
    </w:r>
    <w:r>
      <w:tab/>
      <w:t>IAEA-CN-214-19</w:t>
    </w:r>
  </w:p>
  <w:p w:rsidR="00183002" w:rsidRDefault="001830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5D4465E"/>
    <w:multiLevelType w:val="hybridMultilevel"/>
    <w:tmpl w:val="1A86D2F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793EFD"/>
    <w:multiLevelType w:val="hybridMultilevel"/>
    <w:tmpl w:val="0658D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C21621"/>
    <w:multiLevelType w:val="hybridMultilevel"/>
    <w:tmpl w:val="C87239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D7B72F7"/>
    <w:multiLevelType w:val="hybridMultilevel"/>
    <w:tmpl w:val="6A56C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623C39"/>
    <w:multiLevelType w:val="hybridMultilevel"/>
    <w:tmpl w:val="4AC26A7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35450C"/>
    <w:multiLevelType w:val="hybridMultilevel"/>
    <w:tmpl w:val="2B084AE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79164B0"/>
    <w:multiLevelType w:val="hybridMultilevel"/>
    <w:tmpl w:val="00D408C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847328C"/>
    <w:multiLevelType w:val="hybridMultilevel"/>
    <w:tmpl w:val="67A0ECBE"/>
    <w:lvl w:ilvl="0" w:tplc="270A2378">
      <w:start w:val="1"/>
      <w:numFmt w:val="bullet"/>
      <w:lvlText w:val=""/>
      <w:lvlJc w:val="left"/>
      <w:pPr>
        <w:tabs>
          <w:tab w:val="num" w:pos="360"/>
        </w:tabs>
        <w:ind w:left="360" w:hanging="360"/>
      </w:pPr>
      <w:rPr>
        <w:rFonts w:ascii="Symbol" w:hAnsi="Symbol" w:hint="default"/>
        <w:sz w:val="24"/>
        <w:szCs w:val="24"/>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E340AAE"/>
    <w:multiLevelType w:val="hybridMultilevel"/>
    <w:tmpl w:val="9AF671CA"/>
    <w:lvl w:ilvl="0" w:tplc="F16C849C">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5690717"/>
    <w:multiLevelType w:val="hybridMultilevel"/>
    <w:tmpl w:val="4EC687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9734A4D"/>
    <w:multiLevelType w:val="multilevel"/>
    <w:tmpl w:val="57F4A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F50296"/>
    <w:multiLevelType w:val="hybridMultilevel"/>
    <w:tmpl w:val="9356F80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727136E"/>
    <w:multiLevelType w:val="multilevel"/>
    <w:tmpl w:val="3E76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1C6715"/>
    <w:multiLevelType w:val="hybridMultilevel"/>
    <w:tmpl w:val="C22EF15C"/>
    <w:lvl w:ilvl="0" w:tplc="82F0A1C6">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C201E5"/>
    <w:multiLevelType w:val="hybridMultilevel"/>
    <w:tmpl w:val="979A8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CA76A9"/>
    <w:multiLevelType w:val="hybridMultilevel"/>
    <w:tmpl w:val="0EB0BEC6"/>
    <w:lvl w:ilvl="0" w:tplc="C8B0B5D4">
      <w:start w:val="1"/>
      <w:numFmt w:val="bullet"/>
      <w:lvlText w:val=""/>
      <w:lvlJc w:val="left"/>
      <w:pPr>
        <w:tabs>
          <w:tab w:val="num" w:pos="720"/>
        </w:tabs>
        <w:ind w:left="720" w:hanging="360"/>
      </w:pPr>
      <w:rPr>
        <w:rFonts w:ascii="Wingdings" w:hAnsi="Wingdings" w:hint="default"/>
        <w:sz w:val="24"/>
        <w:szCs w:val="24"/>
      </w:rPr>
    </w:lvl>
    <w:lvl w:ilvl="1" w:tplc="C19044D4">
      <w:start w:val="1"/>
      <w:numFmt w:val="bullet"/>
      <w:lvlText w:val="­"/>
      <w:lvlJc w:val="left"/>
      <w:pPr>
        <w:tabs>
          <w:tab w:val="num" w:pos="1800"/>
        </w:tabs>
        <w:ind w:left="1800" w:hanging="360"/>
      </w:pPr>
      <w:rPr>
        <w:rFonts w:ascii="Courier New" w:hAnsi="Courier New" w:hint="default"/>
        <w:sz w:val="24"/>
        <w:szCs w:val="24"/>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rPr>
          <w:rFonts w:ascii="WP MathA" w:hAnsi="WP MathA" w:hint="default"/>
        </w:rPr>
      </w:lvl>
    </w:lvlOverride>
  </w:num>
  <w:num w:numId="2">
    <w:abstractNumId w:val="8"/>
  </w:num>
  <w:num w:numId="3">
    <w:abstractNumId w:val="16"/>
  </w:num>
  <w:num w:numId="4">
    <w:abstractNumId w:val="3"/>
  </w:num>
  <w:num w:numId="5">
    <w:abstractNumId w:val="12"/>
  </w:num>
  <w:num w:numId="6">
    <w:abstractNumId w:val="6"/>
  </w:num>
  <w:num w:numId="7">
    <w:abstractNumId w:val="1"/>
  </w:num>
  <w:num w:numId="8">
    <w:abstractNumId w:val="5"/>
  </w:num>
  <w:num w:numId="9">
    <w:abstractNumId w:val="2"/>
  </w:num>
  <w:num w:numId="10">
    <w:abstractNumId w:val="9"/>
  </w:num>
  <w:num w:numId="11">
    <w:abstractNumId w:val="10"/>
  </w:num>
  <w:num w:numId="12">
    <w:abstractNumId w:val="0"/>
    <w:lvlOverride w:ilvl="0">
      <w:lvl w:ilvl="0">
        <w:numFmt w:val="bullet"/>
        <w:lvlText w:val="·"/>
        <w:legacy w:legacy="1" w:legacySpace="0" w:legacyIndent="720"/>
        <w:lvlJc w:val="left"/>
        <w:pPr>
          <w:ind w:left="720" w:hanging="720"/>
        </w:pPr>
        <w:rPr>
          <w:rFonts w:ascii="Arial" w:hAnsi="Arial" w:cs="Arial" w:hint="default"/>
        </w:rPr>
      </w:lvl>
    </w:lvlOverride>
  </w:num>
  <w:num w:numId="13">
    <w:abstractNumId w:val="7"/>
  </w:num>
  <w:num w:numId="14">
    <w:abstractNumId w:val="13"/>
  </w:num>
  <w:num w:numId="15">
    <w:abstractNumId w:val="11"/>
  </w:num>
  <w:num w:numId="16">
    <w:abstractNumId w:val="15"/>
  </w:num>
  <w:num w:numId="17">
    <w:abstractNumId w:val="14"/>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090"/>
    <w:rsid w:val="0002065D"/>
    <w:rsid w:val="00056427"/>
    <w:rsid w:val="00057EA5"/>
    <w:rsid w:val="000B5F78"/>
    <w:rsid w:val="000B7721"/>
    <w:rsid w:val="000D0F12"/>
    <w:rsid w:val="00104034"/>
    <w:rsid w:val="00117436"/>
    <w:rsid w:val="00124BA3"/>
    <w:rsid w:val="00171C5B"/>
    <w:rsid w:val="00183002"/>
    <w:rsid w:val="001A670D"/>
    <w:rsid w:val="001B7395"/>
    <w:rsid w:val="001E26CE"/>
    <w:rsid w:val="001F1A92"/>
    <w:rsid w:val="00224D8F"/>
    <w:rsid w:val="002610D6"/>
    <w:rsid w:val="002A3F13"/>
    <w:rsid w:val="002D6C7C"/>
    <w:rsid w:val="002F42FC"/>
    <w:rsid w:val="003253CF"/>
    <w:rsid w:val="00346588"/>
    <w:rsid w:val="0038171D"/>
    <w:rsid w:val="00394AFA"/>
    <w:rsid w:val="003963DA"/>
    <w:rsid w:val="003B11C4"/>
    <w:rsid w:val="003D320D"/>
    <w:rsid w:val="00425782"/>
    <w:rsid w:val="004328A2"/>
    <w:rsid w:val="00433339"/>
    <w:rsid w:val="00444E6C"/>
    <w:rsid w:val="004516C7"/>
    <w:rsid w:val="0045604F"/>
    <w:rsid w:val="00460C9A"/>
    <w:rsid w:val="00481ACB"/>
    <w:rsid w:val="004C7552"/>
    <w:rsid w:val="005151E8"/>
    <w:rsid w:val="0052240E"/>
    <w:rsid w:val="0056495D"/>
    <w:rsid w:val="005654F0"/>
    <w:rsid w:val="0056764D"/>
    <w:rsid w:val="0057396C"/>
    <w:rsid w:val="00583123"/>
    <w:rsid w:val="005D5D1F"/>
    <w:rsid w:val="005F0DBC"/>
    <w:rsid w:val="00601090"/>
    <w:rsid w:val="00605EC9"/>
    <w:rsid w:val="00624484"/>
    <w:rsid w:val="006303DB"/>
    <w:rsid w:val="00660FC4"/>
    <w:rsid w:val="006678EC"/>
    <w:rsid w:val="00670540"/>
    <w:rsid w:val="00673E0C"/>
    <w:rsid w:val="00692C9D"/>
    <w:rsid w:val="006966E5"/>
    <w:rsid w:val="006B2EA4"/>
    <w:rsid w:val="006B62D9"/>
    <w:rsid w:val="006D5C0D"/>
    <w:rsid w:val="007064B6"/>
    <w:rsid w:val="007124A8"/>
    <w:rsid w:val="00734CEF"/>
    <w:rsid w:val="00757C19"/>
    <w:rsid w:val="0077239C"/>
    <w:rsid w:val="00774755"/>
    <w:rsid w:val="007A0389"/>
    <w:rsid w:val="007B1B43"/>
    <w:rsid w:val="007C0CAF"/>
    <w:rsid w:val="007C385B"/>
    <w:rsid w:val="007F5B72"/>
    <w:rsid w:val="008134A0"/>
    <w:rsid w:val="00856D64"/>
    <w:rsid w:val="00860A4D"/>
    <w:rsid w:val="00876F54"/>
    <w:rsid w:val="008842F7"/>
    <w:rsid w:val="008B459D"/>
    <w:rsid w:val="008F667F"/>
    <w:rsid w:val="00922FFB"/>
    <w:rsid w:val="0093264C"/>
    <w:rsid w:val="0093686C"/>
    <w:rsid w:val="0095640F"/>
    <w:rsid w:val="0097589F"/>
    <w:rsid w:val="009D24E4"/>
    <w:rsid w:val="00A13B2D"/>
    <w:rsid w:val="00A16BFD"/>
    <w:rsid w:val="00A16F5C"/>
    <w:rsid w:val="00A4572D"/>
    <w:rsid w:val="00A750E7"/>
    <w:rsid w:val="00A97ECA"/>
    <w:rsid w:val="00AD3FF8"/>
    <w:rsid w:val="00AE061B"/>
    <w:rsid w:val="00AE0E54"/>
    <w:rsid w:val="00AE4131"/>
    <w:rsid w:val="00AF25A9"/>
    <w:rsid w:val="00B23C1F"/>
    <w:rsid w:val="00B75EF3"/>
    <w:rsid w:val="00B90C54"/>
    <w:rsid w:val="00B942D8"/>
    <w:rsid w:val="00B945F0"/>
    <w:rsid w:val="00B962C9"/>
    <w:rsid w:val="00BD5A5A"/>
    <w:rsid w:val="00BE2E0E"/>
    <w:rsid w:val="00BE4362"/>
    <w:rsid w:val="00C0346E"/>
    <w:rsid w:val="00C127D5"/>
    <w:rsid w:val="00C431BF"/>
    <w:rsid w:val="00C67DB4"/>
    <w:rsid w:val="00C85DAC"/>
    <w:rsid w:val="00CA59DC"/>
    <w:rsid w:val="00CA6BD9"/>
    <w:rsid w:val="00CA76FF"/>
    <w:rsid w:val="00CC0149"/>
    <w:rsid w:val="00CE132A"/>
    <w:rsid w:val="00D120AA"/>
    <w:rsid w:val="00D25BE6"/>
    <w:rsid w:val="00D77483"/>
    <w:rsid w:val="00D80657"/>
    <w:rsid w:val="00D85782"/>
    <w:rsid w:val="00DF3A58"/>
    <w:rsid w:val="00E32823"/>
    <w:rsid w:val="00E40F7B"/>
    <w:rsid w:val="00E514E9"/>
    <w:rsid w:val="00EB66BB"/>
    <w:rsid w:val="00ED2786"/>
    <w:rsid w:val="00F113C3"/>
    <w:rsid w:val="00F17E10"/>
    <w:rsid w:val="00F55965"/>
    <w:rsid w:val="00F8189D"/>
    <w:rsid w:val="00FB445F"/>
    <w:rsid w:val="00FF5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9,#ffc,#ffffc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C5B"/>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1090"/>
    <w:pPr>
      <w:spacing w:before="100" w:beforeAutospacing="1" w:after="100" w:afterAutospacing="1" w:line="240" w:lineRule="auto"/>
    </w:pPr>
    <w:rPr>
      <w:rFonts w:eastAsia="Times New Roman"/>
    </w:rPr>
  </w:style>
  <w:style w:type="character" w:styleId="Hyperlink">
    <w:name w:val="Hyperlink"/>
    <w:basedOn w:val="DefaultParagraphFont"/>
    <w:uiPriority w:val="99"/>
    <w:unhideWhenUsed/>
    <w:rsid w:val="00601090"/>
    <w:rPr>
      <w:color w:val="0000FF"/>
      <w:u w:val="single"/>
    </w:rPr>
  </w:style>
  <w:style w:type="paragraph" w:styleId="BalloonText">
    <w:name w:val="Balloon Text"/>
    <w:basedOn w:val="Normal"/>
    <w:link w:val="BalloonTextChar"/>
    <w:uiPriority w:val="99"/>
    <w:semiHidden/>
    <w:unhideWhenUsed/>
    <w:rsid w:val="00876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F54"/>
    <w:rPr>
      <w:rFonts w:ascii="Tahoma" w:hAnsi="Tahoma" w:cs="Tahoma"/>
      <w:sz w:val="16"/>
      <w:szCs w:val="16"/>
    </w:rPr>
  </w:style>
  <w:style w:type="paragraph" w:styleId="FootnoteText">
    <w:name w:val="footnote text"/>
    <w:basedOn w:val="Normal"/>
    <w:link w:val="FootnoteTextChar"/>
    <w:uiPriority w:val="99"/>
    <w:semiHidden/>
    <w:unhideWhenUsed/>
    <w:rsid w:val="002D6C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6C7C"/>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2D6C7C"/>
    <w:rPr>
      <w:vertAlign w:val="superscript"/>
    </w:rPr>
  </w:style>
  <w:style w:type="paragraph" w:styleId="NoSpacing">
    <w:name w:val="No Spacing"/>
    <w:uiPriority w:val="1"/>
    <w:qFormat/>
    <w:rsid w:val="00B942D8"/>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922FFB"/>
    <w:rPr>
      <w:sz w:val="16"/>
      <w:szCs w:val="16"/>
    </w:rPr>
  </w:style>
  <w:style w:type="paragraph" w:styleId="CommentText">
    <w:name w:val="annotation text"/>
    <w:basedOn w:val="Normal"/>
    <w:link w:val="CommentTextChar"/>
    <w:uiPriority w:val="99"/>
    <w:semiHidden/>
    <w:unhideWhenUsed/>
    <w:rsid w:val="00922FFB"/>
    <w:pPr>
      <w:spacing w:after="0" w:line="240" w:lineRule="auto"/>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922FFB"/>
    <w:rPr>
      <w:rFonts w:ascii="Calibri" w:eastAsia="Calibri" w:hAnsi="Calibri" w:cs="Times New Roman"/>
      <w:sz w:val="20"/>
      <w:szCs w:val="20"/>
    </w:rPr>
  </w:style>
  <w:style w:type="paragraph" w:styleId="ListParagraph">
    <w:name w:val="List Paragraph"/>
    <w:basedOn w:val="Normal"/>
    <w:uiPriority w:val="34"/>
    <w:qFormat/>
    <w:rsid w:val="00B90C54"/>
    <w:pPr>
      <w:ind w:left="720"/>
      <w:contextualSpacing/>
    </w:pPr>
  </w:style>
  <w:style w:type="paragraph" w:styleId="Caption">
    <w:name w:val="caption"/>
    <w:basedOn w:val="Normal"/>
    <w:next w:val="Normal"/>
    <w:uiPriority w:val="35"/>
    <w:unhideWhenUsed/>
    <w:qFormat/>
    <w:rsid w:val="007A0389"/>
    <w:pPr>
      <w:spacing w:line="240" w:lineRule="auto"/>
    </w:pPr>
    <w:rPr>
      <w:b/>
      <w:bCs/>
      <w:color w:val="4F81BD" w:themeColor="accent1"/>
      <w:sz w:val="18"/>
      <w:szCs w:val="18"/>
    </w:rPr>
  </w:style>
  <w:style w:type="paragraph" w:customStyle="1" w:styleId="Level1">
    <w:name w:val="Level 1"/>
    <w:basedOn w:val="Normal"/>
    <w:uiPriority w:val="99"/>
    <w:rsid w:val="00E40F7B"/>
    <w:pPr>
      <w:widowControl w:val="0"/>
      <w:autoSpaceDE w:val="0"/>
      <w:autoSpaceDN w:val="0"/>
      <w:adjustRightInd w:val="0"/>
      <w:spacing w:after="0" w:line="240" w:lineRule="auto"/>
      <w:ind w:left="720" w:hanging="720"/>
    </w:pPr>
    <w:rPr>
      <w:rFonts w:eastAsiaTheme="minorEastAsia"/>
    </w:rPr>
  </w:style>
  <w:style w:type="paragraph" w:styleId="BodyTextIndent">
    <w:name w:val="Body Text Indent"/>
    <w:basedOn w:val="Normal"/>
    <w:link w:val="BodyTextIndentChar"/>
    <w:semiHidden/>
    <w:rsid w:val="00481AC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firstLine="360"/>
      <w:jc w:val="both"/>
    </w:pPr>
    <w:rPr>
      <w:rFonts w:eastAsia="Times New Roman"/>
      <w:sz w:val="20"/>
      <w:szCs w:val="20"/>
    </w:rPr>
  </w:style>
  <w:style w:type="character" w:customStyle="1" w:styleId="BodyTextIndentChar">
    <w:name w:val="Body Text Indent Char"/>
    <w:basedOn w:val="DefaultParagraphFont"/>
    <w:link w:val="BodyTextIndent"/>
    <w:semiHidden/>
    <w:rsid w:val="00481AC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1830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002"/>
    <w:rPr>
      <w:rFonts w:ascii="Times New Roman" w:hAnsi="Times New Roman" w:cs="Times New Roman"/>
      <w:sz w:val="24"/>
      <w:szCs w:val="24"/>
    </w:rPr>
  </w:style>
  <w:style w:type="paragraph" w:styleId="Footer">
    <w:name w:val="footer"/>
    <w:basedOn w:val="Normal"/>
    <w:link w:val="FooterChar"/>
    <w:uiPriority w:val="99"/>
    <w:unhideWhenUsed/>
    <w:rsid w:val="001830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002"/>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C5B"/>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1090"/>
    <w:pPr>
      <w:spacing w:before="100" w:beforeAutospacing="1" w:after="100" w:afterAutospacing="1" w:line="240" w:lineRule="auto"/>
    </w:pPr>
    <w:rPr>
      <w:rFonts w:eastAsia="Times New Roman"/>
    </w:rPr>
  </w:style>
  <w:style w:type="character" w:styleId="Hyperlink">
    <w:name w:val="Hyperlink"/>
    <w:basedOn w:val="DefaultParagraphFont"/>
    <w:uiPriority w:val="99"/>
    <w:unhideWhenUsed/>
    <w:rsid w:val="00601090"/>
    <w:rPr>
      <w:color w:val="0000FF"/>
      <w:u w:val="single"/>
    </w:rPr>
  </w:style>
  <w:style w:type="paragraph" w:styleId="BalloonText">
    <w:name w:val="Balloon Text"/>
    <w:basedOn w:val="Normal"/>
    <w:link w:val="BalloonTextChar"/>
    <w:uiPriority w:val="99"/>
    <w:semiHidden/>
    <w:unhideWhenUsed/>
    <w:rsid w:val="00876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F54"/>
    <w:rPr>
      <w:rFonts w:ascii="Tahoma" w:hAnsi="Tahoma" w:cs="Tahoma"/>
      <w:sz w:val="16"/>
      <w:szCs w:val="16"/>
    </w:rPr>
  </w:style>
  <w:style w:type="paragraph" w:styleId="FootnoteText">
    <w:name w:val="footnote text"/>
    <w:basedOn w:val="Normal"/>
    <w:link w:val="FootnoteTextChar"/>
    <w:uiPriority w:val="99"/>
    <w:semiHidden/>
    <w:unhideWhenUsed/>
    <w:rsid w:val="002D6C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6C7C"/>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2D6C7C"/>
    <w:rPr>
      <w:vertAlign w:val="superscript"/>
    </w:rPr>
  </w:style>
  <w:style w:type="paragraph" w:styleId="NoSpacing">
    <w:name w:val="No Spacing"/>
    <w:uiPriority w:val="1"/>
    <w:qFormat/>
    <w:rsid w:val="00B942D8"/>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922FFB"/>
    <w:rPr>
      <w:sz w:val="16"/>
      <w:szCs w:val="16"/>
    </w:rPr>
  </w:style>
  <w:style w:type="paragraph" w:styleId="CommentText">
    <w:name w:val="annotation text"/>
    <w:basedOn w:val="Normal"/>
    <w:link w:val="CommentTextChar"/>
    <w:uiPriority w:val="99"/>
    <w:semiHidden/>
    <w:unhideWhenUsed/>
    <w:rsid w:val="00922FFB"/>
    <w:pPr>
      <w:spacing w:after="0" w:line="240" w:lineRule="auto"/>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922FFB"/>
    <w:rPr>
      <w:rFonts w:ascii="Calibri" w:eastAsia="Calibri" w:hAnsi="Calibri" w:cs="Times New Roman"/>
      <w:sz w:val="20"/>
      <w:szCs w:val="20"/>
    </w:rPr>
  </w:style>
  <w:style w:type="paragraph" w:styleId="ListParagraph">
    <w:name w:val="List Paragraph"/>
    <w:basedOn w:val="Normal"/>
    <w:uiPriority w:val="34"/>
    <w:qFormat/>
    <w:rsid w:val="00B90C54"/>
    <w:pPr>
      <w:ind w:left="720"/>
      <w:contextualSpacing/>
    </w:pPr>
  </w:style>
  <w:style w:type="paragraph" w:styleId="Caption">
    <w:name w:val="caption"/>
    <w:basedOn w:val="Normal"/>
    <w:next w:val="Normal"/>
    <w:uiPriority w:val="35"/>
    <w:unhideWhenUsed/>
    <w:qFormat/>
    <w:rsid w:val="007A0389"/>
    <w:pPr>
      <w:spacing w:line="240" w:lineRule="auto"/>
    </w:pPr>
    <w:rPr>
      <w:b/>
      <w:bCs/>
      <w:color w:val="4F81BD" w:themeColor="accent1"/>
      <w:sz w:val="18"/>
      <w:szCs w:val="18"/>
    </w:rPr>
  </w:style>
  <w:style w:type="paragraph" w:customStyle="1" w:styleId="Level1">
    <w:name w:val="Level 1"/>
    <w:basedOn w:val="Normal"/>
    <w:uiPriority w:val="99"/>
    <w:rsid w:val="00E40F7B"/>
    <w:pPr>
      <w:widowControl w:val="0"/>
      <w:autoSpaceDE w:val="0"/>
      <w:autoSpaceDN w:val="0"/>
      <w:adjustRightInd w:val="0"/>
      <w:spacing w:after="0" w:line="240" w:lineRule="auto"/>
      <w:ind w:left="720" w:hanging="720"/>
    </w:pPr>
    <w:rPr>
      <w:rFonts w:eastAsiaTheme="minorEastAsia"/>
    </w:rPr>
  </w:style>
  <w:style w:type="paragraph" w:styleId="BodyTextIndent">
    <w:name w:val="Body Text Indent"/>
    <w:basedOn w:val="Normal"/>
    <w:link w:val="BodyTextIndentChar"/>
    <w:semiHidden/>
    <w:rsid w:val="00481AC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firstLine="360"/>
      <w:jc w:val="both"/>
    </w:pPr>
    <w:rPr>
      <w:rFonts w:eastAsia="Times New Roman"/>
      <w:sz w:val="20"/>
      <w:szCs w:val="20"/>
    </w:rPr>
  </w:style>
  <w:style w:type="character" w:customStyle="1" w:styleId="BodyTextIndentChar">
    <w:name w:val="Body Text Indent Char"/>
    <w:basedOn w:val="DefaultParagraphFont"/>
    <w:link w:val="BodyTextIndent"/>
    <w:semiHidden/>
    <w:rsid w:val="00481AC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1830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002"/>
    <w:rPr>
      <w:rFonts w:ascii="Times New Roman" w:hAnsi="Times New Roman" w:cs="Times New Roman"/>
      <w:sz w:val="24"/>
      <w:szCs w:val="24"/>
    </w:rPr>
  </w:style>
  <w:style w:type="paragraph" w:styleId="Footer">
    <w:name w:val="footer"/>
    <w:basedOn w:val="Normal"/>
    <w:link w:val="FooterChar"/>
    <w:uiPriority w:val="99"/>
    <w:unhideWhenUsed/>
    <w:rsid w:val="001830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00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80133">
      <w:bodyDiv w:val="1"/>
      <w:marLeft w:val="0"/>
      <w:marRight w:val="0"/>
      <w:marTop w:val="0"/>
      <w:marBottom w:val="0"/>
      <w:divBdr>
        <w:top w:val="none" w:sz="0" w:space="0" w:color="auto"/>
        <w:left w:val="none" w:sz="0" w:space="0" w:color="auto"/>
        <w:bottom w:val="none" w:sz="0" w:space="0" w:color="auto"/>
        <w:right w:val="none" w:sz="0" w:space="0" w:color="auto"/>
      </w:divBdr>
      <w:divsChild>
        <w:div w:id="543374831">
          <w:marLeft w:val="0"/>
          <w:marRight w:val="0"/>
          <w:marTop w:val="0"/>
          <w:marBottom w:val="0"/>
          <w:divBdr>
            <w:top w:val="none" w:sz="0" w:space="0" w:color="auto"/>
            <w:left w:val="none" w:sz="0" w:space="0" w:color="auto"/>
            <w:bottom w:val="none" w:sz="0" w:space="0" w:color="auto"/>
            <w:right w:val="none" w:sz="0" w:space="0" w:color="auto"/>
          </w:divBdr>
          <w:divsChild>
            <w:div w:id="1752387477">
              <w:marLeft w:val="0"/>
              <w:marRight w:val="0"/>
              <w:marTop w:val="0"/>
              <w:marBottom w:val="0"/>
              <w:divBdr>
                <w:top w:val="none" w:sz="0" w:space="0" w:color="auto"/>
                <w:left w:val="none" w:sz="0" w:space="0" w:color="auto"/>
                <w:bottom w:val="none" w:sz="0" w:space="0" w:color="auto"/>
                <w:right w:val="none" w:sz="0" w:space="0" w:color="auto"/>
              </w:divBdr>
              <w:divsChild>
                <w:div w:id="1875583058">
                  <w:marLeft w:val="0"/>
                  <w:marRight w:val="0"/>
                  <w:marTop w:val="0"/>
                  <w:marBottom w:val="0"/>
                  <w:divBdr>
                    <w:top w:val="none" w:sz="0" w:space="0" w:color="auto"/>
                    <w:left w:val="none" w:sz="0" w:space="0" w:color="auto"/>
                    <w:bottom w:val="none" w:sz="0" w:space="0" w:color="auto"/>
                    <w:right w:val="none" w:sz="0" w:space="0" w:color="auto"/>
                  </w:divBdr>
                  <w:divsChild>
                    <w:div w:id="1065375786">
                      <w:marLeft w:val="0"/>
                      <w:marRight w:val="0"/>
                      <w:marTop w:val="0"/>
                      <w:marBottom w:val="0"/>
                      <w:divBdr>
                        <w:top w:val="none" w:sz="0" w:space="0" w:color="auto"/>
                        <w:left w:val="none" w:sz="0" w:space="0" w:color="auto"/>
                        <w:bottom w:val="none" w:sz="0" w:space="0" w:color="auto"/>
                        <w:right w:val="none" w:sz="0" w:space="0" w:color="auto"/>
                      </w:divBdr>
                      <w:divsChild>
                        <w:div w:id="803039071">
                          <w:marLeft w:val="0"/>
                          <w:marRight w:val="0"/>
                          <w:marTop w:val="0"/>
                          <w:marBottom w:val="0"/>
                          <w:divBdr>
                            <w:top w:val="none" w:sz="0" w:space="0" w:color="auto"/>
                            <w:left w:val="none" w:sz="0" w:space="0" w:color="auto"/>
                            <w:bottom w:val="none" w:sz="0" w:space="0" w:color="auto"/>
                            <w:right w:val="none" w:sz="0" w:space="0" w:color="auto"/>
                          </w:divBdr>
                          <w:divsChild>
                            <w:div w:id="1250196470">
                              <w:marLeft w:val="0"/>
                              <w:marRight w:val="0"/>
                              <w:marTop w:val="0"/>
                              <w:marBottom w:val="0"/>
                              <w:divBdr>
                                <w:top w:val="none" w:sz="0" w:space="0" w:color="auto"/>
                                <w:left w:val="none" w:sz="0" w:space="0" w:color="auto"/>
                                <w:bottom w:val="none" w:sz="0" w:space="0" w:color="auto"/>
                                <w:right w:val="none" w:sz="0" w:space="0" w:color="auto"/>
                              </w:divBdr>
                              <w:divsChild>
                                <w:div w:id="152570826">
                                  <w:marLeft w:val="0"/>
                                  <w:marRight w:val="0"/>
                                  <w:marTop w:val="0"/>
                                  <w:marBottom w:val="0"/>
                                  <w:divBdr>
                                    <w:top w:val="none" w:sz="0" w:space="0" w:color="auto"/>
                                    <w:left w:val="none" w:sz="0" w:space="0" w:color="auto"/>
                                    <w:bottom w:val="none" w:sz="0" w:space="0" w:color="auto"/>
                                    <w:right w:val="none" w:sz="0" w:space="0" w:color="auto"/>
                                  </w:divBdr>
                                  <w:divsChild>
                                    <w:div w:id="874078248">
                                      <w:marLeft w:val="0"/>
                                      <w:marRight w:val="0"/>
                                      <w:marTop w:val="0"/>
                                      <w:marBottom w:val="0"/>
                                      <w:divBdr>
                                        <w:top w:val="none" w:sz="0" w:space="0" w:color="auto"/>
                                        <w:left w:val="none" w:sz="0" w:space="0" w:color="auto"/>
                                        <w:bottom w:val="none" w:sz="0" w:space="0" w:color="auto"/>
                                        <w:right w:val="none" w:sz="0" w:space="0" w:color="auto"/>
                                      </w:divBdr>
                                      <w:divsChild>
                                        <w:div w:id="88448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771346">
      <w:bodyDiv w:val="1"/>
      <w:marLeft w:val="0"/>
      <w:marRight w:val="0"/>
      <w:marTop w:val="0"/>
      <w:marBottom w:val="0"/>
      <w:divBdr>
        <w:top w:val="none" w:sz="0" w:space="0" w:color="auto"/>
        <w:left w:val="none" w:sz="0" w:space="0" w:color="auto"/>
        <w:bottom w:val="none" w:sz="0" w:space="0" w:color="auto"/>
        <w:right w:val="none" w:sz="0" w:space="0" w:color="auto"/>
      </w:divBdr>
    </w:div>
    <w:div w:id="343019415">
      <w:bodyDiv w:val="1"/>
      <w:marLeft w:val="0"/>
      <w:marRight w:val="0"/>
      <w:marTop w:val="0"/>
      <w:marBottom w:val="0"/>
      <w:divBdr>
        <w:top w:val="none" w:sz="0" w:space="0" w:color="auto"/>
        <w:left w:val="none" w:sz="0" w:space="0" w:color="auto"/>
        <w:bottom w:val="none" w:sz="0" w:space="0" w:color="auto"/>
        <w:right w:val="none" w:sz="0" w:space="0" w:color="auto"/>
      </w:divBdr>
    </w:div>
    <w:div w:id="403572366">
      <w:bodyDiv w:val="1"/>
      <w:marLeft w:val="0"/>
      <w:marRight w:val="0"/>
      <w:marTop w:val="0"/>
      <w:marBottom w:val="0"/>
      <w:divBdr>
        <w:top w:val="none" w:sz="0" w:space="0" w:color="auto"/>
        <w:left w:val="none" w:sz="0" w:space="0" w:color="auto"/>
        <w:bottom w:val="none" w:sz="0" w:space="0" w:color="auto"/>
        <w:right w:val="none" w:sz="0" w:space="0" w:color="auto"/>
      </w:divBdr>
    </w:div>
    <w:div w:id="531846990">
      <w:bodyDiv w:val="1"/>
      <w:marLeft w:val="0"/>
      <w:marRight w:val="0"/>
      <w:marTop w:val="0"/>
      <w:marBottom w:val="0"/>
      <w:divBdr>
        <w:top w:val="none" w:sz="0" w:space="0" w:color="auto"/>
        <w:left w:val="none" w:sz="0" w:space="0" w:color="auto"/>
        <w:bottom w:val="none" w:sz="0" w:space="0" w:color="auto"/>
        <w:right w:val="none" w:sz="0" w:space="0" w:color="auto"/>
      </w:divBdr>
    </w:div>
    <w:div w:id="665403821">
      <w:bodyDiv w:val="1"/>
      <w:marLeft w:val="0"/>
      <w:marRight w:val="0"/>
      <w:marTop w:val="0"/>
      <w:marBottom w:val="0"/>
      <w:divBdr>
        <w:top w:val="none" w:sz="0" w:space="0" w:color="auto"/>
        <w:left w:val="none" w:sz="0" w:space="0" w:color="auto"/>
        <w:bottom w:val="none" w:sz="0" w:space="0" w:color="auto"/>
        <w:right w:val="none" w:sz="0" w:space="0" w:color="auto"/>
      </w:divBdr>
      <w:divsChild>
        <w:div w:id="189033754">
          <w:marLeft w:val="0"/>
          <w:marRight w:val="0"/>
          <w:marTop w:val="0"/>
          <w:marBottom w:val="0"/>
          <w:divBdr>
            <w:top w:val="none" w:sz="0" w:space="0" w:color="auto"/>
            <w:left w:val="none" w:sz="0" w:space="0" w:color="auto"/>
            <w:bottom w:val="none" w:sz="0" w:space="0" w:color="auto"/>
            <w:right w:val="none" w:sz="0" w:space="0" w:color="auto"/>
          </w:divBdr>
          <w:divsChild>
            <w:div w:id="1382823219">
              <w:marLeft w:val="0"/>
              <w:marRight w:val="0"/>
              <w:marTop w:val="0"/>
              <w:marBottom w:val="0"/>
              <w:divBdr>
                <w:top w:val="none" w:sz="0" w:space="0" w:color="auto"/>
                <w:left w:val="none" w:sz="0" w:space="0" w:color="auto"/>
                <w:bottom w:val="none" w:sz="0" w:space="0" w:color="auto"/>
                <w:right w:val="none" w:sz="0" w:space="0" w:color="auto"/>
              </w:divBdr>
              <w:divsChild>
                <w:div w:id="83311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86085">
      <w:bodyDiv w:val="1"/>
      <w:marLeft w:val="0"/>
      <w:marRight w:val="0"/>
      <w:marTop w:val="0"/>
      <w:marBottom w:val="0"/>
      <w:divBdr>
        <w:top w:val="none" w:sz="0" w:space="0" w:color="auto"/>
        <w:left w:val="none" w:sz="0" w:space="0" w:color="auto"/>
        <w:bottom w:val="none" w:sz="0" w:space="0" w:color="auto"/>
        <w:right w:val="none" w:sz="0" w:space="0" w:color="auto"/>
      </w:divBdr>
      <w:divsChild>
        <w:div w:id="649555241">
          <w:marLeft w:val="0"/>
          <w:marRight w:val="0"/>
          <w:marTop w:val="0"/>
          <w:marBottom w:val="0"/>
          <w:divBdr>
            <w:top w:val="none" w:sz="0" w:space="0" w:color="auto"/>
            <w:left w:val="none" w:sz="0" w:space="0" w:color="auto"/>
            <w:bottom w:val="none" w:sz="0" w:space="0" w:color="auto"/>
            <w:right w:val="none" w:sz="0" w:space="0" w:color="auto"/>
          </w:divBdr>
        </w:div>
        <w:div w:id="1642684908">
          <w:marLeft w:val="0"/>
          <w:marRight w:val="0"/>
          <w:marTop w:val="0"/>
          <w:marBottom w:val="0"/>
          <w:divBdr>
            <w:top w:val="none" w:sz="0" w:space="0" w:color="auto"/>
            <w:left w:val="none" w:sz="0" w:space="0" w:color="auto"/>
            <w:bottom w:val="none" w:sz="0" w:space="0" w:color="auto"/>
            <w:right w:val="none" w:sz="0" w:space="0" w:color="auto"/>
          </w:divBdr>
        </w:div>
      </w:divsChild>
    </w:div>
    <w:div w:id="1124739908">
      <w:bodyDiv w:val="1"/>
      <w:marLeft w:val="0"/>
      <w:marRight w:val="0"/>
      <w:marTop w:val="0"/>
      <w:marBottom w:val="0"/>
      <w:divBdr>
        <w:top w:val="none" w:sz="0" w:space="0" w:color="auto"/>
        <w:left w:val="none" w:sz="0" w:space="0" w:color="auto"/>
        <w:bottom w:val="none" w:sz="0" w:space="0" w:color="auto"/>
        <w:right w:val="none" w:sz="0" w:space="0" w:color="auto"/>
      </w:divBdr>
    </w:div>
    <w:div w:id="1487285831">
      <w:bodyDiv w:val="1"/>
      <w:marLeft w:val="0"/>
      <w:marRight w:val="0"/>
      <w:marTop w:val="0"/>
      <w:marBottom w:val="0"/>
      <w:divBdr>
        <w:top w:val="none" w:sz="0" w:space="0" w:color="auto"/>
        <w:left w:val="none" w:sz="0" w:space="0" w:color="auto"/>
        <w:bottom w:val="none" w:sz="0" w:space="0" w:color="auto"/>
        <w:right w:val="none" w:sz="0" w:space="0" w:color="auto"/>
      </w:divBdr>
      <w:divsChild>
        <w:div w:id="1370450699">
          <w:marLeft w:val="0"/>
          <w:marRight w:val="0"/>
          <w:marTop w:val="0"/>
          <w:marBottom w:val="0"/>
          <w:divBdr>
            <w:top w:val="none" w:sz="0" w:space="0" w:color="auto"/>
            <w:left w:val="none" w:sz="0" w:space="0" w:color="auto"/>
            <w:bottom w:val="none" w:sz="0" w:space="0" w:color="auto"/>
            <w:right w:val="none" w:sz="0" w:space="0" w:color="auto"/>
          </w:divBdr>
        </w:div>
        <w:div w:id="795370298">
          <w:marLeft w:val="0"/>
          <w:marRight w:val="0"/>
          <w:marTop w:val="0"/>
          <w:marBottom w:val="0"/>
          <w:divBdr>
            <w:top w:val="none" w:sz="0" w:space="0" w:color="auto"/>
            <w:left w:val="none" w:sz="0" w:space="0" w:color="auto"/>
            <w:bottom w:val="none" w:sz="0" w:space="0" w:color="auto"/>
            <w:right w:val="none" w:sz="0" w:space="0" w:color="auto"/>
          </w:divBdr>
        </w:div>
        <w:div w:id="1342975820">
          <w:marLeft w:val="0"/>
          <w:marRight w:val="0"/>
          <w:marTop w:val="0"/>
          <w:marBottom w:val="0"/>
          <w:divBdr>
            <w:top w:val="none" w:sz="0" w:space="0" w:color="auto"/>
            <w:left w:val="none" w:sz="0" w:space="0" w:color="auto"/>
            <w:bottom w:val="none" w:sz="0" w:space="0" w:color="auto"/>
            <w:right w:val="none" w:sz="0" w:space="0" w:color="auto"/>
          </w:divBdr>
        </w:div>
        <w:div w:id="74281916">
          <w:marLeft w:val="0"/>
          <w:marRight w:val="0"/>
          <w:marTop w:val="0"/>
          <w:marBottom w:val="0"/>
          <w:divBdr>
            <w:top w:val="none" w:sz="0" w:space="0" w:color="auto"/>
            <w:left w:val="none" w:sz="0" w:space="0" w:color="auto"/>
            <w:bottom w:val="none" w:sz="0" w:space="0" w:color="auto"/>
            <w:right w:val="none" w:sz="0" w:space="0" w:color="auto"/>
          </w:divBdr>
        </w:div>
        <w:div w:id="389505257">
          <w:marLeft w:val="0"/>
          <w:marRight w:val="0"/>
          <w:marTop w:val="0"/>
          <w:marBottom w:val="0"/>
          <w:divBdr>
            <w:top w:val="none" w:sz="0" w:space="0" w:color="auto"/>
            <w:left w:val="none" w:sz="0" w:space="0" w:color="auto"/>
            <w:bottom w:val="none" w:sz="0" w:space="0" w:color="auto"/>
            <w:right w:val="none" w:sz="0" w:space="0" w:color="auto"/>
          </w:divBdr>
        </w:div>
        <w:div w:id="1679963728">
          <w:marLeft w:val="0"/>
          <w:marRight w:val="0"/>
          <w:marTop w:val="0"/>
          <w:marBottom w:val="0"/>
          <w:divBdr>
            <w:top w:val="none" w:sz="0" w:space="0" w:color="auto"/>
            <w:left w:val="none" w:sz="0" w:space="0" w:color="auto"/>
            <w:bottom w:val="none" w:sz="0" w:space="0" w:color="auto"/>
            <w:right w:val="none" w:sz="0" w:space="0" w:color="auto"/>
          </w:divBdr>
        </w:div>
        <w:div w:id="924194175">
          <w:marLeft w:val="0"/>
          <w:marRight w:val="0"/>
          <w:marTop w:val="0"/>
          <w:marBottom w:val="0"/>
          <w:divBdr>
            <w:top w:val="none" w:sz="0" w:space="0" w:color="auto"/>
            <w:left w:val="none" w:sz="0" w:space="0" w:color="auto"/>
            <w:bottom w:val="none" w:sz="0" w:space="0" w:color="auto"/>
            <w:right w:val="none" w:sz="0" w:space="0" w:color="auto"/>
          </w:divBdr>
        </w:div>
        <w:div w:id="757944969">
          <w:marLeft w:val="0"/>
          <w:marRight w:val="0"/>
          <w:marTop w:val="0"/>
          <w:marBottom w:val="0"/>
          <w:divBdr>
            <w:top w:val="none" w:sz="0" w:space="0" w:color="auto"/>
            <w:left w:val="none" w:sz="0" w:space="0" w:color="auto"/>
            <w:bottom w:val="none" w:sz="0" w:space="0" w:color="auto"/>
            <w:right w:val="none" w:sz="0" w:space="0" w:color="auto"/>
          </w:divBdr>
        </w:div>
        <w:div w:id="83918764">
          <w:marLeft w:val="0"/>
          <w:marRight w:val="0"/>
          <w:marTop w:val="0"/>
          <w:marBottom w:val="0"/>
          <w:divBdr>
            <w:top w:val="none" w:sz="0" w:space="0" w:color="auto"/>
            <w:left w:val="none" w:sz="0" w:space="0" w:color="auto"/>
            <w:bottom w:val="none" w:sz="0" w:space="0" w:color="auto"/>
            <w:right w:val="none" w:sz="0" w:space="0" w:color="auto"/>
          </w:divBdr>
        </w:div>
        <w:div w:id="201014068">
          <w:marLeft w:val="0"/>
          <w:marRight w:val="0"/>
          <w:marTop w:val="0"/>
          <w:marBottom w:val="0"/>
          <w:divBdr>
            <w:top w:val="none" w:sz="0" w:space="0" w:color="auto"/>
            <w:left w:val="none" w:sz="0" w:space="0" w:color="auto"/>
            <w:bottom w:val="none" w:sz="0" w:space="0" w:color="auto"/>
            <w:right w:val="none" w:sz="0" w:space="0" w:color="auto"/>
          </w:divBdr>
        </w:div>
        <w:div w:id="1304582488">
          <w:marLeft w:val="0"/>
          <w:marRight w:val="0"/>
          <w:marTop w:val="0"/>
          <w:marBottom w:val="0"/>
          <w:divBdr>
            <w:top w:val="none" w:sz="0" w:space="0" w:color="auto"/>
            <w:left w:val="none" w:sz="0" w:space="0" w:color="auto"/>
            <w:bottom w:val="none" w:sz="0" w:space="0" w:color="auto"/>
            <w:right w:val="none" w:sz="0" w:space="0" w:color="auto"/>
          </w:divBdr>
        </w:div>
        <w:div w:id="573857358">
          <w:marLeft w:val="0"/>
          <w:marRight w:val="0"/>
          <w:marTop w:val="0"/>
          <w:marBottom w:val="0"/>
          <w:divBdr>
            <w:top w:val="none" w:sz="0" w:space="0" w:color="auto"/>
            <w:left w:val="none" w:sz="0" w:space="0" w:color="auto"/>
            <w:bottom w:val="none" w:sz="0" w:space="0" w:color="auto"/>
            <w:right w:val="none" w:sz="0" w:space="0" w:color="auto"/>
          </w:divBdr>
        </w:div>
        <w:div w:id="1767383652">
          <w:marLeft w:val="0"/>
          <w:marRight w:val="0"/>
          <w:marTop w:val="0"/>
          <w:marBottom w:val="0"/>
          <w:divBdr>
            <w:top w:val="none" w:sz="0" w:space="0" w:color="auto"/>
            <w:left w:val="none" w:sz="0" w:space="0" w:color="auto"/>
            <w:bottom w:val="none" w:sz="0" w:space="0" w:color="auto"/>
            <w:right w:val="none" w:sz="0" w:space="0" w:color="auto"/>
          </w:divBdr>
        </w:div>
        <w:div w:id="1449085453">
          <w:marLeft w:val="0"/>
          <w:marRight w:val="0"/>
          <w:marTop w:val="0"/>
          <w:marBottom w:val="0"/>
          <w:divBdr>
            <w:top w:val="none" w:sz="0" w:space="0" w:color="auto"/>
            <w:left w:val="none" w:sz="0" w:space="0" w:color="auto"/>
            <w:bottom w:val="none" w:sz="0" w:space="0" w:color="auto"/>
            <w:right w:val="none" w:sz="0" w:space="0" w:color="auto"/>
          </w:divBdr>
        </w:div>
        <w:div w:id="1655136828">
          <w:marLeft w:val="0"/>
          <w:marRight w:val="0"/>
          <w:marTop w:val="0"/>
          <w:marBottom w:val="0"/>
          <w:divBdr>
            <w:top w:val="none" w:sz="0" w:space="0" w:color="auto"/>
            <w:left w:val="none" w:sz="0" w:space="0" w:color="auto"/>
            <w:bottom w:val="none" w:sz="0" w:space="0" w:color="auto"/>
            <w:right w:val="none" w:sz="0" w:space="0" w:color="auto"/>
          </w:divBdr>
        </w:div>
        <w:div w:id="932396425">
          <w:marLeft w:val="0"/>
          <w:marRight w:val="0"/>
          <w:marTop w:val="0"/>
          <w:marBottom w:val="0"/>
          <w:divBdr>
            <w:top w:val="none" w:sz="0" w:space="0" w:color="auto"/>
            <w:left w:val="none" w:sz="0" w:space="0" w:color="auto"/>
            <w:bottom w:val="none" w:sz="0" w:space="0" w:color="auto"/>
            <w:right w:val="none" w:sz="0" w:space="0" w:color="auto"/>
          </w:divBdr>
        </w:div>
        <w:div w:id="1330020241">
          <w:marLeft w:val="0"/>
          <w:marRight w:val="0"/>
          <w:marTop w:val="0"/>
          <w:marBottom w:val="0"/>
          <w:divBdr>
            <w:top w:val="none" w:sz="0" w:space="0" w:color="auto"/>
            <w:left w:val="none" w:sz="0" w:space="0" w:color="auto"/>
            <w:bottom w:val="none" w:sz="0" w:space="0" w:color="auto"/>
            <w:right w:val="none" w:sz="0" w:space="0" w:color="auto"/>
          </w:divBdr>
        </w:div>
        <w:div w:id="273482657">
          <w:marLeft w:val="0"/>
          <w:marRight w:val="0"/>
          <w:marTop w:val="0"/>
          <w:marBottom w:val="0"/>
          <w:divBdr>
            <w:top w:val="none" w:sz="0" w:space="0" w:color="auto"/>
            <w:left w:val="none" w:sz="0" w:space="0" w:color="auto"/>
            <w:bottom w:val="none" w:sz="0" w:space="0" w:color="auto"/>
            <w:right w:val="none" w:sz="0" w:space="0" w:color="auto"/>
          </w:divBdr>
        </w:div>
        <w:div w:id="1030184041">
          <w:marLeft w:val="0"/>
          <w:marRight w:val="0"/>
          <w:marTop w:val="0"/>
          <w:marBottom w:val="0"/>
          <w:divBdr>
            <w:top w:val="none" w:sz="0" w:space="0" w:color="auto"/>
            <w:left w:val="none" w:sz="0" w:space="0" w:color="auto"/>
            <w:bottom w:val="none" w:sz="0" w:space="0" w:color="auto"/>
            <w:right w:val="none" w:sz="0" w:space="0" w:color="auto"/>
          </w:divBdr>
        </w:div>
        <w:div w:id="970668449">
          <w:marLeft w:val="0"/>
          <w:marRight w:val="0"/>
          <w:marTop w:val="0"/>
          <w:marBottom w:val="0"/>
          <w:divBdr>
            <w:top w:val="none" w:sz="0" w:space="0" w:color="auto"/>
            <w:left w:val="none" w:sz="0" w:space="0" w:color="auto"/>
            <w:bottom w:val="none" w:sz="0" w:space="0" w:color="auto"/>
            <w:right w:val="none" w:sz="0" w:space="0" w:color="auto"/>
          </w:divBdr>
        </w:div>
        <w:div w:id="1734889654">
          <w:marLeft w:val="0"/>
          <w:marRight w:val="0"/>
          <w:marTop w:val="0"/>
          <w:marBottom w:val="0"/>
          <w:divBdr>
            <w:top w:val="none" w:sz="0" w:space="0" w:color="auto"/>
            <w:left w:val="none" w:sz="0" w:space="0" w:color="auto"/>
            <w:bottom w:val="none" w:sz="0" w:space="0" w:color="auto"/>
            <w:right w:val="none" w:sz="0" w:space="0" w:color="auto"/>
          </w:divBdr>
        </w:div>
        <w:div w:id="1728607045">
          <w:marLeft w:val="0"/>
          <w:marRight w:val="0"/>
          <w:marTop w:val="0"/>
          <w:marBottom w:val="0"/>
          <w:divBdr>
            <w:top w:val="none" w:sz="0" w:space="0" w:color="auto"/>
            <w:left w:val="none" w:sz="0" w:space="0" w:color="auto"/>
            <w:bottom w:val="none" w:sz="0" w:space="0" w:color="auto"/>
            <w:right w:val="none" w:sz="0" w:space="0" w:color="auto"/>
          </w:divBdr>
        </w:div>
      </w:divsChild>
    </w:div>
    <w:div w:id="1500543267">
      <w:bodyDiv w:val="1"/>
      <w:marLeft w:val="0"/>
      <w:marRight w:val="0"/>
      <w:marTop w:val="0"/>
      <w:marBottom w:val="0"/>
      <w:divBdr>
        <w:top w:val="none" w:sz="0" w:space="0" w:color="auto"/>
        <w:left w:val="none" w:sz="0" w:space="0" w:color="auto"/>
        <w:bottom w:val="none" w:sz="0" w:space="0" w:color="auto"/>
        <w:right w:val="none" w:sz="0" w:space="0" w:color="auto"/>
      </w:divBdr>
      <w:divsChild>
        <w:div w:id="508059216">
          <w:marLeft w:val="0"/>
          <w:marRight w:val="0"/>
          <w:marTop w:val="0"/>
          <w:marBottom w:val="0"/>
          <w:divBdr>
            <w:top w:val="none" w:sz="0" w:space="0" w:color="auto"/>
            <w:left w:val="none" w:sz="0" w:space="0" w:color="auto"/>
            <w:bottom w:val="none" w:sz="0" w:space="0" w:color="auto"/>
            <w:right w:val="none" w:sz="0" w:space="0" w:color="auto"/>
          </w:divBdr>
        </w:div>
        <w:div w:id="1003508305">
          <w:marLeft w:val="0"/>
          <w:marRight w:val="0"/>
          <w:marTop w:val="0"/>
          <w:marBottom w:val="0"/>
          <w:divBdr>
            <w:top w:val="none" w:sz="0" w:space="0" w:color="auto"/>
            <w:left w:val="none" w:sz="0" w:space="0" w:color="auto"/>
            <w:bottom w:val="none" w:sz="0" w:space="0" w:color="auto"/>
            <w:right w:val="none" w:sz="0" w:space="0" w:color="auto"/>
          </w:divBdr>
        </w:div>
        <w:div w:id="98916773">
          <w:marLeft w:val="0"/>
          <w:marRight w:val="0"/>
          <w:marTop w:val="0"/>
          <w:marBottom w:val="0"/>
          <w:divBdr>
            <w:top w:val="none" w:sz="0" w:space="0" w:color="auto"/>
            <w:left w:val="none" w:sz="0" w:space="0" w:color="auto"/>
            <w:bottom w:val="none" w:sz="0" w:space="0" w:color="auto"/>
            <w:right w:val="none" w:sz="0" w:space="0" w:color="auto"/>
          </w:divBdr>
        </w:div>
        <w:div w:id="683894937">
          <w:marLeft w:val="0"/>
          <w:marRight w:val="0"/>
          <w:marTop w:val="0"/>
          <w:marBottom w:val="0"/>
          <w:divBdr>
            <w:top w:val="none" w:sz="0" w:space="0" w:color="auto"/>
            <w:left w:val="none" w:sz="0" w:space="0" w:color="auto"/>
            <w:bottom w:val="none" w:sz="0" w:space="0" w:color="auto"/>
            <w:right w:val="none" w:sz="0" w:space="0" w:color="auto"/>
          </w:divBdr>
        </w:div>
      </w:divsChild>
    </w:div>
    <w:div w:id="1560631382">
      <w:bodyDiv w:val="1"/>
      <w:marLeft w:val="0"/>
      <w:marRight w:val="0"/>
      <w:marTop w:val="0"/>
      <w:marBottom w:val="0"/>
      <w:divBdr>
        <w:top w:val="none" w:sz="0" w:space="0" w:color="auto"/>
        <w:left w:val="none" w:sz="0" w:space="0" w:color="auto"/>
        <w:bottom w:val="none" w:sz="0" w:space="0" w:color="auto"/>
        <w:right w:val="none" w:sz="0" w:space="0" w:color="auto"/>
      </w:divBdr>
      <w:divsChild>
        <w:div w:id="1406220281">
          <w:marLeft w:val="0"/>
          <w:marRight w:val="0"/>
          <w:marTop w:val="0"/>
          <w:marBottom w:val="0"/>
          <w:divBdr>
            <w:top w:val="none" w:sz="0" w:space="0" w:color="auto"/>
            <w:left w:val="none" w:sz="0" w:space="0" w:color="auto"/>
            <w:bottom w:val="none" w:sz="0" w:space="0" w:color="auto"/>
            <w:right w:val="none" w:sz="0" w:space="0" w:color="auto"/>
          </w:divBdr>
          <w:divsChild>
            <w:div w:id="1531843527">
              <w:marLeft w:val="0"/>
              <w:marRight w:val="0"/>
              <w:marTop w:val="0"/>
              <w:marBottom w:val="0"/>
              <w:divBdr>
                <w:top w:val="none" w:sz="0" w:space="0" w:color="auto"/>
                <w:left w:val="none" w:sz="0" w:space="0" w:color="auto"/>
                <w:bottom w:val="none" w:sz="0" w:space="0" w:color="auto"/>
                <w:right w:val="none" w:sz="0" w:space="0" w:color="auto"/>
              </w:divBdr>
              <w:divsChild>
                <w:div w:id="203279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590700">
      <w:bodyDiv w:val="1"/>
      <w:marLeft w:val="0"/>
      <w:marRight w:val="0"/>
      <w:marTop w:val="0"/>
      <w:marBottom w:val="0"/>
      <w:divBdr>
        <w:top w:val="none" w:sz="0" w:space="0" w:color="auto"/>
        <w:left w:val="none" w:sz="0" w:space="0" w:color="auto"/>
        <w:bottom w:val="none" w:sz="0" w:space="0" w:color="auto"/>
        <w:right w:val="none" w:sz="0" w:space="0" w:color="auto"/>
      </w:divBdr>
      <w:divsChild>
        <w:div w:id="1261836065">
          <w:marLeft w:val="0"/>
          <w:marRight w:val="0"/>
          <w:marTop w:val="0"/>
          <w:marBottom w:val="0"/>
          <w:divBdr>
            <w:top w:val="none" w:sz="0" w:space="0" w:color="auto"/>
            <w:left w:val="none" w:sz="0" w:space="0" w:color="auto"/>
            <w:bottom w:val="none" w:sz="0" w:space="0" w:color="auto"/>
            <w:right w:val="none" w:sz="0" w:space="0" w:color="auto"/>
          </w:divBdr>
        </w:div>
        <w:div w:id="1244954119">
          <w:marLeft w:val="0"/>
          <w:marRight w:val="0"/>
          <w:marTop w:val="0"/>
          <w:marBottom w:val="0"/>
          <w:divBdr>
            <w:top w:val="none" w:sz="0" w:space="0" w:color="auto"/>
            <w:left w:val="none" w:sz="0" w:space="0" w:color="auto"/>
            <w:bottom w:val="none" w:sz="0" w:space="0" w:color="auto"/>
            <w:right w:val="none" w:sz="0" w:space="0" w:color="auto"/>
          </w:divBdr>
        </w:div>
        <w:div w:id="145978192">
          <w:marLeft w:val="0"/>
          <w:marRight w:val="0"/>
          <w:marTop w:val="0"/>
          <w:marBottom w:val="0"/>
          <w:divBdr>
            <w:top w:val="none" w:sz="0" w:space="0" w:color="auto"/>
            <w:left w:val="none" w:sz="0" w:space="0" w:color="auto"/>
            <w:bottom w:val="none" w:sz="0" w:space="0" w:color="auto"/>
            <w:right w:val="none" w:sz="0" w:space="0" w:color="auto"/>
          </w:divBdr>
        </w:div>
        <w:div w:id="2072993216">
          <w:marLeft w:val="0"/>
          <w:marRight w:val="0"/>
          <w:marTop w:val="0"/>
          <w:marBottom w:val="0"/>
          <w:divBdr>
            <w:top w:val="none" w:sz="0" w:space="0" w:color="auto"/>
            <w:left w:val="none" w:sz="0" w:space="0" w:color="auto"/>
            <w:bottom w:val="none" w:sz="0" w:space="0" w:color="auto"/>
            <w:right w:val="none" w:sz="0" w:space="0" w:color="auto"/>
          </w:divBdr>
        </w:div>
        <w:div w:id="599752578">
          <w:marLeft w:val="0"/>
          <w:marRight w:val="0"/>
          <w:marTop w:val="0"/>
          <w:marBottom w:val="0"/>
          <w:divBdr>
            <w:top w:val="none" w:sz="0" w:space="0" w:color="auto"/>
            <w:left w:val="none" w:sz="0" w:space="0" w:color="auto"/>
            <w:bottom w:val="none" w:sz="0" w:space="0" w:color="auto"/>
            <w:right w:val="none" w:sz="0" w:space="0" w:color="auto"/>
          </w:divBdr>
        </w:div>
        <w:div w:id="1136333845">
          <w:marLeft w:val="0"/>
          <w:marRight w:val="0"/>
          <w:marTop w:val="0"/>
          <w:marBottom w:val="0"/>
          <w:divBdr>
            <w:top w:val="none" w:sz="0" w:space="0" w:color="auto"/>
            <w:left w:val="none" w:sz="0" w:space="0" w:color="auto"/>
            <w:bottom w:val="none" w:sz="0" w:space="0" w:color="auto"/>
            <w:right w:val="none" w:sz="0" w:space="0" w:color="auto"/>
          </w:divBdr>
        </w:div>
        <w:div w:id="1798403416">
          <w:marLeft w:val="0"/>
          <w:marRight w:val="0"/>
          <w:marTop w:val="0"/>
          <w:marBottom w:val="0"/>
          <w:divBdr>
            <w:top w:val="none" w:sz="0" w:space="0" w:color="auto"/>
            <w:left w:val="none" w:sz="0" w:space="0" w:color="auto"/>
            <w:bottom w:val="none" w:sz="0" w:space="0" w:color="auto"/>
            <w:right w:val="none" w:sz="0" w:space="0" w:color="auto"/>
          </w:divBdr>
        </w:div>
        <w:div w:id="1282108933">
          <w:marLeft w:val="0"/>
          <w:marRight w:val="0"/>
          <w:marTop w:val="0"/>
          <w:marBottom w:val="0"/>
          <w:divBdr>
            <w:top w:val="none" w:sz="0" w:space="0" w:color="auto"/>
            <w:left w:val="none" w:sz="0" w:space="0" w:color="auto"/>
            <w:bottom w:val="none" w:sz="0" w:space="0" w:color="auto"/>
            <w:right w:val="none" w:sz="0" w:space="0" w:color="auto"/>
          </w:divBdr>
        </w:div>
        <w:div w:id="1348752387">
          <w:marLeft w:val="0"/>
          <w:marRight w:val="0"/>
          <w:marTop w:val="0"/>
          <w:marBottom w:val="0"/>
          <w:divBdr>
            <w:top w:val="none" w:sz="0" w:space="0" w:color="auto"/>
            <w:left w:val="none" w:sz="0" w:space="0" w:color="auto"/>
            <w:bottom w:val="none" w:sz="0" w:space="0" w:color="auto"/>
            <w:right w:val="none" w:sz="0" w:space="0" w:color="auto"/>
          </w:divBdr>
        </w:div>
        <w:div w:id="176845849">
          <w:marLeft w:val="0"/>
          <w:marRight w:val="0"/>
          <w:marTop w:val="0"/>
          <w:marBottom w:val="0"/>
          <w:divBdr>
            <w:top w:val="none" w:sz="0" w:space="0" w:color="auto"/>
            <w:left w:val="none" w:sz="0" w:space="0" w:color="auto"/>
            <w:bottom w:val="none" w:sz="0" w:space="0" w:color="auto"/>
            <w:right w:val="none" w:sz="0" w:space="0" w:color="auto"/>
          </w:divBdr>
        </w:div>
        <w:div w:id="48237064">
          <w:marLeft w:val="0"/>
          <w:marRight w:val="0"/>
          <w:marTop w:val="0"/>
          <w:marBottom w:val="0"/>
          <w:divBdr>
            <w:top w:val="none" w:sz="0" w:space="0" w:color="auto"/>
            <w:left w:val="none" w:sz="0" w:space="0" w:color="auto"/>
            <w:bottom w:val="none" w:sz="0" w:space="0" w:color="auto"/>
            <w:right w:val="none" w:sz="0" w:space="0" w:color="auto"/>
          </w:divBdr>
        </w:div>
        <w:div w:id="1574312811">
          <w:marLeft w:val="0"/>
          <w:marRight w:val="0"/>
          <w:marTop w:val="0"/>
          <w:marBottom w:val="0"/>
          <w:divBdr>
            <w:top w:val="none" w:sz="0" w:space="0" w:color="auto"/>
            <w:left w:val="none" w:sz="0" w:space="0" w:color="auto"/>
            <w:bottom w:val="none" w:sz="0" w:space="0" w:color="auto"/>
            <w:right w:val="none" w:sz="0" w:space="0" w:color="auto"/>
          </w:divBdr>
        </w:div>
        <w:div w:id="1623733066">
          <w:marLeft w:val="0"/>
          <w:marRight w:val="0"/>
          <w:marTop w:val="0"/>
          <w:marBottom w:val="0"/>
          <w:divBdr>
            <w:top w:val="none" w:sz="0" w:space="0" w:color="auto"/>
            <w:left w:val="none" w:sz="0" w:space="0" w:color="auto"/>
            <w:bottom w:val="none" w:sz="0" w:space="0" w:color="auto"/>
            <w:right w:val="none" w:sz="0" w:space="0" w:color="auto"/>
          </w:divBdr>
        </w:div>
        <w:div w:id="1131822399">
          <w:marLeft w:val="0"/>
          <w:marRight w:val="0"/>
          <w:marTop w:val="0"/>
          <w:marBottom w:val="0"/>
          <w:divBdr>
            <w:top w:val="none" w:sz="0" w:space="0" w:color="auto"/>
            <w:left w:val="none" w:sz="0" w:space="0" w:color="auto"/>
            <w:bottom w:val="none" w:sz="0" w:space="0" w:color="auto"/>
            <w:right w:val="none" w:sz="0" w:space="0" w:color="auto"/>
          </w:divBdr>
        </w:div>
        <w:div w:id="586308273">
          <w:marLeft w:val="0"/>
          <w:marRight w:val="0"/>
          <w:marTop w:val="0"/>
          <w:marBottom w:val="0"/>
          <w:divBdr>
            <w:top w:val="none" w:sz="0" w:space="0" w:color="auto"/>
            <w:left w:val="none" w:sz="0" w:space="0" w:color="auto"/>
            <w:bottom w:val="none" w:sz="0" w:space="0" w:color="auto"/>
            <w:right w:val="none" w:sz="0" w:space="0" w:color="auto"/>
          </w:divBdr>
        </w:div>
        <w:div w:id="1739327781">
          <w:marLeft w:val="0"/>
          <w:marRight w:val="0"/>
          <w:marTop w:val="0"/>
          <w:marBottom w:val="0"/>
          <w:divBdr>
            <w:top w:val="none" w:sz="0" w:space="0" w:color="auto"/>
            <w:left w:val="none" w:sz="0" w:space="0" w:color="auto"/>
            <w:bottom w:val="none" w:sz="0" w:space="0" w:color="auto"/>
            <w:right w:val="none" w:sz="0" w:space="0" w:color="auto"/>
          </w:divBdr>
        </w:div>
        <w:div w:id="1487042642">
          <w:marLeft w:val="0"/>
          <w:marRight w:val="0"/>
          <w:marTop w:val="0"/>
          <w:marBottom w:val="0"/>
          <w:divBdr>
            <w:top w:val="none" w:sz="0" w:space="0" w:color="auto"/>
            <w:left w:val="none" w:sz="0" w:space="0" w:color="auto"/>
            <w:bottom w:val="none" w:sz="0" w:space="0" w:color="auto"/>
            <w:right w:val="none" w:sz="0" w:space="0" w:color="auto"/>
          </w:divBdr>
        </w:div>
        <w:div w:id="172033667">
          <w:marLeft w:val="0"/>
          <w:marRight w:val="0"/>
          <w:marTop w:val="0"/>
          <w:marBottom w:val="0"/>
          <w:divBdr>
            <w:top w:val="none" w:sz="0" w:space="0" w:color="auto"/>
            <w:left w:val="none" w:sz="0" w:space="0" w:color="auto"/>
            <w:bottom w:val="none" w:sz="0" w:space="0" w:color="auto"/>
            <w:right w:val="none" w:sz="0" w:space="0" w:color="auto"/>
          </w:divBdr>
        </w:div>
        <w:div w:id="1636061953">
          <w:marLeft w:val="0"/>
          <w:marRight w:val="0"/>
          <w:marTop w:val="0"/>
          <w:marBottom w:val="0"/>
          <w:divBdr>
            <w:top w:val="none" w:sz="0" w:space="0" w:color="auto"/>
            <w:left w:val="none" w:sz="0" w:space="0" w:color="auto"/>
            <w:bottom w:val="none" w:sz="0" w:space="0" w:color="auto"/>
            <w:right w:val="none" w:sz="0" w:space="0" w:color="auto"/>
          </w:divBdr>
        </w:div>
        <w:div w:id="1827866345">
          <w:marLeft w:val="0"/>
          <w:marRight w:val="0"/>
          <w:marTop w:val="0"/>
          <w:marBottom w:val="0"/>
          <w:divBdr>
            <w:top w:val="none" w:sz="0" w:space="0" w:color="auto"/>
            <w:left w:val="none" w:sz="0" w:space="0" w:color="auto"/>
            <w:bottom w:val="none" w:sz="0" w:space="0" w:color="auto"/>
            <w:right w:val="none" w:sz="0" w:space="0" w:color="auto"/>
          </w:divBdr>
        </w:div>
        <w:div w:id="369690407">
          <w:marLeft w:val="0"/>
          <w:marRight w:val="0"/>
          <w:marTop w:val="0"/>
          <w:marBottom w:val="0"/>
          <w:divBdr>
            <w:top w:val="none" w:sz="0" w:space="0" w:color="auto"/>
            <w:left w:val="none" w:sz="0" w:space="0" w:color="auto"/>
            <w:bottom w:val="none" w:sz="0" w:space="0" w:color="auto"/>
            <w:right w:val="none" w:sz="0" w:space="0" w:color="auto"/>
          </w:divBdr>
        </w:div>
      </w:divsChild>
    </w:div>
    <w:div w:id="1757507941">
      <w:bodyDiv w:val="1"/>
      <w:marLeft w:val="0"/>
      <w:marRight w:val="0"/>
      <w:marTop w:val="0"/>
      <w:marBottom w:val="0"/>
      <w:divBdr>
        <w:top w:val="none" w:sz="0" w:space="0" w:color="auto"/>
        <w:left w:val="none" w:sz="0" w:space="0" w:color="auto"/>
        <w:bottom w:val="none" w:sz="0" w:space="0" w:color="auto"/>
        <w:right w:val="none" w:sz="0" w:space="0" w:color="auto"/>
      </w:divBdr>
    </w:div>
    <w:div w:id="1889298801">
      <w:bodyDiv w:val="1"/>
      <w:marLeft w:val="0"/>
      <w:marRight w:val="0"/>
      <w:marTop w:val="0"/>
      <w:marBottom w:val="0"/>
      <w:divBdr>
        <w:top w:val="none" w:sz="0" w:space="0" w:color="auto"/>
        <w:left w:val="none" w:sz="0" w:space="0" w:color="auto"/>
        <w:bottom w:val="none" w:sz="0" w:space="0" w:color="auto"/>
        <w:right w:val="none" w:sz="0" w:space="0" w:color="auto"/>
      </w:divBdr>
    </w:div>
    <w:div w:id="2080252922">
      <w:bodyDiv w:val="1"/>
      <w:marLeft w:val="0"/>
      <w:marRight w:val="0"/>
      <w:marTop w:val="0"/>
      <w:marBottom w:val="0"/>
      <w:divBdr>
        <w:top w:val="none" w:sz="0" w:space="0" w:color="auto"/>
        <w:left w:val="none" w:sz="0" w:space="0" w:color="auto"/>
        <w:bottom w:val="none" w:sz="0" w:space="0" w:color="auto"/>
        <w:right w:val="none" w:sz="0" w:space="0" w:color="auto"/>
      </w:divBdr>
      <w:divsChild>
        <w:div w:id="1632514051">
          <w:marLeft w:val="0"/>
          <w:marRight w:val="0"/>
          <w:marTop w:val="0"/>
          <w:marBottom w:val="0"/>
          <w:divBdr>
            <w:top w:val="none" w:sz="0" w:space="0" w:color="auto"/>
            <w:left w:val="none" w:sz="0" w:space="0" w:color="auto"/>
            <w:bottom w:val="none" w:sz="0" w:space="0" w:color="auto"/>
            <w:right w:val="none" w:sz="0" w:space="0" w:color="auto"/>
          </w:divBdr>
        </w:div>
        <w:div w:id="1717002289">
          <w:marLeft w:val="0"/>
          <w:marRight w:val="0"/>
          <w:marTop w:val="0"/>
          <w:marBottom w:val="0"/>
          <w:divBdr>
            <w:top w:val="none" w:sz="0" w:space="0" w:color="auto"/>
            <w:left w:val="none" w:sz="0" w:space="0" w:color="auto"/>
            <w:bottom w:val="none" w:sz="0" w:space="0" w:color="auto"/>
            <w:right w:val="none" w:sz="0" w:space="0" w:color="auto"/>
          </w:divBdr>
        </w:div>
        <w:div w:id="1826701131">
          <w:marLeft w:val="0"/>
          <w:marRight w:val="0"/>
          <w:marTop w:val="0"/>
          <w:marBottom w:val="0"/>
          <w:divBdr>
            <w:top w:val="none" w:sz="0" w:space="0" w:color="auto"/>
            <w:left w:val="none" w:sz="0" w:space="0" w:color="auto"/>
            <w:bottom w:val="none" w:sz="0" w:space="0" w:color="auto"/>
            <w:right w:val="none" w:sz="0" w:space="0" w:color="auto"/>
          </w:divBdr>
        </w:div>
        <w:div w:id="672270141">
          <w:marLeft w:val="0"/>
          <w:marRight w:val="0"/>
          <w:marTop w:val="0"/>
          <w:marBottom w:val="0"/>
          <w:divBdr>
            <w:top w:val="none" w:sz="0" w:space="0" w:color="auto"/>
            <w:left w:val="none" w:sz="0" w:space="0" w:color="auto"/>
            <w:bottom w:val="none" w:sz="0" w:space="0" w:color="auto"/>
            <w:right w:val="none" w:sz="0" w:space="0" w:color="auto"/>
          </w:divBdr>
        </w:div>
        <w:div w:id="1070006905">
          <w:marLeft w:val="0"/>
          <w:marRight w:val="0"/>
          <w:marTop w:val="0"/>
          <w:marBottom w:val="0"/>
          <w:divBdr>
            <w:top w:val="none" w:sz="0" w:space="0" w:color="auto"/>
            <w:left w:val="none" w:sz="0" w:space="0" w:color="auto"/>
            <w:bottom w:val="none" w:sz="0" w:space="0" w:color="auto"/>
            <w:right w:val="none" w:sz="0" w:space="0" w:color="auto"/>
          </w:divBdr>
        </w:div>
        <w:div w:id="1508137024">
          <w:marLeft w:val="0"/>
          <w:marRight w:val="0"/>
          <w:marTop w:val="0"/>
          <w:marBottom w:val="0"/>
          <w:divBdr>
            <w:top w:val="none" w:sz="0" w:space="0" w:color="auto"/>
            <w:left w:val="none" w:sz="0" w:space="0" w:color="auto"/>
            <w:bottom w:val="none" w:sz="0" w:space="0" w:color="auto"/>
            <w:right w:val="none" w:sz="0" w:space="0" w:color="auto"/>
          </w:divBdr>
        </w:div>
        <w:div w:id="658731282">
          <w:marLeft w:val="0"/>
          <w:marRight w:val="0"/>
          <w:marTop w:val="0"/>
          <w:marBottom w:val="0"/>
          <w:divBdr>
            <w:top w:val="none" w:sz="0" w:space="0" w:color="auto"/>
            <w:left w:val="none" w:sz="0" w:space="0" w:color="auto"/>
            <w:bottom w:val="none" w:sz="0" w:space="0" w:color="auto"/>
            <w:right w:val="none" w:sz="0" w:space="0" w:color="auto"/>
          </w:divBdr>
        </w:div>
        <w:div w:id="2061589935">
          <w:marLeft w:val="0"/>
          <w:marRight w:val="0"/>
          <w:marTop w:val="0"/>
          <w:marBottom w:val="0"/>
          <w:divBdr>
            <w:top w:val="none" w:sz="0" w:space="0" w:color="auto"/>
            <w:left w:val="none" w:sz="0" w:space="0" w:color="auto"/>
            <w:bottom w:val="none" w:sz="0" w:space="0" w:color="auto"/>
            <w:right w:val="none" w:sz="0" w:space="0" w:color="auto"/>
          </w:divBdr>
        </w:div>
        <w:div w:id="884025838">
          <w:marLeft w:val="0"/>
          <w:marRight w:val="0"/>
          <w:marTop w:val="0"/>
          <w:marBottom w:val="0"/>
          <w:divBdr>
            <w:top w:val="none" w:sz="0" w:space="0" w:color="auto"/>
            <w:left w:val="none" w:sz="0" w:space="0" w:color="auto"/>
            <w:bottom w:val="none" w:sz="0" w:space="0" w:color="auto"/>
            <w:right w:val="none" w:sz="0" w:space="0" w:color="auto"/>
          </w:divBdr>
        </w:div>
        <w:div w:id="690572881">
          <w:marLeft w:val="0"/>
          <w:marRight w:val="0"/>
          <w:marTop w:val="0"/>
          <w:marBottom w:val="0"/>
          <w:divBdr>
            <w:top w:val="none" w:sz="0" w:space="0" w:color="auto"/>
            <w:left w:val="none" w:sz="0" w:space="0" w:color="auto"/>
            <w:bottom w:val="none" w:sz="0" w:space="0" w:color="auto"/>
            <w:right w:val="none" w:sz="0" w:space="0" w:color="auto"/>
          </w:divBdr>
        </w:div>
        <w:div w:id="147866022">
          <w:marLeft w:val="0"/>
          <w:marRight w:val="0"/>
          <w:marTop w:val="0"/>
          <w:marBottom w:val="0"/>
          <w:divBdr>
            <w:top w:val="none" w:sz="0" w:space="0" w:color="auto"/>
            <w:left w:val="none" w:sz="0" w:space="0" w:color="auto"/>
            <w:bottom w:val="none" w:sz="0" w:space="0" w:color="auto"/>
            <w:right w:val="none" w:sz="0" w:space="0" w:color="auto"/>
          </w:divBdr>
        </w:div>
        <w:div w:id="459110802">
          <w:marLeft w:val="0"/>
          <w:marRight w:val="0"/>
          <w:marTop w:val="0"/>
          <w:marBottom w:val="0"/>
          <w:divBdr>
            <w:top w:val="none" w:sz="0" w:space="0" w:color="auto"/>
            <w:left w:val="none" w:sz="0" w:space="0" w:color="auto"/>
            <w:bottom w:val="none" w:sz="0" w:space="0" w:color="auto"/>
            <w:right w:val="none" w:sz="0" w:space="0" w:color="auto"/>
          </w:divBdr>
        </w:div>
        <w:div w:id="19285953">
          <w:marLeft w:val="0"/>
          <w:marRight w:val="0"/>
          <w:marTop w:val="0"/>
          <w:marBottom w:val="0"/>
          <w:divBdr>
            <w:top w:val="none" w:sz="0" w:space="0" w:color="auto"/>
            <w:left w:val="none" w:sz="0" w:space="0" w:color="auto"/>
            <w:bottom w:val="none" w:sz="0" w:space="0" w:color="auto"/>
            <w:right w:val="none" w:sz="0" w:space="0" w:color="auto"/>
          </w:divBdr>
        </w:div>
        <w:div w:id="1186210674">
          <w:marLeft w:val="0"/>
          <w:marRight w:val="0"/>
          <w:marTop w:val="0"/>
          <w:marBottom w:val="0"/>
          <w:divBdr>
            <w:top w:val="none" w:sz="0" w:space="0" w:color="auto"/>
            <w:left w:val="none" w:sz="0" w:space="0" w:color="auto"/>
            <w:bottom w:val="none" w:sz="0" w:space="0" w:color="auto"/>
            <w:right w:val="none" w:sz="0" w:space="0" w:color="auto"/>
          </w:divBdr>
        </w:div>
        <w:div w:id="1329167117">
          <w:marLeft w:val="0"/>
          <w:marRight w:val="0"/>
          <w:marTop w:val="0"/>
          <w:marBottom w:val="0"/>
          <w:divBdr>
            <w:top w:val="none" w:sz="0" w:space="0" w:color="auto"/>
            <w:left w:val="none" w:sz="0" w:space="0" w:color="auto"/>
            <w:bottom w:val="none" w:sz="0" w:space="0" w:color="auto"/>
            <w:right w:val="none" w:sz="0" w:space="0" w:color="auto"/>
          </w:divBdr>
        </w:div>
        <w:div w:id="1564564409">
          <w:marLeft w:val="0"/>
          <w:marRight w:val="0"/>
          <w:marTop w:val="0"/>
          <w:marBottom w:val="0"/>
          <w:divBdr>
            <w:top w:val="none" w:sz="0" w:space="0" w:color="auto"/>
            <w:left w:val="none" w:sz="0" w:space="0" w:color="auto"/>
            <w:bottom w:val="none" w:sz="0" w:space="0" w:color="auto"/>
            <w:right w:val="none" w:sz="0" w:space="0" w:color="auto"/>
          </w:divBdr>
        </w:div>
        <w:div w:id="1890453038">
          <w:marLeft w:val="0"/>
          <w:marRight w:val="0"/>
          <w:marTop w:val="0"/>
          <w:marBottom w:val="0"/>
          <w:divBdr>
            <w:top w:val="none" w:sz="0" w:space="0" w:color="auto"/>
            <w:left w:val="none" w:sz="0" w:space="0" w:color="auto"/>
            <w:bottom w:val="none" w:sz="0" w:space="0" w:color="auto"/>
            <w:right w:val="none" w:sz="0" w:space="0" w:color="auto"/>
          </w:divBdr>
        </w:div>
        <w:div w:id="395786749">
          <w:marLeft w:val="0"/>
          <w:marRight w:val="0"/>
          <w:marTop w:val="0"/>
          <w:marBottom w:val="0"/>
          <w:divBdr>
            <w:top w:val="none" w:sz="0" w:space="0" w:color="auto"/>
            <w:left w:val="none" w:sz="0" w:space="0" w:color="auto"/>
            <w:bottom w:val="none" w:sz="0" w:space="0" w:color="auto"/>
            <w:right w:val="none" w:sz="0" w:space="0" w:color="auto"/>
          </w:divBdr>
        </w:div>
        <w:div w:id="672489672">
          <w:marLeft w:val="0"/>
          <w:marRight w:val="0"/>
          <w:marTop w:val="0"/>
          <w:marBottom w:val="0"/>
          <w:divBdr>
            <w:top w:val="none" w:sz="0" w:space="0" w:color="auto"/>
            <w:left w:val="none" w:sz="0" w:space="0" w:color="auto"/>
            <w:bottom w:val="none" w:sz="0" w:space="0" w:color="auto"/>
            <w:right w:val="none" w:sz="0" w:space="0" w:color="auto"/>
          </w:divBdr>
        </w:div>
        <w:div w:id="1882669751">
          <w:marLeft w:val="0"/>
          <w:marRight w:val="0"/>
          <w:marTop w:val="0"/>
          <w:marBottom w:val="0"/>
          <w:divBdr>
            <w:top w:val="none" w:sz="0" w:space="0" w:color="auto"/>
            <w:left w:val="none" w:sz="0" w:space="0" w:color="auto"/>
            <w:bottom w:val="none" w:sz="0" w:space="0" w:color="auto"/>
            <w:right w:val="none" w:sz="0" w:space="0" w:color="auto"/>
          </w:divBdr>
        </w:div>
        <w:div w:id="223562567">
          <w:marLeft w:val="0"/>
          <w:marRight w:val="0"/>
          <w:marTop w:val="0"/>
          <w:marBottom w:val="0"/>
          <w:divBdr>
            <w:top w:val="none" w:sz="0" w:space="0" w:color="auto"/>
            <w:left w:val="none" w:sz="0" w:space="0" w:color="auto"/>
            <w:bottom w:val="none" w:sz="0" w:space="0" w:color="auto"/>
            <w:right w:val="none" w:sz="0" w:space="0" w:color="auto"/>
          </w:divBdr>
        </w:div>
        <w:div w:id="295065725">
          <w:marLeft w:val="0"/>
          <w:marRight w:val="0"/>
          <w:marTop w:val="0"/>
          <w:marBottom w:val="0"/>
          <w:divBdr>
            <w:top w:val="none" w:sz="0" w:space="0" w:color="auto"/>
            <w:left w:val="none" w:sz="0" w:space="0" w:color="auto"/>
            <w:bottom w:val="none" w:sz="0" w:space="0" w:color="auto"/>
            <w:right w:val="none" w:sz="0" w:space="0" w:color="auto"/>
          </w:divBdr>
        </w:div>
        <w:div w:id="1441949359">
          <w:marLeft w:val="0"/>
          <w:marRight w:val="0"/>
          <w:marTop w:val="0"/>
          <w:marBottom w:val="0"/>
          <w:divBdr>
            <w:top w:val="none" w:sz="0" w:space="0" w:color="auto"/>
            <w:left w:val="none" w:sz="0" w:space="0" w:color="auto"/>
            <w:bottom w:val="none" w:sz="0" w:space="0" w:color="auto"/>
            <w:right w:val="none" w:sz="0" w:space="0" w:color="auto"/>
          </w:divBdr>
        </w:div>
        <w:div w:id="1888755938">
          <w:marLeft w:val="0"/>
          <w:marRight w:val="0"/>
          <w:marTop w:val="0"/>
          <w:marBottom w:val="0"/>
          <w:divBdr>
            <w:top w:val="none" w:sz="0" w:space="0" w:color="auto"/>
            <w:left w:val="none" w:sz="0" w:space="0" w:color="auto"/>
            <w:bottom w:val="none" w:sz="0" w:space="0" w:color="auto"/>
            <w:right w:val="none" w:sz="0" w:space="0" w:color="auto"/>
          </w:divBdr>
        </w:div>
        <w:div w:id="296491438">
          <w:marLeft w:val="0"/>
          <w:marRight w:val="0"/>
          <w:marTop w:val="0"/>
          <w:marBottom w:val="0"/>
          <w:divBdr>
            <w:top w:val="none" w:sz="0" w:space="0" w:color="auto"/>
            <w:left w:val="none" w:sz="0" w:space="0" w:color="auto"/>
            <w:bottom w:val="none" w:sz="0" w:space="0" w:color="auto"/>
            <w:right w:val="none" w:sz="0" w:space="0" w:color="auto"/>
          </w:divBdr>
        </w:div>
        <w:div w:id="737482815">
          <w:marLeft w:val="0"/>
          <w:marRight w:val="0"/>
          <w:marTop w:val="0"/>
          <w:marBottom w:val="0"/>
          <w:divBdr>
            <w:top w:val="none" w:sz="0" w:space="0" w:color="auto"/>
            <w:left w:val="none" w:sz="0" w:space="0" w:color="auto"/>
            <w:bottom w:val="none" w:sz="0" w:space="0" w:color="auto"/>
            <w:right w:val="none" w:sz="0" w:space="0" w:color="auto"/>
          </w:divBdr>
        </w:div>
        <w:div w:id="1067460845">
          <w:marLeft w:val="0"/>
          <w:marRight w:val="0"/>
          <w:marTop w:val="0"/>
          <w:marBottom w:val="0"/>
          <w:divBdr>
            <w:top w:val="none" w:sz="0" w:space="0" w:color="auto"/>
            <w:left w:val="none" w:sz="0" w:space="0" w:color="auto"/>
            <w:bottom w:val="none" w:sz="0" w:space="0" w:color="auto"/>
            <w:right w:val="none" w:sz="0" w:space="0" w:color="auto"/>
          </w:divBdr>
        </w:div>
        <w:div w:id="282537839">
          <w:marLeft w:val="0"/>
          <w:marRight w:val="0"/>
          <w:marTop w:val="0"/>
          <w:marBottom w:val="0"/>
          <w:divBdr>
            <w:top w:val="none" w:sz="0" w:space="0" w:color="auto"/>
            <w:left w:val="none" w:sz="0" w:space="0" w:color="auto"/>
            <w:bottom w:val="none" w:sz="0" w:space="0" w:color="auto"/>
            <w:right w:val="none" w:sz="0" w:space="0" w:color="auto"/>
          </w:divBdr>
        </w:div>
        <w:div w:id="1007245139">
          <w:marLeft w:val="0"/>
          <w:marRight w:val="0"/>
          <w:marTop w:val="0"/>
          <w:marBottom w:val="0"/>
          <w:divBdr>
            <w:top w:val="none" w:sz="0" w:space="0" w:color="auto"/>
            <w:left w:val="none" w:sz="0" w:space="0" w:color="auto"/>
            <w:bottom w:val="none" w:sz="0" w:space="0" w:color="auto"/>
            <w:right w:val="none" w:sz="0" w:space="0" w:color="auto"/>
          </w:divBdr>
        </w:div>
        <w:div w:id="535049327">
          <w:marLeft w:val="0"/>
          <w:marRight w:val="0"/>
          <w:marTop w:val="0"/>
          <w:marBottom w:val="0"/>
          <w:divBdr>
            <w:top w:val="none" w:sz="0" w:space="0" w:color="auto"/>
            <w:left w:val="none" w:sz="0" w:space="0" w:color="auto"/>
            <w:bottom w:val="none" w:sz="0" w:space="0" w:color="auto"/>
            <w:right w:val="none" w:sz="0" w:space="0" w:color="auto"/>
          </w:divBdr>
        </w:div>
        <w:div w:id="310063824">
          <w:marLeft w:val="0"/>
          <w:marRight w:val="0"/>
          <w:marTop w:val="0"/>
          <w:marBottom w:val="0"/>
          <w:divBdr>
            <w:top w:val="none" w:sz="0" w:space="0" w:color="auto"/>
            <w:left w:val="none" w:sz="0" w:space="0" w:color="auto"/>
            <w:bottom w:val="none" w:sz="0" w:space="0" w:color="auto"/>
            <w:right w:val="none" w:sz="0" w:space="0" w:color="auto"/>
          </w:divBdr>
        </w:div>
        <w:div w:id="1847288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ohut@bnl.gov" TargetMode="External"/><Relationship Id="rId4" Type="http://schemas.microsoft.com/office/2007/relationships/stylesWithEffects" Target="stylesWithEffects.xml"/><Relationship Id="rId9" Type="http://schemas.openxmlformats.org/officeDocument/2006/relationships/hyperlink" Target="mailto:jack.ramsey@nrc.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B3584-C369-41BD-8E0E-27D1A15F2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3111</Words>
  <Characters>17739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Brookhaven National Laboratory</Company>
  <LinksUpToDate>false</LinksUpToDate>
  <CharactersWithSpaces>20809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Kohut, Peter</dc:creator>
  <cp:lastModifiedBy>Kohut, Peter</cp:lastModifiedBy>
  <cp:revision>2</cp:revision>
  <dcterms:created xsi:type="dcterms:W3CDTF">2014-10-16T13:55:00Z</dcterms:created>
  <dcterms:modified xsi:type="dcterms:W3CDTF">2014-10-16T13:55:00Z</dcterms:modified>
</cp:coreProperties>
</file>