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1449b50f0314951"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4" w:type="dxa"/>
        <w:tblLayout w:type="fixed"/>
        <w:tblLook w:val="0000" w:firstRow="0" w:lastRow="0" w:firstColumn="0" w:lastColumn="0" w:noHBand="0" w:noVBand="0"/>
      </w:tblPr>
      <w:tblGrid>
        <w:gridCol w:w="9214"/>
      </w:tblGrid>
      <w:tr w:rsidR="00355AE1">
        <w:tc>
          <w:tcPr>
            <w:tcW w:w="9214" w:type="dxa"/>
          </w:tcPr>
          <w:p w:rsidR="00355AE1" w:rsidRDefault="00016A65" w:rsidP="00B94E3A">
            <w:pPr>
              <w:pStyle w:val="Title"/>
            </w:pPr>
            <w:bookmarkStart w:id="0" w:name="IAEALastEdits"/>
            <w:bookmarkEnd w:id="0"/>
            <w:r>
              <w:t xml:space="preserve">A regional multi-scale 3D geological model of the Eastern Sub-Athabasca Basement, Canada: Implications for vectoring towards unconconformity-type uranium deposits </w:t>
            </w:r>
            <w:r>
              <w:rPr>
                <w:rStyle w:val="FootnoteReference"/>
              </w:rPr>
              <w:footnoteReference w:customMarkFollows="1" w:id="1"/>
              <w:t>*</w:t>
            </w:r>
          </w:p>
        </w:tc>
      </w:tr>
      <w:tr w:rsidR="00355AE1">
        <w:tc>
          <w:tcPr>
            <w:tcW w:w="9214" w:type="dxa"/>
          </w:tcPr>
          <w:p w:rsidR="00355AE1" w:rsidRDefault="00355AE1">
            <w:pPr>
              <w:pStyle w:val="Subtitle"/>
            </w:pPr>
          </w:p>
        </w:tc>
      </w:tr>
    </w:tbl>
    <w:p w:rsidR="00355AE1" w:rsidRDefault="00355AE1">
      <w:pPr>
        <w:spacing w:after="0"/>
        <w:jc w:val="left"/>
        <w:rPr>
          <w:sz w:val="8"/>
        </w:rPr>
      </w:pPr>
    </w:p>
    <w:tbl>
      <w:tblPr>
        <w:tblW w:w="0" w:type="auto"/>
        <w:tblInd w:w="-1" w:type="dxa"/>
        <w:tblLayout w:type="fixed"/>
        <w:tblCellMar>
          <w:left w:w="14" w:type="dxa"/>
          <w:right w:w="14" w:type="dxa"/>
        </w:tblCellMar>
        <w:tblLook w:val="0000" w:firstRow="0" w:lastRow="0" w:firstColumn="0" w:lastColumn="0" w:noHBand="0" w:noVBand="0"/>
      </w:tblPr>
      <w:tblGrid>
        <w:gridCol w:w="569"/>
        <w:gridCol w:w="8502"/>
      </w:tblGrid>
      <w:tr w:rsidR="00016A65">
        <w:tc>
          <w:tcPr>
            <w:tcW w:w="569" w:type="dxa"/>
          </w:tcPr>
          <w:p w:rsidR="00016A65" w:rsidRDefault="00016A65">
            <w:pPr>
              <w:pStyle w:val="IAEAAuthors"/>
            </w:pPr>
            <w:bookmarkStart w:id="1" w:name="IAEAAuthors"/>
            <w:bookmarkEnd w:id="1"/>
          </w:p>
        </w:tc>
        <w:tc>
          <w:tcPr>
            <w:tcW w:w="8502" w:type="dxa"/>
            <w:vAlign w:val="center"/>
          </w:tcPr>
          <w:p w:rsidR="00016A65" w:rsidRDefault="00016A65">
            <w:pPr>
              <w:pStyle w:val="IAEAAuthors"/>
            </w:pPr>
            <w:r>
              <w:t>I.R. Annesley</w:t>
            </w:r>
            <w:r w:rsidRPr="00016A65">
              <w:t xml:space="preserve">, </w:t>
            </w:r>
            <w:r>
              <w:t>B. Reilkoff</w:t>
            </w:r>
            <w:r w:rsidRPr="00016A65">
              <w:t xml:space="preserve">, </w:t>
            </w:r>
            <w:r>
              <w:t>E. Takacs</w:t>
            </w:r>
            <w:r w:rsidRPr="00016A65">
              <w:t xml:space="preserve">, </w:t>
            </w:r>
            <w:r>
              <w:t>Z. Hajnal</w:t>
            </w:r>
            <w:r w:rsidRPr="00016A65">
              <w:t xml:space="preserve">, </w:t>
            </w:r>
            <w:r>
              <w:t>B. Pandit</w:t>
            </w:r>
          </w:p>
        </w:tc>
      </w:tr>
      <w:tr w:rsidR="00016A65">
        <w:tc>
          <w:tcPr>
            <w:tcW w:w="569" w:type="dxa"/>
          </w:tcPr>
          <w:p w:rsidR="00016A65" w:rsidRDefault="00016A65">
            <w:pPr>
              <w:pStyle w:val="IAEAInstitutes"/>
              <w:jc w:val="right"/>
              <w:rPr>
                <w:vertAlign w:val="superscript"/>
              </w:rPr>
            </w:pPr>
          </w:p>
        </w:tc>
        <w:tc>
          <w:tcPr>
            <w:tcW w:w="8502" w:type="dxa"/>
            <w:vAlign w:val="center"/>
          </w:tcPr>
          <w:p w:rsidR="00016A65" w:rsidRDefault="00016A65">
            <w:pPr>
              <w:pStyle w:val="IAEAInstitutes"/>
            </w:pPr>
            <w:r>
              <w:t>Department of Geological Sciences, University of Saskatchewan, 114 Science Place, Saskatoon, SK, S7N 5E2, Canada</w:t>
            </w:r>
          </w:p>
        </w:tc>
      </w:tr>
    </w:tbl>
    <w:p w:rsidR="00355AE1" w:rsidRDefault="00355AE1">
      <w:pPr>
        <w:pStyle w:val="BodyText"/>
        <w:rPr>
          <w:i/>
          <w:sz w:val="24"/>
        </w:rPr>
      </w:pPr>
      <w:r>
        <w:rPr>
          <w:i/>
          <w:sz w:val="24"/>
        </w:rPr>
        <w:tab/>
      </w:r>
      <w:r>
        <w:rPr>
          <w:i/>
          <w:sz w:val="24"/>
        </w:rPr>
        <w:fldChar w:fldCharType="begin"/>
      </w:r>
      <w:r>
        <w:rPr>
          <w:i/>
          <w:sz w:val="24"/>
        </w:rPr>
        <w:instrText xml:space="preserve"> IF </w:instrText>
      </w:r>
      <w:r>
        <w:rPr>
          <w:i/>
          <w:sz w:val="24"/>
        </w:rPr>
        <w:fldChar w:fldCharType="begin"/>
      </w:r>
      <w:r>
        <w:rPr>
          <w:i/>
          <w:sz w:val="24"/>
        </w:rPr>
        <w:instrText xml:space="preserve"> DOCPROPERTY "IAEAPresentedBy" </w:instrText>
      </w:r>
      <w:r>
        <w:rPr>
          <w:i/>
          <w:sz w:val="24"/>
        </w:rPr>
        <w:fldChar w:fldCharType="end"/>
      </w:r>
      <w:r>
        <w:rPr>
          <w:i/>
          <w:sz w:val="24"/>
        </w:rPr>
        <w:instrText xml:space="preserve"> &lt;&gt; "" "Presented by </w:instrText>
      </w:r>
      <w:r>
        <w:rPr>
          <w:i/>
          <w:sz w:val="24"/>
        </w:rPr>
        <w:fldChar w:fldCharType="begin"/>
      </w:r>
      <w:r>
        <w:rPr>
          <w:i/>
          <w:sz w:val="24"/>
        </w:rPr>
        <w:instrText xml:space="preserve"> DOCPROPERTY "IAEAPresentedBy" </w:instrText>
      </w:r>
      <w:r>
        <w:rPr>
          <w:i/>
          <w:sz w:val="24"/>
        </w:rPr>
        <w:fldChar w:fldCharType="separate"/>
      </w:r>
      <w:r>
        <w:rPr>
          <w:i/>
          <w:sz w:val="24"/>
        </w:rPr>
        <w:instrText>xcgfm</w:instrText>
      </w:r>
      <w:r>
        <w:rPr>
          <w:i/>
          <w:sz w:val="24"/>
        </w:rPr>
        <w:fldChar w:fldCharType="end"/>
      </w:r>
      <w:r>
        <w:rPr>
          <w:i/>
          <w:sz w:val="24"/>
        </w:rPr>
        <w:instrText xml:space="preserve">" "" </w:instrText>
      </w:r>
      <w:r>
        <w:rPr>
          <w:i/>
          <w:sz w:val="24"/>
        </w:rPr>
        <w:fldChar w:fldCharType="end"/>
      </w:r>
    </w:p>
    <w:p w:rsidR="00355AE1" w:rsidRDefault="00355AE1" w:rsidP="00AF2271">
      <w:pPr>
        <w:pStyle w:val="BodyTextAbstract"/>
        <w:rPr>
          <w:lang w:val="en-CA"/>
        </w:rPr>
      </w:pPr>
      <w:r>
        <w:rPr>
          <w:b/>
        </w:rPr>
        <w:t xml:space="preserve">Abstract. </w:t>
      </w:r>
      <w:r w:rsidR="00A67AF9" w:rsidRPr="00A67AF9">
        <w:rPr>
          <w:lang w:val="en-CA"/>
        </w:rPr>
        <w:t>The Proterozoic Athabasca Basin of northern Saskatchewan is one of the most important</w:t>
      </w:r>
      <w:r w:rsidR="00A67AF9">
        <w:rPr>
          <w:lang w:val="en-CA"/>
        </w:rPr>
        <w:t xml:space="preserve"> </w:t>
      </w:r>
      <w:r w:rsidR="00A67AF9" w:rsidRPr="00A67AF9">
        <w:rPr>
          <w:lang w:val="en-CA"/>
        </w:rPr>
        <w:t xml:space="preserve">mining districts in Canada; hosting the world’s highest grade </w:t>
      </w:r>
      <w:r w:rsidR="00A67AF9">
        <w:rPr>
          <w:lang w:val="en-CA"/>
        </w:rPr>
        <w:t xml:space="preserve">giant </w:t>
      </w:r>
      <w:r w:rsidR="00A67AF9" w:rsidRPr="00A67AF9">
        <w:rPr>
          <w:lang w:val="en-CA"/>
        </w:rPr>
        <w:t>uranium deposits and</w:t>
      </w:r>
      <w:r w:rsidR="00A67AF9">
        <w:rPr>
          <w:lang w:val="en-CA"/>
        </w:rPr>
        <w:t xml:space="preserve"> </w:t>
      </w:r>
      <w:r w:rsidR="00A67AF9" w:rsidRPr="00A67AF9">
        <w:rPr>
          <w:lang w:val="en-CA"/>
        </w:rPr>
        <w:t>prospects. In the basin, many of the near-surface deposits have been discovered;</w:t>
      </w:r>
      <w:r w:rsidR="00A67AF9">
        <w:rPr>
          <w:lang w:val="en-CA"/>
        </w:rPr>
        <w:t xml:space="preserve"> </w:t>
      </w:r>
      <w:r w:rsidR="00A67AF9" w:rsidRPr="00A67AF9">
        <w:rPr>
          <w:lang w:val="en-CA"/>
        </w:rPr>
        <w:t>hence new ore deposits at greater depths need to be discovered. To help make new</w:t>
      </w:r>
      <w:r w:rsidR="00A67AF9">
        <w:rPr>
          <w:lang w:val="en-CA"/>
        </w:rPr>
        <w:t xml:space="preserve"> </w:t>
      </w:r>
      <w:r w:rsidR="00A67AF9" w:rsidRPr="00A67AF9">
        <w:rPr>
          <w:lang w:val="en-CA"/>
        </w:rPr>
        <w:t>discoveries, 3D geological modeling</w:t>
      </w:r>
      <w:r w:rsidR="00A67AF9">
        <w:rPr>
          <w:lang w:val="en-CA"/>
        </w:rPr>
        <w:t xml:space="preserve"> in the GOCAD environment</w:t>
      </w:r>
      <w:r w:rsidR="00A67AF9" w:rsidRPr="00A67AF9">
        <w:rPr>
          <w:lang w:val="en-CA"/>
        </w:rPr>
        <w:t xml:space="preserve"> is being carried out</w:t>
      </w:r>
      <w:r w:rsidR="00D907CB">
        <w:rPr>
          <w:lang w:val="en-CA"/>
        </w:rPr>
        <w:t xml:space="preserve"> for target generation</w:t>
      </w:r>
      <w:r w:rsidR="00A67AF9" w:rsidRPr="00A67AF9">
        <w:rPr>
          <w:lang w:val="en-CA"/>
        </w:rPr>
        <w:t>.</w:t>
      </w:r>
      <w:r w:rsidR="00C917AA" w:rsidRPr="00C917AA">
        <w:rPr>
          <w:rFonts w:ascii="LinLibertine" w:hAnsi="LinLibertine" w:cs="LinLibertine"/>
          <w:noProof w:val="0"/>
          <w:sz w:val="18"/>
          <w:szCs w:val="18"/>
          <w:lang w:val="en-CA" w:eastAsia="en-GB"/>
        </w:rPr>
        <w:t xml:space="preserve"> </w:t>
      </w:r>
      <w:r w:rsidR="00C917AA" w:rsidRPr="00C917AA">
        <w:rPr>
          <w:lang w:val="en-CA"/>
        </w:rPr>
        <w:t>Here, we present our multidisciplinary approach, whereby a 3D geological model of the</w:t>
      </w:r>
      <w:r w:rsidR="00AF2271">
        <w:rPr>
          <w:lang w:val="en-CA"/>
        </w:rPr>
        <w:t xml:space="preserve"> </w:t>
      </w:r>
      <w:r w:rsidR="00C917AA" w:rsidRPr="00C917AA">
        <w:rPr>
          <w:lang w:val="en-CA"/>
        </w:rPr>
        <w:t>eastern sub-Athabasca basement of northern Saskatchewan was developed</w:t>
      </w:r>
      <w:r w:rsidR="00AF2271">
        <w:rPr>
          <w:lang w:val="en-CA"/>
        </w:rPr>
        <w:t>.</w:t>
      </w:r>
    </w:p>
    <w:p w:rsidR="00AF2271" w:rsidRDefault="00AF2271" w:rsidP="00AF2271">
      <w:pPr>
        <w:pStyle w:val="Heading1"/>
      </w:pPr>
      <w:r>
        <w:t>Introduction</w:t>
      </w:r>
    </w:p>
    <w:p w:rsidR="00DA1D6D" w:rsidRDefault="00DA1D6D" w:rsidP="00AD5DAA">
      <w:pPr>
        <w:pStyle w:val="BodyText"/>
      </w:pPr>
      <w:r w:rsidRPr="00DA1D6D">
        <w:t>The Athabasca Basin is the world's largest producer of uranium, accounting for about thirty percent of the world's uranium mine output. The extremely high-grade nature of its unconformity-type uranium deposits and their low discovery costs make the basin</w:t>
      </w:r>
      <w:r w:rsidR="000A2971">
        <w:t xml:space="preserve"> currently</w:t>
      </w:r>
      <w:r w:rsidRPr="00DA1D6D">
        <w:t xml:space="preserve"> the most prospective uranium exploration province in the world</w:t>
      </w:r>
      <w:r w:rsidR="00862151">
        <w:t>, Ref.</w:t>
      </w:r>
      <w:r w:rsidR="004132E4">
        <w:t xml:space="preserve"> </w:t>
      </w:r>
      <w:r w:rsidR="00862151">
        <w:t>[1]</w:t>
      </w:r>
      <w:r w:rsidRPr="00DA1D6D">
        <w:t>.</w:t>
      </w:r>
    </w:p>
    <w:p w:rsidR="00AF2271" w:rsidRDefault="003D6003" w:rsidP="003D6003">
      <w:pPr>
        <w:pStyle w:val="BodyText"/>
        <w:rPr>
          <w:lang w:val="en-US"/>
        </w:rPr>
      </w:pPr>
      <w:r w:rsidRPr="003D6003">
        <w:rPr>
          <w:lang w:val="en-US"/>
        </w:rPr>
        <w:t>To better</w:t>
      </w:r>
      <w:r>
        <w:rPr>
          <w:lang w:val="en-US"/>
        </w:rPr>
        <w:t xml:space="preserve"> </w:t>
      </w:r>
      <w:r w:rsidRPr="003D6003">
        <w:rPr>
          <w:lang w:val="en-US"/>
        </w:rPr>
        <w:t xml:space="preserve">understand the genesis of these unconformity-type uranium deposits, we have been carrying out geological/geophysical investigations </w:t>
      </w:r>
      <w:r>
        <w:rPr>
          <w:lang w:val="en-US"/>
        </w:rPr>
        <w:t xml:space="preserve">of </w:t>
      </w:r>
      <w:r w:rsidRPr="003D6003">
        <w:rPr>
          <w:lang w:val="en-US"/>
        </w:rPr>
        <w:t>the geology of the Wollaston Group and its underlying Archean</w:t>
      </w:r>
      <w:r>
        <w:rPr>
          <w:lang w:val="en-US"/>
        </w:rPr>
        <w:t xml:space="preserve"> basement over the last 25 years.</w:t>
      </w:r>
      <w:r w:rsidR="00903FBB">
        <w:rPr>
          <w:lang w:val="en-US"/>
        </w:rPr>
        <w:t xml:space="preserve"> These studies involved: </w:t>
      </w:r>
      <w:r w:rsidR="003B05B1">
        <w:rPr>
          <w:lang w:val="en-US"/>
        </w:rPr>
        <w:t xml:space="preserve">1) </w:t>
      </w:r>
      <w:r w:rsidR="00903FBB">
        <w:rPr>
          <w:lang w:val="en-US"/>
        </w:rPr>
        <w:t>characterizing</w:t>
      </w:r>
      <w:r w:rsidR="002E58D2" w:rsidRPr="002E58D2">
        <w:rPr>
          <w:lang w:val="en-US"/>
        </w:rPr>
        <w:t xml:space="preserve"> the basement geology in the vicinity of unconformity-type uranium deposits,</w:t>
      </w:r>
      <w:r w:rsidR="003B05B1">
        <w:rPr>
          <w:lang w:val="en-US"/>
        </w:rPr>
        <w:t xml:space="preserve"> 2) </w:t>
      </w:r>
      <w:r w:rsidR="00903FBB">
        <w:rPr>
          <w:lang w:val="en-US"/>
        </w:rPr>
        <w:t>defining</w:t>
      </w:r>
      <w:r w:rsidR="002E58D2" w:rsidRPr="002E58D2">
        <w:rPr>
          <w:lang w:val="en-US"/>
        </w:rPr>
        <w:t xml:space="preserve"> the role of basement lithologies and structure in the genesis of unconformity-type uranium deposits,</w:t>
      </w:r>
      <w:r w:rsidR="003B05B1">
        <w:rPr>
          <w:lang w:val="en-US"/>
        </w:rPr>
        <w:t xml:space="preserve"> 3) </w:t>
      </w:r>
      <w:r w:rsidR="00903FBB">
        <w:rPr>
          <w:lang w:val="en-US"/>
        </w:rPr>
        <w:t>providing</w:t>
      </w:r>
      <w:r w:rsidR="002E58D2" w:rsidRPr="002E58D2">
        <w:rPr>
          <w:lang w:val="en-US"/>
        </w:rPr>
        <w:t xml:space="preserve"> the lithological and structural architecture necessary for fully coupled modeling of the eastern Athabasca unconformity-type uranium deposits</w:t>
      </w:r>
      <w:r w:rsidR="002E58D2">
        <w:rPr>
          <w:lang w:val="en-US"/>
        </w:rPr>
        <w:t>, and</w:t>
      </w:r>
      <w:r w:rsidR="00CA62A7">
        <w:rPr>
          <w:lang w:val="en-US"/>
        </w:rPr>
        <w:t xml:space="preserve"> most importantly</w:t>
      </w:r>
      <w:r w:rsidR="003B05B1">
        <w:rPr>
          <w:lang w:val="en-US"/>
        </w:rPr>
        <w:t xml:space="preserve"> 4) </w:t>
      </w:r>
      <w:r w:rsidR="00903FBB">
        <w:rPr>
          <w:lang w:val="en-US"/>
        </w:rPr>
        <w:t>identifying</w:t>
      </w:r>
      <w:r w:rsidR="002E58D2" w:rsidRPr="002E58D2">
        <w:rPr>
          <w:lang w:val="en-US"/>
        </w:rPr>
        <w:t xml:space="preserve"> key exploration vectoring criteria using a combination of tools, including </w:t>
      </w:r>
      <w:r w:rsidR="00A95B88">
        <w:rPr>
          <w:lang w:val="en-US"/>
        </w:rPr>
        <w:t xml:space="preserve">specifically the </w:t>
      </w:r>
      <w:r w:rsidR="002E58D2" w:rsidRPr="002E58D2">
        <w:rPr>
          <w:lang w:val="en-US"/>
        </w:rPr>
        <w:t>GOCAD</w:t>
      </w:r>
      <w:r w:rsidR="00A95B88">
        <w:rPr>
          <w:lang w:val="en-US"/>
        </w:rPr>
        <w:t xml:space="preserve"> </w:t>
      </w:r>
      <w:r w:rsidR="00903FBB">
        <w:rPr>
          <w:lang w:val="en-US"/>
        </w:rPr>
        <w:t xml:space="preserve">software </w:t>
      </w:r>
      <w:r w:rsidR="00A95B88">
        <w:rPr>
          <w:lang w:val="en-US"/>
        </w:rPr>
        <w:t>environment, as described in this paper</w:t>
      </w:r>
      <w:r w:rsidR="003B05B1">
        <w:rPr>
          <w:lang w:val="en-US"/>
        </w:rPr>
        <w:t>.</w:t>
      </w:r>
    </w:p>
    <w:p w:rsidR="003B05B1" w:rsidRPr="002E58D2" w:rsidRDefault="003B05B1" w:rsidP="003B05B1">
      <w:pPr>
        <w:pStyle w:val="BodyText"/>
        <w:rPr>
          <w:lang w:val="en-US"/>
        </w:rPr>
      </w:pPr>
      <w:r w:rsidRPr="003B05B1">
        <w:rPr>
          <w:lang w:val="en-US"/>
        </w:rPr>
        <w:t xml:space="preserve">Here, we present our multidisciplinary approach, whereby a 3D geological model of the eastern sub-Athabasca basement of northern Saskatchewan (i.e. the eastern and western Wollaston domains, the Wollaston-Mudjatik Transition Zone (WMTZ), and the Mudjatik Domain) </w:t>
      </w:r>
      <w:r w:rsidR="00903FBB">
        <w:rPr>
          <w:lang w:val="en-US"/>
        </w:rPr>
        <w:t>has been</w:t>
      </w:r>
      <w:r w:rsidRPr="003B05B1">
        <w:rPr>
          <w:lang w:val="en-US"/>
        </w:rPr>
        <w:t xml:space="preserve"> developed in the common earth environment. The project was directed towards building a robust 3D model(s) of the upper 3-5 km of the Earth’s crust in three different scales: deposit-, district-, and regional-scale, using the GOCAD software platform (Paradigm)</w:t>
      </w:r>
      <w:r w:rsidR="00903FBB">
        <w:rPr>
          <w:lang w:val="en-US"/>
        </w:rPr>
        <w:t xml:space="preserve"> with the </w:t>
      </w:r>
      <w:r w:rsidR="00903FBB" w:rsidRPr="00903FBB">
        <w:t>GOCAD® Mining Suite</w:t>
      </w:r>
      <w:r w:rsidR="00903FBB">
        <w:rPr>
          <w:lang w:val="en-US"/>
        </w:rPr>
        <w:t xml:space="preserve"> (Mira Geoscience)</w:t>
      </w:r>
      <w:r w:rsidRPr="003B05B1">
        <w:rPr>
          <w:lang w:val="en-US"/>
        </w:rPr>
        <w:t>.</w:t>
      </w:r>
    </w:p>
    <w:p w:rsidR="00AF2271" w:rsidRDefault="00AF2271" w:rsidP="00AF2271">
      <w:pPr>
        <w:pStyle w:val="Heading1"/>
      </w:pPr>
      <w:r>
        <w:t>Geological Setting</w:t>
      </w:r>
    </w:p>
    <w:p w:rsidR="00AF2271" w:rsidRPr="00757129" w:rsidRDefault="006877FE" w:rsidP="00757129">
      <w:pPr>
        <w:pStyle w:val="BodyText"/>
      </w:pPr>
      <w:r w:rsidRPr="006877FE">
        <w:t xml:space="preserve">The </w:t>
      </w:r>
      <w:r w:rsidR="00974779">
        <w:t xml:space="preserve">ca. 1.75 Ga </w:t>
      </w:r>
      <w:r w:rsidRPr="006877FE">
        <w:t>Athabasca Basin overlies basement rocks of the Archean</w:t>
      </w:r>
      <w:r w:rsidR="00C666BC">
        <w:t xml:space="preserve"> </w:t>
      </w:r>
      <w:r w:rsidRPr="006877FE">
        <w:t>to Paleoproterozoic Western Churchill Province</w:t>
      </w:r>
      <w:r w:rsidR="00974779">
        <w:t>,</w:t>
      </w:r>
      <w:r w:rsidRPr="006877FE">
        <w:t xml:space="preserve"> which </w:t>
      </w:r>
      <w:r w:rsidR="00974779">
        <w:t>is separated</w:t>
      </w:r>
      <w:r w:rsidRPr="006877FE">
        <w:t xml:space="preserve"> into the Rae Subprovince in the west and the</w:t>
      </w:r>
      <w:r w:rsidR="003D6003">
        <w:t xml:space="preserve"> </w:t>
      </w:r>
      <w:r w:rsidRPr="006877FE">
        <w:t xml:space="preserve">Hearne Subprovince in the east by the </w:t>
      </w:r>
      <w:r w:rsidR="00903FBB">
        <w:t>n</w:t>
      </w:r>
      <w:r w:rsidRPr="006877FE">
        <w:t>ortheast-trending</w:t>
      </w:r>
      <w:r w:rsidR="00903FBB">
        <w:t xml:space="preserve"> </w:t>
      </w:r>
      <w:r w:rsidRPr="006877FE">
        <w:t xml:space="preserve">Snowbird </w:t>
      </w:r>
      <w:r w:rsidR="00903FBB">
        <w:t>T</w:t>
      </w:r>
      <w:r w:rsidRPr="006877FE">
        <w:t xml:space="preserve">ectonic </w:t>
      </w:r>
      <w:r w:rsidR="00903FBB">
        <w:t>Z</w:t>
      </w:r>
      <w:r w:rsidRPr="006877FE">
        <w:t>one</w:t>
      </w:r>
      <w:r w:rsidR="00974779">
        <w:t xml:space="preserve"> (SBTZ)</w:t>
      </w:r>
      <w:r w:rsidR="00862151">
        <w:t>, Ref</w:t>
      </w:r>
      <w:r w:rsidR="000908EA">
        <w:t>s</w:t>
      </w:r>
      <w:r w:rsidR="00862151">
        <w:t>.</w:t>
      </w:r>
      <w:r w:rsidRPr="006877FE">
        <w:t xml:space="preserve"> </w:t>
      </w:r>
      <w:r w:rsidR="00862151">
        <w:t>[2, 3</w:t>
      </w:r>
      <w:r w:rsidR="00C63439">
        <w:t>, 4</w:t>
      </w:r>
      <w:r w:rsidR="00862151">
        <w:t>]</w:t>
      </w:r>
      <w:r w:rsidR="004132E4">
        <w:t xml:space="preserve"> </w:t>
      </w:r>
      <w:r w:rsidRPr="006877FE">
        <w:lastRenderedPageBreak/>
        <w:t xml:space="preserve">(Fig. </w:t>
      </w:r>
      <w:r w:rsidRPr="00757129">
        <w:t xml:space="preserve">1). </w:t>
      </w:r>
      <w:r w:rsidR="00974779">
        <w:t>Basement lithological units of these two subprovinces</w:t>
      </w:r>
      <w:r w:rsidRPr="00757129">
        <w:t xml:space="preserve"> comprise Archean </w:t>
      </w:r>
      <w:r w:rsidR="00757129">
        <w:t>ortho</w:t>
      </w:r>
      <w:r w:rsidRPr="00757129">
        <w:t>gneisses,</w:t>
      </w:r>
      <w:r w:rsidR="00757129">
        <w:t xml:space="preserve"> </w:t>
      </w:r>
      <w:r w:rsidRPr="00757129">
        <w:t xml:space="preserve">Paleoproterozoic </w:t>
      </w:r>
      <w:r w:rsidR="00757129">
        <w:t>paragneisses,</w:t>
      </w:r>
      <w:r w:rsidRPr="00757129">
        <w:t xml:space="preserve"> and mafic to felsic intrusions,</w:t>
      </w:r>
      <w:r w:rsidR="00757129">
        <w:t xml:space="preserve"> </w:t>
      </w:r>
      <w:r w:rsidRPr="00757129">
        <w:t xml:space="preserve">that were </w:t>
      </w:r>
      <w:r w:rsidR="00974779">
        <w:t>polydeformed and</w:t>
      </w:r>
      <w:r w:rsidRPr="00757129">
        <w:t xml:space="preserve"> </w:t>
      </w:r>
      <w:r w:rsidR="00974779">
        <w:t>poly</w:t>
      </w:r>
      <w:r w:rsidRPr="00757129">
        <w:t xml:space="preserve">metamorphosed during the </w:t>
      </w:r>
      <w:r w:rsidR="00903FBB" w:rsidRPr="00757129">
        <w:t xml:space="preserve">ca. </w:t>
      </w:r>
      <w:r w:rsidRPr="00757129">
        <w:t>2.0</w:t>
      </w:r>
      <w:r w:rsidR="00974779">
        <w:t>-</w:t>
      </w:r>
      <w:r w:rsidRPr="00757129">
        <w:t>1.9 Ga</w:t>
      </w:r>
      <w:r w:rsidR="00903FBB" w:rsidRPr="00757129">
        <w:t xml:space="preserve"> </w:t>
      </w:r>
      <w:r w:rsidRPr="00757129">
        <w:t>Thelon</w:t>
      </w:r>
      <w:r w:rsidR="00757129">
        <w:t>-</w:t>
      </w:r>
      <w:r w:rsidRPr="00757129">
        <w:t>Talston</w:t>
      </w:r>
      <w:r w:rsidR="00903FBB" w:rsidRPr="00757129">
        <w:t xml:space="preserve"> </w:t>
      </w:r>
      <w:r w:rsidRPr="00757129">
        <w:t xml:space="preserve">orogeny in the west, and the </w:t>
      </w:r>
      <w:r w:rsidR="00903FBB" w:rsidRPr="00757129">
        <w:t xml:space="preserve">ca. </w:t>
      </w:r>
      <w:r w:rsidRPr="00757129">
        <w:t>1.9</w:t>
      </w:r>
      <w:r w:rsidR="00974779">
        <w:t>-</w:t>
      </w:r>
      <w:r w:rsidRPr="00757129">
        <w:t>1.</w:t>
      </w:r>
      <w:r w:rsidR="00974779">
        <w:t>75</w:t>
      </w:r>
      <w:r w:rsidRPr="00757129">
        <w:t xml:space="preserve"> Ga Trans-Hudson orogeny in the east</w:t>
      </w:r>
      <w:r w:rsidR="00862151">
        <w:t>, Ref</w:t>
      </w:r>
      <w:r w:rsidR="000908EA">
        <w:t>s</w:t>
      </w:r>
      <w:r w:rsidR="00862151">
        <w:t>. [</w:t>
      </w:r>
      <w:r w:rsidR="00C63439">
        <w:t>3-6]</w:t>
      </w:r>
      <w:r w:rsidRPr="00757129">
        <w:t>.</w:t>
      </w:r>
      <w:r w:rsidR="00757129">
        <w:t xml:space="preserve"> </w:t>
      </w:r>
      <w:r w:rsidRPr="00757129">
        <w:t>Most of the unconformity-related uranium deposits in the Athabasca Basin are located</w:t>
      </w:r>
      <w:r w:rsidR="00A95B88" w:rsidRPr="00757129">
        <w:t xml:space="preserve"> </w:t>
      </w:r>
      <w:r w:rsidRPr="00757129">
        <w:t xml:space="preserve">in </w:t>
      </w:r>
      <w:r w:rsidR="00974779">
        <w:t xml:space="preserve">variably reactivated, high-strain structural zones within </w:t>
      </w:r>
      <w:r w:rsidRPr="00757129">
        <w:t>the vicinity of the Wollaston</w:t>
      </w:r>
      <w:r w:rsidR="000A2971">
        <w:t>-</w:t>
      </w:r>
      <w:r w:rsidRPr="00757129">
        <w:t>Mudjatik transition zone</w:t>
      </w:r>
      <w:r w:rsidR="00A95B88" w:rsidRPr="00757129">
        <w:t xml:space="preserve"> </w:t>
      </w:r>
      <w:r w:rsidRPr="00757129">
        <w:t>(WMTZ)</w:t>
      </w:r>
      <w:r w:rsidR="00974779">
        <w:t>, which</w:t>
      </w:r>
      <w:r w:rsidRPr="00757129">
        <w:t xml:space="preserve"> separates the Wollaston and Mudjatik lithostructural do</w:t>
      </w:r>
      <w:r w:rsidR="00C63439">
        <w:t>mains of the Hearne Subprovince, Ref</w:t>
      </w:r>
      <w:r w:rsidR="00B94E3A">
        <w:t>s</w:t>
      </w:r>
      <w:r w:rsidR="00C63439">
        <w:t xml:space="preserve">. [6, 7] </w:t>
      </w:r>
      <w:r w:rsidRPr="00757129">
        <w:t>(Fig. 1).</w:t>
      </w:r>
      <w:r w:rsidR="00A95B88" w:rsidRPr="00757129">
        <w:t xml:space="preserve"> Uranium deposits in the Athabasca Basin are </w:t>
      </w:r>
      <w:r w:rsidR="000A2971">
        <w:t>commonly</w:t>
      </w:r>
      <w:r w:rsidR="00A95B88" w:rsidRPr="00757129">
        <w:t xml:space="preserve"> associated with graphitic</w:t>
      </w:r>
      <w:r w:rsidR="003D6003" w:rsidRPr="00757129">
        <w:t xml:space="preserve"> </w:t>
      </w:r>
      <w:r w:rsidR="00A95B88" w:rsidRPr="00757129">
        <w:t>basement faults</w:t>
      </w:r>
      <w:r w:rsidR="00757129">
        <w:t>,</w:t>
      </w:r>
      <w:r w:rsidR="00A95B88" w:rsidRPr="00757129">
        <w:t xml:space="preserve"> </w:t>
      </w:r>
      <w:r w:rsidR="000A2971">
        <w:t xml:space="preserve">that </w:t>
      </w:r>
      <w:r w:rsidR="00A95B88" w:rsidRPr="00757129">
        <w:t xml:space="preserve">initially formed </w:t>
      </w:r>
      <w:r w:rsidR="00757129">
        <w:t xml:space="preserve">within old shear zones </w:t>
      </w:r>
      <w:r w:rsidR="00A95B88" w:rsidRPr="00757129">
        <w:t xml:space="preserve">under ductile to brittle-ductile conditions during the Trans-Hudson Orogeny, </w:t>
      </w:r>
      <w:r w:rsidR="00757129">
        <w:t xml:space="preserve">and </w:t>
      </w:r>
      <w:r w:rsidR="00974779">
        <w:t xml:space="preserve">then </w:t>
      </w:r>
      <w:r w:rsidR="00A95B88" w:rsidRPr="00757129">
        <w:t xml:space="preserve">reactivated </w:t>
      </w:r>
      <w:r w:rsidR="00974779">
        <w:t xml:space="preserve">episodically </w:t>
      </w:r>
      <w:r w:rsidR="00A95B88" w:rsidRPr="00757129">
        <w:t>after deposition of the Athabasca Group</w:t>
      </w:r>
      <w:r w:rsidR="00C63439">
        <w:t xml:space="preserve">, </w:t>
      </w:r>
      <w:r w:rsidR="00DC7A1E">
        <w:t>Ref</w:t>
      </w:r>
      <w:r w:rsidR="000908EA">
        <w:t>s</w:t>
      </w:r>
      <w:r w:rsidR="00DC7A1E">
        <w:t xml:space="preserve">. </w:t>
      </w:r>
      <w:r w:rsidR="00C63439">
        <w:t>[1, 7-9]</w:t>
      </w:r>
      <w:r w:rsidR="00A95B88" w:rsidRPr="00757129">
        <w:t>.</w:t>
      </w:r>
    </w:p>
    <w:p w:rsidR="00A95B88" w:rsidRDefault="006877FE" w:rsidP="00757129">
      <w:pPr>
        <w:pStyle w:val="BodyText"/>
        <w:rPr>
          <w:lang w:val="en-US"/>
        </w:rPr>
      </w:pPr>
      <w:r w:rsidRPr="006877FE">
        <w:rPr>
          <w:lang w:val="en-US"/>
        </w:rPr>
        <w:t>The sedimentary rocks of the Athabasca Basin, known as the</w:t>
      </w:r>
      <w:r w:rsidR="003B05B1">
        <w:rPr>
          <w:lang w:val="en-US"/>
        </w:rPr>
        <w:t xml:space="preserve"> </w:t>
      </w:r>
      <w:r w:rsidRPr="006877FE">
        <w:rPr>
          <w:lang w:val="en-US"/>
        </w:rPr>
        <w:t>Athabasca Group, unconformably overly</w:t>
      </w:r>
      <w:r w:rsidR="003D6003">
        <w:rPr>
          <w:lang w:val="en-US"/>
        </w:rPr>
        <w:t xml:space="preserve"> </w:t>
      </w:r>
      <w:r w:rsidRPr="006877FE">
        <w:rPr>
          <w:lang w:val="en-US"/>
        </w:rPr>
        <w:t>the crystalline basement,</w:t>
      </w:r>
      <w:r w:rsidR="003B05B1">
        <w:rPr>
          <w:lang w:val="en-US"/>
        </w:rPr>
        <w:t xml:space="preserve"> </w:t>
      </w:r>
      <w:r w:rsidRPr="006877FE">
        <w:rPr>
          <w:lang w:val="en-US"/>
        </w:rPr>
        <w:t xml:space="preserve">and sediment deposition started at </w:t>
      </w:r>
      <w:r w:rsidR="00903FBB">
        <w:rPr>
          <w:rFonts w:ascii="Cambria Math" w:hAnsi="Cambria Math" w:cs="Cambria Math"/>
          <w:lang w:val="en-US"/>
        </w:rPr>
        <w:t xml:space="preserve">ca. </w:t>
      </w:r>
      <w:r w:rsidRPr="006877FE">
        <w:rPr>
          <w:lang w:val="en-US"/>
        </w:rPr>
        <w:t>1.75 Ga</w:t>
      </w:r>
      <w:r w:rsidR="00C63439">
        <w:rPr>
          <w:lang w:val="en-US"/>
        </w:rPr>
        <w:t>, Ref. [10] (</w:t>
      </w:r>
      <w:r w:rsidR="003D6003">
        <w:rPr>
          <w:lang w:val="en-US"/>
        </w:rPr>
        <w:t xml:space="preserve">Fig. 1). </w:t>
      </w:r>
      <w:r w:rsidRPr="006877FE">
        <w:rPr>
          <w:lang w:val="en-US"/>
        </w:rPr>
        <w:t xml:space="preserve">The current maximum thickness of the sedimen-tary cover is </w:t>
      </w:r>
      <w:r w:rsidR="00903FBB">
        <w:rPr>
          <w:rFonts w:ascii="Cambria Math" w:hAnsi="Cambria Math" w:cs="Cambria Math"/>
          <w:lang w:val="en-US"/>
        </w:rPr>
        <w:t xml:space="preserve">ca. </w:t>
      </w:r>
      <w:r w:rsidRPr="006877FE">
        <w:rPr>
          <w:lang w:val="en-US"/>
        </w:rPr>
        <w:t>1.5 km (</w:t>
      </w:r>
      <w:r w:rsidR="00903FBB">
        <w:rPr>
          <w:lang w:val="en-US"/>
        </w:rPr>
        <w:t xml:space="preserve">i.e. at </w:t>
      </w:r>
      <w:r w:rsidRPr="006877FE">
        <w:rPr>
          <w:lang w:val="en-US"/>
        </w:rPr>
        <w:t>Rumple Lake)</w:t>
      </w:r>
      <w:r w:rsidR="00C63439">
        <w:rPr>
          <w:lang w:val="en-US"/>
        </w:rPr>
        <w:t>. However</w:t>
      </w:r>
      <w:r w:rsidRPr="006877FE">
        <w:rPr>
          <w:lang w:val="en-US"/>
        </w:rPr>
        <w:t xml:space="preserve">, it is </w:t>
      </w:r>
      <w:r w:rsidR="00C63439">
        <w:rPr>
          <w:lang w:val="en-US"/>
        </w:rPr>
        <w:t>interpreted</w:t>
      </w:r>
      <w:r w:rsidRPr="006877FE">
        <w:rPr>
          <w:lang w:val="en-US"/>
        </w:rPr>
        <w:t xml:space="preserve"> to have</w:t>
      </w:r>
      <w:r w:rsidR="003D6003">
        <w:rPr>
          <w:lang w:val="en-US"/>
        </w:rPr>
        <w:t xml:space="preserve"> </w:t>
      </w:r>
      <w:r w:rsidRPr="006877FE">
        <w:rPr>
          <w:lang w:val="en-US"/>
        </w:rPr>
        <w:t xml:space="preserve">reached a maximum thickness of </w:t>
      </w:r>
      <w:r w:rsidR="00757129">
        <w:rPr>
          <w:rFonts w:ascii="Cambria Math" w:hAnsi="Cambria Math" w:cs="Cambria Math"/>
          <w:lang w:val="en-US"/>
        </w:rPr>
        <w:t>ca.</w:t>
      </w:r>
      <w:r w:rsidR="003D6003">
        <w:rPr>
          <w:rFonts w:ascii="Cambria Math" w:hAnsi="Cambria Math" w:cs="Cambria Math"/>
          <w:lang w:val="en-US"/>
        </w:rPr>
        <w:t xml:space="preserve"> </w:t>
      </w:r>
      <w:r w:rsidRPr="006877FE">
        <w:rPr>
          <w:lang w:val="en-US"/>
        </w:rPr>
        <w:t>5 km, based on P–T estimations</w:t>
      </w:r>
      <w:r w:rsidR="003D6003">
        <w:rPr>
          <w:lang w:val="en-US"/>
        </w:rPr>
        <w:t xml:space="preserve"> </w:t>
      </w:r>
      <w:r w:rsidRPr="006877FE">
        <w:rPr>
          <w:lang w:val="en-US"/>
        </w:rPr>
        <w:t>from fluid inclusion</w:t>
      </w:r>
      <w:r w:rsidR="003D6003">
        <w:rPr>
          <w:lang w:val="en-US"/>
        </w:rPr>
        <w:t xml:space="preserve"> </w:t>
      </w:r>
      <w:r w:rsidRPr="006877FE">
        <w:rPr>
          <w:lang w:val="en-US"/>
        </w:rPr>
        <w:t>studies</w:t>
      </w:r>
      <w:r w:rsidR="00C63439">
        <w:rPr>
          <w:lang w:val="en-US"/>
        </w:rPr>
        <w:t>, Ref</w:t>
      </w:r>
      <w:r w:rsidR="000908EA">
        <w:rPr>
          <w:lang w:val="en-US"/>
        </w:rPr>
        <w:t>s</w:t>
      </w:r>
      <w:r w:rsidR="00C63439">
        <w:rPr>
          <w:lang w:val="en-US"/>
        </w:rPr>
        <w:t>. [11, 12]</w:t>
      </w:r>
      <w:r w:rsidRPr="006877FE">
        <w:rPr>
          <w:lang w:val="en-US"/>
        </w:rPr>
        <w:t>.</w:t>
      </w:r>
    </w:p>
    <w:p w:rsidR="00866BAB" w:rsidRDefault="00866BAB" w:rsidP="00AF2271">
      <w:pPr>
        <w:pStyle w:val="BodyText"/>
        <w:rPr>
          <w:lang w:val="en-US"/>
        </w:rPr>
      </w:pPr>
      <w:r>
        <w:rPr>
          <w:lang w:val="en-CA" w:eastAsia="en-CA"/>
        </w:rPr>
        <w:drawing>
          <wp:inline distT="0" distB="0" distL="0" distR="0" wp14:anchorId="2FC53394" wp14:editId="5BD03A8E">
            <wp:extent cx="5760085" cy="3671439"/>
            <wp:effectExtent l="0" t="0" r="0" b="5715"/>
            <wp:docPr id="6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671439"/>
                    </a:xfrm>
                    <a:prstGeom prst="rect">
                      <a:avLst/>
                    </a:prstGeom>
                    <a:noFill/>
                    <a:ln>
                      <a:noFill/>
                    </a:ln>
                    <a:extLst/>
                  </pic:spPr>
                </pic:pic>
              </a:graphicData>
            </a:graphic>
          </wp:inline>
        </w:drawing>
      </w:r>
    </w:p>
    <w:p w:rsidR="00866BAB" w:rsidRDefault="00C47388" w:rsidP="00CA67D4">
      <w:pPr>
        <w:pStyle w:val="BodyText"/>
      </w:pPr>
      <w:r>
        <w:t xml:space="preserve">Figure </w:t>
      </w:r>
      <w:r>
        <w:fldChar w:fldCharType="begin"/>
      </w:r>
      <w:r>
        <w:instrText xml:space="preserve"> SEQ Figure \* ARABIC </w:instrText>
      </w:r>
      <w:r>
        <w:fldChar w:fldCharType="separate"/>
      </w:r>
      <w:r w:rsidR="00862151">
        <w:t>1</w:t>
      </w:r>
      <w:r>
        <w:fldChar w:fldCharType="end"/>
      </w:r>
      <w:r>
        <w:t>: Location of the Athabasca Basin, including major lithostructural trends and major U deposits</w:t>
      </w:r>
      <w:r w:rsidR="000908EA">
        <w:t>, modified/simplified from Ref</w:t>
      </w:r>
      <w:r>
        <w:t>.</w:t>
      </w:r>
      <w:r w:rsidR="000908EA">
        <w:t xml:space="preserve"> [1, 4, 6].</w:t>
      </w:r>
    </w:p>
    <w:p w:rsidR="003B05B1" w:rsidRDefault="00DC7A1E" w:rsidP="003B05B1">
      <w:pPr>
        <w:pStyle w:val="BodyText"/>
        <w:rPr>
          <w:lang w:val="en-US"/>
        </w:rPr>
      </w:pPr>
      <w:r>
        <w:rPr>
          <w:lang w:val="en-US"/>
        </w:rPr>
        <w:t>To better understand the geological setting of these unique giant deposits</w:t>
      </w:r>
      <w:r w:rsidR="005C5CCD">
        <w:rPr>
          <w:lang w:val="en-US"/>
        </w:rPr>
        <w:t xml:space="preserve"> in the Athabasca Basin</w:t>
      </w:r>
      <w:r>
        <w:rPr>
          <w:lang w:val="en-US"/>
        </w:rPr>
        <w:t>, s</w:t>
      </w:r>
      <w:r w:rsidR="003B05B1" w:rsidRPr="003B05B1">
        <w:rPr>
          <w:lang w:val="en-US"/>
        </w:rPr>
        <w:t xml:space="preserve">eismic exploration </w:t>
      </w:r>
      <w:r w:rsidR="005C5CCD">
        <w:rPr>
          <w:lang w:val="en-US"/>
        </w:rPr>
        <w:t xml:space="preserve">methods were introduced across the </w:t>
      </w:r>
      <w:r w:rsidR="003B05B1" w:rsidRPr="003B05B1">
        <w:rPr>
          <w:lang w:val="en-US"/>
        </w:rPr>
        <w:t xml:space="preserve">Athabasca </w:t>
      </w:r>
      <w:r w:rsidR="00757129">
        <w:rPr>
          <w:lang w:val="en-US"/>
        </w:rPr>
        <w:t>B</w:t>
      </w:r>
      <w:r w:rsidR="003B05B1" w:rsidRPr="003B05B1">
        <w:rPr>
          <w:lang w:val="en-US"/>
        </w:rPr>
        <w:t xml:space="preserve">asin of northern Saskatchewan and Alberta. </w:t>
      </w:r>
      <w:r>
        <w:rPr>
          <w:lang w:val="en-US"/>
        </w:rPr>
        <w:t>As discussed by Ref. [13], s</w:t>
      </w:r>
      <w:r w:rsidR="003B05B1" w:rsidRPr="003B05B1">
        <w:rPr>
          <w:lang w:val="en-US"/>
        </w:rPr>
        <w:t>eismic</w:t>
      </w:r>
      <w:r w:rsidR="003B05B1">
        <w:rPr>
          <w:lang w:val="en-US"/>
        </w:rPr>
        <w:t xml:space="preserve"> </w:t>
      </w:r>
      <w:r w:rsidR="003B05B1" w:rsidRPr="003B05B1">
        <w:rPr>
          <w:lang w:val="en-US"/>
        </w:rPr>
        <w:t xml:space="preserve">methods are </w:t>
      </w:r>
      <w:r>
        <w:rPr>
          <w:lang w:val="en-US"/>
        </w:rPr>
        <w:t>extremely suitable</w:t>
      </w:r>
      <w:r w:rsidR="003B05B1" w:rsidRPr="003B05B1">
        <w:rPr>
          <w:lang w:val="en-US"/>
        </w:rPr>
        <w:t xml:space="preserve"> to exploration in this </w:t>
      </w:r>
      <w:r>
        <w:rPr>
          <w:lang w:val="en-US"/>
        </w:rPr>
        <w:t xml:space="preserve">geological </w:t>
      </w:r>
      <w:r w:rsidR="003B05B1" w:rsidRPr="003B05B1">
        <w:rPr>
          <w:lang w:val="en-US"/>
        </w:rPr>
        <w:t xml:space="preserve">setting </w:t>
      </w:r>
      <w:r>
        <w:rPr>
          <w:lang w:val="en-US"/>
        </w:rPr>
        <w:t>because</w:t>
      </w:r>
      <w:r w:rsidR="003B05B1" w:rsidRPr="003B05B1">
        <w:rPr>
          <w:lang w:val="en-US"/>
        </w:rPr>
        <w:t xml:space="preserve"> the uranium</w:t>
      </w:r>
      <w:r w:rsidR="003B05B1">
        <w:rPr>
          <w:lang w:val="en-US"/>
        </w:rPr>
        <w:t xml:space="preserve"> </w:t>
      </w:r>
      <w:r w:rsidR="003B05B1" w:rsidRPr="003B05B1">
        <w:rPr>
          <w:lang w:val="en-US"/>
        </w:rPr>
        <w:t xml:space="preserve">deposits typically occur </w:t>
      </w:r>
      <w:r>
        <w:rPr>
          <w:lang w:val="en-US"/>
        </w:rPr>
        <w:t xml:space="preserve">at, above, and below </w:t>
      </w:r>
      <w:r w:rsidR="003B05B1" w:rsidRPr="003B05B1">
        <w:rPr>
          <w:lang w:val="en-US"/>
        </w:rPr>
        <w:t xml:space="preserve">the </w:t>
      </w:r>
      <w:r>
        <w:rPr>
          <w:lang w:val="en-US"/>
        </w:rPr>
        <w:t xml:space="preserve">breached </w:t>
      </w:r>
      <w:r w:rsidR="003B05B1" w:rsidRPr="003B05B1">
        <w:rPr>
          <w:lang w:val="en-US"/>
        </w:rPr>
        <w:t>unconformity that separates</w:t>
      </w:r>
      <w:r w:rsidR="003B05B1">
        <w:rPr>
          <w:lang w:val="en-US"/>
        </w:rPr>
        <w:t xml:space="preserve"> </w:t>
      </w:r>
      <w:r w:rsidR="003B05B1" w:rsidRPr="003B05B1">
        <w:rPr>
          <w:lang w:val="en-US"/>
        </w:rPr>
        <w:t>a</w:t>
      </w:r>
      <w:r w:rsidR="005C5CCD">
        <w:rPr>
          <w:lang w:val="en-US"/>
        </w:rPr>
        <w:t xml:space="preserve"> relatively </w:t>
      </w:r>
      <w:r w:rsidR="003B05B1" w:rsidRPr="003B05B1">
        <w:rPr>
          <w:lang w:val="en-US"/>
        </w:rPr>
        <w:t xml:space="preserve">undeformed clastic sequence from </w:t>
      </w:r>
      <w:r w:rsidR="005C5CCD">
        <w:rPr>
          <w:lang w:val="en-US"/>
        </w:rPr>
        <w:t xml:space="preserve">the </w:t>
      </w:r>
      <w:r w:rsidR="003B05B1" w:rsidRPr="003B05B1">
        <w:rPr>
          <w:lang w:val="en-US"/>
        </w:rPr>
        <w:t xml:space="preserve">underlying </w:t>
      </w:r>
      <w:r>
        <w:rPr>
          <w:lang w:val="en-US"/>
        </w:rPr>
        <w:t xml:space="preserve">Archean/Paleoproterozoic </w:t>
      </w:r>
      <w:r w:rsidR="003B05B1" w:rsidRPr="003B05B1">
        <w:rPr>
          <w:lang w:val="en-US"/>
        </w:rPr>
        <w:t xml:space="preserve">crystalline basement rocks. As summarized by </w:t>
      </w:r>
      <w:r w:rsidR="00C63439">
        <w:rPr>
          <w:lang w:val="en-US"/>
        </w:rPr>
        <w:t>Ref. [13]</w:t>
      </w:r>
      <w:r w:rsidR="003B05B1" w:rsidRPr="003B05B1">
        <w:rPr>
          <w:lang w:val="en-US"/>
        </w:rPr>
        <w:t xml:space="preserve">, the first successful </w:t>
      </w:r>
      <w:r>
        <w:rPr>
          <w:lang w:val="en-US"/>
        </w:rPr>
        <w:t>program</w:t>
      </w:r>
      <w:r w:rsidR="003B05B1" w:rsidRPr="003B05B1">
        <w:rPr>
          <w:lang w:val="en-US"/>
        </w:rPr>
        <w:t xml:space="preserve"> of high-resolution seismic</w:t>
      </w:r>
      <w:r w:rsidR="003B05B1">
        <w:rPr>
          <w:lang w:val="en-US"/>
        </w:rPr>
        <w:t xml:space="preserve"> </w:t>
      </w:r>
      <w:r w:rsidR="003B05B1" w:rsidRPr="003B05B1">
        <w:rPr>
          <w:lang w:val="en-US"/>
        </w:rPr>
        <w:t>methods</w:t>
      </w:r>
      <w:r w:rsidR="00C63439">
        <w:rPr>
          <w:lang w:val="en-US"/>
        </w:rPr>
        <w:t xml:space="preserve"> in the Athabasca Basin </w:t>
      </w:r>
      <w:r>
        <w:rPr>
          <w:lang w:val="en-US"/>
        </w:rPr>
        <w:t xml:space="preserve">took place </w:t>
      </w:r>
      <w:r w:rsidR="003B05B1" w:rsidRPr="003B05B1">
        <w:rPr>
          <w:lang w:val="en-US"/>
        </w:rPr>
        <w:t xml:space="preserve">during the </w:t>
      </w:r>
      <w:r>
        <w:rPr>
          <w:lang w:val="en-US"/>
        </w:rPr>
        <w:t xml:space="preserve">Trans-Hudson Orogen (THO) </w:t>
      </w:r>
      <w:r w:rsidR="003B05B1" w:rsidRPr="003B05B1">
        <w:rPr>
          <w:lang w:val="en-US"/>
        </w:rPr>
        <w:t xml:space="preserve">Lithoprobe </w:t>
      </w:r>
      <w:r w:rsidR="00C63439">
        <w:rPr>
          <w:lang w:val="en-US"/>
        </w:rPr>
        <w:t>P</w:t>
      </w:r>
      <w:r w:rsidR="003B05B1" w:rsidRPr="003B05B1">
        <w:rPr>
          <w:lang w:val="en-US"/>
        </w:rPr>
        <w:t>roject</w:t>
      </w:r>
      <w:r>
        <w:rPr>
          <w:lang w:val="en-US"/>
        </w:rPr>
        <w:t>. This</w:t>
      </w:r>
      <w:r w:rsidR="003B05B1" w:rsidRPr="003B05B1">
        <w:rPr>
          <w:lang w:val="en-US"/>
        </w:rPr>
        <w:t xml:space="preserve"> </w:t>
      </w:r>
      <w:r w:rsidR="00974779">
        <w:rPr>
          <w:lang w:val="en-US"/>
        </w:rPr>
        <w:t xml:space="preserve">program </w:t>
      </w:r>
      <w:r w:rsidR="00C63439">
        <w:rPr>
          <w:lang w:val="en-US"/>
        </w:rPr>
        <w:t xml:space="preserve">led </w:t>
      </w:r>
      <w:r>
        <w:rPr>
          <w:lang w:val="en-US"/>
        </w:rPr>
        <w:t xml:space="preserve">the way </w:t>
      </w:r>
      <w:r w:rsidR="00C63439">
        <w:rPr>
          <w:lang w:val="en-US"/>
        </w:rPr>
        <w:t>to many</w:t>
      </w:r>
      <w:r w:rsidR="003B05B1" w:rsidRPr="003B05B1">
        <w:rPr>
          <w:lang w:val="en-US"/>
        </w:rPr>
        <w:t xml:space="preserve"> subsequent</w:t>
      </w:r>
      <w:r w:rsidR="003B05B1">
        <w:rPr>
          <w:lang w:val="en-US"/>
        </w:rPr>
        <w:t xml:space="preserve"> </w:t>
      </w:r>
      <w:r w:rsidR="003B05B1" w:rsidRPr="003B05B1">
        <w:rPr>
          <w:lang w:val="en-US"/>
        </w:rPr>
        <w:t xml:space="preserve">2D </w:t>
      </w:r>
      <w:r w:rsidR="00757129">
        <w:rPr>
          <w:lang w:val="en-US"/>
        </w:rPr>
        <w:t xml:space="preserve">high-resolution </w:t>
      </w:r>
      <w:r w:rsidR="003B05B1" w:rsidRPr="003B05B1">
        <w:rPr>
          <w:lang w:val="en-US"/>
        </w:rPr>
        <w:t>exploration surveys</w:t>
      </w:r>
      <w:r w:rsidR="00C63439">
        <w:rPr>
          <w:lang w:val="en-US"/>
        </w:rPr>
        <w:t>;</w:t>
      </w:r>
      <w:r w:rsidR="003B05B1" w:rsidRPr="003B05B1">
        <w:rPr>
          <w:lang w:val="en-US"/>
        </w:rPr>
        <w:t xml:space="preserve"> Shea Creek in 1997, McArthur River in</w:t>
      </w:r>
      <w:r w:rsidR="003B05B1">
        <w:rPr>
          <w:lang w:val="en-US"/>
        </w:rPr>
        <w:t xml:space="preserve"> </w:t>
      </w:r>
      <w:r w:rsidR="003B05B1" w:rsidRPr="003B05B1">
        <w:rPr>
          <w:lang w:val="en-US"/>
        </w:rPr>
        <w:t>2004</w:t>
      </w:r>
      <w:r>
        <w:rPr>
          <w:lang w:val="en-US"/>
        </w:rPr>
        <w:t>,</w:t>
      </w:r>
      <w:r w:rsidR="003B05B1" w:rsidRPr="003B05B1">
        <w:rPr>
          <w:lang w:val="en-US"/>
        </w:rPr>
        <w:t xml:space="preserve"> Russell</w:t>
      </w:r>
      <w:r w:rsidR="00757129">
        <w:rPr>
          <w:lang w:val="en-US"/>
        </w:rPr>
        <w:t xml:space="preserve"> Lake</w:t>
      </w:r>
      <w:r w:rsidR="003B05B1" w:rsidRPr="003B05B1">
        <w:rPr>
          <w:lang w:val="en-US"/>
        </w:rPr>
        <w:t xml:space="preserve"> and</w:t>
      </w:r>
      <w:r w:rsidR="003B05B1">
        <w:rPr>
          <w:lang w:val="en-US"/>
        </w:rPr>
        <w:t xml:space="preserve"> </w:t>
      </w:r>
      <w:r w:rsidR="003B05B1" w:rsidRPr="003B05B1">
        <w:rPr>
          <w:lang w:val="en-US"/>
        </w:rPr>
        <w:t>Moore Lake</w:t>
      </w:r>
      <w:r>
        <w:rPr>
          <w:lang w:val="en-US"/>
        </w:rPr>
        <w:t>s</w:t>
      </w:r>
      <w:r w:rsidR="003B05B1" w:rsidRPr="003B05B1">
        <w:rPr>
          <w:lang w:val="en-US"/>
        </w:rPr>
        <w:t xml:space="preserve"> in 2004</w:t>
      </w:r>
      <w:r w:rsidR="00757129">
        <w:rPr>
          <w:lang w:val="en-US"/>
        </w:rPr>
        <w:t xml:space="preserve"> and </w:t>
      </w:r>
      <w:r w:rsidR="003B05B1" w:rsidRPr="003B05B1">
        <w:rPr>
          <w:lang w:val="en-US"/>
        </w:rPr>
        <w:t>2005, and</w:t>
      </w:r>
      <w:r>
        <w:rPr>
          <w:lang w:val="en-US"/>
        </w:rPr>
        <w:t xml:space="preserve"> then the</w:t>
      </w:r>
      <w:r w:rsidR="003B05B1" w:rsidRPr="003B05B1">
        <w:rPr>
          <w:lang w:val="en-US"/>
        </w:rPr>
        <w:t xml:space="preserve"> Midwest Northeast and Millennium</w:t>
      </w:r>
      <w:r w:rsidR="003B05B1">
        <w:rPr>
          <w:lang w:val="en-US"/>
        </w:rPr>
        <w:t xml:space="preserve"> </w:t>
      </w:r>
      <w:r w:rsidR="003B05B1" w:rsidRPr="003B05B1">
        <w:rPr>
          <w:lang w:val="en-US"/>
        </w:rPr>
        <w:t xml:space="preserve">3D </w:t>
      </w:r>
      <w:r>
        <w:rPr>
          <w:lang w:val="en-US"/>
        </w:rPr>
        <w:t xml:space="preserve">high-resolution seismic </w:t>
      </w:r>
      <w:r w:rsidR="003B05B1" w:rsidRPr="003B05B1">
        <w:rPr>
          <w:lang w:val="en-US"/>
        </w:rPr>
        <w:t>surveys in 2007</w:t>
      </w:r>
      <w:r>
        <w:rPr>
          <w:lang w:val="en-US"/>
        </w:rPr>
        <w:t>, see Ref</w:t>
      </w:r>
      <w:r w:rsidR="00B94E3A">
        <w:rPr>
          <w:lang w:val="en-US"/>
        </w:rPr>
        <w:t>s</w:t>
      </w:r>
      <w:r>
        <w:rPr>
          <w:lang w:val="en-US"/>
        </w:rPr>
        <w:t>. [13</w:t>
      </w:r>
      <w:r w:rsidR="00B94E3A">
        <w:rPr>
          <w:lang w:val="en-US"/>
        </w:rPr>
        <w:t>-</w:t>
      </w:r>
      <w:r>
        <w:rPr>
          <w:lang w:val="en-US"/>
        </w:rPr>
        <w:t>16] for details.</w:t>
      </w:r>
    </w:p>
    <w:p w:rsidR="00AF2271" w:rsidRDefault="00866BAB" w:rsidP="00AF2271">
      <w:pPr>
        <w:pStyle w:val="BodyText"/>
        <w:rPr>
          <w:lang w:val="en-US"/>
        </w:rPr>
      </w:pPr>
      <w:r>
        <w:rPr>
          <w:lang w:val="en-CA" w:eastAsia="en-CA"/>
        </w:rPr>
        <w:lastRenderedPageBreak/>
        <w:drawing>
          <wp:inline distT="0" distB="0" distL="0" distR="0" wp14:anchorId="5B038BBF" wp14:editId="32150650">
            <wp:extent cx="5476875" cy="4047387"/>
            <wp:effectExtent l="0" t="0" r="0" b="0"/>
            <wp:docPr id="7170" name="Picture 2" descr="Basin_bgr_con_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asin_bgr_con_mi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593" cy="4046439"/>
                    </a:xfrm>
                    <a:prstGeom prst="rect">
                      <a:avLst/>
                    </a:prstGeom>
                    <a:noFill/>
                    <a:ln>
                      <a:noFill/>
                    </a:ln>
                    <a:extLst/>
                  </pic:spPr>
                </pic:pic>
              </a:graphicData>
            </a:graphic>
          </wp:inline>
        </w:drawing>
      </w:r>
    </w:p>
    <w:p w:rsidR="00213A97" w:rsidRDefault="00C47388" w:rsidP="00CA67D4">
      <w:pPr>
        <w:pStyle w:val="BodyText"/>
        <w:rPr>
          <w:lang w:val="en-US"/>
        </w:rPr>
      </w:pPr>
      <w:r>
        <w:t xml:space="preserve">Figure </w:t>
      </w:r>
      <w:r>
        <w:fldChar w:fldCharType="begin"/>
      </w:r>
      <w:r>
        <w:instrText xml:space="preserve"> SEQ Figure \* ARABIC </w:instrText>
      </w:r>
      <w:r>
        <w:fldChar w:fldCharType="separate"/>
      </w:r>
      <w:r w:rsidR="00862151">
        <w:t>2</w:t>
      </w:r>
      <w:r>
        <w:fldChar w:fldCharType="end"/>
      </w:r>
      <w:r>
        <w:t xml:space="preserve">: GSC Bouguer gravity map of eastern half of </w:t>
      </w:r>
      <w:r w:rsidR="00B567E4">
        <w:t xml:space="preserve">the </w:t>
      </w:r>
      <w:r>
        <w:t>Athabasca Basin, including basin outline and</w:t>
      </w:r>
      <w:r w:rsidR="00B15FE0">
        <w:t xml:space="preserve"> location of </w:t>
      </w:r>
      <w:r>
        <w:t>major U deposits</w:t>
      </w:r>
      <w:r w:rsidR="00B567E4">
        <w:t xml:space="preserve"> and known prospects</w:t>
      </w:r>
      <w:r>
        <w:t>.</w:t>
      </w:r>
    </w:p>
    <w:p w:rsidR="00AF2271" w:rsidRDefault="00AF2271" w:rsidP="00AF2271">
      <w:pPr>
        <w:pStyle w:val="Heading1"/>
      </w:pPr>
      <w:r>
        <w:t>3D GOCAD methodology</w:t>
      </w:r>
    </w:p>
    <w:p w:rsidR="00DA1D6D" w:rsidRDefault="00DA1D6D" w:rsidP="00AD5DAA">
      <w:pPr>
        <w:pStyle w:val="BodyText"/>
      </w:pPr>
      <w:r w:rsidRPr="00DA1D6D">
        <w:t xml:space="preserve">Over the last 20 years, mineral exploration has evolved into a more rigorous quantitative science. A significant part of this exploration science </w:t>
      </w:r>
      <w:r w:rsidR="00891DED">
        <w:t>makes use of</w:t>
      </w:r>
      <w:r w:rsidRPr="00DA1D6D">
        <w:t xml:space="preserve"> a 3D GIS environment in which rich archives of diverse</w:t>
      </w:r>
      <w:r w:rsidR="001C1A72">
        <w:t xml:space="preserve"> historical and recent</w:t>
      </w:r>
      <w:r w:rsidRPr="00DA1D6D">
        <w:t xml:space="preserve"> exploration data sets can be integrated, analyzed, and interpreted for the purpose of targeting new ore deposits</w:t>
      </w:r>
      <w:r w:rsidR="00185AAD">
        <w:t xml:space="preserve"> (i.e. vector tools)</w:t>
      </w:r>
      <w:r w:rsidRPr="00DA1D6D">
        <w:t xml:space="preserve">. </w:t>
      </w:r>
      <w:r w:rsidR="00694B2D" w:rsidRPr="00694B2D">
        <w:t>The 3D visualization and modeling software, GOCAD, was specifically designed for geoscience applications</w:t>
      </w:r>
      <w:r w:rsidR="00694B2D">
        <w:t>, so b</w:t>
      </w:r>
      <w:r w:rsidRPr="00DA1D6D">
        <w:t xml:space="preserve">uilding these 3D common earth models using </w:t>
      </w:r>
      <w:r w:rsidR="00185AAD">
        <w:t>this</w:t>
      </w:r>
      <w:r w:rsidRPr="00DA1D6D">
        <w:t xml:space="preserve"> environment/software appears to be a very efficient and effective tool for characterizing and exploiting the regional-, district- to mine-scale 3D common earth models of ore deposits and for determining the complex processes that produced the economic mineralization. For example, the complex spatial and geological relationships between lithological units, geological structures, geochemical data, alteration data, and geophysical data can be studied in detail. As well, a wealth of knowledge of ore-forming processes can be integrated into and queried by what-if scenarios within the geostatistical module of the GOCAD environment.</w:t>
      </w:r>
      <w:r w:rsidR="00694B2D">
        <w:t xml:space="preserve"> Finally, it can provide quantification of ore volumes, and most importantly for exploration</w:t>
      </w:r>
      <w:r w:rsidR="00185AAD">
        <w:t xml:space="preserve"> programs</w:t>
      </w:r>
      <w:r w:rsidR="00694B2D">
        <w:t>, it can provide quantification of the alteration zones (i.e. footprints) of ore deposits.</w:t>
      </w:r>
    </w:p>
    <w:p w:rsidR="001570D7" w:rsidRDefault="001570D7" w:rsidP="001570D7">
      <w:pPr>
        <w:pStyle w:val="BodyText"/>
      </w:pPr>
      <w:r>
        <w:t xml:space="preserve">Data acquisition and subsequent modelling was performed </w:t>
      </w:r>
      <w:r>
        <w:t>at</w:t>
      </w:r>
      <w:r>
        <w:t xml:space="preserve"> different scales in order to display</w:t>
      </w:r>
      <w:r>
        <w:t xml:space="preserve"> </w:t>
      </w:r>
      <w:r>
        <w:t xml:space="preserve">and correlate </w:t>
      </w:r>
      <w:r>
        <w:t xml:space="preserve">between </w:t>
      </w:r>
      <w:r w:rsidRPr="001570D7">
        <w:t>regional-, district- to mine-scale 3D common earth models</w:t>
      </w:r>
      <w:r>
        <w:t xml:space="preserve"> and their </w:t>
      </w:r>
      <w:r>
        <w:t>structural framework</w:t>
      </w:r>
      <w:r>
        <w:t>. All the m</w:t>
      </w:r>
      <w:r>
        <w:t xml:space="preserve">odelling was </w:t>
      </w:r>
      <w:r>
        <w:t>carried out</w:t>
      </w:r>
      <w:r>
        <w:t xml:space="preserve"> with gOcad (Paradigm) and</w:t>
      </w:r>
      <w:r>
        <w:t xml:space="preserve"> </w:t>
      </w:r>
      <w:r w:rsidRPr="001570D7">
        <w:t>GOCAD Mining Suite</w:t>
      </w:r>
      <w:r>
        <w:t xml:space="preserve"> (Mira Geoscience).</w:t>
      </w:r>
    </w:p>
    <w:p w:rsidR="00C72CD4" w:rsidRDefault="001570D7" w:rsidP="001570D7">
      <w:pPr>
        <w:pStyle w:val="BodyText"/>
      </w:pPr>
      <w:r>
        <w:t xml:space="preserve">The regional-scale model of the </w:t>
      </w:r>
      <w:r w:rsidR="00FA7FF5">
        <w:t>eastern sub-Athabsca basement complex is based upon extensive geological investigations over a 16-year period, as discussed in Ref. [6] and shown in Fig. 3. De</w:t>
      </w:r>
      <w:r w:rsidR="00FA7FF5" w:rsidRPr="00FA7FF5">
        <w:t>tailed field mapping</w:t>
      </w:r>
      <w:r w:rsidR="00FA7FF5">
        <w:t xml:space="preserve"> and core logging</w:t>
      </w:r>
      <w:r w:rsidR="00FA7FF5" w:rsidRPr="00FA7FF5">
        <w:t xml:space="preserve">, </w:t>
      </w:r>
      <w:r w:rsidR="00FA7FF5">
        <w:t>in combination with</w:t>
      </w:r>
      <w:r w:rsidR="00FA7FF5" w:rsidRPr="00FA7FF5">
        <w:t xml:space="preserve"> interpretation of </w:t>
      </w:r>
      <w:r w:rsidR="00FA7FF5">
        <w:t>aero</w:t>
      </w:r>
      <w:r w:rsidR="00FA7FF5" w:rsidRPr="00FA7FF5">
        <w:t xml:space="preserve">magnetic maps </w:t>
      </w:r>
      <w:r>
        <w:t>provided a framework for identifying major shear zones</w:t>
      </w:r>
      <w:r w:rsidR="00BF6117">
        <w:t>, fault zones, and lithostructural domains</w:t>
      </w:r>
      <w:r>
        <w:t xml:space="preserve"> (Fig. 4). Combined</w:t>
      </w:r>
      <w:r w:rsidR="00FA7FF5">
        <w:t xml:space="preserve"> </w:t>
      </w:r>
      <w:r>
        <w:t xml:space="preserve">with structural analysis from </w:t>
      </w:r>
      <w:r w:rsidR="00BF6117">
        <w:t>interpreted seismic profiles and ground m</w:t>
      </w:r>
      <w:r>
        <w:t>agnetic</w:t>
      </w:r>
      <w:r w:rsidR="00413C61">
        <w:t>/</w:t>
      </w:r>
      <w:r w:rsidR="00BF6117">
        <w:t xml:space="preserve">gravity </w:t>
      </w:r>
      <w:r w:rsidR="00BF6117">
        <w:lastRenderedPageBreak/>
        <w:t>profiles</w:t>
      </w:r>
      <w:r>
        <w:t xml:space="preserve">, a geological 3D-model of the </w:t>
      </w:r>
      <w:r w:rsidR="00BF6117">
        <w:t>eastern sub-Athabsca basement was</w:t>
      </w:r>
      <w:r>
        <w:t xml:space="preserve"> </w:t>
      </w:r>
      <w:r w:rsidR="00BF6117">
        <w:t>upgraded (i.e</w:t>
      </w:r>
      <w:r>
        <w:t>.</w:t>
      </w:r>
      <w:r w:rsidR="00BF6117">
        <w:t xml:space="preserve"> reconstructed). Additional constraints are/will be provided </w:t>
      </w:r>
      <w:r w:rsidR="00413C61">
        <w:t xml:space="preserve">by </w:t>
      </w:r>
      <w:r w:rsidR="00BF6117">
        <w:t>new drill hole and geophysical data sets</w:t>
      </w:r>
      <w:r w:rsidR="00413C61">
        <w:t xml:space="preserve"> as they become available</w:t>
      </w:r>
      <w:r w:rsidR="00BF6117">
        <w:t xml:space="preserve">, as well as additional </w:t>
      </w:r>
      <w:r>
        <w:t>potential field</w:t>
      </w:r>
      <w:r w:rsidR="00FA7FF5">
        <w:t xml:space="preserve"> </w:t>
      </w:r>
      <w:r>
        <w:t>modelling</w:t>
      </w:r>
      <w:r w:rsidR="00BF6117">
        <w:t>, such as 3D inversions</w:t>
      </w:r>
      <w:r>
        <w:t>.</w:t>
      </w:r>
    </w:p>
    <w:p w:rsidR="00FA7FF5" w:rsidRDefault="00BF6117" w:rsidP="00FA7FF5">
      <w:pPr>
        <w:pStyle w:val="BodyText"/>
      </w:pPr>
      <w:r>
        <w:t>District-scale (i.e. se</w:t>
      </w:r>
      <w:r w:rsidR="00FA7FF5">
        <w:t>mi-regional scale</w:t>
      </w:r>
      <w:r>
        <w:t>)</w:t>
      </w:r>
      <w:r w:rsidR="00FA7FF5">
        <w:t xml:space="preserve"> modelling </w:t>
      </w:r>
      <w:r>
        <w:t>has</w:t>
      </w:r>
      <w:r w:rsidR="00FA7FF5">
        <w:t xml:space="preserve"> mainly concentrated on</w:t>
      </w:r>
      <w:r>
        <w:t xml:space="preserve"> some of the larger JV properties with known mineralization, such as the former JNR Resources Inc. Moore Lakes and Way Lake properties, where enough drill holes were available to allow construction of a semi-detail to detail mode</w:t>
      </w:r>
      <w:r w:rsidR="00413C61">
        <w:t>l</w:t>
      </w:r>
      <w:r w:rsidR="00FA7FF5">
        <w:t>. Geological modelling</w:t>
      </w:r>
      <w:r w:rsidR="00FA7FF5">
        <w:t xml:space="preserve"> </w:t>
      </w:r>
      <w:r w:rsidR="00FA7FF5">
        <w:t xml:space="preserve">was </w:t>
      </w:r>
      <w:r w:rsidR="00413C61">
        <w:t>carried out using</w:t>
      </w:r>
      <w:r w:rsidR="00FA7FF5">
        <w:t xml:space="preserve"> abundant </w:t>
      </w:r>
      <w:r w:rsidR="00413C61">
        <w:t>drill core</w:t>
      </w:r>
      <w:r w:rsidR="00FA7FF5">
        <w:t xml:space="preserve"> data</w:t>
      </w:r>
      <w:r w:rsidR="00413C61">
        <w:t xml:space="preserve">, </w:t>
      </w:r>
      <w:r w:rsidR="00FA7FF5">
        <w:t>associated structural cross sections</w:t>
      </w:r>
      <w:r w:rsidR="00413C61">
        <w:t>, and numerous airborne and ground geophysical surveys. At Moore lakes a pseudo-3D seismic survey was carried out, which provided extremely valuable 3</w:t>
      </w:r>
      <w:r w:rsidR="00413C61" w:rsidRPr="00413C61">
        <w:rPr>
          <w:vertAlign w:val="superscript"/>
        </w:rPr>
        <w:t>rd</w:t>
      </w:r>
      <w:r w:rsidR="00413C61">
        <w:t xml:space="preserve"> dimension information, see Ref. [14].</w:t>
      </w:r>
      <w:r w:rsidR="00FA7FF5">
        <w:t xml:space="preserve"> The conceptual model was </w:t>
      </w:r>
      <w:r w:rsidR="00413C61">
        <w:t xml:space="preserve">then </w:t>
      </w:r>
      <w:r w:rsidR="00FA7FF5">
        <w:t>tested and validated by observation</w:t>
      </w:r>
      <w:r w:rsidR="00413C61">
        <w:t>s from</w:t>
      </w:r>
      <w:r w:rsidR="00FA7FF5">
        <w:t xml:space="preserve"> </w:t>
      </w:r>
      <w:r w:rsidR="00413C61">
        <w:t xml:space="preserve">the </w:t>
      </w:r>
      <w:r w:rsidR="00FA7FF5">
        <w:t>drill</w:t>
      </w:r>
      <w:r w:rsidR="00413C61">
        <w:t xml:space="preserve"> </w:t>
      </w:r>
      <w:r w:rsidR="00FA7FF5">
        <w:t>cores.</w:t>
      </w:r>
    </w:p>
    <w:p w:rsidR="00866BAB" w:rsidRDefault="00866BAB" w:rsidP="00AF2271">
      <w:pPr>
        <w:pStyle w:val="BodyText"/>
        <w:rPr>
          <w:lang w:val="en-US"/>
        </w:rPr>
      </w:pPr>
      <w:r>
        <w:rPr>
          <w:lang w:val="en-CA" w:eastAsia="en-CA"/>
        </w:rPr>
        <w:drawing>
          <wp:inline distT="0" distB="0" distL="0" distR="0" wp14:anchorId="6CF8FF2B" wp14:editId="2761FD5F">
            <wp:extent cx="5760085" cy="3341588"/>
            <wp:effectExtent l="0" t="0" r="0" b="0"/>
            <wp:docPr id="17411" name="Picture 4" descr="RPView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RPViewDo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341588"/>
                    </a:xfrm>
                    <a:prstGeom prst="rect">
                      <a:avLst/>
                    </a:prstGeom>
                    <a:noFill/>
                    <a:ln>
                      <a:noFill/>
                    </a:ln>
                    <a:extLst/>
                  </pic:spPr>
                </pic:pic>
              </a:graphicData>
            </a:graphic>
          </wp:inline>
        </w:drawing>
      </w:r>
    </w:p>
    <w:p w:rsidR="00213A97" w:rsidRDefault="00C47388" w:rsidP="00CA67D4">
      <w:pPr>
        <w:pStyle w:val="BodyText"/>
        <w:rPr>
          <w:lang w:val="en-US"/>
        </w:rPr>
      </w:pPr>
      <w:r>
        <w:t xml:space="preserve">Figure </w:t>
      </w:r>
      <w:r>
        <w:fldChar w:fldCharType="begin"/>
      </w:r>
      <w:r>
        <w:instrText xml:space="preserve"> SEQ Figure \* ARABIC </w:instrText>
      </w:r>
      <w:r>
        <w:fldChar w:fldCharType="separate"/>
      </w:r>
      <w:r w:rsidR="00862151">
        <w:t>3</w:t>
      </w:r>
      <w:r>
        <w:fldChar w:fldCharType="end"/>
      </w:r>
      <w:r>
        <w:t>: Thermotectonic evolution</w:t>
      </w:r>
      <w:r w:rsidR="00B15FE0">
        <w:t xml:space="preserve"> stages/events</w:t>
      </w:r>
      <w:r w:rsidR="00CA62A7">
        <w:t xml:space="preserve"> (</w:t>
      </w:r>
      <w:r w:rsidR="00B15FE0">
        <w:t>A to F; circa</w:t>
      </w:r>
      <w:r w:rsidR="00CA62A7">
        <w:t xml:space="preserve"> 1860 </w:t>
      </w:r>
      <w:r w:rsidR="00B15FE0">
        <w:t>-</w:t>
      </w:r>
      <w:r w:rsidR="00CA62A7">
        <w:t xml:space="preserve"> 1720 Ma)</w:t>
      </w:r>
      <w:r>
        <w:t xml:space="preserve"> of the eastern sub-Athabasca basement</w:t>
      </w:r>
      <w:r w:rsidR="00B15FE0">
        <w:t xml:space="preserve"> complex</w:t>
      </w:r>
      <w:r w:rsidR="00FA7FF5">
        <w:t>, from Ref. [6]</w:t>
      </w:r>
      <w:r w:rsidR="00CA62A7">
        <w:t>.</w:t>
      </w:r>
    </w:p>
    <w:p w:rsidR="00B94E3A" w:rsidRDefault="00413C61" w:rsidP="00B94E3A">
      <w:pPr>
        <w:pStyle w:val="BodyText"/>
      </w:pPr>
      <w:r>
        <w:rPr>
          <w:lang w:val="en-US"/>
        </w:rPr>
        <w:t>M</w:t>
      </w:r>
      <w:r w:rsidR="001570D7">
        <w:rPr>
          <w:lang w:val="en-US"/>
        </w:rPr>
        <w:t xml:space="preserve">ine-scale </w:t>
      </w:r>
      <w:r w:rsidR="00B94E3A" w:rsidRPr="00B94E3A">
        <w:rPr>
          <w:lang w:val="en-US"/>
        </w:rPr>
        <w:t>3D geologic modeling</w:t>
      </w:r>
      <w:r w:rsidR="001570D7">
        <w:rPr>
          <w:lang w:val="en-US"/>
        </w:rPr>
        <w:t xml:space="preserve"> was carried out at</w:t>
      </w:r>
      <w:r w:rsidR="00B94E3A" w:rsidRPr="00B94E3A">
        <w:rPr>
          <w:lang w:val="en-US"/>
        </w:rPr>
        <w:t xml:space="preserve"> Fraser Lakes zone B (1,300 m × 630 m × 328 m) using the GOCAD and GOCAD Mining Suite software packages. The Fraser Lakes zone B was specifically selected from the Way Lake property due to its fair to good outcrop exposures of the various Archean and Paleoproterozoic lithological units, including the U-mineralized granitic pegmatites and leucogranites. As discussed in Ref. [17], four main types of data were used to build the 3D GOCAD model of Fraser Lakes zone B: 1) A set of about 25 drill hole logs provided by JNR Resources Inc. The drilling pattern consists of subparallel, NWSE–oriented fences of drill holes. The drill holes provided geological, petrological, and downhole logging data, such as whole-rock</w:t>
      </w:r>
      <w:r w:rsidR="00B94E3A">
        <w:rPr>
          <w:lang w:val="en-US"/>
        </w:rPr>
        <w:t xml:space="preserve"> </w:t>
      </w:r>
      <w:r w:rsidR="00B94E3A" w:rsidRPr="00B94E3A">
        <w:rPr>
          <w:lang w:val="en-US"/>
        </w:rPr>
        <w:t>geochemistry and radiometrics. Whole-rock geochemical data were available along sections of all of these drill holes, 2) Outcrop data from historical and recent geologic mapping and prospecting programs on the Way Lake property, including the Fraser Lakes uranium mineralization, 3) Airborne geophysical surveys that trace conductive geophysical anomalies in the basement and trend of fault structures associated with these rock types, and 4) Eight interpreted, roughly subparallel, vertical cross sections, constructed from detailed logging and mapping of lithological units and structures within the drill cores.</w:t>
      </w:r>
    </w:p>
    <w:p w:rsidR="000908EA" w:rsidRPr="00B94E3A" w:rsidRDefault="00413C61" w:rsidP="00B94E3A">
      <w:pPr>
        <w:pStyle w:val="BodyText"/>
      </w:pPr>
      <w:r>
        <w:t>At Fraser Lakes zone B, t</w:t>
      </w:r>
      <w:r w:rsidR="00B94E3A" w:rsidRPr="00B94E3A">
        <w:t xml:space="preserve">he cross sections and drill holes served as geometrical constraints for building triangulated surfaces within the GOCAD and GOCAD® Mining Suite software environment, </w:t>
      </w:r>
      <w:r w:rsidR="00B94E3A" w:rsidRPr="00B94E3A">
        <w:lastRenderedPageBreak/>
        <w:t>representing boundaries of the geologic units and structures. The building of surfaces were carried out using the Discrete Smooth Interpolation method, Ref. [18]. A volumetric model (i.e., voxet) was derived exrternally from the partition of space by triangulated surfaces. Three main first-order volumes within the voxet were defined following the dominant lithology, age, and geochemical properties: Paleoproterozoic metasedimentary gneisses,  Archean orthogneisses, and U-mineralized granites/</w:t>
      </w:r>
      <w:r w:rsidR="001570D7">
        <w:t xml:space="preserve">granitic </w:t>
      </w:r>
      <w:r w:rsidR="00B94E3A" w:rsidRPr="00B94E3A">
        <w:t xml:space="preserve">pegmatites of </w:t>
      </w:r>
      <w:r w:rsidR="00B94E3A">
        <w:t>H</w:t>
      </w:r>
      <w:r w:rsidR="00B94E3A" w:rsidRPr="00B94E3A">
        <w:t>udsonian age.</w:t>
      </w:r>
      <w:r w:rsidR="001570D7">
        <w:t xml:space="preserve"> These GOCAD results soon led to a NI 43-101 technical report of inferred resources</w:t>
      </w:r>
      <w:r>
        <w:t xml:space="preserve"> for Fraser Lakes Zone B.</w:t>
      </w:r>
    </w:p>
    <w:p w:rsidR="00AF2271" w:rsidRDefault="00AF2271" w:rsidP="000908EA">
      <w:pPr>
        <w:pStyle w:val="Heading1"/>
        <w:numPr>
          <w:ilvl w:val="0"/>
          <w:numId w:val="0"/>
        </w:numPr>
      </w:pPr>
      <w:r>
        <w:t xml:space="preserve">3D </w:t>
      </w:r>
      <w:r w:rsidR="001570D7">
        <w:t xml:space="preserve">regional </w:t>
      </w:r>
      <w:r>
        <w:t>GOCAD model</w:t>
      </w:r>
    </w:p>
    <w:p w:rsidR="00185AAD" w:rsidRDefault="00185AAD" w:rsidP="00AF2271">
      <w:pPr>
        <w:pStyle w:val="BodyText"/>
      </w:pPr>
      <w:r w:rsidRPr="00185AAD">
        <w:t>Our eastern sub-Athabasca basement model is constrained by both geological studies and geophysical techniques, such as topographic, outcrop, drill hole, petrophysical, and petrological data, along with geophysical potential field, electrical, and high-resolution regional seismic data, in order to better understand the regional- to district-scale tectonics and controls on the uranium mineral system(s) operating pre-, syn-, and post-Athabasca deposition. The resulting data were interpreted and visualized as 3D-surfaces and bodies in GOCAD.</w:t>
      </w:r>
    </w:p>
    <w:p w:rsidR="00AF2271" w:rsidRDefault="00B567E4" w:rsidP="00AF2271">
      <w:pPr>
        <w:pStyle w:val="BodyText"/>
        <w:rPr>
          <w:lang w:val="en-CA"/>
        </w:rPr>
      </w:pPr>
      <w:r>
        <w:t>Our</w:t>
      </w:r>
      <w:r w:rsidR="00FD3102" w:rsidRPr="00AD5DAA">
        <w:t xml:space="preserve"> model</w:t>
      </w:r>
      <w:r w:rsidR="00FD3102">
        <w:t xml:space="preserve"> </w:t>
      </w:r>
      <w:r w:rsidR="00FD3102" w:rsidRPr="00AD5DAA">
        <w:t>reveals a framework of key lithological contacts, major high-strain zones, and the</w:t>
      </w:r>
      <w:r w:rsidR="00FD3102">
        <w:t xml:space="preserve"> </w:t>
      </w:r>
      <w:r w:rsidR="00FD3102" w:rsidRPr="00AD5DAA">
        <w:t>setting of unconformity-type uranium deposits. As a result, this new knowledge is</w:t>
      </w:r>
      <w:r w:rsidR="00FD3102">
        <w:t xml:space="preserve"> </w:t>
      </w:r>
      <w:r w:rsidR="00FD3102" w:rsidRPr="00AD5DAA">
        <w:t>being used to identify key exploration vectoring criteria for unconformity-type,</w:t>
      </w:r>
      <w:r w:rsidR="00FD3102">
        <w:t xml:space="preserve"> </w:t>
      </w:r>
      <w:r w:rsidR="00FD3102" w:rsidRPr="00AD5DAA">
        <w:t>magmatic, and metamorphic/metasomatic uranium deposits and to delineate new</w:t>
      </w:r>
      <w:r w:rsidR="00FD3102">
        <w:t xml:space="preserve"> </w:t>
      </w:r>
      <w:r w:rsidR="00FD3102" w:rsidRPr="00AD5DAA">
        <w:t>exploration targets in the basin. Hence, this regional-scale 3D GOCAD model can be</w:t>
      </w:r>
      <w:r w:rsidR="00FD3102">
        <w:t xml:space="preserve"> </w:t>
      </w:r>
      <w:r w:rsidR="00FD3102" w:rsidRPr="00AD5DAA">
        <w:rPr>
          <w:lang w:val="en-CA"/>
        </w:rPr>
        <w:t>utilized as a guide for exploration activities within the region (e.g. picking new</w:t>
      </w:r>
      <w:r w:rsidR="00FD3102">
        <w:rPr>
          <w:lang w:val="en-CA"/>
        </w:rPr>
        <w:t xml:space="preserve"> </w:t>
      </w:r>
      <w:r w:rsidR="00FD3102" w:rsidRPr="00AD5DAA">
        <w:rPr>
          <w:lang w:val="en-CA"/>
        </w:rPr>
        <w:t>drill targets).</w:t>
      </w:r>
      <w:r w:rsidR="00FD3102">
        <w:rPr>
          <w:lang w:val="en-CA"/>
        </w:rPr>
        <w:t xml:space="preserve"> </w:t>
      </w:r>
      <w:r w:rsidR="00FD3102" w:rsidRPr="00AD5DAA">
        <w:rPr>
          <w:lang w:val="en-CA"/>
        </w:rPr>
        <w:t>As well, this 3D model reveals the complex crustal architecture of the sub-Athabasca</w:t>
      </w:r>
      <w:r w:rsidR="00FD3102">
        <w:rPr>
          <w:lang w:val="en-CA"/>
        </w:rPr>
        <w:t xml:space="preserve"> </w:t>
      </w:r>
      <w:r w:rsidR="00FD3102" w:rsidRPr="00AD5DAA">
        <w:rPr>
          <w:lang w:val="en-CA"/>
        </w:rPr>
        <w:t>basement underlying the Athabasca Basin and the complex structural-alteration</w:t>
      </w:r>
      <w:r w:rsidR="00FD3102">
        <w:rPr>
          <w:lang w:val="en-CA"/>
        </w:rPr>
        <w:t xml:space="preserve"> </w:t>
      </w:r>
      <w:r w:rsidR="00FD3102" w:rsidRPr="00AD5DAA">
        <w:rPr>
          <w:lang w:val="en-CA"/>
        </w:rPr>
        <w:t>features of its associated unconformity-type deposits (Figure</w:t>
      </w:r>
      <w:r w:rsidR="00CE21F8">
        <w:rPr>
          <w:lang w:val="en-CA"/>
        </w:rPr>
        <w:t>s 4, 5, 6, 7</w:t>
      </w:r>
      <w:r w:rsidR="00FD3102" w:rsidRPr="00AD5DAA">
        <w:rPr>
          <w:lang w:val="en-CA"/>
        </w:rPr>
        <w:t>). Eventually by</w:t>
      </w:r>
      <w:r w:rsidR="00FD3102">
        <w:rPr>
          <w:lang w:val="en-CA"/>
        </w:rPr>
        <w:t xml:space="preserve"> </w:t>
      </w:r>
      <w:r w:rsidR="00FD3102" w:rsidRPr="00AD5DAA">
        <w:rPr>
          <w:lang w:val="en-CA"/>
        </w:rPr>
        <w:t>adding a time component, our model will be used to construct a schematic 4D</w:t>
      </w:r>
      <w:r w:rsidR="002E58D2">
        <w:rPr>
          <w:lang w:val="en-CA"/>
        </w:rPr>
        <w:t xml:space="preserve"> (i.e. 3D through time)</w:t>
      </w:r>
      <w:r w:rsidR="00FD3102">
        <w:rPr>
          <w:lang w:val="en-CA"/>
        </w:rPr>
        <w:t xml:space="preserve"> </w:t>
      </w:r>
      <w:r w:rsidR="00FD3102" w:rsidRPr="00AD5DAA">
        <w:rPr>
          <w:lang w:val="en-CA"/>
        </w:rPr>
        <w:t xml:space="preserve">geological evolution model </w:t>
      </w:r>
      <w:r w:rsidR="00274E8F">
        <w:rPr>
          <w:lang w:val="en-CA"/>
        </w:rPr>
        <w:t>for</w:t>
      </w:r>
      <w:bookmarkStart w:id="2" w:name="_GoBack"/>
      <w:bookmarkEnd w:id="2"/>
      <w:r w:rsidR="00FD3102" w:rsidRPr="00AD5DAA">
        <w:rPr>
          <w:lang w:val="en-CA"/>
        </w:rPr>
        <w:t xml:space="preserve"> the eastern Athabasca Basin.</w:t>
      </w:r>
    </w:p>
    <w:p w:rsidR="00866BAB" w:rsidRDefault="00866BAB" w:rsidP="00AF2271">
      <w:pPr>
        <w:pStyle w:val="BodyText"/>
        <w:rPr>
          <w:lang w:val="en-US"/>
        </w:rPr>
      </w:pPr>
      <w:r>
        <w:rPr>
          <w:lang w:val="en-CA" w:eastAsia="en-CA"/>
        </w:rPr>
        <w:drawing>
          <wp:inline distT="0" distB="0" distL="0" distR="0" wp14:anchorId="4E7BD1D9" wp14:editId="7F2E5914">
            <wp:extent cx="5257800" cy="3943349"/>
            <wp:effectExtent l="0" t="0" r="0" b="635"/>
            <wp:docPr id="18435" name="Picture 5" descr="int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descr="inter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8607" cy="3943954"/>
                    </a:xfrm>
                    <a:prstGeom prst="rect">
                      <a:avLst/>
                    </a:prstGeom>
                    <a:noFill/>
                    <a:ln>
                      <a:noFill/>
                    </a:ln>
                    <a:extLst/>
                  </pic:spPr>
                </pic:pic>
              </a:graphicData>
            </a:graphic>
          </wp:inline>
        </w:drawing>
      </w:r>
    </w:p>
    <w:p w:rsidR="00866BAB" w:rsidRDefault="003F6C73" w:rsidP="00CA67D4">
      <w:pPr>
        <w:pStyle w:val="BodyText"/>
        <w:rPr>
          <w:lang w:val="en-US"/>
        </w:rPr>
      </w:pPr>
      <w:r>
        <w:t xml:space="preserve">Figure </w:t>
      </w:r>
      <w:r>
        <w:fldChar w:fldCharType="begin"/>
      </w:r>
      <w:r>
        <w:instrText xml:space="preserve"> SEQ Figure \* ARABIC </w:instrText>
      </w:r>
      <w:r>
        <w:fldChar w:fldCharType="separate"/>
      </w:r>
      <w:r w:rsidR="00862151">
        <w:t>4</w:t>
      </w:r>
      <w:r>
        <w:fldChar w:fldCharType="end"/>
      </w:r>
      <w:r>
        <w:t>: Overhead view in the GOCAD environment of key lithotectonic domains</w:t>
      </w:r>
      <w:r w:rsidR="008615EF">
        <w:t>,</w:t>
      </w:r>
      <w:r>
        <w:t xml:space="preserve"> major high-strain zones</w:t>
      </w:r>
      <w:r w:rsidR="008615EF">
        <w:t xml:space="preserve">, and </w:t>
      </w:r>
      <w:r w:rsidR="00526720">
        <w:t>major unconformity-type uranium deposits</w:t>
      </w:r>
      <w:r w:rsidR="00FA7FF5">
        <w:t>, from Refs. [6</w:t>
      </w:r>
      <w:r w:rsidR="00274E8F">
        <w:t>-9]</w:t>
      </w:r>
      <w:r>
        <w:t>.</w:t>
      </w:r>
    </w:p>
    <w:p w:rsidR="00866BAB" w:rsidRDefault="00866BAB" w:rsidP="00AF2271">
      <w:pPr>
        <w:pStyle w:val="BodyText"/>
        <w:rPr>
          <w:lang w:val="en-US"/>
        </w:rPr>
      </w:pPr>
      <w:r>
        <w:rPr>
          <w:lang w:val="en-CA" w:eastAsia="en-CA"/>
        </w:rPr>
        <w:lastRenderedPageBreak/>
        <w:drawing>
          <wp:inline distT="0" distB="0" distL="0" distR="0" wp14:anchorId="3A560A20" wp14:editId="11CF4B10">
            <wp:extent cx="5198856" cy="3899140"/>
            <wp:effectExtent l="0" t="0" r="1905" b="6350"/>
            <wp:docPr id="21507" name="Picture 3" descr="tilt-int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tilt-inter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221" cy="3903163"/>
                    </a:xfrm>
                    <a:prstGeom prst="rect">
                      <a:avLst/>
                    </a:prstGeom>
                    <a:noFill/>
                    <a:ln>
                      <a:noFill/>
                    </a:ln>
                    <a:extLst/>
                  </pic:spPr>
                </pic:pic>
              </a:graphicData>
            </a:graphic>
          </wp:inline>
        </w:drawing>
      </w:r>
    </w:p>
    <w:p w:rsidR="00866BAB" w:rsidRDefault="003F6C73" w:rsidP="00CA67D4">
      <w:pPr>
        <w:pStyle w:val="BodyText"/>
        <w:rPr>
          <w:lang w:val="en-US"/>
        </w:rPr>
      </w:pPr>
      <w:r>
        <w:t xml:space="preserve">Figure </w:t>
      </w:r>
      <w:r>
        <w:fldChar w:fldCharType="begin"/>
      </w:r>
      <w:r>
        <w:instrText xml:space="preserve"> SEQ Figure \* ARABIC </w:instrText>
      </w:r>
      <w:r>
        <w:fldChar w:fldCharType="separate"/>
      </w:r>
      <w:r w:rsidR="00862151">
        <w:t>5</w:t>
      </w:r>
      <w:r>
        <w:fldChar w:fldCharType="end"/>
      </w:r>
      <w:r>
        <w:t>: Overhead view of thermotectonic interpretation</w:t>
      </w:r>
      <w:r w:rsidR="008615EF">
        <w:t xml:space="preserve"> of the eastern sub-Athabasca basement</w:t>
      </w:r>
      <w:r>
        <w:t xml:space="preserve"> draped on top of the tilt derivative aeromagnetic data.</w:t>
      </w:r>
    </w:p>
    <w:p w:rsidR="00866BAB" w:rsidRDefault="00213A97" w:rsidP="00AF2271">
      <w:pPr>
        <w:pStyle w:val="BodyText"/>
        <w:rPr>
          <w:lang w:val="en-US"/>
        </w:rPr>
      </w:pPr>
      <w:r>
        <w:rPr>
          <w:lang w:val="en-CA" w:eastAsia="en-CA"/>
        </w:rPr>
        <w:drawing>
          <wp:inline distT="0" distB="0" distL="0" distR="0" wp14:anchorId="3872A2A8" wp14:editId="20D6E990">
            <wp:extent cx="5201728" cy="3901297"/>
            <wp:effectExtent l="0" t="0" r="0" b="4445"/>
            <wp:docPr id="25602" name="Picture 2" descr="C:\Documents and Settings\Administrator\Desktop\Vienna\screengrabs\uc_grav_mines_in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Documents and Settings\Administrator\Desktop\Vienna\screengrabs\uc_grav_mines_inter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5279" cy="3903960"/>
                    </a:xfrm>
                    <a:prstGeom prst="rect">
                      <a:avLst/>
                    </a:prstGeom>
                    <a:noFill/>
                    <a:ln>
                      <a:noFill/>
                    </a:ln>
                    <a:extLst/>
                  </pic:spPr>
                </pic:pic>
              </a:graphicData>
            </a:graphic>
          </wp:inline>
        </w:drawing>
      </w:r>
    </w:p>
    <w:p w:rsidR="00213A97" w:rsidRDefault="003F6C73" w:rsidP="00CA67D4">
      <w:pPr>
        <w:pStyle w:val="BodyText"/>
        <w:rPr>
          <w:lang w:val="en-US"/>
        </w:rPr>
      </w:pPr>
      <w:r>
        <w:t xml:space="preserve">Figure </w:t>
      </w:r>
      <w:r>
        <w:fldChar w:fldCharType="begin"/>
      </w:r>
      <w:r>
        <w:instrText xml:space="preserve"> SEQ Figure \* ARABIC </w:instrText>
      </w:r>
      <w:r>
        <w:fldChar w:fldCharType="separate"/>
      </w:r>
      <w:r w:rsidR="00862151">
        <w:t>6</w:t>
      </w:r>
      <w:r>
        <w:fldChar w:fldCharType="end"/>
      </w:r>
      <w:r>
        <w:t>:</w:t>
      </w:r>
      <w:r w:rsidR="008615EF">
        <w:t xml:space="preserve"> </w:t>
      </w:r>
      <w:r w:rsidR="00526720">
        <w:t>High-angle</w:t>
      </w:r>
      <w:r w:rsidR="008615EF">
        <w:t xml:space="preserve"> view in 3-D </w:t>
      </w:r>
      <w:r w:rsidR="00526720">
        <w:t>showing</w:t>
      </w:r>
      <w:r w:rsidR="008615EF">
        <w:t xml:space="preserve"> key </w:t>
      </w:r>
      <w:r w:rsidR="00526720">
        <w:t>lithotectonic features and location of U deposits on top of the semi-transparent Athabasca unconformity. Below are the different Bouguer gravity layers.</w:t>
      </w:r>
    </w:p>
    <w:p w:rsidR="00B15FE0" w:rsidRDefault="00213A97" w:rsidP="00CA67D4">
      <w:pPr>
        <w:pStyle w:val="BodyText"/>
      </w:pPr>
      <w:r>
        <w:rPr>
          <w:lang w:val="en-CA" w:eastAsia="en-CA"/>
        </w:rPr>
        <w:lastRenderedPageBreak/>
        <w:drawing>
          <wp:inline distT="0" distB="0" distL="0" distR="0" wp14:anchorId="246F2F8E" wp14:editId="5880146E">
            <wp:extent cx="5210355" cy="3907767"/>
            <wp:effectExtent l="0" t="0" r="0" b="0"/>
            <wp:docPr id="27650" name="Picture 2" descr="C:\Documents and Settings\Administrator\Desktop\Vienna\screengrabs\uc_mag_mines_in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C:\Documents and Settings\Administrator\Desktop\Vienna\screengrabs\uc_mag_mines_inter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5643" cy="3911733"/>
                    </a:xfrm>
                    <a:prstGeom prst="rect">
                      <a:avLst/>
                    </a:prstGeom>
                    <a:noFill/>
                    <a:ln>
                      <a:noFill/>
                    </a:ln>
                    <a:extLst/>
                  </pic:spPr>
                </pic:pic>
              </a:graphicData>
            </a:graphic>
          </wp:inline>
        </w:drawing>
      </w:r>
    </w:p>
    <w:p w:rsidR="00213A97" w:rsidRDefault="003F6C73" w:rsidP="00CA67D4">
      <w:pPr>
        <w:pStyle w:val="BodyText"/>
        <w:rPr>
          <w:lang w:val="en-US"/>
        </w:rPr>
      </w:pPr>
      <w:r>
        <w:t xml:space="preserve">Figure </w:t>
      </w:r>
      <w:r>
        <w:fldChar w:fldCharType="begin"/>
      </w:r>
      <w:r>
        <w:instrText xml:space="preserve"> SEQ Figure \* ARABIC </w:instrText>
      </w:r>
      <w:r>
        <w:fldChar w:fldCharType="separate"/>
      </w:r>
      <w:r w:rsidR="00862151">
        <w:t>7</w:t>
      </w:r>
      <w:r>
        <w:fldChar w:fldCharType="end"/>
      </w:r>
      <w:r>
        <w:t>:</w:t>
      </w:r>
      <w:r w:rsidR="00526720" w:rsidRPr="00526720">
        <w:t xml:space="preserve"> </w:t>
      </w:r>
      <w:r w:rsidR="00B15FE0">
        <w:t>Overhead</w:t>
      </w:r>
      <w:r w:rsidR="00526720">
        <w:t xml:space="preserve"> view in 3-D showing key lithotectonic features and location of U deposits on top of the semi-transparent Athabasca unconformity. Below </w:t>
      </w:r>
      <w:r w:rsidR="00B15FE0">
        <w:t>is the tilt derivative aeromagnetic data</w:t>
      </w:r>
      <w:r w:rsidR="00526720">
        <w:t>.</w:t>
      </w:r>
    </w:p>
    <w:p w:rsidR="00213A97" w:rsidRDefault="00213A97" w:rsidP="00AF2271">
      <w:pPr>
        <w:pStyle w:val="BodyText"/>
        <w:rPr>
          <w:lang w:val="en-US"/>
        </w:rPr>
      </w:pPr>
      <w:r>
        <w:rPr>
          <w:lang w:val="en-CA" w:eastAsia="en-CA"/>
        </w:rPr>
        <w:drawing>
          <wp:inline distT="0" distB="0" distL="0" distR="0" wp14:anchorId="0B30A327" wp14:editId="63EFBC20">
            <wp:extent cx="5198853" cy="3899140"/>
            <wp:effectExtent l="0" t="0" r="1905" b="6350"/>
            <wp:docPr id="31746" name="Picture 2" descr="C:\Documents and Settings\Administrator\Desktop\Vienna\screengrabs\mag1vd_interp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C:\Documents and Settings\Administrator\Desktop\Vienna\screengrabs\mag1vd_interpse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5049" cy="3918787"/>
                    </a:xfrm>
                    <a:prstGeom prst="rect">
                      <a:avLst/>
                    </a:prstGeom>
                    <a:noFill/>
                    <a:ln>
                      <a:noFill/>
                    </a:ln>
                    <a:extLst/>
                  </pic:spPr>
                </pic:pic>
              </a:graphicData>
            </a:graphic>
          </wp:inline>
        </w:drawing>
      </w:r>
    </w:p>
    <w:p w:rsidR="00213A97" w:rsidRDefault="003F6C73" w:rsidP="00CA67D4">
      <w:pPr>
        <w:pStyle w:val="BodyText"/>
        <w:rPr>
          <w:lang w:val="en-US"/>
        </w:rPr>
      </w:pPr>
      <w:r>
        <w:t xml:space="preserve">Figure </w:t>
      </w:r>
      <w:r>
        <w:fldChar w:fldCharType="begin"/>
      </w:r>
      <w:r>
        <w:instrText xml:space="preserve"> SEQ Figure \* ARABIC </w:instrText>
      </w:r>
      <w:r>
        <w:fldChar w:fldCharType="separate"/>
      </w:r>
      <w:r w:rsidR="00862151">
        <w:t>8</w:t>
      </w:r>
      <w:r>
        <w:fldChar w:fldCharType="end"/>
      </w:r>
      <w:r>
        <w:t>:</w:t>
      </w:r>
      <w:r w:rsidR="005B5DFC">
        <w:t xml:space="preserve"> </w:t>
      </w:r>
      <w:r w:rsidR="008615EF">
        <w:t>Two regional high-resolution seismic profiles from McArthur River and regional L</w:t>
      </w:r>
      <w:r w:rsidR="005B5DFC">
        <w:t>ithoprobe</w:t>
      </w:r>
      <w:r w:rsidR="008615EF">
        <w:t xml:space="preserve"> Seismic</w:t>
      </w:r>
      <w:r w:rsidR="005B5DFC">
        <w:t xml:space="preserve"> Line S2B intersecting the upward tilted surface of the 1</w:t>
      </w:r>
      <w:r w:rsidR="005B5DFC" w:rsidRPr="005B5DFC">
        <w:rPr>
          <w:vertAlign w:val="superscript"/>
        </w:rPr>
        <w:t>st</w:t>
      </w:r>
      <w:r w:rsidR="005B5DFC">
        <w:t xml:space="preserve"> </w:t>
      </w:r>
      <w:r w:rsidR="008615EF">
        <w:t>derivative aeromagnetic map.</w:t>
      </w:r>
      <w:r w:rsidR="005B5DFC">
        <w:t xml:space="preserve"> </w:t>
      </w:r>
    </w:p>
    <w:p w:rsidR="008615EF" w:rsidRDefault="00213A97" w:rsidP="00CA67D4">
      <w:pPr>
        <w:pStyle w:val="BodyText"/>
      </w:pPr>
      <w:r>
        <w:rPr>
          <w:lang w:val="en-CA" w:eastAsia="en-CA"/>
        </w:rPr>
        <w:lastRenderedPageBreak/>
        <w:drawing>
          <wp:inline distT="0" distB="0" distL="0" distR="0" wp14:anchorId="7D2A3176" wp14:editId="56B883F0">
            <wp:extent cx="5187350" cy="3890513"/>
            <wp:effectExtent l="0" t="0" r="0" b="0"/>
            <wp:docPr id="39938" name="Picture 3" descr="viewofs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3" descr="viewofse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830" cy="3899123"/>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213A97" w:rsidRDefault="003F6C73" w:rsidP="00CA67D4">
      <w:pPr>
        <w:pStyle w:val="BodyText"/>
      </w:pPr>
      <w:r>
        <w:t xml:space="preserve">Figure </w:t>
      </w:r>
      <w:r>
        <w:fldChar w:fldCharType="begin"/>
      </w:r>
      <w:r>
        <w:instrText xml:space="preserve"> SEQ Figure \* ARABIC </w:instrText>
      </w:r>
      <w:r>
        <w:fldChar w:fldCharType="separate"/>
      </w:r>
      <w:r w:rsidR="00862151">
        <w:t>9</w:t>
      </w:r>
      <w:r>
        <w:fldChar w:fldCharType="end"/>
      </w:r>
      <w:r>
        <w:t>:</w:t>
      </w:r>
      <w:r w:rsidR="005B5DFC">
        <w:t xml:space="preserve"> High-resolution 2D seismic lines cutting through the 3D voxet of the Moore Lakes uranium deposit. Drill holes are denoted as red lines with a blue collar.</w:t>
      </w:r>
    </w:p>
    <w:p w:rsidR="00AF2271" w:rsidRPr="00AF2271" w:rsidRDefault="00AF2271" w:rsidP="00860DE3">
      <w:pPr>
        <w:pStyle w:val="Heading1"/>
      </w:pPr>
      <w:r>
        <w:t>Discussion and Conclusions</w:t>
      </w:r>
    </w:p>
    <w:p w:rsidR="00CE21F8" w:rsidRDefault="00CE21F8" w:rsidP="00487DBA">
      <w:pPr>
        <w:pStyle w:val="BodyText"/>
      </w:pPr>
      <w:r w:rsidRPr="00CE21F8">
        <w:t>Building of the 3D GOCAD models have promoted the integration of many different geological, geochemical, and geophysical data sets, and most importantly promoted checking of data consistency. These simple to complex common earth models can be used with geostatistics and querying to define different mineralized envelopes of a particular deposit. The 3D models are giving us the capability to check and validate our geological hypotheses. The 3D models are being developed and used as a prospective tool for uranium exploration</w:t>
      </w:r>
      <w:r w:rsidR="00862151">
        <w:t>, in conjunction with the research of others [20, 21, 22, 23]</w:t>
      </w:r>
      <w:r w:rsidRPr="00CE21F8">
        <w:t>.</w:t>
      </w:r>
    </w:p>
    <w:p w:rsidR="00487DBA" w:rsidRDefault="00487DBA" w:rsidP="00487DBA">
      <w:pPr>
        <w:pStyle w:val="BodyText"/>
      </w:pPr>
      <w:r w:rsidRPr="00487DBA">
        <w:t xml:space="preserve">Results to date indicate that we have a much better understanding of the </w:t>
      </w:r>
      <w:r>
        <w:t xml:space="preserve">eastern Athabasca </w:t>
      </w:r>
      <w:r w:rsidRPr="00487DBA">
        <w:t>geological environment</w:t>
      </w:r>
      <w:r>
        <w:t xml:space="preserve"> </w:t>
      </w:r>
      <w:r w:rsidRPr="00487DBA">
        <w:t>that we are exploring in</w:t>
      </w:r>
      <w:r w:rsidR="00CE21F8">
        <w:t xml:space="preserve"> for hidden uranium deposits</w:t>
      </w:r>
      <w:r w:rsidRPr="00487DBA">
        <w:t>.</w:t>
      </w:r>
      <w:r>
        <w:t xml:space="preserve"> </w:t>
      </w:r>
      <w:r w:rsidRPr="00487DBA">
        <w:t>From this</w:t>
      </w:r>
      <w:r>
        <w:t xml:space="preserve"> acquired knowledge,</w:t>
      </w:r>
      <w:r w:rsidRPr="00487DBA">
        <w:t xml:space="preserve"> we can successfully pick</w:t>
      </w:r>
      <w:r w:rsidR="003D77BA">
        <w:t xml:space="preserve"> high-priority</w:t>
      </w:r>
      <w:r w:rsidRPr="00487DBA">
        <w:t xml:space="preserve"> lithostructural-</w:t>
      </w:r>
      <w:r>
        <w:t xml:space="preserve">, </w:t>
      </w:r>
      <w:r w:rsidRPr="00487DBA">
        <w:t xml:space="preserve"> geochemical</w:t>
      </w:r>
      <w:r>
        <w:t xml:space="preserve">-, and/or </w:t>
      </w:r>
      <w:r w:rsidRPr="00487DBA">
        <w:t xml:space="preserve">geophysical drill targets in the search for new uranium resources. Ultimately, this will lead to </w:t>
      </w:r>
      <w:r>
        <w:t>drilling/discovering</w:t>
      </w:r>
      <w:r w:rsidRPr="00487DBA">
        <w:t xml:space="preserve"> new uranium deposits in less time.</w:t>
      </w:r>
    </w:p>
    <w:p w:rsidR="00AF2271" w:rsidRPr="00AD5DAA" w:rsidRDefault="00AD5DAA" w:rsidP="00AD5DAA">
      <w:pPr>
        <w:pStyle w:val="BodyText"/>
      </w:pPr>
      <w:r w:rsidRPr="00AD5DAA">
        <w:t>In summary, the GOCAD common earth environment allows integration of multiple geological, geophysical, geochemical, and petrophysical data sets from surface to depth. As a result, we are able to manipulate and visualize the regional</w:t>
      </w:r>
      <w:r w:rsidR="00FD3102">
        <w:t>-</w:t>
      </w:r>
      <w:r w:rsidRPr="00AD5DAA">
        <w:t xml:space="preserve"> to district</w:t>
      </w:r>
      <w:r w:rsidR="00FD3102">
        <w:t>-</w:t>
      </w:r>
      <w:r w:rsidRPr="00AD5DAA">
        <w:t xml:space="preserve"> to mine</w:t>
      </w:r>
      <w:r w:rsidR="00FD3102">
        <w:t>-</w:t>
      </w:r>
      <w:r w:rsidRPr="00AD5DAA">
        <w:t>scale architecture of the Wollaston fold-and-thrust belt (Figure</w:t>
      </w:r>
      <w:r w:rsidR="00CE21F8">
        <w:t>s 4, 5, 6, 7, 8, 9</w:t>
      </w:r>
      <w:r w:rsidRPr="00AD5DAA">
        <w:t>) and its intersection with the Athabasca unconformity, especially with the aid of high</w:t>
      </w:r>
      <w:r w:rsidR="005A104C">
        <w:t>-</w:t>
      </w:r>
      <w:r w:rsidRPr="00AD5DAA">
        <w:t>resolution seismic profiles</w:t>
      </w:r>
      <w:r w:rsidR="00CE21F8">
        <w:t xml:space="preserve"> (Figures 8 and 9)</w:t>
      </w:r>
      <w:r w:rsidRPr="00AD5DAA">
        <w:t xml:space="preserve">. Most importantly, high-resolution seismic profiles and </w:t>
      </w:r>
      <w:r w:rsidR="00487DBA">
        <w:t xml:space="preserve">deeper </w:t>
      </w:r>
      <w:r w:rsidRPr="00AD5DAA">
        <w:t>drilling constrain the 3rd dimension. In addition, the GOCAD model can be imported easily into other modeling applications (e.g. FLAC3D, OST3D</w:t>
      </w:r>
      <w:r w:rsidR="00195E10">
        <w:t>,</w:t>
      </w:r>
      <w:r w:rsidR="00195E10" w:rsidRPr="00195E10">
        <w:t xml:space="preserve"> HST3D</w:t>
      </w:r>
      <w:r w:rsidR="00195E10">
        <w:t xml:space="preserve">, among other </w:t>
      </w:r>
      <w:r w:rsidR="00195E10" w:rsidRPr="00195E10">
        <w:t>numerical modeling code</w:t>
      </w:r>
      <w:r w:rsidR="00195E10">
        <w:t>s</w:t>
      </w:r>
      <w:r w:rsidRPr="00AD5DAA">
        <w:t>) for gaining further knowledge about the mineral systems</w:t>
      </w:r>
      <w:r w:rsidR="00487DBA">
        <w:t xml:space="preserve"> that produced these giant ore deposits</w:t>
      </w:r>
      <w:r w:rsidR="00862151">
        <w:t xml:space="preserve"> [21, 22]</w:t>
      </w:r>
      <w:r w:rsidRPr="00AD5DAA">
        <w:t>.</w:t>
      </w:r>
    </w:p>
    <w:p w:rsidR="00AF2271" w:rsidRPr="00AD5DAA" w:rsidRDefault="008451CA" w:rsidP="008451CA">
      <w:pPr>
        <w:pStyle w:val="BodyText"/>
      </w:pPr>
      <w:r>
        <w:t>In conclusion, our research is bringing new insight(s) to the role of the Archean/Paleoproterozoic basement in the genesis of unconformity-type U deposits of the Athabasca Basin.</w:t>
      </w:r>
      <w:r w:rsidR="00B567E4">
        <w:t xml:space="preserve"> The ultimate test of our modeling exercises will be the drilling of some new deposits.</w:t>
      </w:r>
    </w:p>
    <w:p w:rsidR="00355AE1" w:rsidRDefault="00355AE1">
      <w:pPr>
        <w:pStyle w:val="Heading1Type"/>
        <w:outlineLvl w:val="0"/>
      </w:pPr>
      <w:bookmarkStart w:id="3" w:name="_Toc443741331"/>
      <w:r>
        <w:lastRenderedPageBreak/>
        <w:t>Acknowledgements</w:t>
      </w:r>
    </w:p>
    <w:p w:rsidR="00355AE1" w:rsidRDefault="00AF2271">
      <w:pPr>
        <w:pStyle w:val="BodyText"/>
      </w:pPr>
      <w:r>
        <w:t>The authors wish to acknowledge the continued support</w:t>
      </w:r>
      <w:r w:rsidR="006C709D">
        <w:t xml:space="preserve"> and</w:t>
      </w:r>
      <w:r>
        <w:t xml:space="preserve"> help of Mira Geoscience staff; in particular Gervais </w:t>
      </w:r>
      <w:r w:rsidR="006C709D">
        <w:t>P</w:t>
      </w:r>
      <w:r>
        <w:t>erron, Valerie Lafleche, and</w:t>
      </w:r>
      <w:r w:rsidR="006C709D">
        <w:t xml:space="preserve"> Jennifer </w:t>
      </w:r>
      <w:r w:rsidR="00A63425">
        <w:t>L</w:t>
      </w:r>
      <w:r w:rsidR="005604F4">
        <w:t>e</w:t>
      </w:r>
      <w:r w:rsidR="00A63425">
        <w:t>vett</w:t>
      </w:r>
      <w:r w:rsidR="006C709D">
        <w:t>.</w:t>
      </w:r>
      <w:r>
        <w:t xml:space="preserve"> </w:t>
      </w:r>
    </w:p>
    <w:p w:rsidR="004F6B9C" w:rsidRDefault="004F6B9C" w:rsidP="004F6B9C">
      <w:pPr>
        <w:pStyle w:val="Heading1Type"/>
        <w:outlineLvl w:val="0"/>
      </w:pPr>
      <w:r>
        <w:t>References</w:t>
      </w:r>
    </w:p>
    <w:tbl>
      <w:tblPr>
        <w:tblW w:w="0" w:type="auto"/>
        <w:tblLayout w:type="fixed"/>
        <w:tblLook w:val="0000" w:firstRow="0" w:lastRow="0" w:firstColumn="0" w:lastColumn="0" w:noHBand="0" w:noVBand="0"/>
      </w:tblPr>
      <w:tblGrid>
        <w:gridCol w:w="828"/>
        <w:gridCol w:w="8370"/>
      </w:tblGrid>
      <w:tr w:rsidR="004F6B9C" w:rsidTr="000908EA">
        <w:tc>
          <w:tcPr>
            <w:tcW w:w="828" w:type="dxa"/>
          </w:tcPr>
          <w:p w:rsidR="004F6B9C" w:rsidRDefault="004F6B9C" w:rsidP="000908EA">
            <w:pPr>
              <w:pStyle w:val="IAEAReferenceText"/>
              <w:jc w:val="right"/>
            </w:pPr>
            <w:bookmarkStart w:id="4" w:name="TecDocRef001"/>
            <w:r>
              <w:t>[</w:t>
            </w:r>
            <w:r>
              <w:fldChar w:fldCharType="begin"/>
            </w:r>
            <w:r>
              <w:instrText xml:space="preserve"> seq __BibRefs </w:instrText>
            </w:r>
            <w:r>
              <w:fldChar w:fldCharType="separate"/>
            </w:r>
            <w:r w:rsidR="00862151">
              <w:t>1</w:t>
            </w:r>
            <w:r>
              <w:fldChar w:fldCharType="end"/>
            </w:r>
            <w:r>
              <w:t>]</w:t>
            </w:r>
            <w:bookmarkEnd w:id="4"/>
          </w:p>
        </w:tc>
        <w:tc>
          <w:tcPr>
            <w:tcW w:w="8370" w:type="dxa"/>
          </w:tcPr>
          <w:p w:rsidR="004F6B9C" w:rsidRDefault="00067F91" w:rsidP="00067F91">
            <w:pPr>
              <w:pStyle w:val="IAEAReferenceText"/>
            </w:pPr>
            <w:r w:rsidRPr="003D77BA">
              <w:t xml:space="preserve">JEFFERSON, C.W., THOMAS, D.J., GANDHI, S.S., RAMAEKERS, P., DELANEY, G., BRISBIN,D., CUTTS, C., PORTELLA, P., </w:t>
            </w:r>
            <w:r>
              <w:t xml:space="preserve">and </w:t>
            </w:r>
            <w:r w:rsidRPr="003D77BA">
              <w:t>OLSON, R.A.,</w:t>
            </w:r>
            <w:r w:rsidR="004F6B9C" w:rsidRPr="003D77BA">
              <w:t xml:space="preserve"> 2007. Unconformity associated uraniumdeposits of the Athabasca Basin, Saskatchewan and Alberta. In: Jefferson, C.W.,Delaney, G. (Eds.), EXTECH IV: Geology and Uranium EXploration TECHnology of</w:t>
            </w:r>
            <w:r w:rsidR="004F6B9C">
              <w:t xml:space="preserve"> </w:t>
            </w:r>
            <w:r w:rsidR="004F6B9C" w:rsidRPr="003D77BA">
              <w:t>the Proterozoic Athabasca Basin, Saskatchewan and Alberta. Geological Survey</w:t>
            </w:r>
            <w:r w:rsidR="004F6B9C">
              <w:t xml:space="preserve"> </w:t>
            </w:r>
            <w:r w:rsidR="004F6B9C" w:rsidRPr="003D77BA">
              <w:t>of Canada Bulletin 588</w:t>
            </w:r>
            <w:r w:rsidR="004F6B9C">
              <w:t xml:space="preserve"> (also Saskatchewan Geological Society, Special Publication 18; Geological Association of Canada, Mineral Deposits Division, Special Publication 4)</w:t>
            </w:r>
            <w:r w:rsidR="004F6B9C" w:rsidRPr="003D77BA">
              <w:t>, p. 23–67.</w:t>
            </w:r>
          </w:p>
        </w:tc>
      </w:tr>
      <w:tr w:rsidR="004F6B9C" w:rsidTr="000908EA">
        <w:tc>
          <w:tcPr>
            <w:tcW w:w="828" w:type="dxa"/>
          </w:tcPr>
          <w:p w:rsidR="004F6B9C" w:rsidRDefault="004F6B9C" w:rsidP="000908EA">
            <w:pPr>
              <w:pStyle w:val="IAEAReferenceText"/>
              <w:jc w:val="right"/>
            </w:pPr>
            <w:bookmarkStart w:id="5" w:name="TecDocRef004"/>
            <w:r>
              <w:t>[</w:t>
            </w:r>
            <w:fldSimple w:instr=" SEQ __BibRefs \* MERGEFORMAT ">
              <w:r w:rsidR="00862151">
                <w:t>2</w:t>
              </w:r>
            </w:fldSimple>
            <w:r>
              <w:t>]</w:t>
            </w:r>
            <w:bookmarkEnd w:id="5"/>
          </w:p>
        </w:tc>
        <w:tc>
          <w:tcPr>
            <w:tcW w:w="8370" w:type="dxa"/>
          </w:tcPr>
          <w:p w:rsidR="004F6B9C" w:rsidRPr="003D77BA" w:rsidRDefault="00067F91" w:rsidP="004F6B9C">
            <w:pPr>
              <w:pStyle w:val="IAEAReferenceText"/>
            </w:pPr>
            <w:r w:rsidRPr="006877FE">
              <w:t>HOFFMAN, P.F.</w:t>
            </w:r>
            <w:r w:rsidR="004F6B9C" w:rsidRPr="006877FE">
              <w:t>, 1990. Subdivision of the Churchill Province and extent of the Trans-Hudson Orogen. In: Lewry, J.F., Stauffer, M.R. (Eds.), The Early ProterozoicTrans-Hudson Orogen of North America. Geological Association of Canada Special Paper 37, p. 15–39.</w:t>
            </w:r>
          </w:p>
        </w:tc>
      </w:tr>
      <w:tr w:rsidR="004F6B9C" w:rsidTr="000908EA">
        <w:tc>
          <w:tcPr>
            <w:tcW w:w="828" w:type="dxa"/>
          </w:tcPr>
          <w:p w:rsidR="004F6B9C" w:rsidRDefault="004F6B9C" w:rsidP="000908EA">
            <w:pPr>
              <w:pStyle w:val="IAEAReferenceText"/>
              <w:jc w:val="right"/>
            </w:pPr>
            <w:bookmarkStart w:id="6" w:name="TecDocRef005"/>
            <w:r>
              <w:t>[</w:t>
            </w:r>
            <w:fldSimple w:instr=" SEQ __BibRefs \* MERGEFORMAT ">
              <w:r w:rsidR="00862151">
                <w:t>3</w:t>
              </w:r>
            </w:fldSimple>
            <w:r>
              <w:t>]</w:t>
            </w:r>
            <w:bookmarkEnd w:id="6"/>
          </w:p>
        </w:tc>
        <w:tc>
          <w:tcPr>
            <w:tcW w:w="8370" w:type="dxa"/>
          </w:tcPr>
          <w:p w:rsidR="004F6B9C" w:rsidRPr="006877FE" w:rsidRDefault="004F6B9C" w:rsidP="004F6B9C">
            <w:pPr>
              <w:pStyle w:val="IAEAReferenceText"/>
            </w:pPr>
            <w:r w:rsidRPr="004F6B9C">
              <w:t>BICKFORD, M.E., COLLERSON, K.D., LEWRY, J.F., VAN SCHMUS, W.R., and CHIARENZELLI, J.R., 1990. Proterozoic collisional tectonism in the Trans-Hudson Orogen, Saskatchewan. Geology 18, 14-18.</w:t>
            </w:r>
          </w:p>
        </w:tc>
      </w:tr>
      <w:tr w:rsidR="004F6B9C" w:rsidTr="000908EA">
        <w:tc>
          <w:tcPr>
            <w:tcW w:w="828" w:type="dxa"/>
          </w:tcPr>
          <w:p w:rsidR="004F6B9C" w:rsidRDefault="004F6B9C" w:rsidP="000908EA">
            <w:pPr>
              <w:pStyle w:val="IAEAReferenceText"/>
              <w:jc w:val="right"/>
            </w:pPr>
            <w:bookmarkStart w:id="7" w:name="TecDocRef006"/>
            <w:r>
              <w:t>[</w:t>
            </w:r>
            <w:fldSimple w:instr=" SEQ __BibRefs \* MERGEFORMAT ">
              <w:r w:rsidR="00862151">
                <w:t>4</w:t>
              </w:r>
            </w:fldSimple>
            <w:r>
              <w:t>]</w:t>
            </w:r>
            <w:bookmarkEnd w:id="7"/>
          </w:p>
        </w:tc>
        <w:tc>
          <w:tcPr>
            <w:tcW w:w="8370" w:type="dxa"/>
          </w:tcPr>
          <w:p w:rsidR="004F6B9C" w:rsidRPr="004F6B9C" w:rsidRDefault="00067F91" w:rsidP="00067F91">
            <w:pPr>
              <w:pStyle w:val="IAEAReferenceText"/>
            </w:pPr>
            <w:r w:rsidRPr="00942C04">
              <w:t xml:space="preserve">CARD, C.D., PANA, D., PORTELLA, P., THOMAS, D.J., </w:t>
            </w:r>
            <w:r>
              <w:t xml:space="preserve">and </w:t>
            </w:r>
            <w:r w:rsidRPr="00942C04">
              <w:t xml:space="preserve">ANNESLEY, I.R., </w:t>
            </w:r>
            <w:r w:rsidR="00942C04" w:rsidRPr="00942C04">
              <w:t>2007. Basement rocks to the Athabasca Basin, Saskatchewan and Alberta. In: Jefferson, C.W., Delauney, G. (Eds.), EXTECH IV: geology and uranium EXploration TECHnology of the Proterozoic Athabasca Basin, Saskatchewan and Alberta. Geological Surveyof Canada Bulletin 588 (also Saskatchewan Geological Society, Special Publication 18; Geological Association of Canada, Mineral Deposits Division, Special Publication 4), p. 69–87.</w:t>
            </w:r>
          </w:p>
        </w:tc>
      </w:tr>
      <w:tr w:rsidR="00942C04" w:rsidTr="000908EA">
        <w:tc>
          <w:tcPr>
            <w:tcW w:w="828" w:type="dxa"/>
          </w:tcPr>
          <w:p w:rsidR="00942C04" w:rsidRDefault="00942C04" w:rsidP="000908EA">
            <w:pPr>
              <w:pStyle w:val="IAEAReferenceText"/>
              <w:jc w:val="right"/>
            </w:pPr>
            <w:bookmarkStart w:id="8" w:name="TecDocRef007"/>
            <w:r>
              <w:t>[</w:t>
            </w:r>
            <w:fldSimple w:instr=" SEQ __BibRefs \* MERGEFORMAT ">
              <w:r w:rsidR="00862151">
                <w:t>5</w:t>
              </w:r>
            </w:fldSimple>
            <w:r>
              <w:t>]</w:t>
            </w:r>
            <w:bookmarkEnd w:id="8"/>
          </w:p>
        </w:tc>
        <w:tc>
          <w:tcPr>
            <w:tcW w:w="8370" w:type="dxa"/>
          </w:tcPr>
          <w:p w:rsidR="00942C04" w:rsidRPr="00942C04" w:rsidRDefault="00067F91" w:rsidP="00067F91">
            <w:pPr>
              <w:pStyle w:val="IAEAReferenceText"/>
            </w:pPr>
            <w:r w:rsidRPr="00942C04">
              <w:t xml:space="preserve">CHIARENZELLI, J., ASPLER, L., VILLENEUVE, M., </w:t>
            </w:r>
            <w:r>
              <w:t>and</w:t>
            </w:r>
            <w:r w:rsidRPr="00942C04">
              <w:t xml:space="preserve"> LEWRY, J.,</w:t>
            </w:r>
            <w:r w:rsidR="00942C04" w:rsidRPr="00942C04">
              <w:t xml:space="preserve"> 1998, Early Proterozoic evolution of the Saskatchewan craton and its allochthonous cover, Trans-Hudson orogen: Journal of Geology, v. 106, p. 247–267.</w:t>
            </w:r>
          </w:p>
        </w:tc>
      </w:tr>
      <w:tr w:rsidR="00942C04" w:rsidTr="000908EA">
        <w:tc>
          <w:tcPr>
            <w:tcW w:w="828" w:type="dxa"/>
          </w:tcPr>
          <w:p w:rsidR="00942C04" w:rsidRDefault="00942C04" w:rsidP="000908EA">
            <w:pPr>
              <w:pStyle w:val="IAEAReferenceText"/>
              <w:jc w:val="right"/>
            </w:pPr>
            <w:bookmarkStart w:id="9" w:name="TecDocRef008"/>
            <w:r>
              <w:t>[</w:t>
            </w:r>
            <w:fldSimple w:instr=" SEQ __BibRefs \* MERGEFORMAT ">
              <w:r w:rsidR="00862151">
                <w:t>6</w:t>
              </w:r>
            </w:fldSimple>
            <w:r>
              <w:t>]</w:t>
            </w:r>
            <w:bookmarkEnd w:id="9"/>
          </w:p>
        </w:tc>
        <w:tc>
          <w:tcPr>
            <w:tcW w:w="8370" w:type="dxa"/>
          </w:tcPr>
          <w:p w:rsidR="00942C04" w:rsidRPr="00942C04" w:rsidRDefault="00067F91" w:rsidP="00067F91">
            <w:pPr>
              <w:pStyle w:val="IAEAReferenceText"/>
            </w:pPr>
            <w:r w:rsidRPr="00942C04">
              <w:t xml:space="preserve">ANNESLEY, I.R., MADORE, C., </w:t>
            </w:r>
            <w:r>
              <w:t xml:space="preserve">and </w:t>
            </w:r>
            <w:r w:rsidRPr="00942C04">
              <w:t>PORTELLA, P.,</w:t>
            </w:r>
            <w:r w:rsidR="00942C04" w:rsidRPr="00942C04">
              <w:t xml:space="preserve"> 2005. Geology and thermotectonic evolution of the western margin of the Trans-Hudson Orogen: evidence from the eastern sub-Athabasca basement, Saskatchewan. Canadian Journal of Earth Sciences, v. 42, p. 573–597.</w:t>
            </w:r>
          </w:p>
        </w:tc>
      </w:tr>
      <w:tr w:rsidR="00942C04" w:rsidTr="000908EA">
        <w:tc>
          <w:tcPr>
            <w:tcW w:w="828" w:type="dxa"/>
          </w:tcPr>
          <w:p w:rsidR="00942C04" w:rsidRDefault="00942C04" w:rsidP="000908EA">
            <w:pPr>
              <w:pStyle w:val="IAEAReferenceText"/>
              <w:jc w:val="right"/>
            </w:pPr>
            <w:bookmarkStart w:id="10" w:name="TecDocRef009"/>
            <w:r>
              <w:t>[</w:t>
            </w:r>
            <w:fldSimple w:instr=" SEQ __BibRefs \* MERGEFORMAT ">
              <w:r w:rsidR="00862151">
                <w:t>7</w:t>
              </w:r>
            </w:fldSimple>
            <w:r>
              <w:t>]</w:t>
            </w:r>
            <w:bookmarkEnd w:id="10"/>
          </w:p>
        </w:tc>
        <w:tc>
          <w:tcPr>
            <w:tcW w:w="8370" w:type="dxa"/>
          </w:tcPr>
          <w:p w:rsidR="00942C04" w:rsidRPr="00942C04" w:rsidRDefault="00067F91" w:rsidP="00862151">
            <w:pPr>
              <w:pStyle w:val="IAEAReferenceText"/>
            </w:pPr>
            <w:r w:rsidRPr="00942C04">
              <w:t>PORTELLA, P.</w:t>
            </w:r>
            <w:r>
              <w:t xml:space="preserve"> </w:t>
            </w:r>
            <w:r w:rsidR="00862151">
              <w:t>and</w:t>
            </w:r>
            <w:r>
              <w:t xml:space="preserve"> ANNESLEY, I.R., </w:t>
            </w:r>
            <w:r w:rsidR="00942C04">
              <w:t>2000.</w:t>
            </w:r>
            <w:r>
              <w:t xml:space="preserve"> Paleoproterozoic tectonic evolution of the eastern sub-Athabasca basement, northern Saskatchewan: Integrated magnetic, gravity, and geological data</w:t>
            </w:r>
            <w:r w:rsidRPr="00067F91">
              <w:t xml:space="preserve">University of Calgary, GeoCanada: The Millennium Geoscience Summit, Calgary (Canada), 29 May–2 June 2000, Proceedings, </w:t>
            </w:r>
            <w:r>
              <w:t>#</w:t>
            </w:r>
            <w:r w:rsidRPr="00067F91">
              <w:t xml:space="preserve"> </w:t>
            </w:r>
            <w:r>
              <w:t>647</w:t>
            </w:r>
            <w:r w:rsidRPr="00067F91">
              <w:t>.</w:t>
            </w:r>
          </w:p>
        </w:tc>
      </w:tr>
      <w:tr w:rsidR="00942C04" w:rsidTr="000908EA">
        <w:tc>
          <w:tcPr>
            <w:tcW w:w="828" w:type="dxa"/>
          </w:tcPr>
          <w:p w:rsidR="00942C04" w:rsidRDefault="00942C04" w:rsidP="000908EA">
            <w:pPr>
              <w:pStyle w:val="IAEAReferenceText"/>
              <w:jc w:val="right"/>
            </w:pPr>
            <w:bookmarkStart w:id="11" w:name="TecDocRef010"/>
            <w:r>
              <w:t>[</w:t>
            </w:r>
            <w:fldSimple w:instr=" SEQ __BibRefs \* MERGEFORMAT ">
              <w:r w:rsidR="00862151">
                <w:t>8</w:t>
              </w:r>
            </w:fldSimple>
            <w:r>
              <w:t>]</w:t>
            </w:r>
            <w:bookmarkEnd w:id="11"/>
          </w:p>
        </w:tc>
        <w:tc>
          <w:tcPr>
            <w:tcW w:w="8370" w:type="dxa"/>
          </w:tcPr>
          <w:p w:rsidR="00942C04" w:rsidRPr="00942C04" w:rsidRDefault="00067F91" w:rsidP="00862151">
            <w:pPr>
              <w:pStyle w:val="IAEAReferenceText"/>
            </w:pPr>
            <w:r w:rsidRPr="00942C04">
              <w:t xml:space="preserve">MADORE, C., ANNESLEY, I.R., </w:t>
            </w:r>
            <w:r w:rsidR="00862151">
              <w:t>and</w:t>
            </w:r>
            <w:r w:rsidRPr="00942C04">
              <w:t xml:space="preserve"> WHEATLEY, K.,</w:t>
            </w:r>
            <w:r w:rsidR="00942C04" w:rsidRPr="00942C04">
              <w:t xml:space="preserve"> 2000, Petrogenesis, age, and uranium fertility of peraluminous leucogranites and pegmatites of the McClean Lake / Sue and Key Lake / P-Patch deposit areas, Saskatchewan. University of Calgary, GeoCanada: The Millennium Geoscience Summit, Calgary (Canada), 29 May–2 June 2000, Proceedings, </w:t>
            </w:r>
            <w:r>
              <w:t>#</w:t>
            </w:r>
            <w:r w:rsidR="00942C04" w:rsidRPr="00942C04">
              <w:t xml:space="preserve"> 1041.</w:t>
            </w:r>
          </w:p>
        </w:tc>
      </w:tr>
      <w:tr w:rsidR="00942C04" w:rsidTr="000908EA">
        <w:tc>
          <w:tcPr>
            <w:tcW w:w="828" w:type="dxa"/>
          </w:tcPr>
          <w:p w:rsidR="00942C04" w:rsidRDefault="00942C04" w:rsidP="000908EA">
            <w:pPr>
              <w:pStyle w:val="IAEAReferenceText"/>
              <w:jc w:val="right"/>
            </w:pPr>
            <w:bookmarkStart w:id="12" w:name="TecDocRef011"/>
            <w:r>
              <w:t>[</w:t>
            </w:r>
            <w:fldSimple w:instr=" SEQ __BibRefs \* MERGEFORMAT ">
              <w:r w:rsidR="00862151">
                <w:t>9</w:t>
              </w:r>
            </w:fldSimple>
            <w:r>
              <w:t>]</w:t>
            </w:r>
            <w:bookmarkEnd w:id="12"/>
          </w:p>
        </w:tc>
        <w:tc>
          <w:tcPr>
            <w:tcW w:w="8370" w:type="dxa"/>
          </w:tcPr>
          <w:p w:rsidR="00942C04" w:rsidRPr="00942C04" w:rsidRDefault="00067F91" w:rsidP="004F6B9C">
            <w:pPr>
              <w:pStyle w:val="IAEAReferenceText"/>
            </w:pPr>
            <w:r w:rsidRPr="00942C04">
              <w:t xml:space="preserve">ANNESLEY, I.R., MADORE, C., </w:t>
            </w:r>
            <w:r>
              <w:t xml:space="preserve">and </w:t>
            </w:r>
            <w:r w:rsidRPr="00942C04">
              <w:t>PORTELLA, P.,</w:t>
            </w:r>
            <w:r w:rsidR="00942C04" w:rsidRPr="00942C04">
              <w:t xml:space="preserve"> 2001. Paleoproterozoic structural, metamorphic, and magmatic evolution of theeasternsub-Athabasca basement: controls on unconformity-type uranium deposits [ext. abs.]. In: Williams, P.J. (Ed.), A Hydrothermal Odyssey. Extended Conference Abstract, Townsville, Queensland, p. 3–4.</w:t>
            </w:r>
          </w:p>
        </w:tc>
      </w:tr>
      <w:tr w:rsidR="00942C04" w:rsidTr="000908EA">
        <w:tc>
          <w:tcPr>
            <w:tcW w:w="828" w:type="dxa"/>
          </w:tcPr>
          <w:p w:rsidR="00942C04" w:rsidRDefault="00942C04" w:rsidP="000908EA">
            <w:pPr>
              <w:pStyle w:val="IAEAReferenceText"/>
              <w:jc w:val="right"/>
            </w:pPr>
            <w:bookmarkStart w:id="13" w:name="TecDocRef012"/>
            <w:r>
              <w:t>[</w:t>
            </w:r>
            <w:fldSimple w:instr=" SEQ __BibRefs \* MERGEFORMAT ">
              <w:r w:rsidR="00862151">
                <w:t>10</w:t>
              </w:r>
            </w:fldSimple>
            <w:r>
              <w:t>]</w:t>
            </w:r>
            <w:bookmarkEnd w:id="13"/>
          </w:p>
        </w:tc>
        <w:tc>
          <w:tcPr>
            <w:tcW w:w="8370" w:type="dxa"/>
          </w:tcPr>
          <w:p w:rsidR="00942C04" w:rsidRPr="00942C04" w:rsidRDefault="00067F91" w:rsidP="004F6B9C">
            <w:pPr>
              <w:pStyle w:val="IAEAReferenceText"/>
            </w:pPr>
            <w:r w:rsidRPr="0005638B">
              <w:t>RAMAEKERS, P., JEFFERSON, C.W., YEO, G.M., COLLIER, B., LONG, D.G., CATUNEANU, O., BERNIER,</w:t>
            </w:r>
            <w:r>
              <w:t xml:space="preserve"> </w:t>
            </w:r>
            <w:r w:rsidRPr="0005638B">
              <w:t xml:space="preserve">S., KUPSCH, B., POST, R., DREVER, G., MCHARDY, S., JIRCKA, D., CUTTS, C., </w:t>
            </w:r>
            <w:r>
              <w:t xml:space="preserve">and </w:t>
            </w:r>
            <w:r w:rsidRPr="0005638B">
              <w:t>WHEATLEY,</w:t>
            </w:r>
            <w:r>
              <w:t xml:space="preserve"> </w:t>
            </w:r>
            <w:r w:rsidRPr="0005638B">
              <w:t>K.,</w:t>
            </w:r>
            <w:r w:rsidR="0005638B" w:rsidRPr="0005638B">
              <w:t xml:space="preserve"> 2007. Revised geological map and stratigraphy of the Athabasca Group,Saskatchewan and Alberta. In: Jefferson, C.W., Delaney, G. (Eds.), EXTECH IV:Geology and Uranium EXploration TECHnology of the Proterozoic Athabasca Basin, Saskatchewan and Alberta. Geological Survey of Canada Bulletin 588 (also Saskatchewan Geological Society, Special Publication 18; Geological Association of Canada, Mineral Deposits Division, Special Publication 4), p.155–578.</w:t>
            </w:r>
          </w:p>
        </w:tc>
      </w:tr>
      <w:tr w:rsidR="0005638B" w:rsidTr="000908EA">
        <w:tc>
          <w:tcPr>
            <w:tcW w:w="828" w:type="dxa"/>
          </w:tcPr>
          <w:p w:rsidR="0005638B" w:rsidRDefault="0005638B" w:rsidP="000908EA">
            <w:pPr>
              <w:pStyle w:val="IAEAReferenceText"/>
              <w:jc w:val="right"/>
            </w:pPr>
            <w:bookmarkStart w:id="14" w:name="TecDocRef013"/>
            <w:r>
              <w:t>[</w:t>
            </w:r>
            <w:fldSimple w:instr=" SEQ __BibRefs \* MERGEFORMAT ">
              <w:r w:rsidR="00862151">
                <w:t>11</w:t>
              </w:r>
            </w:fldSimple>
            <w:r>
              <w:t>]</w:t>
            </w:r>
            <w:bookmarkEnd w:id="14"/>
          </w:p>
        </w:tc>
        <w:tc>
          <w:tcPr>
            <w:tcW w:w="8370" w:type="dxa"/>
          </w:tcPr>
          <w:p w:rsidR="0005638B" w:rsidRPr="0005638B" w:rsidRDefault="00067F91" w:rsidP="004F6B9C">
            <w:pPr>
              <w:pStyle w:val="IAEAReferenceText"/>
            </w:pPr>
            <w:r w:rsidRPr="0005638B">
              <w:t>PAGEL, M.,</w:t>
            </w:r>
            <w:r w:rsidR="0005638B" w:rsidRPr="0005638B">
              <w:t xml:space="preserve"> 1975. Détermination des conditions physico-chimiques de la silicification </w:t>
            </w:r>
            <w:r w:rsidR="0005638B" w:rsidRPr="0005638B">
              <w:lastRenderedPageBreak/>
              <w:t>diagénétique des grès Athabasca (Canada) au moyen des inclusions fluides. C. R.Acad. Sci. Paris 280 (D), 2301–2304.</w:t>
            </w:r>
          </w:p>
        </w:tc>
      </w:tr>
      <w:tr w:rsidR="0005638B" w:rsidTr="000908EA">
        <w:tc>
          <w:tcPr>
            <w:tcW w:w="828" w:type="dxa"/>
          </w:tcPr>
          <w:p w:rsidR="0005638B" w:rsidRDefault="0005638B" w:rsidP="000908EA">
            <w:pPr>
              <w:pStyle w:val="IAEAReferenceText"/>
              <w:jc w:val="right"/>
            </w:pPr>
            <w:bookmarkStart w:id="15" w:name="TecDocRef014"/>
            <w:r>
              <w:lastRenderedPageBreak/>
              <w:t>[</w:t>
            </w:r>
            <w:fldSimple w:instr=" SEQ __BibRefs \* MERGEFORMAT ">
              <w:r w:rsidR="00862151">
                <w:t>12</w:t>
              </w:r>
            </w:fldSimple>
            <w:r>
              <w:t>]</w:t>
            </w:r>
            <w:bookmarkEnd w:id="15"/>
          </w:p>
        </w:tc>
        <w:tc>
          <w:tcPr>
            <w:tcW w:w="8370" w:type="dxa"/>
          </w:tcPr>
          <w:p w:rsidR="0005638B" w:rsidRPr="0005638B" w:rsidRDefault="00067F91" w:rsidP="004F6B9C">
            <w:pPr>
              <w:pStyle w:val="IAEAReferenceText"/>
            </w:pPr>
            <w:r w:rsidRPr="0005638B">
              <w:t xml:space="preserve">DEROME, D., CATHELINEAU, M., CUNEY, M., FABRE, C., LHOMME, T., </w:t>
            </w:r>
            <w:r>
              <w:t xml:space="preserve">and </w:t>
            </w:r>
            <w:r w:rsidRPr="0005638B">
              <w:t>BANKS, D.A.,</w:t>
            </w:r>
            <w:r w:rsidR="0005638B" w:rsidRPr="0005638B">
              <w:t xml:space="preserve"> 2005. Mixing of sodic and calcic brines and uranium deposition at McArthur River,Saskatchewan, Canada: a Raman and laser-induced breakdown spectroscopicstudy of fluid inclusions. Economic Geology, v. 100, p. 1529–1545.</w:t>
            </w:r>
          </w:p>
        </w:tc>
      </w:tr>
      <w:tr w:rsidR="0005638B" w:rsidTr="000908EA">
        <w:tc>
          <w:tcPr>
            <w:tcW w:w="828" w:type="dxa"/>
          </w:tcPr>
          <w:p w:rsidR="0005638B" w:rsidRDefault="0005638B" w:rsidP="000908EA">
            <w:pPr>
              <w:pStyle w:val="IAEAReferenceText"/>
              <w:jc w:val="right"/>
            </w:pPr>
            <w:bookmarkStart w:id="16" w:name="TecDocRef015"/>
            <w:r>
              <w:t>[</w:t>
            </w:r>
            <w:fldSimple w:instr=" SEQ __BibRefs \* MERGEFORMAT ">
              <w:r w:rsidR="00862151">
                <w:t>13</w:t>
              </w:r>
            </w:fldSimple>
            <w:r>
              <w:t>]</w:t>
            </w:r>
            <w:bookmarkEnd w:id="16"/>
          </w:p>
        </w:tc>
        <w:tc>
          <w:tcPr>
            <w:tcW w:w="8370" w:type="dxa"/>
          </w:tcPr>
          <w:p w:rsidR="0005638B" w:rsidRPr="0005638B" w:rsidRDefault="00067F91" w:rsidP="00067F91">
            <w:pPr>
              <w:pStyle w:val="IAEAReferenceText"/>
            </w:pPr>
            <w:r w:rsidRPr="0005638B">
              <w:t xml:space="preserve">HAJNAL, Z., WHITE, D., TAKACS, E., GYORFI, S., ANNESLEY, I. R., WOOD, G., O’DOWD, C., </w:t>
            </w:r>
            <w:r>
              <w:t>and</w:t>
            </w:r>
            <w:r w:rsidRPr="0005638B">
              <w:t xml:space="preserve"> NIMECK, G., </w:t>
            </w:r>
            <w:r w:rsidR="0005638B" w:rsidRPr="0005638B">
              <w:t>2010. Application of modern 2D and 3D seismic reflection techniques for uranium exploration in the Athabasca Basin. In Lithoprobe: Parameters, processes and the evolution of a continent: Canadian Journal of Earth Sciences special issue, 47, 761–782, doi: 10.1139/E10-026.</w:t>
            </w:r>
          </w:p>
        </w:tc>
      </w:tr>
      <w:tr w:rsidR="0005638B" w:rsidTr="000908EA">
        <w:tc>
          <w:tcPr>
            <w:tcW w:w="828" w:type="dxa"/>
          </w:tcPr>
          <w:p w:rsidR="0005638B" w:rsidRDefault="0005638B" w:rsidP="000908EA">
            <w:pPr>
              <w:pStyle w:val="IAEAReferenceText"/>
              <w:jc w:val="right"/>
            </w:pPr>
            <w:bookmarkStart w:id="17" w:name="TecDocRef016"/>
            <w:r>
              <w:t>[</w:t>
            </w:r>
            <w:fldSimple w:instr=" SEQ __BibRefs \* MERGEFORMAT ">
              <w:r w:rsidR="00862151">
                <w:t>14</w:t>
              </w:r>
            </w:fldSimple>
            <w:r>
              <w:t>]</w:t>
            </w:r>
            <w:bookmarkEnd w:id="17"/>
          </w:p>
        </w:tc>
        <w:tc>
          <w:tcPr>
            <w:tcW w:w="8370" w:type="dxa"/>
          </w:tcPr>
          <w:p w:rsidR="0005638B" w:rsidRPr="0005638B" w:rsidRDefault="00862151" w:rsidP="004F6B9C">
            <w:pPr>
              <w:pStyle w:val="IAEAReferenceText"/>
            </w:pPr>
            <w:r w:rsidRPr="0005638B">
              <w:t>GYÖRFI, I., HAJNAL, Z., WHITE, D.J., TAKACZ, E., REILKOFF, B., ANNESLEY, I.R., POWELL, B., KOCH,R.,</w:t>
            </w:r>
            <w:r w:rsidR="0005638B" w:rsidRPr="0005638B">
              <w:t xml:space="preserve"> 2007. High resolution seismic survey from the McArthur River region: contri-bution to mapping of the P2 uranium ore zone, Athabasca Basin, Saskatchewan.In: Jefferson, C.W., Delaney, G. (Eds.), EXTECH IV: Geology and Uranium EXploration TECHnology of the Proterozoic Athabasca Basin, Saskatchewan and Alberta. Geological Survey of Canada Bulletin 588 (also Saskatchewan Geological Society, Special Publication 18; Geological Association of Canada, Mineral Deposits Division, Special Publication 4), </w:t>
            </w:r>
            <w:r w:rsidR="00F654AC">
              <w:t xml:space="preserve">p. </w:t>
            </w:r>
            <w:r w:rsidR="0005638B" w:rsidRPr="0005638B">
              <w:t>397–412.</w:t>
            </w:r>
          </w:p>
        </w:tc>
      </w:tr>
      <w:tr w:rsidR="0005638B" w:rsidTr="000908EA">
        <w:tc>
          <w:tcPr>
            <w:tcW w:w="828" w:type="dxa"/>
          </w:tcPr>
          <w:p w:rsidR="0005638B" w:rsidRDefault="0005638B" w:rsidP="000908EA">
            <w:pPr>
              <w:pStyle w:val="IAEAReferenceText"/>
              <w:jc w:val="right"/>
            </w:pPr>
            <w:bookmarkStart w:id="18" w:name="TecDocRef017"/>
            <w:r>
              <w:t>[</w:t>
            </w:r>
            <w:fldSimple w:instr=" SEQ __BibRefs \* MERGEFORMAT ">
              <w:r w:rsidR="00862151">
                <w:t>15</w:t>
              </w:r>
            </w:fldSimple>
            <w:r>
              <w:t>]</w:t>
            </w:r>
            <w:bookmarkEnd w:id="18"/>
          </w:p>
        </w:tc>
        <w:tc>
          <w:tcPr>
            <w:tcW w:w="8370" w:type="dxa"/>
          </w:tcPr>
          <w:p w:rsidR="0005638B" w:rsidRPr="0005638B" w:rsidRDefault="00067F91" w:rsidP="00862151">
            <w:pPr>
              <w:pStyle w:val="IAEAReferenceText"/>
            </w:pPr>
            <w:r w:rsidRPr="0005638B">
              <w:t xml:space="preserve">WHITE, D. J., HAJNAL, Z., ROBERTS, B., GYORFI, I.,  REILKOFF, B., BELLEFLEUR, G.,  MUELLER, C.,  WOELZ, S., MWENIFUMBO, C. J.,  TAKACS, E., SCHMITT, D. R., BRISBIN, D, JEFFERSON, .  C. W., KOCH, R. POWELL, B., </w:t>
            </w:r>
            <w:r w:rsidR="00862151">
              <w:t>and</w:t>
            </w:r>
            <w:r w:rsidRPr="0005638B">
              <w:t xml:space="preserve"> ANNESLEY, I. R.,</w:t>
            </w:r>
            <w:r w:rsidR="0005638B" w:rsidRPr="0005638B">
              <w:t xml:space="preserve"> 2007</w:t>
            </w:r>
            <w:r w:rsidR="00F654AC">
              <w:t>.</w:t>
            </w:r>
            <w:r w:rsidR="0005638B" w:rsidRPr="0005638B">
              <w:t xml:space="preserve"> Seismic methods for uranium exploration: An overview of EXTECH IV seismic studies at the McArthur River mining camp, Athabasca Basin, Saskatchewan. In C. W. Jefferson, and G. Delaney (Eds.), EXTECH IV: Geology and uranium exploration technology of the Proterozoic Athabasca Basin, Saskatchewan and Alberta, Geological Survey of Canada, Bulletin 588 (also Saskatchewan Geological Society, Special Publication 17; Geological Association of Canada, Mineral Deposits Division, Special Publication 4</w:t>
            </w:r>
            <w:r w:rsidR="00F654AC">
              <w:t>)</w:t>
            </w:r>
            <w:r w:rsidR="0005638B" w:rsidRPr="0005638B">
              <w:t xml:space="preserve">, </w:t>
            </w:r>
            <w:r w:rsidR="00F654AC">
              <w:t xml:space="preserve">p. </w:t>
            </w:r>
            <w:r w:rsidR="0005638B" w:rsidRPr="0005638B">
              <w:t>363–388.</w:t>
            </w:r>
          </w:p>
        </w:tc>
      </w:tr>
      <w:tr w:rsidR="0005638B" w:rsidTr="000908EA">
        <w:tc>
          <w:tcPr>
            <w:tcW w:w="828" w:type="dxa"/>
          </w:tcPr>
          <w:p w:rsidR="0005638B" w:rsidRDefault="0005638B" w:rsidP="000908EA">
            <w:pPr>
              <w:pStyle w:val="IAEAReferenceText"/>
              <w:jc w:val="right"/>
            </w:pPr>
            <w:bookmarkStart w:id="19" w:name="TecDocRef018"/>
            <w:r>
              <w:t>[</w:t>
            </w:r>
            <w:fldSimple w:instr=" SEQ __BibRefs \* MERGEFORMAT ">
              <w:r w:rsidR="00862151">
                <w:t>16</w:t>
              </w:r>
            </w:fldSimple>
            <w:r>
              <w:t>]</w:t>
            </w:r>
            <w:bookmarkEnd w:id="19"/>
          </w:p>
        </w:tc>
        <w:tc>
          <w:tcPr>
            <w:tcW w:w="8370" w:type="dxa"/>
          </w:tcPr>
          <w:p w:rsidR="0005638B" w:rsidRPr="0005638B" w:rsidRDefault="00067F91" w:rsidP="00067F91">
            <w:pPr>
              <w:pStyle w:val="IAEAReferenceText"/>
            </w:pPr>
            <w:r>
              <w:t xml:space="preserve">JUHOJUNTTI, N., WOOD, </w:t>
            </w:r>
            <w:r w:rsidRPr="0005638B">
              <w:t>G.</w:t>
            </w:r>
            <w:r>
              <w:t xml:space="preserve">, JUHLIN, </w:t>
            </w:r>
            <w:r w:rsidRPr="0005638B">
              <w:t>C.</w:t>
            </w:r>
            <w:r>
              <w:t>,</w:t>
            </w:r>
            <w:r w:rsidRPr="0005638B">
              <w:t xml:space="preserve"> </w:t>
            </w:r>
            <w:r>
              <w:t xml:space="preserve">O'DOWD, </w:t>
            </w:r>
            <w:r w:rsidRPr="0005638B">
              <w:t>C.</w:t>
            </w:r>
            <w:r>
              <w:t>,</w:t>
            </w:r>
            <w:r w:rsidRPr="0005638B">
              <w:t xml:space="preserve"> </w:t>
            </w:r>
            <w:r>
              <w:t xml:space="preserve">DUECK, </w:t>
            </w:r>
            <w:r w:rsidRPr="0005638B">
              <w:t>P.</w:t>
            </w:r>
            <w:r>
              <w:t>,</w:t>
            </w:r>
            <w:r w:rsidRPr="0005638B">
              <w:t xml:space="preserve"> </w:t>
            </w:r>
            <w:r>
              <w:t xml:space="preserve">and COSMA, </w:t>
            </w:r>
            <w:r w:rsidRPr="0005638B">
              <w:t>C.</w:t>
            </w:r>
            <w:r>
              <w:t>,</w:t>
            </w:r>
            <w:r w:rsidR="00F654AC">
              <w:t xml:space="preserve"> </w:t>
            </w:r>
            <w:r w:rsidR="0005638B">
              <w:t>2012</w:t>
            </w:r>
            <w:r w:rsidR="00F654AC">
              <w:t>.</w:t>
            </w:r>
            <w:r w:rsidR="0005638B">
              <w:t xml:space="preserve"> 3D seismic survey at the Millennium uranium deposit, Saskatchewan,</w:t>
            </w:r>
            <w:r w:rsidR="00F654AC">
              <w:t xml:space="preserve"> </w:t>
            </w:r>
            <w:r w:rsidR="0005638B">
              <w:t>Canada: Mapping depth to basement and imaging post-Athabasca</w:t>
            </w:r>
            <w:r w:rsidR="00F654AC">
              <w:t xml:space="preserve"> </w:t>
            </w:r>
            <w:r w:rsidR="0005638B">
              <w:t xml:space="preserve">structure near the ore body: Geophysics, 77, </w:t>
            </w:r>
            <w:r w:rsidR="00F654AC" w:rsidRPr="00F654AC">
              <w:t>p. WC235-WC243</w:t>
            </w:r>
            <w:r w:rsidR="00F654AC">
              <w:t>.</w:t>
            </w:r>
          </w:p>
        </w:tc>
      </w:tr>
      <w:tr w:rsidR="00F654AC" w:rsidTr="000908EA">
        <w:tc>
          <w:tcPr>
            <w:tcW w:w="828" w:type="dxa"/>
          </w:tcPr>
          <w:p w:rsidR="00F654AC" w:rsidRDefault="00F654AC" w:rsidP="000908EA">
            <w:pPr>
              <w:pStyle w:val="IAEAReferenceText"/>
              <w:jc w:val="right"/>
            </w:pPr>
            <w:bookmarkStart w:id="20" w:name="TecDocRef019"/>
            <w:r>
              <w:t>[</w:t>
            </w:r>
            <w:fldSimple w:instr=" SEQ __BibRefs \* MERGEFORMAT ">
              <w:r w:rsidR="00862151">
                <w:t>17</w:t>
              </w:r>
            </w:fldSimple>
            <w:r>
              <w:t>]</w:t>
            </w:r>
            <w:bookmarkEnd w:id="20"/>
          </w:p>
        </w:tc>
        <w:tc>
          <w:tcPr>
            <w:tcW w:w="8370" w:type="dxa"/>
          </w:tcPr>
          <w:p w:rsidR="00F654AC" w:rsidRDefault="00067F91" w:rsidP="00F654AC">
            <w:pPr>
              <w:pStyle w:val="IAEAReferenceText"/>
            </w:pPr>
            <w:r w:rsidRPr="00F654AC">
              <w:t xml:space="preserve">MALLET, J.L., </w:t>
            </w:r>
            <w:r w:rsidR="00F654AC" w:rsidRPr="00F654AC">
              <w:t>1992, A computer aided design program for geological application. In Turner, A.K. (ed.), Three-dimensional modeling with geoscientific information systems. Dordrecht (Netherlands), Kluwer Academic Publishers, NATO ASI 354, p. 123–142.</w:t>
            </w:r>
          </w:p>
        </w:tc>
      </w:tr>
      <w:tr w:rsidR="00F654AC" w:rsidTr="000908EA">
        <w:tc>
          <w:tcPr>
            <w:tcW w:w="828" w:type="dxa"/>
          </w:tcPr>
          <w:p w:rsidR="00F654AC" w:rsidRDefault="00F654AC" w:rsidP="000908EA">
            <w:pPr>
              <w:pStyle w:val="IAEAReferenceText"/>
              <w:jc w:val="right"/>
            </w:pPr>
            <w:bookmarkStart w:id="21" w:name="TecDocRef020"/>
            <w:r>
              <w:t>[</w:t>
            </w:r>
            <w:fldSimple w:instr=" SEQ __BibRefs \* MERGEFORMAT ">
              <w:r w:rsidR="00862151">
                <w:t>18</w:t>
              </w:r>
            </w:fldSimple>
            <w:r>
              <w:t>]</w:t>
            </w:r>
            <w:bookmarkEnd w:id="21"/>
          </w:p>
        </w:tc>
        <w:tc>
          <w:tcPr>
            <w:tcW w:w="8370" w:type="dxa"/>
          </w:tcPr>
          <w:p w:rsidR="00F654AC" w:rsidRPr="00F654AC" w:rsidRDefault="00067F91" w:rsidP="00F654AC">
            <w:pPr>
              <w:pStyle w:val="IAEAReferenceText"/>
            </w:pPr>
            <w:r w:rsidRPr="00F654AC">
              <w:t xml:space="preserve">MERCADIER, J., ANNESLEY, I.R., MCKECHNIE, C.L., BOGDAN, T., </w:t>
            </w:r>
            <w:r>
              <w:t xml:space="preserve">and </w:t>
            </w:r>
            <w:r w:rsidRPr="00F654AC">
              <w:t>CREIGHTON, S.,</w:t>
            </w:r>
            <w:r w:rsidR="00F654AC" w:rsidRPr="00F654AC">
              <w:t xml:space="preserve"> 2013.Magmatic and metamorphic uraninite mineralization in the western mar-gin of the Trans-Hudson Orogen (Saskatchewan, Canada): a metal source for unconformity-related uranium deposits? Economic Geology, v. 108, p. 1037–1065.</w:t>
            </w:r>
          </w:p>
        </w:tc>
      </w:tr>
      <w:tr w:rsidR="00B37864" w:rsidTr="000908EA">
        <w:tc>
          <w:tcPr>
            <w:tcW w:w="828" w:type="dxa"/>
          </w:tcPr>
          <w:p w:rsidR="00B37864" w:rsidRDefault="00B37864" w:rsidP="000908EA">
            <w:pPr>
              <w:pStyle w:val="IAEAReferenceText"/>
              <w:jc w:val="right"/>
            </w:pPr>
            <w:bookmarkStart w:id="22" w:name="TecDocRef021"/>
            <w:r>
              <w:t>[</w:t>
            </w:r>
            <w:fldSimple w:instr=" SEQ __BibRefs \* MERGEFORMAT ">
              <w:r w:rsidR="00862151">
                <w:t>19</w:t>
              </w:r>
            </w:fldSimple>
            <w:r>
              <w:t>]</w:t>
            </w:r>
            <w:bookmarkEnd w:id="22"/>
          </w:p>
        </w:tc>
        <w:tc>
          <w:tcPr>
            <w:tcW w:w="8370" w:type="dxa"/>
          </w:tcPr>
          <w:p w:rsidR="00B37864" w:rsidRPr="00F654AC" w:rsidRDefault="00067F91" w:rsidP="00067F91">
            <w:pPr>
              <w:pStyle w:val="IAEAReferenceText"/>
            </w:pPr>
            <w:r w:rsidRPr="00B37864">
              <w:t xml:space="preserve">CARD, C. D., BOSMAN, S. A., SLIMMON, W. L., DELANEY, G., HEATH, P., GOUTHAS, G., </w:t>
            </w:r>
            <w:r>
              <w:t>and</w:t>
            </w:r>
            <w:r w:rsidRPr="00B37864">
              <w:t xml:space="preserve"> FAIRCLOUGH, M.,</w:t>
            </w:r>
            <w:r w:rsidR="00B37864" w:rsidRPr="00B37864">
              <w:t xml:space="preserve"> 2010. Enhanced geophysical images and multi-scale edge (worm) analysis for the Athabasca region. Saskatchewan Ministry of Energy and Resources, Open File 2010-46.</w:t>
            </w:r>
          </w:p>
        </w:tc>
      </w:tr>
      <w:tr w:rsidR="00B37864" w:rsidTr="000908EA">
        <w:tc>
          <w:tcPr>
            <w:tcW w:w="828" w:type="dxa"/>
          </w:tcPr>
          <w:p w:rsidR="00B37864" w:rsidRDefault="00B37864" w:rsidP="000908EA">
            <w:pPr>
              <w:pStyle w:val="IAEAReferenceText"/>
              <w:jc w:val="right"/>
            </w:pPr>
            <w:bookmarkStart w:id="23" w:name="TecDocRef025"/>
            <w:bookmarkEnd w:id="3"/>
            <w:r>
              <w:t>[</w:t>
            </w:r>
            <w:fldSimple w:instr=" SEQ __BibRefs \* MERGEFORMAT ">
              <w:r w:rsidR="00862151">
                <w:t>20</w:t>
              </w:r>
            </w:fldSimple>
            <w:r>
              <w:t>]</w:t>
            </w:r>
            <w:bookmarkEnd w:id="23"/>
          </w:p>
        </w:tc>
        <w:tc>
          <w:tcPr>
            <w:tcW w:w="8370" w:type="dxa"/>
          </w:tcPr>
          <w:p w:rsidR="00B37864" w:rsidRDefault="00067F91" w:rsidP="00067F91">
            <w:pPr>
              <w:pStyle w:val="IAEAReferenceText"/>
            </w:pPr>
            <w:r w:rsidRPr="00B37864">
              <w:t xml:space="preserve">MERCADIER, J., RICHARD, A., BOIRON, M.C., CATHELINEAU, M., </w:t>
            </w:r>
            <w:r>
              <w:t>and</w:t>
            </w:r>
            <w:r w:rsidRPr="00B37864">
              <w:t xml:space="preserve"> CUNEY, M.,</w:t>
            </w:r>
            <w:r w:rsidR="00B37864" w:rsidRPr="00B37864">
              <w:t xml:space="preserve"> 2010. Brine migration in the basement rocks of the Athabasca Basin through microfracture networks (P-Patch U deposit, Canada). Lithos, v. 115, p. 121–136.</w:t>
            </w:r>
          </w:p>
        </w:tc>
      </w:tr>
      <w:tr w:rsidR="00B37864" w:rsidTr="000908EA">
        <w:tc>
          <w:tcPr>
            <w:tcW w:w="828" w:type="dxa"/>
          </w:tcPr>
          <w:p w:rsidR="00B37864" w:rsidRDefault="00B37864" w:rsidP="000908EA">
            <w:pPr>
              <w:pStyle w:val="IAEAReferenceText"/>
              <w:jc w:val="right"/>
            </w:pPr>
            <w:bookmarkStart w:id="24" w:name="TecDocRef026"/>
            <w:r>
              <w:t>[</w:t>
            </w:r>
            <w:fldSimple w:instr=" SEQ __BibRefs \* MERGEFORMAT ">
              <w:r w:rsidR="00862151">
                <w:t>21</w:t>
              </w:r>
            </w:fldSimple>
            <w:r>
              <w:t>]</w:t>
            </w:r>
            <w:bookmarkEnd w:id="24"/>
          </w:p>
        </w:tc>
        <w:tc>
          <w:tcPr>
            <w:tcW w:w="8370" w:type="dxa"/>
          </w:tcPr>
          <w:p w:rsidR="00B37864" w:rsidRPr="00B37864" w:rsidRDefault="00067F91" w:rsidP="00067F91">
            <w:pPr>
              <w:pStyle w:val="IAEAReferenceText"/>
            </w:pPr>
            <w:r w:rsidRPr="00B37864">
              <w:t xml:space="preserve">CUI, T., YANG, J., </w:t>
            </w:r>
            <w:r>
              <w:t>and</w:t>
            </w:r>
            <w:r w:rsidRPr="00B37864">
              <w:t xml:space="preserve"> SAMSON, I.M.,</w:t>
            </w:r>
            <w:r w:rsidR="00B37864" w:rsidRPr="00B37864">
              <w:t xml:space="preserve"> 2012, Tectonic deformation and fluid flow: Implications for the formation of unconformity-related uranium deposits. Economic Geology, v. 107, p. 147–163.</w:t>
            </w:r>
          </w:p>
        </w:tc>
      </w:tr>
      <w:tr w:rsidR="00B37864" w:rsidTr="000908EA">
        <w:tc>
          <w:tcPr>
            <w:tcW w:w="828" w:type="dxa"/>
          </w:tcPr>
          <w:p w:rsidR="00B37864" w:rsidRDefault="00B37864" w:rsidP="000908EA">
            <w:pPr>
              <w:pStyle w:val="IAEAReferenceText"/>
              <w:jc w:val="right"/>
            </w:pPr>
            <w:bookmarkStart w:id="25" w:name="TecDocRef027"/>
            <w:r>
              <w:t>[</w:t>
            </w:r>
            <w:fldSimple w:instr=" SEQ __BibRefs \* MERGEFORMAT ">
              <w:r w:rsidR="00862151">
                <w:t>22</w:t>
              </w:r>
            </w:fldSimple>
            <w:r>
              <w:t>]</w:t>
            </w:r>
            <w:bookmarkEnd w:id="25"/>
          </w:p>
        </w:tc>
        <w:tc>
          <w:tcPr>
            <w:tcW w:w="8370" w:type="dxa"/>
          </w:tcPr>
          <w:p w:rsidR="00B37864" w:rsidRPr="00B37864" w:rsidRDefault="00067F91" w:rsidP="00862151">
            <w:pPr>
              <w:pStyle w:val="IAEAReferenceText"/>
            </w:pPr>
            <w:r w:rsidRPr="00B37864">
              <w:t xml:space="preserve">CHI, G., BOSMAN, S., </w:t>
            </w:r>
            <w:r w:rsidR="00862151">
              <w:t>and</w:t>
            </w:r>
            <w:r w:rsidRPr="00B37864">
              <w:t xml:space="preserve"> CARD, C.</w:t>
            </w:r>
            <w:r w:rsidR="00B37864" w:rsidRPr="00B37864">
              <w:t>, 2013. Numerical modeling of fluid pressure regime in the Athabasca basin and implications for fluid flow models related to the unconformity-type uranium mineralization. Journal of Geochemical Exploration, v. 125, p. 8-19.</w:t>
            </w:r>
          </w:p>
        </w:tc>
      </w:tr>
      <w:tr w:rsidR="00B37864" w:rsidTr="000908EA">
        <w:tc>
          <w:tcPr>
            <w:tcW w:w="828" w:type="dxa"/>
          </w:tcPr>
          <w:p w:rsidR="00B37864" w:rsidRDefault="00B37864" w:rsidP="000908EA">
            <w:pPr>
              <w:pStyle w:val="IAEAReferenceText"/>
              <w:jc w:val="right"/>
            </w:pPr>
            <w:bookmarkStart w:id="26" w:name="TecDocRef028"/>
            <w:r>
              <w:t>[</w:t>
            </w:r>
            <w:fldSimple w:instr=" SEQ __BibRefs \* MERGEFORMAT ">
              <w:r w:rsidR="00862151">
                <w:t>23</w:t>
              </w:r>
            </w:fldSimple>
            <w:r>
              <w:t>]</w:t>
            </w:r>
            <w:bookmarkEnd w:id="26"/>
          </w:p>
        </w:tc>
        <w:tc>
          <w:tcPr>
            <w:tcW w:w="8370" w:type="dxa"/>
          </w:tcPr>
          <w:p w:rsidR="00B37864" w:rsidRPr="00B37864" w:rsidRDefault="00067F91" w:rsidP="00067F91">
            <w:pPr>
              <w:pStyle w:val="IAEAReferenceText"/>
            </w:pPr>
            <w:r w:rsidRPr="00B37864">
              <w:t xml:space="preserve">LI, Z., BETHUNE, K.M., CHI, G., BOSMAN, S.A., </w:t>
            </w:r>
            <w:r>
              <w:t>and</w:t>
            </w:r>
            <w:r w:rsidRPr="00B37864">
              <w:t xml:space="preserve"> CARD, C.D., </w:t>
            </w:r>
            <w:r w:rsidR="00B37864" w:rsidRPr="00B37864">
              <w:t>2013. Preliminary 3D Modelling and Structural Interpretation of Southeastern Athabasca Basin. Geological Survey of Canada, Open File 7426, 21 p. doi:10.4095/292715.</w:t>
            </w:r>
          </w:p>
        </w:tc>
      </w:tr>
    </w:tbl>
    <w:p w:rsidR="00B37864" w:rsidRDefault="00B37864" w:rsidP="00974779">
      <w:pPr>
        <w:pStyle w:val="BodyText"/>
      </w:pPr>
    </w:p>
    <w:sectPr w:rsidR="00B37864" w:rsidSect="00A63425">
      <w:headerReference w:type="even" r:id="rId18"/>
      <w:headerReference w:type="default" r:id="rId19"/>
      <w:footerReference w:type="even" r:id="rId20"/>
      <w:footerReference w:type="default" r:id="rId21"/>
      <w:headerReference w:type="first" r:id="rId22"/>
      <w:footerReference w:type="first" r:id="rId23"/>
      <w:endnotePr>
        <w:numFmt w:val="decimal"/>
      </w:endnotePr>
      <w:type w:val="continuous"/>
      <w:pgSz w:w="11907" w:h="16840" w:code="9"/>
      <w:pgMar w:top="1134" w:right="1418" w:bottom="1531" w:left="1418" w:header="709" w:footer="709"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489" w:rsidRDefault="00A76489">
      <w:r>
        <w:separator/>
      </w:r>
    </w:p>
  </w:endnote>
  <w:endnote w:type="continuationSeparator" w:id="0">
    <w:p w:rsidR="00A76489" w:rsidRDefault="00A76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inLibertin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 w:fontKey="{D434D1D1-3D1F-4157-84E4-4EEB45B5F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Footer"/>
      <w:tabs>
        <w:tab w:val="clear" w:pos="4153"/>
        <w:tab w:val="center" w:pos="-4820"/>
      </w:tabs>
    </w:pPr>
    <w:r>
      <w:fldChar w:fldCharType="begin"/>
    </w:r>
    <w:r>
      <w:instrText xml:space="preserve">page </w:instrText>
    </w:r>
    <w:r>
      <w:fldChar w:fldCharType="separate"/>
    </w:r>
    <w:r w:rsidR="00274E8F">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Footer"/>
      <w:tabs>
        <w:tab w:val="clear" w:pos="4153"/>
        <w:tab w:val="center" w:pos="-4820"/>
      </w:tabs>
      <w:jc w:val="right"/>
    </w:pPr>
    <w:r>
      <w:tab/>
    </w:r>
    <w:r>
      <w:tab/>
    </w:r>
    <w:r>
      <w:fldChar w:fldCharType="begin"/>
    </w:r>
    <w:r>
      <w:instrText xml:space="preserve">page </w:instrText>
    </w:r>
    <w:r>
      <w:fldChar w:fldCharType="separate"/>
    </w:r>
    <w:r w:rsidR="00274E8F">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Footer"/>
      <w:rPr>
        <w:bCs/>
        <w:iCs/>
      </w:rPr>
    </w:pPr>
    <w:r>
      <w:rPr>
        <w:b/>
        <w:i/>
      </w:rPr>
      <w:fldChar w:fldCharType="begin"/>
    </w:r>
    <w:r>
      <w:rPr>
        <w:b/>
        <w:i/>
      </w:rPr>
      <w:instrText xml:space="preserve"> IF </w:instrText>
    </w:r>
    <w:r>
      <w:rPr>
        <w:b/>
        <w:i/>
      </w:rPr>
      <w:fldChar w:fldCharType="begin"/>
    </w:r>
    <w:r>
      <w:rPr>
        <w:b/>
        <w:i/>
      </w:rPr>
      <w:instrText xml:space="preserve"> DOCPROPERTY "IAEACopyrightGranted" </w:instrText>
    </w:r>
    <w:r>
      <w:rPr>
        <w:b/>
        <w:i/>
      </w:rPr>
      <w:fldChar w:fldCharType="separate"/>
    </w:r>
    <w:r>
      <w:rPr>
        <w:b/>
        <w:i/>
      </w:rPr>
      <w:instrText>Y</w:instrText>
    </w:r>
    <w:r>
      <w:rPr>
        <w:b/>
        <w:i/>
      </w:rPr>
      <w:fldChar w:fldCharType="end"/>
    </w:r>
    <w:r>
      <w:rPr>
        <w:b/>
        <w:i/>
      </w:rPr>
      <w:instrText xml:space="preserve"> = Y "© International Atomic Energy Agency" "" </w:instrText>
    </w:r>
    <w:r>
      <w:rPr>
        <w:b/>
        <w:i/>
      </w:rPr>
      <w:fldChar w:fldCharType="separate"/>
    </w:r>
    <w:r w:rsidR="00274E8F">
      <w:rPr>
        <w:b/>
        <w:i/>
      </w:rPr>
      <w:t>© International Atomic Energy Agency</w:t>
    </w:r>
    <w:r>
      <w:rPr>
        <w:b/>
        <w:i/>
      </w:rPr>
      <w:fldChar w:fldCharType="end"/>
    </w:r>
    <w:r>
      <w:rPr>
        <w:b/>
        <w:i/>
      </w:rPr>
      <w:tab/>
    </w:r>
    <w:r>
      <w:rPr>
        <w:b/>
        <w:i/>
      </w:rPr>
      <w:tab/>
    </w:r>
    <w:r>
      <w:fldChar w:fldCharType="begin"/>
    </w:r>
    <w:r>
      <w:instrText xml:space="preserve">page </w:instrText>
    </w:r>
    <w:r>
      <w:fldChar w:fldCharType="separate"/>
    </w:r>
    <w:r w:rsidR="00274E8F">
      <w:t>1</w:t>
    </w:r>
    <w:r>
      <w:fldChar w:fldCharType="end"/>
    </w:r>
    <w:r>
      <w:rPr>
        <w:b/>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489" w:rsidRDefault="00A76489">
      <w:r>
        <w:separator/>
      </w:r>
    </w:p>
  </w:footnote>
  <w:footnote w:type="continuationSeparator" w:id="0">
    <w:p w:rsidR="00A76489" w:rsidRDefault="00A76489">
      <w:r>
        <w:continuationSeparator/>
      </w:r>
    </w:p>
  </w:footnote>
  <w:footnote w:id="1">
    <w:p w:rsidR="000908EA" w:rsidRPr="00016A65" w:rsidRDefault="000908EA">
      <w:pPr>
        <w:pStyle w:val="FootnoteText"/>
        <w:rPr>
          <w:lang w:val="en-US"/>
        </w:rPr>
      </w:pPr>
      <w:r>
        <w:rPr>
          <w:rStyle w:val="FootnoteReference"/>
        </w:rPr>
        <w:t>*</w:t>
      </w:r>
      <w:r>
        <w:t xml:space="preserve"> </w:t>
      </w:r>
      <w:r>
        <w:rPr>
          <w:lang w:val="en-US"/>
        </w:rPr>
        <w:t>The same title as used for initial submission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Header"/>
    </w:pPr>
    <w:fldSimple w:instr=" DOCPROPERTY &quot;IAEARunningHeader&quot; \* MERGEFORMAT ">
      <w:r>
        <w:t>I.R. Annesley et al.</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Header"/>
    </w:pPr>
    <w:fldSimple w:instr=" DOCPROPERTY &quot;IAEARunningHeader&quot; \* MERGEFORMAT ">
      <w:r>
        <w:t>I.R. Annesley et al.</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EA" w:rsidRDefault="000908EA">
    <w:pPr>
      <w:pStyle w:val="Header"/>
      <w:jc w:val="left"/>
    </w:pPr>
    <w:fldSimple w:instr=" DOCPROPERTY &quot;IAEAPaperType&quot; \* MERGEFORMAT ">
      <w:r>
        <w:t>Invited Paper</w:t>
      </w:r>
    </w:fldSimple>
    <w:r>
      <w:tab/>
    </w:r>
    <w:r>
      <w:tab/>
    </w:r>
    <w:r>
      <w:fldChar w:fldCharType="begin"/>
    </w:r>
    <w:r>
      <w:instrText xml:space="preserve"> DOCPROPERTY "IAEAPaperNumber"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414A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D1EA49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32772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35C1140"/>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B8D1A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460B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C82424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E6C5A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E0A0DC4"/>
    <w:lvl w:ilvl="0">
      <w:start w:val="1"/>
      <w:numFmt w:val="decimal"/>
      <w:pStyle w:val="ListNumber"/>
      <w:lvlText w:val="%1."/>
      <w:lvlJc w:val="left"/>
      <w:pPr>
        <w:tabs>
          <w:tab w:val="num" w:pos="360"/>
        </w:tabs>
        <w:ind w:left="360" w:hanging="360"/>
      </w:pPr>
    </w:lvl>
  </w:abstractNum>
  <w:abstractNum w:abstractNumId="9">
    <w:nsid w:val="FFFFFF89"/>
    <w:multiLevelType w:val="singleLevel"/>
    <w:tmpl w:val="D4BA5F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3A6A5AE2"/>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720"/>
        </w:tabs>
        <w:ind w:left="0" w:firstLine="0"/>
      </w:pPr>
    </w:lvl>
    <w:lvl w:ilvl="4">
      <w:start w:val="1"/>
      <w:numFmt w:val="decimal"/>
      <w:pStyle w:val="Heading5"/>
      <w:lvlText w:val="%1.%2.%3.%4.%5."/>
      <w:lvlJc w:val="left"/>
      <w:pPr>
        <w:tabs>
          <w:tab w:val="num" w:pos="108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1">
    <w:nsid w:val="19FF0669"/>
    <w:multiLevelType w:val="hybridMultilevel"/>
    <w:tmpl w:val="17B624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1361ED5"/>
    <w:multiLevelType w:val="hybridMultilevel"/>
    <w:tmpl w:val="6480E370"/>
    <w:lvl w:ilvl="0" w:tplc="9212516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36660CA"/>
    <w:multiLevelType w:val="multilevel"/>
    <w:tmpl w:val="10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44EF4200"/>
    <w:multiLevelType w:val="multilevel"/>
    <w:tmpl w:val="10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6157D7C"/>
    <w:multiLevelType w:val="multilevel"/>
    <w:tmpl w:val="10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12"/>
  </w:num>
  <w:num w:numId="4">
    <w:abstractNumId w:val="15"/>
  </w:num>
  <w:num w:numId="5">
    <w:abstractNumId w:val="14"/>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RefCount" w:val="28"/>
    <w:docVar w:name="Reference" w:val="1"/>
  </w:docVars>
  <w:rsids>
    <w:rsidRoot w:val="00016A65"/>
    <w:rsid w:val="00012419"/>
    <w:rsid w:val="000139F8"/>
    <w:rsid w:val="00016A65"/>
    <w:rsid w:val="0005638B"/>
    <w:rsid w:val="00067F91"/>
    <w:rsid w:val="000908EA"/>
    <w:rsid w:val="000908ED"/>
    <w:rsid w:val="000A2971"/>
    <w:rsid w:val="000F4941"/>
    <w:rsid w:val="00145096"/>
    <w:rsid w:val="001570D7"/>
    <w:rsid w:val="00182C92"/>
    <w:rsid w:val="00185AAD"/>
    <w:rsid w:val="00195E10"/>
    <w:rsid w:val="001A60CC"/>
    <w:rsid w:val="001C1A72"/>
    <w:rsid w:val="001E3C1F"/>
    <w:rsid w:val="00212EE5"/>
    <w:rsid w:val="00213A97"/>
    <w:rsid w:val="00266B1D"/>
    <w:rsid w:val="00266CBD"/>
    <w:rsid w:val="00274E8F"/>
    <w:rsid w:val="002E58D2"/>
    <w:rsid w:val="00331C96"/>
    <w:rsid w:val="00355AE1"/>
    <w:rsid w:val="00357139"/>
    <w:rsid w:val="00374FDF"/>
    <w:rsid w:val="003B05B1"/>
    <w:rsid w:val="003D6003"/>
    <w:rsid w:val="003D77BA"/>
    <w:rsid w:val="003F6C73"/>
    <w:rsid w:val="004132E4"/>
    <w:rsid w:val="00413C61"/>
    <w:rsid w:val="004245AE"/>
    <w:rsid w:val="004600EC"/>
    <w:rsid w:val="00487DBA"/>
    <w:rsid w:val="004D0A76"/>
    <w:rsid w:val="004F6B9C"/>
    <w:rsid w:val="0051052F"/>
    <w:rsid w:val="00511816"/>
    <w:rsid w:val="00516DFC"/>
    <w:rsid w:val="00526720"/>
    <w:rsid w:val="005604F4"/>
    <w:rsid w:val="00582989"/>
    <w:rsid w:val="00583216"/>
    <w:rsid w:val="005A104C"/>
    <w:rsid w:val="005B5DFC"/>
    <w:rsid w:val="005C32BA"/>
    <w:rsid w:val="005C59B0"/>
    <w:rsid w:val="005C5CCD"/>
    <w:rsid w:val="005D1B25"/>
    <w:rsid w:val="00603967"/>
    <w:rsid w:val="006877FE"/>
    <w:rsid w:val="00694B2D"/>
    <w:rsid w:val="006C709D"/>
    <w:rsid w:val="007452DE"/>
    <w:rsid w:val="00757129"/>
    <w:rsid w:val="007B7E25"/>
    <w:rsid w:val="00806266"/>
    <w:rsid w:val="008451CA"/>
    <w:rsid w:val="00860DE3"/>
    <w:rsid w:val="008615EF"/>
    <w:rsid w:val="00862151"/>
    <w:rsid w:val="00866BAB"/>
    <w:rsid w:val="00891DED"/>
    <w:rsid w:val="00903FBB"/>
    <w:rsid w:val="00942C04"/>
    <w:rsid w:val="00974779"/>
    <w:rsid w:val="00984D60"/>
    <w:rsid w:val="009954D2"/>
    <w:rsid w:val="00A63425"/>
    <w:rsid w:val="00A67AF9"/>
    <w:rsid w:val="00A704DA"/>
    <w:rsid w:val="00A76489"/>
    <w:rsid w:val="00A95B88"/>
    <w:rsid w:val="00A979C0"/>
    <w:rsid w:val="00AD5DAA"/>
    <w:rsid w:val="00AF2271"/>
    <w:rsid w:val="00B11578"/>
    <w:rsid w:val="00B15FE0"/>
    <w:rsid w:val="00B37864"/>
    <w:rsid w:val="00B5065D"/>
    <w:rsid w:val="00B567E4"/>
    <w:rsid w:val="00B94E3A"/>
    <w:rsid w:val="00BC23E8"/>
    <w:rsid w:val="00BF6117"/>
    <w:rsid w:val="00C430AB"/>
    <w:rsid w:val="00C47388"/>
    <w:rsid w:val="00C63439"/>
    <w:rsid w:val="00C666BC"/>
    <w:rsid w:val="00C72CD4"/>
    <w:rsid w:val="00C917AA"/>
    <w:rsid w:val="00CA0BDD"/>
    <w:rsid w:val="00CA62A7"/>
    <w:rsid w:val="00CA67D4"/>
    <w:rsid w:val="00CE21F8"/>
    <w:rsid w:val="00D227C6"/>
    <w:rsid w:val="00D907CB"/>
    <w:rsid w:val="00DA1D6D"/>
    <w:rsid w:val="00DC7A1E"/>
    <w:rsid w:val="00DF2490"/>
    <w:rsid w:val="00E04D69"/>
    <w:rsid w:val="00E21666"/>
    <w:rsid w:val="00E33CC6"/>
    <w:rsid w:val="00E4249E"/>
    <w:rsid w:val="00E833B2"/>
    <w:rsid w:val="00EA656C"/>
    <w:rsid w:val="00EF1FD5"/>
    <w:rsid w:val="00F31E9E"/>
    <w:rsid w:val="00F35152"/>
    <w:rsid w:val="00F654AC"/>
    <w:rsid w:val="00F71011"/>
    <w:rsid w:val="00F721C8"/>
    <w:rsid w:val="00FA44A6"/>
    <w:rsid w:val="00FA7FF5"/>
    <w:rsid w:val="00FD15FD"/>
    <w:rsid w:val="00FD3102"/>
    <w:rsid w:val="00FF7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pPr>
      <w:overflowPunct w:val="0"/>
      <w:autoSpaceDE w:val="0"/>
      <w:autoSpaceDN w:val="0"/>
      <w:adjustRightInd w:val="0"/>
      <w:spacing w:after="240"/>
      <w:jc w:val="both"/>
      <w:textAlignment w:val="baseline"/>
    </w:pPr>
    <w:rPr>
      <w:noProof/>
      <w:sz w:val="22"/>
      <w:lang w:eastAsia="en-US"/>
    </w:rPr>
  </w:style>
  <w:style w:type="paragraph" w:styleId="Heading1">
    <w:name w:val="heading 1"/>
    <w:next w:val="BodyText"/>
    <w:qFormat/>
    <w:pPr>
      <w:keepNext/>
      <w:numPr>
        <w:numId w:val="1"/>
      </w:numPr>
      <w:tabs>
        <w:tab w:val="clear" w:pos="360"/>
        <w:tab w:val="num" w:pos="426"/>
      </w:tabs>
      <w:overflowPunct w:val="0"/>
      <w:autoSpaceDE w:val="0"/>
      <w:autoSpaceDN w:val="0"/>
      <w:adjustRightInd w:val="0"/>
      <w:spacing w:after="240"/>
      <w:ind w:left="426" w:hanging="426"/>
      <w:jc w:val="both"/>
      <w:textAlignment w:val="baseline"/>
      <w:outlineLvl w:val="0"/>
    </w:pPr>
    <w:rPr>
      <w:b/>
      <w:noProof/>
      <w:kern w:val="28"/>
      <w:sz w:val="24"/>
      <w:lang w:val="en-US" w:eastAsia="en-US"/>
    </w:rPr>
  </w:style>
  <w:style w:type="paragraph" w:styleId="Heading2">
    <w:name w:val="heading 2"/>
    <w:next w:val="BodyText"/>
    <w:qFormat/>
    <w:pPr>
      <w:keepNext/>
      <w:numPr>
        <w:ilvl w:val="1"/>
        <w:numId w:val="1"/>
      </w:numPr>
      <w:tabs>
        <w:tab w:val="clear" w:pos="360"/>
        <w:tab w:val="num" w:pos="567"/>
      </w:tabs>
      <w:overflowPunct w:val="0"/>
      <w:autoSpaceDE w:val="0"/>
      <w:autoSpaceDN w:val="0"/>
      <w:adjustRightInd w:val="0"/>
      <w:spacing w:after="240"/>
      <w:ind w:left="567" w:hanging="567"/>
      <w:jc w:val="both"/>
      <w:textAlignment w:val="baseline"/>
      <w:outlineLvl w:val="1"/>
    </w:pPr>
    <w:rPr>
      <w:b/>
      <w:i/>
      <w:noProof/>
      <w:sz w:val="24"/>
      <w:lang w:val="en-US" w:eastAsia="en-US"/>
    </w:rPr>
  </w:style>
  <w:style w:type="paragraph" w:styleId="Heading3">
    <w:name w:val="heading 3"/>
    <w:next w:val="BodyText"/>
    <w:qFormat/>
    <w:pPr>
      <w:keepNext/>
      <w:numPr>
        <w:ilvl w:val="2"/>
        <w:numId w:val="1"/>
      </w:numPr>
      <w:tabs>
        <w:tab w:val="clear" w:pos="720"/>
        <w:tab w:val="num" w:pos="709"/>
      </w:tabs>
      <w:overflowPunct w:val="0"/>
      <w:autoSpaceDE w:val="0"/>
      <w:autoSpaceDN w:val="0"/>
      <w:adjustRightInd w:val="0"/>
      <w:spacing w:after="240"/>
      <w:ind w:left="709" w:hanging="709"/>
      <w:jc w:val="both"/>
      <w:textAlignment w:val="baseline"/>
      <w:outlineLvl w:val="2"/>
    </w:pPr>
    <w:rPr>
      <w:i/>
      <w:noProof/>
      <w:sz w:val="24"/>
      <w:lang w:val="en-US" w:eastAsia="en-US"/>
    </w:rPr>
  </w:style>
  <w:style w:type="paragraph" w:styleId="Heading4">
    <w:name w:val="heading 4"/>
    <w:next w:val="BodyText"/>
    <w:qFormat/>
    <w:pPr>
      <w:keepNext/>
      <w:numPr>
        <w:ilvl w:val="3"/>
        <w:numId w:val="1"/>
      </w:numPr>
      <w:tabs>
        <w:tab w:val="clear" w:pos="720"/>
        <w:tab w:val="num" w:pos="851"/>
        <w:tab w:val="left" w:pos="907"/>
      </w:tabs>
      <w:overflowPunct w:val="0"/>
      <w:autoSpaceDE w:val="0"/>
      <w:autoSpaceDN w:val="0"/>
      <w:adjustRightInd w:val="0"/>
      <w:spacing w:after="240"/>
      <w:ind w:left="851" w:hanging="851"/>
      <w:jc w:val="both"/>
      <w:textAlignment w:val="baseline"/>
      <w:outlineLvl w:val="3"/>
    </w:pPr>
    <w:rPr>
      <w:noProof/>
      <w:sz w:val="24"/>
      <w:lang w:val="en-US" w:eastAsia="en-US"/>
    </w:rPr>
  </w:style>
  <w:style w:type="paragraph" w:styleId="Heading5">
    <w:name w:val="heading 5"/>
    <w:next w:val="BodyText"/>
    <w:pPr>
      <w:numPr>
        <w:ilvl w:val="4"/>
        <w:numId w:val="1"/>
      </w:numPr>
      <w:overflowPunct w:val="0"/>
      <w:autoSpaceDE w:val="0"/>
      <w:autoSpaceDN w:val="0"/>
      <w:adjustRightInd w:val="0"/>
      <w:spacing w:after="240"/>
      <w:textAlignment w:val="baseline"/>
      <w:outlineLvl w:val="4"/>
    </w:pPr>
    <w:rPr>
      <w:b/>
      <w:i/>
      <w:noProof/>
      <w:sz w:val="24"/>
      <w:lang w:val="en-US" w:eastAsia="en-US"/>
    </w:rPr>
  </w:style>
  <w:style w:type="paragraph" w:styleId="Heading6">
    <w:name w:val="heading 6"/>
    <w:basedOn w:val="Heading5"/>
    <w:next w:val="BodyText"/>
    <w:pPr>
      <w:numPr>
        <w:ilvl w:val="5"/>
      </w:numPr>
      <w:outlineLvl w:val="5"/>
    </w:pPr>
  </w:style>
  <w:style w:type="paragraph" w:styleId="Heading7">
    <w:name w:val="heading 7"/>
    <w:basedOn w:val="Heading5"/>
    <w:next w:val="BodyText"/>
    <w:pPr>
      <w:numPr>
        <w:ilvl w:val="6"/>
      </w:numPr>
      <w:outlineLvl w:val="6"/>
    </w:pPr>
  </w:style>
  <w:style w:type="paragraph" w:styleId="Heading8">
    <w:name w:val="heading 8"/>
    <w:basedOn w:val="Heading5"/>
    <w:next w:val="BodyText"/>
    <w:pPr>
      <w:numPr>
        <w:ilvl w:val="7"/>
      </w:numPr>
      <w:outlineLvl w:val="7"/>
    </w:pPr>
  </w:style>
  <w:style w:type="paragraph" w:styleId="Heading9">
    <w:name w:val="heading 9"/>
    <w:basedOn w:val="Heading5"/>
    <w:next w:val="BodyTex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Header">
    <w:name w:val="header"/>
    <w:pPr>
      <w:tabs>
        <w:tab w:val="center" w:pos="4153"/>
        <w:tab w:val="right" w:pos="9072"/>
      </w:tabs>
      <w:overflowPunct w:val="0"/>
      <w:autoSpaceDE w:val="0"/>
      <w:autoSpaceDN w:val="0"/>
      <w:adjustRightInd w:val="0"/>
      <w:jc w:val="center"/>
      <w:textAlignment w:val="baseline"/>
    </w:pPr>
    <w:rPr>
      <w:b/>
      <w:noProof/>
      <w:sz w:val="22"/>
      <w:lang w:val="en-US" w:eastAsia="en-US"/>
    </w:rPr>
  </w:style>
  <w:style w:type="paragraph" w:styleId="Footer">
    <w:name w:val="footer"/>
    <w:pPr>
      <w:tabs>
        <w:tab w:val="center" w:pos="4153"/>
        <w:tab w:val="right" w:pos="9072"/>
      </w:tabs>
      <w:overflowPunct w:val="0"/>
      <w:autoSpaceDE w:val="0"/>
      <w:autoSpaceDN w:val="0"/>
      <w:adjustRightInd w:val="0"/>
      <w:textAlignment w:val="baseline"/>
    </w:pPr>
    <w:rPr>
      <w:noProof/>
      <w:sz w:val="22"/>
      <w:lang w:val="en-US" w:eastAsia="en-US"/>
    </w:rPr>
  </w:style>
  <w:style w:type="paragraph" w:customStyle="1" w:styleId="BodyTextAbstract">
    <w:name w:val="Body Text Abstract"/>
    <w:basedOn w:val="BodyText"/>
    <w:rPr>
      <w:sz w:val="20"/>
    </w:rPr>
  </w:style>
  <w:style w:type="paragraph" w:customStyle="1" w:styleId="Heading1Type">
    <w:name w:val="Heading 1 Type"/>
    <w:basedOn w:val="Normal"/>
    <w:next w:val="BodyText"/>
    <w:pPr>
      <w:keepNext/>
      <w:keepLines/>
      <w:jc w:val="center"/>
    </w:pPr>
    <w:rPr>
      <w:b/>
      <w:caps/>
    </w:rPr>
  </w:style>
  <w:style w:type="paragraph" w:customStyle="1" w:styleId="IAEATableFootnote">
    <w:name w:val="IAEA Table Footnote"/>
    <w:basedOn w:val="Normal"/>
    <w:pPr>
      <w:keepNext/>
      <w:keepLines/>
      <w:overflowPunct/>
      <w:autoSpaceDE/>
      <w:autoSpaceDN/>
      <w:adjustRightInd/>
      <w:spacing w:before="60" w:after="0"/>
      <w:jc w:val="left"/>
      <w:textAlignment w:val="auto"/>
    </w:pPr>
    <w:rPr>
      <w:noProof w:val="0"/>
    </w:rPr>
  </w:style>
  <w:style w:type="paragraph" w:customStyle="1" w:styleId="IAEAFigureCaption">
    <w:name w:val="IAEA Figure Caption"/>
    <w:basedOn w:val="Normal"/>
    <w:pPr>
      <w:overflowPunct/>
      <w:autoSpaceDE/>
      <w:autoSpaceDN/>
      <w:adjustRightInd/>
      <w:jc w:val="center"/>
      <w:textAlignment w:val="auto"/>
    </w:pPr>
    <w:rPr>
      <w:i/>
      <w:noProof w:val="0"/>
    </w:rPr>
  </w:style>
  <w:style w:type="paragraph" w:customStyle="1" w:styleId="IAEATableCaption">
    <w:name w:val="IAEA Table Caption"/>
    <w:basedOn w:val="IAEAFigureCaption"/>
    <w:pPr>
      <w:keepNext/>
      <w:keepLines/>
      <w:spacing w:after="120"/>
      <w:jc w:val="both"/>
    </w:pPr>
    <w:rPr>
      <w:i w:val="0"/>
    </w:rPr>
  </w:style>
  <w:style w:type="paragraph" w:customStyle="1" w:styleId="IAEAReferenceText">
    <w:name w:val="IAEA Reference Text"/>
    <w:basedOn w:val="BodyText"/>
    <w:pPr>
      <w:spacing w:after="0"/>
    </w:pPr>
  </w:style>
  <w:style w:type="paragraph" w:styleId="Subtitle">
    <w:name w:val="Subtitle"/>
    <w:basedOn w:val="Normal"/>
    <w:pPr>
      <w:spacing w:after="480"/>
      <w:ind w:left="567"/>
      <w:jc w:val="left"/>
    </w:pPr>
    <w:rPr>
      <w:b/>
      <w:i/>
      <w:sz w:val="28"/>
      <w:szCs w:val="24"/>
    </w:rPr>
  </w:style>
  <w:style w:type="paragraph" w:styleId="Title">
    <w:name w:val="Title"/>
    <w:basedOn w:val="Normal"/>
    <w:pPr>
      <w:keepNext/>
      <w:spacing w:before="640" w:after="0"/>
      <w:ind w:left="567"/>
      <w:jc w:val="left"/>
      <w:outlineLvl w:val="0"/>
    </w:pPr>
    <w:rPr>
      <w:b/>
      <w:bCs/>
      <w:kern w:val="28"/>
      <w:sz w:val="28"/>
      <w:szCs w:val="32"/>
    </w:rPr>
  </w:style>
  <w:style w:type="paragraph" w:customStyle="1" w:styleId="IAEAAuthors">
    <w:name w:val="IAEA Authors"/>
    <w:basedOn w:val="BodyText"/>
    <w:next w:val="BodyText"/>
    <w:rPr>
      <w:b/>
      <w:sz w:val="24"/>
    </w:rPr>
  </w:style>
  <w:style w:type="paragraph" w:customStyle="1" w:styleId="IAEAInstitutes">
    <w:name w:val="IAEA Institutes"/>
    <w:basedOn w:val="BodyText"/>
    <w:next w:val="BodyText"/>
    <w:pPr>
      <w:jc w:val="left"/>
    </w:pPr>
    <w:rPr>
      <w:sz w:val="24"/>
    </w:rPr>
  </w:style>
  <w:style w:type="paragraph" w:customStyle="1" w:styleId="BodyTextList">
    <w:name w:val="Body Text List"/>
    <w:basedOn w:val="BodyText"/>
    <w:pPr>
      <w:spacing w:after="0"/>
    </w:pPr>
  </w:style>
  <w:style w:type="paragraph" w:customStyle="1" w:styleId="IAEATableHeading">
    <w:name w:val="IAEA Table Heading"/>
    <w:basedOn w:val="IAEAFigureCaption"/>
    <w:pPr>
      <w:keepNext/>
      <w:keepLines/>
      <w:spacing w:after="120"/>
      <w:jc w:val="both"/>
    </w:pPr>
    <w:rPr>
      <w:i w:val="0"/>
    </w:rPr>
  </w:style>
  <w:style w:type="character" w:styleId="PageNumber">
    <w:name w:val="page number"/>
    <w:basedOn w:val="DefaultParagraphFont"/>
  </w:style>
  <w:style w:type="paragraph" w:styleId="FootnoteText">
    <w:name w:val="footnote text"/>
    <w:basedOn w:val="Normal"/>
    <w:semiHidden/>
    <w:pPr>
      <w:spacing w:after="0"/>
    </w:pPr>
    <w:rPr>
      <w:sz w:val="20"/>
    </w:rPr>
  </w:style>
  <w:style w:type="character" w:styleId="FootnoteReference">
    <w:name w:val="footnote reference"/>
    <w:basedOn w:val="DefaultParagraphFont"/>
    <w:semiHidden/>
    <w:rPr>
      <w:vertAlign w:val="superscript"/>
    </w:rPr>
  </w:style>
  <w:style w:type="paragraph" w:styleId="Caption">
    <w:name w:val="caption"/>
    <w:basedOn w:val="Normal"/>
    <w:next w:val="Normal"/>
    <w:pPr>
      <w:spacing w:before="120" w:after="120"/>
    </w:pPr>
    <w:rPr>
      <w:b/>
      <w:bCs/>
      <w:sz w:val="20"/>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BalloonText">
    <w:name w:val="Balloon Text"/>
    <w:basedOn w:val="Normal"/>
    <w:link w:val="BalloonTextChar"/>
    <w:rsid w:val="00866BAB"/>
    <w:pPr>
      <w:spacing w:after="0"/>
    </w:pPr>
    <w:rPr>
      <w:rFonts w:ascii="Tahoma" w:hAnsi="Tahoma" w:cs="Tahoma"/>
      <w:sz w:val="16"/>
      <w:szCs w:val="16"/>
    </w:rPr>
  </w:style>
  <w:style w:type="character" w:customStyle="1" w:styleId="BalloonTextChar">
    <w:name w:val="Balloon Text Char"/>
    <w:basedOn w:val="DefaultParagraphFont"/>
    <w:link w:val="BalloonText"/>
    <w:rsid w:val="00866BAB"/>
    <w:rPr>
      <w:rFonts w:ascii="Tahoma" w:hAnsi="Tahoma" w:cs="Tahoma"/>
      <w:noProof/>
      <w:sz w:val="16"/>
      <w:szCs w:val="16"/>
      <w:lang w:eastAsia="en-US"/>
    </w:rPr>
  </w:style>
  <w:style w:type="numbering" w:styleId="111111">
    <w:name w:val="Outline List 2"/>
    <w:basedOn w:val="NoList"/>
    <w:rsid w:val="00CA67D4"/>
    <w:pPr>
      <w:numPr>
        <w:numId w:val="4"/>
      </w:numPr>
    </w:pPr>
  </w:style>
  <w:style w:type="numbering" w:styleId="1ai">
    <w:name w:val="Outline List 1"/>
    <w:basedOn w:val="NoList"/>
    <w:rsid w:val="00CA67D4"/>
    <w:pPr>
      <w:numPr>
        <w:numId w:val="5"/>
      </w:numPr>
    </w:pPr>
  </w:style>
  <w:style w:type="numbering" w:styleId="ArticleSection">
    <w:name w:val="Outline List 3"/>
    <w:basedOn w:val="NoList"/>
    <w:rsid w:val="00CA67D4"/>
    <w:pPr>
      <w:numPr>
        <w:numId w:val="6"/>
      </w:numPr>
    </w:pPr>
  </w:style>
  <w:style w:type="paragraph" w:styleId="Bibliography">
    <w:name w:val="Bibliography"/>
    <w:basedOn w:val="Normal"/>
    <w:next w:val="Normal"/>
    <w:uiPriority w:val="37"/>
    <w:semiHidden/>
    <w:unhideWhenUsed/>
    <w:rsid w:val="00CA67D4"/>
  </w:style>
  <w:style w:type="paragraph" w:styleId="BlockText">
    <w:name w:val="Block Text"/>
    <w:basedOn w:val="Normal"/>
    <w:rsid w:val="00CA67D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CA67D4"/>
    <w:pPr>
      <w:spacing w:after="120" w:line="480" w:lineRule="auto"/>
    </w:pPr>
  </w:style>
  <w:style w:type="character" w:customStyle="1" w:styleId="BodyText2Char">
    <w:name w:val="Body Text 2 Char"/>
    <w:basedOn w:val="DefaultParagraphFont"/>
    <w:link w:val="BodyText2"/>
    <w:rsid w:val="00CA67D4"/>
    <w:rPr>
      <w:noProof/>
      <w:sz w:val="22"/>
      <w:lang w:eastAsia="en-US"/>
    </w:rPr>
  </w:style>
  <w:style w:type="paragraph" w:styleId="BodyText3">
    <w:name w:val="Body Text 3"/>
    <w:basedOn w:val="Normal"/>
    <w:link w:val="BodyText3Char"/>
    <w:rsid w:val="00CA67D4"/>
    <w:pPr>
      <w:spacing w:after="120"/>
    </w:pPr>
    <w:rPr>
      <w:sz w:val="16"/>
      <w:szCs w:val="16"/>
    </w:rPr>
  </w:style>
  <w:style w:type="character" w:customStyle="1" w:styleId="BodyText3Char">
    <w:name w:val="Body Text 3 Char"/>
    <w:basedOn w:val="DefaultParagraphFont"/>
    <w:link w:val="BodyText3"/>
    <w:rsid w:val="00CA67D4"/>
    <w:rPr>
      <w:noProof/>
      <w:sz w:val="16"/>
      <w:szCs w:val="16"/>
      <w:lang w:eastAsia="en-US"/>
    </w:rPr>
  </w:style>
  <w:style w:type="paragraph" w:styleId="BodyTextFirstIndent">
    <w:name w:val="Body Text First Indent"/>
    <w:basedOn w:val="BodyText"/>
    <w:link w:val="BodyTextFirstIndentChar"/>
    <w:rsid w:val="00CA67D4"/>
    <w:pPr>
      <w:ind w:firstLine="360"/>
    </w:pPr>
  </w:style>
  <w:style w:type="character" w:customStyle="1" w:styleId="BodyTextChar">
    <w:name w:val="Body Text Char"/>
    <w:basedOn w:val="DefaultParagraphFont"/>
    <w:link w:val="BodyText"/>
    <w:rsid w:val="00CA67D4"/>
    <w:rPr>
      <w:noProof/>
      <w:sz w:val="22"/>
      <w:lang w:eastAsia="en-US"/>
    </w:rPr>
  </w:style>
  <w:style w:type="character" w:customStyle="1" w:styleId="BodyTextFirstIndentChar">
    <w:name w:val="Body Text First Indent Char"/>
    <w:basedOn w:val="BodyTextChar"/>
    <w:link w:val="BodyTextFirstIndent"/>
    <w:rsid w:val="00CA67D4"/>
    <w:rPr>
      <w:noProof/>
      <w:sz w:val="22"/>
      <w:lang w:eastAsia="en-US"/>
    </w:rPr>
  </w:style>
  <w:style w:type="paragraph" w:styleId="BodyTextIndent">
    <w:name w:val="Body Text Indent"/>
    <w:basedOn w:val="Normal"/>
    <w:link w:val="BodyTextIndentChar"/>
    <w:rsid w:val="00CA67D4"/>
    <w:pPr>
      <w:spacing w:after="120"/>
      <w:ind w:left="283"/>
    </w:pPr>
  </w:style>
  <w:style w:type="character" w:customStyle="1" w:styleId="BodyTextIndentChar">
    <w:name w:val="Body Text Indent Char"/>
    <w:basedOn w:val="DefaultParagraphFont"/>
    <w:link w:val="BodyTextIndent"/>
    <w:rsid w:val="00CA67D4"/>
    <w:rPr>
      <w:noProof/>
      <w:sz w:val="22"/>
      <w:lang w:eastAsia="en-US"/>
    </w:rPr>
  </w:style>
  <w:style w:type="paragraph" w:styleId="BodyTextFirstIndent2">
    <w:name w:val="Body Text First Indent 2"/>
    <w:basedOn w:val="BodyTextIndent"/>
    <w:link w:val="BodyTextFirstIndent2Char"/>
    <w:rsid w:val="00CA67D4"/>
    <w:pPr>
      <w:spacing w:after="240"/>
      <w:ind w:left="360" w:firstLine="360"/>
    </w:pPr>
  </w:style>
  <w:style w:type="character" w:customStyle="1" w:styleId="BodyTextFirstIndent2Char">
    <w:name w:val="Body Text First Indent 2 Char"/>
    <w:basedOn w:val="BodyTextIndentChar"/>
    <w:link w:val="BodyTextFirstIndent2"/>
    <w:rsid w:val="00CA67D4"/>
    <w:rPr>
      <w:noProof/>
      <w:sz w:val="22"/>
      <w:lang w:eastAsia="en-US"/>
    </w:rPr>
  </w:style>
  <w:style w:type="paragraph" w:styleId="BodyTextIndent2">
    <w:name w:val="Body Text Indent 2"/>
    <w:basedOn w:val="Normal"/>
    <w:link w:val="BodyTextIndent2Char"/>
    <w:rsid w:val="00CA67D4"/>
    <w:pPr>
      <w:spacing w:after="120" w:line="480" w:lineRule="auto"/>
      <w:ind w:left="283"/>
    </w:pPr>
  </w:style>
  <w:style w:type="character" w:customStyle="1" w:styleId="BodyTextIndent2Char">
    <w:name w:val="Body Text Indent 2 Char"/>
    <w:basedOn w:val="DefaultParagraphFont"/>
    <w:link w:val="BodyTextIndent2"/>
    <w:rsid w:val="00CA67D4"/>
    <w:rPr>
      <w:noProof/>
      <w:sz w:val="22"/>
      <w:lang w:eastAsia="en-US"/>
    </w:rPr>
  </w:style>
  <w:style w:type="paragraph" w:styleId="BodyTextIndent3">
    <w:name w:val="Body Text Indent 3"/>
    <w:basedOn w:val="Normal"/>
    <w:link w:val="BodyTextIndent3Char"/>
    <w:rsid w:val="00CA67D4"/>
    <w:pPr>
      <w:spacing w:after="120"/>
      <w:ind w:left="283"/>
    </w:pPr>
    <w:rPr>
      <w:sz w:val="16"/>
      <w:szCs w:val="16"/>
    </w:rPr>
  </w:style>
  <w:style w:type="character" w:customStyle="1" w:styleId="BodyTextIndent3Char">
    <w:name w:val="Body Text Indent 3 Char"/>
    <w:basedOn w:val="DefaultParagraphFont"/>
    <w:link w:val="BodyTextIndent3"/>
    <w:rsid w:val="00CA67D4"/>
    <w:rPr>
      <w:noProof/>
      <w:sz w:val="16"/>
      <w:szCs w:val="16"/>
      <w:lang w:eastAsia="en-US"/>
    </w:rPr>
  </w:style>
  <w:style w:type="character" w:styleId="BookTitle">
    <w:name w:val="Book Title"/>
    <w:basedOn w:val="DefaultParagraphFont"/>
    <w:uiPriority w:val="33"/>
    <w:rsid w:val="00CA67D4"/>
    <w:rPr>
      <w:b/>
      <w:bCs/>
      <w:smallCaps/>
      <w:spacing w:val="5"/>
    </w:rPr>
  </w:style>
  <w:style w:type="paragraph" w:styleId="Closing">
    <w:name w:val="Closing"/>
    <w:basedOn w:val="Normal"/>
    <w:link w:val="ClosingChar"/>
    <w:rsid w:val="00CA67D4"/>
    <w:pPr>
      <w:spacing w:after="0"/>
      <w:ind w:left="4252"/>
    </w:pPr>
  </w:style>
  <w:style w:type="character" w:customStyle="1" w:styleId="ClosingChar">
    <w:name w:val="Closing Char"/>
    <w:basedOn w:val="DefaultParagraphFont"/>
    <w:link w:val="Closing"/>
    <w:rsid w:val="00CA67D4"/>
    <w:rPr>
      <w:noProof/>
      <w:sz w:val="22"/>
      <w:lang w:eastAsia="en-US"/>
    </w:rPr>
  </w:style>
  <w:style w:type="table" w:styleId="ColorfulGrid">
    <w:name w:val="Colorful Grid"/>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A67D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A67D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A67D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A67D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CA67D4"/>
    <w:rPr>
      <w:sz w:val="16"/>
      <w:szCs w:val="16"/>
    </w:rPr>
  </w:style>
  <w:style w:type="paragraph" w:styleId="CommentText">
    <w:name w:val="annotation text"/>
    <w:basedOn w:val="Normal"/>
    <w:link w:val="CommentTextChar"/>
    <w:rsid w:val="00CA67D4"/>
    <w:rPr>
      <w:sz w:val="20"/>
    </w:rPr>
  </w:style>
  <w:style w:type="character" w:customStyle="1" w:styleId="CommentTextChar">
    <w:name w:val="Comment Text Char"/>
    <w:basedOn w:val="DefaultParagraphFont"/>
    <w:link w:val="CommentText"/>
    <w:rsid w:val="00CA67D4"/>
    <w:rPr>
      <w:noProof/>
      <w:lang w:eastAsia="en-US"/>
    </w:rPr>
  </w:style>
  <w:style w:type="paragraph" w:styleId="CommentSubject">
    <w:name w:val="annotation subject"/>
    <w:basedOn w:val="CommentText"/>
    <w:next w:val="CommentText"/>
    <w:link w:val="CommentSubjectChar"/>
    <w:rsid w:val="00CA67D4"/>
    <w:rPr>
      <w:b/>
      <w:bCs/>
    </w:rPr>
  </w:style>
  <w:style w:type="character" w:customStyle="1" w:styleId="CommentSubjectChar">
    <w:name w:val="Comment Subject Char"/>
    <w:basedOn w:val="CommentTextChar"/>
    <w:link w:val="CommentSubject"/>
    <w:rsid w:val="00CA67D4"/>
    <w:rPr>
      <w:b/>
      <w:bCs/>
      <w:noProof/>
      <w:lang w:eastAsia="en-US"/>
    </w:rPr>
  </w:style>
  <w:style w:type="table" w:styleId="DarkList">
    <w:name w:val="Dark List"/>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CA67D4"/>
  </w:style>
  <w:style w:type="character" w:customStyle="1" w:styleId="DateChar">
    <w:name w:val="Date Char"/>
    <w:basedOn w:val="DefaultParagraphFont"/>
    <w:link w:val="Date"/>
    <w:rsid w:val="00CA67D4"/>
    <w:rPr>
      <w:noProof/>
      <w:sz w:val="22"/>
      <w:lang w:eastAsia="en-US"/>
    </w:rPr>
  </w:style>
  <w:style w:type="paragraph" w:styleId="DocumentMap">
    <w:name w:val="Document Map"/>
    <w:basedOn w:val="Normal"/>
    <w:link w:val="DocumentMapChar"/>
    <w:rsid w:val="00CA67D4"/>
    <w:pPr>
      <w:spacing w:after="0"/>
    </w:pPr>
    <w:rPr>
      <w:rFonts w:ascii="Tahoma" w:hAnsi="Tahoma" w:cs="Tahoma"/>
      <w:sz w:val="16"/>
      <w:szCs w:val="16"/>
    </w:rPr>
  </w:style>
  <w:style w:type="character" w:customStyle="1" w:styleId="DocumentMapChar">
    <w:name w:val="Document Map Char"/>
    <w:basedOn w:val="DefaultParagraphFont"/>
    <w:link w:val="DocumentMap"/>
    <w:rsid w:val="00CA67D4"/>
    <w:rPr>
      <w:rFonts w:ascii="Tahoma" w:hAnsi="Tahoma" w:cs="Tahoma"/>
      <w:noProof/>
      <w:sz w:val="16"/>
      <w:szCs w:val="16"/>
      <w:lang w:eastAsia="en-US"/>
    </w:rPr>
  </w:style>
  <w:style w:type="paragraph" w:styleId="E-mailSignature">
    <w:name w:val="E-mail Signature"/>
    <w:basedOn w:val="Normal"/>
    <w:link w:val="E-mailSignatureChar"/>
    <w:rsid w:val="00CA67D4"/>
    <w:pPr>
      <w:spacing w:after="0"/>
    </w:pPr>
  </w:style>
  <w:style w:type="character" w:customStyle="1" w:styleId="E-mailSignatureChar">
    <w:name w:val="E-mail Signature Char"/>
    <w:basedOn w:val="DefaultParagraphFont"/>
    <w:link w:val="E-mailSignature"/>
    <w:rsid w:val="00CA67D4"/>
    <w:rPr>
      <w:noProof/>
      <w:sz w:val="22"/>
      <w:lang w:eastAsia="en-US"/>
    </w:rPr>
  </w:style>
  <w:style w:type="character" w:styleId="Emphasis">
    <w:name w:val="Emphasis"/>
    <w:basedOn w:val="DefaultParagraphFont"/>
    <w:rsid w:val="00CA67D4"/>
    <w:rPr>
      <w:i/>
      <w:iCs/>
    </w:rPr>
  </w:style>
  <w:style w:type="paragraph" w:styleId="EnvelopeAddress">
    <w:name w:val="envelope address"/>
    <w:basedOn w:val="Normal"/>
    <w:rsid w:val="00CA67D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67D4"/>
    <w:pPr>
      <w:spacing w:after="0"/>
    </w:pPr>
    <w:rPr>
      <w:rFonts w:asciiTheme="majorHAnsi" w:eastAsiaTheme="majorEastAsia" w:hAnsiTheme="majorHAnsi" w:cstheme="majorBidi"/>
      <w:sz w:val="20"/>
    </w:rPr>
  </w:style>
  <w:style w:type="character" w:styleId="FollowedHyperlink">
    <w:name w:val="FollowedHyperlink"/>
    <w:basedOn w:val="DefaultParagraphFont"/>
    <w:rsid w:val="00CA67D4"/>
    <w:rPr>
      <w:color w:val="800080" w:themeColor="followedHyperlink"/>
      <w:u w:val="single"/>
    </w:rPr>
  </w:style>
  <w:style w:type="character" w:styleId="HTMLAcronym">
    <w:name w:val="HTML Acronym"/>
    <w:basedOn w:val="DefaultParagraphFont"/>
    <w:rsid w:val="00CA67D4"/>
  </w:style>
  <w:style w:type="paragraph" w:styleId="HTMLAddress">
    <w:name w:val="HTML Address"/>
    <w:basedOn w:val="Normal"/>
    <w:link w:val="HTMLAddressChar"/>
    <w:rsid w:val="00CA67D4"/>
    <w:pPr>
      <w:spacing w:after="0"/>
    </w:pPr>
    <w:rPr>
      <w:i/>
      <w:iCs/>
    </w:rPr>
  </w:style>
  <w:style w:type="character" w:customStyle="1" w:styleId="HTMLAddressChar">
    <w:name w:val="HTML Address Char"/>
    <w:basedOn w:val="DefaultParagraphFont"/>
    <w:link w:val="HTMLAddress"/>
    <w:rsid w:val="00CA67D4"/>
    <w:rPr>
      <w:i/>
      <w:iCs/>
      <w:noProof/>
      <w:sz w:val="22"/>
      <w:lang w:eastAsia="en-US"/>
    </w:rPr>
  </w:style>
  <w:style w:type="character" w:styleId="HTMLCite">
    <w:name w:val="HTML Cite"/>
    <w:basedOn w:val="DefaultParagraphFont"/>
    <w:rsid w:val="00CA67D4"/>
    <w:rPr>
      <w:i/>
      <w:iCs/>
    </w:rPr>
  </w:style>
  <w:style w:type="character" w:styleId="HTMLCode">
    <w:name w:val="HTML Code"/>
    <w:basedOn w:val="DefaultParagraphFont"/>
    <w:rsid w:val="00CA67D4"/>
    <w:rPr>
      <w:rFonts w:ascii="Consolas" w:hAnsi="Consolas" w:cs="Consolas"/>
      <w:sz w:val="20"/>
      <w:szCs w:val="20"/>
    </w:rPr>
  </w:style>
  <w:style w:type="character" w:styleId="HTMLDefinition">
    <w:name w:val="HTML Definition"/>
    <w:basedOn w:val="DefaultParagraphFont"/>
    <w:rsid w:val="00CA67D4"/>
    <w:rPr>
      <w:i/>
      <w:iCs/>
    </w:rPr>
  </w:style>
  <w:style w:type="character" w:styleId="HTMLKeyboard">
    <w:name w:val="HTML Keyboard"/>
    <w:basedOn w:val="DefaultParagraphFont"/>
    <w:rsid w:val="00CA67D4"/>
    <w:rPr>
      <w:rFonts w:ascii="Consolas" w:hAnsi="Consolas" w:cs="Consolas"/>
      <w:sz w:val="20"/>
      <w:szCs w:val="20"/>
    </w:rPr>
  </w:style>
  <w:style w:type="paragraph" w:styleId="HTMLPreformatted">
    <w:name w:val="HTML Preformatted"/>
    <w:basedOn w:val="Normal"/>
    <w:link w:val="HTMLPreformattedChar"/>
    <w:rsid w:val="00CA67D4"/>
    <w:pPr>
      <w:spacing w:after="0"/>
    </w:pPr>
    <w:rPr>
      <w:rFonts w:ascii="Consolas" w:hAnsi="Consolas" w:cs="Consolas"/>
      <w:sz w:val="20"/>
    </w:rPr>
  </w:style>
  <w:style w:type="character" w:customStyle="1" w:styleId="HTMLPreformattedChar">
    <w:name w:val="HTML Preformatted Char"/>
    <w:basedOn w:val="DefaultParagraphFont"/>
    <w:link w:val="HTMLPreformatted"/>
    <w:rsid w:val="00CA67D4"/>
    <w:rPr>
      <w:rFonts w:ascii="Consolas" w:hAnsi="Consolas" w:cs="Consolas"/>
      <w:noProof/>
      <w:lang w:eastAsia="en-US"/>
    </w:rPr>
  </w:style>
  <w:style w:type="character" w:styleId="HTMLSample">
    <w:name w:val="HTML Sample"/>
    <w:basedOn w:val="DefaultParagraphFont"/>
    <w:rsid w:val="00CA67D4"/>
    <w:rPr>
      <w:rFonts w:ascii="Consolas" w:hAnsi="Consolas" w:cs="Consolas"/>
      <w:sz w:val="24"/>
      <w:szCs w:val="24"/>
    </w:rPr>
  </w:style>
  <w:style w:type="character" w:styleId="HTMLTypewriter">
    <w:name w:val="HTML Typewriter"/>
    <w:basedOn w:val="DefaultParagraphFont"/>
    <w:rsid w:val="00CA67D4"/>
    <w:rPr>
      <w:rFonts w:ascii="Consolas" w:hAnsi="Consolas" w:cs="Consolas"/>
      <w:sz w:val="20"/>
      <w:szCs w:val="20"/>
    </w:rPr>
  </w:style>
  <w:style w:type="character" w:styleId="HTMLVariable">
    <w:name w:val="HTML Variable"/>
    <w:basedOn w:val="DefaultParagraphFont"/>
    <w:rsid w:val="00CA67D4"/>
    <w:rPr>
      <w:i/>
      <w:iCs/>
    </w:rPr>
  </w:style>
  <w:style w:type="character" w:styleId="Hyperlink">
    <w:name w:val="Hyperlink"/>
    <w:basedOn w:val="DefaultParagraphFont"/>
    <w:rsid w:val="00CA67D4"/>
    <w:rPr>
      <w:color w:val="0000FF" w:themeColor="hyperlink"/>
      <w:u w:val="single"/>
    </w:rPr>
  </w:style>
  <w:style w:type="paragraph" w:styleId="Index1">
    <w:name w:val="index 1"/>
    <w:basedOn w:val="Normal"/>
    <w:next w:val="Normal"/>
    <w:autoRedefine/>
    <w:rsid w:val="00CA67D4"/>
    <w:pPr>
      <w:spacing w:after="0"/>
      <w:ind w:left="220" w:hanging="220"/>
    </w:pPr>
  </w:style>
  <w:style w:type="paragraph" w:styleId="Index2">
    <w:name w:val="index 2"/>
    <w:basedOn w:val="Normal"/>
    <w:next w:val="Normal"/>
    <w:autoRedefine/>
    <w:rsid w:val="00CA67D4"/>
    <w:pPr>
      <w:spacing w:after="0"/>
      <w:ind w:left="440" w:hanging="220"/>
    </w:pPr>
  </w:style>
  <w:style w:type="paragraph" w:styleId="Index3">
    <w:name w:val="index 3"/>
    <w:basedOn w:val="Normal"/>
    <w:next w:val="Normal"/>
    <w:autoRedefine/>
    <w:rsid w:val="00CA67D4"/>
    <w:pPr>
      <w:spacing w:after="0"/>
      <w:ind w:left="660" w:hanging="220"/>
    </w:pPr>
  </w:style>
  <w:style w:type="paragraph" w:styleId="Index4">
    <w:name w:val="index 4"/>
    <w:basedOn w:val="Normal"/>
    <w:next w:val="Normal"/>
    <w:autoRedefine/>
    <w:rsid w:val="00CA67D4"/>
    <w:pPr>
      <w:spacing w:after="0"/>
      <w:ind w:left="880" w:hanging="220"/>
    </w:pPr>
  </w:style>
  <w:style w:type="paragraph" w:styleId="Index5">
    <w:name w:val="index 5"/>
    <w:basedOn w:val="Normal"/>
    <w:next w:val="Normal"/>
    <w:autoRedefine/>
    <w:rsid w:val="00CA67D4"/>
    <w:pPr>
      <w:spacing w:after="0"/>
      <w:ind w:left="1100" w:hanging="220"/>
    </w:pPr>
  </w:style>
  <w:style w:type="paragraph" w:styleId="Index6">
    <w:name w:val="index 6"/>
    <w:basedOn w:val="Normal"/>
    <w:next w:val="Normal"/>
    <w:autoRedefine/>
    <w:rsid w:val="00CA67D4"/>
    <w:pPr>
      <w:spacing w:after="0"/>
      <w:ind w:left="1320" w:hanging="220"/>
    </w:pPr>
  </w:style>
  <w:style w:type="paragraph" w:styleId="Index7">
    <w:name w:val="index 7"/>
    <w:basedOn w:val="Normal"/>
    <w:next w:val="Normal"/>
    <w:autoRedefine/>
    <w:rsid w:val="00CA67D4"/>
    <w:pPr>
      <w:spacing w:after="0"/>
      <w:ind w:left="1540" w:hanging="220"/>
    </w:pPr>
  </w:style>
  <w:style w:type="paragraph" w:styleId="Index8">
    <w:name w:val="index 8"/>
    <w:basedOn w:val="Normal"/>
    <w:next w:val="Normal"/>
    <w:autoRedefine/>
    <w:rsid w:val="00CA67D4"/>
    <w:pPr>
      <w:spacing w:after="0"/>
      <w:ind w:left="1760" w:hanging="220"/>
    </w:pPr>
  </w:style>
  <w:style w:type="paragraph" w:styleId="Index9">
    <w:name w:val="index 9"/>
    <w:basedOn w:val="Normal"/>
    <w:next w:val="Normal"/>
    <w:autoRedefine/>
    <w:rsid w:val="00CA67D4"/>
    <w:pPr>
      <w:spacing w:after="0"/>
      <w:ind w:left="1980" w:hanging="220"/>
    </w:pPr>
  </w:style>
  <w:style w:type="paragraph" w:styleId="IndexHeading">
    <w:name w:val="index heading"/>
    <w:basedOn w:val="Normal"/>
    <w:next w:val="Index1"/>
    <w:rsid w:val="00CA67D4"/>
    <w:rPr>
      <w:rFonts w:asciiTheme="majorHAnsi" w:eastAsiaTheme="majorEastAsia" w:hAnsiTheme="majorHAnsi" w:cstheme="majorBidi"/>
      <w:b/>
      <w:bCs/>
    </w:rPr>
  </w:style>
  <w:style w:type="character" w:styleId="IntenseEmphasis">
    <w:name w:val="Intense Emphasis"/>
    <w:basedOn w:val="DefaultParagraphFont"/>
    <w:uiPriority w:val="21"/>
    <w:rsid w:val="00CA67D4"/>
    <w:rPr>
      <w:b/>
      <w:bCs/>
      <w:i/>
      <w:iCs/>
      <w:color w:val="4F81BD" w:themeColor="accent1"/>
    </w:rPr>
  </w:style>
  <w:style w:type="paragraph" w:styleId="IntenseQuote">
    <w:name w:val="Intense Quote"/>
    <w:basedOn w:val="Normal"/>
    <w:next w:val="Normal"/>
    <w:link w:val="IntenseQuoteChar"/>
    <w:uiPriority w:val="30"/>
    <w:rsid w:val="00CA67D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A67D4"/>
    <w:rPr>
      <w:b/>
      <w:bCs/>
      <w:i/>
      <w:iCs/>
      <w:noProof/>
      <w:color w:val="4F81BD" w:themeColor="accent1"/>
      <w:sz w:val="22"/>
      <w:lang w:eastAsia="en-US"/>
    </w:rPr>
  </w:style>
  <w:style w:type="character" w:styleId="IntenseReference">
    <w:name w:val="Intense Reference"/>
    <w:basedOn w:val="DefaultParagraphFont"/>
    <w:uiPriority w:val="32"/>
    <w:rsid w:val="00CA67D4"/>
    <w:rPr>
      <w:b/>
      <w:bCs/>
      <w:smallCaps/>
      <w:color w:val="C0504D" w:themeColor="accent2"/>
      <w:spacing w:val="5"/>
      <w:u w:val="single"/>
    </w:rPr>
  </w:style>
  <w:style w:type="table" w:styleId="LightGrid">
    <w:name w:val="Light Grid"/>
    <w:basedOn w:val="TableNormal"/>
    <w:uiPriority w:val="62"/>
    <w:rsid w:val="00CA67D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A67D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A67D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A67D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A67D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A67D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A67D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CA67D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A67D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A67D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A67D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A67D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A67D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A67D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CA67D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A67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A67D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A67D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A67D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A67D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A67D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CA67D4"/>
  </w:style>
  <w:style w:type="paragraph" w:styleId="List">
    <w:name w:val="List"/>
    <w:basedOn w:val="Normal"/>
    <w:rsid w:val="00CA67D4"/>
    <w:pPr>
      <w:ind w:left="283" w:hanging="283"/>
      <w:contextualSpacing/>
    </w:pPr>
  </w:style>
  <w:style w:type="paragraph" w:styleId="List2">
    <w:name w:val="List 2"/>
    <w:basedOn w:val="Normal"/>
    <w:rsid w:val="00CA67D4"/>
    <w:pPr>
      <w:ind w:left="566" w:hanging="283"/>
      <w:contextualSpacing/>
    </w:pPr>
  </w:style>
  <w:style w:type="paragraph" w:styleId="List3">
    <w:name w:val="List 3"/>
    <w:basedOn w:val="Normal"/>
    <w:rsid w:val="00CA67D4"/>
    <w:pPr>
      <w:ind w:left="849" w:hanging="283"/>
      <w:contextualSpacing/>
    </w:pPr>
  </w:style>
  <w:style w:type="paragraph" w:styleId="List4">
    <w:name w:val="List 4"/>
    <w:basedOn w:val="Normal"/>
    <w:rsid w:val="00CA67D4"/>
    <w:pPr>
      <w:ind w:left="1132" w:hanging="283"/>
      <w:contextualSpacing/>
    </w:pPr>
  </w:style>
  <w:style w:type="paragraph" w:styleId="List5">
    <w:name w:val="List 5"/>
    <w:basedOn w:val="Normal"/>
    <w:rsid w:val="00CA67D4"/>
    <w:pPr>
      <w:ind w:left="1415" w:hanging="283"/>
      <w:contextualSpacing/>
    </w:pPr>
  </w:style>
  <w:style w:type="paragraph" w:styleId="ListBullet">
    <w:name w:val="List Bullet"/>
    <w:basedOn w:val="Normal"/>
    <w:rsid w:val="00CA67D4"/>
    <w:pPr>
      <w:numPr>
        <w:numId w:val="7"/>
      </w:numPr>
      <w:contextualSpacing/>
    </w:pPr>
  </w:style>
  <w:style w:type="paragraph" w:styleId="ListBullet2">
    <w:name w:val="List Bullet 2"/>
    <w:basedOn w:val="Normal"/>
    <w:rsid w:val="00CA67D4"/>
    <w:pPr>
      <w:numPr>
        <w:numId w:val="8"/>
      </w:numPr>
      <w:contextualSpacing/>
    </w:pPr>
  </w:style>
  <w:style w:type="paragraph" w:styleId="ListBullet3">
    <w:name w:val="List Bullet 3"/>
    <w:basedOn w:val="Normal"/>
    <w:rsid w:val="00CA67D4"/>
    <w:pPr>
      <w:numPr>
        <w:numId w:val="9"/>
      </w:numPr>
      <w:contextualSpacing/>
    </w:pPr>
  </w:style>
  <w:style w:type="paragraph" w:styleId="ListBullet4">
    <w:name w:val="List Bullet 4"/>
    <w:basedOn w:val="Normal"/>
    <w:rsid w:val="00CA67D4"/>
    <w:pPr>
      <w:numPr>
        <w:numId w:val="10"/>
      </w:numPr>
      <w:contextualSpacing/>
    </w:pPr>
  </w:style>
  <w:style w:type="paragraph" w:styleId="ListBullet5">
    <w:name w:val="List Bullet 5"/>
    <w:basedOn w:val="Normal"/>
    <w:rsid w:val="00CA67D4"/>
    <w:pPr>
      <w:numPr>
        <w:numId w:val="11"/>
      </w:numPr>
      <w:contextualSpacing/>
    </w:pPr>
  </w:style>
  <w:style w:type="paragraph" w:styleId="ListContinue">
    <w:name w:val="List Continue"/>
    <w:basedOn w:val="Normal"/>
    <w:rsid w:val="00CA67D4"/>
    <w:pPr>
      <w:spacing w:after="120"/>
      <w:ind w:left="283"/>
      <w:contextualSpacing/>
    </w:pPr>
  </w:style>
  <w:style w:type="paragraph" w:styleId="ListContinue2">
    <w:name w:val="List Continue 2"/>
    <w:basedOn w:val="Normal"/>
    <w:rsid w:val="00CA67D4"/>
    <w:pPr>
      <w:spacing w:after="120"/>
      <w:ind w:left="566"/>
      <w:contextualSpacing/>
    </w:pPr>
  </w:style>
  <w:style w:type="paragraph" w:styleId="ListContinue3">
    <w:name w:val="List Continue 3"/>
    <w:basedOn w:val="Normal"/>
    <w:rsid w:val="00CA67D4"/>
    <w:pPr>
      <w:spacing w:after="120"/>
      <w:ind w:left="849"/>
      <w:contextualSpacing/>
    </w:pPr>
  </w:style>
  <w:style w:type="paragraph" w:styleId="ListContinue4">
    <w:name w:val="List Continue 4"/>
    <w:basedOn w:val="Normal"/>
    <w:rsid w:val="00CA67D4"/>
    <w:pPr>
      <w:spacing w:after="120"/>
      <w:ind w:left="1132"/>
      <w:contextualSpacing/>
    </w:pPr>
  </w:style>
  <w:style w:type="paragraph" w:styleId="ListContinue5">
    <w:name w:val="List Continue 5"/>
    <w:basedOn w:val="Normal"/>
    <w:rsid w:val="00CA67D4"/>
    <w:pPr>
      <w:spacing w:after="120"/>
      <w:ind w:left="1415"/>
      <w:contextualSpacing/>
    </w:pPr>
  </w:style>
  <w:style w:type="paragraph" w:styleId="ListNumber">
    <w:name w:val="List Number"/>
    <w:basedOn w:val="Normal"/>
    <w:rsid w:val="00CA67D4"/>
    <w:pPr>
      <w:numPr>
        <w:numId w:val="12"/>
      </w:numPr>
      <w:contextualSpacing/>
    </w:pPr>
  </w:style>
  <w:style w:type="paragraph" w:styleId="ListNumber2">
    <w:name w:val="List Number 2"/>
    <w:basedOn w:val="Normal"/>
    <w:rsid w:val="00CA67D4"/>
    <w:pPr>
      <w:numPr>
        <w:numId w:val="13"/>
      </w:numPr>
      <w:contextualSpacing/>
    </w:pPr>
  </w:style>
  <w:style w:type="paragraph" w:styleId="ListNumber3">
    <w:name w:val="List Number 3"/>
    <w:basedOn w:val="Normal"/>
    <w:rsid w:val="00CA67D4"/>
    <w:pPr>
      <w:numPr>
        <w:numId w:val="14"/>
      </w:numPr>
      <w:contextualSpacing/>
    </w:pPr>
  </w:style>
  <w:style w:type="paragraph" w:styleId="ListNumber4">
    <w:name w:val="List Number 4"/>
    <w:basedOn w:val="Normal"/>
    <w:rsid w:val="00CA67D4"/>
    <w:pPr>
      <w:numPr>
        <w:numId w:val="15"/>
      </w:numPr>
      <w:contextualSpacing/>
    </w:pPr>
  </w:style>
  <w:style w:type="paragraph" w:styleId="ListNumber5">
    <w:name w:val="List Number 5"/>
    <w:basedOn w:val="Normal"/>
    <w:rsid w:val="00CA67D4"/>
    <w:pPr>
      <w:numPr>
        <w:numId w:val="16"/>
      </w:numPr>
      <w:contextualSpacing/>
    </w:pPr>
  </w:style>
  <w:style w:type="paragraph" w:styleId="ListParagraph">
    <w:name w:val="List Paragraph"/>
    <w:basedOn w:val="Normal"/>
    <w:uiPriority w:val="34"/>
    <w:rsid w:val="00CA67D4"/>
    <w:pPr>
      <w:ind w:left="720"/>
      <w:contextualSpacing/>
    </w:pPr>
  </w:style>
  <w:style w:type="paragraph" w:styleId="MacroText">
    <w:name w:val="macro"/>
    <w:link w:val="MacroTextChar"/>
    <w:rsid w:val="00CA67D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Consolas" w:hAnsi="Consolas" w:cs="Consolas"/>
      <w:noProof/>
      <w:lang w:eastAsia="en-US"/>
    </w:rPr>
  </w:style>
  <w:style w:type="character" w:customStyle="1" w:styleId="MacroTextChar">
    <w:name w:val="Macro Text Char"/>
    <w:basedOn w:val="DefaultParagraphFont"/>
    <w:link w:val="MacroText"/>
    <w:rsid w:val="00CA67D4"/>
    <w:rPr>
      <w:rFonts w:ascii="Consolas" w:hAnsi="Consolas" w:cs="Consolas"/>
      <w:noProof/>
      <w:lang w:eastAsia="en-US"/>
    </w:rPr>
  </w:style>
  <w:style w:type="table" w:styleId="MediumGrid1">
    <w:name w:val="Medium Grid 1"/>
    <w:basedOn w:val="TableNormal"/>
    <w:uiPriority w:val="67"/>
    <w:rsid w:val="00CA67D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A67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A67D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A67D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A67D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A67D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A67D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CA67D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A67D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A67D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A67D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A67D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A67D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A67D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A67D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A67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A67D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A67D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A67D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A67D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A67D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CA67D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67D4"/>
    <w:rPr>
      <w:rFonts w:asciiTheme="majorHAnsi" w:eastAsiaTheme="majorEastAsia" w:hAnsiTheme="majorHAnsi" w:cstheme="majorBidi"/>
      <w:noProof/>
      <w:sz w:val="24"/>
      <w:szCs w:val="24"/>
      <w:shd w:val="pct20" w:color="auto" w:fill="auto"/>
      <w:lang w:eastAsia="en-US"/>
    </w:rPr>
  </w:style>
  <w:style w:type="paragraph" w:styleId="NoSpacing">
    <w:name w:val="No Spacing"/>
    <w:uiPriority w:val="1"/>
    <w:rsid w:val="00CA67D4"/>
    <w:pPr>
      <w:overflowPunct w:val="0"/>
      <w:autoSpaceDE w:val="0"/>
      <w:autoSpaceDN w:val="0"/>
      <w:adjustRightInd w:val="0"/>
      <w:jc w:val="both"/>
      <w:textAlignment w:val="baseline"/>
    </w:pPr>
    <w:rPr>
      <w:noProof/>
      <w:sz w:val="22"/>
      <w:lang w:eastAsia="en-US"/>
    </w:rPr>
  </w:style>
  <w:style w:type="paragraph" w:styleId="NormalWeb">
    <w:name w:val="Normal (Web)"/>
    <w:basedOn w:val="Normal"/>
    <w:rsid w:val="00CA67D4"/>
    <w:rPr>
      <w:sz w:val="24"/>
      <w:szCs w:val="24"/>
    </w:rPr>
  </w:style>
  <w:style w:type="paragraph" w:styleId="NormalIndent">
    <w:name w:val="Normal Indent"/>
    <w:basedOn w:val="Normal"/>
    <w:rsid w:val="00CA67D4"/>
    <w:pPr>
      <w:ind w:left="720"/>
    </w:pPr>
  </w:style>
  <w:style w:type="paragraph" w:styleId="NoteHeading">
    <w:name w:val="Note Heading"/>
    <w:basedOn w:val="Normal"/>
    <w:next w:val="Normal"/>
    <w:link w:val="NoteHeadingChar"/>
    <w:rsid w:val="00CA67D4"/>
    <w:pPr>
      <w:spacing w:after="0"/>
    </w:pPr>
  </w:style>
  <w:style w:type="character" w:customStyle="1" w:styleId="NoteHeadingChar">
    <w:name w:val="Note Heading Char"/>
    <w:basedOn w:val="DefaultParagraphFont"/>
    <w:link w:val="NoteHeading"/>
    <w:rsid w:val="00CA67D4"/>
    <w:rPr>
      <w:noProof/>
      <w:sz w:val="22"/>
      <w:lang w:eastAsia="en-US"/>
    </w:rPr>
  </w:style>
  <w:style w:type="character" w:styleId="PlaceholderText">
    <w:name w:val="Placeholder Text"/>
    <w:basedOn w:val="DefaultParagraphFont"/>
    <w:uiPriority w:val="99"/>
    <w:semiHidden/>
    <w:rsid w:val="00CA67D4"/>
    <w:rPr>
      <w:color w:val="808080"/>
    </w:rPr>
  </w:style>
  <w:style w:type="paragraph" w:styleId="PlainText">
    <w:name w:val="Plain Text"/>
    <w:basedOn w:val="Normal"/>
    <w:link w:val="PlainTextChar"/>
    <w:rsid w:val="00CA67D4"/>
    <w:pPr>
      <w:spacing w:after="0"/>
    </w:pPr>
    <w:rPr>
      <w:rFonts w:ascii="Consolas" w:hAnsi="Consolas" w:cs="Consolas"/>
      <w:sz w:val="21"/>
      <w:szCs w:val="21"/>
    </w:rPr>
  </w:style>
  <w:style w:type="character" w:customStyle="1" w:styleId="PlainTextChar">
    <w:name w:val="Plain Text Char"/>
    <w:basedOn w:val="DefaultParagraphFont"/>
    <w:link w:val="PlainText"/>
    <w:rsid w:val="00CA67D4"/>
    <w:rPr>
      <w:rFonts w:ascii="Consolas" w:hAnsi="Consolas" w:cs="Consolas"/>
      <w:noProof/>
      <w:sz w:val="21"/>
      <w:szCs w:val="21"/>
      <w:lang w:eastAsia="en-US"/>
    </w:rPr>
  </w:style>
  <w:style w:type="paragraph" w:styleId="Quote">
    <w:name w:val="Quote"/>
    <w:basedOn w:val="Normal"/>
    <w:next w:val="Normal"/>
    <w:link w:val="QuoteChar"/>
    <w:uiPriority w:val="29"/>
    <w:rsid w:val="00CA67D4"/>
    <w:rPr>
      <w:i/>
      <w:iCs/>
      <w:color w:val="000000" w:themeColor="text1"/>
    </w:rPr>
  </w:style>
  <w:style w:type="character" w:customStyle="1" w:styleId="QuoteChar">
    <w:name w:val="Quote Char"/>
    <w:basedOn w:val="DefaultParagraphFont"/>
    <w:link w:val="Quote"/>
    <w:uiPriority w:val="29"/>
    <w:rsid w:val="00CA67D4"/>
    <w:rPr>
      <w:i/>
      <w:iCs/>
      <w:noProof/>
      <w:color w:val="000000" w:themeColor="text1"/>
      <w:sz w:val="22"/>
      <w:lang w:eastAsia="en-US"/>
    </w:rPr>
  </w:style>
  <w:style w:type="paragraph" w:styleId="Salutation">
    <w:name w:val="Salutation"/>
    <w:basedOn w:val="Normal"/>
    <w:next w:val="Normal"/>
    <w:link w:val="SalutationChar"/>
    <w:rsid w:val="00CA67D4"/>
  </w:style>
  <w:style w:type="character" w:customStyle="1" w:styleId="SalutationChar">
    <w:name w:val="Salutation Char"/>
    <w:basedOn w:val="DefaultParagraphFont"/>
    <w:link w:val="Salutation"/>
    <w:rsid w:val="00CA67D4"/>
    <w:rPr>
      <w:noProof/>
      <w:sz w:val="22"/>
      <w:lang w:eastAsia="en-US"/>
    </w:rPr>
  </w:style>
  <w:style w:type="paragraph" w:styleId="Signature">
    <w:name w:val="Signature"/>
    <w:basedOn w:val="Normal"/>
    <w:link w:val="SignatureChar"/>
    <w:rsid w:val="00CA67D4"/>
    <w:pPr>
      <w:spacing w:after="0"/>
      <w:ind w:left="4252"/>
    </w:pPr>
  </w:style>
  <w:style w:type="character" w:customStyle="1" w:styleId="SignatureChar">
    <w:name w:val="Signature Char"/>
    <w:basedOn w:val="DefaultParagraphFont"/>
    <w:link w:val="Signature"/>
    <w:rsid w:val="00CA67D4"/>
    <w:rPr>
      <w:noProof/>
      <w:sz w:val="22"/>
      <w:lang w:eastAsia="en-US"/>
    </w:rPr>
  </w:style>
  <w:style w:type="character" w:styleId="Strong">
    <w:name w:val="Strong"/>
    <w:basedOn w:val="DefaultParagraphFont"/>
    <w:rsid w:val="00CA67D4"/>
    <w:rPr>
      <w:b/>
      <w:bCs/>
    </w:rPr>
  </w:style>
  <w:style w:type="character" w:styleId="SubtleEmphasis">
    <w:name w:val="Subtle Emphasis"/>
    <w:basedOn w:val="DefaultParagraphFont"/>
    <w:uiPriority w:val="19"/>
    <w:rsid w:val="00CA67D4"/>
    <w:rPr>
      <w:i/>
      <w:iCs/>
      <w:color w:val="808080" w:themeColor="text1" w:themeTint="7F"/>
    </w:rPr>
  </w:style>
  <w:style w:type="character" w:styleId="SubtleReference">
    <w:name w:val="Subtle Reference"/>
    <w:basedOn w:val="DefaultParagraphFont"/>
    <w:uiPriority w:val="31"/>
    <w:rsid w:val="00CA67D4"/>
    <w:rPr>
      <w:smallCaps/>
      <w:color w:val="C0504D" w:themeColor="accent2"/>
      <w:u w:val="single"/>
    </w:rPr>
  </w:style>
  <w:style w:type="table" w:styleId="Table3Deffects1">
    <w:name w:val="Table 3D effects 1"/>
    <w:basedOn w:val="TableNormal"/>
    <w:rsid w:val="00CA67D4"/>
    <w:pPr>
      <w:overflowPunct w:val="0"/>
      <w:autoSpaceDE w:val="0"/>
      <w:autoSpaceDN w:val="0"/>
      <w:adjustRightInd w:val="0"/>
      <w:spacing w:after="240"/>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67D4"/>
    <w:pPr>
      <w:overflowPunct w:val="0"/>
      <w:autoSpaceDE w:val="0"/>
      <w:autoSpaceDN w:val="0"/>
      <w:adjustRightInd w:val="0"/>
      <w:spacing w:after="240"/>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67D4"/>
    <w:pPr>
      <w:overflowPunct w:val="0"/>
      <w:autoSpaceDE w:val="0"/>
      <w:autoSpaceDN w:val="0"/>
      <w:adjustRightInd w:val="0"/>
      <w:spacing w:after="240"/>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67D4"/>
    <w:pPr>
      <w:overflowPunct w:val="0"/>
      <w:autoSpaceDE w:val="0"/>
      <w:autoSpaceDN w:val="0"/>
      <w:adjustRightInd w:val="0"/>
      <w:spacing w:after="240"/>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67D4"/>
    <w:pPr>
      <w:overflowPunct w:val="0"/>
      <w:autoSpaceDE w:val="0"/>
      <w:autoSpaceDN w:val="0"/>
      <w:adjustRightInd w:val="0"/>
      <w:spacing w:after="240"/>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67D4"/>
    <w:pPr>
      <w:overflowPunct w:val="0"/>
      <w:autoSpaceDE w:val="0"/>
      <w:autoSpaceDN w:val="0"/>
      <w:adjustRightInd w:val="0"/>
      <w:spacing w:after="240"/>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67D4"/>
    <w:pPr>
      <w:overflowPunct w:val="0"/>
      <w:autoSpaceDE w:val="0"/>
      <w:autoSpaceDN w:val="0"/>
      <w:adjustRightInd w:val="0"/>
      <w:spacing w:after="240"/>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67D4"/>
    <w:pPr>
      <w:overflowPunct w:val="0"/>
      <w:autoSpaceDE w:val="0"/>
      <w:autoSpaceDN w:val="0"/>
      <w:adjustRightInd w:val="0"/>
      <w:spacing w:after="240"/>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67D4"/>
    <w:pPr>
      <w:overflowPunct w:val="0"/>
      <w:autoSpaceDE w:val="0"/>
      <w:autoSpaceDN w:val="0"/>
      <w:adjustRightInd w:val="0"/>
      <w:spacing w:after="240"/>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67D4"/>
    <w:pPr>
      <w:overflowPunct w:val="0"/>
      <w:autoSpaceDE w:val="0"/>
      <w:autoSpaceDN w:val="0"/>
      <w:adjustRightInd w:val="0"/>
      <w:spacing w:after="240"/>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67D4"/>
    <w:pPr>
      <w:overflowPunct w:val="0"/>
      <w:autoSpaceDE w:val="0"/>
      <w:autoSpaceDN w:val="0"/>
      <w:adjustRightInd w:val="0"/>
      <w:spacing w:after="240"/>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67D4"/>
    <w:pPr>
      <w:overflowPunct w:val="0"/>
      <w:autoSpaceDE w:val="0"/>
      <w:autoSpaceDN w:val="0"/>
      <w:adjustRightInd w:val="0"/>
      <w:spacing w:after="240"/>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67D4"/>
    <w:pPr>
      <w:overflowPunct w:val="0"/>
      <w:autoSpaceDE w:val="0"/>
      <w:autoSpaceDN w:val="0"/>
      <w:adjustRightInd w:val="0"/>
      <w:spacing w:after="24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67D4"/>
    <w:pPr>
      <w:overflowPunct w:val="0"/>
      <w:autoSpaceDE w:val="0"/>
      <w:autoSpaceDN w:val="0"/>
      <w:adjustRightInd w:val="0"/>
      <w:spacing w:after="24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A6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67D4"/>
    <w:pPr>
      <w:overflowPunct w:val="0"/>
      <w:autoSpaceDE w:val="0"/>
      <w:autoSpaceDN w:val="0"/>
      <w:adjustRightInd w:val="0"/>
      <w:spacing w:after="240"/>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67D4"/>
    <w:pPr>
      <w:overflowPunct w:val="0"/>
      <w:autoSpaceDE w:val="0"/>
      <w:autoSpaceDN w:val="0"/>
      <w:adjustRightInd w:val="0"/>
      <w:spacing w:after="240"/>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67D4"/>
    <w:pPr>
      <w:overflowPunct w:val="0"/>
      <w:autoSpaceDE w:val="0"/>
      <w:autoSpaceDN w:val="0"/>
      <w:adjustRightInd w:val="0"/>
      <w:spacing w:after="240"/>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67D4"/>
    <w:pPr>
      <w:overflowPunct w:val="0"/>
      <w:autoSpaceDE w:val="0"/>
      <w:autoSpaceDN w:val="0"/>
      <w:adjustRightInd w:val="0"/>
      <w:spacing w:after="240"/>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67D4"/>
    <w:pPr>
      <w:overflowPunct w:val="0"/>
      <w:autoSpaceDE w:val="0"/>
      <w:autoSpaceDN w:val="0"/>
      <w:adjustRightInd w:val="0"/>
      <w:spacing w:after="240"/>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A67D4"/>
    <w:pPr>
      <w:spacing w:after="0"/>
      <w:ind w:left="220" w:hanging="220"/>
    </w:pPr>
  </w:style>
  <w:style w:type="paragraph" w:styleId="TableofFigures">
    <w:name w:val="table of figures"/>
    <w:basedOn w:val="Normal"/>
    <w:next w:val="Normal"/>
    <w:rsid w:val="00CA67D4"/>
    <w:pPr>
      <w:spacing w:after="0"/>
    </w:pPr>
  </w:style>
  <w:style w:type="table" w:styleId="TableProfessional">
    <w:name w:val="Table Professional"/>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67D4"/>
    <w:pPr>
      <w:overflowPunct w:val="0"/>
      <w:autoSpaceDE w:val="0"/>
      <w:autoSpaceDN w:val="0"/>
      <w:adjustRightInd w:val="0"/>
      <w:spacing w:after="240"/>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67D4"/>
    <w:pPr>
      <w:overflowPunct w:val="0"/>
      <w:autoSpaceDE w:val="0"/>
      <w:autoSpaceDN w:val="0"/>
      <w:adjustRightInd w:val="0"/>
      <w:spacing w:after="240"/>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67D4"/>
    <w:pPr>
      <w:overflowPunct w:val="0"/>
      <w:autoSpaceDE w:val="0"/>
      <w:autoSpaceDN w:val="0"/>
      <w:adjustRightInd w:val="0"/>
      <w:spacing w:after="240"/>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67D4"/>
    <w:pPr>
      <w:overflowPunct w:val="0"/>
      <w:autoSpaceDE w:val="0"/>
      <w:autoSpaceDN w:val="0"/>
      <w:adjustRightInd w:val="0"/>
      <w:spacing w:after="240"/>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67D4"/>
    <w:pPr>
      <w:overflowPunct w:val="0"/>
      <w:autoSpaceDE w:val="0"/>
      <w:autoSpaceDN w:val="0"/>
      <w:adjustRightInd w:val="0"/>
      <w:spacing w:after="24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CA67D4"/>
    <w:pPr>
      <w:overflowPunct w:val="0"/>
      <w:autoSpaceDE w:val="0"/>
      <w:autoSpaceDN w:val="0"/>
      <w:adjustRightInd w:val="0"/>
      <w:spacing w:after="240"/>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67D4"/>
    <w:pPr>
      <w:overflowPunct w:val="0"/>
      <w:autoSpaceDE w:val="0"/>
      <w:autoSpaceDN w:val="0"/>
      <w:adjustRightInd w:val="0"/>
      <w:spacing w:after="24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67D4"/>
    <w:pPr>
      <w:overflowPunct w:val="0"/>
      <w:autoSpaceDE w:val="0"/>
      <w:autoSpaceDN w:val="0"/>
      <w:adjustRightInd w:val="0"/>
      <w:spacing w:after="24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CA67D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CA67D4"/>
    <w:pPr>
      <w:spacing w:after="100"/>
    </w:pPr>
  </w:style>
  <w:style w:type="paragraph" w:styleId="TOC2">
    <w:name w:val="toc 2"/>
    <w:basedOn w:val="Normal"/>
    <w:next w:val="Normal"/>
    <w:autoRedefine/>
    <w:rsid w:val="00CA67D4"/>
    <w:pPr>
      <w:spacing w:after="100"/>
      <w:ind w:left="220"/>
    </w:pPr>
  </w:style>
  <w:style w:type="paragraph" w:styleId="TOC3">
    <w:name w:val="toc 3"/>
    <w:basedOn w:val="Normal"/>
    <w:next w:val="Normal"/>
    <w:autoRedefine/>
    <w:rsid w:val="00CA67D4"/>
    <w:pPr>
      <w:spacing w:after="100"/>
      <w:ind w:left="440"/>
    </w:pPr>
  </w:style>
  <w:style w:type="paragraph" w:styleId="TOC4">
    <w:name w:val="toc 4"/>
    <w:basedOn w:val="Normal"/>
    <w:next w:val="Normal"/>
    <w:autoRedefine/>
    <w:rsid w:val="00CA67D4"/>
    <w:pPr>
      <w:spacing w:after="100"/>
      <w:ind w:left="660"/>
    </w:pPr>
  </w:style>
  <w:style w:type="paragraph" w:styleId="TOC5">
    <w:name w:val="toc 5"/>
    <w:basedOn w:val="Normal"/>
    <w:next w:val="Normal"/>
    <w:autoRedefine/>
    <w:rsid w:val="00CA67D4"/>
    <w:pPr>
      <w:spacing w:after="100"/>
      <w:ind w:left="880"/>
    </w:pPr>
  </w:style>
  <w:style w:type="paragraph" w:styleId="TOC6">
    <w:name w:val="toc 6"/>
    <w:basedOn w:val="Normal"/>
    <w:next w:val="Normal"/>
    <w:autoRedefine/>
    <w:rsid w:val="00CA67D4"/>
    <w:pPr>
      <w:spacing w:after="100"/>
      <w:ind w:left="1100"/>
    </w:pPr>
  </w:style>
  <w:style w:type="paragraph" w:styleId="TOC7">
    <w:name w:val="toc 7"/>
    <w:basedOn w:val="Normal"/>
    <w:next w:val="Normal"/>
    <w:autoRedefine/>
    <w:rsid w:val="00CA67D4"/>
    <w:pPr>
      <w:spacing w:after="100"/>
      <w:ind w:left="1320"/>
    </w:pPr>
  </w:style>
  <w:style w:type="paragraph" w:styleId="TOC8">
    <w:name w:val="toc 8"/>
    <w:basedOn w:val="Normal"/>
    <w:next w:val="Normal"/>
    <w:autoRedefine/>
    <w:rsid w:val="00CA67D4"/>
    <w:pPr>
      <w:spacing w:after="100"/>
      <w:ind w:left="1540"/>
    </w:pPr>
  </w:style>
  <w:style w:type="paragraph" w:styleId="TOC9">
    <w:name w:val="toc 9"/>
    <w:basedOn w:val="Normal"/>
    <w:next w:val="Normal"/>
    <w:autoRedefine/>
    <w:rsid w:val="00CA67D4"/>
    <w:pPr>
      <w:spacing w:after="100"/>
      <w:ind w:left="1760"/>
    </w:pPr>
  </w:style>
  <w:style w:type="paragraph" w:styleId="TOCHeading">
    <w:name w:val="TOC Heading"/>
    <w:basedOn w:val="Heading1"/>
    <w:next w:val="Normal"/>
    <w:uiPriority w:val="39"/>
    <w:semiHidden/>
    <w:unhideWhenUsed/>
    <w:qFormat/>
    <w:rsid w:val="00CA67D4"/>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pPr>
      <w:overflowPunct w:val="0"/>
      <w:autoSpaceDE w:val="0"/>
      <w:autoSpaceDN w:val="0"/>
      <w:adjustRightInd w:val="0"/>
      <w:spacing w:after="240"/>
      <w:jc w:val="both"/>
      <w:textAlignment w:val="baseline"/>
    </w:pPr>
    <w:rPr>
      <w:noProof/>
      <w:sz w:val="22"/>
      <w:lang w:eastAsia="en-US"/>
    </w:rPr>
  </w:style>
  <w:style w:type="paragraph" w:styleId="Heading1">
    <w:name w:val="heading 1"/>
    <w:next w:val="BodyText"/>
    <w:qFormat/>
    <w:pPr>
      <w:keepNext/>
      <w:numPr>
        <w:numId w:val="1"/>
      </w:numPr>
      <w:tabs>
        <w:tab w:val="clear" w:pos="360"/>
        <w:tab w:val="num" w:pos="426"/>
      </w:tabs>
      <w:overflowPunct w:val="0"/>
      <w:autoSpaceDE w:val="0"/>
      <w:autoSpaceDN w:val="0"/>
      <w:adjustRightInd w:val="0"/>
      <w:spacing w:after="240"/>
      <w:ind w:left="426" w:hanging="426"/>
      <w:jc w:val="both"/>
      <w:textAlignment w:val="baseline"/>
      <w:outlineLvl w:val="0"/>
    </w:pPr>
    <w:rPr>
      <w:b/>
      <w:noProof/>
      <w:kern w:val="28"/>
      <w:sz w:val="24"/>
      <w:lang w:val="en-US" w:eastAsia="en-US"/>
    </w:rPr>
  </w:style>
  <w:style w:type="paragraph" w:styleId="Heading2">
    <w:name w:val="heading 2"/>
    <w:next w:val="BodyText"/>
    <w:qFormat/>
    <w:pPr>
      <w:keepNext/>
      <w:numPr>
        <w:ilvl w:val="1"/>
        <w:numId w:val="1"/>
      </w:numPr>
      <w:tabs>
        <w:tab w:val="clear" w:pos="360"/>
        <w:tab w:val="num" w:pos="567"/>
      </w:tabs>
      <w:overflowPunct w:val="0"/>
      <w:autoSpaceDE w:val="0"/>
      <w:autoSpaceDN w:val="0"/>
      <w:adjustRightInd w:val="0"/>
      <w:spacing w:after="240"/>
      <w:ind w:left="567" w:hanging="567"/>
      <w:jc w:val="both"/>
      <w:textAlignment w:val="baseline"/>
      <w:outlineLvl w:val="1"/>
    </w:pPr>
    <w:rPr>
      <w:b/>
      <w:i/>
      <w:noProof/>
      <w:sz w:val="24"/>
      <w:lang w:val="en-US" w:eastAsia="en-US"/>
    </w:rPr>
  </w:style>
  <w:style w:type="paragraph" w:styleId="Heading3">
    <w:name w:val="heading 3"/>
    <w:next w:val="BodyText"/>
    <w:qFormat/>
    <w:pPr>
      <w:keepNext/>
      <w:numPr>
        <w:ilvl w:val="2"/>
        <w:numId w:val="1"/>
      </w:numPr>
      <w:tabs>
        <w:tab w:val="clear" w:pos="720"/>
        <w:tab w:val="num" w:pos="709"/>
      </w:tabs>
      <w:overflowPunct w:val="0"/>
      <w:autoSpaceDE w:val="0"/>
      <w:autoSpaceDN w:val="0"/>
      <w:adjustRightInd w:val="0"/>
      <w:spacing w:after="240"/>
      <w:ind w:left="709" w:hanging="709"/>
      <w:jc w:val="both"/>
      <w:textAlignment w:val="baseline"/>
      <w:outlineLvl w:val="2"/>
    </w:pPr>
    <w:rPr>
      <w:i/>
      <w:noProof/>
      <w:sz w:val="24"/>
      <w:lang w:val="en-US" w:eastAsia="en-US"/>
    </w:rPr>
  </w:style>
  <w:style w:type="paragraph" w:styleId="Heading4">
    <w:name w:val="heading 4"/>
    <w:next w:val="BodyText"/>
    <w:qFormat/>
    <w:pPr>
      <w:keepNext/>
      <w:numPr>
        <w:ilvl w:val="3"/>
        <w:numId w:val="1"/>
      </w:numPr>
      <w:tabs>
        <w:tab w:val="clear" w:pos="720"/>
        <w:tab w:val="num" w:pos="851"/>
        <w:tab w:val="left" w:pos="907"/>
      </w:tabs>
      <w:overflowPunct w:val="0"/>
      <w:autoSpaceDE w:val="0"/>
      <w:autoSpaceDN w:val="0"/>
      <w:adjustRightInd w:val="0"/>
      <w:spacing w:after="240"/>
      <w:ind w:left="851" w:hanging="851"/>
      <w:jc w:val="both"/>
      <w:textAlignment w:val="baseline"/>
      <w:outlineLvl w:val="3"/>
    </w:pPr>
    <w:rPr>
      <w:noProof/>
      <w:sz w:val="24"/>
      <w:lang w:val="en-US" w:eastAsia="en-US"/>
    </w:rPr>
  </w:style>
  <w:style w:type="paragraph" w:styleId="Heading5">
    <w:name w:val="heading 5"/>
    <w:next w:val="BodyText"/>
    <w:pPr>
      <w:numPr>
        <w:ilvl w:val="4"/>
        <w:numId w:val="1"/>
      </w:numPr>
      <w:overflowPunct w:val="0"/>
      <w:autoSpaceDE w:val="0"/>
      <w:autoSpaceDN w:val="0"/>
      <w:adjustRightInd w:val="0"/>
      <w:spacing w:after="240"/>
      <w:textAlignment w:val="baseline"/>
      <w:outlineLvl w:val="4"/>
    </w:pPr>
    <w:rPr>
      <w:b/>
      <w:i/>
      <w:noProof/>
      <w:sz w:val="24"/>
      <w:lang w:val="en-US" w:eastAsia="en-US"/>
    </w:rPr>
  </w:style>
  <w:style w:type="paragraph" w:styleId="Heading6">
    <w:name w:val="heading 6"/>
    <w:basedOn w:val="Heading5"/>
    <w:next w:val="BodyText"/>
    <w:pPr>
      <w:numPr>
        <w:ilvl w:val="5"/>
      </w:numPr>
      <w:outlineLvl w:val="5"/>
    </w:pPr>
  </w:style>
  <w:style w:type="paragraph" w:styleId="Heading7">
    <w:name w:val="heading 7"/>
    <w:basedOn w:val="Heading5"/>
    <w:next w:val="BodyText"/>
    <w:pPr>
      <w:numPr>
        <w:ilvl w:val="6"/>
      </w:numPr>
      <w:outlineLvl w:val="6"/>
    </w:pPr>
  </w:style>
  <w:style w:type="paragraph" w:styleId="Heading8">
    <w:name w:val="heading 8"/>
    <w:basedOn w:val="Heading5"/>
    <w:next w:val="BodyText"/>
    <w:pPr>
      <w:numPr>
        <w:ilvl w:val="7"/>
      </w:numPr>
      <w:outlineLvl w:val="7"/>
    </w:pPr>
  </w:style>
  <w:style w:type="paragraph" w:styleId="Heading9">
    <w:name w:val="heading 9"/>
    <w:basedOn w:val="Heading5"/>
    <w:next w:val="BodyTex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Header">
    <w:name w:val="header"/>
    <w:pPr>
      <w:tabs>
        <w:tab w:val="center" w:pos="4153"/>
        <w:tab w:val="right" w:pos="9072"/>
      </w:tabs>
      <w:overflowPunct w:val="0"/>
      <w:autoSpaceDE w:val="0"/>
      <w:autoSpaceDN w:val="0"/>
      <w:adjustRightInd w:val="0"/>
      <w:jc w:val="center"/>
      <w:textAlignment w:val="baseline"/>
    </w:pPr>
    <w:rPr>
      <w:b/>
      <w:noProof/>
      <w:sz w:val="22"/>
      <w:lang w:val="en-US" w:eastAsia="en-US"/>
    </w:rPr>
  </w:style>
  <w:style w:type="paragraph" w:styleId="Footer">
    <w:name w:val="footer"/>
    <w:pPr>
      <w:tabs>
        <w:tab w:val="center" w:pos="4153"/>
        <w:tab w:val="right" w:pos="9072"/>
      </w:tabs>
      <w:overflowPunct w:val="0"/>
      <w:autoSpaceDE w:val="0"/>
      <w:autoSpaceDN w:val="0"/>
      <w:adjustRightInd w:val="0"/>
      <w:textAlignment w:val="baseline"/>
    </w:pPr>
    <w:rPr>
      <w:noProof/>
      <w:sz w:val="22"/>
      <w:lang w:val="en-US" w:eastAsia="en-US"/>
    </w:rPr>
  </w:style>
  <w:style w:type="paragraph" w:customStyle="1" w:styleId="BodyTextAbstract">
    <w:name w:val="Body Text Abstract"/>
    <w:basedOn w:val="BodyText"/>
    <w:rPr>
      <w:sz w:val="20"/>
    </w:rPr>
  </w:style>
  <w:style w:type="paragraph" w:customStyle="1" w:styleId="Heading1Type">
    <w:name w:val="Heading 1 Type"/>
    <w:basedOn w:val="Normal"/>
    <w:next w:val="BodyText"/>
    <w:pPr>
      <w:keepNext/>
      <w:keepLines/>
      <w:jc w:val="center"/>
    </w:pPr>
    <w:rPr>
      <w:b/>
      <w:caps/>
    </w:rPr>
  </w:style>
  <w:style w:type="paragraph" w:customStyle="1" w:styleId="IAEATableFootnote">
    <w:name w:val="IAEA Table Footnote"/>
    <w:basedOn w:val="Normal"/>
    <w:pPr>
      <w:keepNext/>
      <w:keepLines/>
      <w:overflowPunct/>
      <w:autoSpaceDE/>
      <w:autoSpaceDN/>
      <w:adjustRightInd/>
      <w:spacing w:before="60" w:after="0"/>
      <w:jc w:val="left"/>
      <w:textAlignment w:val="auto"/>
    </w:pPr>
    <w:rPr>
      <w:noProof w:val="0"/>
    </w:rPr>
  </w:style>
  <w:style w:type="paragraph" w:customStyle="1" w:styleId="IAEAFigureCaption">
    <w:name w:val="IAEA Figure Caption"/>
    <w:basedOn w:val="Normal"/>
    <w:pPr>
      <w:overflowPunct/>
      <w:autoSpaceDE/>
      <w:autoSpaceDN/>
      <w:adjustRightInd/>
      <w:jc w:val="center"/>
      <w:textAlignment w:val="auto"/>
    </w:pPr>
    <w:rPr>
      <w:i/>
      <w:noProof w:val="0"/>
    </w:rPr>
  </w:style>
  <w:style w:type="paragraph" w:customStyle="1" w:styleId="IAEATableCaption">
    <w:name w:val="IAEA Table Caption"/>
    <w:basedOn w:val="IAEAFigureCaption"/>
    <w:pPr>
      <w:keepNext/>
      <w:keepLines/>
      <w:spacing w:after="120"/>
      <w:jc w:val="both"/>
    </w:pPr>
    <w:rPr>
      <w:i w:val="0"/>
    </w:rPr>
  </w:style>
  <w:style w:type="paragraph" w:customStyle="1" w:styleId="IAEAReferenceText">
    <w:name w:val="IAEA Reference Text"/>
    <w:basedOn w:val="BodyText"/>
    <w:pPr>
      <w:spacing w:after="0"/>
    </w:pPr>
  </w:style>
  <w:style w:type="paragraph" w:styleId="Subtitle">
    <w:name w:val="Subtitle"/>
    <w:basedOn w:val="Normal"/>
    <w:pPr>
      <w:spacing w:after="480"/>
      <w:ind w:left="567"/>
      <w:jc w:val="left"/>
    </w:pPr>
    <w:rPr>
      <w:b/>
      <w:i/>
      <w:sz w:val="28"/>
      <w:szCs w:val="24"/>
    </w:rPr>
  </w:style>
  <w:style w:type="paragraph" w:styleId="Title">
    <w:name w:val="Title"/>
    <w:basedOn w:val="Normal"/>
    <w:pPr>
      <w:keepNext/>
      <w:spacing w:before="640" w:after="0"/>
      <w:ind w:left="567"/>
      <w:jc w:val="left"/>
      <w:outlineLvl w:val="0"/>
    </w:pPr>
    <w:rPr>
      <w:b/>
      <w:bCs/>
      <w:kern w:val="28"/>
      <w:sz w:val="28"/>
      <w:szCs w:val="32"/>
    </w:rPr>
  </w:style>
  <w:style w:type="paragraph" w:customStyle="1" w:styleId="IAEAAuthors">
    <w:name w:val="IAEA Authors"/>
    <w:basedOn w:val="BodyText"/>
    <w:next w:val="BodyText"/>
    <w:rPr>
      <w:b/>
      <w:sz w:val="24"/>
    </w:rPr>
  </w:style>
  <w:style w:type="paragraph" w:customStyle="1" w:styleId="IAEAInstitutes">
    <w:name w:val="IAEA Institutes"/>
    <w:basedOn w:val="BodyText"/>
    <w:next w:val="BodyText"/>
    <w:pPr>
      <w:jc w:val="left"/>
    </w:pPr>
    <w:rPr>
      <w:sz w:val="24"/>
    </w:rPr>
  </w:style>
  <w:style w:type="paragraph" w:customStyle="1" w:styleId="BodyTextList">
    <w:name w:val="Body Text List"/>
    <w:basedOn w:val="BodyText"/>
    <w:pPr>
      <w:spacing w:after="0"/>
    </w:pPr>
  </w:style>
  <w:style w:type="paragraph" w:customStyle="1" w:styleId="IAEATableHeading">
    <w:name w:val="IAEA Table Heading"/>
    <w:basedOn w:val="IAEAFigureCaption"/>
    <w:pPr>
      <w:keepNext/>
      <w:keepLines/>
      <w:spacing w:after="120"/>
      <w:jc w:val="both"/>
    </w:pPr>
    <w:rPr>
      <w:i w:val="0"/>
    </w:rPr>
  </w:style>
  <w:style w:type="character" w:styleId="PageNumber">
    <w:name w:val="page number"/>
    <w:basedOn w:val="DefaultParagraphFont"/>
  </w:style>
  <w:style w:type="paragraph" w:styleId="FootnoteText">
    <w:name w:val="footnote text"/>
    <w:basedOn w:val="Normal"/>
    <w:semiHidden/>
    <w:pPr>
      <w:spacing w:after="0"/>
    </w:pPr>
    <w:rPr>
      <w:sz w:val="20"/>
    </w:rPr>
  </w:style>
  <w:style w:type="character" w:styleId="FootnoteReference">
    <w:name w:val="footnote reference"/>
    <w:basedOn w:val="DefaultParagraphFont"/>
    <w:semiHidden/>
    <w:rPr>
      <w:vertAlign w:val="superscript"/>
    </w:rPr>
  </w:style>
  <w:style w:type="paragraph" w:styleId="Caption">
    <w:name w:val="caption"/>
    <w:basedOn w:val="Normal"/>
    <w:next w:val="Normal"/>
    <w:pPr>
      <w:spacing w:before="120" w:after="120"/>
    </w:pPr>
    <w:rPr>
      <w:b/>
      <w:bCs/>
      <w:sz w:val="20"/>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BalloonText">
    <w:name w:val="Balloon Text"/>
    <w:basedOn w:val="Normal"/>
    <w:link w:val="BalloonTextChar"/>
    <w:rsid w:val="00866BAB"/>
    <w:pPr>
      <w:spacing w:after="0"/>
    </w:pPr>
    <w:rPr>
      <w:rFonts w:ascii="Tahoma" w:hAnsi="Tahoma" w:cs="Tahoma"/>
      <w:sz w:val="16"/>
      <w:szCs w:val="16"/>
    </w:rPr>
  </w:style>
  <w:style w:type="character" w:customStyle="1" w:styleId="BalloonTextChar">
    <w:name w:val="Balloon Text Char"/>
    <w:basedOn w:val="DefaultParagraphFont"/>
    <w:link w:val="BalloonText"/>
    <w:rsid w:val="00866BAB"/>
    <w:rPr>
      <w:rFonts w:ascii="Tahoma" w:hAnsi="Tahoma" w:cs="Tahoma"/>
      <w:noProof/>
      <w:sz w:val="16"/>
      <w:szCs w:val="16"/>
      <w:lang w:eastAsia="en-US"/>
    </w:rPr>
  </w:style>
  <w:style w:type="numbering" w:styleId="111111">
    <w:name w:val="Outline List 2"/>
    <w:basedOn w:val="NoList"/>
    <w:rsid w:val="00CA67D4"/>
    <w:pPr>
      <w:numPr>
        <w:numId w:val="4"/>
      </w:numPr>
    </w:pPr>
  </w:style>
  <w:style w:type="numbering" w:styleId="1ai">
    <w:name w:val="Outline List 1"/>
    <w:basedOn w:val="NoList"/>
    <w:rsid w:val="00CA67D4"/>
    <w:pPr>
      <w:numPr>
        <w:numId w:val="5"/>
      </w:numPr>
    </w:pPr>
  </w:style>
  <w:style w:type="numbering" w:styleId="ArticleSection">
    <w:name w:val="Outline List 3"/>
    <w:basedOn w:val="NoList"/>
    <w:rsid w:val="00CA67D4"/>
    <w:pPr>
      <w:numPr>
        <w:numId w:val="6"/>
      </w:numPr>
    </w:pPr>
  </w:style>
  <w:style w:type="paragraph" w:styleId="Bibliography">
    <w:name w:val="Bibliography"/>
    <w:basedOn w:val="Normal"/>
    <w:next w:val="Normal"/>
    <w:uiPriority w:val="37"/>
    <w:semiHidden/>
    <w:unhideWhenUsed/>
    <w:rsid w:val="00CA67D4"/>
  </w:style>
  <w:style w:type="paragraph" w:styleId="BlockText">
    <w:name w:val="Block Text"/>
    <w:basedOn w:val="Normal"/>
    <w:rsid w:val="00CA67D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CA67D4"/>
    <w:pPr>
      <w:spacing w:after="120" w:line="480" w:lineRule="auto"/>
    </w:pPr>
  </w:style>
  <w:style w:type="character" w:customStyle="1" w:styleId="BodyText2Char">
    <w:name w:val="Body Text 2 Char"/>
    <w:basedOn w:val="DefaultParagraphFont"/>
    <w:link w:val="BodyText2"/>
    <w:rsid w:val="00CA67D4"/>
    <w:rPr>
      <w:noProof/>
      <w:sz w:val="22"/>
      <w:lang w:eastAsia="en-US"/>
    </w:rPr>
  </w:style>
  <w:style w:type="paragraph" w:styleId="BodyText3">
    <w:name w:val="Body Text 3"/>
    <w:basedOn w:val="Normal"/>
    <w:link w:val="BodyText3Char"/>
    <w:rsid w:val="00CA67D4"/>
    <w:pPr>
      <w:spacing w:after="120"/>
    </w:pPr>
    <w:rPr>
      <w:sz w:val="16"/>
      <w:szCs w:val="16"/>
    </w:rPr>
  </w:style>
  <w:style w:type="character" w:customStyle="1" w:styleId="BodyText3Char">
    <w:name w:val="Body Text 3 Char"/>
    <w:basedOn w:val="DefaultParagraphFont"/>
    <w:link w:val="BodyText3"/>
    <w:rsid w:val="00CA67D4"/>
    <w:rPr>
      <w:noProof/>
      <w:sz w:val="16"/>
      <w:szCs w:val="16"/>
      <w:lang w:eastAsia="en-US"/>
    </w:rPr>
  </w:style>
  <w:style w:type="paragraph" w:styleId="BodyTextFirstIndent">
    <w:name w:val="Body Text First Indent"/>
    <w:basedOn w:val="BodyText"/>
    <w:link w:val="BodyTextFirstIndentChar"/>
    <w:rsid w:val="00CA67D4"/>
    <w:pPr>
      <w:ind w:firstLine="360"/>
    </w:pPr>
  </w:style>
  <w:style w:type="character" w:customStyle="1" w:styleId="BodyTextChar">
    <w:name w:val="Body Text Char"/>
    <w:basedOn w:val="DefaultParagraphFont"/>
    <w:link w:val="BodyText"/>
    <w:rsid w:val="00CA67D4"/>
    <w:rPr>
      <w:noProof/>
      <w:sz w:val="22"/>
      <w:lang w:eastAsia="en-US"/>
    </w:rPr>
  </w:style>
  <w:style w:type="character" w:customStyle="1" w:styleId="BodyTextFirstIndentChar">
    <w:name w:val="Body Text First Indent Char"/>
    <w:basedOn w:val="BodyTextChar"/>
    <w:link w:val="BodyTextFirstIndent"/>
    <w:rsid w:val="00CA67D4"/>
    <w:rPr>
      <w:noProof/>
      <w:sz w:val="22"/>
      <w:lang w:eastAsia="en-US"/>
    </w:rPr>
  </w:style>
  <w:style w:type="paragraph" w:styleId="BodyTextIndent">
    <w:name w:val="Body Text Indent"/>
    <w:basedOn w:val="Normal"/>
    <w:link w:val="BodyTextIndentChar"/>
    <w:rsid w:val="00CA67D4"/>
    <w:pPr>
      <w:spacing w:after="120"/>
      <w:ind w:left="283"/>
    </w:pPr>
  </w:style>
  <w:style w:type="character" w:customStyle="1" w:styleId="BodyTextIndentChar">
    <w:name w:val="Body Text Indent Char"/>
    <w:basedOn w:val="DefaultParagraphFont"/>
    <w:link w:val="BodyTextIndent"/>
    <w:rsid w:val="00CA67D4"/>
    <w:rPr>
      <w:noProof/>
      <w:sz w:val="22"/>
      <w:lang w:eastAsia="en-US"/>
    </w:rPr>
  </w:style>
  <w:style w:type="paragraph" w:styleId="BodyTextFirstIndent2">
    <w:name w:val="Body Text First Indent 2"/>
    <w:basedOn w:val="BodyTextIndent"/>
    <w:link w:val="BodyTextFirstIndent2Char"/>
    <w:rsid w:val="00CA67D4"/>
    <w:pPr>
      <w:spacing w:after="240"/>
      <w:ind w:left="360" w:firstLine="360"/>
    </w:pPr>
  </w:style>
  <w:style w:type="character" w:customStyle="1" w:styleId="BodyTextFirstIndent2Char">
    <w:name w:val="Body Text First Indent 2 Char"/>
    <w:basedOn w:val="BodyTextIndentChar"/>
    <w:link w:val="BodyTextFirstIndent2"/>
    <w:rsid w:val="00CA67D4"/>
    <w:rPr>
      <w:noProof/>
      <w:sz w:val="22"/>
      <w:lang w:eastAsia="en-US"/>
    </w:rPr>
  </w:style>
  <w:style w:type="paragraph" w:styleId="BodyTextIndent2">
    <w:name w:val="Body Text Indent 2"/>
    <w:basedOn w:val="Normal"/>
    <w:link w:val="BodyTextIndent2Char"/>
    <w:rsid w:val="00CA67D4"/>
    <w:pPr>
      <w:spacing w:after="120" w:line="480" w:lineRule="auto"/>
      <w:ind w:left="283"/>
    </w:pPr>
  </w:style>
  <w:style w:type="character" w:customStyle="1" w:styleId="BodyTextIndent2Char">
    <w:name w:val="Body Text Indent 2 Char"/>
    <w:basedOn w:val="DefaultParagraphFont"/>
    <w:link w:val="BodyTextIndent2"/>
    <w:rsid w:val="00CA67D4"/>
    <w:rPr>
      <w:noProof/>
      <w:sz w:val="22"/>
      <w:lang w:eastAsia="en-US"/>
    </w:rPr>
  </w:style>
  <w:style w:type="paragraph" w:styleId="BodyTextIndent3">
    <w:name w:val="Body Text Indent 3"/>
    <w:basedOn w:val="Normal"/>
    <w:link w:val="BodyTextIndent3Char"/>
    <w:rsid w:val="00CA67D4"/>
    <w:pPr>
      <w:spacing w:after="120"/>
      <w:ind w:left="283"/>
    </w:pPr>
    <w:rPr>
      <w:sz w:val="16"/>
      <w:szCs w:val="16"/>
    </w:rPr>
  </w:style>
  <w:style w:type="character" w:customStyle="1" w:styleId="BodyTextIndent3Char">
    <w:name w:val="Body Text Indent 3 Char"/>
    <w:basedOn w:val="DefaultParagraphFont"/>
    <w:link w:val="BodyTextIndent3"/>
    <w:rsid w:val="00CA67D4"/>
    <w:rPr>
      <w:noProof/>
      <w:sz w:val="16"/>
      <w:szCs w:val="16"/>
      <w:lang w:eastAsia="en-US"/>
    </w:rPr>
  </w:style>
  <w:style w:type="character" w:styleId="BookTitle">
    <w:name w:val="Book Title"/>
    <w:basedOn w:val="DefaultParagraphFont"/>
    <w:uiPriority w:val="33"/>
    <w:rsid w:val="00CA67D4"/>
    <w:rPr>
      <w:b/>
      <w:bCs/>
      <w:smallCaps/>
      <w:spacing w:val="5"/>
    </w:rPr>
  </w:style>
  <w:style w:type="paragraph" w:styleId="Closing">
    <w:name w:val="Closing"/>
    <w:basedOn w:val="Normal"/>
    <w:link w:val="ClosingChar"/>
    <w:rsid w:val="00CA67D4"/>
    <w:pPr>
      <w:spacing w:after="0"/>
      <w:ind w:left="4252"/>
    </w:pPr>
  </w:style>
  <w:style w:type="character" w:customStyle="1" w:styleId="ClosingChar">
    <w:name w:val="Closing Char"/>
    <w:basedOn w:val="DefaultParagraphFont"/>
    <w:link w:val="Closing"/>
    <w:rsid w:val="00CA67D4"/>
    <w:rPr>
      <w:noProof/>
      <w:sz w:val="22"/>
      <w:lang w:eastAsia="en-US"/>
    </w:rPr>
  </w:style>
  <w:style w:type="table" w:styleId="ColorfulGrid">
    <w:name w:val="Colorful Grid"/>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A67D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A67D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A67D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A67D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A67D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A67D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A67D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CA67D4"/>
    <w:rPr>
      <w:sz w:val="16"/>
      <w:szCs w:val="16"/>
    </w:rPr>
  </w:style>
  <w:style w:type="paragraph" w:styleId="CommentText">
    <w:name w:val="annotation text"/>
    <w:basedOn w:val="Normal"/>
    <w:link w:val="CommentTextChar"/>
    <w:rsid w:val="00CA67D4"/>
    <w:rPr>
      <w:sz w:val="20"/>
    </w:rPr>
  </w:style>
  <w:style w:type="character" w:customStyle="1" w:styleId="CommentTextChar">
    <w:name w:val="Comment Text Char"/>
    <w:basedOn w:val="DefaultParagraphFont"/>
    <w:link w:val="CommentText"/>
    <w:rsid w:val="00CA67D4"/>
    <w:rPr>
      <w:noProof/>
      <w:lang w:eastAsia="en-US"/>
    </w:rPr>
  </w:style>
  <w:style w:type="paragraph" w:styleId="CommentSubject">
    <w:name w:val="annotation subject"/>
    <w:basedOn w:val="CommentText"/>
    <w:next w:val="CommentText"/>
    <w:link w:val="CommentSubjectChar"/>
    <w:rsid w:val="00CA67D4"/>
    <w:rPr>
      <w:b/>
      <w:bCs/>
    </w:rPr>
  </w:style>
  <w:style w:type="character" w:customStyle="1" w:styleId="CommentSubjectChar">
    <w:name w:val="Comment Subject Char"/>
    <w:basedOn w:val="CommentTextChar"/>
    <w:link w:val="CommentSubject"/>
    <w:rsid w:val="00CA67D4"/>
    <w:rPr>
      <w:b/>
      <w:bCs/>
      <w:noProof/>
      <w:lang w:eastAsia="en-US"/>
    </w:rPr>
  </w:style>
  <w:style w:type="table" w:styleId="DarkList">
    <w:name w:val="Dark List"/>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A67D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CA67D4"/>
  </w:style>
  <w:style w:type="character" w:customStyle="1" w:styleId="DateChar">
    <w:name w:val="Date Char"/>
    <w:basedOn w:val="DefaultParagraphFont"/>
    <w:link w:val="Date"/>
    <w:rsid w:val="00CA67D4"/>
    <w:rPr>
      <w:noProof/>
      <w:sz w:val="22"/>
      <w:lang w:eastAsia="en-US"/>
    </w:rPr>
  </w:style>
  <w:style w:type="paragraph" w:styleId="DocumentMap">
    <w:name w:val="Document Map"/>
    <w:basedOn w:val="Normal"/>
    <w:link w:val="DocumentMapChar"/>
    <w:rsid w:val="00CA67D4"/>
    <w:pPr>
      <w:spacing w:after="0"/>
    </w:pPr>
    <w:rPr>
      <w:rFonts w:ascii="Tahoma" w:hAnsi="Tahoma" w:cs="Tahoma"/>
      <w:sz w:val="16"/>
      <w:szCs w:val="16"/>
    </w:rPr>
  </w:style>
  <w:style w:type="character" w:customStyle="1" w:styleId="DocumentMapChar">
    <w:name w:val="Document Map Char"/>
    <w:basedOn w:val="DefaultParagraphFont"/>
    <w:link w:val="DocumentMap"/>
    <w:rsid w:val="00CA67D4"/>
    <w:rPr>
      <w:rFonts w:ascii="Tahoma" w:hAnsi="Tahoma" w:cs="Tahoma"/>
      <w:noProof/>
      <w:sz w:val="16"/>
      <w:szCs w:val="16"/>
      <w:lang w:eastAsia="en-US"/>
    </w:rPr>
  </w:style>
  <w:style w:type="paragraph" w:styleId="E-mailSignature">
    <w:name w:val="E-mail Signature"/>
    <w:basedOn w:val="Normal"/>
    <w:link w:val="E-mailSignatureChar"/>
    <w:rsid w:val="00CA67D4"/>
    <w:pPr>
      <w:spacing w:after="0"/>
    </w:pPr>
  </w:style>
  <w:style w:type="character" w:customStyle="1" w:styleId="E-mailSignatureChar">
    <w:name w:val="E-mail Signature Char"/>
    <w:basedOn w:val="DefaultParagraphFont"/>
    <w:link w:val="E-mailSignature"/>
    <w:rsid w:val="00CA67D4"/>
    <w:rPr>
      <w:noProof/>
      <w:sz w:val="22"/>
      <w:lang w:eastAsia="en-US"/>
    </w:rPr>
  </w:style>
  <w:style w:type="character" w:styleId="Emphasis">
    <w:name w:val="Emphasis"/>
    <w:basedOn w:val="DefaultParagraphFont"/>
    <w:rsid w:val="00CA67D4"/>
    <w:rPr>
      <w:i/>
      <w:iCs/>
    </w:rPr>
  </w:style>
  <w:style w:type="paragraph" w:styleId="EnvelopeAddress">
    <w:name w:val="envelope address"/>
    <w:basedOn w:val="Normal"/>
    <w:rsid w:val="00CA67D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67D4"/>
    <w:pPr>
      <w:spacing w:after="0"/>
    </w:pPr>
    <w:rPr>
      <w:rFonts w:asciiTheme="majorHAnsi" w:eastAsiaTheme="majorEastAsia" w:hAnsiTheme="majorHAnsi" w:cstheme="majorBidi"/>
      <w:sz w:val="20"/>
    </w:rPr>
  </w:style>
  <w:style w:type="character" w:styleId="FollowedHyperlink">
    <w:name w:val="FollowedHyperlink"/>
    <w:basedOn w:val="DefaultParagraphFont"/>
    <w:rsid w:val="00CA67D4"/>
    <w:rPr>
      <w:color w:val="800080" w:themeColor="followedHyperlink"/>
      <w:u w:val="single"/>
    </w:rPr>
  </w:style>
  <w:style w:type="character" w:styleId="HTMLAcronym">
    <w:name w:val="HTML Acronym"/>
    <w:basedOn w:val="DefaultParagraphFont"/>
    <w:rsid w:val="00CA67D4"/>
  </w:style>
  <w:style w:type="paragraph" w:styleId="HTMLAddress">
    <w:name w:val="HTML Address"/>
    <w:basedOn w:val="Normal"/>
    <w:link w:val="HTMLAddressChar"/>
    <w:rsid w:val="00CA67D4"/>
    <w:pPr>
      <w:spacing w:after="0"/>
    </w:pPr>
    <w:rPr>
      <w:i/>
      <w:iCs/>
    </w:rPr>
  </w:style>
  <w:style w:type="character" w:customStyle="1" w:styleId="HTMLAddressChar">
    <w:name w:val="HTML Address Char"/>
    <w:basedOn w:val="DefaultParagraphFont"/>
    <w:link w:val="HTMLAddress"/>
    <w:rsid w:val="00CA67D4"/>
    <w:rPr>
      <w:i/>
      <w:iCs/>
      <w:noProof/>
      <w:sz w:val="22"/>
      <w:lang w:eastAsia="en-US"/>
    </w:rPr>
  </w:style>
  <w:style w:type="character" w:styleId="HTMLCite">
    <w:name w:val="HTML Cite"/>
    <w:basedOn w:val="DefaultParagraphFont"/>
    <w:rsid w:val="00CA67D4"/>
    <w:rPr>
      <w:i/>
      <w:iCs/>
    </w:rPr>
  </w:style>
  <w:style w:type="character" w:styleId="HTMLCode">
    <w:name w:val="HTML Code"/>
    <w:basedOn w:val="DefaultParagraphFont"/>
    <w:rsid w:val="00CA67D4"/>
    <w:rPr>
      <w:rFonts w:ascii="Consolas" w:hAnsi="Consolas" w:cs="Consolas"/>
      <w:sz w:val="20"/>
      <w:szCs w:val="20"/>
    </w:rPr>
  </w:style>
  <w:style w:type="character" w:styleId="HTMLDefinition">
    <w:name w:val="HTML Definition"/>
    <w:basedOn w:val="DefaultParagraphFont"/>
    <w:rsid w:val="00CA67D4"/>
    <w:rPr>
      <w:i/>
      <w:iCs/>
    </w:rPr>
  </w:style>
  <w:style w:type="character" w:styleId="HTMLKeyboard">
    <w:name w:val="HTML Keyboard"/>
    <w:basedOn w:val="DefaultParagraphFont"/>
    <w:rsid w:val="00CA67D4"/>
    <w:rPr>
      <w:rFonts w:ascii="Consolas" w:hAnsi="Consolas" w:cs="Consolas"/>
      <w:sz w:val="20"/>
      <w:szCs w:val="20"/>
    </w:rPr>
  </w:style>
  <w:style w:type="paragraph" w:styleId="HTMLPreformatted">
    <w:name w:val="HTML Preformatted"/>
    <w:basedOn w:val="Normal"/>
    <w:link w:val="HTMLPreformattedChar"/>
    <w:rsid w:val="00CA67D4"/>
    <w:pPr>
      <w:spacing w:after="0"/>
    </w:pPr>
    <w:rPr>
      <w:rFonts w:ascii="Consolas" w:hAnsi="Consolas" w:cs="Consolas"/>
      <w:sz w:val="20"/>
    </w:rPr>
  </w:style>
  <w:style w:type="character" w:customStyle="1" w:styleId="HTMLPreformattedChar">
    <w:name w:val="HTML Preformatted Char"/>
    <w:basedOn w:val="DefaultParagraphFont"/>
    <w:link w:val="HTMLPreformatted"/>
    <w:rsid w:val="00CA67D4"/>
    <w:rPr>
      <w:rFonts w:ascii="Consolas" w:hAnsi="Consolas" w:cs="Consolas"/>
      <w:noProof/>
      <w:lang w:eastAsia="en-US"/>
    </w:rPr>
  </w:style>
  <w:style w:type="character" w:styleId="HTMLSample">
    <w:name w:val="HTML Sample"/>
    <w:basedOn w:val="DefaultParagraphFont"/>
    <w:rsid w:val="00CA67D4"/>
    <w:rPr>
      <w:rFonts w:ascii="Consolas" w:hAnsi="Consolas" w:cs="Consolas"/>
      <w:sz w:val="24"/>
      <w:szCs w:val="24"/>
    </w:rPr>
  </w:style>
  <w:style w:type="character" w:styleId="HTMLTypewriter">
    <w:name w:val="HTML Typewriter"/>
    <w:basedOn w:val="DefaultParagraphFont"/>
    <w:rsid w:val="00CA67D4"/>
    <w:rPr>
      <w:rFonts w:ascii="Consolas" w:hAnsi="Consolas" w:cs="Consolas"/>
      <w:sz w:val="20"/>
      <w:szCs w:val="20"/>
    </w:rPr>
  </w:style>
  <w:style w:type="character" w:styleId="HTMLVariable">
    <w:name w:val="HTML Variable"/>
    <w:basedOn w:val="DefaultParagraphFont"/>
    <w:rsid w:val="00CA67D4"/>
    <w:rPr>
      <w:i/>
      <w:iCs/>
    </w:rPr>
  </w:style>
  <w:style w:type="character" w:styleId="Hyperlink">
    <w:name w:val="Hyperlink"/>
    <w:basedOn w:val="DefaultParagraphFont"/>
    <w:rsid w:val="00CA67D4"/>
    <w:rPr>
      <w:color w:val="0000FF" w:themeColor="hyperlink"/>
      <w:u w:val="single"/>
    </w:rPr>
  </w:style>
  <w:style w:type="paragraph" w:styleId="Index1">
    <w:name w:val="index 1"/>
    <w:basedOn w:val="Normal"/>
    <w:next w:val="Normal"/>
    <w:autoRedefine/>
    <w:rsid w:val="00CA67D4"/>
    <w:pPr>
      <w:spacing w:after="0"/>
      <w:ind w:left="220" w:hanging="220"/>
    </w:pPr>
  </w:style>
  <w:style w:type="paragraph" w:styleId="Index2">
    <w:name w:val="index 2"/>
    <w:basedOn w:val="Normal"/>
    <w:next w:val="Normal"/>
    <w:autoRedefine/>
    <w:rsid w:val="00CA67D4"/>
    <w:pPr>
      <w:spacing w:after="0"/>
      <w:ind w:left="440" w:hanging="220"/>
    </w:pPr>
  </w:style>
  <w:style w:type="paragraph" w:styleId="Index3">
    <w:name w:val="index 3"/>
    <w:basedOn w:val="Normal"/>
    <w:next w:val="Normal"/>
    <w:autoRedefine/>
    <w:rsid w:val="00CA67D4"/>
    <w:pPr>
      <w:spacing w:after="0"/>
      <w:ind w:left="660" w:hanging="220"/>
    </w:pPr>
  </w:style>
  <w:style w:type="paragraph" w:styleId="Index4">
    <w:name w:val="index 4"/>
    <w:basedOn w:val="Normal"/>
    <w:next w:val="Normal"/>
    <w:autoRedefine/>
    <w:rsid w:val="00CA67D4"/>
    <w:pPr>
      <w:spacing w:after="0"/>
      <w:ind w:left="880" w:hanging="220"/>
    </w:pPr>
  </w:style>
  <w:style w:type="paragraph" w:styleId="Index5">
    <w:name w:val="index 5"/>
    <w:basedOn w:val="Normal"/>
    <w:next w:val="Normal"/>
    <w:autoRedefine/>
    <w:rsid w:val="00CA67D4"/>
    <w:pPr>
      <w:spacing w:after="0"/>
      <w:ind w:left="1100" w:hanging="220"/>
    </w:pPr>
  </w:style>
  <w:style w:type="paragraph" w:styleId="Index6">
    <w:name w:val="index 6"/>
    <w:basedOn w:val="Normal"/>
    <w:next w:val="Normal"/>
    <w:autoRedefine/>
    <w:rsid w:val="00CA67D4"/>
    <w:pPr>
      <w:spacing w:after="0"/>
      <w:ind w:left="1320" w:hanging="220"/>
    </w:pPr>
  </w:style>
  <w:style w:type="paragraph" w:styleId="Index7">
    <w:name w:val="index 7"/>
    <w:basedOn w:val="Normal"/>
    <w:next w:val="Normal"/>
    <w:autoRedefine/>
    <w:rsid w:val="00CA67D4"/>
    <w:pPr>
      <w:spacing w:after="0"/>
      <w:ind w:left="1540" w:hanging="220"/>
    </w:pPr>
  </w:style>
  <w:style w:type="paragraph" w:styleId="Index8">
    <w:name w:val="index 8"/>
    <w:basedOn w:val="Normal"/>
    <w:next w:val="Normal"/>
    <w:autoRedefine/>
    <w:rsid w:val="00CA67D4"/>
    <w:pPr>
      <w:spacing w:after="0"/>
      <w:ind w:left="1760" w:hanging="220"/>
    </w:pPr>
  </w:style>
  <w:style w:type="paragraph" w:styleId="Index9">
    <w:name w:val="index 9"/>
    <w:basedOn w:val="Normal"/>
    <w:next w:val="Normal"/>
    <w:autoRedefine/>
    <w:rsid w:val="00CA67D4"/>
    <w:pPr>
      <w:spacing w:after="0"/>
      <w:ind w:left="1980" w:hanging="220"/>
    </w:pPr>
  </w:style>
  <w:style w:type="paragraph" w:styleId="IndexHeading">
    <w:name w:val="index heading"/>
    <w:basedOn w:val="Normal"/>
    <w:next w:val="Index1"/>
    <w:rsid w:val="00CA67D4"/>
    <w:rPr>
      <w:rFonts w:asciiTheme="majorHAnsi" w:eastAsiaTheme="majorEastAsia" w:hAnsiTheme="majorHAnsi" w:cstheme="majorBidi"/>
      <w:b/>
      <w:bCs/>
    </w:rPr>
  </w:style>
  <w:style w:type="character" w:styleId="IntenseEmphasis">
    <w:name w:val="Intense Emphasis"/>
    <w:basedOn w:val="DefaultParagraphFont"/>
    <w:uiPriority w:val="21"/>
    <w:rsid w:val="00CA67D4"/>
    <w:rPr>
      <w:b/>
      <w:bCs/>
      <w:i/>
      <w:iCs/>
      <w:color w:val="4F81BD" w:themeColor="accent1"/>
    </w:rPr>
  </w:style>
  <w:style w:type="paragraph" w:styleId="IntenseQuote">
    <w:name w:val="Intense Quote"/>
    <w:basedOn w:val="Normal"/>
    <w:next w:val="Normal"/>
    <w:link w:val="IntenseQuoteChar"/>
    <w:uiPriority w:val="30"/>
    <w:rsid w:val="00CA67D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A67D4"/>
    <w:rPr>
      <w:b/>
      <w:bCs/>
      <w:i/>
      <w:iCs/>
      <w:noProof/>
      <w:color w:val="4F81BD" w:themeColor="accent1"/>
      <w:sz w:val="22"/>
      <w:lang w:eastAsia="en-US"/>
    </w:rPr>
  </w:style>
  <w:style w:type="character" w:styleId="IntenseReference">
    <w:name w:val="Intense Reference"/>
    <w:basedOn w:val="DefaultParagraphFont"/>
    <w:uiPriority w:val="32"/>
    <w:rsid w:val="00CA67D4"/>
    <w:rPr>
      <w:b/>
      <w:bCs/>
      <w:smallCaps/>
      <w:color w:val="C0504D" w:themeColor="accent2"/>
      <w:spacing w:val="5"/>
      <w:u w:val="single"/>
    </w:rPr>
  </w:style>
  <w:style w:type="table" w:styleId="LightGrid">
    <w:name w:val="Light Grid"/>
    <w:basedOn w:val="TableNormal"/>
    <w:uiPriority w:val="62"/>
    <w:rsid w:val="00CA67D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A67D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A67D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A67D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A67D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A67D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A67D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CA67D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A67D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A67D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A67D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A67D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A67D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A67D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CA67D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A67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A67D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A67D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A67D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A67D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A67D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CA67D4"/>
  </w:style>
  <w:style w:type="paragraph" w:styleId="List">
    <w:name w:val="List"/>
    <w:basedOn w:val="Normal"/>
    <w:rsid w:val="00CA67D4"/>
    <w:pPr>
      <w:ind w:left="283" w:hanging="283"/>
      <w:contextualSpacing/>
    </w:pPr>
  </w:style>
  <w:style w:type="paragraph" w:styleId="List2">
    <w:name w:val="List 2"/>
    <w:basedOn w:val="Normal"/>
    <w:rsid w:val="00CA67D4"/>
    <w:pPr>
      <w:ind w:left="566" w:hanging="283"/>
      <w:contextualSpacing/>
    </w:pPr>
  </w:style>
  <w:style w:type="paragraph" w:styleId="List3">
    <w:name w:val="List 3"/>
    <w:basedOn w:val="Normal"/>
    <w:rsid w:val="00CA67D4"/>
    <w:pPr>
      <w:ind w:left="849" w:hanging="283"/>
      <w:contextualSpacing/>
    </w:pPr>
  </w:style>
  <w:style w:type="paragraph" w:styleId="List4">
    <w:name w:val="List 4"/>
    <w:basedOn w:val="Normal"/>
    <w:rsid w:val="00CA67D4"/>
    <w:pPr>
      <w:ind w:left="1132" w:hanging="283"/>
      <w:contextualSpacing/>
    </w:pPr>
  </w:style>
  <w:style w:type="paragraph" w:styleId="List5">
    <w:name w:val="List 5"/>
    <w:basedOn w:val="Normal"/>
    <w:rsid w:val="00CA67D4"/>
    <w:pPr>
      <w:ind w:left="1415" w:hanging="283"/>
      <w:contextualSpacing/>
    </w:pPr>
  </w:style>
  <w:style w:type="paragraph" w:styleId="ListBullet">
    <w:name w:val="List Bullet"/>
    <w:basedOn w:val="Normal"/>
    <w:rsid w:val="00CA67D4"/>
    <w:pPr>
      <w:numPr>
        <w:numId w:val="7"/>
      </w:numPr>
      <w:contextualSpacing/>
    </w:pPr>
  </w:style>
  <w:style w:type="paragraph" w:styleId="ListBullet2">
    <w:name w:val="List Bullet 2"/>
    <w:basedOn w:val="Normal"/>
    <w:rsid w:val="00CA67D4"/>
    <w:pPr>
      <w:numPr>
        <w:numId w:val="8"/>
      </w:numPr>
      <w:contextualSpacing/>
    </w:pPr>
  </w:style>
  <w:style w:type="paragraph" w:styleId="ListBullet3">
    <w:name w:val="List Bullet 3"/>
    <w:basedOn w:val="Normal"/>
    <w:rsid w:val="00CA67D4"/>
    <w:pPr>
      <w:numPr>
        <w:numId w:val="9"/>
      </w:numPr>
      <w:contextualSpacing/>
    </w:pPr>
  </w:style>
  <w:style w:type="paragraph" w:styleId="ListBullet4">
    <w:name w:val="List Bullet 4"/>
    <w:basedOn w:val="Normal"/>
    <w:rsid w:val="00CA67D4"/>
    <w:pPr>
      <w:numPr>
        <w:numId w:val="10"/>
      </w:numPr>
      <w:contextualSpacing/>
    </w:pPr>
  </w:style>
  <w:style w:type="paragraph" w:styleId="ListBullet5">
    <w:name w:val="List Bullet 5"/>
    <w:basedOn w:val="Normal"/>
    <w:rsid w:val="00CA67D4"/>
    <w:pPr>
      <w:numPr>
        <w:numId w:val="11"/>
      </w:numPr>
      <w:contextualSpacing/>
    </w:pPr>
  </w:style>
  <w:style w:type="paragraph" w:styleId="ListContinue">
    <w:name w:val="List Continue"/>
    <w:basedOn w:val="Normal"/>
    <w:rsid w:val="00CA67D4"/>
    <w:pPr>
      <w:spacing w:after="120"/>
      <w:ind w:left="283"/>
      <w:contextualSpacing/>
    </w:pPr>
  </w:style>
  <w:style w:type="paragraph" w:styleId="ListContinue2">
    <w:name w:val="List Continue 2"/>
    <w:basedOn w:val="Normal"/>
    <w:rsid w:val="00CA67D4"/>
    <w:pPr>
      <w:spacing w:after="120"/>
      <w:ind w:left="566"/>
      <w:contextualSpacing/>
    </w:pPr>
  </w:style>
  <w:style w:type="paragraph" w:styleId="ListContinue3">
    <w:name w:val="List Continue 3"/>
    <w:basedOn w:val="Normal"/>
    <w:rsid w:val="00CA67D4"/>
    <w:pPr>
      <w:spacing w:after="120"/>
      <w:ind w:left="849"/>
      <w:contextualSpacing/>
    </w:pPr>
  </w:style>
  <w:style w:type="paragraph" w:styleId="ListContinue4">
    <w:name w:val="List Continue 4"/>
    <w:basedOn w:val="Normal"/>
    <w:rsid w:val="00CA67D4"/>
    <w:pPr>
      <w:spacing w:after="120"/>
      <w:ind w:left="1132"/>
      <w:contextualSpacing/>
    </w:pPr>
  </w:style>
  <w:style w:type="paragraph" w:styleId="ListContinue5">
    <w:name w:val="List Continue 5"/>
    <w:basedOn w:val="Normal"/>
    <w:rsid w:val="00CA67D4"/>
    <w:pPr>
      <w:spacing w:after="120"/>
      <w:ind w:left="1415"/>
      <w:contextualSpacing/>
    </w:pPr>
  </w:style>
  <w:style w:type="paragraph" w:styleId="ListNumber">
    <w:name w:val="List Number"/>
    <w:basedOn w:val="Normal"/>
    <w:rsid w:val="00CA67D4"/>
    <w:pPr>
      <w:numPr>
        <w:numId w:val="12"/>
      </w:numPr>
      <w:contextualSpacing/>
    </w:pPr>
  </w:style>
  <w:style w:type="paragraph" w:styleId="ListNumber2">
    <w:name w:val="List Number 2"/>
    <w:basedOn w:val="Normal"/>
    <w:rsid w:val="00CA67D4"/>
    <w:pPr>
      <w:numPr>
        <w:numId w:val="13"/>
      </w:numPr>
      <w:contextualSpacing/>
    </w:pPr>
  </w:style>
  <w:style w:type="paragraph" w:styleId="ListNumber3">
    <w:name w:val="List Number 3"/>
    <w:basedOn w:val="Normal"/>
    <w:rsid w:val="00CA67D4"/>
    <w:pPr>
      <w:numPr>
        <w:numId w:val="14"/>
      </w:numPr>
      <w:contextualSpacing/>
    </w:pPr>
  </w:style>
  <w:style w:type="paragraph" w:styleId="ListNumber4">
    <w:name w:val="List Number 4"/>
    <w:basedOn w:val="Normal"/>
    <w:rsid w:val="00CA67D4"/>
    <w:pPr>
      <w:numPr>
        <w:numId w:val="15"/>
      </w:numPr>
      <w:contextualSpacing/>
    </w:pPr>
  </w:style>
  <w:style w:type="paragraph" w:styleId="ListNumber5">
    <w:name w:val="List Number 5"/>
    <w:basedOn w:val="Normal"/>
    <w:rsid w:val="00CA67D4"/>
    <w:pPr>
      <w:numPr>
        <w:numId w:val="16"/>
      </w:numPr>
      <w:contextualSpacing/>
    </w:pPr>
  </w:style>
  <w:style w:type="paragraph" w:styleId="ListParagraph">
    <w:name w:val="List Paragraph"/>
    <w:basedOn w:val="Normal"/>
    <w:uiPriority w:val="34"/>
    <w:rsid w:val="00CA67D4"/>
    <w:pPr>
      <w:ind w:left="720"/>
      <w:contextualSpacing/>
    </w:pPr>
  </w:style>
  <w:style w:type="paragraph" w:styleId="MacroText">
    <w:name w:val="macro"/>
    <w:link w:val="MacroTextChar"/>
    <w:rsid w:val="00CA67D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rPr>
      <w:rFonts w:ascii="Consolas" w:hAnsi="Consolas" w:cs="Consolas"/>
      <w:noProof/>
      <w:lang w:eastAsia="en-US"/>
    </w:rPr>
  </w:style>
  <w:style w:type="character" w:customStyle="1" w:styleId="MacroTextChar">
    <w:name w:val="Macro Text Char"/>
    <w:basedOn w:val="DefaultParagraphFont"/>
    <w:link w:val="MacroText"/>
    <w:rsid w:val="00CA67D4"/>
    <w:rPr>
      <w:rFonts w:ascii="Consolas" w:hAnsi="Consolas" w:cs="Consolas"/>
      <w:noProof/>
      <w:lang w:eastAsia="en-US"/>
    </w:rPr>
  </w:style>
  <w:style w:type="table" w:styleId="MediumGrid1">
    <w:name w:val="Medium Grid 1"/>
    <w:basedOn w:val="TableNormal"/>
    <w:uiPriority w:val="67"/>
    <w:rsid w:val="00CA67D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A67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A67D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A67D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A67D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A67D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A67D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A67D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CA67D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A67D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A67D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A67D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A67D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A67D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A67D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A67D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A67D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A67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A67D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A67D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A67D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A67D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A67D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A67D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CA67D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67D4"/>
    <w:rPr>
      <w:rFonts w:asciiTheme="majorHAnsi" w:eastAsiaTheme="majorEastAsia" w:hAnsiTheme="majorHAnsi" w:cstheme="majorBidi"/>
      <w:noProof/>
      <w:sz w:val="24"/>
      <w:szCs w:val="24"/>
      <w:shd w:val="pct20" w:color="auto" w:fill="auto"/>
      <w:lang w:eastAsia="en-US"/>
    </w:rPr>
  </w:style>
  <w:style w:type="paragraph" w:styleId="NoSpacing">
    <w:name w:val="No Spacing"/>
    <w:uiPriority w:val="1"/>
    <w:rsid w:val="00CA67D4"/>
    <w:pPr>
      <w:overflowPunct w:val="0"/>
      <w:autoSpaceDE w:val="0"/>
      <w:autoSpaceDN w:val="0"/>
      <w:adjustRightInd w:val="0"/>
      <w:jc w:val="both"/>
      <w:textAlignment w:val="baseline"/>
    </w:pPr>
    <w:rPr>
      <w:noProof/>
      <w:sz w:val="22"/>
      <w:lang w:eastAsia="en-US"/>
    </w:rPr>
  </w:style>
  <w:style w:type="paragraph" w:styleId="NormalWeb">
    <w:name w:val="Normal (Web)"/>
    <w:basedOn w:val="Normal"/>
    <w:rsid w:val="00CA67D4"/>
    <w:rPr>
      <w:sz w:val="24"/>
      <w:szCs w:val="24"/>
    </w:rPr>
  </w:style>
  <w:style w:type="paragraph" w:styleId="NormalIndent">
    <w:name w:val="Normal Indent"/>
    <w:basedOn w:val="Normal"/>
    <w:rsid w:val="00CA67D4"/>
    <w:pPr>
      <w:ind w:left="720"/>
    </w:pPr>
  </w:style>
  <w:style w:type="paragraph" w:styleId="NoteHeading">
    <w:name w:val="Note Heading"/>
    <w:basedOn w:val="Normal"/>
    <w:next w:val="Normal"/>
    <w:link w:val="NoteHeadingChar"/>
    <w:rsid w:val="00CA67D4"/>
    <w:pPr>
      <w:spacing w:after="0"/>
    </w:pPr>
  </w:style>
  <w:style w:type="character" w:customStyle="1" w:styleId="NoteHeadingChar">
    <w:name w:val="Note Heading Char"/>
    <w:basedOn w:val="DefaultParagraphFont"/>
    <w:link w:val="NoteHeading"/>
    <w:rsid w:val="00CA67D4"/>
    <w:rPr>
      <w:noProof/>
      <w:sz w:val="22"/>
      <w:lang w:eastAsia="en-US"/>
    </w:rPr>
  </w:style>
  <w:style w:type="character" w:styleId="PlaceholderText">
    <w:name w:val="Placeholder Text"/>
    <w:basedOn w:val="DefaultParagraphFont"/>
    <w:uiPriority w:val="99"/>
    <w:semiHidden/>
    <w:rsid w:val="00CA67D4"/>
    <w:rPr>
      <w:color w:val="808080"/>
    </w:rPr>
  </w:style>
  <w:style w:type="paragraph" w:styleId="PlainText">
    <w:name w:val="Plain Text"/>
    <w:basedOn w:val="Normal"/>
    <w:link w:val="PlainTextChar"/>
    <w:rsid w:val="00CA67D4"/>
    <w:pPr>
      <w:spacing w:after="0"/>
    </w:pPr>
    <w:rPr>
      <w:rFonts w:ascii="Consolas" w:hAnsi="Consolas" w:cs="Consolas"/>
      <w:sz w:val="21"/>
      <w:szCs w:val="21"/>
    </w:rPr>
  </w:style>
  <w:style w:type="character" w:customStyle="1" w:styleId="PlainTextChar">
    <w:name w:val="Plain Text Char"/>
    <w:basedOn w:val="DefaultParagraphFont"/>
    <w:link w:val="PlainText"/>
    <w:rsid w:val="00CA67D4"/>
    <w:rPr>
      <w:rFonts w:ascii="Consolas" w:hAnsi="Consolas" w:cs="Consolas"/>
      <w:noProof/>
      <w:sz w:val="21"/>
      <w:szCs w:val="21"/>
      <w:lang w:eastAsia="en-US"/>
    </w:rPr>
  </w:style>
  <w:style w:type="paragraph" w:styleId="Quote">
    <w:name w:val="Quote"/>
    <w:basedOn w:val="Normal"/>
    <w:next w:val="Normal"/>
    <w:link w:val="QuoteChar"/>
    <w:uiPriority w:val="29"/>
    <w:rsid w:val="00CA67D4"/>
    <w:rPr>
      <w:i/>
      <w:iCs/>
      <w:color w:val="000000" w:themeColor="text1"/>
    </w:rPr>
  </w:style>
  <w:style w:type="character" w:customStyle="1" w:styleId="QuoteChar">
    <w:name w:val="Quote Char"/>
    <w:basedOn w:val="DefaultParagraphFont"/>
    <w:link w:val="Quote"/>
    <w:uiPriority w:val="29"/>
    <w:rsid w:val="00CA67D4"/>
    <w:rPr>
      <w:i/>
      <w:iCs/>
      <w:noProof/>
      <w:color w:val="000000" w:themeColor="text1"/>
      <w:sz w:val="22"/>
      <w:lang w:eastAsia="en-US"/>
    </w:rPr>
  </w:style>
  <w:style w:type="paragraph" w:styleId="Salutation">
    <w:name w:val="Salutation"/>
    <w:basedOn w:val="Normal"/>
    <w:next w:val="Normal"/>
    <w:link w:val="SalutationChar"/>
    <w:rsid w:val="00CA67D4"/>
  </w:style>
  <w:style w:type="character" w:customStyle="1" w:styleId="SalutationChar">
    <w:name w:val="Salutation Char"/>
    <w:basedOn w:val="DefaultParagraphFont"/>
    <w:link w:val="Salutation"/>
    <w:rsid w:val="00CA67D4"/>
    <w:rPr>
      <w:noProof/>
      <w:sz w:val="22"/>
      <w:lang w:eastAsia="en-US"/>
    </w:rPr>
  </w:style>
  <w:style w:type="paragraph" w:styleId="Signature">
    <w:name w:val="Signature"/>
    <w:basedOn w:val="Normal"/>
    <w:link w:val="SignatureChar"/>
    <w:rsid w:val="00CA67D4"/>
    <w:pPr>
      <w:spacing w:after="0"/>
      <w:ind w:left="4252"/>
    </w:pPr>
  </w:style>
  <w:style w:type="character" w:customStyle="1" w:styleId="SignatureChar">
    <w:name w:val="Signature Char"/>
    <w:basedOn w:val="DefaultParagraphFont"/>
    <w:link w:val="Signature"/>
    <w:rsid w:val="00CA67D4"/>
    <w:rPr>
      <w:noProof/>
      <w:sz w:val="22"/>
      <w:lang w:eastAsia="en-US"/>
    </w:rPr>
  </w:style>
  <w:style w:type="character" w:styleId="Strong">
    <w:name w:val="Strong"/>
    <w:basedOn w:val="DefaultParagraphFont"/>
    <w:rsid w:val="00CA67D4"/>
    <w:rPr>
      <w:b/>
      <w:bCs/>
    </w:rPr>
  </w:style>
  <w:style w:type="character" w:styleId="SubtleEmphasis">
    <w:name w:val="Subtle Emphasis"/>
    <w:basedOn w:val="DefaultParagraphFont"/>
    <w:uiPriority w:val="19"/>
    <w:rsid w:val="00CA67D4"/>
    <w:rPr>
      <w:i/>
      <w:iCs/>
      <w:color w:val="808080" w:themeColor="text1" w:themeTint="7F"/>
    </w:rPr>
  </w:style>
  <w:style w:type="character" w:styleId="SubtleReference">
    <w:name w:val="Subtle Reference"/>
    <w:basedOn w:val="DefaultParagraphFont"/>
    <w:uiPriority w:val="31"/>
    <w:rsid w:val="00CA67D4"/>
    <w:rPr>
      <w:smallCaps/>
      <w:color w:val="C0504D" w:themeColor="accent2"/>
      <w:u w:val="single"/>
    </w:rPr>
  </w:style>
  <w:style w:type="table" w:styleId="Table3Deffects1">
    <w:name w:val="Table 3D effects 1"/>
    <w:basedOn w:val="TableNormal"/>
    <w:rsid w:val="00CA67D4"/>
    <w:pPr>
      <w:overflowPunct w:val="0"/>
      <w:autoSpaceDE w:val="0"/>
      <w:autoSpaceDN w:val="0"/>
      <w:adjustRightInd w:val="0"/>
      <w:spacing w:after="240"/>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67D4"/>
    <w:pPr>
      <w:overflowPunct w:val="0"/>
      <w:autoSpaceDE w:val="0"/>
      <w:autoSpaceDN w:val="0"/>
      <w:adjustRightInd w:val="0"/>
      <w:spacing w:after="240"/>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67D4"/>
    <w:pPr>
      <w:overflowPunct w:val="0"/>
      <w:autoSpaceDE w:val="0"/>
      <w:autoSpaceDN w:val="0"/>
      <w:adjustRightInd w:val="0"/>
      <w:spacing w:after="240"/>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67D4"/>
    <w:pPr>
      <w:overflowPunct w:val="0"/>
      <w:autoSpaceDE w:val="0"/>
      <w:autoSpaceDN w:val="0"/>
      <w:adjustRightInd w:val="0"/>
      <w:spacing w:after="240"/>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67D4"/>
    <w:pPr>
      <w:overflowPunct w:val="0"/>
      <w:autoSpaceDE w:val="0"/>
      <w:autoSpaceDN w:val="0"/>
      <w:adjustRightInd w:val="0"/>
      <w:spacing w:after="240"/>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67D4"/>
    <w:pPr>
      <w:overflowPunct w:val="0"/>
      <w:autoSpaceDE w:val="0"/>
      <w:autoSpaceDN w:val="0"/>
      <w:adjustRightInd w:val="0"/>
      <w:spacing w:after="240"/>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67D4"/>
    <w:pPr>
      <w:overflowPunct w:val="0"/>
      <w:autoSpaceDE w:val="0"/>
      <w:autoSpaceDN w:val="0"/>
      <w:adjustRightInd w:val="0"/>
      <w:spacing w:after="240"/>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67D4"/>
    <w:pPr>
      <w:overflowPunct w:val="0"/>
      <w:autoSpaceDE w:val="0"/>
      <w:autoSpaceDN w:val="0"/>
      <w:adjustRightInd w:val="0"/>
      <w:spacing w:after="240"/>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67D4"/>
    <w:pPr>
      <w:overflowPunct w:val="0"/>
      <w:autoSpaceDE w:val="0"/>
      <w:autoSpaceDN w:val="0"/>
      <w:adjustRightInd w:val="0"/>
      <w:spacing w:after="240"/>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67D4"/>
    <w:pPr>
      <w:overflowPunct w:val="0"/>
      <w:autoSpaceDE w:val="0"/>
      <w:autoSpaceDN w:val="0"/>
      <w:adjustRightInd w:val="0"/>
      <w:spacing w:after="240"/>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67D4"/>
    <w:pPr>
      <w:overflowPunct w:val="0"/>
      <w:autoSpaceDE w:val="0"/>
      <w:autoSpaceDN w:val="0"/>
      <w:adjustRightInd w:val="0"/>
      <w:spacing w:after="240"/>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67D4"/>
    <w:pPr>
      <w:overflowPunct w:val="0"/>
      <w:autoSpaceDE w:val="0"/>
      <w:autoSpaceDN w:val="0"/>
      <w:adjustRightInd w:val="0"/>
      <w:spacing w:after="240"/>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67D4"/>
    <w:pPr>
      <w:overflowPunct w:val="0"/>
      <w:autoSpaceDE w:val="0"/>
      <w:autoSpaceDN w:val="0"/>
      <w:adjustRightInd w:val="0"/>
      <w:spacing w:after="24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67D4"/>
    <w:pPr>
      <w:overflowPunct w:val="0"/>
      <w:autoSpaceDE w:val="0"/>
      <w:autoSpaceDN w:val="0"/>
      <w:adjustRightInd w:val="0"/>
      <w:spacing w:after="24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A67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67D4"/>
    <w:pPr>
      <w:overflowPunct w:val="0"/>
      <w:autoSpaceDE w:val="0"/>
      <w:autoSpaceDN w:val="0"/>
      <w:adjustRightInd w:val="0"/>
      <w:spacing w:after="240"/>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67D4"/>
    <w:pPr>
      <w:overflowPunct w:val="0"/>
      <w:autoSpaceDE w:val="0"/>
      <w:autoSpaceDN w:val="0"/>
      <w:adjustRightInd w:val="0"/>
      <w:spacing w:after="240"/>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67D4"/>
    <w:pPr>
      <w:overflowPunct w:val="0"/>
      <w:autoSpaceDE w:val="0"/>
      <w:autoSpaceDN w:val="0"/>
      <w:adjustRightInd w:val="0"/>
      <w:spacing w:after="240"/>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67D4"/>
    <w:pPr>
      <w:overflowPunct w:val="0"/>
      <w:autoSpaceDE w:val="0"/>
      <w:autoSpaceDN w:val="0"/>
      <w:adjustRightInd w:val="0"/>
      <w:spacing w:after="240"/>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67D4"/>
    <w:pPr>
      <w:overflowPunct w:val="0"/>
      <w:autoSpaceDE w:val="0"/>
      <w:autoSpaceDN w:val="0"/>
      <w:adjustRightInd w:val="0"/>
      <w:spacing w:after="240"/>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67D4"/>
    <w:pPr>
      <w:overflowPunct w:val="0"/>
      <w:autoSpaceDE w:val="0"/>
      <w:autoSpaceDN w:val="0"/>
      <w:adjustRightInd w:val="0"/>
      <w:spacing w:after="24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A67D4"/>
    <w:pPr>
      <w:spacing w:after="0"/>
      <w:ind w:left="220" w:hanging="220"/>
    </w:pPr>
  </w:style>
  <w:style w:type="paragraph" w:styleId="TableofFigures">
    <w:name w:val="table of figures"/>
    <w:basedOn w:val="Normal"/>
    <w:next w:val="Normal"/>
    <w:rsid w:val="00CA67D4"/>
    <w:pPr>
      <w:spacing w:after="0"/>
    </w:pPr>
  </w:style>
  <w:style w:type="table" w:styleId="TableProfessional">
    <w:name w:val="Table Professional"/>
    <w:basedOn w:val="TableNormal"/>
    <w:rsid w:val="00CA67D4"/>
    <w:pPr>
      <w:overflowPunct w:val="0"/>
      <w:autoSpaceDE w:val="0"/>
      <w:autoSpaceDN w:val="0"/>
      <w:adjustRightInd w:val="0"/>
      <w:spacing w:after="24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67D4"/>
    <w:pPr>
      <w:overflowPunct w:val="0"/>
      <w:autoSpaceDE w:val="0"/>
      <w:autoSpaceDN w:val="0"/>
      <w:adjustRightInd w:val="0"/>
      <w:spacing w:after="240"/>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67D4"/>
    <w:pPr>
      <w:overflowPunct w:val="0"/>
      <w:autoSpaceDE w:val="0"/>
      <w:autoSpaceDN w:val="0"/>
      <w:adjustRightInd w:val="0"/>
      <w:spacing w:after="240"/>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67D4"/>
    <w:pPr>
      <w:overflowPunct w:val="0"/>
      <w:autoSpaceDE w:val="0"/>
      <w:autoSpaceDN w:val="0"/>
      <w:adjustRightInd w:val="0"/>
      <w:spacing w:after="240"/>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67D4"/>
    <w:pPr>
      <w:overflowPunct w:val="0"/>
      <w:autoSpaceDE w:val="0"/>
      <w:autoSpaceDN w:val="0"/>
      <w:adjustRightInd w:val="0"/>
      <w:spacing w:after="240"/>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67D4"/>
    <w:pPr>
      <w:overflowPunct w:val="0"/>
      <w:autoSpaceDE w:val="0"/>
      <w:autoSpaceDN w:val="0"/>
      <w:adjustRightInd w:val="0"/>
      <w:spacing w:after="240"/>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67D4"/>
    <w:pPr>
      <w:overflowPunct w:val="0"/>
      <w:autoSpaceDE w:val="0"/>
      <w:autoSpaceDN w:val="0"/>
      <w:adjustRightInd w:val="0"/>
      <w:spacing w:after="24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CA67D4"/>
    <w:pPr>
      <w:overflowPunct w:val="0"/>
      <w:autoSpaceDE w:val="0"/>
      <w:autoSpaceDN w:val="0"/>
      <w:adjustRightInd w:val="0"/>
      <w:spacing w:after="240"/>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67D4"/>
    <w:pPr>
      <w:overflowPunct w:val="0"/>
      <w:autoSpaceDE w:val="0"/>
      <w:autoSpaceDN w:val="0"/>
      <w:adjustRightInd w:val="0"/>
      <w:spacing w:after="24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67D4"/>
    <w:pPr>
      <w:overflowPunct w:val="0"/>
      <w:autoSpaceDE w:val="0"/>
      <w:autoSpaceDN w:val="0"/>
      <w:adjustRightInd w:val="0"/>
      <w:spacing w:after="24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CA67D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CA67D4"/>
    <w:pPr>
      <w:spacing w:after="100"/>
    </w:pPr>
  </w:style>
  <w:style w:type="paragraph" w:styleId="TOC2">
    <w:name w:val="toc 2"/>
    <w:basedOn w:val="Normal"/>
    <w:next w:val="Normal"/>
    <w:autoRedefine/>
    <w:rsid w:val="00CA67D4"/>
    <w:pPr>
      <w:spacing w:after="100"/>
      <w:ind w:left="220"/>
    </w:pPr>
  </w:style>
  <w:style w:type="paragraph" w:styleId="TOC3">
    <w:name w:val="toc 3"/>
    <w:basedOn w:val="Normal"/>
    <w:next w:val="Normal"/>
    <w:autoRedefine/>
    <w:rsid w:val="00CA67D4"/>
    <w:pPr>
      <w:spacing w:after="100"/>
      <w:ind w:left="440"/>
    </w:pPr>
  </w:style>
  <w:style w:type="paragraph" w:styleId="TOC4">
    <w:name w:val="toc 4"/>
    <w:basedOn w:val="Normal"/>
    <w:next w:val="Normal"/>
    <w:autoRedefine/>
    <w:rsid w:val="00CA67D4"/>
    <w:pPr>
      <w:spacing w:after="100"/>
      <w:ind w:left="660"/>
    </w:pPr>
  </w:style>
  <w:style w:type="paragraph" w:styleId="TOC5">
    <w:name w:val="toc 5"/>
    <w:basedOn w:val="Normal"/>
    <w:next w:val="Normal"/>
    <w:autoRedefine/>
    <w:rsid w:val="00CA67D4"/>
    <w:pPr>
      <w:spacing w:after="100"/>
      <w:ind w:left="880"/>
    </w:pPr>
  </w:style>
  <w:style w:type="paragraph" w:styleId="TOC6">
    <w:name w:val="toc 6"/>
    <w:basedOn w:val="Normal"/>
    <w:next w:val="Normal"/>
    <w:autoRedefine/>
    <w:rsid w:val="00CA67D4"/>
    <w:pPr>
      <w:spacing w:after="100"/>
      <w:ind w:left="1100"/>
    </w:pPr>
  </w:style>
  <w:style w:type="paragraph" w:styleId="TOC7">
    <w:name w:val="toc 7"/>
    <w:basedOn w:val="Normal"/>
    <w:next w:val="Normal"/>
    <w:autoRedefine/>
    <w:rsid w:val="00CA67D4"/>
    <w:pPr>
      <w:spacing w:after="100"/>
      <w:ind w:left="1320"/>
    </w:pPr>
  </w:style>
  <w:style w:type="paragraph" w:styleId="TOC8">
    <w:name w:val="toc 8"/>
    <w:basedOn w:val="Normal"/>
    <w:next w:val="Normal"/>
    <w:autoRedefine/>
    <w:rsid w:val="00CA67D4"/>
    <w:pPr>
      <w:spacing w:after="100"/>
      <w:ind w:left="1540"/>
    </w:pPr>
  </w:style>
  <w:style w:type="paragraph" w:styleId="TOC9">
    <w:name w:val="toc 9"/>
    <w:basedOn w:val="Normal"/>
    <w:next w:val="Normal"/>
    <w:autoRedefine/>
    <w:rsid w:val="00CA67D4"/>
    <w:pPr>
      <w:spacing w:after="100"/>
      <w:ind w:left="1760"/>
    </w:pPr>
  </w:style>
  <w:style w:type="paragraph" w:styleId="TOCHeading">
    <w:name w:val="TOC Heading"/>
    <w:basedOn w:val="Heading1"/>
    <w:next w:val="Normal"/>
    <w:uiPriority w:val="39"/>
    <w:semiHidden/>
    <w:unhideWhenUsed/>
    <w:qFormat/>
    <w:rsid w:val="00CA67D4"/>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cn216%20Annesley%20paper\cn216_ProceedingsPaper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Control.OnLoad">
  <ribbon startFromScratch="false">
    <tabs>
      <tab id="AgencyReportTab" label="IAEA Report">
        <group id="MacrosGroup" label="Macros">
          <button id="ShowDialog" label="Show Document Properties" imageMso="FormProperties" size="large" onAction="RibbonControl.OnShowProperties"/>
        </group>
        <group id="ReferencesGroup" label="References">
          <button id="AddReference" label="Add Reference" imageMso="AddAccount" onAction="RibbonControl.OnAddReference"/>
          <button id="UseReference" label="Use Reference" imageMso="MergeOptions" onAction="RibbonControl.OnUseReference"/>
          <button id="DeleteReference" label="Delete Reference" imageMso="Delete" onAction="RibbonControl.OnDeleteReference"/>
          <button id="SortReferences" label="Sort References" imageMso="Sort" onAction="RibbonControl.OnSortReferences"/>
          <button id="FinalizeReferences" label="Finalize References" imageMso="NewList" onAction="RibbonControl.OnFinalReferences"/>
        </group>
        <group id="InsertGroup" label="Insert">
          <button id="AddTableHeading" label="Add Table Heading" imageMso="TableStyleRowHeaders" onAction="RibbonControl.OnAddTableHeading"/>
          <button id="AddTableFootnote" label="Add Table Footnote" imageMso="FootnoteInsert" onAction="RibbonControl.OnAddTableFootnote"/>
          <button id="InsertFigurePlaceHolder" label="Insert Figure Placeholder" imageMso="CaptionProperties2" onAction="RibbonControl.OnInsertFigurePlaceHolder"/>
        </group>
        <group id="Compliance" label="Compliance">
          <button id="CheckFonts" label="Check Fonts" imageMso="FontsReplaceFonts" onAction="RibbonControl.OnCheckFonts"/>
          <button id="CheckStyles" label="Check Styles" imageMso="StylesStyleInspector" onAction="RibbonControl.OnCheckStyles"/>
        </group>
        <group id="ParagraphGroup" label="Paragraph">
          <button id="ApplyBulletedList" label="Bullets" screentip="Apply Bulleted List" imageMso="BulletListDefault" onAction="RibbonControl.OnApplyBulletedList"/>
          <button id="ApplyNumberedList" label="Numbering" screentip="Apply Numbered List" imageMso="NumberListDefault" onAction="RibbonControl.OnApplyNumberedList"/>
        </group>
        <group idMso="GroupStyles" visible="tru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19E95-2F59-420C-A245-43504CBF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cn216_ProceedingsPaperTemplate</Template>
  <TotalTime>1</TotalTime>
  <Pages>11</Pages>
  <Words>3296</Words>
  <Characters>21886</Characters>
  <Application>Microsoft Office Word</Application>
  <DocSecurity>0</DocSecurity>
  <Lines>3647</Lines>
  <Paragraphs>1325</Paragraphs>
  <ScaleCrop>false</ScaleCrop>
  <HeadingPairs>
    <vt:vector size="2" baseType="variant">
      <vt:variant>
        <vt:lpstr>Title</vt:lpstr>
      </vt:variant>
      <vt:variant>
        <vt:i4>1</vt:i4>
      </vt:variant>
    </vt:vector>
  </HeadingPairs>
  <TitlesOfParts>
    <vt:vector size="1" baseType="lpstr">
      <vt:lpstr>A regional multi-scale 3-D geological model of the Eastern Sub-Athabasca Basement, Canada: Implications for vectoring towards unconconformity-type uranium deposits </vt:lpstr>
    </vt:vector>
  </TitlesOfParts>
  <Company>IAEA</Company>
  <LinksUpToDate>false</LinksUpToDate>
  <CharactersWithSpaces>23857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regional multi-scale 3-D geological model of the Eastern Sub-Athabasca Basement, Canada: Implications for vectoring towards unconconformity-type uranium deposits </dc:title>
  <dc:creator>Brian Reilkoff</dc:creator>
  <cp:lastModifiedBy>Brian Reilkoff</cp:lastModifiedBy>
  <cp:revision>2</cp:revision>
  <cp:lastPrinted>2000-10-25T09:40:00Z</cp:lastPrinted>
  <dcterms:created xsi:type="dcterms:W3CDTF">2014-08-04T09:19:00Z</dcterms:created>
  <dcterms:modified xsi:type="dcterms:W3CDTF">2014-08-04T09:19:00Z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opyrightGranted">
    <vt:bool>true</vt:bool>
  </property>
  <property fmtid="{D5CDD505-2E9C-101B-9397-08002B2CF9AE}" pid="3" name="IAEAPresentedBy">
    <vt:lpwstr/>
  </property>
  <property fmtid="{D5CDD505-2E9C-101B-9397-08002B2CF9AE}" pid="4" name="IAEAPaperType">
    <vt:lpwstr>Invited Paper</vt:lpwstr>
  </property>
  <property fmtid="{D5CDD505-2E9C-101B-9397-08002B2CF9AE}" pid="5" name="IAEAPaperNumber">
    <vt:lpwstr/>
  </property>
  <property fmtid="{D5CDD505-2E9C-101B-9397-08002B2CF9AE}" pid="6" name="IAEASessionID">
    <vt:lpwstr/>
  </property>
  <property fmtid="{D5CDD505-2E9C-101B-9397-08002B2CF9AE}" pid="7" name="IAEARunningHeader">
    <vt:lpwstr>I.R. Annesley et al.</vt:lpwstr>
  </property>
  <property fmtid="{D5CDD505-2E9C-101B-9397-08002B2CF9AE}" pid="8" name="IAEASpecialSymbolsInTitle">
    <vt:bool>false</vt:bool>
  </property>
  <property fmtid="{D5CDD505-2E9C-101B-9397-08002B2CF9AE}" pid="9" name="IAEASpecialSymbolsInSubTitle">
    <vt:bool>false</vt:bool>
  </property>
</Properties>
</file>