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214"/>
      </w:tblGrid>
      <w:tr w:rsidR="00355AE1">
        <w:tc>
          <w:tcPr>
            <w:tcW w:w="9214" w:type="dxa"/>
          </w:tcPr>
          <w:p w:rsidR="004347BD" w:rsidRDefault="004347BD">
            <w:pPr>
              <w:pStyle w:val="Title"/>
            </w:pPr>
            <w:r>
              <w:t>Geological 3-D modelling and resources estimation of the Budenovskoye uranium deposit (Kazakhstan)</w:t>
            </w:r>
          </w:p>
          <w:p w:rsidR="00355AE1" w:rsidRDefault="00355AE1">
            <w:pPr>
              <w:pStyle w:val="Title"/>
            </w:pPr>
          </w:p>
        </w:tc>
      </w:tr>
      <w:tr w:rsidR="00355AE1">
        <w:tc>
          <w:tcPr>
            <w:tcW w:w="9214" w:type="dxa"/>
          </w:tcPr>
          <w:p w:rsidR="00355AE1" w:rsidRDefault="00355AE1">
            <w:pPr>
              <w:pStyle w:val="Subtitle"/>
            </w:pPr>
          </w:p>
        </w:tc>
      </w:tr>
    </w:tbl>
    <w:p w:rsidR="00355AE1" w:rsidRDefault="00355AE1">
      <w:pPr>
        <w:spacing w:after="0"/>
        <w:jc w:val="left"/>
        <w:rPr>
          <w:sz w:val="8"/>
        </w:rPr>
      </w:pPr>
    </w:p>
    <w:tbl>
      <w:tblPr>
        <w:tblW w:w="0" w:type="auto"/>
        <w:tblInd w:w="-1" w:type="dxa"/>
        <w:tblLayout w:type="fixed"/>
        <w:tblCellMar>
          <w:left w:w="14" w:type="dxa"/>
          <w:right w:w="14" w:type="dxa"/>
        </w:tblCellMar>
        <w:tblLook w:val="0000"/>
      </w:tblPr>
      <w:tblGrid>
        <w:gridCol w:w="569"/>
        <w:gridCol w:w="8502"/>
      </w:tblGrid>
      <w:tr w:rsidR="004347BD">
        <w:tc>
          <w:tcPr>
            <w:tcW w:w="569" w:type="dxa"/>
          </w:tcPr>
          <w:p w:rsidR="004347BD" w:rsidRDefault="004347BD">
            <w:pPr>
              <w:pStyle w:val="IAEAAuthors"/>
            </w:pPr>
            <w:bookmarkStart w:id="0" w:name="IAEAAuthors"/>
            <w:bookmarkEnd w:id="0"/>
          </w:p>
        </w:tc>
        <w:tc>
          <w:tcPr>
            <w:tcW w:w="8502" w:type="dxa"/>
            <w:vAlign w:val="center"/>
          </w:tcPr>
          <w:p w:rsidR="004347BD" w:rsidRDefault="004347BD">
            <w:pPr>
              <w:pStyle w:val="IAEAAuthors"/>
            </w:pPr>
            <w:r>
              <w:t>A. Boytsov</w:t>
            </w:r>
            <w:r w:rsidRPr="004347BD">
              <w:rPr>
                <w:b w:val="0"/>
                <w:vertAlign w:val="superscript"/>
              </w:rPr>
              <w:t>a</w:t>
            </w:r>
            <w:r>
              <w:rPr>
                <w:rStyle w:val="FootnoteReference"/>
              </w:rPr>
              <w:footnoteReference w:customMarkFollows="1" w:id="1"/>
              <w:t>†</w:t>
            </w:r>
            <w:r w:rsidRPr="004347BD">
              <w:t xml:space="preserve">, </w:t>
            </w:r>
            <w:r>
              <w:t>T. Heyns</w:t>
            </w:r>
            <w:r w:rsidRPr="004347BD">
              <w:rPr>
                <w:b w:val="0"/>
                <w:vertAlign w:val="superscript"/>
              </w:rPr>
              <w:t>a</w:t>
            </w:r>
            <w:r>
              <w:rPr>
                <w:rStyle w:val="FootnoteReference"/>
              </w:rPr>
              <w:footnoteReference w:customMarkFollows="1" w:id="2"/>
              <w:t>‡</w:t>
            </w:r>
            <w:r w:rsidRPr="004347BD">
              <w:t xml:space="preserve">, </w:t>
            </w:r>
            <w:r>
              <w:t>M. Seredkin</w:t>
            </w:r>
            <w:r w:rsidRPr="004347BD">
              <w:rPr>
                <w:b w:val="0"/>
                <w:vertAlign w:val="superscript"/>
              </w:rPr>
              <w:t>b</w:t>
            </w:r>
            <w:r>
              <w:rPr>
                <w:rStyle w:val="FootnoteReference"/>
              </w:rPr>
              <w:footnoteReference w:customMarkFollows="1" w:id="3"/>
              <w:t>§</w:t>
            </w:r>
          </w:p>
        </w:tc>
      </w:tr>
      <w:tr w:rsidR="004347BD">
        <w:tc>
          <w:tcPr>
            <w:tcW w:w="569" w:type="dxa"/>
          </w:tcPr>
          <w:p w:rsidR="004347BD" w:rsidRDefault="004347BD">
            <w:pPr>
              <w:pStyle w:val="IAEAInstitutes"/>
              <w:jc w:val="right"/>
              <w:rPr>
                <w:vertAlign w:val="superscript"/>
              </w:rPr>
            </w:pPr>
            <w:r>
              <w:rPr>
                <w:vertAlign w:val="superscript"/>
              </w:rPr>
              <w:t>a</w:t>
            </w:r>
          </w:p>
        </w:tc>
        <w:tc>
          <w:tcPr>
            <w:tcW w:w="8502" w:type="dxa"/>
            <w:vAlign w:val="center"/>
          </w:tcPr>
          <w:p w:rsidR="004347BD" w:rsidRDefault="004347BD">
            <w:pPr>
              <w:pStyle w:val="IAEAInstitutes"/>
            </w:pPr>
            <w:r>
              <w:t>Uranium One Inc, Toronto, Ontario, Canada</w:t>
            </w:r>
          </w:p>
        </w:tc>
      </w:tr>
      <w:tr w:rsidR="004347BD">
        <w:tc>
          <w:tcPr>
            <w:tcW w:w="569" w:type="dxa"/>
          </w:tcPr>
          <w:p w:rsidR="004347BD" w:rsidRDefault="004347BD">
            <w:pPr>
              <w:pStyle w:val="IAEAInstitutes"/>
              <w:jc w:val="right"/>
              <w:rPr>
                <w:vertAlign w:val="superscript"/>
              </w:rPr>
            </w:pPr>
            <w:r>
              <w:rPr>
                <w:vertAlign w:val="superscript"/>
              </w:rPr>
              <w:t>b</w:t>
            </w:r>
          </w:p>
        </w:tc>
        <w:tc>
          <w:tcPr>
            <w:tcW w:w="8502" w:type="dxa"/>
            <w:vAlign w:val="center"/>
          </w:tcPr>
          <w:p w:rsidR="004347BD" w:rsidRDefault="004347BD">
            <w:pPr>
              <w:pStyle w:val="IAEAInstitutes"/>
            </w:pPr>
            <w:r>
              <w:t>CSA Global Pty.Ltd, Perth, Western Australia, Australia</w:t>
            </w:r>
          </w:p>
        </w:tc>
      </w:tr>
    </w:tbl>
    <w:p w:rsidR="00355AE1" w:rsidRDefault="00355AE1">
      <w:pPr>
        <w:pStyle w:val="BodyText"/>
        <w:rPr>
          <w:i/>
          <w:sz w:val="24"/>
        </w:rPr>
      </w:pPr>
      <w:r>
        <w:rPr>
          <w:i/>
          <w:sz w:val="24"/>
        </w:rPr>
        <w:tab/>
      </w:r>
      <w:r w:rsidR="009E673F">
        <w:rPr>
          <w:i/>
          <w:sz w:val="24"/>
        </w:rPr>
        <w:fldChar w:fldCharType="begin"/>
      </w:r>
      <w:r>
        <w:rPr>
          <w:i/>
          <w:sz w:val="24"/>
        </w:rPr>
        <w:instrText xml:space="preserve"> IF </w:instrText>
      </w:r>
      <w:r w:rsidR="009E673F">
        <w:rPr>
          <w:i/>
          <w:sz w:val="24"/>
        </w:rPr>
        <w:fldChar w:fldCharType="begin"/>
      </w:r>
      <w:r>
        <w:rPr>
          <w:i/>
          <w:sz w:val="24"/>
        </w:rPr>
        <w:instrText xml:space="preserve"> DOCPROPERTY "IAEAPresentedBy" </w:instrText>
      </w:r>
      <w:r w:rsidR="009E673F">
        <w:rPr>
          <w:i/>
          <w:sz w:val="24"/>
        </w:rPr>
        <w:fldChar w:fldCharType="end"/>
      </w:r>
      <w:r>
        <w:rPr>
          <w:i/>
          <w:sz w:val="24"/>
        </w:rPr>
        <w:instrText xml:space="preserve"> &lt;&gt; "" "Presented by </w:instrText>
      </w:r>
      <w:r w:rsidR="009E673F">
        <w:rPr>
          <w:i/>
          <w:sz w:val="24"/>
        </w:rPr>
        <w:fldChar w:fldCharType="begin"/>
      </w:r>
      <w:r>
        <w:rPr>
          <w:i/>
          <w:sz w:val="24"/>
        </w:rPr>
        <w:instrText xml:space="preserve"> DOCPROPERTY "IAEAPresentedBy" </w:instrText>
      </w:r>
      <w:r w:rsidR="009E673F">
        <w:rPr>
          <w:i/>
          <w:sz w:val="24"/>
        </w:rPr>
        <w:fldChar w:fldCharType="separate"/>
      </w:r>
      <w:r>
        <w:rPr>
          <w:i/>
          <w:sz w:val="24"/>
        </w:rPr>
        <w:instrText>xcgfm</w:instrText>
      </w:r>
      <w:r w:rsidR="009E673F">
        <w:rPr>
          <w:i/>
          <w:sz w:val="24"/>
        </w:rPr>
        <w:fldChar w:fldCharType="end"/>
      </w:r>
      <w:r>
        <w:rPr>
          <w:i/>
          <w:sz w:val="24"/>
        </w:rPr>
        <w:instrText xml:space="preserve">" "" </w:instrText>
      </w:r>
      <w:r w:rsidR="009E673F">
        <w:rPr>
          <w:i/>
          <w:sz w:val="24"/>
        </w:rPr>
        <w:fldChar w:fldCharType="end"/>
      </w:r>
    </w:p>
    <w:p w:rsidR="00355AE1" w:rsidRPr="004347BD" w:rsidRDefault="004347BD" w:rsidP="004347BD">
      <w:pPr>
        <w:pStyle w:val="BodyText"/>
        <w:rPr>
          <w:sz w:val="20"/>
        </w:rPr>
      </w:pPr>
      <w:r w:rsidRPr="004347BD">
        <w:rPr>
          <w:sz w:val="20"/>
        </w:rPr>
        <w:t xml:space="preserve">The Budenovskoye </w:t>
      </w:r>
      <w:r w:rsidR="00327912">
        <w:rPr>
          <w:sz w:val="20"/>
        </w:rPr>
        <w:t>D</w:t>
      </w:r>
      <w:r w:rsidRPr="004347BD">
        <w:rPr>
          <w:sz w:val="20"/>
        </w:rPr>
        <w:t xml:space="preserve">eposit is the biggest sandstone-hosted, roll front type uranium deposit in Kazakhstan and in the world. </w:t>
      </w:r>
      <w:r w:rsidR="00327912">
        <w:rPr>
          <w:sz w:val="20"/>
        </w:rPr>
        <w:t xml:space="preserve"> </w:t>
      </w:r>
      <w:r w:rsidRPr="004347BD">
        <w:rPr>
          <w:sz w:val="20"/>
        </w:rPr>
        <w:t>Uranium mineralization occurs in the unconsolidated lacustrine-alluvial sediments of Late Cretaceous Mynkuduk and Inkuduk horizons.</w:t>
      </w:r>
      <w:r w:rsidR="007C52FB" w:rsidRPr="007C52FB">
        <w:rPr>
          <w:sz w:val="20"/>
        </w:rPr>
        <w:t xml:space="preserve"> </w:t>
      </w:r>
      <w:r w:rsidR="007C52FB" w:rsidRPr="00B03FAE">
        <w:rPr>
          <w:sz w:val="20"/>
        </w:rPr>
        <w:t xml:space="preserve">It is currently under </w:t>
      </w:r>
      <w:r w:rsidR="007C52FB">
        <w:rPr>
          <w:sz w:val="20"/>
        </w:rPr>
        <w:t xml:space="preserve">commercial production by </w:t>
      </w:r>
      <w:r w:rsidR="007C52FB" w:rsidRPr="00B03FAE">
        <w:rPr>
          <w:sz w:val="20"/>
        </w:rPr>
        <w:t xml:space="preserve">Karartau and Akbastau </w:t>
      </w:r>
      <w:r w:rsidR="007C52FB">
        <w:rPr>
          <w:sz w:val="20"/>
        </w:rPr>
        <w:t xml:space="preserve">ISL </w:t>
      </w:r>
      <w:r w:rsidR="007C52FB" w:rsidRPr="00B03FAE">
        <w:rPr>
          <w:sz w:val="20"/>
        </w:rPr>
        <w:t>mines</w:t>
      </w:r>
      <w:r w:rsidR="007C52FB">
        <w:rPr>
          <w:sz w:val="20"/>
        </w:rPr>
        <w:t>,</w:t>
      </w:r>
      <w:r w:rsidR="007C52FB" w:rsidRPr="00B03FAE">
        <w:rPr>
          <w:sz w:val="20"/>
        </w:rPr>
        <w:t xml:space="preserve"> </w:t>
      </w:r>
      <w:r w:rsidR="007C52FB">
        <w:rPr>
          <w:sz w:val="20"/>
        </w:rPr>
        <w:t xml:space="preserve">both </w:t>
      </w:r>
      <w:r w:rsidR="007C52FB" w:rsidRPr="00B03FAE">
        <w:rPr>
          <w:sz w:val="20"/>
        </w:rPr>
        <w:t xml:space="preserve">owned by Kazatomprom and Uranium One in equal shares. </w:t>
      </w:r>
      <w:r w:rsidR="00971077" w:rsidRPr="00AF66B9">
        <w:rPr>
          <w:sz w:val="20"/>
        </w:rPr>
        <w:t>The latest geological modelling and resource estimation done</w:t>
      </w:r>
      <w:r w:rsidRPr="004347BD">
        <w:rPr>
          <w:sz w:val="20"/>
        </w:rPr>
        <w:t xml:space="preserve"> </w:t>
      </w:r>
      <w:r w:rsidR="00AF66B9">
        <w:rPr>
          <w:sz w:val="20"/>
        </w:rPr>
        <w:t xml:space="preserve">shows </w:t>
      </w:r>
      <w:r w:rsidRPr="004347BD">
        <w:rPr>
          <w:sz w:val="20"/>
        </w:rPr>
        <w:t xml:space="preserve">a significant increase in total uranium resource tonnage at both mines when compared to the March 2012 NI 43-101 resource estimate: at Karartau </w:t>
      </w:r>
      <w:r w:rsidR="00AF66B9">
        <w:rPr>
          <w:sz w:val="20"/>
        </w:rPr>
        <w:t>M</w:t>
      </w:r>
      <w:r w:rsidRPr="004347BD">
        <w:rPr>
          <w:sz w:val="20"/>
        </w:rPr>
        <w:t xml:space="preserve">easured and </w:t>
      </w:r>
      <w:r w:rsidR="00AF66B9">
        <w:rPr>
          <w:sz w:val="20"/>
        </w:rPr>
        <w:t>I</w:t>
      </w:r>
      <w:r w:rsidRPr="004347BD">
        <w:rPr>
          <w:sz w:val="20"/>
        </w:rPr>
        <w:t xml:space="preserve">ndicated resources increased </w:t>
      </w:r>
      <w:r w:rsidR="00327912">
        <w:rPr>
          <w:sz w:val="20"/>
        </w:rPr>
        <w:t xml:space="preserve">from </w:t>
      </w:r>
      <w:r w:rsidR="007D2B66">
        <w:rPr>
          <w:sz w:val="20"/>
        </w:rPr>
        <w:t>11,695 tonnes of U</w:t>
      </w:r>
      <w:r w:rsidR="00327912">
        <w:rPr>
          <w:sz w:val="20"/>
        </w:rPr>
        <w:t xml:space="preserve"> to </w:t>
      </w:r>
      <w:r w:rsidR="007D2B66">
        <w:rPr>
          <w:sz w:val="20"/>
        </w:rPr>
        <w:t>6</w:t>
      </w:r>
      <w:r w:rsidR="00EE29D3">
        <w:rPr>
          <w:sz w:val="20"/>
        </w:rPr>
        <w:t>3</w:t>
      </w:r>
      <w:r w:rsidR="007D2B66">
        <w:rPr>
          <w:sz w:val="20"/>
        </w:rPr>
        <w:t>,</w:t>
      </w:r>
      <w:r w:rsidR="00EE29D3">
        <w:rPr>
          <w:sz w:val="20"/>
        </w:rPr>
        <w:t>839</w:t>
      </w:r>
      <w:r w:rsidR="007D2B66">
        <w:rPr>
          <w:sz w:val="20"/>
        </w:rPr>
        <w:t xml:space="preserve"> tonnes of U</w:t>
      </w:r>
      <w:r w:rsidRPr="004347BD">
        <w:rPr>
          <w:sz w:val="20"/>
        </w:rPr>
        <w:t xml:space="preserve"> while at Akbastau </w:t>
      </w:r>
      <w:r w:rsidR="00327912">
        <w:rPr>
          <w:sz w:val="20"/>
        </w:rPr>
        <w:t xml:space="preserve">from </w:t>
      </w:r>
      <w:r w:rsidR="00935E0F">
        <w:rPr>
          <w:sz w:val="20"/>
        </w:rPr>
        <w:t>13,598 t</w:t>
      </w:r>
      <w:r w:rsidR="007D2B66">
        <w:rPr>
          <w:sz w:val="20"/>
        </w:rPr>
        <w:t xml:space="preserve">onnes of </w:t>
      </w:r>
      <w:r w:rsidR="00935E0F">
        <w:rPr>
          <w:sz w:val="20"/>
        </w:rPr>
        <w:t xml:space="preserve">U </w:t>
      </w:r>
      <w:r w:rsidR="00AF66B9">
        <w:rPr>
          <w:sz w:val="20"/>
        </w:rPr>
        <w:t xml:space="preserve">to </w:t>
      </w:r>
      <w:r w:rsidR="00935E0F">
        <w:rPr>
          <w:sz w:val="20"/>
        </w:rPr>
        <w:t>4</w:t>
      </w:r>
      <w:r w:rsidR="00EE29D3">
        <w:rPr>
          <w:sz w:val="20"/>
        </w:rPr>
        <w:t>7</w:t>
      </w:r>
      <w:r w:rsidR="00935E0F">
        <w:rPr>
          <w:sz w:val="20"/>
        </w:rPr>
        <w:t>,</w:t>
      </w:r>
      <w:r w:rsidR="00EE29D3">
        <w:rPr>
          <w:sz w:val="20"/>
        </w:rPr>
        <w:t>292</w:t>
      </w:r>
      <w:r w:rsidR="00935E0F">
        <w:rPr>
          <w:sz w:val="20"/>
        </w:rPr>
        <w:t xml:space="preserve"> t</w:t>
      </w:r>
      <w:r w:rsidR="007D2B66">
        <w:rPr>
          <w:sz w:val="20"/>
        </w:rPr>
        <w:t xml:space="preserve">onnes of </w:t>
      </w:r>
      <w:r w:rsidR="00935E0F">
        <w:rPr>
          <w:sz w:val="20"/>
        </w:rPr>
        <w:t>U</w:t>
      </w:r>
      <w:r w:rsidRPr="004347BD">
        <w:rPr>
          <w:sz w:val="20"/>
        </w:rPr>
        <w:t xml:space="preserve">. </w:t>
      </w:r>
      <w:r w:rsidR="00327912">
        <w:rPr>
          <w:sz w:val="20"/>
        </w:rPr>
        <w:t xml:space="preserve"> </w:t>
      </w:r>
      <w:r w:rsidRPr="004347BD">
        <w:rPr>
          <w:sz w:val="20"/>
        </w:rPr>
        <w:t xml:space="preserve">It has also added 55,766 tonnes </w:t>
      </w:r>
      <w:r w:rsidR="00327912">
        <w:rPr>
          <w:sz w:val="20"/>
        </w:rPr>
        <w:t xml:space="preserve">of </w:t>
      </w:r>
      <w:r w:rsidRPr="004347BD">
        <w:rPr>
          <w:sz w:val="20"/>
        </w:rPr>
        <w:t>U to the Karatau Inferred Mineral Resource category.</w:t>
      </w:r>
      <w:r w:rsidR="00AF66B9">
        <w:rPr>
          <w:sz w:val="20"/>
        </w:rPr>
        <w:t xml:space="preserve"> </w:t>
      </w:r>
      <w:r w:rsidR="00AF66B9" w:rsidRPr="00AF66B9">
        <w:rPr>
          <w:sz w:val="20"/>
        </w:rPr>
        <w:t>T</w:t>
      </w:r>
      <w:r w:rsidR="00AF66B9">
        <w:rPr>
          <w:sz w:val="20"/>
        </w:rPr>
        <w:t>h</w:t>
      </w:r>
      <w:r w:rsidRPr="00AF66B9">
        <w:rPr>
          <w:sz w:val="20"/>
        </w:rPr>
        <w:t xml:space="preserve">e </w:t>
      </w:r>
      <w:r w:rsidR="00327912" w:rsidRPr="00AF66B9">
        <w:rPr>
          <w:sz w:val="20"/>
        </w:rPr>
        <w:t>updated mineral resource estimate</w:t>
      </w:r>
      <w:r w:rsidRPr="00AF66B9">
        <w:rPr>
          <w:sz w:val="20"/>
        </w:rPr>
        <w:t xml:space="preserve"> </w:t>
      </w:r>
      <w:r w:rsidR="00327912" w:rsidRPr="00AF66B9">
        <w:rPr>
          <w:sz w:val="20"/>
        </w:rPr>
        <w:t xml:space="preserve">is the </w:t>
      </w:r>
      <w:r w:rsidRPr="00AF66B9">
        <w:rPr>
          <w:sz w:val="20"/>
        </w:rPr>
        <w:t xml:space="preserve">result </w:t>
      </w:r>
      <w:r w:rsidR="00327912" w:rsidRPr="00AF66B9">
        <w:rPr>
          <w:sz w:val="20"/>
        </w:rPr>
        <w:t xml:space="preserve">of </w:t>
      </w:r>
      <w:r w:rsidR="00AF66B9">
        <w:rPr>
          <w:sz w:val="20"/>
        </w:rPr>
        <w:t xml:space="preserve">having available an </w:t>
      </w:r>
      <w:r w:rsidR="00EE29D3" w:rsidRPr="00AF66B9">
        <w:rPr>
          <w:sz w:val="20"/>
        </w:rPr>
        <w:t>extensive database, add</w:t>
      </w:r>
      <w:r w:rsidR="005636DE">
        <w:rPr>
          <w:sz w:val="20"/>
        </w:rPr>
        <w:t>ing</w:t>
      </w:r>
      <w:r w:rsidR="00EE29D3" w:rsidRPr="00AF66B9">
        <w:rPr>
          <w:sz w:val="20"/>
        </w:rPr>
        <w:t xml:space="preserve"> latest exploration results, and appl</w:t>
      </w:r>
      <w:r w:rsidR="005636DE">
        <w:rPr>
          <w:sz w:val="20"/>
        </w:rPr>
        <w:t>ying</w:t>
      </w:r>
      <w:r w:rsidR="00EE29D3" w:rsidRPr="00AF66B9">
        <w:rPr>
          <w:sz w:val="20"/>
        </w:rPr>
        <w:t xml:space="preserve"> </w:t>
      </w:r>
      <w:r w:rsidRPr="00AF66B9">
        <w:rPr>
          <w:sz w:val="20"/>
        </w:rPr>
        <w:t>3-D modelling techniques</w:t>
      </w:r>
      <w:r w:rsidR="0087121F" w:rsidRPr="00AF66B9">
        <w:rPr>
          <w:sz w:val="20"/>
        </w:rPr>
        <w:t>.</w:t>
      </w:r>
      <w:r w:rsidR="007C52FB">
        <w:rPr>
          <w:sz w:val="20"/>
        </w:rPr>
        <w:t xml:space="preserve"> </w:t>
      </w:r>
      <w:r w:rsidR="0087121F">
        <w:rPr>
          <w:sz w:val="20"/>
        </w:rPr>
        <w:t>T</w:t>
      </w:r>
      <w:r w:rsidR="0087121F" w:rsidRPr="005636DE">
        <w:rPr>
          <w:sz w:val="20"/>
        </w:rPr>
        <w:t xml:space="preserve">he modelling of roll front type </w:t>
      </w:r>
      <w:r w:rsidR="00B948ED">
        <w:rPr>
          <w:sz w:val="20"/>
        </w:rPr>
        <w:t xml:space="preserve">uranium </w:t>
      </w:r>
      <w:r w:rsidR="0087121F" w:rsidRPr="005636DE">
        <w:rPr>
          <w:sz w:val="20"/>
        </w:rPr>
        <w:t>deposits, specifically aimed at ISL mining, has accounted</w:t>
      </w:r>
      <w:r w:rsidR="0087121F">
        <w:rPr>
          <w:sz w:val="20"/>
        </w:rPr>
        <w:t xml:space="preserve"> </w:t>
      </w:r>
      <w:r w:rsidR="005636DE">
        <w:rPr>
          <w:sz w:val="20"/>
        </w:rPr>
        <w:t xml:space="preserve">for </w:t>
      </w:r>
      <w:r w:rsidR="0087121F" w:rsidRPr="004347BD">
        <w:rPr>
          <w:sz w:val="20"/>
        </w:rPr>
        <w:t>its own specific requirements</w:t>
      </w:r>
      <w:r w:rsidR="0087121F">
        <w:rPr>
          <w:sz w:val="20"/>
        </w:rPr>
        <w:t>.</w:t>
      </w:r>
      <w:r w:rsidRPr="004347BD">
        <w:rPr>
          <w:sz w:val="20"/>
        </w:rPr>
        <w:t xml:space="preserve"> </w:t>
      </w:r>
      <w:r w:rsidR="005636DE">
        <w:rPr>
          <w:sz w:val="20"/>
        </w:rPr>
        <w:t xml:space="preserve"> </w:t>
      </w:r>
      <w:r w:rsidRPr="004347BD">
        <w:rPr>
          <w:sz w:val="20"/>
        </w:rPr>
        <w:t xml:space="preserve">Mineral resources estimation was based on 0.04 m% grade x thickness cut-off. </w:t>
      </w:r>
      <w:r w:rsidR="005636DE">
        <w:rPr>
          <w:sz w:val="20"/>
        </w:rPr>
        <w:t xml:space="preserve"> </w:t>
      </w:r>
      <w:r w:rsidRPr="004347BD">
        <w:rPr>
          <w:sz w:val="20"/>
        </w:rPr>
        <w:t>The relationships between geophysical logging data and laboratory analyses were identified in order to define resource estimation parameters based on gamma log, electrical logging methods and disequilibrium studies</w:t>
      </w:r>
    </w:p>
    <w:p w:rsidR="0008605E" w:rsidRPr="00F43E9F" w:rsidRDefault="0008605E" w:rsidP="00F43E9F">
      <w:pPr>
        <w:pStyle w:val="Heading1"/>
      </w:pPr>
      <w:bookmarkStart w:id="1" w:name="IAEALastEdits"/>
      <w:bookmarkEnd w:id="1"/>
      <w:r w:rsidRPr="00F43E9F">
        <w:t xml:space="preserve">Introduction </w:t>
      </w:r>
    </w:p>
    <w:p w:rsidR="0008605E" w:rsidRPr="00F43E9F" w:rsidRDefault="0008605E" w:rsidP="00F43E9F">
      <w:pPr>
        <w:pStyle w:val="BodyText"/>
      </w:pPr>
      <w:r w:rsidRPr="00F43E9F">
        <w:t xml:space="preserve">Roll-front sandstone uranium deposits can be extracted using in situ </w:t>
      </w:r>
      <w:r w:rsidR="00B948ED">
        <w:t>leaching (“ISL</w:t>
      </w:r>
      <w:r w:rsidR="00B948ED">
        <w:rPr>
          <w:lang w:val="en-CA"/>
        </w:rPr>
        <w:t>”</w:t>
      </w:r>
      <w:r w:rsidR="00B948ED" w:rsidRPr="00B948ED">
        <w:rPr>
          <w:lang w:val="en-CA"/>
        </w:rPr>
        <w:t>)</w:t>
      </w:r>
      <w:r w:rsidR="00B948ED">
        <w:rPr>
          <w:lang w:val="en-CA"/>
        </w:rPr>
        <w:t>,</w:t>
      </w:r>
      <w:r w:rsidR="00B948ED" w:rsidRPr="00B948ED">
        <w:rPr>
          <w:lang w:val="en-CA"/>
        </w:rPr>
        <w:t xml:space="preserve"> </w:t>
      </w:r>
      <w:r w:rsidR="00B948ED">
        <w:rPr>
          <w:lang w:val="en-CA"/>
        </w:rPr>
        <w:t xml:space="preserve">also known as in sity </w:t>
      </w:r>
      <w:r w:rsidRPr="00F43E9F">
        <w:t xml:space="preserve">recovery (“ISR”) method with low operational costs. </w:t>
      </w:r>
      <w:r w:rsidR="005636DE">
        <w:t xml:space="preserve"> </w:t>
      </w:r>
      <w:r w:rsidRPr="00F43E9F">
        <w:t xml:space="preserve">The production share from the Kazakhstan roll-front sandstone-hosted uranium deposits mined using the </w:t>
      </w:r>
      <w:r w:rsidR="00B948ED">
        <w:t>ISL</w:t>
      </w:r>
      <w:r w:rsidRPr="00F43E9F">
        <w:t xml:space="preserve"> method comprise</w:t>
      </w:r>
      <w:r w:rsidR="00C770CC">
        <w:t>d</w:t>
      </w:r>
      <w:r w:rsidRPr="00F43E9F">
        <w:t xml:space="preserve"> 36% of the world total</w:t>
      </w:r>
      <w:r w:rsidR="002D20B6">
        <w:t xml:space="preserve"> in 2013</w:t>
      </w:r>
      <w:r w:rsidRPr="00F43E9F">
        <w:t xml:space="preserve">. </w:t>
      </w:r>
      <w:r w:rsidR="005636DE">
        <w:t xml:space="preserve"> </w:t>
      </w:r>
      <w:r w:rsidRPr="00F43E9F">
        <w:t xml:space="preserve">South Kazakhstan hosts a number of </w:t>
      </w:r>
      <w:r w:rsidR="002D20B6">
        <w:t xml:space="preserve">large </w:t>
      </w:r>
      <w:r w:rsidR="00E4568E">
        <w:t xml:space="preserve">unique </w:t>
      </w:r>
      <w:r w:rsidRPr="00F43E9F">
        <w:t>roll-front sandstone type uranium deposits including Budenovskoye, Inkai, Mynkuduk, Akdala, Kan</w:t>
      </w:r>
      <w:r w:rsidR="00E4568E">
        <w:t>zh</w:t>
      </w:r>
      <w:r w:rsidRPr="00F43E9F">
        <w:t>ugan, Moinkum, Uvanas, Kharasan, Karamurun, Irkol, Zarechnoye.</w:t>
      </w:r>
    </w:p>
    <w:p w:rsidR="0008605E" w:rsidRPr="00F43E9F" w:rsidRDefault="0008605E" w:rsidP="00F43E9F">
      <w:pPr>
        <w:pStyle w:val="BodyText"/>
      </w:pPr>
      <w:r w:rsidRPr="00F43E9F">
        <w:t xml:space="preserve">CSA Global has completed modelling and resource estimation </w:t>
      </w:r>
      <w:r w:rsidR="00B948ED">
        <w:t xml:space="preserve">of </w:t>
      </w:r>
      <w:r w:rsidRPr="00F43E9F">
        <w:t>Budenovskoye</w:t>
      </w:r>
      <w:r w:rsidR="007E2FA7">
        <w:t xml:space="preserve"> deposit</w:t>
      </w:r>
      <w:r w:rsidRPr="00F43E9F">
        <w:t xml:space="preserve"> for Uranium One Inc. The methodology of modelling these types of roll-front uranium deposits has been substantially improved</w:t>
      </w:r>
      <w:r w:rsidR="00B948ED">
        <w:t>.</w:t>
      </w:r>
    </w:p>
    <w:p w:rsidR="0008605E" w:rsidRPr="00F43E9F" w:rsidRDefault="0008605E" w:rsidP="00F43E9F">
      <w:pPr>
        <w:pStyle w:val="Heading1"/>
      </w:pPr>
      <w:r w:rsidRPr="00F43E9F">
        <w:lastRenderedPageBreak/>
        <w:t>Geological features of roll-front uranium deposits in South Kazakhstan</w:t>
      </w:r>
    </w:p>
    <w:p w:rsidR="0008605E" w:rsidRPr="00F43E9F" w:rsidRDefault="0008605E" w:rsidP="00F43E9F">
      <w:pPr>
        <w:pStyle w:val="BodyText"/>
      </w:pPr>
      <w:r w:rsidRPr="00F43E9F">
        <w:t xml:space="preserve">Roll-front sandstone-hosted uranium mineralisation in South Kazakhstan is spatially and genetically associated with the pinch-out boundary of a regional reduction/oxidation zone of strata bound oxidation in permeable sediments. The mineralisation is associated with significant thicknesses (10–50m) of highly permeable horizons, which are continuous over tens to hundreds of kilometres. </w:t>
      </w:r>
    </w:p>
    <w:p w:rsidR="0008605E" w:rsidRPr="00F43E9F" w:rsidRDefault="0008605E" w:rsidP="00F43E9F">
      <w:pPr>
        <w:pStyle w:val="BodyText"/>
      </w:pPr>
      <w:r w:rsidRPr="00F43E9F">
        <w:t xml:space="preserve">In plan, the uranium deposits present as weaving ribbons of various widths and lengths as controlled by the </w:t>
      </w:r>
      <w:r w:rsidR="00B948ED">
        <w:t>interface between o</w:t>
      </w:r>
      <w:r w:rsidRPr="00F43E9F">
        <w:t>xidati</w:t>
      </w:r>
      <w:r w:rsidR="00B948ED">
        <w:t>sed and reduced sediments</w:t>
      </w:r>
      <w:r w:rsidRPr="00F43E9F">
        <w:t xml:space="preserve"> (</w:t>
      </w:r>
      <w:r w:rsidR="0099384D">
        <w:t xml:space="preserve">FIG. 1), </w:t>
      </w:r>
      <w:r w:rsidRPr="0099384D">
        <w:t>also known as the redox zone</w:t>
      </w:r>
      <w:r w:rsidRPr="00F43E9F">
        <w:t xml:space="preserve">. Multi-stage bodies and extended limbs consisting of a number of mineralised lenses, which are also found in abundance between the limbs, are typical of the deposit structure and reflect the complexity of the enclosing rock sequence </w:t>
      </w:r>
      <w:fldSimple w:instr=" REF TecDocRef001 \* MERGEFORMAT ">
        <w:r w:rsidR="0099384D">
          <w:t>[1]</w:t>
        </w:r>
      </w:fldSimple>
      <w:r w:rsidR="0099384D">
        <w:t xml:space="preserve">, </w:t>
      </w:r>
      <w:fldSimple w:instr=" REF TecDocRef003 \* MERGEFORMAT ">
        <w:r w:rsidR="0099384D">
          <w:t>[2]</w:t>
        </w:r>
      </w:fldSimple>
      <w:r w:rsidR="0099384D">
        <w:t>.</w:t>
      </w:r>
      <w:r w:rsidR="002D20B6">
        <w:t xml:space="preserve"> </w:t>
      </w:r>
    </w:p>
    <w:p w:rsidR="0008605E" w:rsidRPr="00F43E9F" w:rsidRDefault="0008605E" w:rsidP="00F43E9F">
      <w:pPr>
        <w:pStyle w:val="BodyText"/>
      </w:pPr>
      <w:r w:rsidRPr="00F43E9F">
        <w:t>Each of the identified uranium deposits are located within a single sedimentary horizon, which can be correlated between vertical sections. The mineralised bodies consist of several morphological elements (</w:t>
      </w:r>
      <w:r w:rsidR="0099384D">
        <w:t>FIG. 1</w:t>
      </w:r>
      <w:r w:rsidRPr="00F43E9F">
        <w:t xml:space="preserve">), including </w:t>
      </w:r>
      <w:fldSimple w:instr=" REF TecDocRef001 \* MERGEFORMAT ">
        <w:r w:rsidR="0099384D">
          <w:t>[1]</w:t>
        </w:r>
      </w:fldSimple>
      <w:r w:rsidR="0099384D">
        <w:t xml:space="preserve">, </w:t>
      </w:r>
      <w:fldSimple w:instr=" REF TecDocRef003 \* MERGEFORMAT ">
        <w:r w:rsidR="0099384D">
          <w:t>[2]</w:t>
        </w:r>
      </w:fldSimple>
      <w:r w:rsidRPr="00F43E9F">
        <w:t>:</w:t>
      </w:r>
    </w:p>
    <w:p w:rsidR="0008605E" w:rsidRPr="0008605E" w:rsidRDefault="0008605E" w:rsidP="00F43E9F">
      <w:pPr>
        <w:pStyle w:val="BodyTextList"/>
        <w:numPr>
          <w:ilvl w:val="0"/>
          <w:numId w:val="4"/>
        </w:numPr>
      </w:pPr>
      <w:r w:rsidRPr="0008605E">
        <w:t>the main roll-front with well-distinguished “nose” parts;</w:t>
      </w:r>
    </w:p>
    <w:p w:rsidR="0008605E" w:rsidRPr="0008605E" w:rsidRDefault="0008605E" w:rsidP="00F43E9F">
      <w:pPr>
        <w:pStyle w:val="BodyTextList"/>
        <w:numPr>
          <w:ilvl w:val="0"/>
          <w:numId w:val="4"/>
        </w:numPr>
      </w:pPr>
      <w:r w:rsidRPr="0008605E">
        <w:t>mineralised “wings” (or “limb”) elements; and</w:t>
      </w:r>
    </w:p>
    <w:p w:rsidR="0008605E" w:rsidRDefault="0008605E" w:rsidP="00F43E9F">
      <w:pPr>
        <w:pStyle w:val="BodyTextList"/>
        <w:numPr>
          <w:ilvl w:val="0"/>
          <w:numId w:val="4"/>
        </w:numPr>
      </w:pPr>
      <w:r w:rsidRPr="0008605E">
        <w:t>“satellite” or “residual” bodies located in the rear of the main rolls.</w:t>
      </w:r>
    </w:p>
    <w:p w:rsidR="004214D1" w:rsidRPr="0008605E" w:rsidRDefault="004214D1" w:rsidP="004214D1">
      <w:pPr>
        <w:pStyle w:val="BodyTextList"/>
      </w:pPr>
    </w:p>
    <w:p w:rsidR="0008605E" w:rsidRPr="00F43E9F" w:rsidRDefault="0008605E" w:rsidP="00F43E9F">
      <w:pPr>
        <w:pStyle w:val="BodyText"/>
      </w:pPr>
      <w:r w:rsidRPr="00F43E9F">
        <w:t xml:space="preserve">An important feature of uranium-mineralised bodies is </w:t>
      </w:r>
      <w:r w:rsidR="00F74D14">
        <w:t xml:space="preserve">the </w:t>
      </w:r>
      <w:r w:rsidRPr="00F43E9F">
        <w:t xml:space="preserve">change in the proportion of uranium and radium </w:t>
      </w:r>
      <w:r w:rsidR="002D20B6">
        <w:t>relative to its position in the roll</w:t>
      </w:r>
      <w:r w:rsidR="00C770CC">
        <w:t xml:space="preserve"> shape ore body</w:t>
      </w:r>
      <w:r w:rsidRPr="00F43E9F">
        <w:t xml:space="preserve"> (</w:t>
      </w:r>
      <w:r w:rsidR="0099384D">
        <w:t>FIG. 1</w:t>
      </w:r>
      <w:r w:rsidRPr="00F43E9F">
        <w:t xml:space="preserve">). Uranium </w:t>
      </w:r>
      <w:r w:rsidR="00B948ED">
        <w:t xml:space="preserve">concetrations </w:t>
      </w:r>
      <w:r w:rsidRPr="00F43E9F">
        <w:t xml:space="preserve">dominates in the nose parts and decreases in the wings, and radium dominates in the residual bodies and forms radium halos (which show as anomalies containing no uranium based on gamma-ray logging results). </w:t>
      </w:r>
      <w:r w:rsidR="005636DE">
        <w:t xml:space="preserve"> </w:t>
      </w:r>
      <w:r w:rsidR="002D20B6">
        <w:t xml:space="preserve">Radium </w:t>
      </w:r>
      <w:r w:rsidRPr="00F43E9F">
        <w:t xml:space="preserve">and </w:t>
      </w:r>
      <w:r w:rsidR="002D20B6">
        <w:t>uranium</w:t>
      </w:r>
      <w:r w:rsidRPr="00F43E9F">
        <w:t xml:space="preserve"> </w:t>
      </w:r>
      <w:r w:rsidR="002D20B6">
        <w:t xml:space="preserve">ratio </w:t>
      </w:r>
      <w:r w:rsidRPr="00F43E9F">
        <w:t>is described by the radioactive equilibrium factor (“REF”).</w:t>
      </w:r>
    </w:p>
    <w:p w:rsidR="0008605E" w:rsidRPr="00F43E9F" w:rsidRDefault="0008605E" w:rsidP="00F43E9F">
      <w:pPr>
        <w:pStyle w:val="BodyText"/>
      </w:pPr>
      <w:r w:rsidRPr="00F43E9F">
        <w:t>Sometimes the mineralised bodies show increased carbonate grade (to 3%), which results in extra acid consumption.</w:t>
      </w:r>
    </w:p>
    <w:p w:rsidR="0008605E" w:rsidRPr="00F43E9F" w:rsidRDefault="0008605E" w:rsidP="00F43E9F">
      <w:pPr>
        <w:pStyle w:val="BodyText"/>
      </w:pPr>
      <w:r w:rsidRPr="00F43E9F">
        <w:t xml:space="preserve">All </w:t>
      </w:r>
      <w:r w:rsidR="00C770CC">
        <w:t xml:space="preserve">mentioned </w:t>
      </w:r>
      <w:r w:rsidRPr="00F43E9F">
        <w:t>geological features of deposits should be taken into account for modelling.</w:t>
      </w:r>
    </w:p>
    <w:p w:rsidR="0008605E" w:rsidRPr="00F43E9F" w:rsidRDefault="0008605E" w:rsidP="00F43E9F">
      <w:pPr>
        <w:pStyle w:val="Heading1"/>
      </w:pPr>
      <w:bookmarkStart w:id="2" w:name="_Toc373940840"/>
      <w:bookmarkStart w:id="3" w:name="_Toc373941740"/>
      <w:bookmarkStart w:id="4" w:name="_Toc373942558"/>
      <w:bookmarkStart w:id="5" w:name="_Toc373940841"/>
      <w:bookmarkStart w:id="6" w:name="_Toc373941741"/>
      <w:bookmarkStart w:id="7" w:name="_Toc373942559"/>
      <w:bookmarkStart w:id="8" w:name="_Toc373940842"/>
      <w:bookmarkStart w:id="9" w:name="_Toc373941742"/>
      <w:bookmarkStart w:id="10" w:name="_Toc373942560"/>
      <w:bookmarkStart w:id="11" w:name="_Toc373940843"/>
      <w:bookmarkStart w:id="12" w:name="_Toc373941743"/>
      <w:bookmarkStart w:id="13" w:name="_Toc373942561"/>
      <w:bookmarkStart w:id="14" w:name="_Toc363070622"/>
      <w:bookmarkStart w:id="15" w:name="_Toc384389956"/>
      <w:bookmarkEnd w:id="2"/>
      <w:bookmarkEnd w:id="3"/>
      <w:bookmarkEnd w:id="4"/>
      <w:bookmarkEnd w:id="5"/>
      <w:bookmarkEnd w:id="6"/>
      <w:bookmarkEnd w:id="7"/>
      <w:bookmarkEnd w:id="8"/>
      <w:bookmarkEnd w:id="9"/>
      <w:bookmarkEnd w:id="10"/>
      <w:bookmarkEnd w:id="11"/>
      <w:bookmarkEnd w:id="12"/>
      <w:bookmarkEnd w:id="13"/>
      <w:bookmarkEnd w:id="14"/>
      <w:r w:rsidRPr="00F43E9F">
        <w:t>Modelling roll-front uranium deposits</w:t>
      </w:r>
      <w:bookmarkEnd w:id="15"/>
    </w:p>
    <w:p w:rsidR="0008605E" w:rsidRPr="00F43E9F" w:rsidRDefault="0008605E" w:rsidP="00F43E9F">
      <w:pPr>
        <w:pStyle w:val="BodyText"/>
      </w:pPr>
      <w:r w:rsidRPr="00F43E9F">
        <w:t xml:space="preserve">A serious challenge in estimating grades in roll-front deposits is identifying variable radiological responses influenced by the position of the mineralised interval relative to the redox front and to what extent disequilibrium is present within the deposit. </w:t>
      </w:r>
    </w:p>
    <w:p w:rsidR="0008605E" w:rsidRPr="00F43E9F" w:rsidRDefault="0008605E" w:rsidP="00F43E9F">
      <w:pPr>
        <w:pStyle w:val="BodyText"/>
      </w:pPr>
      <w:r w:rsidRPr="00F43E9F">
        <w:t xml:space="preserve">The initial downhole geophysical data is </w:t>
      </w:r>
      <w:r w:rsidR="002D20B6">
        <w:t xml:space="preserve">recorded </w:t>
      </w:r>
      <w:r w:rsidRPr="00F43E9F">
        <w:t xml:space="preserve">at 10 cm increments. These intervals are too narrow for radiological factors </w:t>
      </w:r>
      <w:r w:rsidR="009478D8" w:rsidRPr="00F43E9F">
        <w:t xml:space="preserve">determination </w:t>
      </w:r>
      <w:r w:rsidRPr="00F43E9F">
        <w:t xml:space="preserve">and </w:t>
      </w:r>
      <w:r w:rsidR="00C770CC">
        <w:t xml:space="preserve">to do </w:t>
      </w:r>
      <w:r w:rsidRPr="00F43E9F">
        <w:t>effective modelling . To negate this issue, intervals were composited over the full thickness of the mineralisation with division into sands and clays.</w:t>
      </w:r>
    </w:p>
    <w:p w:rsidR="0008605E" w:rsidRPr="00F43E9F" w:rsidRDefault="0008605E" w:rsidP="00F43E9F">
      <w:pPr>
        <w:pStyle w:val="BodyText"/>
      </w:pPr>
      <w:r w:rsidRPr="00F43E9F">
        <w:t>Modelling divided the bodies into mineralised horizons based on the geometry of the mineralisation (noses, wings, and roll residuals) and whether the mineralisation occurs within permeable sands or clays</w:t>
      </w:r>
      <w:r w:rsidR="009478D8">
        <w:t xml:space="preserve">, where </w:t>
      </w:r>
      <w:r w:rsidRPr="00F43E9F">
        <w:t xml:space="preserve">mineralisation is non-extractable by </w:t>
      </w:r>
      <w:r w:rsidR="00B948ED">
        <w:t>ISL</w:t>
      </w:r>
      <w:r w:rsidRPr="00F43E9F">
        <w:t xml:space="preserve"> methods</w:t>
      </w:r>
      <w:r w:rsidR="00F74D14">
        <w:t>.</w:t>
      </w:r>
    </w:p>
    <w:p w:rsidR="0008605E" w:rsidRPr="00F43E9F" w:rsidRDefault="0008605E" w:rsidP="00F43E9F">
      <w:pPr>
        <w:pStyle w:val="BodyText"/>
      </w:pPr>
      <w:r w:rsidRPr="00F43E9F">
        <w:t xml:space="preserve">It is important to determine </w:t>
      </w:r>
      <w:r w:rsidR="00C770CC">
        <w:t xml:space="preserve">the </w:t>
      </w:r>
      <w:r w:rsidRPr="00F43E9F">
        <w:t xml:space="preserve">radium cut-off grade for different geochemical zones and quantify a radioactive equilibrium factor (“REF”) for conversion of apparent radium </w:t>
      </w:r>
      <w:r w:rsidR="00C636FE">
        <w:t xml:space="preserve">grade x thickness </w:t>
      </w:r>
      <w:r w:rsidRPr="00F43E9F">
        <w:t>(“GT”) into uranium contents.</w:t>
      </w:r>
    </w:p>
    <w:p w:rsidR="0008605E" w:rsidRDefault="0008605E" w:rsidP="00F43E9F">
      <w:pPr>
        <w:pStyle w:val="BodyText"/>
      </w:pPr>
      <w:r w:rsidRPr="00F43E9F">
        <w:t xml:space="preserve">Lastly, for </w:t>
      </w:r>
      <w:r w:rsidR="00B948ED">
        <w:t>ISL</w:t>
      </w:r>
      <w:r w:rsidRPr="00F43E9F">
        <w:t xml:space="preserve"> deposits, the depletion of Mineral Resources is measured not by how much rock is removed, as is the case with most traditionally mined resources, but rather by lowering of </w:t>
      </w:r>
      <w:r w:rsidR="00C770CC">
        <w:t xml:space="preserve">the </w:t>
      </w:r>
      <w:r w:rsidRPr="00F43E9F">
        <w:t>uranium grade and productivity.</w:t>
      </w:r>
    </w:p>
    <w:p w:rsidR="00316FFF" w:rsidRDefault="00316FFF" w:rsidP="00F43E9F">
      <w:pPr>
        <w:pStyle w:val="BodyText"/>
      </w:pPr>
    </w:p>
    <w:p w:rsidR="00316FFF" w:rsidRDefault="00316FFF">
      <w:pPr>
        <w:pStyle w:val="BodyText"/>
      </w:pPr>
    </w:p>
    <w:tbl>
      <w:tblPr>
        <w:tblW w:w="0" w:type="auto"/>
        <w:tblLayout w:type="fixed"/>
        <w:tblLook w:val="0000"/>
      </w:tblPr>
      <w:tblGrid>
        <w:gridCol w:w="9287"/>
      </w:tblGrid>
      <w:tr w:rsidR="00316FFF" w:rsidTr="00316FFF">
        <w:trPr>
          <w:cantSplit/>
          <w:trHeight w:val="1400"/>
        </w:trPr>
        <w:tc>
          <w:tcPr>
            <w:tcW w:w="9287" w:type="dxa"/>
            <w:vAlign w:val="bottom"/>
          </w:tcPr>
          <w:p w:rsidR="00316FFF" w:rsidRDefault="00316FFF">
            <w:pPr>
              <w:pStyle w:val="BodyText"/>
              <w:jc w:val="center"/>
            </w:pPr>
            <w:r>
              <w:rPr>
                <w:lang w:val="en-CA" w:eastAsia="en-CA"/>
              </w:rPr>
              <w:drawing>
                <wp:inline distT="0" distB="0" distL="0" distR="0">
                  <wp:extent cx="5760085" cy="6370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6370955"/>
                          </a:xfrm>
                          <a:prstGeom prst="rect">
                            <a:avLst/>
                          </a:prstGeom>
                        </pic:spPr>
                      </pic:pic>
                    </a:graphicData>
                  </a:graphic>
                </wp:inline>
              </w:drawing>
            </w:r>
          </w:p>
          <w:p w:rsidR="00316FFF" w:rsidRDefault="00316FFF">
            <w:pPr>
              <w:pStyle w:val="IAEAFigureCaption"/>
            </w:pPr>
            <w:r>
              <w:t xml:space="preserve">FIG. </w:t>
            </w:r>
            <w:r w:rsidR="009E673F">
              <w:fldChar w:fldCharType="begin"/>
            </w:r>
            <w:r>
              <w:instrText xml:space="preserve"> SEQ __FigureSeq \# "0" \* MERGEFORMAT </w:instrText>
            </w:r>
            <w:r w:rsidR="009E673F">
              <w:fldChar w:fldCharType="separate"/>
            </w:r>
            <w:r w:rsidR="001B26A5">
              <w:rPr>
                <w:noProof/>
              </w:rPr>
              <w:t>1</w:t>
            </w:r>
            <w:r w:rsidR="009E673F">
              <w:fldChar w:fldCharType="end"/>
            </w:r>
            <w:r>
              <w:t xml:space="preserve">. </w:t>
            </w:r>
            <w:r w:rsidRPr="00F7768A">
              <w:rPr>
                <w:szCs w:val="22"/>
              </w:rPr>
              <w:t>Geological features of roll-front uranium deposits in South Kazakhstan in plan (A) and section (B) (</w:t>
            </w:r>
            <w:proofErr w:type="spellStart"/>
            <w:r w:rsidRPr="00F7768A">
              <w:rPr>
                <w:szCs w:val="22"/>
              </w:rPr>
              <w:t>Brovin</w:t>
            </w:r>
            <w:proofErr w:type="spellEnd"/>
            <w:r>
              <w:rPr>
                <w:szCs w:val="22"/>
              </w:rPr>
              <w:t xml:space="preserve"> </w:t>
            </w:r>
            <w:r w:rsidRPr="00F7768A">
              <w:rPr>
                <w:szCs w:val="22"/>
              </w:rPr>
              <w:t>et al., 1997): a-e – weaving ribbons of roll fronts on the different levels, 1 – reduced penetrable sediments (mainly sands), 2 – impenetrable sediments (mainly clays), 3 – diffuse radium halo, 4 – uranium mineralised body (4a – nose part, 4b – wing parts, 4c – residual parts), 5 – remaining radium halo, 6 – oxidised penetrable sediments, arrow – direction of solutions flow</w:t>
            </w:r>
          </w:p>
        </w:tc>
      </w:tr>
    </w:tbl>
    <w:p w:rsidR="00316FFF" w:rsidRDefault="00316FFF">
      <w:pPr>
        <w:pStyle w:val="BodyText"/>
      </w:pPr>
    </w:p>
    <w:p w:rsidR="00316FFF" w:rsidRDefault="00316FFF" w:rsidP="00F43E9F">
      <w:pPr>
        <w:pStyle w:val="BodyText"/>
      </w:pPr>
    </w:p>
    <w:p w:rsidR="00316FFF" w:rsidRDefault="00316FFF" w:rsidP="00F43E9F">
      <w:pPr>
        <w:pStyle w:val="BodyText"/>
      </w:pPr>
    </w:p>
    <w:p w:rsidR="00316FFF" w:rsidRDefault="00316FFF" w:rsidP="00F43E9F">
      <w:pPr>
        <w:pStyle w:val="BodyText"/>
      </w:pPr>
    </w:p>
    <w:p w:rsidR="0008605E" w:rsidRPr="00F43E9F" w:rsidRDefault="0008605E" w:rsidP="00F43E9F">
      <w:pPr>
        <w:pStyle w:val="Heading1"/>
      </w:pPr>
      <w:bookmarkStart w:id="16" w:name="_Toc384389958"/>
      <w:bookmarkStart w:id="17" w:name="_Toc357469207"/>
      <w:r w:rsidRPr="00F43E9F">
        <w:lastRenderedPageBreak/>
        <w:t>Delineation</w:t>
      </w:r>
      <w:r w:rsidRPr="00F43E9F" w:rsidDel="00004E02">
        <w:t xml:space="preserve"> </w:t>
      </w:r>
      <w:r w:rsidRPr="00F43E9F">
        <w:t>of Mineralised Intervals</w:t>
      </w:r>
      <w:bookmarkEnd w:id="16"/>
    </w:p>
    <w:p w:rsidR="0008605E" w:rsidRPr="00F43E9F" w:rsidRDefault="0008605E" w:rsidP="00F43E9F">
      <w:pPr>
        <w:pStyle w:val="BodyText"/>
      </w:pPr>
      <w:r w:rsidRPr="00F43E9F">
        <w:t>Geophysical data (</w:t>
      </w:r>
      <w:r w:rsidR="00F74D14">
        <w:t xml:space="preserve">i.e., </w:t>
      </w:r>
      <w:r w:rsidRPr="00F43E9F">
        <w:t xml:space="preserve">wireline logging) is the primary means of defining uranium mineralised intervals. The uranium values need to be corrected using number of </w:t>
      </w:r>
      <w:r w:rsidR="002D20B6">
        <w:t>modifications</w:t>
      </w:r>
      <w:r w:rsidRPr="00F43E9F">
        <w:t xml:space="preserve">, which are determined according to the </w:t>
      </w:r>
      <w:r w:rsidR="00C770CC">
        <w:t xml:space="preserve">standart operating </w:t>
      </w:r>
      <w:r w:rsidR="002D20B6">
        <w:t xml:space="preserve">procedure </w:t>
      </w:r>
      <w:r w:rsidRPr="00F43E9F">
        <w:t xml:space="preserve">of JSC Volkovgeologiya (see details and references in </w:t>
      </w:r>
      <w:fldSimple w:instr=" REF TecDocRef004 \* MERGEFORMAT ">
        <w:r w:rsidR="0099384D">
          <w:t>[3]</w:t>
        </w:r>
      </w:fldSimple>
      <w:r w:rsidR="0099384D">
        <w:t xml:space="preserve">, </w:t>
      </w:r>
      <w:fldSimple w:instr=" REF TecDocRef005 \* MERGEFORMAT ">
        <w:r w:rsidR="0099384D">
          <w:t>[4]</w:t>
        </w:r>
      </w:fldSimple>
      <w:r w:rsidRPr="00F43E9F">
        <w:t>) including corrections for:</w:t>
      </w:r>
    </w:p>
    <w:p w:rsidR="0008605E" w:rsidRPr="00F43E9F" w:rsidRDefault="0008605E" w:rsidP="00F43E9F">
      <w:pPr>
        <w:pStyle w:val="BodyTextList"/>
        <w:numPr>
          <w:ilvl w:val="0"/>
          <w:numId w:val="5"/>
        </w:numPr>
      </w:pPr>
      <w:r w:rsidRPr="00F43E9F">
        <w:t>Thorium and Potassium (usually constant and low for South Kazakhstan deposits);</w:t>
      </w:r>
    </w:p>
    <w:p w:rsidR="0008605E" w:rsidRPr="00F43E9F" w:rsidRDefault="0008605E" w:rsidP="00F43E9F">
      <w:pPr>
        <w:pStyle w:val="BodyTextList"/>
        <w:numPr>
          <w:ilvl w:val="0"/>
          <w:numId w:val="5"/>
        </w:numPr>
      </w:pPr>
      <w:r w:rsidRPr="00F43E9F">
        <w:t>Radon (Radioactive Equilibrium between Radium and Radon), usually constant; and,</w:t>
      </w:r>
    </w:p>
    <w:p w:rsidR="0008605E" w:rsidRPr="00F43E9F" w:rsidRDefault="0008605E" w:rsidP="00F43E9F">
      <w:pPr>
        <w:pStyle w:val="BodyTextList"/>
        <w:numPr>
          <w:ilvl w:val="0"/>
          <w:numId w:val="5"/>
        </w:numPr>
      </w:pPr>
      <w:r w:rsidRPr="00F43E9F">
        <w:t xml:space="preserve">Radium (disequilibrium – REF), usually quite variable in South Kazakhstan deposits. </w:t>
      </w:r>
    </w:p>
    <w:p w:rsidR="00F43E9F" w:rsidRDefault="00F43E9F" w:rsidP="00F43E9F">
      <w:pPr>
        <w:pStyle w:val="BodyText"/>
      </w:pPr>
    </w:p>
    <w:p w:rsidR="0008605E" w:rsidRPr="00F43E9F" w:rsidRDefault="0008605E" w:rsidP="00F43E9F">
      <w:pPr>
        <w:pStyle w:val="BodyText"/>
      </w:pPr>
      <w:r w:rsidRPr="00F43E9F">
        <w:t>REF is defined in two steps:</w:t>
      </w:r>
    </w:p>
    <w:p w:rsidR="0008605E" w:rsidRPr="00F43E9F" w:rsidRDefault="0008605E" w:rsidP="00F43E9F">
      <w:pPr>
        <w:pStyle w:val="BodyTextList"/>
        <w:numPr>
          <w:ilvl w:val="0"/>
          <w:numId w:val="6"/>
        </w:numPr>
      </w:pPr>
      <w:r w:rsidRPr="00F43E9F">
        <w:t>Definition of cut-off grades for radium equivalent to 0.01% U for establishing of boundaries of mineralised intervals. It depends of geochemistry of host sediments: oxidised or reduced.</w:t>
      </w:r>
    </w:p>
    <w:p w:rsidR="0008605E" w:rsidRDefault="0008605E" w:rsidP="00F43E9F">
      <w:pPr>
        <w:pStyle w:val="BodyTextList"/>
        <w:numPr>
          <w:ilvl w:val="0"/>
          <w:numId w:val="6"/>
        </w:numPr>
      </w:pPr>
      <w:r w:rsidRPr="00F43E9F">
        <w:t>A correction for REF = С (radium) / С (uranium) is introduced to calculate uranium grade after establishing mineralised interval boundaries and calculation of average radium grade. It depends on the morphology of mineralised bodies – whether noses, wings, or residuals.</w:t>
      </w:r>
    </w:p>
    <w:p w:rsidR="00F43E9F" w:rsidRPr="00F43E9F" w:rsidRDefault="00F43E9F" w:rsidP="00F43E9F">
      <w:pPr>
        <w:pStyle w:val="BodyTextList"/>
      </w:pPr>
    </w:p>
    <w:p w:rsidR="0008605E" w:rsidRPr="00F43E9F" w:rsidRDefault="0008605E" w:rsidP="00F43E9F">
      <w:pPr>
        <w:pStyle w:val="Heading1"/>
      </w:pPr>
      <w:r w:rsidRPr="00F43E9F">
        <w:t>Geological interpretation</w:t>
      </w:r>
    </w:p>
    <w:bookmarkEnd w:id="17"/>
    <w:p w:rsidR="0008605E" w:rsidRPr="00F43E9F" w:rsidRDefault="0008605E" w:rsidP="00F43E9F">
      <w:pPr>
        <w:pStyle w:val="BodyText"/>
      </w:pPr>
      <w:r w:rsidRPr="00F43E9F">
        <w:t>Interpretation of roll-front style uranium deposits (amenable to in situ recovery) has specific requirements, which are listed below:</w:t>
      </w:r>
    </w:p>
    <w:p w:rsidR="0008605E" w:rsidRPr="00F43E9F" w:rsidRDefault="0008605E" w:rsidP="00F43E9F">
      <w:pPr>
        <w:pStyle w:val="BodyTextList"/>
        <w:numPr>
          <w:ilvl w:val="0"/>
          <w:numId w:val="7"/>
        </w:numPr>
      </w:pPr>
      <w:r w:rsidRPr="00F43E9F">
        <w:t>Modelling of mineralised horizons by creating surfaces;</w:t>
      </w:r>
    </w:p>
    <w:p w:rsidR="0008605E" w:rsidRPr="00F43E9F" w:rsidRDefault="0008605E" w:rsidP="00F43E9F">
      <w:pPr>
        <w:pStyle w:val="BodyTextList"/>
        <w:numPr>
          <w:ilvl w:val="0"/>
          <w:numId w:val="7"/>
        </w:numPr>
      </w:pPr>
      <w:r w:rsidRPr="00F43E9F">
        <w:t>Defining mineralised intervals using gamma-logging that takes into consideration radium cut-off grades, which are also dependent on the location of the mineralised intervals in the oxidized or reduced sediments;</w:t>
      </w:r>
    </w:p>
    <w:p w:rsidR="0008605E" w:rsidRPr="00F43E9F" w:rsidRDefault="0008605E" w:rsidP="00F43E9F">
      <w:pPr>
        <w:pStyle w:val="BodyTextList"/>
        <w:numPr>
          <w:ilvl w:val="0"/>
          <w:numId w:val="7"/>
        </w:numPr>
      </w:pPr>
      <w:r w:rsidRPr="00F43E9F">
        <w:t>Division of interpreted mineralised bodies into nose, wing and residual parts accounting for the geochemical composition of the host sediments; and</w:t>
      </w:r>
    </w:p>
    <w:p w:rsidR="0008605E" w:rsidRPr="00F43E9F" w:rsidRDefault="0008605E" w:rsidP="00F43E9F">
      <w:pPr>
        <w:pStyle w:val="BodyTextList"/>
        <w:numPr>
          <w:ilvl w:val="0"/>
          <w:numId w:val="7"/>
        </w:numPr>
      </w:pPr>
      <w:r w:rsidRPr="00F43E9F">
        <w:t xml:space="preserve">Interpretation of clay horizons, in order to define mineralisation that cannot be extracted by </w:t>
      </w:r>
      <w:r w:rsidR="00B948ED">
        <w:t>ISL</w:t>
      </w:r>
      <w:r w:rsidRPr="00F43E9F">
        <w:t xml:space="preserve"> methods.</w:t>
      </w:r>
    </w:p>
    <w:p w:rsidR="00F43E9F" w:rsidRDefault="00F43E9F" w:rsidP="00F43E9F">
      <w:pPr>
        <w:pStyle w:val="BodyText"/>
      </w:pPr>
      <w:bookmarkStart w:id="18" w:name="_Toc351384007"/>
      <w:bookmarkStart w:id="19" w:name="_Toc357469211"/>
    </w:p>
    <w:p w:rsidR="0008605E" w:rsidRPr="00F43E9F" w:rsidRDefault="0008605E" w:rsidP="00F43E9F">
      <w:pPr>
        <w:pStyle w:val="BodyText"/>
      </w:pPr>
      <w:r w:rsidRPr="00F43E9F">
        <w:t xml:space="preserve">The interpreted mineralised envelopes are then divided into morphological elements – </w:t>
      </w:r>
      <w:r w:rsidR="00120C35">
        <w:t xml:space="preserve">i.e., </w:t>
      </w:r>
      <w:r w:rsidRPr="00F43E9F">
        <w:t>nose, wing, and residual parts as well as into mineralised horizons as follows:</w:t>
      </w:r>
    </w:p>
    <w:p w:rsidR="0008605E" w:rsidRPr="00F43E9F" w:rsidRDefault="0008605E" w:rsidP="00F43E9F">
      <w:pPr>
        <w:pStyle w:val="BodyTextList"/>
        <w:numPr>
          <w:ilvl w:val="0"/>
          <w:numId w:val="8"/>
        </w:numPr>
      </w:pPr>
      <w:r w:rsidRPr="00F43E9F">
        <w:t>Intervals where mostly reduced rocks are developed both in the mineralised interval and above and below are attributed to the nose zone;</w:t>
      </w:r>
    </w:p>
    <w:p w:rsidR="0008605E" w:rsidRPr="00F43E9F" w:rsidRDefault="0008605E" w:rsidP="00F43E9F">
      <w:pPr>
        <w:pStyle w:val="BodyTextList"/>
        <w:numPr>
          <w:ilvl w:val="0"/>
          <w:numId w:val="8"/>
        </w:numPr>
      </w:pPr>
      <w:r w:rsidRPr="00F43E9F">
        <w:t>Intervals where reduced rocks are developed in the mineralised interval and mainly on one of its sides (either above or below) are attributed to the limb; and,</w:t>
      </w:r>
    </w:p>
    <w:p w:rsidR="0008605E" w:rsidRDefault="0008605E" w:rsidP="00F43E9F">
      <w:pPr>
        <w:pStyle w:val="BodyTextList"/>
        <w:numPr>
          <w:ilvl w:val="0"/>
          <w:numId w:val="8"/>
        </w:numPr>
      </w:pPr>
      <w:r w:rsidRPr="00F43E9F">
        <w:t>Intervals where there are mainly oxidised rocks developed above or below the mineralised interval are attributed to the residual part; the mineralised interval itself can be represented both by reduced and oxidised rocks.</w:t>
      </w:r>
    </w:p>
    <w:p w:rsidR="00F43E9F" w:rsidRPr="00F43E9F" w:rsidRDefault="00F43E9F" w:rsidP="00F43E9F">
      <w:pPr>
        <w:pStyle w:val="BodyTextList"/>
      </w:pPr>
    </w:p>
    <w:p w:rsidR="0008605E" w:rsidRPr="00F43E9F" w:rsidRDefault="0008605E" w:rsidP="00F43E9F">
      <w:pPr>
        <w:pStyle w:val="BodyText"/>
      </w:pPr>
      <w:r w:rsidRPr="00F43E9F">
        <w:t xml:space="preserve">The </w:t>
      </w:r>
      <w:r w:rsidR="00C770CC">
        <w:t xml:space="preserve">roll </w:t>
      </w:r>
      <w:r w:rsidRPr="00F43E9F">
        <w:t xml:space="preserve">nose parts </w:t>
      </w:r>
      <w:r w:rsidR="002D20B6">
        <w:t>defines</w:t>
      </w:r>
      <w:r w:rsidRPr="00F43E9F">
        <w:t xml:space="preserve"> the redox front</w:t>
      </w:r>
      <w:r w:rsidR="00D02234" w:rsidRPr="00D02234">
        <w:t xml:space="preserve"> </w:t>
      </w:r>
      <w:r w:rsidR="00D02234">
        <w:t>location</w:t>
      </w:r>
      <w:r w:rsidRPr="00F43E9F">
        <w:t xml:space="preserve">. The definition of redox fronts is very important for understanding </w:t>
      </w:r>
      <w:r w:rsidR="00120C35">
        <w:t xml:space="preserve">the </w:t>
      </w:r>
      <w:r w:rsidRPr="00F43E9F">
        <w:t xml:space="preserve">geological structure of a deposit. The wing and residual parts of rolls are </w:t>
      </w:r>
      <w:r w:rsidR="00C770CC">
        <w:t xml:space="preserve">located </w:t>
      </w:r>
      <w:r w:rsidRPr="00F43E9F">
        <w:t xml:space="preserve">in the rear part of redox fronts. </w:t>
      </w:r>
      <w:r w:rsidR="00A7554E">
        <w:t xml:space="preserve">Mineralisation ends </w:t>
      </w:r>
      <w:r w:rsidR="00A7554E" w:rsidRPr="00F43E9F">
        <w:t>abruptly</w:t>
      </w:r>
      <w:r w:rsidR="00A7554E">
        <w:t xml:space="preserve"> in</w:t>
      </w:r>
      <w:r w:rsidRPr="00F43E9F">
        <w:t xml:space="preserve"> the frontal part of the redox fronts usually. Radium halos can be distributed deep into the rear parts of roll fronts – exhibiting gamma activity but no uranium mineralisation. Prompt fission neutron (PFN) logging </w:t>
      </w:r>
      <w:r w:rsidR="00C770CC">
        <w:t xml:space="preserve">is used for direct uranium measurement and </w:t>
      </w:r>
      <w:r w:rsidRPr="00F43E9F">
        <w:t>can be useful for exploration of these parts.</w:t>
      </w:r>
    </w:p>
    <w:p w:rsidR="0008605E" w:rsidRPr="00F43E9F" w:rsidRDefault="0008605E" w:rsidP="00F43E9F">
      <w:pPr>
        <w:pStyle w:val="BodyText"/>
      </w:pPr>
      <w:r w:rsidRPr="00F43E9F">
        <w:lastRenderedPageBreak/>
        <w:t>The interpretation of clay horizons is usually carried out after interpretation of the mineralised envelopes. This interpretation is based on core logging and electrical methods – resistivity logging and spontaneous polarisation logging. Clay horizons should be subconcordant with mineralisation. Sometimes it is necessary to correct the mineralised bodies after lithological interpretation.</w:t>
      </w:r>
    </w:p>
    <w:p w:rsidR="0008605E" w:rsidRPr="00F43E9F" w:rsidRDefault="0008605E" w:rsidP="00F43E9F">
      <w:pPr>
        <w:pStyle w:val="Heading1"/>
      </w:pPr>
      <w:r w:rsidRPr="00F43E9F">
        <w:t>Block modelling</w:t>
      </w:r>
    </w:p>
    <w:bookmarkEnd w:id="18"/>
    <w:bookmarkEnd w:id="19"/>
    <w:p w:rsidR="0008605E" w:rsidRPr="00F43E9F" w:rsidRDefault="0008605E" w:rsidP="00F43E9F">
      <w:pPr>
        <w:pStyle w:val="BodyText"/>
      </w:pPr>
      <w:r w:rsidRPr="00F43E9F">
        <w:t>Industry standard approaches of geostatistical analysis, compositing, block modelling and grade estimation are used for the roll-front uranium deposits in South Kazakhstan. The uranium and carbonate grades as well as REF are estimated for the block model (also other minor elements such as Se, Sc, Re, REE, etc. can be estimated).</w:t>
      </w:r>
    </w:p>
    <w:p w:rsidR="0008605E" w:rsidRPr="00F43E9F" w:rsidRDefault="0008605E" w:rsidP="00F43E9F">
      <w:pPr>
        <w:pStyle w:val="BodyText"/>
      </w:pPr>
      <w:r w:rsidRPr="00F43E9F">
        <w:t xml:space="preserve">There is one important feature in the methodology of resource estimation for these deposits. </w:t>
      </w:r>
    </w:p>
    <w:p w:rsidR="0008605E" w:rsidRPr="00F43E9F" w:rsidRDefault="0008605E" w:rsidP="00F43E9F">
      <w:pPr>
        <w:pStyle w:val="BodyText"/>
      </w:pPr>
      <w:r w:rsidRPr="00F43E9F">
        <w:t xml:space="preserve">For </w:t>
      </w:r>
      <w:r w:rsidR="00B948ED">
        <w:t>ISL</w:t>
      </w:r>
      <w:r w:rsidRPr="00F43E9F">
        <w:t xml:space="preserve"> deposits it is important to use a metal accumulation index (grade x thickness or “GT”) to define the cut-offs for resource estimation, whereas the classical approach is to only use grade cut-offs in resource estimation. For example, the mineralised interval with U grade 0.04% and 10 m thickness (GT = 0.4 m%) is better for </w:t>
      </w:r>
      <w:r w:rsidR="00B948ED">
        <w:t>ISL</w:t>
      </w:r>
      <w:r w:rsidRPr="00F43E9F">
        <w:t xml:space="preserve"> than mineralised interval with U grade 0.10% and 3 m thickness (GT = 0.3 m%).</w:t>
      </w:r>
    </w:p>
    <w:p w:rsidR="0008605E" w:rsidRPr="00F43E9F" w:rsidRDefault="0008605E" w:rsidP="00F43E9F">
      <w:pPr>
        <w:pStyle w:val="BodyText"/>
      </w:pPr>
      <w:r w:rsidRPr="00F43E9F">
        <w:t>A gridded model is generated for each wireframe in order to estimate GT, based on block models. The vertical extent of the cells of the gridded model depends on the thickness of mineralisation. GT is calculated by multiplying the vertical size of the cells by the uranium grade. Gridded models are two-dimensional. In order to estimate the GT in three-dimensional space, it is necessary to compare each cell of the gridded model with a column of cells in the original (classical) block model. This was completed by indexing of the block model cells by comparison with the cells of the gridded model.</w:t>
      </w:r>
    </w:p>
    <w:p w:rsidR="0008605E" w:rsidRPr="00F43E9F" w:rsidRDefault="0008605E" w:rsidP="00F43E9F">
      <w:pPr>
        <w:pStyle w:val="BodyText"/>
      </w:pPr>
      <w:r w:rsidRPr="00F43E9F">
        <w:t>Lower and upper wings are estimated separately due to different wireframe modelling nose and wing parts of rolls.</w:t>
      </w:r>
    </w:p>
    <w:p w:rsidR="0008605E" w:rsidRPr="00F43E9F" w:rsidRDefault="0008605E" w:rsidP="00F43E9F">
      <w:pPr>
        <w:pStyle w:val="Heading1"/>
      </w:pPr>
      <w:bookmarkStart w:id="20" w:name="_Toc351384026"/>
      <w:bookmarkStart w:id="21" w:name="_Toc357469227"/>
      <w:bookmarkStart w:id="22" w:name="_Toc384389982"/>
      <w:r w:rsidRPr="00F43E9F">
        <w:t xml:space="preserve">Accounting for Depletion </w:t>
      </w:r>
      <w:bookmarkEnd w:id="20"/>
      <w:r w:rsidRPr="00F43E9F">
        <w:t xml:space="preserve">in </w:t>
      </w:r>
      <w:bookmarkEnd w:id="21"/>
      <w:bookmarkEnd w:id="22"/>
      <w:r w:rsidR="00B948ED">
        <w:t>ISL</w:t>
      </w:r>
      <w:r w:rsidRPr="00F43E9F">
        <w:t xml:space="preserve"> mining</w:t>
      </w:r>
    </w:p>
    <w:p w:rsidR="0008605E" w:rsidRPr="00F43E9F" w:rsidRDefault="0008605E" w:rsidP="00F43E9F">
      <w:pPr>
        <w:pStyle w:val="BodyText"/>
      </w:pPr>
      <w:r w:rsidRPr="00F43E9F">
        <w:t xml:space="preserve">In </w:t>
      </w:r>
      <w:r w:rsidR="00A7554E">
        <w:t>conventional</w:t>
      </w:r>
      <w:r w:rsidRPr="00F43E9F">
        <w:t xml:space="preserve"> open pit or underground mining, the depleted volume of ore can be physically surveyed. In </w:t>
      </w:r>
      <w:r w:rsidR="00B948ED">
        <w:t>ISL</w:t>
      </w:r>
      <w:r w:rsidRPr="00F43E9F">
        <w:t xml:space="preserve"> operations, the host rock remains undisturbed while </w:t>
      </w:r>
      <w:r w:rsidR="00C770CC">
        <w:t xml:space="preserve">uranium mineralisation </w:t>
      </w:r>
      <w:r w:rsidRPr="00F43E9F">
        <w:t>is dissolved by the leaching solution.</w:t>
      </w:r>
      <w:r w:rsidR="00C770CC">
        <w:t xml:space="preserve"> </w:t>
      </w:r>
      <w:r w:rsidRPr="00F43E9F">
        <w:t xml:space="preserve">Leaching contours and the dynamics of uranium </w:t>
      </w:r>
      <w:r w:rsidR="00C770CC">
        <w:t xml:space="preserve">leaching process </w:t>
      </w:r>
      <w:r w:rsidRPr="00F43E9F">
        <w:t>can be determined by creating a model that describes solution hydrodynamics and dissolution of uranium.</w:t>
      </w:r>
    </w:p>
    <w:p w:rsidR="0008605E" w:rsidRPr="00F43E9F" w:rsidRDefault="0008605E" w:rsidP="00F43E9F">
      <w:pPr>
        <w:pStyle w:val="BodyText"/>
      </w:pPr>
      <w:r w:rsidRPr="00F43E9F">
        <w:t>For the purposes of producing a global Mineral Resource estimate for a mine it is considered sufficient to volumetrically delineate contours of production blocks and to deduct the depleted metal (recovery and in situ loss) from the Mineral Resources. Grades and GT will decrease proportionally because the volume of rock mass remains.</w:t>
      </w:r>
    </w:p>
    <w:p w:rsidR="0008605E" w:rsidRDefault="0008605E" w:rsidP="00F43E9F">
      <w:pPr>
        <w:pStyle w:val="BodyText"/>
      </w:pPr>
      <w:r w:rsidRPr="00F43E9F">
        <w:t xml:space="preserve">Delineation of the production blocks is completed in plan projection using the location plans of production wells. The vertical boundaries of the production blocks are determined using the intervals of setting screens in the production wells. </w:t>
      </w:r>
    </w:p>
    <w:p w:rsidR="007E2FA7" w:rsidRPr="00F43E9F" w:rsidRDefault="007E2FA7" w:rsidP="007E2FA7">
      <w:pPr>
        <w:pStyle w:val="Heading1"/>
      </w:pPr>
      <w:r>
        <w:t>Mineral Resources</w:t>
      </w:r>
    </w:p>
    <w:p w:rsidR="00CC6C37" w:rsidRPr="005B3BCA" w:rsidRDefault="005B3BCA" w:rsidP="005B3BCA">
      <w:pPr>
        <w:pStyle w:val="BodyText"/>
      </w:pPr>
      <w:r w:rsidRPr="005B3BCA">
        <w:t xml:space="preserve">Table 1 shows the </w:t>
      </w:r>
      <w:r w:rsidR="00120C35">
        <w:t xml:space="preserve">recent </w:t>
      </w:r>
      <w:r w:rsidRPr="005B3BCA">
        <w:t>estimate of the Mineral Resources for the Budenovskoye deposit</w:t>
      </w:r>
      <w:r w:rsidR="00917349">
        <w:t>,</w:t>
      </w:r>
      <w:r w:rsidRPr="005B3BCA">
        <w:t xml:space="preserve"> as of June 30, 2013.</w:t>
      </w:r>
    </w:p>
    <w:p w:rsidR="00CC6C37" w:rsidRPr="00C01D29" w:rsidRDefault="00CC6C37" w:rsidP="00F43E9F">
      <w:pPr>
        <w:pStyle w:val="BodyText"/>
      </w:pPr>
    </w:p>
    <w:p w:rsidR="00C01D29" w:rsidRDefault="00C01D29" w:rsidP="00F43E9F">
      <w:pPr>
        <w:pStyle w:val="BodyText"/>
        <w:rPr>
          <w:lang w:val="en-US"/>
        </w:rPr>
      </w:pPr>
    </w:p>
    <w:p w:rsidR="00C01D29" w:rsidRDefault="00C01D29" w:rsidP="00F43E9F">
      <w:pPr>
        <w:pStyle w:val="BodyText"/>
        <w:rPr>
          <w:lang w:val="en-US"/>
        </w:rPr>
      </w:pPr>
    </w:p>
    <w:p w:rsidR="00D8565D" w:rsidRDefault="00D8565D" w:rsidP="00D8565D">
      <w:pPr>
        <w:pStyle w:val="IAEATableHeading"/>
        <w:rPr>
          <w:lang w:val="en-US"/>
        </w:rPr>
      </w:pPr>
      <w:proofErr w:type="gramStart"/>
      <w:r>
        <w:rPr>
          <w:lang w:val="en-US"/>
        </w:rPr>
        <w:t xml:space="preserve">Table </w:t>
      </w:r>
      <w:fldSimple w:instr=" SEQ  __TableCaption \* Arabic  \* MERGEFORMAT ">
        <w:r w:rsidR="001B26A5">
          <w:rPr>
            <w:noProof/>
            <w:lang w:val="en-US"/>
          </w:rPr>
          <w:t>1</w:t>
        </w:r>
      </w:fldSimple>
      <w:r>
        <w:rPr>
          <w:lang w:val="en-US"/>
        </w:rPr>
        <w:t>.</w:t>
      </w:r>
      <w:proofErr w:type="gramEnd"/>
      <w:r>
        <w:rPr>
          <w:lang w:val="en-US"/>
        </w:rPr>
        <w:t xml:space="preserve"> </w:t>
      </w:r>
      <w:r w:rsidR="00F17F4A">
        <w:t xml:space="preserve">Estimate of Mineral Resources </w:t>
      </w:r>
      <w:r w:rsidR="00F17F4A" w:rsidRPr="001E5CBF">
        <w:t xml:space="preserve">for </w:t>
      </w:r>
      <w:r w:rsidR="00F17F4A">
        <w:t xml:space="preserve">the Budenovskoye Deposit, </w:t>
      </w:r>
      <w:r w:rsidR="00F17F4A" w:rsidRPr="001E5CBF">
        <w:t xml:space="preserve">as of </w:t>
      </w:r>
      <w:r w:rsidR="00F17F4A">
        <w:t>June 30, 2013</w:t>
      </w:r>
    </w:p>
    <w:tbl>
      <w:tblPr>
        <w:tblStyle w:val="TableGrid"/>
        <w:tblW w:w="9606" w:type="dxa"/>
        <w:tblLook w:val="04A0"/>
      </w:tblPr>
      <w:tblGrid>
        <w:gridCol w:w="1085"/>
        <w:gridCol w:w="1029"/>
        <w:gridCol w:w="1029"/>
        <w:gridCol w:w="1024"/>
        <w:gridCol w:w="1020"/>
        <w:gridCol w:w="1024"/>
        <w:gridCol w:w="1029"/>
        <w:gridCol w:w="1102"/>
        <w:gridCol w:w="1264"/>
      </w:tblGrid>
      <w:tr w:rsidR="00D8565D" w:rsidTr="00D8565D">
        <w:tc>
          <w:tcPr>
            <w:tcW w:w="1031" w:type="dxa"/>
            <w:vMerge w:val="restart"/>
            <w:tcBorders>
              <w:top w:val="single" w:sz="4" w:space="0" w:color="auto"/>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C</w:t>
            </w:r>
            <w:r w:rsidRPr="00D8565D">
              <w:t>ategory</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Volume</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Tonnes</w:t>
            </w:r>
          </w:p>
        </w:tc>
        <w:tc>
          <w:tcPr>
            <w:tcW w:w="2064" w:type="dxa"/>
            <w:gridSpan w:val="2"/>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sidRPr="00CC6C37">
              <w:rPr>
                <w:lang w:val="en-US"/>
              </w:rPr>
              <w:t>Productivity (GT)</w:t>
            </w:r>
          </w:p>
        </w:tc>
        <w:tc>
          <w:tcPr>
            <w:tcW w:w="2064" w:type="dxa"/>
            <w:gridSpan w:val="2"/>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Grade</w:t>
            </w:r>
          </w:p>
        </w:tc>
        <w:tc>
          <w:tcPr>
            <w:tcW w:w="2383" w:type="dxa"/>
            <w:gridSpan w:val="2"/>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Mineral Resources</w:t>
            </w:r>
          </w:p>
        </w:tc>
      </w:tr>
      <w:tr w:rsidR="00D8565D" w:rsidTr="00D8565D">
        <w:tc>
          <w:tcPr>
            <w:tcW w:w="1031" w:type="dxa"/>
            <w:vMerge/>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p>
        </w:tc>
        <w:tc>
          <w:tcPr>
            <w:tcW w:w="1032"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‘000 m</w:t>
            </w:r>
            <w:r w:rsidRPr="00D8565D">
              <w:rPr>
                <w:vertAlign w:val="superscript"/>
                <w:lang w:val="en-US"/>
              </w:rPr>
              <w:t>3</w:t>
            </w:r>
          </w:p>
        </w:tc>
        <w:tc>
          <w:tcPr>
            <w:tcW w:w="1032"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‘000 t</w:t>
            </w:r>
          </w:p>
        </w:tc>
        <w:tc>
          <w:tcPr>
            <w:tcW w:w="1032"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m x %</w:t>
            </w:r>
          </w:p>
        </w:tc>
        <w:tc>
          <w:tcPr>
            <w:tcW w:w="1032"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kg / m</w:t>
            </w:r>
            <w:r w:rsidRPr="00D8565D">
              <w:rPr>
                <w:vertAlign w:val="superscript"/>
                <w:lang w:val="en-US"/>
              </w:rPr>
              <w:t>2</w:t>
            </w:r>
          </w:p>
        </w:tc>
        <w:tc>
          <w:tcPr>
            <w:tcW w:w="1032"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U, %</w:t>
            </w:r>
          </w:p>
        </w:tc>
        <w:tc>
          <w:tcPr>
            <w:tcW w:w="1032"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U</w:t>
            </w:r>
            <w:r w:rsidRPr="00D8565D">
              <w:rPr>
                <w:vertAlign w:val="subscript"/>
                <w:lang w:val="en-US"/>
              </w:rPr>
              <w:t>3</w:t>
            </w:r>
            <w:r>
              <w:rPr>
                <w:lang w:val="en-US"/>
              </w:rPr>
              <w:t>O</w:t>
            </w:r>
            <w:r w:rsidRPr="00D8565D">
              <w:rPr>
                <w:vertAlign w:val="subscript"/>
                <w:lang w:val="en-US"/>
              </w:rPr>
              <w:t>8</w:t>
            </w:r>
            <w:r>
              <w:rPr>
                <w:lang w:val="en-US"/>
              </w:rPr>
              <w:t>,%</w:t>
            </w:r>
          </w:p>
        </w:tc>
        <w:tc>
          <w:tcPr>
            <w:tcW w:w="1107"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Tonnes U</w:t>
            </w:r>
          </w:p>
        </w:tc>
        <w:tc>
          <w:tcPr>
            <w:tcW w:w="1276" w:type="dxa"/>
            <w:tcBorders>
              <w:top w:val="nil"/>
              <w:left w:val="nil"/>
              <w:bottom w:val="single" w:sz="4" w:space="0" w:color="auto"/>
              <w:right w:val="nil"/>
            </w:tcBorders>
            <w:vAlign w:val="center"/>
          </w:tcPr>
          <w:p w:rsidR="00D8565D" w:rsidRDefault="00D8565D" w:rsidP="00C770CC">
            <w:pPr>
              <w:pStyle w:val="BodyText"/>
              <w:spacing w:beforeLines="20" w:afterLines="20"/>
              <w:jc w:val="center"/>
              <w:rPr>
                <w:lang w:val="en-US"/>
              </w:rPr>
            </w:pPr>
            <w:r>
              <w:rPr>
                <w:lang w:val="en-US"/>
              </w:rPr>
              <w:t>M lb U</w:t>
            </w:r>
            <w:r w:rsidRPr="00D8565D">
              <w:rPr>
                <w:vertAlign w:val="subscript"/>
                <w:lang w:val="en-US"/>
              </w:rPr>
              <w:t>3</w:t>
            </w:r>
            <w:r>
              <w:rPr>
                <w:lang w:val="en-US"/>
              </w:rPr>
              <w:t>O</w:t>
            </w:r>
            <w:r w:rsidRPr="00D8565D">
              <w:rPr>
                <w:vertAlign w:val="subscript"/>
                <w:lang w:val="en-US"/>
              </w:rPr>
              <w:t>8</w:t>
            </w:r>
          </w:p>
        </w:tc>
      </w:tr>
      <w:tr w:rsidR="00D8565D" w:rsidTr="00D8565D">
        <w:tc>
          <w:tcPr>
            <w:tcW w:w="1031"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Measured</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43,227</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73,487</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0.46</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7.8</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0.072</w:t>
            </w:r>
          </w:p>
        </w:tc>
        <w:tc>
          <w:tcPr>
            <w:tcW w:w="1032"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0.085</w:t>
            </w:r>
          </w:p>
        </w:tc>
        <w:tc>
          <w:tcPr>
            <w:tcW w:w="1107"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52,646</w:t>
            </w:r>
          </w:p>
        </w:tc>
        <w:tc>
          <w:tcPr>
            <w:tcW w:w="1276" w:type="dxa"/>
            <w:tcBorders>
              <w:top w:val="single" w:sz="4" w:space="0" w:color="auto"/>
              <w:left w:val="nil"/>
              <w:bottom w:val="nil"/>
              <w:right w:val="nil"/>
            </w:tcBorders>
            <w:vAlign w:val="center"/>
          </w:tcPr>
          <w:p w:rsidR="00D8565D" w:rsidRDefault="00D8565D" w:rsidP="00C770CC">
            <w:pPr>
              <w:pStyle w:val="BodyText"/>
              <w:spacing w:beforeLines="20" w:afterLines="20"/>
              <w:jc w:val="center"/>
              <w:rPr>
                <w:lang w:val="en-US"/>
              </w:rPr>
            </w:pPr>
            <w:r>
              <w:rPr>
                <w:lang w:val="en-US"/>
              </w:rPr>
              <w:t>136.88</w:t>
            </w:r>
          </w:p>
        </w:tc>
      </w:tr>
      <w:tr w:rsidR="00D8565D" w:rsidTr="00D8565D">
        <w:tc>
          <w:tcPr>
            <w:tcW w:w="1031"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Indicated</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38,692</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65,777</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0.46</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7.8</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0.088</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0.104</w:t>
            </w:r>
          </w:p>
        </w:tc>
        <w:tc>
          <w:tcPr>
            <w:tcW w:w="1107"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58,</w:t>
            </w:r>
            <w:r w:rsidR="00EE29D3">
              <w:rPr>
                <w:lang w:val="en-US"/>
              </w:rPr>
              <w:t>485</w:t>
            </w:r>
          </w:p>
        </w:tc>
        <w:tc>
          <w:tcPr>
            <w:tcW w:w="1276"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152.06</w:t>
            </w:r>
          </w:p>
        </w:tc>
      </w:tr>
      <w:tr w:rsidR="00D8565D" w:rsidTr="00D8565D">
        <w:tc>
          <w:tcPr>
            <w:tcW w:w="1031"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Measured &amp; Indicated</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81,9</w:t>
            </w:r>
            <w:r w:rsidR="003742BC">
              <w:rPr>
                <w:lang w:val="en-US"/>
              </w:rPr>
              <w:t>19</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139,26</w:t>
            </w:r>
            <w:r w:rsidR="003742BC">
              <w:rPr>
                <w:lang w:val="en-US"/>
              </w:rPr>
              <w:t>4</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0.46</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7.8</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0.080</w:t>
            </w:r>
          </w:p>
        </w:tc>
        <w:tc>
          <w:tcPr>
            <w:tcW w:w="1032"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0.094</w:t>
            </w:r>
          </w:p>
        </w:tc>
        <w:tc>
          <w:tcPr>
            <w:tcW w:w="1107"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111,</w:t>
            </w:r>
            <w:r w:rsidR="00EE29D3">
              <w:rPr>
                <w:lang w:val="en-US"/>
              </w:rPr>
              <w:t>131</w:t>
            </w:r>
          </w:p>
        </w:tc>
        <w:tc>
          <w:tcPr>
            <w:tcW w:w="1276" w:type="dxa"/>
            <w:tcBorders>
              <w:top w:val="nil"/>
              <w:left w:val="nil"/>
              <w:bottom w:val="nil"/>
              <w:right w:val="nil"/>
            </w:tcBorders>
            <w:vAlign w:val="center"/>
          </w:tcPr>
          <w:p w:rsidR="00D8565D" w:rsidRDefault="00D8565D" w:rsidP="00C770CC">
            <w:pPr>
              <w:pStyle w:val="BodyText"/>
              <w:spacing w:beforeLines="20" w:afterLines="20"/>
              <w:jc w:val="center"/>
              <w:rPr>
                <w:lang w:val="en-US"/>
              </w:rPr>
            </w:pPr>
            <w:r>
              <w:rPr>
                <w:lang w:val="en-US"/>
              </w:rPr>
              <w:t>288.94</w:t>
            </w:r>
          </w:p>
        </w:tc>
      </w:tr>
      <w:tr w:rsidR="00D8565D" w:rsidTr="00D8565D">
        <w:tc>
          <w:tcPr>
            <w:tcW w:w="1031" w:type="dxa"/>
            <w:tcBorders>
              <w:top w:val="nil"/>
              <w:left w:val="nil"/>
              <w:bottom w:val="single" w:sz="4" w:space="0" w:color="auto"/>
              <w:right w:val="nil"/>
            </w:tcBorders>
            <w:vAlign w:val="center"/>
          </w:tcPr>
          <w:p w:rsidR="00D8565D" w:rsidRPr="00D8565D" w:rsidRDefault="00D8565D" w:rsidP="00C770CC">
            <w:pPr>
              <w:pStyle w:val="BodyText"/>
              <w:spacing w:beforeLines="20" w:afterLines="20"/>
              <w:jc w:val="center"/>
              <w:rPr>
                <w:lang w:val="en-US"/>
              </w:rPr>
            </w:pPr>
            <w:r>
              <w:rPr>
                <w:lang w:val="en-US"/>
              </w:rPr>
              <w:t>Inferred</w:t>
            </w:r>
          </w:p>
        </w:tc>
        <w:tc>
          <w:tcPr>
            <w:tcW w:w="1032"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58.177</w:t>
            </w:r>
          </w:p>
        </w:tc>
        <w:tc>
          <w:tcPr>
            <w:tcW w:w="1032"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98,901</w:t>
            </w:r>
          </w:p>
        </w:tc>
        <w:tc>
          <w:tcPr>
            <w:tcW w:w="1032"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0.37</w:t>
            </w:r>
          </w:p>
        </w:tc>
        <w:tc>
          <w:tcPr>
            <w:tcW w:w="1032"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6.2</w:t>
            </w:r>
          </w:p>
        </w:tc>
        <w:tc>
          <w:tcPr>
            <w:tcW w:w="1032"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0.095</w:t>
            </w:r>
          </w:p>
        </w:tc>
        <w:tc>
          <w:tcPr>
            <w:tcW w:w="1032"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0.111</w:t>
            </w:r>
          </w:p>
        </w:tc>
        <w:tc>
          <w:tcPr>
            <w:tcW w:w="1107"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93.623</w:t>
            </w:r>
          </w:p>
        </w:tc>
        <w:tc>
          <w:tcPr>
            <w:tcW w:w="1276" w:type="dxa"/>
            <w:tcBorders>
              <w:top w:val="nil"/>
              <w:left w:val="nil"/>
              <w:bottom w:val="single" w:sz="4" w:space="0" w:color="auto"/>
              <w:right w:val="nil"/>
            </w:tcBorders>
            <w:vAlign w:val="center"/>
          </w:tcPr>
          <w:p w:rsidR="00D8565D" w:rsidRDefault="003742BC" w:rsidP="00C770CC">
            <w:pPr>
              <w:pStyle w:val="BodyText"/>
              <w:spacing w:beforeLines="20" w:afterLines="20"/>
              <w:jc w:val="center"/>
              <w:rPr>
                <w:lang w:val="en-US"/>
              </w:rPr>
            </w:pPr>
            <w:r>
              <w:rPr>
                <w:lang w:val="en-US"/>
              </w:rPr>
              <w:t>243.42</w:t>
            </w:r>
          </w:p>
        </w:tc>
      </w:tr>
    </w:tbl>
    <w:p w:rsidR="00120C35" w:rsidRDefault="00120C35" w:rsidP="00D8565D">
      <w:pPr>
        <w:pStyle w:val="IAEATableFootnote"/>
      </w:pPr>
      <w:r>
        <w:t>Note:</w:t>
      </w:r>
    </w:p>
    <w:p w:rsidR="00CC6C37" w:rsidRDefault="00191331" w:rsidP="00D8565D">
      <w:pPr>
        <w:pStyle w:val="IAEATableFootnote"/>
      </w:pPr>
      <w:r>
        <w:t xml:space="preserve">1. </w:t>
      </w:r>
      <w:r w:rsidR="003742BC" w:rsidRPr="003742BC">
        <w:t>Mineral Resources based on 0.04 m% (grade x thickness) cut-off per hole</w:t>
      </w:r>
    </w:p>
    <w:p w:rsidR="00D8565D" w:rsidRDefault="00191331" w:rsidP="00D8565D">
      <w:pPr>
        <w:pStyle w:val="IAEATableFootnote"/>
      </w:pPr>
      <w:r>
        <w:t xml:space="preserve">2. </w:t>
      </w:r>
      <w:r w:rsidR="003742BC" w:rsidRPr="003742BC">
        <w:t xml:space="preserve">Mineral Resources </w:t>
      </w:r>
      <w:r>
        <w:t xml:space="preserve">categories </w:t>
      </w:r>
      <w:r w:rsidR="00D02234">
        <w:t xml:space="preserve">are </w:t>
      </w:r>
      <w:r w:rsidR="003742BC" w:rsidRPr="003742BC">
        <w:t>based on CIM definition</w:t>
      </w:r>
    </w:p>
    <w:p w:rsidR="003742BC" w:rsidRDefault="00191331" w:rsidP="00D8565D">
      <w:pPr>
        <w:pStyle w:val="IAEATableFootnote"/>
      </w:pPr>
      <w:r>
        <w:t xml:space="preserve">3. </w:t>
      </w:r>
      <w:r w:rsidR="003742BC" w:rsidRPr="003742BC">
        <w:t>Depletion estimated using losses</w:t>
      </w:r>
      <w:r>
        <w:t xml:space="preserve"> of</w:t>
      </w:r>
      <w:r w:rsidR="003742BC" w:rsidRPr="003742BC">
        <w:t xml:space="preserve"> 10%</w:t>
      </w:r>
    </w:p>
    <w:p w:rsidR="003742BC" w:rsidRDefault="00191331" w:rsidP="00D8565D">
      <w:pPr>
        <w:pStyle w:val="IAEATableFootnote"/>
      </w:pPr>
      <w:r>
        <w:t xml:space="preserve">4. </w:t>
      </w:r>
      <w:r w:rsidR="003742BC" w:rsidRPr="003742BC">
        <w:t>Measured Mineral Resources based on exploration drilling density of 50 m x 200 m (excluding residual mineralised bodies)</w:t>
      </w:r>
    </w:p>
    <w:p w:rsidR="003742BC" w:rsidRDefault="00191331" w:rsidP="00D8565D">
      <w:pPr>
        <w:pStyle w:val="IAEATableFootnote"/>
      </w:pPr>
      <w:r>
        <w:t xml:space="preserve">5. </w:t>
      </w:r>
      <w:r w:rsidR="003742BC" w:rsidRPr="003742BC">
        <w:t>Indicated Mineral Resources based on exploration drilling density of 50-100 m x 400 m (excluding residual mineralised bodies) and 50 m x 200 m for residual mineralised bodies</w:t>
      </w:r>
    </w:p>
    <w:p w:rsidR="003742BC" w:rsidRPr="003742BC" w:rsidRDefault="003742BC" w:rsidP="003742BC">
      <w:pPr>
        <w:pStyle w:val="BodyText"/>
      </w:pPr>
    </w:p>
    <w:p w:rsidR="00A7554E" w:rsidRDefault="00A7554E" w:rsidP="003742BC">
      <w:pPr>
        <w:pStyle w:val="BodyText"/>
      </w:pPr>
      <w:r w:rsidRPr="0056464E">
        <w:t xml:space="preserve">The </w:t>
      </w:r>
      <w:r w:rsidR="00D02234">
        <w:t xml:space="preserve">presented </w:t>
      </w:r>
      <w:r w:rsidRPr="0056464E">
        <w:t xml:space="preserve">geological modelling and resource estimation </w:t>
      </w:r>
      <w:r w:rsidR="00D02234">
        <w:t xml:space="preserve">resulted </w:t>
      </w:r>
      <w:r w:rsidRPr="0056464E">
        <w:t xml:space="preserve">a significant increase in total uranium resources tonnage at both mines when compared to the March 2012 NI 43-101 resource estimate: at Karartau measured and indicated resources increased from 11,695 tonnes of U to 63,839 tonnes of U while at Akbastau from 13,598 tonnes of U 47,292 tonnes of U.  It has also added  55,766 tonnes of U to the Karatau Inferred Mineral Resource category.  The updated mineral resource estimate is the result of </w:t>
      </w:r>
      <w:r w:rsidR="0056464E">
        <w:t xml:space="preserve">having available an </w:t>
      </w:r>
      <w:r w:rsidRPr="0056464E">
        <w:t>extensive database, add</w:t>
      </w:r>
      <w:r w:rsidR="0056464E">
        <w:t>ing</w:t>
      </w:r>
      <w:r w:rsidRPr="0056464E">
        <w:t xml:space="preserve"> latest exploration results and appl</w:t>
      </w:r>
      <w:r w:rsidR="0056464E">
        <w:t>ying</w:t>
      </w:r>
      <w:r w:rsidRPr="0056464E">
        <w:t xml:space="preserve"> 3-D modelling techniques. </w:t>
      </w:r>
    </w:p>
    <w:p w:rsidR="0008605E" w:rsidRPr="00F43E9F" w:rsidRDefault="0008605E" w:rsidP="00F43E9F">
      <w:pPr>
        <w:pStyle w:val="Heading1"/>
      </w:pPr>
      <w:bookmarkStart w:id="23" w:name="_GoBack"/>
      <w:bookmarkEnd w:id="23"/>
      <w:r w:rsidRPr="00F43E9F">
        <w:t>Conclusion</w:t>
      </w:r>
    </w:p>
    <w:p w:rsidR="001B26A5" w:rsidRDefault="0008605E" w:rsidP="00F43E9F">
      <w:pPr>
        <w:pStyle w:val="BodyText"/>
      </w:pPr>
      <w:r w:rsidRPr="00F43E9F">
        <w:t>Roll-front uranium deposits are quite difficult to model due to complicated mineralised bodies shapes and radiological complexity. The method of modelling discussed above allows creation of relevant geological models</w:t>
      </w:r>
      <w:r w:rsidR="00D02234">
        <w:t xml:space="preserve"> for the largest sandstone hosted deposit in the world</w:t>
      </w:r>
      <w:r w:rsidRPr="00F43E9F">
        <w:t>. The average differences between resource estimates based on exploration drill holes and from production wells are less than 5% in this approach.</w:t>
      </w:r>
      <w:r w:rsidR="00D02234" w:rsidRPr="00D02234">
        <w:t xml:space="preserve"> </w:t>
      </w:r>
      <w:r w:rsidR="00D02234">
        <w:t>A</w:t>
      </w:r>
      <w:r w:rsidR="00D02234">
        <w:t xml:space="preserve"> significant positive economic impact from using geological model and improved resource estimation approach</w:t>
      </w:r>
      <w:r w:rsidR="00D02234">
        <w:t xml:space="preserve"> </w:t>
      </w:r>
      <w:r w:rsidR="00D02234">
        <w:t>is expected</w:t>
      </w:r>
      <w:r w:rsidR="00D02234">
        <w:t xml:space="preserve">. </w:t>
      </w:r>
    </w:p>
    <w:p w:rsidR="00355AE1" w:rsidRDefault="00355AE1">
      <w:pPr>
        <w:pStyle w:val="Heading1Type"/>
        <w:outlineLvl w:val="0"/>
      </w:pPr>
      <w:bookmarkStart w:id="24" w:name="_Toc443741331"/>
      <w:r>
        <w:t>References</w:t>
      </w:r>
      <w:bookmarkEnd w:id="24"/>
    </w:p>
    <w:tbl>
      <w:tblPr>
        <w:tblW w:w="0" w:type="auto"/>
        <w:tblLayout w:type="fixed"/>
        <w:tblLook w:val="0000"/>
      </w:tblPr>
      <w:tblGrid>
        <w:gridCol w:w="828"/>
        <w:gridCol w:w="8370"/>
      </w:tblGrid>
      <w:tr w:rsidR="00355AE1">
        <w:tc>
          <w:tcPr>
            <w:tcW w:w="828" w:type="dxa"/>
          </w:tcPr>
          <w:p w:rsidR="00355AE1" w:rsidRDefault="00355AE1">
            <w:pPr>
              <w:pStyle w:val="IAEAReferenceText"/>
              <w:jc w:val="right"/>
            </w:pPr>
            <w:bookmarkStart w:id="25" w:name="TecDocRef001"/>
            <w:r>
              <w:t>[</w:t>
            </w:r>
            <w:r w:rsidR="009E673F">
              <w:fldChar w:fldCharType="begin"/>
            </w:r>
            <w:r>
              <w:instrText xml:space="preserve"> seq __BibRefs </w:instrText>
            </w:r>
            <w:r w:rsidR="009E673F">
              <w:fldChar w:fldCharType="separate"/>
            </w:r>
            <w:r w:rsidR="001B26A5">
              <w:t>1</w:t>
            </w:r>
            <w:r w:rsidR="009E673F">
              <w:fldChar w:fldCharType="end"/>
            </w:r>
            <w:r>
              <w:t>]</w:t>
            </w:r>
            <w:bookmarkEnd w:id="25"/>
          </w:p>
        </w:tc>
        <w:tc>
          <w:tcPr>
            <w:tcW w:w="8370" w:type="dxa"/>
          </w:tcPr>
          <w:p w:rsidR="00355AE1" w:rsidRDefault="00602418" w:rsidP="00602418">
            <w:pPr>
              <w:pStyle w:val="IAEAReferenceText"/>
            </w:pPr>
            <w:r w:rsidRPr="00602418">
              <w:rPr>
                <w:rStyle w:val="BodyTextChar"/>
              </w:rPr>
              <w:t>BROVIN, K., GRABOVNIKOV, V., SHUMILIN, M., YAZIKOV, V. “Prediction, research, exploration and resource estimation of uranium deposits for in-situ recovery</w:t>
            </w:r>
            <w:r>
              <w:rPr>
                <w:rStyle w:val="BodyTextChar"/>
              </w:rPr>
              <w:t>”</w:t>
            </w:r>
            <w:r w:rsidRPr="00602418">
              <w:rPr>
                <w:rStyle w:val="BodyTextChar"/>
              </w:rPr>
              <w:t xml:space="preserve"> (in Russian)</w:t>
            </w:r>
            <w:r>
              <w:rPr>
                <w:rStyle w:val="BodyTextChar"/>
              </w:rPr>
              <w:t>, “Gylym”, Almaty, 1997.</w:t>
            </w:r>
          </w:p>
        </w:tc>
      </w:tr>
      <w:tr w:rsidR="004143EC">
        <w:tc>
          <w:tcPr>
            <w:tcW w:w="828" w:type="dxa"/>
          </w:tcPr>
          <w:p w:rsidR="004143EC" w:rsidRDefault="004143EC">
            <w:pPr>
              <w:pStyle w:val="IAEAReferenceText"/>
              <w:jc w:val="right"/>
            </w:pPr>
            <w:bookmarkStart w:id="26" w:name="TecDocRef003"/>
            <w:r>
              <w:t>[</w:t>
            </w:r>
            <w:fldSimple w:instr=" SEQ __BibRefs \* MERGEFORMAT ">
              <w:r>
                <w:t>2</w:t>
              </w:r>
            </w:fldSimple>
            <w:r>
              <w:t>]</w:t>
            </w:r>
            <w:bookmarkEnd w:id="26"/>
          </w:p>
        </w:tc>
        <w:tc>
          <w:tcPr>
            <w:tcW w:w="8370" w:type="dxa"/>
          </w:tcPr>
          <w:p w:rsidR="004143EC" w:rsidRPr="00602418" w:rsidRDefault="004143EC" w:rsidP="00602418">
            <w:pPr>
              <w:pStyle w:val="IAEAReferenceText"/>
              <w:rPr>
                <w:rStyle w:val="BodyTextChar"/>
              </w:rPr>
            </w:pPr>
            <w:r>
              <w:t xml:space="preserve">INTERNATIONAL ATOMIC ENERGY AGENCY, </w:t>
            </w:r>
            <w:r w:rsidRPr="00602418">
              <w:rPr>
                <w:rStyle w:val="BodyTextChar"/>
              </w:rPr>
              <w:t>Manual of acid in situ leach uranium mining technology</w:t>
            </w:r>
            <w:r>
              <w:rPr>
                <w:rStyle w:val="BodyTextChar"/>
              </w:rPr>
              <w:t>, Vienna, 2001</w:t>
            </w:r>
          </w:p>
        </w:tc>
      </w:tr>
      <w:tr w:rsidR="004143EC">
        <w:tc>
          <w:tcPr>
            <w:tcW w:w="828" w:type="dxa"/>
          </w:tcPr>
          <w:p w:rsidR="004143EC" w:rsidRDefault="004143EC">
            <w:pPr>
              <w:pStyle w:val="IAEAReferenceText"/>
              <w:jc w:val="right"/>
            </w:pPr>
            <w:bookmarkStart w:id="27" w:name="TecDocRef004"/>
            <w:r>
              <w:t>[</w:t>
            </w:r>
            <w:fldSimple w:instr=" SEQ __BibRefs \* MERGEFORMAT ">
              <w:r>
                <w:t>3</w:t>
              </w:r>
            </w:fldSimple>
            <w:r>
              <w:t>]</w:t>
            </w:r>
            <w:bookmarkEnd w:id="27"/>
          </w:p>
        </w:tc>
        <w:tc>
          <w:tcPr>
            <w:tcW w:w="8370" w:type="dxa"/>
          </w:tcPr>
          <w:p w:rsidR="004143EC" w:rsidRPr="00602418" w:rsidRDefault="004143EC" w:rsidP="00602418">
            <w:pPr>
              <w:pStyle w:val="IAEAReferenceText"/>
              <w:rPr>
                <w:rStyle w:val="BodyTextChar"/>
              </w:rPr>
            </w:pPr>
            <w:r>
              <w:t>SEREDKIN, M., BERGEN, D. “</w:t>
            </w:r>
            <w:r w:rsidRPr="001B26A5">
              <w:rPr>
                <w:rStyle w:val="BodyTextChar"/>
              </w:rPr>
              <w:t>Technical NI 43-101 report for Akbastau Uranium Mine designed for Uranium One Inc.”, Perth, Vancouver, 2013</w:t>
            </w:r>
          </w:p>
        </w:tc>
      </w:tr>
      <w:tr w:rsidR="004143EC">
        <w:tc>
          <w:tcPr>
            <w:tcW w:w="828" w:type="dxa"/>
          </w:tcPr>
          <w:p w:rsidR="004143EC" w:rsidRDefault="004143EC">
            <w:pPr>
              <w:pStyle w:val="IAEAReferenceText"/>
              <w:jc w:val="right"/>
            </w:pPr>
            <w:bookmarkStart w:id="28" w:name="TecDocRef005"/>
            <w:r>
              <w:t>[</w:t>
            </w:r>
            <w:fldSimple w:instr=" SEQ __BibRefs \* MERGEFORMAT ">
              <w:r>
                <w:t>4</w:t>
              </w:r>
            </w:fldSimple>
            <w:r>
              <w:t>]</w:t>
            </w:r>
            <w:bookmarkEnd w:id="28"/>
          </w:p>
        </w:tc>
        <w:tc>
          <w:tcPr>
            <w:tcW w:w="8370" w:type="dxa"/>
          </w:tcPr>
          <w:p w:rsidR="004143EC" w:rsidRPr="00602418" w:rsidRDefault="004143EC" w:rsidP="00602418">
            <w:pPr>
              <w:pStyle w:val="IAEAReferenceText"/>
              <w:rPr>
                <w:rStyle w:val="BodyTextChar"/>
              </w:rPr>
            </w:pPr>
            <w:r>
              <w:t>SEREDKIN, M., BERGEN, D. “</w:t>
            </w:r>
            <w:r w:rsidRPr="001B26A5">
              <w:rPr>
                <w:rStyle w:val="BodyTextChar"/>
              </w:rPr>
              <w:t xml:space="preserve">Technical NI 43-101 report for </w:t>
            </w:r>
            <w:r>
              <w:rPr>
                <w:rStyle w:val="BodyTextChar"/>
              </w:rPr>
              <w:t>Karatau</w:t>
            </w:r>
            <w:r w:rsidRPr="001B26A5">
              <w:rPr>
                <w:rStyle w:val="BodyTextChar"/>
              </w:rPr>
              <w:t xml:space="preserve"> Uranium Mine designed for Uranium One Inc.”, Perth, Vancouver, 2013</w:t>
            </w:r>
          </w:p>
        </w:tc>
      </w:tr>
    </w:tbl>
    <w:p w:rsidR="004143EC" w:rsidRDefault="004143EC" w:rsidP="00D02234">
      <w:pPr>
        <w:pStyle w:val="BodyText"/>
      </w:pPr>
    </w:p>
    <w:sectPr w:rsidR="004143EC" w:rsidSect="00F354C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1418" w:bottom="1531" w:left="1418" w:header="709" w:footer="70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FD" w:rsidRDefault="00166EFD">
      <w:r>
        <w:separator/>
      </w:r>
    </w:p>
  </w:endnote>
  <w:endnote w:type="continuationSeparator" w:id="0">
    <w:p w:rsidR="00166EFD" w:rsidRDefault="00166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9E673F">
    <w:pPr>
      <w:pStyle w:val="Footer"/>
      <w:tabs>
        <w:tab w:val="clear" w:pos="4153"/>
        <w:tab w:val="center" w:pos="-4820"/>
      </w:tabs>
    </w:pPr>
    <w:r>
      <w:fldChar w:fldCharType="begin"/>
    </w:r>
    <w:r w:rsidR="009954D2">
      <w:instrText xml:space="preserve">page </w:instrText>
    </w:r>
    <w:r>
      <w:fldChar w:fldCharType="separate"/>
    </w:r>
    <w:r w:rsidR="00D02234">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9954D2">
    <w:pPr>
      <w:pStyle w:val="Footer"/>
      <w:tabs>
        <w:tab w:val="clear" w:pos="4153"/>
        <w:tab w:val="center" w:pos="-4820"/>
      </w:tabs>
      <w:jc w:val="right"/>
    </w:pPr>
    <w:r>
      <w:tab/>
    </w:r>
    <w:r>
      <w:tab/>
    </w:r>
    <w:r w:rsidR="009E673F">
      <w:fldChar w:fldCharType="begin"/>
    </w:r>
    <w:r>
      <w:instrText xml:space="preserve">page </w:instrText>
    </w:r>
    <w:r w:rsidR="009E673F">
      <w:fldChar w:fldCharType="separate"/>
    </w:r>
    <w:r w:rsidR="00D02234">
      <w:t>7</w:t>
    </w:r>
    <w:r w:rsidR="009E673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9E673F">
    <w:pPr>
      <w:pStyle w:val="Footer"/>
      <w:rPr>
        <w:bCs/>
        <w:iCs/>
      </w:rPr>
    </w:pPr>
    <w:r>
      <w:rPr>
        <w:b/>
        <w:i/>
      </w:rPr>
      <w:fldChar w:fldCharType="begin"/>
    </w:r>
    <w:r w:rsidR="009954D2">
      <w:rPr>
        <w:b/>
        <w:i/>
      </w:rPr>
      <w:instrText xml:space="preserve"> IF </w:instrText>
    </w:r>
    <w:r>
      <w:rPr>
        <w:b/>
        <w:i/>
      </w:rPr>
      <w:fldChar w:fldCharType="begin"/>
    </w:r>
    <w:r w:rsidR="009954D2">
      <w:rPr>
        <w:b/>
        <w:i/>
      </w:rPr>
      <w:instrText xml:space="preserve"> DOCPROPERTY "IAEACopyrightGranted" </w:instrText>
    </w:r>
    <w:r>
      <w:rPr>
        <w:b/>
        <w:i/>
      </w:rPr>
      <w:fldChar w:fldCharType="separate"/>
    </w:r>
    <w:r w:rsidR="004347BD">
      <w:rPr>
        <w:b/>
        <w:i/>
      </w:rPr>
      <w:instrText>N</w:instrText>
    </w:r>
    <w:r>
      <w:rPr>
        <w:b/>
        <w:i/>
      </w:rPr>
      <w:fldChar w:fldCharType="end"/>
    </w:r>
    <w:r w:rsidR="009954D2">
      <w:rPr>
        <w:b/>
        <w:i/>
      </w:rPr>
      <w:instrText xml:space="preserve"> = Y "© International Atomic Energy Agency" "" </w:instrText>
    </w:r>
    <w:r>
      <w:rPr>
        <w:b/>
        <w:i/>
      </w:rPr>
      <w:fldChar w:fldCharType="end"/>
    </w:r>
    <w:r w:rsidR="009954D2">
      <w:rPr>
        <w:b/>
        <w:i/>
      </w:rPr>
      <w:tab/>
    </w:r>
    <w:r w:rsidR="009954D2">
      <w:rPr>
        <w:b/>
        <w:i/>
      </w:rPr>
      <w:tab/>
    </w:r>
    <w:r>
      <w:fldChar w:fldCharType="begin"/>
    </w:r>
    <w:r w:rsidR="009954D2">
      <w:instrText xml:space="preserve">page </w:instrText>
    </w:r>
    <w:r>
      <w:fldChar w:fldCharType="separate"/>
    </w:r>
    <w:r w:rsidR="00D02234">
      <w:t>1</w:t>
    </w:r>
    <w:r>
      <w:fldChar w:fldCharType="end"/>
    </w:r>
    <w:r w:rsidR="009954D2">
      <w:rPr>
        <w:b/>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FD" w:rsidRDefault="00166EFD">
      <w:r>
        <w:separator/>
      </w:r>
    </w:p>
  </w:footnote>
  <w:footnote w:type="continuationSeparator" w:id="0">
    <w:p w:rsidR="00166EFD" w:rsidRDefault="00166EFD">
      <w:r>
        <w:continuationSeparator/>
      </w:r>
    </w:p>
  </w:footnote>
  <w:footnote w:id="1">
    <w:p w:rsidR="004347BD" w:rsidRDefault="004347BD">
      <w:pPr>
        <w:pStyle w:val="FootnoteText"/>
        <w:rPr>
          <w:lang w:val="en-AU"/>
        </w:rPr>
      </w:pPr>
      <w:r>
        <w:rPr>
          <w:rStyle w:val="FootnoteReference"/>
        </w:rPr>
        <w:t>†</w:t>
      </w:r>
      <w:r>
        <w:t xml:space="preserve"> </w:t>
      </w:r>
      <w:r>
        <w:rPr>
          <w:lang w:val="en-AU"/>
        </w:rPr>
        <w:t>Present Address: Uranium One Inc, 1710 - 333 Bay Street</w:t>
      </w:r>
    </w:p>
    <w:p w:rsidR="004347BD" w:rsidRDefault="004347BD">
      <w:pPr>
        <w:pStyle w:val="FootnoteText"/>
        <w:rPr>
          <w:lang w:val="en-AU"/>
        </w:rPr>
      </w:pPr>
      <w:r>
        <w:rPr>
          <w:lang w:val="en-AU"/>
        </w:rPr>
        <w:t>Toronto, ON, M5H 2R2, Canada, Alexander.Boytsov@uranium1.com</w:t>
      </w:r>
    </w:p>
    <w:p w:rsidR="004347BD" w:rsidRPr="004347BD" w:rsidRDefault="004347BD">
      <w:pPr>
        <w:pStyle w:val="FootnoteText"/>
        <w:rPr>
          <w:lang w:val="en-AU"/>
        </w:rPr>
      </w:pPr>
    </w:p>
  </w:footnote>
  <w:footnote w:id="2">
    <w:p w:rsidR="004347BD" w:rsidRDefault="004347BD">
      <w:pPr>
        <w:pStyle w:val="FootnoteText"/>
        <w:rPr>
          <w:lang w:val="en-AU"/>
        </w:rPr>
      </w:pPr>
      <w:r>
        <w:rPr>
          <w:rStyle w:val="FootnoteReference"/>
        </w:rPr>
        <w:t>‡</w:t>
      </w:r>
      <w:r>
        <w:t xml:space="preserve"> </w:t>
      </w:r>
      <w:r>
        <w:rPr>
          <w:lang w:val="en-AU"/>
        </w:rPr>
        <w:t>Present Address: Uranium One Inc, 1710 - 333 Bay Street</w:t>
      </w:r>
    </w:p>
    <w:p w:rsidR="004347BD" w:rsidRDefault="004347BD">
      <w:pPr>
        <w:pStyle w:val="FootnoteText"/>
        <w:rPr>
          <w:lang w:val="en-AU"/>
        </w:rPr>
      </w:pPr>
      <w:r>
        <w:rPr>
          <w:lang w:val="en-AU"/>
        </w:rPr>
        <w:t>Toronto, ON, M5H 2R2, Canada, Thys.Heyns@uranium1.com</w:t>
      </w:r>
    </w:p>
    <w:p w:rsidR="004347BD" w:rsidRPr="004347BD" w:rsidRDefault="004347BD">
      <w:pPr>
        <w:pStyle w:val="FootnoteText"/>
        <w:rPr>
          <w:lang w:val="en-AU"/>
        </w:rPr>
      </w:pPr>
    </w:p>
  </w:footnote>
  <w:footnote w:id="3">
    <w:p w:rsidR="004347BD" w:rsidRDefault="004347BD">
      <w:pPr>
        <w:pStyle w:val="FootnoteText"/>
        <w:rPr>
          <w:lang w:val="en-AU"/>
        </w:rPr>
      </w:pPr>
      <w:r>
        <w:rPr>
          <w:rStyle w:val="FootnoteReference"/>
        </w:rPr>
        <w:t>§</w:t>
      </w:r>
      <w:r>
        <w:t xml:space="preserve"> </w:t>
      </w:r>
      <w:r>
        <w:rPr>
          <w:lang w:val="en-AU"/>
        </w:rPr>
        <w:t xml:space="preserve">Present address: Level 2, 3 Ord Street, West Perth, WA 6005, Australia, Maxim.seredkin@csaglobal.com </w:t>
      </w:r>
    </w:p>
    <w:p w:rsidR="004347BD" w:rsidRPr="004347BD" w:rsidRDefault="004347BD">
      <w:pPr>
        <w:pStyle w:val="FootnoteText"/>
        <w:rPr>
          <w:lang w:val="en-A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AF66B9">
    <w:pPr>
      <w:pStyle w:val="Header"/>
    </w:pPr>
    <w:r>
      <w:t>M. Seredkin et al.</w:t>
    </w:r>
    <w:r w:rsidDel="00AF66B9">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CF" w:rsidRPr="00D417CF" w:rsidRDefault="00D417CF" w:rsidP="00D417CF">
    <w:pPr>
      <w:pStyle w:val="Header"/>
      <w:rPr>
        <w:lang w:val="de-DE"/>
      </w:rPr>
    </w:pPr>
    <w:r>
      <w:rPr>
        <w:lang w:val="de-DE"/>
      </w:rPr>
      <w:t>M</w:t>
    </w:r>
    <w:r w:rsidRPr="00D417CF">
      <w:rPr>
        <w:lang w:val="de-DE"/>
      </w:rPr>
      <w:t>. Seredkin et al.</w:t>
    </w:r>
    <w:r w:rsidRPr="00D417CF" w:rsidDel="00AF66B9">
      <w:rPr>
        <w:lang w:val="de-DE"/>
      </w:rPr>
      <w:t xml:space="preserve"> </w:t>
    </w:r>
  </w:p>
  <w:p w:rsidR="009954D2" w:rsidRPr="00D417CF" w:rsidRDefault="009954D2">
    <w:pPr>
      <w:pStyle w:val="Header"/>
      <w:rPr>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9E673F">
    <w:pPr>
      <w:pStyle w:val="Header"/>
      <w:jc w:val="left"/>
    </w:pPr>
    <w:r>
      <w:fldChar w:fldCharType="begin"/>
    </w:r>
    <w:r w:rsidR="009954D2">
      <w:instrText xml:space="preserve"> DOCPROPERTY "IAEAPaperType" \* MERGEFORMAT </w:instrText>
    </w:r>
    <w:r>
      <w:fldChar w:fldCharType="end"/>
    </w:r>
    <w:r w:rsidR="009954D2">
      <w:tab/>
    </w:r>
    <w:r w:rsidR="009954D2">
      <w:tab/>
    </w:r>
    <w:r>
      <w:fldChar w:fldCharType="begin"/>
    </w:r>
    <w:r w:rsidR="009954D2">
      <w:instrText xml:space="preserve"> DOCPROPERTY "IAEAPaperNumber" \* MERGEFORMAT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8AB4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D43C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CF2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079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FC7E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BE3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CE4D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9281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D82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5C5A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A6A5AE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720"/>
        </w:tabs>
        <w:ind w:left="0" w:firstLine="0"/>
      </w:pPr>
    </w:lvl>
    <w:lvl w:ilvl="4">
      <w:start w:val="1"/>
      <w:numFmt w:val="decimal"/>
      <w:pStyle w:val="Heading5"/>
      <w:lvlText w:val="%1.%2.%3.%4.%5."/>
      <w:lvlJc w:val="left"/>
      <w:pPr>
        <w:tabs>
          <w:tab w:val="num" w:pos="108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2040E1D"/>
    <w:multiLevelType w:val="hybridMultilevel"/>
    <w:tmpl w:val="5282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F422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A24AB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A13459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F1014F"/>
    <w:multiLevelType w:val="multilevel"/>
    <w:tmpl w:val="2A88317E"/>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6">
    <w:nsid w:val="366F7080"/>
    <w:multiLevelType w:val="multilevel"/>
    <w:tmpl w:val="A1581E9A"/>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7">
    <w:nsid w:val="3CCE786F"/>
    <w:multiLevelType w:val="multilevel"/>
    <w:tmpl w:val="9DBEE9E2"/>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8">
    <w:nsid w:val="401B0BBF"/>
    <w:multiLevelType w:val="multilevel"/>
    <w:tmpl w:val="C52A5826"/>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19">
    <w:nsid w:val="54AF0C49"/>
    <w:multiLevelType w:val="multilevel"/>
    <w:tmpl w:val="E496CBCC"/>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abstractNum w:abstractNumId="20">
    <w:nsid w:val="727A08F9"/>
    <w:multiLevelType w:val="multilevel"/>
    <w:tmpl w:val="CDDAA7E0"/>
    <w:lvl w:ilvl="0">
      <w:start w:val="1"/>
      <w:numFmt w:val="bullet"/>
      <w:lvlText w:val=""/>
      <w:lvlJc w:val="left"/>
      <w:pPr>
        <w:tabs>
          <w:tab w:val="num" w:pos="567"/>
        </w:tabs>
        <w:ind w:left="567" w:hanging="567"/>
      </w:pPr>
      <w:rPr>
        <w:rFonts w:ascii="Symbol" w:hAnsi="Symbol" w:hint="default"/>
        <w:b w:val="0"/>
        <w:i w:val="0"/>
        <w:color w:val="auto"/>
        <w:sz w:val="28"/>
      </w:rPr>
    </w:lvl>
    <w:lvl w:ilvl="1">
      <w:start w:val="1"/>
      <w:numFmt w:val="bullet"/>
      <w:lvlText w:val=""/>
      <w:lvlJc w:val="left"/>
      <w:pPr>
        <w:tabs>
          <w:tab w:val="num" w:pos="850"/>
        </w:tabs>
        <w:ind w:left="850" w:hanging="283"/>
      </w:pPr>
      <w:rPr>
        <w:rFonts w:ascii="Symbol" w:hAnsi="Symbol" w:hint="default"/>
        <w:b w:val="0"/>
        <w:i w:val="0"/>
        <w:color w:val="auto"/>
      </w:rPr>
    </w:lvl>
    <w:lvl w:ilvl="2">
      <w:start w:val="1"/>
      <w:numFmt w:val="bullet"/>
      <w:lvlText w:val=""/>
      <w:lvlJc w:val="left"/>
      <w:pPr>
        <w:tabs>
          <w:tab w:val="num" w:pos="1134"/>
        </w:tabs>
        <w:ind w:left="1134" w:hanging="284"/>
      </w:pPr>
      <w:rPr>
        <w:rFonts w:ascii="Wingdings" w:hAnsi="Wingdings" w:hint="default"/>
        <w:b w:val="0"/>
        <w:i w:val="0"/>
      </w:rPr>
    </w:lvl>
    <w:lvl w:ilvl="3">
      <w:start w:val="1"/>
      <w:numFmt w:val="bullet"/>
      <w:lvlText w:val=""/>
      <w:lvlJc w:val="left"/>
      <w:pPr>
        <w:tabs>
          <w:tab w:val="num" w:pos="1417"/>
        </w:tabs>
        <w:ind w:left="1417" w:hanging="283"/>
      </w:pPr>
      <w:rPr>
        <w:rFonts w:ascii="Symbol" w:hAnsi="Symbol" w:hint="default"/>
        <w:b w:val="0"/>
        <w:i w:val="0"/>
        <w:color w:val="auto"/>
        <w:sz w:val="20"/>
      </w:rPr>
    </w:lvl>
    <w:lvl w:ilvl="4">
      <w:start w:val="1"/>
      <w:numFmt w:val="bullet"/>
      <w:lvlText w:val=""/>
      <w:lvlJc w:val="left"/>
      <w:pPr>
        <w:tabs>
          <w:tab w:val="num" w:pos="1701"/>
        </w:tabs>
        <w:ind w:left="1701" w:hanging="284"/>
      </w:pPr>
      <w:rPr>
        <w:rFonts w:ascii="Symbol" w:hAnsi="Symbol" w:hint="default"/>
        <w:b w:val="0"/>
        <w:i w:val="0"/>
      </w:rPr>
    </w:lvl>
    <w:lvl w:ilvl="5">
      <w:start w:val="1"/>
      <w:numFmt w:val="bullet"/>
      <w:lvlText w:val=""/>
      <w:lvlJc w:val="left"/>
      <w:pPr>
        <w:tabs>
          <w:tab w:val="num" w:pos="1984"/>
        </w:tabs>
        <w:ind w:left="1984" w:hanging="283"/>
      </w:pPr>
      <w:rPr>
        <w:rFonts w:ascii="Wingdings" w:hAnsi="Wingdings" w:hint="default"/>
        <w:b w:val="0"/>
        <w:i w:val="0"/>
      </w:rPr>
    </w:lvl>
    <w:lvl w:ilvl="6">
      <w:start w:val="1"/>
      <w:numFmt w:val="bullet"/>
      <w:lvlText w:val=""/>
      <w:lvlJc w:val="left"/>
      <w:pPr>
        <w:tabs>
          <w:tab w:val="num" w:pos="2268"/>
        </w:tabs>
        <w:ind w:left="2268" w:hanging="284"/>
      </w:pPr>
      <w:rPr>
        <w:rFonts w:ascii="Wingdings" w:hAnsi="Wingdings" w:hint="default"/>
        <w:b w:val="0"/>
        <w:i w:val="0"/>
      </w:rPr>
    </w:lvl>
    <w:lvl w:ilvl="7">
      <w:start w:val="1"/>
      <w:numFmt w:val="bullet"/>
      <w:lvlText w:val=""/>
      <w:lvlJc w:val="left"/>
      <w:pPr>
        <w:tabs>
          <w:tab w:val="num" w:pos="2551"/>
        </w:tabs>
        <w:ind w:left="2551" w:hanging="283"/>
      </w:pPr>
      <w:rPr>
        <w:rFonts w:ascii="Symbol" w:hAnsi="Symbol" w:hint="default"/>
        <w:b w:val="0"/>
        <w:i w:val="0"/>
      </w:rPr>
    </w:lvl>
    <w:lvl w:ilvl="8">
      <w:start w:val="1"/>
      <w:numFmt w:val="bullet"/>
      <w:lvlText w:val=""/>
      <w:lvlJc w:val="left"/>
      <w:pPr>
        <w:tabs>
          <w:tab w:val="num" w:pos="2835"/>
        </w:tabs>
        <w:ind w:left="2835" w:hanging="284"/>
      </w:pPr>
      <w:rPr>
        <w:rFonts w:ascii="Symbol" w:hAnsi="Symbol" w:hint="default"/>
        <w:b w:val="0"/>
        <w:i w:val="0"/>
      </w:rPr>
    </w:lvl>
  </w:abstractNum>
  <w:num w:numId="1">
    <w:abstractNumId w:val="10"/>
  </w:num>
  <w:num w:numId="2">
    <w:abstractNumId w:val="11"/>
  </w:num>
  <w:num w:numId="3">
    <w:abstractNumId w:val="16"/>
  </w:num>
  <w:num w:numId="4">
    <w:abstractNumId w:val="15"/>
  </w:num>
  <w:num w:numId="5">
    <w:abstractNumId w:val="20"/>
  </w:num>
  <w:num w:numId="6">
    <w:abstractNumId w:val="18"/>
  </w:num>
  <w:num w:numId="7">
    <w:abstractNumId w:val="17"/>
  </w:num>
  <w:num w:numId="8">
    <w:abstractNumId w:val="19"/>
  </w:num>
  <w:num w:numId="9">
    <w:abstractNumId w:val="12"/>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TrueTypeFonts/>
  <w:saveSubsetFonts/>
  <w:proofState w:spelling="clean" w:grammar="clean"/>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LastRefCount" w:val="5"/>
    <w:docVar w:name="Reference" w:val="1"/>
  </w:docVars>
  <w:rsids>
    <w:rsidRoot w:val="00BB78D7"/>
    <w:rsid w:val="000175A0"/>
    <w:rsid w:val="0008605E"/>
    <w:rsid w:val="00106B26"/>
    <w:rsid w:val="00120C35"/>
    <w:rsid w:val="00166EFD"/>
    <w:rsid w:val="00191331"/>
    <w:rsid w:val="0019488A"/>
    <w:rsid w:val="001B26A5"/>
    <w:rsid w:val="001B286E"/>
    <w:rsid w:val="00266CBD"/>
    <w:rsid w:val="00281728"/>
    <w:rsid w:val="002D20B6"/>
    <w:rsid w:val="00316FFF"/>
    <w:rsid w:val="00327912"/>
    <w:rsid w:val="00346DBE"/>
    <w:rsid w:val="00355AE1"/>
    <w:rsid w:val="003742BC"/>
    <w:rsid w:val="003B6DCB"/>
    <w:rsid w:val="004143EC"/>
    <w:rsid w:val="004214D1"/>
    <w:rsid w:val="004347BD"/>
    <w:rsid w:val="00462B02"/>
    <w:rsid w:val="00467B44"/>
    <w:rsid w:val="005636DE"/>
    <w:rsid w:val="0056464E"/>
    <w:rsid w:val="005B3BCA"/>
    <w:rsid w:val="005C32BA"/>
    <w:rsid w:val="0060110D"/>
    <w:rsid w:val="00602418"/>
    <w:rsid w:val="00647334"/>
    <w:rsid w:val="006E1709"/>
    <w:rsid w:val="007C52FB"/>
    <w:rsid w:val="007D2B66"/>
    <w:rsid w:val="007E0B59"/>
    <w:rsid w:val="007E2FA7"/>
    <w:rsid w:val="0087121F"/>
    <w:rsid w:val="00890136"/>
    <w:rsid w:val="00895085"/>
    <w:rsid w:val="00917349"/>
    <w:rsid w:val="00935E0F"/>
    <w:rsid w:val="009478D8"/>
    <w:rsid w:val="00971077"/>
    <w:rsid w:val="00984D60"/>
    <w:rsid w:val="0099384D"/>
    <w:rsid w:val="009954D2"/>
    <w:rsid w:val="009A6436"/>
    <w:rsid w:val="009E673F"/>
    <w:rsid w:val="009F48E1"/>
    <w:rsid w:val="009F5721"/>
    <w:rsid w:val="00A7554E"/>
    <w:rsid w:val="00A77747"/>
    <w:rsid w:val="00AF66B9"/>
    <w:rsid w:val="00B11578"/>
    <w:rsid w:val="00B63F72"/>
    <w:rsid w:val="00B948ED"/>
    <w:rsid w:val="00BB78D7"/>
    <w:rsid w:val="00C01D29"/>
    <w:rsid w:val="00C636FE"/>
    <w:rsid w:val="00C770CC"/>
    <w:rsid w:val="00C92335"/>
    <w:rsid w:val="00CC6C37"/>
    <w:rsid w:val="00CE467F"/>
    <w:rsid w:val="00D02234"/>
    <w:rsid w:val="00D417CF"/>
    <w:rsid w:val="00D4324B"/>
    <w:rsid w:val="00D83F69"/>
    <w:rsid w:val="00D8565D"/>
    <w:rsid w:val="00DC2B72"/>
    <w:rsid w:val="00E326DB"/>
    <w:rsid w:val="00E33CC6"/>
    <w:rsid w:val="00E4568E"/>
    <w:rsid w:val="00EC47A6"/>
    <w:rsid w:val="00EE29D3"/>
    <w:rsid w:val="00F17F4A"/>
    <w:rsid w:val="00F31E9E"/>
    <w:rsid w:val="00F354CC"/>
    <w:rsid w:val="00F43E9F"/>
    <w:rsid w:val="00F74D14"/>
    <w:rsid w:val="00FF7B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Body Text"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54CC"/>
    <w:pPr>
      <w:overflowPunct w:val="0"/>
      <w:autoSpaceDE w:val="0"/>
      <w:autoSpaceDN w:val="0"/>
      <w:adjustRightInd w:val="0"/>
      <w:spacing w:after="240"/>
      <w:jc w:val="both"/>
      <w:textAlignment w:val="baseline"/>
    </w:pPr>
    <w:rPr>
      <w:noProof/>
      <w:sz w:val="22"/>
      <w:lang w:eastAsia="en-US"/>
    </w:rPr>
  </w:style>
  <w:style w:type="paragraph" w:styleId="Heading1">
    <w:name w:val="heading 1"/>
    <w:next w:val="BodyText"/>
    <w:qFormat/>
    <w:rsid w:val="00F354CC"/>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Heading2">
    <w:name w:val="heading 2"/>
    <w:next w:val="BodyText"/>
    <w:qFormat/>
    <w:rsid w:val="00F354CC"/>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Heading3">
    <w:name w:val="heading 3"/>
    <w:next w:val="BodyText"/>
    <w:qFormat/>
    <w:rsid w:val="00F354CC"/>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Heading4">
    <w:name w:val="heading 4"/>
    <w:next w:val="BodyText"/>
    <w:qFormat/>
    <w:rsid w:val="00F354CC"/>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Heading5">
    <w:name w:val="heading 5"/>
    <w:next w:val="BodyText"/>
    <w:rsid w:val="00F354CC"/>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Heading6">
    <w:name w:val="heading 6"/>
    <w:basedOn w:val="Heading5"/>
    <w:next w:val="BodyText"/>
    <w:rsid w:val="00F354CC"/>
    <w:pPr>
      <w:numPr>
        <w:ilvl w:val="5"/>
      </w:numPr>
      <w:outlineLvl w:val="5"/>
    </w:pPr>
  </w:style>
  <w:style w:type="paragraph" w:styleId="Heading7">
    <w:name w:val="heading 7"/>
    <w:basedOn w:val="Heading5"/>
    <w:next w:val="BodyText"/>
    <w:rsid w:val="00F354CC"/>
    <w:pPr>
      <w:numPr>
        <w:ilvl w:val="6"/>
      </w:numPr>
      <w:outlineLvl w:val="6"/>
    </w:pPr>
  </w:style>
  <w:style w:type="paragraph" w:styleId="Heading8">
    <w:name w:val="heading 8"/>
    <w:basedOn w:val="Heading5"/>
    <w:next w:val="BodyText"/>
    <w:rsid w:val="00F354CC"/>
    <w:pPr>
      <w:numPr>
        <w:ilvl w:val="7"/>
      </w:numPr>
      <w:outlineLvl w:val="7"/>
    </w:pPr>
  </w:style>
  <w:style w:type="paragraph" w:styleId="Heading9">
    <w:name w:val="heading 9"/>
    <w:basedOn w:val="Heading5"/>
    <w:next w:val="BodyText"/>
    <w:rsid w:val="00F354C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354CC"/>
  </w:style>
  <w:style w:type="paragraph" w:styleId="Header">
    <w:name w:val="header"/>
    <w:rsid w:val="00F354CC"/>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Footer">
    <w:name w:val="footer"/>
    <w:link w:val="FooterChar"/>
    <w:uiPriority w:val="99"/>
    <w:rsid w:val="00F354CC"/>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BodyText"/>
    <w:rsid w:val="00F354CC"/>
    <w:rPr>
      <w:sz w:val="20"/>
    </w:rPr>
  </w:style>
  <w:style w:type="paragraph" w:customStyle="1" w:styleId="Heading1Type">
    <w:name w:val="Heading 1 Type"/>
    <w:basedOn w:val="Normal"/>
    <w:next w:val="BodyText"/>
    <w:rsid w:val="00F354CC"/>
    <w:pPr>
      <w:keepNext/>
      <w:keepLines/>
      <w:jc w:val="center"/>
    </w:pPr>
    <w:rPr>
      <w:b/>
      <w:caps/>
    </w:rPr>
  </w:style>
  <w:style w:type="paragraph" w:customStyle="1" w:styleId="IAEATableFootnote">
    <w:name w:val="IAEA Table Footnote"/>
    <w:basedOn w:val="Normal"/>
    <w:rsid w:val="00F354CC"/>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rsid w:val="00F354CC"/>
    <w:pPr>
      <w:overflowPunct/>
      <w:autoSpaceDE/>
      <w:autoSpaceDN/>
      <w:adjustRightInd/>
      <w:jc w:val="center"/>
      <w:textAlignment w:val="auto"/>
    </w:pPr>
    <w:rPr>
      <w:i/>
      <w:noProof w:val="0"/>
    </w:rPr>
  </w:style>
  <w:style w:type="paragraph" w:customStyle="1" w:styleId="IAEATableCaption">
    <w:name w:val="IAEA Table Caption"/>
    <w:basedOn w:val="IAEAFigureCaption"/>
    <w:rsid w:val="00F354CC"/>
    <w:pPr>
      <w:keepNext/>
      <w:keepLines/>
      <w:spacing w:after="120"/>
      <w:jc w:val="both"/>
    </w:pPr>
    <w:rPr>
      <w:i w:val="0"/>
    </w:rPr>
  </w:style>
  <w:style w:type="paragraph" w:customStyle="1" w:styleId="IAEAReferenceText">
    <w:name w:val="IAEA Reference Text"/>
    <w:basedOn w:val="BodyText"/>
    <w:rsid w:val="00F354CC"/>
    <w:pPr>
      <w:spacing w:after="0"/>
    </w:pPr>
  </w:style>
  <w:style w:type="paragraph" w:styleId="Subtitle">
    <w:name w:val="Subtitle"/>
    <w:basedOn w:val="Normal"/>
    <w:rsid w:val="00F354CC"/>
    <w:pPr>
      <w:spacing w:after="480"/>
      <w:ind w:left="567"/>
      <w:jc w:val="left"/>
    </w:pPr>
    <w:rPr>
      <w:b/>
      <w:i/>
      <w:sz w:val="28"/>
      <w:szCs w:val="24"/>
    </w:rPr>
  </w:style>
  <w:style w:type="paragraph" w:styleId="Title">
    <w:name w:val="Title"/>
    <w:basedOn w:val="Normal"/>
    <w:rsid w:val="00F354CC"/>
    <w:pPr>
      <w:keepNext/>
      <w:spacing w:before="640" w:after="0"/>
      <w:ind w:left="567"/>
      <w:jc w:val="left"/>
      <w:outlineLvl w:val="0"/>
    </w:pPr>
    <w:rPr>
      <w:b/>
      <w:bCs/>
      <w:kern w:val="28"/>
      <w:sz w:val="28"/>
      <w:szCs w:val="32"/>
    </w:rPr>
  </w:style>
  <w:style w:type="paragraph" w:customStyle="1" w:styleId="IAEAAuthors">
    <w:name w:val="IAEA Authors"/>
    <w:basedOn w:val="BodyText"/>
    <w:next w:val="BodyText"/>
    <w:rsid w:val="00F354CC"/>
    <w:rPr>
      <w:b/>
      <w:sz w:val="24"/>
    </w:rPr>
  </w:style>
  <w:style w:type="paragraph" w:customStyle="1" w:styleId="IAEAInstitutes">
    <w:name w:val="IAEA Institutes"/>
    <w:basedOn w:val="BodyText"/>
    <w:next w:val="BodyText"/>
    <w:rsid w:val="00F354CC"/>
    <w:pPr>
      <w:jc w:val="left"/>
    </w:pPr>
    <w:rPr>
      <w:sz w:val="24"/>
    </w:rPr>
  </w:style>
  <w:style w:type="paragraph" w:customStyle="1" w:styleId="BodyTextList">
    <w:name w:val="Body Text List"/>
    <w:basedOn w:val="BodyText"/>
    <w:rsid w:val="00F354CC"/>
    <w:pPr>
      <w:spacing w:after="0"/>
    </w:pPr>
  </w:style>
  <w:style w:type="paragraph" w:customStyle="1" w:styleId="IAEATableHeading">
    <w:name w:val="IAEA Table Heading"/>
    <w:basedOn w:val="IAEAFigureCaption"/>
    <w:rsid w:val="00F354CC"/>
    <w:pPr>
      <w:keepNext/>
      <w:keepLines/>
      <w:spacing w:after="120"/>
      <w:jc w:val="both"/>
    </w:pPr>
    <w:rPr>
      <w:i w:val="0"/>
    </w:rPr>
  </w:style>
  <w:style w:type="character" w:styleId="PageNumber">
    <w:name w:val="page number"/>
    <w:basedOn w:val="DefaultParagraphFont"/>
    <w:rsid w:val="00F354CC"/>
  </w:style>
  <w:style w:type="paragraph" w:styleId="FootnoteText">
    <w:name w:val="footnote text"/>
    <w:basedOn w:val="Normal"/>
    <w:semiHidden/>
    <w:rsid w:val="00F354CC"/>
    <w:pPr>
      <w:spacing w:after="0"/>
    </w:pPr>
    <w:rPr>
      <w:sz w:val="20"/>
    </w:rPr>
  </w:style>
  <w:style w:type="character" w:styleId="FootnoteReference">
    <w:name w:val="footnote reference"/>
    <w:basedOn w:val="DefaultParagraphFont"/>
    <w:semiHidden/>
    <w:rsid w:val="00F354CC"/>
    <w:rPr>
      <w:vertAlign w:val="superscript"/>
    </w:rPr>
  </w:style>
  <w:style w:type="paragraph" w:styleId="Caption">
    <w:name w:val="caption"/>
    <w:basedOn w:val="Normal"/>
    <w:next w:val="Normal"/>
    <w:rsid w:val="00F354CC"/>
    <w:pPr>
      <w:spacing w:before="120" w:after="120"/>
    </w:pPr>
    <w:rPr>
      <w:b/>
      <w:bCs/>
      <w:sz w:val="20"/>
    </w:rPr>
  </w:style>
  <w:style w:type="character" w:styleId="EndnoteReference">
    <w:name w:val="endnote reference"/>
    <w:basedOn w:val="DefaultParagraphFont"/>
    <w:semiHidden/>
    <w:rsid w:val="00F354CC"/>
    <w:rPr>
      <w:vertAlign w:val="superscript"/>
    </w:rPr>
  </w:style>
  <w:style w:type="paragraph" w:styleId="EndnoteText">
    <w:name w:val="endnote text"/>
    <w:basedOn w:val="Normal"/>
    <w:semiHidden/>
    <w:rsid w:val="00F354CC"/>
    <w:rPr>
      <w:sz w:val="20"/>
    </w:rPr>
  </w:style>
  <w:style w:type="character" w:customStyle="1" w:styleId="FooterChar">
    <w:name w:val="Footer Char"/>
    <w:basedOn w:val="DefaultParagraphFont"/>
    <w:link w:val="Footer"/>
    <w:uiPriority w:val="99"/>
    <w:rsid w:val="004347BD"/>
    <w:rPr>
      <w:noProof/>
      <w:sz w:val="22"/>
      <w:lang w:val="en-US" w:eastAsia="en-US"/>
    </w:rPr>
  </w:style>
  <w:style w:type="paragraph" w:styleId="BalloonText">
    <w:name w:val="Balloon Text"/>
    <w:basedOn w:val="Normal"/>
    <w:link w:val="BalloonTextChar"/>
    <w:rsid w:val="00316FFF"/>
    <w:pPr>
      <w:spacing w:after="0"/>
    </w:pPr>
    <w:rPr>
      <w:rFonts w:ascii="Tahoma" w:hAnsi="Tahoma" w:cs="Tahoma"/>
      <w:sz w:val="16"/>
      <w:szCs w:val="16"/>
    </w:rPr>
  </w:style>
  <w:style w:type="character" w:customStyle="1" w:styleId="BalloonTextChar">
    <w:name w:val="Balloon Text Char"/>
    <w:basedOn w:val="DefaultParagraphFont"/>
    <w:link w:val="BalloonText"/>
    <w:rsid w:val="00316FFF"/>
    <w:rPr>
      <w:rFonts w:ascii="Tahoma" w:hAnsi="Tahoma" w:cs="Tahoma"/>
      <w:noProof/>
      <w:sz w:val="16"/>
      <w:szCs w:val="16"/>
      <w:lang w:eastAsia="en-US"/>
    </w:rPr>
  </w:style>
  <w:style w:type="numbering" w:styleId="111111">
    <w:name w:val="Outline List 2"/>
    <w:basedOn w:val="NoList"/>
    <w:rsid w:val="00316FFF"/>
    <w:pPr>
      <w:numPr>
        <w:numId w:val="9"/>
      </w:numPr>
    </w:pPr>
  </w:style>
  <w:style w:type="numbering" w:styleId="1ai">
    <w:name w:val="Outline List 1"/>
    <w:basedOn w:val="NoList"/>
    <w:rsid w:val="00316FFF"/>
    <w:pPr>
      <w:numPr>
        <w:numId w:val="10"/>
      </w:numPr>
    </w:pPr>
  </w:style>
  <w:style w:type="numbering" w:styleId="ArticleSection">
    <w:name w:val="Outline List 3"/>
    <w:basedOn w:val="NoList"/>
    <w:rsid w:val="00316FFF"/>
    <w:pPr>
      <w:numPr>
        <w:numId w:val="11"/>
      </w:numPr>
    </w:pPr>
  </w:style>
  <w:style w:type="paragraph" w:styleId="Bibliography">
    <w:name w:val="Bibliography"/>
    <w:basedOn w:val="Normal"/>
    <w:next w:val="Normal"/>
    <w:uiPriority w:val="37"/>
    <w:semiHidden/>
    <w:unhideWhenUsed/>
    <w:rsid w:val="00316FFF"/>
  </w:style>
  <w:style w:type="paragraph" w:styleId="BlockText">
    <w:name w:val="Block Text"/>
    <w:basedOn w:val="Normal"/>
    <w:rsid w:val="00316FF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16FFF"/>
    <w:pPr>
      <w:spacing w:after="120" w:line="480" w:lineRule="auto"/>
    </w:pPr>
  </w:style>
  <w:style w:type="character" w:customStyle="1" w:styleId="BodyText2Char">
    <w:name w:val="Body Text 2 Char"/>
    <w:basedOn w:val="DefaultParagraphFont"/>
    <w:link w:val="BodyText2"/>
    <w:rsid w:val="00316FFF"/>
    <w:rPr>
      <w:noProof/>
      <w:sz w:val="22"/>
      <w:lang w:eastAsia="en-US"/>
    </w:rPr>
  </w:style>
  <w:style w:type="paragraph" w:styleId="BodyText3">
    <w:name w:val="Body Text 3"/>
    <w:basedOn w:val="Normal"/>
    <w:link w:val="BodyText3Char"/>
    <w:rsid w:val="00316FFF"/>
    <w:pPr>
      <w:spacing w:after="120"/>
    </w:pPr>
    <w:rPr>
      <w:sz w:val="16"/>
      <w:szCs w:val="16"/>
    </w:rPr>
  </w:style>
  <w:style w:type="character" w:customStyle="1" w:styleId="BodyText3Char">
    <w:name w:val="Body Text 3 Char"/>
    <w:basedOn w:val="DefaultParagraphFont"/>
    <w:link w:val="BodyText3"/>
    <w:rsid w:val="00316FFF"/>
    <w:rPr>
      <w:noProof/>
      <w:sz w:val="16"/>
      <w:szCs w:val="16"/>
      <w:lang w:eastAsia="en-US"/>
    </w:rPr>
  </w:style>
  <w:style w:type="paragraph" w:styleId="BodyTextFirstIndent">
    <w:name w:val="Body Text First Indent"/>
    <w:basedOn w:val="BodyText"/>
    <w:link w:val="BodyTextFirstIndentChar"/>
    <w:rsid w:val="00316FFF"/>
    <w:pPr>
      <w:ind w:firstLine="360"/>
    </w:pPr>
  </w:style>
  <w:style w:type="character" w:customStyle="1" w:styleId="BodyTextChar">
    <w:name w:val="Body Text Char"/>
    <w:basedOn w:val="DefaultParagraphFont"/>
    <w:link w:val="BodyText"/>
    <w:rsid w:val="00316FFF"/>
    <w:rPr>
      <w:noProof/>
      <w:sz w:val="22"/>
      <w:lang w:eastAsia="en-US"/>
    </w:rPr>
  </w:style>
  <w:style w:type="character" w:customStyle="1" w:styleId="BodyTextFirstIndentChar">
    <w:name w:val="Body Text First Indent Char"/>
    <w:basedOn w:val="BodyTextChar"/>
    <w:link w:val="BodyTextFirstIndent"/>
    <w:rsid w:val="00316FFF"/>
    <w:rPr>
      <w:noProof/>
      <w:sz w:val="22"/>
      <w:lang w:eastAsia="en-US"/>
    </w:rPr>
  </w:style>
  <w:style w:type="paragraph" w:styleId="BodyTextIndent">
    <w:name w:val="Body Text Indent"/>
    <w:basedOn w:val="Normal"/>
    <w:link w:val="BodyTextIndentChar"/>
    <w:rsid w:val="00316FFF"/>
    <w:pPr>
      <w:spacing w:after="120"/>
      <w:ind w:left="283"/>
    </w:pPr>
  </w:style>
  <w:style w:type="character" w:customStyle="1" w:styleId="BodyTextIndentChar">
    <w:name w:val="Body Text Indent Char"/>
    <w:basedOn w:val="DefaultParagraphFont"/>
    <w:link w:val="BodyTextIndent"/>
    <w:rsid w:val="00316FFF"/>
    <w:rPr>
      <w:noProof/>
      <w:sz w:val="22"/>
      <w:lang w:eastAsia="en-US"/>
    </w:rPr>
  </w:style>
  <w:style w:type="paragraph" w:styleId="BodyTextFirstIndent2">
    <w:name w:val="Body Text First Indent 2"/>
    <w:basedOn w:val="BodyTextIndent"/>
    <w:link w:val="BodyTextFirstIndent2Char"/>
    <w:rsid w:val="00316FFF"/>
    <w:pPr>
      <w:spacing w:after="240"/>
      <w:ind w:left="360" w:firstLine="360"/>
    </w:pPr>
  </w:style>
  <w:style w:type="character" w:customStyle="1" w:styleId="BodyTextFirstIndent2Char">
    <w:name w:val="Body Text First Indent 2 Char"/>
    <w:basedOn w:val="BodyTextIndentChar"/>
    <w:link w:val="BodyTextFirstIndent2"/>
    <w:rsid w:val="00316FFF"/>
    <w:rPr>
      <w:noProof/>
      <w:sz w:val="22"/>
      <w:lang w:eastAsia="en-US"/>
    </w:rPr>
  </w:style>
  <w:style w:type="paragraph" w:styleId="BodyTextIndent2">
    <w:name w:val="Body Text Indent 2"/>
    <w:basedOn w:val="Normal"/>
    <w:link w:val="BodyTextIndent2Char"/>
    <w:rsid w:val="00316FFF"/>
    <w:pPr>
      <w:spacing w:after="120" w:line="480" w:lineRule="auto"/>
      <w:ind w:left="283"/>
    </w:pPr>
  </w:style>
  <w:style w:type="character" w:customStyle="1" w:styleId="BodyTextIndent2Char">
    <w:name w:val="Body Text Indent 2 Char"/>
    <w:basedOn w:val="DefaultParagraphFont"/>
    <w:link w:val="BodyTextIndent2"/>
    <w:rsid w:val="00316FFF"/>
    <w:rPr>
      <w:noProof/>
      <w:sz w:val="22"/>
      <w:lang w:eastAsia="en-US"/>
    </w:rPr>
  </w:style>
  <w:style w:type="paragraph" w:styleId="BodyTextIndent3">
    <w:name w:val="Body Text Indent 3"/>
    <w:basedOn w:val="Normal"/>
    <w:link w:val="BodyTextIndent3Char"/>
    <w:rsid w:val="00316FFF"/>
    <w:pPr>
      <w:spacing w:after="120"/>
      <w:ind w:left="283"/>
    </w:pPr>
    <w:rPr>
      <w:sz w:val="16"/>
      <w:szCs w:val="16"/>
    </w:rPr>
  </w:style>
  <w:style w:type="character" w:customStyle="1" w:styleId="BodyTextIndent3Char">
    <w:name w:val="Body Text Indent 3 Char"/>
    <w:basedOn w:val="DefaultParagraphFont"/>
    <w:link w:val="BodyTextIndent3"/>
    <w:rsid w:val="00316FFF"/>
    <w:rPr>
      <w:noProof/>
      <w:sz w:val="16"/>
      <w:szCs w:val="16"/>
      <w:lang w:eastAsia="en-US"/>
    </w:rPr>
  </w:style>
  <w:style w:type="character" w:styleId="BookTitle">
    <w:name w:val="Book Title"/>
    <w:basedOn w:val="DefaultParagraphFont"/>
    <w:uiPriority w:val="33"/>
    <w:rsid w:val="00316FFF"/>
    <w:rPr>
      <w:b/>
      <w:bCs/>
      <w:smallCaps/>
      <w:spacing w:val="5"/>
    </w:rPr>
  </w:style>
  <w:style w:type="paragraph" w:styleId="Closing">
    <w:name w:val="Closing"/>
    <w:basedOn w:val="Normal"/>
    <w:link w:val="ClosingChar"/>
    <w:rsid w:val="00316FFF"/>
    <w:pPr>
      <w:spacing w:after="0"/>
      <w:ind w:left="4252"/>
    </w:pPr>
  </w:style>
  <w:style w:type="character" w:customStyle="1" w:styleId="ClosingChar">
    <w:name w:val="Closing Char"/>
    <w:basedOn w:val="DefaultParagraphFont"/>
    <w:link w:val="Closing"/>
    <w:rsid w:val="00316FFF"/>
    <w:rPr>
      <w:noProof/>
      <w:sz w:val="22"/>
      <w:lang w:eastAsia="en-US"/>
    </w:rPr>
  </w:style>
  <w:style w:type="table" w:styleId="ColorfulGrid">
    <w:name w:val="Colorful Grid"/>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16F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16FF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16FF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16FFF"/>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16FFF"/>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16FFF"/>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16FF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16FFF"/>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6FFF"/>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316FFF"/>
    <w:rPr>
      <w:sz w:val="16"/>
      <w:szCs w:val="16"/>
    </w:rPr>
  </w:style>
  <w:style w:type="paragraph" w:styleId="CommentText">
    <w:name w:val="annotation text"/>
    <w:basedOn w:val="Normal"/>
    <w:link w:val="CommentTextChar"/>
    <w:rsid w:val="00316FFF"/>
    <w:rPr>
      <w:sz w:val="20"/>
    </w:rPr>
  </w:style>
  <w:style w:type="character" w:customStyle="1" w:styleId="CommentTextChar">
    <w:name w:val="Comment Text Char"/>
    <w:basedOn w:val="DefaultParagraphFont"/>
    <w:link w:val="CommentText"/>
    <w:rsid w:val="00316FFF"/>
    <w:rPr>
      <w:noProof/>
      <w:lang w:eastAsia="en-US"/>
    </w:rPr>
  </w:style>
  <w:style w:type="paragraph" w:styleId="CommentSubject">
    <w:name w:val="annotation subject"/>
    <w:basedOn w:val="CommentText"/>
    <w:next w:val="CommentText"/>
    <w:link w:val="CommentSubjectChar"/>
    <w:rsid w:val="00316FFF"/>
    <w:rPr>
      <w:b/>
      <w:bCs/>
    </w:rPr>
  </w:style>
  <w:style w:type="character" w:customStyle="1" w:styleId="CommentSubjectChar">
    <w:name w:val="Comment Subject Char"/>
    <w:basedOn w:val="CommentTextChar"/>
    <w:link w:val="CommentSubject"/>
    <w:rsid w:val="00316FFF"/>
    <w:rPr>
      <w:b/>
      <w:bCs/>
      <w:noProof/>
      <w:lang w:eastAsia="en-US"/>
    </w:rPr>
  </w:style>
  <w:style w:type="table" w:styleId="DarkList">
    <w:name w:val="Dark List"/>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16FF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316FFF"/>
  </w:style>
  <w:style w:type="character" w:customStyle="1" w:styleId="DateChar">
    <w:name w:val="Date Char"/>
    <w:basedOn w:val="DefaultParagraphFont"/>
    <w:link w:val="Date"/>
    <w:rsid w:val="00316FFF"/>
    <w:rPr>
      <w:noProof/>
      <w:sz w:val="22"/>
      <w:lang w:eastAsia="en-US"/>
    </w:rPr>
  </w:style>
  <w:style w:type="paragraph" w:styleId="DocumentMap">
    <w:name w:val="Document Map"/>
    <w:basedOn w:val="Normal"/>
    <w:link w:val="DocumentMapChar"/>
    <w:rsid w:val="00316FFF"/>
    <w:pPr>
      <w:spacing w:after="0"/>
    </w:pPr>
    <w:rPr>
      <w:rFonts w:ascii="Tahoma" w:hAnsi="Tahoma" w:cs="Tahoma"/>
      <w:sz w:val="16"/>
      <w:szCs w:val="16"/>
    </w:rPr>
  </w:style>
  <w:style w:type="character" w:customStyle="1" w:styleId="DocumentMapChar">
    <w:name w:val="Document Map Char"/>
    <w:basedOn w:val="DefaultParagraphFont"/>
    <w:link w:val="DocumentMap"/>
    <w:rsid w:val="00316FFF"/>
    <w:rPr>
      <w:rFonts w:ascii="Tahoma" w:hAnsi="Tahoma" w:cs="Tahoma"/>
      <w:noProof/>
      <w:sz w:val="16"/>
      <w:szCs w:val="16"/>
      <w:lang w:eastAsia="en-US"/>
    </w:rPr>
  </w:style>
  <w:style w:type="paragraph" w:styleId="E-mailSignature">
    <w:name w:val="E-mail Signature"/>
    <w:basedOn w:val="Normal"/>
    <w:link w:val="E-mailSignatureChar"/>
    <w:rsid w:val="00316FFF"/>
    <w:pPr>
      <w:spacing w:after="0"/>
    </w:pPr>
  </w:style>
  <w:style w:type="character" w:customStyle="1" w:styleId="E-mailSignatureChar">
    <w:name w:val="E-mail Signature Char"/>
    <w:basedOn w:val="DefaultParagraphFont"/>
    <w:link w:val="E-mailSignature"/>
    <w:rsid w:val="00316FFF"/>
    <w:rPr>
      <w:noProof/>
      <w:sz w:val="22"/>
      <w:lang w:eastAsia="en-US"/>
    </w:rPr>
  </w:style>
  <w:style w:type="character" w:styleId="Emphasis">
    <w:name w:val="Emphasis"/>
    <w:basedOn w:val="DefaultParagraphFont"/>
    <w:rsid w:val="00316FFF"/>
    <w:rPr>
      <w:i/>
      <w:iCs/>
    </w:rPr>
  </w:style>
  <w:style w:type="paragraph" w:styleId="EnvelopeAddress">
    <w:name w:val="envelope address"/>
    <w:basedOn w:val="Normal"/>
    <w:rsid w:val="00316FF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16FFF"/>
    <w:pPr>
      <w:spacing w:after="0"/>
    </w:pPr>
    <w:rPr>
      <w:rFonts w:asciiTheme="majorHAnsi" w:eastAsiaTheme="majorEastAsia" w:hAnsiTheme="majorHAnsi" w:cstheme="majorBidi"/>
      <w:sz w:val="20"/>
    </w:rPr>
  </w:style>
  <w:style w:type="character" w:styleId="FollowedHyperlink">
    <w:name w:val="FollowedHyperlink"/>
    <w:basedOn w:val="DefaultParagraphFont"/>
    <w:rsid w:val="00316FFF"/>
    <w:rPr>
      <w:color w:val="800080" w:themeColor="followedHyperlink"/>
      <w:u w:val="single"/>
    </w:rPr>
  </w:style>
  <w:style w:type="character" w:styleId="HTMLAcronym">
    <w:name w:val="HTML Acronym"/>
    <w:basedOn w:val="DefaultParagraphFont"/>
    <w:rsid w:val="00316FFF"/>
  </w:style>
  <w:style w:type="paragraph" w:styleId="HTMLAddress">
    <w:name w:val="HTML Address"/>
    <w:basedOn w:val="Normal"/>
    <w:link w:val="HTMLAddressChar"/>
    <w:rsid w:val="00316FFF"/>
    <w:pPr>
      <w:spacing w:after="0"/>
    </w:pPr>
    <w:rPr>
      <w:i/>
      <w:iCs/>
    </w:rPr>
  </w:style>
  <w:style w:type="character" w:customStyle="1" w:styleId="HTMLAddressChar">
    <w:name w:val="HTML Address Char"/>
    <w:basedOn w:val="DefaultParagraphFont"/>
    <w:link w:val="HTMLAddress"/>
    <w:rsid w:val="00316FFF"/>
    <w:rPr>
      <w:i/>
      <w:iCs/>
      <w:noProof/>
      <w:sz w:val="22"/>
      <w:lang w:eastAsia="en-US"/>
    </w:rPr>
  </w:style>
  <w:style w:type="character" w:styleId="HTMLCite">
    <w:name w:val="HTML Cite"/>
    <w:basedOn w:val="DefaultParagraphFont"/>
    <w:rsid w:val="00316FFF"/>
    <w:rPr>
      <w:i/>
      <w:iCs/>
    </w:rPr>
  </w:style>
  <w:style w:type="character" w:styleId="HTMLCode">
    <w:name w:val="HTML Code"/>
    <w:basedOn w:val="DefaultParagraphFont"/>
    <w:rsid w:val="00316FFF"/>
    <w:rPr>
      <w:rFonts w:ascii="Consolas" w:hAnsi="Consolas" w:cs="Consolas"/>
      <w:sz w:val="20"/>
      <w:szCs w:val="20"/>
    </w:rPr>
  </w:style>
  <w:style w:type="character" w:styleId="HTMLDefinition">
    <w:name w:val="HTML Definition"/>
    <w:basedOn w:val="DefaultParagraphFont"/>
    <w:rsid w:val="00316FFF"/>
    <w:rPr>
      <w:i/>
      <w:iCs/>
    </w:rPr>
  </w:style>
  <w:style w:type="character" w:styleId="HTMLKeyboard">
    <w:name w:val="HTML Keyboard"/>
    <w:basedOn w:val="DefaultParagraphFont"/>
    <w:rsid w:val="00316FFF"/>
    <w:rPr>
      <w:rFonts w:ascii="Consolas" w:hAnsi="Consolas" w:cs="Consolas"/>
      <w:sz w:val="20"/>
      <w:szCs w:val="20"/>
    </w:rPr>
  </w:style>
  <w:style w:type="paragraph" w:styleId="HTMLPreformatted">
    <w:name w:val="HTML Preformatted"/>
    <w:basedOn w:val="Normal"/>
    <w:link w:val="HTMLPreformattedChar"/>
    <w:rsid w:val="00316FFF"/>
    <w:pPr>
      <w:spacing w:after="0"/>
    </w:pPr>
    <w:rPr>
      <w:rFonts w:ascii="Consolas" w:hAnsi="Consolas" w:cs="Consolas"/>
      <w:sz w:val="20"/>
    </w:rPr>
  </w:style>
  <w:style w:type="character" w:customStyle="1" w:styleId="HTMLPreformattedChar">
    <w:name w:val="HTML Preformatted Char"/>
    <w:basedOn w:val="DefaultParagraphFont"/>
    <w:link w:val="HTMLPreformatted"/>
    <w:rsid w:val="00316FFF"/>
    <w:rPr>
      <w:rFonts w:ascii="Consolas" w:hAnsi="Consolas" w:cs="Consolas"/>
      <w:noProof/>
      <w:lang w:eastAsia="en-US"/>
    </w:rPr>
  </w:style>
  <w:style w:type="character" w:styleId="HTMLSample">
    <w:name w:val="HTML Sample"/>
    <w:basedOn w:val="DefaultParagraphFont"/>
    <w:rsid w:val="00316FFF"/>
    <w:rPr>
      <w:rFonts w:ascii="Consolas" w:hAnsi="Consolas" w:cs="Consolas"/>
      <w:sz w:val="24"/>
      <w:szCs w:val="24"/>
    </w:rPr>
  </w:style>
  <w:style w:type="character" w:styleId="HTMLTypewriter">
    <w:name w:val="HTML Typewriter"/>
    <w:basedOn w:val="DefaultParagraphFont"/>
    <w:rsid w:val="00316FFF"/>
    <w:rPr>
      <w:rFonts w:ascii="Consolas" w:hAnsi="Consolas" w:cs="Consolas"/>
      <w:sz w:val="20"/>
      <w:szCs w:val="20"/>
    </w:rPr>
  </w:style>
  <w:style w:type="character" w:styleId="HTMLVariable">
    <w:name w:val="HTML Variable"/>
    <w:basedOn w:val="DefaultParagraphFont"/>
    <w:rsid w:val="00316FFF"/>
    <w:rPr>
      <w:i/>
      <w:iCs/>
    </w:rPr>
  </w:style>
  <w:style w:type="character" w:styleId="Hyperlink">
    <w:name w:val="Hyperlink"/>
    <w:basedOn w:val="DefaultParagraphFont"/>
    <w:rsid w:val="00316FFF"/>
    <w:rPr>
      <w:color w:val="0000FF" w:themeColor="hyperlink"/>
      <w:u w:val="single"/>
    </w:rPr>
  </w:style>
  <w:style w:type="paragraph" w:styleId="Index1">
    <w:name w:val="index 1"/>
    <w:basedOn w:val="Normal"/>
    <w:next w:val="Normal"/>
    <w:autoRedefine/>
    <w:rsid w:val="00316FFF"/>
    <w:pPr>
      <w:spacing w:after="0"/>
      <w:ind w:left="220" w:hanging="220"/>
    </w:pPr>
  </w:style>
  <w:style w:type="paragraph" w:styleId="Index2">
    <w:name w:val="index 2"/>
    <w:basedOn w:val="Normal"/>
    <w:next w:val="Normal"/>
    <w:autoRedefine/>
    <w:rsid w:val="00316FFF"/>
    <w:pPr>
      <w:spacing w:after="0"/>
      <w:ind w:left="440" w:hanging="220"/>
    </w:pPr>
  </w:style>
  <w:style w:type="paragraph" w:styleId="Index3">
    <w:name w:val="index 3"/>
    <w:basedOn w:val="Normal"/>
    <w:next w:val="Normal"/>
    <w:autoRedefine/>
    <w:rsid w:val="00316FFF"/>
    <w:pPr>
      <w:spacing w:after="0"/>
      <w:ind w:left="660" w:hanging="220"/>
    </w:pPr>
  </w:style>
  <w:style w:type="paragraph" w:styleId="Index4">
    <w:name w:val="index 4"/>
    <w:basedOn w:val="Normal"/>
    <w:next w:val="Normal"/>
    <w:autoRedefine/>
    <w:rsid w:val="00316FFF"/>
    <w:pPr>
      <w:spacing w:after="0"/>
      <w:ind w:left="880" w:hanging="220"/>
    </w:pPr>
  </w:style>
  <w:style w:type="paragraph" w:styleId="Index5">
    <w:name w:val="index 5"/>
    <w:basedOn w:val="Normal"/>
    <w:next w:val="Normal"/>
    <w:autoRedefine/>
    <w:rsid w:val="00316FFF"/>
    <w:pPr>
      <w:spacing w:after="0"/>
      <w:ind w:left="1100" w:hanging="220"/>
    </w:pPr>
  </w:style>
  <w:style w:type="paragraph" w:styleId="Index6">
    <w:name w:val="index 6"/>
    <w:basedOn w:val="Normal"/>
    <w:next w:val="Normal"/>
    <w:autoRedefine/>
    <w:rsid w:val="00316FFF"/>
    <w:pPr>
      <w:spacing w:after="0"/>
      <w:ind w:left="1320" w:hanging="220"/>
    </w:pPr>
  </w:style>
  <w:style w:type="paragraph" w:styleId="Index7">
    <w:name w:val="index 7"/>
    <w:basedOn w:val="Normal"/>
    <w:next w:val="Normal"/>
    <w:autoRedefine/>
    <w:rsid w:val="00316FFF"/>
    <w:pPr>
      <w:spacing w:after="0"/>
      <w:ind w:left="1540" w:hanging="220"/>
    </w:pPr>
  </w:style>
  <w:style w:type="paragraph" w:styleId="Index8">
    <w:name w:val="index 8"/>
    <w:basedOn w:val="Normal"/>
    <w:next w:val="Normal"/>
    <w:autoRedefine/>
    <w:rsid w:val="00316FFF"/>
    <w:pPr>
      <w:spacing w:after="0"/>
      <w:ind w:left="1760" w:hanging="220"/>
    </w:pPr>
  </w:style>
  <w:style w:type="paragraph" w:styleId="Index9">
    <w:name w:val="index 9"/>
    <w:basedOn w:val="Normal"/>
    <w:next w:val="Normal"/>
    <w:autoRedefine/>
    <w:rsid w:val="00316FFF"/>
    <w:pPr>
      <w:spacing w:after="0"/>
      <w:ind w:left="1980" w:hanging="220"/>
    </w:pPr>
  </w:style>
  <w:style w:type="paragraph" w:styleId="IndexHeading">
    <w:name w:val="index heading"/>
    <w:basedOn w:val="Normal"/>
    <w:next w:val="Index1"/>
    <w:rsid w:val="00316FFF"/>
    <w:rPr>
      <w:rFonts w:asciiTheme="majorHAnsi" w:eastAsiaTheme="majorEastAsia" w:hAnsiTheme="majorHAnsi" w:cstheme="majorBidi"/>
      <w:b/>
      <w:bCs/>
    </w:rPr>
  </w:style>
  <w:style w:type="character" w:styleId="IntenseEmphasis">
    <w:name w:val="Intense Emphasis"/>
    <w:basedOn w:val="DefaultParagraphFont"/>
    <w:uiPriority w:val="21"/>
    <w:rsid w:val="00316FFF"/>
    <w:rPr>
      <w:b/>
      <w:bCs/>
      <w:i/>
      <w:iCs/>
      <w:color w:val="4F81BD" w:themeColor="accent1"/>
    </w:rPr>
  </w:style>
  <w:style w:type="paragraph" w:styleId="IntenseQuote">
    <w:name w:val="Intense Quote"/>
    <w:basedOn w:val="Normal"/>
    <w:next w:val="Normal"/>
    <w:link w:val="IntenseQuoteChar"/>
    <w:uiPriority w:val="30"/>
    <w:rsid w:val="00316F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FFF"/>
    <w:rPr>
      <w:b/>
      <w:bCs/>
      <w:i/>
      <w:iCs/>
      <w:noProof/>
      <w:color w:val="4F81BD" w:themeColor="accent1"/>
      <w:sz w:val="22"/>
      <w:lang w:eastAsia="en-US"/>
    </w:rPr>
  </w:style>
  <w:style w:type="character" w:styleId="IntenseReference">
    <w:name w:val="Intense Reference"/>
    <w:basedOn w:val="DefaultParagraphFont"/>
    <w:uiPriority w:val="32"/>
    <w:rsid w:val="00316FFF"/>
    <w:rPr>
      <w:b/>
      <w:bCs/>
      <w:smallCaps/>
      <w:color w:val="C0504D" w:themeColor="accent2"/>
      <w:spacing w:val="5"/>
      <w:u w:val="single"/>
    </w:rPr>
  </w:style>
  <w:style w:type="table" w:styleId="LightGrid">
    <w:name w:val="Light Grid"/>
    <w:basedOn w:val="TableNormal"/>
    <w:uiPriority w:val="62"/>
    <w:rsid w:val="003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6FF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16F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16FF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16F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316FFF"/>
  </w:style>
  <w:style w:type="paragraph" w:styleId="List">
    <w:name w:val="List"/>
    <w:basedOn w:val="Normal"/>
    <w:rsid w:val="00316FFF"/>
    <w:pPr>
      <w:ind w:left="283" w:hanging="283"/>
      <w:contextualSpacing/>
    </w:pPr>
  </w:style>
  <w:style w:type="paragraph" w:styleId="List2">
    <w:name w:val="List 2"/>
    <w:basedOn w:val="Normal"/>
    <w:rsid w:val="00316FFF"/>
    <w:pPr>
      <w:ind w:left="566" w:hanging="283"/>
      <w:contextualSpacing/>
    </w:pPr>
  </w:style>
  <w:style w:type="paragraph" w:styleId="List3">
    <w:name w:val="List 3"/>
    <w:basedOn w:val="Normal"/>
    <w:rsid w:val="00316FFF"/>
    <w:pPr>
      <w:ind w:left="849" w:hanging="283"/>
      <w:contextualSpacing/>
    </w:pPr>
  </w:style>
  <w:style w:type="paragraph" w:styleId="List4">
    <w:name w:val="List 4"/>
    <w:basedOn w:val="Normal"/>
    <w:rsid w:val="00316FFF"/>
    <w:pPr>
      <w:ind w:left="1132" w:hanging="283"/>
      <w:contextualSpacing/>
    </w:pPr>
  </w:style>
  <w:style w:type="paragraph" w:styleId="List5">
    <w:name w:val="List 5"/>
    <w:basedOn w:val="Normal"/>
    <w:rsid w:val="00316FFF"/>
    <w:pPr>
      <w:ind w:left="1415" w:hanging="283"/>
      <w:contextualSpacing/>
    </w:pPr>
  </w:style>
  <w:style w:type="paragraph" w:styleId="ListBullet">
    <w:name w:val="List Bullet"/>
    <w:basedOn w:val="Normal"/>
    <w:rsid w:val="00316FFF"/>
    <w:pPr>
      <w:numPr>
        <w:numId w:val="12"/>
      </w:numPr>
      <w:contextualSpacing/>
    </w:pPr>
  </w:style>
  <w:style w:type="paragraph" w:styleId="ListBullet2">
    <w:name w:val="List Bullet 2"/>
    <w:basedOn w:val="Normal"/>
    <w:rsid w:val="00316FFF"/>
    <w:pPr>
      <w:numPr>
        <w:numId w:val="13"/>
      </w:numPr>
      <w:contextualSpacing/>
    </w:pPr>
  </w:style>
  <w:style w:type="paragraph" w:styleId="ListBullet3">
    <w:name w:val="List Bullet 3"/>
    <w:basedOn w:val="Normal"/>
    <w:rsid w:val="00316FFF"/>
    <w:pPr>
      <w:numPr>
        <w:numId w:val="14"/>
      </w:numPr>
      <w:contextualSpacing/>
    </w:pPr>
  </w:style>
  <w:style w:type="paragraph" w:styleId="ListBullet4">
    <w:name w:val="List Bullet 4"/>
    <w:basedOn w:val="Normal"/>
    <w:rsid w:val="00316FFF"/>
    <w:pPr>
      <w:numPr>
        <w:numId w:val="15"/>
      </w:numPr>
      <w:contextualSpacing/>
    </w:pPr>
  </w:style>
  <w:style w:type="paragraph" w:styleId="ListBullet5">
    <w:name w:val="List Bullet 5"/>
    <w:basedOn w:val="Normal"/>
    <w:rsid w:val="00316FFF"/>
    <w:pPr>
      <w:numPr>
        <w:numId w:val="16"/>
      </w:numPr>
      <w:contextualSpacing/>
    </w:pPr>
  </w:style>
  <w:style w:type="paragraph" w:styleId="ListContinue">
    <w:name w:val="List Continue"/>
    <w:basedOn w:val="Normal"/>
    <w:rsid w:val="00316FFF"/>
    <w:pPr>
      <w:spacing w:after="120"/>
      <w:ind w:left="283"/>
      <w:contextualSpacing/>
    </w:pPr>
  </w:style>
  <w:style w:type="paragraph" w:styleId="ListContinue2">
    <w:name w:val="List Continue 2"/>
    <w:basedOn w:val="Normal"/>
    <w:rsid w:val="00316FFF"/>
    <w:pPr>
      <w:spacing w:after="120"/>
      <w:ind w:left="566"/>
      <w:contextualSpacing/>
    </w:pPr>
  </w:style>
  <w:style w:type="paragraph" w:styleId="ListContinue3">
    <w:name w:val="List Continue 3"/>
    <w:basedOn w:val="Normal"/>
    <w:rsid w:val="00316FFF"/>
    <w:pPr>
      <w:spacing w:after="120"/>
      <w:ind w:left="849"/>
      <w:contextualSpacing/>
    </w:pPr>
  </w:style>
  <w:style w:type="paragraph" w:styleId="ListContinue4">
    <w:name w:val="List Continue 4"/>
    <w:basedOn w:val="Normal"/>
    <w:rsid w:val="00316FFF"/>
    <w:pPr>
      <w:spacing w:after="120"/>
      <w:ind w:left="1132"/>
      <w:contextualSpacing/>
    </w:pPr>
  </w:style>
  <w:style w:type="paragraph" w:styleId="ListContinue5">
    <w:name w:val="List Continue 5"/>
    <w:basedOn w:val="Normal"/>
    <w:rsid w:val="00316FFF"/>
    <w:pPr>
      <w:spacing w:after="120"/>
      <w:ind w:left="1415"/>
      <w:contextualSpacing/>
    </w:pPr>
  </w:style>
  <w:style w:type="paragraph" w:styleId="ListNumber">
    <w:name w:val="List Number"/>
    <w:basedOn w:val="Normal"/>
    <w:rsid w:val="00316FFF"/>
    <w:pPr>
      <w:numPr>
        <w:numId w:val="17"/>
      </w:numPr>
      <w:contextualSpacing/>
    </w:pPr>
  </w:style>
  <w:style w:type="paragraph" w:styleId="ListNumber2">
    <w:name w:val="List Number 2"/>
    <w:basedOn w:val="Normal"/>
    <w:rsid w:val="00316FFF"/>
    <w:pPr>
      <w:numPr>
        <w:numId w:val="18"/>
      </w:numPr>
      <w:contextualSpacing/>
    </w:pPr>
  </w:style>
  <w:style w:type="paragraph" w:styleId="ListNumber3">
    <w:name w:val="List Number 3"/>
    <w:basedOn w:val="Normal"/>
    <w:rsid w:val="00316FFF"/>
    <w:pPr>
      <w:numPr>
        <w:numId w:val="19"/>
      </w:numPr>
      <w:contextualSpacing/>
    </w:pPr>
  </w:style>
  <w:style w:type="paragraph" w:styleId="ListNumber4">
    <w:name w:val="List Number 4"/>
    <w:basedOn w:val="Normal"/>
    <w:rsid w:val="00316FFF"/>
    <w:pPr>
      <w:numPr>
        <w:numId w:val="20"/>
      </w:numPr>
      <w:contextualSpacing/>
    </w:pPr>
  </w:style>
  <w:style w:type="paragraph" w:styleId="ListNumber5">
    <w:name w:val="List Number 5"/>
    <w:basedOn w:val="Normal"/>
    <w:rsid w:val="00316FFF"/>
    <w:pPr>
      <w:numPr>
        <w:numId w:val="21"/>
      </w:numPr>
      <w:contextualSpacing/>
    </w:pPr>
  </w:style>
  <w:style w:type="paragraph" w:styleId="ListParagraph">
    <w:name w:val="List Paragraph"/>
    <w:basedOn w:val="Normal"/>
    <w:uiPriority w:val="34"/>
    <w:rsid w:val="00316FFF"/>
    <w:pPr>
      <w:ind w:left="720"/>
      <w:contextualSpacing/>
    </w:pPr>
  </w:style>
  <w:style w:type="paragraph" w:styleId="MacroText">
    <w:name w:val="macro"/>
    <w:link w:val="MacroTextChar"/>
    <w:rsid w:val="00316F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nsolas" w:hAnsi="Consolas" w:cs="Consolas"/>
      <w:noProof/>
      <w:lang w:eastAsia="en-US"/>
    </w:rPr>
  </w:style>
  <w:style w:type="character" w:customStyle="1" w:styleId="MacroTextChar">
    <w:name w:val="Macro Text Char"/>
    <w:basedOn w:val="DefaultParagraphFont"/>
    <w:link w:val="MacroText"/>
    <w:rsid w:val="00316FFF"/>
    <w:rPr>
      <w:rFonts w:ascii="Consolas" w:hAnsi="Consolas" w:cs="Consolas"/>
      <w:noProof/>
      <w:lang w:eastAsia="en-US"/>
    </w:rPr>
  </w:style>
  <w:style w:type="table" w:styleId="MediumGrid1">
    <w:name w:val="Medium Grid 1"/>
    <w:basedOn w:val="TableNormal"/>
    <w:uiPriority w:val="67"/>
    <w:rsid w:val="00316FF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16FF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16FF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16FF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16FF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16F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16FF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16FF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16FF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16FFF"/>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16FFF"/>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16FFF"/>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16FFF"/>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16FFF"/>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16FF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16FF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16FF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6FF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6FF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6FF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6F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6FF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316FF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6FFF"/>
    <w:rPr>
      <w:rFonts w:asciiTheme="majorHAnsi" w:eastAsiaTheme="majorEastAsia" w:hAnsiTheme="majorHAnsi" w:cstheme="majorBidi"/>
      <w:noProof/>
      <w:sz w:val="24"/>
      <w:szCs w:val="24"/>
      <w:shd w:val="pct20" w:color="auto" w:fill="auto"/>
      <w:lang w:eastAsia="en-US"/>
    </w:rPr>
  </w:style>
  <w:style w:type="paragraph" w:styleId="NoSpacing">
    <w:name w:val="No Spacing"/>
    <w:uiPriority w:val="1"/>
    <w:rsid w:val="00316FFF"/>
    <w:pPr>
      <w:overflowPunct w:val="0"/>
      <w:autoSpaceDE w:val="0"/>
      <w:autoSpaceDN w:val="0"/>
      <w:adjustRightInd w:val="0"/>
      <w:jc w:val="both"/>
      <w:textAlignment w:val="baseline"/>
    </w:pPr>
    <w:rPr>
      <w:noProof/>
      <w:sz w:val="22"/>
      <w:lang w:eastAsia="en-US"/>
    </w:rPr>
  </w:style>
  <w:style w:type="paragraph" w:styleId="NormalWeb">
    <w:name w:val="Normal (Web)"/>
    <w:basedOn w:val="Normal"/>
    <w:uiPriority w:val="99"/>
    <w:rsid w:val="00316FFF"/>
    <w:rPr>
      <w:sz w:val="24"/>
      <w:szCs w:val="24"/>
    </w:rPr>
  </w:style>
  <w:style w:type="paragraph" w:styleId="NormalIndent">
    <w:name w:val="Normal Indent"/>
    <w:basedOn w:val="Normal"/>
    <w:rsid w:val="00316FFF"/>
    <w:pPr>
      <w:ind w:left="720"/>
    </w:pPr>
  </w:style>
  <w:style w:type="paragraph" w:styleId="NoteHeading">
    <w:name w:val="Note Heading"/>
    <w:basedOn w:val="Normal"/>
    <w:next w:val="Normal"/>
    <w:link w:val="NoteHeadingChar"/>
    <w:rsid w:val="00316FFF"/>
    <w:pPr>
      <w:spacing w:after="0"/>
    </w:pPr>
  </w:style>
  <w:style w:type="character" w:customStyle="1" w:styleId="NoteHeadingChar">
    <w:name w:val="Note Heading Char"/>
    <w:basedOn w:val="DefaultParagraphFont"/>
    <w:link w:val="NoteHeading"/>
    <w:rsid w:val="00316FFF"/>
    <w:rPr>
      <w:noProof/>
      <w:sz w:val="22"/>
      <w:lang w:eastAsia="en-US"/>
    </w:rPr>
  </w:style>
  <w:style w:type="character" w:styleId="PlaceholderText">
    <w:name w:val="Placeholder Text"/>
    <w:basedOn w:val="DefaultParagraphFont"/>
    <w:uiPriority w:val="99"/>
    <w:semiHidden/>
    <w:rsid w:val="00316FFF"/>
    <w:rPr>
      <w:color w:val="808080"/>
    </w:rPr>
  </w:style>
  <w:style w:type="paragraph" w:styleId="PlainText">
    <w:name w:val="Plain Text"/>
    <w:basedOn w:val="Normal"/>
    <w:link w:val="PlainTextChar"/>
    <w:rsid w:val="00316FFF"/>
    <w:pPr>
      <w:spacing w:after="0"/>
    </w:pPr>
    <w:rPr>
      <w:rFonts w:ascii="Consolas" w:hAnsi="Consolas" w:cs="Consolas"/>
      <w:sz w:val="21"/>
      <w:szCs w:val="21"/>
    </w:rPr>
  </w:style>
  <w:style w:type="character" w:customStyle="1" w:styleId="PlainTextChar">
    <w:name w:val="Plain Text Char"/>
    <w:basedOn w:val="DefaultParagraphFont"/>
    <w:link w:val="PlainText"/>
    <w:rsid w:val="00316FFF"/>
    <w:rPr>
      <w:rFonts w:ascii="Consolas" w:hAnsi="Consolas" w:cs="Consolas"/>
      <w:noProof/>
      <w:sz w:val="21"/>
      <w:szCs w:val="21"/>
      <w:lang w:eastAsia="en-US"/>
    </w:rPr>
  </w:style>
  <w:style w:type="paragraph" w:styleId="Quote">
    <w:name w:val="Quote"/>
    <w:basedOn w:val="Normal"/>
    <w:next w:val="Normal"/>
    <w:link w:val="QuoteChar"/>
    <w:uiPriority w:val="29"/>
    <w:rsid w:val="00316FFF"/>
    <w:rPr>
      <w:i/>
      <w:iCs/>
      <w:color w:val="000000" w:themeColor="text1"/>
    </w:rPr>
  </w:style>
  <w:style w:type="character" w:customStyle="1" w:styleId="QuoteChar">
    <w:name w:val="Quote Char"/>
    <w:basedOn w:val="DefaultParagraphFont"/>
    <w:link w:val="Quote"/>
    <w:uiPriority w:val="29"/>
    <w:rsid w:val="00316FFF"/>
    <w:rPr>
      <w:i/>
      <w:iCs/>
      <w:noProof/>
      <w:color w:val="000000" w:themeColor="text1"/>
      <w:sz w:val="22"/>
      <w:lang w:eastAsia="en-US"/>
    </w:rPr>
  </w:style>
  <w:style w:type="paragraph" w:styleId="Salutation">
    <w:name w:val="Salutation"/>
    <w:basedOn w:val="Normal"/>
    <w:next w:val="Normal"/>
    <w:link w:val="SalutationChar"/>
    <w:rsid w:val="00316FFF"/>
  </w:style>
  <w:style w:type="character" w:customStyle="1" w:styleId="SalutationChar">
    <w:name w:val="Salutation Char"/>
    <w:basedOn w:val="DefaultParagraphFont"/>
    <w:link w:val="Salutation"/>
    <w:rsid w:val="00316FFF"/>
    <w:rPr>
      <w:noProof/>
      <w:sz w:val="22"/>
      <w:lang w:eastAsia="en-US"/>
    </w:rPr>
  </w:style>
  <w:style w:type="paragraph" w:styleId="Signature">
    <w:name w:val="Signature"/>
    <w:basedOn w:val="Normal"/>
    <w:link w:val="SignatureChar"/>
    <w:rsid w:val="00316FFF"/>
    <w:pPr>
      <w:spacing w:after="0"/>
      <w:ind w:left="4252"/>
    </w:pPr>
  </w:style>
  <w:style w:type="character" w:customStyle="1" w:styleId="SignatureChar">
    <w:name w:val="Signature Char"/>
    <w:basedOn w:val="DefaultParagraphFont"/>
    <w:link w:val="Signature"/>
    <w:rsid w:val="00316FFF"/>
    <w:rPr>
      <w:noProof/>
      <w:sz w:val="22"/>
      <w:lang w:eastAsia="en-US"/>
    </w:rPr>
  </w:style>
  <w:style w:type="character" w:styleId="Strong">
    <w:name w:val="Strong"/>
    <w:basedOn w:val="DefaultParagraphFont"/>
    <w:rsid w:val="00316FFF"/>
    <w:rPr>
      <w:b/>
      <w:bCs/>
    </w:rPr>
  </w:style>
  <w:style w:type="character" w:styleId="SubtleEmphasis">
    <w:name w:val="Subtle Emphasis"/>
    <w:basedOn w:val="DefaultParagraphFont"/>
    <w:uiPriority w:val="19"/>
    <w:rsid w:val="00316FFF"/>
    <w:rPr>
      <w:i/>
      <w:iCs/>
      <w:color w:val="808080" w:themeColor="text1" w:themeTint="7F"/>
    </w:rPr>
  </w:style>
  <w:style w:type="character" w:styleId="SubtleReference">
    <w:name w:val="Subtle Reference"/>
    <w:basedOn w:val="DefaultParagraphFont"/>
    <w:uiPriority w:val="31"/>
    <w:rsid w:val="00316FFF"/>
    <w:rPr>
      <w:smallCaps/>
      <w:color w:val="C0504D" w:themeColor="accent2"/>
      <w:u w:val="single"/>
    </w:rPr>
  </w:style>
  <w:style w:type="table" w:styleId="Table3Deffects1">
    <w:name w:val="Table 3D effects 1"/>
    <w:basedOn w:val="TableNormal"/>
    <w:rsid w:val="00316FFF"/>
    <w:pPr>
      <w:overflowPunct w:val="0"/>
      <w:autoSpaceDE w:val="0"/>
      <w:autoSpaceDN w:val="0"/>
      <w:adjustRightInd w:val="0"/>
      <w:spacing w:after="24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6FFF"/>
    <w:pPr>
      <w:overflowPunct w:val="0"/>
      <w:autoSpaceDE w:val="0"/>
      <w:autoSpaceDN w:val="0"/>
      <w:adjustRightInd w:val="0"/>
      <w:spacing w:after="240"/>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6FFF"/>
    <w:pPr>
      <w:overflowPunct w:val="0"/>
      <w:autoSpaceDE w:val="0"/>
      <w:autoSpaceDN w:val="0"/>
      <w:adjustRightInd w:val="0"/>
      <w:spacing w:after="240"/>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6FFF"/>
    <w:pPr>
      <w:overflowPunct w:val="0"/>
      <w:autoSpaceDE w:val="0"/>
      <w:autoSpaceDN w:val="0"/>
      <w:adjustRightInd w:val="0"/>
      <w:spacing w:after="240"/>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6FFF"/>
    <w:pPr>
      <w:overflowPunct w:val="0"/>
      <w:autoSpaceDE w:val="0"/>
      <w:autoSpaceDN w:val="0"/>
      <w:adjustRightInd w:val="0"/>
      <w:spacing w:after="240"/>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6FFF"/>
    <w:pPr>
      <w:overflowPunct w:val="0"/>
      <w:autoSpaceDE w:val="0"/>
      <w:autoSpaceDN w:val="0"/>
      <w:adjustRightInd w:val="0"/>
      <w:spacing w:after="24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6FFF"/>
    <w:pPr>
      <w:overflowPunct w:val="0"/>
      <w:autoSpaceDE w:val="0"/>
      <w:autoSpaceDN w:val="0"/>
      <w:adjustRightInd w:val="0"/>
      <w:spacing w:after="240"/>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6FFF"/>
    <w:pPr>
      <w:overflowPunct w:val="0"/>
      <w:autoSpaceDE w:val="0"/>
      <w:autoSpaceDN w:val="0"/>
      <w:adjustRightInd w:val="0"/>
      <w:spacing w:after="240"/>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6FFF"/>
    <w:pPr>
      <w:overflowPunct w:val="0"/>
      <w:autoSpaceDE w:val="0"/>
      <w:autoSpaceDN w:val="0"/>
      <w:adjustRightInd w:val="0"/>
      <w:spacing w:after="240"/>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6FFF"/>
    <w:pPr>
      <w:overflowPunct w:val="0"/>
      <w:autoSpaceDE w:val="0"/>
      <w:autoSpaceDN w:val="0"/>
      <w:adjustRightInd w:val="0"/>
      <w:spacing w:after="240"/>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6FFF"/>
    <w:pPr>
      <w:overflowPunct w:val="0"/>
      <w:autoSpaceDE w:val="0"/>
      <w:autoSpaceDN w:val="0"/>
      <w:adjustRightInd w:val="0"/>
      <w:spacing w:after="240"/>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6FFF"/>
    <w:pPr>
      <w:overflowPunct w:val="0"/>
      <w:autoSpaceDE w:val="0"/>
      <w:autoSpaceDN w:val="0"/>
      <w:adjustRightInd w:val="0"/>
      <w:spacing w:after="240"/>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6FFF"/>
    <w:pPr>
      <w:overflowPunct w:val="0"/>
      <w:autoSpaceDE w:val="0"/>
      <w:autoSpaceDN w:val="0"/>
      <w:adjustRightInd w:val="0"/>
      <w:spacing w:after="24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6FFF"/>
    <w:pPr>
      <w:overflowPunct w:val="0"/>
      <w:autoSpaceDE w:val="0"/>
      <w:autoSpaceDN w:val="0"/>
      <w:adjustRightInd w:val="0"/>
      <w:spacing w:after="240"/>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16FFF"/>
    <w:pPr>
      <w:overflowPunct w:val="0"/>
      <w:autoSpaceDE w:val="0"/>
      <w:autoSpaceDN w:val="0"/>
      <w:adjustRightInd w:val="0"/>
      <w:spacing w:after="24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6FFF"/>
    <w:pPr>
      <w:overflowPunct w:val="0"/>
      <w:autoSpaceDE w:val="0"/>
      <w:autoSpaceDN w:val="0"/>
      <w:adjustRightInd w:val="0"/>
      <w:spacing w:after="240"/>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6FFF"/>
    <w:pPr>
      <w:overflowPunct w:val="0"/>
      <w:autoSpaceDE w:val="0"/>
      <w:autoSpaceDN w:val="0"/>
      <w:adjustRightInd w:val="0"/>
      <w:spacing w:after="240"/>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6FFF"/>
    <w:pPr>
      <w:overflowPunct w:val="0"/>
      <w:autoSpaceDE w:val="0"/>
      <w:autoSpaceDN w:val="0"/>
      <w:adjustRightInd w:val="0"/>
      <w:spacing w:after="240"/>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6FFF"/>
    <w:pPr>
      <w:overflowPunct w:val="0"/>
      <w:autoSpaceDE w:val="0"/>
      <w:autoSpaceDN w:val="0"/>
      <w:adjustRightInd w:val="0"/>
      <w:spacing w:after="240"/>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6FFF"/>
    <w:pPr>
      <w:overflowPunct w:val="0"/>
      <w:autoSpaceDE w:val="0"/>
      <w:autoSpaceDN w:val="0"/>
      <w:adjustRightInd w:val="0"/>
      <w:spacing w:after="240"/>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6FFF"/>
    <w:pPr>
      <w:overflowPunct w:val="0"/>
      <w:autoSpaceDE w:val="0"/>
      <w:autoSpaceDN w:val="0"/>
      <w:adjustRightInd w:val="0"/>
      <w:spacing w:after="24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6FFF"/>
    <w:pPr>
      <w:overflowPunct w:val="0"/>
      <w:autoSpaceDE w:val="0"/>
      <w:autoSpaceDN w:val="0"/>
      <w:adjustRightInd w:val="0"/>
      <w:spacing w:after="240"/>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6FFF"/>
    <w:pPr>
      <w:overflowPunct w:val="0"/>
      <w:autoSpaceDE w:val="0"/>
      <w:autoSpaceDN w:val="0"/>
      <w:adjustRightInd w:val="0"/>
      <w:spacing w:after="24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6FFF"/>
    <w:pPr>
      <w:overflowPunct w:val="0"/>
      <w:autoSpaceDE w:val="0"/>
      <w:autoSpaceDN w:val="0"/>
      <w:adjustRightInd w:val="0"/>
      <w:spacing w:after="24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6FFF"/>
    <w:pPr>
      <w:overflowPunct w:val="0"/>
      <w:autoSpaceDE w:val="0"/>
      <w:autoSpaceDN w:val="0"/>
      <w:adjustRightInd w:val="0"/>
      <w:spacing w:after="240"/>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6FFF"/>
    <w:pPr>
      <w:overflowPunct w:val="0"/>
      <w:autoSpaceDE w:val="0"/>
      <w:autoSpaceDN w:val="0"/>
      <w:adjustRightInd w:val="0"/>
      <w:spacing w:after="24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16FFF"/>
    <w:pPr>
      <w:spacing w:after="0"/>
      <w:ind w:left="220" w:hanging="220"/>
    </w:pPr>
  </w:style>
  <w:style w:type="paragraph" w:styleId="TableofFigures">
    <w:name w:val="table of figures"/>
    <w:basedOn w:val="Normal"/>
    <w:next w:val="Normal"/>
    <w:rsid w:val="00316FFF"/>
    <w:pPr>
      <w:spacing w:after="0"/>
    </w:pPr>
  </w:style>
  <w:style w:type="table" w:styleId="TableProfessional">
    <w:name w:val="Table Professional"/>
    <w:basedOn w:val="TableNormal"/>
    <w:rsid w:val="00316FFF"/>
    <w:pPr>
      <w:overflowPunct w:val="0"/>
      <w:autoSpaceDE w:val="0"/>
      <w:autoSpaceDN w:val="0"/>
      <w:adjustRightInd w:val="0"/>
      <w:spacing w:after="24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6FFF"/>
    <w:pPr>
      <w:overflowPunct w:val="0"/>
      <w:autoSpaceDE w:val="0"/>
      <w:autoSpaceDN w:val="0"/>
      <w:adjustRightInd w:val="0"/>
      <w:spacing w:after="240"/>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6FFF"/>
    <w:pPr>
      <w:overflowPunct w:val="0"/>
      <w:autoSpaceDE w:val="0"/>
      <w:autoSpaceDN w:val="0"/>
      <w:adjustRightInd w:val="0"/>
      <w:spacing w:after="240"/>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6FFF"/>
    <w:pPr>
      <w:overflowPunct w:val="0"/>
      <w:autoSpaceDE w:val="0"/>
      <w:autoSpaceDN w:val="0"/>
      <w:adjustRightInd w:val="0"/>
      <w:spacing w:after="240"/>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6FFF"/>
    <w:pPr>
      <w:overflowPunct w:val="0"/>
      <w:autoSpaceDE w:val="0"/>
      <w:autoSpaceDN w:val="0"/>
      <w:adjustRightInd w:val="0"/>
      <w:spacing w:after="240"/>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6FFF"/>
    <w:pPr>
      <w:overflowPunct w:val="0"/>
      <w:autoSpaceDE w:val="0"/>
      <w:autoSpaceDN w:val="0"/>
      <w:adjustRightInd w:val="0"/>
      <w:spacing w:after="240"/>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6FFF"/>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16FFF"/>
    <w:pPr>
      <w:overflowPunct w:val="0"/>
      <w:autoSpaceDE w:val="0"/>
      <w:autoSpaceDN w:val="0"/>
      <w:adjustRightInd w:val="0"/>
      <w:spacing w:after="240"/>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6FFF"/>
    <w:pPr>
      <w:overflowPunct w:val="0"/>
      <w:autoSpaceDE w:val="0"/>
      <w:autoSpaceDN w:val="0"/>
      <w:adjustRightInd w:val="0"/>
      <w:spacing w:after="240"/>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6FFF"/>
    <w:pPr>
      <w:overflowPunct w:val="0"/>
      <w:autoSpaceDE w:val="0"/>
      <w:autoSpaceDN w:val="0"/>
      <w:adjustRightInd w:val="0"/>
      <w:spacing w:after="240"/>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316FF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316FFF"/>
    <w:pPr>
      <w:spacing w:after="100"/>
    </w:pPr>
  </w:style>
  <w:style w:type="paragraph" w:styleId="TOC2">
    <w:name w:val="toc 2"/>
    <w:basedOn w:val="Normal"/>
    <w:next w:val="Normal"/>
    <w:autoRedefine/>
    <w:rsid w:val="00316FFF"/>
    <w:pPr>
      <w:spacing w:after="100"/>
      <w:ind w:left="220"/>
    </w:pPr>
  </w:style>
  <w:style w:type="paragraph" w:styleId="TOC3">
    <w:name w:val="toc 3"/>
    <w:basedOn w:val="Normal"/>
    <w:next w:val="Normal"/>
    <w:autoRedefine/>
    <w:rsid w:val="00316FFF"/>
    <w:pPr>
      <w:spacing w:after="100"/>
      <w:ind w:left="440"/>
    </w:pPr>
  </w:style>
  <w:style w:type="paragraph" w:styleId="TOC4">
    <w:name w:val="toc 4"/>
    <w:basedOn w:val="Normal"/>
    <w:next w:val="Normal"/>
    <w:autoRedefine/>
    <w:rsid w:val="00316FFF"/>
    <w:pPr>
      <w:spacing w:after="100"/>
      <w:ind w:left="660"/>
    </w:pPr>
  </w:style>
  <w:style w:type="paragraph" w:styleId="TOC5">
    <w:name w:val="toc 5"/>
    <w:basedOn w:val="Normal"/>
    <w:next w:val="Normal"/>
    <w:autoRedefine/>
    <w:rsid w:val="00316FFF"/>
    <w:pPr>
      <w:spacing w:after="100"/>
      <w:ind w:left="880"/>
    </w:pPr>
  </w:style>
  <w:style w:type="paragraph" w:styleId="TOC6">
    <w:name w:val="toc 6"/>
    <w:basedOn w:val="Normal"/>
    <w:next w:val="Normal"/>
    <w:autoRedefine/>
    <w:rsid w:val="00316FFF"/>
    <w:pPr>
      <w:spacing w:after="100"/>
      <w:ind w:left="1100"/>
    </w:pPr>
  </w:style>
  <w:style w:type="paragraph" w:styleId="TOC7">
    <w:name w:val="toc 7"/>
    <w:basedOn w:val="Normal"/>
    <w:next w:val="Normal"/>
    <w:autoRedefine/>
    <w:rsid w:val="00316FFF"/>
    <w:pPr>
      <w:spacing w:after="100"/>
      <w:ind w:left="1320"/>
    </w:pPr>
  </w:style>
  <w:style w:type="paragraph" w:styleId="TOC8">
    <w:name w:val="toc 8"/>
    <w:basedOn w:val="Normal"/>
    <w:next w:val="Normal"/>
    <w:autoRedefine/>
    <w:rsid w:val="00316FFF"/>
    <w:pPr>
      <w:spacing w:after="100"/>
      <w:ind w:left="1540"/>
    </w:pPr>
  </w:style>
  <w:style w:type="paragraph" w:styleId="TOC9">
    <w:name w:val="toc 9"/>
    <w:basedOn w:val="Normal"/>
    <w:next w:val="Normal"/>
    <w:autoRedefine/>
    <w:rsid w:val="00316FFF"/>
    <w:pPr>
      <w:spacing w:after="100"/>
      <w:ind w:left="1760"/>
    </w:pPr>
  </w:style>
  <w:style w:type="paragraph" w:styleId="TOCHeading">
    <w:name w:val="TOC Heading"/>
    <w:basedOn w:val="Heading1"/>
    <w:next w:val="Normal"/>
    <w:uiPriority w:val="39"/>
    <w:semiHidden/>
    <w:unhideWhenUsed/>
    <w:qFormat/>
    <w:rsid w:val="00316FFF"/>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er" w:uiPriority="99"/>
    <w:lsdException w:name="Body Text"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overflowPunct w:val="0"/>
      <w:autoSpaceDE w:val="0"/>
      <w:autoSpaceDN w:val="0"/>
      <w:adjustRightInd w:val="0"/>
      <w:spacing w:after="240"/>
      <w:jc w:val="both"/>
      <w:textAlignment w:val="baseline"/>
    </w:pPr>
    <w:rPr>
      <w:noProof/>
      <w:sz w:val="22"/>
      <w:lang w:eastAsia="en-US"/>
    </w:rPr>
  </w:style>
  <w:style w:type="paragraph" w:styleId="Heading1">
    <w:name w:val="heading 1"/>
    <w:next w:val="BodyText"/>
    <w:qFormat/>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Heading2">
    <w:name w:val="heading 2"/>
    <w:next w:val="BodyText"/>
    <w:qFormat/>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Heading3">
    <w:name w:val="heading 3"/>
    <w:next w:val="BodyText"/>
    <w:qFormat/>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Heading4">
    <w:name w:val="heading 4"/>
    <w:next w:val="BodyText"/>
    <w:qFormat/>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Heading5">
    <w:name w:val="heading 5"/>
    <w:next w:val="BodyText"/>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Heading6">
    <w:name w:val="heading 6"/>
    <w:basedOn w:val="Heading5"/>
    <w:next w:val="BodyText"/>
    <w:pPr>
      <w:numPr>
        <w:ilvl w:val="5"/>
      </w:numPr>
      <w:outlineLvl w:val="5"/>
    </w:pPr>
  </w:style>
  <w:style w:type="paragraph" w:styleId="Heading7">
    <w:name w:val="heading 7"/>
    <w:basedOn w:val="Heading5"/>
    <w:next w:val="BodyText"/>
    <w:pPr>
      <w:numPr>
        <w:ilvl w:val="6"/>
      </w:numPr>
      <w:outlineLvl w:val="6"/>
    </w:pPr>
  </w:style>
  <w:style w:type="paragraph" w:styleId="Heading8">
    <w:name w:val="heading 8"/>
    <w:basedOn w:val="Heading5"/>
    <w:next w:val="BodyText"/>
    <w:pPr>
      <w:numPr>
        <w:ilvl w:val="7"/>
      </w:numPr>
      <w:outlineLvl w:val="7"/>
    </w:pPr>
  </w:style>
  <w:style w:type="paragraph" w:styleId="Heading9">
    <w:name w:val="heading 9"/>
    <w:basedOn w:val="Heading5"/>
    <w:next w:val="BodyTex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Header">
    <w:name w:val="header"/>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Footer">
    <w:name w:val="footer"/>
    <w:link w:val="FooterChar"/>
    <w:uiPriority w:val="99"/>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BodyText"/>
    <w:rPr>
      <w:sz w:val="20"/>
    </w:rPr>
  </w:style>
  <w:style w:type="paragraph" w:customStyle="1" w:styleId="Heading1Type">
    <w:name w:val="Heading 1 Type"/>
    <w:basedOn w:val="Normal"/>
    <w:next w:val="BodyText"/>
    <w:pPr>
      <w:keepNext/>
      <w:keepLines/>
      <w:jc w:val="center"/>
    </w:pPr>
    <w:rPr>
      <w:b/>
      <w:caps/>
    </w:rPr>
  </w:style>
  <w:style w:type="paragraph" w:customStyle="1" w:styleId="IAEATableFootnote">
    <w:name w:val="IAEA Table Footnote"/>
    <w:basedOn w:val="Normal"/>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pPr>
      <w:overflowPunct/>
      <w:autoSpaceDE/>
      <w:autoSpaceDN/>
      <w:adjustRightInd/>
      <w:jc w:val="center"/>
      <w:textAlignment w:val="auto"/>
    </w:pPr>
    <w:rPr>
      <w:i/>
      <w:noProof w:val="0"/>
    </w:rPr>
  </w:style>
  <w:style w:type="paragraph" w:customStyle="1" w:styleId="IAEATableCaption">
    <w:name w:val="IAEA Table Caption"/>
    <w:basedOn w:val="IAEAFigureCaption"/>
    <w:pPr>
      <w:keepNext/>
      <w:keepLines/>
      <w:spacing w:after="120"/>
      <w:jc w:val="both"/>
    </w:pPr>
    <w:rPr>
      <w:i w:val="0"/>
    </w:rPr>
  </w:style>
  <w:style w:type="paragraph" w:customStyle="1" w:styleId="IAEAReferenceText">
    <w:name w:val="IAEA Reference Text"/>
    <w:basedOn w:val="BodyText"/>
    <w:pPr>
      <w:spacing w:after="0"/>
    </w:pPr>
  </w:style>
  <w:style w:type="paragraph" w:styleId="Subtitle">
    <w:name w:val="Subtitle"/>
    <w:basedOn w:val="Normal"/>
    <w:pPr>
      <w:spacing w:after="480"/>
      <w:ind w:left="567"/>
      <w:jc w:val="left"/>
    </w:pPr>
    <w:rPr>
      <w:b/>
      <w:i/>
      <w:sz w:val="28"/>
      <w:szCs w:val="24"/>
    </w:rPr>
  </w:style>
  <w:style w:type="paragraph" w:styleId="Title">
    <w:name w:val="Title"/>
    <w:basedOn w:val="Normal"/>
    <w:pPr>
      <w:keepNext/>
      <w:spacing w:before="640" w:after="0"/>
      <w:ind w:left="567"/>
      <w:jc w:val="left"/>
      <w:outlineLvl w:val="0"/>
    </w:pPr>
    <w:rPr>
      <w:b/>
      <w:bCs/>
      <w:kern w:val="28"/>
      <w:sz w:val="28"/>
      <w:szCs w:val="32"/>
    </w:rPr>
  </w:style>
  <w:style w:type="paragraph" w:customStyle="1" w:styleId="IAEAAuthors">
    <w:name w:val="IAEA Authors"/>
    <w:basedOn w:val="BodyText"/>
    <w:next w:val="BodyText"/>
    <w:rPr>
      <w:b/>
      <w:sz w:val="24"/>
    </w:rPr>
  </w:style>
  <w:style w:type="paragraph" w:customStyle="1" w:styleId="IAEAInstitutes">
    <w:name w:val="IAEA Institutes"/>
    <w:basedOn w:val="BodyText"/>
    <w:next w:val="BodyText"/>
    <w:pPr>
      <w:jc w:val="left"/>
    </w:pPr>
    <w:rPr>
      <w:sz w:val="24"/>
    </w:rPr>
  </w:style>
  <w:style w:type="paragraph" w:customStyle="1" w:styleId="BodyTextList">
    <w:name w:val="Body Text List"/>
    <w:basedOn w:val="BodyText"/>
    <w:pPr>
      <w:spacing w:after="0"/>
    </w:pPr>
  </w:style>
  <w:style w:type="paragraph" w:customStyle="1" w:styleId="IAEATableHeading">
    <w:name w:val="IAEA Table Heading"/>
    <w:basedOn w:val="IAEAFigureCaption"/>
    <w:pPr>
      <w:keepNext/>
      <w:keepLines/>
      <w:spacing w:after="120"/>
      <w:jc w:val="both"/>
    </w:pPr>
    <w:rPr>
      <w:i w:val="0"/>
    </w:rPr>
  </w:style>
  <w:style w:type="character" w:styleId="PageNumber">
    <w:name w:val="page number"/>
    <w:basedOn w:val="DefaultParagraphFont"/>
  </w:style>
  <w:style w:type="paragraph" w:styleId="FootnoteText">
    <w:name w:val="footnote text"/>
    <w:basedOn w:val="Normal"/>
    <w:semiHidden/>
    <w:pPr>
      <w:spacing w:after="0"/>
    </w:pPr>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pPr>
      <w:spacing w:before="120" w:after="120"/>
    </w:pPr>
    <w:rPr>
      <w:b/>
      <w:bCs/>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customStyle="1" w:styleId="FooterChar">
    <w:name w:val="Footer Char"/>
    <w:basedOn w:val="DefaultParagraphFont"/>
    <w:link w:val="Footer"/>
    <w:uiPriority w:val="99"/>
    <w:rsid w:val="004347BD"/>
    <w:rPr>
      <w:noProof/>
      <w:sz w:val="22"/>
      <w:lang w:val="en-US" w:eastAsia="en-US"/>
    </w:rPr>
  </w:style>
  <w:style w:type="paragraph" w:styleId="BalloonText">
    <w:name w:val="Balloon Text"/>
    <w:basedOn w:val="Normal"/>
    <w:link w:val="BalloonTextChar"/>
    <w:rsid w:val="00316FFF"/>
    <w:pPr>
      <w:spacing w:after="0"/>
    </w:pPr>
    <w:rPr>
      <w:rFonts w:ascii="Tahoma" w:hAnsi="Tahoma" w:cs="Tahoma"/>
      <w:sz w:val="16"/>
      <w:szCs w:val="16"/>
    </w:rPr>
  </w:style>
  <w:style w:type="character" w:customStyle="1" w:styleId="BalloonTextChar">
    <w:name w:val="Balloon Text Char"/>
    <w:basedOn w:val="DefaultParagraphFont"/>
    <w:link w:val="BalloonText"/>
    <w:rsid w:val="00316FFF"/>
    <w:rPr>
      <w:rFonts w:ascii="Tahoma" w:hAnsi="Tahoma" w:cs="Tahoma"/>
      <w:noProof/>
      <w:sz w:val="16"/>
      <w:szCs w:val="16"/>
      <w:lang w:eastAsia="en-US"/>
    </w:rPr>
  </w:style>
  <w:style w:type="numbering" w:styleId="111111">
    <w:name w:val="Outline List 2"/>
    <w:basedOn w:val="NoList"/>
    <w:rsid w:val="00316FFF"/>
    <w:pPr>
      <w:numPr>
        <w:numId w:val="9"/>
      </w:numPr>
    </w:pPr>
  </w:style>
  <w:style w:type="numbering" w:styleId="1ai">
    <w:name w:val="Outline List 1"/>
    <w:basedOn w:val="NoList"/>
    <w:rsid w:val="00316FFF"/>
    <w:pPr>
      <w:numPr>
        <w:numId w:val="10"/>
      </w:numPr>
    </w:pPr>
  </w:style>
  <w:style w:type="numbering" w:styleId="ArticleSection">
    <w:name w:val="Outline List 3"/>
    <w:basedOn w:val="NoList"/>
    <w:rsid w:val="00316FFF"/>
    <w:pPr>
      <w:numPr>
        <w:numId w:val="11"/>
      </w:numPr>
    </w:pPr>
  </w:style>
  <w:style w:type="paragraph" w:styleId="Bibliography">
    <w:name w:val="Bibliography"/>
    <w:basedOn w:val="Normal"/>
    <w:next w:val="Normal"/>
    <w:uiPriority w:val="37"/>
    <w:semiHidden/>
    <w:unhideWhenUsed/>
    <w:rsid w:val="00316FFF"/>
  </w:style>
  <w:style w:type="paragraph" w:styleId="BlockText">
    <w:name w:val="Block Text"/>
    <w:basedOn w:val="Normal"/>
    <w:rsid w:val="00316FF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16FFF"/>
    <w:pPr>
      <w:spacing w:after="120" w:line="480" w:lineRule="auto"/>
    </w:pPr>
  </w:style>
  <w:style w:type="character" w:customStyle="1" w:styleId="BodyText2Char">
    <w:name w:val="Body Text 2 Char"/>
    <w:basedOn w:val="DefaultParagraphFont"/>
    <w:link w:val="BodyText2"/>
    <w:rsid w:val="00316FFF"/>
    <w:rPr>
      <w:noProof/>
      <w:sz w:val="22"/>
      <w:lang w:eastAsia="en-US"/>
    </w:rPr>
  </w:style>
  <w:style w:type="paragraph" w:styleId="BodyText3">
    <w:name w:val="Body Text 3"/>
    <w:basedOn w:val="Normal"/>
    <w:link w:val="BodyText3Char"/>
    <w:rsid w:val="00316FFF"/>
    <w:pPr>
      <w:spacing w:after="120"/>
    </w:pPr>
    <w:rPr>
      <w:sz w:val="16"/>
      <w:szCs w:val="16"/>
    </w:rPr>
  </w:style>
  <w:style w:type="character" w:customStyle="1" w:styleId="BodyText3Char">
    <w:name w:val="Body Text 3 Char"/>
    <w:basedOn w:val="DefaultParagraphFont"/>
    <w:link w:val="BodyText3"/>
    <w:rsid w:val="00316FFF"/>
    <w:rPr>
      <w:noProof/>
      <w:sz w:val="16"/>
      <w:szCs w:val="16"/>
      <w:lang w:eastAsia="en-US"/>
    </w:rPr>
  </w:style>
  <w:style w:type="paragraph" w:styleId="BodyTextFirstIndent">
    <w:name w:val="Body Text First Indent"/>
    <w:basedOn w:val="BodyText"/>
    <w:link w:val="BodyTextFirstIndentChar"/>
    <w:rsid w:val="00316FFF"/>
    <w:pPr>
      <w:ind w:firstLine="360"/>
    </w:pPr>
  </w:style>
  <w:style w:type="character" w:customStyle="1" w:styleId="BodyTextChar">
    <w:name w:val="Body Text Char"/>
    <w:basedOn w:val="DefaultParagraphFont"/>
    <w:link w:val="BodyText"/>
    <w:rsid w:val="00316FFF"/>
    <w:rPr>
      <w:noProof/>
      <w:sz w:val="22"/>
      <w:lang w:eastAsia="en-US"/>
    </w:rPr>
  </w:style>
  <w:style w:type="character" w:customStyle="1" w:styleId="BodyTextFirstIndentChar">
    <w:name w:val="Body Text First Indent Char"/>
    <w:basedOn w:val="BodyTextChar"/>
    <w:link w:val="BodyTextFirstIndent"/>
    <w:rsid w:val="00316FFF"/>
    <w:rPr>
      <w:noProof/>
      <w:sz w:val="22"/>
      <w:lang w:eastAsia="en-US"/>
    </w:rPr>
  </w:style>
  <w:style w:type="paragraph" w:styleId="BodyTextIndent">
    <w:name w:val="Body Text Indent"/>
    <w:basedOn w:val="Normal"/>
    <w:link w:val="BodyTextIndentChar"/>
    <w:rsid w:val="00316FFF"/>
    <w:pPr>
      <w:spacing w:after="120"/>
      <w:ind w:left="283"/>
    </w:pPr>
  </w:style>
  <w:style w:type="character" w:customStyle="1" w:styleId="BodyTextIndentChar">
    <w:name w:val="Body Text Indent Char"/>
    <w:basedOn w:val="DefaultParagraphFont"/>
    <w:link w:val="BodyTextIndent"/>
    <w:rsid w:val="00316FFF"/>
    <w:rPr>
      <w:noProof/>
      <w:sz w:val="22"/>
      <w:lang w:eastAsia="en-US"/>
    </w:rPr>
  </w:style>
  <w:style w:type="paragraph" w:styleId="BodyTextFirstIndent2">
    <w:name w:val="Body Text First Indent 2"/>
    <w:basedOn w:val="BodyTextIndent"/>
    <w:link w:val="BodyTextFirstIndent2Char"/>
    <w:rsid w:val="00316FFF"/>
    <w:pPr>
      <w:spacing w:after="240"/>
      <w:ind w:left="360" w:firstLine="360"/>
    </w:pPr>
  </w:style>
  <w:style w:type="character" w:customStyle="1" w:styleId="BodyTextFirstIndent2Char">
    <w:name w:val="Body Text First Indent 2 Char"/>
    <w:basedOn w:val="BodyTextIndentChar"/>
    <w:link w:val="BodyTextFirstIndent2"/>
    <w:rsid w:val="00316FFF"/>
    <w:rPr>
      <w:noProof/>
      <w:sz w:val="22"/>
      <w:lang w:eastAsia="en-US"/>
    </w:rPr>
  </w:style>
  <w:style w:type="paragraph" w:styleId="BodyTextIndent2">
    <w:name w:val="Body Text Indent 2"/>
    <w:basedOn w:val="Normal"/>
    <w:link w:val="BodyTextIndent2Char"/>
    <w:rsid w:val="00316FFF"/>
    <w:pPr>
      <w:spacing w:after="120" w:line="480" w:lineRule="auto"/>
      <w:ind w:left="283"/>
    </w:pPr>
  </w:style>
  <w:style w:type="character" w:customStyle="1" w:styleId="BodyTextIndent2Char">
    <w:name w:val="Body Text Indent 2 Char"/>
    <w:basedOn w:val="DefaultParagraphFont"/>
    <w:link w:val="BodyTextIndent2"/>
    <w:rsid w:val="00316FFF"/>
    <w:rPr>
      <w:noProof/>
      <w:sz w:val="22"/>
      <w:lang w:eastAsia="en-US"/>
    </w:rPr>
  </w:style>
  <w:style w:type="paragraph" w:styleId="BodyTextIndent3">
    <w:name w:val="Body Text Indent 3"/>
    <w:basedOn w:val="Normal"/>
    <w:link w:val="BodyTextIndent3Char"/>
    <w:rsid w:val="00316FFF"/>
    <w:pPr>
      <w:spacing w:after="120"/>
      <w:ind w:left="283"/>
    </w:pPr>
    <w:rPr>
      <w:sz w:val="16"/>
      <w:szCs w:val="16"/>
    </w:rPr>
  </w:style>
  <w:style w:type="character" w:customStyle="1" w:styleId="BodyTextIndent3Char">
    <w:name w:val="Body Text Indent 3 Char"/>
    <w:basedOn w:val="DefaultParagraphFont"/>
    <w:link w:val="BodyTextIndent3"/>
    <w:rsid w:val="00316FFF"/>
    <w:rPr>
      <w:noProof/>
      <w:sz w:val="16"/>
      <w:szCs w:val="16"/>
      <w:lang w:eastAsia="en-US"/>
    </w:rPr>
  </w:style>
  <w:style w:type="character" w:styleId="BookTitle">
    <w:name w:val="Book Title"/>
    <w:basedOn w:val="DefaultParagraphFont"/>
    <w:uiPriority w:val="33"/>
    <w:rsid w:val="00316FFF"/>
    <w:rPr>
      <w:b/>
      <w:bCs/>
      <w:smallCaps/>
      <w:spacing w:val="5"/>
    </w:rPr>
  </w:style>
  <w:style w:type="paragraph" w:styleId="Closing">
    <w:name w:val="Closing"/>
    <w:basedOn w:val="Normal"/>
    <w:link w:val="ClosingChar"/>
    <w:rsid w:val="00316FFF"/>
    <w:pPr>
      <w:spacing w:after="0"/>
      <w:ind w:left="4252"/>
    </w:pPr>
  </w:style>
  <w:style w:type="character" w:customStyle="1" w:styleId="ClosingChar">
    <w:name w:val="Closing Char"/>
    <w:basedOn w:val="DefaultParagraphFont"/>
    <w:link w:val="Closing"/>
    <w:rsid w:val="00316FFF"/>
    <w:rPr>
      <w:noProof/>
      <w:sz w:val="22"/>
      <w:lang w:eastAsia="en-US"/>
    </w:rPr>
  </w:style>
  <w:style w:type="table" w:styleId="ColorfulGrid">
    <w:name w:val="Colorful Grid"/>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16FF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16FF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16FF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16FF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16FF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16FF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16FF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16FF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16FF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16FF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16FF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16FF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16FF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16FF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6FF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316FFF"/>
    <w:rPr>
      <w:sz w:val="16"/>
      <w:szCs w:val="16"/>
    </w:rPr>
  </w:style>
  <w:style w:type="paragraph" w:styleId="CommentText">
    <w:name w:val="annotation text"/>
    <w:basedOn w:val="Normal"/>
    <w:link w:val="CommentTextChar"/>
    <w:rsid w:val="00316FFF"/>
    <w:rPr>
      <w:sz w:val="20"/>
    </w:rPr>
  </w:style>
  <w:style w:type="character" w:customStyle="1" w:styleId="CommentTextChar">
    <w:name w:val="Comment Text Char"/>
    <w:basedOn w:val="DefaultParagraphFont"/>
    <w:link w:val="CommentText"/>
    <w:rsid w:val="00316FFF"/>
    <w:rPr>
      <w:noProof/>
      <w:lang w:eastAsia="en-US"/>
    </w:rPr>
  </w:style>
  <w:style w:type="paragraph" w:styleId="CommentSubject">
    <w:name w:val="annotation subject"/>
    <w:basedOn w:val="CommentText"/>
    <w:next w:val="CommentText"/>
    <w:link w:val="CommentSubjectChar"/>
    <w:rsid w:val="00316FFF"/>
    <w:rPr>
      <w:b/>
      <w:bCs/>
    </w:rPr>
  </w:style>
  <w:style w:type="character" w:customStyle="1" w:styleId="CommentSubjectChar">
    <w:name w:val="Comment Subject Char"/>
    <w:basedOn w:val="CommentTextChar"/>
    <w:link w:val="CommentSubject"/>
    <w:rsid w:val="00316FFF"/>
    <w:rPr>
      <w:b/>
      <w:bCs/>
      <w:noProof/>
      <w:lang w:eastAsia="en-US"/>
    </w:rPr>
  </w:style>
  <w:style w:type="table" w:styleId="DarkList">
    <w:name w:val="Dark List"/>
    <w:basedOn w:val="TableNormal"/>
    <w:uiPriority w:val="70"/>
    <w:rsid w:val="00316FF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16FF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16FF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16FF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16FF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16FF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16FF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316FFF"/>
  </w:style>
  <w:style w:type="character" w:customStyle="1" w:styleId="DateChar">
    <w:name w:val="Date Char"/>
    <w:basedOn w:val="DefaultParagraphFont"/>
    <w:link w:val="Date"/>
    <w:rsid w:val="00316FFF"/>
    <w:rPr>
      <w:noProof/>
      <w:sz w:val="22"/>
      <w:lang w:eastAsia="en-US"/>
    </w:rPr>
  </w:style>
  <w:style w:type="paragraph" w:styleId="DocumentMap">
    <w:name w:val="Document Map"/>
    <w:basedOn w:val="Normal"/>
    <w:link w:val="DocumentMapChar"/>
    <w:rsid w:val="00316FFF"/>
    <w:pPr>
      <w:spacing w:after="0"/>
    </w:pPr>
    <w:rPr>
      <w:rFonts w:ascii="Tahoma" w:hAnsi="Tahoma" w:cs="Tahoma"/>
      <w:sz w:val="16"/>
      <w:szCs w:val="16"/>
    </w:rPr>
  </w:style>
  <w:style w:type="character" w:customStyle="1" w:styleId="DocumentMapChar">
    <w:name w:val="Document Map Char"/>
    <w:basedOn w:val="DefaultParagraphFont"/>
    <w:link w:val="DocumentMap"/>
    <w:rsid w:val="00316FFF"/>
    <w:rPr>
      <w:rFonts w:ascii="Tahoma" w:hAnsi="Tahoma" w:cs="Tahoma"/>
      <w:noProof/>
      <w:sz w:val="16"/>
      <w:szCs w:val="16"/>
      <w:lang w:eastAsia="en-US"/>
    </w:rPr>
  </w:style>
  <w:style w:type="paragraph" w:styleId="E-mailSignature">
    <w:name w:val="E-mail Signature"/>
    <w:basedOn w:val="Normal"/>
    <w:link w:val="E-mailSignatureChar"/>
    <w:rsid w:val="00316FFF"/>
    <w:pPr>
      <w:spacing w:after="0"/>
    </w:pPr>
  </w:style>
  <w:style w:type="character" w:customStyle="1" w:styleId="E-mailSignatureChar">
    <w:name w:val="E-mail Signature Char"/>
    <w:basedOn w:val="DefaultParagraphFont"/>
    <w:link w:val="E-mailSignature"/>
    <w:rsid w:val="00316FFF"/>
    <w:rPr>
      <w:noProof/>
      <w:sz w:val="22"/>
      <w:lang w:eastAsia="en-US"/>
    </w:rPr>
  </w:style>
  <w:style w:type="character" w:styleId="Emphasis">
    <w:name w:val="Emphasis"/>
    <w:basedOn w:val="DefaultParagraphFont"/>
    <w:rsid w:val="00316FFF"/>
    <w:rPr>
      <w:i/>
      <w:iCs/>
    </w:rPr>
  </w:style>
  <w:style w:type="paragraph" w:styleId="EnvelopeAddress">
    <w:name w:val="envelope address"/>
    <w:basedOn w:val="Normal"/>
    <w:rsid w:val="00316FF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16FFF"/>
    <w:pPr>
      <w:spacing w:after="0"/>
    </w:pPr>
    <w:rPr>
      <w:rFonts w:asciiTheme="majorHAnsi" w:eastAsiaTheme="majorEastAsia" w:hAnsiTheme="majorHAnsi" w:cstheme="majorBidi"/>
      <w:sz w:val="20"/>
    </w:rPr>
  </w:style>
  <w:style w:type="character" w:styleId="FollowedHyperlink">
    <w:name w:val="FollowedHyperlink"/>
    <w:basedOn w:val="DefaultParagraphFont"/>
    <w:rsid w:val="00316FFF"/>
    <w:rPr>
      <w:color w:val="800080" w:themeColor="followedHyperlink"/>
      <w:u w:val="single"/>
    </w:rPr>
  </w:style>
  <w:style w:type="character" w:styleId="HTMLAcronym">
    <w:name w:val="HTML Acronym"/>
    <w:basedOn w:val="DefaultParagraphFont"/>
    <w:rsid w:val="00316FFF"/>
  </w:style>
  <w:style w:type="paragraph" w:styleId="HTMLAddress">
    <w:name w:val="HTML Address"/>
    <w:basedOn w:val="Normal"/>
    <w:link w:val="HTMLAddressChar"/>
    <w:rsid w:val="00316FFF"/>
    <w:pPr>
      <w:spacing w:after="0"/>
    </w:pPr>
    <w:rPr>
      <w:i/>
      <w:iCs/>
    </w:rPr>
  </w:style>
  <w:style w:type="character" w:customStyle="1" w:styleId="HTMLAddressChar">
    <w:name w:val="HTML Address Char"/>
    <w:basedOn w:val="DefaultParagraphFont"/>
    <w:link w:val="HTMLAddress"/>
    <w:rsid w:val="00316FFF"/>
    <w:rPr>
      <w:i/>
      <w:iCs/>
      <w:noProof/>
      <w:sz w:val="22"/>
      <w:lang w:eastAsia="en-US"/>
    </w:rPr>
  </w:style>
  <w:style w:type="character" w:styleId="HTMLCite">
    <w:name w:val="HTML Cite"/>
    <w:basedOn w:val="DefaultParagraphFont"/>
    <w:rsid w:val="00316FFF"/>
    <w:rPr>
      <w:i/>
      <w:iCs/>
    </w:rPr>
  </w:style>
  <w:style w:type="character" w:styleId="HTMLCode">
    <w:name w:val="HTML Code"/>
    <w:basedOn w:val="DefaultParagraphFont"/>
    <w:rsid w:val="00316FFF"/>
    <w:rPr>
      <w:rFonts w:ascii="Consolas" w:hAnsi="Consolas" w:cs="Consolas"/>
      <w:sz w:val="20"/>
      <w:szCs w:val="20"/>
    </w:rPr>
  </w:style>
  <w:style w:type="character" w:styleId="HTMLDefinition">
    <w:name w:val="HTML Definition"/>
    <w:basedOn w:val="DefaultParagraphFont"/>
    <w:rsid w:val="00316FFF"/>
    <w:rPr>
      <w:i/>
      <w:iCs/>
    </w:rPr>
  </w:style>
  <w:style w:type="character" w:styleId="HTMLKeyboard">
    <w:name w:val="HTML Keyboard"/>
    <w:basedOn w:val="DefaultParagraphFont"/>
    <w:rsid w:val="00316FFF"/>
    <w:rPr>
      <w:rFonts w:ascii="Consolas" w:hAnsi="Consolas" w:cs="Consolas"/>
      <w:sz w:val="20"/>
      <w:szCs w:val="20"/>
    </w:rPr>
  </w:style>
  <w:style w:type="paragraph" w:styleId="HTMLPreformatted">
    <w:name w:val="HTML Preformatted"/>
    <w:basedOn w:val="Normal"/>
    <w:link w:val="HTMLPreformattedChar"/>
    <w:rsid w:val="00316FFF"/>
    <w:pPr>
      <w:spacing w:after="0"/>
    </w:pPr>
    <w:rPr>
      <w:rFonts w:ascii="Consolas" w:hAnsi="Consolas" w:cs="Consolas"/>
      <w:sz w:val="20"/>
    </w:rPr>
  </w:style>
  <w:style w:type="character" w:customStyle="1" w:styleId="HTMLPreformattedChar">
    <w:name w:val="HTML Preformatted Char"/>
    <w:basedOn w:val="DefaultParagraphFont"/>
    <w:link w:val="HTMLPreformatted"/>
    <w:rsid w:val="00316FFF"/>
    <w:rPr>
      <w:rFonts w:ascii="Consolas" w:hAnsi="Consolas" w:cs="Consolas"/>
      <w:noProof/>
      <w:lang w:eastAsia="en-US"/>
    </w:rPr>
  </w:style>
  <w:style w:type="character" w:styleId="HTMLSample">
    <w:name w:val="HTML Sample"/>
    <w:basedOn w:val="DefaultParagraphFont"/>
    <w:rsid w:val="00316FFF"/>
    <w:rPr>
      <w:rFonts w:ascii="Consolas" w:hAnsi="Consolas" w:cs="Consolas"/>
      <w:sz w:val="24"/>
      <w:szCs w:val="24"/>
    </w:rPr>
  </w:style>
  <w:style w:type="character" w:styleId="HTMLTypewriter">
    <w:name w:val="HTML Typewriter"/>
    <w:basedOn w:val="DefaultParagraphFont"/>
    <w:rsid w:val="00316FFF"/>
    <w:rPr>
      <w:rFonts w:ascii="Consolas" w:hAnsi="Consolas" w:cs="Consolas"/>
      <w:sz w:val="20"/>
      <w:szCs w:val="20"/>
    </w:rPr>
  </w:style>
  <w:style w:type="character" w:styleId="HTMLVariable">
    <w:name w:val="HTML Variable"/>
    <w:basedOn w:val="DefaultParagraphFont"/>
    <w:rsid w:val="00316FFF"/>
    <w:rPr>
      <w:i/>
      <w:iCs/>
    </w:rPr>
  </w:style>
  <w:style w:type="character" w:styleId="Hyperlink">
    <w:name w:val="Hyperlink"/>
    <w:basedOn w:val="DefaultParagraphFont"/>
    <w:rsid w:val="00316FFF"/>
    <w:rPr>
      <w:color w:val="0000FF" w:themeColor="hyperlink"/>
      <w:u w:val="single"/>
    </w:rPr>
  </w:style>
  <w:style w:type="paragraph" w:styleId="Index1">
    <w:name w:val="index 1"/>
    <w:basedOn w:val="Normal"/>
    <w:next w:val="Normal"/>
    <w:autoRedefine/>
    <w:rsid w:val="00316FFF"/>
    <w:pPr>
      <w:spacing w:after="0"/>
      <w:ind w:left="220" w:hanging="220"/>
    </w:pPr>
  </w:style>
  <w:style w:type="paragraph" w:styleId="Index2">
    <w:name w:val="index 2"/>
    <w:basedOn w:val="Normal"/>
    <w:next w:val="Normal"/>
    <w:autoRedefine/>
    <w:rsid w:val="00316FFF"/>
    <w:pPr>
      <w:spacing w:after="0"/>
      <w:ind w:left="440" w:hanging="220"/>
    </w:pPr>
  </w:style>
  <w:style w:type="paragraph" w:styleId="Index3">
    <w:name w:val="index 3"/>
    <w:basedOn w:val="Normal"/>
    <w:next w:val="Normal"/>
    <w:autoRedefine/>
    <w:rsid w:val="00316FFF"/>
    <w:pPr>
      <w:spacing w:after="0"/>
      <w:ind w:left="660" w:hanging="220"/>
    </w:pPr>
  </w:style>
  <w:style w:type="paragraph" w:styleId="Index4">
    <w:name w:val="index 4"/>
    <w:basedOn w:val="Normal"/>
    <w:next w:val="Normal"/>
    <w:autoRedefine/>
    <w:rsid w:val="00316FFF"/>
    <w:pPr>
      <w:spacing w:after="0"/>
      <w:ind w:left="880" w:hanging="220"/>
    </w:pPr>
  </w:style>
  <w:style w:type="paragraph" w:styleId="Index5">
    <w:name w:val="index 5"/>
    <w:basedOn w:val="Normal"/>
    <w:next w:val="Normal"/>
    <w:autoRedefine/>
    <w:rsid w:val="00316FFF"/>
    <w:pPr>
      <w:spacing w:after="0"/>
      <w:ind w:left="1100" w:hanging="220"/>
    </w:pPr>
  </w:style>
  <w:style w:type="paragraph" w:styleId="Index6">
    <w:name w:val="index 6"/>
    <w:basedOn w:val="Normal"/>
    <w:next w:val="Normal"/>
    <w:autoRedefine/>
    <w:rsid w:val="00316FFF"/>
    <w:pPr>
      <w:spacing w:after="0"/>
      <w:ind w:left="1320" w:hanging="220"/>
    </w:pPr>
  </w:style>
  <w:style w:type="paragraph" w:styleId="Index7">
    <w:name w:val="index 7"/>
    <w:basedOn w:val="Normal"/>
    <w:next w:val="Normal"/>
    <w:autoRedefine/>
    <w:rsid w:val="00316FFF"/>
    <w:pPr>
      <w:spacing w:after="0"/>
      <w:ind w:left="1540" w:hanging="220"/>
    </w:pPr>
  </w:style>
  <w:style w:type="paragraph" w:styleId="Index8">
    <w:name w:val="index 8"/>
    <w:basedOn w:val="Normal"/>
    <w:next w:val="Normal"/>
    <w:autoRedefine/>
    <w:rsid w:val="00316FFF"/>
    <w:pPr>
      <w:spacing w:after="0"/>
      <w:ind w:left="1760" w:hanging="220"/>
    </w:pPr>
  </w:style>
  <w:style w:type="paragraph" w:styleId="Index9">
    <w:name w:val="index 9"/>
    <w:basedOn w:val="Normal"/>
    <w:next w:val="Normal"/>
    <w:autoRedefine/>
    <w:rsid w:val="00316FFF"/>
    <w:pPr>
      <w:spacing w:after="0"/>
      <w:ind w:left="1980" w:hanging="220"/>
    </w:pPr>
  </w:style>
  <w:style w:type="paragraph" w:styleId="IndexHeading">
    <w:name w:val="index heading"/>
    <w:basedOn w:val="Normal"/>
    <w:next w:val="Index1"/>
    <w:rsid w:val="00316FFF"/>
    <w:rPr>
      <w:rFonts w:asciiTheme="majorHAnsi" w:eastAsiaTheme="majorEastAsia" w:hAnsiTheme="majorHAnsi" w:cstheme="majorBidi"/>
      <w:b/>
      <w:bCs/>
    </w:rPr>
  </w:style>
  <w:style w:type="character" w:styleId="IntenseEmphasis">
    <w:name w:val="Intense Emphasis"/>
    <w:basedOn w:val="DefaultParagraphFont"/>
    <w:uiPriority w:val="21"/>
    <w:rsid w:val="00316FFF"/>
    <w:rPr>
      <w:b/>
      <w:bCs/>
      <w:i/>
      <w:iCs/>
      <w:color w:val="4F81BD" w:themeColor="accent1"/>
    </w:rPr>
  </w:style>
  <w:style w:type="paragraph" w:styleId="IntenseQuote">
    <w:name w:val="Intense Quote"/>
    <w:basedOn w:val="Normal"/>
    <w:next w:val="Normal"/>
    <w:link w:val="IntenseQuoteChar"/>
    <w:uiPriority w:val="30"/>
    <w:rsid w:val="00316F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FFF"/>
    <w:rPr>
      <w:b/>
      <w:bCs/>
      <w:i/>
      <w:iCs/>
      <w:noProof/>
      <w:color w:val="4F81BD" w:themeColor="accent1"/>
      <w:sz w:val="22"/>
      <w:lang w:eastAsia="en-US"/>
    </w:rPr>
  </w:style>
  <w:style w:type="character" w:styleId="IntenseReference">
    <w:name w:val="Intense Reference"/>
    <w:basedOn w:val="DefaultParagraphFont"/>
    <w:uiPriority w:val="32"/>
    <w:rsid w:val="00316FFF"/>
    <w:rPr>
      <w:b/>
      <w:bCs/>
      <w:smallCaps/>
      <w:color w:val="C0504D" w:themeColor="accent2"/>
      <w:spacing w:val="5"/>
      <w:u w:val="single"/>
    </w:rPr>
  </w:style>
  <w:style w:type="table" w:styleId="LightGrid">
    <w:name w:val="Light Grid"/>
    <w:basedOn w:val="TableNormal"/>
    <w:uiPriority w:val="62"/>
    <w:rsid w:val="00316F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16F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6FF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16F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16FF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16F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16FF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16F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6F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16FF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16F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16FF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16F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16FF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16F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6F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6FF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6FF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6FF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16FF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16FF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316FFF"/>
  </w:style>
  <w:style w:type="paragraph" w:styleId="List">
    <w:name w:val="List"/>
    <w:basedOn w:val="Normal"/>
    <w:rsid w:val="00316FFF"/>
    <w:pPr>
      <w:ind w:left="283" w:hanging="283"/>
      <w:contextualSpacing/>
    </w:pPr>
  </w:style>
  <w:style w:type="paragraph" w:styleId="List2">
    <w:name w:val="List 2"/>
    <w:basedOn w:val="Normal"/>
    <w:rsid w:val="00316FFF"/>
    <w:pPr>
      <w:ind w:left="566" w:hanging="283"/>
      <w:contextualSpacing/>
    </w:pPr>
  </w:style>
  <w:style w:type="paragraph" w:styleId="List3">
    <w:name w:val="List 3"/>
    <w:basedOn w:val="Normal"/>
    <w:rsid w:val="00316FFF"/>
    <w:pPr>
      <w:ind w:left="849" w:hanging="283"/>
      <w:contextualSpacing/>
    </w:pPr>
  </w:style>
  <w:style w:type="paragraph" w:styleId="List4">
    <w:name w:val="List 4"/>
    <w:basedOn w:val="Normal"/>
    <w:rsid w:val="00316FFF"/>
    <w:pPr>
      <w:ind w:left="1132" w:hanging="283"/>
      <w:contextualSpacing/>
    </w:pPr>
  </w:style>
  <w:style w:type="paragraph" w:styleId="List5">
    <w:name w:val="List 5"/>
    <w:basedOn w:val="Normal"/>
    <w:rsid w:val="00316FFF"/>
    <w:pPr>
      <w:ind w:left="1415" w:hanging="283"/>
      <w:contextualSpacing/>
    </w:pPr>
  </w:style>
  <w:style w:type="paragraph" w:styleId="ListBullet">
    <w:name w:val="List Bullet"/>
    <w:basedOn w:val="Normal"/>
    <w:rsid w:val="00316FFF"/>
    <w:pPr>
      <w:numPr>
        <w:numId w:val="12"/>
      </w:numPr>
      <w:contextualSpacing/>
    </w:pPr>
  </w:style>
  <w:style w:type="paragraph" w:styleId="ListBullet2">
    <w:name w:val="List Bullet 2"/>
    <w:basedOn w:val="Normal"/>
    <w:rsid w:val="00316FFF"/>
    <w:pPr>
      <w:numPr>
        <w:numId w:val="13"/>
      </w:numPr>
      <w:contextualSpacing/>
    </w:pPr>
  </w:style>
  <w:style w:type="paragraph" w:styleId="ListBullet3">
    <w:name w:val="List Bullet 3"/>
    <w:basedOn w:val="Normal"/>
    <w:rsid w:val="00316FFF"/>
    <w:pPr>
      <w:numPr>
        <w:numId w:val="14"/>
      </w:numPr>
      <w:contextualSpacing/>
    </w:pPr>
  </w:style>
  <w:style w:type="paragraph" w:styleId="ListBullet4">
    <w:name w:val="List Bullet 4"/>
    <w:basedOn w:val="Normal"/>
    <w:rsid w:val="00316FFF"/>
    <w:pPr>
      <w:numPr>
        <w:numId w:val="15"/>
      </w:numPr>
      <w:contextualSpacing/>
    </w:pPr>
  </w:style>
  <w:style w:type="paragraph" w:styleId="ListBullet5">
    <w:name w:val="List Bullet 5"/>
    <w:basedOn w:val="Normal"/>
    <w:rsid w:val="00316FFF"/>
    <w:pPr>
      <w:numPr>
        <w:numId w:val="16"/>
      </w:numPr>
      <w:contextualSpacing/>
    </w:pPr>
  </w:style>
  <w:style w:type="paragraph" w:styleId="ListContinue">
    <w:name w:val="List Continue"/>
    <w:basedOn w:val="Normal"/>
    <w:rsid w:val="00316FFF"/>
    <w:pPr>
      <w:spacing w:after="120"/>
      <w:ind w:left="283"/>
      <w:contextualSpacing/>
    </w:pPr>
  </w:style>
  <w:style w:type="paragraph" w:styleId="ListContinue2">
    <w:name w:val="List Continue 2"/>
    <w:basedOn w:val="Normal"/>
    <w:rsid w:val="00316FFF"/>
    <w:pPr>
      <w:spacing w:after="120"/>
      <w:ind w:left="566"/>
      <w:contextualSpacing/>
    </w:pPr>
  </w:style>
  <w:style w:type="paragraph" w:styleId="ListContinue3">
    <w:name w:val="List Continue 3"/>
    <w:basedOn w:val="Normal"/>
    <w:rsid w:val="00316FFF"/>
    <w:pPr>
      <w:spacing w:after="120"/>
      <w:ind w:left="849"/>
      <w:contextualSpacing/>
    </w:pPr>
  </w:style>
  <w:style w:type="paragraph" w:styleId="ListContinue4">
    <w:name w:val="List Continue 4"/>
    <w:basedOn w:val="Normal"/>
    <w:rsid w:val="00316FFF"/>
    <w:pPr>
      <w:spacing w:after="120"/>
      <w:ind w:left="1132"/>
      <w:contextualSpacing/>
    </w:pPr>
  </w:style>
  <w:style w:type="paragraph" w:styleId="ListContinue5">
    <w:name w:val="List Continue 5"/>
    <w:basedOn w:val="Normal"/>
    <w:rsid w:val="00316FFF"/>
    <w:pPr>
      <w:spacing w:after="120"/>
      <w:ind w:left="1415"/>
      <w:contextualSpacing/>
    </w:pPr>
  </w:style>
  <w:style w:type="paragraph" w:styleId="ListNumber">
    <w:name w:val="List Number"/>
    <w:basedOn w:val="Normal"/>
    <w:rsid w:val="00316FFF"/>
    <w:pPr>
      <w:numPr>
        <w:numId w:val="17"/>
      </w:numPr>
      <w:contextualSpacing/>
    </w:pPr>
  </w:style>
  <w:style w:type="paragraph" w:styleId="ListNumber2">
    <w:name w:val="List Number 2"/>
    <w:basedOn w:val="Normal"/>
    <w:rsid w:val="00316FFF"/>
    <w:pPr>
      <w:numPr>
        <w:numId w:val="18"/>
      </w:numPr>
      <w:contextualSpacing/>
    </w:pPr>
  </w:style>
  <w:style w:type="paragraph" w:styleId="ListNumber3">
    <w:name w:val="List Number 3"/>
    <w:basedOn w:val="Normal"/>
    <w:rsid w:val="00316FFF"/>
    <w:pPr>
      <w:numPr>
        <w:numId w:val="19"/>
      </w:numPr>
      <w:contextualSpacing/>
    </w:pPr>
  </w:style>
  <w:style w:type="paragraph" w:styleId="ListNumber4">
    <w:name w:val="List Number 4"/>
    <w:basedOn w:val="Normal"/>
    <w:rsid w:val="00316FFF"/>
    <w:pPr>
      <w:numPr>
        <w:numId w:val="20"/>
      </w:numPr>
      <w:contextualSpacing/>
    </w:pPr>
  </w:style>
  <w:style w:type="paragraph" w:styleId="ListNumber5">
    <w:name w:val="List Number 5"/>
    <w:basedOn w:val="Normal"/>
    <w:rsid w:val="00316FFF"/>
    <w:pPr>
      <w:numPr>
        <w:numId w:val="21"/>
      </w:numPr>
      <w:contextualSpacing/>
    </w:pPr>
  </w:style>
  <w:style w:type="paragraph" w:styleId="ListParagraph">
    <w:name w:val="List Paragraph"/>
    <w:basedOn w:val="Normal"/>
    <w:uiPriority w:val="34"/>
    <w:rsid w:val="00316FFF"/>
    <w:pPr>
      <w:ind w:left="720"/>
      <w:contextualSpacing/>
    </w:pPr>
  </w:style>
  <w:style w:type="paragraph" w:styleId="MacroText">
    <w:name w:val="macro"/>
    <w:link w:val="MacroTextChar"/>
    <w:rsid w:val="00316F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nsolas" w:hAnsi="Consolas" w:cs="Consolas"/>
      <w:noProof/>
      <w:lang w:eastAsia="en-US"/>
    </w:rPr>
  </w:style>
  <w:style w:type="character" w:customStyle="1" w:styleId="MacroTextChar">
    <w:name w:val="Macro Text Char"/>
    <w:basedOn w:val="DefaultParagraphFont"/>
    <w:link w:val="MacroText"/>
    <w:rsid w:val="00316FFF"/>
    <w:rPr>
      <w:rFonts w:ascii="Consolas" w:hAnsi="Consolas" w:cs="Consolas"/>
      <w:noProof/>
      <w:lang w:eastAsia="en-US"/>
    </w:rPr>
  </w:style>
  <w:style w:type="table" w:styleId="MediumGrid1">
    <w:name w:val="Medium Grid 1"/>
    <w:basedOn w:val="TableNormal"/>
    <w:uiPriority w:val="67"/>
    <w:rsid w:val="00316F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16FF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16FF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16FF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16FF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16F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16FF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16FF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16F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16F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16FF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16FF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16FF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16FF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16FF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16FF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16FF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16F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16FF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6FF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6FF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6FF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6F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6FF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6F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316FF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6FFF"/>
    <w:rPr>
      <w:rFonts w:asciiTheme="majorHAnsi" w:eastAsiaTheme="majorEastAsia" w:hAnsiTheme="majorHAnsi" w:cstheme="majorBidi"/>
      <w:noProof/>
      <w:sz w:val="24"/>
      <w:szCs w:val="24"/>
      <w:shd w:val="pct20" w:color="auto" w:fill="auto"/>
      <w:lang w:eastAsia="en-US"/>
    </w:rPr>
  </w:style>
  <w:style w:type="paragraph" w:styleId="NoSpacing">
    <w:name w:val="No Spacing"/>
    <w:uiPriority w:val="1"/>
    <w:rsid w:val="00316FFF"/>
    <w:pPr>
      <w:overflowPunct w:val="0"/>
      <w:autoSpaceDE w:val="0"/>
      <w:autoSpaceDN w:val="0"/>
      <w:adjustRightInd w:val="0"/>
      <w:jc w:val="both"/>
      <w:textAlignment w:val="baseline"/>
    </w:pPr>
    <w:rPr>
      <w:noProof/>
      <w:sz w:val="22"/>
      <w:lang w:eastAsia="en-US"/>
    </w:rPr>
  </w:style>
  <w:style w:type="paragraph" w:styleId="NormalWeb">
    <w:name w:val="Normal (Web)"/>
    <w:basedOn w:val="Normal"/>
    <w:uiPriority w:val="99"/>
    <w:rsid w:val="00316FFF"/>
    <w:rPr>
      <w:sz w:val="24"/>
      <w:szCs w:val="24"/>
    </w:rPr>
  </w:style>
  <w:style w:type="paragraph" w:styleId="NormalIndent">
    <w:name w:val="Normal Indent"/>
    <w:basedOn w:val="Normal"/>
    <w:rsid w:val="00316FFF"/>
    <w:pPr>
      <w:ind w:left="720"/>
    </w:pPr>
  </w:style>
  <w:style w:type="paragraph" w:styleId="NoteHeading">
    <w:name w:val="Note Heading"/>
    <w:basedOn w:val="Normal"/>
    <w:next w:val="Normal"/>
    <w:link w:val="NoteHeadingChar"/>
    <w:rsid w:val="00316FFF"/>
    <w:pPr>
      <w:spacing w:after="0"/>
    </w:pPr>
  </w:style>
  <w:style w:type="character" w:customStyle="1" w:styleId="NoteHeadingChar">
    <w:name w:val="Note Heading Char"/>
    <w:basedOn w:val="DefaultParagraphFont"/>
    <w:link w:val="NoteHeading"/>
    <w:rsid w:val="00316FFF"/>
    <w:rPr>
      <w:noProof/>
      <w:sz w:val="22"/>
      <w:lang w:eastAsia="en-US"/>
    </w:rPr>
  </w:style>
  <w:style w:type="character" w:styleId="PlaceholderText">
    <w:name w:val="Placeholder Text"/>
    <w:basedOn w:val="DefaultParagraphFont"/>
    <w:uiPriority w:val="99"/>
    <w:semiHidden/>
    <w:rsid w:val="00316FFF"/>
    <w:rPr>
      <w:color w:val="808080"/>
    </w:rPr>
  </w:style>
  <w:style w:type="paragraph" w:styleId="PlainText">
    <w:name w:val="Plain Text"/>
    <w:basedOn w:val="Normal"/>
    <w:link w:val="PlainTextChar"/>
    <w:rsid w:val="00316FFF"/>
    <w:pPr>
      <w:spacing w:after="0"/>
    </w:pPr>
    <w:rPr>
      <w:rFonts w:ascii="Consolas" w:hAnsi="Consolas" w:cs="Consolas"/>
      <w:sz w:val="21"/>
      <w:szCs w:val="21"/>
    </w:rPr>
  </w:style>
  <w:style w:type="character" w:customStyle="1" w:styleId="PlainTextChar">
    <w:name w:val="Plain Text Char"/>
    <w:basedOn w:val="DefaultParagraphFont"/>
    <w:link w:val="PlainText"/>
    <w:rsid w:val="00316FFF"/>
    <w:rPr>
      <w:rFonts w:ascii="Consolas" w:hAnsi="Consolas" w:cs="Consolas"/>
      <w:noProof/>
      <w:sz w:val="21"/>
      <w:szCs w:val="21"/>
      <w:lang w:eastAsia="en-US"/>
    </w:rPr>
  </w:style>
  <w:style w:type="paragraph" w:styleId="Quote">
    <w:name w:val="Quote"/>
    <w:basedOn w:val="Normal"/>
    <w:next w:val="Normal"/>
    <w:link w:val="QuoteChar"/>
    <w:uiPriority w:val="29"/>
    <w:rsid w:val="00316FFF"/>
    <w:rPr>
      <w:i/>
      <w:iCs/>
      <w:color w:val="000000" w:themeColor="text1"/>
    </w:rPr>
  </w:style>
  <w:style w:type="character" w:customStyle="1" w:styleId="QuoteChar">
    <w:name w:val="Quote Char"/>
    <w:basedOn w:val="DefaultParagraphFont"/>
    <w:link w:val="Quote"/>
    <w:uiPriority w:val="29"/>
    <w:rsid w:val="00316FFF"/>
    <w:rPr>
      <w:i/>
      <w:iCs/>
      <w:noProof/>
      <w:color w:val="000000" w:themeColor="text1"/>
      <w:sz w:val="22"/>
      <w:lang w:eastAsia="en-US"/>
    </w:rPr>
  </w:style>
  <w:style w:type="paragraph" w:styleId="Salutation">
    <w:name w:val="Salutation"/>
    <w:basedOn w:val="Normal"/>
    <w:next w:val="Normal"/>
    <w:link w:val="SalutationChar"/>
    <w:rsid w:val="00316FFF"/>
  </w:style>
  <w:style w:type="character" w:customStyle="1" w:styleId="SalutationChar">
    <w:name w:val="Salutation Char"/>
    <w:basedOn w:val="DefaultParagraphFont"/>
    <w:link w:val="Salutation"/>
    <w:rsid w:val="00316FFF"/>
    <w:rPr>
      <w:noProof/>
      <w:sz w:val="22"/>
      <w:lang w:eastAsia="en-US"/>
    </w:rPr>
  </w:style>
  <w:style w:type="paragraph" w:styleId="Signature">
    <w:name w:val="Signature"/>
    <w:basedOn w:val="Normal"/>
    <w:link w:val="SignatureChar"/>
    <w:rsid w:val="00316FFF"/>
    <w:pPr>
      <w:spacing w:after="0"/>
      <w:ind w:left="4252"/>
    </w:pPr>
  </w:style>
  <w:style w:type="character" w:customStyle="1" w:styleId="SignatureChar">
    <w:name w:val="Signature Char"/>
    <w:basedOn w:val="DefaultParagraphFont"/>
    <w:link w:val="Signature"/>
    <w:rsid w:val="00316FFF"/>
    <w:rPr>
      <w:noProof/>
      <w:sz w:val="22"/>
      <w:lang w:eastAsia="en-US"/>
    </w:rPr>
  </w:style>
  <w:style w:type="character" w:styleId="Strong">
    <w:name w:val="Strong"/>
    <w:basedOn w:val="DefaultParagraphFont"/>
    <w:rsid w:val="00316FFF"/>
    <w:rPr>
      <w:b/>
      <w:bCs/>
    </w:rPr>
  </w:style>
  <w:style w:type="character" w:styleId="SubtleEmphasis">
    <w:name w:val="Subtle Emphasis"/>
    <w:basedOn w:val="DefaultParagraphFont"/>
    <w:uiPriority w:val="19"/>
    <w:rsid w:val="00316FFF"/>
    <w:rPr>
      <w:i/>
      <w:iCs/>
      <w:color w:val="808080" w:themeColor="text1" w:themeTint="7F"/>
    </w:rPr>
  </w:style>
  <w:style w:type="character" w:styleId="SubtleReference">
    <w:name w:val="Subtle Reference"/>
    <w:basedOn w:val="DefaultParagraphFont"/>
    <w:uiPriority w:val="31"/>
    <w:rsid w:val="00316FFF"/>
    <w:rPr>
      <w:smallCaps/>
      <w:color w:val="C0504D" w:themeColor="accent2"/>
      <w:u w:val="single"/>
    </w:rPr>
  </w:style>
  <w:style w:type="table" w:styleId="Table3Deffects1">
    <w:name w:val="Table 3D effects 1"/>
    <w:basedOn w:val="TableNormal"/>
    <w:rsid w:val="00316FFF"/>
    <w:pPr>
      <w:overflowPunct w:val="0"/>
      <w:autoSpaceDE w:val="0"/>
      <w:autoSpaceDN w:val="0"/>
      <w:adjustRightInd w:val="0"/>
      <w:spacing w:after="24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6FFF"/>
    <w:pPr>
      <w:overflowPunct w:val="0"/>
      <w:autoSpaceDE w:val="0"/>
      <w:autoSpaceDN w:val="0"/>
      <w:adjustRightInd w:val="0"/>
      <w:spacing w:after="24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6FFF"/>
    <w:pPr>
      <w:overflowPunct w:val="0"/>
      <w:autoSpaceDE w:val="0"/>
      <w:autoSpaceDN w:val="0"/>
      <w:adjustRightInd w:val="0"/>
      <w:spacing w:after="24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6FFF"/>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6FFF"/>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6FFF"/>
    <w:pPr>
      <w:overflowPunct w:val="0"/>
      <w:autoSpaceDE w:val="0"/>
      <w:autoSpaceDN w:val="0"/>
      <w:adjustRightInd w:val="0"/>
      <w:spacing w:after="24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6FFF"/>
    <w:pPr>
      <w:overflowPunct w:val="0"/>
      <w:autoSpaceDE w:val="0"/>
      <w:autoSpaceDN w:val="0"/>
      <w:adjustRightInd w:val="0"/>
      <w:spacing w:after="24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6FFF"/>
    <w:pPr>
      <w:overflowPunct w:val="0"/>
      <w:autoSpaceDE w:val="0"/>
      <w:autoSpaceDN w:val="0"/>
      <w:adjustRightInd w:val="0"/>
      <w:spacing w:after="24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6FFF"/>
    <w:pPr>
      <w:overflowPunct w:val="0"/>
      <w:autoSpaceDE w:val="0"/>
      <w:autoSpaceDN w:val="0"/>
      <w:adjustRightInd w:val="0"/>
      <w:spacing w:after="24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6FFF"/>
    <w:pPr>
      <w:overflowPunct w:val="0"/>
      <w:autoSpaceDE w:val="0"/>
      <w:autoSpaceDN w:val="0"/>
      <w:adjustRightInd w:val="0"/>
      <w:spacing w:after="24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6FFF"/>
    <w:pPr>
      <w:overflowPunct w:val="0"/>
      <w:autoSpaceDE w:val="0"/>
      <w:autoSpaceDN w:val="0"/>
      <w:adjustRightInd w:val="0"/>
      <w:spacing w:after="24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6FFF"/>
    <w:pPr>
      <w:overflowPunct w:val="0"/>
      <w:autoSpaceDE w:val="0"/>
      <w:autoSpaceDN w:val="0"/>
      <w:adjustRightInd w:val="0"/>
      <w:spacing w:after="24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6FFF"/>
    <w:pPr>
      <w:overflowPunct w:val="0"/>
      <w:autoSpaceDE w:val="0"/>
      <w:autoSpaceDN w:val="0"/>
      <w:adjustRightInd w:val="0"/>
      <w:spacing w:after="24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6FFF"/>
    <w:pPr>
      <w:overflowPunct w:val="0"/>
      <w:autoSpaceDE w:val="0"/>
      <w:autoSpaceDN w:val="0"/>
      <w:adjustRightInd w:val="0"/>
      <w:spacing w:after="24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6FFF"/>
    <w:pPr>
      <w:overflowPunct w:val="0"/>
      <w:autoSpaceDE w:val="0"/>
      <w:autoSpaceDN w:val="0"/>
      <w:adjustRightInd w:val="0"/>
      <w:spacing w:after="24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6FFF"/>
    <w:pPr>
      <w:overflowPunct w:val="0"/>
      <w:autoSpaceDE w:val="0"/>
      <w:autoSpaceDN w:val="0"/>
      <w:adjustRightInd w:val="0"/>
      <w:spacing w:after="24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6FFF"/>
    <w:pPr>
      <w:overflowPunct w:val="0"/>
      <w:autoSpaceDE w:val="0"/>
      <w:autoSpaceDN w:val="0"/>
      <w:adjustRightInd w:val="0"/>
      <w:spacing w:after="24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1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6FFF"/>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6FFF"/>
    <w:pPr>
      <w:overflowPunct w:val="0"/>
      <w:autoSpaceDE w:val="0"/>
      <w:autoSpaceDN w:val="0"/>
      <w:adjustRightInd w:val="0"/>
      <w:spacing w:after="24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6FFF"/>
    <w:pPr>
      <w:overflowPunct w:val="0"/>
      <w:autoSpaceDE w:val="0"/>
      <w:autoSpaceDN w:val="0"/>
      <w:adjustRightInd w:val="0"/>
      <w:spacing w:after="24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6FFF"/>
    <w:pPr>
      <w:overflowPunct w:val="0"/>
      <w:autoSpaceDE w:val="0"/>
      <w:autoSpaceDN w:val="0"/>
      <w:adjustRightInd w:val="0"/>
      <w:spacing w:after="24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6FFF"/>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6FFF"/>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6FFF"/>
    <w:pPr>
      <w:overflowPunct w:val="0"/>
      <w:autoSpaceDE w:val="0"/>
      <w:autoSpaceDN w:val="0"/>
      <w:adjustRightInd w:val="0"/>
      <w:spacing w:after="24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6FFF"/>
    <w:pPr>
      <w:overflowPunct w:val="0"/>
      <w:autoSpaceDE w:val="0"/>
      <w:autoSpaceDN w:val="0"/>
      <w:adjustRightInd w:val="0"/>
      <w:spacing w:after="24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6FFF"/>
    <w:pPr>
      <w:overflowPunct w:val="0"/>
      <w:autoSpaceDE w:val="0"/>
      <w:autoSpaceDN w:val="0"/>
      <w:adjustRightInd w:val="0"/>
      <w:spacing w:after="24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6FFF"/>
    <w:pPr>
      <w:overflowPunct w:val="0"/>
      <w:autoSpaceDE w:val="0"/>
      <w:autoSpaceDN w:val="0"/>
      <w:adjustRightInd w:val="0"/>
      <w:spacing w:after="24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6FFF"/>
    <w:pPr>
      <w:overflowPunct w:val="0"/>
      <w:autoSpaceDE w:val="0"/>
      <w:autoSpaceDN w:val="0"/>
      <w:adjustRightInd w:val="0"/>
      <w:spacing w:after="24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6FFF"/>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6FFF"/>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6FFF"/>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6FFF"/>
    <w:pPr>
      <w:overflowPunct w:val="0"/>
      <w:autoSpaceDE w:val="0"/>
      <w:autoSpaceDN w:val="0"/>
      <w:adjustRightInd w:val="0"/>
      <w:spacing w:after="24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6FFF"/>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16FFF"/>
    <w:pPr>
      <w:spacing w:after="0"/>
      <w:ind w:left="220" w:hanging="220"/>
    </w:pPr>
  </w:style>
  <w:style w:type="paragraph" w:styleId="TableofFigures">
    <w:name w:val="table of figures"/>
    <w:basedOn w:val="Normal"/>
    <w:next w:val="Normal"/>
    <w:rsid w:val="00316FFF"/>
    <w:pPr>
      <w:spacing w:after="0"/>
    </w:pPr>
  </w:style>
  <w:style w:type="table" w:styleId="TableProfessional">
    <w:name w:val="Table Professional"/>
    <w:basedOn w:val="TableNormal"/>
    <w:rsid w:val="00316FFF"/>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6FFF"/>
    <w:pPr>
      <w:overflowPunct w:val="0"/>
      <w:autoSpaceDE w:val="0"/>
      <w:autoSpaceDN w:val="0"/>
      <w:adjustRightInd w:val="0"/>
      <w:spacing w:after="24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6FFF"/>
    <w:pPr>
      <w:overflowPunct w:val="0"/>
      <w:autoSpaceDE w:val="0"/>
      <w:autoSpaceDN w:val="0"/>
      <w:adjustRightInd w:val="0"/>
      <w:spacing w:after="24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6FFF"/>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6FFF"/>
    <w:pPr>
      <w:overflowPunct w:val="0"/>
      <w:autoSpaceDE w:val="0"/>
      <w:autoSpaceDN w:val="0"/>
      <w:adjustRightInd w:val="0"/>
      <w:spacing w:after="24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6FFF"/>
    <w:pPr>
      <w:overflowPunct w:val="0"/>
      <w:autoSpaceDE w:val="0"/>
      <w:autoSpaceDN w:val="0"/>
      <w:adjustRightInd w:val="0"/>
      <w:spacing w:after="24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6FFF"/>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6FFF"/>
    <w:pPr>
      <w:overflowPunct w:val="0"/>
      <w:autoSpaceDE w:val="0"/>
      <w:autoSpaceDN w:val="0"/>
      <w:adjustRightInd w:val="0"/>
      <w:spacing w:after="24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6FFF"/>
    <w:pPr>
      <w:overflowPunct w:val="0"/>
      <w:autoSpaceDE w:val="0"/>
      <w:autoSpaceDN w:val="0"/>
      <w:adjustRightInd w:val="0"/>
      <w:spacing w:after="24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6FFF"/>
    <w:pPr>
      <w:overflowPunct w:val="0"/>
      <w:autoSpaceDE w:val="0"/>
      <w:autoSpaceDN w:val="0"/>
      <w:adjustRightInd w:val="0"/>
      <w:spacing w:after="24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316FF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316FFF"/>
    <w:pPr>
      <w:spacing w:after="100"/>
    </w:pPr>
  </w:style>
  <w:style w:type="paragraph" w:styleId="TOC2">
    <w:name w:val="toc 2"/>
    <w:basedOn w:val="Normal"/>
    <w:next w:val="Normal"/>
    <w:autoRedefine/>
    <w:rsid w:val="00316FFF"/>
    <w:pPr>
      <w:spacing w:after="100"/>
      <w:ind w:left="220"/>
    </w:pPr>
  </w:style>
  <w:style w:type="paragraph" w:styleId="TOC3">
    <w:name w:val="toc 3"/>
    <w:basedOn w:val="Normal"/>
    <w:next w:val="Normal"/>
    <w:autoRedefine/>
    <w:rsid w:val="00316FFF"/>
    <w:pPr>
      <w:spacing w:after="100"/>
      <w:ind w:left="440"/>
    </w:pPr>
  </w:style>
  <w:style w:type="paragraph" w:styleId="TOC4">
    <w:name w:val="toc 4"/>
    <w:basedOn w:val="Normal"/>
    <w:next w:val="Normal"/>
    <w:autoRedefine/>
    <w:rsid w:val="00316FFF"/>
    <w:pPr>
      <w:spacing w:after="100"/>
      <w:ind w:left="660"/>
    </w:pPr>
  </w:style>
  <w:style w:type="paragraph" w:styleId="TOC5">
    <w:name w:val="toc 5"/>
    <w:basedOn w:val="Normal"/>
    <w:next w:val="Normal"/>
    <w:autoRedefine/>
    <w:rsid w:val="00316FFF"/>
    <w:pPr>
      <w:spacing w:after="100"/>
      <w:ind w:left="880"/>
    </w:pPr>
  </w:style>
  <w:style w:type="paragraph" w:styleId="TOC6">
    <w:name w:val="toc 6"/>
    <w:basedOn w:val="Normal"/>
    <w:next w:val="Normal"/>
    <w:autoRedefine/>
    <w:rsid w:val="00316FFF"/>
    <w:pPr>
      <w:spacing w:after="100"/>
      <w:ind w:left="1100"/>
    </w:pPr>
  </w:style>
  <w:style w:type="paragraph" w:styleId="TOC7">
    <w:name w:val="toc 7"/>
    <w:basedOn w:val="Normal"/>
    <w:next w:val="Normal"/>
    <w:autoRedefine/>
    <w:rsid w:val="00316FFF"/>
    <w:pPr>
      <w:spacing w:after="100"/>
      <w:ind w:left="1320"/>
    </w:pPr>
  </w:style>
  <w:style w:type="paragraph" w:styleId="TOC8">
    <w:name w:val="toc 8"/>
    <w:basedOn w:val="Normal"/>
    <w:next w:val="Normal"/>
    <w:autoRedefine/>
    <w:rsid w:val="00316FFF"/>
    <w:pPr>
      <w:spacing w:after="100"/>
      <w:ind w:left="1540"/>
    </w:pPr>
  </w:style>
  <w:style w:type="paragraph" w:styleId="TOC9">
    <w:name w:val="toc 9"/>
    <w:basedOn w:val="Normal"/>
    <w:next w:val="Normal"/>
    <w:autoRedefine/>
    <w:rsid w:val="00316FFF"/>
    <w:pPr>
      <w:spacing w:after="100"/>
      <w:ind w:left="1760"/>
    </w:pPr>
  </w:style>
  <w:style w:type="paragraph" w:styleId="TOCHeading">
    <w:name w:val="TOC Heading"/>
    <w:basedOn w:val="Heading1"/>
    <w:next w:val="Normal"/>
    <w:uiPriority w:val="39"/>
    <w:semiHidden/>
    <w:unhideWhenUsed/>
    <w:qFormat/>
    <w:rsid w:val="00316FFF"/>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lang w:val="en-GB"/>
    </w:rPr>
  </w:style>
</w:styles>
</file>

<file path=word/webSettings.xml><?xml version="1.0" encoding="utf-8"?>
<w:webSettings xmlns:r="http://schemas.openxmlformats.org/officeDocument/2006/relationships" xmlns:w="http://schemas.openxmlformats.org/wordprocessingml/2006/main">
  <w:divs>
    <w:div w:id="377634627">
      <w:bodyDiv w:val="1"/>
      <w:marLeft w:val="0"/>
      <w:marRight w:val="0"/>
      <w:marTop w:val="0"/>
      <w:marBottom w:val="0"/>
      <w:divBdr>
        <w:top w:val="none" w:sz="0" w:space="0" w:color="auto"/>
        <w:left w:val="none" w:sz="0" w:space="0" w:color="auto"/>
        <w:bottom w:val="none" w:sz="0" w:space="0" w:color="auto"/>
        <w:right w:val="none" w:sz="0" w:space="0" w:color="auto"/>
      </w:divBdr>
    </w:div>
    <w:div w:id="1320117692">
      <w:bodyDiv w:val="1"/>
      <w:marLeft w:val="0"/>
      <w:marRight w:val="0"/>
      <w:marTop w:val="0"/>
      <w:marBottom w:val="0"/>
      <w:divBdr>
        <w:top w:val="none" w:sz="0" w:space="0" w:color="auto"/>
        <w:left w:val="none" w:sz="0" w:space="0" w:color="auto"/>
        <w:bottom w:val="none" w:sz="0" w:space="0" w:color="auto"/>
        <w:right w:val="none" w:sz="0" w:space="0" w:color="auto"/>
      </w:divBdr>
    </w:div>
    <w:div w:id="1911302909">
      <w:bodyDiv w:val="1"/>
      <w:marLeft w:val="0"/>
      <w:marRight w:val="0"/>
      <w:marTop w:val="0"/>
      <w:marBottom w:val="0"/>
      <w:divBdr>
        <w:top w:val="none" w:sz="0" w:space="0" w:color="auto"/>
        <w:left w:val="none" w:sz="0" w:space="0" w:color="auto"/>
        <w:bottom w:val="none" w:sz="0" w:space="0" w:color="auto"/>
        <w:right w:val="none" w:sz="0" w:space="0" w:color="auto"/>
      </w:divBdr>
    </w:div>
    <w:div w:id="20735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eredkin\AppData\Roaming\Microsoft\Templates\cn216_ProceedingsPaper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13C2-1F05-4FC4-A97D-80C7D145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cn216_ProceedingsPaperTemplate.dotm</Template>
  <TotalTime>119</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Geological 3-D modelling and resources estimation of the Budenovskoye uranium deposit (Kazakhstan)</vt:lpstr>
    </vt:vector>
  </TitlesOfParts>
  <Company>IAEA</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3-D modelling and resources estimation of the Budenovskoye uranium deposit (Kazakhstan)</dc:title>
  <dc:creator>Maxim Seredkin</dc:creator>
  <cp:lastModifiedBy>Alexander Boytsov</cp:lastModifiedBy>
  <cp:revision>9</cp:revision>
  <cp:lastPrinted>2000-10-25T09:40:00Z</cp:lastPrinted>
  <dcterms:created xsi:type="dcterms:W3CDTF">2014-08-29T16:14:00Z</dcterms:created>
  <dcterms:modified xsi:type="dcterms:W3CDTF">2014-08-29T18:26:00Z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opyrightGranted">
    <vt:bool>false</vt:bool>
  </property>
  <property fmtid="{D5CDD505-2E9C-101B-9397-08002B2CF9AE}" pid="3" name="IAEAPresentedBy">
    <vt:lpwstr/>
  </property>
  <property fmtid="{D5CDD505-2E9C-101B-9397-08002B2CF9AE}" pid="4" name="IAEAPaperType">
    <vt:lpwstr/>
  </property>
  <property fmtid="{D5CDD505-2E9C-101B-9397-08002B2CF9AE}" pid="5" name="IAEAPaperNumber">
    <vt:lpwstr/>
  </property>
  <property fmtid="{D5CDD505-2E9C-101B-9397-08002B2CF9AE}" pid="6" name="IAEASessionID">
    <vt:lpwstr/>
  </property>
  <property fmtid="{D5CDD505-2E9C-101B-9397-08002B2CF9AE}" pid="7" name="IAEARunningHeader">
    <vt:lpwstr>A. Boytsov et al.</vt:lpwstr>
  </property>
  <property fmtid="{D5CDD505-2E9C-101B-9397-08002B2CF9AE}" pid="8" name="IAEASpecialSymbolsInTitle">
    <vt:bool>false</vt:bool>
  </property>
  <property fmtid="{D5CDD505-2E9C-101B-9397-08002B2CF9AE}" pid="9" name="IAEASpecialSymbolsInSubTitle">
    <vt:bool>false</vt:bool>
  </property>
</Properties>
</file>