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9130178" w:displacedByCustomXml="next"/>
    <w:sdt>
      <w:sdtPr>
        <w:id w:val="319082286"/>
        <w:docPartObj>
          <w:docPartGallery w:val="Cover Pages"/>
          <w:docPartUnique/>
        </w:docPartObj>
      </w:sdtPr>
      <w:sdtEndPr/>
      <w:sdtContent>
        <w:p w14:paraId="4806F1FF" w14:textId="4FBC652D" w:rsidR="0083137C" w:rsidRDefault="0083137C"/>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210"/>
          </w:tblGrid>
          <w:tr w:rsidR="0083137C" w14:paraId="0D4C846B" w14:textId="77777777">
            <w:sdt>
              <w:sdtPr>
                <w:rPr>
                  <w:color w:val="365F91" w:themeColor="accent1" w:themeShade="BF"/>
                  <w:sz w:val="24"/>
                  <w:szCs w:val="24"/>
                </w:rPr>
                <w:alias w:val="Company"/>
                <w:id w:val="13406915"/>
                <w:placeholder>
                  <w:docPart w:val="96A796520C814EFB8CA213C76836132F"/>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4D7E9CA7" w14:textId="521E45F4" w:rsidR="0083137C" w:rsidRDefault="00F50D72">
                    <w:pPr>
                      <w:pStyle w:val="NoSpacing"/>
                      <w:rPr>
                        <w:color w:val="365F91" w:themeColor="accent1" w:themeShade="BF"/>
                        <w:sz w:val="24"/>
                      </w:rPr>
                    </w:pPr>
                    <w:r>
                      <w:rPr>
                        <w:color w:val="365F91" w:themeColor="accent1" w:themeShade="BF"/>
                        <w:sz w:val="24"/>
                        <w:szCs w:val="24"/>
                      </w:rPr>
                      <w:t>IAEA</w:t>
                    </w:r>
                  </w:p>
                </w:tc>
              </w:sdtContent>
            </w:sdt>
          </w:tr>
          <w:tr w:rsidR="0083137C" w14:paraId="23F42CC1" w14:textId="77777777">
            <w:tc>
              <w:tcPr>
                <w:tcW w:w="7672" w:type="dxa"/>
              </w:tcPr>
              <w:sdt>
                <w:sdtPr>
                  <w:rPr>
                    <w:rFonts w:asciiTheme="majorHAnsi" w:eastAsiaTheme="majorEastAsia" w:hAnsiTheme="majorHAnsi" w:cstheme="majorBidi" w:hint="eastAsia"/>
                    <w:color w:val="4F81BD" w:themeColor="accent1"/>
                    <w:sz w:val="88"/>
                    <w:szCs w:val="88"/>
                    <w:lang w:eastAsia="zh-CN"/>
                  </w:rPr>
                  <w:alias w:val="Title"/>
                  <w:id w:val="13406919"/>
                  <w:placeholder>
                    <w:docPart w:val="97633C38B1904B348A45E5D6454BBC25"/>
                  </w:placeholder>
                  <w:dataBinding w:prefixMappings="xmlns:ns0='http://schemas.openxmlformats.org/package/2006/metadata/core-properties' xmlns:ns1='http://purl.org/dc/elements/1.1/'" w:xpath="/ns0:coreProperties[1]/ns1:title[1]" w:storeItemID="{6C3C8BC8-F283-45AE-878A-BAB7291924A1}"/>
                  <w:text/>
                </w:sdtPr>
                <w:sdtEndPr/>
                <w:sdtContent>
                  <w:p w14:paraId="4B80B6DD" w14:textId="7B28511C" w:rsidR="0083137C" w:rsidRDefault="0083137C">
                    <w:pPr>
                      <w:pStyle w:val="NoSpacing"/>
                      <w:spacing w:line="216" w:lineRule="auto"/>
                      <w:rPr>
                        <w:rFonts w:asciiTheme="majorHAnsi" w:eastAsiaTheme="majorEastAsia" w:hAnsiTheme="majorHAnsi" w:cstheme="majorBidi"/>
                        <w:color w:val="4F81BD" w:themeColor="accent1"/>
                        <w:sz w:val="88"/>
                        <w:szCs w:val="88"/>
                      </w:rPr>
                    </w:pPr>
                    <w:r>
                      <w:rPr>
                        <w:rFonts w:asciiTheme="majorHAnsi" w:eastAsiaTheme="majorEastAsia" w:hAnsiTheme="majorHAnsi" w:cstheme="majorBidi" w:hint="eastAsia"/>
                        <w:color w:val="4F81BD" w:themeColor="accent1"/>
                        <w:sz w:val="88"/>
                        <w:szCs w:val="88"/>
                        <w:lang w:eastAsia="zh-CN"/>
                      </w:rPr>
                      <w:t xml:space="preserve">IAEA </w:t>
                    </w:r>
                    <w:r w:rsidR="00C8527C">
                      <w:rPr>
                        <w:rFonts w:asciiTheme="majorHAnsi" w:eastAsiaTheme="majorEastAsia" w:hAnsiTheme="majorHAnsi" w:cstheme="majorBidi" w:hint="eastAsia"/>
                        <w:color w:val="4F81BD" w:themeColor="accent1"/>
                        <w:sz w:val="88"/>
                        <w:szCs w:val="88"/>
                        <w:lang w:eastAsia="zh-CN"/>
                      </w:rPr>
                      <w:t xml:space="preserve">Extended Abstract </w:t>
                    </w:r>
                    <w:r>
                      <w:rPr>
                        <w:rFonts w:asciiTheme="majorHAnsi" w:eastAsiaTheme="majorEastAsia" w:hAnsiTheme="majorHAnsi" w:cstheme="majorBidi" w:hint="eastAsia"/>
                        <w:color w:val="4F81BD" w:themeColor="accent1"/>
                        <w:sz w:val="88"/>
                        <w:szCs w:val="88"/>
                        <w:lang w:eastAsia="zh-CN"/>
                      </w:rPr>
                      <w:t>Templ</w:t>
                    </w:r>
                    <w:r w:rsidR="0091152D">
                      <w:rPr>
                        <w:rFonts w:asciiTheme="majorHAnsi" w:eastAsiaTheme="majorEastAsia" w:hAnsiTheme="majorHAnsi" w:cstheme="majorBidi" w:hint="eastAsia"/>
                        <w:color w:val="4F81BD" w:themeColor="accent1"/>
                        <w:sz w:val="88"/>
                        <w:szCs w:val="88"/>
                        <w:lang w:eastAsia="zh-CN"/>
                      </w:rPr>
                      <w:t>a</w:t>
                    </w:r>
                    <w:r>
                      <w:rPr>
                        <w:rFonts w:asciiTheme="majorHAnsi" w:eastAsiaTheme="majorEastAsia" w:hAnsiTheme="majorHAnsi" w:cstheme="majorBidi" w:hint="eastAsia"/>
                        <w:color w:val="4F81BD" w:themeColor="accent1"/>
                        <w:sz w:val="88"/>
                        <w:szCs w:val="88"/>
                        <w:lang w:eastAsia="zh-CN"/>
                      </w:rPr>
                      <w:t>te</w:t>
                    </w:r>
                  </w:p>
                </w:sdtContent>
              </w:sdt>
            </w:tc>
          </w:tr>
          <w:tr w:rsidR="0083137C" w14:paraId="7DC076FA" w14:textId="77777777">
            <w:sdt>
              <w:sdtPr>
                <w:rPr>
                  <w:color w:val="365F91" w:themeColor="accent1" w:themeShade="BF"/>
                  <w:sz w:val="24"/>
                  <w:szCs w:val="24"/>
                </w:rPr>
                <w:alias w:val="Subtitle"/>
                <w:id w:val="13406923"/>
                <w:placeholder>
                  <w:docPart w:val="EB1AE3A2961D48DA8EF477DCAF44557E"/>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6965B43D" w14:textId="0E1614FF" w:rsidR="0083137C" w:rsidRDefault="00F50D72" w:rsidP="0083137C">
                    <w:pPr>
                      <w:pStyle w:val="NoSpacing"/>
                      <w:rPr>
                        <w:color w:val="365F91" w:themeColor="accent1" w:themeShade="BF"/>
                        <w:sz w:val="24"/>
                      </w:rPr>
                    </w:pPr>
                    <w:r>
                      <w:rPr>
                        <w:color w:val="365F91" w:themeColor="accent1" w:themeShade="BF"/>
                        <w:sz w:val="24"/>
                        <w:szCs w:val="24"/>
                      </w:rPr>
                      <w:t>Technical Meeting on Advanced Technology Fuels: Progress on their Design, Manufacturing, Experimentation, Irradiation, and Case Studies for their Industrialization, Safety Evaluation, and Future Prospects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83137C" w14:paraId="0E4AB3CD" w14:textId="77777777">
            <w:tc>
              <w:tcPr>
                <w:tcW w:w="7221" w:type="dxa"/>
                <w:tcMar>
                  <w:top w:w="216" w:type="dxa"/>
                  <w:left w:w="115" w:type="dxa"/>
                  <w:bottom w:w="216" w:type="dxa"/>
                  <w:right w:w="115" w:type="dxa"/>
                </w:tcMar>
              </w:tcPr>
              <w:sdt>
                <w:sdtPr>
                  <w:rPr>
                    <w:color w:val="4F81BD" w:themeColor="accent1"/>
                    <w:sz w:val="28"/>
                    <w:szCs w:val="28"/>
                  </w:rPr>
                  <w:alias w:val="Author"/>
                  <w:id w:val="13406928"/>
                  <w:placeholder>
                    <w:docPart w:val="D7EC97C970064CF59A943C4B19D106DD"/>
                  </w:placeholder>
                  <w:dataBinding w:prefixMappings="xmlns:ns0='http://schemas.openxmlformats.org/package/2006/metadata/core-properties' xmlns:ns1='http://purl.org/dc/elements/1.1/'" w:xpath="/ns0:coreProperties[1]/ns1:creator[1]" w:storeItemID="{6C3C8BC8-F283-45AE-878A-BAB7291924A1}"/>
                  <w:text/>
                </w:sdtPr>
                <w:sdtEndPr/>
                <w:sdtContent>
                  <w:p w14:paraId="5BA14776" w14:textId="7707E4F6" w:rsidR="0083137C" w:rsidRDefault="0026519A">
                    <w:pPr>
                      <w:pStyle w:val="NoSpacing"/>
                      <w:rPr>
                        <w:color w:val="4F81BD" w:themeColor="accent1"/>
                        <w:sz w:val="28"/>
                        <w:szCs w:val="28"/>
                      </w:rPr>
                    </w:pPr>
                    <w:r>
                      <w:rPr>
                        <w:color w:val="4F81BD" w:themeColor="accent1"/>
                        <w:sz w:val="28"/>
                        <w:szCs w:val="28"/>
                      </w:rPr>
                      <w:t>IAEA NFE TEAM</w:t>
                    </w:r>
                  </w:p>
                </w:sdtContent>
              </w:sdt>
              <w:sdt>
                <w:sdtPr>
                  <w:rPr>
                    <w:color w:val="4F81BD" w:themeColor="accent1"/>
                    <w:sz w:val="28"/>
                    <w:szCs w:val="28"/>
                  </w:rPr>
                  <w:alias w:val="Date"/>
                  <w:tag w:val="Date"/>
                  <w:id w:val="13406932"/>
                  <w:placeholder>
                    <w:docPart w:val="872E462139494F618794DB3137466050"/>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53F5069" w14:textId="5AC3BA2F" w:rsidR="0083137C" w:rsidRDefault="00ED01EC">
                    <w:pPr>
                      <w:pStyle w:val="NoSpacing"/>
                      <w:rPr>
                        <w:color w:val="4F81BD" w:themeColor="accent1"/>
                        <w:sz w:val="28"/>
                        <w:szCs w:val="28"/>
                      </w:rPr>
                    </w:pPr>
                    <w:r>
                      <w:rPr>
                        <w:rFonts w:hint="eastAsia"/>
                        <w:color w:val="4F81BD" w:themeColor="accent1"/>
                        <w:sz w:val="28"/>
                        <w:szCs w:val="28"/>
                        <w:lang w:eastAsia="zh-CN"/>
                      </w:rPr>
                      <w:t>Vienna, 202</w:t>
                    </w:r>
                    <w:r w:rsidR="00F96F17">
                      <w:rPr>
                        <w:color w:val="4F81BD" w:themeColor="accent1"/>
                        <w:sz w:val="28"/>
                        <w:szCs w:val="28"/>
                        <w:lang w:eastAsia="zh-CN"/>
                      </w:rPr>
                      <w:t>5</w:t>
                    </w:r>
                  </w:p>
                </w:sdtContent>
              </w:sdt>
              <w:p w14:paraId="78FC9E1D" w14:textId="77777777" w:rsidR="0083137C" w:rsidRDefault="0083137C">
                <w:pPr>
                  <w:pStyle w:val="NoSpacing"/>
                  <w:rPr>
                    <w:color w:val="4F81BD" w:themeColor="accent1"/>
                  </w:rPr>
                </w:pPr>
              </w:p>
            </w:tc>
          </w:tr>
        </w:tbl>
        <w:p w14:paraId="5600F7B6" w14:textId="77777777" w:rsidR="00E379A5" w:rsidRDefault="00E379A5">
          <w:pPr>
            <w:overflowPunct/>
            <w:autoSpaceDE/>
            <w:autoSpaceDN/>
            <w:adjustRightInd/>
            <w:textAlignment w:val="auto"/>
            <w:rPr>
              <w:rFonts w:ascii="Times New Roman Bold" w:hAnsi="Times New Roman Bold"/>
              <w:b/>
              <w:caps/>
              <w:sz w:val="24"/>
              <w:lang w:val="en-US"/>
            </w:rPr>
            <w:sectPr w:rsidR="00E379A5" w:rsidSect="00E379A5">
              <w:headerReference w:type="even" r:id="rId12"/>
              <w:headerReference w:type="default" r:id="rId13"/>
              <w:footerReference w:type="even" r:id="rId14"/>
              <w:footerReference w:type="default" r:id="rId15"/>
              <w:headerReference w:type="first" r:id="rId16"/>
              <w:footerReference w:type="first" r:id="rId17"/>
              <w:pgSz w:w="11907" w:h="16840" w:code="9"/>
              <w:pgMar w:top="1440" w:right="1440" w:bottom="1440" w:left="1440" w:header="539" w:footer="964" w:gutter="0"/>
              <w:pgNumType w:start="0"/>
              <w:cols w:space="720"/>
              <w:titlePg/>
              <w:docGrid w:linePitch="299"/>
            </w:sectPr>
          </w:pPr>
        </w:p>
        <w:p w14:paraId="1B69E1C5" w14:textId="4F479960" w:rsidR="0083137C" w:rsidRDefault="00893E03">
          <w:pPr>
            <w:overflowPunct/>
            <w:autoSpaceDE/>
            <w:autoSpaceDN/>
            <w:adjustRightInd/>
            <w:textAlignment w:val="auto"/>
            <w:rPr>
              <w:rFonts w:ascii="Times New Roman Bold" w:hAnsi="Times New Roman Bold"/>
              <w:b/>
              <w:caps/>
              <w:sz w:val="24"/>
              <w:lang w:val="en-US"/>
            </w:rPr>
          </w:pPr>
        </w:p>
      </w:sdtContent>
    </w:sdt>
    <w:p w14:paraId="433FE03C" w14:textId="1BA2D455" w:rsidR="00E20E70" w:rsidRPr="00BC6BAA" w:rsidRDefault="0026519A" w:rsidP="00BC6BAA">
      <w:pPr>
        <w:pStyle w:val="Title"/>
        <w:rPr>
          <w:lang w:eastAsia="zh-CN"/>
        </w:rPr>
      </w:pPr>
      <w:r>
        <w:t>Role of ATF in enhancing SMR performance</w:t>
      </w:r>
    </w:p>
    <w:p w14:paraId="433FE03E" w14:textId="50B88FB4" w:rsidR="003B5E0E" w:rsidRPr="00A80359" w:rsidRDefault="003B5E0E" w:rsidP="00A80359">
      <w:pPr>
        <w:pStyle w:val="Subtitle"/>
      </w:pPr>
    </w:p>
    <w:p w14:paraId="433FE03F" w14:textId="77777777" w:rsidR="00802381" w:rsidRDefault="00802381" w:rsidP="00537496">
      <w:pPr>
        <w:pStyle w:val="Authornameandaffiliation"/>
      </w:pPr>
    </w:p>
    <w:p w14:paraId="433FE040" w14:textId="1C97A325" w:rsidR="003B5E0E" w:rsidRPr="004140C9" w:rsidRDefault="0026519A" w:rsidP="00537496">
      <w:pPr>
        <w:pStyle w:val="Authornameandaffiliation"/>
        <w:rPr>
          <w:lang w:eastAsia="zh-CN"/>
        </w:rPr>
      </w:pPr>
      <w:r>
        <w:t>K. SHIRAVN</w:t>
      </w:r>
      <w:r>
        <w:rPr>
          <w:color w:val="FF0000"/>
          <w:lang w:eastAsia="zh-CN"/>
        </w:rPr>
        <w:t xml:space="preserve"> </w:t>
      </w:r>
    </w:p>
    <w:p w14:paraId="433FE041" w14:textId="1D94CC59" w:rsidR="00FF386F" w:rsidRDefault="0026519A" w:rsidP="00537496">
      <w:pPr>
        <w:pStyle w:val="Authornameandaffiliation"/>
      </w:pPr>
      <w:r>
        <w:t>Massachusetts Institute of Technology</w:t>
      </w:r>
    </w:p>
    <w:p w14:paraId="433FE042" w14:textId="0FB445F2" w:rsidR="00FF386F" w:rsidRDefault="0026519A" w:rsidP="00537496">
      <w:pPr>
        <w:pStyle w:val="Authornameandaffiliation"/>
      </w:pPr>
      <w:r>
        <w:t>Cambridge, MA USA</w:t>
      </w:r>
    </w:p>
    <w:p w14:paraId="433FE043" w14:textId="5E30F7AF" w:rsidR="00FF386F" w:rsidRDefault="00FF386F" w:rsidP="00537496">
      <w:pPr>
        <w:pStyle w:val="Authornameandaffiliation"/>
      </w:pPr>
      <w:r>
        <w:t xml:space="preserve">Email: </w:t>
      </w:r>
      <w:r w:rsidR="0026519A">
        <w:t>kshirvan</w:t>
      </w:r>
      <w:r>
        <w:t>@</w:t>
      </w:r>
      <w:r w:rsidR="0026519A">
        <w:t>mit.edu</w:t>
      </w:r>
    </w:p>
    <w:p w14:paraId="3F7D6C77" w14:textId="77777777" w:rsidR="00003206" w:rsidRDefault="00003206" w:rsidP="0026519A">
      <w:pPr>
        <w:pStyle w:val="Authornameandaffiliation"/>
        <w:ind w:left="0"/>
      </w:pPr>
    </w:p>
    <w:p w14:paraId="2EA71BD6" w14:textId="13005742" w:rsidR="00003206" w:rsidRDefault="008F4120" w:rsidP="00003206">
      <w:pPr>
        <w:pStyle w:val="Authornameandaffiliation"/>
      </w:pPr>
      <w:r>
        <w:t>C</w:t>
      </w:r>
      <w:r w:rsidR="00003206">
        <w:t>orresponding</w:t>
      </w:r>
      <w:r w:rsidR="00003206" w:rsidRPr="00003206">
        <w:t xml:space="preserve"> author</w:t>
      </w:r>
      <w:r w:rsidR="00003206">
        <w:t xml:space="preserve">: </w:t>
      </w:r>
      <w:r w:rsidR="0026519A">
        <w:t xml:space="preserve">K. </w:t>
      </w:r>
      <w:proofErr w:type="gramStart"/>
      <w:r w:rsidR="0026519A">
        <w:t>SHIRVAN</w:t>
      </w:r>
      <w:r>
        <w:t>,</w:t>
      </w:r>
      <w:r w:rsidR="0026519A">
        <w:t>kshirvan@mit.edu</w:t>
      </w:r>
      <w:proofErr w:type="gramEnd"/>
    </w:p>
    <w:p w14:paraId="47497415" w14:textId="67F72CAF" w:rsidR="00003206" w:rsidRDefault="00003206" w:rsidP="00537496">
      <w:pPr>
        <w:pStyle w:val="Authornameandaffiliation"/>
      </w:pPr>
    </w:p>
    <w:bookmarkEnd w:id="0"/>
    <w:p w14:paraId="193ED82E" w14:textId="5DBDD532" w:rsidR="00B42408" w:rsidRPr="003E7A48" w:rsidRDefault="0026519A" w:rsidP="003E7A48">
      <w:pPr>
        <w:pStyle w:val="Heading1st"/>
      </w:pPr>
      <w:r>
        <w:t xml:space="preserve">INTRODUCTION </w:t>
      </w:r>
    </w:p>
    <w:p w14:paraId="789CE9EC" w14:textId="6051C0B7" w:rsidR="00564360" w:rsidRDefault="0026519A" w:rsidP="00564360">
      <w:pPr>
        <w:jc w:val="both"/>
      </w:pPr>
      <w:r>
        <w:t>There are 62</w:t>
      </w:r>
      <w:r w:rsidR="00564360">
        <w:t xml:space="preserve"> commercial</w:t>
      </w:r>
      <w:r>
        <w:t xml:space="preserve"> reactors under construction today (July, 2025) with 3 under 400 MWe: Russian BREST-OD-300 lead cooled factor reactor, Chinese ACP100 water-cooled reactor and Argentinian CAREM water-cooled reactor concepts. Soon, </w:t>
      </w:r>
      <w:r w:rsidR="00564360">
        <w:t>the American</w:t>
      </w:r>
      <w:r>
        <w:t xml:space="preserve"> BWRX300 design will join this </w:t>
      </w:r>
      <w:r w:rsidR="00564360">
        <w:t xml:space="preserve">Small Modular Reactor (SMR) </w:t>
      </w:r>
      <w:r>
        <w:t>list for construction in Canada.</w:t>
      </w:r>
      <w:r w:rsidR="00564360">
        <w:t xml:space="preserve"> Ontario Power Generation (OPG) has released their final investment decision for the first unit of BWRX300 SMR at $7.7 billion CAD or $18,750/kW USD in total cost (including interest) </w:t>
      </w:r>
      <w:sdt>
        <w:sdtPr>
          <w:id w:val="-92479328"/>
          <w:citation/>
        </w:sdtPr>
        <w:sdtEndPr/>
        <w:sdtContent>
          <w:r w:rsidR="00564360">
            <w:fldChar w:fldCharType="begin"/>
          </w:r>
          <w:r w:rsidR="00564360">
            <w:instrText xml:space="preserve"> CITATION Neu25 \l 1033 </w:instrText>
          </w:r>
          <w:r w:rsidR="00564360">
            <w:fldChar w:fldCharType="separate"/>
          </w:r>
          <w:r w:rsidR="00564360" w:rsidRPr="00564360">
            <w:rPr>
              <w:noProof/>
            </w:rPr>
            <w:t>[1]</w:t>
          </w:r>
          <w:r w:rsidR="00564360">
            <w:fldChar w:fldCharType="end"/>
          </w:r>
        </w:sdtContent>
      </w:sdt>
      <w:r w:rsidR="00564360">
        <w:t xml:space="preserve">, higher that what </w:t>
      </w:r>
      <w:r w:rsidR="004C659C">
        <w:t xml:space="preserve">First-of-a-Kind </w:t>
      </w:r>
      <w:r w:rsidR="00564360">
        <w:t xml:space="preserve">large reactors have realized in the western countries. In case of China and Canada, the SMRs are being demonstrated for use in future sites with more limited grid size, given the noted superior economics of larger reactor on dollar per MW-hr basis. Unless innovations are implemented in </w:t>
      </w:r>
      <w:r w:rsidR="004C659C">
        <w:t xml:space="preserve">the </w:t>
      </w:r>
      <w:r w:rsidR="00564360">
        <w:t xml:space="preserve">current SMR offerings, the market will continue to globally prioritize larger reactors. </w:t>
      </w:r>
    </w:p>
    <w:p w14:paraId="7BDC0ED6" w14:textId="7E059C76" w:rsidR="00564360" w:rsidRDefault="00564360" w:rsidP="00564360">
      <w:pPr>
        <w:pStyle w:val="BodyText"/>
      </w:pPr>
      <w:r>
        <w:br/>
        <w:t>One of the reasons SMRs struggle to compete</w:t>
      </w:r>
      <w:r w:rsidR="004C659C">
        <w:t xml:space="preserve"> in the market</w:t>
      </w:r>
      <w:r>
        <w:t xml:space="preserve"> economically is the</w:t>
      </w:r>
      <w:r w:rsidR="004C659C">
        <w:t>ir</w:t>
      </w:r>
      <w:r>
        <w:t xml:space="preserve"> lack of economy of scale. The nuclear island of BWRX300 compared to ESBWR, </w:t>
      </w:r>
      <w:r w:rsidR="00F10D99">
        <w:t>a reactor</w:t>
      </w:r>
      <w:r w:rsidR="004C659C">
        <w:t xml:space="preserve"> certified by U.S. regulator</w:t>
      </w:r>
      <w:r w:rsidR="00F10D99">
        <w:t xml:space="preserve"> that </w:t>
      </w:r>
      <w:r>
        <w:t xml:space="preserve">the BWRX300 is based upon is shown in Fig. 1. </w:t>
      </w:r>
      <w:r w:rsidR="00F10D99">
        <w:t>Despite the &gt;5x lower power output, the BWRX300 building is only 20% smaller</w:t>
      </w:r>
      <w:r w:rsidR="004C659C">
        <w:t xml:space="preserve"> by volume</w:t>
      </w:r>
      <w:r w:rsidR="00F10D99">
        <w:t xml:space="preserve">. </w:t>
      </w:r>
      <w:r w:rsidR="004C659C">
        <w:t>Similarly, the NuScale multi-module design features a nuclear island footprint that is larger than an AP1000. Interestingly, t</w:t>
      </w:r>
      <w:r w:rsidR="00F10D99">
        <w:t>he NuScale</w:t>
      </w:r>
      <w:r w:rsidR="004C659C">
        <w:t xml:space="preserve"> nuclear modules were </w:t>
      </w:r>
      <w:r w:rsidR="00F10D99">
        <w:t>initially licensed to 45 MWe. Utilizing the exact same nuclear island volume, the designers were able to leverage the available margins in the core and uprate the design to 77 MWe (70% increase)</w:t>
      </w:r>
      <w:r w:rsidR="00BA11B5">
        <w:t xml:space="preserve"> </w:t>
      </w:r>
      <w:sdt>
        <w:sdtPr>
          <w:id w:val="1617014245"/>
          <w:citation/>
        </w:sdtPr>
        <w:sdtEndPr/>
        <w:sdtContent>
          <w:r w:rsidR="00BA11B5">
            <w:fldChar w:fldCharType="begin"/>
          </w:r>
          <w:r w:rsidR="00BA11B5">
            <w:rPr>
              <w:lang w:val="en-US"/>
            </w:rPr>
            <w:instrText xml:space="preserve"> CITATION NuS25 \l 1033 </w:instrText>
          </w:r>
          <w:r w:rsidR="00BA11B5">
            <w:fldChar w:fldCharType="separate"/>
          </w:r>
          <w:r w:rsidR="00BA11B5" w:rsidRPr="00BA11B5">
            <w:rPr>
              <w:noProof/>
              <w:lang w:val="en-US"/>
            </w:rPr>
            <w:t>[2]</w:t>
          </w:r>
          <w:r w:rsidR="00BA11B5">
            <w:fldChar w:fldCharType="end"/>
          </w:r>
        </w:sdtContent>
      </w:sdt>
      <w:r w:rsidR="00F10D99">
        <w:t>.</w:t>
      </w:r>
    </w:p>
    <w:p w14:paraId="5030E352" w14:textId="34CEADFC" w:rsidR="00564360" w:rsidRDefault="00564360" w:rsidP="004C659C">
      <w:pPr>
        <w:pStyle w:val="BodyText"/>
        <w:jc w:val="center"/>
      </w:pPr>
      <w:r w:rsidRPr="00564360">
        <w:rPr>
          <w:noProof/>
        </w:rPr>
        <w:drawing>
          <wp:inline distT="0" distB="0" distL="0" distR="0" wp14:anchorId="7D39966F" wp14:editId="60739716">
            <wp:extent cx="5264458" cy="275499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3103" cy="2775215"/>
                    </a:xfrm>
                    <a:prstGeom prst="rect">
                      <a:avLst/>
                    </a:prstGeom>
                  </pic:spPr>
                </pic:pic>
              </a:graphicData>
            </a:graphic>
          </wp:inline>
        </w:drawing>
      </w:r>
    </w:p>
    <w:p w14:paraId="77F576AF" w14:textId="454F8F58" w:rsidR="00564360" w:rsidRDefault="00564360" w:rsidP="00564360">
      <w:pPr>
        <w:pStyle w:val="BodyText"/>
        <w:jc w:val="center"/>
      </w:pPr>
      <w:bookmarkStart w:id="1" w:name="_Ref474425344"/>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1</w:t>
      </w:r>
      <w:r w:rsidRPr="00FA5F27">
        <w:rPr>
          <w:b/>
          <w:lang w:eastAsia="es-ES"/>
        </w:rPr>
        <w:fldChar w:fldCharType="end"/>
      </w:r>
      <w:bookmarkEnd w:id="1"/>
      <w:r w:rsidRPr="00FA5F27">
        <w:rPr>
          <w:lang w:eastAsia="es-ES"/>
        </w:rPr>
        <w:t xml:space="preserve">. </w:t>
      </w:r>
      <w:r w:rsidR="00F10D99">
        <w:rPr>
          <w:lang w:eastAsia="es-ES"/>
        </w:rPr>
        <w:t xml:space="preserve">Schematic of ESBWR (left) and BWRX300 (right) [Figures taken from </w:t>
      </w:r>
      <w:hyperlink r:id="rId19" w:history="1">
        <w:r w:rsidR="00F10D99" w:rsidRPr="00176D05">
          <w:rPr>
            <w:rStyle w:val="Hyperlink"/>
            <w:lang w:eastAsia="es-ES"/>
          </w:rPr>
          <w:t>https://www.nrc.gov/docs/ML0217/ML021770054.pdf</w:t>
        </w:r>
      </w:hyperlink>
      <w:r w:rsidR="00F10D99">
        <w:rPr>
          <w:lang w:eastAsia="es-ES"/>
        </w:rPr>
        <w:t xml:space="preserve"> and </w:t>
      </w:r>
      <w:hyperlink r:id="rId20" w:history="1">
        <w:r w:rsidR="00F10D99" w:rsidRPr="00176D05">
          <w:rPr>
            <w:rStyle w:val="Hyperlink"/>
            <w:lang w:eastAsia="es-ES"/>
          </w:rPr>
          <w:t>https://www.opg.com/documents/dnnp-application-for-a-licence-to-construct-a-reactor-facility-pdf/</w:t>
        </w:r>
      </w:hyperlink>
      <w:r w:rsidR="00F10D99">
        <w:rPr>
          <w:lang w:eastAsia="es-ES"/>
        </w:rPr>
        <w:t>]</w:t>
      </w:r>
      <w:r w:rsidRPr="00FA5F27">
        <w:rPr>
          <w:lang w:eastAsia="es-ES"/>
        </w:rPr>
        <w:t>.</w:t>
      </w:r>
    </w:p>
    <w:p w14:paraId="433FE052" w14:textId="44C47A4A" w:rsidR="0026525A" w:rsidRPr="004C659C" w:rsidRDefault="00F10D99" w:rsidP="00D04D6A">
      <w:pPr>
        <w:pStyle w:val="BodyText"/>
      </w:pPr>
      <w:r>
        <w:lastRenderedPageBreak/>
        <w:t>The significant power uprate to the NuScale reactor was feasible as the core thermal power density was increased from 40 MW/m</w:t>
      </w:r>
      <w:r>
        <w:rPr>
          <w:vertAlign w:val="superscript"/>
        </w:rPr>
        <w:t>3</w:t>
      </w:r>
      <w:r>
        <w:t xml:space="preserve"> to 70 MW/m</w:t>
      </w:r>
      <w:r>
        <w:rPr>
          <w:vertAlign w:val="superscript"/>
        </w:rPr>
        <w:t>3</w:t>
      </w:r>
      <w:r>
        <w:t>, still below the typical power density of large pressurized water reactors at</w:t>
      </w:r>
      <w:r w:rsidR="004C659C">
        <w:t xml:space="preserve"> around</w:t>
      </w:r>
      <w:r>
        <w:t xml:space="preserve"> 100 MW/m</w:t>
      </w:r>
      <w:r>
        <w:rPr>
          <w:vertAlign w:val="superscript"/>
        </w:rPr>
        <w:t>3</w:t>
      </w:r>
      <w:r w:rsidR="00BA11B5">
        <w:rPr>
          <w:vertAlign w:val="superscript"/>
        </w:rPr>
        <w:t xml:space="preserve"> </w:t>
      </w:r>
      <w:sdt>
        <w:sdtPr>
          <w:rPr>
            <w:vertAlign w:val="superscript"/>
          </w:rPr>
          <w:id w:val="-2129927083"/>
          <w:citation/>
        </w:sdtPr>
        <w:sdtEndPr/>
        <w:sdtContent>
          <w:r w:rsidR="00BA11B5">
            <w:rPr>
              <w:vertAlign w:val="superscript"/>
            </w:rPr>
            <w:fldChar w:fldCharType="begin"/>
          </w:r>
          <w:r w:rsidR="00BA11B5">
            <w:rPr>
              <w:lang w:val="en-US"/>
            </w:rPr>
            <w:instrText xml:space="preserve"> CITATION Hal24 \l 1033 </w:instrText>
          </w:r>
          <w:r w:rsidR="00BA11B5">
            <w:rPr>
              <w:vertAlign w:val="superscript"/>
            </w:rPr>
            <w:fldChar w:fldCharType="separate"/>
          </w:r>
          <w:r w:rsidR="00BA11B5" w:rsidRPr="00BA11B5">
            <w:rPr>
              <w:noProof/>
              <w:lang w:val="en-US"/>
            </w:rPr>
            <w:t>[3]</w:t>
          </w:r>
          <w:r w:rsidR="00BA11B5">
            <w:rPr>
              <w:vertAlign w:val="superscript"/>
            </w:rPr>
            <w:fldChar w:fldCharType="end"/>
          </w:r>
        </w:sdtContent>
      </w:sdt>
      <w:r>
        <w:t xml:space="preserve">.  Similarly, the BWRX300 </w:t>
      </w:r>
      <w:r w:rsidR="004C659C">
        <w:t>is designed at a</w:t>
      </w:r>
      <w:r>
        <w:t xml:space="preserve"> 40</w:t>
      </w:r>
      <w:r w:rsidR="004C659C">
        <w:t xml:space="preserve"> MW/m</w:t>
      </w:r>
      <w:r w:rsidR="004C659C">
        <w:rPr>
          <w:vertAlign w:val="superscript"/>
        </w:rPr>
        <w:t>3</w:t>
      </w:r>
      <w:r>
        <w:t xml:space="preserve"> power density, much lower than the uprated existing BWRs in the U.S. at 65 MW/m</w:t>
      </w:r>
      <w:r>
        <w:rPr>
          <w:vertAlign w:val="superscript"/>
        </w:rPr>
        <w:t>3</w:t>
      </w:r>
      <w:r>
        <w:t xml:space="preserve">. Therefore, increasing the power density of SMRs can be an effective way of reducing their </w:t>
      </w:r>
      <w:r w:rsidR="004C659C">
        <w:t>cost per MW</w:t>
      </w:r>
      <w:r>
        <w:t>. Given the large inventory of water per thermal power in an SMR compared to a large reactor, increasing its core power density beyond that of a large reactor may</w:t>
      </w:r>
      <w:r w:rsidR="004C659C">
        <w:t xml:space="preserve"> even</w:t>
      </w:r>
      <w:r>
        <w:t xml:space="preserve"> be </w:t>
      </w:r>
      <w:r w:rsidR="004C659C">
        <w:t>feasible</w:t>
      </w:r>
      <w:r w:rsidR="00BA11B5">
        <w:t xml:space="preserve"> </w:t>
      </w:r>
      <w:sdt>
        <w:sdtPr>
          <w:id w:val="-197703417"/>
          <w:citation/>
        </w:sdtPr>
        <w:sdtEndPr/>
        <w:sdtContent>
          <w:r w:rsidR="00BA11B5">
            <w:fldChar w:fldCharType="begin"/>
          </w:r>
          <w:r w:rsidR="00BA11B5">
            <w:rPr>
              <w:lang w:val="en-US"/>
            </w:rPr>
            <w:instrText xml:space="preserve"> CITATION Hal21 \l 1033 </w:instrText>
          </w:r>
          <w:r w:rsidR="00BA11B5">
            <w:fldChar w:fldCharType="separate"/>
          </w:r>
          <w:r w:rsidR="00BA11B5" w:rsidRPr="00BA11B5">
            <w:rPr>
              <w:noProof/>
              <w:lang w:val="en-US"/>
            </w:rPr>
            <w:t>[4]</w:t>
          </w:r>
          <w:r w:rsidR="00BA11B5">
            <w:fldChar w:fldCharType="end"/>
          </w:r>
        </w:sdtContent>
      </w:sdt>
      <w:r w:rsidR="004C659C">
        <w:t xml:space="preserve">, giving it an </w:t>
      </w:r>
      <w:r>
        <w:t xml:space="preserve">economic saving boost needed to increase their potential role in future of nuclear energy. </w:t>
      </w:r>
      <w:r w:rsidR="004C659C">
        <w:t>However, from fuel performance point of view, the power density of the core is limited to 118 MW/m</w:t>
      </w:r>
      <w:r w:rsidR="004C659C">
        <w:rPr>
          <w:vertAlign w:val="superscript"/>
        </w:rPr>
        <w:t>3</w:t>
      </w:r>
      <w:r w:rsidR="004C659C">
        <w:t xml:space="preserve"> for 18-month cycle PWR (110 MW/m</w:t>
      </w:r>
      <w:r w:rsidR="004C659C">
        <w:rPr>
          <w:vertAlign w:val="superscript"/>
        </w:rPr>
        <w:t>3</w:t>
      </w:r>
      <w:r w:rsidR="004C659C">
        <w:t xml:space="preserve"> for 24-month cycle</w:t>
      </w:r>
      <w:r w:rsidR="007A7BC6">
        <w:t>)</w:t>
      </w:r>
      <w:r w:rsidR="004C659C">
        <w:t xml:space="preserve"> when utilizing the existing UO</w:t>
      </w:r>
      <w:r w:rsidR="004C659C">
        <w:rPr>
          <w:vertAlign w:val="subscript"/>
        </w:rPr>
        <w:t>2</w:t>
      </w:r>
      <w:r w:rsidR="004C659C">
        <w:t xml:space="preserve"> and Zircaloy in a 17x17 assembly</w:t>
      </w:r>
      <w:r w:rsidR="007A7BC6">
        <w:t xml:space="preserve"> </w:t>
      </w:r>
      <w:sdt>
        <w:sdtPr>
          <w:id w:val="-31660088"/>
          <w:citation/>
        </w:sdtPr>
        <w:sdtEndPr/>
        <w:sdtContent>
          <w:r w:rsidR="007A7BC6">
            <w:fldChar w:fldCharType="begin"/>
          </w:r>
          <w:r w:rsidR="007A7BC6">
            <w:rPr>
              <w:lang w:val="en-US"/>
            </w:rPr>
            <w:instrText xml:space="preserve"> CITATION Seu25 \l 1033 </w:instrText>
          </w:r>
          <w:r w:rsidR="007A7BC6">
            <w:fldChar w:fldCharType="separate"/>
          </w:r>
          <w:r w:rsidR="007A7BC6" w:rsidRPr="007A7BC6">
            <w:rPr>
              <w:noProof/>
              <w:lang w:val="en-US"/>
            </w:rPr>
            <w:t>[5]</w:t>
          </w:r>
          <w:r w:rsidR="007A7BC6">
            <w:fldChar w:fldCharType="end"/>
          </w:r>
        </w:sdtContent>
      </w:sdt>
      <w:r w:rsidR="004C659C">
        <w:t>.  While for BWRs, the power density is limited to 70 MW/m</w:t>
      </w:r>
      <w:r w:rsidR="004C659C">
        <w:rPr>
          <w:vertAlign w:val="superscript"/>
        </w:rPr>
        <w:t>3</w:t>
      </w:r>
      <w:r w:rsidR="004C659C">
        <w:t xml:space="preserve"> for a 24-month BWR by using the conventional 10x10 fuel lattice</w:t>
      </w:r>
      <w:r w:rsidR="007A7BC6">
        <w:t xml:space="preserve"> </w:t>
      </w:r>
      <w:sdt>
        <w:sdtPr>
          <w:id w:val="1671141155"/>
          <w:citation/>
        </w:sdtPr>
        <w:sdtEndPr/>
        <w:sdtContent>
          <w:r w:rsidR="00B17999">
            <w:fldChar w:fldCharType="begin"/>
          </w:r>
          <w:r w:rsidR="00B17999">
            <w:rPr>
              <w:lang w:val="en-US"/>
            </w:rPr>
            <w:instrText xml:space="preserve"> CITATION Shi13 \l 1033 </w:instrText>
          </w:r>
          <w:r w:rsidR="00B17999">
            <w:fldChar w:fldCharType="separate"/>
          </w:r>
          <w:r w:rsidR="00B17999" w:rsidRPr="00B17999">
            <w:rPr>
              <w:noProof/>
              <w:lang w:val="en-US"/>
            </w:rPr>
            <w:t>[6]</w:t>
          </w:r>
          <w:r w:rsidR="00B17999">
            <w:fldChar w:fldCharType="end"/>
          </w:r>
        </w:sdtContent>
      </w:sdt>
      <w:r w:rsidR="004C659C">
        <w:t xml:space="preserve">.  </w:t>
      </w:r>
    </w:p>
    <w:p w14:paraId="1A94112A" w14:textId="7DC8478F" w:rsidR="00F10D99" w:rsidRPr="00F10D99" w:rsidRDefault="00F10D99" w:rsidP="00D04D6A">
      <w:pPr>
        <w:pStyle w:val="BodyText"/>
      </w:pPr>
      <w:bookmarkStart w:id="2" w:name="_GoBack"/>
      <w:r>
        <w:t>This paper overviews the impact of introducing Advanced Technology Fuels (ATFs</w:t>
      </w:r>
      <w:r w:rsidR="00792B64">
        <w:t>) to SMRs</w:t>
      </w:r>
      <w:r w:rsidR="00F14F35">
        <w:t xml:space="preserve"> (mainly water-cooled), in order to</w:t>
      </w:r>
      <w:r w:rsidR="00792B64">
        <w:t xml:space="preserve"> improve their performance while meeting their promised safety goals. Specifically, the</w:t>
      </w:r>
      <w:r w:rsidR="00F14F35">
        <w:t xml:space="preserve"> application of</w:t>
      </w:r>
      <w:r w:rsidR="00792B64">
        <w:t xml:space="preserve"> coated zircaloy cladding, </w:t>
      </w:r>
      <w:proofErr w:type="spellStart"/>
      <w:proofErr w:type="gramStart"/>
      <w:r w:rsidR="00792B64">
        <w:t>SiC</w:t>
      </w:r>
      <w:proofErr w:type="spellEnd"/>
      <w:proofErr w:type="gramEnd"/>
      <w:r w:rsidR="00792B64">
        <w:t xml:space="preserve"> cladding, </w:t>
      </w:r>
      <w:r w:rsidR="00F14F35">
        <w:t xml:space="preserve">helical-cruciform fuel, </w:t>
      </w:r>
      <w:r w:rsidR="007C45CB">
        <w:t>internally</w:t>
      </w:r>
      <w:r w:rsidR="00F14F35">
        <w:t xml:space="preserve"> and externally cooled annular fuel</w:t>
      </w:r>
      <w:r w:rsidR="00792B64">
        <w:t>, Thorium fuel</w:t>
      </w:r>
      <w:r w:rsidR="00F14F35">
        <w:t>s</w:t>
      </w:r>
      <w:r w:rsidR="00792B64">
        <w:t>,</w:t>
      </w:r>
      <w:r w:rsidR="00F14F35">
        <w:t xml:space="preserve"> increasing the BWR and PWR lattice size will be discussed. Almost in all cases, the application of ATFs and/or increase in power density will require fuel enrichment of greater than 5%. Therefore</w:t>
      </w:r>
      <w:r w:rsidR="00B17999">
        <w:t>,</w:t>
      </w:r>
      <w:r w:rsidR="00F14F35">
        <w:t xml:space="preserve"> application of LEU+ and HALEU for SMRs will also be covered. </w:t>
      </w:r>
    </w:p>
    <w:bookmarkEnd w:id="2"/>
    <w:p w14:paraId="433FE054" w14:textId="0E3DC202" w:rsidR="00EE0041" w:rsidRDefault="00F14F35" w:rsidP="00D04D6A">
      <w:pPr>
        <w:pStyle w:val="Heading1st"/>
      </w:pPr>
      <w:r>
        <w:t>ATF Concepts</w:t>
      </w:r>
    </w:p>
    <w:p w14:paraId="433FE055" w14:textId="3A1C4084" w:rsidR="008B6BB9" w:rsidRPr="003E7A48" w:rsidRDefault="00F14F35" w:rsidP="007C75FA">
      <w:pPr>
        <w:pStyle w:val="Heading2nd"/>
      </w:pPr>
      <w:r>
        <w:t>Coated Cladding</w:t>
      </w:r>
    </w:p>
    <w:p w14:paraId="433FE056" w14:textId="4C734FAA" w:rsidR="00EE0041" w:rsidRDefault="00F51EEE" w:rsidP="00F51EEE">
      <w:pPr>
        <w:pStyle w:val="Authornameandaffiliation"/>
        <w:ind w:left="0"/>
        <w:rPr>
          <w:lang w:val="en-GB"/>
        </w:rPr>
      </w:pPr>
      <w:r>
        <w:rPr>
          <w:lang w:val="en-GB"/>
        </w:rPr>
        <w:t>The leading ATF coated cladding concept globally is the Chromium metal coating for Pressurized Water-cooled Reactors (PWRs)</w:t>
      </w:r>
      <w:r w:rsidR="00B94D46">
        <w:rPr>
          <w:lang w:val="en-GB"/>
        </w:rPr>
        <w:t xml:space="preserve"> </w:t>
      </w:r>
      <w:sdt>
        <w:sdtPr>
          <w:rPr>
            <w:lang w:val="en-GB"/>
          </w:rPr>
          <w:id w:val="-165016288"/>
          <w:citation/>
        </w:sdtPr>
        <w:sdtEndPr/>
        <w:sdtContent>
          <w:r w:rsidR="00B94D46">
            <w:rPr>
              <w:lang w:val="en-GB"/>
            </w:rPr>
            <w:fldChar w:fldCharType="begin"/>
          </w:r>
          <w:r w:rsidR="00B94D46">
            <w:instrText xml:space="preserve"> CITATION Sev18 \l 1033 </w:instrText>
          </w:r>
          <w:r w:rsidR="00B94D46">
            <w:rPr>
              <w:lang w:val="en-GB"/>
            </w:rPr>
            <w:fldChar w:fldCharType="separate"/>
          </w:r>
          <w:r w:rsidR="00B94D46" w:rsidRPr="00B94D46">
            <w:rPr>
              <w:noProof/>
            </w:rPr>
            <w:t>[7]</w:t>
          </w:r>
          <w:r w:rsidR="00B94D46">
            <w:rPr>
              <w:lang w:val="en-GB"/>
            </w:rPr>
            <w:fldChar w:fldCharType="end"/>
          </w:r>
        </w:sdtContent>
      </w:sdt>
      <w:r>
        <w:rPr>
          <w:lang w:val="en-GB"/>
        </w:rPr>
        <w:t xml:space="preserve">. The coating provides corrosion protection during normal operation, reducing oxidation by order of magnitude. Consequently, the hydrogen pickup will also be reduced, though not as much due to initial ingress of hydrogen while the protective Chromia layer slowly forms. The </w:t>
      </w:r>
      <w:r w:rsidR="00C66C77">
        <w:rPr>
          <w:lang w:val="en-GB"/>
        </w:rPr>
        <w:t xml:space="preserve">consequence </w:t>
      </w:r>
      <w:r w:rsidR="00E651EC">
        <w:rPr>
          <w:lang w:val="en-GB"/>
        </w:rPr>
        <w:t>of the reduce</w:t>
      </w:r>
      <w:r w:rsidR="00D145FE">
        <w:rPr>
          <w:lang w:val="en-GB"/>
        </w:rPr>
        <w:t>d</w:t>
      </w:r>
      <w:r w:rsidR="00E651EC">
        <w:rPr>
          <w:lang w:val="en-GB"/>
        </w:rPr>
        <w:t xml:space="preserve"> hydrothermal corrosion is</w:t>
      </w:r>
      <w:r w:rsidR="00C66C77">
        <w:rPr>
          <w:lang w:val="en-GB"/>
        </w:rPr>
        <w:t xml:space="preserve"> more margin</w:t>
      </w:r>
      <w:r w:rsidR="00D145FE">
        <w:rPr>
          <w:lang w:val="en-GB"/>
        </w:rPr>
        <w:t xml:space="preserve"> for cladding failure</w:t>
      </w:r>
      <w:r w:rsidR="00C66C77">
        <w:rPr>
          <w:lang w:val="en-GB"/>
        </w:rPr>
        <w:t xml:space="preserve"> to</w:t>
      </w:r>
      <w:r w:rsidR="00E651EC">
        <w:rPr>
          <w:lang w:val="en-GB"/>
        </w:rPr>
        <w:t xml:space="preserve"> different transients and postulated</w:t>
      </w:r>
      <w:r w:rsidR="00C66C77">
        <w:rPr>
          <w:lang w:val="en-GB"/>
        </w:rPr>
        <w:t xml:space="preserve"> accident</w:t>
      </w:r>
      <w:r w:rsidR="00E651EC">
        <w:rPr>
          <w:lang w:val="en-GB"/>
        </w:rPr>
        <w:t>s</w:t>
      </w:r>
      <w:r w:rsidR="00C66C77">
        <w:rPr>
          <w:lang w:val="en-GB"/>
        </w:rPr>
        <w:t xml:space="preserve">. For Boiling Water Reactors (BWRs), recently MIT proposed a </w:t>
      </w:r>
      <w:proofErr w:type="spellStart"/>
      <w:r w:rsidR="00C66C77">
        <w:rPr>
          <w:lang w:val="en-GB"/>
        </w:rPr>
        <w:t>CrNb</w:t>
      </w:r>
      <w:proofErr w:type="spellEnd"/>
      <w:r w:rsidR="00C66C77">
        <w:rPr>
          <w:lang w:val="en-GB"/>
        </w:rPr>
        <w:t xml:space="preserve"> coating that has shown promising results under irradiation conditions with similar </w:t>
      </w:r>
      <w:r w:rsidR="00E651EC">
        <w:rPr>
          <w:lang w:val="en-GB"/>
        </w:rPr>
        <w:t xml:space="preserve">mentioned </w:t>
      </w:r>
      <w:r w:rsidR="00C66C77">
        <w:rPr>
          <w:lang w:val="en-GB"/>
        </w:rPr>
        <w:t>benefits</w:t>
      </w:r>
      <w:r w:rsidR="00E651EC">
        <w:rPr>
          <w:lang w:val="en-GB"/>
        </w:rPr>
        <w:t xml:space="preserve"> as Cr coating</w:t>
      </w:r>
      <w:r w:rsidR="00D145FE">
        <w:rPr>
          <w:lang w:val="en-GB"/>
        </w:rPr>
        <w:t xml:space="preserve"> </w:t>
      </w:r>
      <w:sdt>
        <w:sdtPr>
          <w:rPr>
            <w:lang w:val="en-GB"/>
          </w:rPr>
          <w:id w:val="1142702840"/>
          <w:citation/>
        </w:sdtPr>
        <w:sdtEndPr/>
        <w:sdtContent>
          <w:r w:rsidR="00D145FE">
            <w:rPr>
              <w:lang w:val="en-GB"/>
            </w:rPr>
            <w:fldChar w:fldCharType="begin"/>
          </w:r>
          <w:r w:rsidR="00D145FE">
            <w:instrText xml:space="preserve"> CITATION Shi25 \l 1033 </w:instrText>
          </w:r>
          <w:r w:rsidR="00D145FE">
            <w:rPr>
              <w:lang w:val="en-GB"/>
            </w:rPr>
            <w:fldChar w:fldCharType="separate"/>
          </w:r>
          <w:r w:rsidR="00D145FE" w:rsidRPr="00D145FE">
            <w:rPr>
              <w:noProof/>
            </w:rPr>
            <w:t>[8]</w:t>
          </w:r>
          <w:r w:rsidR="00D145FE">
            <w:rPr>
              <w:lang w:val="en-GB"/>
            </w:rPr>
            <w:fldChar w:fldCharType="end"/>
          </w:r>
        </w:sdtContent>
      </w:sdt>
      <w:r w:rsidR="00C66C77">
        <w:rPr>
          <w:lang w:val="en-GB"/>
        </w:rPr>
        <w:t xml:space="preserve">. The other normal operation benefit of the coatings is </w:t>
      </w:r>
      <w:r w:rsidR="00E651EC">
        <w:rPr>
          <w:lang w:val="en-GB"/>
        </w:rPr>
        <w:t>its likely higher</w:t>
      </w:r>
      <w:r w:rsidR="00C66C77">
        <w:rPr>
          <w:lang w:val="en-GB"/>
        </w:rPr>
        <w:t xml:space="preserve"> wear </w:t>
      </w:r>
      <w:r w:rsidR="00E651EC">
        <w:rPr>
          <w:lang w:val="en-GB"/>
        </w:rPr>
        <w:t>resistant given its higher hardness</w:t>
      </w:r>
      <w:r w:rsidR="00C66C77">
        <w:rPr>
          <w:lang w:val="en-GB"/>
        </w:rPr>
        <w:t>. Both corrosion and wear can limit the total time a fuel can stay in the core. This is very rel</w:t>
      </w:r>
      <w:r w:rsidR="00E651EC">
        <w:rPr>
          <w:lang w:val="en-GB"/>
        </w:rPr>
        <w:t>e</w:t>
      </w:r>
      <w:r w:rsidR="00C66C77">
        <w:rPr>
          <w:lang w:val="en-GB"/>
        </w:rPr>
        <w:t>vant to SMR</w:t>
      </w:r>
      <w:r w:rsidR="002B67CA">
        <w:rPr>
          <w:lang w:val="en-GB"/>
        </w:rPr>
        <w:t>s</w:t>
      </w:r>
      <w:r w:rsidR="00E651EC">
        <w:rPr>
          <w:lang w:val="en-GB"/>
        </w:rPr>
        <w:t xml:space="preserve"> that target longer than normal fuel cycles (e.g., 5 years or more). </w:t>
      </w:r>
      <w:r w:rsidR="00C66C77">
        <w:rPr>
          <w:lang w:val="en-GB"/>
        </w:rPr>
        <w:t xml:space="preserve"> The reason for lo</w:t>
      </w:r>
      <w:r w:rsidR="00E651EC">
        <w:rPr>
          <w:lang w:val="en-GB"/>
        </w:rPr>
        <w:t>nge</w:t>
      </w:r>
      <w:r w:rsidR="00C66C77">
        <w:rPr>
          <w:lang w:val="en-GB"/>
        </w:rPr>
        <w:t xml:space="preserve">r fuel cycle is that SMRs are typically not for big </w:t>
      </w:r>
      <w:r w:rsidR="002B67CA">
        <w:rPr>
          <w:lang w:val="en-GB"/>
        </w:rPr>
        <w:t xml:space="preserve">electric </w:t>
      </w:r>
      <w:r w:rsidR="00C66C77">
        <w:rPr>
          <w:lang w:val="en-GB"/>
        </w:rPr>
        <w:t xml:space="preserve">markets and given lack of skilled </w:t>
      </w:r>
      <w:r w:rsidR="00E651EC">
        <w:rPr>
          <w:lang w:val="en-GB"/>
        </w:rPr>
        <w:t>labour</w:t>
      </w:r>
      <w:r w:rsidR="00C66C77">
        <w:rPr>
          <w:lang w:val="en-GB"/>
        </w:rPr>
        <w:t xml:space="preserve"> and potential for SMR being the only reactor in a country, performing </w:t>
      </w:r>
      <w:r w:rsidR="00E651EC">
        <w:rPr>
          <w:lang w:val="en-GB"/>
        </w:rPr>
        <w:t>frequent</w:t>
      </w:r>
      <w:r w:rsidR="00C66C77">
        <w:rPr>
          <w:lang w:val="en-GB"/>
        </w:rPr>
        <w:t xml:space="preserve"> refuelling outages </w:t>
      </w:r>
      <w:r w:rsidR="00E651EC">
        <w:rPr>
          <w:lang w:val="en-GB"/>
        </w:rPr>
        <w:t xml:space="preserve">could </w:t>
      </w:r>
      <w:r w:rsidR="002B67CA">
        <w:rPr>
          <w:lang w:val="en-GB"/>
        </w:rPr>
        <w:t xml:space="preserve">be </w:t>
      </w:r>
      <w:r w:rsidR="00E651EC">
        <w:rPr>
          <w:lang w:val="en-GB"/>
        </w:rPr>
        <w:t>overbearing to the owner/operator</w:t>
      </w:r>
      <w:r w:rsidR="00C66C77">
        <w:rPr>
          <w:lang w:val="en-GB"/>
        </w:rPr>
        <w:t>. In some SMR designs</w:t>
      </w:r>
      <w:r w:rsidR="00BB0A22">
        <w:rPr>
          <w:lang w:val="en-GB"/>
        </w:rPr>
        <w:t xml:space="preserve"> such as its application to commercial maritime, it is highly desirable to avoid refuelling all together and design a core that will last the lifetime of the ship (25 to 30 years). Therefore</w:t>
      </w:r>
      <w:r w:rsidR="002B67CA">
        <w:rPr>
          <w:lang w:val="en-GB"/>
        </w:rPr>
        <w:t>,</w:t>
      </w:r>
      <w:r w:rsidR="00BB0A22">
        <w:rPr>
          <w:lang w:val="en-GB"/>
        </w:rPr>
        <w:t xml:space="preserve"> a coating could be enabling for long fuel cycles while no sacrifice is made on core outlet temperature. </w:t>
      </w:r>
    </w:p>
    <w:p w14:paraId="1B190A53" w14:textId="77777777" w:rsidR="00BB0A22" w:rsidRDefault="00BB0A22" w:rsidP="00F51EEE">
      <w:pPr>
        <w:pStyle w:val="Authornameandaffiliation"/>
        <w:ind w:left="0"/>
        <w:rPr>
          <w:lang w:val="en-GB"/>
        </w:rPr>
      </w:pPr>
    </w:p>
    <w:p w14:paraId="6BF5CFF2" w14:textId="745F901B" w:rsidR="00BB0A22" w:rsidRDefault="00BB0A22" w:rsidP="00F51EEE">
      <w:pPr>
        <w:pStyle w:val="Authornameandaffiliation"/>
        <w:ind w:left="0"/>
        <w:rPr>
          <w:lang w:val="en-GB"/>
        </w:rPr>
      </w:pPr>
      <w:r>
        <w:rPr>
          <w:lang w:val="en-GB"/>
        </w:rPr>
        <w:t>Since SMRs are generally not loss of coolant limited due to their smaller or elimination of piping and reactor pressure boundary penetrations, critical heat flux (CHF) becomes a more limiting parameter that will set their power density</w:t>
      </w:r>
      <w:r w:rsidR="002B67CA">
        <w:rPr>
          <w:lang w:val="en-GB"/>
        </w:rPr>
        <w:t xml:space="preserve"> </w:t>
      </w:r>
      <w:sdt>
        <w:sdtPr>
          <w:rPr>
            <w:lang w:val="en-GB"/>
          </w:rPr>
          <w:id w:val="795723949"/>
          <w:citation/>
        </w:sdtPr>
        <w:sdtEndPr/>
        <w:sdtContent>
          <w:r w:rsidR="002B67CA">
            <w:rPr>
              <w:lang w:val="en-GB"/>
            </w:rPr>
            <w:fldChar w:fldCharType="begin"/>
          </w:r>
          <w:r w:rsidR="002B67CA">
            <w:instrText xml:space="preserve"> CITATION Hal21 \l 1033 </w:instrText>
          </w:r>
          <w:r w:rsidR="002B67CA">
            <w:rPr>
              <w:lang w:val="en-GB"/>
            </w:rPr>
            <w:fldChar w:fldCharType="separate"/>
          </w:r>
          <w:r w:rsidR="002B67CA" w:rsidRPr="002B67CA">
            <w:rPr>
              <w:noProof/>
            </w:rPr>
            <w:t>[4]</w:t>
          </w:r>
          <w:r w:rsidR="002B67CA">
            <w:rPr>
              <w:lang w:val="en-GB"/>
            </w:rPr>
            <w:fldChar w:fldCharType="end"/>
          </w:r>
        </w:sdtContent>
      </w:sdt>
      <w:r>
        <w:rPr>
          <w:lang w:val="en-GB"/>
        </w:rPr>
        <w:t>. The coating has shown both oxidation and creep resistance at high temperature. By allowing the cladding to survive the CHF events for PWR and BWR SMRs, substantial thermal margin can be unlocked to enable power uprates</w:t>
      </w:r>
      <w:r w:rsidR="002B67CA">
        <w:rPr>
          <w:lang w:val="en-GB"/>
        </w:rPr>
        <w:t xml:space="preserve"> </w:t>
      </w:r>
      <w:sdt>
        <w:sdtPr>
          <w:rPr>
            <w:lang w:val="en-GB"/>
          </w:rPr>
          <w:id w:val="-1962949412"/>
          <w:citation/>
        </w:sdtPr>
        <w:sdtEndPr/>
        <w:sdtContent>
          <w:r w:rsidR="002B67CA">
            <w:rPr>
              <w:lang w:val="en-GB"/>
            </w:rPr>
            <w:fldChar w:fldCharType="begin"/>
          </w:r>
          <w:r w:rsidR="002B67CA">
            <w:instrText xml:space="preserve"> CITATION HeY21 \l 1033 </w:instrText>
          </w:r>
          <w:r w:rsidR="002B67CA">
            <w:rPr>
              <w:lang w:val="en-GB"/>
            </w:rPr>
            <w:fldChar w:fldCharType="separate"/>
          </w:r>
          <w:r w:rsidR="002B67CA" w:rsidRPr="002B67CA">
            <w:rPr>
              <w:noProof/>
            </w:rPr>
            <w:t>[9]</w:t>
          </w:r>
          <w:r w:rsidR="002B67CA">
            <w:rPr>
              <w:lang w:val="en-GB"/>
            </w:rPr>
            <w:fldChar w:fldCharType="end"/>
          </w:r>
        </w:sdtContent>
      </w:sdt>
      <w:r>
        <w:rPr>
          <w:lang w:val="en-GB"/>
        </w:rPr>
        <w:t xml:space="preserve">. </w:t>
      </w:r>
    </w:p>
    <w:p w14:paraId="34935885" w14:textId="77777777" w:rsidR="00E209D7" w:rsidRDefault="00E209D7" w:rsidP="00F51EEE">
      <w:pPr>
        <w:pStyle w:val="Authornameandaffiliation"/>
        <w:ind w:left="0"/>
        <w:rPr>
          <w:lang w:val="en-GB"/>
        </w:rPr>
      </w:pPr>
    </w:p>
    <w:p w14:paraId="5B8B2E8C" w14:textId="180D8EE0" w:rsidR="00E209D7" w:rsidRPr="003E7A48" w:rsidRDefault="00E209D7" w:rsidP="00E209D7">
      <w:pPr>
        <w:pStyle w:val="Heading2nd"/>
      </w:pPr>
      <w:proofErr w:type="spellStart"/>
      <w:r>
        <w:t>SiC</w:t>
      </w:r>
      <w:proofErr w:type="spellEnd"/>
      <w:r>
        <w:t xml:space="preserve"> Cladding</w:t>
      </w:r>
    </w:p>
    <w:p w14:paraId="7B7D2C18" w14:textId="106FF5D2" w:rsidR="00E209D7" w:rsidRDefault="00E209D7" w:rsidP="00F51EEE">
      <w:pPr>
        <w:pStyle w:val="Authornameandaffiliation"/>
        <w:ind w:left="0"/>
        <w:rPr>
          <w:lang w:val="en-GB"/>
        </w:rPr>
      </w:pPr>
      <w:proofErr w:type="spellStart"/>
      <w:r>
        <w:rPr>
          <w:lang w:val="en-GB"/>
        </w:rPr>
        <w:t>SiC</w:t>
      </w:r>
      <w:proofErr w:type="spellEnd"/>
      <w:r>
        <w:rPr>
          <w:lang w:val="en-GB"/>
        </w:rPr>
        <w:t xml:space="preserve"> provides similar benefits as the coating with added benefit of higher melting points and high radiation resistant. On latter, it can enable SMRs to achieve higher burnups than is possible in LWRs since lower power density of SMRs results in lower strain gradient and thus lower stresses in the cladding. A higher power density will result in similar limitation as large reactors, except a shorter </w:t>
      </w:r>
      <w:r>
        <w:rPr>
          <w:lang w:val="en-GB"/>
        </w:rPr>
        <w:lastRenderedPageBreak/>
        <w:t xml:space="preserve">fuel length </w:t>
      </w:r>
      <w:r w:rsidR="002B67CA">
        <w:rPr>
          <w:lang w:val="en-GB"/>
        </w:rPr>
        <w:t xml:space="preserve">for SMRs will provide smaller total volume for presence and development of microcracks, reducing the overall probability of </w:t>
      </w:r>
      <w:proofErr w:type="spellStart"/>
      <w:r w:rsidR="002B67CA">
        <w:rPr>
          <w:lang w:val="en-GB"/>
        </w:rPr>
        <w:t>SiC</w:t>
      </w:r>
      <w:proofErr w:type="spellEnd"/>
      <w:r w:rsidR="002B67CA">
        <w:rPr>
          <w:lang w:val="en-GB"/>
        </w:rPr>
        <w:t xml:space="preserve"> composite cladding leakage </w:t>
      </w:r>
      <w:sdt>
        <w:sdtPr>
          <w:rPr>
            <w:lang w:val="en-GB"/>
          </w:rPr>
          <w:id w:val="-108362600"/>
          <w:citation/>
        </w:sdtPr>
        <w:sdtEndPr/>
        <w:sdtContent>
          <w:r w:rsidR="002B67CA">
            <w:rPr>
              <w:lang w:val="en-GB"/>
            </w:rPr>
            <w:fldChar w:fldCharType="begin"/>
          </w:r>
          <w:r w:rsidR="002B67CA">
            <w:instrText xml:space="preserve"> CITATION Den18 \l 1033 </w:instrText>
          </w:r>
          <w:r w:rsidR="002B67CA">
            <w:rPr>
              <w:lang w:val="en-GB"/>
            </w:rPr>
            <w:fldChar w:fldCharType="separate"/>
          </w:r>
          <w:r w:rsidR="002B67CA" w:rsidRPr="002B67CA">
            <w:rPr>
              <w:noProof/>
            </w:rPr>
            <w:t>[10]</w:t>
          </w:r>
          <w:r w:rsidR="002B67CA">
            <w:rPr>
              <w:lang w:val="en-GB"/>
            </w:rPr>
            <w:fldChar w:fldCharType="end"/>
          </w:r>
        </w:sdtContent>
      </w:sdt>
      <w:r>
        <w:rPr>
          <w:lang w:val="en-GB"/>
        </w:rPr>
        <w:t xml:space="preserve">. </w:t>
      </w:r>
    </w:p>
    <w:p w14:paraId="47BAAED0" w14:textId="77777777" w:rsidR="00E209D7" w:rsidRDefault="00E209D7" w:rsidP="00F51EEE">
      <w:pPr>
        <w:pStyle w:val="Authornameandaffiliation"/>
        <w:ind w:left="0"/>
        <w:rPr>
          <w:lang w:val="en-GB"/>
        </w:rPr>
      </w:pPr>
    </w:p>
    <w:p w14:paraId="53CA4A29" w14:textId="1D6C88B7" w:rsidR="00E209D7" w:rsidRDefault="00E209D7" w:rsidP="00E209D7">
      <w:pPr>
        <w:pStyle w:val="Heading2nd"/>
      </w:pPr>
      <w:r>
        <w:t>Helical Cruciform Fuel</w:t>
      </w:r>
    </w:p>
    <w:p w14:paraId="22BAF41F" w14:textId="4B5CA44F" w:rsidR="00E209D7" w:rsidRDefault="00E209D7" w:rsidP="00E209D7">
      <w:pPr>
        <w:pStyle w:val="BodyText"/>
      </w:pPr>
      <w:r>
        <w:t>HCF provides higher surface volume ratio which reduces the average heat flux and conduction path within the fuel</w:t>
      </w:r>
      <w:r w:rsidR="001D5888">
        <w:t xml:space="preserve"> as shown in Fig. 1</w:t>
      </w:r>
      <w:r>
        <w:t>. Regardless of using a metallic fuel such as proposed by Lightbridge (</w:t>
      </w:r>
      <w:proofErr w:type="spellStart"/>
      <w:r>
        <w:t>UZr</w:t>
      </w:r>
      <w:proofErr w:type="spellEnd"/>
      <w:r>
        <w:t xml:space="preserve">) or an oxide one, HCF can allow </w:t>
      </w:r>
      <w:r w:rsidR="002B67CA">
        <w:t>for increasing the power density of a PWR because of</w:t>
      </w:r>
      <w:r>
        <w:t xml:space="preserve"> its </w:t>
      </w:r>
      <w:r w:rsidR="002B67CA">
        <w:t xml:space="preserve">higher </w:t>
      </w:r>
      <w:r>
        <w:t xml:space="preserve">surface area </w:t>
      </w:r>
      <w:r w:rsidR="002B67CA">
        <w:t xml:space="preserve">by as much as 40% </w:t>
      </w:r>
      <w:sdt>
        <w:sdtPr>
          <w:id w:val="887990529"/>
          <w:citation/>
        </w:sdtPr>
        <w:sdtEndPr/>
        <w:sdtContent>
          <w:r w:rsidR="002B67CA">
            <w:fldChar w:fldCharType="begin"/>
          </w:r>
          <w:r w:rsidR="002B67CA">
            <w:rPr>
              <w:lang w:val="en-US"/>
            </w:rPr>
            <w:instrText xml:space="preserve"> CITATION Shi16 \l 1033 </w:instrText>
          </w:r>
          <w:r w:rsidR="002B67CA">
            <w:fldChar w:fldCharType="separate"/>
          </w:r>
          <w:r w:rsidR="002B67CA" w:rsidRPr="002B67CA">
            <w:rPr>
              <w:noProof/>
              <w:lang w:val="en-US"/>
            </w:rPr>
            <w:t>[11]</w:t>
          </w:r>
          <w:r w:rsidR="002B67CA">
            <w:fldChar w:fldCharType="end"/>
          </w:r>
        </w:sdtContent>
      </w:sdt>
      <w:r>
        <w:t>. In order to address the mentioned hydrothermal corrosion concerns for some long fuel cycle SMRs, the HCF could leverage the coated clad</w:t>
      </w:r>
      <w:r w:rsidR="00606EA8">
        <w:t>ding</w:t>
      </w:r>
      <w:r>
        <w:t xml:space="preserve">. One of the key advantages </w:t>
      </w:r>
      <w:r w:rsidR="00C15715">
        <w:t xml:space="preserve">of HCF is lower pressure drop through elimination of spacer grids and mixing </w:t>
      </w:r>
      <w:r w:rsidR="00606EA8">
        <w:t>vanes</w:t>
      </w:r>
      <w:r w:rsidR="00C15715">
        <w:t>. This allows accommodation of higher flow rates, enhancing its power uprate potential. Another key attribute of HCF is that it can be retrofitted to an existing assembly and as such there is no need to redesign control rod fingers for PWRs. The enhancement of CHF at high qualities for HCF continues to be a controversial topic and care needs to be made to realize if a power uprate is possible</w:t>
      </w:r>
      <w:r w:rsidR="00606EA8">
        <w:t xml:space="preserve"> </w:t>
      </w:r>
      <w:sdt>
        <w:sdtPr>
          <w:id w:val="1044332246"/>
          <w:citation/>
        </w:sdtPr>
        <w:sdtEndPr/>
        <w:sdtContent>
          <w:r w:rsidR="00606EA8">
            <w:fldChar w:fldCharType="begin"/>
          </w:r>
          <w:r w:rsidR="00606EA8">
            <w:rPr>
              <w:lang w:val="en-US"/>
            </w:rPr>
            <w:instrText xml:space="preserve"> CITATION Shi16 \l 1033 </w:instrText>
          </w:r>
          <w:r w:rsidR="00606EA8">
            <w:fldChar w:fldCharType="separate"/>
          </w:r>
          <w:r w:rsidR="00606EA8" w:rsidRPr="00606EA8">
            <w:rPr>
              <w:noProof/>
              <w:lang w:val="en-US"/>
            </w:rPr>
            <w:t>[11]</w:t>
          </w:r>
          <w:r w:rsidR="00606EA8">
            <w:fldChar w:fldCharType="end"/>
          </w:r>
        </w:sdtContent>
      </w:sdt>
      <w:r w:rsidR="00C15715">
        <w:t>. In the</w:t>
      </w:r>
      <w:r w:rsidR="00606EA8">
        <w:t xml:space="preserve"> metallic</w:t>
      </w:r>
      <w:r w:rsidR="00C15715">
        <w:t xml:space="preserve"> </w:t>
      </w:r>
      <w:r w:rsidR="00606EA8">
        <w:t xml:space="preserve">50% by weight Zirconium </w:t>
      </w:r>
      <w:proofErr w:type="spellStart"/>
      <w:r w:rsidR="00C15715">
        <w:t>UZr</w:t>
      </w:r>
      <w:proofErr w:type="spellEnd"/>
      <w:r w:rsidR="00606EA8">
        <w:t xml:space="preserve"> fuel</w:t>
      </w:r>
      <w:r w:rsidR="00C15715">
        <w:t xml:space="preserve">, HCF will </w:t>
      </w:r>
      <w:r w:rsidR="00606EA8">
        <w:t xml:space="preserve">have to </w:t>
      </w:r>
      <w:r w:rsidR="00C15715">
        <w:t>utilize &gt;10% enriched fuel</w:t>
      </w:r>
      <w:r w:rsidR="00606EA8">
        <w:t xml:space="preserve"> given the low U density for both large reactors and SMRs </w:t>
      </w:r>
      <w:sdt>
        <w:sdtPr>
          <w:id w:val="-1747635193"/>
          <w:citation/>
        </w:sdtPr>
        <w:sdtEndPr/>
        <w:sdtContent>
          <w:r w:rsidR="00606EA8">
            <w:fldChar w:fldCharType="begin"/>
          </w:r>
          <w:r w:rsidR="00606EA8">
            <w:rPr>
              <w:lang w:val="en-US"/>
            </w:rPr>
            <w:instrText xml:space="preserve"> CITATION Cho24 \l 1033 </w:instrText>
          </w:r>
          <w:r w:rsidR="00606EA8">
            <w:fldChar w:fldCharType="separate"/>
          </w:r>
          <w:r w:rsidR="00606EA8" w:rsidRPr="00606EA8">
            <w:rPr>
              <w:noProof/>
              <w:lang w:val="en-US"/>
            </w:rPr>
            <w:t>[12]</w:t>
          </w:r>
          <w:r w:rsidR="00606EA8">
            <w:fldChar w:fldCharType="end"/>
          </w:r>
        </w:sdtContent>
      </w:sdt>
      <w:r w:rsidR="00606EA8">
        <w:t>.  The metallic fuel also features lower melting point than Uranium-Oxide by over 1000</w:t>
      </w:r>
      <w:r w:rsidR="00606EA8">
        <w:rPr>
          <w:vertAlign w:val="superscript"/>
        </w:rPr>
        <w:t>o</w:t>
      </w:r>
      <w:r w:rsidR="00606EA8">
        <w:t xml:space="preserve">C.  </w:t>
      </w:r>
      <w:r w:rsidR="00C15715">
        <w:t xml:space="preserve">This lower melting pointing maybe </w:t>
      </w:r>
      <w:r w:rsidR="001D5888">
        <w:t>more compatible</w:t>
      </w:r>
      <w:r w:rsidR="00C15715">
        <w:t xml:space="preserve"> to an SMR with </w:t>
      </w:r>
      <w:r w:rsidR="001D5888">
        <w:t>enhanced</w:t>
      </w:r>
      <w:r w:rsidR="00C15715">
        <w:t xml:space="preserve"> safety profile and reduced accident scope. </w:t>
      </w:r>
    </w:p>
    <w:p w14:paraId="1605E455" w14:textId="77777777" w:rsidR="0012599C" w:rsidRPr="00E209D7" w:rsidRDefault="0012599C" w:rsidP="00E209D7">
      <w:pPr>
        <w:pStyle w:val="BodyText"/>
      </w:pPr>
    </w:p>
    <w:p w14:paraId="6A86F8A2" w14:textId="25CDEA4B" w:rsidR="00E209D7" w:rsidRDefault="00C15715" w:rsidP="00E209D7">
      <w:pPr>
        <w:pStyle w:val="Heading2nd"/>
      </w:pPr>
      <w:r>
        <w:t>Internally</w:t>
      </w:r>
      <w:r w:rsidR="00E209D7">
        <w:t xml:space="preserve"> and Externally Annular Fuel</w:t>
      </w:r>
    </w:p>
    <w:p w14:paraId="55BF487C" w14:textId="20717FD3" w:rsidR="00C15715" w:rsidRDefault="00C15715" w:rsidP="00C15715">
      <w:pPr>
        <w:pStyle w:val="BodyText"/>
      </w:pPr>
      <w:r>
        <w:t>IXAF was explored for large PWRs and BWRs to gain power uprate</w:t>
      </w:r>
      <w:r w:rsidR="001D5888">
        <w:t xml:space="preserve"> as shown in Fig. 1</w:t>
      </w:r>
      <w:r>
        <w:t>. It was found that for PWRs, 50% power uprate potential exists while the presence of central hole did not provide additional margin for BWRs</w:t>
      </w:r>
      <w:r w:rsidR="0012599C">
        <w:t xml:space="preserve"> </w:t>
      </w:r>
      <w:sdt>
        <w:sdtPr>
          <w:id w:val="652494355"/>
          <w:citation/>
        </w:sdtPr>
        <w:sdtEndPr/>
        <w:sdtContent>
          <w:r w:rsidR="0012599C">
            <w:fldChar w:fldCharType="begin"/>
          </w:r>
          <w:r w:rsidR="0012599C">
            <w:rPr>
              <w:lang w:val="en-US"/>
            </w:rPr>
            <w:instrText xml:space="preserve"> CITATION Shi12 \l 1033 </w:instrText>
          </w:r>
          <w:r w:rsidR="0012599C">
            <w:fldChar w:fldCharType="separate"/>
          </w:r>
          <w:r w:rsidR="0012599C" w:rsidRPr="0012599C">
            <w:rPr>
              <w:noProof/>
              <w:lang w:val="en-US"/>
            </w:rPr>
            <w:t>[13]</w:t>
          </w:r>
          <w:r w:rsidR="0012599C">
            <w:fldChar w:fldCharType="end"/>
          </w:r>
        </w:sdtContent>
      </w:sdt>
      <w:r>
        <w:t xml:space="preserve">. However, the PWR application has not been continued due to concerns about reduced CHF margin in case of plugging of the inner channel. This limitation can be addressed not only through better coolant </w:t>
      </w:r>
      <w:r w:rsidR="00CF028A">
        <w:t>filtration</w:t>
      </w:r>
      <w:r>
        <w:t xml:space="preserve"> and chemistry control </w:t>
      </w:r>
      <w:r w:rsidR="00CF028A">
        <w:t xml:space="preserve">of a smaller circulating system of SMRs </w:t>
      </w:r>
      <w:r>
        <w:t xml:space="preserve">to reduce chance of plugging but also through the mentioned application of ATF cladding, making the fuel CHF resilient. </w:t>
      </w:r>
      <w:r w:rsidR="00CF028A">
        <w:t>Unlike HCF, IXAF will require re</w:t>
      </w:r>
      <w:r w:rsidR="0012599C">
        <w:t>-</w:t>
      </w:r>
      <w:r w:rsidR="00CF028A">
        <w:t>optimization of the control rod fingers</w:t>
      </w:r>
      <w:r w:rsidR="0012599C">
        <w:t xml:space="preserve"> for PWR application</w:t>
      </w:r>
      <w:r w:rsidR="00CF028A">
        <w:t xml:space="preserve"> to provide adequate shutdown margin</w:t>
      </w:r>
      <w:r w:rsidR="0012599C">
        <w:t xml:space="preserve"> as the fuel diameter will be too large to be accommodated in existing fuel lattices</w:t>
      </w:r>
      <w:r w:rsidR="00CF028A">
        <w:t>. The loss of fuel volume from the internal hole combined with significant power uprate will also increase the enrichment requirements to LEU+.</w:t>
      </w:r>
    </w:p>
    <w:p w14:paraId="5D8FDDD3" w14:textId="77777777" w:rsidR="0012599C" w:rsidRDefault="0012599C" w:rsidP="00C15715">
      <w:pPr>
        <w:pStyle w:val="BodyText"/>
      </w:pPr>
    </w:p>
    <w:p w14:paraId="41C8AE94" w14:textId="77777777" w:rsidR="0012599C" w:rsidRDefault="0012599C" w:rsidP="0012599C">
      <w:pPr>
        <w:pStyle w:val="Heading2nd"/>
      </w:pPr>
      <w:r>
        <w:t>Thorium Fuels</w:t>
      </w:r>
    </w:p>
    <w:p w14:paraId="4ADE29D3" w14:textId="63A2C1B5" w:rsidR="0012599C" w:rsidRDefault="0012599C" w:rsidP="0012599C">
      <w:pPr>
        <w:pStyle w:val="BodyText"/>
      </w:pPr>
      <w:r>
        <w:t>Thorium-oxide (</w:t>
      </w:r>
      <w:proofErr w:type="spellStart"/>
      <w:r>
        <w:t>thoira</w:t>
      </w:r>
      <w:proofErr w:type="spellEnd"/>
      <w:r>
        <w:t>) provides high melting point, higher conductivity and better fission gas retention when added to UO</w:t>
      </w:r>
      <w:r>
        <w:rPr>
          <w:vertAlign w:val="subscript"/>
        </w:rPr>
        <w:t>2</w:t>
      </w:r>
      <w:r>
        <w:t xml:space="preserve"> making it a worthy ATF concept </w:t>
      </w:r>
      <w:sdt>
        <w:sdtPr>
          <w:id w:val="-919483377"/>
          <w:citation/>
        </w:sdtPr>
        <w:sdtEndPr/>
        <w:sdtContent>
          <w:r>
            <w:fldChar w:fldCharType="begin"/>
          </w:r>
          <w:r>
            <w:rPr>
              <w:lang w:val="en-US"/>
            </w:rPr>
            <w:instrText xml:space="preserve"> CITATION Shi24 \l 1033 </w:instrText>
          </w:r>
          <w:r>
            <w:fldChar w:fldCharType="separate"/>
          </w:r>
          <w:r w:rsidRPr="0012599C">
            <w:rPr>
              <w:noProof/>
              <w:lang w:val="en-US"/>
            </w:rPr>
            <w:t>[14]</w:t>
          </w:r>
          <w:r>
            <w:fldChar w:fldCharType="end"/>
          </w:r>
        </w:sdtContent>
      </w:sdt>
      <w:r>
        <w:t xml:space="preserve">. If higher power densities than large reactors are investigated for SMRs, fuel melting temperature becomes a limiting factor. Fission gas release also challenges plenum pressure limits. As such, the addition of Thorium can potential address </w:t>
      </w:r>
      <w:proofErr w:type="gramStart"/>
      <w:r>
        <w:t>these limitation</w:t>
      </w:r>
      <w:proofErr w:type="gramEnd"/>
      <w:r>
        <w:t xml:space="preserve"> seen for the conventional PWR and BWR assemblies at 110 MW/m</w:t>
      </w:r>
      <w:r>
        <w:rPr>
          <w:vertAlign w:val="superscript"/>
        </w:rPr>
        <w:t>3</w:t>
      </w:r>
      <w:r>
        <w:t xml:space="preserve"> and 70 MW/m</w:t>
      </w:r>
      <w:r>
        <w:rPr>
          <w:vertAlign w:val="superscript"/>
        </w:rPr>
        <w:t>3</w:t>
      </w:r>
      <w:r>
        <w:t xml:space="preserve">, for a 24 month cycle respectively. The addition of Thorium will come with a penalty of increase in uranium enrichment due to displaced uranium </w:t>
      </w:r>
      <w:sdt>
        <w:sdtPr>
          <w:id w:val="-1971426258"/>
          <w:citation/>
        </w:sdtPr>
        <w:sdtEndPr/>
        <w:sdtContent>
          <w:r>
            <w:fldChar w:fldCharType="begin"/>
          </w:r>
          <w:r>
            <w:rPr>
              <w:lang w:val="en-US"/>
            </w:rPr>
            <w:instrText xml:space="preserve"> CITATION Shi251 \l 1033 </w:instrText>
          </w:r>
          <w:r>
            <w:fldChar w:fldCharType="separate"/>
          </w:r>
          <w:r w:rsidRPr="0012599C">
            <w:rPr>
              <w:noProof/>
              <w:lang w:val="en-US"/>
            </w:rPr>
            <w:t>[15]</w:t>
          </w:r>
          <w:r>
            <w:fldChar w:fldCharType="end"/>
          </w:r>
        </w:sdtContent>
      </w:sdt>
      <w:r>
        <w:t xml:space="preserve">. If &gt;60% by weight Thoria is required to realize its enhanced benefits, then this pushes the enrichment of an uprated SMR core to &gt;10% beyond LEU+ enrichment levels, requiring HALEU fuel. </w:t>
      </w:r>
    </w:p>
    <w:p w14:paraId="25B5D39C" w14:textId="77777777" w:rsidR="0012599C" w:rsidRPr="00CF028A" w:rsidRDefault="0012599C" w:rsidP="0012599C">
      <w:pPr>
        <w:pStyle w:val="BodyText"/>
      </w:pPr>
    </w:p>
    <w:p w14:paraId="47F7571F" w14:textId="77777777" w:rsidR="0012599C" w:rsidRDefault="0012599C" w:rsidP="0012599C">
      <w:pPr>
        <w:pStyle w:val="Heading2nd"/>
      </w:pPr>
      <w:r>
        <w:t>Increasing the Lattice Size and Role of ATF</w:t>
      </w:r>
    </w:p>
    <w:p w14:paraId="76D6276F" w14:textId="28388BDA" w:rsidR="0012599C" w:rsidRDefault="0012599C" w:rsidP="0012599C">
      <w:pPr>
        <w:pStyle w:val="BodyText"/>
      </w:pPr>
      <w:r>
        <w:t xml:space="preserve">Increasing the fuel array while keeping the width of the fuel assembly the same has been one of the most common ways to realize power uprates </w:t>
      </w:r>
      <w:sdt>
        <w:sdtPr>
          <w:id w:val="1281224980"/>
          <w:citation/>
        </w:sdtPr>
        <w:sdtEndPr/>
        <w:sdtContent>
          <w:r>
            <w:fldChar w:fldCharType="begin"/>
          </w:r>
          <w:r>
            <w:rPr>
              <w:lang w:val="en-US"/>
            </w:rPr>
            <w:instrText xml:space="preserve"> CITATION Shi22 \l 1033 </w:instrText>
          </w:r>
          <w:r>
            <w:fldChar w:fldCharType="separate"/>
          </w:r>
          <w:r w:rsidRPr="0012599C">
            <w:rPr>
              <w:noProof/>
              <w:lang w:val="en-US"/>
            </w:rPr>
            <w:t>[16]</w:t>
          </w:r>
          <w:r>
            <w:fldChar w:fldCharType="end"/>
          </w:r>
        </w:sdtContent>
      </w:sdt>
      <w:r>
        <w:t xml:space="preserve">. Typically, the grid support and fuel rod vibration </w:t>
      </w:r>
      <w:proofErr w:type="gramStart"/>
      <w:r>
        <w:lastRenderedPageBreak/>
        <w:t>becomes</w:t>
      </w:r>
      <w:proofErr w:type="gramEnd"/>
      <w:r>
        <w:t xml:space="preserve"> limiting as the fuel rod becomes smaller. The mentioned application of ATF coating that provides higher wear margin can help reduce wear rates enabling larger array sizes. Based on the studies, 21x21 for PWR and 13x13 for BWRs are likely the largest array size possible</w:t>
      </w:r>
      <w:r w:rsidR="00115E69">
        <w:t xml:space="preserve"> from fuel manufacturing point-of-view</w:t>
      </w:r>
      <w:r>
        <w:t>. The increase in array size</w:t>
      </w:r>
      <w:r w:rsidR="00115E69">
        <w:t xml:space="preserve"> for PWRs will result in </w:t>
      </w:r>
      <w:r>
        <w:t>redesign of control rod fingers in PWRs</w:t>
      </w:r>
      <w:r w:rsidR="00115E69">
        <w:t>, similar to the IXAF concept</w:t>
      </w:r>
      <w:r>
        <w:t xml:space="preserve">. </w:t>
      </w:r>
    </w:p>
    <w:p w14:paraId="2F21E130" w14:textId="77777777" w:rsidR="0012599C" w:rsidRDefault="0012599C" w:rsidP="00C15715">
      <w:pPr>
        <w:pStyle w:val="BodyText"/>
      </w:pPr>
    </w:p>
    <w:p w14:paraId="1DFE6EC4" w14:textId="20ED70BC" w:rsidR="001D5888" w:rsidRDefault="001D5888" w:rsidP="00C15715">
      <w:pPr>
        <w:pStyle w:val="BodyText"/>
      </w:pPr>
      <w:r>
        <w:rPr>
          <w:noProof/>
        </w:rPr>
        <w:drawing>
          <wp:inline distT="0" distB="0" distL="0" distR="0" wp14:anchorId="3F036379" wp14:editId="528DB1DE">
            <wp:extent cx="7510780" cy="2883535"/>
            <wp:effectExtent l="0" t="0" r="0" b="0"/>
            <wp:docPr id="11673984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10780" cy="2883535"/>
                    </a:xfrm>
                    <a:prstGeom prst="rect">
                      <a:avLst/>
                    </a:prstGeom>
                    <a:noFill/>
                  </pic:spPr>
                </pic:pic>
              </a:graphicData>
            </a:graphic>
          </wp:inline>
        </w:drawing>
      </w:r>
    </w:p>
    <w:p w14:paraId="2E498A8E" w14:textId="6D3F22F4" w:rsidR="001D5888" w:rsidRDefault="001D5888" w:rsidP="001D5888">
      <w:pPr>
        <w:pStyle w:val="Figurecaption"/>
      </w:pPr>
      <w:r>
        <w:t xml:space="preserve">FIG. 1. </w:t>
      </w:r>
      <w:r w:rsidRPr="001D5888">
        <w:t xml:space="preserve">Left: IXAF fuel performance at the presence of straight through radial crack that could lead to stronger local PCMI and stress concentration. Right: De-twist deformation (left, unsymmetrical strain magnitude) and bowing deformation (middle, 10 times enlarged) of </w:t>
      </w:r>
      <w:r>
        <w:t xml:space="preserve">HCF [Figures from </w:t>
      </w:r>
      <w:sdt>
        <w:sdtPr>
          <w:id w:val="1838426119"/>
          <w:citation/>
        </w:sdtPr>
        <w:sdtEndPr/>
        <w:sdtContent>
          <w:r>
            <w:fldChar w:fldCharType="begin"/>
          </w:r>
          <w:r>
            <w:rPr>
              <w:lang w:val="en-US"/>
            </w:rPr>
            <w:instrText xml:space="preserve"> CITATION Den19 \l 1033 </w:instrText>
          </w:r>
          <w:r>
            <w:fldChar w:fldCharType="separate"/>
          </w:r>
          <w:r w:rsidRPr="001D5888">
            <w:rPr>
              <w:noProof/>
              <w:lang w:val="en-US"/>
            </w:rPr>
            <w:t>[13]</w:t>
          </w:r>
          <w:r>
            <w:fldChar w:fldCharType="end"/>
          </w:r>
        </w:sdtContent>
      </w:sdt>
      <w:r>
        <w:t>]</w:t>
      </w:r>
      <w:r w:rsidRPr="001D5888">
        <w:t>.</w:t>
      </w:r>
    </w:p>
    <w:p w14:paraId="17E33027" w14:textId="77777777" w:rsidR="0012599C" w:rsidRPr="00C15715" w:rsidRDefault="0012599C" w:rsidP="0012599C">
      <w:pPr>
        <w:pStyle w:val="BodyText"/>
      </w:pPr>
    </w:p>
    <w:p w14:paraId="0DF6C6E4" w14:textId="5CB8526F" w:rsidR="001B1187" w:rsidRDefault="00E209D7" w:rsidP="001B1187">
      <w:pPr>
        <w:pStyle w:val="Heading2nd"/>
      </w:pPr>
      <w:r>
        <w:t>LEU+ and HALEU Implications</w:t>
      </w:r>
    </w:p>
    <w:p w14:paraId="35DC1B50" w14:textId="3DA3D6A0" w:rsidR="003203A2" w:rsidRDefault="003203A2" w:rsidP="001B1187">
      <w:pPr>
        <w:pStyle w:val="BodyText"/>
      </w:pPr>
      <w:r>
        <w:t xml:space="preserve">As noted, the power </w:t>
      </w:r>
      <w:proofErr w:type="gramStart"/>
      <w:r>
        <w:t>uprate</w:t>
      </w:r>
      <w:proofErr w:type="gramEnd"/>
      <w:r>
        <w:t xml:space="preserve"> and/or long fuel cycles or change of fuel to HCF/IXAF/Thori</w:t>
      </w:r>
      <w:r w:rsidR="00115E69">
        <w:t>a</w:t>
      </w:r>
      <w:r>
        <w:t xml:space="preserve"> will result in need for LEU+/HALEU fuels. Currently, LEU+ fuel assembly is being irradiated in</w:t>
      </w:r>
      <w:r w:rsidR="00115E69">
        <w:t xml:space="preserve"> a</w:t>
      </w:r>
      <w:r>
        <w:t xml:space="preserve"> U.S. reactor</w:t>
      </w:r>
      <w:r w:rsidR="00115E69">
        <w:t xml:space="preserve"> as lead test assembly (LTA)</w:t>
      </w:r>
      <w:r>
        <w:t xml:space="preserve">. HALEU supply chain continues to </w:t>
      </w:r>
      <w:r w:rsidR="00102267">
        <w:t>be under development in the U.S. while there are no</w:t>
      </w:r>
      <w:r>
        <w:t xml:space="preserve"> concrete plans internationally</w:t>
      </w:r>
      <w:r w:rsidR="00102267">
        <w:t xml:space="preserve">.  </w:t>
      </w:r>
      <w:r>
        <w:t xml:space="preserve">Beyond </w:t>
      </w:r>
      <w:r w:rsidR="00102267">
        <w:t xml:space="preserve">higher degree </w:t>
      </w:r>
      <w:r>
        <w:t>criticality safety during handling</w:t>
      </w:r>
      <w:r w:rsidR="00102267">
        <w:t xml:space="preserve"> required for HALEU fuels</w:t>
      </w:r>
      <w:r>
        <w:t xml:space="preserve">, the adequate </w:t>
      </w:r>
      <w:proofErr w:type="gramStart"/>
      <w:r>
        <w:t>long term</w:t>
      </w:r>
      <w:proofErr w:type="gramEnd"/>
      <w:r>
        <w:t xml:space="preserve"> reactivity control is also needed for these enrichments. Typical burnable absorbers </w:t>
      </w:r>
      <w:r w:rsidR="00102267">
        <w:t xml:space="preserve">such as gadolinium oxide </w:t>
      </w:r>
      <w:r>
        <w:t xml:space="preserve">penalize fuel performance </w:t>
      </w:r>
      <w:r w:rsidR="00102267">
        <w:t>by lowering the fuel melting point and its thermal</w:t>
      </w:r>
      <w:r>
        <w:t xml:space="preserve"> conductivity. Thorium could be used a</w:t>
      </w:r>
      <w:r w:rsidR="00697382">
        <w:t>s a</w:t>
      </w:r>
      <w:r>
        <w:t xml:space="preserve"> weak burnable absorber if impact of burnable poison on fuel pe</w:t>
      </w:r>
      <w:r w:rsidR="00115E69">
        <w:t>rfor</w:t>
      </w:r>
      <w:r>
        <w:t>mance becomes limiting.  Control rod strength needs to be adequate to provide sufficient shutdown margin</w:t>
      </w:r>
      <w:r w:rsidR="00697382">
        <w:t xml:space="preserve"> for HALEU fuels</w:t>
      </w:r>
      <w:r>
        <w:t xml:space="preserve">. In some SMRs, like NuScale, </w:t>
      </w:r>
      <w:r w:rsidR="00697382">
        <w:t xml:space="preserve">the </w:t>
      </w:r>
      <w:r>
        <w:t>regulator has allowed to use rod banks on different systems without needing an independent means of shutdown or even long term subcriticality</w:t>
      </w:r>
      <w:r w:rsidR="00697382">
        <w:t xml:space="preserve"> </w:t>
      </w:r>
      <w:sdt>
        <w:sdtPr>
          <w:id w:val="-807547916"/>
          <w:citation/>
        </w:sdtPr>
        <w:sdtEndPr/>
        <w:sdtContent>
          <w:r w:rsidR="00697382">
            <w:fldChar w:fldCharType="begin"/>
          </w:r>
          <w:r w:rsidR="00697382">
            <w:rPr>
              <w:lang w:val="en-US"/>
            </w:rPr>
            <w:instrText xml:space="preserve">CITATION NRC20 \l 1033 </w:instrText>
          </w:r>
          <w:r w:rsidR="00697382">
            <w:fldChar w:fldCharType="separate"/>
          </w:r>
          <w:r w:rsidR="00697382" w:rsidRPr="00697382">
            <w:rPr>
              <w:noProof/>
              <w:lang w:val="en-US"/>
            </w:rPr>
            <w:t>[18]</w:t>
          </w:r>
          <w:r w:rsidR="00697382">
            <w:fldChar w:fldCharType="end"/>
          </w:r>
        </w:sdtContent>
      </w:sdt>
      <w:r>
        <w:t>. As such, the more relaxed SMR treatment could allow for more efficient control to me</w:t>
      </w:r>
      <w:r w:rsidR="00B6533E">
        <w:t>e</w:t>
      </w:r>
      <w:r>
        <w:t>t shutdown margin at higher power densities that is possible for LWRs with LEU+ and HALEU fuels. The other aspect of importance is cost, which motivated the original</w:t>
      </w:r>
      <w:r w:rsidR="00B6533E">
        <w:t xml:space="preserve"> exploration of</w:t>
      </w:r>
      <w:r>
        <w:t xml:space="preserve"> power uprate</w:t>
      </w:r>
      <w:r w:rsidR="00B6533E">
        <w:t xml:space="preserve"> to reduce the cost of electricity production</w:t>
      </w:r>
      <w:r>
        <w:t xml:space="preserve">. </w:t>
      </w:r>
      <w:r w:rsidR="00F51631">
        <w:t xml:space="preserve">Otherwise, TRISO fuel would have been proposed for </w:t>
      </w:r>
      <w:r w:rsidR="00B6533E">
        <w:t xml:space="preserve">water-cooled </w:t>
      </w:r>
      <w:r w:rsidR="00F51631">
        <w:t>SMRs</w:t>
      </w:r>
      <w:r w:rsidR="00B6533E">
        <w:t xml:space="preserve"> as perhaps the most accident tolerant concept but its high fabrication cost </w:t>
      </w:r>
      <w:r w:rsidR="006F0503">
        <w:t>is</w:t>
      </w:r>
      <w:r w:rsidR="00B6533E">
        <w:t xml:space="preserve"> problematic. In addition, TRISO’s low fuel volume density can force the enrichment even above 20% when increasing the power density of water-cooled SMRs while meeting reasonable cycle lengths</w:t>
      </w:r>
      <w:r w:rsidR="00F51631">
        <w:t xml:space="preserve">. </w:t>
      </w:r>
      <w:r>
        <w:t>Unless HAL</w:t>
      </w:r>
      <w:r w:rsidR="00B6533E">
        <w:t>EU</w:t>
      </w:r>
      <w:r w:rsidR="006F0503">
        <w:t xml:space="preserve"> supply chain gears up to provide affordable fuel stream, the concept requiring HALEU will have questionable economic potential</w:t>
      </w:r>
      <w:r>
        <w:t xml:space="preserve">. </w:t>
      </w:r>
    </w:p>
    <w:p w14:paraId="68A3BAB0" w14:textId="35F5E843" w:rsidR="001B1187" w:rsidRDefault="003203A2" w:rsidP="001B1187">
      <w:pPr>
        <w:pStyle w:val="BodyText"/>
      </w:pPr>
      <w:r>
        <w:t xml:space="preserve"> </w:t>
      </w:r>
    </w:p>
    <w:p w14:paraId="1C4AA879" w14:textId="77777777" w:rsidR="00F51631" w:rsidRDefault="00F51631" w:rsidP="003E7A48">
      <w:pPr>
        <w:pStyle w:val="Heading1st"/>
      </w:pPr>
      <w:r>
        <w:lastRenderedPageBreak/>
        <w:t>Conclusion</w:t>
      </w:r>
    </w:p>
    <w:p w14:paraId="5BB6BACD" w14:textId="044712F4" w:rsidR="00F51631" w:rsidRDefault="00F51631" w:rsidP="00F51631">
      <w:pPr>
        <w:pStyle w:val="BodyText"/>
      </w:pPr>
      <w:r>
        <w:t xml:space="preserve">In summary, </w:t>
      </w:r>
      <w:r w:rsidR="006F0503">
        <w:t xml:space="preserve">water-cooled </w:t>
      </w:r>
      <w:r>
        <w:t>SMR</w:t>
      </w:r>
      <w:r w:rsidR="006F0503">
        <w:t>s</w:t>
      </w:r>
      <w:r>
        <w:t xml:space="preserve"> lack economy of scale to enable their wide adoption</w:t>
      </w:r>
      <w:r w:rsidR="006F0503">
        <w:t xml:space="preserve"> in the electricity market</w:t>
      </w:r>
      <w:r>
        <w:t xml:space="preserve">. They also sometimes </w:t>
      </w:r>
      <w:r w:rsidR="006F0503">
        <w:t>aim at</w:t>
      </w:r>
      <w:r>
        <w:t xml:space="preserve"> very long fuel cycle </w:t>
      </w:r>
      <w:r w:rsidR="006F0503">
        <w:t xml:space="preserve">lengths </w:t>
      </w:r>
      <w:r>
        <w:t>which challenges conventional fuel in terms of hydrothermal corrosion and fretting wear. One promising way to gain back economy-of-scale is increasing its power density. ATFs</w:t>
      </w:r>
      <w:r w:rsidR="006F0503">
        <w:t xml:space="preserve"> such as the coated cladding</w:t>
      </w:r>
      <w:r>
        <w:t xml:space="preserve"> have promise to enable both higher power density and long fuel cycles through enhancement in post-CHF </w:t>
      </w:r>
      <w:r w:rsidR="006F0503">
        <w:t>survivability</w:t>
      </w:r>
      <w:r>
        <w:t>, lower hydrothermal corrosion and potentially more wear resilience. However, some ATF concept will push the enrichment</w:t>
      </w:r>
      <w:r w:rsidR="006F0503">
        <w:t xml:space="preserve"> needed to meet </w:t>
      </w:r>
      <w:proofErr w:type="gramStart"/>
      <w:r w:rsidR="006F0503">
        <w:t>high power</w:t>
      </w:r>
      <w:proofErr w:type="gramEnd"/>
      <w:r w:rsidR="006F0503">
        <w:t xml:space="preserve"> density </w:t>
      </w:r>
      <w:r>
        <w:t xml:space="preserve">to HALEU levels which is still not widely available </w:t>
      </w:r>
      <w:r w:rsidR="004F127F">
        <w:t>or</w:t>
      </w:r>
      <w:r>
        <w:t xml:space="preserve"> affordable. </w:t>
      </w:r>
    </w:p>
    <w:p w14:paraId="7C87F126" w14:textId="4BC12C2E" w:rsidR="00F51631" w:rsidRPr="0066420C" w:rsidRDefault="00F51631" w:rsidP="00F51631">
      <w:pPr>
        <w:pStyle w:val="Otherunnumberedheadings"/>
        <w:rPr>
          <w:color w:val="FF0000"/>
          <w:lang w:eastAsia="zh-CN"/>
        </w:rPr>
      </w:pPr>
      <w:r w:rsidRPr="00285755">
        <w:t>ACKNOWLEDGEMENTS</w:t>
      </w:r>
    </w:p>
    <w:p w14:paraId="7B6B3C7F" w14:textId="1568F99B" w:rsidR="00F51631" w:rsidRDefault="00F51631" w:rsidP="00F51631">
      <w:pPr>
        <w:pStyle w:val="BodyText"/>
      </w:pPr>
      <w:r>
        <w:t xml:space="preserve">Funding for this work was provided by DOE NUPE grant </w:t>
      </w:r>
      <w:r w:rsidR="006F0503">
        <w:t>DE-NE009273</w:t>
      </w:r>
      <w:r>
        <w:t xml:space="preserve"> on topic of role of ATF for SMRs. </w:t>
      </w:r>
    </w:p>
    <w:p w14:paraId="7A995963" w14:textId="1BE0F334" w:rsidR="005F6667" w:rsidRDefault="005F6667" w:rsidP="00537496">
      <w:pPr>
        <w:pStyle w:val="BodyText"/>
      </w:pPr>
    </w:p>
    <w:p w14:paraId="433FE097" w14:textId="77777777" w:rsidR="00D26ADA" w:rsidRPr="00285755" w:rsidRDefault="00D26ADA" w:rsidP="006F0503">
      <w:pPr>
        <w:pStyle w:val="Otherunnumberedheadings"/>
        <w:spacing w:before="0" w:beforeAutospacing="0" w:after="0" w:afterAutospacing="0" w:line="240" w:lineRule="auto"/>
      </w:pPr>
      <w:r>
        <w:t>References</w:t>
      </w:r>
    </w:p>
    <w:sdt>
      <w:sdtPr>
        <w:id w:val="730118000"/>
        <w:docPartObj>
          <w:docPartGallery w:val="Bibliographies"/>
          <w:docPartUnique/>
        </w:docPartObj>
      </w:sdtPr>
      <w:sdtEndPr/>
      <w:sdtContent>
        <w:sdt>
          <w:sdtPr>
            <w:id w:val="-573587230"/>
            <w:bibliography/>
          </w:sdtPr>
          <w:sdtEndPr/>
          <w:sdtContent>
            <w:p w14:paraId="34F40104" w14:textId="633F50A6" w:rsidR="006F0503" w:rsidRDefault="006F0503" w:rsidP="006F0503">
              <w:pPr>
                <w:pStyle w:val="BodyText"/>
                <w:rPr>
                  <w:noProof/>
                  <w:sz w:val="20"/>
                  <w:lang w:eastAsia="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585"/>
              </w:tblGrid>
              <w:tr w:rsidR="006F0503" w14:paraId="6123D441" w14:textId="77777777">
                <w:trPr>
                  <w:divId w:val="1809472940"/>
                  <w:tblCellSpacing w:w="15" w:type="dxa"/>
                </w:trPr>
                <w:tc>
                  <w:tcPr>
                    <w:tcW w:w="50" w:type="pct"/>
                    <w:hideMark/>
                  </w:tcPr>
                  <w:p w14:paraId="383ADE93" w14:textId="5713FD94" w:rsidR="006F0503" w:rsidRDefault="006F0503">
                    <w:pPr>
                      <w:pStyle w:val="Bibliography"/>
                      <w:rPr>
                        <w:noProof/>
                        <w:sz w:val="24"/>
                        <w:szCs w:val="24"/>
                      </w:rPr>
                    </w:pPr>
                    <w:r>
                      <w:rPr>
                        <w:noProof/>
                      </w:rPr>
                      <w:t xml:space="preserve">[1] </w:t>
                    </w:r>
                  </w:p>
                </w:tc>
                <w:tc>
                  <w:tcPr>
                    <w:tcW w:w="0" w:type="auto"/>
                    <w:hideMark/>
                  </w:tcPr>
                  <w:p w14:paraId="45797FAC" w14:textId="77777777" w:rsidR="006F0503" w:rsidRDefault="006F0503">
                    <w:pPr>
                      <w:pStyle w:val="Bibliography"/>
                      <w:rPr>
                        <w:noProof/>
                      </w:rPr>
                    </w:pPr>
                    <w:r>
                      <w:rPr>
                        <w:noProof/>
                      </w:rPr>
                      <w:t>“Neutron Bytes,” 17 May 2025. [Online]. Available: https://neutronbytes.com/2025/05/17/geh-bwrx-300-smr-approved-for-construction-at-opgs-darlingtion-site/. [Accessed 9 June 2025].</w:t>
                    </w:r>
                  </w:p>
                </w:tc>
              </w:tr>
              <w:tr w:rsidR="006F0503" w14:paraId="7740B20B" w14:textId="77777777">
                <w:trPr>
                  <w:divId w:val="1809472940"/>
                  <w:tblCellSpacing w:w="15" w:type="dxa"/>
                </w:trPr>
                <w:tc>
                  <w:tcPr>
                    <w:tcW w:w="50" w:type="pct"/>
                    <w:hideMark/>
                  </w:tcPr>
                  <w:p w14:paraId="3692BB99" w14:textId="77777777" w:rsidR="006F0503" w:rsidRDefault="006F0503">
                    <w:pPr>
                      <w:pStyle w:val="Bibliography"/>
                      <w:rPr>
                        <w:noProof/>
                      </w:rPr>
                    </w:pPr>
                    <w:r>
                      <w:rPr>
                        <w:noProof/>
                      </w:rPr>
                      <w:t xml:space="preserve">[2] </w:t>
                    </w:r>
                  </w:p>
                </w:tc>
                <w:tc>
                  <w:tcPr>
                    <w:tcW w:w="0" w:type="auto"/>
                    <w:hideMark/>
                  </w:tcPr>
                  <w:p w14:paraId="3633AB55" w14:textId="77777777" w:rsidR="006F0503" w:rsidRDefault="006F0503">
                    <w:pPr>
                      <w:pStyle w:val="Bibliography"/>
                      <w:rPr>
                        <w:noProof/>
                      </w:rPr>
                    </w:pPr>
                    <w:r>
                      <w:rPr>
                        <w:noProof/>
                      </w:rPr>
                      <w:t>NuScale, “NuScale US460 Standard Design Approval Application Review,” U.S. NRC, 2025.</w:t>
                    </w:r>
                  </w:p>
                </w:tc>
              </w:tr>
              <w:tr w:rsidR="006F0503" w14:paraId="7D780E20" w14:textId="77777777">
                <w:trPr>
                  <w:divId w:val="1809472940"/>
                  <w:tblCellSpacing w:w="15" w:type="dxa"/>
                </w:trPr>
                <w:tc>
                  <w:tcPr>
                    <w:tcW w:w="50" w:type="pct"/>
                    <w:hideMark/>
                  </w:tcPr>
                  <w:p w14:paraId="07FB4BDB" w14:textId="77777777" w:rsidR="006F0503" w:rsidRDefault="006F0503">
                    <w:pPr>
                      <w:pStyle w:val="Bibliography"/>
                      <w:rPr>
                        <w:noProof/>
                      </w:rPr>
                    </w:pPr>
                    <w:r>
                      <w:rPr>
                        <w:noProof/>
                      </w:rPr>
                      <w:t xml:space="preserve">[3] </w:t>
                    </w:r>
                  </w:p>
                </w:tc>
                <w:tc>
                  <w:tcPr>
                    <w:tcW w:w="0" w:type="auto"/>
                    <w:hideMark/>
                  </w:tcPr>
                  <w:p w14:paraId="4E99CDC6" w14:textId="77777777" w:rsidR="006F0503" w:rsidRDefault="006F0503">
                    <w:pPr>
                      <w:pStyle w:val="Bibliography"/>
                      <w:rPr>
                        <w:noProof/>
                      </w:rPr>
                    </w:pPr>
                    <w:r>
                      <w:rPr>
                        <w:noProof/>
                      </w:rPr>
                      <w:t xml:space="preserve">A. S. K. Halimi, “Scale effects on core design, fuel costs, and spent fuel volume of pressurized water reactors,” </w:t>
                    </w:r>
                    <w:r>
                      <w:rPr>
                        <w:i/>
                        <w:iCs/>
                        <w:noProof/>
                      </w:rPr>
                      <w:t xml:space="preserve">Annals of Nuclear Energy, </w:t>
                    </w:r>
                    <w:r>
                      <w:rPr>
                        <w:noProof/>
                      </w:rPr>
                      <w:t xml:space="preserve">vol. 209, p. 110847, 2024. </w:t>
                    </w:r>
                  </w:p>
                </w:tc>
              </w:tr>
              <w:tr w:rsidR="006F0503" w14:paraId="650D36E3" w14:textId="77777777">
                <w:trPr>
                  <w:divId w:val="1809472940"/>
                  <w:tblCellSpacing w:w="15" w:type="dxa"/>
                </w:trPr>
                <w:tc>
                  <w:tcPr>
                    <w:tcW w:w="50" w:type="pct"/>
                    <w:hideMark/>
                  </w:tcPr>
                  <w:p w14:paraId="01C2E2BB" w14:textId="77777777" w:rsidR="006F0503" w:rsidRDefault="006F0503">
                    <w:pPr>
                      <w:pStyle w:val="Bibliography"/>
                      <w:rPr>
                        <w:noProof/>
                      </w:rPr>
                    </w:pPr>
                    <w:r>
                      <w:rPr>
                        <w:noProof/>
                      </w:rPr>
                      <w:t xml:space="preserve">[4] </w:t>
                    </w:r>
                  </w:p>
                </w:tc>
                <w:tc>
                  <w:tcPr>
                    <w:tcW w:w="0" w:type="auto"/>
                    <w:hideMark/>
                  </w:tcPr>
                  <w:p w14:paraId="2C80D236" w14:textId="77777777" w:rsidR="006F0503" w:rsidRDefault="006F0503">
                    <w:pPr>
                      <w:pStyle w:val="Bibliography"/>
                      <w:rPr>
                        <w:noProof/>
                      </w:rPr>
                    </w:pPr>
                    <w:r>
                      <w:rPr>
                        <w:noProof/>
                      </w:rPr>
                      <w:t xml:space="preserve">S. K. Halimi A., “Impact of core power density on economics of a small integral PWR,” </w:t>
                    </w:r>
                    <w:r>
                      <w:rPr>
                        <w:i/>
                        <w:iCs/>
                        <w:noProof/>
                      </w:rPr>
                      <w:t xml:space="preserve">Nuclear Engineering and Design, </w:t>
                    </w:r>
                    <w:r>
                      <w:rPr>
                        <w:noProof/>
                      </w:rPr>
                      <w:t xml:space="preserve">vol. 385, p. 111488, 2021. </w:t>
                    </w:r>
                  </w:p>
                </w:tc>
              </w:tr>
              <w:tr w:rsidR="006F0503" w14:paraId="1893ACF4" w14:textId="77777777">
                <w:trPr>
                  <w:divId w:val="1809472940"/>
                  <w:tblCellSpacing w:w="15" w:type="dxa"/>
                </w:trPr>
                <w:tc>
                  <w:tcPr>
                    <w:tcW w:w="50" w:type="pct"/>
                    <w:hideMark/>
                  </w:tcPr>
                  <w:p w14:paraId="46FF8811" w14:textId="77777777" w:rsidR="006F0503" w:rsidRDefault="006F0503">
                    <w:pPr>
                      <w:pStyle w:val="Bibliography"/>
                      <w:rPr>
                        <w:noProof/>
                      </w:rPr>
                    </w:pPr>
                    <w:r>
                      <w:rPr>
                        <w:noProof/>
                      </w:rPr>
                      <w:t xml:space="preserve">[5] </w:t>
                    </w:r>
                  </w:p>
                </w:tc>
                <w:tc>
                  <w:tcPr>
                    <w:tcW w:w="0" w:type="auto"/>
                    <w:hideMark/>
                  </w:tcPr>
                  <w:p w14:paraId="5413D9B4" w14:textId="77777777" w:rsidR="006F0503" w:rsidRDefault="006F0503">
                    <w:pPr>
                      <w:pStyle w:val="Bibliography"/>
                      <w:rPr>
                        <w:noProof/>
                      </w:rPr>
                    </w:pPr>
                    <w:r>
                      <w:rPr>
                        <w:noProof/>
                      </w:rPr>
                      <w:t xml:space="preserve">P. H. A. S. K. Seurin, “Impact of including fuel performance as part of core reload optimization: Application to power uprates,” </w:t>
                    </w:r>
                    <w:r>
                      <w:rPr>
                        <w:i/>
                        <w:iCs/>
                        <w:noProof/>
                      </w:rPr>
                      <w:t xml:space="preserve">Nuclear Engineering and Design, </w:t>
                    </w:r>
                    <w:r>
                      <w:rPr>
                        <w:noProof/>
                      </w:rPr>
                      <w:t xml:space="preserve">vol. 433, p. 113844, 2025. </w:t>
                    </w:r>
                  </w:p>
                </w:tc>
              </w:tr>
              <w:tr w:rsidR="006F0503" w14:paraId="68E65986" w14:textId="77777777">
                <w:trPr>
                  <w:divId w:val="1809472940"/>
                  <w:tblCellSpacing w:w="15" w:type="dxa"/>
                </w:trPr>
                <w:tc>
                  <w:tcPr>
                    <w:tcW w:w="50" w:type="pct"/>
                    <w:hideMark/>
                  </w:tcPr>
                  <w:p w14:paraId="745EC8F4" w14:textId="77777777" w:rsidR="006F0503" w:rsidRDefault="006F0503">
                    <w:pPr>
                      <w:pStyle w:val="Bibliography"/>
                      <w:rPr>
                        <w:noProof/>
                      </w:rPr>
                    </w:pPr>
                    <w:r>
                      <w:rPr>
                        <w:noProof/>
                      </w:rPr>
                      <w:t xml:space="preserve">[6] </w:t>
                    </w:r>
                  </w:p>
                </w:tc>
                <w:tc>
                  <w:tcPr>
                    <w:tcW w:w="0" w:type="auto"/>
                    <w:hideMark/>
                  </w:tcPr>
                  <w:p w14:paraId="7350414F" w14:textId="77777777" w:rsidR="006F0503" w:rsidRDefault="006F0503">
                    <w:pPr>
                      <w:pStyle w:val="Bibliography"/>
                      <w:rPr>
                        <w:noProof/>
                      </w:rPr>
                    </w:pPr>
                    <w:r>
                      <w:rPr>
                        <w:noProof/>
                      </w:rPr>
                      <w:t xml:space="preserve">K. K. M. Shirvan, “BWR-HD: An Optimized Boiling Water Reactor with High Power Density,” </w:t>
                    </w:r>
                    <w:r>
                      <w:rPr>
                        <w:i/>
                        <w:iCs/>
                        <w:noProof/>
                      </w:rPr>
                      <w:t xml:space="preserve">Nuclear Technology, </w:t>
                    </w:r>
                    <w:r>
                      <w:rPr>
                        <w:noProof/>
                      </w:rPr>
                      <w:t xml:space="preserve">vol. 184, no. 3, pp. 261-273, 2013. </w:t>
                    </w:r>
                  </w:p>
                </w:tc>
              </w:tr>
              <w:tr w:rsidR="006F0503" w14:paraId="2DF719A1" w14:textId="77777777">
                <w:trPr>
                  <w:divId w:val="1809472940"/>
                  <w:tblCellSpacing w:w="15" w:type="dxa"/>
                </w:trPr>
                <w:tc>
                  <w:tcPr>
                    <w:tcW w:w="50" w:type="pct"/>
                    <w:hideMark/>
                  </w:tcPr>
                  <w:p w14:paraId="6805642F" w14:textId="77777777" w:rsidR="006F0503" w:rsidRDefault="006F0503">
                    <w:pPr>
                      <w:pStyle w:val="Bibliography"/>
                      <w:rPr>
                        <w:noProof/>
                      </w:rPr>
                    </w:pPr>
                    <w:r>
                      <w:rPr>
                        <w:noProof/>
                      </w:rPr>
                      <w:t xml:space="preserve">[7] </w:t>
                    </w:r>
                  </w:p>
                </w:tc>
                <w:tc>
                  <w:tcPr>
                    <w:tcW w:w="0" w:type="auto"/>
                    <w:hideMark/>
                  </w:tcPr>
                  <w:p w14:paraId="31E15E9A" w14:textId="77777777" w:rsidR="006F0503" w:rsidRDefault="006F0503">
                    <w:pPr>
                      <w:pStyle w:val="Bibliography"/>
                      <w:rPr>
                        <w:noProof/>
                      </w:rPr>
                    </w:pPr>
                    <w:r>
                      <w:rPr>
                        <w:noProof/>
                      </w:rPr>
                      <w:t xml:space="preserve">M. e. a. S. K. Sevecek, “Development of Cr cold spray–coated fuel cladding with enhanced accident tolerance,” </w:t>
                    </w:r>
                    <w:r>
                      <w:rPr>
                        <w:i/>
                        <w:iCs/>
                        <w:noProof/>
                      </w:rPr>
                      <w:t xml:space="preserve">Nuclear Engineering and Technology, </w:t>
                    </w:r>
                    <w:r>
                      <w:rPr>
                        <w:noProof/>
                      </w:rPr>
                      <w:t xml:space="preserve">vol. 50, no. 2, pp. 229-236, 2018. </w:t>
                    </w:r>
                  </w:p>
                </w:tc>
              </w:tr>
              <w:tr w:rsidR="006F0503" w14:paraId="7F61166A" w14:textId="77777777">
                <w:trPr>
                  <w:divId w:val="1809472940"/>
                  <w:tblCellSpacing w:w="15" w:type="dxa"/>
                </w:trPr>
                <w:tc>
                  <w:tcPr>
                    <w:tcW w:w="50" w:type="pct"/>
                    <w:hideMark/>
                  </w:tcPr>
                  <w:p w14:paraId="7B9F0D9A" w14:textId="77777777" w:rsidR="006F0503" w:rsidRDefault="006F0503">
                    <w:pPr>
                      <w:pStyle w:val="Bibliography"/>
                      <w:rPr>
                        <w:noProof/>
                      </w:rPr>
                    </w:pPr>
                    <w:r>
                      <w:rPr>
                        <w:noProof/>
                      </w:rPr>
                      <w:t xml:space="preserve">[8] </w:t>
                    </w:r>
                  </w:p>
                </w:tc>
                <w:tc>
                  <w:tcPr>
                    <w:tcW w:w="0" w:type="auto"/>
                    <w:hideMark/>
                  </w:tcPr>
                  <w:p w14:paraId="1FD9BE2A" w14:textId="77777777" w:rsidR="006F0503" w:rsidRDefault="006F0503">
                    <w:pPr>
                      <w:pStyle w:val="Bibliography"/>
                      <w:rPr>
                        <w:noProof/>
                      </w:rPr>
                    </w:pPr>
                    <w:r>
                      <w:rPr>
                        <w:noProof/>
                      </w:rPr>
                      <w:t xml:space="preserve">e. a. Shirvan K., “Experimental Investigation of CrNb Coatings for PWRs and BWRs,” in </w:t>
                    </w:r>
                    <w:r>
                      <w:rPr>
                        <w:i/>
                        <w:iCs/>
                        <w:noProof/>
                      </w:rPr>
                      <w:t>TopFuel</w:t>
                    </w:r>
                    <w:r>
                      <w:rPr>
                        <w:noProof/>
                      </w:rPr>
                      <w:t xml:space="preserve">, Nashville, 2025. </w:t>
                    </w:r>
                  </w:p>
                </w:tc>
              </w:tr>
              <w:tr w:rsidR="006F0503" w14:paraId="6018E2DD" w14:textId="77777777">
                <w:trPr>
                  <w:divId w:val="1809472940"/>
                  <w:tblCellSpacing w:w="15" w:type="dxa"/>
                </w:trPr>
                <w:tc>
                  <w:tcPr>
                    <w:tcW w:w="50" w:type="pct"/>
                    <w:hideMark/>
                  </w:tcPr>
                  <w:p w14:paraId="4AA5D373" w14:textId="77777777" w:rsidR="006F0503" w:rsidRDefault="006F0503">
                    <w:pPr>
                      <w:pStyle w:val="Bibliography"/>
                      <w:rPr>
                        <w:noProof/>
                      </w:rPr>
                    </w:pPr>
                    <w:r>
                      <w:rPr>
                        <w:noProof/>
                      </w:rPr>
                      <w:t xml:space="preserve">[9] </w:t>
                    </w:r>
                  </w:p>
                </w:tc>
                <w:tc>
                  <w:tcPr>
                    <w:tcW w:w="0" w:type="auto"/>
                    <w:hideMark/>
                  </w:tcPr>
                  <w:p w14:paraId="56ADAED4" w14:textId="77777777" w:rsidR="006F0503" w:rsidRDefault="006F0503">
                    <w:pPr>
                      <w:pStyle w:val="Bibliography"/>
                      <w:rPr>
                        <w:noProof/>
                      </w:rPr>
                    </w:pPr>
                    <w:r>
                      <w:rPr>
                        <w:noProof/>
                      </w:rPr>
                      <w:t xml:space="preserve">Y. S. K. W. Y. G. S. He, “Preliminary prediction for survival time of fuel rod under critical heat flux,” </w:t>
                    </w:r>
                    <w:r>
                      <w:rPr>
                        <w:i/>
                        <w:iCs/>
                        <w:noProof/>
                      </w:rPr>
                      <w:t xml:space="preserve">Annals of Nuclear Energy, </w:t>
                    </w:r>
                    <w:r>
                      <w:rPr>
                        <w:noProof/>
                      </w:rPr>
                      <w:t xml:space="preserve">vol. 151, p. 107896, 2021. </w:t>
                    </w:r>
                  </w:p>
                </w:tc>
              </w:tr>
              <w:tr w:rsidR="006F0503" w14:paraId="3A3411CC" w14:textId="77777777">
                <w:trPr>
                  <w:divId w:val="1809472940"/>
                  <w:tblCellSpacing w:w="15" w:type="dxa"/>
                </w:trPr>
                <w:tc>
                  <w:tcPr>
                    <w:tcW w:w="50" w:type="pct"/>
                    <w:hideMark/>
                  </w:tcPr>
                  <w:p w14:paraId="35C42F0C" w14:textId="77777777" w:rsidR="006F0503" w:rsidRDefault="006F0503">
                    <w:pPr>
                      <w:pStyle w:val="Bibliography"/>
                      <w:rPr>
                        <w:noProof/>
                      </w:rPr>
                    </w:pPr>
                    <w:r>
                      <w:rPr>
                        <w:noProof/>
                      </w:rPr>
                      <w:t xml:space="preserve">[10] </w:t>
                    </w:r>
                  </w:p>
                </w:tc>
                <w:tc>
                  <w:tcPr>
                    <w:tcW w:w="0" w:type="auto"/>
                    <w:hideMark/>
                  </w:tcPr>
                  <w:p w14:paraId="424DB561" w14:textId="77777777" w:rsidR="006F0503" w:rsidRDefault="006F0503">
                    <w:pPr>
                      <w:pStyle w:val="Bibliography"/>
                      <w:rPr>
                        <w:noProof/>
                      </w:rPr>
                    </w:pPr>
                    <w:r>
                      <w:rPr>
                        <w:noProof/>
                      </w:rPr>
                      <w:t xml:space="preserve">Y. S. K. W. Y. S. G. Deng, “Probabilistic view of SiC/SiC composite cladding failure based on full core thermo-mechanical response,” </w:t>
                    </w:r>
                    <w:r>
                      <w:rPr>
                        <w:i/>
                        <w:iCs/>
                        <w:noProof/>
                      </w:rPr>
                      <w:t xml:space="preserve">Journal of Nuclear Materials, </w:t>
                    </w:r>
                    <w:r>
                      <w:rPr>
                        <w:noProof/>
                      </w:rPr>
                      <w:t xml:space="preserve">vol. 507, pp. 24-37, 2018. </w:t>
                    </w:r>
                  </w:p>
                </w:tc>
              </w:tr>
              <w:tr w:rsidR="006F0503" w14:paraId="3D211E97" w14:textId="77777777">
                <w:trPr>
                  <w:divId w:val="1809472940"/>
                  <w:tblCellSpacing w:w="15" w:type="dxa"/>
                </w:trPr>
                <w:tc>
                  <w:tcPr>
                    <w:tcW w:w="50" w:type="pct"/>
                    <w:hideMark/>
                  </w:tcPr>
                  <w:p w14:paraId="7A9B847D" w14:textId="77777777" w:rsidR="006F0503" w:rsidRDefault="006F0503">
                    <w:pPr>
                      <w:pStyle w:val="Bibliography"/>
                      <w:rPr>
                        <w:noProof/>
                      </w:rPr>
                    </w:pPr>
                    <w:r>
                      <w:rPr>
                        <w:noProof/>
                      </w:rPr>
                      <w:t xml:space="preserve">[11] </w:t>
                    </w:r>
                  </w:p>
                </w:tc>
                <w:tc>
                  <w:tcPr>
                    <w:tcW w:w="0" w:type="auto"/>
                    <w:hideMark/>
                  </w:tcPr>
                  <w:p w14:paraId="3B36B741" w14:textId="77777777" w:rsidR="006F0503" w:rsidRDefault="006F0503">
                    <w:pPr>
                      <w:pStyle w:val="Bibliography"/>
                      <w:rPr>
                        <w:noProof/>
                      </w:rPr>
                    </w:pPr>
                    <w:r>
                      <w:rPr>
                        <w:noProof/>
                      </w:rPr>
                      <w:t xml:space="preserve">K. Shirvan, “Numerical investigation of the boiling crisis for helical cruciform-shaped rods at high pressures,” </w:t>
                    </w:r>
                    <w:r>
                      <w:rPr>
                        <w:i/>
                        <w:iCs/>
                        <w:noProof/>
                      </w:rPr>
                      <w:t xml:space="preserve">International Journal of Multiphase Flow, </w:t>
                    </w:r>
                    <w:r>
                      <w:rPr>
                        <w:noProof/>
                      </w:rPr>
                      <w:t xml:space="preserve">vol. 83, pp. 51-61, 2016. </w:t>
                    </w:r>
                  </w:p>
                </w:tc>
              </w:tr>
              <w:tr w:rsidR="006F0503" w14:paraId="1A23F8B7" w14:textId="77777777">
                <w:trPr>
                  <w:divId w:val="1809472940"/>
                  <w:tblCellSpacing w:w="15" w:type="dxa"/>
                </w:trPr>
                <w:tc>
                  <w:tcPr>
                    <w:tcW w:w="50" w:type="pct"/>
                    <w:hideMark/>
                  </w:tcPr>
                  <w:p w14:paraId="3A9F68DD" w14:textId="77777777" w:rsidR="006F0503" w:rsidRDefault="006F0503">
                    <w:pPr>
                      <w:pStyle w:val="Bibliography"/>
                      <w:rPr>
                        <w:noProof/>
                      </w:rPr>
                    </w:pPr>
                    <w:r>
                      <w:rPr>
                        <w:noProof/>
                      </w:rPr>
                      <w:t xml:space="preserve">[12] </w:t>
                    </w:r>
                  </w:p>
                </w:tc>
                <w:tc>
                  <w:tcPr>
                    <w:tcW w:w="0" w:type="auto"/>
                    <w:hideMark/>
                  </w:tcPr>
                  <w:p w14:paraId="1086B03E" w14:textId="77777777" w:rsidR="006F0503" w:rsidRDefault="006F0503">
                    <w:pPr>
                      <w:pStyle w:val="Bibliography"/>
                      <w:rPr>
                        <w:noProof/>
                      </w:rPr>
                    </w:pPr>
                    <w:r>
                      <w:rPr>
                        <w:noProof/>
                      </w:rPr>
                      <w:t xml:space="preserve">Y. S. K. Choi, “Safety and thermo-mechanical performance of metallic helical cruciform fuel in light-water cooled small modular reactors,” in </w:t>
                    </w:r>
                    <w:r>
                      <w:rPr>
                        <w:i/>
                        <w:iCs/>
                        <w:noProof/>
                      </w:rPr>
                      <w:t>Topfuel</w:t>
                    </w:r>
                    <w:r>
                      <w:rPr>
                        <w:noProof/>
                      </w:rPr>
                      <w:t xml:space="preserve">, Gernoble, 2024. </w:t>
                    </w:r>
                  </w:p>
                </w:tc>
              </w:tr>
              <w:tr w:rsidR="006F0503" w14:paraId="6C71AE98" w14:textId="77777777">
                <w:trPr>
                  <w:divId w:val="1809472940"/>
                  <w:tblCellSpacing w:w="15" w:type="dxa"/>
                </w:trPr>
                <w:tc>
                  <w:tcPr>
                    <w:tcW w:w="50" w:type="pct"/>
                    <w:hideMark/>
                  </w:tcPr>
                  <w:p w14:paraId="7109552D" w14:textId="77777777" w:rsidR="006F0503" w:rsidRDefault="006F0503">
                    <w:pPr>
                      <w:pStyle w:val="Bibliography"/>
                      <w:rPr>
                        <w:noProof/>
                      </w:rPr>
                    </w:pPr>
                    <w:r>
                      <w:rPr>
                        <w:noProof/>
                      </w:rPr>
                      <w:t xml:space="preserve">[13] </w:t>
                    </w:r>
                  </w:p>
                </w:tc>
                <w:tc>
                  <w:tcPr>
                    <w:tcW w:w="0" w:type="auto"/>
                    <w:hideMark/>
                  </w:tcPr>
                  <w:p w14:paraId="0E15913E" w14:textId="77777777" w:rsidR="006F0503" w:rsidRDefault="006F0503">
                    <w:pPr>
                      <w:pStyle w:val="Bibliography"/>
                      <w:rPr>
                        <w:noProof/>
                      </w:rPr>
                    </w:pPr>
                    <w:r>
                      <w:rPr>
                        <w:noProof/>
                      </w:rPr>
                      <w:t xml:space="preserve">K. H. P. K. M. Shirvan, “The design of a compact integral medium size PWR,” </w:t>
                    </w:r>
                    <w:r>
                      <w:rPr>
                        <w:i/>
                        <w:iCs/>
                        <w:noProof/>
                      </w:rPr>
                      <w:t xml:space="preserve">Nuclear Engineering and Design, </w:t>
                    </w:r>
                    <w:r>
                      <w:rPr>
                        <w:noProof/>
                      </w:rPr>
                      <w:t xml:space="preserve">vol. 243, pp. 393-403, 2012. </w:t>
                    </w:r>
                  </w:p>
                </w:tc>
              </w:tr>
              <w:tr w:rsidR="006F0503" w14:paraId="51525C13" w14:textId="77777777">
                <w:trPr>
                  <w:divId w:val="1809472940"/>
                  <w:tblCellSpacing w:w="15" w:type="dxa"/>
                </w:trPr>
                <w:tc>
                  <w:tcPr>
                    <w:tcW w:w="50" w:type="pct"/>
                    <w:hideMark/>
                  </w:tcPr>
                  <w:p w14:paraId="6043EA76" w14:textId="77777777" w:rsidR="006F0503" w:rsidRDefault="006F0503">
                    <w:pPr>
                      <w:pStyle w:val="Bibliography"/>
                      <w:rPr>
                        <w:noProof/>
                      </w:rPr>
                    </w:pPr>
                    <w:r>
                      <w:rPr>
                        <w:noProof/>
                      </w:rPr>
                      <w:t xml:space="preserve">[14] </w:t>
                    </w:r>
                  </w:p>
                </w:tc>
                <w:tc>
                  <w:tcPr>
                    <w:tcW w:w="0" w:type="auto"/>
                    <w:hideMark/>
                  </w:tcPr>
                  <w:p w14:paraId="2886AAC7" w14:textId="77777777" w:rsidR="006F0503" w:rsidRDefault="006F0503">
                    <w:pPr>
                      <w:pStyle w:val="Bibliography"/>
                      <w:rPr>
                        <w:noProof/>
                      </w:rPr>
                    </w:pPr>
                    <w:r>
                      <w:rPr>
                        <w:noProof/>
                      </w:rPr>
                      <w:t xml:space="preserve">K. e. a. Shirvan, “Thoria-Urania Fuel Opportunities and Technical Features For New Reactor Builds,” in </w:t>
                    </w:r>
                    <w:r>
                      <w:rPr>
                        <w:i/>
                        <w:iCs/>
                        <w:noProof/>
                      </w:rPr>
                      <w:t>Topfuel</w:t>
                    </w:r>
                    <w:r>
                      <w:rPr>
                        <w:noProof/>
                      </w:rPr>
                      <w:t xml:space="preserve">, Gernoble, 2024. </w:t>
                    </w:r>
                  </w:p>
                </w:tc>
              </w:tr>
              <w:tr w:rsidR="006F0503" w14:paraId="16027166" w14:textId="77777777">
                <w:trPr>
                  <w:divId w:val="1809472940"/>
                  <w:tblCellSpacing w:w="15" w:type="dxa"/>
                </w:trPr>
                <w:tc>
                  <w:tcPr>
                    <w:tcW w:w="50" w:type="pct"/>
                    <w:hideMark/>
                  </w:tcPr>
                  <w:p w14:paraId="5FA31F30" w14:textId="77777777" w:rsidR="006F0503" w:rsidRDefault="006F0503">
                    <w:pPr>
                      <w:pStyle w:val="Bibliography"/>
                      <w:rPr>
                        <w:noProof/>
                      </w:rPr>
                    </w:pPr>
                    <w:r>
                      <w:rPr>
                        <w:noProof/>
                      </w:rPr>
                      <w:t xml:space="preserve">[15] </w:t>
                    </w:r>
                  </w:p>
                </w:tc>
                <w:tc>
                  <w:tcPr>
                    <w:tcW w:w="0" w:type="auto"/>
                    <w:hideMark/>
                  </w:tcPr>
                  <w:p w14:paraId="0FF06FEC" w14:textId="77777777" w:rsidR="006F0503" w:rsidRDefault="006F0503">
                    <w:pPr>
                      <w:pStyle w:val="Bibliography"/>
                      <w:rPr>
                        <w:noProof/>
                      </w:rPr>
                    </w:pPr>
                    <w:r>
                      <w:rPr>
                        <w:noProof/>
                      </w:rPr>
                      <w:t xml:space="preserve">K. C. A. Shirvan, “Unlocking Economic Nuclear Capacity: The Role of Advanced Fuel Technologies in Power Uprates,” in </w:t>
                    </w:r>
                    <w:r>
                      <w:rPr>
                        <w:i/>
                        <w:iCs/>
                        <w:noProof/>
                      </w:rPr>
                      <w:t>Topfuel</w:t>
                    </w:r>
                    <w:r>
                      <w:rPr>
                        <w:noProof/>
                      </w:rPr>
                      <w:t xml:space="preserve">, Nashville, 2025. </w:t>
                    </w:r>
                  </w:p>
                </w:tc>
              </w:tr>
              <w:tr w:rsidR="006F0503" w14:paraId="077C846C" w14:textId="77777777">
                <w:trPr>
                  <w:divId w:val="1809472940"/>
                  <w:tblCellSpacing w:w="15" w:type="dxa"/>
                </w:trPr>
                <w:tc>
                  <w:tcPr>
                    <w:tcW w:w="50" w:type="pct"/>
                    <w:hideMark/>
                  </w:tcPr>
                  <w:p w14:paraId="76C52686" w14:textId="77777777" w:rsidR="006F0503" w:rsidRDefault="006F0503">
                    <w:pPr>
                      <w:pStyle w:val="Bibliography"/>
                      <w:rPr>
                        <w:noProof/>
                      </w:rPr>
                    </w:pPr>
                    <w:r>
                      <w:rPr>
                        <w:noProof/>
                      </w:rPr>
                      <w:t xml:space="preserve">[16] </w:t>
                    </w:r>
                  </w:p>
                </w:tc>
                <w:tc>
                  <w:tcPr>
                    <w:tcW w:w="0" w:type="auto"/>
                    <w:hideMark/>
                  </w:tcPr>
                  <w:p w14:paraId="0463E608" w14:textId="77777777" w:rsidR="006F0503" w:rsidRDefault="006F0503">
                    <w:pPr>
                      <w:pStyle w:val="Bibliography"/>
                      <w:rPr>
                        <w:noProof/>
                      </w:rPr>
                    </w:pPr>
                    <w:r>
                      <w:rPr>
                        <w:noProof/>
                      </w:rPr>
                      <w:t xml:space="preserve">K. C. A. Shirvan, “Achieving Sizable Power-Uprate for Existing Fleet Through LEU+ and ATF,” in </w:t>
                    </w:r>
                    <w:r>
                      <w:rPr>
                        <w:i/>
                        <w:iCs/>
                        <w:noProof/>
                      </w:rPr>
                      <w:t>Topfuel</w:t>
                    </w:r>
                    <w:r>
                      <w:rPr>
                        <w:noProof/>
                      </w:rPr>
                      <w:t xml:space="preserve">, Charlotte, 2022. </w:t>
                    </w:r>
                  </w:p>
                </w:tc>
              </w:tr>
              <w:tr w:rsidR="006F0503" w14:paraId="7D191CE7" w14:textId="77777777">
                <w:trPr>
                  <w:divId w:val="1809472940"/>
                  <w:tblCellSpacing w:w="15" w:type="dxa"/>
                </w:trPr>
                <w:tc>
                  <w:tcPr>
                    <w:tcW w:w="50" w:type="pct"/>
                    <w:hideMark/>
                  </w:tcPr>
                  <w:p w14:paraId="4EF0C999" w14:textId="77777777" w:rsidR="006F0503" w:rsidRDefault="006F0503">
                    <w:pPr>
                      <w:pStyle w:val="Bibliography"/>
                      <w:rPr>
                        <w:noProof/>
                      </w:rPr>
                    </w:pPr>
                    <w:r>
                      <w:rPr>
                        <w:noProof/>
                      </w:rPr>
                      <w:lastRenderedPageBreak/>
                      <w:t xml:space="preserve">[17] </w:t>
                    </w:r>
                  </w:p>
                </w:tc>
                <w:tc>
                  <w:tcPr>
                    <w:tcW w:w="0" w:type="auto"/>
                    <w:hideMark/>
                  </w:tcPr>
                  <w:p w14:paraId="0672CC6D" w14:textId="77777777" w:rsidR="006F0503" w:rsidRDefault="006F0503">
                    <w:pPr>
                      <w:pStyle w:val="Bibliography"/>
                      <w:rPr>
                        <w:noProof/>
                      </w:rPr>
                    </w:pPr>
                    <w:r>
                      <w:rPr>
                        <w:noProof/>
                      </w:rPr>
                      <w:t xml:space="preserve">Y. S. K. W. Y. S. G. Deng, “Utilization of 3D fuel modeling capability of BISON to derive new insights in performance of advanced PWR fuel concepts,” </w:t>
                    </w:r>
                    <w:r>
                      <w:rPr>
                        <w:i/>
                        <w:iCs/>
                        <w:noProof/>
                      </w:rPr>
                      <w:t xml:space="preserve">Journal of Nuclear Materials, </w:t>
                    </w:r>
                    <w:r>
                      <w:rPr>
                        <w:noProof/>
                      </w:rPr>
                      <w:t xml:space="preserve">vol. 516, pp. 271-288, 2019. </w:t>
                    </w:r>
                  </w:p>
                </w:tc>
              </w:tr>
              <w:tr w:rsidR="006F0503" w14:paraId="77CF86BD" w14:textId="77777777">
                <w:trPr>
                  <w:divId w:val="1809472940"/>
                  <w:tblCellSpacing w:w="15" w:type="dxa"/>
                </w:trPr>
                <w:tc>
                  <w:tcPr>
                    <w:tcW w:w="50" w:type="pct"/>
                    <w:hideMark/>
                  </w:tcPr>
                  <w:p w14:paraId="4776C9AC" w14:textId="77777777" w:rsidR="006F0503" w:rsidRDefault="006F0503">
                    <w:pPr>
                      <w:pStyle w:val="Bibliography"/>
                      <w:rPr>
                        <w:noProof/>
                      </w:rPr>
                    </w:pPr>
                    <w:r>
                      <w:rPr>
                        <w:noProof/>
                      </w:rPr>
                      <w:t xml:space="preserve">[18] </w:t>
                    </w:r>
                  </w:p>
                </w:tc>
                <w:tc>
                  <w:tcPr>
                    <w:tcW w:w="0" w:type="auto"/>
                    <w:hideMark/>
                  </w:tcPr>
                  <w:p w14:paraId="332399C9" w14:textId="77777777" w:rsidR="006F0503" w:rsidRDefault="006F0503">
                    <w:pPr>
                      <w:pStyle w:val="Bibliography"/>
                      <w:rPr>
                        <w:noProof/>
                      </w:rPr>
                    </w:pPr>
                    <w:r>
                      <w:rPr>
                        <w:noProof/>
                      </w:rPr>
                      <w:t>U. NRC, “Advisory Committee on Reactor Safeguards,” 10 July 2020. [Online]. Available: https://www.nrc.gov/docs/ML2019/ML20197C834.pdf. [Accessed 30 July 2025].</w:t>
                    </w:r>
                  </w:p>
                </w:tc>
              </w:tr>
            </w:tbl>
            <w:p w14:paraId="6F70EEE1" w14:textId="77777777" w:rsidR="006F0503" w:rsidRDefault="006F0503">
              <w:pPr>
                <w:divId w:val="1809472940"/>
                <w:rPr>
                  <w:rFonts w:eastAsia="Times New Roman"/>
                  <w:noProof/>
                </w:rPr>
              </w:pPr>
            </w:p>
            <w:p w14:paraId="5B929AAA" w14:textId="62E07BA0" w:rsidR="006F0503" w:rsidRDefault="006F0503">
              <w:r>
                <w:rPr>
                  <w:b/>
                  <w:bCs/>
                  <w:noProof/>
                </w:rPr>
                <w:fldChar w:fldCharType="end"/>
              </w:r>
            </w:p>
          </w:sdtContent>
        </w:sdt>
      </w:sdtContent>
    </w:sdt>
    <w:p w14:paraId="433FE0B6" w14:textId="77777777" w:rsidR="00F45EEE" w:rsidRPr="00662532" w:rsidRDefault="00F45EEE" w:rsidP="00537496">
      <w:pPr>
        <w:pStyle w:val="BodyText"/>
        <w:jc w:val="left"/>
      </w:pPr>
    </w:p>
    <w:sectPr w:rsidR="00F45EEE" w:rsidRPr="00662532" w:rsidSect="00E379A5">
      <w:footerReference w:type="first" r:id="rId22"/>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873A9" w14:textId="77777777" w:rsidR="00893E03" w:rsidRDefault="00893E03">
      <w:r>
        <w:separator/>
      </w:r>
    </w:p>
  </w:endnote>
  <w:endnote w:type="continuationSeparator" w:id="0">
    <w:p w14:paraId="06271A37" w14:textId="77777777" w:rsidR="00893E03" w:rsidRDefault="00893E03">
      <w:r>
        <w:continuationSeparator/>
      </w:r>
    </w:p>
  </w:endnote>
  <w:endnote w:type="continuationNotice" w:id="1">
    <w:p w14:paraId="24F281DC" w14:textId="77777777" w:rsidR="00893E03" w:rsidRDefault="00893E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71862" w14:textId="414AC04A" w:rsidR="0096379C" w:rsidRDefault="00E379A5" w:rsidP="00E379A5">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9" w14:textId="1A12A3B3" w:rsidR="00E20E70" w:rsidRPr="00E379A5" w:rsidRDefault="00037321" w:rsidP="00E379A5">
    <w:pPr>
      <w:pStyle w:val="zyxClassification2"/>
      <w:ind w:firstLine="0"/>
      <w:rPr>
        <w:rFonts w:ascii="Times New Roman" w:hAnsi="Times New Roman" w:cs="Times New Roman"/>
        <w:sz w:val="22"/>
        <w:szCs w:val="22"/>
      </w:rPr>
    </w:pPr>
    <w:r w:rsidRPr="00E379A5">
      <w:rPr>
        <w:rFonts w:ascii="Times New Roman" w:hAnsi="Times New Roman" w:cs="Times New Roman"/>
        <w:sz w:val="22"/>
        <w:szCs w:val="22"/>
      </w:rPr>
      <w:fldChar w:fldCharType="begin"/>
    </w:r>
    <w:r w:rsidRPr="00E379A5">
      <w:rPr>
        <w:rFonts w:ascii="Times New Roman" w:hAnsi="Times New Roman" w:cs="Times New Roman"/>
        <w:sz w:val="22"/>
        <w:szCs w:val="22"/>
      </w:rPr>
      <w:instrText xml:space="preserve"> PAGE </w:instrText>
    </w:r>
    <w:r w:rsidRPr="00E379A5">
      <w:rPr>
        <w:rFonts w:ascii="Times New Roman" w:hAnsi="Times New Roman" w:cs="Times New Roman"/>
        <w:sz w:val="22"/>
        <w:szCs w:val="22"/>
      </w:rPr>
      <w:fldChar w:fldCharType="separate"/>
    </w:r>
    <w:r w:rsidR="00ED0A99" w:rsidRPr="00E379A5">
      <w:rPr>
        <w:rFonts w:ascii="Times New Roman" w:hAnsi="Times New Roman" w:cs="Times New Roman"/>
        <w:noProof/>
        <w:sz w:val="22"/>
        <w:szCs w:val="22"/>
      </w:rPr>
      <w:t>1</w:t>
    </w:r>
    <w:r w:rsidRPr="00E379A5">
      <w:rPr>
        <w:rFonts w:ascii="Times New Roman" w:hAnsi="Times New Roman" w:cs="Times New Roman"/>
        <w:sz w:val="22"/>
        <w:szCs w:val="22"/>
      </w:rPr>
      <w:fldChar w:fldCharType="end"/>
    </w:r>
    <w:r w:rsidR="00E20E70" w:rsidRPr="00E379A5">
      <w:rPr>
        <w:rFonts w:ascii="Times New Roman" w:hAnsi="Times New Roman" w:cs="Times New Roman"/>
        <w:sz w:val="22"/>
        <w:szCs w:val="22"/>
      </w:rPr>
      <w:fldChar w:fldCharType="begin"/>
    </w:r>
    <w:r w:rsidR="00E20E70" w:rsidRPr="00E379A5">
      <w:rPr>
        <w:rFonts w:ascii="Times New Roman" w:hAnsi="Times New Roman" w:cs="Times New Roman"/>
        <w:sz w:val="22"/>
        <w:szCs w:val="22"/>
      </w:rPr>
      <w:instrText>DOCPROPERTY "IaeaClassification2"  \* MERGEFORMAT</w:instrText>
    </w:r>
    <w:r w:rsidR="00E20E70" w:rsidRPr="00E379A5">
      <w:rPr>
        <w:rFonts w:ascii="Times New Roman" w:hAnsi="Times New Roman" w:cs="Times New Roman"/>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9F958" w14:textId="77777777" w:rsidR="00E379A5" w:rsidRDefault="00E379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99167" w14:textId="77777777" w:rsidR="00E379A5" w:rsidRDefault="00E37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690C9" w14:textId="77777777" w:rsidR="00893E03" w:rsidRDefault="00893E03">
      <w:r>
        <w:t>___________________________________________________________________________</w:t>
      </w:r>
    </w:p>
  </w:footnote>
  <w:footnote w:type="continuationSeparator" w:id="0">
    <w:p w14:paraId="6B4D9FBF" w14:textId="77777777" w:rsidR="00893E03" w:rsidRDefault="00893E03">
      <w:r>
        <w:t>___________________________________________________________________________</w:t>
      </w:r>
    </w:p>
  </w:footnote>
  <w:footnote w:type="continuationNotice" w:id="1">
    <w:p w14:paraId="5162C3F4" w14:textId="77777777" w:rsidR="00893E03" w:rsidRDefault="00893E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D86C5" w14:textId="77777777" w:rsidR="00E379A5" w:rsidRDefault="00E379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CCB64" w14:textId="77777777" w:rsidR="00E379A5" w:rsidRDefault="00E379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EBB50" w14:textId="77777777" w:rsidR="00E379A5" w:rsidRDefault="00E37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0D43A47"/>
    <w:multiLevelType w:val="hybridMultilevel"/>
    <w:tmpl w:val="812E4BE4"/>
    <w:lvl w:ilvl="0" w:tplc="EC72790C">
      <w:start w:val="1"/>
      <w:numFmt w:val="decimal"/>
      <w:pStyle w:val="Heading1"/>
      <w:lvlText w:val="%1."/>
      <w:lvlJc w:val="left"/>
      <w:pPr>
        <w:ind w:left="3195" w:hanging="360"/>
      </w:pPr>
      <w:rPr>
        <w:rFonts w:ascii="Times New Roman" w:hAnsi="Times New Roman" w:hint="default"/>
        <w:b w:val="0"/>
        <w:i w:val="0"/>
        <w:sz w:val="20"/>
      </w:rPr>
    </w:lvl>
    <w:lvl w:ilvl="1" w:tplc="08090019">
      <w:start w:val="1"/>
      <w:numFmt w:val="lowerLetter"/>
      <w:lvlText w:val="%2."/>
      <w:lvlJc w:val="left"/>
      <w:pPr>
        <w:ind w:left="4275" w:hanging="360"/>
      </w:pPr>
    </w:lvl>
    <w:lvl w:ilvl="2" w:tplc="0809001B">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1C7078A8"/>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5"/>
  </w:num>
  <w:num w:numId="3">
    <w:abstractNumId w:val="11"/>
  </w:num>
  <w:num w:numId="4">
    <w:abstractNumId w:val="11"/>
  </w:num>
  <w:num w:numId="5">
    <w:abstractNumId w:val="11"/>
  </w:num>
  <w:num w:numId="6">
    <w:abstractNumId w:val="6"/>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
  </w:num>
  <w:num w:numId="21">
    <w:abstractNumId w:val="11"/>
  </w:num>
  <w:num w:numId="22">
    <w:abstractNumId w:val="4"/>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11"/>
  </w:num>
  <w:num w:numId="34">
    <w:abstractNumId w:val="2"/>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13E69"/>
    <w:rsid w:val="000158DA"/>
    <w:rsid w:val="00017748"/>
    <w:rsid w:val="000229AB"/>
    <w:rsid w:val="0002569A"/>
    <w:rsid w:val="00037321"/>
    <w:rsid w:val="00044C72"/>
    <w:rsid w:val="00091DEB"/>
    <w:rsid w:val="00093A64"/>
    <w:rsid w:val="000A0299"/>
    <w:rsid w:val="000A2990"/>
    <w:rsid w:val="000C4332"/>
    <w:rsid w:val="000D2152"/>
    <w:rsid w:val="000F7E94"/>
    <w:rsid w:val="00102267"/>
    <w:rsid w:val="001119D6"/>
    <w:rsid w:val="00115E69"/>
    <w:rsid w:val="00123FBB"/>
    <w:rsid w:val="0012599C"/>
    <w:rsid w:val="0012715A"/>
    <w:rsid w:val="0013032C"/>
    <w:rsid w:val="001308F2"/>
    <w:rsid w:val="001313E8"/>
    <w:rsid w:val="00134186"/>
    <w:rsid w:val="001446AB"/>
    <w:rsid w:val="00151D3B"/>
    <w:rsid w:val="00175EE8"/>
    <w:rsid w:val="00183BC4"/>
    <w:rsid w:val="001A0259"/>
    <w:rsid w:val="001B1187"/>
    <w:rsid w:val="001B2DB1"/>
    <w:rsid w:val="001C58F5"/>
    <w:rsid w:val="001D1106"/>
    <w:rsid w:val="001D5888"/>
    <w:rsid w:val="001D5CEE"/>
    <w:rsid w:val="001E5D95"/>
    <w:rsid w:val="002071D9"/>
    <w:rsid w:val="0021040F"/>
    <w:rsid w:val="0022083B"/>
    <w:rsid w:val="0023450F"/>
    <w:rsid w:val="0023466D"/>
    <w:rsid w:val="00252636"/>
    <w:rsid w:val="00256822"/>
    <w:rsid w:val="00257688"/>
    <w:rsid w:val="0026519A"/>
    <w:rsid w:val="0026525A"/>
    <w:rsid w:val="00265C8E"/>
    <w:rsid w:val="002705BC"/>
    <w:rsid w:val="00274790"/>
    <w:rsid w:val="00285755"/>
    <w:rsid w:val="002A1A04"/>
    <w:rsid w:val="002A1F9C"/>
    <w:rsid w:val="002A7340"/>
    <w:rsid w:val="002B29C2"/>
    <w:rsid w:val="002B67CA"/>
    <w:rsid w:val="002C0317"/>
    <w:rsid w:val="002C29DB"/>
    <w:rsid w:val="002C37F1"/>
    <w:rsid w:val="002C3BAA"/>
    <w:rsid w:val="002C4208"/>
    <w:rsid w:val="002E69A7"/>
    <w:rsid w:val="002F4E23"/>
    <w:rsid w:val="003203A2"/>
    <w:rsid w:val="0032528F"/>
    <w:rsid w:val="00332B9D"/>
    <w:rsid w:val="003352AC"/>
    <w:rsid w:val="00352AF7"/>
    <w:rsid w:val="00352DE1"/>
    <w:rsid w:val="003574DC"/>
    <w:rsid w:val="00365BC7"/>
    <w:rsid w:val="0036676C"/>
    <w:rsid w:val="003728E6"/>
    <w:rsid w:val="00382E20"/>
    <w:rsid w:val="00396583"/>
    <w:rsid w:val="003A3492"/>
    <w:rsid w:val="003B5E0E"/>
    <w:rsid w:val="003D255A"/>
    <w:rsid w:val="003E1FBD"/>
    <w:rsid w:val="003E28C8"/>
    <w:rsid w:val="003E7A48"/>
    <w:rsid w:val="003F21FF"/>
    <w:rsid w:val="003F7ACA"/>
    <w:rsid w:val="004045AC"/>
    <w:rsid w:val="00404A1A"/>
    <w:rsid w:val="00412F62"/>
    <w:rsid w:val="004140C9"/>
    <w:rsid w:val="00416949"/>
    <w:rsid w:val="0042678E"/>
    <w:rsid w:val="00426BA7"/>
    <w:rsid w:val="00435903"/>
    <w:rsid w:val="004370D8"/>
    <w:rsid w:val="0044058F"/>
    <w:rsid w:val="00450E15"/>
    <w:rsid w:val="00472C43"/>
    <w:rsid w:val="00484FD9"/>
    <w:rsid w:val="004863D2"/>
    <w:rsid w:val="004B2960"/>
    <w:rsid w:val="004B35B7"/>
    <w:rsid w:val="004B5A60"/>
    <w:rsid w:val="004B600D"/>
    <w:rsid w:val="004C5DA1"/>
    <w:rsid w:val="004C659C"/>
    <w:rsid w:val="004E3CC2"/>
    <w:rsid w:val="004F127F"/>
    <w:rsid w:val="00503DF0"/>
    <w:rsid w:val="00511659"/>
    <w:rsid w:val="005139AA"/>
    <w:rsid w:val="005268A1"/>
    <w:rsid w:val="005274B0"/>
    <w:rsid w:val="005337B4"/>
    <w:rsid w:val="00533DFE"/>
    <w:rsid w:val="00537496"/>
    <w:rsid w:val="0054038B"/>
    <w:rsid w:val="00544ED3"/>
    <w:rsid w:val="005513CB"/>
    <w:rsid w:val="00563A56"/>
    <w:rsid w:val="00564360"/>
    <w:rsid w:val="00572E0B"/>
    <w:rsid w:val="00582058"/>
    <w:rsid w:val="0058477B"/>
    <w:rsid w:val="0058654F"/>
    <w:rsid w:val="00596ACA"/>
    <w:rsid w:val="005A612D"/>
    <w:rsid w:val="005B57FC"/>
    <w:rsid w:val="005E39BC"/>
    <w:rsid w:val="005E5D15"/>
    <w:rsid w:val="005F00A0"/>
    <w:rsid w:val="005F6667"/>
    <w:rsid w:val="005F7124"/>
    <w:rsid w:val="00606EA8"/>
    <w:rsid w:val="006100A7"/>
    <w:rsid w:val="006114BE"/>
    <w:rsid w:val="00612278"/>
    <w:rsid w:val="00617335"/>
    <w:rsid w:val="00630614"/>
    <w:rsid w:val="00630C4A"/>
    <w:rsid w:val="00630EA1"/>
    <w:rsid w:val="00634601"/>
    <w:rsid w:val="00647F33"/>
    <w:rsid w:val="00653E1B"/>
    <w:rsid w:val="00662532"/>
    <w:rsid w:val="0066420C"/>
    <w:rsid w:val="0066655B"/>
    <w:rsid w:val="006904BE"/>
    <w:rsid w:val="00697382"/>
    <w:rsid w:val="006A35E8"/>
    <w:rsid w:val="006B2274"/>
    <w:rsid w:val="006D0CDB"/>
    <w:rsid w:val="006E5F2D"/>
    <w:rsid w:val="006F0503"/>
    <w:rsid w:val="006F2CDC"/>
    <w:rsid w:val="00712E17"/>
    <w:rsid w:val="00713095"/>
    <w:rsid w:val="00716654"/>
    <w:rsid w:val="00717C6F"/>
    <w:rsid w:val="00725E3B"/>
    <w:rsid w:val="007263AE"/>
    <w:rsid w:val="00726D85"/>
    <w:rsid w:val="00733153"/>
    <w:rsid w:val="00743982"/>
    <w:rsid w:val="007445DA"/>
    <w:rsid w:val="00753D8D"/>
    <w:rsid w:val="00755AD4"/>
    <w:rsid w:val="00755DE1"/>
    <w:rsid w:val="0076422C"/>
    <w:rsid w:val="007739DD"/>
    <w:rsid w:val="007919EE"/>
    <w:rsid w:val="00792B64"/>
    <w:rsid w:val="007A7BC6"/>
    <w:rsid w:val="007B4FD1"/>
    <w:rsid w:val="007B6350"/>
    <w:rsid w:val="007C45CB"/>
    <w:rsid w:val="007C75FA"/>
    <w:rsid w:val="007D724D"/>
    <w:rsid w:val="007E3BF4"/>
    <w:rsid w:val="007E79CD"/>
    <w:rsid w:val="007F2D28"/>
    <w:rsid w:val="00802381"/>
    <w:rsid w:val="008163B9"/>
    <w:rsid w:val="00820FAF"/>
    <w:rsid w:val="0083096A"/>
    <w:rsid w:val="0083137C"/>
    <w:rsid w:val="00855B67"/>
    <w:rsid w:val="00864CEC"/>
    <w:rsid w:val="0086759F"/>
    <w:rsid w:val="008707EE"/>
    <w:rsid w:val="00871F40"/>
    <w:rsid w:val="00883848"/>
    <w:rsid w:val="00893E03"/>
    <w:rsid w:val="00895560"/>
    <w:rsid w:val="00897ED5"/>
    <w:rsid w:val="008B6BB9"/>
    <w:rsid w:val="008D66C6"/>
    <w:rsid w:val="008E4F2D"/>
    <w:rsid w:val="008F4120"/>
    <w:rsid w:val="008F474A"/>
    <w:rsid w:val="008F684E"/>
    <w:rsid w:val="009109FA"/>
    <w:rsid w:val="0091152D"/>
    <w:rsid w:val="00911543"/>
    <w:rsid w:val="009239C7"/>
    <w:rsid w:val="00924A83"/>
    <w:rsid w:val="009519C9"/>
    <w:rsid w:val="0095504E"/>
    <w:rsid w:val="00956F32"/>
    <w:rsid w:val="0096361A"/>
    <w:rsid w:val="0096379C"/>
    <w:rsid w:val="0097242A"/>
    <w:rsid w:val="009824F6"/>
    <w:rsid w:val="00996D55"/>
    <w:rsid w:val="009D0B86"/>
    <w:rsid w:val="009D3721"/>
    <w:rsid w:val="009E0D5B"/>
    <w:rsid w:val="009E1558"/>
    <w:rsid w:val="009E7847"/>
    <w:rsid w:val="009F1A9A"/>
    <w:rsid w:val="00A07B8C"/>
    <w:rsid w:val="00A102F7"/>
    <w:rsid w:val="00A22718"/>
    <w:rsid w:val="00A233D1"/>
    <w:rsid w:val="00A35964"/>
    <w:rsid w:val="00A371E3"/>
    <w:rsid w:val="00A41424"/>
    <w:rsid w:val="00A42898"/>
    <w:rsid w:val="00A45E2C"/>
    <w:rsid w:val="00A57919"/>
    <w:rsid w:val="00A60439"/>
    <w:rsid w:val="00A6176A"/>
    <w:rsid w:val="00A733CB"/>
    <w:rsid w:val="00A77686"/>
    <w:rsid w:val="00A80359"/>
    <w:rsid w:val="00A87D4A"/>
    <w:rsid w:val="00AB6ACE"/>
    <w:rsid w:val="00AC4171"/>
    <w:rsid w:val="00AC5A3A"/>
    <w:rsid w:val="00AE166E"/>
    <w:rsid w:val="00AE3D73"/>
    <w:rsid w:val="00AE48C4"/>
    <w:rsid w:val="00B15EAC"/>
    <w:rsid w:val="00B17999"/>
    <w:rsid w:val="00B24F8A"/>
    <w:rsid w:val="00B42408"/>
    <w:rsid w:val="00B55276"/>
    <w:rsid w:val="00B604BE"/>
    <w:rsid w:val="00B6533E"/>
    <w:rsid w:val="00B66A78"/>
    <w:rsid w:val="00B72C51"/>
    <w:rsid w:val="00B82FA5"/>
    <w:rsid w:val="00B922A2"/>
    <w:rsid w:val="00B94D46"/>
    <w:rsid w:val="00BA11B5"/>
    <w:rsid w:val="00BB0A22"/>
    <w:rsid w:val="00BC6BAA"/>
    <w:rsid w:val="00BD1400"/>
    <w:rsid w:val="00BD605C"/>
    <w:rsid w:val="00BE0434"/>
    <w:rsid w:val="00BE2A76"/>
    <w:rsid w:val="00BE2EC3"/>
    <w:rsid w:val="00BF1901"/>
    <w:rsid w:val="00C15715"/>
    <w:rsid w:val="00C31F15"/>
    <w:rsid w:val="00C324D9"/>
    <w:rsid w:val="00C55A35"/>
    <w:rsid w:val="00C65E60"/>
    <w:rsid w:val="00C66324"/>
    <w:rsid w:val="00C66C77"/>
    <w:rsid w:val="00C709A0"/>
    <w:rsid w:val="00C80EFC"/>
    <w:rsid w:val="00C8527C"/>
    <w:rsid w:val="00C94D5D"/>
    <w:rsid w:val="00CA0102"/>
    <w:rsid w:val="00CA7591"/>
    <w:rsid w:val="00CC0942"/>
    <w:rsid w:val="00CE5A52"/>
    <w:rsid w:val="00CF028A"/>
    <w:rsid w:val="00CF7AF3"/>
    <w:rsid w:val="00D04D6A"/>
    <w:rsid w:val="00D145FE"/>
    <w:rsid w:val="00D26ADA"/>
    <w:rsid w:val="00D35A78"/>
    <w:rsid w:val="00D555A1"/>
    <w:rsid w:val="00D62E8E"/>
    <w:rsid w:val="00D64DC2"/>
    <w:rsid w:val="00DA46CA"/>
    <w:rsid w:val="00DA4E1E"/>
    <w:rsid w:val="00DD6B09"/>
    <w:rsid w:val="00DE297E"/>
    <w:rsid w:val="00DF21EB"/>
    <w:rsid w:val="00E03BF3"/>
    <w:rsid w:val="00E209D7"/>
    <w:rsid w:val="00E20E70"/>
    <w:rsid w:val="00E22CEA"/>
    <w:rsid w:val="00E24D6A"/>
    <w:rsid w:val="00E25B68"/>
    <w:rsid w:val="00E379A5"/>
    <w:rsid w:val="00E651EC"/>
    <w:rsid w:val="00E65835"/>
    <w:rsid w:val="00E66C09"/>
    <w:rsid w:val="00E84003"/>
    <w:rsid w:val="00E9339D"/>
    <w:rsid w:val="00EA5785"/>
    <w:rsid w:val="00EC10FC"/>
    <w:rsid w:val="00ED01EC"/>
    <w:rsid w:val="00ED0A99"/>
    <w:rsid w:val="00ED3C90"/>
    <w:rsid w:val="00ED6912"/>
    <w:rsid w:val="00EE0041"/>
    <w:rsid w:val="00EE29B9"/>
    <w:rsid w:val="00EE6821"/>
    <w:rsid w:val="00F00080"/>
    <w:rsid w:val="00F004EE"/>
    <w:rsid w:val="00F01655"/>
    <w:rsid w:val="00F10D99"/>
    <w:rsid w:val="00F14F35"/>
    <w:rsid w:val="00F31005"/>
    <w:rsid w:val="00F36C0D"/>
    <w:rsid w:val="00F42E23"/>
    <w:rsid w:val="00F441EC"/>
    <w:rsid w:val="00F45EEE"/>
    <w:rsid w:val="00F50D72"/>
    <w:rsid w:val="00F51631"/>
    <w:rsid w:val="00F51E9C"/>
    <w:rsid w:val="00F51EEE"/>
    <w:rsid w:val="00F523CA"/>
    <w:rsid w:val="00F653BB"/>
    <w:rsid w:val="00F73892"/>
    <w:rsid w:val="00F74A9D"/>
    <w:rsid w:val="00F96F17"/>
    <w:rsid w:val="00FC792E"/>
    <w:rsid w:val="00FE4219"/>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9" w:qFormat="1"/>
    <w:lsdException w:name="heading 2" w:locked="0" w:uiPriority="4"/>
    <w:lsdException w:name="heading 3" w:locked="0" w:uiPriority="4"/>
    <w:lsdException w:name="heading 4" w:locked="0" w:uiPriority="0"/>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Headin"/>
    <w:link w:val="Heading1Char"/>
    <w:uiPriority w:val="9"/>
    <w:qFormat/>
    <w:rsid w:val="00B42408"/>
    <w:pPr>
      <w:widowControl w:val="0"/>
      <w:numPr>
        <w:numId w:val="34"/>
      </w:numPr>
      <w:spacing w:before="100" w:beforeAutospacing="1" w:after="100" w:afterAutospacing="1" w:line="280" w:lineRule="atLeast"/>
      <w:ind w:left="0" w:firstLine="0"/>
      <w:outlineLvl w:val="0"/>
    </w:pPr>
    <w:rPr>
      <w:rFonts w:cs="Arial"/>
      <w:bCs/>
      <w:caps/>
      <w:szCs w:val="32"/>
      <w:lang w:eastAsia="en-US"/>
    </w:rPr>
  </w:style>
  <w:style w:type="paragraph" w:styleId="Heading2">
    <w:name w:val="heading 2"/>
    <w:aliases w:val="1st Level Heading"/>
    <w:next w:val="BodyText"/>
    <w:uiPriority w:val="4"/>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Heading"/>
    <w:next w:val="BodyText"/>
    <w:link w:val="Heading3Char"/>
    <w:uiPriority w:val="4"/>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link w:val="Heading4Char"/>
    <w:uiPriority w:val="4"/>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268A1"/>
    <w:pPr>
      <w:spacing w:after="120" w:line="260" w:lineRule="atLeast"/>
      <w:jc w:val="both"/>
    </w:pPr>
    <w:rPr>
      <w:sz w:val="22"/>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link w:val="HeaderChar"/>
    <w:uiPriority w:val="9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qFormat/>
    <w:locked/>
    <w:rsid w:val="00BC6BAA"/>
    <w:pPr>
      <w:spacing w:line="280" w:lineRule="atLeast"/>
      <w:ind w:left="567" w:right="567"/>
      <w:jc w:val="center"/>
      <w:outlineLvl w:val="0"/>
    </w:pPr>
    <w:rPr>
      <w:rFonts w:ascii="Times New Roman Bold" w:hAnsi="Times New Roman Bold" w:cs="Arial"/>
      <w:b/>
      <w:bCs/>
      <w:caps/>
      <w:sz w:val="24"/>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uiPriority w:val="3"/>
    <w:qFormat/>
    <w:rsid w:val="00A80359"/>
    <w:pPr>
      <w:spacing w:after="100" w:afterAutospacing="1" w:line="280" w:lineRule="atLeast"/>
      <w:ind w:left="567" w:right="567"/>
      <w:contextualSpacing/>
      <w:jc w:val="center"/>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rsid w:val="00B82FA5"/>
    <w:pPr>
      <w:jc w:val="center"/>
    </w:pPr>
    <w:rPr>
      <w:b/>
      <w:sz w:val="16"/>
      <w:szCs w:val="16"/>
    </w:rPr>
  </w:style>
  <w:style w:type="paragraph" w:customStyle="1" w:styleId="Authornameandaffiliation">
    <w:name w:val="Author name and affiliation"/>
    <w:link w:val="AuthornameandaffiliationChar"/>
    <w:uiPriority w:val="49"/>
    <w:qFormat/>
    <w:rsid w:val="007C75FA"/>
    <w:pPr>
      <w:ind w:left="567"/>
      <w:contextualSpacing/>
    </w:pPr>
    <w:rPr>
      <w:sz w:val="22"/>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Introductiontitle">
    <w:name w:val="Introduction title"/>
    <w:basedOn w:val="Authornameandaffiliation"/>
    <w:link w:val="IntroductiontitleChar"/>
    <w:autoRedefine/>
    <w:uiPriority w:val="49"/>
    <w:qFormat/>
    <w:rsid w:val="004140C9"/>
    <w:pPr>
      <w:spacing w:line="240" w:lineRule="atLeast"/>
      <w:ind w:left="0" w:firstLine="567"/>
    </w:pPr>
  </w:style>
  <w:style w:type="character" w:customStyle="1" w:styleId="BodyTextChar">
    <w:name w:val="Body Text Char"/>
    <w:basedOn w:val="DefaultParagraphFont"/>
    <w:link w:val="BodyText"/>
    <w:rsid w:val="005268A1"/>
    <w:rPr>
      <w:sz w:val="22"/>
      <w:lang w:eastAsia="en-US"/>
    </w:rPr>
  </w:style>
  <w:style w:type="character" w:customStyle="1" w:styleId="AuthornameandaffiliationChar">
    <w:name w:val="Author name and affiliation Char"/>
    <w:basedOn w:val="BodyTextChar"/>
    <w:link w:val="Authornameandaffiliation"/>
    <w:uiPriority w:val="49"/>
    <w:rsid w:val="007C75FA"/>
    <w:rPr>
      <w:sz w:val="22"/>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titleChar">
    <w:name w:val="Introduction title Char"/>
    <w:basedOn w:val="AuthornameandaffiliationChar"/>
    <w:link w:val="Introductiontitle"/>
    <w:uiPriority w:val="49"/>
    <w:rsid w:val="004140C9"/>
    <w:rPr>
      <w:sz w:val="22"/>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C75FA"/>
    <w:pPr>
      <w:jc w:val="center"/>
    </w:pPr>
    <w:rPr>
      <w:i/>
      <w:sz w:val="20"/>
    </w:rPr>
  </w:style>
  <w:style w:type="paragraph" w:customStyle="1" w:styleId="Otherunnumberedheadings">
    <w:name w:val="Other unnumbered headings"/>
    <w:next w:val="BodyText"/>
    <w:link w:val="OtherunnumberedheadingsChar"/>
    <w:uiPriority w:val="49"/>
    <w:qFormat/>
    <w:locked/>
    <w:rsid w:val="005268A1"/>
    <w:pPr>
      <w:spacing w:before="100" w:beforeAutospacing="1" w:after="100" w:afterAutospacing="1" w:line="260" w:lineRule="atLeast"/>
      <w:jc w:val="center"/>
    </w:pPr>
    <w:rPr>
      <w:rFonts w:ascii="Times New Roman Bold" w:hAnsi="Times New Roman Bold"/>
      <w:b/>
      <w:caps/>
      <w:sz w:val="22"/>
      <w:lang w:eastAsia="en-US"/>
    </w:rPr>
  </w:style>
  <w:style w:type="character" w:customStyle="1" w:styleId="FigurecaptionChar">
    <w:name w:val="Figure caption Char"/>
    <w:basedOn w:val="BodyTextChar"/>
    <w:link w:val="Figurecaption"/>
    <w:uiPriority w:val="49"/>
    <w:rsid w:val="007C75FA"/>
    <w:rPr>
      <w:i/>
      <w:sz w:val="22"/>
      <w:lang w:eastAsia="en-US"/>
    </w:rPr>
  </w:style>
  <w:style w:type="paragraph" w:customStyle="1" w:styleId="Referencelist">
    <w:name w:val="Reference list"/>
    <w:basedOn w:val="BodyText"/>
    <w:link w:val="ReferencelistChar"/>
    <w:uiPriority w:val="49"/>
    <w:qFormat/>
    <w:rsid w:val="005268A1"/>
    <w:pPr>
      <w:numPr>
        <w:numId w:val="30"/>
      </w:numPr>
      <w:spacing w:after="0"/>
      <w:ind w:left="714" w:hanging="357"/>
    </w:pPr>
    <w:rPr>
      <w:sz w:val="20"/>
      <w:szCs w:val="18"/>
    </w:rPr>
  </w:style>
  <w:style w:type="character" w:customStyle="1" w:styleId="OtherunnumberedheadingsChar">
    <w:name w:val="Other unnumbered headings Char"/>
    <w:basedOn w:val="BodyTextChar"/>
    <w:link w:val="Otherunnumberedheadings"/>
    <w:uiPriority w:val="49"/>
    <w:rsid w:val="005268A1"/>
    <w:rPr>
      <w:rFonts w:ascii="Times New Roman Bold" w:hAnsi="Times New Roman Bold"/>
      <w:b/>
      <w:caps/>
      <w:sz w:val="22"/>
      <w:lang w:eastAsia="en-US"/>
    </w:rPr>
  </w:style>
  <w:style w:type="character" w:customStyle="1" w:styleId="ReferencelistChar">
    <w:name w:val="Reference list Char"/>
    <w:basedOn w:val="BodyTextChar"/>
    <w:link w:val="Referencelist"/>
    <w:uiPriority w:val="49"/>
    <w:rsid w:val="005268A1"/>
    <w:rPr>
      <w:sz w:val="22"/>
      <w:szCs w:val="18"/>
      <w:lang w:eastAsia="en-US"/>
    </w:rPr>
  </w:style>
  <w:style w:type="paragraph" w:customStyle="1" w:styleId="TableTitle">
    <w:name w:val="Table Title"/>
    <w:basedOn w:val="BodyText"/>
    <w:link w:val="TableTitleChar"/>
    <w:uiPriority w:val="49"/>
    <w:qFormat/>
    <w:rsid w:val="007C75FA"/>
    <w:rPr>
      <w:caps/>
    </w:rPr>
  </w:style>
  <w:style w:type="character" w:customStyle="1" w:styleId="TableTitleChar">
    <w:name w:val="Table Title Char"/>
    <w:basedOn w:val="BodyTextChar"/>
    <w:link w:val="TableTitle"/>
    <w:uiPriority w:val="49"/>
    <w:rsid w:val="007C75FA"/>
    <w:rPr>
      <w:caps/>
      <w:sz w:val="22"/>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7C75FA"/>
    <w:pPr>
      <w:tabs>
        <w:tab w:val="left" w:pos="709"/>
      </w:tabs>
      <w:overflowPunct/>
      <w:autoSpaceDE/>
      <w:autoSpaceDN/>
      <w:adjustRightInd/>
      <w:spacing w:after="120"/>
      <w:ind w:left="709" w:hanging="709"/>
      <w:textAlignment w:val="auto"/>
    </w:pPr>
    <w:rPr>
      <w:i/>
      <w:iCs/>
      <w:sz w:val="20"/>
      <w:szCs w:val="18"/>
    </w:rPr>
  </w:style>
  <w:style w:type="character" w:customStyle="1" w:styleId="FIG-LONGChar">
    <w:name w:val="FIG-LONG Char"/>
    <w:basedOn w:val="DefaultParagraphFont"/>
    <w:link w:val="FIG-LONG"/>
    <w:rsid w:val="007C75FA"/>
    <w:rPr>
      <w:i/>
      <w:iCs/>
      <w:szCs w:val="18"/>
      <w:lang w:eastAsia="en-US"/>
    </w:rPr>
  </w:style>
  <w:style w:type="table" w:customStyle="1" w:styleId="TableGrid1">
    <w:name w:val="Table Grid1"/>
    <w:basedOn w:val="TableNormal"/>
    <w:next w:val="TableGrid"/>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Revision">
    <w:name w:val="Revision"/>
    <w:hidden/>
    <w:uiPriority w:val="99"/>
    <w:semiHidden/>
    <w:rsid w:val="00712E17"/>
    <w:rPr>
      <w:sz w:val="22"/>
      <w:lang w:eastAsia="en-US"/>
    </w:rPr>
  </w:style>
  <w:style w:type="paragraph" w:styleId="NoSpacing">
    <w:name w:val="No Spacing"/>
    <w:link w:val="NoSpacingChar"/>
    <w:uiPriority w:val="1"/>
    <w:locked/>
    <w:rsid w:val="0083137C"/>
    <w:rPr>
      <w:rFonts w:asciiTheme="minorHAnsi" w:hAnsiTheme="minorHAnsi" w:cstheme="minorBidi"/>
      <w:sz w:val="22"/>
      <w:szCs w:val="22"/>
      <w:lang w:val="en-US" w:eastAsia="en-US"/>
    </w:rPr>
  </w:style>
  <w:style w:type="character" w:customStyle="1" w:styleId="NoSpacingChar">
    <w:name w:val="No Spacing Char"/>
    <w:basedOn w:val="DefaultParagraphFont"/>
    <w:link w:val="NoSpacing"/>
    <w:uiPriority w:val="1"/>
    <w:rsid w:val="0083137C"/>
    <w:rPr>
      <w:rFonts w:asciiTheme="minorHAnsi" w:hAnsiTheme="minorHAnsi" w:cstheme="minorBidi"/>
      <w:sz w:val="22"/>
      <w:szCs w:val="22"/>
      <w:lang w:val="en-US" w:eastAsia="en-US"/>
    </w:rPr>
  </w:style>
  <w:style w:type="paragraph" w:customStyle="1" w:styleId="IntroductionBodyText">
    <w:name w:val="Introduction Body Text"/>
    <w:basedOn w:val="Introductiontitle"/>
    <w:link w:val="IntroductionBodyTextChar"/>
    <w:uiPriority w:val="49"/>
    <w:rsid w:val="0013032C"/>
    <w:rPr>
      <w:b/>
      <w:bCs/>
      <w:sz w:val="18"/>
    </w:rPr>
  </w:style>
  <w:style w:type="character" w:customStyle="1" w:styleId="IntroductionBodyTextChar">
    <w:name w:val="Introduction Body Text Char"/>
    <w:basedOn w:val="IntroductiontitleChar"/>
    <w:link w:val="IntroductionBodyText"/>
    <w:uiPriority w:val="49"/>
    <w:rsid w:val="0013032C"/>
    <w:rPr>
      <w:b/>
      <w:bCs/>
      <w:sz w:val="18"/>
      <w:lang w:val="en-US" w:eastAsia="en-US"/>
    </w:rPr>
  </w:style>
  <w:style w:type="paragraph" w:customStyle="1" w:styleId="PaperTitle">
    <w:name w:val="Paper Title"/>
    <w:basedOn w:val="Heading1"/>
    <w:link w:val="PaperTitleChar"/>
    <w:uiPriority w:val="49"/>
    <w:rsid w:val="00BC6BAA"/>
  </w:style>
  <w:style w:type="character" w:customStyle="1" w:styleId="Heading1Char">
    <w:name w:val="Heading 1 Char"/>
    <w:aliases w:val="Headin Char"/>
    <w:basedOn w:val="DefaultParagraphFont"/>
    <w:link w:val="Heading1"/>
    <w:uiPriority w:val="9"/>
    <w:rsid w:val="00B42408"/>
    <w:rPr>
      <w:rFonts w:cs="Arial"/>
      <w:bCs/>
      <w:caps/>
      <w:szCs w:val="32"/>
      <w:lang w:eastAsia="en-US"/>
    </w:rPr>
  </w:style>
  <w:style w:type="character" w:customStyle="1" w:styleId="PaperTitleChar">
    <w:name w:val="Paper Title Char"/>
    <w:basedOn w:val="Heading1Char"/>
    <w:link w:val="PaperTitle"/>
    <w:uiPriority w:val="49"/>
    <w:rsid w:val="00BC6BAA"/>
    <w:rPr>
      <w:rFonts w:cs="Arial"/>
      <w:bCs/>
      <w:caps/>
      <w:szCs w:val="32"/>
      <w:lang w:eastAsia="en-US"/>
    </w:rPr>
  </w:style>
  <w:style w:type="paragraph" w:customStyle="1" w:styleId="Heading2nd">
    <w:name w:val="Heading 2nd"/>
    <w:basedOn w:val="Heading3"/>
    <w:link w:val="Heading2ndChar"/>
    <w:uiPriority w:val="49"/>
    <w:qFormat/>
    <w:rsid w:val="007C75FA"/>
    <w:rPr>
      <w:sz w:val="22"/>
    </w:rPr>
  </w:style>
  <w:style w:type="character" w:customStyle="1" w:styleId="Heading3Char">
    <w:name w:val="Heading 3 Char"/>
    <w:aliases w:val="Heading Char"/>
    <w:basedOn w:val="DefaultParagraphFont"/>
    <w:link w:val="Heading3"/>
    <w:uiPriority w:val="4"/>
    <w:rsid w:val="003F7ACA"/>
    <w:rPr>
      <w:b/>
      <w:lang w:eastAsia="en-US"/>
    </w:rPr>
  </w:style>
  <w:style w:type="character" w:customStyle="1" w:styleId="Heading2ndChar">
    <w:name w:val="Heading 2nd Char"/>
    <w:basedOn w:val="Heading3Char"/>
    <w:link w:val="Heading2nd"/>
    <w:uiPriority w:val="49"/>
    <w:rsid w:val="007C75FA"/>
    <w:rPr>
      <w:b/>
      <w:sz w:val="22"/>
      <w:lang w:eastAsia="en-US"/>
    </w:rPr>
  </w:style>
  <w:style w:type="paragraph" w:customStyle="1" w:styleId="Heading3rd">
    <w:name w:val="Heading 3rd"/>
    <w:basedOn w:val="Heading4"/>
    <w:link w:val="Heading3rdChar"/>
    <w:uiPriority w:val="49"/>
    <w:qFormat/>
    <w:rsid w:val="007C75FA"/>
    <w:pPr>
      <w:ind w:left="0"/>
    </w:pPr>
    <w:rPr>
      <w:sz w:val="22"/>
    </w:rPr>
  </w:style>
  <w:style w:type="character" w:customStyle="1" w:styleId="Heading4Char">
    <w:name w:val="Heading 4 Char"/>
    <w:aliases w:val="3rd level paper heading Char"/>
    <w:basedOn w:val="DefaultParagraphFont"/>
    <w:link w:val="Heading4"/>
    <w:uiPriority w:val="4"/>
    <w:rsid w:val="003F7ACA"/>
    <w:rPr>
      <w:i/>
      <w:lang w:val="en-US" w:eastAsia="en-US"/>
    </w:rPr>
  </w:style>
  <w:style w:type="character" w:customStyle="1" w:styleId="Heading3rdChar">
    <w:name w:val="Heading 3rd Char"/>
    <w:basedOn w:val="Heading4Char"/>
    <w:link w:val="Heading3rd"/>
    <w:uiPriority w:val="49"/>
    <w:rsid w:val="007C75FA"/>
    <w:rPr>
      <w:i/>
      <w:sz w:val="22"/>
      <w:lang w:val="en-US" w:eastAsia="en-US"/>
    </w:rPr>
  </w:style>
  <w:style w:type="paragraph" w:customStyle="1" w:styleId="Heading1st">
    <w:name w:val="Heading 1st"/>
    <w:basedOn w:val="Heading2"/>
    <w:link w:val="Heading1stChar"/>
    <w:autoRedefine/>
    <w:uiPriority w:val="49"/>
    <w:qFormat/>
    <w:rsid w:val="007C75FA"/>
    <w:rPr>
      <w:sz w:val="22"/>
    </w:rPr>
  </w:style>
  <w:style w:type="character" w:customStyle="1" w:styleId="Heading1stChar">
    <w:name w:val="Heading 1st Char"/>
    <w:basedOn w:val="Heading1Char"/>
    <w:link w:val="Heading1st"/>
    <w:uiPriority w:val="49"/>
    <w:rsid w:val="007C75FA"/>
    <w:rPr>
      <w:rFonts w:cs="Arial"/>
      <w:bCs w:val="0"/>
      <w:caps/>
      <w:sz w:val="22"/>
      <w:szCs w:val="32"/>
      <w:lang w:eastAsia="en-US"/>
    </w:rPr>
  </w:style>
  <w:style w:type="character" w:styleId="Hyperlink">
    <w:name w:val="Hyperlink"/>
    <w:basedOn w:val="DefaultParagraphFont"/>
    <w:uiPriority w:val="49"/>
    <w:unhideWhenUsed/>
    <w:locked/>
    <w:rsid w:val="0066420C"/>
    <w:rPr>
      <w:color w:val="0000FF" w:themeColor="hyperlink"/>
      <w:u w:val="single"/>
    </w:rPr>
  </w:style>
  <w:style w:type="character" w:styleId="UnresolvedMention">
    <w:name w:val="Unresolved Mention"/>
    <w:basedOn w:val="DefaultParagraphFont"/>
    <w:uiPriority w:val="99"/>
    <w:semiHidden/>
    <w:unhideWhenUsed/>
    <w:rsid w:val="0066420C"/>
    <w:rPr>
      <w:color w:val="605E5C"/>
      <w:shd w:val="clear" w:color="auto" w:fill="E1DFDD"/>
    </w:rPr>
  </w:style>
  <w:style w:type="character" w:customStyle="1" w:styleId="HeaderChar">
    <w:name w:val="Header Char"/>
    <w:basedOn w:val="DefaultParagraphFont"/>
    <w:link w:val="Header"/>
    <w:uiPriority w:val="99"/>
    <w:rsid w:val="00E379A5"/>
    <w:rPr>
      <w:sz w:val="18"/>
      <w:lang w:val="en-US" w:eastAsia="en-US"/>
    </w:rPr>
  </w:style>
  <w:style w:type="paragraph" w:styleId="Bibliography">
    <w:name w:val="Bibliography"/>
    <w:basedOn w:val="Normal"/>
    <w:next w:val="Normal"/>
    <w:uiPriority w:val="37"/>
    <w:unhideWhenUsed/>
    <w:locked/>
    <w:rsid w:val="006F0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33033">
      <w:bodyDiv w:val="1"/>
      <w:marLeft w:val="0"/>
      <w:marRight w:val="0"/>
      <w:marTop w:val="0"/>
      <w:marBottom w:val="0"/>
      <w:divBdr>
        <w:top w:val="none" w:sz="0" w:space="0" w:color="auto"/>
        <w:left w:val="none" w:sz="0" w:space="0" w:color="auto"/>
        <w:bottom w:val="none" w:sz="0" w:space="0" w:color="auto"/>
        <w:right w:val="none" w:sz="0" w:space="0" w:color="auto"/>
      </w:divBdr>
    </w:div>
    <w:div w:id="308559750">
      <w:bodyDiv w:val="1"/>
      <w:marLeft w:val="0"/>
      <w:marRight w:val="0"/>
      <w:marTop w:val="0"/>
      <w:marBottom w:val="0"/>
      <w:divBdr>
        <w:top w:val="none" w:sz="0" w:space="0" w:color="auto"/>
        <w:left w:val="none" w:sz="0" w:space="0" w:color="auto"/>
        <w:bottom w:val="none" w:sz="0" w:space="0" w:color="auto"/>
        <w:right w:val="none" w:sz="0" w:space="0" w:color="auto"/>
      </w:divBdr>
    </w:div>
    <w:div w:id="488206329">
      <w:bodyDiv w:val="1"/>
      <w:marLeft w:val="0"/>
      <w:marRight w:val="0"/>
      <w:marTop w:val="0"/>
      <w:marBottom w:val="0"/>
      <w:divBdr>
        <w:top w:val="none" w:sz="0" w:space="0" w:color="auto"/>
        <w:left w:val="none" w:sz="0" w:space="0" w:color="auto"/>
        <w:bottom w:val="none" w:sz="0" w:space="0" w:color="auto"/>
        <w:right w:val="none" w:sz="0" w:space="0" w:color="auto"/>
      </w:divBdr>
    </w:div>
    <w:div w:id="497424233">
      <w:bodyDiv w:val="1"/>
      <w:marLeft w:val="0"/>
      <w:marRight w:val="0"/>
      <w:marTop w:val="0"/>
      <w:marBottom w:val="0"/>
      <w:divBdr>
        <w:top w:val="none" w:sz="0" w:space="0" w:color="auto"/>
        <w:left w:val="none" w:sz="0" w:space="0" w:color="auto"/>
        <w:bottom w:val="none" w:sz="0" w:space="0" w:color="auto"/>
        <w:right w:val="none" w:sz="0" w:space="0" w:color="auto"/>
      </w:divBdr>
    </w:div>
    <w:div w:id="551304780">
      <w:bodyDiv w:val="1"/>
      <w:marLeft w:val="0"/>
      <w:marRight w:val="0"/>
      <w:marTop w:val="0"/>
      <w:marBottom w:val="0"/>
      <w:divBdr>
        <w:top w:val="none" w:sz="0" w:space="0" w:color="auto"/>
        <w:left w:val="none" w:sz="0" w:space="0" w:color="auto"/>
        <w:bottom w:val="none" w:sz="0" w:space="0" w:color="auto"/>
        <w:right w:val="none" w:sz="0" w:space="0" w:color="auto"/>
      </w:divBdr>
    </w:div>
    <w:div w:id="557982626">
      <w:bodyDiv w:val="1"/>
      <w:marLeft w:val="0"/>
      <w:marRight w:val="0"/>
      <w:marTop w:val="0"/>
      <w:marBottom w:val="0"/>
      <w:divBdr>
        <w:top w:val="none" w:sz="0" w:space="0" w:color="auto"/>
        <w:left w:val="none" w:sz="0" w:space="0" w:color="auto"/>
        <w:bottom w:val="none" w:sz="0" w:space="0" w:color="auto"/>
        <w:right w:val="none" w:sz="0" w:space="0" w:color="auto"/>
      </w:divBdr>
    </w:div>
    <w:div w:id="579603627">
      <w:bodyDiv w:val="1"/>
      <w:marLeft w:val="0"/>
      <w:marRight w:val="0"/>
      <w:marTop w:val="0"/>
      <w:marBottom w:val="0"/>
      <w:divBdr>
        <w:top w:val="none" w:sz="0" w:space="0" w:color="auto"/>
        <w:left w:val="none" w:sz="0" w:space="0" w:color="auto"/>
        <w:bottom w:val="none" w:sz="0" w:space="0" w:color="auto"/>
        <w:right w:val="none" w:sz="0" w:space="0" w:color="auto"/>
      </w:divBdr>
    </w:div>
    <w:div w:id="619537541">
      <w:bodyDiv w:val="1"/>
      <w:marLeft w:val="0"/>
      <w:marRight w:val="0"/>
      <w:marTop w:val="0"/>
      <w:marBottom w:val="0"/>
      <w:divBdr>
        <w:top w:val="none" w:sz="0" w:space="0" w:color="auto"/>
        <w:left w:val="none" w:sz="0" w:space="0" w:color="auto"/>
        <w:bottom w:val="none" w:sz="0" w:space="0" w:color="auto"/>
        <w:right w:val="none" w:sz="0" w:space="0" w:color="auto"/>
      </w:divBdr>
    </w:div>
    <w:div w:id="677387706">
      <w:bodyDiv w:val="1"/>
      <w:marLeft w:val="0"/>
      <w:marRight w:val="0"/>
      <w:marTop w:val="0"/>
      <w:marBottom w:val="0"/>
      <w:divBdr>
        <w:top w:val="none" w:sz="0" w:space="0" w:color="auto"/>
        <w:left w:val="none" w:sz="0" w:space="0" w:color="auto"/>
        <w:bottom w:val="none" w:sz="0" w:space="0" w:color="auto"/>
        <w:right w:val="none" w:sz="0" w:space="0" w:color="auto"/>
      </w:divBdr>
    </w:div>
    <w:div w:id="730153800">
      <w:bodyDiv w:val="1"/>
      <w:marLeft w:val="0"/>
      <w:marRight w:val="0"/>
      <w:marTop w:val="0"/>
      <w:marBottom w:val="0"/>
      <w:divBdr>
        <w:top w:val="none" w:sz="0" w:space="0" w:color="auto"/>
        <w:left w:val="none" w:sz="0" w:space="0" w:color="auto"/>
        <w:bottom w:val="none" w:sz="0" w:space="0" w:color="auto"/>
        <w:right w:val="none" w:sz="0" w:space="0" w:color="auto"/>
      </w:divBdr>
    </w:div>
    <w:div w:id="738795113">
      <w:bodyDiv w:val="1"/>
      <w:marLeft w:val="0"/>
      <w:marRight w:val="0"/>
      <w:marTop w:val="0"/>
      <w:marBottom w:val="0"/>
      <w:divBdr>
        <w:top w:val="none" w:sz="0" w:space="0" w:color="auto"/>
        <w:left w:val="none" w:sz="0" w:space="0" w:color="auto"/>
        <w:bottom w:val="none" w:sz="0" w:space="0" w:color="auto"/>
        <w:right w:val="none" w:sz="0" w:space="0" w:color="auto"/>
      </w:divBdr>
    </w:div>
    <w:div w:id="954866173">
      <w:bodyDiv w:val="1"/>
      <w:marLeft w:val="0"/>
      <w:marRight w:val="0"/>
      <w:marTop w:val="0"/>
      <w:marBottom w:val="0"/>
      <w:divBdr>
        <w:top w:val="none" w:sz="0" w:space="0" w:color="auto"/>
        <w:left w:val="none" w:sz="0" w:space="0" w:color="auto"/>
        <w:bottom w:val="none" w:sz="0" w:space="0" w:color="auto"/>
        <w:right w:val="none" w:sz="0" w:space="0" w:color="auto"/>
      </w:divBdr>
    </w:div>
    <w:div w:id="1073158814">
      <w:bodyDiv w:val="1"/>
      <w:marLeft w:val="0"/>
      <w:marRight w:val="0"/>
      <w:marTop w:val="0"/>
      <w:marBottom w:val="0"/>
      <w:divBdr>
        <w:top w:val="none" w:sz="0" w:space="0" w:color="auto"/>
        <w:left w:val="none" w:sz="0" w:space="0" w:color="auto"/>
        <w:bottom w:val="none" w:sz="0" w:space="0" w:color="auto"/>
        <w:right w:val="none" w:sz="0" w:space="0" w:color="auto"/>
      </w:divBdr>
    </w:div>
    <w:div w:id="1096948359">
      <w:bodyDiv w:val="1"/>
      <w:marLeft w:val="0"/>
      <w:marRight w:val="0"/>
      <w:marTop w:val="0"/>
      <w:marBottom w:val="0"/>
      <w:divBdr>
        <w:top w:val="none" w:sz="0" w:space="0" w:color="auto"/>
        <w:left w:val="none" w:sz="0" w:space="0" w:color="auto"/>
        <w:bottom w:val="none" w:sz="0" w:space="0" w:color="auto"/>
        <w:right w:val="none" w:sz="0" w:space="0" w:color="auto"/>
      </w:divBdr>
    </w:div>
    <w:div w:id="1103452629">
      <w:bodyDiv w:val="1"/>
      <w:marLeft w:val="0"/>
      <w:marRight w:val="0"/>
      <w:marTop w:val="0"/>
      <w:marBottom w:val="0"/>
      <w:divBdr>
        <w:top w:val="none" w:sz="0" w:space="0" w:color="auto"/>
        <w:left w:val="none" w:sz="0" w:space="0" w:color="auto"/>
        <w:bottom w:val="none" w:sz="0" w:space="0" w:color="auto"/>
        <w:right w:val="none" w:sz="0" w:space="0" w:color="auto"/>
      </w:divBdr>
    </w:div>
    <w:div w:id="1151948777">
      <w:bodyDiv w:val="1"/>
      <w:marLeft w:val="0"/>
      <w:marRight w:val="0"/>
      <w:marTop w:val="0"/>
      <w:marBottom w:val="0"/>
      <w:divBdr>
        <w:top w:val="none" w:sz="0" w:space="0" w:color="auto"/>
        <w:left w:val="none" w:sz="0" w:space="0" w:color="auto"/>
        <w:bottom w:val="none" w:sz="0" w:space="0" w:color="auto"/>
        <w:right w:val="none" w:sz="0" w:space="0" w:color="auto"/>
      </w:divBdr>
    </w:div>
    <w:div w:id="1191651399">
      <w:bodyDiv w:val="1"/>
      <w:marLeft w:val="0"/>
      <w:marRight w:val="0"/>
      <w:marTop w:val="0"/>
      <w:marBottom w:val="0"/>
      <w:divBdr>
        <w:top w:val="none" w:sz="0" w:space="0" w:color="auto"/>
        <w:left w:val="none" w:sz="0" w:space="0" w:color="auto"/>
        <w:bottom w:val="none" w:sz="0" w:space="0" w:color="auto"/>
        <w:right w:val="none" w:sz="0" w:space="0" w:color="auto"/>
      </w:divBdr>
    </w:div>
    <w:div w:id="1201668676">
      <w:bodyDiv w:val="1"/>
      <w:marLeft w:val="0"/>
      <w:marRight w:val="0"/>
      <w:marTop w:val="0"/>
      <w:marBottom w:val="0"/>
      <w:divBdr>
        <w:top w:val="none" w:sz="0" w:space="0" w:color="auto"/>
        <w:left w:val="none" w:sz="0" w:space="0" w:color="auto"/>
        <w:bottom w:val="none" w:sz="0" w:space="0" w:color="auto"/>
        <w:right w:val="none" w:sz="0" w:space="0" w:color="auto"/>
      </w:divBdr>
    </w:div>
    <w:div w:id="1229924475">
      <w:bodyDiv w:val="1"/>
      <w:marLeft w:val="0"/>
      <w:marRight w:val="0"/>
      <w:marTop w:val="0"/>
      <w:marBottom w:val="0"/>
      <w:divBdr>
        <w:top w:val="none" w:sz="0" w:space="0" w:color="auto"/>
        <w:left w:val="none" w:sz="0" w:space="0" w:color="auto"/>
        <w:bottom w:val="none" w:sz="0" w:space="0" w:color="auto"/>
        <w:right w:val="none" w:sz="0" w:space="0" w:color="auto"/>
      </w:divBdr>
    </w:div>
    <w:div w:id="1260407709">
      <w:bodyDiv w:val="1"/>
      <w:marLeft w:val="0"/>
      <w:marRight w:val="0"/>
      <w:marTop w:val="0"/>
      <w:marBottom w:val="0"/>
      <w:divBdr>
        <w:top w:val="none" w:sz="0" w:space="0" w:color="auto"/>
        <w:left w:val="none" w:sz="0" w:space="0" w:color="auto"/>
        <w:bottom w:val="none" w:sz="0" w:space="0" w:color="auto"/>
        <w:right w:val="none" w:sz="0" w:space="0" w:color="auto"/>
      </w:divBdr>
    </w:div>
    <w:div w:id="1292050775">
      <w:bodyDiv w:val="1"/>
      <w:marLeft w:val="0"/>
      <w:marRight w:val="0"/>
      <w:marTop w:val="0"/>
      <w:marBottom w:val="0"/>
      <w:divBdr>
        <w:top w:val="none" w:sz="0" w:space="0" w:color="auto"/>
        <w:left w:val="none" w:sz="0" w:space="0" w:color="auto"/>
        <w:bottom w:val="none" w:sz="0" w:space="0" w:color="auto"/>
        <w:right w:val="none" w:sz="0" w:space="0" w:color="auto"/>
      </w:divBdr>
    </w:div>
    <w:div w:id="1425034080">
      <w:bodyDiv w:val="1"/>
      <w:marLeft w:val="0"/>
      <w:marRight w:val="0"/>
      <w:marTop w:val="0"/>
      <w:marBottom w:val="0"/>
      <w:divBdr>
        <w:top w:val="none" w:sz="0" w:space="0" w:color="auto"/>
        <w:left w:val="none" w:sz="0" w:space="0" w:color="auto"/>
        <w:bottom w:val="none" w:sz="0" w:space="0" w:color="auto"/>
        <w:right w:val="none" w:sz="0" w:space="0" w:color="auto"/>
      </w:divBdr>
    </w:div>
    <w:div w:id="1539245750">
      <w:bodyDiv w:val="1"/>
      <w:marLeft w:val="0"/>
      <w:marRight w:val="0"/>
      <w:marTop w:val="0"/>
      <w:marBottom w:val="0"/>
      <w:divBdr>
        <w:top w:val="none" w:sz="0" w:space="0" w:color="auto"/>
        <w:left w:val="none" w:sz="0" w:space="0" w:color="auto"/>
        <w:bottom w:val="none" w:sz="0" w:space="0" w:color="auto"/>
        <w:right w:val="none" w:sz="0" w:space="0" w:color="auto"/>
      </w:divBdr>
    </w:div>
    <w:div w:id="1648389255">
      <w:bodyDiv w:val="1"/>
      <w:marLeft w:val="0"/>
      <w:marRight w:val="0"/>
      <w:marTop w:val="0"/>
      <w:marBottom w:val="0"/>
      <w:divBdr>
        <w:top w:val="none" w:sz="0" w:space="0" w:color="auto"/>
        <w:left w:val="none" w:sz="0" w:space="0" w:color="auto"/>
        <w:bottom w:val="none" w:sz="0" w:space="0" w:color="auto"/>
        <w:right w:val="none" w:sz="0" w:space="0" w:color="auto"/>
      </w:divBdr>
    </w:div>
    <w:div w:id="1809472940">
      <w:bodyDiv w:val="1"/>
      <w:marLeft w:val="0"/>
      <w:marRight w:val="0"/>
      <w:marTop w:val="0"/>
      <w:marBottom w:val="0"/>
      <w:divBdr>
        <w:top w:val="none" w:sz="0" w:space="0" w:color="auto"/>
        <w:left w:val="none" w:sz="0" w:space="0" w:color="auto"/>
        <w:bottom w:val="none" w:sz="0" w:space="0" w:color="auto"/>
        <w:right w:val="none" w:sz="0" w:space="0" w:color="auto"/>
      </w:divBdr>
    </w:div>
    <w:div w:id="1903831321">
      <w:bodyDiv w:val="1"/>
      <w:marLeft w:val="0"/>
      <w:marRight w:val="0"/>
      <w:marTop w:val="0"/>
      <w:marBottom w:val="0"/>
      <w:divBdr>
        <w:top w:val="none" w:sz="0" w:space="0" w:color="auto"/>
        <w:left w:val="none" w:sz="0" w:space="0" w:color="auto"/>
        <w:bottom w:val="none" w:sz="0" w:space="0" w:color="auto"/>
        <w:right w:val="none" w:sz="0" w:space="0" w:color="auto"/>
      </w:divBdr>
    </w:div>
    <w:div w:id="206170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opg.com/documents/dnnp-application-for-a-licence-to-construct-a-reactor-facility-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nrc.gov/docs/ML0217/ML021770054.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6A796520C814EFB8CA213C76836132F"/>
        <w:category>
          <w:name w:val="General"/>
          <w:gallery w:val="placeholder"/>
        </w:category>
        <w:types>
          <w:type w:val="bbPlcHdr"/>
        </w:types>
        <w:behaviors>
          <w:behavior w:val="content"/>
        </w:behaviors>
        <w:guid w:val="{EB96D19C-85C9-4538-80FE-6C4DB7ED1BF9}"/>
      </w:docPartPr>
      <w:docPartBody>
        <w:p w:rsidR="00DA6691" w:rsidRDefault="00DA6691" w:rsidP="00DA6691">
          <w:pPr>
            <w:pStyle w:val="96A796520C814EFB8CA213C76836132F"/>
          </w:pPr>
          <w:r>
            <w:rPr>
              <w:color w:val="2F5496" w:themeColor="accent1" w:themeShade="BF"/>
              <w:sz w:val="24"/>
              <w:szCs w:val="24"/>
            </w:rPr>
            <w:t>[Company name]</w:t>
          </w:r>
        </w:p>
      </w:docPartBody>
    </w:docPart>
    <w:docPart>
      <w:docPartPr>
        <w:name w:val="97633C38B1904B348A45E5D6454BBC25"/>
        <w:category>
          <w:name w:val="General"/>
          <w:gallery w:val="placeholder"/>
        </w:category>
        <w:types>
          <w:type w:val="bbPlcHdr"/>
        </w:types>
        <w:behaviors>
          <w:behavior w:val="content"/>
        </w:behaviors>
        <w:guid w:val="{380E8468-D018-4098-AFF2-8327C03A587E}"/>
      </w:docPartPr>
      <w:docPartBody>
        <w:p w:rsidR="00DA6691" w:rsidRDefault="00DA6691" w:rsidP="00DA6691">
          <w:pPr>
            <w:pStyle w:val="97633C38B1904B348A45E5D6454BBC25"/>
          </w:pPr>
          <w:r>
            <w:rPr>
              <w:rFonts w:asciiTheme="majorHAnsi" w:eastAsiaTheme="majorEastAsia" w:hAnsiTheme="majorHAnsi" w:cstheme="majorBidi"/>
              <w:color w:val="4472C4" w:themeColor="accent1"/>
              <w:sz w:val="88"/>
              <w:szCs w:val="88"/>
            </w:rPr>
            <w:t>[Document title]</w:t>
          </w:r>
        </w:p>
      </w:docPartBody>
    </w:docPart>
    <w:docPart>
      <w:docPartPr>
        <w:name w:val="EB1AE3A2961D48DA8EF477DCAF44557E"/>
        <w:category>
          <w:name w:val="General"/>
          <w:gallery w:val="placeholder"/>
        </w:category>
        <w:types>
          <w:type w:val="bbPlcHdr"/>
        </w:types>
        <w:behaviors>
          <w:behavior w:val="content"/>
        </w:behaviors>
        <w:guid w:val="{7598D172-2F20-4278-B3EA-3517727A2056}"/>
      </w:docPartPr>
      <w:docPartBody>
        <w:p w:rsidR="00DA6691" w:rsidRDefault="00DA6691" w:rsidP="00DA6691">
          <w:pPr>
            <w:pStyle w:val="EB1AE3A2961D48DA8EF477DCAF44557E"/>
          </w:pPr>
          <w:r>
            <w:rPr>
              <w:color w:val="2F5496" w:themeColor="accent1" w:themeShade="BF"/>
              <w:sz w:val="24"/>
              <w:szCs w:val="24"/>
            </w:rPr>
            <w:t>[Document subtitle]</w:t>
          </w:r>
        </w:p>
      </w:docPartBody>
    </w:docPart>
    <w:docPart>
      <w:docPartPr>
        <w:name w:val="D7EC97C970064CF59A943C4B19D106DD"/>
        <w:category>
          <w:name w:val="General"/>
          <w:gallery w:val="placeholder"/>
        </w:category>
        <w:types>
          <w:type w:val="bbPlcHdr"/>
        </w:types>
        <w:behaviors>
          <w:behavior w:val="content"/>
        </w:behaviors>
        <w:guid w:val="{5EA1473B-CBB2-4932-B8E4-72608B286FFF}"/>
      </w:docPartPr>
      <w:docPartBody>
        <w:p w:rsidR="00DA6691" w:rsidRDefault="00DA6691" w:rsidP="00DA6691">
          <w:pPr>
            <w:pStyle w:val="D7EC97C970064CF59A943C4B19D106DD"/>
          </w:pPr>
          <w:r>
            <w:rPr>
              <w:color w:val="4472C4" w:themeColor="accent1"/>
              <w:sz w:val="28"/>
              <w:szCs w:val="28"/>
            </w:rPr>
            <w:t>[Author name]</w:t>
          </w:r>
        </w:p>
      </w:docPartBody>
    </w:docPart>
    <w:docPart>
      <w:docPartPr>
        <w:name w:val="872E462139494F618794DB3137466050"/>
        <w:category>
          <w:name w:val="General"/>
          <w:gallery w:val="placeholder"/>
        </w:category>
        <w:types>
          <w:type w:val="bbPlcHdr"/>
        </w:types>
        <w:behaviors>
          <w:behavior w:val="content"/>
        </w:behaviors>
        <w:guid w:val="{ED694258-7F80-4E1B-B868-6EF9B900CA88}"/>
      </w:docPartPr>
      <w:docPartBody>
        <w:p w:rsidR="00DA6691" w:rsidRDefault="00DA6691" w:rsidP="00DA6691">
          <w:pPr>
            <w:pStyle w:val="872E462139494F618794DB3137466050"/>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3000509000000000000"/>
    <w:charset w:val="86"/>
    <w:family w:val="script"/>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691"/>
    <w:rsid w:val="00193B70"/>
    <w:rsid w:val="002574F8"/>
    <w:rsid w:val="0034462E"/>
    <w:rsid w:val="00517F18"/>
    <w:rsid w:val="00601E4C"/>
    <w:rsid w:val="006C0265"/>
    <w:rsid w:val="006C1196"/>
    <w:rsid w:val="006F2CDC"/>
    <w:rsid w:val="007739DD"/>
    <w:rsid w:val="00A371E3"/>
    <w:rsid w:val="00A5295D"/>
    <w:rsid w:val="00B2663F"/>
    <w:rsid w:val="00D2290D"/>
    <w:rsid w:val="00D91967"/>
    <w:rsid w:val="00DA6691"/>
    <w:rsid w:val="00E00BA4"/>
    <w:rsid w:val="00E5092E"/>
    <w:rsid w:val="00F0165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A796520C814EFB8CA213C76836132F">
    <w:name w:val="96A796520C814EFB8CA213C76836132F"/>
    <w:rsid w:val="00DA6691"/>
  </w:style>
  <w:style w:type="paragraph" w:customStyle="1" w:styleId="97633C38B1904B348A45E5D6454BBC25">
    <w:name w:val="97633C38B1904B348A45E5D6454BBC25"/>
    <w:rsid w:val="00DA6691"/>
  </w:style>
  <w:style w:type="paragraph" w:customStyle="1" w:styleId="EB1AE3A2961D48DA8EF477DCAF44557E">
    <w:name w:val="EB1AE3A2961D48DA8EF477DCAF44557E"/>
    <w:rsid w:val="00DA6691"/>
  </w:style>
  <w:style w:type="paragraph" w:customStyle="1" w:styleId="D7EC97C970064CF59A943C4B19D106DD">
    <w:name w:val="D7EC97C970064CF59A943C4B19D106DD"/>
    <w:rsid w:val="00DA6691"/>
  </w:style>
  <w:style w:type="paragraph" w:customStyle="1" w:styleId="872E462139494F618794DB3137466050">
    <w:name w:val="872E462139494F618794DB3137466050"/>
    <w:rsid w:val="00DA66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Vienna, 2025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8268416F68F348A07DF0E8893BF2CC" ma:contentTypeVersion="1" ma:contentTypeDescription="Create a new document." ma:contentTypeScope="" ma:versionID="f57be7260f1e919e724968ef9b30d447">
  <xsd:schema xmlns:xsd="http://www.w3.org/2001/XMLSchema" xmlns:xs="http://www.w3.org/2001/XMLSchema" xmlns:p="http://schemas.microsoft.com/office/2006/metadata/properties" xmlns:ns1="http://schemas.microsoft.com/sharepoint/v3" targetNamespace="http://schemas.microsoft.com/office/2006/metadata/properties" ma:root="true" ma:fieldsID="9731dec261deb37c812c0bf4798222a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b:Source>
    <b:Tag>Neu25</b:Tag>
    <b:SourceType>InternetSite</b:SourceType>
    <b:Guid>{C1163166-0EF9-4681-82EE-0FCB5A2067C2}</b:Guid>
    <b:Title>Neutron Bytes</b:Title>
    <b:Year>2025</b:Year>
    <b:Month>May</b:Month>
    <b:Day>17</b:Day>
    <b:YearAccessed>2025</b:YearAccessed>
    <b:MonthAccessed>June</b:MonthAccessed>
    <b:DayAccessed>9</b:DayAccessed>
    <b:URL>https://neutronbytes.com/2025/05/17/geh-bwrx-300-smr-approved-for-construction-at-opgs-darlingtion-site/</b:URL>
    <b:RefOrder>1</b:RefOrder>
  </b:Source>
  <b:Source>
    <b:Tag>NuS25</b:Tag>
    <b:SourceType>Report</b:SourceType>
    <b:Guid>{5E45DC4F-9F11-44CA-95D0-4F51C8C0D10B}</b:Guid>
    <b:Title>NuScale US460 Standard Design Approval Application Review</b:Title>
    <b:Year>2025</b:Year>
    <b:Publisher>U.S. NRC</b:Publisher>
    <b:Author>
      <b:Author>
        <b:NameList>
          <b:Person>
            <b:Last>NuScale</b:Last>
          </b:Person>
        </b:NameList>
      </b:Author>
    </b:Author>
    <b:RefOrder>2</b:RefOrder>
  </b:Source>
  <b:Source>
    <b:Tag>Hal24</b:Tag>
    <b:SourceType>JournalArticle</b:SourceType>
    <b:Guid>{2088C9CB-4A84-4719-8D2A-4EADC92AA25B}</b:Guid>
    <b:Title>Scale effects on core design, fuel costs, and spent fuel volume of pressurized water reactors</b:Title>
    <b:Year>2024</b:Year>
    <b:Author>
      <b:Author>
        <b:NameList>
          <b:Person>
            <b:Last>Halimi</b:Last>
            <b:First>A.,</b:First>
            <b:Middle>Shirvan, K.</b:Middle>
          </b:Person>
        </b:NameList>
      </b:Author>
    </b:Author>
    <b:JournalName>Annals of Nuclear Energy</b:JournalName>
    <b:Pages>110847</b:Pages>
    <b:Volume>209</b:Volume>
    <b:RefOrder>3</b:RefOrder>
  </b:Source>
  <b:Source>
    <b:Tag>Hal21</b:Tag>
    <b:SourceType>JournalArticle</b:SourceType>
    <b:Guid>{A7C3244B-D5D2-4863-86BD-5B1917F64668}</b:Guid>
    <b:Author>
      <b:Author>
        <b:NameList>
          <b:Person>
            <b:Last>Halimi A.</b:Last>
            <b:First>Shirvan</b:First>
            <b:Middle>K.</b:Middle>
          </b:Person>
        </b:NameList>
      </b:Author>
    </b:Author>
    <b:Title>Impact of core power density on economics of a small integral PWR</b:Title>
    <b:JournalName>Nuclear Engineering and Design</b:JournalName>
    <b:Year>2021</b:Year>
    <b:Pages>111488</b:Pages>
    <b:Volume>385</b:Volume>
    <b:RefOrder>4</b:RefOrder>
  </b:Source>
  <b:Source>
    <b:Tag>Seu25</b:Tag>
    <b:SourceType>JournalArticle</b:SourceType>
    <b:Guid>{1913EB6E-A38B-42B3-873C-6EA9E1AE46C7}</b:Guid>
    <b:Author>
      <b:Author>
        <b:NameList>
          <b:Person>
            <b:Last>Seurin</b:Last>
            <b:First>P.,</b:First>
            <b:Middle>Halimi, A., Shirvan, K.</b:Middle>
          </b:Person>
        </b:NameList>
      </b:Author>
    </b:Author>
    <b:Title>Impact of including fuel performance as part of core reload optimization: Application to power uprates</b:Title>
    <b:JournalName>Nuclear Engineering and Design</b:JournalName>
    <b:Year>2025</b:Year>
    <b:Pages>113844</b:Pages>
    <b:Volume>433</b:Volume>
    <b:RefOrder>5</b:RefOrder>
  </b:Source>
  <b:Source>
    <b:Tag>Shi13</b:Tag>
    <b:SourceType>JournalArticle</b:SourceType>
    <b:Guid>{46DECDC9-6AEC-4C62-8B22-3FACB1AA992B}</b:Guid>
    <b:Author>
      <b:Author>
        <b:NameList>
          <b:Person>
            <b:Last>Shirvan</b:Last>
            <b:First>K.,</b:First>
            <b:Middle>Kazimi M.</b:Middle>
          </b:Person>
        </b:NameList>
      </b:Author>
    </b:Author>
    <b:Title>BWR-HD: An Optimized Boiling Water Reactor with High Power Density</b:Title>
    <b:JournalName>Nuclear Technology</b:JournalName>
    <b:Year>2013</b:Year>
    <b:Pages>261-273</b:Pages>
    <b:Volume>184</b:Volume>
    <b:Issue>3</b:Issue>
    <b:RefOrder>6</b:RefOrder>
  </b:Source>
  <b:Source>
    <b:Tag>Sev18</b:Tag>
    <b:SourceType>JournalArticle</b:SourceType>
    <b:Guid>{67937E76-1B54-4B04-947F-93FDFCEAA982}</b:Guid>
    <b:Author>
      <b:Author>
        <b:NameList>
          <b:Person>
            <b:Last>Sevecek</b:Last>
            <b:First>M.,</b:First>
            <b:Middle>et, al., Shirvan, K.</b:Middle>
          </b:Person>
        </b:NameList>
      </b:Author>
    </b:Author>
    <b:Title>Development of Cr cold spray–coated fuel cladding with enhanced accident tolerance</b:Title>
    <b:JournalName>Nuclear Engineering and Technology</b:JournalName>
    <b:Year>2018</b:Year>
    <b:Pages>229-236</b:Pages>
    <b:Volume>50</b:Volume>
    <b:Issue>2</b:Issue>
    <b:RefOrder>7</b:RefOrder>
  </b:Source>
  <b:Source>
    <b:Tag>Shi25</b:Tag>
    <b:SourceType>ConferenceProceedings</b:SourceType>
    <b:Guid>{7EB5E545-433C-4432-B8F7-145810E9C2C8}</b:Guid>
    <b:Author>
      <b:Author>
        <b:NameList>
          <b:Person>
            <b:Last>Shirvan K.</b:Last>
            <b:First>et,</b:First>
            <b:Middle>al.</b:Middle>
          </b:Person>
        </b:NameList>
      </b:Author>
    </b:Author>
    <b:Title>Experimental Investigation of CrNb Coatings for PWRs and BWRs</b:Title>
    <b:Year>2025</b:Year>
    <b:ConferenceName>TopFuel</b:ConferenceName>
    <b:City>Nashville</b:City>
    <b:RefOrder>8</b:RefOrder>
  </b:Source>
  <b:Source>
    <b:Tag>HeY21</b:Tag>
    <b:SourceType>JournalArticle</b:SourceType>
    <b:Guid>{19D98DA2-2680-43FE-BBC5-3435F6C3DFD1}</b:Guid>
    <b:Title>Preliminary prediction for survival time of fuel rod under critical heat flux</b:Title>
    <b:Year>2021</b:Year>
    <b:Author>
      <b:Author>
        <b:NameList>
          <b:Person>
            <b:Last>He</b:Last>
            <b:First>Y.,</b:First>
            <b:Middle>Shirvan, K., Wu, Y., Guanghui, Su.,</b:Middle>
          </b:Person>
        </b:NameList>
      </b:Author>
    </b:Author>
    <b:JournalName>Annals of Nuclear Energy</b:JournalName>
    <b:Pages>107896</b:Pages>
    <b:Volume>151</b:Volume>
    <b:RefOrder>9</b:RefOrder>
  </b:Source>
  <b:Source>
    <b:Tag>Den18</b:Tag>
    <b:SourceType>JournalArticle</b:SourceType>
    <b:Guid>{E66A57DD-5B87-4D52-8343-36D97ED9DE80}</b:Guid>
    <b:Author>
      <b:Author>
        <b:NameList>
          <b:Person>
            <b:Last>Deng</b:Last>
            <b:First>Y.,</b:First>
            <b:Middle>Shirvan, K., Wu, Y., Su, G.,</b:Middle>
          </b:Person>
        </b:NameList>
      </b:Author>
    </b:Author>
    <b:Title>Probabilistic view of SiC/SiC composite cladding failure based on full core thermo-mechanical response</b:Title>
    <b:JournalName>Journal of Nuclear Materials</b:JournalName>
    <b:Year>2018</b:Year>
    <b:Pages>24-37</b:Pages>
    <b:Volume>507</b:Volume>
    <b:RefOrder>10</b:RefOrder>
  </b:Source>
  <b:Source>
    <b:Tag>Shi16</b:Tag>
    <b:SourceType>JournalArticle</b:SourceType>
    <b:Guid>{875475FA-2927-4AC2-8945-FE39A70FE875}</b:Guid>
    <b:Author>
      <b:Author>
        <b:NameList>
          <b:Person>
            <b:Last>Shirvan</b:Last>
            <b:First>K.</b:First>
          </b:Person>
        </b:NameList>
      </b:Author>
    </b:Author>
    <b:Title>Numerical investigation of the boiling crisis for helical cruciform-shaped rods at high pressures</b:Title>
    <b:JournalName>International Journal of Multiphase Flow</b:JournalName>
    <b:Year>2016</b:Year>
    <b:Pages>51-61</b:Pages>
    <b:Volume>83</b:Volume>
    <b:RefOrder>11</b:RefOrder>
  </b:Source>
  <b:Source>
    <b:Tag>Cho24</b:Tag>
    <b:SourceType>ConferenceProceedings</b:SourceType>
    <b:Guid>{A89FF367-81F3-4FE3-A3B2-62FDC3674A34}</b:Guid>
    <b:Author>
      <b:Author>
        <b:NameList>
          <b:Person>
            <b:Last>Choi</b:Last>
            <b:First>Y.,</b:First>
            <b:Middle>Shirvan, K.</b:Middle>
          </b:Person>
        </b:NameList>
      </b:Author>
    </b:Author>
    <b:Title>Safety and thermo-mechanical performance of metallic helical cruciform fuel in light-water cooled small modular reactors</b:Title>
    <b:Year>2024</b:Year>
    <b:ConferenceName>Topfuel</b:ConferenceName>
    <b:City>Gernoble</b:City>
    <b:RefOrder>12</b:RefOrder>
  </b:Source>
  <b:Source>
    <b:Tag>Den19</b:Tag>
    <b:SourceType>JournalArticle</b:SourceType>
    <b:Guid>{056BDAAF-7BF0-40AC-BF88-83BF5582650C}</b:Guid>
    <b:Title>Utilization of 3D fuel modeling capability of BISON to derive new insights in performance of advanced PWR fuel concepts</b:Title>
    <b:Year>2019</b:Year>
    <b:Author>
      <b:Author>
        <b:NameList>
          <b:Person>
            <b:Last>Deng</b:Last>
            <b:First>Y..,</b:First>
            <b:Middle>Shirvan, K., Wu, Y.., Su, G.,</b:Middle>
          </b:Person>
        </b:NameList>
      </b:Author>
    </b:Author>
    <b:JournalName>Journal of Nuclear Materials</b:JournalName>
    <b:Pages>271-288</b:Pages>
    <b:Volume>516</b:Volume>
    <b:RefOrder>17</b:RefOrder>
  </b:Source>
  <b:Source>
    <b:Tag>Shi12</b:Tag>
    <b:SourceType>JournalArticle</b:SourceType>
    <b:Guid>{E95F6CBD-8851-4336-9B1C-85065D7068C6}</b:Guid>
    <b:Author>
      <b:Author>
        <b:NameList>
          <b:Person>
            <b:Last>Shirvan</b:Last>
            <b:First>K.,</b:First>
            <b:Middle>Hejzlar, P., Kazimi, M.S.,</b:Middle>
          </b:Person>
        </b:NameList>
      </b:Author>
    </b:Author>
    <b:Title>The design of a compact integral medium size PWR</b:Title>
    <b:JournalName>Nuclear Engineering and Design</b:JournalName>
    <b:Year>2012</b:Year>
    <b:Pages>393-403</b:Pages>
    <b:Volume>243</b:Volume>
    <b:RefOrder>13</b:RefOrder>
  </b:Source>
  <b:Source>
    <b:Tag>Shi24</b:Tag>
    <b:SourceType>ConferenceProceedings</b:SourceType>
    <b:Guid>{AFF9DBB9-9A75-487A-8FC6-E7033834DAD7}</b:Guid>
    <b:Title>Thoria-Urania Fuel Opportunities and Technical Features For New Reactor Builds</b:Title>
    <b:Year>2024</b:Year>
    <b:Author>
      <b:Author>
        <b:NameList>
          <b:Person>
            <b:Last>Shirvan</b:Last>
            <b:First>K.,</b:First>
            <b:Middle>et, al.,</b:Middle>
          </b:Person>
        </b:NameList>
      </b:Author>
    </b:Author>
    <b:ConferenceName>Topfuel</b:ConferenceName>
    <b:City>Gernoble</b:City>
    <b:RefOrder>14</b:RefOrder>
  </b:Source>
  <b:Source>
    <b:Tag>Shi251</b:Tag>
    <b:SourceType>ConferenceProceedings</b:SourceType>
    <b:Guid>{B440AD39-2343-47EB-B05F-EC08386E4AAF}</b:Guid>
    <b:Author>
      <b:Author>
        <b:NameList>
          <b:Person>
            <b:Last>Shirvan</b:Last>
            <b:First>K.,</b:First>
            <b:Middle>Csontos, A.</b:Middle>
          </b:Person>
        </b:NameList>
      </b:Author>
    </b:Author>
    <b:Title>Unlocking Economic Nuclear Capacity: The Role of Advanced Fuel Technologies in Power Uprates</b:Title>
    <b:Year>2025</b:Year>
    <b:ConferenceName>Topfuel</b:ConferenceName>
    <b:City>Nashville</b:City>
    <b:RefOrder>15</b:RefOrder>
  </b:Source>
  <b:Source>
    <b:Tag>Shi22</b:Tag>
    <b:SourceType>ConferenceProceedings</b:SourceType>
    <b:Guid>{25EA51D5-C3A1-4055-90D7-2877B51A5B8C}</b:Guid>
    <b:Author>
      <b:Author>
        <b:NameList>
          <b:Person>
            <b:Last>Shirvan</b:Last>
            <b:First>K..,</b:First>
            <b:Middle>Csontos, A.</b:Middle>
          </b:Person>
        </b:NameList>
      </b:Author>
    </b:Author>
    <b:Title>Achieving Sizable Power-Uprate for Existing Fleet Through LEU+ and ATF</b:Title>
    <b:Year>2022</b:Year>
    <b:ConferenceName>Topfuel</b:ConferenceName>
    <b:City>Charlotte</b:City>
    <b:RefOrder>16</b:RefOrder>
  </b:Source>
  <b:Source>
    <b:Tag>NRC20</b:Tag>
    <b:SourceType>InternetSite</b:SourceType>
    <b:Guid>{68D2C529-148C-460E-9A00-7D08F5D2097D}</b:Guid>
    <b:Title>Advisory Committee on Reactor Safeguards</b:Title>
    <b:Year>2020</b:Year>
    <b:City>Maryland</b:City>
    <b:Author>
      <b:Author>
        <b:NameList>
          <b:Person>
            <b:Last>NRC</b:Last>
            <b:First>U.S.</b:First>
          </b:Person>
        </b:NameList>
      </b:Author>
    </b:Author>
    <b:Publisher>U.S. NRC</b:Publisher>
    <b:Month>July</b:Month>
    <b:Day>10</b:Day>
    <b:YearAccessed>2025</b:YearAccessed>
    <b:MonthAccessed>July</b:MonthAccessed>
    <b:DayAccessed>30</b:DayAccessed>
    <b:URL>https://www.nrc.gov/docs/ML2019/ML20197C834.pdf</b:URL>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58B7E165-9DEB-4D02-B08B-58DC85553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B52BE6-4AA4-438E-A1E9-5923A5169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1187</TotalTime>
  <Pages>7</Pages>
  <Words>2603</Words>
  <Characters>14841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IAEA Extended Abstract Template</vt:lpstr>
    </vt:vector>
  </TitlesOfParts>
  <Company>IAEA</Company>
  <LinksUpToDate>false</LinksUpToDate>
  <CharactersWithSpaces>17410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 Extended Abstract Template</dc:title>
  <dc:subject>Technical Meeting on Advanced Technology Fuels: Progress on their Design, Manufacturing, Experimentation, Irradiation, and Case Studies for their Industrialization, Safety Evaluation, and Future Prospects</dc:subject>
  <dc:creator>IAEA NFE TEAM</dc:creator>
  <cp:lastModifiedBy>Koroush Shirvan</cp:lastModifiedBy>
  <cp:revision>22</cp:revision>
  <cp:lastPrinted>2015-12-01T10:27:00Z</cp:lastPrinted>
  <dcterms:created xsi:type="dcterms:W3CDTF">2025-07-16T19:01:00Z</dcterms:created>
  <dcterms:modified xsi:type="dcterms:W3CDTF">2025-08-25T12:14:00Z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0x010100488268416F68F348A07DF0E8893BF2CC</vt:lpwstr>
  </property>
  <property fmtid="{D5CDD505-2E9C-101B-9397-08002B2CF9AE}" pid="12" name="_dlc_DocIdItemGuid">
    <vt:lpwstr>624d8e63-e3f6-4681-83c2-57c583c02431</vt:lpwstr>
  </property>
</Properties>
</file>