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9" w14:textId="1BFBBEB6" w:rsidR="00B82FA5" w:rsidRPr="00BC6BAA" w:rsidRDefault="00A4171C" w:rsidP="00BC6BAA">
      <w:pPr>
        <w:pStyle w:val="Titel"/>
      </w:pPr>
      <w:bookmarkStart w:id="0" w:name="_Hlk69130178"/>
      <w:r w:rsidRPr="008225AA">
        <w:rPr>
          <w:rFonts w:ascii="Times New Roman" w:hAnsi="Times New Roman" w:cs="Times New Roman"/>
          <w:szCs w:val="24"/>
        </w:rPr>
        <w:t>IAEA ATF-TS Benchmark FOR simulation of bundle tests</w:t>
      </w:r>
    </w:p>
    <w:p w14:paraId="433FE03F" w14:textId="77777777" w:rsidR="00802381" w:rsidRDefault="00802381" w:rsidP="00537496">
      <w:pPr>
        <w:pStyle w:val="Authornameandaffiliation"/>
      </w:pPr>
    </w:p>
    <w:p w14:paraId="67250DE4" w14:textId="14F0464F" w:rsidR="00003206" w:rsidRPr="00A4171C" w:rsidRDefault="00A4171C" w:rsidP="00003206">
      <w:pPr>
        <w:pStyle w:val="Authornameandaffiliation"/>
        <w:rPr>
          <w:lang w:val="de-DE"/>
        </w:rPr>
      </w:pPr>
      <w:r w:rsidRPr="00E87AB8">
        <w:rPr>
          <w:lang w:val="de-DE" w:eastAsia="zh-CN"/>
        </w:rPr>
        <w:t>J. STUCKERT</w:t>
      </w:r>
      <w:r w:rsidRPr="00E87AB8">
        <w:rPr>
          <w:vertAlign w:val="superscript"/>
          <w:lang w:val="de-DE" w:eastAsia="zh-CN"/>
        </w:rPr>
        <w:t>1</w:t>
      </w:r>
      <w:r w:rsidRPr="00E87AB8">
        <w:rPr>
          <w:lang w:val="de-DE" w:eastAsia="zh-CN"/>
        </w:rPr>
        <w:t xml:space="preserve">, Z. </w:t>
      </w:r>
      <w:r w:rsidR="00221A32" w:rsidRPr="00221A32">
        <w:rPr>
          <w:caps/>
          <w:lang w:val="de-DE" w:eastAsia="zh-CN"/>
        </w:rPr>
        <w:t>Hózer</w:t>
      </w:r>
      <w:r w:rsidRPr="00E87AB8">
        <w:rPr>
          <w:vertAlign w:val="superscript"/>
          <w:lang w:val="de-DE" w:eastAsia="zh-CN"/>
        </w:rPr>
        <w:t>2</w:t>
      </w:r>
      <w:r w:rsidRPr="00E87AB8">
        <w:rPr>
          <w:lang w:val="de-DE" w:eastAsia="zh-CN"/>
        </w:rPr>
        <w:t>, A. KHAPERSKAIA</w:t>
      </w:r>
      <w:r w:rsidRPr="00E87AB8">
        <w:rPr>
          <w:vertAlign w:val="superscript"/>
          <w:lang w:val="de-DE" w:eastAsia="zh-CN"/>
        </w:rPr>
        <w:t>3</w:t>
      </w:r>
    </w:p>
    <w:p w14:paraId="2AAFE484" w14:textId="77777777" w:rsidR="00003206" w:rsidRPr="00A4171C" w:rsidRDefault="00003206" w:rsidP="00537496">
      <w:pPr>
        <w:pStyle w:val="Authornameandaffiliation"/>
        <w:rPr>
          <w:lang w:val="de-DE"/>
        </w:rPr>
      </w:pPr>
    </w:p>
    <w:p w14:paraId="20AD0EEE" w14:textId="77777777" w:rsidR="00A4171C" w:rsidRPr="00E87AB8" w:rsidRDefault="00A4171C" w:rsidP="00A4171C">
      <w:pPr>
        <w:ind w:left="567"/>
        <w:rPr>
          <w:iCs/>
        </w:rPr>
      </w:pPr>
      <w:r w:rsidRPr="00E87AB8">
        <w:rPr>
          <w:iCs/>
          <w:vertAlign w:val="superscript"/>
        </w:rPr>
        <w:t>1</w:t>
      </w:r>
      <w:r w:rsidRPr="00E87AB8">
        <w:rPr>
          <w:iCs/>
        </w:rPr>
        <w:t>Karlsruhe Institute of Technology, Karlsruhe, Germany</w:t>
      </w:r>
    </w:p>
    <w:p w14:paraId="2A2288FE" w14:textId="1468A789" w:rsidR="00A4171C" w:rsidRPr="00E87AB8" w:rsidRDefault="00A4171C" w:rsidP="00A4171C">
      <w:pPr>
        <w:ind w:left="567"/>
        <w:rPr>
          <w:iCs/>
        </w:rPr>
      </w:pPr>
      <w:r w:rsidRPr="00E87AB8">
        <w:rPr>
          <w:iCs/>
          <w:vertAlign w:val="superscript"/>
        </w:rPr>
        <w:t>2</w:t>
      </w:r>
      <w:r w:rsidRPr="00E87AB8">
        <w:rPr>
          <w:rFonts w:eastAsia="Times New Roman"/>
          <w:iCs/>
        </w:rPr>
        <w:t>HUN-REN Centre for Energy Research (</w:t>
      </w:r>
      <w:bookmarkStart w:id="1" w:name="_Hlk166833989"/>
      <w:r w:rsidRPr="00E87AB8">
        <w:rPr>
          <w:rFonts w:eastAsia="Times New Roman"/>
          <w:iCs/>
        </w:rPr>
        <w:t xml:space="preserve">HUN-REN </w:t>
      </w:r>
      <w:bookmarkEnd w:id="1"/>
      <w:r w:rsidRPr="00E87AB8">
        <w:rPr>
          <w:rFonts w:eastAsia="Times New Roman"/>
          <w:iCs/>
        </w:rPr>
        <w:t>EK)</w:t>
      </w:r>
      <w:r w:rsidR="00B641A5">
        <w:rPr>
          <w:rFonts w:eastAsia="Times New Roman"/>
          <w:iCs/>
        </w:rPr>
        <w:t>, Budapest, Hungary</w:t>
      </w:r>
    </w:p>
    <w:p w14:paraId="3F7D6C77" w14:textId="0DEFF42F" w:rsidR="00003206" w:rsidRDefault="00A4171C" w:rsidP="00A4171C">
      <w:pPr>
        <w:pStyle w:val="Authornameandaffiliation"/>
        <w:rPr>
          <w:iCs/>
          <w:lang w:val="en-GB"/>
        </w:rPr>
      </w:pPr>
      <w:r w:rsidRPr="00E87AB8">
        <w:rPr>
          <w:iCs/>
          <w:vertAlign w:val="superscript"/>
          <w:lang w:val="en-GB"/>
        </w:rPr>
        <w:t>3</w:t>
      </w:r>
      <w:r w:rsidRPr="00E87AB8">
        <w:rPr>
          <w:iCs/>
          <w:lang w:val="en-GB"/>
        </w:rPr>
        <w:t>Nuclear Energy Department,</w:t>
      </w:r>
      <w:r w:rsidRPr="00E87AB8">
        <w:rPr>
          <w:iCs/>
          <w:vertAlign w:val="superscript"/>
          <w:lang w:val="en-GB"/>
        </w:rPr>
        <w:t xml:space="preserve"> </w:t>
      </w:r>
      <w:r w:rsidRPr="00E87AB8">
        <w:rPr>
          <w:iCs/>
          <w:lang w:val="en-GB"/>
        </w:rPr>
        <w:t>IAEA, Vienna International Centre, Vienna, Austria</w:t>
      </w:r>
    </w:p>
    <w:p w14:paraId="0AE30880" w14:textId="77777777" w:rsidR="00A4171C" w:rsidRDefault="00A4171C" w:rsidP="00A4171C">
      <w:pPr>
        <w:pStyle w:val="Authornameandaffiliation"/>
      </w:pPr>
    </w:p>
    <w:p w14:paraId="2EA71BD6" w14:textId="17622196" w:rsidR="00003206" w:rsidRDefault="00A4171C" w:rsidP="00003206">
      <w:pPr>
        <w:pStyle w:val="Authornameandaffiliation"/>
      </w:pPr>
      <w:r w:rsidRPr="008225AA">
        <w:rPr>
          <w:iCs/>
          <w:lang w:val="en-GB"/>
        </w:rPr>
        <w:t>Corresponding author:</w:t>
      </w:r>
      <w:r w:rsidRPr="00A4171C">
        <w:rPr>
          <w:lang w:eastAsia="zh-CN"/>
        </w:rPr>
        <w:t xml:space="preserve"> J. STUCKERT</w:t>
      </w:r>
      <w:r>
        <w:rPr>
          <w:lang w:eastAsia="zh-CN"/>
        </w:rPr>
        <w:t>,</w:t>
      </w:r>
      <w:r w:rsidRPr="008225AA">
        <w:rPr>
          <w:iCs/>
          <w:lang w:val="en-GB"/>
        </w:rPr>
        <w:t xml:space="preserve"> </w:t>
      </w:r>
      <w:hyperlink r:id="rId12" w:history="1">
        <w:r w:rsidRPr="008225AA">
          <w:rPr>
            <w:rStyle w:val="Hyperlink"/>
            <w:iCs/>
            <w:lang w:val="en-GB"/>
          </w:rPr>
          <w:t>juri.stuckert@kit.edu</w:t>
        </w:r>
      </w:hyperlink>
    </w:p>
    <w:p w14:paraId="47497415" w14:textId="67F72CAF" w:rsidR="00003206" w:rsidRDefault="00003206" w:rsidP="00537496">
      <w:pPr>
        <w:pStyle w:val="Authornameandaffiliation"/>
      </w:pPr>
    </w:p>
    <w:bookmarkEnd w:id="0"/>
    <w:p w14:paraId="514287C7" w14:textId="51B2E336" w:rsidR="0013032C" w:rsidRPr="00E6226A" w:rsidRDefault="0013032C" w:rsidP="00D04D6A">
      <w:pPr>
        <w:pStyle w:val="Textkrper"/>
        <w:rPr>
          <w:lang w:val="en-US" w:eastAsia="zh-CN"/>
        </w:rPr>
      </w:pPr>
      <w:r w:rsidRPr="004140C9">
        <w:rPr>
          <w:rStyle w:val="IntroductiontitleChar"/>
          <w:rFonts w:hint="eastAsia"/>
        </w:rPr>
        <w:t>INTRODUCTION:</w:t>
      </w:r>
      <w:r w:rsidR="004140C9">
        <w:rPr>
          <w:rStyle w:val="IntroductiontitleChar"/>
          <w:rFonts w:hint="eastAsia"/>
          <w:lang w:eastAsia="zh-CN"/>
        </w:rPr>
        <w:t xml:space="preserve"> </w:t>
      </w:r>
      <w:r w:rsidR="00E6226A" w:rsidRPr="00E6226A">
        <w:rPr>
          <w:rStyle w:val="IntroductiontitleChar"/>
          <w:lang w:eastAsia="zh-CN"/>
        </w:rPr>
        <w:t>As part of the IAEA ATF-TS project, not only numerous single rod tests were carried out with ATF materials, but also two bundle tests with Cr coated claddings made of Zr alloys: the DEGREE-B3 bundle test at CRIEPI [1] and CODEX-ATF test at HUN-REN EK [2]. The advantage of bundle tests lies in the creation of prototypical adiabatic conditions and the possibility of studying the mutual influence of fuel rods. In addition, such integral tests are a good basis for verification and validation of computer codes. Therefore, it was decided to conduct a benchmark within the framework of this IAEA project using experimental data obtained both during tests and in post-test studies. In addition to the two bundle tests using chromium-coated zirconium claddings, it was proposed to also use the results of the QUENCH-19 bundle test with FeCrAl claddings previously conducted at FZK. Conducting benchmark for the QUENCH-19 test was initiated within the framework of the previous IAEA ACTOF project [3], but then only two research organizations managed to take part in this project. Now the range of organizations involved has been significantly expanded.</w:t>
      </w:r>
    </w:p>
    <w:p w14:paraId="193ED82E" w14:textId="6E1E6678" w:rsidR="00B42408" w:rsidRPr="003E7A48" w:rsidRDefault="00E6226A" w:rsidP="00E6226A">
      <w:pPr>
        <w:pStyle w:val="Heading1st"/>
      </w:pPr>
      <w:r w:rsidRPr="00E6226A">
        <w:t>BENCHMARK ON THE QUENCH-19 BUNDLE TEST PERFORMED WITH FECRAL CLADDINGS</w:t>
      </w:r>
    </w:p>
    <w:p w14:paraId="4948D1A6" w14:textId="77777777" w:rsidR="00E6226A" w:rsidRPr="00E87AB8" w:rsidRDefault="00E6226A" w:rsidP="00E6226A">
      <w:pPr>
        <w:spacing w:after="120"/>
        <w:jc w:val="both"/>
      </w:pPr>
      <w:r w:rsidRPr="00E87AB8">
        <w:t>The QUENCH-19 bundle experiment with 24 B136Y cladding tubes and 4 Kanthal AF spacer grids as well as 7 KANTHAL APM corner rods and KANTHAL APM shroud was conducted at KIT on 29</w:t>
      </w:r>
      <w:r w:rsidRPr="00E87AB8">
        <w:rPr>
          <w:vertAlign w:val="superscript"/>
        </w:rPr>
        <w:t>th</w:t>
      </w:r>
      <w:r w:rsidRPr="00E87AB8">
        <w:t xml:space="preserve"> August 2018 [4]. This was performed in cooperation with the Oakridge National Laboratory (ORNL). The test objective was the comparison of FeCrAl(Y) and ZIRLO claddings under similar electrical power and gas flow conditions. The experiment was performed in four stages. The electrical power supply was the same as in the reference test QUENCH-15 (ZIRLO) during the first two stages (pre-oxidation and transient). The third stage with constant electrical power was performed to extend the temperature increase period. The test was terminated at peak cladding temperature of about 1460 °C by water flooding similar to QUENCH-15. The total hydrogen production was 9.2 g (47.6 g for QUENCH-15).</w:t>
      </w:r>
    </w:p>
    <w:p w14:paraId="433FE04E" w14:textId="099FABF1" w:rsidR="00EE0041" w:rsidRDefault="00E6226A" w:rsidP="00E6226A">
      <w:pPr>
        <w:pStyle w:val="Textkrper"/>
      </w:pPr>
      <w:r w:rsidRPr="00E87AB8">
        <w:t>Seven organizations provided results for exercises on the modelling of the QUENCH-19 bundle test (Table 1).</w:t>
      </w:r>
    </w:p>
    <w:p w14:paraId="60174689" w14:textId="77777777" w:rsidR="00E6226A" w:rsidRPr="00515EB0" w:rsidRDefault="00E6226A" w:rsidP="00E6226A">
      <w:pPr>
        <w:spacing w:after="120"/>
        <w:rPr>
          <w:caps/>
          <w:sz w:val="20"/>
        </w:rPr>
      </w:pPr>
      <w:r w:rsidRPr="00515EB0">
        <w:rPr>
          <w:caps/>
          <w:sz w:val="20"/>
        </w:rPr>
        <w:t>Table 1. Organizations and codes participated in the QUENCH-19 benchmark</w:t>
      </w:r>
    </w:p>
    <w:tbl>
      <w:tblPr>
        <w:tblStyle w:val="Tabellenraster"/>
        <w:tblW w:w="9072" w:type="dxa"/>
        <w:jc w:val="center"/>
        <w:tblBorders>
          <w:left w:val="none" w:sz="0" w:space="0" w:color="auto"/>
          <w:right w:val="none" w:sz="0" w:space="0" w:color="auto"/>
          <w:insideV w:val="none" w:sz="0" w:space="0" w:color="auto"/>
        </w:tblBorders>
        <w:tblLayout w:type="fixed"/>
        <w:tblCellMar>
          <w:left w:w="28" w:type="dxa"/>
          <w:right w:w="28" w:type="dxa"/>
        </w:tblCellMar>
        <w:tblLook w:val="0420" w:firstRow="1" w:lastRow="0" w:firstColumn="0" w:lastColumn="0" w:noHBand="0" w:noVBand="1"/>
      </w:tblPr>
      <w:tblGrid>
        <w:gridCol w:w="1134"/>
        <w:gridCol w:w="1134"/>
        <w:gridCol w:w="1134"/>
        <w:gridCol w:w="1134"/>
        <w:gridCol w:w="1134"/>
        <w:gridCol w:w="1134"/>
        <w:gridCol w:w="1134"/>
        <w:gridCol w:w="1134"/>
      </w:tblGrid>
      <w:tr w:rsidR="00E6226A" w:rsidRPr="00E6226A" w14:paraId="0CC8A393" w14:textId="77777777" w:rsidTr="00E6226A">
        <w:trPr>
          <w:trHeight w:val="850"/>
          <w:jc w:val="center"/>
        </w:trPr>
        <w:tc>
          <w:tcPr>
            <w:tcW w:w="1134" w:type="dxa"/>
            <w:vAlign w:val="center"/>
          </w:tcPr>
          <w:p w14:paraId="77F9DF57" w14:textId="77777777" w:rsidR="00E6226A" w:rsidRPr="00E6226A" w:rsidRDefault="00E6226A" w:rsidP="00E6226A">
            <w:pPr>
              <w:spacing w:after="120" w:line="260" w:lineRule="atLeast"/>
              <w:jc w:val="center"/>
              <w:rPr>
                <w:sz w:val="20"/>
              </w:rPr>
            </w:pPr>
            <w:r w:rsidRPr="00E6226A">
              <w:rPr>
                <w:sz w:val="20"/>
              </w:rPr>
              <w:t>Participant</w:t>
            </w:r>
          </w:p>
        </w:tc>
        <w:tc>
          <w:tcPr>
            <w:tcW w:w="1134" w:type="dxa"/>
            <w:vAlign w:val="center"/>
            <w:hideMark/>
          </w:tcPr>
          <w:p w14:paraId="47FA0A2F" w14:textId="77777777" w:rsidR="00E6226A" w:rsidRPr="00E6226A" w:rsidRDefault="00E6226A" w:rsidP="00E6226A">
            <w:pPr>
              <w:spacing w:after="120" w:line="260" w:lineRule="atLeast"/>
              <w:jc w:val="center"/>
              <w:rPr>
                <w:sz w:val="20"/>
                <w:lang w:val="de-DE"/>
              </w:rPr>
            </w:pPr>
            <w:r w:rsidRPr="00E6226A">
              <w:rPr>
                <w:sz w:val="20"/>
              </w:rPr>
              <w:t>CNEA</w:t>
            </w:r>
          </w:p>
          <w:p w14:paraId="5E659765" w14:textId="77777777" w:rsidR="00E6226A" w:rsidRPr="00E6226A" w:rsidRDefault="00E6226A" w:rsidP="00E6226A">
            <w:pPr>
              <w:spacing w:after="120" w:line="260" w:lineRule="atLeast"/>
              <w:jc w:val="center"/>
              <w:rPr>
                <w:sz w:val="20"/>
                <w:lang w:val="de-DE"/>
              </w:rPr>
            </w:pPr>
            <w:r w:rsidRPr="00E6226A">
              <w:rPr>
                <w:sz w:val="20"/>
              </w:rPr>
              <w:t>Argentina</w:t>
            </w:r>
          </w:p>
        </w:tc>
        <w:tc>
          <w:tcPr>
            <w:tcW w:w="1134" w:type="dxa"/>
            <w:vAlign w:val="center"/>
          </w:tcPr>
          <w:p w14:paraId="7A6DF43A" w14:textId="77777777" w:rsidR="00E6226A" w:rsidRPr="00E6226A" w:rsidRDefault="00E6226A" w:rsidP="00E6226A">
            <w:pPr>
              <w:spacing w:after="120" w:line="260" w:lineRule="atLeast"/>
              <w:jc w:val="center"/>
              <w:rPr>
                <w:sz w:val="20"/>
                <w:lang w:val="de-DE"/>
              </w:rPr>
            </w:pPr>
            <w:r w:rsidRPr="00E6226A">
              <w:rPr>
                <w:sz w:val="20"/>
              </w:rPr>
              <w:t>CTU</w:t>
            </w:r>
          </w:p>
          <w:p w14:paraId="673F3C8B" w14:textId="77777777" w:rsidR="00E6226A" w:rsidRPr="00E6226A" w:rsidRDefault="00E6226A" w:rsidP="00E6226A">
            <w:pPr>
              <w:spacing w:after="120" w:line="260" w:lineRule="atLeast"/>
              <w:jc w:val="center"/>
              <w:rPr>
                <w:sz w:val="20"/>
              </w:rPr>
            </w:pPr>
            <w:r w:rsidRPr="00E6226A">
              <w:rPr>
                <w:sz w:val="20"/>
              </w:rPr>
              <w:t>Czech Republic</w:t>
            </w:r>
          </w:p>
        </w:tc>
        <w:tc>
          <w:tcPr>
            <w:tcW w:w="1134" w:type="dxa"/>
            <w:vAlign w:val="center"/>
            <w:hideMark/>
          </w:tcPr>
          <w:p w14:paraId="00029ADC" w14:textId="77777777" w:rsidR="00E6226A" w:rsidRPr="00E6226A" w:rsidRDefault="00E6226A" w:rsidP="00E6226A">
            <w:pPr>
              <w:spacing w:after="120" w:line="260" w:lineRule="atLeast"/>
              <w:jc w:val="center"/>
              <w:rPr>
                <w:sz w:val="20"/>
                <w:lang w:val="de-DE"/>
              </w:rPr>
            </w:pPr>
            <w:r w:rsidRPr="00E6226A">
              <w:rPr>
                <w:sz w:val="20"/>
              </w:rPr>
              <w:t>GRS</w:t>
            </w:r>
          </w:p>
          <w:p w14:paraId="7EFB8EC8" w14:textId="77777777" w:rsidR="00E6226A" w:rsidRPr="00E6226A" w:rsidRDefault="00E6226A" w:rsidP="00E6226A">
            <w:pPr>
              <w:spacing w:after="120" w:line="260" w:lineRule="atLeast"/>
              <w:jc w:val="center"/>
              <w:rPr>
                <w:sz w:val="20"/>
                <w:lang w:val="de-DE"/>
              </w:rPr>
            </w:pPr>
            <w:r w:rsidRPr="00E6226A">
              <w:rPr>
                <w:sz w:val="20"/>
              </w:rPr>
              <w:t>Germany</w:t>
            </w:r>
          </w:p>
        </w:tc>
        <w:tc>
          <w:tcPr>
            <w:tcW w:w="1134" w:type="dxa"/>
            <w:vAlign w:val="center"/>
          </w:tcPr>
          <w:p w14:paraId="13A19CF3" w14:textId="77777777" w:rsidR="00E6226A" w:rsidRPr="00E6226A" w:rsidRDefault="00E6226A" w:rsidP="00E6226A">
            <w:pPr>
              <w:spacing w:after="120" w:line="260" w:lineRule="atLeast"/>
              <w:jc w:val="center"/>
              <w:rPr>
                <w:sz w:val="20"/>
                <w:lang w:val="de-DE"/>
              </w:rPr>
            </w:pPr>
            <w:r w:rsidRPr="00E6226A">
              <w:rPr>
                <w:sz w:val="20"/>
              </w:rPr>
              <w:t>IBRAE</w:t>
            </w:r>
          </w:p>
          <w:p w14:paraId="3A0ED525" w14:textId="77777777" w:rsidR="00E6226A" w:rsidRPr="00E6226A" w:rsidRDefault="00E6226A" w:rsidP="00E6226A">
            <w:pPr>
              <w:spacing w:after="120" w:line="260" w:lineRule="atLeast"/>
              <w:jc w:val="center"/>
              <w:rPr>
                <w:sz w:val="20"/>
              </w:rPr>
            </w:pPr>
            <w:r w:rsidRPr="00E6226A">
              <w:rPr>
                <w:sz w:val="20"/>
              </w:rPr>
              <w:t>Russia</w:t>
            </w:r>
          </w:p>
        </w:tc>
        <w:tc>
          <w:tcPr>
            <w:tcW w:w="1134" w:type="dxa"/>
            <w:vAlign w:val="center"/>
            <w:hideMark/>
          </w:tcPr>
          <w:p w14:paraId="6613AF20" w14:textId="77777777" w:rsidR="00E6226A" w:rsidRPr="00E6226A" w:rsidRDefault="00E6226A" w:rsidP="00E6226A">
            <w:pPr>
              <w:spacing w:after="120" w:line="260" w:lineRule="atLeast"/>
              <w:jc w:val="center"/>
              <w:rPr>
                <w:sz w:val="20"/>
                <w:lang w:val="de-DE"/>
              </w:rPr>
            </w:pPr>
            <w:r w:rsidRPr="00E6226A">
              <w:rPr>
                <w:sz w:val="20"/>
              </w:rPr>
              <w:t>KIT/INR Germany</w:t>
            </w:r>
          </w:p>
        </w:tc>
        <w:tc>
          <w:tcPr>
            <w:tcW w:w="1134" w:type="dxa"/>
            <w:vAlign w:val="center"/>
            <w:hideMark/>
          </w:tcPr>
          <w:p w14:paraId="1C3251CB" w14:textId="77777777" w:rsidR="00E6226A" w:rsidRPr="00E6226A" w:rsidRDefault="00E6226A" w:rsidP="00E6226A">
            <w:pPr>
              <w:spacing w:after="120" w:line="260" w:lineRule="atLeast"/>
              <w:jc w:val="center"/>
              <w:rPr>
                <w:sz w:val="20"/>
                <w:lang w:val="de-DE"/>
              </w:rPr>
            </w:pPr>
            <w:r w:rsidRPr="00E6226A">
              <w:rPr>
                <w:sz w:val="20"/>
              </w:rPr>
              <w:t>NINE</w:t>
            </w:r>
          </w:p>
          <w:p w14:paraId="51789330" w14:textId="77777777" w:rsidR="00E6226A" w:rsidRPr="00E6226A" w:rsidRDefault="00E6226A" w:rsidP="00E6226A">
            <w:pPr>
              <w:spacing w:after="120" w:line="260" w:lineRule="atLeast"/>
              <w:jc w:val="center"/>
              <w:rPr>
                <w:sz w:val="20"/>
                <w:lang w:val="de-DE"/>
              </w:rPr>
            </w:pPr>
            <w:r w:rsidRPr="00E6226A">
              <w:rPr>
                <w:sz w:val="20"/>
              </w:rPr>
              <w:t>Italy</w:t>
            </w:r>
          </w:p>
        </w:tc>
        <w:tc>
          <w:tcPr>
            <w:tcW w:w="1134" w:type="dxa"/>
            <w:vAlign w:val="center"/>
            <w:hideMark/>
          </w:tcPr>
          <w:p w14:paraId="19B38C5B" w14:textId="77777777" w:rsidR="00E6226A" w:rsidRPr="00E6226A" w:rsidRDefault="00E6226A" w:rsidP="00E6226A">
            <w:pPr>
              <w:spacing w:after="120" w:line="260" w:lineRule="atLeast"/>
              <w:jc w:val="center"/>
              <w:rPr>
                <w:sz w:val="20"/>
                <w:lang w:val="de-DE"/>
              </w:rPr>
            </w:pPr>
            <w:r w:rsidRPr="00E6226A">
              <w:rPr>
                <w:sz w:val="20"/>
              </w:rPr>
              <w:t>UPM/NFQ</w:t>
            </w:r>
          </w:p>
          <w:p w14:paraId="181C3276" w14:textId="77777777" w:rsidR="00E6226A" w:rsidRPr="00E6226A" w:rsidRDefault="00E6226A" w:rsidP="00E6226A">
            <w:pPr>
              <w:spacing w:after="120" w:line="260" w:lineRule="atLeast"/>
              <w:jc w:val="center"/>
              <w:rPr>
                <w:sz w:val="20"/>
                <w:lang w:val="de-DE"/>
              </w:rPr>
            </w:pPr>
            <w:r w:rsidRPr="00E6226A">
              <w:rPr>
                <w:sz w:val="20"/>
              </w:rPr>
              <w:t>Spain</w:t>
            </w:r>
          </w:p>
        </w:tc>
      </w:tr>
      <w:tr w:rsidR="00E6226A" w:rsidRPr="00E6226A" w14:paraId="4D5676D6" w14:textId="77777777" w:rsidTr="00E6226A">
        <w:trPr>
          <w:trHeight w:val="446"/>
          <w:jc w:val="center"/>
        </w:trPr>
        <w:tc>
          <w:tcPr>
            <w:tcW w:w="1134" w:type="dxa"/>
            <w:vAlign w:val="center"/>
          </w:tcPr>
          <w:p w14:paraId="0837F58E" w14:textId="77777777" w:rsidR="00E6226A" w:rsidRPr="00E6226A" w:rsidRDefault="00E6226A" w:rsidP="00E6226A">
            <w:pPr>
              <w:spacing w:after="120" w:line="260" w:lineRule="atLeast"/>
              <w:jc w:val="center"/>
              <w:rPr>
                <w:sz w:val="20"/>
              </w:rPr>
            </w:pPr>
            <w:r w:rsidRPr="00E6226A">
              <w:rPr>
                <w:sz w:val="20"/>
              </w:rPr>
              <w:t>Code</w:t>
            </w:r>
          </w:p>
        </w:tc>
        <w:tc>
          <w:tcPr>
            <w:tcW w:w="1134" w:type="dxa"/>
            <w:vAlign w:val="center"/>
            <w:hideMark/>
          </w:tcPr>
          <w:p w14:paraId="65D3F012" w14:textId="77777777" w:rsidR="00E6226A" w:rsidRPr="00E6226A" w:rsidRDefault="00E6226A" w:rsidP="00E6226A">
            <w:pPr>
              <w:spacing w:after="120" w:line="260" w:lineRule="atLeast"/>
              <w:jc w:val="center"/>
              <w:rPr>
                <w:sz w:val="20"/>
                <w:lang w:val="de-DE"/>
              </w:rPr>
            </w:pPr>
            <w:r w:rsidRPr="00E6226A">
              <w:rPr>
                <w:sz w:val="20"/>
              </w:rPr>
              <w:t>DIONISIO</w:t>
            </w:r>
          </w:p>
        </w:tc>
        <w:tc>
          <w:tcPr>
            <w:tcW w:w="1134" w:type="dxa"/>
            <w:vAlign w:val="center"/>
          </w:tcPr>
          <w:p w14:paraId="0EADD82E" w14:textId="77777777" w:rsidR="00E6226A" w:rsidRPr="00E6226A" w:rsidRDefault="00E6226A" w:rsidP="00E6226A">
            <w:pPr>
              <w:spacing w:after="120" w:line="260" w:lineRule="atLeast"/>
              <w:jc w:val="center"/>
              <w:rPr>
                <w:sz w:val="20"/>
              </w:rPr>
            </w:pPr>
            <w:r w:rsidRPr="00E6226A">
              <w:rPr>
                <w:sz w:val="20"/>
              </w:rPr>
              <w:t>MELCOR</w:t>
            </w:r>
          </w:p>
        </w:tc>
        <w:tc>
          <w:tcPr>
            <w:tcW w:w="1134" w:type="dxa"/>
            <w:vAlign w:val="center"/>
            <w:hideMark/>
          </w:tcPr>
          <w:p w14:paraId="3E4B16EE" w14:textId="77777777" w:rsidR="00E6226A" w:rsidRPr="00E6226A" w:rsidRDefault="00E6226A" w:rsidP="00E6226A">
            <w:pPr>
              <w:spacing w:after="120" w:line="260" w:lineRule="atLeast"/>
              <w:jc w:val="center"/>
              <w:rPr>
                <w:sz w:val="20"/>
                <w:lang w:val="de-DE"/>
              </w:rPr>
            </w:pPr>
            <w:r w:rsidRPr="00E6226A">
              <w:rPr>
                <w:sz w:val="20"/>
              </w:rPr>
              <w:t>ATHLET-CD</w:t>
            </w:r>
          </w:p>
        </w:tc>
        <w:tc>
          <w:tcPr>
            <w:tcW w:w="1134" w:type="dxa"/>
            <w:vAlign w:val="center"/>
          </w:tcPr>
          <w:p w14:paraId="61BB8778" w14:textId="77777777" w:rsidR="00E6226A" w:rsidRPr="00E6226A" w:rsidRDefault="00E6226A" w:rsidP="00E6226A">
            <w:pPr>
              <w:spacing w:after="120" w:line="260" w:lineRule="atLeast"/>
              <w:jc w:val="center"/>
              <w:rPr>
                <w:sz w:val="20"/>
              </w:rPr>
            </w:pPr>
            <w:r w:rsidRPr="00E6226A">
              <w:rPr>
                <w:sz w:val="20"/>
              </w:rPr>
              <w:t>SOCRAT</w:t>
            </w:r>
          </w:p>
        </w:tc>
        <w:tc>
          <w:tcPr>
            <w:tcW w:w="1134" w:type="dxa"/>
            <w:vAlign w:val="center"/>
            <w:hideMark/>
          </w:tcPr>
          <w:p w14:paraId="7248ECB8" w14:textId="77777777" w:rsidR="00E6226A" w:rsidRPr="00E6226A" w:rsidRDefault="00E6226A" w:rsidP="00E6226A">
            <w:pPr>
              <w:spacing w:after="120" w:line="260" w:lineRule="atLeast"/>
              <w:jc w:val="center"/>
              <w:rPr>
                <w:sz w:val="20"/>
                <w:lang w:val="de-DE"/>
              </w:rPr>
            </w:pPr>
            <w:r w:rsidRPr="00E6226A">
              <w:rPr>
                <w:sz w:val="20"/>
              </w:rPr>
              <w:t>ASTEC</w:t>
            </w:r>
          </w:p>
        </w:tc>
        <w:tc>
          <w:tcPr>
            <w:tcW w:w="1134" w:type="dxa"/>
            <w:vAlign w:val="center"/>
            <w:hideMark/>
          </w:tcPr>
          <w:p w14:paraId="72AE3EC9" w14:textId="77777777" w:rsidR="00E6226A" w:rsidRPr="00E6226A" w:rsidRDefault="00E6226A" w:rsidP="00E6226A">
            <w:pPr>
              <w:spacing w:after="120" w:line="260" w:lineRule="atLeast"/>
              <w:jc w:val="center"/>
              <w:rPr>
                <w:sz w:val="20"/>
                <w:lang w:val="de-DE"/>
              </w:rPr>
            </w:pPr>
            <w:r w:rsidRPr="00E6226A">
              <w:rPr>
                <w:sz w:val="20"/>
              </w:rPr>
              <w:t>MELCOR</w:t>
            </w:r>
          </w:p>
        </w:tc>
        <w:tc>
          <w:tcPr>
            <w:tcW w:w="1134" w:type="dxa"/>
            <w:vAlign w:val="center"/>
            <w:hideMark/>
          </w:tcPr>
          <w:p w14:paraId="21AB8D3F" w14:textId="77777777" w:rsidR="00E6226A" w:rsidRPr="00E6226A" w:rsidRDefault="00E6226A" w:rsidP="00E6226A">
            <w:pPr>
              <w:spacing w:after="120" w:line="260" w:lineRule="atLeast"/>
              <w:jc w:val="center"/>
              <w:rPr>
                <w:sz w:val="20"/>
                <w:lang w:val="de-DE"/>
              </w:rPr>
            </w:pPr>
            <w:r w:rsidRPr="00E6226A">
              <w:rPr>
                <w:sz w:val="20"/>
              </w:rPr>
              <w:t>MELCOR</w:t>
            </w:r>
          </w:p>
        </w:tc>
      </w:tr>
    </w:tbl>
    <w:p w14:paraId="7B349F0E" w14:textId="13A2FD51" w:rsidR="00E6226A" w:rsidRDefault="00E6226A" w:rsidP="00E6226A">
      <w:pPr>
        <w:pStyle w:val="Textkrper"/>
      </w:pPr>
      <w:r w:rsidRPr="00E87AB8">
        <w:t xml:space="preserve">For almost all codes, the rod bundle was described by three concentric rings as shown in Fig. 1: an inner ring (ROD1) containing four central rods, a second ring containing eight intermediate rods (ROD2), and a third ring containing twelve peripheral rods (ROD3). When modeling with the MELCOR code, NINE and CTU applied a division into two groups of fuel rods: internal and external rods. Only one central rod was modelled with the DIONISIO code. The corner zirconium rods used for the bundle instrumentation were taken into account by their effect on reducing the flow area of the assembly. In addition, their outer surface area was taken into account when calculating the hydrogen release due to </w:t>
      </w:r>
      <w:r w:rsidRPr="00E87AB8">
        <w:lastRenderedPageBreak/>
        <w:t>their oxidation. Also, when calculating the hydrogen release, the influence of the inner surface of the shroud was taken into account.</w:t>
      </w:r>
    </w:p>
    <w:p w14:paraId="1ACE4BF5" w14:textId="77777777" w:rsidR="00E6226A" w:rsidRPr="00E87AB8" w:rsidRDefault="00E6226A" w:rsidP="00E6226A">
      <w:pPr>
        <w:spacing w:after="120"/>
        <w:jc w:val="center"/>
      </w:pPr>
      <w:r w:rsidRPr="00E87AB8">
        <w:rPr>
          <w:noProof/>
        </w:rPr>
        <w:drawing>
          <wp:inline distT="0" distB="0" distL="0" distR="0" wp14:anchorId="21FB3047" wp14:editId="09D8D07E">
            <wp:extent cx="2933065" cy="1659338"/>
            <wp:effectExtent l="0" t="0" r="635" b="0"/>
            <wp:docPr id="771811192" name="Grafik 1" descr="Ein Bild, das Kreis, Screenshot, Farbigkei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11192" name="Grafik 1" descr="Ein Bild, das Kreis, Screenshot, Farbigkeit,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6163" cy="1683720"/>
                    </a:xfrm>
                    <a:prstGeom prst="rect">
                      <a:avLst/>
                    </a:prstGeom>
                  </pic:spPr>
                </pic:pic>
              </a:graphicData>
            </a:graphic>
          </wp:inline>
        </w:drawing>
      </w:r>
    </w:p>
    <w:p w14:paraId="7744B5B1" w14:textId="77777777" w:rsidR="00E6226A" w:rsidRPr="00AA3B0A" w:rsidRDefault="00E6226A" w:rsidP="0025129F">
      <w:pPr>
        <w:spacing w:after="120" w:line="260" w:lineRule="atLeast"/>
        <w:jc w:val="center"/>
        <w:rPr>
          <w:i/>
          <w:iCs/>
          <w:sz w:val="20"/>
        </w:rPr>
      </w:pPr>
      <w:r w:rsidRPr="00AA3B0A">
        <w:rPr>
          <w:i/>
          <w:iCs/>
          <w:sz w:val="20"/>
        </w:rPr>
        <w:t>FIG. 1. Composition of the QUENCH-19 bundle</w:t>
      </w:r>
    </w:p>
    <w:p w14:paraId="52B23CAB" w14:textId="282F5C07" w:rsidR="00E6226A" w:rsidRDefault="00E6226A" w:rsidP="00E6226A">
      <w:pPr>
        <w:pStyle w:val="Textkrper"/>
      </w:pPr>
      <w:r w:rsidRPr="00E87AB8">
        <w:t>According to the benchmark conditions, each code had to calculate - based on specified boundary conditions and experimental data on the temporary change in electrical power supplied to the bundle - the temperature history at each of the seventeen elevations of the assembly. In addition, the most important parameter for comparing the efficiency of codes should have been the calculated value of hydrogen release.</w:t>
      </w:r>
    </w:p>
    <w:p w14:paraId="7D2B2EA3" w14:textId="02D5AEDC" w:rsidR="00E6226A" w:rsidRDefault="00E6226A" w:rsidP="00E6226A">
      <w:pPr>
        <w:pStyle w:val="Heading2nd"/>
      </w:pPr>
      <w:r>
        <w:t xml:space="preserve">QUENCH-19: </w:t>
      </w:r>
      <w:r w:rsidRPr="00AA3B0A">
        <w:t>Comparison of temperature predictions</w:t>
      </w:r>
    </w:p>
    <w:p w14:paraId="382B523D" w14:textId="77777777" w:rsidR="0025129F" w:rsidRPr="00E87AB8" w:rsidRDefault="0025129F" w:rsidP="0025129F">
      <w:pPr>
        <w:pStyle w:val="Textkrper"/>
      </w:pPr>
      <w:r w:rsidRPr="00E87AB8">
        <w:t>Based on the readings of the thermocouples of the central and intermediate rods, an axial distribution of temperatures in the inner bundle part was obtained 300 s before the start of the reflood, namely at the time of 8800 s (in a later period, a number of thermocouples failed). Comparison of these experimental data with the results of calculations shows a good prediction of the position of the maximum temperature at the bundle elevation of 850 mm by most codes (Fig. 2). Below this level, the data from the four codes practically coincide with the experimental data. Above 850 mm, the data of the two codes coincide with the measured values. The other two codes give overpredicted temperature values.</w:t>
      </w:r>
    </w:p>
    <w:p w14:paraId="70FEBB09" w14:textId="77777777" w:rsidR="0025129F" w:rsidRPr="00E87AB8" w:rsidRDefault="0025129F" w:rsidP="0025129F">
      <w:pPr>
        <w:pStyle w:val="Textkrper"/>
      </w:pPr>
      <w:r w:rsidRPr="00E87AB8">
        <w:t>Comparison of calculated temperatures with experimental ones at the bundle elevation of 950 mm throughout the experiment shows overestimated values for all codes - satisfactory for the first (Fig. 3) and second (Fig.4) groups of rods and significantly overestimated for the shroud (Fig. 5). The latter circumstance may be due to insufficient consideration of the steam-water mixture entering through leaks into the space between the shroud and the cooling jacket surrounding it [4].</w:t>
      </w:r>
    </w:p>
    <w:tbl>
      <w:tblPr>
        <w:tblStyle w:val="Tabellenraster"/>
        <w:tblW w:w="0" w:type="auto"/>
        <w:jc w:val="center"/>
        <w:tblLook w:val="04A0" w:firstRow="1" w:lastRow="0" w:firstColumn="1" w:lastColumn="0" w:noHBand="0" w:noVBand="1"/>
      </w:tblPr>
      <w:tblGrid>
        <w:gridCol w:w="4508"/>
        <w:gridCol w:w="17"/>
        <w:gridCol w:w="4492"/>
      </w:tblGrid>
      <w:tr w:rsidR="0025129F" w:rsidRPr="00E87AB8" w14:paraId="5665559F" w14:textId="77777777" w:rsidTr="0025129F">
        <w:trPr>
          <w:jc w:val="center"/>
        </w:trPr>
        <w:tc>
          <w:tcPr>
            <w:tcW w:w="4508" w:type="dxa"/>
            <w:vAlign w:val="center"/>
          </w:tcPr>
          <w:p w14:paraId="59F205DD" w14:textId="77777777" w:rsidR="0025129F" w:rsidRPr="00E87AB8" w:rsidRDefault="0025129F" w:rsidP="000A40D8">
            <w:pPr>
              <w:pStyle w:val="Textkrper"/>
              <w:spacing w:after="0" w:line="240" w:lineRule="auto"/>
              <w:jc w:val="center"/>
            </w:pPr>
            <w:r w:rsidRPr="00E87AB8">
              <w:rPr>
                <w:noProof/>
              </w:rPr>
              <w:drawing>
                <wp:inline distT="0" distB="0" distL="0" distR="0" wp14:anchorId="2C0AFA27" wp14:editId="2E263DF6">
                  <wp:extent cx="2516479" cy="2414587"/>
                  <wp:effectExtent l="0" t="0" r="0" b="5080"/>
                  <wp:docPr id="143899486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3505" cy="2450114"/>
                          </a:xfrm>
                          <a:prstGeom prst="rect">
                            <a:avLst/>
                          </a:prstGeom>
                          <a:noFill/>
                          <a:ln>
                            <a:noFill/>
                          </a:ln>
                        </pic:spPr>
                      </pic:pic>
                    </a:graphicData>
                  </a:graphic>
                </wp:inline>
              </w:drawing>
            </w:r>
          </w:p>
        </w:tc>
        <w:tc>
          <w:tcPr>
            <w:tcW w:w="4509" w:type="dxa"/>
            <w:gridSpan w:val="2"/>
            <w:vAlign w:val="center"/>
          </w:tcPr>
          <w:p w14:paraId="34D7D078" w14:textId="77777777" w:rsidR="0025129F" w:rsidRPr="00E87AB8" w:rsidRDefault="0025129F" w:rsidP="000A40D8">
            <w:pPr>
              <w:pStyle w:val="Textkrper"/>
              <w:spacing w:after="0" w:line="240" w:lineRule="auto"/>
              <w:jc w:val="center"/>
            </w:pPr>
            <w:r w:rsidRPr="00E87AB8">
              <w:rPr>
                <w:noProof/>
              </w:rPr>
              <w:drawing>
                <wp:inline distT="0" distB="0" distL="0" distR="0" wp14:anchorId="6C6E52A8" wp14:editId="4154E33A">
                  <wp:extent cx="2490927" cy="2393601"/>
                  <wp:effectExtent l="0" t="0" r="5080" b="6985"/>
                  <wp:docPr id="9145603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6871" cy="2428140"/>
                          </a:xfrm>
                          <a:prstGeom prst="rect">
                            <a:avLst/>
                          </a:prstGeom>
                          <a:noFill/>
                          <a:ln>
                            <a:noFill/>
                          </a:ln>
                        </pic:spPr>
                      </pic:pic>
                    </a:graphicData>
                  </a:graphic>
                </wp:inline>
              </w:drawing>
            </w:r>
          </w:p>
        </w:tc>
      </w:tr>
      <w:tr w:rsidR="0025129F" w:rsidRPr="00AA3B0A" w14:paraId="53FDD3FC" w14:textId="77777777" w:rsidTr="0025129F">
        <w:trPr>
          <w:jc w:val="center"/>
        </w:trPr>
        <w:tc>
          <w:tcPr>
            <w:tcW w:w="4508" w:type="dxa"/>
            <w:vAlign w:val="center"/>
          </w:tcPr>
          <w:p w14:paraId="0892A04A" w14:textId="77777777" w:rsidR="0025129F" w:rsidRPr="00AA3B0A" w:rsidRDefault="0025129F" w:rsidP="000A40D8">
            <w:pPr>
              <w:pStyle w:val="Textkrper"/>
              <w:spacing w:after="0" w:line="240" w:lineRule="auto"/>
              <w:jc w:val="center"/>
              <w:rPr>
                <w:i/>
                <w:iCs/>
                <w:sz w:val="20"/>
              </w:rPr>
            </w:pPr>
            <w:r w:rsidRPr="00AA3B0A">
              <w:rPr>
                <w:i/>
                <w:iCs/>
                <w:sz w:val="20"/>
              </w:rPr>
              <w:t>FIG</w:t>
            </w:r>
            <w:r w:rsidRPr="00AA3B0A">
              <w:rPr>
                <w:i/>
                <w:iCs/>
                <w:spacing w:val="-3"/>
                <w:sz w:val="20"/>
              </w:rPr>
              <w:t xml:space="preserve"> 2</w:t>
            </w:r>
            <w:r w:rsidRPr="00AA3B0A">
              <w:rPr>
                <w:i/>
                <w:iCs/>
                <w:sz w:val="20"/>
              </w:rPr>
              <w:t>.</w:t>
            </w:r>
            <w:r w:rsidRPr="00AA3B0A">
              <w:rPr>
                <w:i/>
                <w:iCs/>
                <w:spacing w:val="56"/>
                <w:sz w:val="20"/>
              </w:rPr>
              <w:t xml:space="preserve"> </w:t>
            </w:r>
            <w:r w:rsidRPr="00AA3B0A">
              <w:rPr>
                <w:i/>
                <w:iCs/>
                <w:sz w:val="20"/>
              </w:rPr>
              <w:t>Axial temperature profiles for QUENCH</w:t>
            </w:r>
            <w:r w:rsidRPr="00AA3B0A">
              <w:rPr>
                <w:i/>
                <w:iCs/>
                <w:sz w:val="20"/>
              </w:rPr>
              <w:noBreakHyphen/>
              <w:t>19</w:t>
            </w:r>
          </w:p>
        </w:tc>
        <w:tc>
          <w:tcPr>
            <w:tcW w:w="4509" w:type="dxa"/>
            <w:gridSpan w:val="2"/>
            <w:vAlign w:val="center"/>
          </w:tcPr>
          <w:p w14:paraId="7C1BDD18" w14:textId="77777777" w:rsidR="0025129F" w:rsidRPr="00AA3B0A" w:rsidRDefault="0025129F" w:rsidP="000A40D8">
            <w:pPr>
              <w:pStyle w:val="Textkrper"/>
              <w:spacing w:after="0" w:line="240" w:lineRule="auto"/>
              <w:jc w:val="center"/>
              <w:rPr>
                <w:i/>
                <w:iCs/>
                <w:sz w:val="20"/>
              </w:rPr>
            </w:pPr>
            <w:r w:rsidRPr="00AA3B0A">
              <w:rPr>
                <w:i/>
                <w:iCs/>
                <w:sz w:val="20"/>
              </w:rPr>
              <w:t>FIG. 3. Temperature progress for internal rods of the QUENCH-19 bundle</w:t>
            </w:r>
          </w:p>
        </w:tc>
      </w:tr>
      <w:tr w:rsidR="0025129F" w:rsidRPr="00E87AB8" w14:paraId="5E6F89F0" w14:textId="77777777" w:rsidTr="0025129F">
        <w:trPr>
          <w:jc w:val="center"/>
        </w:trPr>
        <w:tc>
          <w:tcPr>
            <w:tcW w:w="4525" w:type="dxa"/>
            <w:gridSpan w:val="2"/>
            <w:vAlign w:val="center"/>
          </w:tcPr>
          <w:p w14:paraId="43E41B61" w14:textId="77777777" w:rsidR="0025129F" w:rsidRPr="00E87AB8" w:rsidRDefault="0025129F" w:rsidP="000A40D8">
            <w:pPr>
              <w:pStyle w:val="Textkrper"/>
              <w:spacing w:after="0" w:line="240" w:lineRule="auto"/>
              <w:jc w:val="center"/>
            </w:pPr>
            <w:r w:rsidRPr="00E87AB8">
              <w:rPr>
                <w:noProof/>
              </w:rPr>
              <w:lastRenderedPageBreak/>
              <w:drawing>
                <wp:inline distT="0" distB="0" distL="0" distR="0" wp14:anchorId="6135BF4F" wp14:editId="011286B1">
                  <wp:extent cx="2500312" cy="2416409"/>
                  <wp:effectExtent l="0" t="0" r="0" b="3175"/>
                  <wp:docPr id="128611127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0312" cy="2416409"/>
                          </a:xfrm>
                          <a:prstGeom prst="rect">
                            <a:avLst/>
                          </a:prstGeom>
                          <a:noFill/>
                          <a:ln>
                            <a:noFill/>
                          </a:ln>
                        </pic:spPr>
                      </pic:pic>
                    </a:graphicData>
                  </a:graphic>
                </wp:inline>
              </w:drawing>
            </w:r>
          </w:p>
        </w:tc>
        <w:tc>
          <w:tcPr>
            <w:tcW w:w="4492" w:type="dxa"/>
            <w:vAlign w:val="center"/>
          </w:tcPr>
          <w:p w14:paraId="20FB2963" w14:textId="77777777" w:rsidR="0025129F" w:rsidRPr="00E87AB8" w:rsidRDefault="0025129F" w:rsidP="000A40D8">
            <w:pPr>
              <w:pStyle w:val="Textkrper"/>
              <w:spacing w:after="0" w:line="240" w:lineRule="auto"/>
              <w:jc w:val="center"/>
            </w:pPr>
            <w:r w:rsidRPr="00E87AB8">
              <w:rPr>
                <w:noProof/>
              </w:rPr>
              <w:drawing>
                <wp:inline distT="0" distB="0" distL="0" distR="0" wp14:anchorId="1F6C86F0" wp14:editId="0608D994">
                  <wp:extent cx="2504356" cy="2409825"/>
                  <wp:effectExtent l="0" t="0" r="0" b="0"/>
                  <wp:docPr id="18741986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637" cy="2429340"/>
                          </a:xfrm>
                          <a:prstGeom prst="rect">
                            <a:avLst/>
                          </a:prstGeom>
                          <a:noFill/>
                          <a:ln>
                            <a:noFill/>
                          </a:ln>
                        </pic:spPr>
                      </pic:pic>
                    </a:graphicData>
                  </a:graphic>
                </wp:inline>
              </w:drawing>
            </w:r>
          </w:p>
        </w:tc>
      </w:tr>
      <w:tr w:rsidR="0025129F" w:rsidRPr="003174DD" w14:paraId="4A2CA639" w14:textId="77777777" w:rsidTr="0025129F">
        <w:trPr>
          <w:jc w:val="center"/>
        </w:trPr>
        <w:tc>
          <w:tcPr>
            <w:tcW w:w="4525" w:type="dxa"/>
            <w:gridSpan w:val="2"/>
            <w:vAlign w:val="center"/>
          </w:tcPr>
          <w:p w14:paraId="780BA742" w14:textId="77777777" w:rsidR="0025129F" w:rsidRPr="003174DD" w:rsidRDefault="0025129F" w:rsidP="000A40D8">
            <w:pPr>
              <w:pStyle w:val="Textkrper"/>
              <w:spacing w:after="0" w:line="240" w:lineRule="auto"/>
              <w:jc w:val="center"/>
              <w:rPr>
                <w:i/>
                <w:iCs/>
                <w:sz w:val="20"/>
              </w:rPr>
            </w:pPr>
            <w:r w:rsidRPr="003174DD">
              <w:rPr>
                <w:i/>
                <w:iCs/>
                <w:sz w:val="20"/>
              </w:rPr>
              <w:t>FIG. 4. Temperature progress for external rods</w:t>
            </w:r>
          </w:p>
        </w:tc>
        <w:tc>
          <w:tcPr>
            <w:tcW w:w="4492" w:type="dxa"/>
            <w:vAlign w:val="center"/>
          </w:tcPr>
          <w:p w14:paraId="721C7E78" w14:textId="77777777" w:rsidR="0025129F" w:rsidRPr="003174DD" w:rsidRDefault="0025129F" w:rsidP="000A40D8">
            <w:pPr>
              <w:pStyle w:val="Textkrper"/>
              <w:spacing w:after="0" w:line="240" w:lineRule="auto"/>
              <w:jc w:val="center"/>
              <w:rPr>
                <w:i/>
                <w:iCs/>
                <w:sz w:val="20"/>
              </w:rPr>
            </w:pPr>
            <w:r w:rsidRPr="003174DD">
              <w:rPr>
                <w:i/>
                <w:iCs/>
                <w:sz w:val="20"/>
              </w:rPr>
              <w:t>FIG. 5. Temperature progress for shroud</w:t>
            </w:r>
          </w:p>
        </w:tc>
      </w:tr>
    </w:tbl>
    <w:p w14:paraId="11505029" w14:textId="757EBFD2" w:rsidR="00E6226A" w:rsidRDefault="0025129F" w:rsidP="0025129F">
      <w:pPr>
        <w:pStyle w:val="Heading2nd"/>
      </w:pPr>
      <w:r w:rsidRPr="00AA3B0A">
        <w:t>QUENCH-19: Comparison of hydrogen predictions</w:t>
      </w:r>
    </w:p>
    <w:p w14:paraId="610427EB" w14:textId="77777777" w:rsidR="0025129F" w:rsidRPr="00E87AB8" w:rsidRDefault="0025129F" w:rsidP="0025129F">
      <w:pPr>
        <w:pStyle w:val="Textkrper"/>
      </w:pPr>
      <w:r w:rsidRPr="00E87AB8">
        <w:t>When metal M is oxidized in steam, hydrogen is released, the release rate of which is determined by the degree of oxidation:</w:t>
      </w:r>
    </w:p>
    <w:p w14:paraId="777C523C" w14:textId="1C0B46ED" w:rsidR="0025129F" w:rsidRPr="00E87AB8" w:rsidRDefault="0025129F" w:rsidP="0025129F">
      <w:pPr>
        <w:pStyle w:val="Textkrper"/>
        <w:jc w:val="right"/>
      </w:pPr>
      <w:r w:rsidRPr="00E87AB8">
        <w:t>xM + yH</w:t>
      </w:r>
      <w:r w:rsidRPr="00E87AB8">
        <w:rPr>
          <w:vertAlign w:val="subscript"/>
        </w:rPr>
        <w:t>2</w:t>
      </w:r>
      <w:r w:rsidRPr="00E87AB8">
        <w:t>O = M</w:t>
      </w:r>
      <w:r w:rsidRPr="00E87AB8">
        <w:rPr>
          <w:vertAlign w:val="subscript"/>
        </w:rPr>
        <w:t>x</w:t>
      </w:r>
      <w:r w:rsidRPr="00E87AB8">
        <w:t>O</w:t>
      </w:r>
      <w:r w:rsidRPr="00E87AB8">
        <w:rPr>
          <w:vertAlign w:val="subscript"/>
        </w:rPr>
        <w:t>y</w:t>
      </w:r>
      <w:r w:rsidRPr="00E87AB8">
        <w:t xml:space="preserve"> + yH</w:t>
      </w:r>
      <w:r w:rsidRPr="00E87AB8">
        <w:rPr>
          <w:vertAlign w:val="subscript"/>
        </w:rPr>
        <w:t xml:space="preserve">2 </w:t>
      </w:r>
      <w:r w:rsidRPr="00E87AB8">
        <w:t xml:space="preserve">                                (1)</w:t>
      </w:r>
    </w:p>
    <w:p w14:paraId="776BCF44" w14:textId="77777777" w:rsidR="0025129F" w:rsidRPr="00E87AB8" w:rsidRDefault="0025129F" w:rsidP="0025129F">
      <w:pPr>
        <w:pStyle w:val="Textkrper"/>
      </w:pPr>
      <w:r w:rsidRPr="00E87AB8">
        <w:t>The enhanced oxidation resistance of FeCrAl alloys at high temperatures relies on the formation of a slowly growing and highly protective Al</w:t>
      </w:r>
      <w:r w:rsidRPr="00E87AB8">
        <w:rPr>
          <w:vertAlign w:val="subscript"/>
        </w:rPr>
        <w:t>2</w:t>
      </w:r>
      <w:r w:rsidRPr="00E87AB8">
        <w:t>O</w:t>
      </w:r>
      <w:r w:rsidRPr="00E87AB8">
        <w:rPr>
          <w:vertAlign w:val="subscript"/>
        </w:rPr>
        <w:t>3</w:t>
      </w:r>
      <w:r w:rsidRPr="00E87AB8">
        <w:t xml:space="preserve"> scale [5]. The formation of a protective alumina scale is determined by the competition between the oxidation rate governed by diffusion of O and Al through the oxide layer and the diffusion of aluminium in the substrate to the interface. Alumina performs its protective role at temperatures below approximately 1650 K. At higher temperatures, accelerated diffusion processes lead to increased Fe oxidation, leading to a catastrophic increase in the oxidation rate. Based on the results of oxidation experiments performed at MIT with the B136Y3 samples (FeCrAl alloy used for the QUENCH-19 claddings) [6], the following correlations for the parabolic rate constant of the sample mass gain have been proposed to use for all codes:</w:t>
      </w:r>
    </w:p>
    <w:p w14:paraId="7DFB4D20" w14:textId="4D07BF0A" w:rsidR="0025129F" w:rsidRPr="00E87AB8" w:rsidRDefault="00000000" w:rsidP="0025129F">
      <w:pPr>
        <w:spacing w:after="120"/>
        <w:jc w:val="right"/>
      </w:pPr>
      <m:oMath>
        <m:sSub>
          <m:sSubPr>
            <m:ctrlPr>
              <w:rPr>
                <w:rFonts w:ascii="Cambria Math" w:eastAsiaTheme="minorHAnsi" w:hAnsi="Cambria Math"/>
                <w:i/>
                <w:iCs/>
              </w:rPr>
            </m:ctrlPr>
          </m:sSubPr>
          <m:e>
            <m:r>
              <w:rPr>
                <w:rFonts w:ascii="Cambria Math" w:hAnsi="Cambria Math"/>
              </w:rPr>
              <m:t>K</m:t>
            </m:r>
          </m:e>
          <m:sub>
            <m:r>
              <w:rPr>
                <w:rFonts w:ascii="Cambria Math" w:hAnsi="Cambria Math"/>
              </w:rPr>
              <m:t>MIT</m:t>
            </m:r>
          </m:sub>
        </m:sSub>
        <m:r>
          <w:rPr>
            <w:rFonts w:ascii="Cambria Math" w:hAnsi="Cambria Math"/>
          </w:rPr>
          <m:t>[</m:t>
        </m:r>
        <m:f>
          <m:fPr>
            <m:ctrlPr>
              <w:rPr>
                <w:rFonts w:ascii="Cambria Math" w:eastAsiaTheme="minorHAnsi" w:hAnsi="Cambria Math"/>
                <w:i/>
                <w:iCs/>
              </w:rPr>
            </m:ctrlPr>
          </m:fPr>
          <m:num>
            <m:sSup>
              <m:sSupPr>
                <m:ctrlPr>
                  <w:rPr>
                    <w:rFonts w:ascii="Cambria Math" w:eastAsiaTheme="minorHAnsi" w:hAnsi="Cambria Math"/>
                    <w:i/>
                    <w:iCs/>
                  </w:rPr>
                </m:ctrlPr>
              </m:sSupPr>
              <m:e>
                <m:r>
                  <w:rPr>
                    <w:rFonts w:ascii="Cambria Math" w:hAnsi="Cambria Math"/>
                  </w:rPr>
                  <m:t>g</m:t>
                </m:r>
              </m:e>
              <m:sup>
                <m:r>
                  <w:rPr>
                    <w:rFonts w:ascii="Cambria Math" w:hAnsi="Cambria Math"/>
                  </w:rPr>
                  <m:t>2</m:t>
                </m:r>
              </m:sup>
            </m:sSup>
          </m:num>
          <m:den>
            <m:sSup>
              <m:sSupPr>
                <m:ctrlPr>
                  <w:rPr>
                    <w:rFonts w:ascii="Cambria Math" w:eastAsiaTheme="minorHAnsi" w:hAnsi="Cambria Math"/>
                    <w:i/>
                    <w:iCs/>
                  </w:rPr>
                </m:ctrlPr>
              </m:sSupPr>
              <m:e>
                <m:r>
                  <w:rPr>
                    <w:rFonts w:ascii="Cambria Math" w:hAnsi="Cambria Math"/>
                  </w:rPr>
                  <m:t>cm</m:t>
                </m:r>
              </m:e>
              <m:sup>
                <m:r>
                  <w:rPr>
                    <w:rFonts w:ascii="Cambria Math" w:hAnsi="Cambria Math"/>
                  </w:rPr>
                  <m:t>4</m:t>
                </m:r>
              </m:sup>
            </m:sSup>
            <m:r>
              <w:rPr>
                <w:rFonts w:ascii="Cambria Math" w:hAnsi="Cambria Math"/>
              </w:rPr>
              <m:t>s</m:t>
            </m:r>
          </m:den>
        </m:f>
        <m:r>
          <w:rPr>
            <w:rFonts w:ascii="Cambria Math" w:hAnsi="Cambria Math"/>
          </w:rPr>
          <m:t>]</m:t>
        </m:r>
        <m:r>
          <m:rPr>
            <m:sty m:val="p"/>
          </m:rPr>
          <w:rPr>
            <w:rFonts w:ascii="Cambria Math" w:hAnsi="Cambria Math"/>
          </w:rPr>
          <m:t>=</m:t>
        </m:r>
        <m:d>
          <m:dPr>
            <m:begChr m:val="{"/>
            <m:endChr m:val=""/>
            <m:ctrlPr>
              <w:rPr>
                <w:rFonts w:ascii="Cambria Math" w:eastAsiaTheme="minorHAnsi" w:hAnsi="Cambria Math"/>
              </w:rPr>
            </m:ctrlPr>
          </m:dPr>
          <m:e>
            <m:eqArr>
              <m:eqArrPr>
                <m:ctrlPr>
                  <w:rPr>
                    <w:rFonts w:ascii="Cambria Math" w:eastAsiaTheme="minorHAnsi" w:hAnsi="Cambria Math"/>
                  </w:rPr>
                </m:ctrlPr>
              </m:eqArrPr>
              <m:e>
                <m:r>
                  <m:rPr>
                    <m:sty m:val="p"/>
                  </m:rPr>
                  <w:rPr>
                    <w:rFonts w:ascii="Cambria Math" w:hAnsi="Cambria Math"/>
                  </w:rPr>
                  <m:t>9.62×</m:t>
                </m:r>
                <m:sSup>
                  <m:sSupPr>
                    <m:ctrlPr>
                      <w:rPr>
                        <w:rFonts w:ascii="Cambria Math" w:eastAsiaTheme="minorHAnsi" w:hAnsi="Cambria Math"/>
                      </w:rPr>
                    </m:ctrlPr>
                  </m:sSupPr>
                  <m:e>
                    <m:r>
                      <m:rPr>
                        <m:sty m:val="p"/>
                      </m:rPr>
                      <w:rPr>
                        <w:rFonts w:ascii="Cambria Math" w:hAnsi="Cambria Math"/>
                      </w:rPr>
                      <m:t>10</m:t>
                    </m:r>
                  </m:e>
                  <m:sup>
                    <m:r>
                      <m:rPr>
                        <m:sty m:val="p"/>
                      </m:rPr>
                      <w:rPr>
                        <w:rFonts w:ascii="Cambria Math" w:hAnsi="Cambria Math"/>
                      </w:rPr>
                      <m:t>-12</m:t>
                    </m:r>
                  </m:sup>
                </m:sSup>
                <m:r>
                  <m:rPr>
                    <m:sty m:val="p"/>
                  </m:rPr>
                  <w:rPr>
                    <w:rFonts w:ascii="Cambria Math" w:hAnsi="Cambria Math"/>
                  </w:rPr>
                  <m:t>,  &amp;</m:t>
                </m:r>
                <m:r>
                  <w:rPr>
                    <w:rFonts w:ascii="Cambria Math" w:hAnsi="Cambria Math"/>
                  </w:rPr>
                  <m:t>T</m:t>
                </m:r>
                <m:r>
                  <m:rPr>
                    <m:sty m:val="p"/>
                  </m:rPr>
                  <w:rPr>
                    <w:rFonts w:ascii="Cambria Math" w:hAnsi="Cambria Math"/>
                  </w:rPr>
                  <m:t>≤1473 K</m:t>
                </m:r>
              </m:e>
              <m:e>
                <m:sSub>
                  <m:sSubPr>
                    <m:ctrlPr>
                      <w:rPr>
                        <w:rFonts w:ascii="Cambria Math" w:eastAsiaTheme="minorHAnsi" w:hAnsi="Cambria Math"/>
                        <w:i/>
                        <w:iCs/>
                      </w:rPr>
                    </m:ctrlPr>
                  </m:sSubPr>
                  <m:e>
                    <m:r>
                      <w:rPr>
                        <w:rFonts w:ascii="Cambria Math" w:hAnsi="Cambria Math"/>
                      </w:rPr>
                      <m:t>A</m:t>
                    </m:r>
                  </m:e>
                  <m:sub>
                    <m:r>
                      <w:rPr>
                        <w:rFonts w:ascii="Cambria Math" w:hAnsi="Cambria Math"/>
                      </w:rPr>
                      <m:t>B</m:t>
                    </m:r>
                  </m:sub>
                </m:sSub>
                <m:func>
                  <m:funcPr>
                    <m:ctrlPr>
                      <w:rPr>
                        <w:rFonts w:ascii="Cambria Math" w:eastAsiaTheme="minorHAnsi" w:hAnsi="Cambria Math"/>
                      </w:rPr>
                    </m:ctrlPr>
                  </m:funcPr>
                  <m:fName>
                    <m:r>
                      <m:rPr>
                        <m:sty m:val="p"/>
                      </m:rPr>
                      <w:rPr>
                        <w:rFonts w:ascii="Cambria Math" w:hAnsi="Cambria Math"/>
                      </w:rPr>
                      <m:t>exp</m:t>
                    </m:r>
                  </m:fName>
                  <m:e>
                    <m:d>
                      <m:dPr>
                        <m:ctrlPr>
                          <w:rPr>
                            <w:rFonts w:ascii="Cambria Math" w:eastAsiaTheme="minorHAnsi" w:hAnsi="Cambria Math"/>
                          </w:rPr>
                        </m:ctrlPr>
                      </m:dPr>
                      <m:e>
                        <m:f>
                          <m:fPr>
                            <m:ctrlPr>
                              <w:rPr>
                                <w:rFonts w:ascii="Cambria Math" w:eastAsiaTheme="minorHAnsi" w:hAnsi="Cambria Math"/>
                              </w:rPr>
                            </m:ctrlPr>
                          </m:fPr>
                          <m:num>
                            <m:r>
                              <m:rPr>
                                <m:sty m:val="p"/>
                              </m:rPr>
                              <w:rPr>
                                <w:rFonts w:ascii="Cambria Math" w:hAnsi="Cambria Math"/>
                              </w:rPr>
                              <m:t>-</m:t>
                            </m:r>
                            <m:sSub>
                              <m:sSubPr>
                                <m:ctrlPr>
                                  <w:rPr>
                                    <w:rFonts w:ascii="Cambria Math" w:eastAsiaTheme="minorHAnsi" w:hAnsi="Cambria Math"/>
                                  </w:rPr>
                                </m:ctrlPr>
                              </m:sSubPr>
                              <m:e>
                                <m:r>
                                  <w:rPr>
                                    <w:rFonts w:ascii="Cambria Math" w:hAnsi="Cambria Math"/>
                                  </w:rPr>
                                  <m:t>E</m:t>
                                </m:r>
                              </m:e>
                              <m:sub>
                                <m:r>
                                  <w:rPr>
                                    <w:rFonts w:ascii="Cambria Math" w:hAnsi="Cambria Math"/>
                                  </w:rPr>
                                  <m:t>B</m:t>
                                </m:r>
                              </m:sub>
                            </m:sSub>
                          </m:num>
                          <m:den>
                            <m:r>
                              <w:rPr>
                                <w:rFonts w:ascii="Cambria Math" w:hAnsi="Cambria Math"/>
                              </w:rPr>
                              <m:t>RT</m:t>
                            </m:r>
                          </m:den>
                        </m:f>
                      </m:e>
                    </m:d>
                  </m:e>
                </m:func>
                <m:r>
                  <m:rPr>
                    <m:sty m:val="p"/>
                  </m:rPr>
                  <w:rPr>
                    <w:rFonts w:ascii="Cambria Math" w:hAnsi="Cambria Math"/>
                  </w:rPr>
                  <m:t>,  &amp;1473 &lt;</m:t>
                </m:r>
                <m:r>
                  <w:rPr>
                    <w:rFonts w:ascii="Cambria Math" w:hAnsi="Cambria Math"/>
                  </w:rPr>
                  <m:t>T</m:t>
                </m:r>
                <m:r>
                  <m:rPr>
                    <m:sty m:val="p"/>
                  </m:rPr>
                  <w:rPr>
                    <w:rFonts w:ascii="Cambria Math" w:hAnsi="Cambria Math"/>
                  </w:rPr>
                  <m:t>&lt;1648 K</m:t>
                </m:r>
              </m:e>
              <m:e>
                <m:sSub>
                  <m:sSubPr>
                    <m:ctrlPr>
                      <w:rPr>
                        <w:rFonts w:ascii="Cambria Math" w:eastAsiaTheme="minorHAnsi" w:hAnsi="Cambria Math"/>
                        <w:i/>
                        <w:iCs/>
                      </w:rPr>
                    </m:ctrlPr>
                  </m:sSubPr>
                  <m:e>
                    <m:r>
                      <w:rPr>
                        <w:rFonts w:ascii="Cambria Math" w:hAnsi="Cambria Math"/>
                      </w:rPr>
                      <m:t>A</m:t>
                    </m:r>
                  </m:e>
                  <m:sub>
                    <m:r>
                      <w:rPr>
                        <w:rFonts w:ascii="Cambria Math" w:hAnsi="Cambria Math"/>
                      </w:rPr>
                      <m:t>Fe</m:t>
                    </m:r>
                  </m:sub>
                </m:sSub>
                <m:func>
                  <m:funcPr>
                    <m:ctrlPr>
                      <w:rPr>
                        <w:rFonts w:ascii="Cambria Math" w:eastAsiaTheme="minorHAnsi" w:hAnsi="Cambria Math"/>
                      </w:rPr>
                    </m:ctrlPr>
                  </m:funcPr>
                  <m:fName>
                    <m:r>
                      <m:rPr>
                        <m:sty m:val="p"/>
                      </m:rPr>
                      <w:rPr>
                        <w:rFonts w:ascii="Cambria Math" w:hAnsi="Cambria Math"/>
                      </w:rPr>
                      <m:t>exp</m:t>
                    </m:r>
                  </m:fName>
                  <m:e>
                    <m:d>
                      <m:dPr>
                        <m:ctrlPr>
                          <w:rPr>
                            <w:rFonts w:ascii="Cambria Math" w:eastAsiaTheme="minorHAnsi" w:hAnsi="Cambria Math"/>
                          </w:rPr>
                        </m:ctrlPr>
                      </m:dPr>
                      <m:e>
                        <m:f>
                          <m:fPr>
                            <m:ctrlPr>
                              <w:rPr>
                                <w:rFonts w:ascii="Cambria Math" w:eastAsiaTheme="minorHAnsi" w:hAnsi="Cambria Math"/>
                              </w:rPr>
                            </m:ctrlPr>
                          </m:fPr>
                          <m:num>
                            <m:r>
                              <m:rPr>
                                <m:sty m:val="p"/>
                              </m:rPr>
                              <w:rPr>
                                <w:rFonts w:ascii="Cambria Math" w:hAnsi="Cambria Math"/>
                              </w:rPr>
                              <m:t>-</m:t>
                            </m:r>
                            <m:sSub>
                              <m:sSubPr>
                                <m:ctrlPr>
                                  <w:rPr>
                                    <w:rFonts w:ascii="Cambria Math" w:eastAsiaTheme="minorHAnsi" w:hAnsi="Cambria Math"/>
                                  </w:rPr>
                                </m:ctrlPr>
                              </m:sSubPr>
                              <m:e>
                                <m:r>
                                  <w:rPr>
                                    <w:rFonts w:ascii="Cambria Math" w:hAnsi="Cambria Math"/>
                                  </w:rPr>
                                  <m:t>E</m:t>
                                </m:r>
                              </m:e>
                              <m:sub>
                                <m:r>
                                  <w:rPr>
                                    <w:rFonts w:ascii="Cambria Math" w:hAnsi="Cambria Math"/>
                                  </w:rPr>
                                  <m:t>Fe</m:t>
                                </m:r>
                              </m:sub>
                            </m:sSub>
                          </m:num>
                          <m:den>
                            <m:r>
                              <w:rPr>
                                <w:rFonts w:ascii="Cambria Math" w:hAnsi="Cambria Math"/>
                              </w:rPr>
                              <m:t>RT</m:t>
                            </m:r>
                          </m:den>
                        </m:f>
                      </m:e>
                    </m:d>
                  </m:e>
                </m:func>
                <m:r>
                  <m:rPr>
                    <m:sty m:val="p"/>
                  </m:rPr>
                  <w:rPr>
                    <w:rFonts w:ascii="Cambria Math" w:hAnsi="Cambria Math"/>
                  </w:rPr>
                  <m:t>,  &amp;</m:t>
                </m:r>
                <m:r>
                  <w:rPr>
                    <w:rFonts w:ascii="Cambria Math" w:hAnsi="Cambria Math"/>
                  </w:rPr>
                  <m:t>T</m:t>
                </m:r>
                <m:r>
                  <m:rPr>
                    <m:sty m:val="p"/>
                  </m:rPr>
                  <w:rPr>
                    <w:rFonts w:ascii="Cambria Math" w:hAnsi="Cambria Math"/>
                  </w:rPr>
                  <m:t>≥1648 K (</m:t>
                </m:r>
                <m:r>
                  <w:rPr>
                    <w:rFonts w:ascii="Cambria Math" w:hAnsi="Cambria Math"/>
                  </w:rPr>
                  <m:t>melting point of FeO</m:t>
                </m:r>
                <m:r>
                  <m:rPr>
                    <m:sty m:val="p"/>
                  </m:rPr>
                  <w:rPr>
                    <w:rFonts w:ascii="Cambria Math" w:hAnsi="Cambria Math"/>
                  </w:rPr>
                  <m:t>)</m:t>
                </m:r>
              </m:e>
            </m:eqArr>
          </m:e>
        </m:d>
      </m:oMath>
      <w:r w:rsidR="0025129F" w:rsidRPr="00E87AB8">
        <w:t xml:space="preserve">     (2)</w:t>
      </w:r>
    </w:p>
    <w:p w14:paraId="2CCAB458" w14:textId="77777777" w:rsidR="0025129F" w:rsidRPr="00E87AB8" w:rsidRDefault="0025129F" w:rsidP="0025129F">
      <w:pPr>
        <w:spacing w:after="120"/>
        <w:jc w:val="both"/>
      </w:pPr>
      <w:r w:rsidRPr="00E87AB8">
        <w:t xml:space="preserve">where the activation energies </w:t>
      </w:r>
      <m:oMath>
        <m:sSub>
          <m:sSubPr>
            <m:ctrlPr>
              <w:rPr>
                <w:rFonts w:ascii="Cambria Math" w:eastAsiaTheme="minorHAnsi" w:hAnsi="Cambria Math"/>
                <w:i/>
                <w:iCs/>
              </w:rPr>
            </m:ctrlPr>
          </m:sSubPr>
          <m:e>
            <m:r>
              <w:rPr>
                <w:rFonts w:ascii="Cambria Math" w:hAnsi="Cambria Math"/>
              </w:rPr>
              <m:t>E</m:t>
            </m:r>
          </m:e>
          <m:sub>
            <m:r>
              <w:rPr>
                <w:rFonts w:ascii="Cambria Math" w:hAnsi="Cambria Math"/>
                <w:vertAlign w:val="subscript"/>
              </w:rPr>
              <m:t>B</m:t>
            </m:r>
          </m:sub>
        </m:sSub>
      </m:oMath>
      <w:r w:rsidRPr="00E87AB8">
        <w:t xml:space="preserve">=594354 J/mol and </w:t>
      </w:r>
      <m:oMath>
        <m:sSub>
          <m:sSubPr>
            <m:ctrlPr>
              <w:rPr>
                <w:rFonts w:ascii="Cambria Math" w:eastAsiaTheme="minorHAnsi" w:hAnsi="Cambria Math"/>
                <w:i/>
                <w:iCs/>
              </w:rPr>
            </m:ctrlPr>
          </m:sSubPr>
          <m:e>
            <m:r>
              <w:rPr>
                <w:rFonts w:ascii="Cambria Math" w:hAnsi="Cambria Math"/>
              </w:rPr>
              <m:t>E</m:t>
            </m:r>
          </m:e>
          <m:sub>
            <m:r>
              <w:rPr>
                <w:rFonts w:ascii="Cambria Math" w:hAnsi="Cambria Math"/>
                <w:vertAlign w:val="subscript"/>
              </w:rPr>
              <m:t>Fe</m:t>
            </m:r>
          </m:sub>
        </m:sSub>
      </m:oMath>
      <w:r w:rsidRPr="00E87AB8">
        <w:t xml:space="preserve">=352513 J/mol, the pre-exponential constants </w:t>
      </w:r>
      <m:oMath>
        <m:sSub>
          <m:sSubPr>
            <m:ctrlPr>
              <w:rPr>
                <w:rFonts w:ascii="Cambria Math" w:eastAsiaTheme="minorHAnsi" w:hAnsi="Cambria Math"/>
                <w:i/>
                <w:iCs/>
              </w:rPr>
            </m:ctrlPr>
          </m:sSubPr>
          <m:e>
            <m:r>
              <w:rPr>
                <w:rFonts w:ascii="Cambria Math" w:hAnsi="Cambria Math"/>
              </w:rPr>
              <m:t>A</m:t>
            </m:r>
          </m:e>
          <m:sub>
            <m:r>
              <w:rPr>
                <w:rFonts w:ascii="Cambria Math" w:hAnsi="Cambria Math"/>
              </w:rPr>
              <m:t>B</m:t>
            </m:r>
          </m:sub>
        </m:sSub>
      </m:oMath>
      <w:r w:rsidRPr="00E87AB8">
        <w:t>=3</w:t>
      </w:r>
      <m:oMath>
        <m:r>
          <w:rPr>
            <w:rFonts w:ascii="Cambria Math" w:hAnsi="Cambria Math"/>
          </w:rPr>
          <m:t>×</m:t>
        </m:r>
      </m:oMath>
      <w:r w:rsidRPr="00E87AB8">
        <w:t>10</w:t>
      </w:r>
      <w:r w:rsidRPr="00E87AB8">
        <w:rPr>
          <w:vertAlign w:val="superscript"/>
        </w:rPr>
        <w:t>9</w:t>
      </w:r>
      <w:r w:rsidRPr="00E87AB8">
        <w:t> g</w:t>
      </w:r>
      <w:r w:rsidRPr="00E87AB8">
        <w:rPr>
          <w:vertAlign w:val="superscript"/>
        </w:rPr>
        <w:t>2</w:t>
      </w:r>
      <w:r w:rsidRPr="00E87AB8">
        <w:t>/cm</w:t>
      </w:r>
      <w:r w:rsidRPr="00E87AB8">
        <w:rPr>
          <w:vertAlign w:val="superscript"/>
        </w:rPr>
        <w:t>4</w:t>
      </w:r>
      <w:r w:rsidRPr="00E87AB8">
        <w:t xml:space="preserve">s and </w:t>
      </w:r>
      <m:oMath>
        <m:sSub>
          <m:sSubPr>
            <m:ctrlPr>
              <w:rPr>
                <w:rFonts w:ascii="Cambria Math" w:eastAsiaTheme="minorHAnsi" w:hAnsi="Cambria Math"/>
                <w:i/>
                <w:iCs/>
              </w:rPr>
            </m:ctrlPr>
          </m:sSubPr>
          <m:e>
            <m:r>
              <w:rPr>
                <w:rFonts w:ascii="Cambria Math" w:hAnsi="Cambria Math"/>
              </w:rPr>
              <m:t>A</m:t>
            </m:r>
          </m:e>
          <m:sub>
            <m:r>
              <w:rPr>
                <w:rFonts w:ascii="Cambria Math" w:hAnsi="Cambria Math"/>
              </w:rPr>
              <m:t>Fe</m:t>
            </m:r>
          </m:sub>
        </m:sSub>
      </m:oMath>
      <w:r w:rsidRPr="00E87AB8">
        <w:t>=2.4</w:t>
      </w:r>
      <m:oMath>
        <m:r>
          <w:rPr>
            <w:rFonts w:ascii="Cambria Math" w:hAnsi="Cambria Math"/>
          </w:rPr>
          <m:t>×</m:t>
        </m:r>
      </m:oMath>
      <w:r w:rsidRPr="00E87AB8">
        <w:t>10</w:t>
      </w:r>
      <w:r w:rsidRPr="00E87AB8">
        <w:rPr>
          <w:vertAlign w:val="superscript"/>
        </w:rPr>
        <w:t>6</w:t>
      </w:r>
      <w:r w:rsidRPr="00E87AB8">
        <w:t> g</w:t>
      </w:r>
      <w:r w:rsidRPr="00E87AB8">
        <w:rPr>
          <w:vertAlign w:val="superscript"/>
        </w:rPr>
        <w:t>2</w:t>
      </w:r>
      <w:r w:rsidRPr="00E87AB8">
        <w:t>/cm</w:t>
      </w:r>
      <w:r w:rsidRPr="00E87AB8">
        <w:rPr>
          <w:vertAlign w:val="superscript"/>
        </w:rPr>
        <w:t>4</w:t>
      </w:r>
      <w:r w:rsidRPr="00E87AB8">
        <w:t>s.</w:t>
      </w:r>
    </w:p>
    <w:p w14:paraId="77756736" w14:textId="77777777" w:rsidR="0025129F" w:rsidRPr="00E87AB8" w:rsidRDefault="0025129F" w:rsidP="0025129F">
      <w:pPr>
        <w:spacing w:after="120"/>
        <w:jc w:val="both"/>
        <w:rPr>
          <w:lang w:eastAsia="de-DE"/>
        </w:rPr>
      </w:pPr>
      <w:r w:rsidRPr="00E87AB8">
        <w:rPr>
          <w:lang w:eastAsia="de-DE"/>
        </w:rPr>
        <w:t>It should be noted that more detailed experiments carried out later at KIT [7] showed more precise results with the following kinetics for this alloy (derived from data published in [7]):</w:t>
      </w:r>
    </w:p>
    <w:p w14:paraId="6E057B40" w14:textId="5B9F5391" w:rsidR="0025129F" w:rsidRPr="00E87AB8" w:rsidRDefault="00000000" w:rsidP="0025129F">
      <w:pPr>
        <w:spacing w:after="120"/>
        <w:jc w:val="right"/>
      </w:pPr>
      <m:oMath>
        <m:sSub>
          <m:sSubPr>
            <m:ctrlPr>
              <w:rPr>
                <w:rFonts w:ascii="Cambria Math" w:eastAsiaTheme="minorHAnsi" w:hAnsi="Cambria Math"/>
                <w:i/>
                <w:iCs/>
              </w:rPr>
            </m:ctrlPr>
          </m:sSubPr>
          <m:e>
            <m:r>
              <w:rPr>
                <w:rFonts w:ascii="Cambria Math" w:hAnsi="Cambria Math"/>
              </w:rPr>
              <m:t>K</m:t>
            </m:r>
          </m:e>
          <m:sub>
            <m:r>
              <w:rPr>
                <w:rFonts w:ascii="Cambria Math" w:hAnsi="Cambria Math"/>
              </w:rPr>
              <m:t>KIT</m:t>
            </m:r>
          </m:sub>
        </m:sSub>
        <m:r>
          <w:rPr>
            <w:rFonts w:ascii="Cambria Math" w:hAnsi="Cambria Math"/>
          </w:rPr>
          <m:t>[</m:t>
        </m:r>
        <m:f>
          <m:fPr>
            <m:ctrlPr>
              <w:rPr>
                <w:rFonts w:ascii="Cambria Math" w:eastAsiaTheme="minorHAnsi" w:hAnsi="Cambria Math"/>
                <w:i/>
                <w:iCs/>
              </w:rPr>
            </m:ctrlPr>
          </m:fPr>
          <m:num>
            <m:sSup>
              <m:sSupPr>
                <m:ctrlPr>
                  <w:rPr>
                    <w:rFonts w:ascii="Cambria Math" w:eastAsiaTheme="minorHAnsi" w:hAnsi="Cambria Math"/>
                    <w:i/>
                    <w:iCs/>
                  </w:rPr>
                </m:ctrlPr>
              </m:sSupPr>
              <m:e>
                <m:r>
                  <w:rPr>
                    <w:rFonts w:ascii="Cambria Math" w:hAnsi="Cambria Math"/>
                  </w:rPr>
                  <m:t>g</m:t>
                </m:r>
              </m:e>
              <m:sup>
                <m:r>
                  <w:rPr>
                    <w:rFonts w:ascii="Cambria Math" w:hAnsi="Cambria Math"/>
                  </w:rPr>
                  <m:t>2</m:t>
                </m:r>
              </m:sup>
            </m:sSup>
          </m:num>
          <m:den>
            <m:sSup>
              <m:sSupPr>
                <m:ctrlPr>
                  <w:rPr>
                    <w:rFonts w:ascii="Cambria Math" w:eastAsiaTheme="minorHAnsi" w:hAnsi="Cambria Math"/>
                    <w:i/>
                    <w:iCs/>
                  </w:rPr>
                </m:ctrlPr>
              </m:sSupPr>
              <m:e>
                <m:r>
                  <w:rPr>
                    <w:rFonts w:ascii="Cambria Math" w:hAnsi="Cambria Math"/>
                  </w:rPr>
                  <m:t>cm</m:t>
                </m:r>
              </m:e>
              <m:sup>
                <m:r>
                  <w:rPr>
                    <w:rFonts w:ascii="Cambria Math" w:hAnsi="Cambria Math"/>
                  </w:rPr>
                  <m:t>4</m:t>
                </m:r>
              </m:sup>
            </m:sSup>
            <m:r>
              <w:rPr>
                <w:rFonts w:ascii="Cambria Math" w:hAnsi="Cambria Math"/>
              </w:rPr>
              <m:t>s</m:t>
            </m:r>
          </m:den>
        </m:f>
        <m:r>
          <w:rPr>
            <w:rFonts w:ascii="Cambria Math" w:hAnsi="Cambria Math"/>
          </w:rPr>
          <m:t>]</m:t>
        </m:r>
        <m:r>
          <m:rPr>
            <m:sty m:val="p"/>
          </m:rPr>
          <w:rPr>
            <w:rFonts w:ascii="Cambria Math" w:hAnsi="Cambria Math"/>
          </w:rPr>
          <m:t>=</m:t>
        </m:r>
        <m:d>
          <m:dPr>
            <m:begChr m:val="{"/>
            <m:endChr m:val=""/>
            <m:ctrlPr>
              <w:rPr>
                <w:rFonts w:ascii="Cambria Math" w:eastAsiaTheme="minorHAnsi" w:hAnsi="Cambria Math"/>
                <w:i/>
                <w:iCs/>
              </w:rPr>
            </m:ctrlPr>
          </m:dPr>
          <m:e>
            <m:eqArr>
              <m:eqArrPr>
                <m:ctrlPr>
                  <w:rPr>
                    <w:rFonts w:ascii="Cambria Math" w:eastAsiaTheme="minorHAnsi" w:hAnsi="Cambria Math"/>
                    <w:i/>
                    <w:iCs/>
                  </w:rPr>
                </m:ctrlPr>
              </m:eqArrPr>
              <m:e>
                <m:sSub>
                  <m:sSubPr>
                    <m:ctrlPr>
                      <w:rPr>
                        <w:rFonts w:ascii="Cambria Math" w:eastAsiaTheme="minorHAnsi" w:hAnsi="Cambria Math"/>
                        <w:i/>
                        <w:iCs/>
                      </w:rPr>
                    </m:ctrlPr>
                  </m:sSubPr>
                  <m:e>
                    <m:r>
                      <w:rPr>
                        <w:rFonts w:ascii="Cambria Math" w:hAnsi="Cambria Math"/>
                      </w:rPr>
                      <m:t>A</m:t>
                    </m:r>
                  </m:e>
                  <m:sub>
                    <m:r>
                      <w:rPr>
                        <w:rFonts w:ascii="Cambria Math" w:hAnsi="Cambria Math"/>
                      </w:rPr>
                      <m:t>L</m:t>
                    </m:r>
                  </m:sub>
                </m:sSub>
                <m:func>
                  <m:funcPr>
                    <m:ctrlPr>
                      <w:rPr>
                        <w:rFonts w:ascii="Cambria Math" w:eastAsiaTheme="minorHAnsi" w:hAnsi="Cambria Math"/>
                        <w:i/>
                        <w:iCs/>
                      </w:rPr>
                    </m:ctrlPr>
                  </m:funcPr>
                  <m:fName>
                    <m:r>
                      <m:rPr>
                        <m:sty m:val="p"/>
                      </m:rPr>
                      <w:rPr>
                        <w:rFonts w:ascii="Cambria Math" w:hAnsi="Cambria Math"/>
                      </w:rPr>
                      <m:t>exp</m:t>
                    </m:r>
                  </m:fName>
                  <m:e>
                    <m:d>
                      <m:dPr>
                        <m:ctrlPr>
                          <w:rPr>
                            <w:rFonts w:ascii="Cambria Math" w:eastAsiaTheme="minorHAnsi" w:hAnsi="Cambria Math"/>
                            <w:i/>
                            <w:iCs/>
                          </w:rPr>
                        </m:ctrlPr>
                      </m:dPr>
                      <m:e>
                        <m:f>
                          <m:fPr>
                            <m:ctrlPr>
                              <w:rPr>
                                <w:rFonts w:ascii="Cambria Math" w:eastAsiaTheme="minorHAnsi" w:hAnsi="Cambria Math"/>
                                <w:i/>
                                <w:iCs/>
                              </w:rPr>
                            </m:ctrlPr>
                          </m:fPr>
                          <m:num>
                            <m:r>
                              <w:rPr>
                                <w:rFonts w:ascii="Cambria Math" w:hAnsi="Cambria Math"/>
                              </w:rPr>
                              <m:t>-</m:t>
                            </m:r>
                            <m:sSub>
                              <m:sSubPr>
                                <m:ctrlPr>
                                  <w:rPr>
                                    <w:rFonts w:ascii="Cambria Math" w:eastAsiaTheme="minorHAnsi" w:hAnsi="Cambria Math"/>
                                    <w:i/>
                                    <w:iCs/>
                                  </w:rPr>
                                </m:ctrlPr>
                              </m:sSubPr>
                              <m:e>
                                <m:r>
                                  <w:rPr>
                                    <w:rFonts w:ascii="Cambria Math" w:hAnsi="Cambria Math"/>
                                  </w:rPr>
                                  <m:t>E</m:t>
                                </m:r>
                              </m:e>
                              <m:sub>
                                <m:r>
                                  <w:rPr>
                                    <w:rFonts w:ascii="Cambria Math" w:hAnsi="Cambria Math"/>
                                  </w:rPr>
                                  <m:t>L</m:t>
                                </m:r>
                              </m:sub>
                            </m:sSub>
                          </m:num>
                          <m:den>
                            <m:r>
                              <w:rPr>
                                <w:rFonts w:ascii="Cambria Math" w:hAnsi="Cambria Math"/>
                              </w:rPr>
                              <m:t>RT</m:t>
                            </m:r>
                          </m:den>
                        </m:f>
                      </m:e>
                    </m:d>
                  </m:e>
                </m:func>
                <m:r>
                  <m:rPr>
                    <m:sty m:val="p"/>
                  </m:rPr>
                  <w:rPr>
                    <w:rFonts w:ascii="Cambria Math" w:hAnsi="Cambria Math"/>
                  </w:rPr>
                  <m:t>,</m:t>
                </m:r>
                <m:r>
                  <w:rPr>
                    <w:rFonts w:ascii="Cambria Math" w:hAnsi="Cambria Math"/>
                  </w:rPr>
                  <m:t> </m:t>
                </m:r>
                <m:r>
                  <m:rPr>
                    <m:sty m:val="p"/>
                  </m:rPr>
                  <w:rPr>
                    <w:rFonts w:ascii="Cambria Math" w:hAnsi="Cambria Math"/>
                  </w:rPr>
                  <m:t> &amp;873 &lt;</m:t>
                </m:r>
                <m:r>
                  <w:rPr>
                    <w:rFonts w:ascii="Cambria Math" w:hAnsi="Cambria Math"/>
                  </w:rPr>
                  <m:t>T</m:t>
                </m:r>
                <m:r>
                  <m:rPr>
                    <m:sty m:val="p"/>
                  </m:rPr>
                  <w:rPr>
                    <w:rFonts w:ascii="Cambria Math" w:hAnsi="Cambria Math"/>
                  </w:rPr>
                  <m:t>&lt;1173 K (</m:t>
                </m:r>
                <m:r>
                  <w:rPr>
                    <w:rFonts w:ascii="Cambria Math" w:hAnsi="Cambria Math"/>
                  </w:rPr>
                  <m:t>transient alumina</m:t>
                </m:r>
                <m:r>
                  <m:rPr>
                    <m:sty m:val="p"/>
                  </m:rPr>
                  <w:rPr>
                    <w:rFonts w:ascii="Cambria Math" w:hAnsi="Cambria Math"/>
                  </w:rPr>
                  <m:t>)</m:t>
                </m:r>
              </m:e>
              <m:e>
                <m:r>
                  <w:rPr>
                    <w:rFonts w:ascii="Cambria Math" w:hAnsi="Cambria Math"/>
                  </w:rPr>
                  <m:t>4.69∙</m:t>
                </m:r>
                <m:sSup>
                  <m:sSupPr>
                    <m:ctrlPr>
                      <w:rPr>
                        <w:rFonts w:ascii="Cambria Math" w:eastAsiaTheme="minorHAnsi" w:hAnsi="Cambria Math"/>
                        <w:i/>
                        <w:iCs/>
                      </w:rPr>
                    </m:ctrlPr>
                  </m:sSupPr>
                  <m:e>
                    <m:r>
                      <w:rPr>
                        <w:rFonts w:ascii="Cambria Math" w:hAnsi="Cambria Math"/>
                      </w:rPr>
                      <m:t>10</m:t>
                    </m:r>
                  </m:e>
                  <m:sup>
                    <m:r>
                      <w:rPr>
                        <w:rFonts w:ascii="Cambria Math" w:hAnsi="Cambria Math"/>
                      </w:rPr>
                      <m:t>-14</m:t>
                    </m:r>
                  </m:sup>
                </m:sSup>
                <m:r>
                  <w:rPr>
                    <w:rFonts w:ascii="Cambria Math" w:hAnsi="Cambria Math"/>
                  </w:rPr>
                  <m:t xml:space="preserve">,  </m:t>
                </m:r>
                <m:r>
                  <m:rPr>
                    <m:sty m:val="p"/>
                  </m:rPr>
                  <w:rPr>
                    <w:rFonts w:ascii="Cambria Math" w:hAnsi="Cambria Math"/>
                  </w:rPr>
                  <m:t>1173 ≤</m:t>
                </m:r>
                <m:r>
                  <w:rPr>
                    <w:rFonts w:ascii="Cambria Math" w:hAnsi="Cambria Math"/>
                  </w:rPr>
                  <m:t>T</m:t>
                </m:r>
                <m:r>
                  <m:rPr>
                    <m:sty m:val="p"/>
                  </m:rPr>
                  <w:rPr>
                    <w:rFonts w:ascii="Cambria Math" w:hAnsi="Cambria Math"/>
                  </w:rPr>
                  <m:t>≤1273 K</m:t>
                </m:r>
              </m:e>
              <m:e>
                <m:sSub>
                  <m:sSubPr>
                    <m:ctrlPr>
                      <w:rPr>
                        <w:rFonts w:ascii="Cambria Math" w:eastAsiaTheme="minorHAnsi" w:hAnsi="Cambria Math"/>
                        <w:i/>
                        <w:iCs/>
                      </w:rPr>
                    </m:ctrlPr>
                  </m:sSubPr>
                  <m:e>
                    <m:r>
                      <w:rPr>
                        <w:rFonts w:ascii="Cambria Math" w:hAnsi="Cambria Math"/>
                      </w:rPr>
                      <m:t>A</m:t>
                    </m:r>
                  </m:e>
                  <m:sub>
                    <m:r>
                      <w:rPr>
                        <w:rFonts w:ascii="Cambria Math" w:hAnsi="Cambria Math"/>
                      </w:rPr>
                      <m:t>H</m:t>
                    </m:r>
                  </m:sub>
                </m:sSub>
                <m:func>
                  <m:funcPr>
                    <m:ctrlPr>
                      <w:rPr>
                        <w:rFonts w:ascii="Cambria Math" w:eastAsiaTheme="minorHAnsi" w:hAnsi="Cambria Math"/>
                        <w:i/>
                        <w:iCs/>
                      </w:rPr>
                    </m:ctrlPr>
                  </m:funcPr>
                  <m:fName>
                    <m:r>
                      <m:rPr>
                        <m:sty m:val="p"/>
                      </m:rPr>
                      <w:rPr>
                        <w:rFonts w:ascii="Cambria Math" w:hAnsi="Cambria Math"/>
                      </w:rPr>
                      <m:t>exp</m:t>
                    </m:r>
                  </m:fName>
                  <m:e>
                    <m:d>
                      <m:dPr>
                        <m:ctrlPr>
                          <w:rPr>
                            <w:rFonts w:ascii="Cambria Math" w:eastAsiaTheme="minorHAnsi" w:hAnsi="Cambria Math"/>
                            <w:i/>
                            <w:iCs/>
                          </w:rPr>
                        </m:ctrlPr>
                      </m:dPr>
                      <m:e>
                        <m:f>
                          <m:fPr>
                            <m:ctrlPr>
                              <w:rPr>
                                <w:rFonts w:ascii="Cambria Math" w:eastAsiaTheme="minorHAnsi" w:hAnsi="Cambria Math"/>
                                <w:i/>
                                <w:iCs/>
                              </w:rPr>
                            </m:ctrlPr>
                          </m:fPr>
                          <m:num>
                            <m:r>
                              <w:rPr>
                                <w:rFonts w:ascii="Cambria Math" w:hAnsi="Cambria Math"/>
                              </w:rPr>
                              <m:t>-</m:t>
                            </m:r>
                            <m:sSub>
                              <m:sSubPr>
                                <m:ctrlPr>
                                  <w:rPr>
                                    <w:rFonts w:ascii="Cambria Math" w:eastAsiaTheme="minorHAnsi" w:hAnsi="Cambria Math"/>
                                    <w:i/>
                                    <w:iCs/>
                                  </w:rPr>
                                </m:ctrlPr>
                              </m:sSubPr>
                              <m:e>
                                <m:r>
                                  <w:rPr>
                                    <w:rFonts w:ascii="Cambria Math" w:hAnsi="Cambria Math"/>
                                  </w:rPr>
                                  <m:t>E</m:t>
                                </m:r>
                              </m:e>
                              <m:sub>
                                <m:r>
                                  <w:rPr>
                                    <w:rFonts w:ascii="Cambria Math" w:hAnsi="Cambria Math"/>
                                  </w:rPr>
                                  <m:t>H</m:t>
                                </m:r>
                              </m:sub>
                            </m:sSub>
                          </m:num>
                          <m:den>
                            <m:r>
                              <w:rPr>
                                <w:rFonts w:ascii="Cambria Math" w:hAnsi="Cambria Math"/>
                              </w:rPr>
                              <m:t>RT</m:t>
                            </m:r>
                          </m:den>
                        </m:f>
                      </m:e>
                    </m:d>
                  </m:e>
                </m:func>
                <m:r>
                  <m:rPr>
                    <m:sty m:val="p"/>
                  </m:rPr>
                  <w:rPr>
                    <w:rFonts w:ascii="Cambria Math" w:hAnsi="Cambria Math"/>
                  </w:rPr>
                  <m:t>,</m:t>
                </m:r>
                <m:r>
                  <w:rPr>
                    <w:rFonts w:ascii="Cambria Math" w:hAnsi="Cambria Math"/>
                  </w:rPr>
                  <m:t> </m:t>
                </m:r>
                <m:r>
                  <m:rPr>
                    <m:sty m:val="p"/>
                  </m:rPr>
                  <w:rPr>
                    <w:rFonts w:ascii="Cambria Math" w:hAnsi="Cambria Math"/>
                  </w:rPr>
                  <m:t> &amp;1273 &lt;</m:t>
                </m:r>
                <m:r>
                  <w:rPr>
                    <w:rFonts w:ascii="Cambria Math" w:hAnsi="Cambria Math"/>
                  </w:rPr>
                  <m:t>T</m:t>
                </m:r>
                <m:r>
                  <m:rPr>
                    <m:sty m:val="p"/>
                  </m:rPr>
                  <w:rPr>
                    <w:rFonts w:ascii="Cambria Math" w:hAnsi="Cambria Math"/>
                  </w:rPr>
                  <m:t>&lt;1648 K (</m:t>
                </m:r>
                <m:r>
                  <w:rPr>
                    <w:rFonts w:ascii="Cambria Math" w:hAnsi="Cambria Math"/>
                  </w:rPr>
                  <m:t>α-alumina</m:t>
                </m:r>
                <m:r>
                  <m:rPr>
                    <m:sty m:val="p"/>
                  </m:rPr>
                  <w:rPr>
                    <w:rFonts w:ascii="Cambria Math" w:hAnsi="Cambria Math"/>
                  </w:rPr>
                  <m:t>)</m:t>
                </m:r>
              </m:e>
              <m:e>
                <m:sSub>
                  <m:sSubPr>
                    <m:ctrlPr>
                      <w:rPr>
                        <w:rFonts w:ascii="Cambria Math" w:eastAsiaTheme="minorHAnsi" w:hAnsi="Cambria Math"/>
                        <w:i/>
                        <w:iCs/>
                      </w:rPr>
                    </m:ctrlPr>
                  </m:sSubPr>
                  <m:e>
                    <m:r>
                      <w:rPr>
                        <w:rFonts w:ascii="Cambria Math" w:hAnsi="Cambria Math"/>
                      </w:rPr>
                      <m:t>A</m:t>
                    </m:r>
                  </m:e>
                  <m:sub>
                    <m:r>
                      <w:rPr>
                        <w:rFonts w:ascii="Cambria Math" w:hAnsi="Cambria Math"/>
                      </w:rPr>
                      <m:t>Fe</m:t>
                    </m:r>
                  </m:sub>
                </m:sSub>
                <m:func>
                  <m:funcPr>
                    <m:ctrlPr>
                      <w:rPr>
                        <w:rFonts w:ascii="Cambria Math" w:eastAsiaTheme="minorHAnsi" w:hAnsi="Cambria Math"/>
                        <w:i/>
                        <w:iCs/>
                      </w:rPr>
                    </m:ctrlPr>
                  </m:funcPr>
                  <m:fName>
                    <m:r>
                      <m:rPr>
                        <m:sty m:val="p"/>
                      </m:rPr>
                      <w:rPr>
                        <w:rFonts w:ascii="Cambria Math" w:hAnsi="Cambria Math"/>
                      </w:rPr>
                      <m:t>exp</m:t>
                    </m:r>
                  </m:fName>
                  <m:e>
                    <m:d>
                      <m:dPr>
                        <m:ctrlPr>
                          <w:rPr>
                            <w:rFonts w:ascii="Cambria Math" w:eastAsiaTheme="minorHAnsi" w:hAnsi="Cambria Math"/>
                            <w:i/>
                            <w:iCs/>
                          </w:rPr>
                        </m:ctrlPr>
                      </m:dPr>
                      <m:e>
                        <m:f>
                          <m:fPr>
                            <m:ctrlPr>
                              <w:rPr>
                                <w:rFonts w:ascii="Cambria Math" w:eastAsiaTheme="minorHAnsi" w:hAnsi="Cambria Math"/>
                                <w:i/>
                                <w:iCs/>
                              </w:rPr>
                            </m:ctrlPr>
                          </m:fPr>
                          <m:num>
                            <m:r>
                              <w:rPr>
                                <w:rFonts w:ascii="Cambria Math" w:hAnsi="Cambria Math"/>
                              </w:rPr>
                              <m:t>-</m:t>
                            </m:r>
                            <m:sSub>
                              <m:sSubPr>
                                <m:ctrlPr>
                                  <w:rPr>
                                    <w:rFonts w:ascii="Cambria Math" w:eastAsiaTheme="minorHAnsi" w:hAnsi="Cambria Math"/>
                                    <w:i/>
                                    <w:iCs/>
                                  </w:rPr>
                                </m:ctrlPr>
                              </m:sSubPr>
                              <m:e>
                                <m:r>
                                  <w:rPr>
                                    <w:rFonts w:ascii="Cambria Math" w:hAnsi="Cambria Math"/>
                                  </w:rPr>
                                  <m:t>E</m:t>
                                </m:r>
                              </m:e>
                              <m:sub>
                                <m:r>
                                  <w:rPr>
                                    <w:rFonts w:ascii="Cambria Math" w:hAnsi="Cambria Math"/>
                                  </w:rPr>
                                  <m:t>Fe</m:t>
                                </m:r>
                              </m:sub>
                            </m:sSub>
                          </m:num>
                          <m:den>
                            <m:r>
                              <w:rPr>
                                <w:rFonts w:ascii="Cambria Math" w:hAnsi="Cambria Math"/>
                              </w:rPr>
                              <m:t>RT</m:t>
                            </m:r>
                          </m:den>
                        </m:f>
                      </m:e>
                    </m:d>
                  </m:e>
                </m:func>
                <m:r>
                  <m:rPr>
                    <m:sty m:val="p"/>
                  </m:rPr>
                  <w:rPr>
                    <w:rFonts w:ascii="Cambria Math" w:hAnsi="Cambria Math"/>
                  </w:rPr>
                  <m:t>,</m:t>
                </m:r>
                <m:r>
                  <w:rPr>
                    <w:rFonts w:ascii="Cambria Math" w:hAnsi="Cambria Math"/>
                  </w:rPr>
                  <m:t> </m:t>
                </m:r>
                <m:r>
                  <m:rPr>
                    <m:sty m:val="p"/>
                  </m:rPr>
                  <w:rPr>
                    <w:rFonts w:ascii="Cambria Math" w:hAnsi="Cambria Math"/>
                  </w:rPr>
                  <m:t> &amp;</m:t>
                </m:r>
                <m:r>
                  <w:rPr>
                    <w:rFonts w:ascii="Cambria Math" w:hAnsi="Cambria Math"/>
                  </w:rPr>
                  <m:t>T</m:t>
                </m:r>
                <m:r>
                  <m:rPr>
                    <m:sty m:val="p"/>
                  </m:rPr>
                  <w:rPr>
                    <w:rFonts w:ascii="Cambria Math" w:hAnsi="Cambria Math"/>
                  </w:rPr>
                  <m:t>≥1648 K (</m:t>
                </m:r>
                <m:r>
                  <w:rPr>
                    <w:rFonts w:ascii="Cambria Math" w:hAnsi="Cambria Math"/>
                  </w:rPr>
                  <m:t>melting point of FeO</m:t>
                </m:r>
                <m:r>
                  <m:rPr>
                    <m:sty m:val="p"/>
                  </m:rPr>
                  <w:rPr>
                    <w:rFonts w:ascii="Cambria Math" w:hAnsi="Cambria Math"/>
                  </w:rPr>
                  <m:t>)</m:t>
                </m:r>
              </m:e>
            </m:eqArr>
          </m:e>
        </m:d>
      </m:oMath>
      <w:r w:rsidR="0025129F" w:rsidRPr="00E87AB8">
        <w:rPr>
          <w:iCs/>
        </w:rPr>
        <w:t xml:space="preserve">      (3)</w:t>
      </w:r>
    </w:p>
    <w:p w14:paraId="6356312C" w14:textId="77777777" w:rsidR="0025129F" w:rsidRPr="00E87AB8" w:rsidRDefault="0025129F" w:rsidP="0025129F">
      <w:pPr>
        <w:spacing w:after="120"/>
        <w:jc w:val="both"/>
      </w:pPr>
      <w:r w:rsidRPr="00E87AB8">
        <w:t xml:space="preserve">where the activation energies </w:t>
      </w:r>
      <w:r w:rsidRPr="00E87AB8">
        <w:rPr>
          <w:rFonts w:ascii="Cambria Math" w:hAnsi="Cambria Math" w:cs="Cambria Math"/>
        </w:rPr>
        <w:t>𝐸</w:t>
      </w:r>
      <w:r w:rsidRPr="00E87AB8">
        <w:rPr>
          <w:vertAlign w:val="subscript"/>
        </w:rPr>
        <w:t>L</w:t>
      </w:r>
      <w:r w:rsidRPr="00E87AB8">
        <w:t xml:space="preserve">=184729 J/mol, </w:t>
      </w:r>
      <w:r w:rsidRPr="00E87AB8">
        <w:rPr>
          <w:rFonts w:ascii="Cambria Math" w:hAnsi="Cambria Math" w:cs="Cambria Math"/>
        </w:rPr>
        <w:t>𝐸</w:t>
      </w:r>
      <w:r w:rsidRPr="00E87AB8">
        <w:rPr>
          <w:vertAlign w:val="subscript"/>
        </w:rPr>
        <w:t>H</w:t>
      </w:r>
      <w:r w:rsidRPr="00E87AB8">
        <w:t xml:space="preserve">=287748 J/mol and </w:t>
      </w:r>
      <w:r w:rsidRPr="00E87AB8">
        <w:rPr>
          <w:rFonts w:ascii="Cambria Math" w:hAnsi="Cambria Math" w:cs="Cambria Math"/>
        </w:rPr>
        <w:t>𝐸</w:t>
      </w:r>
      <w:r w:rsidRPr="00E87AB8">
        <w:rPr>
          <w:rFonts w:ascii="Cambria Math" w:hAnsi="Cambria Math" w:cs="Cambria Math"/>
          <w:vertAlign w:val="subscript"/>
        </w:rPr>
        <w:t>𝐹𝑒</w:t>
      </w:r>
      <w:r w:rsidRPr="00E87AB8">
        <w:t xml:space="preserve">=352513 J/mol, the pre-exponential constants </w:t>
      </w:r>
      <w:r w:rsidRPr="00E87AB8">
        <w:rPr>
          <w:rFonts w:ascii="Cambria Math" w:hAnsi="Cambria Math" w:cs="Cambria Math"/>
        </w:rPr>
        <w:t>𝐴</w:t>
      </w:r>
      <w:r w:rsidRPr="00E87AB8">
        <w:rPr>
          <w:vertAlign w:val="subscript"/>
        </w:rPr>
        <w:t>L</w:t>
      </w:r>
      <w:r w:rsidRPr="00E87AB8">
        <w:t>=5375.6*10</w:t>
      </w:r>
      <w:r w:rsidRPr="00E87AB8">
        <w:rPr>
          <w:vertAlign w:val="superscript"/>
        </w:rPr>
        <w:t>-8</w:t>
      </w:r>
      <w:r w:rsidRPr="00E87AB8">
        <w:t>, A</w:t>
      </w:r>
      <w:r w:rsidRPr="00E87AB8">
        <w:rPr>
          <w:vertAlign w:val="subscript"/>
        </w:rPr>
        <w:t>H</w:t>
      </w:r>
      <w:r w:rsidRPr="00E87AB8">
        <w:t>=6*10</w:t>
      </w:r>
      <w:r w:rsidRPr="00E87AB8">
        <w:rPr>
          <w:vertAlign w:val="superscript"/>
        </w:rPr>
        <w:t>-2</w:t>
      </w:r>
      <w:r w:rsidRPr="00E87AB8">
        <w:t xml:space="preserve"> and </w:t>
      </w:r>
      <w:r w:rsidRPr="00E87AB8">
        <w:rPr>
          <w:rFonts w:ascii="Cambria Math" w:hAnsi="Cambria Math" w:cs="Cambria Math"/>
        </w:rPr>
        <w:t>𝐴</w:t>
      </w:r>
      <w:r w:rsidRPr="00E87AB8">
        <w:rPr>
          <w:rFonts w:ascii="Cambria Math" w:hAnsi="Cambria Math" w:cs="Cambria Math"/>
          <w:vertAlign w:val="subscript"/>
        </w:rPr>
        <w:t>𝐹𝑒</w:t>
      </w:r>
      <w:r w:rsidRPr="00E87AB8">
        <w:t>=2.4×10</w:t>
      </w:r>
      <w:r w:rsidRPr="00E87AB8">
        <w:rPr>
          <w:vertAlign w:val="superscript"/>
        </w:rPr>
        <w:t>6</w:t>
      </w:r>
      <w:r w:rsidRPr="00E87AB8">
        <w:t> g</w:t>
      </w:r>
      <w:r w:rsidRPr="00E87AB8">
        <w:rPr>
          <w:vertAlign w:val="superscript"/>
        </w:rPr>
        <w:t>2</w:t>
      </w:r>
      <w:r w:rsidRPr="00E87AB8">
        <w:t>/cm</w:t>
      </w:r>
      <w:r w:rsidRPr="00E87AB8">
        <w:rPr>
          <w:vertAlign w:val="superscript"/>
        </w:rPr>
        <w:t>4</w:t>
      </w:r>
      <w:r w:rsidRPr="00E87AB8">
        <w:t>s.</w:t>
      </w:r>
    </w:p>
    <w:p w14:paraId="7CA9469D" w14:textId="77777777" w:rsidR="0025129F" w:rsidRPr="00E87AB8" w:rsidRDefault="0025129F" w:rsidP="0025129F">
      <w:pPr>
        <w:spacing w:after="120"/>
        <w:jc w:val="both"/>
      </w:pPr>
      <w:r w:rsidRPr="00E87AB8">
        <w:t>A comparison of the two oxidation correlations presented in Fig. 6 shows that the correlation obtained from the MIT data is more conservative and thus gives a more conservative estimate for the hydrogen release.</w:t>
      </w:r>
    </w:p>
    <w:p w14:paraId="0506E8E1" w14:textId="77777777" w:rsidR="0025129F" w:rsidRPr="00E87AB8" w:rsidRDefault="0025129F" w:rsidP="0025129F">
      <w:pPr>
        <w:spacing w:after="120"/>
        <w:jc w:val="center"/>
        <w:rPr>
          <w:color w:val="002060"/>
        </w:rPr>
      </w:pPr>
      <w:r w:rsidRPr="00E87AB8">
        <w:rPr>
          <w:noProof/>
          <w:color w:val="002060"/>
        </w:rPr>
        <w:lastRenderedPageBreak/>
        <w:drawing>
          <wp:inline distT="0" distB="0" distL="0" distR="0" wp14:anchorId="15CF182B" wp14:editId="3515443B">
            <wp:extent cx="4473921" cy="2943225"/>
            <wp:effectExtent l="0" t="0" r="3175" b="0"/>
            <wp:docPr id="149471298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8070" cy="2952533"/>
                    </a:xfrm>
                    <a:prstGeom prst="rect">
                      <a:avLst/>
                    </a:prstGeom>
                    <a:noFill/>
                    <a:ln>
                      <a:noFill/>
                    </a:ln>
                  </pic:spPr>
                </pic:pic>
              </a:graphicData>
            </a:graphic>
          </wp:inline>
        </w:drawing>
      </w:r>
    </w:p>
    <w:p w14:paraId="7520AC51" w14:textId="77777777" w:rsidR="0025129F" w:rsidRPr="003174DD" w:rsidRDefault="0025129F" w:rsidP="0025129F">
      <w:pPr>
        <w:spacing w:after="120"/>
        <w:jc w:val="center"/>
        <w:rPr>
          <w:i/>
          <w:iCs/>
          <w:sz w:val="20"/>
          <w:lang w:eastAsia="de-DE"/>
        </w:rPr>
      </w:pPr>
      <w:r w:rsidRPr="003174DD">
        <w:rPr>
          <w:i/>
          <w:iCs/>
          <w:sz w:val="20"/>
        </w:rPr>
        <w:t>FIG. 6. Comparison of two parabolic rate constants for mass gain during oxidation of the B136Y3 alloy</w:t>
      </w:r>
    </w:p>
    <w:p w14:paraId="017FA28E" w14:textId="77777777" w:rsidR="0025129F" w:rsidRPr="00E87AB8" w:rsidRDefault="0025129F" w:rsidP="0025129F">
      <w:pPr>
        <w:pStyle w:val="Textkrper"/>
      </w:pPr>
      <w:r w:rsidRPr="00E87AB8">
        <w:t>For the oxidation of KANTHAL alloys (used for shroud and corner rods), it is proposed to use the following correlation established in the temperature range 1323 &lt; T &lt; 1749 K for the KANTHAL APMT alloy [8]:</w:t>
      </w:r>
    </w:p>
    <w:p w14:paraId="188BD045" w14:textId="3CB7DB6F" w:rsidR="0025129F" w:rsidRPr="00E87AB8" w:rsidRDefault="00000000" w:rsidP="0025129F">
      <w:pPr>
        <w:pStyle w:val="Textkrper"/>
        <w:jc w:val="right"/>
      </w:pPr>
      <m:oMath>
        <m:sSub>
          <m:sSubPr>
            <m:ctrlPr>
              <w:rPr>
                <w:rFonts w:ascii="Cambria Math" w:hAnsi="Cambria Math"/>
                <w:i/>
                <w:iCs/>
                <w:lang w:val="de-DE"/>
              </w:rPr>
            </m:ctrlPr>
          </m:sSubPr>
          <m:e>
            <m:sSub>
              <m:sSubPr>
                <m:ctrlPr>
                  <w:rPr>
                    <w:rFonts w:ascii="Cambria Math" w:hAnsi="Cambria Math"/>
                    <w:i/>
                    <w:iCs/>
                    <w:lang w:val="de-DE"/>
                  </w:rPr>
                </m:ctrlPr>
              </m:sSubPr>
              <m:e>
                <m:r>
                  <w:rPr>
                    <w:rFonts w:ascii="Cambria Math" w:hAnsi="Cambria Math"/>
                    <w:lang w:val="de-DE"/>
                  </w:rPr>
                  <m:t>K</m:t>
                </m:r>
              </m:e>
              <m:sub>
                <m:r>
                  <w:rPr>
                    <w:rFonts w:ascii="Cambria Math" w:hAnsi="Cambria Math"/>
                    <w:lang w:val="de-DE"/>
                  </w:rPr>
                  <m:t>A</m:t>
                </m:r>
              </m:sub>
            </m:sSub>
            <m:r>
              <w:rPr>
                <w:rFonts w:ascii="Cambria Math" w:hAnsi="Cambria Math"/>
              </w:rPr>
              <m:t>=</m:t>
            </m:r>
            <m:r>
              <w:rPr>
                <w:rFonts w:ascii="Cambria Math" w:hAnsi="Cambria Math"/>
                <w:lang w:val="de-DE"/>
              </w:rPr>
              <m:t>A</m:t>
            </m:r>
          </m:e>
          <m:sub>
            <m:r>
              <w:rPr>
                <w:rFonts w:ascii="Cambria Math" w:hAnsi="Cambria Math"/>
                <w:lang w:val="de-DE"/>
              </w:rPr>
              <m:t>A</m:t>
            </m:r>
          </m:sub>
        </m:sSub>
        <m:func>
          <m:funcPr>
            <m:ctrlPr>
              <w:rPr>
                <w:rFonts w:ascii="Cambria Math" w:hAnsi="Cambria Math"/>
                <w:i/>
                <w:iCs/>
                <w:lang w:val="de-DE"/>
              </w:rPr>
            </m:ctrlPr>
          </m:funcPr>
          <m:fName>
            <m:r>
              <m:rPr>
                <m:sty m:val="p"/>
              </m:rPr>
              <w:rPr>
                <w:rFonts w:ascii="Cambria Math" w:hAnsi="Cambria Math"/>
              </w:rPr>
              <m:t>exp</m:t>
            </m:r>
          </m:fName>
          <m:e>
            <m:d>
              <m:dPr>
                <m:ctrlPr>
                  <w:rPr>
                    <w:rFonts w:ascii="Cambria Math" w:hAnsi="Cambria Math"/>
                    <w:i/>
                    <w:iCs/>
                    <w:lang w:val="de-DE"/>
                  </w:rPr>
                </m:ctrlPr>
              </m:dPr>
              <m:e>
                <m:f>
                  <m:fPr>
                    <m:ctrlPr>
                      <w:rPr>
                        <w:rFonts w:ascii="Cambria Math" w:hAnsi="Cambria Math"/>
                        <w:i/>
                        <w:iCs/>
                        <w:lang w:val="de-DE"/>
                      </w:rPr>
                    </m:ctrlPr>
                  </m:fPr>
                  <m:num>
                    <m:r>
                      <w:rPr>
                        <w:rFonts w:ascii="Cambria Math" w:hAnsi="Cambria Math"/>
                      </w:rPr>
                      <m:t>-</m:t>
                    </m:r>
                    <m:sSub>
                      <m:sSubPr>
                        <m:ctrlPr>
                          <w:rPr>
                            <w:rFonts w:ascii="Cambria Math" w:hAnsi="Cambria Math"/>
                            <w:i/>
                            <w:iCs/>
                            <w:lang w:val="de-DE"/>
                          </w:rPr>
                        </m:ctrlPr>
                      </m:sSubPr>
                      <m:e>
                        <m:r>
                          <w:rPr>
                            <w:rFonts w:ascii="Cambria Math" w:hAnsi="Cambria Math"/>
                            <w:lang w:val="de-DE"/>
                          </w:rPr>
                          <m:t>E</m:t>
                        </m:r>
                      </m:e>
                      <m:sub>
                        <m:r>
                          <w:rPr>
                            <w:rFonts w:ascii="Cambria Math" w:hAnsi="Cambria Math"/>
                            <w:lang w:val="de-DE"/>
                          </w:rPr>
                          <m:t>A</m:t>
                        </m:r>
                      </m:sub>
                    </m:sSub>
                  </m:num>
                  <m:den>
                    <m:r>
                      <w:rPr>
                        <w:rFonts w:ascii="Cambria Math" w:hAnsi="Cambria Math"/>
                        <w:lang w:val="de-DE"/>
                      </w:rPr>
                      <m:t>RT</m:t>
                    </m:r>
                  </m:den>
                </m:f>
              </m:e>
            </m:d>
          </m:e>
        </m:func>
      </m:oMath>
      <w:r w:rsidR="0025129F" w:rsidRPr="00E87AB8">
        <w:rPr>
          <w:iCs/>
        </w:rPr>
        <w:t xml:space="preserve">                               (4)</w:t>
      </w:r>
    </w:p>
    <w:p w14:paraId="46C1A0C3" w14:textId="77777777" w:rsidR="0025129F" w:rsidRPr="00E87AB8" w:rsidRDefault="0025129F" w:rsidP="0025129F">
      <w:pPr>
        <w:pStyle w:val="Textkrper"/>
      </w:pPr>
      <w:r w:rsidRPr="00E87AB8">
        <w:t xml:space="preserve">where the activation energies </w:t>
      </w:r>
      <m:oMath>
        <m:sSub>
          <m:sSubPr>
            <m:ctrlPr>
              <w:rPr>
                <w:rFonts w:ascii="Cambria Math" w:hAnsi="Cambria Math"/>
                <w:i/>
                <w:iCs/>
                <w:lang w:val="de-DE"/>
              </w:rPr>
            </m:ctrlPr>
          </m:sSubPr>
          <m:e>
            <m:r>
              <w:rPr>
                <w:rFonts w:ascii="Cambria Math" w:hAnsi="Cambria Math"/>
                <w:lang w:val="de-DE"/>
              </w:rPr>
              <m:t>E</m:t>
            </m:r>
          </m:e>
          <m:sub>
            <m:r>
              <w:rPr>
                <w:rFonts w:ascii="Cambria Math" w:hAnsi="Cambria Math"/>
                <w:vertAlign w:val="subscript"/>
                <w:lang w:val="de-DE"/>
              </w:rPr>
              <m:t>A</m:t>
            </m:r>
          </m:sub>
        </m:sSub>
      </m:oMath>
      <w:r w:rsidRPr="00E87AB8">
        <w:t xml:space="preserve">=344000 J/mol, the pre-exponential constants </w:t>
      </w:r>
      <m:oMath>
        <m:sSub>
          <m:sSubPr>
            <m:ctrlPr>
              <w:rPr>
                <w:rFonts w:ascii="Cambria Math" w:hAnsi="Cambria Math"/>
                <w:i/>
                <w:iCs/>
                <w:lang w:val="de-DE"/>
              </w:rPr>
            </m:ctrlPr>
          </m:sSubPr>
          <m:e>
            <m:r>
              <w:rPr>
                <w:rFonts w:ascii="Cambria Math" w:hAnsi="Cambria Math"/>
                <w:lang w:val="de-DE"/>
              </w:rPr>
              <m:t>A</m:t>
            </m:r>
          </m:e>
          <m:sub>
            <m:r>
              <w:rPr>
                <w:rFonts w:ascii="Cambria Math" w:hAnsi="Cambria Math"/>
              </w:rPr>
              <m:t>A</m:t>
            </m:r>
          </m:sub>
        </m:sSub>
      </m:oMath>
      <w:r w:rsidRPr="00E87AB8">
        <w:t>=7.84 g</w:t>
      </w:r>
      <w:r w:rsidRPr="00E87AB8">
        <w:rPr>
          <w:vertAlign w:val="superscript"/>
        </w:rPr>
        <w:t>2</w:t>
      </w:r>
      <w:r w:rsidRPr="00E87AB8">
        <w:t>/cm</w:t>
      </w:r>
      <w:r w:rsidRPr="00E87AB8">
        <w:rPr>
          <w:vertAlign w:val="superscript"/>
        </w:rPr>
        <w:t>4</w:t>
      </w:r>
      <w:r w:rsidRPr="00E87AB8">
        <w:t>s.</w:t>
      </w:r>
    </w:p>
    <w:p w14:paraId="0D4138F0" w14:textId="77777777" w:rsidR="0025129F" w:rsidRPr="00E87AB8" w:rsidRDefault="0025129F" w:rsidP="0025129F">
      <w:pPr>
        <w:pStyle w:val="Textkrper"/>
      </w:pPr>
      <w:r w:rsidRPr="00E87AB8">
        <w:t>All benchmark participants used the proposed oxidation correlations with minor individual adjustments for better matching when transitioning between different temperature intervals. Comparative results for the simulated integral hydrogen release are presented in Fig. 7.</w:t>
      </w:r>
    </w:p>
    <w:p w14:paraId="1A321420" w14:textId="77777777" w:rsidR="0025129F" w:rsidRPr="00E87AB8" w:rsidRDefault="0025129F" w:rsidP="0025129F">
      <w:pPr>
        <w:pStyle w:val="Textkrper"/>
        <w:jc w:val="center"/>
      </w:pPr>
      <w:r w:rsidRPr="00E87AB8">
        <w:rPr>
          <w:noProof/>
        </w:rPr>
        <w:drawing>
          <wp:inline distT="0" distB="0" distL="0" distR="0" wp14:anchorId="363F0976" wp14:editId="1149C9EC">
            <wp:extent cx="4560120" cy="2752725"/>
            <wp:effectExtent l="0" t="0" r="0" b="0"/>
            <wp:docPr id="106193396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2569" cy="2766276"/>
                    </a:xfrm>
                    <a:prstGeom prst="rect">
                      <a:avLst/>
                    </a:prstGeom>
                    <a:noFill/>
                    <a:ln>
                      <a:noFill/>
                    </a:ln>
                  </pic:spPr>
                </pic:pic>
              </a:graphicData>
            </a:graphic>
          </wp:inline>
        </w:drawing>
      </w:r>
    </w:p>
    <w:p w14:paraId="0E3AC74D" w14:textId="77777777" w:rsidR="0025129F" w:rsidRPr="00E4786B" w:rsidRDefault="0025129F" w:rsidP="0025129F">
      <w:pPr>
        <w:pStyle w:val="Textkrper"/>
        <w:jc w:val="center"/>
        <w:rPr>
          <w:i/>
          <w:iCs/>
          <w:sz w:val="20"/>
        </w:rPr>
      </w:pPr>
      <w:r w:rsidRPr="00E4786B">
        <w:rPr>
          <w:i/>
          <w:iCs/>
          <w:sz w:val="20"/>
        </w:rPr>
        <w:t>FIG. 7. Simulation results for hydrogen release during the QUENCH-19 bundle test</w:t>
      </w:r>
    </w:p>
    <w:p w14:paraId="1F56D528" w14:textId="77777777" w:rsidR="004D0AD9" w:rsidRDefault="0025129F" w:rsidP="004D0AD9">
      <w:pPr>
        <w:pStyle w:val="Textkrper"/>
      </w:pPr>
      <w:r w:rsidRPr="00E87AB8">
        <w:t>A very good prediction for the total mass of released hydrogen was given by two codes, which is primarily due to the fairly accurate calculation of bundle temperatures by these codes. The deviation in the prediction of total hydrogen release by other codes is due to either increased calculated temperatures (overprediction of hydrogen) or individual modification of the oxidation correlation for iron (underprediction of hydrogen).</w:t>
      </w:r>
    </w:p>
    <w:p w14:paraId="3B337EAB" w14:textId="7B26ECC9" w:rsidR="004D0AD9" w:rsidRPr="004D0AD9" w:rsidRDefault="004D0AD9" w:rsidP="004D0AD9">
      <w:pPr>
        <w:pStyle w:val="Heading1st"/>
      </w:pPr>
      <w:r w:rsidRPr="00E4786B">
        <w:lastRenderedPageBreak/>
        <w:t>Benchmark on the DEGREE-B3 bundle test performed with Cr coated Zry-4 claddings</w:t>
      </w:r>
    </w:p>
    <w:p w14:paraId="418F40C9" w14:textId="77777777" w:rsidR="004D0AD9" w:rsidRPr="00E87AB8" w:rsidRDefault="004D0AD9" w:rsidP="004D0AD9">
      <w:pPr>
        <w:pStyle w:val="Textkrper"/>
        <w:rPr>
          <w:spacing w:val="-2"/>
        </w:rPr>
      </w:pPr>
      <w:r w:rsidRPr="00E87AB8">
        <w:t>The DEGREE-B3 bundle experiment with nine Zircaloy-4 cladding tubes with 235 mm length (provided by KIT/Karlsruhe and PVD coated to 20 µm Cr layer by CTU/Prague) was conducted at CRIEPI on 11</w:t>
      </w:r>
      <w:r w:rsidRPr="00E87AB8">
        <w:rPr>
          <w:vertAlign w:val="superscript"/>
        </w:rPr>
        <w:t>th</w:t>
      </w:r>
      <w:r w:rsidRPr="00E87AB8">
        <w:t xml:space="preserve"> April 2023</w:t>
      </w:r>
      <w:r w:rsidRPr="00E87AB8">
        <w:rPr>
          <w:spacing w:val="-2"/>
        </w:rPr>
        <w:t>. The inductive heated test bundle was oxidised in a flow of steam/Ar gas mixture under transient conditions up the peak cladding temperature of 1350 °C and then cooled in Ar. Before testing, all nine rods were pressurised with He to 6 MPa and showed symmetrical ballooning and burst during the test, with the middle at the hottest bundle elevation of 135 mm.</w:t>
      </w:r>
    </w:p>
    <w:p w14:paraId="2FB5309E" w14:textId="77777777" w:rsidR="004D0AD9" w:rsidRPr="00E87AB8" w:rsidRDefault="004D0AD9" w:rsidP="004D0AD9">
      <w:pPr>
        <w:spacing w:after="120"/>
        <w:jc w:val="both"/>
      </w:pPr>
      <w:r w:rsidRPr="00E87AB8">
        <w:t>Four organizations provided results for exercises on the modelling of the DEGREE-B3 bundle test (Table 2).</w:t>
      </w:r>
    </w:p>
    <w:p w14:paraId="5516EFD2" w14:textId="77777777" w:rsidR="004D0AD9" w:rsidRPr="00515EB0" w:rsidRDefault="004D0AD9" w:rsidP="004D0AD9">
      <w:pPr>
        <w:spacing w:after="120"/>
        <w:rPr>
          <w:caps/>
          <w:sz w:val="20"/>
        </w:rPr>
      </w:pPr>
      <w:r w:rsidRPr="00515EB0">
        <w:rPr>
          <w:caps/>
          <w:sz w:val="20"/>
        </w:rPr>
        <w:t>Table 2. Organizations and codes participated in the DEGREE-B3 benchmark</w:t>
      </w:r>
    </w:p>
    <w:tbl>
      <w:tblPr>
        <w:tblStyle w:val="Tabellenraster"/>
        <w:tblW w:w="9240" w:type="dxa"/>
        <w:jc w:val="center"/>
        <w:tblBorders>
          <w:left w:val="none" w:sz="0" w:space="0" w:color="auto"/>
          <w:right w:val="none" w:sz="0" w:space="0" w:color="auto"/>
          <w:insideV w:val="none" w:sz="0" w:space="0" w:color="auto"/>
        </w:tblBorders>
        <w:tblLayout w:type="fixed"/>
        <w:tblLook w:val="0420" w:firstRow="1" w:lastRow="0" w:firstColumn="0" w:lastColumn="0" w:noHBand="0" w:noVBand="1"/>
      </w:tblPr>
      <w:tblGrid>
        <w:gridCol w:w="2097"/>
        <w:gridCol w:w="2381"/>
        <w:gridCol w:w="2381"/>
        <w:gridCol w:w="2381"/>
      </w:tblGrid>
      <w:tr w:rsidR="004D0AD9" w:rsidRPr="00515EB0" w14:paraId="4E2C619D" w14:textId="77777777" w:rsidTr="004D0AD9">
        <w:trPr>
          <w:trHeight w:val="516"/>
          <w:jc w:val="center"/>
        </w:trPr>
        <w:tc>
          <w:tcPr>
            <w:tcW w:w="2097" w:type="dxa"/>
            <w:vAlign w:val="center"/>
          </w:tcPr>
          <w:p w14:paraId="6BFB1DA2" w14:textId="77777777" w:rsidR="004D0AD9" w:rsidRPr="00515EB0" w:rsidRDefault="004D0AD9" w:rsidP="00D70128">
            <w:pPr>
              <w:jc w:val="center"/>
              <w:rPr>
                <w:rFonts w:eastAsia="Cambria"/>
                <w:kern w:val="24"/>
                <w:sz w:val="20"/>
              </w:rPr>
            </w:pPr>
            <w:r w:rsidRPr="00515EB0">
              <w:rPr>
                <w:rFonts w:eastAsia="Cambria"/>
                <w:kern w:val="24"/>
                <w:sz w:val="20"/>
              </w:rPr>
              <w:t>Participant</w:t>
            </w:r>
          </w:p>
        </w:tc>
        <w:tc>
          <w:tcPr>
            <w:tcW w:w="2381" w:type="dxa"/>
            <w:vAlign w:val="center"/>
          </w:tcPr>
          <w:p w14:paraId="1BACC198" w14:textId="77777777" w:rsidR="004D0AD9" w:rsidRPr="00515EB0" w:rsidRDefault="004D0AD9" w:rsidP="00D70128">
            <w:pPr>
              <w:jc w:val="center"/>
              <w:rPr>
                <w:rFonts w:eastAsia="Cambria"/>
                <w:kern w:val="24"/>
                <w:sz w:val="20"/>
              </w:rPr>
            </w:pPr>
            <w:r w:rsidRPr="00515EB0">
              <w:rPr>
                <w:rFonts w:eastAsia="Cambria"/>
                <w:kern w:val="24"/>
                <w:sz w:val="20"/>
              </w:rPr>
              <w:t>KIT/INR</w:t>
            </w:r>
          </w:p>
          <w:p w14:paraId="4D8BB3DE" w14:textId="77777777" w:rsidR="004D0AD9" w:rsidRPr="00515EB0" w:rsidRDefault="004D0AD9" w:rsidP="00D70128">
            <w:pPr>
              <w:jc w:val="center"/>
              <w:rPr>
                <w:sz w:val="20"/>
              </w:rPr>
            </w:pPr>
            <w:r w:rsidRPr="00515EB0">
              <w:rPr>
                <w:rFonts w:eastAsia="Cambria"/>
                <w:kern w:val="24"/>
                <w:sz w:val="20"/>
              </w:rPr>
              <w:t>Germany</w:t>
            </w:r>
          </w:p>
        </w:tc>
        <w:tc>
          <w:tcPr>
            <w:tcW w:w="2381" w:type="dxa"/>
            <w:vAlign w:val="center"/>
            <w:hideMark/>
          </w:tcPr>
          <w:p w14:paraId="038028B7" w14:textId="77777777" w:rsidR="004D0AD9" w:rsidRPr="00515EB0" w:rsidRDefault="004D0AD9" w:rsidP="00D70128">
            <w:pPr>
              <w:pStyle w:val="StandardWeb"/>
              <w:jc w:val="center"/>
              <w:textAlignment w:val="center"/>
              <w:rPr>
                <w:sz w:val="20"/>
                <w:szCs w:val="20"/>
              </w:rPr>
            </w:pPr>
            <w:r w:rsidRPr="00515EB0">
              <w:rPr>
                <w:rFonts w:eastAsia="Cambria"/>
                <w:kern w:val="24"/>
                <w:sz w:val="20"/>
                <w:szCs w:val="20"/>
                <w:lang w:val="en-US"/>
              </w:rPr>
              <w:t>CRIEPI</w:t>
            </w:r>
          </w:p>
          <w:p w14:paraId="66A69885" w14:textId="77777777" w:rsidR="004D0AD9" w:rsidRPr="00515EB0" w:rsidRDefault="004D0AD9" w:rsidP="00D70128">
            <w:pPr>
              <w:jc w:val="center"/>
              <w:rPr>
                <w:sz w:val="20"/>
                <w:lang w:val="de-DE"/>
              </w:rPr>
            </w:pPr>
            <w:r w:rsidRPr="00515EB0">
              <w:rPr>
                <w:rFonts w:eastAsia="Cambria"/>
                <w:kern w:val="24"/>
                <w:sz w:val="20"/>
              </w:rPr>
              <w:t>Japan</w:t>
            </w:r>
          </w:p>
        </w:tc>
        <w:tc>
          <w:tcPr>
            <w:tcW w:w="2381" w:type="dxa"/>
            <w:vAlign w:val="center"/>
            <w:hideMark/>
          </w:tcPr>
          <w:p w14:paraId="20360E52" w14:textId="77777777" w:rsidR="004D0AD9" w:rsidRPr="00515EB0" w:rsidRDefault="004D0AD9" w:rsidP="00D70128">
            <w:pPr>
              <w:pStyle w:val="StandardWeb"/>
              <w:jc w:val="center"/>
              <w:textAlignment w:val="center"/>
              <w:rPr>
                <w:sz w:val="20"/>
                <w:szCs w:val="20"/>
              </w:rPr>
            </w:pPr>
            <w:r w:rsidRPr="00515EB0">
              <w:rPr>
                <w:rFonts w:eastAsia="Cambria"/>
                <w:kern w:val="24"/>
                <w:sz w:val="20"/>
                <w:szCs w:val="20"/>
                <w:lang w:val="en-US"/>
              </w:rPr>
              <w:t>IBRAE</w:t>
            </w:r>
          </w:p>
          <w:p w14:paraId="54D017C2" w14:textId="77777777" w:rsidR="004D0AD9" w:rsidRPr="00515EB0" w:rsidRDefault="004D0AD9" w:rsidP="00D70128">
            <w:pPr>
              <w:jc w:val="center"/>
              <w:rPr>
                <w:sz w:val="20"/>
                <w:lang w:val="de-DE"/>
              </w:rPr>
            </w:pPr>
            <w:r w:rsidRPr="00515EB0">
              <w:rPr>
                <w:rFonts w:eastAsia="Cambria"/>
                <w:kern w:val="24"/>
                <w:sz w:val="20"/>
              </w:rPr>
              <w:t>Russia</w:t>
            </w:r>
          </w:p>
        </w:tc>
      </w:tr>
      <w:tr w:rsidR="004D0AD9" w:rsidRPr="00515EB0" w14:paraId="0EFD3328" w14:textId="77777777" w:rsidTr="004D0AD9">
        <w:trPr>
          <w:trHeight w:val="373"/>
          <w:jc w:val="center"/>
        </w:trPr>
        <w:tc>
          <w:tcPr>
            <w:tcW w:w="2097" w:type="dxa"/>
            <w:vAlign w:val="center"/>
          </w:tcPr>
          <w:p w14:paraId="17A9B2B5" w14:textId="77777777" w:rsidR="004D0AD9" w:rsidRPr="00515EB0" w:rsidRDefault="004D0AD9" w:rsidP="00D70128">
            <w:pPr>
              <w:jc w:val="center"/>
              <w:rPr>
                <w:rFonts w:eastAsia="Cambria"/>
                <w:kern w:val="24"/>
                <w:sz w:val="20"/>
              </w:rPr>
            </w:pPr>
            <w:r w:rsidRPr="00515EB0">
              <w:rPr>
                <w:rFonts w:eastAsia="Cambria"/>
                <w:kern w:val="24"/>
                <w:sz w:val="20"/>
              </w:rPr>
              <w:t>Code</w:t>
            </w:r>
          </w:p>
        </w:tc>
        <w:tc>
          <w:tcPr>
            <w:tcW w:w="2381" w:type="dxa"/>
            <w:vAlign w:val="center"/>
          </w:tcPr>
          <w:p w14:paraId="64398818" w14:textId="77777777" w:rsidR="004D0AD9" w:rsidRPr="00515EB0" w:rsidRDefault="004D0AD9" w:rsidP="00D70128">
            <w:pPr>
              <w:jc w:val="center"/>
              <w:rPr>
                <w:sz w:val="20"/>
              </w:rPr>
            </w:pPr>
            <w:r w:rsidRPr="00515EB0">
              <w:rPr>
                <w:rFonts w:eastAsia="Cambria"/>
                <w:kern w:val="24"/>
                <w:sz w:val="20"/>
              </w:rPr>
              <w:t>ASTEC</w:t>
            </w:r>
          </w:p>
        </w:tc>
        <w:tc>
          <w:tcPr>
            <w:tcW w:w="2381" w:type="dxa"/>
            <w:vAlign w:val="center"/>
            <w:hideMark/>
          </w:tcPr>
          <w:p w14:paraId="0E26DF5B" w14:textId="77777777" w:rsidR="004D0AD9" w:rsidRPr="00515EB0" w:rsidRDefault="004D0AD9" w:rsidP="00D70128">
            <w:pPr>
              <w:jc w:val="center"/>
              <w:rPr>
                <w:sz w:val="20"/>
                <w:lang w:val="de-DE"/>
              </w:rPr>
            </w:pPr>
            <w:r w:rsidRPr="00515EB0">
              <w:rPr>
                <w:rFonts w:eastAsia="Cambria"/>
                <w:kern w:val="24"/>
                <w:sz w:val="20"/>
              </w:rPr>
              <w:t xml:space="preserve">FRAPTRAN </w:t>
            </w:r>
          </w:p>
        </w:tc>
        <w:tc>
          <w:tcPr>
            <w:tcW w:w="2381" w:type="dxa"/>
            <w:vAlign w:val="center"/>
            <w:hideMark/>
          </w:tcPr>
          <w:p w14:paraId="04536959" w14:textId="77777777" w:rsidR="004D0AD9" w:rsidRPr="00515EB0" w:rsidRDefault="004D0AD9" w:rsidP="00D70128">
            <w:pPr>
              <w:jc w:val="center"/>
              <w:rPr>
                <w:sz w:val="20"/>
                <w:lang w:val="de-DE"/>
              </w:rPr>
            </w:pPr>
            <w:r w:rsidRPr="00515EB0">
              <w:rPr>
                <w:rFonts w:eastAsia="Cambria"/>
                <w:kern w:val="24"/>
                <w:sz w:val="20"/>
              </w:rPr>
              <w:t>SOCRAT</w:t>
            </w:r>
          </w:p>
        </w:tc>
      </w:tr>
    </w:tbl>
    <w:p w14:paraId="2438C3DC" w14:textId="77777777" w:rsidR="004D0AD9" w:rsidRPr="001E00BA" w:rsidRDefault="004D0AD9" w:rsidP="004D0AD9">
      <w:pPr>
        <w:pStyle w:val="Heading2nd"/>
      </w:pPr>
      <w:bookmarkStart w:id="2" w:name="_Hlk204616194"/>
      <w:r w:rsidRPr="001E00BA">
        <w:t>DEGREE-B3</w:t>
      </w:r>
      <w:r>
        <w:t xml:space="preserve">: </w:t>
      </w:r>
      <w:bookmarkEnd w:id="2"/>
      <w:r w:rsidRPr="001E00BA">
        <w:t>Comparison of temperature and burst predictions</w:t>
      </w:r>
    </w:p>
    <w:p w14:paraId="30BE9C19" w14:textId="77777777" w:rsidR="004D0AD9" w:rsidRPr="00E87AB8" w:rsidRDefault="004D0AD9" w:rsidP="004D0AD9">
      <w:pPr>
        <w:pStyle w:val="Textkrper"/>
      </w:pPr>
      <w:r w:rsidRPr="00E87AB8">
        <w:t>According to experimental data, the induction heating power during the preparatory stage was 2 kW, then during the bundle heating stage it increased to 23 kW for 430 s, after which the induction heating was turned off. Tungsten rods installed in the center of each of the nine fuel rod simulators were used as susceptors. However, the alternating magnetic field also excited eddy currents in the cladding tubes, i.e. some of the heat was also generated in the claddings, and not just in the center of the fuel elements. Different considerations of this fact by different codes may cause differences in predictions of thermohydraulic effects.</w:t>
      </w:r>
    </w:p>
    <w:p w14:paraId="1B77485F" w14:textId="77777777" w:rsidR="004D0AD9" w:rsidRDefault="004D0AD9" w:rsidP="004D0AD9">
      <w:pPr>
        <w:pStyle w:val="Textkrper"/>
      </w:pPr>
      <w:r w:rsidRPr="00E87AB8">
        <w:t>Since the thermocouples in the bundle were installed at the 125 and 180 mm elevations (below and above the burst positions), temperature simulations were performed for these bundle elevations. The corresponding calculated data are presented in Figs. 8 and 9. The temperature escalation predicted by the SOCRAT code at 125 mm should be associated with the diffusion of chromium into the zirconium matrix, leading to the disappearance of the protective chromium layer and accelerated oxidation of zirconium at this temperature [5, 9].</w:t>
      </w:r>
    </w:p>
    <w:p w14:paraId="4903E0E4" w14:textId="34D7705B" w:rsidR="004D0AD9" w:rsidRPr="00E87AB8" w:rsidRDefault="004D0AD9" w:rsidP="004D0AD9">
      <w:pPr>
        <w:pStyle w:val="Textkrper"/>
      </w:pPr>
      <w:r w:rsidRPr="00E87AB8">
        <w:t>A detailed account of the dependence of the mechanical properties of the cladding on temperature in the SOCRAT code made it possible to quite accurately predict the burst temperature of the central cladding and the corresponding pressure decrease inside this rod (Fig. 10). The value of this parameter (about 840 K) corresponds to the burst temperatures observed for uncoated Zircaloy-4 claddings [10].</w:t>
      </w:r>
    </w:p>
    <w:tbl>
      <w:tblPr>
        <w:tblStyle w:val="Tabellenraster"/>
        <w:tblW w:w="0" w:type="auto"/>
        <w:jc w:val="center"/>
        <w:tblLook w:val="04A0" w:firstRow="1" w:lastRow="0" w:firstColumn="1" w:lastColumn="0" w:noHBand="0" w:noVBand="1"/>
      </w:tblPr>
      <w:tblGrid>
        <w:gridCol w:w="4518"/>
        <w:gridCol w:w="4499"/>
      </w:tblGrid>
      <w:tr w:rsidR="000A40D8" w:rsidRPr="00E87AB8" w14:paraId="03945D8A" w14:textId="77777777" w:rsidTr="00D70128">
        <w:trPr>
          <w:jc w:val="center"/>
        </w:trPr>
        <w:tc>
          <w:tcPr>
            <w:tcW w:w="4725" w:type="dxa"/>
            <w:vAlign w:val="center"/>
          </w:tcPr>
          <w:p w14:paraId="4A201D75" w14:textId="77777777" w:rsidR="004D0AD9" w:rsidRPr="00E87AB8" w:rsidRDefault="004D0AD9" w:rsidP="000A40D8">
            <w:pPr>
              <w:pStyle w:val="Textkrper"/>
              <w:spacing w:after="0" w:line="240" w:lineRule="auto"/>
              <w:jc w:val="center"/>
            </w:pPr>
            <w:r w:rsidRPr="00E87AB8">
              <w:rPr>
                <w:noProof/>
              </w:rPr>
              <w:drawing>
                <wp:inline distT="0" distB="0" distL="0" distR="0" wp14:anchorId="3E36EF80" wp14:editId="61B3DC41">
                  <wp:extent cx="2469521" cy="2362200"/>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0805" cy="2392125"/>
                          </a:xfrm>
                          <a:prstGeom prst="rect">
                            <a:avLst/>
                          </a:prstGeom>
                          <a:noFill/>
                          <a:ln>
                            <a:noFill/>
                          </a:ln>
                        </pic:spPr>
                      </pic:pic>
                    </a:graphicData>
                  </a:graphic>
                </wp:inline>
              </w:drawing>
            </w:r>
          </w:p>
        </w:tc>
        <w:tc>
          <w:tcPr>
            <w:tcW w:w="4725" w:type="dxa"/>
            <w:vAlign w:val="center"/>
          </w:tcPr>
          <w:p w14:paraId="4D16ED24" w14:textId="77777777" w:rsidR="004D0AD9" w:rsidRPr="00E87AB8" w:rsidRDefault="004D0AD9" w:rsidP="000A40D8">
            <w:pPr>
              <w:pStyle w:val="Textkrper"/>
              <w:spacing w:after="0" w:line="240" w:lineRule="auto"/>
              <w:jc w:val="center"/>
            </w:pPr>
            <w:r w:rsidRPr="00E87AB8">
              <w:rPr>
                <w:noProof/>
              </w:rPr>
              <w:drawing>
                <wp:inline distT="0" distB="0" distL="0" distR="0" wp14:anchorId="6C3A100A" wp14:editId="7CDF1A8E">
                  <wp:extent cx="2440305" cy="2337094"/>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277" cy="2361010"/>
                          </a:xfrm>
                          <a:prstGeom prst="rect">
                            <a:avLst/>
                          </a:prstGeom>
                          <a:noFill/>
                          <a:ln>
                            <a:noFill/>
                          </a:ln>
                        </pic:spPr>
                      </pic:pic>
                    </a:graphicData>
                  </a:graphic>
                </wp:inline>
              </w:drawing>
            </w:r>
          </w:p>
        </w:tc>
      </w:tr>
      <w:tr w:rsidR="000A40D8" w:rsidRPr="000B3AEF" w14:paraId="3ECF0A66" w14:textId="77777777" w:rsidTr="00D70128">
        <w:trPr>
          <w:jc w:val="center"/>
        </w:trPr>
        <w:tc>
          <w:tcPr>
            <w:tcW w:w="4725" w:type="dxa"/>
            <w:vAlign w:val="center"/>
          </w:tcPr>
          <w:p w14:paraId="6DD53A57" w14:textId="77777777" w:rsidR="004D0AD9" w:rsidRPr="000B3AEF" w:rsidRDefault="004D0AD9" w:rsidP="000A40D8">
            <w:pPr>
              <w:pStyle w:val="Textkrper"/>
              <w:spacing w:after="0" w:line="240" w:lineRule="auto"/>
              <w:jc w:val="center"/>
              <w:rPr>
                <w:i/>
                <w:iCs/>
                <w:sz w:val="20"/>
              </w:rPr>
            </w:pPr>
            <w:r w:rsidRPr="000B3AEF">
              <w:rPr>
                <w:i/>
                <w:iCs/>
                <w:sz w:val="20"/>
              </w:rPr>
              <w:t>FIG</w:t>
            </w:r>
            <w:r w:rsidRPr="000B3AEF">
              <w:rPr>
                <w:i/>
                <w:iCs/>
                <w:spacing w:val="-3"/>
                <w:sz w:val="20"/>
              </w:rPr>
              <w:t xml:space="preserve"> 8</w:t>
            </w:r>
            <w:r w:rsidRPr="000B3AEF">
              <w:rPr>
                <w:i/>
                <w:iCs/>
                <w:sz w:val="20"/>
              </w:rPr>
              <w:t>.</w:t>
            </w:r>
            <w:r w:rsidRPr="000B3AEF">
              <w:rPr>
                <w:i/>
                <w:iCs/>
                <w:spacing w:val="56"/>
                <w:sz w:val="20"/>
              </w:rPr>
              <w:t xml:space="preserve"> </w:t>
            </w:r>
            <w:r w:rsidRPr="000B3AEF">
              <w:rPr>
                <w:i/>
                <w:iCs/>
                <w:sz w:val="20"/>
              </w:rPr>
              <w:t>Clad temperatures of central rod at 125 mm</w:t>
            </w:r>
          </w:p>
        </w:tc>
        <w:tc>
          <w:tcPr>
            <w:tcW w:w="4725" w:type="dxa"/>
            <w:vAlign w:val="center"/>
          </w:tcPr>
          <w:p w14:paraId="282C1930" w14:textId="77777777" w:rsidR="004D0AD9" w:rsidRPr="000B3AEF" w:rsidRDefault="004D0AD9" w:rsidP="000A40D8">
            <w:pPr>
              <w:pStyle w:val="Textkrper"/>
              <w:spacing w:after="0" w:line="240" w:lineRule="auto"/>
              <w:jc w:val="center"/>
              <w:rPr>
                <w:i/>
                <w:iCs/>
                <w:sz w:val="20"/>
              </w:rPr>
            </w:pPr>
            <w:r w:rsidRPr="000B3AEF">
              <w:rPr>
                <w:i/>
                <w:iCs/>
                <w:sz w:val="20"/>
              </w:rPr>
              <w:t>FIG. 9. Clad temperatures of central rod at 180 mm</w:t>
            </w:r>
          </w:p>
        </w:tc>
      </w:tr>
    </w:tbl>
    <w:p w14:paraId="40F1878C" w14:textId="77777777" w:rsidR="004D0AD9" w:rsidRPr="00E87AB8" w:rsidRDefault="004D0AD9" w:rsidP="004D0AD9">
      <w:pPr>
        <w:pStyle w:val="Textkrper"/>
        <w:jc w:val="center"/>
      </w:pPr>
      <w:r w:rsidRPr="00E87AB8">
        <w:rPr>
          <w:noProof/>
        </w:rPr>
        <w:lastRenderedPageBreak/>
        <w:drawing>
          <wp:inline distT="0" distB="0" distL="0" distR="0" wp14:anchorId="59FD012A" wp14:editId="16750301">
            <wp:extent cx="4219575" cy="200633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0046" cy="2011317"/>
                    </a:xfrm>
                    <a:prstGeom prst="rect">
                      <a:avLst/>
                    </a:prstGeom>
                    <a:noFill/>
                    <a:ln>
                      <a:noFill/>
                    </a:ln>
                  </pic:spPr>
                </pic:pic>
              </a:graphicData>
            </a:graphic>
          </wp:inline>
        </w:drawing>
      </w:r>
    </w:p>
    <w:p w14:paraId="0CE9D9C8" w14:textId="77777777" w:rsidR="004D0AD9" w:rsidRPr="000B3AEF" w:rsidRDefault="004D0AD9" w:rsidP="004D0AD9">
      <w:pPr>
        <w:pStyle w:val="Textkrper"/>
        <w:jc w:val="center"/>
        <w:rPr>
          <w:i/>
          <w:iCs/>
          <w:sz w:val="20"/>
        </w:rPr>
      </w:pPr>
      <w:r w:rsidRPr="000B3AEF">
        <w:rPr>
          <w:i/>
          <w:iCs/>
          <w:sz w:val="20"/>
        </w:rPr>
        <w:t>FIG. 10. Pressure progress inside the central rod of the DEGREE-B3 bundle</w:t>
      </w:r>
    </w:p>
    <w:p w14:paraId="025491EC" w14:textId="77777777" w:rsidR="004D0AD9" w:rsidRPr="00982BE7" w:rsidRDefault="004D0AD9" w:rsidP="004D0AD9">
      <w:pPr>
        <w:pStyle w:val="Heading2nd"/>
        <w:rPr>
          <w:bCs/>
        </w:rPr>
      </w:pPr>
      <w:r w:rsidRPr="00982BE7">
        <w:t>DEGREE-B3: Comparison of hydrogen predictions</w:t>
      </w:r>
    </w:p>
    <w:p w14:paraId="016EAA0F" w14:textId="77777777" w:rsidR="004D0AD9" w:rsidRPr="00E87AB8" w:rsidRDefault="004D0AD9" w:rsidP="004D0AD9">
      <w:pPr>
        <w:pStyle w:val="Textkrper"/>
      </w:pPr>
      <w:r w:rsidRPr="00E87AB8">
        <w:t>The oxidation by steam of the chromium results in the formation of a well-adherent and protective Cr</w:t>
      </w:r>
      <w:r w:rsidRPr="00E87AB8">
        <w:rPr>
          <w:vertAlign w:val="subscript"/>
        </w:rPr>
        <w:t>2</w:t>
      </w:r>
      <w:r w:rsidRPr="00E87AB8">
        <w:t>O</w:t>
      </w:r>
      <w:r w:rsidRPr="00E87AB8">
        <w:rPr>
          <w:vertAlign w:val="subscript"/>
        </w:rPr>
        <w:t>3</w:t>
      </w:r>
      <w:r w:rsidRPr="00E87AB8">
        <w:t xml:space="preserve"> layer and a certain amount of hydrogen is released:</w:t>
      </w:r>
    </w:p>
    <w:p w14:paraId="0D7EB215" w14:textId="77777777" w:rsidR="004D0AD9" w:rsidRPr="00E87AB8" w:rsidRDefault="004D0AD9" w:rsidP="004D0AD9">
      <w:pPr>
        <w:pStyle w:val="Textkrper"/>
        <w:jc w:val="right"/>
      </w:pPr>
      <w:r w:rsidRPr="00E87AB8">
        <w:t>2Cr+3H</w:t>
      </w:r>
      <w:r w:rsidRPr="00E87AB8">
        <w:rPr>
          <w:vertAlign w:val="subscript"/>
        </w:rPr>
        <w:t>2</w:t>
      </w:r>
      <w:r w:rsidRPr="00E87AB8">
        <w:t>O=Cr</w:t>
      </w:r>
      <w:r w:rsidRPr="00E87AB8">
        <w:rPr>
          <w:vertAlign w:val="subscript"/>
        </w:rPr>
        <w:t>2</w:t>
      </w:r>
      <w:r w:rsidRPr="00E87AB8">
        <w:t>O</w:t>
      </w:r>
      <w:r w:rsidRPr="00E87AB8">
        <w:rPr>
          <w:vertAlign w:val="subscript"/>
        </w:rPr>
        <w:t>3</w:t>
      </w:r>
      <w:r w:rsidRPr="00E87AB8">
        <w:t>+3H</w:t>
      </w:r>
      <w:r w:rsidRPr="00E87AB8">
        <w:rPr>
          <w:vertAlign w:val="subscript"/>
        </w:rPr>
        <w:t>2</w:t>
      </w:r>
      <w:r w:rsidRPr="00E87AB8">
        <w:tab/>
      </w:r>
      <w:r w:rsidRPr="00E87AB8">
        <w:tab/>
      </w:r>
      <w:r w:rsidRPr="00E87AB8">
        <w:tab/>
      </w:r>
      <w:r w:rsidRPr="00E87AB8">
        <w:tab/>
      </w:r>
      <w:r w:rsidRPr="00E87AB8">
        <w:tab/>
        <w:t>(5)</w:t>
      </w:r>
    </w:p>
    <w:p w14:paraId="508295AE" w14:textId="77777777" w:rsidR="004D0AD9" w:rsidRPr="00E87AB8" w:rsidRDefault="004D0AD9" w:rsidP="004D0AD9">
      <w:pPr>
        <w:pStyle w:val="Textkrper"/>
      </w:pPr>
      <w:r w:rsidRPr="00E87AB8">
        <w:t>The growth kinetics of these oxides can be described by parabolic correlations according to the following correlations:</w:t>
      </w:r>
    </w:p>
    <w:p w14:paraId="3CB51AEB" w14:textId="77777777" w:rsidR="004D0AD9" w:rsidRPr="00E87AB8" w:rsidRDefault="004D0AD9" w:rsidP="004D0AD9">
      <w:pPr>
        <w:pStyle w:val="Textkrper"/>
        <w:jc w:val="right"/>
        <w:rPr>
          <w:bCs/>
          <w:iCs/>
        </w:rPr>
      </w:pPr>
      <w:r w:rsidRPr="00E87AB8">
        <w:rPr>
          <w:i/>
        </w:rPr>
        <w:t>Cr</w:t>
      </w:r>
      <w:r w:rsidRPr="00E87AB8">
        <w:rPr>
          <w:i/>
          <w:vertAlign w:val="subscript"/>
        </w:rPr>
        <w:t>2</w:t>
      </w:r>
      <w:r w:rsidRPr="00E87AB8">
        <w:rPr>
          <w:i/>
        </w:rPr>
        <w:t>O</w:t>
      </w:r>
      <w:r w:rsidRPr="00E87AB8">
        <w:rPr>
          <w:i/>
          <w:vertAlign w:val="subscript"/>
        </w:rPr>
        <w:t>3</w:t>
      </w:r>
      <w:r w:rsidRPr="00E87AB8">
        <w:rPr>
          <w:i/>
        </w:rPr>
        <w:t xml:space="preserve"> thickness</w:t>
      </w:r>
      <w:r w:rsidRPr="00E87AB8">
        <w:t xml:space="preserve"> (derived from the data in [9])</w:t>
      </w:r>
      <w:r w:rsidRPr="00E87AB8">
        <w:tab/>
      </w:r>
      <m:oMath>
        <m:r>
          <m:rPr>
            <m:sty m:val="bi"/>
          </m:rPr>
          <w:rPr>
            <w:rFonts w:ascii="Cambria Math" w:hAnsi="Cambria Math"/>
          </w:rPr>
          <m:t>δ [</m:t>
        </m:r>
        <m:r>
          <w:rPr>
            <w:rFonts w:ascii="Cambria Math" w:hAnsi="Cambria Math"/>
          </w:rPr>
          <m:t>m</m:t>
        </m:r>
        <m:r>
          <m:rPr>
            <m:sty m:val="bi"/>
          </m:rPr>
          <w:rPr>
            <w:rFonts w:ascii="Cambria Math" w:hAnsi="Cambria Math"/>
          </w:rPr>
          <m:t>]</m:t>
        </m:r>
        <m:r>
          <m:rPr>
            <m:sty m:val="b"/>
          </m:rPr>
          <w:rPr>
            <w:rFonts w:ascii="Cambria Math" w:hAnsi="Cambria Math"/>
          </w:rPr>
          <m:t>=2.63∙</m:t>
        </m:r>
        <m:sSup>
          <m:sSupPr>
            <m:ctrlPr>
              <w:rPr>
                <w:rFonts w:ascii="Cambria Math" w:hAnsi="Cambria Math"/>
                <w:b/>
                <w:bCs/>
                <w:i/>
                <w:iCs/>
              </w:rPr>
            </m:ctrlPr>
          </m:sSupPr>
          <m:e>
            <m:r>
              <m:rPr>
                <m:sty m:val="bi"/>
              </m:rPr>
              <w:rPr>
                <w:rFonts w:ascii="Cambria Math" w:hAnsi="Cambria Math"/>
              </w:rPr>
              <m:t>10</m:t>
            </m:r>
          </m:e>
          <m:sup>
            <m:r>
              <m:rPr>
                <m:sty m:val="bi"/>
              </m:rPr>
              <w:rPr>
                <w:rFonts w:ascii="Cambria Math" w:hAnsi="Cambria Math"/>
              </w:rPr>
              <m:t>-3</m:t>
            </m:r>
          </m:sup>
        </m:sSup>
        <m:r>
          <m:rPr>
            <m:sty m:val="b"/>
          </m:rPr>
          <w:rPr>
            <w:rFonts w:ascii="Cambria Math" w:hAnsi="Cambria Math"/>
          </w:rPr>
          <m:t>∙</m:t>
        </m:r>
        <m:sSup>
          <m:sSupPr>
            <m:ctrlPr>
              <w:rPr>
                <w:rFonts w:ascii="Cambria Math" w:hAnsi="Cambria Math"/>
                <w:b/>
                <w:bCs/>
                <w:i/>
                <w:iCs/>
              </w:rPr>
            </m:ctrlPr>
          </m:sSupPr>
          <m:e>
            <m:r>
              <m:rPr>
                <m:sty m:val="bi"/>
              </m:rPr>
              <w:rPr>
                <w:rFonts w:ascii="Cambria Math" w:hAnsi="Cambria Math"/>
              </w:rPr>
              <m:t>e</m:t>
            </m:r>
          </m:e>
          <m:sup>
            <m:r>
              <m:rPr>
                <m:sty m:val="b"/>
              </m:rPr>
              <w:rPr>
                <w:rFonts w:ascii="Cambria Math" w:hAnsi="Cambria Math"/>
              </w:rPr>
              <m:t>-</m:t>
            </m:r>
            <m:f>
              <m:fPr>
                <m:ctrlPr>
                  <w:rPr>
                    <w:rFonts w:ascii="Cambria Math" w:hAnsi="Cambria Math"/>
                    <w:b/>
                    <w:bCs/>
                    <w:i/>
                    <w:iCs/>
                  </w:rPr>
                </m:ctrlPr>
              </m:fPr>
              <m:num>
                <m:r>
                  <m:rPr>
                    <m:sty m:val="b"/>
                  </m:rPr>
                  <w:rPr>
                    <w:rFonts w:ascii="Cambria Math" w:hAnsi="Cambria Math"/>
                  </w:rPr>
                  <m:t>119747</m:t>
                </m:r>
              </m:num>
              <m:den>
                <m:r>
                  <m:rPr>
                    <m:sty m:val="bi"/>
                  </m:rPr>
                  <w:rPr>
                    <w:rFonts w:ascii="Cambria Math" w:hAnsi="Cambria Math"/>
                  </w:rPr>
                  <m:t>R</m:t>
                </m:r>
                <m:r>
                  <m:rPr>
                    <m:sty m:val="b"/>
                  </m:rPr>
                  <w:rPr>
                    <w:rFonts w:ascii="Cambria Math" w:hAnsi="Cambria Math"/>
                  </w:rPr>
                  <m:t>∙</m:t>
                </m:r>
                <m:r>
                  <m:rPr>
                    <m:sty m:val="bi"/>
                  </m:rPr>
                  <w:rPr>
                    <w:rFonts w:ascii="Cambria Math" w:hAnsi="Cambria Math"/>
                  </w:rPr>
                  <m:t>T</m:t>
                </m:r>
              </m:den>
            </m:f>
          </m:sup>
        </m:sSup>
        <m:r>
          <m:rPr>
            <m:sty m:val="b"/>
          </m:rPr>
          <w:rPr>
            <w:rFonts w:ascii="Cambria Math" w:hAnsi="Cambria Math"/>
          </w:rPr>
          <m:t>∙</m:t>
        </m:r>
        <m:rad>
          <m:radPr>
            <m:degHide m:val="1"/>
            <m:ctrlPr>
              <w:rPr>
                <w:rFonts w:ascii="Cambria Math" w:hAnsi="Cambria Math"/>
                <w:b/>
                <w:bCs/>
                <w:i/>
                <w:iCs/>
              </w:rPr>
            </m:ctrlPr>
          </m:radPr>
          <m:deg/>
          <m:e>
            <m:r>
              <m:rPr>
                <m:sty m:val="bi"/>
              </m:rPr>
              <w:rPr>
                <w:rFonts w:ascii="Cambria Math" w:hAnsi="Cambria Math"/>
              </w:rPr>
              <m:t>t</m:t>
            </m:r>
          </m:e>
        </m:rad>
      </m:oMath>
      <w:r w:rsidRPr="00E87AB8">
        <w:rPr>
          <w:b/>
          <w:bCs/>
          <w:iCs/>
        </w:rPr>
        <w:tab/>
        <w:t xml:space="preserve">    </w:t>
      </w:r>
      <w:r w:rsidRPr="00E87AB8">
        <w:rPr>
          <w:bCs/>
          <w:iCs/>
        </w:rPr>
        <w:t>(6)</w:t>
      </w:r>
    </w:p>
    <w:p w14:paraId="0AD68C35" w14:textId="77777777" w:rsidR="004D0AD9" w:rsidRPr="00E87AB8" w:rsidRDefault="004D0AD9" w:rsidP="004D0AD9">
      <w:pPr>
        <w:pStyle w:val="Textkrper"/>
        <w:jc w:val="right"/>
        <w:rPr>
          <w:bCs/>
          <w:iCs/>
        </w:rPr>
      </w:pPr>
      <w:r w:rsidRPr="00E87AB8">
        <w:rPr>
          <w:i/>
        </w:rPr>
        <w:t>Cr</w:t>
      </w:r>
      <w:r w:rsidRPr="00E87AB8">
        <w:rPr>
          <w:i/>
          <w:vertAlign w:val="subscript"/>
        </w:rPr>
        <w:t>2</w:t>
      </w:r>
      <w:r w:rsidRPr="00E87AB8">
        <w:rPr>
          <w:i/>
        </w:rPr>
        <w:t>O</w:t>
      </w:r>
      <w:r w:rsidRPr="00E87AB8">
        <w:rPr>
          <w:i/>
          <w:vertAlign w:val="subscript"/>
        </w:rPr>
        <w:t>3</w:t>
      </w:r>
      <w:r w:rsidRPr="00E87AB8">
        <w:rPr>
          <w:i/>
        </w:rPr>
        <w:t xml:space="preserve"> mass gain</w:t>
      </w:r>
      <w:r w:rsidRPr="00E87AB8">
        <w:t xml:space="preserve"> </w:t>
      </w:r>
      <m:oMath>
        <m:r>
          <m:rPr>
            <m:sty m:val="b"/>
          </m:rPr>
          <w:rPr>
            <w:rFonts w:ascii="Cambria Math" w:hAnsi="Cambria Math"/>
          </w:rPr>
          <m:t>∆</m:t>
        </m:r>
        <m:r>
          <m:rPr>
            <m:sty m:val="bi"/>
          </m:rPr>
          <w:rPr>
            <w:rFonts w:ascii="Cambria Math" w:hAnsi="Cambria Math"/>
          </w:rPr>
          <m:t>m [</m:t>
        </m:r>
        <m:f>
          <m:fPr>
            <m:ctrlPr>
              <w:rPr>
                <w:rFonts w:ascii="Cambria Math" w:hAnsi="Cambria Math"/>
                <w:bCs/>
                <w:i/>
                <w:iCs/>
              </w:rPr>
            </m:ctrlPr>
          </m:fPr>
          <m:num>
            <m:r>
              <w:rPr>
                <w:rFonts w:ascii="Cambria Math" w:hAnsi="Cambria Math"/>
              </w:rPr>
              <m:t>kg</m:t>
            </m:r>
          </m:num>
          <m:den>
            <m:sSup>
              <m:sSupPr>
                <m:ctrlPr>
                  <w:rPr>
                    <w:rFonts w:ascii="Cambria Math" w:hAnsi="Cambria Math"/>
                    <w:bCs/>
                    <w:i/>
                    <w:iCs/>
                  </w:rPr>
                </m:ctrlPr>
              </m:sSupPr>
              <m:e>
                <m:r>
                  <w:rPr>
                    <w:rFonts w:ascii="Cambria Math" w:hAnsi="Cambria Math"/>
                  </w:rPr>
                  <m:t>m</m:t>
                </m:r>
              </m:e>
              <m:sup>
                <m:r>
                  <w:rPr>
                    <w:rFonts w:ascii="Cambria Math" w:hAnsi="Cambria Math"/>
                  </w:rPr>
                  <m:t>2</m:t>
                </m:r>
              </m:sup>
            </m:sSup>
          </m:den>
        </m:f>
        <m:r>
          <m:rPr>
            <m:sty m:val="bi"/>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δ∙ρ</m:t>
            </m:r>
          </m:e>
          <m:sub>
            <m:r>
              <w:rPr>
                <w:rFonts w:ascii="Cambria Math" w:hAnsi="Cambria Math"/>
              </w:rPr>
              <m:t>Cr2O3</m:t>
            </m:r>
          </m:sub>
        </m:sSub>
        <m:r>
          <w:rPr>
            <w:rFonts w:ascii="Cambria Math" w:hAnsi="Cambria Math"/>
          </w:rPr>
          <m:t>∙</m:t>
        </m:r>
        <m:f>
          <m:fPr>
            <m:ctrlPr>
              <w:rPr>
                <w:rFonts w:ascii="Cambria Math" w:hAnsi="Cambria Math"/>
                <w:i/>
                <w:iCs/>
              </w:rPr>
            </m:ctrlPr>
          </m:fPr>
          <m:num>
            <m:r>
              <w:rPr>
                <w:rFonts w:ascii="Cambria Math" w:hAnsi="Cambria Math"/>
              </w:rPr>
              <m:t>3</m:t>
            </m:r>
            <m:sSub>
              <m:sSubPr>
                <m:ctrlPr>
                  <w:rPr>
                    <w:rFonts w:ascii="Cambria Math" w:hAnsi="Cambria Math"/>
                    <w:i/>
                    <w:iCs/>
                  </w:rPr>
                </m:ctrlPr>
              </m:sSubPr>
              <m:e>
                <m:r>
                  <w:rPr>
                    <w:rFonts w:ascii="Cambria Math" w:hAnsi="Cambria Math"/>
                  </w:rPr>
                  <m:t>M</m:t>
                </m:r>
              </m:e>
              <m:sub>
                <m:r>
                  <w:rPr>
                    <w:rFonts w:ascii="Cambria Math" w:hAnsi="Cambria Math"/>
                  </w:rPr>
                  <m:t>O</m:t>
                </m:r>
              </m:sub>
            </m:sSub>
          </m:num>
          <m:den>
            <m:sSub>
              <m:sSubPr>
                <m:ctrlPr>
                  <w:rPr>
                    <w:rFonts w:ascii="Cambria Math" w:hAnsi="Cambria Math"/>
                    <w:i/>
                    <w:iCs/>
                  </w:rPr>
                </m:ctrlPr>
              </m:sSubPr>
              <m:e>
                <m:r>
                  <w:rPr>
                    <w:rFonts w:ascii="Cambria Math" w:hAnsi="Cambria Math"/>
                  </w:rPr>
                  <m:t>M</m:t>
                </m:r>
              </m:e>
              <m:sub>
                <m:r>
                  <w:rPr>
                    <w:rFonts w:ascii="Cambria Math" w:hAnsi="Cambria Math"/>
                  </w:rPr>
                  <m:t>Cr2O3</m:t>
                </m:r>
              </m:sub>
            </m:sSub>
          </m:den>
        </m:f>
        <m:r>
          <m:rPr>
            <m:sty m:val="b"/>
          </m:rPr>
          <w:rPr>
            <w:rFonts w:ascii="Cambria Math" w:hAnsi="Cambria Math"/>
          </w:rPr>
          <m:t>=4.327∙</m:t>
        </m:r>
        <m:sSup>
          <m:sSupPr>
            <m:ctrlPr>
              <w:rPr>
                <w:rFonts w:ascii="Cambria Math" w:hAnsi="Cambria Math"/>
                <w:b/>
                <w:bCs/>
                <w:i/>
                <w:iCs/>
              </w:rPr>
            </m:ctrlPr>
          </m:sSupPr>
          <m:e>
            <m:r>
              <m:rPr>
                <m:sty m:val="bi"/>
              </m:rPr>
              <w:rPr>
                <w:rFonts w:ascii="Cambria Math" w:hAnsi="Cambria Math"/>
              </w:rPr>
              <m:t>e</m:t>
            </m:r>
          </m:e>
          <m:sup>
            <m:r>
              <m:rPr>
                <m:sty m:val="b"/>
              </m:rPr>
              <w:rPr>
                <w:rFonts w:ascii="Cambria Math" w:hAnsi="Cambria Math"/>
              </w:rPr>
              <m:t>-</m:t>
            </m:r>
            <m:f>
              <m:fPr>
                <m:ctrlPr>
                  <w:rPr>
                    <w:rFonts w:ascii="Cambria Math" w:hAnsi="Cambria Math"/>
                    <w:b/>
                    <w:bCs/>
                    <w:i/>
                    <w:iCs/>
                  </w:rPr>
                </m:ctrlPr>
              </m:fPr>
              <m:num>
                <m:r>
                  <m:rPr>
                    <m:sty m:val="b"/>
                  </m:rPr>
                  <w:rPr>
                    <w:rFonts w:ascii="Cambria Math" w:hAnsi="Cambria Math"/>
                  </w:rPr>
                  <m:t>119747</m:t>
                </m:r>
              </m:num>
              <m:den>
                <m:r>
                  <m:rPr>
                    <m:sty m:val="bi"/>
                  </m:rPr>
                  <w:rPr>
                    <w:rFonts w:ascii="Cambria Math" w:hAnsi="Cambria Math"/>
                  </w:rPr>
                  <m:t>R</m:t>
                </m:r>
                <m:r>
                  <m:rPr>
                    <m:sty m:val="b"/>
                  </m:rPr>
                  <w:rPr>
                    <w:rFonts w:ascii="Cambria Math" w:hAnsi="Cambria Math"/>
                  </w:rPr>
                  <m:t>∙</m:t>
                </m:r>
                <m:r>
                  <m:rPr>
                    <m:sty m:val="bi"/>
                  </m:rPr>
                  <w:rPr>
                    <w:rFonts w:ascii="Cambria Math" w:hAnsi="Cambria Math"/>
                  </w:rPr>
                  <m:t>T</m:t>
                </m:r>
              </m:den>
            </m:f>
          </m:sup>
        </m:sSup>
        <m:r>
          <m:rPr>
            <m:sty m:val="b"/>
          </m:rPr>
          <w:rPr>
            <w:rFonts w:ascii="Cambria Math" w:hAnsi="Cambria Math"/>
          </w:rPr>
          <m:t>∙</m:t>
        </m:r>
        <m:rad>
          <m:radPr>
            <m:degHide m:val="1"/>
            <m:ctrlPr>
              <w:rPr>
                <w:rFonts w:ascii="Cambria Math" w:hAnsi="Cambria Math"/>
                <w:b/>
                <w:bCs/>
                <w:i/>
                <w:iCs/>
              </w:rPr>
            </m:ctrlPr>
          </m:radPr>
          <m:deg/>
          <m:e>
            <m:r>
              <m:rPr>
                <m:sty m:val="bi"/>
              </m:rPr>
              <w:rPr>
                <w:rFonts w:ascii="Cambria Math" w:hAnsi="Cambria Math"/>
              </w:rPr>
              <m:t>t</m:t>
            </m:r>
          </m:e>
        </m:rad>
      </m:oMath>
      <w:r w:rsidRPr="00E87AB8">
        <w:rPr>
          <w:b/>
          <w:bCs/>
          <w:iCs/>
        </w:rPr>
        <w:tab/>
      </w:r>
      <w:r w:rsidRPr="00E87AB8">
        <w:rPr>
          <w:bCs/>
          <w:iCs/>
        </w:rPr>
        <w:tab/>
      </w:r>
      <w:r w:rsidRPr="00E87AB8">
        <w:rPr>
          <w:bCs/>
          <w:iCs/>
        </w:rPr>
        <w:tab/>
        <w:t>(7)</w:t>
      </w:r>
    </w:p>
    <w:p w14:paraId="63CD70C5" w14:textId="77777777" w:rsidR="004D0AD9" w:rsidRPr="00E87AB8" w:rsidRDefault="004D0AD9" w:rsidP="004D0AD9">
      <w:pPr>
        <w:pStyle w:val="Textkrper"/>
      </w:pPr>
      <w:r w:rsidRPr="00E87AB8">
        <w:t>where density of chromia ρ</w:t>
      </w:r>
      <w:r w:rsidRPr="00E87AB8">
        <w:rPr>
          <w:vertAlign w:val="subscript"/>
        </w:rPr>
        <w:t>Cr2O3</w:t>
      </w:r>
      <w:r w:rsidRPr="00E87AB8">
        <w:t>=5210 kg/m³, molar mass of oxygen M</w:t>
      </w:r>
      <w:r w:rsidRPr="00E87AB8">
        <w:rPr>
          <w:vertAlign w:val="subscript"/>
        </w:rPr>
        <w:t>O</w:t>
      </w:r>
      <w:r w:rsidRPr="00E87AB8">
        <w:t>=16, chromia M</w:t>
      </w:r>
      <w:r w:rsidRPr="00E87AB8">
        <w:rPr>
          <w:vertAlign w:val="subscript"/>
        </w:rPr>
        <w:t>Cr2O3</w:t>
      </w:r>
      <w:r w:rsidRPr="00E87AB8">
        <w:t>=152.</w:t>
      </w:r>
    </w:p>
    <w:p w14:paraId="5B6C1327" w14:textId="77777777" w:rsidR="004D0AD9" w:rsidRPr="00E87AB8" w:rsidRDefault="004D0AD9" w:rsidP="004D0AD9">
      <w:pPr>
        <w:pStyle w:val="Textkrper"/>
      </w:pPr>
      <w:r w:rsidRPr="00E87AB8">
        <w:t>These correlations are valid up to a temperature of 1332 °C, after which chromium diffusing into the zirconium matrix forms the Cr/Zr eutectic melt. Taking into account correlation (7), codes FRAPTRAN and ASTEC obtained the hydrogen release shown in Fig. 11. Since FRAPTRAN is a single-rod code, the common hydrogen release from the nine-fuel bundle was calculated by multiplying by 9. Calculations with the SOCRAT code showed an excess of the threshold temperature of 1332 °C, so after reaching this value, the standard Cathcart-Pawel correlation was used for the oxidation of Zircaloy-4 (Fig. 12). From the two presented figures it is clear that taking into account only the oxidation of chromium leads to an underestimation of hydrogen, while inclusion of the kinetics of zirconium oxidation too early gives an overestimated result.</w:t>
      </w:r>
    </w:p>
    <w:tbl>
      <w:tblPr>
        <w:tblStyle w:val="Tabellenraster"/>
        <w:tblW w:w="0" w:type="auto"/>
        <w:jc w:val="center"/>
        <w:tblLook w:val="04A0" w:firstRow="1" w:lastRow="0" w:firstColumn="1" w:lastColumn="0" w:noHBand="0" w:noVBand="1"/>
      </w:tblPr>
      <w:tblGrid>
        <w:gridCol w:w="4508"/>
        <w:gridCol w:w="4509"/>
      </w:tblGrid>
      <w:tr w:rsidR="004D0AD9" w:rsidRPr="00E87AB8" w14:paraId="42F272C5" w14:textId="77777777" w:rsidTr="004D0AD9">
        <w:trPr>
          <w:jc w:val="center"/>
        </w:trPr>
        <w:tc>
          <w:tcPr>
            <w:tcW w:w="4508" w:type="dxa"/>
            <w:vAlign w:val="center"/>
          </w:tcPr>
          <w:p w14:paraId="5C2793FC" w14:textId="77777777" w:rsidR="004D0AD9" w:rsidRPr="00E87AB8" w:rsidRDefault="004D0AD9" w:rsidP="000A40D8">
            <w:pPr>
              <w:pStyle w:val="Textkrper"/>
              <w:spacing w:after="0" w:line="240" w:lineRule="auto"/>
              <w:jc w:val="center"/>
            </w:pPr>
            <w:r w:rsidRPr="00E87AB8">
              <w:rPr>
                <w:noProof/>
              </w:rPr>
              <w:drawing>
                <wp:inline distT="0" distB="0" distL="0" distR="0" wp14:anchorId="7C7501C1" wp14:editId="05B4CC59">
                  <wp:extent cx="2153603" cy="240768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7818" cy="2434752"/>
                          </a:xfrm>
                          <a:prstGeom prst="rect">
                            <a:avLst/>
                          </a:prstGeom>
                          <a:noFill/>
                          <a:ln>
                            <a:noFill/>
                          </a:ln>
                        </pic:spPr>
                      </pic:pic>
                    </a:graphicData>
                  </a:graphic>
                </wp:inline>
              </w:drawing>
            </w:r>
          </w:p>
        </w:tc>
        <w:tc>
          <w:tcPr>
            <w:tcW w:w="4509" w:type="dxa"/>
            <w:vAlign w:val="center"/>
          </w:tcPr>
          <w:p w14:paraId="75651C0F" w14:textId="77777777" w:rsidR="004D0AD9" w:rsidRPr="00E87AB8" w:rsidRDefault="004D0AD9" w:rsidP="000A40D8">
            <w:pPr>
              <w:pStyle w:val="Textkrper"/>
              <w:spacing w:after="0" w:line="240" w:lineRule="auto"/>
              <w:jc w:val="center"/>
            </w:pPr>
            <w:r w:rsidRPr="00E87AB8">
              <w:rPr>
                <w:noProof/>
              </w:rPr>
              <w:drawing>
                <wp:inline distT="0" distB="0" distL="0" distR="0" wp14:anchorId="0A979E85" wp14:editId="1C18F482">
                  <wp:extent cx="2173605" cy="2433869"/>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3387" cy="2456020"/>
                          </a:xfrm>
                          <a:prstGeom prst="rect">
                            <a:avLst/>
                          </a:prstGeom>
                          <a:noFill/>
                          <a:ln>
                            <a:noFill/>
                          </a:ln>
                        </pic:spPr>
                      </pic:pic>
                    </a:graphicData>
                  </a:graphic>
                </wp:inline>
              </w:drawing>
            </w:r>
          </w:p>
        </w:tc>
      </w:tr>
      <w:tr w:rsidR="004D0AD9" w:rsidRPr="00E87AB8" w14:paraId="2D8764E8" w14:textId="77777777" w:rsidTr="004D0AD9">
        <w:trPr>
          <w:jc w:val="center"/>
        </w:trPr>
        <w:tc>
          <w:tcPr>
            <w:tcW w:w="4508" w:type="dxa"/>
            <w:vAlign w:val="center"/>
          </w:tcPr>
          <w:p w14:paraId="6A29CB34" w14:textId="77777777" w:rsidR="004D0AD9" w:rsidRPr="00982BE7" w:rsidRDefault="004D0AD9" w:rsidP="000A40D8">
            <w:pPr>
              <w:pStyle w:val="Textkrper"/>
              <w:spacing w:after="0" w:line="240" w:lineRule="auto"/>
              <w:jc w:val="center"/>
              <w:rPr>
                <w:i/>
                <w:iCs/>
                <w:sz w:val="20"/>
              </w:rPr>
            </w:pPr>
            <w:r w:rsidRPr="00982BE7">
              <w:rPr>
                <w:i/>
                <w:iCs/>
                <w:sz w:val="20"/>
              </w:rPr>
              <w:t>Fig</w:t>
            </w:r>
            <w:r w:rsidRPr="00982BE7">
              <w:rPr>
                <w:i/>
                <w:iCs/>
                <w:spacing w:val="-3"/>
                <w:sz w:val="20"/>
              </w:rPr>
              <w:t xml:space="preserve"> 11</w:t>
            </w:r>
            <w:r w:rsidRPr="00982BE7">
              <w:rPr>
                <w:i/>
                <w:iCs/>
                <w:sz w:val="20"/>
              </w:rPr>
              <w:t>.</w:t>
            </w:r>
            <w:r w:rsidRPr="00982BE7">
              <w:rPr>
                <w:i/>
                <w:iCs/>
                <w:spacing w:val="56"/>
                <w:sz w:val="20"/>
              </w:rPr>
              <w:t xml:space="preserve"> </w:t>
            </w:r>
            <w:r w:rsidRPr="00982BE7">
              <w:rPr>
                <w:i/>
                <w:iCs/>
                <w:sz w:val="20"/>
              </w:rPr>
              <w:t>Hydrogen release without Zr oxidation</w:t>
            </w:r>
          </w:p>
        </w:tc>
        <w:tc>
          <w:tcPr>
            <w:tcW w:w="4509" w:type="dxa"/>
            <w:vAlign w:val="center"/>
          </w:tcPr>
          <w:p w14:paraId="60656959" w14:textId="77777777" w:rsidR="004D0AD9" w:rsidRPr="00982BE7" w:rsidRDefault="004D0AD9" w:rsidP="000A40D8">
            <w:pPr>
              <w:pStyle w:val="Textkrper"/>
              <w:spacing w:after="0" w:line="240" w:lineRule="auto"/>
              <w:jc w:val="center"/>
              <w:rPr>
                <w:i/>
                <w:iCs/>
                <w:sz w:val="20"/>
              </w:rPr>
            </w:pPr>
            <w:r w:rsidRPr="00982BE7">
              <w:rPr>
                <w:i/>
                <w:iCs/>
                <w:sz w:val="20"/>
              </w:rPr>
              <w:t>Fig. 12. Hydrogen release with Zr oxidation</w:t>
            </w:r>
          </w:p>
        </w:tc>
      </w:tr>
    </w:tbl>
    <w:p w14:paraId="5882F31F" w14:textId="77777777" w:rsidR="004D0AD9" w:rsidRPr="00B03551" w:rsidRDefault="004D0AD9" w:rsidP="00B75EE8">
      <w:pPr>
        <w:pStyle w:val="Heading1st"/>
        <w:rPr>
          <w:b/>
          <w:bCs/>
        </w:rPr>
      </w:pPr>
      <w:r w:rsidRPr="00B03551">
        <w:lastRenderedPageBreak/>
        <w:t>Benchmark on the CODEX-ATF bundle test performed with Cr coated ZIRLO claddings</w:t>
      </w:r>
    </w:p>
    <w:p w14:paraId="32B5C8CD" w14:textId="77777777" w:rsidR="004D0AD9" w:rsidRPr="00E87AB8" w:rsidRDefault="004D0AD9" w:rsidP="004D0AD9">
      <w:pPr>
        <w:pStyle w:val="Textkrper"/>
        <w:rPr>
          <w:spacing w:val="-2"/>
        </w:rPr>
      </w:pPr>
      <w:r w:rsidRPr="00E87AB8">
        <w:t>The CODEX-ATF bundle experiment with seven electrically heated rods, having opt. ZIRLO cladding tubes with 650 mm length, 9.1 mm outer diameter and 0.58 mm wall thickness, was conducted at HUN-REN EK/Budapest on 11</w:t>
      </w:r>
      <w:r w:rsidRPr="00E87AB8">
        <w:rPr>
          <w:vertAlign w:val="superscript"/>
        </w:rPr>
        <w:t>th</w:t>
      </w:r>
      <w:r w:rsidRPr="00E87AB8">
        <w:t xml:space="preserve"> August 2023</w:t>
      </w:r>
      <w:r w:rsidRPr="00E87AB8">
        <w:rPr>
          <w:spacing w:val="-2"/>
        </w:rPr>
        <w:t xml:space="preserve">. The bundle composition included one centre rod, six peripherical rods, two Zr1%Nb grids with the pitch of 12.75 mm. Four claddings were PVD </w:t>
      </w:r>
      <w:r w:rsidRPr="00E87AB8">
        <w:t>coated to 20 µm Cr layer by CTU/Prague, three other cladding tubes were not coated. The bundle was surrounded by Zr2.5%Nb hexagonal shroud. During the test, the bundle was pre-oxidized in Ar/steam atmosphere (each gas 0.2 g/s). The test was terminated by water quench with the water injected from the bundle bottom with the flow rate of 10 g/s.</w:t>
      </w:r>
    </w:p>
    <w:p w14:paraId="02E52077" w14:textId="77777777" w:rsidR="004D0AD9" w:rsidRPr="00E87AB8" w:rsidRDefault="004D0AD9" w:rsidP="004D0AD9">
      <w:pPr>
        <w:spacing w:after="120"/>
        <w:jc w:val="both"/>
      </w:pPr>
      <w:r w:rsidRPr="00E87AB8">
        <w:t>Four organizations provided results for exercises on the pre- and post-test modelling of the CODEX-ATF bundle test (Table 3).</w:t>
      </w:r>
    </w:p>
    <w:p w14:paraId="2B1B2D5A" w14:textId="77777777" w:rsidR="004D0AD9" w:rsidRPr="00515EB0" w:rsidRDefault="004D0AD9" w:rsidP="004D0AD9">
      <w:pPr>
        <w:pStyle w:val="Textkrper"/>
        <w:rPr>
          <w:caps/>
          <w:spacing w:val="-2"/>
          <w:sz w:val="20"/>
        </w:rPr>
      </w:pPr>
      <w:r w:rsidRPr="00515EB0">
        <w:rPr>
          <w:caps/>
          <w:sz w:val="20"/>
        </w:rPr>
        <w:t>Table 3. Organizations and codes participated in the CODEX-ATF pre-test calculations</w:t>
      </w:r>
    </w:p>
    <w:tbl>
      <w:tblPr>
        <w:tblStyle w:val="Tabellenraster"/>
        <w:tblW w:w="8785" w:type="dxa"/>
        <w:jc w:val="center"/>
        <w:tblBorders>
          <w:left w:val="none" w:sz="0" w:space="0" w:color="auto"/>
          <w:right w:val="none" w:sz="0" w:space="0" w:color="auto"/>
          <w:insideV w:val="none" w:sz="0" w:space="0" w:color="auto"/>
        </w:tblBorders>
        <w:tblLayout w:type="fixed"/>
        <w:tblLook w:val="0420" w:firstRow="1" w:lastRow="0" w:firstColumn="0" w:lastColumn="0" w:noHBand="0" w:noVBand="1"/>
      </w:tblPr>
      <w:tblGrid>
        <w:gridCol w:w="1757"/>
        <w:gridCol w:w="1757"/>
        <w:gridCol w:w="1757"/>
        <w:gridCol w:w="1757"/>
        <w:gridCol w:w="1757"/>
      </w:tblGrid>
      <w:tr w:rsidR="004D0AD9" w:rsidRPr="00515EB0" w14:paraId="0F55DD6A" w14:textId="77777777" w:rsidTr="00B75EE8">
        <w:trPr>
          <w:trHeight w:val="509"/>
          <w:jc w:val="center"/>
        </w:trPr>
        <w:tc>
          <w:tcPr>
            <w:tcW w:w="1757" w:type="dxa"/>
            <w:vAlign w:val="center"/>
          </w:tcPr>
          <w:p w14:paraId="4CA7B169" w14:textId="77777777" w:rsidR="004D0AD9" w:rsidRPr="00B75EE8" w:rsidRDefault="004D0AD9" w:rsidP="00D70128">
            <w:pPr>
              <w:jc w:val="center"/>
              <w:rPr>
                <w:sz w:val="20"/>
              </w:rPr>
            </w:pPr>
            <w:r w:rsidRPr="00B75EE8">
              <w:rPr>
                <w:sz w:val="20"/>
              </w:rPr>
              <w:t>Participant</w:t>
            </w:r>
          </w:p>
        </w:tc>
        <w:tc>
          <w:tcPr>
            <w:tcW w:w="1757" w:type="dxa"/>
            <w:vAlign w:val="center"/>
          </w:tcPr>
          <w:p w14:paraId="584DE036" w14:textId="77777777" w:rsidR="004D0AD9" w:rsidRPr="00515EB0" w:rsidRDefault="004D0AD9" w:rsidP="00D70128">
            <w:pPr>
              <w:jc w:val="center"/>
              <w:rPr>
                <w:sz w:val="20"/>
              </w:rPr>
            </w:pPr>
            <w:r w:rsidRPr="00515EB0">
              <w:rPr>
                <w:sz w:val="20"/>
              </w:rPr>
              <w:t>CNEA</w:t>
            </w:r>
          </w:p>
          <w:p w14:paraId="3E9F5401" w14:textId="77777777" w:rsidR="004D0AD9" w:rsidRPr="00515EB0" w:rsidRDefault="004D0AD9" w:rsidP="00D70128">
            <w:pPr>
              <w:jc w:val="center"/>
              <w:rPr>
                <w:sz w:val="20"/>
              </w:rPr>
            </w:pPr>
            <w:r w:rsidRPr="00515EB0">
              <w:rPr>
                <w:sz w:val="20"/>
              </w:rPr>
              <w:t>Argentina</w:t>
            </w:r>
          </w:p>
        </w:tc>
        <w:tc>
          <w:tcPr>
            <w:tcW w:w="1757" w:type="dxa"/>
            <w:vAlign w:val="center"/>
            <w:hideMark/>
          </w:tcPr>
          <w:p w14:paraId="016682C8" w14:textId="77777777" w:rsidR="004D0AD9" w:rsidRPr="00515EB0" w:rsidRDefault="004D0AD9" w:rsidP="00D70128">
            <w:pPr>
              <w:jc w:val="center"/>
              <w:rPr>
                <w:sz w:val="20"/>
                <w:lang w:val="de-DE"/>
              </w:rPr>
            </w:pPr>
            <w:r w:rsidRPr="00515EB0">
              <w:rPr>
                <w:sz w:val="20"/>
              </w:rPr>
              <w:t>GRS</w:t>
            </w:r>
          </w:p>
          <w:p w14:paraId="54B3F305" w14:textId="77777777" w:rsidR="004D0AD9" w:rsidRPr="00515EB0" w:rsidRDefault="004D0AD9" w:rsidP="00D70128">
            <w:pPr>
              <w:jc w:val="center"/>
              <w:rPr>
                <w:sz w:val="20"/>
                <w:lang w:val="de-DE"/>
              </w:rPr>
            </w:pPr>
            <w:r w:rsidRPr="00515EB0">
              <w:rPr>
                <w:sz w:val="20"/>
              </w:rPr>
              <w:t>Germany</w:t>
            </w:r>
          </w:p>
        </w:tc>
        <w:tc>
          <w:tcPr>
            <w:tcW w:w="1757" w:type="dxa"/>
            <w:vAlign w:val="center"/>
          </w:tcPr>
          <w:p w14:paraId="167EE1C9" w14:textId="77777777" w:rsidR="004D0AD9" w:rsidRPr="00515EB0" w:rsidRDefault="004D0AD9" w:rsidP="00D70128">
            <w:pPr>
              <w:jc w:val="center"/>
              <w:rPr>
                <w:sz w:val="20"/>
                <w:lang w:val="de-DE"/>
              </w:rPr>
            </w:pPr>
            <w:r w:rsidRPr="00515EB0">
              <w:rPr>
                <w:sz w:val="20"/>
              </w:rPr>
              <w:t>IBRAE</w:t>
            </w:r>
          </w:p>
          <w:p w14:paraId="1CA8883B" w14:textId="77777777" w:rsidR="004D0AD9" w:rsidRPr="00515EB0" w:rsidRDefault="004D0AD9" w:rsidP="00D70128">
            <w:pPr>
              <w:jc w:val="center"/>
              <w:rPr>
                <w:sz w:val="20"/>
                <w:lang w:val="de-DE"/>
              </w:rPr>
            </w:pPr>
            <w:r w:rsidRPr="00515EB0">
              <w:rPr>
                <w:sz w:val="20"/>
              </w:rPr>
              <w:t>Russia</w:t>
            </w:r>
          </w:p>
        </w:tc>
        <w:tc>
          <w:tcPr>
            <w:tcW w:w="1757" w:type="dxa"/>
            <w:vAlign w:val="center"/>
            <w:hideMark/>
          </w:tcPr>
          <w:p w14:paraId="087EF95B" w14:textId="77777777" w:rsidR="004D0AD9" w:rsidRPr="00515EB0" w:rsidRDefault="004D0AD9" w:rsidP="00D70128">
            <w:pPr>
              <w:jc w:val="center"/>
              <w:rPr>
                <w:sz w:val="20"/>
              </w:rPr>
            </w:pPr>
            <w:r w:rsidRPr="00515EB0">
              <w:rPr>
                <w:sz w:val="20"/>
              </w:rPr>
              <w:t>NUBIKI</w:t>
            </w:r>
          </w:p>
          <w:p w14:paraId="0A30DB33" w14:textId="77777777" w:rsidR="004D0AD9" w:rsidRPr="00515EB0" w:rsidRDefault="004D0AD9" w:rsidP="00D70128">
            <w:pPr>
              <w:jc w:val="center"/>
              <w:rPr>
                <w:sz w:val="20"/>
              </w:rPr>
            </w:pPr>
            <w:r w:rsidRPr="00515EB0">
              <w:rPr>
                <w:sz w:val="20"/>
              </w:rPr>
              <w:t>Hungary</w:t>
            </w:r>
          </w:p>
        </w:tc>
      </w:tr>
      <w:tr w:rsidR="004D0AD9" w:rsidRPr="00515EB0" w14:paraId="3F58A3C7" w14:textId="77777777" w:rsidTr="00B75EE8">
        <w:trPr>
          <w:trHeight w:val="340"/>
          <w:jc w:val="center"/>
        </w:trPr>
        <w:tc>
          <w:tcPr>
            <w:tcW w:w="1757" w:type="dxa"/>
            <w:vAlign w:val="center"/>
          </w:tcPr>
          <w:p w14:paraId="6C1BF396" w14:textId="77777777" w:rsidR="004D0AD9" w:rsidRPr="00B75EE8" w:rsidRDefault="004D0AD9" w:rsidP="00D70128">
            <w:pPr>
              <w:jc w:val="center"/>
              <w:rPr>
                <w:sz w:val="20"/>
              </w:rPr>
            </w:pPr>
            <w:r w:rsidRPr="00B75EE8">
              <w:rPr>
                <w:sz w:val="20"/>
              </w:rPr>
              <w:t>Code</w:t>
            </w:r>
          </w:p>
        </w:tc>
        <w:tc>
          <w:tcPr>
            <w:tcW w:w="1757" w:type="dxa"/>
            <w:vAlign w:val="center"/>
          </w:tcPr>
          <w:p w14:paraId="075CB7A8" w14:textId="77777777" w:rsidR="004D0AD9" w:rsidRPr="00515EB0" w:rsidRDefault="004D0AD9" w:rsidP="00D70128">
            <w:pPr>
              <w:jc w:val="center"/>
              <w:rPr>
                <w:sz w:val="20"/>
              </w:rPr>
            </w:pPr>
            <w:r w:rsidRPr="00515EB0">
              <w:rPr>
                <w:sz w:val="20"/>
              </w:rPr>
              <w:t>DIONISIO</w:t>
            </w:r>
          </w:p>
        </w:tc>
        <w:tc>
          <w:tcPr>
            <w:tcW w:w="1757" w:type="dxa"/>
            <w:vAlign w:val="center"/>
            <w:hideMark/>
          </w:tcPr>
          <w:p w14:paraId="0AFE6CBE" w14:textId="77777777" w:rsidR="004D0AD9" w:rsidRPr="00515EB0" w:rsidRDefault="004D0AD9" w:rsidP="00D70128">
            <w:pPr>
              <w:jc w:val="center"/>
              <w:rPr>
                <w:sz w:val="20"/>
                <w:lang w:val="de-DE"/>
              </w:rPr>
            </w:pPr>
            <w:r w:rsidRPr="00515EB0">
              <w:rPr>
                <w:sz w:val="20"/>
              </w:rPr>
              <w:t>ATHLET-CD</w:t>
            </w:r>
          </w:p>
        </w:tc>
        <w:tc>
          <w:tcPr>
            <w:tcW w:w="1757" w:type="dxa"/>
            <w:vAlign w:val="center"/>
          </w:tcPr>
          <w:p w14:paraId="5D9E7E27" w14:textId="77777777" w:rsidR="004D0AD9" w:rsidRPr="00515EB0" w:rsidRDefault="004D0AD9" w:rsidP="00D70128">
            <w:pPr>
              <w:jc w:val="center"/>
              <w:rPr>
                <w:sz w:val="20"/>
              </w:rPr>
            </w:pPr>
            <w:r w:rsidRPr="00515EB0">
              <w:rPr>
                <w:sz w:val="20"/>
              </w:rPr>
              <w:t>SOCRAT</w:t>
            </w:r>
          </w:p>
        </w:tc>
        <w:tc>
          <w:tcPr>
            <w:tcW w:w="1757" w:type="dxa"/>
            <w:vAlign w:val="center"/>
            <w:hideMark/>
          </w:tcPr>
          <w:p w14:paraId="245A82CC" w14:textId="77777777" w:rsidR="004D0AD9" w:rsidRPr="00515EB0" w:rsidRDefault="004D0AD9" w:rsidP="00D70128">
            <w:pPr>
              <w:jc w:val="center"/>
              <w:rPr>
                <w:sz w:val="20"/>
                <w:lang w:val="de-DE"/>
              </w:rPr>
            </w:pPr>
            <w:r w:rsidRPr="00515EB0">
              <w:rPr>
                <w:sz w:val="20"/>
              </w:rPr>
              <w:t>ASTEC</w:t>
            </w:r>
          </w:p>
        </w:tc>
      </w:tr>
      <w:tr w:rsidR="004D0AD9" w:rsidRPr="00515EB0" w14:paraId="4C35E87F" w14:textId="77777777" w:rsidTr="00B75EE8">
        <w:trPr>
          <w:trHeight w:val="340"/>
          <w:jc w:val="center"/>
        </w:trPr>
        <w:tc>
          <w:tcPr>
            <w:tcW w:w="1757" w:type="dxa"/>
            <w:vAlign w:val="center"/>
          </w:tcPr>
          <w:p w14:paraId="468FD0B3" w14:textId="77777777" w:rsidR="004D0AD9" w:rsidRPr="00B75EE8" w:rsidRDefault="004D0AD9" w:rsidP="00D70128">
            <w:pPr>
              <w:jc w:val="center"/>
              <w:rPr>
                <w:sz w:val="20"/>
              </w:rPr>
            </w:pPr>
            <w:r w:rsidRPr="00B75EE8">
              <w:rPr>
                <w:sz w:val="20"/>
              </w:rPr>
              <w:t>pre-test</w:t>
            </w:r>
          </w:p>
        </w:tc>
        <w:tc>
          <w:tcPr>
            <w:tcW w:w="1757" w:type="dxa"/>
            <w:vAlign w:val="center"/>
          </w:tcPr>
          <w:p w14:paraId="164640D7" w14:textId="77777777" w:rsidR="004D0AD9" w:rsidRPr="00515EB0" w:rsidRDefault="004D0AD9" w:rsidP="00D70128">
            <w:pPr>
              <w:jc w:val="center"/>
              <w:rPr>
                <w:sz w:val="20"/>
              </w:rPr>
            </w:pPr>
          </w:p>
        </w:tc>
        <w:tc>
          <w:tcPr>
            <w:tcW w:w="1757" w:type="dxa"/>
            <w:vAlign w:val="center"/>
          </w:tcPr>
          <w:p w14:paraId="20323B78" w14:textId="77777777" w:rsidR="004D0AD9" w:rsidRPr="00515EB0" w:rsidRDefault="004D0AD9" w:rsidP="00D70128">
            <w:pPr>
              <w:jc w:val="center"/>
              <w:rPr>
                <w:sz w:val="20"/>
              </w:rPr>
            </w:pPr>
            <w:r w:rsidRPr="00515EB0">
              <w:rPr>
                <w:sz w:val="20"/>
              </w:rPr>
              <w:t>+</w:t>
            </w:r>
          </w:p>
        </w:tc>
        <w:tc>
          <w:tcPr>
            <w:tcW w:w="1757" w:type="dxa"/>
            <w:vAlign w:val="center"/>
          </w:tcPr>
          <w:p w14:paraId="42202962" w14:textId="77777777" w:rsidR="004D0AD9" w:rsidRPr="00515EB0" w:rsidRDefault="004D0AD9" w:rsidP="00D70128">
            <w:pPr>
              <w:jc w:val="center"/>
              <w:rPr>
                <w:sz w:val="20"/>
              </w:rPr>
            </w:pPr>
            <w:r w:rsidRPr="00515EB0">
              <w:rPr>
                <w:sz w:val="20"/>
              </w:rPr>
              <w:t>+</w:t>
            </w:r>
          </w:p>
        </w:tc>
        <w:tc>
          <w:tcPr>
            <w:tcW w:w="1757" w:type="dxa"/>
            <w:vAlign w:val="center"/>
          </w:tcPr>
          <w:p w14:paraId="66E076AE" w14:textId="77777777" w:rsidR="004D0AD9" w:rsidRPr="00515EB0" w:rsidRDefault="004D0AD9" w:rsidP="00D70128">
            <w:pPr>
              <w:jc w:val="center"/>
              <w:rPr>
                <w:sz w:val="20"/>
              </w:rPr>
            </w:pPr>
            <w:r w:rsidRPr="00515EB0">
              <w:rPr>
                <w:sz w:val="20"/>
              </w:rPr>
              <w:t>+</w:t>
            </w:r>
          </w:p>
        </w:tc>
      </w:tr>
      <w:tr w:rsidR="004D0AD9" w:rsidRPr="00515EB0" w14:paraId="0CF0D31C" w14:textId="77777777" w:rsidTr="00B75EE8">
        <w:trPr>
          <w:trHeight w:val="340"/>
          <w:jc w:val="center"/>
        </w:trPr>
        <w:tc>
          <w:tcPr>
            <w:tcW w:w="1757" w:type="dxa"/>
            <w:vAlign w:val="center"/>
          </w:tcPr>
          <w:p w14:paraId="4B253092" w14:textId="77777777" w:rsidR="004D0AD9" w:rsidRPr="00B75EE8" w:rsidRDefault="004D0AD9" w:rsidP="00D70128">
            <w:pPr>
              <w:jc w:val="center"/>
              <w:rPr>
                <w:sz w:val="20"/>
              </w:rPr>
            </w:pPr>
            <w:r w:rsidRPr="00B75EE8">
              <w:rPr>
                <w:sz w:val="20"/>
              </w:rPr>
              <w:t>post-test</w:t>
            </w:r>
          </w:p>
        </w:tc>
        <w:tc>
          <w:tcPr>
            <w:tcW w:w="1757" w:type="dxa"/>
            <w:vAlign w:val="center"/>
          </w:tcPr>
          <w:p w14:paraId="6CC5221C" w14:textId="77777777" w:rsidR="004D0AD9" w:rsidRPr="00515EB0" w:rsidRDefault="004D0AD9" w:rsidP="00D70128">
            <w:pPr>
              <w:jc w:val="center"/>
              <w:rPr>
                <w:sz w:val="20"/>
              </w:rPr>
            </w:pPr>
            <w:r w:rsidRPr="00515EB0">
              <w:rPr>
                <w:sz w:val="20"/>
              </w:rPr>
              <w:t>+</w:t>
            </w:r>
          </w:p>
        </w:tc>
        <w:tc>
          <w:tcPr>
            <w:tcW w:w="1757" w:type="dxa"/>
            <w:vAlign w:val="center"/>
          </w:tcPr>
          <w:p w14:paraId="61BA7A8A" w14:textId="77777777" w:rsidR="004D0AD9" w:rsidRPr="00515EB0" w:rsidRDefault="004D0AD9" w:rsidP="00D70128">
            <w:pPr>
              <w:jc w:val="center"/>
              <w:rPr>
                <w:sz w:val="20"/>
              </w:rPr>
            </w:pPr>
            <w:r w:rsidRPr="00515EB0">
              <w:rPr>
                <w:sz w:val="20"/>
              </w:rPr>
              <w:t>+</w:t>
            </w:r>
          </w:p>
        </w:tc>
        <w:tc>
          <w:tcPr>
            <w:tcW w:w="1757" w:type="dxa"/>
            <w:vAlign w:val="center"/>
          </w:tcPr>
          <w:p w14:paraId="49FBEF67" w14:textId="77777777" w:rsidR="004D0AD9" w:rsidRPr="00515EB0" w:rsidRDefault="004D0AD9" w:rsidP="00D70128">
            <w:pPr>
              <w:jc w:val="center"/>
              <w:rPr>
                <w:sz w:val="20"/>
              </w:rPr>
            </w:pPr>
            <w:r w:rsidRPr="00515EB0">
              <w:rPr>
                <w:sz w:val="20"/>
              </w:rPr>
              <w:t>+</w:t>
            </w:r>
          </w:p>
        </w:tc>
        <w:tc>
          <w:tcPr>
            <w:tcW w:w="1757" w:type="dxa"/>
            <w:vAlign w:val="center"/>
          </w:tcPr>
          <w:p w14:paraId="611C1224" w14:textId="77777777" w:rsidR="004D0AD9" w:rsidRPr="00515EB0" w:rsidRDefault="004D0AD9" w:rsidP="00D70128">
            <w:pPr>
              <w:jc w:val="center"/>
              <w:rPr>
                <w:sz w:val="20"/>
              </w:rPr>
            </w:pPr>
          </w:p>
        </w:tc>
      </w:tr>
    </w:tbl>
    <w:p w14:paraId="0DDF9F75" w14:textId="20D3A161" w:rsidR="004D0AD9" w:rsidRPr="00515EB0" w:rsidRDefault="004D0AD9" w:rsidP="004D0AD9">
      <w:pPr>
        <w:pStyle w:val="berschrift3"/>
      </w:pPr>
      <w:r w:rsidRPr="00515EB0">
        <w:t>CODEX-ATF</w:t>
      </w:r>
      <w:r>
        <w:t>:</w:t>
      </w:r>
      <w:r w:rsidRPr="00515EB0">
        <w:t xml:space="preserve"> Comparison of CODEX-ATF temperature predictions</w:t>
      </w:r>
    </w:p>
    <w:p w14:paraId="56F50D84" w14:textId="77777777" w:rsidR="004D0AD9" w:rsidRPr="00E87AB8" w:rsidRDefault="004D0AD9" w:rsidP="004D0AD9">
      <w:pPr>
        <w:pStyle w:val="Textkrper"/>
      </w:pPr>
      <w:r w:rsidRPr="00E87AB8">
        <w:t>According to the pre-test specification, the pre-oxidation should be performed at 1000 W bundle power and 800 W power of the shroud heater. The accelerated last transient stage should last 200 s with the bundle power increased to 2000 W. However, commissioning tests carried out after pre-test calculations showed that an increased temperature growth can occur without increasing the bundle power. Therefore, it was decided to carry out the pre-oxidation and accelerated transition stages at a bundle power of 1000 W with an increased duration of the entire experiment. Of course, this led to a deviation of the temperature history from the calculated values. Comparison of calculated temperatures of the central rod with experimental ones at the hottest bundle elevation of 550 mm throughout the experiment shows underestimated values for all codes (Fig. 13).</w:t>
      </w:r>
    </w:p>
    <w:p w14:paraId="12145BC5" w14:textId="77777777" w:rsidR="004D0AD9" w:rsidRPr="00E87AB8" w:rsidRDefault="004D0AD9" w:rsidP="004D0AD9">
      <w:pPr>
        <w:pStyle w:val="Textkrper"/>
      </w:pPr>
      <w:r w:rsidRPr="00E87AB8">
        <w:t>The post-test calculations showed much more correct results. However, all codes did not reproduce the temperature escalation before quench.</w:t>
      </w:r>
    </w:p>
    <w:tbl>
      <w:tblPr>
        <w:tblStyle w:val="Tabellenraster"/>
        <w:tblW w:w="0" w:type="auto"/>
        <w:tblInd w:w="250" w:type="dxa"/>
        <w:tblLook w:val="04A0" w:firstRow="1" w:lastRow="0" w:firstColumn="1" w:lastColumn="0" w:noHBand="0" w:noVBand="1"/>
      </w:tblPr>
      <w:tblGrid>
        <w:gridCol w:w="4368"/>
        <w:gridCol w:w="4399"/>
      </w:tblGrid>
      <w:tr w:rsidR="004D0AD9" w:rsidRPr="00E87AB8" w14:paraId="1BB2AC34" w14:textId="77777777" w:rsidTr="00D70128">
        <w:tc>
          <w:tcPr>
            <w:tcW w:w="4572" w:type="dxa"/>
            <w:vAlign w:val="center"/>
          </w:tcPr>
          <w:p w14:paraId="32114DBD" w14:textId="77777777" w:rsidR="004D0AD9" w:rsidRPr="00E87AB8" w:rsidRDefault="004D0AD9" w:rsidP="004224C3">
            <w:pPr>
              <w:pStyle w:val="Textkrper"/>
              <w:spacing w:after="0" w:line="240" w:lineRule="auto"/>
              <w:jc w:val="center"/>
            </w:pPr>
            <w:r w:rsidRPr="00E87AB8">
              <w:rPr>
                <w:noProof/>
              </w:rPr>
              <w:drawing>
                <wp:inline distT="0" distB="0" distL="0" distR="0" wp14:anchorId="319EDFAF" wp14:editId="6F78EC9B">
                  <wp:extent cx="2737846" cy="2286000"/>
                  <wp:effectExtent l="0" t="0" r="5715" b="0"/>
                  <wp:docPr id="157530345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7822" cy="2302679"/>
                          </a:xfrm>
                          <a:prstGeom prst="rect">
                            <a:avLst/>
                          </a:prstGeom>
                          <a:noFill/>
                          <a:ln>
                            <a:noFill/>
                          </a:ln>
                        </pic:spPr>
                      </pic:pic>
                    </a:graphicData>
                  </a:graphic>
                </wp:inline>
              </w:drawing>
            </w:r>
          </w:p>
        </w:tc>
        <w:tc>
          <w:tcPr>
            <w:tcW w:w="4704" w:type="dxa"/>
            <w:vAlign w:val="center"/>
          </w:tcPr>
          <w:p w14:paraId="5CE015D6" w14:textId="77777777" w:rsidR="004D0AD9" w:rsidRPr="00E87AB8" w:rsidRDefault="004D0AD9" w:rsidP="004224C3">
            <w:pPr>
              <w:pStyle w:val="Textkrper"/>
              <w:spacing w:after="0" w:line="240" w:lineRule="auto"/>
              <w:jc w:val="center"/>
            </w:pPr>
            <w:r w:rsidRPr="00E87AB8">
              <w:rPr>
                <w:noProof/>
              </w:rPr>
              <w:drawing>
                <wp:inline distT="0" distB="0" distL="0" distR="0" wp14:anchorId="620E6564" wp14:editId="7CFB383B">
                  <wp:extent cx="2743715" cy="2281237"/>
                  <wp:effectExtent l="0" t="0" r="0" b="5080"/>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26"/>
                          <a:stretch>
                            <a:fillRect/>
                          </a:stretch>
                        </pic:blipFill>
                        <pic:spPr>
                          <a:xfrm>
                            <a:off x="0" y="0"/>
                            <a:ext cx="2790860" cy="2320435"/>
                          </a:xfrm>
                          <a:prstGeom prst="rect">
                            <a:avLst/>
                          </a:prstGeom>
                        </pic:spPr>
                      </pic:pic>
                    </a:graphicData>
                  </a:graphic>
                </wp:inline>
              </w:drawing>
            </w:r>
          </w:p>
        </w:tc>
      </w:tr>
      <w:tr w:rsidR="004D0AD9" w:rsidRPr="00515EB0" w14:paraId="29199814" w14:textId="77777777" w:rsidTr="00D70128">
        <w:tc>
          <w:tcPr>
            <w:tcW w:w="4572" w:type="dxa"/>
            <w:vAlign w:val="center"/>
          </w:tcPr>
          <w:p w14:paraId="30850B3A" w14:textId="77777777" w:rsidR="004D0AD9" w:rsidRPr="00515EB0" w:rsidRDefault="004D0AD9" w:rsidP="004224C3">
            <w:pPr>
              <w:pStyle w:val="Textkrper"/>
              <w:spacing w:after="0" w:line="240" w:lineRule="auto"/>
              <w:jc w:val="center"/>
              <w:rPr>
                <w:i/>
                <w:iCs/>
                <w:sz w:val="20"/>
              </w:rPr>
            </w:pPr>
            <w:r w:rsidRPr="00515EB0">
              <w:rPr>
                <w:i/>
                <w:iCs/>
                <w:sz w:val="20"/>
              </w:rPr>
              <w:t>pre-test calculations for central rod</w:t>
            </w:r>
          </w:p>
        </w:tc>
        <w:tc>
          <w:tcPr>
            <w:tcW w:w="4704" w:type="dxa"/>
            <w:vAlign w:val="center"/>
          </w:tcPr>
          <w:p w14:paraId="7B0C7CB8" w14:textId="77777777" w:rsidR="004D0AD9" w:rsidRPr="00515EB0" w:rsidRDefault="004D0AD9" w:rsidP="004224C3">
            <w:pPr>
              <w:pStyle w:val="Textkrper"/>
              <w:spacing w:after="0" w:line="240" w:lineRule="auto"/>
              <w:jc w:val="center"/>
              <w:rPr>
                <w:i/>
                <w:iCs/>
                <w:sz w:val="20"/>
              </w:rPr>
            </w:pPr>
            <w:r w:rsidRPr="00515EB0">
              <w:rPr>
                <w:i/>
                <w:iCs/>
                <w:sz w:val="20"/>
              </w:rPr>
              <w:t>ATHLET-CD post-test</w:t>
            </w:r>
          </w:p>
        </w:tc>
      </w:tr>
      <w:tr w:rsidR="004D0AD9" w:rsidRPr="00E87AB8" w14:paraId="78A667C1" w14:textId="77777777" w:rsidTr="00D70128">
        <w:tc>
          <w:tcPr>
            <w:tcW w:w="4572" w:type="dxa"/>
            <w:vAlign w:val="center"/>
          </w:tcPr>
          <w:p w14:paraId="55EC0D35" w14:textId="77777777" w:rsidR="004D0AD9" w:rsidRPr="00E87AB8" w:rsidRDefault="004D0AD9" w:rsidP="004224C3">
            <w:pPr>
              <w:pStyle w:val="Textkrper"/>
              <w:spacing w:after="0" w:line="240" w:lineRule="auto"/>
              <w:jc w:val="center"/>
            </w:pPr>
            <w:r w:rsidRPr="00E87AB8">
              <w:rPr>
                <w:noProof/>
              </w:rPr>
              <w:lastRenderedPageBreak/>
              <w:drawing>
                <wp:inline distT="0" distB="0" distL="0" distR="0" wp14:anchorId="11DA6B61" wp14:editId="7ADE18F4">
                  <wp:extent cx="2735580" cy="2314575"/>
                  <wp:effectExtent l="0" t="0" r="762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9486" cy="2334802"/>
                          </a:xfrm>
                          <a:prstGeom prst="rect">
                            <a:avLst/>
                          </a:prstGeom>
                          <a:noFill/>
                          <a:ln>
                            <a:noFill/>
                          </a:ln>
                        </pic:spPr>
                      </pic:pic>
                    </a:graphicData>
                  </a:graphic>
                </wp:inline>
              </w:drawing>
            </w:r>
          </w:p>
        </w:tc>
        <w:tc>
          <w:tcPr>
            <w:tcW w:w="4704" w:type="dxa"/>
            <w:vAlign w:val="center"/>
          </w:tcPr>
          <w:p w14:paraId="5BC39134" w14:textId="77777777" w:rsidR="004D0AD9" w:rsidRPr="00E87AB8" w:rsidRDefault="004D0AD9" w:rsidP="004224C3">
            <w:pPr>
              <w:pStyle w:val="Textkrper"/>
              <w:spacing w:after="0" w:line="240" w:lineRule="auto"/>
              <w:jc w:val="center"/>
            </w:pPr>
            <w:r w:rsidRPr="00E87AB8">
              <w:rPr>
                <w:noProof/>
              </w:rPr>
              <w:drawing>
                <wp:inline distT="0" distB="0" distL="0" distR="0" wp14:anchorId="195B0E31" wp14:editId="78F08BEF">
                  <wp:extent cx="2764506" cy="2300288"/>
                  <wp:effectExtent l="0" t="0" r="0" b="508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8"/>
                          <a:stretch>
                            <a:fillRect/>
                          </a:stretch>
                        </pic:blipFill>
                        <pic:spPr>
                          <a:xfrm>
                            <a:off x="0" y="0"/>
                            <a:ext cx="2782695" cy="2315423"/>
                          </a:xfrm>
                          <a:prstGeom prst="rect">
                            <a:avLst/>
                          </a:prstGeom>
                        </pic:spPr>
                      </pic:pic>
                    </a:graphicData>
                  </a:graphic>
                </wp:inline>
              </w:drawing>
            </w:r>
          </w:p>
        </w:tc>
      </w:tr>
      <w:tr w:rsidR="004D0AD9" w:rsidRPr="00515EB0" w14:paraId="0C0C07DF" w14:textId="77777777" w:rsidTr="00D70128">
        <w:tc>
          <w:tcPr>
            <w:tcW w:w="4572" w:type="dxa"/>
            <w:vAlign w:val="center"/>
          </w:tcPr>
          <w:p w14:paraId="22E75E96" w14:textId="77777777" w:rsidR="004D0AD9" w:rsidRPr="00515EB0" w:rsidRDefault="004D0AD9" w:rsidP="004224C3">
            <w:pPr>
              <w:pStyle w:val="Textkrper"/>
              <w:spacing w:after="0" w:line="240" w:lineRule="auto"/>
              <w:jc w:val="center"/>
              <w:rPr>
                <w:i/>
                <w:iCs/>
                <w:sz w:val="20"/>
              </w:rPr>
            </w:pPr>
            <w:r w:rsidRPr="00515EB0">
              <w:rPr>
                <w:i/>
                <w:iCs/>
                <w:sz w:val="20"/>
              </w:rPr>
              <w:t>SOCRAT post-test</w:t>
            </w:r>
          </w:p>
        </w:tc>
        <w:tc>
          <w:tcPr>
            <w:tcW w:w="4704" w:type="dxa"/>
            <w:vAlign w:val="center"/>
          </w:tcPr>
          <w:p w14:paraId="2124638E" w14:textId="77777777" w:rsidR="004D0AD9" w:rsidRPr="00515EB0" w:rsidRDefault="004D0AD9" w:rsidP="004224C3">
            <w:pPr>
              <w:pStyle w:val="Textkrper"/>
              <w:spacing w:after="0" w:line="240" w:lineRule="auto"/>
              <w:jc w:val="center"/>
              <w:rPr>
                <w:i/>
                <w:iCs/>
                <w:sz w:val="20"/>
              </w:rPr>
            </w:pPr>
            <w:r w:rsidRPr="00515EB0">
              <w:rPr>
                <w:i/>
                <w:iCs/>
                <w:sz w:val="20"/>
              </w:rPr>
              <w:t>DIONISIO post-test</w:t>
            </w:r>
          </w:p>
        </w:tc>
      </w:tr>
    </w:tbl>
    <w:p w14:paraId="44969BDA" w14:textId="77777777" w:rsidR="004D0AD9" w:rsidRPr="00515EB0" w:rsidRDefault="004D0AD9" w:rsidP="004D0AD9">
      <w:pPr>
        <w:pStyle w:val="Textkrper"/>
        <w:jc w:val="center"/>
        <w:rPr>
          <w:i/>
          <w:iCs/>
          <w:sz w:val="20"/>
        </w:rPr>
      </w:pPr>
      <w:r w:rsidRPr="00515EB0">
        <w:rPr>
          <w:i/>
          <w:iCs/>
          <w:sz w:val="20"/>
        </w:rPr>
        <w:t>FIG. 13. Temperature progress for the central CODEX-ATF rod at the hottest bundle elevation</w:t>
      </w:r>
    </w:p>
    <w:p w14:paraId="60E5C99E" w14:textId="77777777" w:rsidR="004D0AD9" w:rsidRPr="001B4EE2" w:rsidRDefault="004D0AD9" w:rsidP="004D0AD9">
      <w:pPr>
        <w:pStyle w:val="berschrift3"/>
        <w:rPr>
          <w:bCs/>
        </w:rPr>
      </w:pPr>
      <w:r w:rsidRPr="001107A2">
        <w:t xml:space="preserve">CODEX-ATF: </w:t>
      </w:r>
      <w:r w:rsidRPr="001B4EE2">
        <w:t>Comparison of hydrogen predictions</w:t>
      </w:r>
    </w:p>
    <w:p w14:paraId="6A74A0EA" w14:textId="77777777" w:rsidR="004D0AD9" w:rsidRPr="00E87AB8" w:rsidRDefault="004D0AD9" w:rsidP="004D0AD9">
      <w:pPr>
        <w:pStyle w:val="Textkrper"/>
      </w:pPr>
      <w:r w:rsidRPr="00E87AB8">
        <w:t>Because of the seven rods, only four cladding tubes were coated with chromium, the oxidation correlations presented in Chapter 3.2 were applied only to them. In the SOCRAT calculations, the hydrogen produced by the oxidation of coated claddings is due not only to the oxidation of the Cr, but also to the oxidation of the underlying Zr. For the cladding of the three remaining rods and the inner surface of the shroud, the standard Cathcart-Pawel correlation was used or in SOCRAT case, a mechanistic model for Zry oxidation was used. As a result, predictions of the hydrogen release rate were obtained, presented in Fig. 14. Due to differences in temperature predictions, there is a noticeable scattering in the hydrogen release rate prediction for the whole bundle even before the temperature escalation begins. The noticeable jump in the hydrogen release rate prediction by the SOCRAT code at t≈14250 s is associated with the switch from the chromium oxidation model to the zirconium oxidation model upon reaching the Cr/Zr eutectic point (1332 °C).</w:t>
      </w:r>
    </w:p>
    <w:tbl>
      <w:tblPr>
        <w:tblStyle w:val="Tabellenraster"/>
        <w:tblW w:w="0" w:type="auto"/>
        <w:tblInd w:w="119" w:type="dxa"/>
        <w:tblLook w:val="04A0" w:firstRow="1" w:lastRow="0" w:firstColumn="1" w:lastColumn="0" w:noHBand="0" w:noVBand="1"/>
      </w:tblPr>
      <w:tblGrid>
        <w:gridCol w:w="4536"/>
        <w:gridCol w:w="4362"/>
      </w:tblGrid>
      <w:tr w:rsidR="004D0AD9" w:rsidRPr="00E87AB8" w14:paraId="789118C0" w14:textId="77777777" w:rsidTr="00D70128">
        <w:tc>
          <w:tcPr>
            <w:tcW w:w="4739" w:type="dxa"/>
            <w:vAlign w:val="center"/>
          </w:tcPr>
          <w:p w14:paraId="174E2E24" w14:textId="77777777" w:rsidR="004D0AD9" w:rsidRPr="00E87AB8" w:rsidRDefault="004D0AD9" w:rsidP="00D70128">
            <w:pPr>
              <w:pStyle w:val="Textkrper"/>
            </w:pPr>
            <w:r w:rsidRPr="00E87AB8">
              <w:rPr>
                <w:noProof/>
                <w:lang w:val="fr-FR" w:eastAsia="fr-FR"/>
              </w:rPr>
              <w:drawing>
                <wp:inline distT="0" distB="0" distL="0" distR="0" wp14:anchorId="7DF53C8C" wp14:editId="63800ADD">
                  <wp:extent cx="2705100" cy="3183621"/>
                  <wp:effectExtent l="0" t="0" r="0" b="0"/>
                  <wp:docPr id="1082009025" name="Grafik 108200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3308" cy="3240356"/>
                          </a:xfrm>
                          <a:prstGeom prst="rect">
                            <a:avLst/>
                          </a:prstGeom>
                          <a:noFill/>
                          <a:ln>
                            <a:noFill/>
                          </a:ln>
                        </pic:spPr>
                      </pic:pic>
                    </a:graphicData>
                  </a:graphic>
                </wp:inline>
              </w:drawing>
            </w:r>
          </w:p>
        </w:tc>
        <w:tc>
          <w:tcPr>
            <w:tcW w:w="4650" w:type="dxa"/>
            <w:vAlign w:val="center"/>
          </w:tcPr>
          <w:p w14:paraId="2D4CDB98" w14:textId="77777777" w:rsidR="004D0AD9" w:rsidRPr="00E87AB8" w:rsidRDefault="004D0AD9" w:rsidP="00D70128">
            <w:pPr>
              <w:pStyle w:val="Textkrper"/>
            </w:pPr>
            <w:r w:rsidRPr="00E87AB8">
              <w:rPr>
                <w:noProof/>
                <w:lang w:val="fr-FR" w:eastAsia="fr-FR"/>
              </w:rPr>
              <w:drawing>
                <wp:inline distT="0" distB="0" distL="0" distR="0" wp14:anchorId="3A9DEA3F" wp14:editId="04633F19">
                  <wp:extent cx="2579524" cy="3105150"/>
                  <wp:effectExtent l="0" t="0" r="0" b="0"/>
                  <wp:docPr id="1082009026" name="Grafik 108200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1337" cy="3143445"/>
                          </a:xfrm>
                          <a:prstGeom prst="rect">
                            <a:avLst/>
                          </a:prstGeom>
                          <a:noFill/>
                          <a:ln>
                            <a:noFill/>
                          </a:ln>
                        </pic:spPr>
                      </pic:pic>
                    </a:graphicData>
                  </a:graphic>
                </wp:inline>
              </w:drawing>
            </w:r>
          </w:p>
        </w:tc>
      </w:tr>
      <w:tr w:rsidR="004D0AD9" w:rsidRPr="001B4EE2" w14:paraId="6D3954C7" w14:textId="77777777" w:rsidTr="00D70128">
        <w:tc>
          <w:tcPr>
            <w:tcW w:w="4739" w:type="dxa"/>
            <w:vAlign w:val="center"/>
          </w:tcPr>
          <w:p w14:paraId="716F8957" w14:textId="77777777" w:rsidR="004D0AD9" w:rsidRPr="001B4EE2" w:rsidRDefault="004D0AD9" w:rsidP="00D70128">
            <w:pPr>
              <w:pStyle w:val="Textkrper"/>
              <w:jc w:val="center"/>
              <w:rPr>
                <w:i/>
                <w:iCs/>
                <w:sz w:val="20"/>
              </w:rPr>
            </w:pPr>
            <w:r w:rsidRPr="001B4EE2">
              <w:rPr>
                <w:i/>
                <w:iCs/>
                <w:sz w:val="20"/>
              </w:rPr>
              <w:t>Whole bundle (coated and uncoated claddings, shroud)</w:t>
            </w:r>
          </w:p>
        </w:tc>
        <w:tc>
          <w:tcPr>
            <w:tcW w:w="4650" w:type="dxa"/>
            <w:vAlign w:val="center"/>
          </w:tcPr>
          <w:p w14:paraId="5EF4B7BA" w14:textId="77777777" w:rsidR="004D0AD9" w:rsidRPr="001B4EE2" w:rsidRDefault="004D0AD9" w:rsidP="00D70128">
            <w:pPr>
              <w:pStyle w:val="Textkrper"/>
              <w:jc w:val="center"/>
              <w:rPr>
                <w:i/>
                <w:iCs/>
                <w:sz w:val="20"/>
              </w:rPr>
            </w:pPr>
            <w:r w:rsidRPr="001B4EE2">
              <w:rPr>
                <w:i/>
                <w:iCs/>
                <w:sz w:val="20"/>
              </w:rPr>
              <w:t>Only coated claddings</w:t>
            </w:r>
          </w:p>
        </w:tc>
      </w:tr>
    </w:tbl>
    <w:p w14:paraId="4B7639F2" w14:textId="77777777" w:rsidR="004D0AD9" w:rsidRPr="00E87AB8" w:rsidRDefault="004D0AD9" w:rsidP="004D0AD9">
      <w:pPr>
        <w:pStyle w:val="Textkrper"/>
        <w:jc w:val="center"/>
      </w:pPr>
      <w:r w:rsidRPr="001B4EE2">
        <w:rPr>
          <w:i/>
          <w:iCs/>
          <w:sz w:val="20"/>
        </w:rPr>
        <w:t>F</w:t>
      </w:r>
      <w:r>
        <w:rPr>
          <w:i/>
          <w:iCs/>
          <w:sz w:val="20"/>
        </w:rPr>
        <w:t>IG</w:t>
      </w:r>
      <w:r w:rsidRPr="001B4EE2">
        <w:rPr>
          <w:i/>
          <w:iCs/>
          <w:sz w:val="20"/>
        </w:rPr>
        <w:t>. 14. Hydrogen production rates predicted for the CODEX-ATF</w:t>
      </w:r>
    </w:p>
    <w:p w14:paraId="6542BFE8" w14:textId="02198A8E" w:rsidR="00B75EE8" w:rsidRDefault="004D0AD9" w:rsidP="004D0AD9">
      <w:pPr>
        <w:pStyle w:val="Textkrper"/>
      </w:pPr>
      <w:r w:rsidRPr="00E87AB8">
        <w:lastRenderedPageBreak/>
        <w:t xml:space="preserve">The corresponding integral hydrogen releases are presented in </w:t>
      </w:r>
      <w:r w:rsidR="004224C3" w:rsidRPr="00E87AB8">
        <w:t>Table 4</w:t>
      </w:r>
      <w:r w:rsidR="004224C3">
        <w:t xml:space="preserve"> </w:t>
      </w:r>
      <w:r w:rsidRPr="00E87AB8">
        <w:t>and</w:t>
      </w:r>
      <w:r w:rsidR="004224C3" w:rsidRPr="004224C3">
        <w:t xml:space="preserve"> </w:t>
      </w:r>
      <w:r w:rsidR="004224C3" w:rsidRPr="00E87AB8">
        <w:t>Fig. 15</w:t>
      </w:r>
      <w:r w:rsidRPr="00E87AB8">
        <w:t xml:space="preserve">. </w:t>
      </w:r>
      <w:bookmarkStart w:id="3" w:name="_Hlk187761202"/>
      <w:r w:rsidRPr="00E87AB8">
        <w:t>While ATHLET-CD overestimates the hydrogen release by a factor of two (due to overpredicted temperatures for not coated claddings), the DIONISIO code underestimates the integral hydrogen release by a factor of three (temperatures were underestimated). The SOCRAT code showed the result closest to the measured values (more accurate temperature prediction and consideration of oxidation of zirconium substrates in coated tubes). A comparison of the calculated data on hydrogen release by the oxidation of zirconium and chromium shows that the predominant amount of hydrogen is associated with the oxidation of bundle parts made of Zr alloy not protected by a Cr coating.</w:t>
      </w:r>
      <w:bookmarkEnd w:id="3"/>
    </w:p>
    <w:p w14:paraId="62A60D01" w14:textId="77777777" w:rsidR="00B75EE8" w:rsidRPr="001B4EE2" w:rsidRDefault="00B75EE8" w:rsidP="00B75EE8">
      <w:pPr>
        <w:pStyle w:val="Textkrper"/>
        <w:rPr>
          <w:caps/>
          <w:sz w:val="20"/>
        </w:rPr>
      </w:pPr>
      <w:r w:rsidRPr="001B4EE2">
        <w:rPr>
          <w:caps/>
          <w:sz w:val="20"/>
        </w:rPr>
        <w:t>Table 4. Integral hydrogen release (in grams)</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6"/>
        <w:gridCol w:w="2211"/>
        <w:gridCol w:w="2211"/>
        <w:gridCol w:w="3288"/>
      </w:tblGrid>
      <w:tr w:rsidR="00B75EE8" w:rsidRPr="001B4EE2" w14:paraId="39224DBF" w14:textId="77777777" w:rsidTr="00D70128">
        <w:trPr>
          <w:trHeight w:val="340"/>
        </w:trPr>
        <w:tc>
          <w:tcPr>
            <w:tcW w:w="1686" w:type="dxa"/>
            <w:tcBorders>
              <w:top w:val="single" w:sz="4" w:space="0" w:color="auto"/>
              <w:left w:val="nil"/>
              <w:bottom w:val="single" w:sz="4" w:space="0" w:color="auto"/>
              <w:right w:val="nil"/>
            </w:tcBorders>
            <w:shd w:val="clear" w:color="auto" w:fill="auto"/>
            <w:noWrap/>
            <w:vAlign w:val="center"/>
            <w:hideMark/>
          </w:tcPr>
          <w:p w14:paraId="174DBB27"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color w:val="000000"/>
                <w:sz w:val="20"/>
                <w:lang w:eastAsia="de-DE"/>
              </w:rPr>
              <w:t>Experiment</w:t>
            </w:r>
          </w:p>
        </w:tc>
        <w:tc>
          <w:tcPr>
            <w:tcW w:w="2211" w:type="dxa"/>
            <w:tcBorders>
              <w:left w:val="nil"/>
              <w:right w:val="nil"/>
            </w:tcBorders>
            <w:shd w:val="clear" w:color="auto" w:fill="auto"/>
            <w:noWrap/>
            <w:vAlign w:val="center"/>
            <w:hideMark/>
          </w:tcPr>
          <w:p w14:paraId="1C118E34"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color w:val="000000"/>
                <w:sz w:val="20"/>
                <w:lang w:eastAsia="de-DE"/>
              </w:rPr>
              <w:t>ATHLET/GRS</w:t>
            </w:r>
          </w:p>
        </w:tc>
        <w:tc>
          <w:tcPr>
            <w:tcW w:w="2211" w:type="dxa"/>
            <w:tcBorders>
              <w:left w:val="nil"/>
              <w:right w:val="nil"/>
            </w:tcBorders>
            <w:shd w:val="clear" w:color="auto" w:fill="auto"/>
            <w:noWrap/>
            <w:vAlign w:val="center"/>
            <w:hideMark/>
          </w:tcPr>
          <w:p w14:paraId="68891BDB"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color w:val="000000"/>
                <w:sz w:val="20"/>
                <w:lang w:eastAsia="de-DE"/>
              </w:rPr>
              <w:t>DIONISIO/CNEA</w:t>
            </w:r>
          </w:p>
        </w:tc>
        <w:tc>
          <w:tcPr>
            <w:tcW w:w="3288" w:type="dxa"/>
            <w:tcBorders>
              <w:left w:val="nil"/>
              <w:right w:val="nil"/>
            </w:tcBorders>
            <w:shd w:val="clear" w:color="auto" w:fill="auto"/>
            <w:noWrap/>
            <w:vAlign w:val="center"/>
            <w:hideMark/>
          </w:tcPr>
          <w:p w14:paraId="6EFE9EE3"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color w:val="000000"/>
                <w:sz w:val="20"/>
                <w:lang w:eastAsia="de-DE"/>
              </w:rPr>
              <w:t>SOCRAT/IBRAE</w:t>
            </w:r>
          </w:p>
        </w:tc>
      </w:tr>
      <w:tr w:rsidR="00B75EE8" w:rsidRPr="001B4EE2" w14:paraId="50383ECC" w14:textId="77777777" w:rsidTr="00D70128">
        <w:trPr>
          <w:trHeight w:val="189"/>
        </w:trPr>
        <w:tc>
          <w:tcPr>
            <w:tcW w:w="1686" w:type="dxa"/>
            <w:vMerge w:val="restart"/>
            <w:tcBorders>
              <w:top w:val="single" w:sz="4" w:space="0" w:color="auto"/>
              <w:left w:val="nil"/>
              <w:right w:val="nil"/>
            </w:tcBorders>
            <w:shd w:val="clear" w:color="auto" w:fill="auto"/>
            <w:noWrap/>
            <w:vAlign w:val="center"/>
            <w:hideMark/>
          </w:tcPr>
          <w:p w14:paraId="740D65C9"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color w:val="000000"/>
                <w:sz w:val="20"/>
                <w:lang w:eastAsia="de-DE"/>
              </w:rPr>
              <w:t>2.91</w:t>
            </w:r>
          </w:p>
        </w:tc>
        <w:tc>
          <w:tcPr>
            <w:tcW w:w="2211" w:type="dxa"/>
            <w:tcBorders>
              <w:left w:val="nil"/>
              <w:right w:val="nil"/>
            </w:tcBorders>
            <w:shd w:val="clear" w:color="auto" w:fill="auto"/>
            <w:noWrap/>
            <w:vAlign w:val="center"/>
            <w:hideMark/>
          </w:tcPr>
          <w:p w14:paraId="4106C236" w14:textId="77777777" w:rsidR="00B75EE8" w:rsidRPr="001B4EE2" w:rsidRDefault="00B75EE8" w:rsidP="00D70128">
            <w:pPr>
              <w:autoSpaceDE/>
              <w:autoSpaceDN/>
              <w:jc w:val="center"/>
              <w:rPr>
                <w:rFonts w:eastAsia="Times New Roman"/>
                <w:i/>
                <w:iCs/>
                <w:color w:val="000000"/>
                <w:sz w:val="20"/>
                <w:lang w:eastAsia="de-DE"/>
              </w:rPr>
            </w:pPr>
            <w:r w:rsidRPr="001B4EE2">
              <w:rPr>
                <w:rFonts w:eastAsia="Times New Roman"/>
                <w:i/>
                <w:iCs/>
                <w:color w:val="000000"/>
                <w:sz w:val="20"/>
                <w:lang w:eastAsia="de-DE"/>
              </w:rPr>
              <w:t>Zr oxidation: 4.96</w:t>
            </w:r>
          </w:p>
        </w:tc>
        <w:tc>
          <w:tcPr>
            <w:tcW w:w="2211" w:type="dxa"/>
            <w:tcBorders>
              <w:left w:val="nil"/>
              <w:right w:val="nil"/>
            </w:tcBorders>
            <w:shd w:val="clear" w:color="auto" w:fill="auto"/>
            <w:noWrap/>
            <w:vAlign w:val="center"/>
            <w:hideMark/>
          </w:tcPr>
          <w:p w14:paraId="3B556490"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i/>
                <w:iCs/>
                <w:color w:val="000000"/>
                <w:sz w:val="20"/>
                <w:lang w:eastAsia="de-DE"/>
              </w:rPr>
              <w:t>Zr oxidation: 1.02</w:t>
            </w:r>
          </w:p>
        </w:tc>
        <w:tc>
          <w:tcPr>
            <w:tcW w:w="3288" w:type="dxa"/>
            <w:tcBorders>
              <w:left w:val="nil"/>
              <w:right w:val="nil"/>
            </w:tcBorders>
            <w:shd w:val="clear" w:color="auto" w:fill="auto"/>
            <w:noWrap/>
            <w:vAlign w:val="center"/>
            <w:hideMark/>
          </w:tcPr>
          <w:p w14:paraId="55FFC513" w14:textId="77777777" w:rsidR="00B75EE8" w:rsidRPr="001B4EE2" w:rsidRDefault="00B75EE8" w:rsidP="00D70128">
            <w:pPr>
              <w:autoSpaceDE/>
              <w:autoSpaceDN/>
              <w:jc w:val="center"/>
              <w:rPr>
                <w:rFonts w:eastAsia="Times New Roman"/>
                <w:i/>
                <w:iCs/>
                <w:color w:val="000000"/>
                <w:sz w:val="20"/>
                <w:lang w:eastAsia="de-DE"/>
              </w:rPr>
            </w:pPr>
            <w:r w:rsidRPr="001B4EE2">
              <w:rPr>
                <w:rFonts w:eastAsia="Times New Roman"/>
                <w:i/>
                <w:iCs/>
                <w:color w:val="000000"/>
                <w:sz w:val="20"/>
                <w:lang w:eastAsia="de-DE"/>
              </w:rPr>
              <w:t>Zr oxidation: 1.57</w:t>
            </w:r>
          </w:p>
        </w:tc>
      </w:tr>
      <w:tr w:rsidR="00B75EE8" w:rsidRPr="001B4EE2" w14:paraId="11F8F415" w14:textId="77777777" w:rsidTr="00D70128">
        <w:trPr>
          <w:trHeight w:val="189"/>
        </w:trPr>
        <w:tc>
          <w:tcPr>
            <w:tcW w:w="1686" w:type="dxa"/>
            <w:vMerge/>
            <w:tcBorders>
              <w:left w:val="nil"/>
              <w:right w:val="nil"/>
            </w:tcBorders>
            <w:shd w:val="clear" w:color="auto" w:fill="auto"/>
            <w:noWrap/>
            <w:vAlign w:val="center"/>
          </w:tcPr>
          <w:p w14:paraId="18CDEA3C" w14:textId="77777777" w:rsidR="00B75EE8" w:rsidRPr="001B4EE2" w:rsidRDefault="00B75EE8" w:rsidP="00D70128">
            <w:pPr>
              <w:autoSpaceDE/>
              <w:autoSpaceDN/>
              <w:jc w:val="center"/>
              <w:rPr>
                <w:rFonts w:eastAsia="Times New Roman"/>
                <w:i/>
                <w:iCs/>
                <w:color w:val="000000"/>
                <w:sz w:val="20"/>
                <w:lang w:eastAsia="de-DE"/>
              </w:rPr>
            </w:pPr>
          </w:p>
        </w:tc>
        <w:tc>
          <w:tcPr>
            <w:tcW w:w="2211" w:type="dxa"/>
            <w:tcBorders>
              <w:left w:val="nil"/>
              <w:right w:val="nil"/>
            </w:tcBorders>
            <w:shd w:val="clear" w:color="auto" w:fill="auto"/>
            <w:noWrap/>
            <w:vAlign w:val="center"/>
          </w:tcPr>
          <w:p w14:paraId="2E9FB645" w14:textId="77777777" w:rsidR="00B75EE8" w:rsidRPr="001B4EE2" w:rsidRDefault="00B75EE8" w:rsidP="00D70128">
            <w:pPr>
              <w:autoSpaceDE/>
              <w:autoSpaceDN/>
              <w:jc w:val="center"/>
              <w:rPr>
                <w:rFonts w:eastAsia="Times New Roman"/>
                <w:i/>
                <w:iCs/>
                <w:color w:val="000000"/>
                <w:sz w:val="20"/>
                <w:lang w:eastAsia="de-DE"/>
              </w:rPr>
            </w:pPr>
            <w:r w:rsidRPr="001B4EE2">
              <w:rPr>
                <w:rFonts w:eastAsia="Times New Roman"/>
                <w:i/>
                <w:iCs/>
                <w:color w:val="000000"/>
                <w:sz w:val="20"/>
                <w:lang w:eastAsia="de-DE"/>
              </w:rPr>
              <w:t>Cr oxidation: 0.33</w:t>
            </w:r>
          </w:p>
        </w:tc>
        <w:tc>
          <w:tcPr>
            <w:tcW w:w="2211" w:type="dxa"/>
            <w:tcBorders>
              <w:left w:val="nil"/>
              <w:right w:val="nil"/>
            </w:tcBorders>
            <w:shd w:val="clear" w:color="auto" w:fill="auto"/>
            <w:noWrap/>
            <w:vAlign w:val="center"/>
          </w:tcPr>
          <w:p w14:paraId="402050EE"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i/>
                <w:iCs/>
                <w:color w:val="000000"/>
                <w:sz w:val="20"/>
                <w:lang w:eastAsia="de-DE"/>
              </w:rPr>
              <w:t>Cr oxidation: 0.02</w:t>
            </w:r>
          </w:p>
        </w:tc>
        <w:tc>
          <w:tcPr>
            <w:tcW w:w="3288" w:type="dxa"/>
            <w:tcBorders>
              <w:left w:val="nil"/>
              <w:right w:val="nil"/>
            </w:tcBorders>
            <w:shd w:val="clear" w:color="auto" w:fill="auto"/>
            <w:noWrap/>
            <w:vAlign w:val="center"/>
          </w:tcPr>
          <w:p w14:paraId="32CD8876"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i/>
                <w:iCs/>
                <w:color w:val="000000"/>
                <w:sz w:val="20"/>
                <w:lang w:eastAsia="de-DE"/>
              </w:rPr>
              <w:t>Oxidation of coated claddings: 0.91</w:t>
            </w:r>
          </w:p>
        </w:tc>
      </w:tr>
      <w:tr w:rsidR="00B75EE8" w:rsidRPr="001B4EE2" w14:paraId="1B977B5D" w14:textId="77777777" w:rsidTr="00D70128">
        <w:trPr>
          <w:trHeight w:val="189"/>
        </w:trPr>
        <w:tc>
          <w:tcPr>
            <w:tcW w:w="1686" w:type="dxa"/>
            <w:vMerge/>
            <w:tcBorders>
              <w:left w:val="nil"/>
              <w:bottom w:val="single" w:sz="4" w:space="0" w:color="auto"/>
              <w:right w:val="nil"/>
            </w:tcBorders>
            <w:shd w:val="clear" w:color="auto" w:fill="auto"/>
            <w:noWrap/>
            <w:vAlign w:val="center"/>
          </w:tcPr>
          <w:p w14:paraId="16B87B9C" w14:textId="77777777" w:rsidR="00B75EE8" w:rsidRPr="001B4EE2" w:rsidRDefault="00B75EE8" w:rsidP="00D70128">
            <w:pPr>
              <w:autoSpaceDE/>
              <w:autoSpaceDN/>
              <w:jc w:val="center"/>
              <w:rPr>
                <w:rFonts w:eastAsia="Times New Roman"/>
                <w:i/>
                <w:iCs/>
                <w:color w:val="000000"/>
                <w:sz w:val="20"/>
                <w:lang w:eastAsia="de-DE"/>
              </w:rPr>
            </w:pPr>
          </w:p>
        </w:tc>
        <w:tc>
          <w:tcPr>
            <w:tcW w:w="2211" w:type="dxa"/>
            <w:tcBorders>
              <w:left w:val="nil"/>
              <w:right w:val="nil"/>
            </w:tcBorders>
            <w:shd w:val="clear" w:color="auto" w:fill="auto"/>
            <w:noWrap/>
            <w:vAlign w:val="center"/>
          </w:tcPr>
          <w:p w14:paraId="3E6AC911"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color w:val="000000"/>
                <w:sz w:val="20"/>
                <w:lang w:eastAsia="de-DE"/>
              </w:rPr>
              <w:t>total: 5.29</w:t>
            </w:r>
          </w:p>
        </w:tc>
        <w:tc>
          <w:tcPr>
            <w:tcW w:w="2211" w:type="dxa"/>
            <w:tcBorders>
              <w:left w:val="nil"/>
              <w:right w:val="nil"/>
            </w:tcBorders>
            <w:shd w:val="clear" w:color="auto" w:fill="auto"/>
            <w:noWrap/>
            <w:vAlign w:val="center"/>
          </w:tcPr>
          <w:p w14:paraId="21B07043"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color w:val="000000"/>
                <w:sz w:val="20"/>
                <w:lang w:eastAsia="de-DE"/>
              </w:rPr>
              <w:t>total: 1.04</w:t>
            </w:r>
          </w:p>
        </w:tc>
        <w:tc>
          <w:tcPr>
            <w:tcW w:w="3288" w:type="dxa"/>
            <w:tcBorders>
              <w:left w:val="nil"/>
              <w:right w:val="nil"/>
            </w:tcBorders>
            <w:shd w:val="clear" w:color="auto" w:fill="auto"/>
            <w:noWrap/>
            <w:vAlign w:val="center"/>
          </w:tcPr>
          <w:p w14:paraId="08CF8113" w14:textId="77777777" w:rsidR="00B75EE8" w:rsidRPr="001B4EE2" w:rsidRDefault="00B75EE8" w:rsidP="00D70128">
            <w:pPr>
              <w:autoSpaceDE/>
              <w:autoSpaceDN/>
              <w:jc w:val="center"/>
              <w:rPr>
                <w:rFonts w:eastAsia="Times New Roman"/>
                <w:color w:val="000000"/>
                <w:sz w:val="20"/>
                <w:lang w:eastAsia="de-DE"/>
              </w:rPr>
            </w:pPr>
            <w:r w:rsidRPr="001B4EE2">
              <w:rPr>
                <w:rFonts w:eastAsia="Times New Roman"/>
                <w:color w:val="000000"/>
                <w:sz w:val="20"/>
                <w:lang w:eastAsia="de-DE"/>
              </w:rPr>
              <w:t>total: 2.48</w:t>
            </w:r>
          </w:p>
        </w:tc>
      </w:tr>
    </w:tbl>
    <w:p w14:paraId="589560FC" w14:textId="77777777" w:rsidR="004D0AD9" w:rsidRPr="00E87AB8" w:rsidRDefault="004D0AD9" w:rsidP="00B75EE8">
      <w:pPr>
        <w:pStyle w:val="Textkrper"/>
        <w:spacing w:before="120"/>
        <w:jc w:val="center"/>
      </w:pPr>
      <w:r w:rsidRPr="00E87AB8">
        <w:rPr>
          <w:noProof/>
          <w:lang w:val="fr-FR" w:eastAsia="fr-FR"/>
        </w:rPr>
        <w:drawing>
          <wp:inline distT="0" distB="0" distL="0" distR="0" wp14:anchorId="72D6EEEC" wp14:editId="6947CB1B">
            <wp:extent cx="4640290" cy="2709863"/>
            <wp:effectExtent l="0" t="0" r="8255" b="0"/>
            <wp:docPr id="1082009054" name="Image 1082009054"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09054" name="Image 1082009054" descr="Ein Bild, das Text, Screenshot, Reihe, Diagramm enthält.&#10;&#10;Automatisch generierte Beschreibu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404" cy="2733289"/>
                    </a:xfrm>
                    <a:prstGeom prst="rect">
                      <a:avLst/>
                    </a:prstGeom>
                    <a:noFill/>
                  </pic:spPr>
                </pic:pic>
              </a:graphicData>
            </a:graphic>
          </wp:inline>
        </w:drawing>
      </w:r>
    </w:p>
    <w:p w14:paraId="75B69A9B" w14:textId="77777777" w:rsidR="004D0AD9" w:rsidRPr="005E3E57" w:rsidRDefault="004D0AD9" w:rsidP="004D0AD9">
      <w:pPr>
        <w:pStyle w:val="Textkrper"/>
        <w:jc w:val="center"/>
        <w:rPr>
          <w:i/>
          <w:iCs/>
          <w:sz w:val="20"/>
        </w:rPr>
      </w:pPr>
      <w:r w:rsidRPr="005E3E57">
        <w:rPr>
          <w:i/>
          <w:iCs/>
          <w:sz w:val="20"/>
        </w:rPr>
        <w:t>FIG. 15. Integral hydrogen release predicted for the CODEX-ATF</w:t>
      </w:r>
    </w:p>
    <w:p w14:paraId="48DA2047" w14:textId="77777777" w:rsidR="00A90E79" w:rsidRPr="001107A2" w:rsidRDefault="00A90E79" w:rsidP="00A90E79">
      <w:pPr>
        <w:pStyle w:val="Heading1st"/>
        <w:rPr>
          <w:b/>
          <w:bCs/>
        </w:rPr>
      </w:pPr>
      <w:r w:rsidRPr="001107A2">
        <w:t>Conclusions</w:t>
      </w:r>
    </w:p>
    <w:p w14:paraId="73151576" w14:textId="77777777" w:rsidR="00A90E79" w:rsidRPr="00E87AB8" w:rsidRDefault="00A90E79" w:rsidP="00A90E79">
      <w:pPr>
        <w:pStyle w:val="Textkrper"/>
      </w:pPr>
      <w:r w:rsidRPr="00E87AB8">
        <w:t>Benchmarks for simulating bundle experiments with ATF cladding materials, organized within the framework of the IAEA ATF-TS project, showed a good possibility of adapting codes for new materials. While the thermal-hydraulic parameters of the experiments were calculated using algorithms already built into the codes, the oxidation modules were modified to take into account the correlations of FeCrAl and Cr oxidation. The oxidation of FeCrAl included the entire operating temperature range, while the behaviour of the chromium coating was described for temperatures below the point of formation of the Cr/Zr eutectic melt. Further research is needed to take into account processes above this eutectic point.</w:t>
      </w:r>
    </w:p>
    <w:p w14:paraId="433FE095" w14:textId="2B6DB890" w:rsidR="00285755" w:rsidRPr="0066420C" w:rsidRDefault="00285755" w:rsidP="00537496">
      <w:pPr>
        <w:pStyle w:val="Otherunnumberedheadings"/>
        <w:rPr>
          <w:color w:val="FF0000"/>
          <w:lang w:eastAsia="zh-CN"/>
        </w:rPr>
      </w:pPr>
      <w:r w:rsidRPr="00285755">
        <w:t>ACKNOWLEDGEMENTS</w:t>
      </w:r>
    </w:p>
    <w:p w14:paraId="7A995963" w14:textId="09C75B27" w:rsidR="005F6667" w:rsidRDefault="00A90E79" w:rsidP="00537496">
      <w:pPr>
        <w:pStyle w:val="Textkrper"/>
      </w:pPr>
      <w:r w:rsidRPr="00E87AB8">
        <w:rPr>
          <w:rFonts w:eastAsia="Times New Roman"/>
        </w:rPr>
        <w:t>This work has been conducted within the framework of IAEA’s Coordinated Research Project on Testing and Simulation for Advanced Technology and Accident Tolerant Fuels (ATF-TS). The authors are grateful to Alejandro Soba, Martin Lemes and Matias Loza (CNEA), Martin Sevecek (CTU), Thorsten Hollands (GRS), Kirill Dolganov and Nikolai Ryzhov (IBRAE), Fabrizio Gabrielli (KIT), Marco Cherubini and Hector Lopez (NINE), Cesar Queral and Kevin Fernández Cosials (UPM), Kenta Inagaki (CRIEPI), Pál Kostka and Gábor Lajtha (NUBIKI) for performing pre- and post-test calculations.</w:t>
      </w:r>
    </w:p>
    <w:p w14:paraId="433FE097" w14:textId="77777777" w:rsidR="00D26ADA" w:rsidRPr="00285755" w:rsidRDefault="00D26ADA" w:rsidP="00537496">
      <w:pPr>
        <w:pStyle w:val="Otherunnumberedheadings"/>
      </w:pPr>
      <w:r>
        <w:lastRenderedPageBreak/>
        <w:t>References</w:t>
      </w:r>
    </w:p>
    <w:p w14:paraId="4F9C2F62" w14:textId="166FB004" w:rsidR="00FC26A4" w:rsidRDefault="00FC26A4" w:rsidP="00FC26A4">
      <w:pPr>
        <w:pStyle w:val="Referencelist"/>
        <w:ind w:left="360"/>
      </w:pPr>
      <w:r>
        <w:t>Kinya Nakamura, Kenta Inagaki, Naoki Tarumi, Juri Stuckert, Martin Sevecek, Behavior of bundles with Cr coated claddings under BDBA conditions at the DEGREE facility, TopFuel 2024, paper A0243.</w:t>
      </w:r>
    </w:p>
    <w:p w14:paraId="35D2A2F6" w14:textId="5E62583F" w:rsidR="00FC26A4" w:rsidRDefault="00FC26A4" w:rsidP="00FC26A4">
      <w:pPr>
        <w:pStyle w:val="Referencelist"/>
        <w:ind w:left="360"/>
      </w:pPr>
      <w:r>
        <w:t>Z. Hózer, R. Farkas, N. Ver, B. Bürger, M. Sevecek, CODEX-ATF: integral bundle test with accident tolerant fuel, TopFuel 2024.</w:t>
      </w:r>
    </w:p>
    <w:p w14:paraId="6CC28178" w14:textId="39BCC4D0" w:rsidR="00FC26A4" w:rsidRDefault="00FC26A4" w:rsidP="00FC26A4">
      <w:pPr>
        <w:pStyle w:val="Referencelist"/>
        <w:ind w:left="360"/>
      </w:pPr>
      <w:r>
        <w:t xml:space="preserve">INTERNATIONAL ATOMIC ENERGY AGENCY, Analysis of Options and Experimental Examination of Fuels for Water Cooled Reactors with Increased Accident Tolerance (ACTOF), IAEA-TECDOC-1921, IAEA, Vienna (2020), </w:t>
      </w:r>
      <w:hyperlink r:id="rId32" w:history="1">
        <w:r w:rsidRPr="001F565F">
          <w:rPr>
            <w:rStyle w:val="Hyperlink"/>
          </w:rPr>
          <w:t>https://www.iaea.org/publications/14691/analysis-of-options-and-experimental-examination-of-fuels-for-water-cooled-reactors-with-increased-accident-tolerance-actof</w:t>
        </w:r>
      </w:hyperlink>
      <w:r>
        <w:t xml:space="preserve">. </w:t>
      </w:r>
    </w:p>
    <w:p w14:paraId="7CEDCB15" w14:textId="010C3277" w:rsidR="00FC26A4" w:rsidRDefault="00FC26A4" w:rsidP="00FC26A4">
      <w:pPr>
        <w:pStyle w:val="Referencelist"/>
        <w:ind w:left="360"/>
      </w:pPr>
      <w:r>
        <w:t xml:space="preserve">Peter Doyle, Juri Stuckert, Mirco Grosse, Martin Steinbrück, Andrew T. Nelson, Jason Harp, Kurt Terrani, Analysis of iron-chromium-aluminum samples exposed to accident conditions followed by quench in the QUENCH-19 experiment, Journal of Nuclear Materials 580 (2023), 154433, </w:t>
      </w:r>
      <w:hyperlink r:id="rId33" w:history="1">
        <w:r w:rsidRPr="001F565F">
          <w:rPr>
            <w:rStyle w:val="Hyperlink"/>
          </w:rPr>
          <w:t>https://doi.org/10.1016/j.jnucmat.2023.154433</w:t>
        </w:r>
      </w:hyperlink>
      <w:r>
        <w:t xml:space="preserve">. </w:t>
      </w:r>
    </w:p>
    <w:p w14:paraId="4994D373" w14:textId="29FB1386" w:rsidR="00FC26A4" w:rsidRDefault="00FC26A4" w:rsidP="00FC26A4">
      <w:pPr>
        <w:pStyle w:val="Referencelist"/>
        <w:ind w:left="360"/>
      </w:pPr>
      <w:r>
        <w:t xml:space="preserve">Martin Steinbrueck,·Mirco Grosse,·Chongchong Tang,·Juri Stuckert, Hans Juergen Seifert, An Overview of Mechanisms of the Degradation of Promising ATF Cladding Materials During Oxidation at High Temperatures, High Temperature Corrosion of Materials, </w:t>
      </w:r>
      <w:hyperlink r:id="rId34" w:history="1">
        <w:r w:rsidRPr="001F565F">
          <w:rPr>
            <w:rStyle w:val="Hyperlink"/>
          </w:rPr>
          <w:t>https://doi.org/10.1007/s11085-024-10229-y</w:t>
        </w:r>
      </w:hyperlink>
      <w:r>
        <w:t xml:space="preserve">. </w:t>
      </w:r>
    </w:p>
    <w:p w14:paraId="6D80AF20" w14:textId="40AFFC8C" w:rsidR="00FC26A4" w:rsidRDefault="00FC26A4" w:rsidP="00FC26A4">
      <w:pPr>
        <w:pStyle w:val="Referencelist"/>
        <w:ind w:left="360"/>
      </w:pPr>
      <w:r>
        <w:t xml:space="preserve">Anil Gurgen, Koroush Shirvan, Estimation of coping time in pressurized water reactors for near term accident tolerant fuel claddings, Nuclear Engineering and Design 337 (2018), 38–50, </w:t>
      </w:r>
      <w:hyperlink r:id="rId35" w:history="1">
        <w:r w:rsidRPr="001F565F">
          <w:rPr>
            <w:rStyle w:val="Hyperlink"/>
          </w:rPr>
          <w:t>https://doi.org/10.1016/j.nucengdes.2018.06.020</w:t>
        </w:r>
      </w:hyperlink>
      <w:r>
        <w:t xml:space="preserve">. </w:t>
      </w:r>
    </w:p>
    <w:p w14:paraId="7CCB6258" w14:textId="0CB0C747" w:rsidR="00FC26A4" w:rsidRDefault="00FC26A4" w:rsidP="00FC26A4">
      <w:pPr>
        <w:pStyle w:val="Referencelist"/>
        <w:ind w:left="360"/>
      </w:pPr>
      <w:r>
        <w:t>Chaewon Kim, Chongchong Tang, Mirco Grosse, Yunhwan Maeng, Changheui Jang, Martin Steinbrueck, Oxidation mechanism and kinetics of nuclear-grade FeCrAl alloys in the temperature range of 500–1500 °C in steam, Journal of Nuclear Materials 564 (2022), 153696, https://doi.org/10.1016/j.jnucmat.2022.153696.</w:t>
      </w:r>
    </w:p>
    <w:p w14:paraId="2188D6C3" w14:textId="77A993ED" w:rsidR="00FC26A4" w:rsidRDefault="00FC26A4" w:rsidP="00FC26A4">
      <w:pPr>
        <w:pStyle w:val="Referencelist"/>
        <w:ind w:left="360"/>
      </w:pPr>
      <w:r>
        <w:t xml:space="preserve">Kevin G. Field, Mary A. Snead, Yukinori Yamamoto, Kurt A. Terrani, Handbook on the Material Properties of FeCrAl Alloys for Nuclear Power Production Applications (FY18 Version: Revision 1), Technical Report ORNL/SPR-2018/905, 2018, </w:t>
      </w:r>
      <w:hyperlink r:id="rId36" w:history="1">
        <w:r w:rsidRPr="001F565F">
          <w:rPr>
            <w:rStyle w:val="Hyperlink"/>
          </w:rPr>
          <w:t>https://doi.org/10.2172/1474581</w:t>
        </w:r>
      </w:hyperlink>
      <w:r>
        <w:t xml:space="preserve">. </w:t>
      </w:r>
    </w:p>
    <w:p w14:paraId="19A3B602" w14:textId="60BCA456" w:rsidR="00FC26A4" w:rsidRDefault="00FC26A4" w:rsidP="00FC26A4">
      <w:pPr>
        <w:pStyle w:val="Referencelist"/>
        <w:ind w:left="360"/>
      </w:pPr>
      <w:r>
        <w:t xml:space="preserve">J.-C. Brachet, E. Rouesne, J. Ribis, T. Guilbert, S. Urvoy, G. Nony, C. Toffolon-Masclet, M. Le Saux, N. Chaabane, H. Palancher, A. David, J. Bischoff, J. Augereau, and E. Pouillier, High temperature steam oxidation of chromium-coated zirconium-based alloys: Kinetics and process, Corrosion Science 167, 108537 (2020), </w:t>
      </w:r>
      <w:hyperlink r:id="rId37" w:history="1">
        <w:r w:rsidRPr="001F565F">
          <w:rPr>
            <w:rStyle w:val="Hyperlink"/>
          </w:rPr>
          <w:t>https://doi.org/10.1016/j.corsci.2020.108537</w:t>
        </w:r>
      </w:hyperlink>
      <w:r>
        <w:t xml:space="preserve">. </w:t>
      </w:r>
    </w:p>
    <w:p w14:paraId="7F59A76D" w14:textId="5081233F" w:rsidR="00FC26A4" w:rsidRDefault="00FC26A4" w:rsidP="00FC26A4">
      <w:pPr>
        <w:pStyle w:val="Referencelist"/>
        <w:ind w:left="360"/>
      </w:pPr>
      <w:r>
        <w:t xml:space="preserve">J. Stuckert, M. Grosse, M. Steinbrueck, M. Walter, A. Wensauer, Results of the QUENCH-LOCA experimental program at KIT, Journal of Nuclear Materials 534 (2020), 152143, </w:t>
      </w:r>
      <w:hyperlink r:id="rId38" w:history="1">
        <w:r w:rsidRPr="001F565F">
          <w:rPr>
            <w:rStyle w:val="Hyperlink"/>
          </w:rPr>
          <w:t>https://doi.org/10.1016/j.jnucmat.2020.152143</w:t>
        </w:r>
      </w:hyperlink>
      <w:r>
        <w:t xml:space="preserve">. </w:t>
      </w:r>
    </w:p>
    <w:sectPr w:rsidR="00FC26A4" w:rsidSect="00E379A5">
      <w:footerReference w:type="first" r:id="rId39"/>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838E8" w14:textId="77777777" w:rsidR="00132A99" w:rsidRDefault="00132A99">
      <w:r>
        <w:separator/>
      </w:r>
    </w:p>
  </w:endnote>
  <w:endnote w:type="continuationSeparator" w:id="0">
    <w:p w14:paraId="626693D4" w14:textId="77777777" w:rsidR="00132A99" w:rsidRDefault="00132A99">
      <w:r>
        <w:continuationSeparator/>
      </w:r>
    </w:p>
  </w:endnote>
  <w:endnote w:type="continuationNotice" w:id="1">
    <w:p w14:paraId="4412924A" w14:textId="77777777" w:rsidR="00132A99" w:rsidRDefault="00132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9167" w14:textId="77777777" w:rsidR="00E379A5" w:rsidRDefault="00E379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31502" w14:textId="77777777" w:rsidR="00132A99" w:rsidRDefault="00132A99">
      <w:r>
        <w:t>___________________________________________________________________________</w:t>
      </w:r>
    </w:p>
  </w:footnote>
  <w:footnote w:type="continuationSeparator" w:id="0">
    <w:p w14:paraId="2D268FE8" w14:textId="77777777" w:rsidR="00132A99" w:rsidRDefault="00132A99">
      <w:r>
        <w:t>___________________________________________________________________________</w:t>
      </w:r>
    </w:p>
  </w:footnote>
  <w:footnote w:type="continuationNotice" w:id="1">
    <w:p w14:paraId="2438D726" w14:textId="77777777" w:rsidR="00132A99" w:rsidRDefault="00132A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0D43A47"/>
    <w:multiLevelType w:val="hybridMultilevel"/>
    <w:tmpl w:val="812E4BE4"/>
    <w:lvl w:ilvl="0" w:tplc="EC72790C">
      <w:start w:val="1"/>
      <w:numFmt w:val="decimal"/>
      <w:pStyle w:val="berschrift1"/>
      <w:lvlText w:val="%1."/>
      <w:lvlJc w:val="left"/>
      <w:pPr>
        <w:ind w:left="3195" w:hanging="360"/>
      </w:pPr>
      <w:rPr>
        <w:rFonts w:ascii="Times New Roman" w:hAnsi="Times New Roman" w:hint="default"/>
        <w:b w:val="0"/>
        <w:i w:val="0"/>
        <w:sz w:val="20"/>
      </w:rPr>
    </w:lvl>
    <w:lvl w:ilvl="1" w:tplc="08090019">
      <w:start w:val="1"/>
      <w:numFmt w:val="lowerLetter"/>
      <w:lvlText w:val="%2."/>
      <w:lvlJc w:val="left"/>
      <w:pPr>
        <w:ind w:left="4275" w:hanging="360"/>
      </w:pPr>
    </w:lvl>
    <w:lvl w:ilvl="2" w:tplc="0809001B">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CCC09564"/>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berschrift2"/>
      <w:suff w:val="space"/>
      <w:lvlText w:val="%1%2."/>
      <w:lvlJc w:val="left"/>
      <w:pPr>
        <w:ind w:left="0" w:firstLine="0"/>
      </w:pPr>
      <w:rPr>
        <w:rFonts w:hint="default"/>
        <w:b w:val="0"/>
        <w:bCs w:val="0"/>
        <w:color w:val="auto"/>
      </w:rPr>
    </w:lvl>
    <w:lvl w:ilvl="2">
      <w:start w:val="1"/>
      <w:numFmt w:val="decimal"/>
      <w:lvlRestart w:val="0"/>
      <w:pStyle w:val="berschrift3"/>
      <w:lvlText w:val="%1%2.%3."/>
      <w:lvlJc w:val="left"/>
      <w:pPr>
        <w:ind w:left="0" w:firstLine="0"/>
      </w:pPr>
      <w:rPr>
        <w:rFonts w:hint="default"/>
      </w:rPr>
    </w:lvl>
    <w:lvl w:ilvl="3">
      <w:start w:val="1"/>
      <w:numFmt w:val="decimal"/>
      <w:lvlRestart w:val="0"/>
      <w:pStyle w:val="berschrift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05076453">
    <w:abstractNumId w:val="8"/>
  </w:num>
  <w:num w:numId="2" w16cid:durableId="52316497">
    <w:abstractNumId w:val="5"/>
  </w:num>
  <w:num w:numId="3" w16cid:durableId="244271101">
    <w:abstractNumId w:val="11"/>
  </w:num>
  <w:num w:numId="4" w16cid:durableId="1523280535">
    <w:abstractNumId w:val="11"/>
  </w:num>
  <w:num w:numId="5" w16cid:durableId="1982273734">
    <w:abstractNumId w:val="11"/>
  </w:num>
  <w:num w:numId="6" w16cid:durableId="2097819785">
    <w:abstractNumId w:val="6"/>
  </w:num>
  <w:num w:numId="7" w16cid:durableId="472022098">
    <w:abstractNumId w:val="9"/>
  </w:num>
  <w:num w:numId="8" w16cid:durableId="1406337744">
    <w:abstractNumId w:val="12"/>
  </w:num>
  <w:num w:numId="9" w16cid:durableId="866792557">
    <w:abstractNumId w:val="1"/>
  </w:num>
  <w:num w:numId="10" w16cid:durableId="1209146421">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lvlText w:val="%1%2."/>
        <w:lvlJc w:val="left"/>
        <w:pPr>
          <w:ind w:left="0" w:firstLine="0"/>
        </w:pPr>
        <w:rPr>
          <w:rFonts w:hint="default"/>
          <w:color w:val="auto"/>
        </w:rPr>
      </w:lvl>
    </w:lvlOverride>
    <w:lvlOverride w:ilvl="2">
      <w:lvl w:ilvl="2">
        <w:start w:val="1"/>
        <w:numFmt w:val="decimal"/>
        <w:lvlRestart w:val="0"/>
        <w:pStyle w:val="berschrift3"/>
        <w:lvlText w:val="%1%2.%3."/>
        <w:lvlJc w:val="left"/>
        <w:pPr>
          <w:ind w:left="0" w:firstLine="0"/>
        </w:pPr>
        <w:rPr>
          <w:rFonts w:hint="default"/>
        </w:rPr>
      </w:lvl>
    </w:lvlOverride>
    <w:lvlOverride w:ilvl="3">
      <w:lvl w:ilvl="3">
        <w:start w:val="1"/>
        <w:numFmt w:val="none"/>
        <w:lvlRestart w:val="0"/>
        <w:pStyle w:val="berschrift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2121801846">
    <w:abstractNumId w:val="11"/>
  </w:num>
  <w:num w:numId="12" w16cid:durableId="966669541">
    <w:abstractNumId w:val="11"/>
  </w:num>
  <w:num w:numId="13" w16cid:durableId="34695917">
    <w:abstractNumId w:val="11"/>
  </w:num>
  <w:num w:numId="14" w16cid:durableId="43608507">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berschrift2"/>
        <w:suff w:val="space"/>
        <w:lvlText w:val="%1%2."/>
        <w:lvlJc w:val="left"/>
        <w:pPr>
          <w:ind w:left="0" w:firstLine="0"/>
        </w:pPr>
        <w:rPr>
          <w:rFonts w:hint="default"/>
          <w:color w:val="auto"/>
        </w:rPr>
      </w:lvl>
    </w:lvlOverride>
    <w:lvlOverride w:ilvl="2">
      <w:lvl w:ilvl="2">
        <w:start w:val="1"/>
        <w:numFmt w:val="decimal"/>
        <w:lvlRestart w:val="0"/>
        <w:pStyle w:val="berschrift3"/>
        <w:suff w:val="space"/>
        <w:lvlText w:val="%1%2.%3."/>
        <w:lvlJc w:val="left"/>
        <w:pPr>
          <w:ind w:left="0" w:firstLine="0"/>
        </w:pPr>
        <w:rPr>
          <w:rFonts w:hint="default"/>
        </w:rPr>
      </w:lvl>
    </w:lvlOverride>
    <w:lvlOverride w:ilvl="3">
      <w:lvl w:ilvl="3">
        <w:start w:val="1"/>
        <w:numFmt w:val="decimal"/>
        <w:lvlRestart w:val="0"/>
        <w:pStyle w:val="berschrift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436898387">
    <w:abstractNumId w:val="11"/>
  </w:num>
  <w:num w:numId="16" w16cid:durableId="13574865">
    <w:abstractNumId w:val="11"/>
  </w:num>
  <w:num w:numId="17" w16cid:durableId="984243408">
    <w:abstractNumId w:val="11"/>
  </w:num>
  <w:num w:numId="18" w16cid:durableId="10376632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896852">
    <w:abstractNumId w:val="11"/>
  </w:num>
  <w:num w:numId="20" w16cid:durableId="1623613834">
    <w:abstractNumId w:val="3"/>
  </w:num>
  <w:num w:numId="21" w16cid:durableId="2085254650">
    <w:abstractNumId w:val="11"/>
  </w:num>
  <w:num w:numId="22" w16cid:durableId="303628930">
    <w:abstractNumId w:val="4"/>
  </w:num>
  <w:num w:numId="23" w16cid:durableId="1824615491">
    <w:abstractNumId w:val="0"/>
  </w:num>
  <w:num w:numId="24" w16cid:durableId="1783844488">
    <w:abstractNumId w:val="10"/>
  </w:num>
  <w:num w:numId="25" w16cid:durableId="2065591972">
    <w:abstractNumId w:val="11"/>
  </w:num>
  <w:num w:numId="26" w16cid:durableId="758407921">
    <w:abstractNumId w:val="11"/>
  </w:num>
  <w:num w:numId="27" w16cid:durableId="973365759">
    <w:abstractNumId w:val="11"/>
  </w:num>
  <w:num w:numId="28" w16cid:durableId="249657462">
    <w:abstractNumId w:val="11"/>
  </w:num>
  <w:num w:numId="29" w16cid:durableId="1654718901">
    <w:abstractNumId w:val="11"/>
  </w:num>
  <w:num w:numId="30" w16cid:durableId="2122601556">
    <w:abstractNumId w:val="7"/>
  </w:num>
  <w:num w:numId="31" w16cid:durableId="422000130">
    <w:abstractNumId w:val="7"/>
  </w:num>
  <w:num w:numId="32" w16cid:durableId="1714161110">
    <w:abstractNumId w:val="11"/>
  </w:num>
  <w:num w:numId="33" w16cid:durableId="379331196">
    <w:abstractNumId w:val="11"/>
  </w:num>
  <w:num w:numId="34" w16cid:durableId="836305476">
    <w:abstractNumId w:val="2"/>
  </w:num>
  <w:num w:numId="35" w16cid:durableId="17125347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414256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3E69"/>
    <w:rsid w:val="000158DA"/>
    <w:rsid w:val="00017748"/>
    <w:rsid w:val="000229AB"/>
    <w:rsid w:val="0002569A"/>
    <w:rsid w:val="00037321"/>
    <w:rsid w:val="00044C72"/>
    <w:rsid w:val="00087DF8"/>
    <w:rsid w:val="00091DEB"/>
    <w:rsid w:val="00093A64"/>
    <w:rsid w:val="000A0299"/>
    <w:rsid w:val="000A2990"/>
    <w:rsid w:val="000A40D8"/>
    <w:rsid w:val="000C4332"/>
    <w:rsid w:val="000D2152"/>
    <w:rsid w:val="000F7E94"/>
    <w:rsid w:val="001119D6"/>
    <w:rsid w:val="00123FBB"/>
    <w:rsid w:val="0012715A"/>
    <w:rsid w:val="0013032C"/>
    <w:rsid w:val="001308F2"/>
    <w:rsid w:val="001313E8"/>
    <w:rsid w:val="00132A99"/>
    <w:rsid w:val="00134186"/>
    <w:rsid w:val="001446AB"/>
    <w:rsid w:val="00151D3B"/>
    <w:rsid w:val="00175EE8"/>
    <w:rsid w:val="00183BC4"/>
    <w:rsid w:val="001A0259"/>
    <w:rsid w:val="001B2DB1"/>
    <w:rsid w:val="001C58F5"/>
    <w:rsid w:val="001D1106"/>
    <w:rsid w:val="001D5CEE"/>
    <w:rsid w:val="001E5D95"/>
    <w:rsid w:val="002071D9"/>
    <w:rsid w:val="0021040F"/>
    <w:rsid w:val="0022083B"/>
    <w:rsid w:val="00221A32"/>
    <w:rsid w:val="0023450F"/>
    <w:rsid w:val="0023466D"/>
    <w:rsid w:val="0025129F"/>
    <w:rsid w:val="00252636"/>
    <w:rsid w:val="00256822"/>
    <w:rsid w:val="00257688"/>
    <w:rsid w:val="0026525A"/>
    <w:rsid w:val="00265C8E"/>
    <w:rsid w:val="002705BC"/>
    <w:rsid w:val="00274790"/>
    <w:rsid w:val="00285755"/>
    <w:rsid w:val="002A1A04"/>
    <w:rsid w:val="002A1F9C"/>
    <w:rsid w:val="002A7340"/>
    <w:rsid w:val="002B29C2"/>
    <w:rsid w:val="002C0317"/>
    <w:rsid w:val="002C29DB"/>
    <w:rsid w:val="002C37F1"/>
    <w:rsid w:val="002C3BAA"/>
    <w:rsid w:val="002C4208"/>
    <w:rsid w:val="002E69A7"/>
    <w:rsid w:val="002F4E23"/>
    <w:rsid w:val="0032528F"/>
    <w:rsid w:val="00332B9D"/>
    <w:rsid w:val="003352AC"/>
    <w:rsid w:val="00352AF7"/>
    <w:rsid w:val="00352DE1"/>
    <w:rsid w:val="003574DC"/>
    <w:rsid w:val="00365BC7"/>
    <w:rsid w:val="0036676C"/>
    <w:rsid w:val="003728E6"/>
    <w:rsid w:val="00382E20"/>
    <w:rsid w:val="00396583"/>
    <w:rsid w:val="003A3492"/>
    <w:rsid w:val="003B5E0E"/>
    <w:rsid w:val="003D255A"/>
    <w:rsid w:val="003E1FBD"/>
    <w:rsid w:val="003E28C8"/>
    <w:rsid w:val="003E7A48"/>
    <w:rsid w:val="003F21FF"/>
    <w:rsid w:val="003F7ACA"/>
    <w:rsid w:val="004045AC"/>
    <w:rsid w:val="00404A1A"/>
    <w:rsid w:val="00412F62"/>
    <w:rsid w:val="004140C9"/>
    <w:rsid w:val="00416949"/>
    <w:rsid w:val="004224C3"/>
    <w:rsid w:val="0042678E"/>
    <w:rsid w:val="00426BA7"/>
    <w:rsid w:val="00435903"/>
    <w:rsid w:val="004370D8"/>
    <w:rsid w:val="0044058F"/>
    <w:rsid w:val="00450E15"/>
    <w:rsid w:val="00472C43"/>
    <w:rsid w:val="00484FD9"/>
    <w:rsid w:val="004863D2"/>
    <w:rsid w:val="004B2960"/>
    <w:rsid w:val="004B35B7"/>
    <w:rsid w:val="004B5A60"/>
    <w:rsid w:val="004B600D"/>
    <w:rsid w:val="004C5DA1"/>
    <w:rsid w:val="004D0AD9"/>
    <w:rsid w:val="004E3CC2"/>
    <w:rsid w:val="00503DF0"/>
    <w:rsid w:val="00511659"/>
    <w:rsid w:val="005139AA"/>
    <w:rsid w:val="005268A1"/>
    <w:rsid w:val="005274B0"/>
    <w:rsid w:val="005337B4"/>
    <w:rsid w:val="00533DFE"/>
    <w:rsid w:val="00537496"/>
    <w:rsid w:val="0054038B"/>
    <w:rsid w:val="00544ED3"/>
    <w:rsid w:val="005513CB"/>
    <w:rsid w:val="00563A56"/>
    <w:rsid w:val="00572E0B"/>
    <w:rsid w:val="00582058"/>
    <w:rsid w:val="0058477B"/>
    <w:rsid w:val="0058654F"/>
    <w:rsid w:val="00596ACA"/>
    <w:rsid w:val="005A612D"/>
    <w:rsid w:val="005B57FC"/>
    <w:rsid w:val="005E39BC"/>
    <w:rsid w:val="005E5D15"/>
    <w:rsid w:val="005F00A0"/>
    <w:rsid w:val="005F6667"/>
    <w:rsid w:val="005F7124"/>
    <w:rsid w:val="006100A7"/>
    <w:rsid w:val="006114BE"/>
    <w:rsid w:val="00612278"/>
    <w:rsid w:val="00617335"/>
    <w:rsid w:val="00630614"/>
    <w:rsid w:val="00630C4A"/>
    <w:rsid w:val="00630EA1"/>
    <w:rsid w:val="00634601"/>
    <w:rsid w:val="00647F33"/>
    <w:rsid w:val="00653E1B"/>
    <w:rsid w:val="00662532"/>
    <w:rsid w:val="0066420C"/>
    <w:rsid w:val="0066655B"/>
    <w:rsid w:val="006904BE"/>
    <w:rsid w:val="006A35E8"/>
    <w:rsid w:val="006B2274"/>
    <w:rsid w:val="006D0CDB"/>
    <w:rsid w:val="006E5F2D"/>
    <w:rsid w:val="00712E17"/>
    <w:rsid w:val="00713095"/>
    <w:rsid w:val="00716654"/>
    <w:rsid w:val="00717C6F"/>
    <w:rsid w:val="00725E3B"/>
    <w:rsid w:val="007263AE"/>
    <w:rsid w:val="00726D85"/>
    <w:rsid w:val="00733153"/>
    <w:rsid w:val="00743982"/>
    <w:rsid w:val="007445DA"/>
    <w:rsid w:val="00753D8D"/>
    <w:rsid w:val="00755AD4"/>
    <w:rsid w:val="00755DE1"/>
    <w:rsid w:val="0076422C"/>
    <w:rsid w:val="007739DD"/>
    <w:rsid w:val="007919EE"/>
    <w:rsid w:val="007A5291"/>
    <w:rsid w:val="007B4FD1"/>
    <w:rsid w:val="007B6350"/>
    <w:rsid w:val="007C75FA"/>
    <w:rsid w:val="007E79CD"/>
    <w:rsid w:val="007F2D28"/>
    <w:rsid w:val="00802381"/>
    <w:rsid w:val="008027C6"/>
    <w:rsid w:val="008163B9"/>
    <w:rsid w:val="00820FAF"/>
    <w:rsid w:val="0083096A"/>
    <w:rsid w:val="0083137C"/>
    <w:rsid w:val="0084544D"/>
    <w:rsid w:val="00855B67"/>
    <w:rsid w:val="00864CEC"/>
    <w:rsid w:val="0086759F"/>
    <w:rsid w:val="008707EE"/>
    <w:rsid w:val="00871F40"/>
    <w:rsid w:val="00883848"/>
    <w:rsid w:val="00895560"/>
    <w:rsid w:val="00897ED5"/>
    <w:rsid w:val="008B6BB9"/>
    <w:rsid w:val="008D66C6"/>
    <w:rsid w:val="008E4F2D"/>
    <w:rsid w:val="008F4120"/>
    <w:rsid w:val="008F474A"/>
    <w:rsid w:val="008F684E"/>
    <w:rsid w:val="009109FA"/>
    <w:rsid w:val="0091152D"/>
    <w:rsid w:val="00911543"/>
    <w:rsid w:val="009239C7"/>
    <w:rsid w:val="00924A83"/>
    <w:rsid w:val="009519C9"/>
    <w:rsid w:val="0095504E"/>
    <w:rsid w:val="00956F32"/>
    <w:rsid w:val="0096361A"/>
    <w:rsid w:val="0096379C"/>
    <w:rsid w:val="0097242A"/>
    <w:rsid w:val="009824F6"/>
    <w:rsid w:val="00996D55"/>
    <w:rsid w:val="009D0B86"/>
    <w:rsid w:val="009D3721"/>
    <w:rsid w:val="009E0D5B"/>
    <w:rsid w:val="009E1558"/>
    <w:rsid w:val="009E7847"/>
    <w:rsid w:val="009F1A9A"/>
    <w:rsid w:val="00A07B8C"/>
    <w:rsid w:val="00A102F7"/>
    <w:rsid w:val="00A22718"/>
    <w:rsid w:val="00A233D1"/>
    <w:rsid w:val="00A35964"/>
    <w:rsid w:val="00A371E3"/>
    <w:rsid w:val="00A41424"/>
    <w:rsid w:val="00A4171C"/>
    <w:rsid w:val="00A42898"/>
    <w:rsid w:val="00A45E2C"/>
    <w:rsid w:val="00A57919"/>
    <w:rsid w:val="00A60439"/>
    <w:rsid w:val="00A6176A"/>
    <w:rsid w:val="00A733CB"/>
    <w:rsid w:val="00A77686"/>
    <w:rsid w:val="00A80359"/>
    <w:rsid w:val="00A87D4A"/>
    <w:rsid w:val="00A90E79"/>
    <w:rsid w:val="00AB6ACE"/>
    <w:rsid w:val="00AC4171"/>
    <w:rsid w:val="00AC5A3A"/>
    <w:rsid w:val="00AD005B"/>
    <w:rsid w:val="00AE166E"/>
    <w:rsid w:val="00AE3D73"/>
    <w:rsid w:val="00AE48C4"/>
    <w:rsid w:val="00B15EAC"/>
    <w:rsid w:val="00B24F8A"/>
    <w:rsid w:val="00B42408"/>
    <w:rsid w:val="00B55276"/>
    <w:rsid w:val="00B604BE"/>
    <w:rsid w:val="00B641A5"/>
    <w:rsid w:val="00B72C51"/>
    <w:rsid w:val="00B75EE8"/>
    <w:rsid w:val="00B82FA5"/>
    <w:rsid w:val="00B922A2"/>
    <w:rsid w:val="00BC6BAA"/>
    <w:rsid w:val="00BD1400"/>
    <w:rsid w:val="00BD5763"/>
    <w:rsid w:val="00BD605C"/>
    <w:rsid w:val="00BE2A76"/>
    <w:rsid w:val="00BE2EC3"/>
    <w:rsid w:val="00BF1901"/>
    <w:rsid w:val="00C10BEC"/>
    <w:rsid w:val="00C31F15"/>
    <w:rsid w:val="00C324D9"/>
    <w:rsid w:val="00C55A35"/>
    <w:rsid w:val="00C65E60"/>
    <w:rsid w:val="00C66324"/>
    <w:rsid w:val="00C709A0"/>
    <w:rsid w:val="00C80EFC"/>
    <w:rsid w:val="00C8527C"/>
    <w:rsid w:val="00C94D5D"/>
    <w:rsid w:val="00CA0102"/>
    <w:rsid w:val="00CA7591"/>
    <w:rsid w:val="00CC0942"/>
    <w:rsid w:val="00CE5A52"/>
    <w:rsid w:val="00CF7AF3"/>
    <w:rsid w:val="00D04D6A"/>
    <w:rsid w:val="00D26ADA"/>
    <w:rsid w:val="00D35A78"/>
    <w:rsid w:val="00D555A1"/>
    <w:rsid w:val="00D62E8E"/>
    <w:rsid w:val="00D64DC2"/>
    <w:rsid w:val="00DA46CA"/>
    <w:rsid w:val="00DA4E1E"/>
    <w:rsid w:val="00DD6B09"/>
    <w:rsid w:val="00DE1371"/>
    <w:rsid w:val="00DE297E"/>
    <w:rsid w:val="00DF21EB"/>
    <w:rsid w:val="00E03BF3"/>
    <w:rsid w:val="00E20E70"/>
    <w:rsid w:val="00E22CEA"/>
    <w:rsid w:val="00E24D6A"/>
    <w:rsid w:val="00E25B68"/>
    <w:rsid w:val="00E379A5"/>
    <w:rsid w:val="00E6226A"/>
    <w:rsid w:val="00E65835"/>
    <w:rsid w:val="00E66C09"/>
    <w:rsid w:val="00E84003"/>
    <w:rsid w:val="00E9339D"/>
    <w:rsid w:val="00EA5785"/>
    <w:rsid w:val="00EB7E8A"/>
    <w:rsid w:val="00EC10FC"/>
    <w:rsid w:val="00ED01EC"/>
    <w:rsid w:val="00ED0A99"/>
    <w:rsid w:val="00ED3C90"/>
    <w:rsid w:val="00ED6912"/>
    <w:rsid w:val="00EE0041"/>
    <w:rsid w:val="00EE29B9"/>
    <w:rsid w:val="00EE6821"/>
    <w:rsid w:val="00F00080"/>
    <w:rsid w:val="00F004EE"/>
    <w:rsid w:val="00F31005"/>
    <w:rsid w:val="00F36C0D"/>
    <w:rsid w:val="00F42E23"/>
    <w:rsid w:val="00F441EC"/>
    <w:rsid w:val="00F45EEE"/>
    <w:rsid w:val="00F50D72"/>
    <w:rsid w:val="00F51E9C"/>
    <w:rsid w:val="00F523CA"/>
    <w:rsid w:val="00F653BB"/>
    <w:rsid w:val="00F73892"/>
    <w:rsid w:val="00F74A9D"/>
    <w:rsid w:val="00F96F17"/>
    <w:rsid w:val="00FC26A4"/>
    <w:rsid w:val="00FC792E"/>
    <w:rsid w:val="00FE4219"/>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lsdException w:name="heading 2" w:locked="0" w:uiPriority="4"/>
    <w:lsdException w:name="heading 3" w:locked="0" w:uiPriority="4"/>
    <w:lsdException w:name="heading 4" w:locked="0" w:uiPriority="0"/>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Standard">
    <w:name w:val="Normal"/>
    <w:uiPriority w:val="49"/>
    <w:rsid w:val="00CF7AF3"/>
    <w:pPr>
      <w:overflowPunct w:val="0"/>
      <w:autoSpaceDE w:val="0"/>
      <w:autoSpaceDN w:val="0"/>
      <w:adjustRightInd w:val="0"/>
      <w:textAlignment w:val="baseline"/>
    </w:pPr>
    <w:rPr>
      <w:sz w:val="22"/>
      <w:lang w:eastAsia="en-US"/>
    </w:rPr>
  </w:style>
  <w:style w:type="paragraph" w:styleId="berschrift1">
    <w:name w:val="heading 1"/>
    <w:aliases w:val="Headin"/>
    <w:link w:val="berschrift1Zchn"/>
    <w:uiPriority w:val="4"/>
    <w:rsid w:val="00B42408"/>
    <w:pPr>
      <w:widowControl w:val="0"/>
      <w:numPr>
        <w:numId w:val="34"/>
      </w:numPr>
      <w:spacing w:before="100" w:beforeAutospacing="1" w:after="100" w:afterAutospacing="1" w:line="280" w:lineRule="atLeast"/>
      <w:ind w:left="0" w:firstLine="0"/>
      <w:outlineLvl w:val="0"/>
    </w:pPr>
    <w:rPr>
      <w:rFonts w:cs="Arial"/>
      <w:bCs/>
      <w:caps/>
      <w:szCs w:val="32"/>
      <w:lang w:eastAsia="en-US"/>
    </w:rPr>
  </w:style>
  <w:style w:type="paragraph" w:styleId="berschrift2">
    <w:name w:val="heading 2"/>
    <w:aliases w:val="1st Level Heading"/>
    <w:next w:val="Textkrper"/>
    <w:uiPriority w:val="4"/>
    <w:rsid w:val="00EE0041"/>
    <w:pPr>
      <w:widowControl w:val="0"/>
      <w:numPr>
        <w:ilvl w:val="1"/>
        <w:numId w:val="12"/>
      </w:numPr>
      <w:spacing w:before="100" w:beforeAutospacing="1" w:after="100" w:afterAutospacing="1" w:line="280" w:lineRule="atLeast"/>
      <w:outlineLvl w:val="1"/>
    </w:pPr>
    <w:rPr>
      <w:caps/>
      <w:lang w:eastAsia="en-US"/>
    </w:rPr>
  </w:style>
  <w:style w:type="paragraph" w:styleId="berschrift3">
    <w:name w:val="heading 3"/>
    <w:aliases w:val="Heading"/>
    <w:next w:val="Textkrper"/>
    <w:link w:val="berschrift3Zchn"/>
    <w:uiPriority w:val="4"/>
    <w:rsid w:val="00897ED5"/>
    <w:pPr>
      <w:widowControl w:val="0"/>
      <w:numPr>
        <w:ilvl w:val="2"/>
        <w:numId w:val="12"/>
      </w:numPr>
      <w:spacing w:before="240" w:after="240" w:line="240" w:lineRule="exact"/>
      <w:outlineLvl w:val="2"/>
    </w:pPr>
    <w:rPr>
      <w:b/>
      <w:lang w:eastAsia="en-US"/>
    </w:rPr>
  </w:style>
  <w:style w:type="paragraph" w:styleId="berschrift4">
    <w:name w:val="heading 4"/>
    <w:aliases w:val="3rd level paper heading"/>
    <w:basedOn w:val="Standard"/>
    <w:next w:val="Textkrper"/>
    <w:link w:val="berschrift4Zchn"/>
    <w:uiPriority w:val="4"/>
    <w:rsid w:val="00897ED5"/>
    <w:pPr>
      <w:widowControl w:val="0"/>
      <w:numPr>
        <w:ilvl w:val="3"/>
        <w:numId w:val="12"/>
      </w:numPr>
      <w:spacing w:before="100" w:beforeAutospacing="1" w:after="100" w:afterAutospacing="1" w:line="240" w:lineRule="atLeast"/>
      <w:outlineLvl w:val="3"/>
    </w:pPr>
    <w:rPr>
      <w:i/>
      <w:sz w:val="20"/>
      <w:lang w:val="en-US"/>
    </w:rPr>
  </w:style>
  <w:style w:type="paragraph" w:styleId="berschrift5">
    <w:name w:val="heading 5"/>
    <w:basedOn w:val="Standard"/>
    <w:next w:val="Standard"/>
    <w:uiPriority w:val="19"/>
    <w:locked/>
    <w:pPr>
      <w:overflowPunct/>
      <w:autoSpaceDE/>
      <w:autoSpaceDN/>
      <w:adjustRightInd/>
      <w:spacing w:before="240" w:after="60"/>
      <w:textAlignment w:val="auto"/>
      <w:outlineLvl w:val="4"/>
    </w:pPr>
    <w:rPr>
      <w:b/>
      <w:bCs/>
      <w:i/>
      <w:iCs/>
      <w:sz w:val="26"/>
      <w:szCs w:val="26"/>
      <w:lang w:val="en-US"/>
    </w:rPr>
  </w:style>
  <w:style w:type="paragraph" w:styleId="berschrift6">
    <w:name w:val="heading 6"/>
    <w:basedOn w:val="Standard"/>
    <w:next w:val="Standard"/>
    <w:uiPriority w:val="19"/>
    <w:locked/>
    <w:pPr>
      <w:overflowPunct/>
      <w:autoSpaceDE/>
      <w:autoSpaceDN/>
      <w:adjustRightInd/>
      <w:spacing w:before="240" w:after="60"/>
      <w:textAlignment w:val="auto"/>
      <w:outlineLvl w:val="5"/>
    </w:pPr>
    <w:rPr>
      <w:b/>
      <w:bCs/>
      <w:szCs w:val="22"/>
      <w:lang w:val="en-US"/>
    </w:rPr>
  </w:style>
  <w:style w:type="paragraph" w:styleId="berschrift7">
    <w:name w:val="heading 7"/>
    <w:basedOn w:val="Standard"/>
    <w:next w:val="Standard"/>
    <w:uiPriority w:val="19"/>
    <w:locked/>
    <w:pPr>
      <w:overflowPunct/>
      <w:autoSpaceDE/>
      <w:autoSpaceDN/>
      <w:adjustRightInd/>
      <w:spacing w:before="240" w:after="60"/>
      <w:textAlignment w:val="auto"/>
      <w:outlineLvl w:val="6"/>
    </w:pPr>
    <w:rPr>
      <w:szCs w:val="24"/>
      <w:lang w:val="en-US"/>
    </w:rPr>
  </w:style>
  <w:style w:type="paragraph" w:styleId="berschrift8">
    <w:name w:val="heading 8"/>
    <w:basedOn w:val="Standard"/>
    <w:next w:val="Standard"/>
    <w:uiPriority w:val="19"/>
    <w:locked/>
    <w:pPr>
      <w:overflowPunct/>
      <w:autoSpaceDE/>
      <w:autoSpaceDN/>
      <w:adjustRightInd/>
      <w:spacing w:before="240" w:after="60"/>
      <w:textAlignment w:val="auto"/>
      <w:outlineLvl w:val="7"/>
    </w:pPr>
    <w:rPr>
      <w:i/>
      <w:iCs/>
      <w:szCs w:val="24"/>
      <w:lang w:val="en-US"/>
    </w:rPr>
  </w:style>
  <w:style w:type="paragraph" w:styleId="berschrift9">
    <w:name w:val="heading 9"/>
    <w:basedOn w:val="Standard"/>
    <w:next w:val="Standard"/>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link w:val="TextkrperZchn"/>
    <w:qFormat/>
    <w:rsid w:val="005268A1"/>
    <w:pPr>
      <w:spacing w:after="120" w:line="260" w:lineRule="atLeast"/>
      <w:jc w:val="both"/>
    </w:pPr>
    <w:rPr>
      <w:sz w:val="22"/>
      <w:lang w:eastAsia="en-US"/>
    </w:rPr>
  </w:style>
  <w:style w:type="paragraph" w:styleId="Textkrper-Zeileneinzug">
    <w:name w:val="Body Text Indent"/>
    <w:basedOn w:val="Textkrper"/>
    <w:uiPriority w:val="49"/>
    <w:locked/>
    <w:pPr>
      <w:ind w:left="1134" w:hanging="675"/>
    </w:pPr>
  </w:style>
  <w:style w:type="paragraph" w:customStyle="1" w:styleId="BodyTextMultiline">
    <w:name w:val="Body Text Multiline"/>
    <w:basedOn w:val="Textkrper"/>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Beschriftung">
    <w:name w:val="caption"/>
    <w:next w:val="Standard"/>
    <w:uiPriority w:val="49"/>
    <w:pPr>
      <w:spacing w:after="85"/>
    </w:pPr>
    <w:rPr>
      <w:bCs/>
      <w:sz w:val="18"/>
      <w:lang w:val="en-US" w:eastAsia="en-US"/>
    </w:rPr>
  </w:style>
  <w:style w:type="paragraph" w:styleId="Fuzeile">
    <w:name w:val="footer"/>
    <w:basedOn w:val="Standard"/>
    <w:link w:val="FuzeileZchn"/>
    <w:uiPriority w:val="99"/>
    <w:locked/>
    <w:pPr>
      <w:overflowPunct/>
      <w:autoSpaceDE/>
      <w:autoSpaceDN/>
      <w:adjustRightInd/>
      <w:textAlignment w:val="auto"/>
    </w:pPr>
    <w:rPr>
      <w:sz w:val="2"/>
      <w:lang w:val="en-US"/>
    </w:rPr>
  </w:style>
  <w:style w:type="paragraph" w:styleId="Funotentext">
    <w:name w:val="footnote text"/>
    <w:semiHidden/>
    <w:locked/>
    <w:pPr>
      <w:tabs>
        <w:tab w:val="left" w:pos="459"/>
      </w:tabs>
      <w:spacing w:before="142"/>
      <w:ind w:left="459"/>
      <w:jc w:val="both"/>
    </w:pPr>
    <w:rPr>
      <w:sz w:val="18"/>
      <w:lang w:eastAsia="en-US"/>
    </w:rPr>
  </w:style>
  <w:style w:type="paragraph" w:styleId="Kopfzeile">
    <w:name w:val="header"/>
    <w:next w:val="Textkrper"/>
    <w:link w:val="KopfzeileZchn"/>
    <w:uiPriority w:val="9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krper"/>
    <w:uiPriority w:val="6"/>
    <w:qFormat/>
    <w:rsid w:val="00717C6F"/>
    <w:pPr>
      <w:numPr>
        <w:numId w:val="20"/>
      </w:numPr>
      <w:ind w:left="709"/>
    </w:pPr>
  </w:style>
  <w:style w:type="paragraph" w:customStyle="1" w:styleId="ListNumbered">
    <w:name w:val="List Numbered"/>
    <w:basedOn w:val="Textkrper"/>
    <w:uiPriority w:val="5"/>
    <w:qFormat/>
    <w:locked/>
    <w:rsid w:val="00717C6F"/>
    <w:pPr>
      <w:numPr>
        <w:numId w:val="22"/>
      </w:numPr>
    </w:pPr>
  </w:style>
  <w:style w:type="paragraph" w:styleId="Titel">
    <w:name w:val="Title"/>
    <w:uiPriority w:val="2"/>
    <w:qFormat/>
    <w:locked/>
    <w:rsid w:val="00BC6BAA"/>
    <w:pPr>
      <w:spacing w:line="280" w:lineRule="atLeast"/>
      <w:ind w:left="567" w:right="567"/>
      <w:jc w:val="center"/>
      <w:outlineLvl w:val="0"/>
    </w:pPr>
    <w:rPr>
      <w:rFonts w:ascii="Times New Roman Bold" w:hAnsi="Times New Roman Bold" w:cs="Arial"/>
      <w:b/>
      <w:bCs/>
      <w:caps/>
      <w:sz w:val="24"/>
      <w:szCs w:val="32"/>
      <w:lang w:eastAsia="en-US"/>
    </w:rPr>
  </w:style>
  <w:style w:type="paragraph" w:customStyle="1" w:styleId="zyxConfid2Red">
    <w:name w:val="zyxConfid2Red"/>
    <w:basedOn w:val="Standard"/>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Standard"/>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Standard"/>
    <w:uiPriority w:val="49"/>
    <w:locked/>
    <w:pPr>
      <w:keepNext/>
      <w:spacing w:after="10"/>
    </w:pPr>
    <w:rPr>
      <w:rFonts w:ascii="Arial" w:hAnsi="Arial"/>
      <w:b/>
      <w:sz w:val="13"/>
    </w:rPr>
  </w:style>
  <w:style w:type="paragraph" w:customStyle="1" w:styleId="zyxP1Footer">
    <w:name w:val="zyxP1_Footer"/>
    <w:basedOn w:val="Standard"/>
    <w:uiPriority w:val="49"/>
    <w:locked/>
    <w:pPr>
      <w:widowControl w:val="0"/>
      <w:spacing w:line="160" w:lineRule="exact"/>
      <w:ind w:left="108"/>
    </w:pPr>
    <w:rPr>
      <w:sz w:val="14"/>
    </w:rPr>
  </w:style>
  <w:style w:type="paragraph" w:customStyle="1" w:styleId="zyxSensitivity">
    <w:name w:val="zyxSensitivity"/>
    <w:basedOn w:val="Standard"/>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Standard"/>
    <w:uiPriority w:val="49"/>
    <w:locked/>
    <w:pPr>
      <w:keepNext/>
      <w:spacing w:line="420" w:lineRule="exact"/>
    </w:pPr>
    <w:rPr>
      <w:rFonts w:ascii="Arial" w:hAnsi="Arial"/>
      <w:sz w:val="40"/>
    </w:rPr>
  </w:style>
  <w:style w:type="character" w:styleId="Funotenzeichen">
    <w:name w:val="footnote reference"/>
    <w:basedOn w:val="Absatz-Standardschriftart"/>
    <w:semiHidden/>
    <w:locked/>
    <w:rPr>
      <w:vertAlign w:val="superscript"/>
    </w:rPr>
  </w:style>
  <w:style w:type="paragraph" w:styleId="Untertitel">
    <w:name w:val="Subtitle"/>
    <w:uiPriority w:val="3"/>
    <w:qFormat/>
    <w:rsid w:val="00A80359"/>
    <w:pPr>
      <w:spacing w:after="100" w:afterAutospacing="1" w:line="280" w:lineRule="atLeast"/>
      <w:ind w:left="567" w:right="567"/>
      <w:contextualSpacing/>
      <w:jc w:val="center"/>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krper"/>
    <w:uiPriority w:val="49"/>
    <w:locked/>
    <w:pPr>
      <w:spacing w:line="280" w:lineRule="exact"/>
      <w:jc w:val="right"/>
    </w:pPr>
    <w:rPr>
      <w:rFonts w:ascii="Arial" w:hAnsi="Arial" w:cs="Arial"/>
      <w:b/>
      <w:bCs/>
      <w:caps/>
      <w:sz w:val="24"/>
    </w:rPr>
  </w:style>
  <w:style w:type="paragraph" w:customStyle="1" w:styleId="zyxClassification2">
    <w:name w:val="zyxClassification2"/>
    <w:basedOn w:val="Fuzeil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uzeileZchn">
    <w:name w:val="Fußzeile Zchn"/>
    <w:basedOn w:val="Absatz-Standardschriftart"/>
    <w:link w:val="Fuzeile"/>
    <w:uiPriority w:val="99"/>
    <w:rsid w:val="00037321"/>
    <w:rPr>
      <w:sz w:val="2"/>
      <w:lang w:val="en-US" w:eastAsia="en-US"/>
    </w:rPr>
  </w:style>
  <w:style w:type="paragraph" w:customStyle="1" w:styleId="Runninghead">
    <w:name w:val="Running head"/>
    <w:basedOn w:val="Standard"/>
    <w:link w:val="RunningheadChar"/>
    <w:uiPriority w:val="49"/>
    <w:rsid w:val="00B82FA5"/>
    <w:pPr>
      <w:jc w:val="center"/>
    </w:pPr>
    <w:rPr>
      <w:b/>
      <w:sz w:val="16"/>
      <w:szCs w:val="16"/>
    </w:rPr>
  </w:style>
  <w:style w:type="paragraph" w:customStyle="1" w:styleId="Authornameandaffiliation">
    <w:name w:val="Author name and affiliation"/>
    <w:link w:val="AuthornameandaffiliationChar"/>
    <w:uiPriority w:val="49"/>
    <w:qFormat/>
    <w:rsid w:val="007C75FA"/>
    <w:pPr>
      <w:ind w:left="567"/>
      <w:contextualSpacing/>
    </w:pPr>
    <w:rPr>
      <w:sz w:val="22"/>
      <w:lang w:val="en-US" w:eastAsia="en-US"/>
    </w:rPr>
  </w:style>
  <w:style w:type="character" w:customStyle="1" w:styleId="RunningheadChar">
    <w:name w:val="Running head Char"/>
    <w:basedOn w:val="Absatz-Standardschriftart"/>
    <w:link w:val="Runninghead"/>
    <w:uiPriority w:val="49"/>
    <w:rsid w:val="00B82FA5"/>
    <w:rPr>
      <w:b/>
      <w:sz w:val="16"/>
      <w:szCs w:val="16"/>
      <w:lang w:eastAsia="en-US"/>
    </w:rPr>
  </w:style>
  <w:style w:type="paragraph" w:customStyle="1" w:styleId="Introductiontitle">
    <w:name w:val="Introduction title"/>
    <w:basedOn w:val="Authornameandaffiliation"/>
    <w:link w:val="IntroductiontitleChar"/>
    <w:autoRedefine/>
    <w:uiPriority w:val="49"/>
    <w:qFormat/>
    <w:rsid w:val="004140C9"/>
    <w:pPr>
      <w:spacing w:line="240" w:lineRule="atLeast"/>
      <w:ind w:left="0" w:firstLine="567"/>
    </w:pPr>
  </w:style>
  <w:style w:type="character" w:customStyle="1" w:styleId="TextkrperZchn">
    <w:name w:val="Textkörper Zchn"/>
    <w:basedOn w:val="Absatz-Standardschriftart"/>
    <w:link w:val="Textkrper"/>
    <w:rsid w:val="005268A1"/>
    <w:rPr>
      <w:sz w:val="22"/>
      <w:lang w:eastAsia="en-US"/>
    </w:rPr>
  </w:style>
  <w:style w:type="character" w:customStyle="1" w:styleId="AuthornameandaffiliationChar">
    <w:name w:val="Author name and affiliation Char"/>
    <w:basedOn w:val="TextkrperZchn"/>
    <w:link w:val="Authornameandaffiliation"/>
    <w:uiPriority w:val="49"/>
    <w:rsid w:val="007C75FA"/>
    <w:rPr>
      <w:sz w:val="22"/>
      <w:lang w:val="en-US" w:eastAsia="en-US"/>
    </w:rPr>
  </w:style>
  <w:style w:type="table" w:styleId="Tabellenraster">
    <w:name w:val="Table Grid"/>
    <w:basedOn w:val="NormaleTabelle"/>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titleChar">
    <w:name w:val="Introduction title Char"/>
    <w:basedOn w:val="AuthornameandaffiliationChar"/>
    <w:link w:val="Introductiontitle"/>
    <w:uiPriority w:val="49"/>
    <w:rsid w:val="004140C9"/>
    <w:rPr>
      <w:sz w:val="22"/>
      <w:lang w:val="en-US" w:eastAsia="en-US"/>
    </w:rPr>
  </w:style>
  <w:style w:type="paragraph" w:styleId="Sprechblasentext">
    <w:name w:val="Balloon Text"/>
    <w:basedOn w:val="Standard"/>
    <w:link w:val="SprechblasentextZchn"/>
    <w:uiPriority w:val="49"/>
    <w:locked/>
    <w:rsid w:val="005F00A0"/>
    <w:rPr>
      <w:rFonts w:ascii="Tahoma" w:hAnsi="Tahoma" w:cs="Tahoma"/>
      <w:sz w:val="16"/>
      <w:szCs w:val="16"/>
    </w:rPr>
  </w:style>
  <w:style w:type="character" w:customStyle="1" w:styleId="SprechblasentextZchn">
    <w:name w:val="Sprechblasentext Zchn"/>
    <w:basedOn w:val="Absatz-Standardschriftart"/>
    <w:link w:val="Sprechblasentext"/>
    <w:uiPriority w:val="49"/>
    <w:rsid w:val="005F00A0"/>
    <w:rPr>
      <w:rFonts w:ascii="Tahoma" w:hAnsi="Tahoma" w:cs="Tahoma"/>
      <w:sz w:val="16"/>
      <w:szCs w:val="16"/>
      <w:lang w:eastAsia="en-US"/>
    </w:rPr>
  </w:style>
  <w:style w:type="paragraph" w:customStyle="1" w:styleId="Figurecaption">
    <w:name w:val="Figure caption"/>
    <w:basedOn w:val="Textkrper"/>
    <w:link w:val="FigurecaptionChar"/>
    <w:uiPriority w:val="49"/>
    <w:qFormat/>
    <w:locked/>
    <w:rsid w:val="007C75FA"/>
    <w:pPr>
      <w:jc w:val="center"/>
    </w:pPr>
    <w:rPr>
      <w:i/>
      <w:sz w:val="20"/>
    </w:rPr>
  </w:style>
  <w:style w:type="paragraph" w:customStyle="1" w:styleId="Otherunnumberedheadings">
    <w:name w:val="Other unnumbered headings"/>
    <w:next w:val="Textkrper"/>
    <w:link w:val="OtherunnumberedheadingsChar"/>
    <w:uiPriority w:val="49"/>
    <w:qFormat/>
    <w:locked/>
    <w:rsid w:val="005268A1"/>
    <w:pPr>
      <w:spacing w:before="100" w:beforeAutospacing="1" w:after="100" w:afterAutospacing="1" w:line="260" w:lineRule="atLeast"/>
      <w:jc w:val="center"/>
    </w:pPr>
    <w:rPr>
      <w:rFonts w:ascii="Times New Roman Bold" w:hAnsi="Times New Roman Bold"/>
      <w:b/>
      <w:caps/>
      <w:sz w:val="22"/>
      <w:lang w:eastAsia="en-US"/>
    </w:rPr>
  </w:style>
  <w:style w:type="character" w:customStyle="1" w:styleId="FigurecaptionChar">
    <w:name w:val="Figure caption Char"/>
    <w:basedOn w:val="TextkrperZchn"/>
    <w:link w:val="Figurecaption"/>
    <w:uiPriority w:val="49"/>
    <w:rsid w:val="007C75FA"/>
    <w:rPr>
      <w:i/>
      <w:sz w:val="22"/>
      <w:lang w:eastAsia="en-US"/>
    </w:rPr>
  </w:style>
  <w:style w:type="paragraph" w:customStyle="1" w:styleId="Referencelist">
    <w:name w:val="Reference list"/>
    <w:basedOn w:val="Textkrper"/>
    <w:link w:val="ReferencelistChar"/>
    <w:uiPriority w:val="49"/>
    <w:qFormat/>
    <w:rsid w:val="005268A1"/>
    <w:pPr>
      <w:numPr>
        <w:numId w:val="30"/>
      </w:numPr>
      <w:spacing w:after="0"/>
      <w:ind w:left="714" w:hanging="357"/>
    </w:pPr>
    <w:rPr>
      <w:sz w:val="20"/>
      <w:szCs w:val="18"/>
    </w:rPr>
  </w:style>
  <w:style w:type="character" w:customStyle="1" w:styleId="OtherunnumberedheadingsChar">
    <w:name w:val="Other unnumbered headings Char"/>
    <w:basedOn w:val="TextkrperZchn"/>
    <w:link w:val="Otherunnumberedheadings"/>
    <w:uiPriority w:val="49"/>
    <w:rsid w:val="005268A1"/>
    <w:rPr>
      <w:rFonts w:ascii="Times New Roman Bold" w:hAnsi="Times New Roman Bold"/>
      <w:b/>
      <w:caps/>
      <w:sz w:val="22"/>
      <w:lang w:eastAsia="en-US"/>
    </w:rPr>
  </w:style>
  <w:style w:type="character" w:customStyle="1" w:styleId="ReferencelistChar">
    <w:name w:val="Reference list Char"/>
    <w:basedOn w:val="TextkrperZchn"/>
    <w:link w:val="Referencelist"/>
    <w:uiPriority w:val="49"/>
    <w:rsid w:val="005268A1"/>
    <w:rPr>
      <w:sz w:val="22"/>
      <w:szCs w:val="18"/>
      <w:lang w:eastAsia="en-US"/>
    </w:rPr>
  </w:style>
  <w:style w:type="paragraph" w:customStyle="1" w:styleId="TableTitle">
    <w:name w:val="Table Title"/>
    <w:basedOn w:val="Textkrper"/>
    <w:link w:val="TableTitleChar"/>
    <w:uiPriority w:val="49"/>
    <w:qFormat/>
    <w:rsid w:val="007C75FA"/>
    <w:rPr>
      <w:caps/>
    </w:rPr>
  </w:style>
  <w:style w:type="character" w:customStyle="1" w:styleId="TableTitleChar">
    <w:name w:val="Table Title Char"/>
    <w:basedOn w:val="TextkrperZchn"/>
    <w:link w:val="TableTitle"/>
    <w:uiPriority w:val="49"/>
    <w:rsid w:val="007C75FA"/>
    <w:rPr>
      <w:caps/>
      <w:sz w:val="22"/>
      <w:lang w:eastAsia="en-US"/>
    </w:rPr>
  </w:style>
  <w:style w:type="paragraph" w:styleId="StandardWeb">
    <w:name w:val="Normal (Web)"/>
    <w:basedOn w:val="Standard"/>
    <w:uiPriority w:val="99"/>
    <w:semiHidden/>
    <w:unhideWhenUsed/>
    <w:locked/>
    <w:rsid w:val="002C29DB"/>
    <w:rPr>
      <w:sz w:val="24"/>
      <w:szCs w:val="24"/>
    </w:rPr>
  </w:style>
  <w:style w:type="paragraph" w:customStyle="1" w:styleId="FIG-LONG">
    <w:name w:val="FIG-LONG"/>
    <w:basedOn w:val="Standard"/>
    <w:next w:val="Standard"/>
    <w:link w:val="FIG-LONGChar"/>
    <w:autoRedefine/>
    <w:qFormat/>
    <w:rsid w:val="007C75FA"/>
    <w:pPr>
      <w:tabs>
        <w:tab w:val="left" w:pos="709"/>
      </w:tabs>
      <w:overflowPunct/>
      <w:autoSpaceDE/>
      <w:autoSpaceDN/>
      <w:adjustRightInd/>
      <w:spacing w:after="120"/>
      <w:ind w:left="709" w:hanging="709"/>
      <w:textAlignment w:val="auto"/>
    </w:pPr>
    <w:rPr>
      <w:i/>
      <w:iCs/>
      <w:sz w:val="20"/>
      <w:szCs w:val="18"/>
    </w:rPr>
  </w:style>
  <w:style w:type="character" w:customStyle="1" w:styleId="FIG-LONGChar">
    <w:name w:val="FIG-LONG Char"/>
    <w:basedOn w:val="Absatz-Standardschriftart"/>
    <w:link w:val="FIG-LONG"/>
    <w:rsid w:val="007C75FA"/>
    <w:rPr>
      <w:i/>
      <w:iCs/>
      <w:szCs w:val="18"/>
      <w:lang w:eastAsia="en-US"/>
    </w:rPr>
  </w:style>
  <w:style w:type="table" w:customStyle="1" w:styleId="TableGrid1">
    <w:name w:val="Table Grid1"/>
    <w:basedOn w:val="NormaleTabelle"/>
    <w:next w:val="Tabellenraster"/>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49"/>
    <w:semiHidden/>
    <w:unhideWhenUsed/>
    <w:locked/>
    <w:rsid w:val="00A233D1"/>
    <w:rPr>
      <w:sz w:val="16"/>
      <w:szCs w:val="16"/>
    </w:rPr>
  </w:style>
  <w:style w:type="paragraph" w:styleId="Kommentartext">
    <w:name w:val="annotation text"/>
    <w:basedOn w:val="Standard"/>
    <w:link w:val="KommentartextZchn"/>
    <w:uiPriority w:val="49"/>
    <w:semiHidden/>
    <w:unhideWhenUsed/>
    <w:locked/>
    <w:rsid w:val="00A233D1"/>
    <w:rPr>
      <w:sz w:val="20"/>
    </w:rPr>
  </w:style>
  <w:style w:type="character" w:customStyle="1" w:styleId="KommentartextZchn">
    <w:name w:val="Kommentartext Zchn"/>
    <w:basedOn w:val="Absatz-Standardschriftart"/>
    <w:link w:val="Kommentartext"/>
    <w:uiPriority w:val="49"/>
    <w:semiHidden/>
    <w:rsid w:val="00A233D1"/>
    <w:rPr>
      <w:lang w:eastAsia="en-US"/>
    </w:rPr>
  </w:style>
  <w:style w:type="paragraph" w:styleId="Kommentarthema">
    <w:name w:val="annotation subject"/>
    <w:basedOn w:val="Kommentartext"/>
    <w:next w:val="Kommentartext"/>
    <w:link w:val="KommentarthemaZchn"/>
    <w:uiPriority w:val="49"/>
    <w:semiHidden/>
    <w:unhideWhenUsed/>
    <w:locked/>
    <w:rsid w:val="00A233D1"/>
    <w:rPr>
      <w:b/>
      <w:bCs/>
    </w:rPr>
  </w:style>
  <w:style w:type="character" w:customStyle="1" w:styleId="KommentarthemaZchn">
    <w:name w:val="Kommentarthema Zchn"/>
    <w:basedOn w:val="KommentartextZchn"/>
    <w:link w:val="Kommentarthema"/>
    <w:uiPriority w:val="49"/>
    <w:semiHidden/>
    <w:rsid w:val="00A233D1"/>
    <w:rPr>
      <w:b/>
      <w:bCs/>
      <w:lang w:eastAsia="en-US"/>
    </w:rPr>
  </w:style>
  <w:style w:type="paragraph" w:styleId="berarbeitung">
    <w:name w:val="Revision"/>
    <w:hidden/>
    <w:uiPriority w:val="99"/>
    <w:semiHidden/>
    <w:rsid w:val="00712E17"/>
    <w:rPr>
      <w:sz w:val="22"/>
      <w:lang w:eastAsia="en-US"/>
    </w:rPr>
  </w:style>
  <w:style w:type="paragraph" w:styleId="KeinLeerraum">
    <w:name w:val="No Spacing"/>
    <w:link w:val="KeinLeerraumZchn"/>
    <w:uiPriority w:val="1"/>
    <w:locked/>
    <w:rsid w:val="0083137C"/>
    <w:rPr>
      <w:rFonts w:asciiTheme="minorHAnsi" w:hAnsiTheme="minorHAnsi" w:cstheme="minorBidi"/>
      <w:sz w:val="22"/>
      <w:szCs w:val="22"/>
      <w:lang w:val="en-US" w:eastAsia="en-US"/>
    </w:rPr>
  </w:style>
  <w:style w:type="character" w:customStyle="1" w:styleId="KeinLeerraumZchn">
    <w:name w:val="Kein Leerraum Zchn"/>
    <w:basedOn w:val="Absatz-Standardschriftart"/>
    <w:link w:val="KeinLeerraum"/>
    <w:uiPriority w:val="1"/>
    <w:rsid w:val="0083137C"/>
    <w:rPr>
      <w:rFonts w:asciiTheme="minorHAnsi" w:hAnsiTheme="minorHAnsi" w:cstheme="minorBidi"/>
      <w:sz w:val="22"/>
      <w:szCs w:val="22"/>
      <w:lang w:val="en-US" w:eastAsia="en-US"/>
    </w:rPr>
  </w:style>
  <w:style w:type="paragraph" w:customStyle="1" w:styleId="IntroductionBodyText">
    <w:name w:val="Introduction Body Text"/>
    <w:basedOn w:val="Introductiontitle"/>
    <w:link w:val="IntroductionBodyTextChar"/>
    <w:uiPriority w:val="49"/>
    <w:rsid w:val="0013032C"/>
    <w:rPr>
      <w:b/>
      <w:bCs/>
      <w:sz w:val="18"/>
    </w:rPr>
  </w:style>
  <w:style w:type="character" w:customStyle="1" w:styleId="IntroductionBodyTextChar">
    <w:name w:val="Introduction Body Text Char"/>
    <w:basedOn w:val="IntroductiontitleChar"/>
    <w:link w:val="IntroductionBodyText"/>
    <w:uiPriority w:val="49"/>
    <w:rsid w:val="0013032C"/>
    <w:rPr>
      <w:b/>
      <w:bCs/>
      <w:sz w:val="18"/>
      <w:lang w:val="en-US" w:eastAsia="en-US"/>
    </w:rPr>
  </w:style>
  <w:style w:type="paragraph" w:customStyle="1" w:styleId="PaperTitle">
    <w:name w:val="Paper Title"/>
    <w:basedOn w:val="berschrift1"/>
    <w:link w:val="PaperTitleChar"/>
    <w:uiPriority w:val="49"/>
    <w:rsid w:val="00BC6BAA"/>
  </w:style>
  <w:style w:type="character" w:customStyle="1" w:styleId="berschrift1Zchn">
    <w:name w:val="Überschrift 1 Zchn"/>
    <w:aliases w:val="Headin Zchn"/>
    <w:basedOn w:val="Absatz-Standardschriftart"/>
    <w:link w:val="berschrift1"/>
    <w:uiPriority w:val="4"/>
    <w:rsid w:val="00B42408"/>
    <w:rPr>
      <w:rFonts w:cs="Arial"/>
      <w:bCs/>
      <w:caps/>
      <w:szCs w:val="32"/>
      <w:lang w:eastAsia="en-US"/>
    </w:rPr>
  </w:style>
  <w:style w:type="character" w:customStyle="1" w:styleId="PaperTitleChar">
    <w:name w:val="Paper Title Char"/>
    <w:basedOn w:val="berschrift1Zchn"/>
    <w:link w:val="PaperTitle"/>
    <w:uiPriority w:val="49"/>
    <w:rsid w:val="00BC6BAA"/>
    <w:rPr>
      <w:rFonts w:cs="Arial"/>
      <w:bCs/>
      <w:caps/>
      <w:szCs w:val="32"/>
      <w:lang w:eastAsia="en-US"/>
    </w:rPr>
  </w:style>
  <w:style w:type="paragraph" w:customStyle="1" w:styleId="Heading2nd">
    <w:name w:val="Heading 2nd"/>
    <w:basedOn w:val="berschrift3"/>
    <w:link w:val="Heading2ndChar"/>
    <w:uiPriority w:val="49"/>
    <w:qFormat/>
    <w:rsid w:val="007C75FA"/>
    <w:rPr>
      <w:sz w:val="22"/>
    </w:rPr>
  </w:style>
  <w:style w:type="character" w:customStyle="1" w:styleId="berschrift3Zchn">
    <w:name w:val="Überschrift 3 Zchn"/>
    <w:aliases w:val="Heading Zchn"/>
    <w:basedOn w:val="Absatz-Standardschriftart"/>
    <w:link w:val="berschrift3"/>
    <w:uiPriority w:val="4"/>
    <w:rsid w:val="003F7ACA"/>
    <w:rPr>
      <w:b/>
      <w:lang w:eastAsia="en-US"/>
    </w:rPr>
  </w:style>
  <w:style w:type="character" w:customStyle="1" w:styleId="Heading2ndChar">
    <w:name w:val="Heading 2nd Char"/>
    <w:basedOn w:val="berschrift3Zchn"/>
    <w:link w:val="Heading2nd"/>
    <w:uiPriority w:val="49"/>
    <w:rsid w:val="007C75FA"/>
    <w:rPr>
      <w:b/>
      <w:sz w:val="22"/>
      <w:lang w:eastAsia="en-US"/>
    </w:rPr>
  </w:style>
  <w:style w:type="paragraph" w:customStyle="1" w:styleId="Heading3rd">
    <w:name w:val="Heading 3rd"/>
    <w:basedOn w:val="berschrift4"/>
    <w:link w:val="Heading3rdChar"/>
    <w:uiPriority w:val="49"/>
    <w:qFormat/>
    <w:rsid w:val="007C75FA"/>
    <w:pPr>
      <w:ind w:left="0"/>
    </w:pPr>
    <w:rPr>
      <w:sz w:val="22"/>
    </w:rPr>
  </w:style>
  <w:style w:type="character" w:customStyle="1" w:styleId="berschrift4Zchn">
    <w:name w:val="Überschrift 4 Zchn"/>
    <w:aliases w:val="3rd level paper heading Zchn"/>
    <w:basedOn w:val="Absatz-Standardschriftart"/>
    <w:link w:val="berschrift4"/>
    <w:uiPriority w:val="4"/>
    <w:rsid w:val="003F7ACA"/>
    <w:rPr>
      <w:i/>
      <w:lang w:val="en-US" w:eastAsia="en-US"/>
    </w:rPr>
  </w:style>
  <w:style w:type="character" w:customStyle="1" w:styleId="Heading3rdChar">
    <w:name w:val="Heading 3rd Char"/>
    <w:basedOn w:val="berschrift4Zchn"/>
    <w:link w:val="Heading3rd"/>
    <w:uiPriority w:val="49"/>
    <w:rsid w:val="007C75FA"/>
    <w:rPr>
      <w:i/>
      <w:sz w:val="22"/>
      <w:lang w:val="en-US" w:eastAsia="en-US"/>
    </w:rPr>
  </w:style>
  <w:style w:type="paragraph" w:customStyle="1" w:styleId="Heading1st">
    <w:name w:val="Heading 1st"/>
    <w:basedOn w:val="berschrift2"/>
    <w:link w:val="Heading1stChar"/>
    <w:autoRedefine/>
    <w:uiPriority w:val="49"/>
    <w:qFormat/>
    <w:rsid w:val="007C75FA"/>
    <w:rPr>
      <w:sz w:val="22"/>
    </w:rPr>
  </w:style>
  <w:style w:type="character" w:customStyle="1" w:styleId="Heading1stChar">
    <w:name w:val="Heading 1st Char"/>
    <w:basedOn w:val="berschrift1Zchn"/>
    <w:link w:val="Heading1st"/>
    <w:uiPriority w:val="49"/>
    <w:rsid w:val="007C75FA"/>
    <w:rPr>
      <w:rFonts w:cs="Arial"/>
      <w:bCs w:val="0"/>
      <w:caps/>
      <w:sz w:val="22"/>
      <w:szCs w:val="32"/>
      <w:lang w:eastAsia="en-US"/>
    </w:rPr>
  </w:style>
  <w:style w:type="character" w:styleId="Hyperlink">
    <w:name w:val="Hyperlink"/>
    <w:basedOn w:val="Absatz-Standardschriftart"/>
    <w:uiPriority w:val="49"/>
    <w:unhideWhenUsed/>
    <w:locked/>
    <w:rsid w:val="0066420C"/>
    <w:rPr>
      <w:color w:val="0000FF" w:themeColor="hyperlink"/>
      <w:u w:val="single"/>
    </w:rPr>
  </w:style>
  <w:style w:type="character" w:styleId="NichtaufgelsteErwhnung">
    <w:name w:val="Unresolved Mention"/>
    <w:basedOn w:val="Absatz-Standardschriftart"/>
    <w:uiPriority w:val="99"/>
    <w:semiHidden/>
    <w:unhideWhenUsed/>
    <w:rsid w:val="0066420C"/>
    <w:rPr>
      <w:color w:val="605E5C"/>
      <w:shd w:val="clear" w:color="auto" w:fill="E1DFDD"/>
    </w:rPr>
  </w:style>
  <w:style w:type="character" w:customStyle="1" w:styleId="KopfzeileZchn">
    <w:name w:val="Kopfzeile Zchn"/>
    <w:basedOn w:val="Absatz-Standardschriftart"/>
    <w:link w:val="Kopfzeile"/>
    <w:uiPriority w:val="99"/>
    <w:rsid w:val="00E379A5"/>
    <w:rPr>
      <w:sz w:val="18"/>
      <w:lang w:val="en-US" w:eastAsia="en-US"/>
    </w:rPr>
  </w:style>
  <w:style w:type="table" w:customStyle="1" w:styleId="TableNormal">
    <w:name w:val="Table Normal"/>
    <w:uiPriority w:val="2"/>
    <w:semiHidden/>
    <w:unhideWhenUsed/>
    <w:qFormat/>
    <w:rsid w:val="00E622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image" Target="media/image9.emf"/><Relationship Id="rId34" Type="http://schemas.openxmlformats.org/officeDocument/2006/relationships/hyperlink" Target="https://doi.org/10.1007/s11085-024-10229-y"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hyperlink" Target="https://www.iaea.org/publications/14691/analysis-of-options-and-experimental-examination-of-fuels-for-water-cooled-reactors-with-increased-accident-tolerance-actof" TargetMode="External"/><Relationship Id="rId37" Type="http://schemas.openxmlformats.org/officeDocument/2006/relationships/hyperlink" Target="https://doi.org/10.1016/j.corsci.2020.108537"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doi.org/10.2172/1474581"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s://doi.org/10.1016/j.nucengdes.2018.06.020"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juri.stuckert@kit.edu"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doi.org/10.1016/j.jnucmat.2023.154433" TargetMode="External"/><Relationship Id="rId38" Type="http://schemas.openxmlformats.org/officeDocument/2006/relationships/hyperlink" Target="https://doi.org/10.1016/j.jnucmat.2020.15214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Vienna,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8268416F68F348A07DF0E8893BF2CC" ma:contentTypeVersion="1" ma:contentTypeDescription="Create a new document." ma:contentTypeScope="" ma:versionID="f57be7260f1e919e724968ef9b30d447">
  <xsd:schema xmlns:xsd="http://www.w3.org/2001/XMLSchema" xmlns:xs="http://www.w3.org/2001/XMLSchema" xmlns:p="http://schemas.microsoft.com/office/2006/metadata/properties" xmlns:ns1="http://schemas.microsoft.com/sharepoint/v3" targetNamespace="http://schemas.microsoft.com/office/2006/metadata/properties" ma:root="true" ma:fieldsID="9731dec261deb37c812c0bf4798222a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58B7E165-9DEB-4D02-B08B-58DC85553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10</Pages>
  <Words>3134</Words>
  <Characters>19749</Characters>
  <Application>Microsoft Office Word</Application>
  <DocSecurity>0</DocSecurity>
  <Lines>164</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IAEA Extended Abstract Template</vt:lpstr>
      <vt:lpstr>IAEA Extended Abstract Template</vt:lpstr>
    </vt:vector>
  </TitlesOfParts>
  <Company>KIT</Company>
  <LinksUpToDate>false</LinksUpToDate>
  <CharactersWithSpaces>22838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 ATF-TS Benchmark FOR simulation of bundle tests</dc:title>
  <dc:subject>Technical Meeting on Advanced Technology Fuels: Progress on their Design, Manufacturing, Experimentation, Irradiation, and Case Studies for their Industrialization, Safety Evaluation, and Future Prospects</dc:subject>
  <dc:creator>IAEA NFE TEAM; Stuckert</dc:creator>
  <cp:lastModifiedBy>Stuckert, Juri (IAM)</cp:lastModifiedBy>
  <cp:revision>7</cp:revision>
  <cp:lastPrinted>2015-12-01T10:27:00Z</cp:lastPrinted>
  <dcterms:created xsi:type="dcterms:W3CDTF">2025-07-28T17:28:00Z</dcterms:created>
  <dcterms:modified xsi:type="dcterms:W3CDTF">2025-07-29T08:26:00Z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0x010100488268416F68F348A07DF0E8893BF2CC</vt:lpwstr>
  </property>
  <property fmtid="{D5CDD505-2E9C-101B-9397-08002B2CF9AE}" pid="12" name="_dlc_DocIdItemGuid">
    <vt:lpwstr>624d8e63-e3f6-4681-83c2-57c583c02431</vt:lpwstr>
  </property>
</Properties>
</file>