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9E1C5" w14:textId="22E94A6E" w:rsidR="0083137C" w:rsidRDefault="0083137C" w:rsidP="004E5379">
      <w:pPr>
        <w:rPr>
          <w:rFonts w:ascii="Times New Roman Bold" w:hAnsi="Times New Roman Bold"/>
          <w:b/>
          <w:caps/>
          <w:sz w:val="24"/>
          <w:lang w:val="en-US"/>
        </w:rPr>
      </w:pPr>
      <w:bookmarkStart w:id="0" w:name="_Hlk69130178"/>
    </w:p>
    <w:p w14:paraId="433FE03E" w14:textId="4E08E2A3" w:rsidR="003B5E0E" w:rsidRPr="00A80359" w:rsidRDefault="004E5379" w:rsidP="004E5379">
      <w:pPr>
        <w:pStyle w:val="Title"/>
      </w:pPr>
      <w:r w:rsidRPr="004E5379">
        <w:t>SUMMARY OF NEA WORKING GROUP FOR FUEL SAFETY’S TECHNICAL OPINION PAPER ON ATF</w:t>
      </w:r>
    </w:p>
    <w:p w14:paraId="433FE03F" w14:textId="77777777" w:rsidR="00802381" w:rsidRDefault="00802381" w:rsidP="00537496">
      <w:pPr>
        <w:pStyle w:val="Authornameandaffiliation"/>
      </w:pPr>
    </w:p>
    <w:p w14:paraId="67250DE4" w14:textId="1B07E1EA" w:rsidR="00003206" w:rsidRDefault="004E5379" w:rsidP="00003206">
      <w:pPr>
        <w:pStyle w:val="Authornameandaffiliation"/>
      </w:pPr>
      <w:r>
        <w:t>L. GERKEN</w:t>
      </w:r>
      <w:r w:rsidR="00003206" w:rsidRPr="00003206">
        <w:rPr>
          <w:vertAlign w:val="superscript"/>
        </w:rPr>
        <w:t>1</w:t>
      </w:r>
      <w:r w:rsidR="00003206">
        <w:t xml:space="preserve">, </w:t>
      </w:r>
      <w:r>
        <w:t>P. CLIFFORD</w:t>
      </w:r>
      <w:r w:rsidR="00003206">
        <w:rPr>
          <w:vertAlign w:val="superscript"/>
        </w:rPr>
        <w:t>2</w:t>
      </w:r>
      <w:r w:rsidR="00003206">
        <w:t xml:space="preserve">, </w:t>
      </w:r>
      <w:r>
        <w:t>J. ZHANG</w:t>
      </w:r>
      <w:r w:rsidR="00003206">
        <w:rPr>
          <w:vertAlign w:val="superscript"/>
        </w:rPr>
        <w:t>3</w:t>
      </w:r>
      <w:r w:rsidR="00003206">
        <w:t xml:space="preserve">, </w:t>
      </w:r>
      <w:r>
        <w:t>M. SEVECEK</w:t>
      </w:r>
      <w:r w:rsidR="00003206">
        <w:rPr>
          <w:vertAlign w:val="superscript"/>
        </w:rPr>
        <w:t>4</w:t>
      </w:r>
    </w:p>
    <w:p w14:paraId="2AAFE484" w14:textId="77777777" w:rsidR="00003206" w:rsidRDefault="00003206" w:rsidP="00537496">
      <w:pPr>
        <w:pStyle w:val="Authornameandaffiliation"/>
      </w:pPr>
    </w:p>
    <w:p w14:paraId="2EFA8EC7" w14:textId="37E8CA34" w:rsidR="00003206" w:rsidRPr="00FF386F" w:rsidRDefault="00003206" w:rsidP="00003206">
      <w:pPr>
        <w:pStyle w:val="Authornameandaffiliation"/>
      </w:pPr>
      <w:r>
        <w:rPr>
          <w:vertAlign w:val="superscript"/>
        </w:rPr>
        <w:t>1</w:t>
      </w:r>
      <w:r w:rsidR="004E5379">
        <w:t>Framatome</w:t>
      </w:r>
      <w:r w:rsidR="00EC5FA0">
        <w:t xml:space="preserve"> Inc.</w:t>
      </w:r>
      <w:r>
        <w:t xml:space="preserve">, </w:t>
      </w:r>
      <w:r w:rsidR="004E5379">
        <w:t>USA</w:t>
      </w:r>
    </w:p>
    <w:p w14:paraId="2C85048A" w14:textId="41BC6229" w:rsidR="00003206" w:rsidRPr="00FF386F" w:rsidRDefault="00003206" w:rsidP="00003206">
      <w:pPr>
        <w:pStyle w:val="Authornameandaffiliation"/>
      </w:pPr>
      <w:r>
        <w:rPr>
          <w:vertAlign w:val="superscript"/>
        </w:rPr>
        <w:t>2</w:t>
      </w:r>
      <w:r w:rsidR="004E5379">
        <w:t>Former NRC</w:t>
      </w:r>
      <w:r>
        <w:t xml:space="preserve">, </w:t>
      </w:r>
      <w:r w:rsidR="004E5379">
        <w:t>USA</w:t>
      </w:r>
    </w:p>
    <w:p w14:paraId="463D7040" w14:textId="54C65D3B" w:rsidR="00003206" w:rsidRPr="00FF386F" w:rsidRDefault="00003206" w:rsidP="00003206">
      <w:pPr>
        <w:pStyle w:val="Authornameandaffiliation"/>
      </w:pPr>
      <w:r>
        <w:rPr>
          <w:vertAlign w:val="superscript"/>
        </w:rPr>
        <w:t>3</w:t>
      </w:r>
      <w:r w:rsidR="004E5379" w:rsidRPr="004E5379">
        <w:t>Tractebel, Belgium</w:t>
      </w:r>
    </w:p>
    <w:p w14:paraId="62FA4542" w14:textId="77AE0487" w:rsidR="00003206" w:rsidRDefault="00003206" w:rsidP="00003206">
      <w:pPr>
        <w:pStyle w:val="Authornameandaffiliation"/>
      </w:pPr>
      <w:r>
        <w:rPr>
          <w:vertAlign w:val="superscript"/>
        </w:rPr>
        <w:t>4</w:t>
      </w:r>
      <w:r w:rsidR="004E5379" w:rsidRPr="004E5379">
        <w:t>Czech Technical University in Prague, Czech Republic</w:t>
      </w:r>
    </w:p>
    <w:p w14:paraId="3F7D6C77" w14:textId="77777777" w:rsidR="00003206" w:rsidRDefault="00003206" w:rsidP="00003206">
      <w:pPr>
        <w:pStyle w:val="Authornameandaffiliation"/>
      </w:pPr>
    </w:p>
    <w:p w14:paraId="2EA71BD6" w14:textId="09168F4B" w:rsidR="00003206" w:rsidRDefault="008F4120" w:rsidP="00003206">
      <w:pPr>
        <w:pStyle w:val="Authornameandaffiliation"/>
      </w:pPr>
      <w:r>
        <w:t>C</w:t>
      </w:r>
      <w:r w:rsidR="00003206">
        <w:t>orresponding</w:t>
      </w:r>
      <w:r w:rsidR="00003206" w:rsidRPr="00003206">
        <w:t xml:space="preserve"> author</w:t>
      </w:r>
      <w:r w:rsidR="00003206">
        <w:t xml:space="preserve">: </w:t>
      </w:r>
      <w:r w:rsidR="00146A24">
        <w:t>L</w:t>
      </w:r>
      <w:r w:rsidRPr="008F4120">
        <w:t>.</w:t>
      </w:r>
      <w:r w:rsidR="00146A24">
        <w:t xml:space="preserve"> GERKEN</w:t>
      </w:r>
      <w:r>
        <w:t xml:space="preserve">, </w:t>
      </w:r>
      <w:r w:rsidR="00146A24">
        <w:t>lisa.gerken</w:t>
      </w:r>
      <w:r w:rsidR="00003206">
        <w:t>@</w:t>
      </w:r>
      <w:r w:rsidR="00146A24">
        <w:t>framatome.com</w:t>
      </w:r>
    </w:p>
    <w:p w14:paraId="47497415" w14:textId="67F72CAF" w:rsidR="00003206" w:rsidRDefault="00003206" w:rsidP="00537496">
      <w:pPr>
        <w:pStyle w:val="Authornameandaffiliation"/>
      </w:pPr>
    </w:p>
    <w:p w14:paraId="514287C7" w14:textId="5DF1AD8C" w:rsidR="0013032C" w:rsidRPr="004140C9" w:rsidRDefault="0013032C" w:rsidP="00D04D6A">
      <w:pPr>
        <w:pStyle w:val="BodyText"/>
        <w:rPr>
          <w:lang w:val="en-US" w:eastAsia="zh-CN"/>
        </w:rPr>
      </w:pPr>
      <w:bookmarkStart w:id="1" w:name="_Hlk203565152"/>
      <w:bookmarkEnd w:id="0"/>
      <w:r w:rsidRPr="004140C9">
        <w:rPr>
          <w:rStyle w:val="IntroductiontitleChar"/>
          <w:rFonts w:hint="eastAsia"/>
        </w:rPr>
        <w:t>INTRODUCTION:</w:t>
      </w:r>
      <w:r w:rsidR="004140C9">
        <w:rPr>
          <w:rStyle w:val="IntroductiontitleChar"/>
          <w:rFonts w:hint="eastAsia"/>
          <w:lang w:eastAsia="zh-CN"/>
        </w:rPr>
        <w:t xml:space="preserve"> </w:t>
      </w:r>
      <w:r w:rsidR="00146A24" w:rsidRPr="00146A24">
        <w:rPr>
          <w:lang w:eastAsia="zh-CN"/>
        </w:rPr>
        <w:t xml:space="preserve">In 2022, NEA’s Working Group for Fuel Safety published Technical Opinion Paper No. 19, “Applicability of Nuclear Fuel Safety Criteria to Accident-Tolerant Fuel Designs” </w:t>
      </w:r>
      <w:r w:rsidR="00146A24">
        <w:rPr>
          <w:lang w:eastAsia="zh-CN"/>
        </w:rPr>
        <w:t xml:space="preserve">that summarized the group’s review of the applicability of the existing fuel design and performance requirements and identification of related data gaps. The paper provides an overview of the technical opinion paper and its conclusions. </w:t>
      </w:r>
    </w:p>
    <w:p w14:paraId="193ED82E" w14:textId="665A8646" w:rsidR="00B42408" w:rsidRPr="003E7A48" w:rsidRDefault="0012715A" w:rsidP="003E7A48">
      <w:pPr>
        <w:pStyle w:val="Heading1st"/>
      </w:pPr>
      <w:bookmarkStart w:id="2" w:name="_Hlk203565325"/>
      <w:bookmarkEnd w:id="1"/>
      <w:r w:rsidRPr="003E7A48">
        <w:rPr>
          <w:rFonts w:hint="eastAsia"/>
        </w:rPr>
        <w:t>OVERVIEW</w:t>
      </w:r>
    </w:p>
    <w:p w14:paraId="557D0868" w14:textId="56B37CEB" w:rsidR="00146A24" w:rsidRDefault="00146A24" w:rsidP="00146A24">
      <w:pPr>
        <w:pStyle w:val="BodyText"/>
      </w:pPr>
      <w:r>
        <w:t>Following the 2011 Great East Japan Earthquake and the resulting nuclear accident at the Fukushima Da</w:t>
      </w:r>
      <w:bookmarkEnd w:id="2"/>
      <w:r>
        <w:t xml:space="preserve">iichi Nuclear Power Plant, global interest has expanded in researching and developing nuclear fuels with enhanced accident tolerance. Such accident-tolerant fuels (ATF) include improved designs, materials, and performance features beyond the current generation of slightly enriched </w:t>
      </w:r>
      <w:r w:rsidR="00340B7E" w:rsidRPr="00B064A5">
        <w:rPr>
          <w:rFonts w:cs="Arial"/>
        </w:rPr>
        <w:t>UO</w:t>
      </w:r>
      <w:r w:rsidR="00340B7E" w:rsidRPr="00B064A5">
        <w:rPr>
          <w:rFonts w:cs="Arial"/>
          <w:vertAlign w:val="subscript"/>
        </w:rPr>
        <w:t>2</w:t>
      </w:r>
      <w:r w:rsidR="00340B7E">
        <w:t xml:space="preserve"> </w:t>
      </w:r>
      <w:r>
        <w:t xml:space="preserve">ceramic pellets within cylindrical zirconium alloy cladding. The NEA (Nuclear Energy Agency) Expert Group is a collective of specialists and professionals who focus on various aspects of nuclear energy. Its primary goal is to assist its member countries in maintaining and further developing the scientific, technological, and legal bases required for the safe, environmentally friendly, and economical use of nuclear energy for peaceful purpose. In this vein, activities were pursued to support global advancement of ATF technologies. </w:t>
      </w:r>
    </w:p>
    <w:p w14:paraId="433FE04D" w14:textId="03CE79F8" w:rsidR="00146A24" w:rsidRDefault="00146A24" w:rsidP="00146A24">
      <w:pPr>
        <w:pStyle w:val="BodyText"/>
      </w:pPr>
      <w:r>
        <w:t xml:space="preserve">In 2022, NEA’s Working Group for Fuel Safety (WGFS) published Technical Opinion Paper (TOP) No. 19, “Applicability of Nuclear Fuel Safety Criteria to Accident-Tolerant Fuel Designs” [1]. The activity was follow-on to the publication of “State-of-the-Art Report on Light Water Reactor Accident Tolerant Fuels” [2] from the Expert Group on Accident-tolerant Fuels for Light Water Reactors (EGATFL). The EGATFL investigated </w:t>
      </w:r>
      <w:proofErr w:type="gramStart"/>
      <w:r>
        <w:t>a large number of</w:t>
      </w:r>
      <w:proofErr w:type="gramEnd"/>
      <w:r>
        <w:t xml:space="preserve"> advanced fuel designs and materials and defined a technology readiness level based upon the existing empirical database supporting the characterization of material properties and performance, reported in the publication. The Working Group for Fuel Safety (WGFS) performed a review of the technologies focusing on the: </w:t>
      </w:r>
    </w:p>
    <w:p w14:paraId="4E4E58A6" w14:textId="0C757FC3" w:rsidR="00916139" w:rsidRDefault="00916139" w:rsidP="00916139">
      <w:pPr>
        <w:pStyle w:val="BodyText"/>
        <w:numPr>
          <w:ilvl w:val="0"/>
          <w:numId w:val="37"/>
        </w:numPr>
      </w:pPr>
      <w:r>
        <w:t>evaluation of the applicability of existing fuel design and performance requirements to each of the five ATF designs,</w:t>
      </w:r>
    </w:p>
    <w:p w14:paraId="2EABBC7C" w14:textId="21A38F79" w:rsidR="00916139" w:rsidRDefault="00916139" w:rsidP="00916139">
      <w:pPr>
        <w:pStyle w:val="BodyText"/>
        <w:numPr>
          <w:ilvl w:val="0"/>
          <w:numId w:val="37"/>
        </w:numPr>
      </w:pPr>
      <w:r>
        <w:t xml:space="preserve">identification of new phenomena or mechanisms which create the need for new or different performance metrics and design requirements, </w:t>
      </w:r>
    </w:p>
    <w:p w14:paraId="0D6AB545" w14:textId="1AC3EA14" w:rsidR="00916139" w:rsidRDefault="00916139" w:rsidP="00916139">
      <w:pPr>
        <w:pStyle w:val="BodyText"/>
        <w:numPr>
          <w:ilvl w:val="0"/>
          <w:numId w:val="37"/>
        </w:numPr>
      </w:pPr>
      <w:r>
        <w:t xml:space="preserve">identification of data gaps, and </w:t>
      </w:r>
    </w:p>
    <w:p w14:paraId="51B8D1D6" w14:textId="68F7C1ED" w:rsidR="00916139" w:rsidRDefault="00916139" w:rsidP="00916139">
      <w:pPr>
        <w:pStyle w:val="BodyText"/>
        <w:numPr>
          <w:ilvl w:val="0"/>
          <w:numId w:val="37"/>
        </w:numPr>
      </w:pPr>
      <w:r>
        <w:t xml:space="preserve">discussion of opportunities for international collaborative research to fill these data gaps. </w:t>
      </w:r>
    </w:p>
    <w:p w14:paraId="433FE04E" w14:textId="3A56DA4E" w:rsidR="00EE0041" w:rsidRDefault="00916139" w:rsidP="00916139">
      <w:pPr>
        <w:pStyle w:val="BodyText"/>
      </w:pPr>
      <w:r>
        <w:t>The WGFS TOP summarizes the results of the activity, thus reflecting the knowledge collected up to October 2020.</w:t>
      </w:r>
    </w:p>
    <w:p w14:paraId="19D41A01" w14:textId="77777777" w:rsidR="0030165E" w:rsidRDefault="0030165E" w:rsidP="00916139">
      <w:pPr>
        <w:pStyle w:val="BodyText"/>
      </w:pPr>
    </w:p>
    <w:p w14:paraId="1B7AAC46" w14:textId="77777777" w:rsidR="0030165E" w:rsidRDefault="0030165E" w:rsidP="00916139">
      <w:pPr>
        <w:pStyle w:val="BodyText"/>
      </w:pPr>
    </w:p>
    <w:p w14:paraId="691CF458" w14:textId="77777777" w:rsidR="00916139" w:rsidRDefault="00916139" w:rsidP="00916139">
      <w:pPr>
        <w:pStyle w:val="Heading1st"/>
      </w:pPr>
      <w:r w:rsidRPr="00916139">
        <w:lastRenderedPageBreak/>
        <w:t>APPLICABILITY OF FUEL DESIGN ANF PERFORMANCE REQUIREMENTS TO ATF</w:t>
      </w:r>
    </w:p>
    <w:p w14:paraId="4CB3F6BD" w14:textId="43462988" w:rsidR="00916139" w:rsidRDefault="00916139" w:rsidP="00916139">
      <w:pPr>
        <w:pStyle w:val="BodyText"/>
      </w:pPr>
      <w:r>
        <w:t xml:space="preserve">By cross-referencing the report of the EGATFL with results from an international survey of most likely ATF candidates for deployment, the scope of the TOP was narrowed down to the following ATF technologies: coated zirconium alloy fuel rod cladding, FeCrAl fuel rod cladding, silicon carbide fuel rod cladding, doped uranium dioxide ceramic fuel pellets, and uranium silicide ceramic fuel pellets. Then, using the foundation provided in the nuclear fuel safety criteria and design requirements documented within the second edition of Nuclear Fuel Safety Criteria Technical Review [3], the report provides a detailed assessment of each of the above listed ATF technologies against over 50 phenomena important to safety-related fuel design and performance requirements. The detailed evaluation table for each ATF technology is available as an online annex [4]. </w:t>
      </w:r>
    </w:p>
    <w:p w14:paraId="2F0D9930" w14:textId="2BC91C64" w:rsidR="00916139" w:rsidRDefault="00916139" w:rsidP="00916139">
      <w:pPr>
        <w:pStyle w:val="BodyText"/>
      </w:pPr>
      <w:r>
        <w:t xml:space="preserve">Due to their limited departure from the currently licensed fuel technology, coated zirconium alloy fuel rod cladding and doped </w:t>
      </w:r>
      <w:r w:rsidR="00340B7E" w:rsidRPr="00B064A5">
        <w:rPr>
          <w:rFonts w:cs="Arial"/>
        </w:rPr>
        <w:t>UO</w:t>
      </w:r>
      <w:r w:rsidR="00340B7E" w:rsidRPr="00B064A5">
        <w:rPr>
          <w:rFonts w:cs="Arial"/>
          <w:vertAlign w:val="subscript"/>
        </w:rPr>
        <w:t>2</w:t>
      </w:r>
      <w:r w:rsidR="00340B7E">
        <w:t xml:space="preserve"> </w:t>
      </w:r>
      <w:r>
        <w:t xml:space="preserve">fuel pellets were found to have the least impact on the applicability of existing fuel design, performance requirements and nuclear safety criteria. Based on the degree of characterization of irradiation properties and performance, doped </w:t>
      </w:r>
      <w:r w:rsidR="00340B7E" w:rsidRPr="00B064A5">
        <w:rPr>
          <w:rFonts w:cs="Arial"/>
        </w:rPr>
        <w:t>UO</w:t>
      </w:r>
      <w:r w:rsidR="00340B7E" w:rsidRPr="00B064A5">
        <w:rPr>
          <w:rFonts w:cs="Arial"/>
          <w:vertAlign w:val="subscript"/>
        </w:rPr>
        <w:t>2</w:t>
      </w:r>
      <w:r>
        <w:t xml:space="preserve"> fuel pellets have already been deployed in reload quantities in at least one country and </w:t>
      </w:r>
      <w:proofErr w:type="gramStart"/>
      <w:r>
        <w:t>both of these</w:t>
      </w:r>
      <w:proofErr w:type="gramEnd"/>
      <w:r>
        <w:t xml:space="preserve"> near-term ATF design concepts are relatively close to licensing and deployment in several other countries. Nevertheless, there are opportunities for collaborative research to fill gaps in the empirical database and further enhance knowledge and understanding. FeCrAl fuel rod cladding, silicon carbide fuel rod cladding, and uranium silicide fuel pellets introduce more pronounced impacts on existing fuel design and performance requirements and nuclear safety criteria. Larger data gaps exist for these longer-term ATF design concepts, which lack the degree of characterization available for the short-term ATF design concepts. </w:t>
      </w:r>
    </w:p>
    <w:p w14:paraId="37BA88D3" w14:textId="30B48542" w:rsidR="00916139" w:rsidRDefault="00916139" w:rsidP="00916139">
      <w:pPr>
        <w:pStyle w:val="BodyText"/>
      </w:pPr>
      <w:r>
        <w:t xml:space="preserve">A variety of new phenomena were identified which could challenge the applicability of existing performance metrics and analytical limits or created the need for new criteria. Chromium-coated zirconium alloy cladding may be susceptible to hydrogen permeability from the coolant through the coating surface into the base material during normal operation and may experience a zirconium-chromium eutectic reaction at the cladding-coating interface and chromium diffusion into the base material under accident conditions. FeCrAl cladding may be susceptible to embrittlement due to chromium-rich particle precipitation during normal operation and unstable oxide formation under accident conditions with high heating rates. Silicon carbide cladding may experience chemical compatibility issues and dissolution during normal operation and generation of methane and carbon monoxide under severe accident conditions. No new phenomena were identified for doped </w:t>
      </w:r>
      <w:r w:rsidR="00340B7E" w:rsidRPr="00B064A5">
        <w:rPr>
          <w:rFonts w:cs="Arial"/>
        </w:rPr>
        <w:t>UO</w:t>
      </w:r>
      <w:r w:rsidR="00340B7E" w:rsidRPr="00B064A5">
        <w:rPr>
          <w:rFonts w:cs="Arial"/>
          <w:vertAlign w:val="subscript"/>
        </w:rPr>
        <w:t>2</w:t>
      </w:r>
      <w:r w:rsidR="00340B7E">
        <w:t xml:space="preserve"> </w:t>
      </w:r>
      <w:r>
        <w:t>fuel, whereas U</w:t>
      </w:r>
      <w:r w:rsidRPr="00340B7E">
        <w:rPr>
          <w:vertAlign w:val="subscript"/>
        </w:rPr>
        <w:t>3</w:t>
      </w:r>
      <w:r>
        <w:t>Si</w:t>
      </w:r>
      <w:r w:rsidRPr="00340B7E">
        <w:rPr>
          <w:vertAlign w:val="subscript"/>
        </w:rPr>
        <w:t>2</w:t>
      </w:r>
      <w:r>
        <w:t xml:space="preserve"> fuel exhibited a severe exothermic reaction with water and steam. </w:t>
      </w:r>
    </w:p>
    <w:p w14:paraId="0A1FDDF3" w14:textId="77777777" w:rsidR="00916139" w:rsidRDefault="00916139" w:rsidP="00916139">
      <w:pPr>
        <w:pStyle w:val="BodyText"/>
      </w:pPr>
      <w:r>
        <w:t>The TOP also describes opportunities for collaborative international research programs that could help fill research needs and data gaps for each ATF technology, particularly with respect to providing publicly available data. Research needs are divided by the type of facilities and capabilities within each facility needed to fill the specific data gap. This cross-cutting format illustrates how any given research facility could support multiple ATF technologies. Priority should be assigned to research supporting the licensing of near-term ATF technologies: chrome-coated zirconium alloy cladding and doped UO2 fuel pellets. However, recognizing the calendar time for long-term irradiation campaigns, radionuclide decay (i.e. cooling), and transportation to hot cell facilities, priority must also be given to research needs for the most commercially viable long-term ATF technologies.</w:t>
      </w:r>
    </w:p>
    <w:p w14:paraId="433FE04F" w14:textId="2984DEA7" w:rsidR="00E25B68" w:rsidRPr="004140C9" w:rsidRDefault="00916139" w:rsidP="00E379A5">
      <w:pPr>
        <w:pStyle w:val="Heading1st"/>
      </w:pPr>
      <w:r>
        <w:t>SUMMARY AND CONCLUSIONS</w:t>
      </w:r>
    </w:p>
    <w:p w14:paraId="5CEE8886" w14:textId="77777777" w:rsidR="00916139" w:rsidRPr="00916139" w:rsidRDefault="00916139" w:rsidP="00916139">
      <w:pPr>
        <w:pStyle w:val="ZooFun"/>
        <w:jc w:val="both"/>
        <w:rPr>
          <w:rFonts w:ascii="Times New Roman" w:hAnsi="Times New Roman"/>
          <w:szCs w:val="22"/>
        </w:rPr>
      </w:pPr>
      <w:r w:rsidRPr="00916139">
        <w:rPr>
          <w:rFonts w:ascii="Times New Roman" w:hAnsi="Times New Roman"/>
          <w:szCs w:val="22"/>
        </w:rPr>
        <w:t xml:space="preserve">The major findings of the TOP are summarized in Table 1. It includes the relative impact on existing fuel safety criteria, the number of new phenomena, and the relative magnitude of data gaps are defined for each of the five ATF technologies. These relative impacts consider the number and degree of changes in safety criteria, performance and design requirements, and analytical limits. The relative magnitude of data gaps represents the overall effort required to characterize the irradiated material properties and performance considering the extent of the existing empirical database. </w:t>
      </w:r>
    </w:p>
    <w:p w14:paraId="65D39EB0" w14:textId="24FFA879" w:rsidR="00916139" w:rsidRPr="00916139" w:rsidRDefault="00C9454A" w:rsidP="00916139">
      <w:pPr>
        <w:pStyle w:val="ZooFun"/>
        <w:keepNext/>
        <w:keepLines/>
        <w:rPr>
          <w:rFonts w:ascii="Times New Roman" w:hAnsi="Times New Roman"/>
          <w:szCs w:val="22"/>
        </w:rPr>
      </w:pPr>
      <w:r>
        <w:rPr>
          <w:rFonts w:ascii="Times New Roman" w:hAnsi="Times New Roman"/>
          <w:szCs w:val="22"/>
        </w:rPr>
        <w:lastRenderedPageBreak/>
        <w:t>TABLE</w:t>
      </w:r>
      <w:r w:rsidR="00916139" w:rsidRPr="00916139">
        <w:rPr>
          <w:rFonts w:ascii="Times New Roman" w:hAnsi="Times New Roman"/>
          <w:szCs w:val="22"/>
        </w:rPr>
        <w:t xml:space="preserve"> 1. SUMMARY OF THE EVALUATION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68"/>
        <w:gridCol w:w="1728"/>
        <w:gridCol w:w="1728"/>
        <w:gridCol w:w="1728"/>
        <w:gridCol w:w="1728"/>
      </w:tblGrid>
      <w:tr w:rsidR="00916139" w:rsidRPr="00916139" w14:paraId="602C6D39" w14:textId="77777777" w:rsidTr="003B32DB">
        <w:trPr>
          <w:trHeight w:val="1250"/>
          <w:jc w:val="center"/>
        </w:trPr>
        <w:tc>
          <w:tcPr>
            <w:tcW w:w="3168" w:type="dxa"/>
            <w:shd w:val="clear" w:color="auto" w:fill="auto"/>
            <w:vAlign w:val="center"/>
          </w:tcPr>
          <w:p w14:paraId="027BC5D8" w14:textId="77777777" w:rsidR="00916139" w:rsidRPr="00916139" w:rsidRDefault="00916139" w:rsidP="00916139">
            <w:pPr>
              <w:pStyle w:val="ZooFun"/>
              <w:keepNext/>
              <w:keepLines/>
              <w:rPr>
                <w:rFonts w:ascii="Times New Roman" w:hAnsi="Times New Roman"/>
                <w:szCs w:val="22"/>
              </w:rPr>
            </w:pPr>
          </w:p>
          <w:p w14:paraId="6161A544" w14:textId="77777777" w:rsidR="00916139" w:rsidRPr="00916139" w:rsidRDefault="00916139" w:rsidP="00916139">
            <w:pPr>
              <w:pStyle w:val="ZooFun"/>
              <w:keepNext/>
              <w:keepLines/>
              <w:rPr>
                <w:rFonts w:ascii="Times New Roman" w:hAnsi="Times New Roman"/>
                <w:b/>
                <w:bCs/>
                <w:szCs w:val="22"/>
              </w:rPr>
            </w:pPr>
            <w:bookmarkStart w:id="3" w:name="_bookmark0"/>
            <w:bookmarkEnd w:id="3"/>
            <w:r w:rsidRPr="00916139">
              <w:rPr>
                <w:rFonts w:ascii="Times New Roman" w:hAnsi="Times New Roman"/>
                <w:b/>
                <w:bCs/>
                <w:szCs w:val="22"/>
              </w:rPr>
              <w:t>ATF design concept</w:t>
            </w:r>
          </w:p>
        </w:tc>
        <w:tc>
          <w:tcPr>
            <w:tcW w:w="1728" w:type="dxa"/>
            <w:shd w:val="clear" w:color="auto" w:fill="auto"/>
            <w:tcMar>
              <w:left w:w="72" w:type="dxa"/>
              <w:right w:w="72" w:type="dxa"/>
            </w:tcMar>
            <w:vAlign w:val="center"/>
          </w:tcPr>
          <w:p w14:paraId="7A0E0B93" w14:textId="77777777" w:rsidR="00916139" w:rsidRPr="00916139" w:rsidRDefault="00916139" w:rsidP="003B32DB">
            <w:pPr>
              <w:pStyle w:val="ZooFun"/>
              <w:keepNext/>
              <w:keepLines/>
              <w:spacing w:before="0" w:after="0"/>
              <w:jc w:val="center"/>
              <w:rPr>
                <w:rFonts w:ascii="Times New Roman" w:hAnsi="Times New Roman"/>
                <w:b/>
                <w:bCs/>
                <w:szCs w:val="22"/>
              </w:rPr>
            </w:pPr>
            <w:r w:rsidRPr="00916139">
              <w:rPr>
                <w:rFonts w:ascii="Times New Roman" w:hAnsi="Times New Roman"/>
                <w:b/>
                <w:bCs/>
                <w:szCs w:val="22"/>
              </w:rPr>
              <w:t>EGATFL</w:t>
            </w:r>
          </w:p>
          <w:p w14:paraId="07DF1080" w14:textId="77777777" w:rsidR="00916139" w:rsidRPr="00916139" w:rsidRDefault="00916139" w:rsidP="003B32DB">
            <w:pPr>
              <w:pStyle w:val="ZooFun"/>
              <w:keepNext/>
              <w:keepLines/>
              <w:spacing w:before="0" w:after="0"/>
              <w:jc w:val="center"/>
              <w:rPr>
                <w:rFonts w:ascii="Times New Roman" w:hAnsi="Times New Roman"/>
                <w:b/>
                <w:bCs/>
                <w:szCs w:val="22"/>
              </w:rPr>
            </w:pPr>
            <w:r w:rsidRPr="00916139">
              <w:rPr>
                <w:rFonts w:ascii="Times New Roman" w:hAnsi="Times New Roman"/>
                <w:b/>
                <w:bCs/>
                <w:szCs w:val="22"/>
              </w:rPr>
              <w:t>technology readiness level*</w:t>
            </w:r>
          </w:p>
        </w:tc>
        <w:tc>
          <w:tcPr>
            <w:tcW w:w="1728" w:type="dxa"/>
            <w:shd w:val="clear" w:color="auto" w:fill="auto"/>
            <w:tcMar>
              <w:left w:w="72" w:type="dxa"/>
              <w:right w:w="72" w:type="dxa"/>
            </w:tcMar>
            <w:vAlign w:val="center"/>
          </w:tcPr>
          <w:p w14:paraId="1388A8FD" w14:textId="77777777" w:rsidR="00916139" w:rsidRPr="00916139" w:rsidRDefault="00916139" w:rsidP="003B32DB">
            <w:pPr>
              <w:pStyle w:val="ZooFun"/>
              <w:keepNext/>
              <w:keepLines/>
              <w:jc w:val="center"/>
              <w:rPr>
                <w:rFonts w:ascii="Times New Roman" w:hAnsi="Times New Roman"/>
                <w:b/>
                <w:bCs/>
                <w:szCs w:val="22"/>
              </w:rPr>
            </w:pPr>
            <w:r w:rsidRPr="00916139">
              <w:rPr>
                <w:rFonts w:ascii="Times New Roman" w:hAnsi="Times New Roman"/>
                <w:b/>
                <w:bCs/>
                <w:szCs w:val="22"/>
              </w:rPr>
              <w:t>Relative impact on existing fuel safety criteria</w:t>
            </w:r>
          </w:p>
        </w:tc>
        <w:tc>
          <w:tcPr>
            <w:tcW w:w="1728" w:type="dxa"/>
            <w:shd w:val="clear" w:color="auto" w:fill="auto"/>
            <w:tcMar>
              <w:left w:w="72" w:type="dxa"/>
              <w:right w:w="72" w:type="dxa"/>
            </w:tcMar>
            <w:vAlign w:val="center"/>
          </w:tcPr>
          <w:p w14:paraId="7CC7A502" w14:textId="77777777" w:rsidR="00916139" w:rsidRPr="00916139" w:rsidRDefault="00916139" w:rsidP="003B32DB">
            <w:pPr>
              <w:pStyle w:val="ZooFun"/>
              <w:keepNext/>
              <w:keepLines/>
              <w:jc w:val="center"/>
              <w:rPr>
                <w:rFonts w:ascii="Times New Roman" w:hAnsi="Times New Roman"/>
                <w:b/>
                <w:bCs/>
                <w:szCs w:val="22"/>
              </w:rPr>
            </w:pPr>
            <w:r w:rsidRPr="00916139">
              <w:rPr>
                <w:rFonts w:ascii="Times New Roman" w:hAnsi="Times New Roman"/>
                <w:b/>
                <w:bCs/>
                <w:szCs w:val="22"/>
              </w:rPr>
              <w:t>Number of new phenomena</w:t>
            </w:r>
          </w:p>
        </w:tc>
        <w:tc>
          <w:tcPr>
            <w:tcW w:w="1728" w:type="dxa"/>
            <w:shd w:val="clear" w:color="auto" w:fill="auto"/>
            <w:tcMar>
              <w:left w:w="72" w:type="dxa"/>
              <w:right w:w="72" w:type="dxa"/>
            </w:tcMar>
            <w:vAlign w:val="center"/>
          </w:tcPr>
          <w:p w14:paraId="12123949" w14:textId="77777777" w:rsidR="00916139" w:rsidRPr="00916139" w:rsidRDefault="00916139" w:rsidP="003B32DB">
            <w:pPr>
              <w:pStyle w:val="ZooFun"/>
              <w:keepNext/>
              <w:keepLines/>
              <w:jc w:val="center"/>
              <w:rPr>
                <w:rFonts w:ascii="Times New Roman" w:hAnsi="Times New Roman"/>
                <w:b/>
                <w:bCs/>
                <w:szCs w:val="22"/>
              </w:rPr>
            </w:pPr>
            <w:r w:rsidRPr="00916139">
              <w:rPr>
                <w:rFonts w:ascii="Times New Roman" w:hAnsi="Times New Roman"/>
                <w:b/>
                <w:bCs/>
                <w:szCs w:val="22"/>
              </w:rPr>
              <w:t>Relative magnitude of data gaps</w:t>
            </w:r>
          </w:p>
        </w:tc>
      </w:tr>
      <w:tr w:rsidR="00916139" w:rsidRPr="00916139" w14:paraId="58D492DA" w14:textId="77777777" w:rsidTr="003B32DB">
        <w:trPr>
          <w:trHeight w:val="290"/>
          <w:jc w:val="center"/>
        </w:trPr>
        <w:tc>
          <w:tcPr>
            <w:tcW w:w="3168" w:type="dxa"/>
            <w:shd w:val="clear" w:color="auto" w:fill="auto"/>
            <w:vAlign w:val="center"/>
          </w:tcPr>
          <w:p w14:paraId="23671D65" w14:textId="77777777" w:rsidR="00916139" w:rsidRPr="00916139" w:rsidRDefault="00916139" w:rsidP="00916139">
            <w:pPr>
              <w:pStyle w:val="ZooFun"/>
              <w:keepNext/>
              <w:keepLines/>
              <w:rPr>
                <w:rFonts w:ascii="Times New Roman" w:hAnsi="Times New Roman"/>
                <w:szCs w:val="22"/>
              </w:rPr>
            </w:pPr>
            <w:r w:rsidRPr="00916139">
              <w:rPr>
                <w:rFonts w:ascii="Times New Roman" w:hAnsi="Times New Roman"/>
                <w:szCs w:val="22"/>
              </w:rPr>
              <w:t>Coated zirconium alloy cladding</w:t>
            </w:r>
          </w:p>
        </w:tc>
        <w:tc>
          <w:tcPr>
            <w:tcW w:w="1728" w:type="dxa"/>
            <w:shd w:val="clear" w:color="auto" w:fill="auto"/>
            <w:vAlign w:val="center"/>
          </w:tcPr>
          <w:p w14:paraId="45DF5E91" w14:textId="77777777" w:rsidR="00916139" w:rsidRPr="00916139" w:rsidRDefault="00916139" w:rsidP="003B32DB">
            <w:pPr>
              <w:pStyle w:val="ZooFun"/>
              <w:keepNext/>
              <w:keepLines/>
              <w:jc w:val="center"/>
              <w:rPr>
                <w:rFonts w:ascii="Times New Roman" w:hAnsi="Times New Roman"/>
                <w:szCs w:val="22"/>
              </w:rPr>
            </w:pPr>
            <w:r w:rsidRPr="00916139">
              <w:rPr>
                <w:rFonts w:ascii="Times New Roman" w:hAnsi="Times New Roman"/>
                <w:szCs w:val="22"/>
              </w:rPr>
              <w:t>4</w:t>
            </w:r>
          </w:p>
        </w:tc>
        <w:tc>
          <w:tcPr>
            <w:tcW w:w="1728" w:type="dxa"/>
            <w:shd w:val="clear" w:color="auto" w:fill="auto"/>
            <w:vAlign w:val="center"/>
          </w:tcPr>
          <w:p w14:paraId="253BC754" w14:textId="77777777" w:rsidR="00916139" w:rsidRPr="00916139" w:rsidRDefault="00916139" w:rsidP="003B32DB">
            <w:pPr>
              <w:pStyle w:val="ZooFun"/>
              <w:keepNext/>
              <w:keepLines/>
              <w:jc w:val="center"/>
              <w:rPr>
                <w:rFonts w:ascii="Times New Roman" w:hAnsi="Times New Roman"/>
                <w:szCs w:val="22"/>
              </w:rPr>
            </w:pPr>
            <w:r w:rsidRPr="00916139">
              <w:rPr>
                <w:rFonts w:ascii="Times New Roman" w:hAnsi="Times New Roman"/>
                <w:szCs w:val="22"/>
              </w:rPr>
              <w:t>Low</w:t>
            </w:r>
          </w:p>
        </w:tc>
        <w:tc>
          <w:tcPr>
            <w:tcW w:w="1728" w:type="dxa"/>
            <w:shd w:val="clear" w:color="auto" w:fill="auto"/>
            <w:vAlign w:val="center"/>
          </w:tcPr>
          <w:p w14:paraId="015AB584" w14:textId="77777777" w:rsidR="00916139" w:rsidRPr="00916139" w:rsidRDefault="00916139" w:rsidP="003B32DB">
            <w:pPr>
              <w:pStyle w:val="ZooFun"/>
              <w:keepNext/>
              <w:keepLines/>
              <w:jc w:val="center"/>
              <w:rPr>
                <w:rFonts w:ascii="Times New Roman" w:hAnsi="Times New Roman"/>
                <w:szCs w:val="22"/>
              </w:rPr>
            </w:pPr>
            <w:r w:rsidRPr="00916139">
              <w:rPr>
                <w:rFonts w:ascii="Times New Roman" w:hAnsi="Times New Roman"/>
                <w:szCs w:val="22"/>
              </w:rPr>
              <w:t>3</w:t>
            </w:r>
          </w:p>
        </w:tc>
        <w:tc>
          <w:tcPr>
            <w:tcW w:w="1728" w:type="dxa"/>
            <w:shd w:val="clear" w:color="auto" w:fill="auto"/>
            <w:vAlign w:val="center"/>
          </w:tcPr>
          <w:p w14:paraId="0FF22DD2" w14:textId="77777777" w:rsidR="00916139" w:rsidRPr="00916139" w:rsidRDefault="00916139" w:rsidP="003B32DB">
            <w:pPr>
              <w:pStyle w:val="ZooFun"/>
              <w:keepNext/>
              <w:keepLines/>
              <w:jc w:val="center"/>
              <w:rPr>
                <w:rFonts w:ascii="Times New Roman" w:hAnsi="Times New Roman"/>
                <w:szCs w:val="22"/>
              </w:rPr>
            </w:pPr>
            <w:r w:rsidRPr="00916139">
              <w:rPr>
                <w:rFonts w:ascii="Times New Roman" w:hAnsi="Times New Roman"/>
                <w:szCs w:val="22"/>
              </w:rPr>
              <w:t>Low</w:t>
            </w:r>
          </w:p>
        </w:tc>
      </w:tr>
      <w:tr w:rsidR="00916139" w:rsidRPr="00916139" w14:paraId="77850EE0" w14:textId="77777777" w:rsidTr="003B32DB">
        <w:trPr>
          <w:trHeight w:val="283"/>
          <w:jc w:val="center"/>
        </w:trPr>
        <w:tc>
          <w:tcPr>
            <w:tcW w:w="3168" w:type="dxa"/>
            <w:shd w:val="clear" w:color="auto" w:fill="auto"/>
            <w:vAlign w:val="center"/>
          </w:tcPr>
          <w:p w14:paraId="6E129810" w14:textId="77777777" w:rsidR="00916139" w:rsidRPr="00916139" w:rsidRDefault="00916139" w:rsidP="00916139">
            <w:pPr>
              <w:pStyle w:val="ZooFun"/>
              <w:keepNext/>
              <w:keepLines/>
              <w:rPr>
                <w:rFonts w:ascii="Times New Roman" w:hAnsi="Times New Roman"/>
                <w:szCs w:val="22"/>
              </w:rPr>
            </w:pPr>
            <w:r w:rsidRPr="00916139">
              <w:rPr>
                <w:rFonts w:ascii="Times New Roman" w:hAnsi="Times New Roman"/>
                <w:szCs w:val="22"/>
              </w:rPr>
              <w:t>FeCrAl cladding</w:t>
            </w:r>
          </w:p>
        </w:tc>
        <w:tc>
          <w:tcPr>
            <w:tcW w:w="1728" w:type="dxa"/>
            <w:shd w:val="clear" w:color="auto" w:fill="auto"/>
            <w:vAlign w:val="center"/>
          </w:tcPr>
          <w:p w14:paraId="5A607E52" w14:textId="77777777" w:rsidR="00916139" w:rsidRPr="00916139" w:rsidRDefault="00916139" w:rsidP="003B32DB">
            <w:pPr>
              <w:pStyle w:val="ZooFun"/>
              <w:keepNext/>
              <w:keepLines/>
              <w:jc w:val="center"/>
              <w:rPr>
                <w:rFonts w:ascii="Times New Roman" w:hAnsi="Times New Roman"/>
                <w:szCs w:val="22"/>
              </w:rPr>
            </w:pPr>
            <w:r w:rsidRPr="00916139">
              <w:rPr>
                <w:rFonts w:ascii="Times New Roman" w:hAnsi="Times New Roman"/>
                <w:szCs w:val="22"/>
              </w:rPr>
              <w:t>3-4</w:t>
            </w:r>
          </w:p>
        </w:tc>
        <w:tc>
          <w:tcPr>
            <w:tcW w:w="1728" w:type="dxa"/>
            <w:shd w:val="clear" w:color="auto" w:fill="auto"/>
            <w:vAlign w:val="center"/>
          </w:tcPr>
          <w:p w14:paraId="42DAE7D4" w14:textId="77777777" w:rsidR="00916139" w:rsidRPr="00916139" w:rsidRDefault="00916139" w:rsidP="003B32DB">
            <w:pPr>
              <w:pStyle w:val="ZooFun"/>
              <w:keepNext/>
              <w:keepLines/>
              <w:jc w:val="center"/>
              <w:rPr>
                <w:rFonts w:ascii="Times New Roman" w:hAnsi="Times New Roman"/>
                <w:szCs w:val="22"/>
              </w:rPr>
            </w:pPr>
            <w:r w:rsidRPr="00916139">
              <w:rPr>
                <w:rFonts w:ascii="Times New Roman" w:hAnsi="Times New Roman"/>
                <w:szCs w:val="22"/>
              </w:rPr>
              <w:t>Medium</w:t>
            </w:r>
          </w:p>
        </w:tc>
        <w:tc>
          <w:tcPr>
            <w:tcW w:w="1728" w:type="dxa"/>
            <w:shd w:val="clear" w:color="auto" w:fill="auto"/>
            <w:vAlign w:val="center"/>
          </w:tcPr>
          <w:p w14:paraId="62FC9A43" w14:textId="77777777" w:rsidR="00916139" w:rsidRPr="00916139" w:rsidRDefault="00916139" w:rsidP="003B32DB">
            <w:pPr>
              <w:pStyle w:val="ZooFun"/>
              <w:keepNext/>
              <w:keepLines/>
              <w:jc w:val="center"/>
              <w:rPr>
                <w:rFonts w:ascii="Times New Roman" w:hAnsi="Times New Roman"/>
                <w:szCs w:val="22"/>
              </w:rPr>
            </w:pPr>
            <w:r w:rsidRPr="00916139">
              <w:rPr>
                <w:rFonts w:ascii="Times New Roman" w:hAnsi="Times New Roman"/>
                <w:szCs w:val="22"/>
              </w:rPr>
              <w:t>2</w:t>
            </w:r>
          </w:p>
        </w:tc>
        <w:tc>
          <w:tcPr>
            <w:tcW w:w="1728" w:type="dxa"/>
            <w:shd w:val="clear" w:color="auto" w:fill="auto"/>
            <w:vAlign w:val="center"/>
          </w:tcPr>
          <w:p w14:paraId="0FB6EBE9" w14:textId="77777777" w:rsidR="00916139" w:rsidRPr="00916139" w:rsidRDefault="00916139" w:rsidP="003B32DB">
            <w:pPr>
              <w:pStyle w:val="ZooFun"/>
              <w:keepNext/>
              <w:keepLines/>
              <w:jc w:val="center"/>
              <w:rPr>
                <w:rFonts w:ascii="Times New Roman" w:hAnsi="Times New Roman"/>
                <w:szCs w:val="22"/>
              </w:rPr>
            </w:pPr>
            <w:r w:rsidRPr="00916139">
              <w:rPr>
                <w:rFonts w:ascii="Times New Roman" w:hAnsi="Times New Roman"/>
                <w:szCs w:val="22"/>
              </w:rPr>
              <w:t>Medium</w:t>
            </w:r>
          </w:p>
        </w:tc>
      </w:tr>
      <w:tr w:rsidR="00916139" w:rsidRPr="00916139" w14:paraId="136AAC40" w14:textId="77777777" w:rsidTr="003B32DB">
        <w:trPr>
          <w:trHeight w:val="285"/>
          <w:jc w:val="center"/>
        </w:trPr>
        <w:tc>
          <w:tcPr>
            <w:tcW w:w="3168" w:type="dxa"/>
            <w:shd w:val="clear" w:color="auto" w:fill="auto"/>
            <w:vAlign w:val="center"/>
          </w:tcPr>
          <w:p w14:paraId="4698A149" w14:textId="77777777" w:rsidR="00916139" w:rsidRPr="00916139" w:rsidRDefault="00916139" w:rsidP="00916139">
            <w:pPr>
              <w:pStyle w:val="ZooFun"/>
              <w:keepNext/>
              <w:keepLines/>
              <w:rPr>
                <w:rFonts w:ascii="Times New Roman" w:hAnsi="Times New Roman"/>
                <w:szCs w:val="22"/>
              </w:rPr>
            </w:pPr>
            <w:r w:rsidRPr="00916139">
              <w:rPr>
                <w:rFonts w:ascii="Times New Roman" w:hAnsi="Times New Roman"/>
                <w:szCs w:val="22"/>
              </w:rPr>
              <w:t>Silicon carbide cladding</w:t>
            </w:r>
          </w:p>
        </w:tc>
        <w:tc>
          <w:tcPr>
            <w:tcW w:w="1728" w:type="dxa"/>
            <w:shd w:val="clear" w:color="auto" w:fill="auto"/>
            <w:vAlign w:val="center"/>
          </w:tcPr>
          <w:p w14:paraId="68703560" w14:textId="77777777" w:rsidR="00916139" w:rsidRPr="00916139" w:rsidRDefault="00916139" w:rsidP="003B32DB">
            <w:pPr>
              <w:pStyle w:val="ZooFun"/>
              <w:keepNext/>
              <w:keepLines/>
              <w:jc w:val="center"/>
              <w:rPr>
                <w:rFonts w:ascii="Times New Roman" w:hAnsi="Times New Roman"/>
                <w:szCs w:val="22"/>
              </w:rPr>
            </w:pPr>
            <w:r w:rsidRPr="00916139">
              <w:rPr>
                <w:rFonts w:ascii="Times New Roman" w:hAnsi="Times New Roman"/>
                <w:szCs w:val="22"/>
              </w:rPr>
              <w:t>&lt; 3</w:t>
            </w:r>
          </w:p>
        </w:tc>
        <w:tc>
          <w:tcPr>
            <w:tcW w:w="1728" w:type="dxa"/>
            <w:shd w:val="clear" w:color="auto" w:fill="auto"/>
            <w:vAlign w:val="center"/>
          </w:tcPr>
          <w:p w14:paraId="33BC8522" w14:textId="77777777" w:rsidR="00916139" w:rsidRPr="00916139" w:rsidRDefault="00916139" w:rsidP="003B32DB">
            <w:pPr>
              <w:pStyle w:val="ZooFun"/>
              <w:keepNext/>
              <w:keepLines/>
              <w:jc w:val="center"/>
              <w:rPr>
                <w:rFonts w:ascii="Times New Roman" w:hAnsi="Times New Roman"/>
                <w:szCs w:val="22"/>
              </w:rPr>
            </w:pPr>
            <w:r w:rsidRPr="00916139">
              <w:rPr>
                <w:rFonts w:ascii="Times New Roman" w:hAnsi="Times New Roman"/>
                <w:szCs w:val="22"/>
              </w:rPr>
              <w:t>High</w:t>
            </w:r>
          </w:p>
        </w:tc>
        <w:tc>
          <w:tcPr>
            <w:tcW w:w="1728" w:type="dxa"/>
            <w:shd w:val="clear" w:color="auto" w:fill="auto"/>
            <w:vAlign w:val="center"/>
          </w:tcPr>
          <w:p w14:paraId="624C3A59" w14:textId="77777777" w:rsidR="00916139" w:rsidRPr="00916139" w:rsidRDefault="00916139" w:rsidP="003B32DB">
            <w:pPr>
              <w:pStyle w:val="ZooFun"/>
              <w:keepNext/>
              <w:keepLines/>
              <w:jc w:val="center"/>
              <w:rPr>
                <w:rFonts w:ascii="Times New Roman" w:hAnsi="Times New Roman"/>
                <w:szCs w:val="22"/>
              </w:rPr>
            </w:pPr>
            <w:r w:rsidRPr="00916139">
              <w:rPr>
                <w:rFonts w:ascii="Times New Roman" w:hAnsi="Times New Roman"/>
                <w:szCs w:val="22"/>
              </w:rPr>
              <w:t>3</w:t>
            </w:r>
          </w:p>
        </w:tc>
        <w:tc>
          <w:tcPr>
            <w:tcW w:w="1728" w:type="dxa"/>
            <w:shd w:val="clear" w:color="auto" w:fill="auto"/>
            <w:vAlign w:val="center"/>
          </w:tcPr>
          <w:p w14:paraId="21674FBC" w14:textId="77777777" w:rsidR="00916139" w:rsidRPr="00916139" w:rsidRDefault="00916139" w:rsidP="003B32DB">
            <w:pPr>
              <w:pStyle w:val="ZooFun"/>
              <w:keepNext/>
              <w:keepLines/>
              <w:jc w:val="center"/>
              <w:rPr>
                <w:rFonts w:ascii="Times New Roman" w:hAnsi="Times New Roman"/>
                <w:szCs w:val="22"/>
              </w:rPr>
            </w:pPr>
            <w:r w:rsidRPr="00916139">
              <w:rPr>
                <w:rFonts w:ascii="Times New Roman" w:hAnsi="Times New Roman"/>
                <w:szCs w:val="22"/>
              </w:rPr>
              <w:t>High</w:t>
            </w:r>
          </w:p>
        </w:tc>
      </w:tr>
      <w:tr w:rsidR="00916139" w:rsidRPr="00916139" w14:paraId="2C35C260" w14:textId="77777777" w:rsidTr="003B32DB">
        <w:trPr>
          <w:trHeight w:val="285"/>
          <w:jc w:val="center"/>
        </w:trPr>
        <w:tc>
          <w:tcPr>
            <w:tcW w:w="3168" w:type="dxa"/>
            <w:shd w:val="clear" w:color="auto" w:fill="auto"/>
            <w:vAlign w:val="center"/>
          </w:tcPr>
          <w:p w14:paraId="7E5EDBA1" w14:textId="77777777" w:rsidR="00916139" w:rsidRPr="00916139" w:rsidRDefault="00916139" w:rsidP="00916139">
            <w:pPr>
              <w:pStyle w:val="ZooFun"/>
              <w:keepNext/>
              <w:keepLines/>
              <w:rPr>
                <w:rFonts w:ascii="Times New Roman" w:hAnsi="Times New Roman"/>
                <w:szCs w:val="22"/>
              </w:rPr>
            </w:pPr>
            <w:r w:rsidRPr="00916139">
              <w:rPr>
                <w:rFonts w:ascii="Times New Roman" w:hAnsi="Times New Roman"/>
                <w:szCs w:val="22"/>
              </w:rPr>
              <w:t>Doped UO</w:t>
            </w:r>
            <w:r w:rsidRPr="00916139">
              <w:rPr>
                <w:rFonts w:ascii="Times New Roman" w:hAnsi="Times New Roman"/>
                <w:szCs w:val="22"/>
                <w:vertAlign w:val="subscript"/>
              </w:rPr>
              <w:t>2</w:t>
            </w:r>
            <w:r w:rsidRPr="00916139">
              <w:rPr>
                <w:rFonts w:ascii="Times New Roman" w:hAnsi="Times New Roman"/>
                <w:szCs w:val="22"/>
              </w:rPr>
              <w:t xml:space="preserve"> ceramic pellets</w:t>
            </w:r>
          </w:p>
        </w:tc>
        <w:tc>
          <w:tcPr>
            <w:tcW w:w="1728" w:type="dxa"/>
            <w:shd w:val="clear" w:color="auto" w:fill="auto"/>
            <w:vAlign w:val="center"/>
          </w:tcPr>
          <w:p w14:paraId="181C9B2A" w14:textId="77777777" w:rsidR="00916139" w:rsidRPr="00916139" w:rsidRDefault="00916139" w:rsidP="003B32DB">
            <w:pPr>
              <w:pStyle w:val="ZooFun"/>
              <w:keepNext/>
              <w:keepLines/>
              <w:jc w:val="center"/>
              <w:rPr>
                <w:rFonts w:ascii="Times New Roman" w:hAnsi="Times New Roman"/>
                <w:szCs w:val="22"/>
              </w:rPr>
            </w:pPr>
            <w:r w:rsidRPr="00916139">
              <w:rPr>
                <w:rFonts w:ascii="Times New Roman" w:hAnsi="Times New Roman"/>
                <w:szCs w:val="22"/>
              </w:rPr>
              <w:t>8</w:t>
            </w:r>
          </w:p>
        </w:tc>
        <w:tc>
          <w:tcPr>
            <w:tcW w:w="1728" w:type="dxa"/>
            <w:shd w:val="clear" w:color="auto" w:fill="auto"/>
            <w:vAlign w:val="center"/>
          </w:tcPr>
          <w:p w14:paraId="1C794E7C" w14:textId="77777777" w:rsidR="00916139" w:rsidRPr="00916139" w:rsidRDefault="00916139" w:rsidP="003B32DB">
            <w:pPr>
              <w:pStyle w:val="ZooFun"/>
              <w:keepNext/>
              <w:keepLines/>
              <w:jc w:val="center"/>
              <w:rPr>
                <w:rFonts w:ascii="Times New Roman" w:hAnsi="Times New Roman"/>
                <w:szCs w:val="22"/>
              </w:rPr>
            </w:pPr>
            <w:r w:rsidRPr="00916139">
              <w:rPr>
                <w:rFonts w:ascii="Times New Roman" w:hAnsi="Times New Roman"/>
                <w:szCs w:val="22"/>
              </w:rPr>
              <w:t>Low</w:t>
            </w:r>
          </w:p>
        </w:tc>
        <w:tc>
          <w:tcPr>
            <w:tcW w:w="1728" w:type="dxa"/>
            <w:shd w:val="clear" w:color="auto" w:fill="auto"/>
            <w:vAlign w:val="center"/>
          </w:tcPr>
          <w:p w14:paraId="74C4B5AC" w14:textId="77777777" w:rsidR="00916139" w:rsidRPr="00916139" w:rsidRDefault="00916139" w:rsidP="003B32DB">
            <w:pPr>
              <w:pStyle w:val="ZooFun"/>
              <w:keepNext/>
              <w:keepLines/>
              <w:jc w:val="center"/>
              <w:rPr>
                <w:rFonts w:ascii="Times New Roman" w:hAnsi="Times New Roman"/>
                <w:szCs w:val="22"/>
              </w:rPr>
            </w:pPr>
            <w:r w:rsidRPr="00916139">
              <w:rPr>
                <w:rFonts w:ascii="Times New Roman" w:hAnsi="Times New Roman"/>
                <w:szCs w:val="22"/>
              </w:rPr>
              <w:t>0</w:t>
            </w:r>
          </w:p>
        </w:tc>
        <w:tc>
          <w:tcPr>
            <w:tcW w:w="1728" w:type="dxa"/>
            <w:shd w:val="clear" w:color="auto" w:fill="auto"/>
            <w:vAlign w:val="center"/>
          </w:tcPr>
          <w:p w14:paraId="397A8464" w14:textId="77777777" w:rsidR="00916139" w:rsidRPr="00916139" w:rsidRDefault="00916139" w:rsidP="003B32DB">
            <w:pPr>
              <w:pStyle w:val="ZooFun"/>
              <w:keepNext/>
              <w:keepLines/>
              <w:jc w:val="center"/>
              <w:rPr>
                <w:rFonts w:ascii="Times New Roman" w:hAnsi="Times New Roman"/>
                <w:szCs w:val="22"/>
              </w:rPr>
            </w:pPr>
            <w:r w:rsidRPr="00916139">
              <w:rPr>
                <w:rFonts w:ascii="Times New Roman" w:hAnsi="Times New Roman"/>
                <w:szCs w:val="22"/>
              </w:rPr>
              <w:t>Low</w:t>
            </w:r>
          </w:p>
        </w:tc>
      </w:tr>
      <w:tr w:rsidR="00916139" w:rsidRPr="00916139" w14:paraId="7D3FA661" w14:textId="77777777" w:rsidTr="003B32DB">
        <w:trPr>
          <w:trHeight w:val="282"/>
          <w:jc w:val="center"/>
        </w:trPr>
        <w:tc>
          <w:tcPr>
            <w:tcW w:w="3168" w:type="dxa"/>
            <w:shd w:val="clear" w:color="auto" w:fill="auto"/>
            <w:vAlign w:val="center"/>
          </w:tcPr>
          <w:p w14:paraId="256EB2BF" w14:textId="77777777" w:rsidR="00916139" w:rsidRPr="00916139" w:rsidRDefault="00916139" w:rsidP="00916139">
            <w:pPr>
              <w:pStyle w:val="ZooFun"/>
              <w:keepNext/>
              <w:keepLines/>
              <w:rPr>
                <w:rFonts w:ascii="Times New Roman" w:hAnsi="Times New Roman"/>
                <w:szCs w:val="22"/>
              </w:rPr>
            </w:pPr>
            <w:r w:rsidRPr="00916139">
              <w:rPr>
                <w:rFonts w:ascii="Times New Roman" w:hAnsi="Times New Roman"/>
                <w:szCs w:val="22"/>
              </w:rPr>
              <w:t>Uranium silicide ceramic pellets</w:t>
            </w:r>
          </w:p>
        </w:tc>
        <w:tc>
          <w:tcPr>
            <w:tcW w:w="1728" w:type="dxa"/>
            <w:shd w:val="clear" w:color="auto" w:fill="auto"/>
            <w:vAlign w:val="center"/>
          </w:tcPr>
          <w:p w14:paraId="22CC0302" w14:textId="77777777" w:rsidR="00916139" w:rsidRPr="00916139" w:rsidRDefault="00916139" w:rsidP="003B32DB">
            <w:pPr>
              <w:pStyle w:val="ZooFun"/>
              <w:keepNext/>
              <w:keepLines/>
              <w:jc w:val="center"/>
              <w:rPr>
                <w:rFonts w:ascii="Times New Roman" w:hAnsi="Times New Roman"/>
                <w:szCs w:val="22"/>
              </w:rPr>
            </w:pPr>
            <w:r w:rsidRPr="00916139">
              <w:rPr>
                <w:rFonts w:ascii="Times New Roman" w:hAnsi="Times New Roman"/>
                <w:szCs w:val="22"/>
              </w:rPr>
              <w:t>&lt; 3</w:t>
            </w:r>
          </w:p>
        </w:tc>
        <w:tc>
          <w:tcPr>
            <w:tcW w:w="1728" w:type="dxa"/>
            <w:shd w:val="clear" w:color="auto" w:fill="auto"/>
            <w:vAlign w:val="center"/>
          </w:tcPr>
          <w:p w14:paraId="079C315B" w14:textId="77777777" w:rsidR="00916139" w:rsidRPr="00916139" w:rsidRDefault="00916139" w:rsidP="003B32DB">
            <w:pPr>
              <w:pStyle w:val="ZooFun"/>
              <w:keepNext/>
              <w:keepLines/>
              <w:jc w:val="center"/>
              <w:rPr>
                <w:rFonts w:ascii="Times New Roman" w:hAnsi="Times New Roman"/>
                <w:szCs w:val="22"/>
              </w:rPr>
            </w:pPr>
            <w:r w:rsidRPr="00916139">
              <w:rPr>
                <w:rFonts w:ascii="Times New Roman" w:hAnsi="Times New Roman"/>
                <w:szCs w:val="22"/>
              </w:rPr>
              <w:t>High</w:t>
            </w:r>
          </w:p>
        </w:tc>
        <w:tc>
          <w:tcPr>
            <w:tcW w:w="1728" w:type="dxa"/>
            <w:shd w:val="clear" w:color="auto" w:fill="auto"/>
            <w:vAlign w:val="center"/>
          </w:tcPr>
          <w:p w14:paraId="0E1E2A6E" w14:textId="77777777" w:rsidR="00916139" w:rsidRPr="00916139" w:rsidRDefault="00916139" w:rsidP="003B32DB">
            <w:pPr>
              <w:pStyle w:val="ZooFun"/>
              <w:keepNext/>
              <w:keepLines/>
              <w:jc w:val="center"/>
              <w:rPr>
                <w:rFonts w:ascii="Times New Roman" w:hAnsi="Times New Roman"/>
                <w:szCs w:val="22"/>
              </w:rPr>
            </w:pPr>
            <w:r w:rsidRPr="00916139">
              <w:rPr>
                <w:rFonts w:ascii="Times New Roman" w:hAnsi="Times New Roman"/>
                <w:szCs w:val="22"/>
              </w:rPr>
              <w:t>1</w:t>
            </w:r>
          </w:p>
        </w:tc>
        <w:tc>
          <w:tcPr>
            <w:tcW w:w="1728" w:type="dxa"/>
            <w:shd w:val="clear" w:color="auto" w:fill="auto"/>
            <w:vAlign w:val="center"/>
          </w:tcPr>
          <w:p w14:paraId="364E848B" w14:textId="77777777" w:rsidR="00916139" w:rsidRPr="00916139" w:rsidRDefault="00916139" w:rsidP="003B32DB">
            <w:pPr>
              <w:pStyle w:val="ZooFun"/>
              <w:keepNext/>
              <w:keepLines/>
              <w:jc w:val="center"/>
              <w:rPr>
                <w:rFonts w:ascii="Times New Roman" w:hAnsi="Times New Roman"/>
                <w:szCs w:val="22"/>
              </w:rPr>
            </w:pPr>
            <w:r w:rsidRPr="00916139">
              <w:rPr>
                <w:rFonts w:ascii="Times New Roman" w:hAnsi="Times New Roman"/>
                <w:szCs w:val="22"/>
              </w:rPr>
              <w:t>High</w:t>
            </w:r>
          </w:p>
        </w:tc>
      </w:tr>
    </w:tbl>
    <w:p w14:paraId="0DDEC7EF" w14:textId="77777777" w:rsidR="00916139" w:rsidRDefault="00916139" w:rsidP="00916139">
      <w:pPr>
        <w:pStyle w:val="ZooFun"/>
        <w:rPr>
          <w:rFonts w:ascii="Times New Roman" w:hAnsi="Times New Roman"/>
          <w:i/>
          <w:iCs/>
          <w:sz w:val="20"/>
        </w:rPr>
      </w:pPr>
      <w:r w:rsidRPr="0094483D">
        <w:rPr>
          <w:rFonts w:ascii="Times New Roman" w:hAnsi="Times New Roman"/>
          <w:sz w:val="20"/>
        </w:rPr>
        <w:t xml:space="preserve">* In 2018, the EGATFL report defined a TRL for each ATF design concept from 1 to 9, with 9 defined as </w:t>
      </w:r>
      <w:r w:rsidRPr="0094483D">
        <w:rPr>
          <w:rFonts w:ascii="Times New Roman" w:hAnsi="Times New Roman"/>
          <w:i/>
          <w:iCs/>
          <w:sz w:val="20"/>
        </w:rPr>
        <w:t>routine commercial-scale operation. Multiple reactors operating.</w:t>
      </w:r>
    </w:p>
    <w:p w14:paraId="19364470" w14:textId="77777777" w:rsidR="0094483D" w:rsidRPr="0094483D" w:rsidRDefault="0094483D" w:rsidP="00916139">
      <w:pPr>
        <w:pStyle w:val="ZooFun"/>
        <w:rPr>
          <w:rFonts w:ascii="Times New Roman" w:hAnsi="Times New Roman"/>
          <w:i/>
          <w:iCs/>
          <w:sz w:val="20"/>
        </w:rPr>
      </w:pPr>
    </w:p>
    <w:p w14:paraId="36A8D67E" w14:textId="77777777" w:rsidR="00916139" w:rsidRPr="00916139" w:rsidRDefault="00916139" w:rsidP="00916139">
      <w:pPr>
        <w:pStyle w:val="ZooFun"/>
        <w:jc w:val="both"/>
        <w:rPr>
          <w:rFonts w:ascii="Times New Roman" w:hAnsi="Times New Roman"/>
          <w:szCs w:val="22"/>
        </w:rPr>
      </w:pPr>
      <w:r w:rsidRPr="00916139">
        <w:rPr>
          <w:rFonts w:ascii="Times New Roman" w:hAnsi="Times New Roman"/>
          <w:szCs w:val="22"/>
        </w:rPr>
        <w:t>The TOP concludes that while ATF designs offer significant safety and performance benefits, there are still unknowns and data gaps that need to be addressed through further research and testing. Collaborative efforts are essential to advance the development and licensing of these innovative fuel technologies.</w:t>
      </w:r>
    </w:p>
    <w:p w14:paraId="433FE095" w14:textId="44613C13" w:rsidR="00285755" w:rsidRPr="0066420C" w:rsidRDefault="00285755" w:rsidP="00537496">
      <w:pPr>
        <w:pStyle w:val="Otherunnumberedheadings"/>
        <w:rPr>
          <w:color w:val="FF0000"/>
          <w:lang w:eastAsia="zh-CN"/>
        </w:rPr>
      </w:pPr>
      <w:r w:rsidRPr="00285755">
        <w:t>ACKNOWLEDGEMENTS</w:t>
      </w:r>
    </w:p>
    <w:p w14:paraId="7A995963" w14:textId="08AD42B8" w:rsidR="005F6667" w:rsidRDefault="00A63087" w:rsidP="00A63087">
      <w:pPr>
        <w:pStyle w:val="BodyText"/>
      </w:pPr>
      <w:r w:rsidRPr="00A63087">
        <w:t>The authors would like to thank the contribution from all other task group members: Jeremy Bischoff, Nermine Chaari, Loys Duquesne, Christine Delafoy</w:t>
      </w:r>
      <w:r w:rsidR="00035E49">
        <w:t>,</w:t>
      </w:r>
      <w:r w:rsidRPr="00A63087">
        <w:t xml:space="preserve"> Jorie Walters, Peng Xu, Luke Hallman</w:t>
      </w:r>
      <w:r w:rsidR="00035E49">
        <w:t>,</w:t>
      </w:r>
      <w:r w:rsidRPr="00A63087">
        <w:t xml:space="preserve"> Felix Boldt</w:t>
      </w:r>
      <w:r w:rsidR="00035E49">
        <w:t>,</w:t>
      </w:r>
      <w:r w:rsidRPr="00A63087">
        <w:t xml:space="preserve"> Kan Sakamoto</w:t>
      </w:r>
      <w:r w:rsidR="00035E49">
        <w:t>,</w:t>
      </w:r>
      <w:r w:rsidRPr="00A63087">
        <w:t xml:space="preserve"> Koji Kitano</w:t>
      </w:r>
      <w:r w:rsidR="00035E49">
        <w:t>,</w:t>
      </w:r>
      <w:r w:rsidRPr="00A63087">
        <w:t xml:space="preserve"> Cedric Cozzo</w:t>
      </w:r>
      <w:r w:rsidR="00035E49">
        <w:t>,</w:t>
      </w:r>
      <w:r w:rsidRPr="00A63087">
        <w:t xml:space="preserve"> David Kamerman</w:t>
      </w:r>
      <w:r w:rsidR="00035E49">
        <w:t>,</w:t>
      </w:r>
      <w:r w:rsidRPr="00A63087">
        <w:t xml:space="preserve"> Ian Porter.</w:t>
      </w:r>
    </w:p>
    <w:p w14:paraId="433FE097" w14:textId="77777777" w:rsidR="00D26ADA" w:rsidRPr="00285755" w:rsidRDefault="00D26ADA" w:rsidP="00537496">
      <w:pPr>
        <w:pStyle w:val="Otherunnumberedheadings"/>
      </w:pPr>
      <w:r>
        <w:t>References</w:t>
      </w:r>
    </w:p>
    <w:p w14:paraId="5EB07056" w14:textId="2F087E46" w:rsidR="00A63087" w:rsidRDefault="00A63087" w:rsidP="00A63087">
      <w:pPr>
        <w:pStyle w:val="Referencelist"/>
      </w:pPr>
      <w:r>
        <w:t>NUCLEAR ENERGY AGENCY. Applicability of Nuclear Fuel Safety Criteria to Accident-Tolerant Fuel Designs. CSNI Technical Opinion Paper No. 19, OECD</w:t>
      </w:r>
      <w:r w:rsidR="00A83969">
        <w:t>.</w:t>
      </w:r>
      <w:r>
        <w:t xml:space="preserve"> </w:t>
      </w:r>
      <w:r w:rsidR="00A83969">
        <w:t>(</w:t>
      </w:r>
      <w:r>
        <w:t>2022</w:t>
      </w:r>
      <w:r w:rsidR="00A83969">
        <w:t>)</w:t>
      </w:r>
    </w:p>
    <w:p w14:paraId="2C7EB967" w14:textId="561A067E" w:rsidR="00A63087" w:rsidRDefault="00A63087" w:rsidP="00A63087">
      <w:pPr>
        <w:pStyle w:val="Referencelist"/>
      </w:pPr>
      <w:r>
        <w:t>NUCLEAR ENERGY AGENCY. Nuclear Fuel Safety Criteria Technical Review, Second Edition. OECD Publishing</w:t>
      </w:r>
      <w:r w:rsidR="00A83969">
        <w:t>.</w:t>
      </w:r>
      <w:r>
        <w:t xml:space="preserve"> </w:t>
      </w:r>
      <w:r w:rsidR="00A83969">
        <w:t>(</w:t>
      </w:r>
      <w:r>
        <w:t>2012</w:t>
      </w:r>
      <w:r w:rsidR="00A83969">
        <w:t>)</w:t>
      </w:r>
      <w:r>
        <w:t xml:space="preserve"> </w:t>
      </w:r>
    </w:p>
    <w:p w14:paraId="31D285F5" w14:textId="1E1526D0" w:rsidR="00A63087" w:rsidRDefault="00A63087" w:rsidP="00A63087">
      <w:pPr>
        <w:pStyle w:val="Referencelist"/>
        <w:numPr>
          <w:ilvl w:val="0"/>
          <w:numId w:val="0"/>
        </w:numPr>
        <w:ind w:left="714"/>
      </w:pPr>
      <w:r>
        <w:t>www.oecd-nea.org/upload/docs/application/pdf/2019-12/nea7072-fuel-safety-criteria.pdf.</w:t>
      </w:r>
    </w:p>
    <w:p w14:paraId="0498131A" w14:textId="0444F64E" w:rsidR="00A63087" w:rsidRDefault="00A63087" w:rsidP="00A63087">
      <w:pPr>
        <w:pStyle w:val="Referencelist"/>
      </w:pPr>
      <w:r>
        <w:t>NUCLEAR ENERGY AGENCY. State-of-the-Art Report on Light Water Reactor Accident Tolerant Fuels. OECD Publishing</w:t>
      </w:r>
      <w:r w:rsidR="00A83969">
        <w:t>.</w:t>
      </w:r>
      <w:r>
        <w:t xml:space="preserve"> </w:t>
      </w:r>
      <w:r w:rsidR="00A83969">
        <w:t>(</w:t>
      </w:r>
      <w:r>
        <w:t>2018</w:t>
      </w:r>
      <w:r w:rsidR="00A83969">
        <w:t>)</w:t>
      </w:r>
      <w:r>
        <w:t xml:space="preserve"> </w:t>
      </w:r>
    </w:p>
    <w:p w14:paraId="7469E55D" w14:textId="08F6F16A" w:rsidR="00A63087" w:rsidRDefault="00A63087" w:rsidP="00A63087">
      <w:pPr>
        <w:pStyle w:val="Referencelist"/>
        <w:numPr>
          <w:ilvl w:val="0"/>
          <w:numId w:val="0"/>
        </w:numPr>
        <w:ind w:left="714"/>
      </w:pPr>
      <w:r>
        <w:t>www.oecd-nea.org/jcms/pl_15020/state-of-the-art-report-on-light-water-reactor-accident-tolerant-fuels.</w:t>
      </w:r>
    </w:p>
    <w:p w14:paraId="15E273C0" w14:textId="343E5CDF" w:rsidR="002C29DB" w:rsidRDefault="00A63087" w:rsidP="00A63087">
      <w:pPr>
        <w:pStyle w:val="Referencelist"/>
      </w:pPr>
      <w:r>
        <w:t xml:space="preserve">NUCLEAR ENERGY AGENCY. “Evaluation Tables for Applicability of Nuclear Fuel Safety Criteria to Accident-Tolerant Fuel Designs”, OECD Nuclear Energy Agency, </w:t>
      </w:r>
      <w:hyperlink r:id="rId12" w:history="1">
        <w:r w:rsidRPr="00A63087">
          <w:rPr>
            <w:rStyle w:val="Hyperlink"/>
            <w:color w:val="auto"/>
            <w:u w:val="none"/>
          </w:rPr>
          <w:t>www.oecd-nea.org/7576-annex</w:t>
        </w:r>
      </w:hyperlink>
      <w:r w:rsidRPr="00A63087">
        <w:t>.</w:t>
      </w:r>
    </w:p>
    <w:p w14:paraId="433FE0B6" w14:textId="77777777" w:rsidR="00F45EEE" w:rsidRPr="00662532" w:rsidRDefault="00F45EEE" w:rsidP="00537496">
      <w:pPr>
        <w:pStyle w:val="BodyText"/>
        <w:jc w:val="left"/>
      </w:pPr>
    </w:p>
    <w:sectPr w:rsidR="00F45EEE" w:rsidRPr="00662532" w:rsidSect="00E379A5">
      <w:footerReference w:type="first" r:id="rId13"/>
      <w:pgSz w:w="11907" w:h="16840" w:code="9"/>
      <w:pgMar w:top="1440" w:right="1440" w:bottom="1440" w:left="1440" w:header="539" w:footer="96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DA27D" w14:textId="77777777" w:rsidR="002836FD" w:rsidRDefault="002836FD">
      <w:r>
        <w:separator/>
      </w:r>
    </w:p>
  </w:endnote>
  <w:endnote w:type="continuationSeparator" w:id="0">
    <w:p w14:paraId="42D5905B" w14:textId="77777777" w:rsidR="002836FD" w:rsidRDefault="002836FD">
      <w:r>
        <w:continuationSeparator/>
      </w:r>
    </w:p>
  </w:endnote>
  <w:endnote w:type="continuationNotice" w:id="1">
    <w:p w14:paraId="76FAE7CF" w14:textId="77777777" w:rsidR="002836FD" w:rsidRDefault="002836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99167" w14:textId="77777777" w:rsidR="00E379A5" w:rsidRDefault="00E37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B78A7" w14:textId="77777777" w:rsidR="002836FD" w:rsidRDefault="002836FD">
      <w:r>
        <w:t>___________________________________________________________________________</w:t>
      </w:r>
    </w:p>
  </w:footnote>
  <w:footnote w:type="continuationSeparator" w:id="0">
    <w:p w14:paraId="3387A072" w14:textId="77777777" w:rsidR="002836FD" w:rsidRDefault="002836FD">
      <w:r>
        <w:t>___________________________________________________________________________</w:t>
      </w:r>
    </w:p>
  </w:footnote>
  <w:footnote w:type="continuationNotice" w:id="1">
    <w:p w14:paraId="5C4F4AD2" w14:textId="77777777" w:rsidR="002836FD" w:rsidRDefault="002836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1E86"/>
    <w:multiLevelType w:val="multilevel"/>
    <w:tmpl w:val="A08A77C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19"/>
        </w:tabs>
        <w:ind w:left="91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378"/>
        </w:tabs>
        <w:ind w:left="1378" w:hanging="459"/>
      </w:pPr>
      <w:rPr>
        <w:rFonts w:asci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811"/>
        </w:tabs>
        <w:ind w:left="811" w:hanging="360"/>
      </w:pPr>
      <w:rPr>
        <w:rFonts w:hint="default"/>
      </w:rPr>
    </w:lvl>
    <w:lvl w:ilvl="4">
      <w:start w:val="1"/>
      <w:numFmt w:val="lowerLetter"/>
      <w:lvlText w:val="(%5)"/>
      <w:lvlJc w:val="left"/>
      <w:pPr>
        <w:tabs>
          <w:tab w:val="num" w:pos="1171"/>
        </w:tabs>
        <w:ind w:left="1171" w:hanging="360"/>
      </w:pPr>
      <w:rPr>
        <w:rFonts w:hint="default"/>
      </w:rPr>
    </w:lvl>
    <w:lvl w:ilvl="5">
      <w:start w:val="1"/>
      <w:numFmt w:val="lowerRoman"/>
      <w:lvlText w:val="(%6)"/>
      <w:lvlJc w:val="left"/>
      <w:pPr>
        <w:tabs>
          <w:tab w:val="num" w:pos="1531"/>
        </w:tabs>
        <w:ind w:left="1531" w:hanging="360"/>
      </w:pPr>
      <w:rPr>
        <w:rFonts w:hint="default"/>
      </w:rPr>
    </w:lvl>
    <w:lvl w:ilvl="6">
      <w:start w:val="1"/>
      <w:numFmt w:val="decimal"/>
      <w:lvlText w:val="%7."/>
      <w:lvlJc w:val="left"/>
      <w:pPr>
        <w:tabs>
          <w:tab w:val="num" w:pos="1891"/>
        </w:tabs>
        <w:ind w:left="1891" w:hanging="360"/>
      </w:pPr>
      <w:rPr>
        <w:rFonts w:hint="default"/>
      </w:rPr>
    </w:lvl>
    <w:lvl w:ilvl="7">
      <w:start w:val="1"/>
      <w:numFmt w:val="lowerLetter"/>
      <w:lvlText w:val="%8."/>
      <w:lvlJc w:val="left"/>
      <w:pPr>
        <w:tabs>
          <w:tab w:val="num" w:pos="2251"/>
        </w:tabs>
        <w:ind w:left="2251" w:hanging="360"/>
      </w:pPr>
      <w:rPr>
        <w:rFonts w:hint="default"/>
      </w:rPr>
    </w:lvl>
    <w:lvl w:ilvl="8">
      <w:start w:val="1"/>
      <w:numFmt w:val="lowerRoman"/>
      <w:lvlText w:val="%9."/>
      <w:lvlJc w:val="left"/>
      <w:pPr>
        <w:tabs>
          <w:tab w:val="num" w:pos="2611"/>
        </w:tabs>
        <w:ind w:left="2611" w:hanging="360"/>
      </w:pPr>
      <w:rPr>
        <w:rFonts w:hint="default"/>
      </w:rPr>
    </w:lvl>
  </w:abstractNum>
  <w:abstractNum w:abstractNumId="2" w15:restartNumberingAfterBreak="0">
    <w:nsid w:val="10D43A47"/>
    <w:multiLevelType w:val="hybridMultilevel"/>
    <w:tmpl w:val="812E4BE4"/>
    <w:lvl w:ilvl="0" w:tplc="EC72790C">
      <w:start w:val="1"/>
      <w:numFmt w:val="decimal"/>
      <w:pStyle w:val="Heading1"/>
      <w:lvlText w:val="%1."/>
      <w:lvlJc w:val="left"/>
      <w:pPr>
        <w:ind w:left="3195" w:hanging="360"/>
      </w:pPr>
      <w:rPr>
        <w:rFonts w:ascii="Times New Roman" w:hAnsi="Times New Roman" w:hint="default"/>
        <w:b w:val="0"/>
        <w:i w:val="0"/>
        <w:sz w:val="20"/>
      </w:rPr>
    </w:lvl>
    <w:lvl w:ilvl="1" w:tplc="08090019">
      <w:start w:val="1"/>
      <w:numFmt w:val="lowerLetter"/>
      <w:lvlText w:val="%2."/>
      <w:lvlJc w:val="left"/>
      <w:pPr>
        <w:ind w:left="4275" w:hanging="360"/>
      </w:pPr>
    </w:lvl>
    <w:lvl w:ilvl="2" w:tplc="0809001B">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3" w15:restartNumberingAfterBreak="0">
    <w:nsid w:val="179F5671"/>
    <w:multiLevelType w:val="hybridMultilevel"/>
    <w:tmpl w:val="67246400"/>
    <w:name w:val="HeadingTemplate2"/>
    <w:lvl w:ilvl="0" w:tplc="EDCE82DC">
      <w:start w:val="1"/>
      <w:numFmt w:val="bullet"/>
      <w:pStyle w:val="ListEmdash"/>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CE663AE"/>
    <w:multiLevelType w:val="hybridMultilevel"/>
    <w:tmpl w:val="2BB4F1C6"/>
    <w:name w:val="HeadingTemplate22"/>
    <w:lvl w:ilvl="0" w:tplc="DB862C6E">
      <w:start w:val="1"/>
      <w:numFmt w:val="lowerLetter"/>
      <w:pStyle w:val="ListNumbered"/>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583872"/>
    <w:multiLevelType w:val="hybridMultilevel"/>
    <w:tmpl w:val="3170DCCE"/>
    <w:lvl w:ilvl="0" w:tplc="3FF29240">
      <w:start w:val="1"/>
      <w:numFmt w:val="bullet"/>
      <w:pStyle w:val="BodyTextSumma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12288E"/>
    <w:multiLevelType w:val="hybridMultilevel"/>
    <w:tmpl w:val="1D4435FC"/>
    <w:lvl w:ilvl="0" w:tplc="445E4A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8" w15:restartNumberingAfterBreak="0">
    <w:nsid w:val="3D18048A"/>
    <w:multiLevelType w:val="hybridMultilevel"/>
    <w:tmpl w:val="1642268C"/>
    <w:name w:val="HeadingTemplate222"/>
    <w:lvl w:ilvl="0" w:tplc="309A0324">
      <w:start w:val="1"/>
      <w:numFmt w:val="decimal"/>
      <w:pStyle w:val="Reference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17250B"/>
    <w:multiLevelType w:val="multilevel"/>
    <w:tmpl w:val="CC8CC4DE"/>
    <w:name w:val="MultilevelTemplate"/>
    <w:lvl w:ilvl="0">
      <w:start w:val="1"/>
      <w:numFmt w:val="decimal"/>
      <w:lvlRestart w:val="0"/>
      <w:pStyle w:val="BodyTextMultiline"/>
      <w:lvlText w:val="%1."/>
      <w:lvlJc w:val="left"/>
      <w:pPr>
        <w:tabs>
          <w:tab w:val="num" w:pos="459"/>
        </w:tabs>
        <w:ind w:left="0" w:firstLine="0"/>
      </w:pPr>
    </w:lvl>
    <w:lvl w:ilvl="1">
      <w:start w:val="1"/>
      <w:numFmt w:val="decimal"/>
      <w:lvlText w:val="%1.%2."/>
      <w:lvlJc w:val="left"/>
      <w:pPr>
        <w:tabs>
          <w:tab w:val="num" w:pos="918"/>
        </w:tabs>
        <w:ind w:left="459" w:firstLine="0"/>
      </w:pPr>
    </w:lvl>
    <w:lvl w:ilvl="2">
      <w:start w:val="1"/>
      <w:numFmt w:val="decimal"/>
      <w:lvlText w:val="%1.%2.%3."/>
      <w:lvlJc w:val="left"/>
      <w:pPr>
        <w:tabs>
          <w:tab w:val="num" w:pos="1378"/>
        </w:tabs>
        <w:ind w:left="918" w:firstLine="0"/>
      </w:pPr>
    </w:lvl>
    <w:lvl w:ilvl="3">
      <w:start w:val="1"/>
      <w:numFmt w:val="decimal"/>
      <w:lvlText w:val="%1.%2.%3.%4."/>
      <w:lvlJc w:val="left"/>
      <w:pPr>
        <w:tabs>
          <w:tab w:val="num" w:pos="1837"/>
        </w:tabs>
        <w:ind w:left="1378" w:firstLine="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0" w15:restartNumberingAfterBreak="0">
    <w:nsid w:val="59EA217A"/>
    <w:multiLevelType w:val="hybridMultilevel"/>
    <w:tmpl w:val="7DCEBCBE"/>
    <w:lvl w:ilvl="0" w:tplc="C1DCCBEE">
      <w:start w:val="1"/>
      <w:numFmt w:val="bullet"/>
      <w:lvlText w:val="-"/>
      <w:lvlJc w:val="left"/>
      <w:pPr>
        <w:tabs>
          <w:tab w:val="num" w:pos="919"/>
        </w:tabs>
        <w:ind w:left="919" w:hanging="46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8252C9"/>
    <w:multiLevelType w:val="hybridMultilevel"/>
    <w:tmpl w:val="B43A93BA"/>
    <w:lvl w:ilvl="0" w:tplc="CFBE2F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51093"/>
    <w:multiLevelType w:val="multilevel"/>
    <w:tmpl w:val="1C7078A8"/>
    <w:name w:val="HeadingTemplate"/>
    <w:lvl w:ilvl="0">
      <w:start w:val="1"/>
      <w:numFmt w:val="none"/>
      <w:lvlRestart w:val="0"/>
      <w:lvlText w:val=""/>
      <w:lvlJc w:val="left"/>
      <w:pPr>
        <w:tabs>
          <w:tab w:val="num" w:pos="459"/>
        </w:tabs>
        <w:ind w:left="0" w:firstLine="0"/>
      </w:pPr>
      <w:rPr>
        <w:rFonts w:hint="default"/>
      </w:rPr>
    </w:lvl>
    <w:lvl w:ilvl="1">
      <w:start w:val="1"/>
      <w:numFmt w:val="decimal"/>
      <w:lvlRestart w:val="0"/>
      <w:pStyle w:val="Heading2"/>
      <w:suff w:val="space"/>
      <w:lvlText w:val="%1%2."/>
      <w:lvlJc w:val="left"/>
      <w:pPr>
        <w:ind w:left="0" w:firstLine="0"/>
      </w:pPr>
      <w:rPr>
        <w:rFonts w:hint="default"/>
        <w:color w:val="auto"/>
      </w:rPr>
    </w:lvl>
    <w:lvl w:ilvl="2">
      <w:start w:val="1"/>
      <w:numFmt w:val="decimal"/>
      <w:lvlRestart w:val="0"/>
      <w:pStyle w:val="Heading3"/>
      <w:lvlText w:val="%1%2.%3."/>
      <w:lvlJc w:val="left"/>
      <w:pPr>
        <w:ind w:left="0" w:firstLine="0"/>
      </w:pPr>
      <w:rPr>
        <w:rFonts w:hint="default"/>
      </w:rPr>
    </w:lvl>
    <w:lvl w:ilvl="3">
      <w:start w:val="1"/>
      <w:numFmt w:val="decimal"/>
      <w:lvlRestart w:val="0"/>
      <w:pStyle w:val="Heading4"/>
      <w:lvlText w:val="%2.%3.%4."/>
      <w:lvlJc w:val="left"/>
      <w:pPr>
        <w:ind w:left="1701" w:firstLine="0"/>
      </w:pPr>
      <w:rPr>
        <w:rFonts w:hint="default"/>
      </w:rPr>
    </w:lvl>
    <w:lvl w:ilvl="4">
      <w:start w:val="1"/>
      <w:numFmt w:val="lowerLetter"/>
      <w:lvlRestart w:val="0"/>
      <w:lvlText w:val="%1(%5)"/>
      <w:lvlJc w:val="left"/>
      <w:pPr>
        <w:tabs>
          <w:tab w:val="num" w:pos="3345"/>
        </w:tabs>
        <w:ind w:left="2268" w:firstLine="0"/>
      </w:pPr>
      <w:rPr>
        <w:rFonts w:hint="default"/>
        <w:sz w:val="20"/>
      </w:rPr>
    </w:lvl>
    <w:lvl w:ilvl="5">
      <w:start w:val="1"/>
      <w:numFmt w:val="decimal"/>
      <w:lvlText w:val="%1.%2.%3.%4.%5.%6"/>
      <w:lvlJc w:val="left"/>
      <w:pPr>
        <w:tabs>
          <w:tab w:val="num" w:pos="3912"/>
        </w:tabs>
        <w:ind w:left="2835" w:firstLine="0"/>
      </w:pPr>
      <w:rPr>
        <w:rFonts w:hint="default"/>
      </w:rPr>
    </w:lvl>
    <w:lvl w:ilvl="6">
      <w:start w:val="1"/>
      <w:numFmt w:val="decimal"/>
      <w:lvlText w:val="%1.%2.%3.%4.%5.%6.%7"/>
      <w:lvlJc w:val="left"/>
      <w:pPr>
        <w:tabs>
          <w:tab w:val="num" w:pos="2432"/>
        </w:tabs>
        <w:ind w:left="2432" w:hanging="1298"/>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6"/>
        </w:tabs>
        <w:ind w:left="2716" w:hanging="1582"/>
      </w:pPr>
      <w:rPr>
        <w:rFonts w:hint="default"/>
      </w:rPr>
    </w:lvl>
  </w:abstractNum>
  <w:abstractNum w:abstractNumId="13" w15:restartNumberingAfterBreak="0">
    <w:nsid w:val="7665634F"/>
    <w:multiLevelType w:val="hybridMultilevel"/>
    <w:tmpl w:val="34482B46"/>
    <w:lvl w:ilvl="0" w:tplc="4A587E7C">
      <w:start w:val="1"/>
      <w:numFmt w:val="decimal"/>
      <w:lvlText w:val="%1."/>
      <w:lvlJc w:val="left"/>
      <w:pPr>
        <w:tabs>
          <w:tab w:val="num" w:pos="919"/>
        </w:tabs>
        <w:ind w:left="919" w:hanging="4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77EE4A49"/>
    <w:multiLevelType w:val="hybridMultilevel"/>
    <w:tmpl w:val="FCC6C7E6"/>
    <w:lvl w:ilvl="0" w:tplc="2696B4F0">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076453">
    <w:abstractNumId w:val="9"/>
  </w:num>
  <w:num w:numId="2" w16cid:durableId="52316497">
    <w:abstractNumId w:val="5"/>
  </w:num>
  <w:num w:numId="3" w16cid:durableId="244271101">
    <w:abstractNumId w:val="12"/>
  </w:num>
  <w:num w:numId="4" w16cid:durableId="1523280535">
    <w:abstractNumId w:val="12"/>
  </w:num>
  <w:num w:numId="5" w16cid:durableId="1982273734">
    <w:abstractNumId w:val="12"/>
  </w:num>
  <w:num w:numId="6" w16cid:durableId="2097819785">
    <w:abstractNumId w:val="7"/>
  </w:num>
  <w:num w:numId="7" w16cid:durableId="472022098">
    <w:abstractNumId w:val="10"/>
  </w:num>
  <w:num w:numId="8" w16cid:durableId="1406337744">
    <w:abstractNumId w:val="13"/>
  </w:num>
  <w:num w:numId="9" w16cid:durableId="866792557">
    <w:abstractNumId w:val="1"/>
  </w:num>
  <w:num w:numId="10" w16cid:durableId="1209146421">
    <w:abstractNumId w:val="12"/>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Heading2"/>
        <w:lvlText w:val="%1%2."/>
        <w:lvlJc w:val="left"/>
        <w:pPr>
          <w:ind w:left="0" w:firstLine="0"/>
        </w:pPr>
        <w:rPr>
          <w:rFonts w:hint="default"/>
          <w:color w:val="auto"/>
        </w:rPr>
      </w:lvl>
    </w:lvlOverride>
    <w:lvlOverride w:ilvl="2">
      <w:lvl w:ilvl="2">
        <w:start w:val="1"/>
        <w:numFmt w:val="decimal"/>
        <w:lvlRestart w:val="0"/>
        <w:pStyle w:val="Heading3"/>
        <w:lvlText w:val="%1%2.%3."/>
        <w:lvlJc w:val="left"/>
        <w:pPr>
          <w:ind w:left="0" w:firstLine="0"/>
        </w:pPr>
        <w:rPr>
          <w:rFonts w:hint="default"/>
        </w:rPr>
      </w:lvl>
    </w:lvlOverride>
    <w:lvlOverride w:ilvl="3">
      <w:lvl w:ilvl="3">
        <w:start w:val="1"/>
        <w:numFmt w:val="none"/>
        <w:lvlRestart w:val="0"/>
        <w:pStyle w:val="Heading4"/>
        <w:lvlText w:val=""/>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1" w16cid:durableId="2121801846">
    <w:abstractNumId w:val="12"/>
  </w:num>
  <w:num w:numId="12" w16cid:durableId="966669541">
    <w:abstractNumId w:val="12"/>
  </w:num>
  <w:num w:numId="13" w16cid:durableId="34695917">
    <w:abstractNumId w:val="12"/>
  </w:num>
  <w:num w:numId="14" w16cid:durableId="43608507">
    <w:abstractNumId w:val="12"/>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Heading2"/>
        <w:suff w:val="space"/>
        <w:lvlText w:val="%1%2."/>
        <w:lvlJc w:val="left"/>
        <w:pPr>
          <w:ind w:left="0" w:firstLine="0"/>
        </w:pPr>
        <w:rPr>
          <w:rFonts w:hint="default"/>
          <w:color w:val="auto"/>
        </w:rPr>
      </w:lvl>
    </w:lvlOverride>
    <w:lvlOverride w:ilvl="2">
      <w:lvl w:ilvl="2">
        <w:start w:val="1"/>
        <w:numFmt w:val="decimal"/>
        <w:lvlRestart w:val="0"/>
        <w:pStyle w:val="Heading3"/>
        <w:suff w:val="space"/>
        <w:lvlText w:val="%1%2.%3."/>
        <w:lvlJc w:val="left"/>
        <w:pPr>
          <w:ind w:left="0" w:firstLine="0"/>
        </w:pPr>
        <w:rPr>
          <w:rFonts w:hint="default"/>
        </w:rPr>
      </w:lvl>
    </w:lvlOverride>
    <w:lvlOverride w:ilvl="3">
      <w:lvl w:ilvl="3">
        <w:start w:val="1"/>
        <w:numFmt w:val="decimal"/>
        <w:lvlRestart w:val="0"/>
        <w:pStyle w:val="Heading4"/>
        <w:lvlText w:val="%2.%3.%4"/>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5" w16cid:durableId="1436898387">
    <w:abstractNumId w:val="12"/>
  </w:num>
  <w:num w:numId="16" w16cid:durableId="13574865">
    <w:abstractNumId w:val="12"/>
  </w:num>
  <w:num w:numId="17" w16cid:durableId="984243408">
    <w:abstractNumId w:val="12"/>
  </w:num>
  <w:num w:numId="18" w16cid:durableId="10376632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896852">
    <w:abstractNumId w:val="12"/>
  </w:num>
  <w:num w:numId="20" w16cid:durableId="1623613834">
    <w:abstractNumId w:val="3"/>
  </w:num>
  <w:num w:numId="21" w16cid:durableId="2085254650">
    <w:abstractNumId w:val="12"/>
  </w:num>
  <w:num w:numId="22" w16cid:durableId="303628930">
    <w:abstractNumId w:val="4"/>
  </w:num>
  <w:num w:numId="23" w16cid:durableId="1824615491">
    <w:abstractNumId w:val="0"/>
  </w:num>
  <w:num w:numId="24" w16cid:durableId="1783844488">
    <w:abstractNumId w:val="11"/>
  </w:num>
  <w:num w:numId="25" w16cid:durableId="2065591972">
    <w:abstractNumId w:val="12"/>
  </w:num>
  <w:num w:numId="26" w16cid:durableId="758407921">
    <w:abstractNumId w:val="12"/>
  </w:num>
  <w:num w:numId="27" w16cid:durableId="973365759">
    <w:abstractNumId w:val="12"/>
  </w:num>
  <w:num w:numId="28" w16cid:durableId="249657462">
    <w:abstractNumId w:val="12"/>
  </w:num>
  <w:num w:numId="29" w16cid:durableId="1654718901">
    <w:abstractNumId w:val="12"/>
  </w:num>
  <w:num w:numId="30" w16cid:durableId="2122601556">
    <w:abstractNumId w:val="8"/>
  </w:num>
  <w:num w:numId="31" w16cid:durableId="422000130">
    <w:abstractNumId w:val="8"/>
  </w:num>
  <w:num w:numId="32" w16cid:durableId="1714161110">
    <w:abstractNumId w:val="12"/>
  </w:num>
  <w:num w:numId="33" w16cid:durableId="379331196">
    <w:abstractNumId w:val="12"/>
  </w:num>
  <w:num w:numId="34" w16cid:durableId="836305476">
    <w:abstractNumId w:val="2"/>
  </w:num>
  <w:num w:numId="35" w16cid:durableId="17125347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414256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6804859">
    <w:abstractNumId w:val="6"/>
  </w:num>
  <w:num w:numId="38" w16cid:durableId="9387552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G_chkAction" w:val="0"/>
    <w:docVar w:name="DLG_chkApproval" w:val="-1"/>
    <w:docVar w:name="DLG_chkClearance" w:val="0"/>
    <w:docVar w:name="DLG_chkDiscuss" w:val="0"/>
    <w:docVar w:name="DLG_chkDraft" w:val="0"/>
    <w:docVar w:name="DLG_chkFiling" w:val="0"/>
    <w:docVar w:name="DLG_chkInformation" w:val="0"/>
    <w:docVar w:name="DLG_chkPassOn" w:val="0"/>
    <w:docVar w:name="DLG_chkRCS" w:val="0"/>
    <w:docVar w:name="DLG_chkRequest" w:val="0"/>
    <w:docVar w:name="DLG_chkReturn" w:val="0"/>
    <w:docVar w:name="DLG_chkSignature" w:val="0"/>
    <w:docVar w:name="DLG_txtSubject" w:val="Subject"/>
    <w:docVar w:name="SEC_Classification" w:val="None"/>
    <w:docVar w:name="SEC_ConfidentialAttachments" w:val="False"/>
  </w:docVars>
  <w:rsids>
    <w:rsidRoot w:val="00037321"/>
    <w:rsid w:val="00003206"/>
    <w:rsid w:val="00013E69"/>
    <w:rsid w:val="000158DA"/>
    <w:rsid w:val="00017748"/>
    <w:rsid w:val="000229AB"/>
    <w:rsid w:val="0002569A"/>
    <w:rsid w:val="00035E49"/>
    <w:rsid w:val="00037321"/>
    <w:rsid w:val="00044C72"/>
    <w:rsid w:val="00091DEB"/>
    <w:rsid w:val="00093A64"/>
    <w:rsid w:val="000A0299"/>
    <w:rsid w:val="000A2990"/>
    <w:rsid w:val="000C4332"/>
    <w:rsid w:val="000C79E5"/>
    <w:rsid w:val="000D2152"/>
    <w:rsid w:val="000F7E94"/>
    <w:rsid w:val="00105DA4"/>
    <w:rsid w:val="001119D6"/>
    <w:rsid w:val="00123FBB"/>
    <w:rsid w:val="0012715A"/>
    <w:rsid w:val="0013032C"/>
    <w:rsid w:val="001308F2"/>
    <w:rsid w:val="001313E8"/>
    <w:rsid w:val="00134186"/>
    <w:rsid w:val="001446AB"/>
    <w:rsid w:val="00146A24"/>
    <w:rsid w:val="00151D3B"/>
    <w:rsid w:val="00175EE8"/>
    <w:rsid w:val="00183BC4"/>
    <w:rsid w:val="001A0259"/>
    <w:rsid w:val="001B2DB1"/>
    <w:rsid w:val="001C58F5"/>
    <w:rsid w:val="001D1106"/>
    <w:rsid w:val="001D5CEE"/>
    <w:rsid w:val="001E5D95"/>
    <w:rsid w:val="002071D9"/>
    <w:rsid w:val="0021040F"/>
    <w:rsid w:val="0022083B"/>
    <w:rsid w:val="0023450F"/>
    <w:rsid w:val="0023466D"/>
    <w:rsid w:val="00252636"/>
    <w:rsid w:val="00256822"/>
    <w:rsid w:val="00257688"/>
    <w:rsid w:val="0026525A"/>
    <w:rsid w:val="00265C8E"/>
    <w:rsid w:val="002705BC"/>
    <w:rsid w:val="00274790"/>
    <w:rsid w:val="002836FD"/>
    <w:rsid w:val="00285755"/>
    <w:rsid w:val="002A1A04"/>
    <w:rsid w:val="002A1F9C"/>
    <w:rsid w:val="002A7340"/>
    <w:rsid w:val="002B29C2"/>
    <w:rsid w:val="002C0317"/>
    <w:rsid w:val="002C29DB"/>
    <w:rsid w:val="002C37F1"/>
    <w:rsid w:val="002C3BAA"/>
    <w:rsid w:val="002C4208"/>
    <w:rsid w:val="002E69A7"/>
    <w:rsid w:val="002F4E23"/>
    <w:rsid w:val="0030165E"/>
    <w:rsid w:val="0032528F"/>
    <w:rsid w:val="00332B9D"/>
    <w:rsid w:val="003352AC"/>
    <w:rsid w:val="00340B7E"/>
    <w:rsid w:val="00352AF7"/>
    <w:rsid w:val="00352DE1"/>
    <w:rsid w:val="003574DC"/>
    <w:rsid w:val="00365BC7"/>
    <w:rsid w:val="0036676C"/>
    <w:rsid w:val="003728E6"/>
    <w:rsid w:val="00382E20"/>
    <w:rsid w:val="00396583"/>
    <w:rsid w:val="003A3492"/>
    <w:rsid w:val="003B5E0E"/>
    <w:rsid w:val="003D255A"/>
    <w:rsid w:val="003E1FBD"/>
    <w:rsid w:val="003E28C8"/>
    <w:rsid w:val="003E7A48"/>
    <w:rsid w:val="003F21FF"/>
    <w:rsid w:val="003F7ACA"/>
    <w:rsid w:val="004045AC"/>
    <w:rsid w:val="00404A1A"/>
    <w:rsid w:val="00412F62"/>
    <w:rsid w:val="004140C9"/>
    <w:rsid w:val="00416949"/>
    <w:rsid w:val="0042678E"/>
    <w:rsid w:val="00426BA7"/>
    <w:rsid w:val="00435903"/>
    <w:rsid w:val="004370D8"/>
    <w:rsid w:val="0044058F"/>
    <w:rsid w:val="00450E15"/>
    <w:rsid w:val="00472C43"/>
    <w:rsid w:val="00484FD9"/>
    <w:rsid w:val="004863D2"/>
    <w:rsid w:val="004B2960"/>
    <w:rsid w:val="004B35B7"/>
    <w:rsid w:val="004B5A60"/>
    <w:rsid w:val="004B600D"/>
    <w:rsid w:val="004C5DA1"/>
    <w:rsid w:val="004E3CC2"/>
    <w:rsid w:val="004E5379"/>
    <w:rsid w:val="00503DF0"/>
    <w:rsid w:val="00511659"/>
    <w:rsid w:val="005139AA"/>
    <w:rsid w:val="00515EE3"/>
    <w:rsid w:val="005242CF"/>
    <w:rsid w:val="005268A1"/>
    <w:rsid w:val="005274B0"/>
    <w:rsid w:val="005337B4"/>
    <w:rsid w:val="00533DFE"/>
    <w:rsid w:val="00537496"/>
    <w:rsid w:val="0054038B"/>
    <w:rsid w:val="00544ED3"/>
    <w:rsid w:val="005513CB"/>
    <w:rsid w:val="00563A56"/>
    <w:rsid w:val="00572E0B"/>
    <w:rsid w:val="00582058"/>
    <w:rsid w:val="0058477B"/>
    <w:rsid w:val="0058654F"/>
    <w:rsid w:val="00596ACA"/>
    <w:rsid w:val="005A612D"/>
    <w:rsid w:val="005B57FC"/>
    <w:rsid w:val="005E39BC"/>
    <w:rsid w:val="005E5D15"/>
    <w:rsid w:val="005F00A0"/>
    <w:rsid w:val="005F6667"/>
    <w:rsid w:val="005F7124"/>
    <w:rsid w:val="006100A7"/>
    <w:rsid w:val="006114BE"/>
    <w:rsid w:val="00612278"/>
    <w:rsid w:val="00617335"/>
    <w:rsid w:val="00630614"/>
    <w:rsid w:val="00630C4A"/>
    <w:rsid w:val="00630EA1"/>
    <w:rsid w:val="00634601"/>
    <w:rsid w:val="00647F33"/>
    <w:rsid w:val="00653E1B"/>
    <w:rsid w:val="00662532"/>
    <w:rsid w:val="0066420C"/>
    <w:rsid w:val="0066655B"/>
    <w:rsid w:val="006904BE"/>
    <w:rsid w:val="006A35E8"/>
    <w:rsid w:val="006B2274"/>
    <w:rsid w:val="006D0CDB"/>
    <w:rsid w:val="006E5F2D"/>
    <w:rsid w:val="00712E17"/>
    <w:rsid w:val="00713095"/>
    <w:rsid w:val="00714FDA"/>
    <w:rsid w:val="00716654"/>
    <w:rsid w:val="00717C6F"/>
    <w:rsid w:val="00725E3B"/>
    <w:rsid w:val="007263AE"/>
    <w:rsid w:val="00726D85"/>
    <w:rsid w:val="00733153"/>
    <w:rsid w:val="00743982"/>
    <w:rsid w:val="007445DA"/>
    <w:rsid w:val="00753D8D"/>
    <w:rsid w:val="00755AD4"/>
    <w:rsid w:val="00755DE1"/>
    <w:rsid w:val="0075684D"/>
    <w:rsid w:val="0076422C"/>
    <w:rsid w:val="007739DD"/>
    <w:rsid w:val="007919EE"/>
    <w:rsid w:val="007B4FD1"/>
    <w:rsid w:val="007B6350"/>
    <w:rsid w:val="007C75FA"/>
    <w:rsid w:val="007E79CD"/>
    <w:rsid w:val="007F2D28"/>
    <w:rsid w:val="00802381"/>
    <w:rsid w:val="008163B9"/>
    <w:rsid w:val="00820FAF"/>
    <w:rsid w:val="0083096A"/>
    <w:rsid w:val="0083137C"/>
    <w:rsid w:val="00855B67"/>
    <w:rsid w:val="00864CEC"/>
    <w:rsid w:val="0086759F"/>
    <w:rsid w:val="008707EE"/>
    <w:rsid w:val="00871F40"/>
    <w:rsid w:val="00883848"/>
    <w:rsid w:val="00895560"/>
    <w:rsid w:val="00897ED5"/>
    <w:rsid w:val="008B6BB9"/>
    <w:rsid w:val="008D66C6"/>
    <w:rsid w:val="008E4F2D"/>
    <w:rsid w:val="008F4120"/>
    <w:rsid w:val="008F474A"/>
    <w:rsid w:val="008F684E"/>
    <w:rsid w:val="0090316C"/>
    <w:rsid w:val="009109FA"/>
    <w:rsid w:val="0091152D"/>
    <w:rsid w:val="00911543"/>
    <w:rsid w:val="00916139"/>
    <w:rsid w:val="009239C7"/>
    <w:rsid w:val="00924A83"/>
    <w:rsid w:val="0094483D"/>
    <w:rsid w:val="009519C9"/>
    <w:rsid w:val="0095504E"/>
    <w:rsid w:val="00956F32"/>
    <w:rsid w:val="0096361A"/>
    <w:rsid w:val="0096379C"/>
    <w:rsid w:val="0097242A"/>
    <w:rsid w:val="009824F6"/>
    <w:rsid w:val="00996D55"/>
    <w:rsid w:val="009D0B86"/>
    <w:rsid w:val="009D3721"/>
    <w:rsid w:val="009E0D5B"/>
    <w:rsid w:val="009E1558"/>
    <w:rsid w:val="009E7847"/>
    <w:rsid w:val="009F1A9A"/>
    <w:rsid w:val="00A07B8C"/>
    <w:rsid w:val="00A102F7"/>
    <w:rsid w:val="00A22718"/>
    <w:rsid w:val="00A233D1"/>
    <w:rsid w:val="00A35964"/>
    <w:rsid w:val="00A371E3"/>
    <w:rsid w:val="00A402AE"/>
    <w:rsid w:val="00A41424"/>
    <w:rsid w:val="00A42898"/>
    <w:rsid w:val="00A45E2C"/>
    <w:rsid w:val="00A57919"/>
    <w:rsid w:val="00A60439"/>
    <w:rsid w:val="00A6176A"/>
    <w:rsid w:val="00A63087"/>
    <w:rsid w:val="00A733CB"/>
    <w:rsid w:val="00A77686"/>
    <w:rsid w:val="00A80359"/>
    <w:rsid w:val="00A83969"/>
    <w:rsid w:val="00A87525"/>
    <w:rsid w:val="00A87D4A"/>
    <w:rsid w:val="00AB6ACE"/>
    <w:rsid w:val="00AC4171"/>
    <w:rsid w:val="00AC5A3A"/>
    <w:rsid w:val="00AE166E"/>
    <w:rsid w:val="00AE3D73"/>
    <w:rsid w:val="00AE48C4"/>
    <w:rsid w:val="00B15EAC"/>
    <w:rsid w:val="00B24F8A"/>
    <w:rsid w:val="00B42408"/>
    <w:rsid w:val="00B55276"/>
    <w:rsid w:val="00B604BE"/>
    <w:rsid w:val="00B72C51"/>
    <w:rsid w:val="00B82FA5"/>
    <w:rsid w:val="00B922A2"/>
    <w:rsid w:val="00BC6BAA"/>
    <w:rsid w:val="00BD1400"/>
    <w:rsid w:val="00BD605C"/>
    <w:rsid w:val="00BE2A76"/>
    <w:rsid w:val="00BE2EC3"/>
    <w:rsid w:val="00BF1901"/>
    <w:rsid w:val="00C31F15"/>
    <w:rsid w:val="00C324D9"/>
    <w:rsid w:val="00C55A35"/>
    <w:rsid w:val="00C65E60"/>
    <w:rsid w:val="00C66324"/>
    <w:rsid w:val="00C709A0"/>
    <w:rsid w:val="00C80EFC"/>
    <w:rsid w:val="00C8527C"/>
    <w:rsid w:val="00C9454A"/>
    <w:rsid w:val="00C94D5D"/>
    <w:rsid w:val="00CA0102"/>
    <w:rsid w:val="00CA7591"/>
    <w:rsid w:val="00CC0942"/>
    <w:rsid w:val="00CE5A52"/>
    <w:rsid w:val="00CF7AF3"/>
    <w:rsid w:val="00D04D6A"/>
    <w:rsid w:val="00D26ADA"/>
    <w:rsid w:val="00D35A78"/>
    <w:rsid w:val="00D44EA8"/>
    <w:rsid w:val="00D555A1"/>
    <w:rsid w:val="00D55F58"/>
    <w:rsid w:val="00D62E8E"/>
    <w:rsid w:val="00D64DC2"/>
    <w:rsid w:val="00DA46CA"/>
    <w:rsid w:val="00DA4E1E"/>
    <w:rsid w:val="00DD6B09"/>
    <w:rsid w:val="00DE297E"/>
    <w:rsid w:val="00DF21EB"/>
    <w:rsid w:val="00E03BF3"/>
    <w:rsid w:val="00E1321B"/>
    <w:rsid w:val="00E20E70"/>
    <w:rsid w:val="00E22CEA"/>
    <w:rsid w:val="00E24D6A"/>
    <w:rsid w:val="00E25B68"/>
    <w:rsid w:val="00E3229B"/>
    <w:rsid w:val="00E379A5"/>
    <w:rsid w:val="00E65835"/>
    <w:rsid w:val="00E66C09"/>
    <w:rsid w:val="00E84003"/>
    <w:rsid w:val="00E9339D"/>
    <w:rsid w:val="00EA5785"/>
    <w:rsid w:val="00EC10FC"/>
    <w:rsid w:val="00EC5FA0"/>
    <w:rsid w:val="00ED01EC"/>
    <w:rsid w:val="00ED0A99"/>
    <w:rsid w:val="00ED3C90"/>
    <w:rsid w:val="00ED6912"/>
    <w:rsid w:val="00EE0041"/>
    <w:rsid w:val="00EE29B9"/>
    <w:rsid w:val="00EE6821"/>
    <w:rsid w:val="00F00080"/>
    <w:rsid w:val="00F004EE"/>
    <w:rsid w:val="00F31005"/>
    <w:rsid w:val="00F36C0D"/>
    <w:rsid w:val="00F42E23"/>
    <w:rsid w:val="00F441EC"/>
    <w:rsid w:val="00F45EEE"/>
    <w:rsid w:val="00F50D72"/>
    <w:rsid w:val="00F51E9C"/>
    <w:rsid w:val="00F523CA"/>
    <w:rsid w:val="00F653BB"/>
    <w:rsid w:val="00F73892"/>
    <w:rsid w:val="00F74A9D"/>
    <w:rsid w:val="00F96F17"/>
    <w:rsid w:val="00FC792E"/>
    <w:rsid w:val="00FE4219"/>
    <w:rsid w:val="00FF386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FE039"/>
  <w15:docId w15:val="{11E613AA-FBCC-4207-88B2-F2EE58432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1" w:defUIPriority="49" w:defSemiHidden="0" w:defUnhideWhenUsed="0" w:defQFormat="0" w:count="376">
    <w:lsdException w:name="Normal" w:locked="0"/>
    <w:lsdException w:name="heading 1" w:locked="0" w:uiPriority="0"/>
    <w:lsdException w:name="heading 2" w:locked="0" w:uiPriority="4"/>
    <w:lsdException w:name="heading 3" w:locked="0" w:uiPriority="4"/>
    <w:lsdException w:name="heading 4" w:locked="0" w:uiPriority="0"/>
    <w:lsdException w:name="heading 5" w:locked="0" w:uiPriority="0"/>
    <w:lsdException w:name="heading 6" w:locked="0" w:uiPriority="0"/>
    <w:lsdException w:name="heading 7" w:locked="0" w:semiHidden="1" w:uiPriority="0" w:unhideWhenUsed="1"/>
    <w:lsdException w:name="heading 8" w:locked="0" w:semiHidden="1" w:uiPriority="0" w:unhideWhenUsed="1"/>
    <w:lsdException w:name="heading 9" w:locked="0"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locked="0"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0" w:unhideWhenUsed="1"/>
    <w:lsdException w:name="Body Text" w:locked="0" w:semiHidden="1" w:uiPriority="0" w:unhideWhenUsed="1" w:qFormat="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iPriority="19" w:unhideWhenUsed="1"/>
    <w:lsdException w:name="HTML Address" w:semiHidden="1" w:uiPriority="1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0" w:semiHidden="1" w:unhideWhenUsed="1"/>
    <w:lsdException w:name="Table Grid" w:locked="0" w:uiPriority="0"/>
    <w:lsdException w:name="Table Theme" w:semiHidden="1" w:uiPriority="0"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rsid w:val="00CF7AF3"/>
    <w:pPr>
      <w:overflowPunct w:val="0"/>
      <w:autoSpaceDE w:val="0"/>
      <w:autoSpaceDN w:val="0"/>
      <w:adjustRightInd w:val="0"/>
      <w:textAlignment w:val="baseline"/>
    </w:pPr>
    <w:rPr>
      <w:sz w:val="22"/>
      <w:lang w:eastAsia="en-US"/>
    </w:rPr>
  </w:style>
  <w:style w:type="paragraph" w:styleId="Heading1">
    <w:name w:val="heading 1"/>
    <w:aliases w:val="Headin"/>
    <w:link w:val="Heading1Char"/>
    <w:uiPriority w:val="4"/>
    <w:rsid w:val="00B42408"/>
    <w:pPr>
      <w:widowControl w:val="0"/>
      <w:numPr>
        <w:numId w:val="34"/>
      </w:numPr>
      <w:spacing w:before="100" w:beforeAutospacing="1" w:after="100" w:afterAutospacing="1" w:line="280" w:lineRule="atLeast"/>
      <w:ind w:left="0" w:firstLine="0"/>
      <w:outlineLvl w:val="0"/>
    </w:pPr>
    <w:rPr>
      <w:rFonts w:cs="Arial"/>
      <w:bCs/>
      <w:caps/>
      <w:szCs w:val="32"/>
      <w:lang w:eastAsia="en-US"/>
    </w:rPr>
  </w:style>
  <w:style w:type="paragraph" w:styleId="Heading2">
    <w:name w:val="heading 2"/>
    <w:aliases w:val="1st Level Heading"/>
    <w:next w:val="BodyText"/>
    <w:uiPriority w:val="4"/>
    <w:rsid w:val="00EE0041"/>
    <w:pPr>
      <w:widowControl w:val="0"/>
      <w:numPr>
        <w:ilvl w:val="1"/>
        <w:numId w:val="12"/>
      </w:numPr>
      <w:spacing w:before="100" w:beforeAutospacing="1" w:after="100" w:afterAutospacing="1" w:line="280" w:lineRule="atLeast"/>
      <w:outlineLvl w:val="1"/>
    </w:pPr>
    <w:rPr>
      <w:caps/>
      <w:lang w:eastAsia="en-US"/>
    </w:rPr>
  </w:style>
  <w:style w:type="paragraph" w:styleId="Heading3">
    <w:name w:val="heading 3"/>
    <w:aliases w:val="Heading"/>
    <w:next w:val="BodyText"/>
    <w:link w:val="Heading3Char"/>
    <w:uiPriority w:val="4"/>
    <w:rsid w:val="00897ED5"/>
    <w:pPr>
      <w:widowControl w:val="0"/>
      <w:numPr>
        <w:ilvl w:val="2"/>
        <w:numId w:val="12"/>
      </w:numPr>
      <w:spacing w:before="240" w:after="240" w:line="240" w:lineRule="exact"/>
      <w:outlineLvl w:val="2"/>
    </w:pPr>
    <w:rPr>
      <w:b/>
      <w:lang w:eastAsia="en-US"/>
    </w:rPr>
  </w:style>
  <w:style w:type="paragraph" w:styleId="Heading4">
    <w:name w:val="heading 4"/>
    <w:aliases w:val="3rd level paper heading"/>
    <w:basedOn w:val="Normal"/>
    <w:next w:val="BodyText"/>
    <w:link w:val="Heading4Char"/>
    <w:uiPriority w:val="4"/>
    <w:rsid w:val="00897ED5"/>
    <w:pPr>
      <w:widowControl w:val="0"/>
      <w:numPr>
        <w:ilvl w:val="3"/>
        <w:numId w:val="12"/>
      </w:numPr>
      <w:spacing w:before="100" w:beforeAutospacing="1" w:after="100" w:afterAutospacing="1" w:line="240" w:lineRule="atLeast"/>
      <w:outlineLvl w:val="3"/>
    </w:pPr>
    <w:rPr>
      <w:i/>
      <w:sz w:val="20"/>
      <w:lang w:val="en-US"/>
    </w:rPr>
  </w:style>
  <w:style w:type="paragraph" w:styleId="Heading5">
    <w:name w:val="heading 5"/>
    <w:basedOn w:val="Normal"/>
    <w:next w:val="Normal"/>
    <w:uiPriority w:val="19"/>
    <w:locked/>
    <w:pPr>
      <w:overflowPunct/>
      <w:autoSpaceDE/>
      <w:autoSpaceDN/>
      <w:adjustRightInd/>
      <w:spacing w:before="240" w:after="60"/>
      <w:textAlignment w:val="auto"/>
      <w:outlineLvl w:val="4"/>
    </w:pPr>
    <w:rPr>
      <w:b/>
      <w:bCs/>
      <w:i/>
      <w:iCs/>
      <w:sz w:val="26"/>
      <w:szCs w:val="26"/>
      <w:lang w:val="en-US"/>
    </w:rPr>
  </w:style>
  <w:style w:type="paragraph" w:styleId="Heading6">
    <w:name w:val="heading 6"/>
    <w:basedOn w:val="Normal"/>
    <w:next w:val="Normal"/>
    <w:uiPriority w:val="19"/>
    <w:locked/>
    <w:pPr>
      <w:overflowPunct/>
      <w:autoSpaceDE/>
      <w:autoSpaceDN/>
      <w:adjustRightInd/>
      <w:spacing w:before="240" w:after="60"/>
      <w:textAlignment w:val="auto"/>
      <w:outlineLvl w:val="5"/>
    </w:pPr>
    <w:rPr>
      <w:b/>
      <w:bCs/>
      <w:szCs w:val="22"/>
      <w:lang w:val="en-US"/>
    </w:rPr>
  </w:style>
  <w:style w:type="paragraph" w:styleId="Heading7">
    <w:name w:val="heading 7"/>
    <w:basedOn w:val="Normal"/>
    <w:next w:val="Normal"/>
    <w:uiPriority w:val="19"/>
    <w:locked/>
    <w:pPr>
      <w:overflowPunct/>
      <w:autoSpaceDE/>
      <w:autoSpaceDN/>
      <w:adjustRightInd/>
      <w:spacing w:before="240" w:after="60"/>
      <w:textAlignment w:val="auto"/>
      <w:outlineLvl w:val="6"/>
    </w:pPr>
    <w:rPr>
      <w:szCs w:val="24"/>
      <w:lang w:val="en-US"/>
    </w:rPr>
  </w:style>
  <w:style w:type="paragraph" w:styleId="Heading8">
    <w:name w:val="heading 8"/>
    <w:basedOn w:val="Normal"/>
    <w:next w:val="Normal"/>
    <w:uiPriority w:val="19"/>
    <w:locked/>
    <w:pPr>
      <w:overflowPunct/>
      <w:autoSpaceDE/>
      <w:autoSpaceDN/>
      <w:adjustRightInd/>
      <w:spacing w:before="240" w:after="60"/>
      <w:textAlignment w:val="auto"/>
      <w:outlineLvl w:val="7"/>
    </w:pPr>
    <w:rPr>
      <w:i/>
      <w:iCs/>
      <w:szCs w:val="24"/>
      <w:lang w:val="en-US"/>
    </w:rPr>
  </w:style>
  <w:style w:type="paragraph" w:styleId="Heading9">
    <w:name w:val="heading 9"/>
    <w:basedOn w:val="Normal"/>
    <w:next w:val="Normal"/>
    <w:uiPriority w:val="19"/>
    <w:locked/>
    <w:pPr>
      <w:overflowPunct/>
      <w:autoSpaceDE/>
      <w:autoSpaceDN/>
      <w:adjustRightInd/>
      <w:spacing w:before="240" w:after="60"/>
      <w:textAlignment w:val="auto"/>
      <w:outlineLvl w:val="8"/>
    </w:pPr>
    <w:rPr>
      <w:rFonts w:ascii="Arial" w:hAnsi="Arial" w:cs="Arial"/>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5268A1"/>
    <w:pPr>
      <w:spacing w:after="120" w:line="260" w:lineRule="atLeast"/>
      <w:jc w:val="both"/>
    </w:pPr>
    <w:rPr>
      <w:sz w:val="22"/>
      <w:lang w:eastAsia="en-US"/>
    </w:rPr>
  </w:style>
  <w:style w:type="paragraph" w:styleId="BodyTextIndent">
    <w:name w:val="Body Text Indent"/>
    <w:basedOn w:val="BodyText"/>
    <w:uiPriority w:val="49"/>
    <w:locked/>
    <w:pPr>
      <w:ind w:left="1134" w:hanging="675"/>
    </w:pPr>
  </w:style>
  <w:style w:type="paragraph" w:customStyle="1" w:styleId="BodyTextMultiline">
    <w:name w:val="Body Text Multiline"/>
    <w:basedOn w:val="BodyText"/>
    <w:locked/>
    <w:pPr>
      <w:numPr>
        <w:numId w:val="1"/>
      </w:numPr>
    </w:pPr>
  </w:style>
  <w:style w:type="paragraph" w:customStyle="1" w:styleId="BodyTextSummary">
    <w:name w:val="Body Text Summary"/>
    <w:uiPriority w:val="49"/>
    <w:locked/>
    <w:pPr>
      <w:numPr>
        <w:numId w:val="2"/>
      </w:numPr>
      <w:tabs>
        <w:tab w:val="clear" w:pos="720"/>
      </w:tabs>
      <w:spacing w:after="170" w:line="280" w:lineRule="atLeast"/>
      <w:ind w:left="572" w:hanging="459"/>
      <w:jc w:val="both"/>
    </w:pPr>
    <w:rPr>
      <w:sz w:val="22"/>
      <w:szCs w:val="22"/>
      <w:lang w:eastAsia="en-US"/>
    </w:rPr>
  </w:style>
  <w:style w:type="paragraph" w:styleId="Caption">
    <w:name w:val="caption"/>
    <w:next w:val="Normal"/>
    <w:uiPriority w:val="49"/>
    <w:pPr>
      <w:spacing w:after="85"/>
    </w:pPr>
    <w:rPr>
      <w:bCs/>
      <w:sz w:val="18"/>
      <w:lang w:val="en-US" w:eastAsia="en-US"/>
    </w:rPr>
  </w:style>
  <w:style w:type="paragraph" w:styleId="Footer">
    <w:name w:val="footer"/>
    <w:basedOn w:val="Normal"/>
    <w:link w:val="FooterChar"/>
    <w:uiPriority w:val="99"/>
    <w:locked/>
    <w:pPr>
      <w:overflowPunct/>
      <w:autoSpaceDE/>
      <w:autoSpaceDN/>
      <w:adjustRightInd/>
      <w:textAlignment w:val="auto"/>
    </w:pPr>
    <w:rPr>
      <w:sz w:val="2"/>
      <w:lang w:val="en-US"/>
    </w:rPr>
  </w:style>
  <w:style w:type="paragraph" w:styleId="FootnoteText">
    <w:name w:val="footnote text"/>
    <w:semiHidden/>
    <w:locked/>
    <w:pPr>
      <w:tabs>
        <w:tab w:val="left" w:pos="459"/>
      </w:tabs>
      <w:spacing w:before="142"/>
      <w:ind w:left="459"/>
      <w:jc w:val="both"/>
    </w:pPr>
    <w:rPr>
      <w:sz w:val="18"/>
      <w:lang w:eastAsia="en-US"/>
    </w:rPr>
  </w:style>
  <w:style w:type="paragraph" w:styleId="Header">
    <w:name w:val="header"/>
    <w:next w:val="BodyText"/>
    <w:link w:val="HeaderChar"/>
    <w:uiPriority w:val="99"/>
    <w:locked/>
    <w:pPr>
      <w:spacing w:after="85"/>
    </w:pPr>
    <w:rPr>
      <w:sz w:val="18"/>
      <w:lang w:val="en-US" w:eastAsia="en-US"/>
    </w:rPr>
  </w:style>
  <w:style w:type="paragraph" w:customStyle="1" w:styleId="ListBulleted">
    <w:name w:val="List Bulleted"/>
    <w:uiPriority w:val="7"/>
    <w:qFormat/>
    <w:locked/>
    <w:pPr>
      <w:numPr>
        <w:numId w:val="6"/>
      </w:numPr>
      <w:tabs>
        <w:tab w:val="clear" w:pos="1179"/>
        <w:tab w:val="left" w:pos="919"/>
      </w:tabs>
      <w:ind w:left="918" w:right="1134" w:hanging="459"/>
      <w:jc w:val="both"/>
    </w:pPr>
    <w:rPr>
      <w:sz w:val="22"/>
      <w:lang w:eastAsia="en-US"/>
    </w:rPr>
  </w:style>
  <w:style w:type="paragraph" w:customStyle="1" w:styleId="ListEmdash">
    <w:name w:val="List Emdash"/>
    <w:basedOn w:val="BodyText"/>
    <w:uiPriority w:val="6"/>
    <w:qFormat/>
    <w:rsid w:val="00717C6F"/>
    <w:pPr>
      <w:numPr>
        <w:numId w:val="20"/>
      </w:numPr>
      <w:ind w:left="709"/>
    </w:pPr>
  </w:style>
  <w:style w:type="paragraph" w:customStyle="1" w:styleId="ListNumbered">
    <w:name w:val="List Numbered"/>
    <w:basedOn w:val="BodyText"/>
    <w:uiPriority w:val="5"/>
    <w:qFormat/>
    <w:locked/>
    <w:rsid w:val="00717C6F"/>
    <w:pPr>
      <w:numPr>
        <w:numId w:val="22"/>
      </w:numPr>
    </w:pPr>
  </w:style>
  <w:style w:type="paragraph" w:styleId="Title">
    <w:name w:val="Title"/>
    <w:uiPriority w:val="2"/>
    <w:qFormat/>
    <w:locked/>
    <w:rsid w:val="00BC6BAA"/>
    <w:pPr>
      <w:spacing w:line="280" w:lineRule="atLeast"/>
      <w:ind w:left="567" w:right="567"/>
      <w:jc w:val="center"/>
      <w:outlineLvl w:val="0"/>
    </w:pPr>
    <w:rPr>
      <w:rFonts w:ascii="Times New Roman Bold" w:hAnsi="Times New Roman Bold" w:cs="Arial"/>
      <w:b/>
      <w:bCs/>
      <w:caps/>
      <w:sz w:val="24"/>
      <w:szCs w:val="32"/>
      <w:lang w:eastAsia="en-US"/>
    </w:rPr>
  </w:style>
  <w:style w:type="paragraph" w:customStyle="1" w:styleId="zyxConfid2Red">
    <w:name w:val="zyxConfid2Red"/>
    <w:basedOn w:val="Normal"/>
    <w:uiPriority w:val="49"/>
    <w:locked/>
    <w:pPr>
      <w:spacing w:after="20" w:line="220" w:lineRule="exact"/>
      <w:jc w:val="right"/>
    </w:pPr>
    <w:rPr>
      <w:rFonts w:ascii="Arial" w:hAnsi="Arial" w:cs="Arial"/>
      <w:color w:val="FF0000"/>
    </w:rPr>
  </w:style>
  <w:style w:type="paragraph" w:customStyle="1" w:styleId="zyxConfidRed">
    <w:name w:val="zyxConfidRed"/>
    <w:uiPriority w:val="49"/>
    <w:locke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uiPriority w:val="49"/>
    <w:locke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49"/>
    <w:locked/>
    <w:pPr>
      <w:framePr w:wrap="around" w:vAnchor="page" w:hAnchor="page" w:x="1390" w:y="15707"/>
      <w:widowControl w:val="0"/>
      <w:overflowPunct/>
      <w:autoSpaceDE/>
      <w:autoSpaceDN/>
      <w:adjustRightInd/>
      <w:spacing w:before="240" w:after="20"/>
      <w:ind w:left="142"/>
      <w:suppressOverlap/>
      <w:textAlignment w:val="auto"/>
    </w:pPr>
    <w:rPr>
      <w:rFonts w:ascii="Arial" w:hAnsi="Arial"/>
      <w:b/>
    </w:rPr>
  </w:style>
  <w:style w:type="paragraph" w:customStyle="1" w:styleId="zyxPrePrint">
    <w:name w:val="zyxPrePrint"/>
    <w:uiPriority w:val="49"/>
    <w:locked/>
    <w:pPr>
      <w:spacing w:after="60" w:line="280" w:lineRule="exact"/>
      <w:ind w:left="113"/>
    </w:pPr>
    <w:rPr>
      <w:sz w:val="22"/>
      <w:lang w:eastAsia="en-US"/>
    </w:rPr>
  </w:style>
  <w:style w:type="paragraph" w:customStyle="1" w:styleId="zyxFillIn">
    <w:name w:val="zyxFill_In"/>
    <w:basedOn w:val="zyxPrePrint"/>
    <w:uiPriority w:val="49"/>
    <w:locked/>
    <w:rPr>
      <w:b/>
    </w:rPr>
  </w:style>
  <w:style w:type="paragraph" w:customStyle="1" w:styleId="zyxLogo">
    <w:name w:val="zyxLogo"/>
    <w:basedOn w:val="Normal"/>
    <w:uiPriority w:val="49"/>
    <w:locked/>
    <w:pPr>
      <w:keepNext/>
      <w:spacing w:after="10"/>
    </w:pPr>
    <w:rPr>
      <w:rFonts w:ascii="Arial" w:hAnsi="Arial"/>
      <w:b/>
      <w:sz w:val="13"/>
    </w:rPr>
  </w:style>
  <w:style w:type="paragraph" w:customStyle="1" w:styleId="zyxP1Footer">
    <w:name w:val="zyxP1_Footer"/>
    <w:basedOn w:val="Normal"/>
    <w:uiPriority w:val="49"/>
    <w:locked/>
    <w:pPr>
      <w:widowControl w:val="0"/>
      <w:spacing w:line="160" w:lineRule="exact"/>
      <w:ind w:left="108"/>
    </w:pPr>
    <w:rPr>
      <w:sz w:val="14"/>
    </w:rPr>
  </w:style>
  <w:style w:type="paragraph" w:customStyle="1" w:styleId="zyxSensitivity">
    <w:name w:val="zyxSensitivity"/>
    <w:basedOn w:val="Normal"/>
    <w:uiPriority w:val="49"/>
    <w:locked/>
    <w:pPr>
      <w:framePr w:wrap="around" w:vAnchor="page" w:hAnchor="page" w:x="1390" w:y="15707"/>
      <w:widowControl w:val="0"/>
      <w:overflowPunct/>
      <w:autoSpaceDE/>
      <w:autoSpaceDN/>
      <w:adjustRightInd/>
      <w:spacing w:line="220" w:lineRule="exact"/>
      <w:ind w:left="142"/>
      <w:suppressOverlap/>
      <w:textAlignment w:val="auto"/>
    </w:pPr>
    <w:rPr>
      <w:rFonts w:ascii="Arial" w:hAnsi="Arial"/>
      <w:b/>
    </w:rPr>
  </w:style>
  <w:style w:type="paragraph" w:customStyle="1" w:styleId="zyxTitle">
    <w:name w:val="zyxTitle"/>
    <w:basedOn w:val="Normal"/>
    <w:uiPriority w:val="49"/>
    <w:locked/>
    <w:pPr>
      <w:keepNext/>
      <w:spacing w:line="420" w:lineRule="exact"/>
    </w:pPr>
    <w:rPr>
      <w:rFonts w:ascii="Arial" w:hAnsi="Arial"/>
      <w:sz w:val="40"/>
    </w:rPr>
  </w:style>
  <w:style w:type="character" w:styleId="FootnoteReference">
    <w:name w:val="footnote reference"/>
    <w:basedOn w:val="DefaultParagraphFont"/>
    <w:semiHidden/>
    <w:locked/>
    <w:rPr>
      <w:vertAlign w:val="superscript"/>
    </w:rPr>
  </w:style>
  <w:style w:type="paragraph" w:styleId="Subtitle">
    <w:name w:val="Subtitle"/>
    <w:uiPriority w:val="3"/>
    <w:qFormat/>
    <w:rsid w:val="00A80359"/>
    <w:pPr>
      <w:spacing w:after="100" w:afterAutospacing="1" w:line="280" w:lineRule="atLeast"/>
      <w:ind w:left="567" w:right="567"/>
      <w:contextualSpacing/>
      <w:jc w:val="center"/>
    </w:pPr>
    <w:rPr>
      <w:rFonts w:cs="Arial"/>
      <w:b/>
      <w:i/>
      <w:sz w:val="24"/>
      <w:szCs w:val="24"/>
      <w:lang w:val="en-US" w:eastAsia="en-US"/>
    </w:rPr>
  </w:style>
  <w:style w:type="paragraph" w:customStyle="1" w:styleId="AgendaList">
    <w:name w:val="Agenda List"/>
    <w:uiPriority w:val="49"/>
    <w:locked/>
    <w:pPr>
      <w:numPr>
        <w:numId w:val="9"/>
      </w:numPr>
      <w:tabs>
        <w:tab w:val="clear" w:pos="459"/>
        <w:tab w:val="left" w:pos="919"/>
      </w:tabs>
      <w:spacing w:after="240" w:line="240" w:lineRule="exact"/>
      <w:ind w:left="918"/>
      <w:jc w:val="both"/>
    </w:pPr>
    <w:rPr>
      <w:sz w:val="22"/>
      <w:lang w:eastAsia="en-US"/>
    </w:rPr>
  </w:style>
  <w:style w:type="paragraph" w:customStyle="1" w:styleId="zyxClassification1">
    <w:name w:val="zyxClassification1"/>
    <w:basedOn w:val="BodyText"/>
    <w:uiPriority w:val="49"/>
    <w:locked/>
    <w:pPr>
      <w:spacing w:line="280" w:lineRule="exact"/>
      <w:jc w:val="right"/>
    </w:pPr>
    <w:rPr>
      <w:rFonts w:ascii="Arial" w:hAnsi="Arial" w:cs="Arial"/>
      <w:b/>
      <w:bCs/>
      <w:caps/>
      <w:sz w:val="24"/>
    </w:rPr>
  </w:style>
  <w:style w:type="paragraph" w:customStyle="1" w:styleId="zyxClassification2">
    <w:name w:val="zyxClassification2"/>
    <w:basedOn w:val="Footer"/>
    <w:uiPriority w:val="49"/>
    <w:locked/>
    <w:pPr>
      <w:tabs>
        <w:tab w:val="center" w:pos="4320"/>
        <w:tab w:val="right" w:pos="8640"/>
      </w:tabs>
      <w:overflowPunct w:val="0"/>
      <w:autoSpaceDE w:val="0"/>
      <w:autoSpaceDN w:val="0"/>
      <w:adjustRightInd w:val="0"/>
      <w:ind w:firstLine="567"/>
      <w:jc w:val="right"/>
      <w:textAlignment w:val="baseline"/>
    </w:pPr>
    <w:rPr>
      <w:rFonts w:ascii="Arial" w:hAnsi="Arial" w:cs="Arial"/>
      <w:sz w:val="16"/>
      <w:lang w:val="en-GB"/>
    </w:rPr>
  </w:style>
  <w:style w:type="character" w:customStyle="1" w:styleId="FooterChar">
    <w:name w:val="Footer Char"/>
    <w:basedOn w:val="DefaultParagraphFont"/>
    <w:link w:val="Footer"/>
    <w:uiPriority w:val="99"/>
    <w:rsid w:val="00037321"/>
    <w:rPr>
      <w:sz w:val="2"/>
      <w:lang w:val="en-US" w:eastAsia="en-US"/>
    </w:rPr>
  </w:style>
  <w:style w:type="paragraph" w:customStyle="1" w:styleId="Runninghead">
    <w:name w:val="Running head"/>
    <w:basedOn w:val="Normal"/>
    <w:link w:val="RunningheadChar"/>
    <w:uiPriority w:val="49"/>
    <w:rsid w:val="00B82FA5"/>
    <w:pPr>
      <w:jc w:val="center"/>
    </w:pPr>
    <w:rPr>
      <w:b/>
      <w:sz w:val="16"/>
      <w:szCs w:val="16"/>
    </w:rPr>
  </w:style>
  <w:style w:type="paragraph" w:customStyle="1" w:styleId="Authornameandaffiliation">
    <w:name w:val="Author name and affiliation"/>
    <w:link w:val="AuthornameandaffiliationChar"/>
    <w:uiPriority w:val="49"/>
    <w:qFormat/>
    <w:rsid w:val="007C75FA"/>
    <w:pPr>
      <w:ind w:left="567"/>
      <w:contextualSpacing/>
    </w:pPr>
    <w:rPr>
      <w:sz w:val="22"/>
      <w:lang w:val="en-US" w:eastAsia="en-US"/>
    </w:rPr>
  </w:style>
  <w:style w:type="character" w:customStyle="1" w:styleId="RunningheadChar">
    <w:name w:val="Running head Char"/>
    <w:basedOn w:val="DefaultParagraphFont"/>
    <w:link w:val="Runninghead"/>
    <w:uiPriority w:val="49"/>
    <w:rsid w:val="00B82FA5"/>
    <w:rPr>
      <w:b/>
      <w:sz w:val="16"/>
      <w:szCs w:val="16"/>
      <w:lang w:eastAsia="en-US"/>
    </w:rPr>
  </w:style>
  <w:style w:type="paragraph" w:customStyle="1" w:styleId="Introductiontitle">
    <w:name w:val="Introduction title"/>
    <w:basedOn w:val="Authornameandaffiliation"/>
    <w:link w:val="IntroductiontitleChar"/>
    <w:autoRedefine/>
    <w:uiPriority w:val="49"/>
    <w:qFormat/>
    <w:rsid w:val="004140C9"/>
    <w:pPr>
      <w:spacing w:line="240" w:lineRule="atLeast"/>
      <w:ind w:left="0" w:firstLine="567"/>
    </w:pPr>
  </w:style>
  <w:style w:type="character" w:customStyle="1" w:styleId="BodyTextChar">
    <w:name w:val="Body Text Char"/>
    <w:basedOn w:val="DefaultParagraphFont"/>
    <w:link w:val="BodyText"/>
    <w:rsid w:val="005268A1"/>
    <w:rPr>
      <w:sz w:val="22"/>
      <w:lang w:eastAsia="en-US"/>
    </w:rPr>
  </w:style>
  <w:style w:type="character" w:customStyle="1" w:styleId="AuthornameandaffiliationChar">
    <w:name w:val="Author name and affiliation Char"/>
    <w:basedOn w:val="BodyTextChar"/>
    <w:link w:val="Authornameandaffiliation"/>
    <w:uiPriority w:val="49"/>
    <w:rsid w:val="007C75FA"/>
    <w:rPr>
      <w:sz w:val="22"/>
      <w:lang w:val="en-US" w:eastAsia="en-US"/>
    </w:rPr>
  </w:style>
  <w:style w:type="table" w:styleId="TableGrid">
    <w:name w:val="Table Grid"/>
    <w:basedOn w:val="TableNormal"/>
    <w:locked/>
    <w:rsid w:val="00472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roductiontitleChar">
    <w:name w:val="Introduction title Char"/>
    <w:basedOn w:val="AuthornameandaffiliationChar"/>
    <w:link w:val="Introductiontitle"/>
    <w:uiPriority w:val="49"/>
    <w:rsid w:val="004140C9"/>
    <w:rPr>
      <w:sz w:val="22"/>
      <w:lang w:val="en-US" w:eastAsia="en-US"/>
    </w:rPr>
  </w:style>
  <w:style w:type="paragraph" w:styleId="BalloonText">
    <w:name w:val="Balloon Text"/>
    <w:basedOn w:val="Normal"/>
    <w:link w:val="BalloonTextChar"/>
    <w:uiPriority w:val="49"/>
    <w:locked/>
    <w:rsid w:val="005F00A0"/>
    <w:rPr>
      <w:rFonts w:ascii="Tahoma" w:hAnsi="Tahoma" w:cs="Tahoma"/>
      <w:sz w:val="16"/>
      <w:szCs w:val="16"/>
    </w:rPr>
  </w:style>
  <w:style w:type="character" w:customStyle="1" w:styleId="BalloonTextChar">
    <w:name w:val="Balloon Text Char"/>
    <w:basedOn w:val="DefaultParagraphFont"/>
    <w:link w:val="BalloonText"/>
    <w:uiPriority w:val="49"/>
    <w:rsid w:val="005F00A0"/>
    <w:rPr>
      <w:rFonts w:ascii="Tahoma" w:hAnsi="Tahoma" w:cs="Tahoma"/>
      <w:sz w:val="16"/>
      <w:szCs w:val="16"/>
      <w:lang w:eastAsia="en-US"/>
    </w:rPr>
  </w:style>
  <w:style w:type="paragraph" w:customStyle="1" w:styleId="Figurecaption">
    <w:name w:val="Figure caption"/>
    <w:basedOn w:val="BodyText"/>
    <w:link w:val="FigurecaptionChar"/>
    <w:uiPriority w:val="49"/>
    <w:qFormat/>
    <w:locked/>
    <w:rsid w:val="007C75FA"/>
    <w:pPr>
      <w:jc w:val="center"/>
    </w:pPr>
    <w:rPr>
      <w:i/>
      <w:sz w:val="20"/>
    </w:rPr>
  </w:style>
  <w:style w:type="paragraph" w:customStyle="1" w:styleId="Otherunnumberedheadings">
    <w:name w:val="Other unnumbered headings"/>
    <w:next w:val="BodyText"/>
    <w:link w:val="OtherunnumberedheadingsChar"/>
    <w:uiPriority w:val="49"/>
    <w:qFormat/>
    <w:locked/>
    <w:rsid w:val="005268A1"/>
    <w:pPr>
      <w:spacing w:before="100" w:beforeAutospacing="1" w:after="100" w:afterAutospacing="1" w:line="260" w:lineRule="atLeast"/>
      <w:jc w:val="center"/>
    </w:pPr>
    <w:rPr>
      <w:rFonts w:ascii="Times New Roman Bold" w:hAnsi="Times New Roman Bold"/>
      <w:b/>
      <w:caps/>
      <w:sz w:val="22"/>
      <w:lang w:eastAsia="en-US"/>
    </w:rPr>
  </w:style>
  <w:style w:type="character" w:customStyle="1" w:styleId="FigurecaptionChar">
    <w:name w:val="Figure caption Char"/>
    <w:basedOn w:val="BodyTextChar"/>
    <w:link w:val="Figurecaption"/>
    <w:uiPriority w:val="49"/>
    <w:rsid w:val="007C75FA"/>
    <w:rPr>
      <w:i/>
      <w:sz w:val="22"/>
      <w:lang w:eastAsia="en-US"/>
    </w:rPr>
  </w:style>
  <w:style w:type="paragraph" w:customStyle="1" w:styleId="Referencelist">
    <w:name w:val="Reference list"/>
    <w:basedOn w:val="BodyText"/>
    <w:link w:val="ReferencelistChar"/>
    <w:uiPriority w:val="49"/>
    <w:qFormat/>
    <w:rsid w:val="005268A1"/>
    <w:pPr>
      <w:numPr>
        <w:numId w:val="30"/>
      </w:numPr>
      <w:spacing w:after="0"/>
      <w:ind w:left="714" w:hanging="357"/>
    </w:pPr>
    <w:rPr>
      <w:sz w:val="20"/>
      <w:szCs w:val="18"/>
    </w:rPr>
  </w:style>
  <w:style w:type="character" w:customStyle="1" w:styleId="OtherunnumberedheadingsChar">
    <w:name w:val="Other unnumbered headings Char"/>
    <w:basedOn w:val="BodyTextChar"/>
    <w:link w:val="Otherunnumberedheadings"/>
    <w:uiPriority w:val="49"/>
    <w:rsid w:val="005268A1"/>
    <w:rPr>
      <w:rFonts w:ascii="Times New Roman Bold" w:hAnsi="Times New Roman Bold"/>
      <w:b/>
      <w:caps/>
      <w:sz w:val="22"/>
      <w:lang w:eastAsia="en-US"/>
    </w:rPr>
  </w:style>
  <w:style w:type="character" w:customStyle="1" w:styleId="ReferencelistChar">
    <w:name w:val="Reference list Char"/>
    <w:basedOn w:val="BodyTextChar"/>
    <w:link w:val="Referencelist"/>
    <w:uiPriority w:val="49"/>
    <w:rsid w:val="005268A1"/>
    <w:rPr>
      <w:sz w:val="22"/>
      <w:szCs w:val="18"/>
      <w:lang w:eastAsia="en-US"/>
    </w:rPr>
  </w:style>
  <w:style w:type="paragraph" w:customStyle="1" w:styleId="TableTitle">
    <w:name w:val="Table Title"/>
    <w:basedOn w:val="BodyText"/>
    <w:link w:val="TableTitleChar"/>
    <w:uiPriority w:val="49"/>
    <w:qFormat/>
    <w:rsid w:val="007C75FA"/>
    <w:rPr>
      <w:caps/>
    </w:rPr>
  </w:style>
  <w:style w:type="character" w:customStyle="1" w:styleId="TableTitleChar">
    <w:name w:val="Table Title Char"/>
    <w:basedOn w:val="BodyTextChar"/>
    <w:link w:val="TableTitle"/>
    <w:uiPriority w:val="49"/>
    <w:rsid w:val="007C75FA"/>
    <w:rPr>
      <w:caps/>
      <w:sz w:val="22"/>
      <w:lang w:eastAsia="en-US"/>
    </w:rPr>
  </w:style>
  <w:style w:type="paragraph" w:styleId="NormalWeb">
    <w:name w:val="Normal (Web)"/>
    <w:basedOn w:val="Normal"/>
    <w:uiPriority w:val="49"/>
    <w:semiHidden/>
    <w:unhideWhenUsed/>
    <w:locked/>
    <w:rsid w:val="002C29DB"/>
    <w:rPr>
      <w:sz w:val="24"/>
      <w:szCs w:val="24"/>
    </w:rPr>
  </w:style>
  <w:style w:type="paragraph" w:customStyle="1" w:styleId="FIG-LONG">
    <w:name w:val="FIG-LONG"/>
    <w:basedOn w:val="Normal"/>
    <w:next w:val="Normal"/>
    <w:link w:val="FIG-LONGChar"/>
    <w:autoRedefine/>
    <w:qFormat/>
    <w:rsid w:val="007C75FA"/>
    <w:pPr>
      <w:tabs>
        <w:tab w:val="left" w:pos="709"/>
      </w:tabs>
      <w:overflowPunct/>
      <w:autoSpaceDE/>
      <w:autoSpaceDN/>
      <w:adjustRightInd/>
      <w:spacing w:after="120"/>
      <w:ind w:left="709" w:hanging="709"/>
      <w:textAlignment w:val="auto"/>
    </w:pPr>
    <w:rPr>
      <w:i/>
      <w:iCs/>
      <w:sz w:val="20"/>
      <w:szCs w:val="18"/>
    </w:rPr>
  </w:style>
  <w:style w:type="character" w:customStyle="1" w:styleId="FIG-LONGChar">
    <w:name w:val="FIG-LONG Char"/>
    <w:basedOn w:val="DefaultParagraphFont"/>
    <w:link w:val="FIG-LONG"/>
    <w:rsid w:val="007C75FA"/>
    <w:rPr>
      <w:i/>
      <w:iCs/>
      <w:szCs w:val="18"/>
      <w:lang w:eastAsia="en-US"/>
    </w:rPr>
  </w:style>
  <w:style w:type="table" w:customStyle="1" w:styleId="TableGrid1">
    <w:name w:val="Table Grid1"/>
    <w:basedOn w:val="TableNormal"/>
    <w:next w:val="TableGrid"/>
    <w:uiPriority w:val="59"/>
    <w:rsid w:val="002C29DB"/>
    <w:rPr>
      <w:rFonts w:asciiTheme="minorHAnsi" w:hAnsiTheme="minorHAnsi" w:cstheme="minorBidi"/>
      <w:sz w:val="24"/>
      <w:szCs w:val="24"/>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49"/>
    <w:semiHidden/>
    <w:unhideWhenUsed/>
    <w:locked/>
    <w:rsid w:val="00A233D1"/>
    <w:rPr>
      <w:sz w:val="16"/>
      <w:szCs w:val="16"/>
    </w:rPr>
  </w:style>
  <w:style w:type="paragraph" w:styleId="CommentText">
    <w:name w:val="annotation text"/>
    <w:basedOn w:val="Normal"/>
    <w:link w:val="CommentTextChar"/>
    <w:uiPriority w:val="49"/>
    <w:semiHidden/>
    <w:unhideWhenUsed/>
    <w:locked/>
    <w:rsid w:val="00A233D1"/>
    <w:rPr>
      <w:sz w:val="20"/>
    </w:rPr>
  </w:style>
  <w:style w:type="character" w:customStyle="1" w:styleId="CommentTextChar">
    <w:name w:val="Comment Text Char"/>
    <w:basedOn w:val="DefaultParagraphFont"/>
    <w:link w:val="CommentText"/>
    <w:uiPriority w:val="49"/>
    <w:semiHidden/>
    <w:rsid w:val="00A233D1"/>
    <w:rPr>
      <w:lang w:eastAsia="en-US"/>
    </w:rPr>
  </w:style>
  <w:style w:type="paragraph" w:styleId="CommentSubject">
    <w:name w:val="annotation subject"/>
    <w:basedOn w:val="CommentText"/>
    <w:next w:val="CommentText"/>
    <w:link w:val="CommentSubjectChar"/>
    <w:uiPriority w:val="49"/>
    <w:semiHidden/>
    <w:unhideWhenUsed/>
    <w:locked/>
    <w:rsid w:val="00A233D1"/>
    <w:rPr>
      <w:b/>
      <w:bCs/>
    </w:rPr>
  </w:style>
  <w:style w:type="character" w:customStyle="1" w:styleId="CommentSubjectChar">
    <w:name w:val="Comment Subject Char"/>
    <w:basedOn w:val="CommentTextChar"/>
    <w:link w:val="CommentSubject"/>
    <w:uiPriority w:val="49"/>
    <w:semiHidden/>
    <w:rsid w:val="00A233D1"/>
    <w:rPr>
      <w:b/>
      <w:bCs/>
      <w:lang w:eastAsia="en-US"/>
    </w:rPr>
  </w:style>
  <w:style w:type="paragraph" w:styleId="Revision">
    <w:name w:val="Revision"/>
    <w:hidden/>
    <w:uiPriority w:val="99"/>
    <w:semiHidden/>
    <w:rsid w:val="00712E17"/>
    <w:rPr>
      <w:sz w:val="22"/>
      <w:lang w:eastAsia="en-US"/>
    </w:rPr>
  </w:style>
  <w:style w:type="paragraph" w:styleId="NoSpacing">
    <w:name w:val="No Spacing"/>
    <w:link w:val="NoSpacingChar"/>
    <w:uiPriority w:val="1"/>
    <w:locked/>
    <w:rsid w:val="0083137C"/>
    <w:rPr>
      <w:rFonts w:asciiTheme="minorHAnsi" w:hAnsiTheme="minorHAnsi" w:cstheme="minorBidi"/>
      <w:sz w:val="22"/>
      <w:szCs w:val="22"/>
      <w:lang w:val="en-US" w:eastAsia="en-US"/>
    </w:rPr>
  </w:style>
  <w:style w:type="character" w:customStyle="1" w:styleId="NoSpacingChar">
    <w:name w:val="No Spacing Char"/>
    <w:basedOn w:val="DefaultParagraphFont"/>
    <w:link w:val="NoSpacing"/>
    <w:uiPriority w:val="1"/>
    <w:rsid w:val="0083137C"/>
    <w:rPr>
      <w:rFonts w:asciiTheme="minorHAnsi" w:hAnsiTheme="minorHAnsi" w:cstheme="minorBidi"/>
      <w:sz w:val="22"/>
      <w:szCs w:val="22"/>
      <w:lang w:val="en-US" w:eastAsia="en-US"/>
    </w:rPr>
  </w:style>
  <w:style w:type="paragraph" w:customStyle="1" w:styleId="IntroductionBodyText">
    <w:name w:val="Introduction Body Text"/>
    <w:basedOn w:val="Introductiontitle"/>
    <w:link w:val="IntroductionBodyTextChar"/>
    <w:uiPriority w:val="49"/>
    <w:rsid w:val="0013032C"/>
    <w:rPr>
      <w:b/>
      <w:bCs/>
      <w:sz w:val="18"/>
    </w:rPr>
  </w:style>
  <w:style w:type="character" w:customStyle="1" w:styleId="IntroductionBodyTextChar">
    <w:name w:val="Introduction Body Text Char"/>
    <w:basedOn w:val="IntroductiontitleChar"/>
    <w:link w:val="IntroductionBodyText"/>
    <w:uiPriority w:val="49"/>
    <w:rsid w:val="0013032C"/>
    <w:rPr>
      <w:b/>
      <w:bCs/>
      <w:sz w:val="18"/>
      <w:lang w:val="en-US" w:eastAsia="en-US"/>
    </w:rPr>
  </w:style>
  <w:style w:type="paragraph" w:customStyle="1" w:styleId="PaperTitle">
    <w:name w:val="Paper Title"/>
    <w:basedOn w:val="Heading1"/>
    <w:link w:val="PaperTitleChar"/>
    <w:uiPriority w:val="49"/>
    <w:rsid w:val="00BC6BAA"/>
  </w:style>
  <w:style w:type="character" w:customStyle="1" w:styleId="Heading1Char">
    <w:name w:val="Heading 1 Char"/>
    <w:aliases w:val="Headin Char"/>
    <w:basedOn w:val="DefaultParagraphFont"/>
    <w:link w:val="Heading1"/>
    <w:uiPriority w:val="4"/>
    <w:rsid w:val="00B42408"/>
    <w:rPr>
      <w:rFonts w:cs="Arial"/>
      <w:bCs/>
      <w:caps/>
      <w:szCs w:val="32"/>
      <w:lang w:eastAsia="en-US"/>
    </w:rPr>
  </w:style>
  <w:style w:type="character" w:customStyle="1" w:styleId="PaperTitleChar">
    <w:name w:val="Paper Title Char"/>
    <w:basedOn w:val="Heading1Char"/>
    <w:link w:val="PaperTitle"/>
    <w:uiPriority w:val="49"/>
    <w:rsid w:val="00BC6BAA"/>
    <w:rPr>
      <w:rFonts w:cs="Arial"/>
      <w:bCs/>
      <w:caps/>
      <w:szCs w:val="32"/>
      <w:lang w:eastAsia="en-US"/>
    </w:rPr>
  </w:style>
  <w:style w:type="paragraph" w:customStyle="1" w:styleId="Heading2nd">
    <w:name w:val="Heading 2nd"/>
    <w:basedOn w:val="Heading3"/>
    <w:link w:val="Heading2ndChar"/>
    <w:uiPriority w:val="49"/>
    <w:qFormat/>
    <w:rsid w:val="007C75FA"/>
    <w:rPr>
      <w:sz w:val="22"/>
    </w:rPr>
  </w:style>
  <w:style w:type="character" w:customStyle="1" w:styleId="Heading3Char">
    <w:name w:val="Heading 3 Char"/>
    <w:aliases w:val="Heading Char"/>
    <w:basedOn w:val="DefaultParagraphFont"/>
    <w:link w:val="Heading3"/>
    <w:uiPriority w:val="4"/>
    <w:rsid w:val="003F7ACA"/>
    <w:rPr>
      <w:b/>
      <w:lang w:eastAsia="en-US"/>
    </w:rPr>
  </w:style>
  <w:style w:type="character" w:customStyle="1" w:styleId="Heading2ndChar">
    <w:name w:val="Heading 2nd Char"/>
    <w:basedOn w:val="Heading3Char"/>
    <w:link w:val="Heading2nd"/>
    <w:uiPriority w:val="49"/>
    <w:rsid w:val="007C75FA"/>
    <w:rPr>
      <w:b/>
      <w:sz w:val="22"/>
      <w:lang w:eastAsia="en-US"/>
    </w:rPr>
  </w:style>
  <w:style w:type="paragraph" w:customStyle="1" w:styleId="Heading3rd">
    <w:name w:val="Heading 3rd"/>
    <w:basedOn w:val="Heading4"/>
    <w:link w:val="Heading3rdChar"/>
    <w:uiPriority w:val="49"/>
    <w:qFormat/>
    <w:rsid w:val="007C75FA"/>
    <w:pPr>
      <w:ind w:left="0"/>
    </w:pPr>
    <w:rPr>
      <w:sz w:val="22"/>
    </w:rPr>
  </w:style>
  <w:style w:type="character" w:customStyle="1" w:styleId="Heading4Char">
    <w:name w:val="Heading 4 Char"/>
    <w:aliases w:val="3rd level paper heading Char"/>
    <w:basedOn w:val="DefaultParagraphFont"/>
    <w:link w:val="Heading4"/>
    <w:uiPriority w:val="4"/>
    <w:rsid w:val="003F7ACA"/>
    <w:rPr>
      <w:i/>
      <w:lang w:val="en-US" w:eastAsia="en-US"/>
    </w:rPr>
  </w:style>
  <w:style w:type="character" w:customStyle="1" w:styleId="Heading3rdChar">
    <w:name w:val="Heading 3rd Char"/>
    <w:basedOn w:val="Heading4Char"/>
    <w:link w:val="Heading3rd"/>
    <w:uiPriority w:val="49"/>
    <w:rsid w:val="007C75FA"/>
    <w:rPr>
      <w:i/>
      <w:sz w:val="22"/>
      <w:lang w:val="en-US" w:eastAsia="en-US"/>
    </w:rPr>
  </w:style>
  <w:style w:type="paragraph" w:customStyle="1" w:styleId="Heading1st">
    <w:name w:val="Heading 1st"/>
    <w:basedOn w:val="Heading2"/>
    <w:link w:val="Heading1stChar"/>
    <w:autoRedefine/>
    <w:uiPriority w:val="49"/>
    <w:qFormat/>
    <w:rsid w:val="007C75FA"/>
    <w:rPr>
      <w:sz w:val="22"/>
    </w:rPr>
  </w:style>
  <w:style w:type="character" w:customStyle="1" w:styleId="Heading1stChar">
    <w:name w:val="Heading 1st Char"/>
    <w:basedOn w:val="Heading1Char"/>
    <w:link w:val="Heading1st"/>
    <w:uiPriority w:val="49"/>
    <w:rsid w:val="007C75FA"/>
    <w:rPr>
      <w:rFonts w:cs="Arial"/>
      <w:bCs w:val="0"/>
      <w:caps/>
      <w:sz w:val="22"/>
      <w:szCs w:val="32"/>
      <w:lang w:eastAsia="en-US"/>
    </w:rPr>
  </w:style>
  <w:style w:type="character" w:styleId="Hyperlink">
    <w:name w:val="Hyperlink"/>
    <w:basedOn w:val="DefaultParagraphFont"/>
    <w:uiPriority w:val="49"/>
    <w:unhideWhenUsed/>
    <w:locked/>
    <w:rsid w:val="0066420C"/>
    <w:rPr>
      <w:color w:val="0000FF" w:themeColor="hyperlink"/>
      <w:u w:val="single"/>
    </w:rPr>
  </w:style>
  <w:style w:type="character" w:styleId="UnresolvedMention">
    <w:name w:val="Unresolved Mention"/>
    <w:basedOn w:val="DefaultParagraphFont"/>
    <w:uiPriority w:val="99"/>
    <w:semiHidden/>
    <w:unhideWhenUsed/>
    <w:rsid w:val="0066420C"/>
    <w:rPr>
      <w:color w:val="605E5C"/>
      <w:shd w:val="clear" w:color="auto" w:fill="E1DFDD"/>
    </w:rPr>
  </w:style>
  <w:style w:type="character" w:customStyle="1" w:styleId="HeaderChar">
    <w:name w:val="Header Char"/>
    <w:basedOn w:val="DefaultParagraphFont"/>
    <w:link w:val="Header"/>
    <w:uiPriority w:val="99"/>
    <w:rsid w:val="00E379A5"/>
    <w:rPr>
      <w:sz w:val="18"/>
      <w:lang w:val="en-US" w:eastAsia="en-US"/>
    </w:rPr>
  </w:style>
  <w:style w:type="paragraph" w:customStyle="1" w:styleId="ZooFun">
    <w:name w:val="ZooFun"/>
    <w:basedOn w:val="Normal"/>
    <w:link w:val="ZooFunChar"/>
    <w:qFormat/>
    <w:rsid w:val="00916139"/>
    <w:pPr>
      <w:overflowPunct/>
      <w:autoSpaceDE/>
      <w:autoSpaceDN/>
      <w:adjustRightInd/>
      <w:spacing w:before="120" w:after="120" w:line="280" w:lineRule="exact"/>
      <w:textAlignment w:val="auto"/>
    </w:pPr>
    <w:rPr>
      <w:rFonts w:ascii="Calibri" w:eastAsiaTheme="minorHAnsi" w:hAnsi="Calibri"/>
      <w:lang w:val="en-US"/>
    </w:rPr>
  </w:style>
  <w:style w:type="character" w:customStyle="1" w:styleId="ZooFunChar">
    <w:name w:val="ZooFun Char"/>
    <w:basedOn w:val="DefaultParagraphFont"/>
    <w:link w:val="ZooFun"/>
    <w:rsid w:val="00916139"/>
    <w:rPr>
      <w:rFonts w:ascii="Calibri" w:eastAsiaTheme="minorHAnsi" w:hAnsi="Calibri"/>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oecd-nea.org/7576-anne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IAEA\Templates\O365\IAEA%20Blank%20(r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Vienna, 2025</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NmericalSquare.XSL" StyleName="ISO 690 - Numerical with Square Bracket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88268416F68F348A07DF0E8893BF2CC" ma:contentTypeVersion="1" ma:contentTypeDescription="Create a new document." ma:contentTypeScope="" ma:versionID="f57be7260f1e919e724968ef9b30d447">
  <xsd:schema xmlns:xsd="http://www.w3.org/2001/XMLSchema" xmlns:xs="http://www.w3.org/2001/XMLSchema" xmlns:p="http://schemas.microsoft.com/office/2006/metadata/properties" xmlns:ns1="http://schemas.microsoft.com/sharepoint/v3" targetNamespace="http://schemas.microsoft.com/office/2006/metadata/properties" ma:root="true" ma:fieldsID="9731dec261deb37c812c0bf4798222a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806F98-CEA2-40D9-9554-BA9D4018F9BD}">
  <ds:schemaRefs>
    <ds:schemaRef ds:uri="http://schemas.microsoft.com/sharepoint/v3/contenttype/forms"/>
  </ds:schemaRefs>
</ds:datastoreItem>
</file>

<file path=customXml/itemProps3.xml><?xml version="1.0" encoding="utf-8"?>
<ds:datastoreItem xmlns:ds="http://schemas.openxmlformats.org/officeDocument/2006/customXml" ds:itemID="{12E6F7E8-C907-45D6-87FB-5C439F811E2B}">
  <ds:schemaRefs>
    <ds:schemaRef ds:uri="http://schemas.openxmlformats.org/officeDocument/2006/bibliography"/>
  </ds:schemaRefs>
</ds:datastoreItem>
</file>

<file path=customXml/itemProps4.xml><?xml version="1.0" encoding="utf-8"?>
<ds:datastoreItem xmlns:ds="http://schemas.openxmlformats.org/officeDocument/2006/customXml" ds:itemID="{BAA37EDD-2E1A-4759-89A8-5D2D8E84B97D}">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58B7E165-9DEB-4D02-B08B-58DC85553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IAEA Blank (r01).dotx</Template>
  <TotalTime>4</TotalTime>
  <Pages>3</Pages>
  <Words>1333</Words>
  <Characters>8153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IAEA Extended Abstract Template</vt:lpstr>
    </vt:vector>
  </TitlesOfParts>
  <Company>IAEA</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IAEA Extended Abstract Template</dc:title>
  <dc:subject>Technical Meeting on Advanced Technology Fuels: Progress on their Design, Manufacturing, Experimentation, Irradiation, and Case Studies for their Industrialization, Safety Evaluation, and Future Prospects</dc:subject>
  <dc:creator>IAEA NFE TEAM</dc:creator>
  <cp:lastModifiedBy>GERKEN Lisa (FRA-FL)</cp:lastModifiedBy>
  <cp:revision>4</cp:revision>
  <cp:lastPrinted>2015-12-01T10:27:00Z</cp:lastPrinted>
  <dcterms:created xsi:type="dcterms:W3CDTF">2025-07-28T21:56:00Z</dcterms:created>
  <dcterms:modified xsi:type="dcterms:W3CDTF">2025-07-28T22:08:00Z</dcterms:modified>
  <cp:category>IAEA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eaClassification">
    <vt:lpwstr/>
  </property>
  <property fmtid="{D5CDD505-2E9C-101B-9397-08002B2CF9AE}" pid="3" name="IaeaSensitivity">
    <vt:lpwstr/>
  </property>
  <property fmtid="{D5CDD505-2E9C-101B-9397-08002B2CF9AE}" pid="4" name="IaeaDistribution">
    <vt:lpwstr/>
  </property>
  <property fmtid="{D5CDD505-2E9C-101B-9397-08002B2CF9AE}" pid="5" name="IaeaSecurityClassifier">
    <vt:lpwstr/>
  </property>
  <property fmtid="{D5CDD505-2E9C-101B-9397-08002B2CF9AE}" pid="6" name="IaeaClassificationDate">
    <vt:lpwstr/>
  </property>
  <property fmtid="{D5CDD505-2E9C-101B-9397-08002B2CF9AE}" pid="7" name="IaeaTransmission">
    <vt:lpwstr/>
  </property>
  <property fmtid="{D5CDD505-2E9C-101B-9397-08002B2CF9AE}" pid="8" name="IaeaConfidentialAttachments">
    <vt:lpwstr/>
  </property>
  <property fmtid="{D5CDD505-2E9C-101B-9397-08002B2CF9AE}" pid="9" name="Typist">
    <vt:lpwstr>Initials-Ext</vt:lpwstr>
  </property>
  <property fmtid="{D5CDD505-2E9C-101B-9397-08002B2CF9AE}" pid="10" name="IaeaClassification2">
    <vt:lpwstr/>
  </property>
  <property fmtid="{D5CDD505-2E9C-101B-9397-08002B2CF9AE}" pid="11" name="ContentTypeId">
    <vt:lpwstr>0x010100488268416F68F348A07DF0E8893BF2CC</vt:lpwstr>
  </property>
  <property fmtid="{D5CDD505-2E9C-101B-9397-08002B2CF9AE}" pid="12" name="_dlc_DocIdItemGuid">
    <vt:lpwstr>624d8e63-e3f6-4681-83c2-57c583c02431</vt:lpwstr>
  </property>
</Properties>
</file>