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A633" w14:textId="24A755BD" w:rsidR="007D4CD7" w:rsidRDefault="007D4CD7" w:rsidP="00A80359">
      <w:pPr>
        <w:pStyle w:val="Sous-titre"/>
        <w:rPr>
          <w:rFonts w:ascii="Times New Roman Bold" w:hAnsi="Times New Roman Bold"/>
          <w:bCs/>
          <w:i w:val="0"/>
          <w:caps/>
          <w:szCs w:val="32"/>
          <w:lang w:val="en-GB"/>
        </w:rPr>
      </w:pPr>
      <w:bookmarkStart w:id="0" w:name="_Hlk69130178"/>
      <w:r w:rsidRPr="007D4CD7">
        <w:rPr>
          <w:rFonts w:ascii="Times New Roman Bold" w:hAnsi="Times New Roman Bold"/>
          <w:bCs/>
          <w:i w:val="0"/>
          <w:caps/>
          <w:szCs w:val="32"/>
          <w:lang w:val="en-GB"/>
        </w:rPr>
        <w:t>Modelling of ATF micro-cell UO</w:t>
      </w:r>
      <w:r w:rsidRPr="007D4CD7">
        <w:rPr>
          <w:rFonts w:ascii="Times New Roman Bold" w:hAnsi="Times New Roman Bold"/>
          <w:bCs/>
          <w:i w:val="0"/>
          <w:caps/>
          <w:szCs w:val="32"/>
          <w:vertAlign w:val="subscript"/>
          <w:lang w:val="en-GB"/>
        </w:rPr>
        <w:t>2</w:t>
      </w:r>
      <w:r w:rsidRPr="007D4CD7">
        <w:rPr>
          <w:rFonts w:ascii="Times New Roman Bold" w:hAnsi="Times New Roman Bold"/>
          <w:bCs/>
          <w:i w:val="0"/>
          <w:caps/>
          <w:szCs w:val="32"/>
          <w:lang w:val="en-GB"/>
        </w:rPr>
        <w:t xml:space="preserve"> fuel behavio</w:t>
      </w:r>
      <w:r>
        <w:rPr>
          <w:rFonts w:ascii="Times New Roman Bold" w:hAnsi="Times New Roman Bold"/>
          <w:bCs/>
          <w:i w:val="0"/>
          <w:caps/>
          <w:szCs w:val="32"/>
          <w:lang w:val="en-GB"/>
        </w:rPr>
        <w:t>U</w:t>
      </w:r>
      <w:r w:rsidRPr="007D4CD7">
        <w:rPr>
          <w:rFonts w:ascii="Times New Roman Bold" w:hAnsi="Times New Roman Bold"/>
          <w:bCs/>
          <w:i w:val="0"/>
          <w:caps/>
          <w:szCs w:val="32"/>
          <w:lang w:val="en-GB"/>
        </w:rPr>
        <w:t xml:space="preserve">r under irradiation </w:t>
      </w:r>
    </w:p>
    <w:p w14:paraId="433FE03F" w14:textId="722E81F9" w:rsidR="00802381" w:rsidRDefault="007D4CD7" w:rsidP="00C745FF">
      <w:pPr>
        <w:pStyle w:val="Sous-titre"/>
      </w:pPr>
      <w:r>
        <w:t>Impact of thermal conductivity on expected thermal-mechanical behavior under irradiation</w:t>
      </w:r>
    </w:p>
    <w:p w14:paraId="67250DE4" w14:textId="140295B3" w:rsidR="00003206" w:rsidRDefault="007D4CD7" w:rsidP="00003206">
      <w:pPr>
        <w:pStyle w:val="Authornameandaffiliation"/>
      </w:pPr>
      <w:r>
        <w:t>V</w:t>
      </w:r>
      <w:r w:rsidR="00E66C09">
        <w:t>.</w:t>
      </w:r>
      <w:r w:rsidR="00003206">
        <w:t> </w:t>
      </w:r>
      <w:r>
        <w:t>D’AMBROSI</w:t>
      </w:r>
      <w:r w:rsidR="00003206" w:rsidRPr="00003206">
        <w:rPr>
          <w:vertAlign w:val="superscript"/>
        </w:rPr>
        <w:t>1</w:t>
      </w:r>
      <w:r w:rsidR="00003206">
        <w:t xml:space="preserve">, </w:t>
      </w:r>
      <w:r>
        <w:t>R. MASSON</w:t>
      </w:r>
      <w:r w:rsidR="00003206" w:rsidRPr="00003206">
        <w:rPr>
          <w:vertAlign w:val="superscript"/>
        </w:rPr>
        <w:t>1</w:t>
      </w:r>
      <w:r w:rsidR="00003206">
        <w:t xml:space="preserve">, </w:t>
      </w:r>
      <w:r>
        <w:t>J. FAUQUE</w:t>
      </w:r>
      <w:r w:rsidR="00003206" w:rsidRPr="00003206">
        <w:rPr>
          <w:vertAlign w:val="superscript"/>
        </w:rPr>
        <w:t>1</w:t>
      </w:r>
      <w:r w:rsidR="00003206">
        <w:t xml:space="preserve">, </w:t>
      </w:r>
      <w:r w:rsidR="008B55BF">
        <w:t>L. PORTELETTE</w:t>
      </w:r>
      <w:r w:rsidR="008B55BF">
        <w:rPr>
          <w:vertAlign w:val="superscript"/>
        </w:rPr>
        <w:t>1</w:t>
      </w:r>
      <w:r w:rsidR="008B55BF">
        <w:t xml:space="preserve">, </w:t>
      </w:r>
      <w:r>
        <w:t>G. LECLERE</w:t>
      </w:r>
      <w:r>
        <w:rPr>
          <w:vertAlign w:val="superscript"/>
        </w:rPr>
        <w:t>1</w:t>
      </w:r>
      <w:r w:rsidR="00003206">
        <w:t xml:space="preserve">, </w:t>
      </w:r>
      <w:r>
        <w:t>J. LECHELLE</w:t>
      </w:r>
      <w:r>
        <w:rPr>
          <w:vertAlign w:val="superscript"/>
        </w:rPr>
        <w:t>1</w:t>
      </w:r>
      <w:r w:rsidR="00003206">
        <w:t xml:space="preserve">, </w:t>
      </w:r>
      <w:r>
        <w:t>N. CHIKHI</w:t>
      </w:r>
      <w:r>
        <w:rPr>
          <w:vertAlign w:val="superscript"/>
        </w:rPr>
        <w:t>1</w:t>
      </w:r>
    </w:p>
    <w:p w14:paraId="2AAFE484" w14:textId="77777777" w:rsidR="00003206" w:rsidRDefault="00003206" w:rsidP="00537496">
      <w:pPr>
        <w:pStyle w:val="Authornameandaffiliation"/>
      </w:pPr>
    </w:p>
    <w:p w14:paraId="62FA4542" w14:textId="09A1792F" w:rsidR="00003206" w:rsidRDefault="00003206" w:rsidP="007D4CD7">
      <w:pPr>
        <w:pStyle w:val="Authornameandaffiliation"/>
      </w:pPr>
      <w:r>
        <w:rPr>
          <w:vertAlign w:val="superscript"/>
        </w:rPr>
        <w:t>1</w:t>
      </w:r>
      <w:r w:rsidR="007D4CD7">
        <w:t>CEA</w:t>
      </w:r>
      <w:r>
        <w:t xml:space="preserve">, </w:t>
      </w:r>
      <w:r w:rsidR="007D4CD7">
        <w:t>Cadarache</w:t>
      </w:r>
      <w:r w:rsidRPr="00FF386F">
        <w:t xml:space="preserve">, </w:t>
      </w:r>
      <w:r w:rsidR="007D4CD7">
        <w:t>France</w:t>
      </w:r>
    </w:p>
    <w:p w14:paraId="3F7D6C77" w14:textId="77777777" w:rsidR="00003206" w:rsidRDefault="00003206" w:rsidP="00003206">
      <w:pPr>
        <w:pStyle w:val="Authornameandaffiliation"/>
      </w:pPr>
    </w:p>
    <w:p w14:paraId="2EA71BD6" w14:textId="0F2BF6CA" w:rsidR="00003206" w:rsidRDefault="008F4120" w:rsidP="00003206">
      <w:pPr>
        <w:pStyle w:val="Authornameandaffiliation"/>
      </w:pPr>
      <w:r>
        <w:t>C</w:t>
      </w:r>
      <w:r w:rsidR="00003206">
        <w:t>orresponding</w:t>
      </w:r>
      <w:r w:rsidR="00003206" w:rsidRPr="00003206">
        <w:t xml:space="preserve"> author</w:t>
      </w:r>
      <w:r w:rsidR="00003206">
        <w:t xml:space="preserve">: </w:t>
      </w:r>
      <w:r w:rsidR="007D4CD7">
        <w:t>V</w:t>
      </w:r>
      <w:r w:rsidR="00E66C09">
        <w:t>.</w:t>
      </w:r>
      <w:r w:rsidRPr="008F4120">
        <w:t xml:space="preserve"> </w:t>
      </w:r>
      <w:r w:rsidR="007D4CD7">
        <w:t>D’AMBROSI</w:t>
      </w:r>
      <w:r>
        <w:t xml:space="preserve">, </w:t>
      </w:r>
      <w:r w:rsidR="007D4CD7">
        <w:t>veronica.dambrosi</w:t>
      </w:r>
      <w:r w:rsidR="00003206">
        <w:t>@</w:t>
      </w:r>
      <w:r w:rsidR="007D4CD7">
        <w:t>cea</w:t>
      </w:r>
      <w:r w:rsidR="00003206">
        <w:t>.</w:t>
      </w:r>
      <w:r w:rsidR="007D4CD7">
        <w:t>fr</w:t>
      </w:r>
    </w:p>
    <w:p w14:paraId="47497415" w14:textId="67F72CAF" w:rsidR="00003206" w:rsidRDefault="00003206" w:rsidP="00537496">
      <w:pPr>
        <w:pStyle w:val="Authornameandaffiliation"/>
      </w:pPr>
    </w:p>
    <w:bookmarkEnd w:id="0"/>
    <w:p w14:paraId="514287C7" w14:textId="39C27F4E" w:rsidR="0013032C" w:rsidRDefault="0013032C" w:rsidP="00D04D6A">
      <w:pPr>
        <w:pStyle w:val="Corpsdetexte"/>
      </w:pPr>
      <w:r w:rsidRPr="004140C9">
        <w:rPr>
          <w:rStyle w:val="IntroductiontitleChar"/>
          <w:rFonts w:hint="eastAsia"/>
        </w:rPr>
        <w:t>INTRODUCTION:</w:t>
      </w:r>
      <w:r w:rsidR="004140C9">
        <w:rPr>
          <w:rStyle w:val="IntroductiontitleChar"/>
          <w:rFonts w:hint="eastAsia"/>
          <w:lang w:eastAsia="zh-CN"/>
        </w:rPr>
        <w:t xml:space="preserve"> </w:t>
      </w:r>
      <w:r w:rsidR="007D4CD7">
        <w:t>Microcell CERMET (</w:t>
      </w:r>
      <w:proofErr w:type="spellStart"/>
      <w:r w:rsidR="007D4CD7">
        <w:t>CERamic</w:t>
      </w:r>
      <w:proofErr w:type="spellEnd"/>
      <w:r w:rsidR="007D4CD7">
        <w:t xml:space="preserve"> </w:t>
      </w:r>
      <w:proofErr w:type="spellStart"/>
      <w:r w:rsidR="007D4CD7">
        <w:t>METal</w:t>
      </w:r>
      <w:proofErr w:type="spellEnd"/>
      <w:r w:rsidR="007D4CD7">
        <w:t>) is an ATF (</w:t>
      </w:r>
      <w:r w:rsidR="00FD7514" w:rsidRPr="00FD7514">
        <w:t>Accident Tolerant and Advanced Technology Fuels</w:t>
      </w:r>
      <w:r w:rsidR="007D4CD7">
        <w:t xml:space="preserve">) </w:t>
      </w:r>
      <w:r w:rsidR="008343D1">
        <w:t>where granules of UO</w:t>
      </w:r>
      <w:r w:rsidR="008343D1" w:rsidRPr="008343D1">
        <w:rPr>
          <w:vertAlign w:val="subscript"/>
        </w:rPr>
        <w:t>2</w:t>
      </w:r>
      <w:r w:rsidR="008343D1">
        <w:t xml:space="preserve"> are enveloped in metallic channel resulting in a</w:t>
      </w:r>
      <w:r w:rsidR="00D97C9D">
        <w:t xml:space="preserve"> nuclear fuel characterized by</w:t>
      </w:r>
      <w:r w:rsidR="008343D1">
        <w:t xml:space="preserve"> enhanced thermal conductivity. This reduce</w:t>
      </w:r>
      <w:r w:rsidR="00D97C9D">
        <w:t>s</w:t>
      </w:r>
      <w:r w:rsidR="008343D1">
        <w:t xml:space="preserve"> the energy stored in the fuel thus increasing the grace period in case of an accident.</w:t>
      </w:r>
      <w:r w:rsidR="00D97C9D">
        <w:t xml:space="preserve"> Few experimental data are today available on this type of fuels. Modelling and simulation can therefore support the understanding of the expected performance under irradiation and help the optimization of this promising ATF. The actual scope of the work presented here is to develop a computational scheme dedicated to simulate the behaviour under irradiation of CERMET fuels, in nominal, incidental and accidental conditions. This paper presents the first step in the process: the effective thermal conductivity of a micro-cell CERMET is modelled by </w:t>
      </w:r>
      <w:r w:rsidR="00621C31">
        <w:t>homogenization</w:t>
      </w:r>
      <w:r w:rsidR="00D97C9D">
        <w:t xml:space="preserve"> approach and then verified/validated against available experimental data and full-field calculations. It is then implemented in the ALCYONE code </w:t>
      </w:r>
      <w:r w:rsidR="00621C31">
        <w:t xml:space="preserve">of the PLEIADES platform </w:t>
      </w:r>
      <w:r w:rsidR="00D97C9D">
        <w:t xml:space="preserve">where the expected thermal-mechanical behaviour of the CERMET is studied </w:t>
      </w:r>
      <w:r w:rsidR="00711893">
        <w:t>in</w:t>
      </w:r>
      <w:r w:rsidR="00D97C9D">
        <w:t xml:space="preserve"> nominal conditions. </w:t>
      </w:r>
    </w:p>
    <w:p w14:paraId="193ED82E" w14:textId="2C3D9895" w:rsidR="00B42408" w:rsidRPr="003E7A48" w:rsidRDefault="007D4CD7" w:rsidP="003E7A48">
      <w:pPr>
        <w:pStyle w:val="Heading1st"/>
      </w:pPr>
      <w:r>
        <w:t>METHODS</w:t>
      </w:r>
    </w:p>
    <w:p w14:paraId="44D6389C" w14:textId="0C9D4DA8" w:rsidR="00621C31" w:rsidRDefault="00621C31" w:rsidP="00D04D6A">
      <w:pPr>
        <w:pStyle w:val="Corpsdetexte"/>
      </w:pPr>
      <w:r>
        <w:t>Microcell CERMET fuel pellet is a composite material consisting of a metallic phase (generally Mo</w:t>
      </w:r>
      <w:r w:rsidR="001F4FF6">
        <w:t xml:space="preserve">, </w:t>
      </w:r>
      <w:r>
        <w:t>Cr</w:t>
      </w:r>
      <w:r w:rsidR="001F4FF6">
        <w:t xml:space="preserve"> or W</w:t>
      </w:r>
      <w:r>
        <w:t>) distributed as to create a more-or-less continuous metallic channel enveloping ceramic granules (UO</w:t>
      </w:r>
      <w:r w:rsidRPr="00621C31">
        <w:rPr>
          <w:vertAlign w:val="subscript"/>
        </w:rPr>
        <w:t>2</w:t>
      </w:r>
      <w:r>
        <w:t>). This microstructure is obtained with a standard manufacturing process, co-sintering the UO</w:t>
      </w:r>
      <w:r w:rsidR="009471D8" w:rsidRPr="009471D8">
        <w:rPr>
          <w:vertAlign w:val="subscript"/>
        </w:rPr>
        <w:t>2</w:t>
      </w:r>
      <w:r>
        <w:t xml:space="preserve"> granules with the metal power</w:t>
      </w:r>
      <w:r w:rsidR="009471D8">
        <w:t xml:space="preserve"> </w:t>
      </w:r>
      <w:r w:rsidR="009471D8">
        <w:fldChar w:fldCharType="begin"/>
      </w:r>
      <w:r w:rsidR="009471D8">
        <w:instrText xml:space="preserve"> ADDIN ZOTERO_ITEM CSL_CITATION {"citationID":"8q7WgTGr","properties":{"formattedCitation":"[1]","plainCitation":"[1]","noteIndex":0},"citationItems":[{"id":349,"uris":["http://zotero.org/users/local/xcPm9qZk/items/QH255EDG"],"itemData":{"id":349,"type":"article-journal","abstract":"As one of accident tolerant fuel pellets which should have features of good thermal conductivity and high ﬁssion product retention, a micro-cell UO2–Mo pellet has been studied in the aspect of fabrication and thermal property. It was intended to develop the compatible process with conventional UO2 pellet fabrication process. The effects of processing parameters such as the size and density of UO2 granule and the size of Mo powder have been studied to produce sound and dense pellet with completely connected uniform Mo cell-walls. The micro-cell UO2–Mo pellet consists of many Mo micro-cells and UO2 in them. The thermal conductivity of the micro-cell UO2–Mo pellet was measured and compared to those of the UO2 pellet and the UO2–Mo pellet with dispersed form of Mo particles. The thermal conductivity of the micro-cell UO2–Mo pellet was much enhanced and was found to be inﬂuenced by the Mo volumetric fraction and pellet integrity. A continuous Mo micro-cell works as a heat conducting channel in the pellet, greatly enhancing the thermal conductivity of the micro cell UO2–Mo pellet.","container-title":"Journal of Nuclear Materials","DOI":"10.1016/j.jnucmat.2015.04.003","ISSN":"00223115","journalAbbreviation":"Journal of Nuclear Materials","language":"en","page":"289-295","source":"DOI.org (Crossref)","title":"Fabrication of micro-cell UO2–Mo pellet with enhanced thermal conductivity","volume":"462","author":[{"family":"Kim","given":"Dong-Joo"},{"family":"Rhee","given":"Young Woo"},{"family":"Kim","given":"Jong Hun"},{"family":"Kim","given":"Keon Sik"},{"family":"Oh","given":"Jang Soo"},{"family":"Yang","given":"Jae Ho"},{"family":"Koo","given":"Yang-Hyun"},{"family":"Song","given":"Kun-Woo"}],"issued":{"date-parts":[["2015",7]]}}}],"schema":"https://github.com/citation-style-language/schema/raw/master/csl-citation.json"} </w:instrText>
      </w:r>
      <w:r w:rsidR="009471D8">
        <w:fldChar w:fldCharType="separate"/>
      </w:r>
      <w:r w:rsidR="009471D8" w:rsidRPr="009471D8">
        <w:t>[1]</w:t>
      </w:r>
      <w:r w:rsidR="009471D8">
        <w:fldChar w:fldCharType="end"/>
      </w:r>
      <w:r>
        <w:t>. The mixture is the</w:t>
      </w:r>
      <w:r w:rsidR="003C2D5B">
        <w:t>n</w:t>
      </w:r>
      <w:r>
        <w:t xml:space="preserve"> pressed in a pellet shape, which leads to an anisotropic microstructure: the unit cells result elongated along the radial direction. </w:t>
      </w:r>
    </w:p>
    <w:p w14:paraId="45153D66" w14:textId="090257E7" w:rsidR="00FE75A2" w:rsidRDefault="00621C31" w:rsidP="00D04D6A">
      <w:pPr>
        <w:pStyle w:val="Corpsdetexte"/>
      </w:pPr>
      <w:r>
        <w:t>The general approach to model an effective thermal conductivity for this kind of heterogeneous materials is to apply homogenization approach.</w:t>
      </w:r>
      <w:r w:rsidR="00FE75A2">
        <w:t xml:space="preserve"> Table 1 presents </w:t>
      </w:r>
      <w:r w:rsidR="009471D8" w:rsidRPr="00B94309">
        <w:t>three</w:t>
      </w:r>
      <w:r w:rsidR="00FE75A2">
        <w:t xml:space="preserve"> structural models used to predict the effective thermal conductivity as a function of the additive metal phase.</w:t>
      </w:r>
      <w:r w:rsidR="009471D8">
        <w:t xml:space="preserve"> Voigt and Reuss </w:t>
      </w:r>
      <w:r w:rsidR="00216368">
        <w:fldChar w:fldCharType="begin"/>
      </w:r>
      <w:r w:rsidR="00216368">
        <w:instrText xml:space="preserve"> ADDIN ZOTERO_ITEM CSL_CITATION {"citationID":"5REcCmbi","properties":{"formattedCitation":"[2]","plainCitation":"[2]","noteIndex":0},"citationItems":[{"id":895,"uris":["http://zotero.org/users/local/xcPm9qZk/items/QGWTG78Y"],"itemData":{"id":895,"type":"article-journal","abstract":"Percolation and Bruggeman's effective media theories, as they apply to the electrical conductivity of composites, are reviewed, and a general effective media (GEM) equation, which combines most aspects of both percolation and effective media theories, is introduced. It is then shown that the GEM equation quantitatively fits electrical resistivity (conductivity) as a function of the volume fraction data for binary composites. The parameters used to fit the experimental data are the electrical resistivities of the two phases, the percolation threshold for the lower resistivity phase (ôc), and an exponent t. Preliminary work, showing how the GEM equation can be used to model the piezoresistivity of composites by postulating that ôc is a function of the independent variable, is also presented.","container-title":"Journal of the American Ceramic Society","DOI":"10.1111/j.1151-2916.1990.tb07576.x","ISSN":"1551-2916","issue":"8","language":"en","note":"_eprint: https://ceramics.onlinelibrary.wiley.com/doi/pdf/10.1111/j.1151-2916.1990.tb07576.x","page":"2187-2203","source":"Wiley Online Library","title":"Electrical Resistivity of Composites","volume":"73","author":[{"family":"McLachlan","given":"David S."},{"family":"Blaszkiewicz","given":"Michael"},{"family":"Newnham","given":"Robert E."}],"issued":{"date-parts":[["1990"]]}}}],"schema":"https://github.com/citation-style-language/schema/raw/master/csl-citation.json"} </w:instrText>
      </w:r>
      <w:r w:rsidR="00216368">
        <w:fldChar w:fldCharType="separate"/>
      </w:r>
      <w:r w:rsidR="00216368" w:rsidRPr="00216368">
        <w:t>[2]</w:t>
      </w:r>
      <w:r w:rsidR="00216368">
        <w:fldChar w:fldCharType="end"/>
      </w:r>
      <w:r w:rsidR="00216368">
        <w:t xml:space="preserve"> </w:t>
      </w:r>
      <w:r w:rsidR="009471D8">
        <w:t xml:space="preserve">are the upper and lower limits for the effective thermal conductivity, </w:t>
      </w:r>
      <w:r w:rsidR="00216368">
        <w:t xml:space="preserve">Maxwell model </w:t>
      </w:r>
      <w:r w:rsidR="00216368">
        <w:fldChar w:fldCharType="begin"/>
      </w:r>
      <w:r w:rsidR="00216368">
        <w:instrText xml:space="preserve"> ADDIN ZOTERO_ITEM CSL_CITATION {"citationID":"b2zUiRb3","properties":{"formattedCitation":"[3]","plainCitation":"[3]","noteIndex":0},"citationItems":[{"id":806,"uris":["http://zotero.org/users/local/xcPm9qZk/items/8ASI6M2E"],"itemData":{"id":806,"type":"book","collection-number":"3rd Ed","collection-title":"Oxford University Press","title":"A treatise on electricity and magnetism","volume":"1","author":[{"family":"Maxwell","given":"J.C."}],"issued":{"date-parts":[["1904"]]}}}],"schema":"https://github.com/citation-style-language/schema/raw/master/csl-citation.json"} </w:instrText>
      </w:r>
      <w:r w:rsidR="00216368">
        <w:fldChar w:fldCharType="separate"/>
      </w:r>
      <w:r w:rsidR="00216368" w:rsidRPr="00216368">
        <w:t>[3]</w:t>
      </w:r>
      <w:r w:rsidR="00216368">
        <w:fldChar w:fldCharType="end"/>
      </w:r>
      <w:r w:rsidR="00216368">
        <w:t xml:space="preserve"> is well suited for spherical particles uniformly distributed in the matrix. In the case of CERMET, because of the specific distribution of the two phases, the metal is considered the matrix ‘m’ having volume fraction ‘</w:t>
      </w: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00216368">
        <w:t>’ and the UO</w:t>
      </w:r>
      <w:r w:rsidR="00216368" w:rsidRPr="00216368">
        <w:rPr>
          <w:vertAlign w:val="subscript"/>
        </w:rPr>
        <w:t>2</w:t>
      </w:r>
      <w:r w:rsidR="00216368">
        <w:t xml:space="preserve"> the inclusion ‘</w:t>
      </w:r>
      <w:proofErr w:type="spellStart"/>
      <w:r w:rsidR="00216368">
        <w:t>i</w:t>
      </w:r>
      <w:proofErr w:type="spellEnd"/>
      <w:r w:rsidR="00216368">
        <w:t>’, having volume fraction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00216368">
        <w:t xml:space="preserve">’. </w:t>
      </w:r>
      <w:r w:rsidR="009471D8">
        <w:t>In the following we consider Mo and Cr as metal phases. The thermal conductivity of UO</w:t>
      </w:r>
      <w:r w:rsidR="009471D8">
        <w:rPr>
          <w:vertAlign w:val="subscript"/>
        </w:rPr>
        <w:t xml:space="preserve">2 </w:t>
      </w:r>
      <w:r w:rsidR="009471D8">
        <w:rPr>
          <w:vertAlign w:val="subscript"/>
        </w:rPr>
        <w:fldChar w:fldCharType="begin"/>
      </w:r>
      <w:r w:rsidR="00216368">
        <w:rPr>
          <w:vertAlign w:val="subscript"/>
        </w:rPr>
        <w:instrText xml:space="preserve"> ADDIN ZOTERO_ITEM CSL_CITATION {"citationID":"oZbqJxUa","properties":{"formattedCitation":"[4]","plainCitation":"[4]","noteIndex":0},"citationItems":[{"id":894,"uris":["http://zotero.org/users/local/xcPm9qZk/items/NJ8AMYYX"],"itemData":{"id":894,"type":"article-journal","container-title":"Journal of Nuclear Materials","DOI":"10.1016/0022-3115(89)90218-3","ISSN":"00223115","issue":"3","journalAbbreviation":"Journal of Nuclear Materials","language":"en","license":"https://www.elsevier.com/tdm/userlicense/1.0/","page":"223-226","source":"DOI.org (Crossref)","title":"A recommendation for the thermal conductivity of UO2","volume":"166","author":[{"family":"Harding","given":"J.H."},{"family":"Martin","given":"D.G."}],"issued":{"date-parts":[["1989",8]]}}}],"schema":"https://github.com/citation-style-language/schema/raw/master/csl-citation.json"} </w:instrText>
      </w:r>
      <w:r w:rsidR="009471D8">
        <w:rPr>
          <w:vertAlign w:val="subscript"/>
        </w:rPr>
        <w:fldChar w:fldCharType="separate"/>
      </w:r>
      <w:r w:rsidR="00216368" w:rsidRPr="00216368">
        <w:t>[4]</w:t>
      </w:r>
      <w:r w:rsidR="009471D8">
        <w:rPr>
          <w:vertAlign w:val="subscript"/>
        </w:rPr>
        <w:fldChar w:fldCharType="end"/>
      </w:r>
      <w:r w:rsidR="009471D8">
        <w:t xml:space="preserve">, Mo </w:t>
      </w:r>
      <w:r w:rsidR="009471D8">
        <w:fldChar w:fldCharType="begin"/>
      </w:r>
      <w:r w:rsidR="00216368">
        <w:instrText xml:space="preserve"> ADDIN ZOTERO_ITEM CSL_CITATION {"citationID":"JJBIpUra","properties":{"formattedCitation":"[5]","plainCitation":"[5]","noteIndex":0},"citationItems":[{"id":664,"uris":["http://zotero.org/users/local/xcPm9qZk/items/MP9LPVUQ"],"itemData":{"id":664,"type":"article-journal","archive":"Scopus","container-title":"International Journal of Thermophysics","DOI":"10.1023/A:1013155404019","issue":"6","page":"1855-1868","title":"Correlations for the thermal conductivity of metals as a function of temperature","volume":"22","author":[{"family":"Abu-Eishah","given":"S.I."}],"issued":{"date-parts":[["2001"]]}}}],"schema":"https://github.com/citation-style-language/schema/raw/master/csl-citation.json"} </w:instrText>
      </w:r>
      <w:r w:rsidR="009471D8">
        <w:fldChar w:fldCharType="separate"/>
      </w:r>
      <w:r w:rsidR="00216368" w:rsidRPr="00216368">
        <w:t>[5]</w:t>
      </w:r>
      <w:r w:rsidR="009471D8">
        <w:fldChar w:fldCharType="end"/>
      </w:r>
      <w:r w:rsidR="009471D8">
        <w:t xml:space="preserve"> and Cr </w:t>
      </w:r>
      <w:r w:rsidR="009471D8">
        <w:fldChar w:fldCharType="begin"/>
      </w:r>
      <w:r w:rsidR="00216368">
        <w:instrText xml:space="preserve"> ADDIN ZOTERO_ITEM CSL_CITATION {"citationID":"n88DvfTq","properties":{"formattedCitation":"[5]","plainCitation":"[5]","noteIndex":0},"citationItems":[{"id":664,"uris":["http://zotero.org/users/local/xcPm9qZk/items/MP9LPVUQ"],"itemData":{"id":664,"type":"article-journal","archive":"Scopus","container-title":"International Journal of Thermophysics","DOI":"10.1023/A:1013155404019","issue":"6","page":"1855-1868","title":"Correlations for the thermal conductivity of metals as a function of temperature","volume":"22","author":[{"family":"Abu-Eishah","given":"S.I."}],"issued":{"date-parts":[["2001"]]}}}],"schema":"https://github.com/citation-style-language/schema/raw/master/csl-citation.json"} </w:instrText>
      </w:r>
      <w:r w:rsidR="009471D8">
        <w:fldChar w:fldCharType="separate"/>
      </w:r>
      <w:r w:rsidR="00216368" w:rsidRPr="00216368">
        <w:t>[5]</w:t>
      </w:r>
      <w:r w:rsidR="009471D8">
        <w:fldChar w:fldCharType="end"/>
      </w:r>
      <w:r w:rsidR="009471D8">
        <w:t xml:space="preserve"> are considered established. </w:t>
      </w:r>
    </w:p>
    <w:p w14:paraId="39F2EF64" w14:textId="506C02C6" w:rsidR="000F37B3" w:rsidRDefault="000F37B3" w:rsidP="00D04D6A">
      <w:pPr>
        <w:pStyle w:val="Corpsdetexte"/>
      </w:pPr>
      <w:r>
        <w:t xml:space="preserve">Because few experimental data are available on CERMET fuels, full-field modelling is used to verify/validate the homogenization approach. The MEROPE </w:t>
      </w:r>
      <w:r>
        <w:fldChar w:fldCharType="begin"/>
      </w:r>
      <w:r>
        <w:instrText xml:space="preserve"> ADDIN ZOTERO_ITEM CSL_CITATION {"citationID":"CdZgecxA","properties":{"formattedCitation":"[6]","plainCitation":"[6]","noteIndex":0},"citationItems":[{"id":759,"uris":["http://zotero.org/users/local/xcPm9qZk/items/WIQPYPTZ"],"itemData":{"id":759,"type":"article-journal","abstract":"Mérope is a software devoted to the geometrical design and the discretization of microstructures of random heterogeneous materials. Mérope aims at building large samples of microstructured materials, called Representative Volume Elements, in order to derive their effective physical behaviors. Various microstructures are supported: spherical, polyhedral or spheropolyhedral inclusions, polycrystals, Gaussian fields and Boolean combinations of these. Discretization takes two forms: either regular Cartesian grids of (composite) voxels for computations with FFT-based solvers, or tetrahedral meshes for computations with Finite Element solvers. A special emphasis on the code has been put on performance, which will be further improved in the future. This article aims at introducing the main features of the software as well as exemplifying its use.","container-title":"Journal of Computational Science","DOI":"10.1016/j.jocs.2024.102359","ISSN":"1877-7503","journalAbbreviation":"Journal of Computational Science","page":"102359","source":"ScienceDirect","title":"Mérope: A microstructure generator for simulation of heterogeneous materials","title-short":"Mérope","volume":"81","author":[{"family":"Josien","given":"Marc"}],"issued":{"date-parts":[["2024",9,1]]}}}],"schema":"https://github.com/citation-style-language/schema/raw/master/csl-citation.json"} </w:instrText>
      </w:r>
      <w:r>
        <w:fldChar w:fldCharType="separate"/>
      </w:r>
      <w:r w:rsidRPr="000F37B3">
        <w:t>[6]</w:t>
      </w:r>
      <w:r>
        <w:fldChar w:fldCharType="end"/>
      </w:r>
      <w:r>
        <w:t xml:space="preserve"> </w:t>
      </w:r>
      <w:r w:rsidRPr="000F37B3">
        <w:t>software</w:t>
      </w:r>
      <w:r>
        <w:t>,</w:t>
      </w:r>
      <w:r w:rsidRPr="000F37B3">
        <w:t xml:space="preserve"> developed by CEA, </w:t>
      </w:r>
      <w:r>
        <w:t xml:space="preserve">is </w:t>
      </w:r>
      <w:r w:rsidRPr="000F37B3">
        <w:t>devoted to the geometrical design and discretization of microstructures of random heterogeneous materials. It allows the generation of Representative Volume Elements (RVE) that are discretized in order to obtain their physical behavio</w:t>
      </w:r>
      <w:r>
        <w:t>u</w:t>
      </w:r>
      <w:r w:rsidRPr="000F37B3">
        <w:t>r by means of FFT-based solver or finite elements</w:t>
      </w:r>
      <w:r>
        <w:t xml:space="preserve">. In this work, </w:t>
      </w:r>
      <w:r w:rsidRPr="000F37B3">
        <w:t xml:space="preserve">TMFFT </w:t>
      </w:r>
      <w:r>
        <w:t>is used</w:t>
      </w:r>
      <w:r w:rsidR="00C745FF">
        <w:t xml:space="preserve"> </w:t>
      </w:r>
      <w:r w:rsidR="00C745FF">
        <w:fldChar w:fldCharType="begin"/>
      </w:r>
      <w:r w:rsidR="00C745FF">
        <w:instrText xml:space="preserve"> ADDIN ZOTERO_ITEM CSL_CITATION {"citationID":"waizOaBM","properties":{"formattedCitation":"[7]","plainCitation":"[7]","noteIndex":0},"citationItems":[{"id":762,"uris":["http://zotero.org/users/local/xcPm9qZk/items/ML2MNUPS"],"itemData":{"id":762,"type":"article-journal","abstract":"We consider in this study three uranium dioxide ceramics whose porous network varies noticeably according to the manufacturing conditions. This porous network is characterized by a fine and elongated porosity which is made up of inter-granules pores but also of occluded pores which can be spotted at a much smaller scale. Thermal diffusivity measurements have been performed by a flash method on these ceramics at 50</w:instrText>
      </w:r>
      <w:r w:rsidR="00C745FF">
        <w:rPr>
          <w:rFonts w:ascii="Cambria Math" w:hAnsi="Cambria Math" w:cs="Cambria Math"/>
        </w:rPr>
        <w:instrText>∘</w:instrText>
      </w:r>
      <w:r w:rsidR="00C745FF">
        <w:instrText>C under different atmospheres but also up to 500</w:instrText>
      </w:r>
      <w:r w:rsidR="00C745FF">
        <w:rPr>
          <w:rFonts w:ascii="Cambria Math" w:hAnsi="Cambria Math" w:cs="Cambria Math"/>
        </w:rPr>
        <w:instrText>∘</w:instrText>
      </w:r>
      <w:r w:rsidR="00C745FF">
        <w:instrText>C under an argon and dihydrogen atmosphere. These measurements have shown marked differences in the thermal conductivities of the three ceramics, in particular a sharp degradation when the open porosity increases is reported. To understand the influence of these two families of porosities on the effective conductivity, a two-scale model has been developed. The effect of the occluded porosity is approximated using the Maxwell [36] model. The effect of the inter-granules porosity is evaluated by full-field numerical simulations performed on synthetic microstructures generated by the optimization process described in Moutin et al. [41]. Comparisons of model predictions to experimental results confirm the predominant role of the inter-granules porosity on the effective conductivity. Besides, it is shown that the Knudsen effect must be taken into account to accurately predict the variations in thermal conductivity of ceramics depending on the gas contained in the inter-granules pores at 50</w:instrText>
      </w:r>
      <w:r w:rsidR="00C745FF">
        <w:rPr>
          <w:rFonts w:ascii="Cambria Math" w:hAnsi="Cambria Math" w:cs="Cambria Math"/>
        </w:rPr>
        <w:instrText>∘</w:instrText>
      </w:r>
      <w:r w:rsidR="00C745FF">
        <w:instrText>C. Finally, the simulated conductivities of the ceramics are shown to predict temperatures effects up to 500</w:instrText>
      </w:r>
      <w:r w:rsidR="00C745FF">
        <w:rPr>
          <w:rFonts w:ascii="Cambria Math" w:hAnsi="Cambria Math" w:cs="Cambria Math"/>
        </w:rPr>
        <w:instrText>∘</w:instrText>
      </w:r>
      <w:r w:rsidR="00C745FF">
        <w:instrText>C.","container-title":"Journal of Nuclear Materials","DOI":"10.1016/j.jnucmat.2024.155246","ISSN":"0022-3115","journalAbbreviation":"Journal of Nuclear Materials","page":"155246","source":"ScienceDirect","title":"Conductivity of UO2 ceramics: Effect of a weakly to strongly branched pore network up to 500 </w:instrText>
      </w:r>
      <w:r w:rsidR="00C745FF">
        <w:rPr>
          <w:rFonts w:ascii="Cambria Math" w:hAnsi="Cambria Math" w:cs="Cambria Math"/>
        </w:rPr>
        <w:instrText>∘</w:instrText>
      </w:r>
      <w:r w:rsidR="00C745FF">
        <w:instrText xml:space="preserve">C (exp) and numerical simulations beyond","title-short":"Conductivity of UO2 ceramics","volume":"599","author":[{"family":"Moutin","given":"Léo"},{"family":"Josien","given":"Marc"},{"family":"Bornert","given":"Michel"},{"family":"Duguay","given":"Christelle"},{"family":"Adenot","given":"Frédéric"},{"family":"Fayette","given":"Laurent"},{"family":"Masson","given":"Renaud"}],"issued":{"date-parts":[["2024",10,1]]}}}],"schema":"https://github.com/citation-style-language/schema/raw/master/csl-citation.json"} </w:instrText>
      </w:r>
      <w:r w:rsidR="00C745FF">
        <w:fldChar w:fldCharType="separate"/>
      </w:r>
      <w:r w:rsidR="00C745FF" w:rsidRPr="00C745FF">
        <w:t>[7]</w:t>
      </w:r>
      <w:r w:rsidR="00C745FF">
        <w:fldChar w:fldCharType="end"/>
      </w:r>
      <w:r>
        <w:t>. Figure 1 shows transversal views of generated</w:t>
      </w:r>
      <w:r w:rsidR="00B94309">
        <w:t xml:space="preserve"> 1 mm x 1 mm</w:t>
      </w:r>
      <w:r>
        <w:t xml:space="preserve"> CERMET-type microstructures </w:t>
      </w:r>
      <w:r w:rsidR="00B94309">
        <w:t xml:space="preserve">(oxide in grey and metal in black) </w:t>
      </w:r>
      <w:r>
        <w:t xml:space="preserve">based on the available open literature available information </w:t>
      </w:r>
      <w:r>
        <w:fldChar w:fldCharType="begin"/>
      </w:r>
      <w:r w:rsidR="00C745FF">
        <w:instrText xml:space="preserve"> ADDIN ZOTERO_ITEM CSL_CITATION {"citationID":"ZOYofyLf","properties":{"formattedCitation":"[1], [8], [9]","plainCitation":"[1], [8], [9]","noteIndex":0},"citationItems":[{"id":349,"uris":["http://zotero.org/users/local/xcPm9qZk/items/QH255EDG"],"itemData":{"id":349,"type":"article-journal","abstract":"As one of accident tolerant fuel pellets which should have features of good thermal conductivity and high ﬁssion product retention, a micro-cell UO2–Mo pellet has been studied in the aspect of fabrication and thermal property. It was intended to develop the compatible process with conventional UO2 pellet fabrication process. The effects of processing parameters such as the size and density of UO2 granule and the size of Mo powder have been studied to produce sound and dense pellet with completely connected uniform Mo cell-walls. The micro-cell UO2–Mo pellet consists of many Mo micro-cells and UO2 in them. The thermal conductivity of the micro-cell UO2–Mo pellet was measured and compared to those of the UO2 pellet and the UO2–Mo pellet with dispersed form of Mo particles. The thermal conductivity of the micro-cell UO2–Mo pellet was much enhanced and was found to be inﬂuenced by the Mo volumetric fraction and pellet integrity. A continuous Mo micro-cell works as a heat conducting channel in the pellet, greatly enhancing the thermal conductivity of the micro cell UO2–Mo pellet.","container-title":"Journal of Nuclear Materials","DOI":"10.1016/j.jnucmat.2015.04.003","ISSN":"00223115","journalAbbreviation":"Journal of Nuclear Materials","language":"en","page":"289-295","source":"DOI.org (Crossref)","title":"Fabrication of micro-cell UO2–Mo pellet with enhanced thermal conductivity","volume":"462","author":[{"family":"Kim","given":"Dong-Joo"},{"family":"Rhee","given":"Young Woo"},{"family":"Kim","given":"Jong Hun"},{"family":"Kim","given":"Keon Sik"},{"family":"Oh","given":"Jang Soo"},{"family":"Yang","given":"Jae Ho"},{"family":"Koo","given":"Yang-Hyun"},{"family":"Song","given":"Kun-Woo"}],"issued":{"date-parts":[["2015",7]]}}},{"id":593,"uris":["http://zotero.org/users/local/xcPm9qZk/items/YAKWHWFX"],"itemData":{"id":593,"type":"article-journal","abstract":"A mixed analytical model is utilized to estimate the effective thermal conductivity of microcell UO2 pellets. The proposed model consists of a mixture of parallel and series structural models that collectively take into account the unique cell geometry of the anisotropic metal network and the corresponding fractional contribution to the heat flow. This relatively simple structure model can explain the anisotropy of the thermal conductivity of UO2Mo microcells, as observed in both experimental tests and numerical calculations. The physics-based mixed analytical model allows us to accommodate the effects of the UO2 burnup and wall structure changes on the effective thermal conductivity of microcell UO2 pellets. To validate the model’s ability to predict the burnup dependence, the reduced fuel centerline temperature in a UO2 -5vol% Cr microcell under irradiation was esti­ mated at selected burnup levels and compared to the temperature evolution observed in a Halden reactor test, in which the sample pellets were irradiated up to 16MWd/kgU. The comparison demonstrated that the mixed analytical model suitably predicts the fuel temperature changes in irradiated UO2 -5vol% Cr microcells. The model proposed here is a preliminary type based on limited experimental data, and the parameters of the model could be modified further with the accumulation of more measurement data.","container-title":"Journal of Nuclear Materials","DOI":"10.1016/j.jnucmat.2023.154655","ISSN":"00223115","journalAbbreviation":"Journal of Nuclear Materials","language":"en","page":"154655","source":"DOI.org (Crossref)","title":"Mixed analytical model to estimate the anisotropic effective thermal conductivity and in-reactor performance of metallic microcell UO2","volume":"585","author":[{"family":"Yang","given":"Jae Ho"},{"family":"Lee","given":"Heung Soo"},{"family":"Kim","given":"Dong Seok"},{"family":"Kim","given":"Dong-Joo"},{"family":"Yoon","given":"Ji-Hae"},{"family":"Koo","given":"Yang-Hyun"}],"issued":{"date-parts":[["2023",11]]}}},{"id":350,"uris":["http://zotero.org/users/local/xcPm9qZk/items/FSJTQ7JB"],"itemData":{"id":350,"type":"article-journal","abstract":"A microcell UO2 pellet, as an accident-tolerant fuel pellet, is being developed to enhance the accident tolerance of nuclear fuels under accident conditions as well as the fuel performance under normal operation conditions.","container-title":"Nuclear Engineering and Technology","DOI":"10.1016/j.net.2017.12.008","ISSN":"17385733","issue":"2","journalAbbreviation":"Nuclear Engineering and Technology","language":"en","page":"253-258","source":"DOI.org (Crossref)","title":"Development status of microcell UO2 pellet for accident-tolerant fuel","volume":"50","author":[{"family":"Kim","given":"Dong-Joo"},{"family":"Kim","given":"Keon Sik"},{"family":"Kim","given":"Dong Seok"},{"family":"Oh","given":"Jang Soo"},{"family":"Kim","given":"Jong Hun"},{"family":"Yang","given":"Jae Ho"},{"family":"Koo","given":"Yang-Hyun"}],"issued":{"date-parts":[["2018",3]]}}}],"schema":"https://github.com/citation-style-language/schema/raw/master/csl-citation.json"} </w:instrText>
      </w:r>
      <w:r>
        <w:fldChar w:fldCharType="separate"/>
      </w:r>
      <w:r w:rsidR="00C745FF" w:rsidRPr="00C745FF">
        <w:t>[1], [8], [9]</w:t>
      </w:r>
      <w:r>
        <w:fldChar w:fldCharType="end"/>
      </w:r>
      <w:r w:rsidR="00711893">
        <w:t xml:space="preserve">. These microstructures are obtained </w:t>
      </w:r>
      <w:r w:rsidR="00B94309">
        <w:t xml:space="preserve">using different unit cell sizes and an aspect ratio equal to 3 (elongation along the radial direction divided by the elongation along the axial direction). </w:t>
      </w:r>
      <w:r>
        <w:t xml:space="preserve"> </w:t>
      </w:r>
      <w:r w:rsidRPr="000F37B3">
        <w:t xml:space="preserve"> </w:t>
      </w:r>
      <w:r>
        <w:t xml:space="preserve"> </w:t>
      </w:r>
    </w:p>
    <w:p w14:paraId="555283BF" w14:textId="605096DD" w:rsidR="00FE75A2" w:rsidRDefault="00FE75A2" w:rsidP="00FE75A2">
      <w:pPr>
        <w:pStyle w:val="TableTitle"/>
      </w:pPr>
      <w:r>
        <w:lastRenderedPageBreak/>
        <w:t>TABLE 1.</w:t>
      </w:r>
      <w:r>
        <w:tab/>
        <w:t>Effective thermal conductivity models considered in this work for composite materials having two phases</w:t>
      </w:r>
    </w:p>
    <w:tbl>
      <w:tblPr>
        <w:tblStyle w:val="Grilledutablea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3236"/>
        <w:gridCol w:w="4293"/>
      </w:tblGrid>
      <w:tr w:rsidR="00FE75A2" w14:paraId="21F1A4D4" w14:textId="77777777" w:rsidTr="000F37B3">
        <w:trPr>
          <w:jc w:val="center"/>
        </w:trPr>
        <w:tc>
          <w:tcPr>
            <w:tcW w:w="1560" w:type="dxa"/>
            <w:tcBorders>
              <w:top w:val="single" w:sz="4" w:space="0" w:color="auto"/>
              <w:bottom w:val="single" w:sz="4" w:space="0" w:color="auto"/>
            </w:tcBorders>
          </w:tcPr>
          <w:p w14:paraId="59950D4D" w14:textId="34471E26" w:rsidR="00FE75A2" w:rsidRDefault="00FE75A2" w:rsidP="006E5573">
            <w:pPr>
              <w:pStyle w:val="Corpsdetexte"/>
            </w:pPr>
            <w:r>
              <w:t>Reference</w:t>
            </w:r>
          </w:p>
        </w:tc>
        <w:tc>
          <w:tcPr>
            <w:tcW w:w="2693" w:type="dxa"/>
            <w:tcBorders>
              <w:top w:val="single" w:sz="4" w:space="0" w:color="auto"/>
              <w:bottom w:val="single" w:sz="4" w:space="0" w:color="auto"/>
            </w:tcBorders>
          </w:tcPr>
          <w:p w14:paraId="462C37C9" w14:textId="1F0249D1" w:rsidR="00FE75A2" w:rsidRDefault="00FE75A2" w:rsidP="006E5573">
            <w:pPr>
              <w:pStyle w:val="Corpsdetexte"/>
              <w:jc w:val="center"/>
            </w:pPr>
            <w:r>
              <w:t>Model</w:t>
            </w:r>
          </w:p>
        </w:tc>
        <w:tc>
          <w:tcPr>
            <w:tcW w:w="4774" w:type="dxa"/>
            <w:tcBorders>
              <w:top w:val="single" w:sz="4" w:space="0" w:color="auto"/>
              <w:bottom w:val="single" w:sz="4" w:space="0" w:color="auto"/>
            </w:tcBorders>
          </w:tcPr>
          <w:p w14:paraId="2964FAAE" w14:textId="5D28973E" w:rsidR="00FE75A2" w:rsidRDefault="00FE75A2" w:rsidP="006E5573">
            <w:pPr>
              <w:pStyle w:val="Corpsdetexte"/>
              <w:jc w:val="center"/>
            </w:pPr>
            <w:r>
              <w:t>Phases distribution</w:t>
            </w:r>
          </w:p>
        </w:tc>
      </w:tr>
      <w:tr w:rsidR="00FE75A2" w14:paraId="2AC91050" w14:textId="77777777" w:rsidTr="000F37B3">
        <w:trPr>
          <w:jc w:val="center"/>
        </w:trPr>
        <w:tc>
          <w:tcPr>
            <w:tcW w:w="1560" w:type="dxa"/>
            <w:tcBorders>
              <w:top w:val="single" w:sz="4" w:space="0" w:color="auto"/>
            </w:tcBorders>
          </w:tcPr>
          <w:p w14:paraId="4E4D14A8" w14:textId="3F453D25" w:rsidR="00FE75A2" w:rsidRDefault="00FE75A2" w:rsidP="006E5573">
            <w:pPr>
              <w:pStyle w:val="Corpsdetexte"/>
            </w:pPr>
            <w:r>
              <w:t>Voigt (parallel model)</w:t>
            </w:r>
            <w:r w:rsidR="009471D8">
              <w:t xml:space="preserve"> </w:t>
            </w:r>
            <w:r w:rsidR="009471D8">
              <w:fldChar w:fldCharType="begin"/>
            </w:r>
            <w:r w:rsidR="00216368">
              <w:instrText xml:space="preserve"> ADDIN ZOTERO_ITEM CSL_CITATION {"citationID":"jOHDZT5r","properties":{"formattedCitation":"[2]","plainCitation":"[2]","noteIndex":0},"citationItems":[{"id":895,"uris":["http://zotero.org/users/local/xcPm9qZk/items/QGWTG78Y"],"itemData":{"id":895,"type":"article-journal","abstract":"Percolation and Bruggeman's effective media theories, as they apply to the electrical conductivity of composites, are reviewed, and a general effective media (GEM) equation, which combines most aspects of both percolation and effective media theories, is introduced. It is then shown that the GEM equation quantitatively fits electrical resistivity (conductivity) as a function of the volume fraction data for binary composites. The parameters used to fit the experimental data are the electrical resistivities of the two phases, the percolation threshold for the lower resistivity phase (ôc), and an exponent t. Preliminary work, showing how the GEM equation can be used to model the piezoresistivity of composites by postulating that ôc is a function of the independent variable, is also presented.","container-title":"Journal of the American Ceramic Society","DOI":"10.1111/j.1151-2916.1990.tb07576.x","ISSN":"1551-2916","issue":"8","language":"en","note":"_eprint: https://ceramics.onlinelibrary.wiley.com/doi/pdf/10.1111/j.1151-2916.1990.tb07576.x","page":"2187-2203","source":"Wiley Online Library","title":"Electrical Resistivity of Composites","volume":"73","author":[{"family":"McLachlan","given":"David S."},{"family":"Blaszkiewicz","given":"Michael"},{"family":"Newnham","given":"Robert E."}],"issued":{"date-parts":[["1990"]]}}}],"schema":"https://github.com/citation-style-language/schema/raw/master/csl-citation.json"} </w:instrText>
            </w:r>
            <w:r w:rsidR="009471D8">
              <w:fldChar w:fldCharType="separate"/>
            </w:r>
            <w:r w:rsidR="00216368" w:rsidRPr="00216368">
              <w:t>[2]</w:t>
            </w:r>
            <w:r w:rsidR="009471D8">
              <w:fldChar w:fldCharType="end"/>
            </w:r>
          </w:p>
        </w:tc>
        <w:tc>
          <w:tcPr>
            <w:tcW w:w="2693" w:type="dxa"/>
            <w:tcBorders>
              <w:top w:val="single" w:sz="4" w:space="0" w:color="auto"/>
            </w:tcBorders>
          </w:tcPr>
          <w:p w14:paraId="7E1E6158" w14:textId="727026DA" w:rsidR="00FE75A2" w:rsidRDefault="00B71412" w:rsidP="006E5573">
            <w:pPr>
              <w:pStyle w:val="Corpsdetexte"/>
              <w:jc w:val="center"/>
            </w:pPr>
            <m:oMathPara>
              <m:oMath>
                <m:sSub>
                  <m:sSubPr>
                    <m:ctrlPr>
                      <w:rPr>
                        <w:rFonts w:ascii="Cambria Math" w:hAnsi="Cambria Math"/>
                        <w:i/>
                      </w:rPr>
                    </m:ctrlPr>
                  </m:sSubPr>
                  <m:e>
                    <m:r>
                      <w:rPr>
                        <w:rFonts w:ascii="Cambria Math" w:hAnsi="Cambria Math"/>
                      </w:rPr>
                      <m:t>k</m:t>
                    </m:r>
                  </m:e>
                  <m:sub>
                    <m:r>
                      <w:rPr>
                        <w:rFonts w:ascii="Cambria Math" w:hAnsi="Cambria Math"/>
                      </w:rPr>
                      <m:t>eff</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m</m:t>
                    </m:r>
                  </m:sub>
                </m:sSub>
                <m:sSub>
                  <m:sSubPr>
                    <m:ctrlPr>
                      <w:rPr>
                        <w:rFonts w:ascii="Cambria Math" w:hAnsi="Cambria Math"/>
                        <w:i/>
                      </w:rPr>
                    </m:ctrlPr>
                  </m:sSubPr>
                  <m:e>
                    <m:r>
                      <w:rPr>
                        <w:rFonts w:ascii="Cambria Math" w:hAnsi="Cambria Math"/>
                      </w:rPr>
                      <m:t>k</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sSub>
                  <m:sSubPr>
                    <m:ctrlPr>
                      <w:rPr>
                        <w:rFonts w:ascii="Cambria Math" w:hAnsi="Cambria Math"/>
                        <w:i/>
                      </w:rPr>
                    </m:ctrlPr>
                  </m:sSubPr>
                  <m:e>
                    <m:r>
                      <w:rPr>
                        <w:rFonts w:ascii="Cambria Math" w:hAnsi="Cambria Math"/>
                      </w:rPr>
                      <m:t>k</m:t>
                    </m:r>
                  </m:e>
                  <m:sub>
                    <m:r>
                      <w:rPr>
                        <w:rFonts w:ascii="Cambria Math" w:hAnsi="Cambria Math"/>
                      </w:rPr>
                      <m:t>i</m:t>
                    </m:r>
                  </m:sub>
                </m:sSub>
              </m:oMath>
            </m:oMathPara>
          </w:p>
        </w:tc>
        <w:tc>
          <w:tcPr>
            <w:tcW w:w="4774" w:type="dxa"/>
            <w:tcBorders>
              <w:top w:val="single" w:sz="4" w:space="0" w:color="auto"/>
            </w:tcBorders>
          </w:tcPr>
          <w:p w14:paraId="6E8977E2" w14:textId="72C9CED7" w:rsidR="00FE75A2" w:rsidRDefault="00FE75A2" w:rsidP="006E5573">
            <w:pPr>
              <w:pStyle w:val="Corpsdetexte"/>
              <w:jc w:val="center"/>
            </w:pPr>
            <w:r>
              <w:t>2-phases material having matrix ‘m’ and inclusions ‘</w:t>
            </w:r>
            <w:proofErr w:type="spellStart"/>
            <w:r>
              <w:t>i</w:t>
            </w:r>
            <w:proofErr w:type="spellEnd"/>
            <w:r>
              <w:t>’, parallel distribution, upper limit</w:t>
            </w:r>
          </w:p>
        </w:tc>
      </w:tr>
      <w:tr w:rsidR="00FE75A2" w14:paraId="005D750C" w14:textId="77777777" w:rsidTr="000F37B3">
        <w:trPr>
          <w:jc w:val="center"/>
        </w:trPr>
        <w:tc>
          <w:tcPr>
            <w:tcW w:w="1560" w:type="dxa"/>
          </w:tcPr>
          <w:p w14:paraId="7E83A699" w14:textId="5D3878D1" w:rsidR="00FE75A2" w:rsidRDefault="00FE75A2" w:rsidP="006E5573">
            <w:pPr>
              <w:pStyle w:val="Corpsdetexte"/>
            </w:pPr>
            <w:r>
              <w:t>Reuss (series models)</w:t>
            </w:r>
            <w:r w:rsidR="009471D8">
              <w:t xml:space="preserve"> </w:t>
            </w:r>
            <w:r w:rsidR="009471D8">
              <w:fldChar w:fldCharType="begin"/>
            </w:r>
            <w:r w:rsidR="00216368">
              <w:instrText xml:space="preserve"> ADDIN ZOTERO_ITEM CSL_CITATION {"citationID":"kN3VulPe","properties":{"formattedCitation":"[2]","plainCitation":"[2]","noteIndex":0},"citationItems":[{"id":895,"uris":["http://zotero.org/users/local/xcPm9qZk/items/QGWTG78Y"],"itemData":{"id":895,"type":"article-journal","abstract":"Percolation and Bruggeman's effective media theories, as they apply to the electrical conductivity of composites, are reviewed, and a general effective media (GEM) equation, which combines most aspects of both percolation and effective media theories, is introduced. It is then shown that the GEM equation quantitatively fits electrical resistivity (conductivity) as a function of the volume fraction data for binary composites. The parameters used to fit the experimental data are the electrical resistivities of the two phases, the percolation threshold for the lower resistivity phase (ôc), and an exponent t. Preliminary work, showing how the GEM equation can be used to model the piezoresistivity of composites by postulating that ôc is a function of the independent variable, is also presented.","container-title":"Journal of the American Ceramic Society","DOI":"10.1111/j.1151-2916.1990.tb07576.x","ISSN":"1551-2916","issue":"8","language":"en","note":"_eprint: https://ceramics.onlinelibrary.wiley.com/doi/pdf/10.1111/j.1151-2916.1990.tb07576.x","page":"2187-2203","source":"Wiley Online Library","title":"Electrical Resistivity of Composites","volume":"73","author":[{"family":"McLachlan","given":"David S."},{"family":"Blaszkiewicz","given":"Michael"},{"family":"Newnham","given":"Robert E."}],"issued":{"date-parts":[["1990"]]}}}],"schema":"https://github.com/citation-style-language/schema/raw/master/csl-citation.json"} </w:instrText>
            </w:r>
            <w:r w:rsidR="009471D8">
              <w:fldChar w:fldCharType="separate"/>
            </w:r>
            <w:r w:rsidR="00216368" w:rsidRPr="00216368">
              <w:t>[2]</w:t>
            </w:r>
            <w:r w:rsidR="009471D8">
              <w:fldChar w:fldCharType="end"/>
            </w:r>
          </w:p>
        </w:tc>
        <w:tc>
          <w:tcPr>
            <w:tcW w:w="2693" w:type="dxa"/>
          </w:tcPr>
          <w:p w14:paraId="1B9B3E1C" w14:textId="2F2A388B" w:rsidR="00FE75A2" w:rsidRDefault="00B71412" w:rsidP="006E5573">
            <w:pPr>
              <w:pStyle w:val="Corpsdetexte"/>
              <w:jc w:val="center"/>
            </w:pPr>
            <m:oMathPara>
              <m:oMath>
                <m:sSub>
                  <m:sSubPr>
                    <m:ctrlPr>
                      <w:rPr>
                        <w:rFonts w:ascii="Cambria Math" w:hAnsi="Cambria Math"/>
                        <w:i/>
                      </w:rPr>
                    </m:ctrlPr>
                  </m:sSubPr>
                  <m:e>
                    <m:r>
                      <w:rPr>
                        <w:rFonts w:ascii="Cambria Math" w:hAnsi="Cambria Math"/>
                      </w:rPr>
                      <m:t>k</m:t>
                    </m:r>
                  </m:e>
                  <m:sub>
                    <m:r>
                      <w:rPr>
                        <w:rFonts w:ascii="Cambria Math" w:hAnsi="Cambria Math"/>
                      </w:rPr>
                      <m:t>eff</m:t>
                    </m:r>
                  </m:sub>
                </m:sSub>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m:t>
                            </m:r>
                          </m:sub>
                        </m:sSub>
                      </m:num>
                      <m:den>
                        <m:sSub>
                          <m:sSubPr>
                            <m:ctrlPr>
                              <w:rPr>
                                <w:rFonts w:ascii="Cambria Math" w:hAnsi="Cambria Math"/>
                                <w:i/>
                              </w:rPr>
                            </m:ctrlPr>
                          </m:sSubPr>
                          <m:e>
                            <m:r>
                              <w:rPr>
                                <w:rFonts w:ascii="Cambria Math" w:hAnsi="Cambria Math"/>
                              </w:rPr>
                              <m:t>k</m:t>
                            </m:r>
                          </m:e>
                          <m:sub>
                            <m:r>
                              <w:rPr>
                                <w:rFonts w:ascii="Cambria Math" w:hAnsi="Cambria Math"/>
                              </w:rPr>
                              <m:t>m</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m:t>
                            </m:r>
                          </m:sub>
                        </m:sSub>
                      </m:num>
                      <m:den>
                        <m:sSub>
                          <m:sSubPr>
                            <m:ctrlPr>
                              <w:rPr>
                                <w:rFonts w:ascii="Cambria Math" w:hAnsi="Cambria Math"/>
                                <w:i/>
                              </w:rPr>
                            </m:ctrlPr>
                          </m:sSubPr>
                          <m:e>
                            <m:r>
                              <w:rPr>
                                <w:rFonts w:ascii="Cambria Math" w:hAnsi="Cambria Math"/>
                              </w:rPr>
                              <m:t>k</m:t>
                            </m:r>
                          </m:e>
                          <m:sub>
                            <m:r>
                              <w:rPr>
                                <w:rFonts w:ascii="Cambria Math" w:hAnsi="Cambria Math"/>
                              </w:rPr>
                              <m:t>i</m:t>
                            </m:r>
                          </m:sub>
                        </m:sSub>
                      </m:den>
                    </m:f>
                  </m:den>
                </m:f>
              </m:oMath>
            </m:oMathPara>
          </w:p>
        </w:tc>
        <w:tc>
          <w:tcPr>
            <w:tcW w:w="4774" w:type="dxa"/>
          </w:tcPr>
          <w:p w14:paraId="2DAA7BD5" w14:textId="5BBBE3F0" w:rsidR="00FE75A2" w:rsidRDefault="0042730E" w:rsidP="006E5573">
            <w:pPr>
              <w:pStyle w:val="Corpsdetexte"/>
              <w:jc w:val="center"/>
            </w:pPr>
            <w:r>
              <w:t>2-phases material having matrix ‘m’ and inclusions ‘</w:t>
            </w:r>
            <w:proofErr w:type="spellStart"/>
            <w:r>
              <w:t>i</w:t>
            </w:r>
            <w:proofErr w:type="spellEnd"/>
            <w:r>
              <w:t>’, series distribution, lower limit</w:t>
            </w:r>
          </w:p>
        </w:tc>
      </w:tr>
      <w:tr w:rsidR="00FE75A2" w14:paraId="27D3BB72" w14:textId="77777777" w:rsidTr="000F37B3">
        <w:trPr>
          <w:jc w:val="center"/>
        </w:trPr>
        <w:tc>
          <w:tcPr>
            <w:tcW w:w="1560" w:type="dxa"/>
          </w:tcPr>
          <w:p w14:paraId="5B4929B2" w14:textId="00F6FB24" w:rsidR="00FE75A2" w:rsidRDefault="00FE75A2" w:rsidP="006E5573">
            <w:pPr>
              <w:pStyle w:val="Corpsdetexte"/>
            </w:pPr>
            <w:r>
              <w:t>Maxwell</w:t>
            </w:r>
          </w:p>
        </w:tc>
        <w:tc>
          <w:tcPr>
            <w:tcW w:w="2693" w:type="dxa"/>
          </w:tcPr>
          <w:p w14:paraId="20D172D9" w14:textId="3996A3EC" w:rsidR="00FE75A2" w:rsidRDefault="00B71412" w:rsidP="006E5573">
            <w:pPr>
              <w:pStyle w:val="Corpsdetexte"/>
              <w:jc w:val="center"/>
            </w:pPr>
            <m:oMathPara>
              <m:oMath>
                <m:sSub>
                  <m:sSubPr>
                    <m:ctrlPr>
                      <w:rPr>
                        <w:rFonts w:ascii="Cambria Math" w:hAnsi="Cambria Math"/>
                        <w:i/>
                        <w:szCs w:val="22"/>
                      </w:rPr>
                    </m:ctrlPr>
                  </m:sSubPr>
                  <m:e>
                    <m:r>
                      <w:rPr>
                        <w:rFonts w:ascii="Cambria Math" w:hAnsi="Cambria Math"/>
                        <w:szCs w:val="22"/>
                      </w:rPr>
                      <m:t>k</m:t>
                    </m:r>
                  </m:e>
                  <m:sub>
                    <m:r>
                      <w:rPr>
                        <w:rFonts w:ascii="Cambria Math" w:hAnsi="Cambria Math"/>
                        <w:szCs w:val="22"/>
                      </w:rPr>
                      <m:t>eff</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m</m:t>
                    </m:r>
                  </m:sub>
                </m:sSub>
                <m:r>
                  <w:rPr>
                    <w:rFonts w:ascii="Cambria Math" w:hAnsi="Cambria Math"/>
                    <w:szCs w:val="22"/>
                  </w:rPr>
                  <m:t>(</m:t>
                </m:r>
                <m:f>
                  <m:fPr>
                    <m:ctrlPr>
                      <w:rPr>
                        <w:rFonts w:ascii="Cambria Math" w:hAnsi="Cambria Math"/>
                        <w:i/>
                        <w:szCs w:val="22"/>
                      </w:rPr>
                    </m:ctrlPr>
                  </m:fPr>
                  <m:num>
                    <m:r>
                      <w:rPr>
                        <w:rFonts w:ascii="Cambria Math" w:hAnsi="Cambria Math"/>
                        <w:szCs w:val="22"/>
                      </w:rPr>
                      <m:t>2</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m</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i</m:t>
                        </m:r>
                      </m:sub>
                    </m:sSub>
                    <m:r>
                      <w:rPr>
                        <w:rFonts w:ascii="Cambria Math" w:hAnsi="Cambria Math"/>
                        <w:szCs w:val="22"/>
                      </w:rPr>
                      <m:t>+2</m:t>
                    </m:r>
                    <m:sSub>
                      <m:sSubPr>
                        <m:ctrlPr>
                          <w:rPr>
                            <w:rFonts w:ascii="Cambria Math" w:hAnsi="Cambria Math"/>
                            <w:i/>
                            <w:szCs w:val="22"/>
                          </w:rPr>
                        </m:ctrlPr>
                      </m:sSubPr>
                      <m:e>
                        <m:r>
                          <w:rPr>
                            <w:rFonts w:ascii="Cambria Math" w:hAnsi="Cambria Math"/>
                            <w:szCs w:val="22"/>
                          </w:rPr>
                          <m:t>c</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m</m:t>
                        </m:r>
                      </m:sub>
                    </m:sSub>
                    <m:r>
                      <w:rPr>
                        <w:rFonts w:ascii="Cambria Math" w:hAnsi="Cambria Math"/>
                        <w:szCs w:val="22"/>
                      </w:rPr>
                      <m:t>)</m:t>
                    </m:r>
                  </m:num>
                  <m:den>
                    <m:r>
                      <w:rPr>
                        <w:rFonts w:ascii="Cambria Math" w:hAnsi="Cambria Math"/>
                        <w:szCs w:val="22"/>
                      </w:rPr>
                      <m:t>2</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m</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c</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k</m:t>
                        </m:r>
                      </m:e>
                      <m:sub>
                        <m:r>
                          <w:rPr>
                            <w:rFonts w:ascii="Cambria Math" w:hAnsi="Cambria Math"/>
                            <w:szCs w:val="22"/>
                          </w:rPr>
                          <m:t>m</m:t>
                        </m:r>
                      </m:sub>
                    </m:sSub>
                    <m:r>
                      <w:rPr>
                        <w:rFonts w:ascii="Cambria Math" w:hAnsi="Cambria Math"/>
                        <w:szCs w:val="22"/>
                      </w:rPr>
                      <m:t>)</m:t>
                    </m:r>
                  </m:den>
                </m:f>
                <m:r>
                  <w:rPr>
                    <w:rFonts w:ascii="Cambria Math" w:hAnsi="Cambria Math"/>
                    <w:szCs w:val="22"/>
                  </w:rPr>
                  <m:t>)</m:t>
                </m:r>
              </m:oMath>
            </m:oMathPara>
          </w:p>
        </w:tc>
        <w:tc>
          <w:tcPr>
            <w:tcW w:w="4774" w:type="dxa"/>
          </w:tcPr>
          <w:p w14:paraId="1E2FB8DD" w14:textId="19F99096" w:rsidR="00FE75A2" w:rsidRDefault="0042730E" w:rsidP="006E5573">
            <w:pPr>
              <w:pStyle w:val="Corpsdetexte"/>
              <w:jc w:val="center"/>
            </w:pPr>
            <w:r>
              <w:t>2-phases material having matrix ‘m’ and inclusions ‘</w:t>
            </w:r>
            <w:proofErr w:type="spellStart"/>
            <w:r>
              <w:t>i</w:t>
            </w:r>
            <w:proofErr w:type="spellEnd"/>
            <w:r>
              <w:t>’, spherical inclusions</w:t>
            </w:r>
            <w:r w:rsidR="009471D8">
              <w:t xml:space="preserve"> uniformly distributed (m=metal; </w:t>
            </w:r>
            <w:proofErr w:type="spellStart"/>
            <w:r w:rsidR="009471D8">
              <w:t>i</w:t>
            </w:r>
            <w:proofErr w:type="spellEnd"/>
            <w:r w:rsidR="009471D8">
              <w:t>=UO</w:t>
            </w:r>
            <w:r w:rsidR="009471D8" w:rsidRPr="009471D8">
              <w:rPr>
                <w:vertAlign w:val="subscript"/>
              </w:rPr>
              <w:t>2</w:t>
            </w:r>
            <w:r w:rsidR="009471D8" w:rsidRPr="009471D8">
              <w:t>)</w:t>
            </w:r>
          </w:p>
        </w:tc>
      </w:tr>
    </w:tbl>
    <w:p w14:paraId="12B8C461" w14:textId="4815C641" w:rsidR="00FE75A2" w:rsidRDefault="00FE75A2" w:rsidP="00D04D6A">
      <w:pPr>
        <w:pStyle w:val="Corpsdetexte"/>
      </w:pPr>
    </w:p>
    <w:p w14:paraId="3750C2E0" w14:textId="77777777" w:rsidR="00621C31" w:rsidRPr="009C34BD" w:rsidRDefault="00621C31" w:rsidP="00621C31">
      <w:pPr>
        <w:keepNext/>
        <w:jc w:val="center"/>
      </w:pPr>
      <w:r w:rsidRPr="009C34BD">
        <w:rPr>
          <w:noProof/>
        </w:rPr>
        <w:drawing>
          <wp:inline distT="0" distB="0" distL="0" distR="0" wp14:anchorId="3050E43E" wp14:editId="2A50E256">
            <wp:extent cx="1257921" cy="1260000"/>
            <wp:effectExtent l="0" t="0" r="0" b="0"/>
            <wp:docPr id="15" name="Image 14">
              <a:extLst xmlns:a="http://schemas.openxmlformats.org/drawingml/2006/main">
                <a:ext uri="{FF2B5EF4-FFF2-40B4-BE49-F238E27FC236}">
                  <a16:creationId xmlns:a16="http://schemas.microsoft.com/office/drawing/2014/main" id="{B46685BF-94F9-4D37-971D-B7EAB4BCA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a:extLst>
                        <a:ext uri="{FF2B5EF4-FFF2-40B4-BE49-F238E27FC236}">
                          <a16:creationId xmlns:a16="http://schemas.microsoft.com/office/drawing/2014/main" id="{B46685BF-94F9-4D37-971D-B7EAB4BCA52A}"/>
                        </a:ext>
                      </a:extLst>
                    </pic:cNvPr>
                    <pic:cNvPicPr>
                      <a:picLocks noChangeAspect="1"/>
                    </pic:cNvPicPr>
                  </pic:nvPicPr>
                  <pic:blipFill>
                    <a:blip r:embed="rId12"/>
                    <a:stretch>
                      <a:fillRect/>
                    </a:stretch>
                  </pic:blipFill>
                  <pic:spPr>
                    <a:xfrm>
                      <a:off x="0" y="0"/>
                      <a:ext cx="1257921" cy="1260000"/>
                    </a:xfrm>
                    <a:prstGeom prst="rect">
                      <a:avLst/>
                    </a:prstGeom>
                  </pic:spPr>
                </pic:pic>
              </a:graphicData>
            </a:graphic>
          </wp:inline>
        </w:drawing>
      </w:r>
      <w:r w:rsidRPr="009C34BD">
        <w:tab/>
      </w:r>
      <w:r w:rsidRPr="009C34BD">
        <w:rPr>
          <w:noProof/>
        </w:rPr>
        <w:drawing>
          <wp:inline distT="0" distB="0" distL="0" distR="0" wp14:anchorId="7C07BF7A" wp14:editId="50499B0A">
            <wp:extent cx="1243393" cy="1260000"/>
            <wp:effectExtent l="0" t="0" r="0" b="0"/>
            <wp:docPr id="21" name="Image 20">
              <a:extLst xmlns:a="http://schemas.openxmlformats.org/drawingml/2006/main">
                <a:ext uri="{FF2B5EF4-FFF2-40B4-BE49-F238E27FC236}">
                  <a16:creationId xmlns:a16="http://schemas.microsoft.com/office/drawing/2014/main" id="{579456B1-5144-43E6-9DC3-99DEB9251F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579456B1-5144-43E6-9DC3-99DEB9251F60}"/>
                        </a:ext>
                      </a:extLst>
                    </pic:cNvPr>
                    <pic:cNvPicPr>
                      <a:picLocks noChangeAspect="1"/>
                    </pic:cNvPicPr>
                  </pic:nvPicPr>
                  <pic:blipFill>
                    <a:blip r:embed="rId13"/>
                    <a:stretch>
                      <a:fillRect/>
                    </a:stretch>
                  </pic:blipFill>
                  <pic:spPr>
                    <a:xfrm>
                      <a:off x="0" y="0"/>
                      <a:ext cx="1243393" cy="1260000"/>
                    </a:xfrm>
                    <a:prstGeom prst="rect">
                      <a:avLst/>
                    </a:prstGeom>
                  </pic:spPr>
                </pic:pic>
              </a:graphicData>
            </a:graphic>
          </wp:inline>
        </w:drawing>
      </w:r>
      <w:r w:rsidRPr="009C34BD">
        <w:tab/>
      </w:r>
      <w:r w:rsidRPr="009C34BD">
        <w:rPr>
          <w:noProof/>
        </w:rPr>
        <w:drawing>
          <wp:inline distT="0" distB="0" distL="0" distR="0" wp14:anchorId="32CDA1E1" wp14:editId="15C80703">
            <wp:extent cx="1255837" cy="1260000"/>
            <wp:effectExtent l="0" t="0" r="1905" b="0"/>
            <wp:docPr id="25" name="Image 24">
              <a:extLst xmlns:a="http://schemas.openxmlformats.org/drawingml/2006/main">
                <a:ext uri="{FF2B5EF4-FFF2-40B4-BE49-F238E27FC236}">
                  <a16:creationId xmlns:a16="http://schemas.microsoft.com/office/drawing/2014/main" id="{FCA97924-12FA-4A9A-82FE-DA4BEF5D4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a:extLst>
                        <a:ext uri="{FF2B5EF4-FFF2-40B4-BE49-F238E27FC236}">
                          <a16:creationId xmlns:a16="http://schemas.microsoft.com/office/drawing/2014/main" id="{FCA97924-12FA-4A9A-82FE-DA4BEF5D4298}"/>
                        </a:ext>
                      </a:extLst>
                    </pic:cNvPr>
                    <pic:cNvPicPr>
                      <a:picLocks noChangeAspect="1"/>
                    </pic:cNvPicPr>
                  </pic:nvPicPr>
                  <pic:blipFill>
                    <a:blip r:embed="rId14"/>
                    <a:stretch>
                      <a:fillRect/>
                    </a:stretch>
                  </pic:blipFill>
                  <pic:spPr>
                    <a:xfrm>
                      <a:off x="0" y="0"/>
                      <a:ext cx="1255837" cy="1260000"/>
                    </a:xfrm>
                    <a:prstGeom prst="rect">
                      <a:avLst/>
                    </a:prstGeom>
                  </pic:spPr>
                </pic:pic>
              </a:graphicData>
            </a:graphic>
          </wp:inline>
        </w:drawing>
      </w:r>
      <w:r w:rsidRPr="009C34BD">
        <w:tab/>
      </w:r>
      <w:r w:rsidRPr="009C34BD">
        <w:rPr>
          <w:noProof/>
        </w:rPr>
        <w:drawing>
          <wp:inline distT="0" distB="0" distL="0" distR="0" wp14:anchorId="35C1C280" wp14:editId="654F7C1E">
            <wp:extent cx="1251669" cy="1260000"/>
            <wp:effectExtent l="0" t="0" r="5715" b="0"/>
            <wp:docPr id="8" name="Image 7">
              <a:extLst xmlns:a="http://schemas.openxmlformats.org/drawingml/2006/main">
                <a:ext uri="{FF2B5EF4-FFF2-40B4-BE49-F238E27FC236}">
                  <a16:creationId xmlns:a16="http://schemas.microsoft.com/office/drawing/2014/main" id="{B6123975-1889-458D-B96E-BAFB95FC9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B6123975-1889-458D-B96E-BAFB95FC9D32}"/>
                        </a:ext>
                      </a:extLst>
                    </pic:cNvPr>
                    <pic:cNvPicPr>
                      <a:picLocks noChangeAspect="1"/>
                    </pic:cNvPicPr>
                  </pic:nvPicPr>
                  <pic:blipFill>
                    <a:blip r:embed="rId15"/>
                    <a:stretch>
                      <a:fillRect/>
                    </a:stretch>
                  </pic:blipFill>
                  <pic:spPr>
                    <a:xfrm>
                      <a:off x="0" y="0"/>
                      <a:ext cx="1251669" cy="1260000"/>
                    </a:xfrm>
                    <a:prstGeom prst="rect">
                      <a:avLst/>
                    </a:prstGeom>
                  </pic:spPr>
                </pic:pic>
              </a:graphicData>
            </a:graphic>
          </wp:inline>
        </w:drawing>
      </w:r>
    </w:p>
    <w:p w14:paraId="18CE243C" w14:textId="778728A4" w:rsidR="00621C31" w:rsidRDefault="00BB1C4F" w:rsidP="00621C31">
      <w:pPr>
        <w:pStyle w:val="Figurecaption"/>
      </w:pPr>
      <w:r>
        <w:t xml:space="preserve">FIG 1: </w:t>
      </w:r>
      <w:r w:rsidR="00711893">
        <w:t>2D RVE r</w:t>
      </w:r>
      <w:r w:rsidRPr="00BB1C4F">
        <w:t xml:space="preserve">epresentation </w:t>
      </w:r>
      <w:r w:rsidR="00711893">
        <w:t>of a</w:t>
      </w:r>
      <w:r w:rsidRPr="00BB1C4F">
        <w:t xml:space="preserve"> [1x1] mm of a CERMET having 5% metal (represented in black) </w:t>
      </w:r>
      <w:r w:rsidR="00032220" w:rsidRPr="00BB1C4F">
        <w:t>enveloping</w:t>
      </w:r>
      <w:r w:rsidRPr="00BB1C4F">
        <w:t xml:space="preserve"> UO</w:t>
      </w:r>
      <w:r w:rsidRPr="00711893">
        <w:rPr>
          <w:vertAlign w:val="subscript"/>
        </w:rPr>
        <w:t>2</w:t>
      </w:r>
      <w:r w:rsidRPr="00BB1C4F">
        <w:t xml:space="preserve"> unit cells (in grey) and an aspect ratio of 3, developed for this study based on the information available in literature [3]. Different values of </w:t>
      </w:r>
      <w:r>
        <w:t>generative spheres</w:t>
      </w:r>
      <w:r w:rsidR="00032220">
        <w:t xml:space="preserve"> </w:t>
      </w:r>
      <w:r w:rsidRPr="00BB1C4F">
        <w:t xml:space="preserve">(from </w:t>
      </w:r>
      <w:r w:rsidR="00032220">
        <w:t>l</w:t>
      </w:r>
      <w:r w:rsidRPr="00BB1C4F">
        <w:t>eft to right)</w:t>
      </w:r>
      <w:r w:rsidR="00032220">
        <w:t>:</w:t>
      </w:r>
      <w:r w:rsidRPr="00BB1C4F">
        <w:t xml:space="preserve"> 165, 265, 350, 530 µm.</w:t>
      </w:r>
    </w:p>
    <w:p w14:paraId="32C13494" w14:textId="4AC83806" w:rsidR="00032220" w:rsidRDefault="00032220" w:rsidP="00B94309">
      <w:pPr>
        <w:pStyle w:val="Corpsdetexte"/>
      </w:pPr>
      <w:r>
        <w:t>Verification/validation phase leads to identify the most suited model to</w:t>
      </w:r>
      <w:r w:rsidR="00711893">
        <w:t xml:space="preserve"> simulate</w:t>
      </w:r>
      <w:r>
        <w:t xml:space="preserve"> the effective thermal conductivity of the CERMET fuel. This is then implemented in the ALCYONE fuel performance code of the PLEIADES platform </w:t>
      </w:r>
      <w:r>
        <w:fldChar w:fldCharType="begin"/>
      </w:r>
      <w:r w:rsidR="00C745FF">
        <w:instrText xml:space="preserve"> ADDIN ZOTERO_ITEM CSL_CITATION {"citationID":"gVK2dv6g","properties":{"formattedCitation":"[10]","plainCitation":"[10]","noteIndex":0},"citationItems":[{"id":757,"uris":["http://zotero.org/users/local/xcPm9qZk/items/P3BAXTKV"],"itemData":{"id":757,"type":"article-journal","abstract":"The aim of this contribution is to deeply introduce the ALCYONE Fuel Performance Code. ALCYONE is being implemented within the PLEIADES numerical framework and is dedicated to the multiphysics behavior of fuel rods in pressurized water reactors (PWRs). It has been a joint development between CEA, EDF and Framatome since 2005 and has been used since then for numerous studies covering normal, off-normal and accidental conditions. However, a detailed description of ALCYONE’s physical and numerical foundations has never been published. In this sense, this paper is intended to be the reference presentation paper for ALCYONE. On the first hand, it provides a comprehensive description of the modeling features and associated multiphysics and multiscale computational schemes. On the other hand, focuses are made on advanced modeling features showing enhanced capabilities of simulation of ALCYONE.","container-title":"Annals of Nuclear Energy","DOI":"10.1016/j.anucene.2024.110711","ISSN":"0306-4549","journalAbbreviation":"Annals of Nuclear Energy","page":"110711","source":"ScienceDirect","title":"ALCYONE: the fuel performance code of the PLEIADES platform dedicated to PWR fuel rods behavior","title-short":"ALCYONE","volume":"207","author":[{"family":"Introïni","given":"C."},{"family":"et al.","given":""}],"issued":{"date-parts":[["2024",11,1]]}}}],"schema":"https://github.com/citation-style-language/schema/raw/master/csl-citation.json"} </w:instrText>
      </w:r>
      <w:r>
        <w:fldChar w:fldCharType="separate"/>
      </w:r>
      <w:r w:rsidR="00C745FF" w:rsidRPr="00C745FF">
        <w:t>[10]</w:t>
      </w:r>
      <w:r>
        <w:fldChar w:fldCharType="end"/>
      </w:r>
      <w:r>
        <w:t xml:space="preserve"> in order to analyse the effects on the thermal-mechanical behaviour under irradiation due to a pure increase of the thermal conductivity. The power histories of the xM3 rod </w:t>
      </w:r>
      <w:r>
        <w:fldChar w:fldCharType="begin"/>
      </w:r>
      <w:r w:rsidR="00C745FF">
        <w:instrText xml:space="preserve"> ADDIN ZOTERO_ITEM CSL_CITATION {"citationID":"LOd2eEAV","properties":{"formattedCitation":"[11], [12]","plainCitation":"[11], [12]","noteIndex":0},"citationItems":[{"id":898,"uris":["http://zotero.org/users/local/xcPm9qZk/items/PZ5DGV7K"],"itemData":{"id":898,"type":"article-journal","abstract":"The topic of pellet cladding interaction (PCI) in light water reactor (LWR) fuel rods is reviewed and further explored in this paper by considering the mitigating effect of slow ramps. To that end, a number of PCI mitigating mechanisms were considered in relation to several failure criteria, including peak stress, strain energy density and other cumulative damage formulations. Towards a tentative working hypothesis for PCI mitigation by low ramp rate, the results fuel codes simulations of some slow ramps that have been part of the 3rd SCIP MWS (Studsvik Cladding Integrity Program Modeling WorkShop) are used in the paper in order to support or question the applicability of different possible mechanisms, considered as potential mitigating factors in slow ramps. In addition, the results of out-of-pile biaxial tests on irradiated cladding are presented for a loading scheme that aimed at reproducing the stress rate conditions of a slow ramp; the relatively small contribution of stress relaxation during the power increase stage of a slow ramp that was noticed in code calculations was confirmed by the mechanical biaxial tests. Thus, the main outcome of the code calculations in the 3rd SCIP MWS and related SCIP studies coupled with the literature review was that slow ramps’ benefits cannot be explained by mechanical effects only and a hypothesis is proposed that is based on the protective role of the cladding inner oxide and the healing of its cracks during a slow ramp provided the corresponding fuel rod gap chemistry exists.","container-title":"Journal of Nuclear Science and Technology","DOI":"10.1080/00223131.2015.1023382","ISSN":"0022-3131","issue":"10","note":"publisher: Taylor &amp; Francis\n_eprint: https://doi.org/10.1080/00223131.2015.1023382","page":"1274-1280","source":"Taylor and Francis+NEJM","title":"Towards understanding beneficial effects of slow power ramps","volume":"52","author":[{"family":"Arimescu","given":"Ioan"},{"family":"Karlsson","given":"Joakim"}],"issued":{"date-parts":[["2015",10,3]]}}},{"id":747,"uris":["http://zotero.org/users/local/xcPm9qZk/items/XV8526PM"],"itemData":{"id":747,"type":"article-journal","abstract":"This paper presents simulations of the xM3 power ramp with the fuel performance code ALCYONE performed during an international simulation exercise organized within the Organisation for Economic Co-operation and Development/Nuclear Energy Agency Power to Melt and Maneuverability project. The xM3 test involved a large-grain UO2 fuel from Mitsubishi Heavy Industries cladded with Zirlo and pre-irradiated in a Spanish pressurized water reactor up to an average burnup of 27 GWd/tU−1. It was then submitted to a staircase ramp protocol in the R2 reactor at Studsvik (Sweden) with 10 successive steps of 5 kW·m−1 up to a ramp terminal level of 70 kW·m−1. The fuel rodlet did not fail, and detailed post irradiation examinations performed during the Studsvik Cladding Integrity Project II evidenced recrystallization of the pellet center around a central hole, interpreted as signs of fuel melting. In this paper, simulations with ALCYONE of the xM3 power ramp, including an advanced model for fuel melting based on thermodynamic equilibrium calculations, are detailed. The model relies on the determination of the liquid fuel fraction evolution with temperature that is used to obtain a continuous description of the material properties during phase change. In consequence of the incorporation of rare earths and actinides in the bulk of the fuel, distinct solidus and liquidus temperatures are estimated. It is shown that the observed central hole and recrystallized central part of the pellet could be the consequence of totally melted fuel (liquidus is reached), partially melted fuel (solidus is reached), or pore migration only.","container-title":"Nuclear Technology","DOI":"10.1080/00295450.2023.2253660","ISSN":"0029-5450","issue":"2","note":"publisher: Taylor &amp; Francis\n_eprint: https://doi.org/10.1080/00295450.2023.2253660","page":"285-307","source":"Taylor and Francis+NEJM","title":"Presentation of the xM3 Test Case of the P2M Simulation Exercise and Modeling with the Fuel Performance Code ALCYONE","volume":"210","author":[{"family":"D’Ambrosi","given":"V."},{"family":"Sercombe","given":"J."},{"family":"Béjaoui","given":"S."},{"family":"Zacharie-Aubrun","given":"I."},{"family":"Introïni","given":"C."},{"family":"Karlsson","given":"J."},{"family":"Jädernäs","given":"D."},{"family":"Zwicky","given":"H.-U."}],"issued":{"date-parts":[["2024"]]}}}],"schema":"https://github.com/citation-style-language/schema/raw/master/csl-citation.json"} </w:instrText>
      </w:r>
      <w:r>
        <w:fldChar w:fldCharType="separate"/>
      </w:r>
      <w:r w:rsidR="00C745FF" w:rsidRPr="00C745FF">
        <w:t>[11], [12]</w:t>
      </w:r>
      <w:r>
        <w:fldChar w:fldCharType="end"/>
      </w:r>
      <w:r>
        <w:t xml:space="preserve"> are used as case scenarios to study the behaviour of the CERMET with respect to a standard UO</w:t>
      </w:r>
      <w:r w:rsidRPr="00032220">
        <w:rPr>
          <w:vertAlign w:val="subscript"/>
        </w:rPr>
        <w:t>2</w:t>
      </w:r>
      <w:r>
        <w:t>.</w:t>
      </w:r>
    </w:p>
    <w:p w14:paraId="38DA5448" w14:textId="417EAB49" w:rsidR="000F37B3" w:rsidRDefault="00BB1C4F" w:rsidP="000F37B3">
      <w:pPr>
        <w:pStyle w:val="Heading1st"/>
      </w:pPr>
      <w:r>
        <w:t>RESULTS and discussion</w:t>
      </w:r>
    </w:p>
    <w:p w14:paraId="43EA5BEC" w14:textId="2897AAE6" w:rsidR="006E2E8B" w:rsidRDefault="000F37B3" w:rsidP="000F37B3">
      <w:pPr>
        <w:pStyle w:val="Corpsdetexte"/>
      </w:pPr>
      <w:r>
        <w:t>Figure 2 shows the predictions of the models described in Table 1, compared to the results of the full-field model and to available experimental data</w:t>
      </w:r>
      <w:r w:rsidR="006E2E8B">
        <w:t>. Voigt and Reuss models are the upper and lower bonds as expected. Maxwell model appears to be well adapted to model the thermal conductivity along the radial direction, even though the evaluation is slightly overestimated with respect to experimental data.</w:t>
      </w:r>
      <w:r w:rsidR="009B56F9">
        <w:t xml:space="preserve"> This may be due to an overestimation of the aspect ratio. Also, modelled microstructures are ideals, the metal channel is perfectly continuous, which is not always the case when the volume fraction of the additive is 5% or less.</w:t>
      </w:r>
      <w:r w:rsidR="006E2E8B">
        <w:t xml:space="preserve"> Noteworthy is the fact that measurements on CERMET having different volume fraction of the additive show similar thermal conductivity</w:t>
      </w:r>
      <w:r w:rsidR="009B56F9">
        <w:t>, which support</w:t>
      </w:r>
      <w:r w:rsidR="006D2BF2">
        <w:t>s</w:t>
      </w:r>
      <w:r w:rsidR="009B56F9">
        <w:t xml:space="preserve"> the idea that the way in which Mo distributes strongly affects the effective behaviour</w:t>
      </w:r>
      <w:r w:rsidR="006E2E8B">
        <w:t xml:space="preserve">. Uncertainty of measurements are not reported in the reference papers. </w:t>
      </w:r>
    </w:p>
    <w:p w14:paraId="6EFE7481" w14:textId="22977847" w:rsidR="00BE777C" w:rsidRDefault="009B56F9" w:rsidP="000F37B3">
      <w:pPr>
        <w:pStyle w:val="Corpsdetexte"/>
      </w:pPr>
      <w:r>
        <w:t xml:space="preserve">Maxwell model was thus implemented in the ALCYONE code. </w:t>
      </w:r>
      <w:r w:rsidR="00F15AFB">
        <w:t>Fig. 3 (left) shows the effect of the additive on the fuel cent</w:t>
      </w:r>
      <w:r w:rsidR="00BE777C">
        <w:t>re</w:t>
      </w:r>
      <w:r w:rsidR="00F15AFB">
        <w:t xml:space="preserve">line temperature at the beginning of the irradiation. As expected, Mo leads to stronger reduction of </w:t>
      </w:r>
      <w:r w:rsidR="00BE777C">
        <w:t>temperatures</w:t>
      </w:r>
      <w:r w:rsidR="00F15AFB">
        <w:t xml:space="preserve"> with respect to Cr, because of its higher thermal conductivity.</w:t>
      </w:r>
      <w:r w:rsidR="00BE777C">
        <w:t xml:space="preserve"> In the case of Cr, some measurements of centreline fuel temperature under irradiation are available </w:t>
      </w:r>
      <w:r w:rsidR="00BE777C">
        <w:fldChar w:fldCharType="begin"/>
      </w:r>
      <w:r w:rsidR="00C745FF">
        <w:instrText xml:space="preserve"> ADDIN ZOTERO_ITEM CSL_CITATION {"citationID":"mkk6Jy9W","properties":{"formattedCitation":"[9]","plainCitation":"[9]","noteIndex":0},"citationItems":[{"id":350,"uris":["http://zotero.org/users/local/xcPm9qZk/items/FSJTQ7JB"],"itemData":{"id":350,"type":"article-journal","abstract":"A microcell UO2 pellet, as an accident-tolerant fuel pellet, is being developed to enhance the accident tolerance of nuclear fuels under accident conditions as well as the fuel performance under normal operation conditions.","container-title":"Nuclear Engineering and Technology","DOI":"10.1016/j.net.2017.12.008","ISSN":"17385733","issue":"2","journalAbbreviation":"Nuclear Engineering and Technology","language":"en","page":"253-258","source":"DOI.org (Crossref)","title":"Development status of microcell UO2 pellet for accident-tolerant fuel","volume":"50","author":[{"family":"Kim","given":"Dong-Joo"},{"family":"Kim","given":"Keon Sik"},{"family":"Kim","given":"Dong Seok"},{"family":"Oh","given":"Jang Soo"},{"family":"Kim","given":"Jong Hun"},{"family":"Yang","given":"Jae Ho"},{"family":"Koo","given":"Yang-Hyun"}],"issued":{"date-parts":[["2018",3]]}}}],"schema":"https://github.com/citation-style-language/schema/raw/master/csl-citation.json"} </w:instrText>
      </w:r>
      <w:r w:rsidR="00BE777C">
        <w:fldChar w:fldCharType="separate"/>
      </w:r>
      <w:r w:rsidR="00C745FF" w:rsidRPr="00C745FF">
        <w:t>[9]</w:t>
      </w:r>
      <w:r w:rsidR="00BE777C">
        <w:fldChar w:fldCharType="end"/>
      </w:r>
      <w:r w:rsidR="00BE777C">
        <w:t xml:space="preserve"> : a</w:t>
      </w:r>
      <w:r w:rsidR="00BE777C" w:rsidRPr="00BE777C">
        <w:t xml:space="preserve"> decrease of 220°C is measured for a linear power </w:t>
      </w:r>
      <w:r w:rsidR="00BE777C">
        <w:t>of</w:t>
      </w:r>
      <w:r w:rsidR="00BE777C" w:rsidRPr="00BE777C">
        <w:t xml:space="preserve"> 300 W/cm</w:t>
      </w:r>
      <w:r w:rsidR="00BE777C">
        <w:t xml:space="preserve"> in a CERMET 3.3% Cr. ALCYONE calculated </w:t>
      </w:r>
      <w:r w:rsidR="00BE777C" w:rsidRPr="00BE777C">
        <w:t>about 250°C</w:t>
      </w:r>
      <w:r w:rsidR="00BE777C">
        <w:t xml:space="preserve"> lower</w:t>
      </w:r>
      <w:r w:rsidR="00BE777C" w:rsidRPr="00BE777C">
        <w:t xml:space="preserve"> </w:t>
      </w:r>
      <w:r w:rsidR="00BE777C">
        <w:t xml:space="preserve">in a CERMET 5%Cr </w:t>
      </w:r>
      <w:r w:rsidR="00BE777C" w:rsidRPr="00BE777C">
        <w:t>with respect to a standard UO</w:t>
      </w:r>
      <w:r w:rsidR="00BE777C" w:rsidRPr="00BE777C">
        <w:rPr>
          <w:vertAlign w:val="subscript"/>
        </w:rPr>
        <w:t>2</w:t>
      </w:r>
      <w:r w:rsidR="00BE777C" w:rsidRPr="00BE777C">
        <w:t xml:space="preserve"> fuel at about 250W/cm. </w:t>
      </w:r>
      <w:r w:rsidR="00BE777C">
        <w:t xml:space="preserve">Simulations are thus </w:t>
      </w:r>
      <w:r w:rsidR="00BE777C" w:rsidRPr="00BE777C">
        <w:t>consistent with available experimental measurements</w:t>
      </w:r>
      <w:r w:rsidR="00BE777C">
        <w:t xml:space="preserve">. </w:t>
      </w:r>
    </w:p>
    <w:p w14:paraId="378EF3A6" w14:textId="273D9E05" w:rsidR="009B56F9" w:rsidRDefault="00BE777C" w:rsidP="000F37B3">
      <w:pPr>
        <w:pStyle w:val="Corpsdetexte"/>
      </w:pPr>
      <w:r>
        <w:lastRenderedPageBreak/>
        <w:t>Fig. 3 (left)</w:t>
      </w:r>
      <w:r w:rsidR="00F15AFB">
        <w:t xml:space="preserve"> also shows that in the case of CERMET fuels, the surface temperature of the fuel is higher. Fig.3 (right) shows the time evolution of the pellet-cladding gap. At the beginning of the irradiation the gap is larger because of the s</w:t>
      </w:r>
      <w:r>
        <w:t>m</w:t>
      </w:r>
      <w:r w:rsidR="00F15AFB">
        <w:t>aller thermal dilatation of the pellet, thus leading to a higher thermal resistance of the gap. The difference disappears once the gap is closed.</w:t>
      </w:r>
      <w:r w:rsidR="008A23E6">
        <w:t xml:space="preserve"> Gap closure is delayed with respect to standard UO</w:t>
      </w:r>
      <w:r w:rsidR="008A23E6" w:rsidRPr="008A23E6">
        <w:rPr>
          <w:vertAlign w:val="subscript"/>
        </w:rPr>
        <w:t>2</w:t>
      </w:r>
      <w:r w:rsidR="008A23E6" w:rsidRPr="008A23E6">
        <w:t>.</w:t>
      </w:r>
    </w:p>
    <w:p w14:paraId="37D0D755" w14:textId="6068EDED" w:rsidR="000F37B3" w:rsidRDefault="006E2E8B" w:rsidP="006E2E8B">
      <w:pPr>
        <w:pStyle w:val="Corpsdetexte"/>
        <w:jc w:val="center"/>
      </w:pPr>
      <w:r>
        <w:rPr>
          <w:noProof/>
        </w:rPr>
        <w:drawing>
          <wp:inline distT="0" distB="0" distL="0" distR="0" wp14:anchorId="472CBD5C" wp14:editId="45E007AF">
            <wp:extent cx="2702570" cy="2052000"/>
            <wp:effectExtent l="0" t="0" r="254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02570" cy="2052000"/>
                    </a:xfrm>
                    <a:prstGeom prst="rect">
                      <a:avLst/>
                    </a:prstGeom>
                  </pic:spPr>
                </pic:pic>
              </a:graphicData>
            </a:graphic>
          </wp:inline>
        </w:drawing>
      </w:r>
    </w:p>
    <w:p w14:paraId="347C9116" w14:textId="729DCE8C" w:rsidR="006E2E8B" w:rsidRPr="009471D8" w:rsidRDefault="006E2E8B" w:rsidP="006E2E8B">
      <w:pPr>
        <w:pStyle w:val="Figurecaption"/>
      </w:pPr>
      <w:r>
        <w:t>FIG.2:</w:t>
      </w:r>
      <w:r w:rsidRPr="006E2E8B">
        <w:t xml:space="preserve"> Effective thermal conductivity of UO</w:t>
      </w:r>
      <w:r w:rsidRPr="006E2E8B">
        <w:rPr>
          <w:vertAlign w:val="subscript"/>
        </w:rPr>
        <w:t>2</w:t>
      </w:r>
      <w:r w:rsidRPr="006E2E8B">
        <w:t xml:space="preserve">-Mo obtained with </w:t>
      </w:r>
      <w:r>
        <w:t>models presented in Table 1 and comparison to results from the full-field approach and to available experimental data</w:t>
      </w:r>
      <w:r w:rsidRPr="006E2E8B">
        <w:t>.</w:t>
      </w:r>
      <w:r>
        <w:t xml:space="preserve"> The thermal conductivity of pure UO</w:t>
      </w:r>
      <w:r w:rsidRPr="006E2E8B">
        <w:rPr>
          <w:vertAlign w:val="subscript"/>
        </w:rPr>
        <w:t>2</w:t>
      </w:r>
      <w:r>
        <w:t xml:space="preserve"> is reported as well. In all simulations, UO</w:t>
      </w:r>
      <w:r w:rsidRPr="006E2E8B">
        <w:rPr>
          <w:vertAlign w:val="subscript"/>
        </w:rPr>
        <w:t>2</w:t>
      </w:r>
      <w:r>
        <w:t xml:space="preserve"> is considered at 95% D.T.  </w:t>
      </w:r>
    </w:p>
    <w:p w14:paraId="23E412AD" w14:textId="2998B291" w:rsidR="002C29DB" w:rsidRDefault="00F15AFB" w:rsidP="00F15AFB">
      <w:pPr>
        <w:pStyle w:val="Corpsdetexte"/>
        <w:jc w:val="center"/>
      </w:pPr>
      <w:r w:rsidRPr="00037257">
        <w:rPr>
          <w:noProof/>
          <w:lang w:val="fr-FR" w:eastAsia="fr-FR"/>
        </w:rPr>
        <w:drawing>
          <wp:inline distT="0" distB="0" distL="0" distR="0" wp14:anchorId="6F761FDA" wp14:editId="21B0F3A5">
            <wp:extent cx="2649295" cy="1800000"/>
            <wp:effectExtent l="0" t="0" r="0" b="0"/>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17"/>
                    <a:stretch>
                      <a:fillRect/>
                    </a:stretch>
                  </pic:blipFill>
                  <pic:spPr>
                    <a:xfrm>
                      <a:off x="0" y="0"/>
                      <a:ext cx="2649295" cy="1800000"/>
                    </a:xfrm>
                    <a:prstGeom prst="rect">
                      <a:avLst/>
                    </a:prstGeom>
                  </pic:spPr>
                </pic:pic>
              </a:graphicData>
            </a:graphic>
          </wp:inline>
        </w:drawing>
      </w:r>
      <w:r w:rsidR="009B56F9">
        <w:rPr>
          <w:noProof/>
          <w:lang w:val="fr-FR" w:eastAsia="fr-FR"/>
        </w:rPr>
        <w:drawing>
          <wp:inline distT="0" distB="0" distL="0" distR="0" wp14:anchorId="2037A7CB" wp14:editId="3582559D">
            <wp:extent cx="2704334" cy="180000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EU_vs_tps-slice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4334" cy="1800000"/>
                    </a:xfrm>
                    <a:prstGeom prst="rect">
                      <a:avLst/>
                    </a:prstGeom>
                  </pic:spPr>
                </pic:pic>
              </a:graphicData>
            </a:graphic>
          </wp:inline>
        </w:drawing>
      </w:r>
    </w:p>
    <w:p w14:paraId="4DA048D1" w14:textId="5FDBB59E" w:rsidR="009B56F9" w:rsidRDefault="009B56F9" w:rsidP="009B56F9">
      <w:pPr>
        <w:pStyle w:val="FIG-LONG"/>
      </w:pPr>
      <w:r>
        <w:t xml:space="preserve">FIG. 3: Calculated </w:t>
      </w:r>
      <w:r w:rsidR="00F15AFB">
        <w:t xml:space="preserve">radial profile of fuel temperature </w:t>
      </w:r>
      <w:r>
        <w:t>at Peak Pellet Node</w:t>
      </w:r>
      <w:r w:rsidR="00F15AFB">
        <w:t xml:space="preserve"> (PPN) at the beginning of the irradiation </w:t>
      </w:r>
      <w:r>
        <w:t>(left) and time evolution of the internal pressure</w:t>
      </w:r>
      <w:r w:rsidR="00F15AFB">
        <w:t>, UO</w:t>
      </w:r>
      <w:r w:rsidR="00F15AFB" w:rsidRPr="00F15AFB">
        <w:rPr>
          <w:vertAlign w:val="subscript"/>
        </w:rPr>
        <w:t>2</w:t>
      </w:r>
      <w:r w:rsidR="00F15AFB">
        <w:t xml:space="preserve"> in black, Cr in green and Mo in red.</w:t>
      </w:r>
    </w:p>
    <w:p w14:paraId="0BCE72E4" w14:textId="489EB038" w:rsidR="009B56F9" w:rsidRDefault="009B56F9" w:rsidP="00F15AFB">
      <w:pPr>
        <w:pStyle w:val="Corpsdetexte"/>
        <w:jc w:val="center"/>
      </w:pPr>
      <w:r w:rsidRPr="00037257">
        <w:rPr>
          <w:noProof/>
          <w:lang w:val="fr-FR" w:eastAsia="fr-FR"/>
        </w:rPr>
        <w:drawing>
          <wp:inline distT="0" distB="0" distL="0" distR="0" wp14:anchorId="6E3979E7" wp14:editId="3F1C6EFF">
            <wp:extent cx="2991112" cy="2052000"/>
            <wp:effectExtent l="0" t="0" r="0" b="5715"/>
            <wp:docPr id="19" name="Espace réservé du contenu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space réservé du contenu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1112" cy="2052000"/>
                    </a:xfrm>
                    <a:prstGeom prst="rect">
                      <a:avLst/>
                    </a:prstGeom>
                  </pic:spPr>
                </pic:pic>
              </a:graphicData>
            </a:graphic>
          </wp:inline>
        </w:drawing>
      </w:r>
    </w:p>
    <w:p w14:paraId="116A7937" w14:textId="66D47898" w:rsidR="00C9285E" w:rsidRDefault="00F15AFB" w:rsidP="00554882">
      <w:pPr>
        <w:pStyle w:val="FIG-LONG"/>
      </w:pPr>
      <w:r>
        <w:t>FIG. 4: Calculated radial profile at the beginning of the irradiation of tangential stresses in the fuel at PPN, UO</w:t>
      </w:r>
      <w:r w:rsidRPr="00F15AFB">
        <w:rPr>
          <w:vertAlign w:val="subscript"/>
        </w:rPr>
        <w:t>2</w:t>
      </w:r>
      <w:r>
        <w:t xml:space="preserve"> in black, Cr in green and Mo in red.</w:t>
      </w:r>
    </w:p>
    <w:p w14:paraId="472D5D3C" w14:textId="77777777" w:rsidR="00FE5311" w:rsidRDefault="00FE5311" w:rsidP="00FE5311">
      <w:pPr>
        <w:pStyle w:val="Corpsdetexte"/>
      </w:pPr>
      <w:r>
        <w:t xml:space="preserve">Fig. 4 </w:t>
      </w:r>
      <w:r w:rsidRPr="00F15AFB">
        <w:t>shows the calculated radial distribution of tangential stress at the beginning of the irradiation: standard UO</w:t>
      </w:r>
      <w:r w:rsidRPr="00BE777C">
        <w:rPr>
          <w:vertAlign w:val="subscript"/>
        </w:rPr>
        <w:t>2</w:t>
      </w:r>
      <w:r w:rsidRPr="00F15AFB">
        <w:t xml:space="preserve"> cracks</w:t>
      </w:r>
      <w:r>
        <w:t xml:space="preserve"> as expected (tangential stress is zero in the cracked zone). CERMET fuels crack as well but the </w:t>
      </w:r>
      <w:r w:rsidRPr="00F15AFB">
        <w:t>radial extension is reduced</w:t>
      </w:r>
      <w:r>
        <w:t xml:space="preserve"> because of the reduced thermal gradient</w:t>
      </w:r>
      <w:r w:rsidRPr="00F15AFB">
        <w:t xml:space="preserve">: about 2 mm for </w:t>
      </w:r>
      <w:r w:rsidRPr="00F15AFB">
        <w:lastRenderedPageBreak/>
        <w:t>UO</w:t>
      </w:r>
      <w:r w:rsidRPr="00BE777C">
        <w:rPr>
          <w:vertAlign w:val="subscript"/>
        </w:rPr>
        <w:t>2</w:t>
      </w:r>
      <w:r w:rsidRPr="00F15AFB">
        <w:t>, 2.8 mm for UO</w:t>
      </w:r>
      <w:r w:rsidRPr="00BE777C">
        <w:rPr>
          <w:vertAlign w:val="subscript"/>
        </w:rPr>
        <w:t>2</w:t>
      </w:r>
      <w:r w:rsidRPr="00F15AFB">
        <w:t>+5%Cr and 3 mm for UO</w:t>
      </w:r>
      <w:r w:rsidRPr="00BE777C">
        <w:rPr>
          <w:vertAlign w:val="subscript"/>
        </w:rPr>
        <w:t>2</w:t>
      </w:r>
      <w:r w:rsidRPr="00F15AFB">
        <w:t>+5%Mo. Because of the reduced tendency to crack, stiffness increases and stronger compressive stress appears at pellet centre.</w:t>
      </w:r>
      <w:r>
        <w:t xml:space="preserve"> At this stage, the beneficial or negative effect on Pellet Clad Interaction cannot be really evaluated: better conductivity results in lower thermal dilatations but a stiffer pellet may lead to strong contact pressure at gap closure. </w:t>
      </w:r>
    </w:p>
    <w:p w14:paraId="167D0F6E" w14:textId="6CBB6F26" w:rsidR="00C9285E" w:rsidRDefault="00C9285E" w:rsidP="00537496">
      <w:pPr>
        <w:pStyle w:val="Otherunnumberedheadings"/>
      </w:pPr>
      <w:r>
        <w:t>CONCLUSIONS</w:t>
      </w:r>
    </w:p>
    <w:p w14:paraId="055BC634" w14:textId="21993F08" w:rsidR="00C9285E" w:rsidRPr="00C9285E" w:rsidRDefault="00C9285E" w:rsidP="00C9285E">
      <w:pPr>
        <w:pStyle w:val="Corpsdetexte"/>
      </w:pPr>
      <w:r>
        <w:t>This paper presents the first step in the development of a resolution scheme dedicated to CERMET in ALCYONE. Maxwell model was found to be well adapted in modelling the effective radial thermal conductivity of CERMET fuel, even though anisotropy is neglected. The thermal-mechanical behaviour of the CERMET under irradiation was studied</w:t>
      </w:r>
      <w:r w:rsidR="0092572A">
        <w:t>. It showed</w:t>
      </w:r>
      <w:r>
        <w:t xml:space="preserve"> lower centreline temperatures and a lower tendency to crack. </w:t>
      </w:r>
      <w:r w:rsidR="008A23E6">
        <w:t xml:space="preserve">Gap closure is delayed. </w:t>
      </w:r>
      <w:r>
        <w:t xml:space="preserve">Future work will be dedicated to modelling the mechanical behaviour of the metal additive and of the resulting CERMET fuel under irradiation.  </w:t>
      </w:r>
    </w:p>
    <w:p w14:paraId="433FE095" w14:textId="7AC29939" w:rsidR="00285755" w:rsidRPr="0066420C" w:rsidRDefault="00285755" w:rsidP="00537496">
      <w:pPr>
        <w:pStyle w:val="Otherunnumberedheadings"/>
        <w:rPr>
          <w:color w:val="FF0000"/>
          <w:lang w:eastAsia="zh-CN"/>
        </w:rPr>
      </w:pPr>
      <w:r w:rsidRPr="00285755">
        <w:t>ACKNOWLEDGEMENTS</w:t>
      </w:r>
    </w:p>
    <w:p w14:paraId="31383BF1" w14:textId="77777777" w:rsidR="00C9285E" w:rsidRPr="007D3221" w:rsidRDefault="00C9285E" w:rsidP="00C9285E">
      <w:r>
        <w:t xml:space="preserve">This study was founded by the French nuclear tripartite institute I3P CEA-EDF-FRAMATOME. The authors thank Marc </w:t>
      </w:r>
      <w:proofErr w:type="spellStart"/>
      <w:r>
        <w:t>Josien</w:t>
      </w:r>
      <w:proofErr w:type="spellEnd"/>
      <w:r>
        <w:t xml:space="preserve">, Etienne </w:t>
      </w:r>
      <w:proofErr w:type="spellStart"/>
      <w:r>
        <w:t>Castelier</w:t>
      </w:r>
      <w:proofErr w:type="spellEnd"/>
      <w:r>
        <w:t xml:space="preserve"> and Antoine </w:t>
      </w:r>
      <w:proofErr w:type="spellStart"/>
      <w:r>
        <w:t>Boulore</w:t>
      </w:r>
      <w:proofErr w:type="spellEnd"/>
      <w:r>
        <w:t xml:space="preserve"> from CEA for their support and for the fruitful discussions. The authors also thank Sebastien Vimont for his contribution to this work.</w:t>
      </w:r>
    </w:p>
    <w:p w14:paraId="433FE097" w14:textId="77777777" w:rsidR="00D26ADA" w:rsidRPr="00285755" w:rsidRDefault="00D26ADA" w:rsidP="00537496">
      <w:pPr>
        <w:pStyle w:val="Otherunnumberedheadings"/>
      </w:pPr>
      <w:r>
        <w:t>References</w:t>
      </w:r>
    </w:p>
    <w:p w14:paraId="4FE7A366" w14:textId="77777777" w:rsidR="00C745FF" w:rsidRPr="00554882" w:rsidRDefault="009B56F9" w:rsidP="00C745FF">
      <w:pPr>
        <w:pStyle w:val="Bibliographie"/>
        <w:rPr>
          <w:sz w:val="20"/>
        </w:rPr>
      </w:pPr>
      <w:r w:rsidRPr="00554882">
        <w:rPr>
          <w:sz w:val="20"/>
        </w:rPr>
        <w:fldChar w:fldCharType="begin"/>
      </w:r>
      <w:r w:rsidR="00FE5311" w:rsidRPr="00554882">
        <w:rPr>
          <w:sz w:val="20"/>
        </w:rPr>
        <w:instrText xml:space="preserve"> ADDIN ZOTERO_BIBL {"uncited":[],"omitted":[],"custom":[]} CSL_BIBLIOGRAPHY </w:instrText>
      </w:r>
      <w:r w:rsidRPr="00554882">
        <w:rPr>
          <w:sz w:val="20"/>
        </w:rPr>
        <w:fldChar w:fldCharType="separate"/>
      </w:r>
      <w:r w:rsidR="00C745FF" w:rsidRPr="00554882">
        <w:rPr>
          <w:sz w:val="20"/>
        </w:rPr>
        <w:t>[1]</w:t>
      </w:r>
      <w:r w:rsidR="00C745FF" w:rsidRPr="00554882">
        <w:rPr>
          <w:sz w:val="20"/>
        </w:rPr>
        <w:tab/>
        <w:t xml:space="preserve">D.-J. Kim </w:t>
      </w:r>
      <w:r w:rsidR="00C745FF" w:rsidRPr="00554882">
        <w:rPr>
          <w:i/>
          <w:iCs/>
          <w:sz w:val="20"/>
        </w:rPr>
        <w:t>et al.</w:t>
      </w:r>
      <w:r w:rsidR="00C745FF" w:rsidRPr="00554882">
        <w:rPr>
          <w:sz w:val="20"/>
        </w:rPr>
        <w:t xml:space="preserve">, “Fabrication of micro-cell UO2–Mo pellet with enhanced thermal conductivity,” </w:t>
      </w:r>
      <w:r w:rsidR="00C745FF" w:rsidRPr="00554882">
        <w:rPr>
          <w:i/>
          <w:iCs/>
          <w:sz w:val="20"/>
        </w:rPr>
        <w:t>Journal of Nuclear Materials</w:t>
      </w:r>
      <w:r w:rsidR="00C745FF" w:rsidRPr="00554882">
        <w:rPr>
          <w:sz w:val="20"/>
        </w:rPr>
        <w:t>, vol. 462, pp. 289–295, Jul. 2015, doi: 10.1016/j.jnucmat.2015.04.003.</w:t>
      </w:r>
    </w:p>
    <w:p w14:paraId="0474540E" w14:textId="77777777" w:rsidR="00C745FF" w:rsidRPr="00554882" w:rsidRDefault="00C745FF" w:rsidP="00C745FF">
      <w:pPr>
        <w:pStyle w:val="Bibliographie"/>
        <w:rPr>
          <w:sz w:val="20"/>
        </w:rPr>
      </w:pPr>
      <w:r w:rsidRPr="00554882">
        <w:rPr>
          <w:sz w:val="20"/>
        </w:rPr>
        <w:t>[2]</w:t>
      </w:r>
      <w:r w:rsidRPr="00554882">
        <w:rPr>
          <w:sz w:val="20"/>
        </w:rPr>
        <w:tab/>
        <w:t xml:space="preserve">D. S. McLachlan, M. Blaszkiewicz, and R. E. Newnham, “Electrical Resistivity of Composites,” </w:t>
      </w:r>
      <w:r w:rsidRPr="00554882">
        <w:rPr>
          <w:i/>
          <w:iCs/>
          <w:sz w:val="20"/>
        </w:rPr>
        <w:t>Journal of the American Ceramic Society</w:t>
      </w:r>
      <w:r w:rsidRPr="00554882">
        <w:rPr>
          <w:sz w:val="20"/>
        </w:rPr>
        <w:t>, vol. 73, no. 8, pp. 2187–2203, 1990, doi: 10.1111/j.1151-2916.1990.tb07576.x.</w:t>
      </w:r>
    </w:p>
    <w:p w14:paraId="7DC941F2" w14:textId="77777777" w:rsidR="00C745FF" w:rsidRPr="00554882" w:rsidRDefault="00C745FF" w:rsidP="00C745FF">
      <w:pPr>
        <w:pStyle w:val="Bibliographie"/>
        <w:rPr>
          <w:sz w:val="20"/>
        </w:rPr>
      </w:pPr>
      <w:r w:rsidRPr="00554882">
        <w:rPr>
          <w:sz w:val="20"/>
        </w:rPr>
        <w:t>[3]</w:t>
      </w:r>
      <w:r w:rsidRPr="00554882">
        <w:rPr>
          <w:sz w:val="20"/>
        </w:rPr>
        <w:tab/>
        <w:t xml:space="preserve">J. C. Maxwell, </w:t>
      </w:r>
      <w:r w:rsidRPr="00554882">
        <w:rPr>
          <w:i/>
          <w:iCs/>
          <w:sz w:val="20"/>
        </w:rPr>
        <w:t>A treatise on electricity and magnetism</w:t>
      </w:r>
      <w:r w:rsidRPr="00554882">
        <w:rPr>
          <w:sz w:val="20"/>
        </w:rPr>
        <w:t>, vol. 1. in Oxford University Press, no. 3rd Ed, vol. 1. 1904.</w:t>
      </w:r>
    </w:p>
    <w:p w14:paraId="2CF3EF34" w14:textId="77777777" w:rsidR="00C745FF" w:rsidRPr="00554882" w:rsidRDefault="00C745FF" w:rsidP="00C745FF">
      <w:pPr>
        <w:pStyle w:val="Bibliographie"/>
        <w:rPr>
          <w:sz w:val="20"/>
        </w:rPr>
      </w:pPr>
      <w:r w:rsidRPr="00554882">
        <w:rPr>
          <w:sz w:val="20"/>
        </w:rPr>
        <w:t>[4]</w:t>
      </w:r>
      <w:r w:rsidRPr="00554882">
        <w:rPr>
          <w:sz w:val="20"/>
        </w:rPr>
        <w:tab/>
        <w:t xml:space="preserve">J. H. Harding and D. G. Martin, “A recommendation for the thermal conductivity of UO2,” </w:t>
      </w:r>
      <w:r w:rsidRPr="00554882">
        <w:rPr>
          <w:i/>
          <w:iCs/>
          <w:sz w:val="20"/>
        </w:rPr>
        <w:t>Journal of Nuclear Materials</w:t>
      </w:r>
      <w:r w:rsidRPr="00554882">
        <w:rPr>
          <w:sz w:val="20"/>
        </w:rPr>
        <w:t>, vol. 166, no. 3, pp. 223–226, Aug. 1989, doi: 10.1016/0022-3115(89)90218-3.</w:t>
      </w:r>
    </w:p>
    <w:p w14:paraId="252C7555" w14:textId="77777777" w:rsidR="00C745FF" w:rsidRPr="00554882" w:rsidRDefault="00C745FF" w:rsidP="00C745FF">
      <w:pPr>
        <w:pStyle w:val="Bibliographie"/>
        <w:rPr>
          <w:sz w:val="20"/>
        </w:rPr>
      </w:pPr>
      <w:r w:rsidRPr="00554882">
        <w:rPr>
          <w:sz w:val="20"/>
        </w:rPr>
        <w:t>[5]</w:t>
      </w:r>
      <w:r w:rsidRPr="00554882">
        <w:rPr>
          <w:sz w:val="20"/>
        </w:rPr>
        <w:tab/>
        <w:t xml:space="preserve">S. I. Abu-Eishah, “Correlations for the thermal conductivity of metals as a function of temperature,” </w:t>
      </w:r>
      <w:r w:rsidRPr="00554882">
        <w:rPr>
          <w:i/>
          <w:iCs/>
          <w:sz w:val="20"/>
        </w:rPr>
        <w:t>International Journal of Thermophysics</w:t>
      </w:r>
      <w:r w:rsidRPr="00554882">
        <w:rPr>
          <w:sz w:val="20"/>
        </w:rPr>
        <w:t>, vol. 22, no. 6, pp. 1855–1868, 2001, doi: 10.1023/A:1013155404019.</w:t>
      </w:r>
    </w:p>
    <w:p w14:paraId="359E16BF" w14:textId="77777777" w:rsidR="00C745FF" w:rsidRPr="00554882" w:rsidRDefault="00C745FF" w:rsidP="00C745FF">
      <w:pPr>
        <w:pStyle w:val="Bibliographie"/>
        <w:rPr>
          <w:sz w:val="20"/>
        </w:rPr>
      </w:pPr>
      <w:r w:rsidRPr="00554882">
        <w:rPr>
          <w:sz w:val="20"/>
        </w:rPr>
        <w:t>[6]</w:t>
      </w:r>
      <w:r w:rsidRPr="00554882">
        <w:rPr>
          <w:sz w:val="20"/>
        </w:rPr>
        <w:tab/>
        <w:t xml:space="preserve">M. Josien, “Mérope: A microstructure generator for simulation of heterogeneous materials,” </w:t>
      </w:r>
      <w:r w:rsidRPr="00554882">
        <w:rPr>
          <w:i/>
          <w:iCs/>
          <w:sz w:val="20"/>
        </w:rPr>
        <w:t>Journal of Computational Science</w:t>
      </w:r>
      <w:r w:rsidRPr="00554882">
        <w:rPr>
          <w:sz w:val="20"/>
        </w:rPr>
        <w:t>, vol. 81, p. 102359, Sep. 2024, doi: 10.1016/j.jocs.2024.102359.</w:t>
      </w:r>
    </w:p>
    <w:p w14:paraId="0CDB6133" w14:textId="77777777" w:rsidR="00C745FF" w:rsidRPr="00554882" w:rsidRDefault="00C745FF" w:rsidP="00C745FF">
      <w:pPr>
        <w:pStyle w:val="Bibliographie"/>
        <w:rPr>
          <w:sz w:val="20"/>
        </w:rPr>
      </w:pPr>
      <w:r w:rsidRPr="00554882">
        <w:rPr>
          <w:sz w:val="20"/>
        </w:rPr>
        <w:t>[7]</w:t>
      </w:r>
      <w:r w:rsidRPr="00554882">
        <w:rPr>
          <w:sz w:val="20"/>
        </w:rPr>
        <w:tab/>
        <w:t xml:space="preserve">L. Moutin </w:t>
      </w:r>
      <w:r w:rsidRPr="00554882">
        <w:rPr>
          <w:i/>
          <w:iCs/>
          <w:sz w:val="20"/>
        </w:rPr>
        <w:t>et al.</w:t>
      </w:r>
      <w:r w:rsidRPr="00554882">
        <w:rPr>
          <w:sz w:val="20"/>
        </w:rPr>
        <w:t>, “Conductivity of UO2 ceramics: Effect of a weakly to strongly branched pore network up to 500 </w:t>
      </w:r>
      <w:r w:rsidRPr="00554882">
        <w:rPr>
          <w:rFonts w:ascii="Cambria Math" w:hAnsi="Cambria Math" w:cs="Cambria Math"/>
          <w:sz w:val="20"/>
        </w:rPr>
        <w:t>∘</w:t>
      </w:r>
      <w:r w:rsidRPr="00554882">
        <w:rPr>
          <w:sz w:val="20"/>
        </w:rPr>
        <w:t xml:space="preserve">C (exp) and numerical simulations beyond,” </w:t>
      </w:r>
      <w:r w:rsidRPr="00554882">
        <w:rPr>
          <w:i/>
          <w:iCs/>
          <w:sz w:val="20"/>
        </w:rPr>
        <w:t>Journal of Nuclear Materials</w:t>
      </w:r>
      <w:r w:rsidRPr="00554882">
        <w:rPr>
          <w:sz w:val="20"/>
        </w:rPr>
        <w:t>, vol. 599, p. 155246, Oct. 2024, doi: 10.1016/j.jnucmat.2024.155246.</w:t>
      </w:r>
    </w:p>
    <w:p w14:paraId="572CA3C3" w14:textId="77777777" w:rsidR="00C745FF" w:rsidRPr="00554882" w:rsidRDefault="00C745FF" w:rsidP="00C745FF">
      <w:pPr>
        <w:pStyle w:val="Bibliographie"/>
        <w:rPr>
          <w:sz w:val="20"/>
        </w:rPr>
      </w:pPr>
      <w:r w:rsidRPr="00554882">
        <w:rPr>
          <w:sz w:val="20"/>
        </w:rPr>
        <w:t>[8]</w:t>
      </w:r>
      <w:r w:rsidRPr="00554882">
        <w:rPr>
          <w:sz w:val="20"/>
        </w:rPr>
        <w:tab/>
        <w:t xml:space="preserve">J. H. Yang, H. S. Lee, D. S. Kim, D.-J. Kim, J.-H. Yoon, and Y.-H. Koo, “Mixed analytical model to estimate the anisotropic effective thermal conductivity and in-reactor performance of metallic microcell UO2,” </w:t>
      </w:r>
      <w:r w:rsidRPr="00554882">
        <w:rPr>
          <w:i/>
          <w:iCs/>
          <w:sz w:val="20"/>
        </w:rPr>
        <w:t>Journal of Nuclear Materials</w:t>
      </w:r>
      <w:r w:rsidRPr="00554882">
        <w:rPr>
          <w:sz w:val="20"/>
        </w:rPr>
        <w:t>, vol. 585, p. 154655, Nov. 2023, doi: 10.1016/j.jnucmat.2023.154655.</w:t>
      </w:r>
    </w:p>
    <w:p w14:paraId="66935F8E" w14:textId="77777777" w:rsidR="00C745FF" w:rsidRPr="00554882" w:rsidRDefault="00C745FF" w:rsidP="00C745FF">
      <w:pPr>
        <w:pStyle w:val="Bibliographie"/>
        <w:rPr>
          <w:sz w:val="20"/>
        </w:rPr>
      </w:pPr>
      <w:r w:rsidRPr="00554882">
        <w:rPr>
          <w:sz w:val="20"/>
        </w:rPr>
        <w:t>[9]</w:t>
      </w:r>
      <w:r w:rsidRPr="00554882">
        <w:rPr>
          <w:sz w:val="20"/>
        </w:rPr>
        <w:tab/>
        <w:t xml:space="preserve">D.-J. Kim </w:t>
      </w:r>
      <w:r w:rsidRPr="00554882">
        <w:rPr>
          <w:i/>
          <w:iCs/>
          <w:sz w:val="20"/>
        </w:rPr>
        <w:t>et al.</w:t>
      </w:r>
      <w:r w:rsidRPr="00554882">
        <w:rPr>
          <w:sz w:val="20"/>
        </w:rPr>
        <w:t xml:space="preserve">, “Development status of microcell UO2 pellet for accident-tolerant fuel,” </w:t>
      </w:r>
      <w:r w:rsidRPr="00554882">
        <w:rPr>
          <w:i/>
          <w:iCs/>
          <w:sz w:val="20"/>
        </w:rPr>
        <w:t>Nuclear Engineering and Technology</w:t>
      </w:r>
      <w:r w:rsidRPr="00554882">
        <w:rPr>
          <w:sz w:val="20"/>
        </w:rPr>
        <w:t>, vol. 50, no. 2, pp. 253–258, Mar. 2018, doi: 10.1016/j.net.2017.12.008.</w:t>
      </w:r>
    </w:p>
    <w:p w14:paraId="3EC5C41F" w14:textId="77777777" w:rsidR="00C745FF" w:rsidRPr="00554882" w:rsidRDefault="00C745FF" w:rsidP="00C745FF">
      <w:pPr>
        <w:pStyle w:val="Bibliographie"/>
        <w:rPr>
          <w:sz w:val="20"/>
        </w:rPr>
      </w:pPr>
      <w:r w:rsidRPr="00554882">
        <w:rPr>
          <w:sz w:val="20"/>
        </w:rPr>
        <w:t>[10]</w:t>
      </w:r>
      <w:r w:rsidRPr="00554882">
        <w:rPr>
          <w:sz w:val="20"/>
        </w:rPr>
        <w:tab/>
        <w:t xml:space="preserve">C. Introïni and et al., “ALCYONE: the fuel performance code of the PLEIADES platform dedicated to PWR fuel rods behavior,” </w:t>
      </w:r>
      <w:r w:rsidRPr="00554882">
        <w:rPr>
          <w:i/>
          <w:iCs/>
          <w:sz w:val="20"/>
        </w:rPr>
        <w:t>Annals of Nuclear Energy</w:t>
      </w:r>
      <w:r w:rsidRPr="00554882">
        <w:rPr>
          <w:sz w:val="20"/>
        </w:rPr>
        <w:t>, vol. 207, p. 110711, Nov. 2024, doi: 10.1016/j.anucene.2024.110711.</w:t>
      </w:r>
    </w:p>
    <w:p w14:paraId="4401A491" w14:textId="77777777" w:rsidR="00C745FF" w:rsidRPr="00554882" w:rsidRDefault="00C745FF" w:rsidP="00C745FF">
      <w:pPr>
        <w:pStyle w:val="Bibliographie"/>
        <w:rPr>
          <w:sz w:val="20"/>
        </w:rPr>
      </w:pPr>
      <w:r w:rsidRPr="00554882">
        <w:rPr>
          <w:sz w:val="20"/>
        </w:rPr>
        <w:t>[11]</w:t>
      </w:r>
      <w:r w:rsidRPr="00554882">
        <w:rPr>
          <w:sz w:val="20"/>
        </w:rPr>
        <w:tab/>
        <w:t xml:space="preserve">I. Arimescu and J. Karlsson, “Towards understanding beneficial effects of slow power ramps,” </w:t>
      </w:r>
      <w:r w:rsidRPr="00554882">
        <w:rPr>
          <w:i/>
          <w:iCs/>
          <w:sz w:val="20"/>
        </w:rPr>
        <w:t>Journal of Nuclear Science and Technology</w:t>
      </w:r>
      <w:r w:rsidRPr="00554882">
        <w:rPr>
          <w:sz w:val="20"/>
        </w:rPr>
        <w:t>, vol. 52, no. 10, pp. 1274–1280, Oct. 2015, doi: 10.1080/00223131.2015.1023382.</w:t>
      </w:r>
    </w:p>
    <w:p w14:paraId="433FE0B6" w14:textId="6BDF4399" w:rsidR="00F45EEE" w:rsidRPr="00554882" w:rsidRDefault="00C745FF" w:rsidP="00554882">
      <w:pPr>
        <w:pStyle w:val="Bibliographie"/>
        <w:rPr>
          <w:sz w:val="20"/>
        </w:rPr>
      </w:pPr>
      <w:r w:rsidRPr="00554882">
        <w:rPr>
          <w:sz w:val="20"/>
        </w:rPr>
        <w:t>[12]</w:t>
      </w:r>
      <w:r w:rsidRPr="00554882">
        <w:rPr>
          <w:sz w:val="20"/>
        </w:rPr>
        <w:tab/>
        <w:t xml:space="preserve">V. D’Ambrosi </w:t>
      </w:r>
      <w:r w:rsidRPr="00554882">
        <w:rPr>
          <w:i/>
          <w:iCs/>
          <w:sz w:val="20"/>
        </w:rPr>
        <w:t>et al.</w:t>
      </w:r>
      <w:r w:rsidRPr="00554882">
        <w:rPr>
          <w:sz w:val="20"/>
        </w:rPr>
        <w:t xml:space="preserve">, “Presentation of the xM3 Test Case of the P2M Simulation Exercise and Modeling with the Fuel Performance Code ALCYONE,” </w:t>
      </w:r>
      <w:r w:rsidRPr="00554882">
        <w:rPr>
          <w:i/>
          <w:iCs/>
          <w:sz w:val="20"/>
        </w:rPr>
        <w:t>Nuclear Technology</w:t>
      </w:r>
      <w:r w:rsidRPr="00554882">
        <w:rPr>
          <w:sz w:val="20"/>
        </w:rPr>
        <w:t>, vol. 210, no. 2, pp. 285–307, 2024, doi: 10.1080/00295450.2023.2253660.</w:t>
      </w:r>
      <w:r w:rsidR="009B56F9" w:rsidRPr="00554882">
        <w:rPr>
          <w:sz w:val="20"/>
        </w:rPr>
        <w:fldChar w:fldCharType="end"/>
      </w:r>
    </w:p>
    <w:sectPr w:rsidR="00F45EEE" w:rsidRPr="00554882" w:rsidSect="00E379A5">
      <w:footerReference w:type="first" r:id="rId20"/>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9066" w14:textId="77777777" w:rsidR="00B71412" w:rsidRDefault="00B71412">
      <w:r>
        <w:separator/>
      </w:r>
    </w:p>
  </w:endnote>
  <w:endnote w:type="continuationSeparator" w:id="0">
    <w:p w14:paraId="49274EBB" w14:textId="77777777" w:rsidR="00B71412" w:rsidRDefault="00B71412">
      <w:r>
        <w:continuationSeparator/>
      </w:r>
    </w:p>
  </w:endnote>
  <w:endnote w:type="continuationNotice" w:id="1">
    <w:p w14:paraId="30536152" w14:textId="77777777" w:rsidR="00B71412" w:rsidRDefault="00B71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9167" w14:textId="77777777" w:rsidR="00E379A5" w:rsidRDefault="00E379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D578" w14:textId="77777777" w:rsidR="00B71412" w:rsidRDefault="00B71412">
      <w:r>
        <w:t>___________________________________________________________________________</w:t>
      </w:r>
    </w:p>
  </w:footnote>
  <w:footnote w:type="continuationSeparator" w:id="0">
    <w:p w14:paraId="564BEB8C" w14:textId="77777777" w:rsidR="00B71412" w:rsidRDefault="00B71412">
      <w:r>
        <w:t>___________________________________________________________________________</w:t>
      </w:r>
    </w:p>
  </w:footnote>
  <w:footnote w:type="continuationNotice" w:id="1">
    <w:p w14:paraId="1DD0998A" w14:textId="77777777" w:rsidR="00B71412" w:rsidRDefault="00B71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0D43A47"/>
    <w:multiLevelType w:val="hybridMultilevel"/>
    <w:tmpl w:val="812E4BE4"/>
    <w:lvl w:ilvl="0" w:tplc="EC72790C">
      <w:start w:val="1"/>
      <w:numFmt w:val="decimal"/>
      <w:pStyle w:val="Titre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Titre2"/>
      <w:suff w:val="space"/>
      <w:lvlText w:val="%1%2."/>
      <w:lvlJc w:val="left"/>
      <w:pPr>
        <w:ind w:left="0" w:firstLine="0"/>
      </w:pPr>
      <w:rPr>
        <w:rFonts w:hint="default"/>
        <w:color w:val="auto"/>
      </w:rPr>
    </w:lvl>
    <w:lvl w:ilvl="2">
      <w:start w:val="1"/>
      <w:numFmt w:val="decimal"/>
      <w:lvlRestart w:val="0"/>
      <w:pStyle w:val="Titre3"/>
      <w:lvlText w:val="%1%2.%3."/>
      <w:lvlJc w:val="left"/>
      <w:pPr>
        <w:ind w:left="0" w:firstLine="0"/>
      </w:pPr>
      <w:rPr>
        <w:rFonts w:hint="default"/>
      </w:rPr>
    </w:lvl>
    <w:lvl w:ilvl="3">
      <w:start w:val="1"/>
      <w:numFmt w:val="decimal"/>
      <w:lvlRestart w:val="0"/>
      <w:pStyle w:val="Titre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5"/>
  </w:num>
  <w:num w:numId="3">
    <w:abstractNumId w:val="11"/>
  </w:num>
  <w:num w:numId="4">
    <w:abstractNumId w:val="11"/>
  </w:num>
  <w:num w:numId="5">
    <w:abstractNumId w:val="11"/>
  </w:num>
  <w:num w:numId="6">
    <w:abstractNumId w:val="6"/>
  </w:num>
  <w:num w:numId="7">
    <w:abstractNumId w:val="9"/>
  </w:num>
  <w:num w:numId="8">
    <w:abstractNumId w:val="12"/>
  </w:num>
  <w:num w:numId="9">
    <w:abstractNumId w:val="1"/>
  </w:num>
  <w:num w:numId="10">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itre2"/>
        <w:lvlText w:val="%1%2."/>
        <w:lvlJc w:val="left"/>
        <w:pPr>
          <w:ind w:left="0" w:firstLine="0"/>
        </w:pPr>
        <w:rPr>
          <w:rFonts w:hint="default"/>
          <w:color w:val="auto"/>
        </w:rPr>
      </w:lvl>
    </w:lvlOverride>
    <w:lvlOverride w:ilvl="2">
      <w:lvl w:ilvl="2">
        <w:start w:val="1"/>
        <w:numFmt w:val="decimal"/>
        <w:lvlRestart w:val="0"/>
        <w:pStyle w:val="Titre3"/>
        <w:lvlText w:val="%1%2.%3."/>
        <w:lvlJc w:val="left"/>
        <w:pPr>
          <w:ind w:left="0" w:firstLine="0"/>
        </w:pPr>
        <w:rPr>
          <w:rFonts w:hint="default"/>
        </w:rPr>
      </w:lvl>
    </w:lvlOverride>
    <w:lvlOverride w:ilvl="3">
      <w:lvl w:ilvl="3">
        <w:start w:val="1"/>
        <w:numFmt w:val="none"/>
        <w:lvlRestart w:val="0"/>
        <w:pStyle w:val="Titre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1"/>
  </w:num>
  <w:num w:numId="12">
    <w:abstractNumId w:val="11"/>
  </w:num>
  <w:num w:numId="13">
    <w:abstractNumId w:val="11"/>
  </w:num>
  <w:num w:numId="14">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Titre2"/>
        <w:suff w:val="space"/>
        <w:lvlText w:val="%1%2."/>
        <w:lvlJc w:val="left"/>
        <w:pPr>
          <w:ind w:left="0" w:firstLine="0"/>
        </w:pPr>
        <w:rPr>
          <w:rFonts w:hint="default"/>
          <w:color w:val="auto"/>
        </w:rPr>
      </w:lvl>
    </w:lvlOverride>
    <w:lvlOverride w:ilvl="2">
      <w:lvl w:ilvl="2">
        <w:start w:val="1"/>
        <w:numFmt w:val="decimal"/>
        <w:lvlRestart w:val="0"/>
        <w:pStyle w:val="Titre3"/>
        <w:suff w:val="space"/>
        <w:lvlText w:val="%1%2.%3."/>
        <w:lvlJc w:val="left"/>
        <w:pPr>
          <w:ind w:left="0" w:firstLine="0"/>
        </w:pPr>
        <w:rPr>
          <w:rFonts w:hint="default"/>
        </w:rPr>
      </w:lvl>
    </w:lvlOverride>
    <w:lvlOverride w:ilvl="3">
      <w:lvl w:ilvl="3">
        <w:start w:val="1"/>
        <w:numFmt w:val="decimal"/>
        <w:lvlRestart w:val="0"/>
        <w:pStyle w:val="Titre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1"/>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num>
  <w:num w:numId="21">
    <w:abstractNumId w:val="11"/>
  </w:num>
  <w:num w:numId="22">
    <w:abstractNumId w:val="4"/>
  </w:num>
  <w:num w:numId="23">
    <w:abstractNumId w:val="0"/>
  </w:num>
  <w:num w:numId="24">
    <w:abstractNumId w:val="10"/>
  </w:num>
  <w:num w:numId="25">
    <w:abstractNumId w:val="11"/>
  </w:num>
  <w:num w:numId="26">
    <w:abstractNumId w:val="11"/>
  </w:num>
  <w:num w:numId="27">
    <w:abstractNumId w:val="11"/>
  </w:num>
  <w:num w:numId="28">
    <w:abstractNumId w:val="11"/>
  </w:num>
  <w:num w:numId="29">
    <w:abstractNumId w:val="11"/>
  </w:num>
  <w:num w:numId="30">
    <w:abstractNumId w:val="7"/>
  </w:num>
  <w:num w:numId="31">
    <w:abstractNumId w:val="7"/>
  </w:num>
  <w:num w:numId="32">
    <w:abstractNumId w:val="11"/>
  </w:num>
  <w:num w:numId="33">
    <w:abstractNumId w:val="11"/>
  </w:num>
  <w:num w:numId="34">
    <w:abstractNumId w:val="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13E69"/>
    <w:rsid w:val="000158DA"/>
    <w:rsid w:val="00017748"/>
    <w:rsid w:val="000229AB"/>
    <w:rsid w:val="0002569A"/>
    <w:rsid w:val="00032220"/>
    <w:rsid w:val="00037321"/>
    <w:rsid w:val="00044C72"/>
    <w:rsid w:val="00091DEB"/>
    <w:rsid w:val="00093A64"/>
    <w:rsid w:val="000A0299"/>
    <w:rsid w:val="000A2990"/>
    <w:rsid w:val="000C42E4"/>
    <w:rsid w:val="000C4332"/>
    <w:rsid w:val="000D2152"/>
    <w:rsid w:val="000F37B3"/>
    <w:rsid w:val="000F7E94"/>
    <w:rsid w:val="001119D6"/>
    <w:rsid w:val="001145E0"/>
    <w:rsid w:val="00123FBB"/>
    <w:rsid w:val="0012715A"/>
    <w:rsid w:val="0013032C"/>
    <w:rsid w:val="001308F2"/>
    <w:rsid w:val="001313E8"/>
    <w:rsid w:val="00134186"/>
    <w:rsid w:val="001446AB"/>
    <w:rsid w:val="00151D3B"/>
    <w:rsid w:val="00175EE8"/>
    <w:rsid w:val="00183BC4"/>
    <w:rsid w:val="001A0259"/>
    <w:rsid w:val="001B2DB1"/>
    <w:rsid w:val="001C58F5"/>
    <w:rsid w:val="001D1106"/>
    <w:rsid w:val="001D5CEE"/>
    <w:rsid w:val="001E5D95"/>
    <w:rsid w:val="001F4FF6"/>
    <w:rsid w:val="002071D9"/>
    <w:rsid w:val="0021040F"/>
    <w:rsid w:val="00216368"/>
    <w:rsid w:val="0022083B"/>
    <w:rsid w:val="0023450F"/>
    <w:rsid w:val="0023466D"/>
    <w:rsid w:val="00252636"/>
    <w:rsid w:val="00256822"/>
    <w:rsid w:val="00257688"/>
    <w:rsid w:val="0026525A"/>
    <w:rsid w:val="00265C8E"/>
    <w:rsid w:val="002705BC"/>
    <w:rsid w:val="00274790"/>
    <w:rsid w:val="00285755"/>
    <w:rsid w:val="002A1A04"/>
    <w:rsid w:val="002A1F9C"/>
    <w:rsid w:val="002A7340"/>
    <w:rsid w:val="002B29C2"/>
    <w:rsid w:val="002C0317"/>
    <w:rsid w:val="002C29DB"/>
    <w:rsid w:val="002C37F1"/>
    <w:rsid w:val="002C3BAA"/>
    <w:rsid w:val="002C4208"/>
    <w:rsid w:val="002E012D"/>
    <w:rsid w:val="002E69A7"/>
    <w:rsid w:val="002F4E23"/>
    <w:rsid w:val="0032528F"/>
    <w:rsid w:val="00332B9D"/>
    <w:rsid w:val="003352AC"/>
    <w:rsid w:val="00352AF7"/>
    <w:rsid w:val="00352DE1"/>
    <w:rsid w:val="003574DC"/>
    <w:rsid w:val="00365BC7"/>
    <w:rsid w:val="0036676C"/>
    <w:rsid w:val="003728E6"/>
    <w:rsid w:val="00382E20"/>
    <w:rsid w:val="00396583"/>
    <w:rsid w:val="003A3492"/>
    <w:rsid w:val="003B5E0E"/>
    <w:rsid w:val="003C2D5B"/>
    <w:rsid w:val="003D255A"/>
    <w:rsid w:val="003E1FBD"/>
    <w:rsid w:val="003E28C8"/>
    <w:rsid w:val="003E7A48"/>
    <w:rsid w:val="003F21FF"/>
    <w:rsid w:val="003F7ACA"/>
    <w:rsid w:val="004045AC"/>
    <w:rsid w:val="00404A1A"/>
    <w:rsid w:val="00412F62"/>
    <w:rsid w:val="004140C9"/>
    <w:rsid w:val="00416949"/>
    <w:rsid w:val="0042678E"/>
    <w:rsid w:val="00426BA7"/>
    <w:rsid w:val="0042730E"/>
    <w:rsid w:val="00435903"/>
    <w:rsid w:val="004370D8"/>
    <w:rsid w:val="0044058F"/>
    <w:rsid w:val="00450E15"/>
    <w:rsid w:val="00472C43"/>
    <w:rsid w:val="00484FD9"/>
    <w:rsid w:val="004863D2"/>
    <w:rsid w:val="004B2960"/>
    <w:rsid w:val="004B35B7"/>
    <w:rsid w:val="004B5A60"/>
    <w:rsid w:val="004B600D"/>
    <w:rsid w:val="004C5DA1"/>
    <w:rsid w:val="004E3CC2"/>
    <w:rsid w:val="00503DF0"/>
    <w:rsid w:val="00511659"/>
    <w:rsid w:val="005139AA"/>
    <w:rsid w:val="005268A1"/>
    <w:rsid w:val="005274B0"/>
    <w:rsid w:val="005337B4"/>
    <w:rsid w:val="00533DFE"/>
    <w:rsid w:val="00537496"/>
    <w:rsid w:val="0054038B"/>
    <w:rsid w:val="00544ED3"/>
    <w:rsid w:val="005513CB"/>
    <w:rsid w:val="00554882"/>
    <w:rsid w:val="00563A56"/>
    <w:rsid w:val="00572E0B"/>
    <w:rsid w:val="00582058"/>
    <w:rsid w:val="0058477B"/>
    <w:rsid w:val="0058654F"/>
    <w:rsid w:val="00596ACA"/>
    <w:rsid w:val="005A612D"/>
    <w:rsid w:val="005B57FC"/>
    <w:rsid w:val="005E39BC"/>
    <w:rsid w:val="005E5D15"/>
    <w:rsid w:val="005F00A0"/>
    <w:rsid w:val="005F6667"/>
    <w:rsid w:val="005F7124"/>
    <w:rsid w:val="006100A7"/>
    <w:rsid w:val="006114BE"/>
    <w:rsid w:val="00612278"/>
    <w:rsid w:val="00617335"/>
    <w:rsid w:val="00621C31"/>
    <w:rsid w:val="00630614"/>
    <w:rsid w:val="00630C4A"/>
    <w:rsid w:val="00630EA1"/>
    <w:rsid w:val="00634601"/>
    <w:rsid w:val="00647F33"/>
    <w:rsid w:val="00653E1B"/>
    <w:rsid w:val="00662532"/>
    <w:rsid w:val="0066420C"/>
    <w:rsid w:val="00665C61"/>
    <w:rsid w:val="0066655B"/>
    <w:rsid w:val="006904BE"/>
    <w:rsid w:val="006A35E8"/>
    <w:rsid w:val="006B2274"/>
    <w:rsid w:val="006B3844"/>
    <w:rsid w:val="006D0CDB"/>
    <w:rsid w:val="006D2BF2"/>
    <w:rsid w:val="006E2E8B"/>
    <w:rsid w:val="006E5F2D"/>
    <w:rsid w:val="00711893"/>
    <w:rsid w:val="00712E17"/>
    <w:rsid w:val="00713095"/>
    <w:rsid w:val="00716654"/>
    <w:rsid w:val="00717C6F"/>
    <w:rsid w:val="00725E3B"/>
    <w:rsid w:val="007263AE"/>
    <w:rsid w:val="00726D85"/>
    <w:rsid w:val="00733153"/>
    <w:rsid w:val="00743982"/>
    <w:rsid w:val="007445DA"/>
    <w:rsid w:val="00753D8D"/>
    <w:rsid w:val="00755AD4"/>
    <w:rsid w:val="00755DE1"/>
    <w:rsid w:val="0076422C"/>
    <w:rsid w:val="007739DD"/>
    <w:rsid w:val="007919EE"/>
    <w:rsid w:val="007A2556"/>
    <w:rsid w:val="007B4FD1"/>
    <w:rsid w:val="007B6350"/>
    <w:rsid w:val="007C75FA"/>
    <w:rsid w:val="007D4CD7"/>
    <w:rsid w:val="007E79CD"/>
    <w:rsid w:val="007F2D28"/>
    <w:rsid w:val="00802381"/>
    <w:rsid w:val="008163B9"/>
    <w:rsid w:val="00820FAF"/>
    <w:rsid w:val="0083096A"/>
    <w:rsid w:val="0083137C"/>
    <w:rsid w:val="008343D1"/>
    <w:rsid w:val="00855B67"/>
    <w:rsid w:val="00864CEC"/>
    <w:rsid w:val="0086759F"/>
    <w:rsid w:val="008707EE"/>
    <w:rsid w:val="00871F40"/>
    <w:rsid w:val="00883848"/>
    <w:rsid w:val="00895560"/>
    <w:rsid w:val="00897ED5"/>
    <w:rsid w:val="008A23E6"/>
    <w:rsid w:val="008B55BF"/>
    <w:rsid w:val="008B6BB9"/>
    <w:rsid w:val="008D66C6"/>
    <w:rsid w:val="008E4F2D"/>
    <w:rsid w:val="008F4120"/>
    <w:rsid w:val="008F474A"/>
    <w:rsid w:val="008F684E"/>
    <w:rsid w:val="009109FA"/>
    <w:rsid w:val="0091152D"/>
    <w:rsid w:val="00911543"/>
    <w:rsid w:val="009239C7"/>
    <w:rsid w:val="00924A83"/>
    <w:rsid w:val="0092572A"/>
    <w:rsid w:val="009471D8"/>
    <w:rsid w:val="009519C9"/>
    <w:rsid w:val="0095504E"/>
    <w:rsid w:val="00956F32"/>
    <w:rsid w:val="0096361A"/>
    <w:rsid w:val="0096379C"/>
    <w:rsid w:val="0097242A"/>
    <w:rsid w:val="009824F6"/>
    <w:rsid w:val="00996D55"/>
    <w:rsid w:val="009B56F9"/>
    <w:rsid w:val="009D0B86"/>
    <w:rsid w:val="009D3721"/>
    <w:rsid w:val="009D7CC0"/>
    <w:rsid w:val="009E0D5B"/>
    <w:rsid w:val="009E1558"/>
    <w:rsid w:val="009E7847"/>
    <w:rsid w:val="009F1A9A"/>
    <w:rsid w:val="00A07B8C"/>
    <w:rsid w:val="00A102F7"/>
    <w:rsid w:val="00A22718"/>
    <w:rsid w:val="00A233D1"/>
    <w:rsid w:val="00A35964"/>
    <w:rsid w:val="00A371E3"/>
    <w:rsid w:val="00A41424"/>
    <w:rsid w:val="00A42898"/>
    <w:rsid w:val="00A45E2C"/>
    <w:rsid w:val="00A57919"/>
    <w:rsid w:val="00A60439"/>
    <w:rsid w:val="00A6176A"/>
    <w:rsid w:val="00A733CB"/>
    <w:rsid w:val="00A77686"/>
    <w:rsid w:val="00A80359"/>
    <w:rsid w:val="00A87D4A"/>
    <w:rsid w:val="00AB6ACE"/>
    <w:rsid w:val="00AC4171"/>
    <w:rsid w:val="00AC5A3A"/>
    <w:rsid w:val="00AE166E"/>
    <w:rsid w:val="00AE3D73"/>
    <w:rsid w:val="00AE48C4"/>
    <w:rsid w:val="00B05185"/>
    <w:rsid w:val="00B15EAC"/>
    <w:rsid w:val="00B24F8A"/>
    <w:rsid w:val="00B42408"/>
    <w:rsid w:val="00B55276"/>
    <w:rsid w:val="00B604BE"/>
    <w:rsid w:val="00B61F02"/>
    <w:rsid w:val="00B71412"/>
    <w:rsid w:val="00B72C51"/>
    <w:rsid w:val="00B82FA5"/>
    <w:rsid w:val="00B922A2"/>
    <w:rsid w:val="00B94309"/>
    <w:rsid w:val="00BB1C4F"/>
    <w:rsid w:val="00BC6BAA"/>
    <w:rsid w:val="00BD1400"/>
    <w:rsid w:val="00BD605C"/>
    <w:rsid w:val="00BE2A76"/>
    <w:rsid w:val="00BE2EC3"/>
    <w:rsid w:val="00BE777C"/>
    <w:rsid w:val="00BF1901"/>
    <w:rsid w:val="00C31F15"/>
    <w:rsid w:val="00C324D9"/>
    <w:rsid w:val="00C55A35"/>
    <w:rsid w:val="00C61901"/>
    <w:rsid w:val="00C65E60"/>
    <w:rsid w:val="00C66324"/>
    <w:rsid w:val="00C709A0"/>
    <w:rsid w:val="00C745FF"/>
    <w:rsid w:val="00C80EFC"/>
    <w:rsid w:val="00C8527C"/>
    <w:rsid w:val="00C9285E"/>
    <w:rsid w:val="00C94D5D"/>
    <w:rsid w:val="00CA0102"/>
    <w:rsid w:val="00CA7591"/>
    <w:rsid w:val="00CC0942"/>
    <w:rsid w:val="00CE5A52"/>
    <w:rsid w:val="00CF7AF3"/>
    <w:rsid w:val="00D04D6A"/>
    <w:rsid w:val="00D26ADA"/>
    <w:rsid w:val="00D35A78"/>
    <w:rsid w:val="00D555A1"/>
    <w:rsid w:val="00D62E8E"/>
    <w:rsid w:val="00D64DC2"/>
    <w:rsid w:val="00D760FE"/>
    <w:rsid w:val="00D97C9D"/>
    <w:rsid w:val="00DA46CA"/>
    <w:rsid w:val="00DA4E1E"/>
    <w:rsid w:val="00DD6B09"/>
    <w:rsid w:val="00DE297E"/>
    <w:rsid w:val="00DF21EB"/>
    <w:rsid w:val="00E03BF3"/>
    <w:rsid w:val="00E20E70"/>
    <w:rsid w:val="00E22CEA"/>
    <w:rsid w:val="00E24D6A"/>
    <w:rsid w:val="00E25B68"/>
    <w:rsid w:val="00E379A5"/>
    <w:rsid w:val="00E65835"/>
    <w:rsid w:val="00E66C09"/>
    <w:rsid w:val="00E84003"/>
    <w:rsid w:val="00E9339D"/>
    <w:rsid w:val="00EA5785"/>
    <w:rsid w:val="00EC10FC"/>
    <w:rsid w:val="00ED01EC"/>
    <w:rsid w:val="00ED0A99"/>
    <w:rsid w:val="00ED3C90"/>
    <w:rsid w:val="00ED6912"/>
    <w:rsid w:val="00EE0041"/>
    <w:rsid w:val="00EE29B9"/>
    <w:rsid w:val="00EE6821"/>
    <w:rsid w:val="00F00080"/>
    <w:rsid w:val="00F004EE"/>
    <w:rsid w:val="00F15AFB"/>
    <w:rsid w:val="00F31005"/>
    <w:rsid w:val="00F36C0D"/>
    <w:rsid w:val="00F42E23"/>
    <w:rsid w:val="00F441EC"/>
    <w:rsid w:val="00F45EEE"/>
    <w:rsid w:val="00F50D72"/>
    <w:rsid w:val="00F51E9C"/>
    <w:rsid w:val="00F523CA"/>
    <w:rsid w:val="00F653BB"/>
    <w:rsid w:val="00F73892"/>
    <w:rsid w:val="00F74A9D"/>
    <w:rsid w:val="00F96F17"/>
    <w:rsid w:val="00FC792E"/>
    <w:rsid w:val="00FD7514"/>
    <w:rsid w:val="00FE4219"/>
    <w:rsid w:val="00FE5311"/>
    <w:rsid w:val="00FE75A2"/>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4"/>
    <w:lsdException w:name="heading 3" w:locked="0" w:uiPriority="4"/>
    <w:lsdException w:name="heading 4" w:locked="0" w:uiPriority="0"/>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Titre1">
    <w:name w:val="heading 1"/>
    <w:aliases w:val="Headin"/>
    <w:link w:val="Titre1Car"/>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Titre2">
    <w:name w:val="heading 2"/>
    <w:aliases w:val="1st Level Heading"/>
    <w:next w:val="Corpsdetexte"/>
    <w:uiPriority w:val="4"/>
    <w:rsid w:val="00EE0041"/>
    <w:pPr>
      <w:widowControl w:val="0"/>
      <w:numPr>
        <w:ilvl w:val="1"/>
        <w:numId w:val="12"/>
      </w:numPr>
      <w:spacing w:before="100" w:beforeAutospacing="1" w:after="100" w:afterAutospacing="1" w:line="280" w:lineRule="atLeast"/>
      <w:outlineLvl w:val="1"/>
    </w:pPr>
    <w:rPr>
      <w:caps/>
      <w:lang w:eastAsia="en-US"/>
    </w:rPr>
  </w:style>
  <w:style w:type="paragraph" w:styleId="Titre3">
    <w:name w:val="heading 3"/>
    <w:aliases w:val="Heading"/>
    <w:next w:val="Corpsdetexte"/>
    <w:link w:val="Titre3Car"/>
    <w:uiPriority w:val="4"/>
    <w:rsid w:val="00897ED5"/>
    <w:pPr>
      <w:widowControl w:val="0"/>
      <w:numPr>
        <w:ilvl w:val="2"/>
        <w:numId w:val="12"/>
      </w:numPr>
      <w:spacing w:before="240" w:after="240" w:line="240" w:lineRule="exact"/>
      <w:outlineLvl w:val="2"/>
    </w:pPr>
    <w:rPr>
      <w:b/>
      <w:lang w:eastAsia="en-US"/>
    </w:rPr>
  </w:style>
  <w:style w:type="paragraph" w:styleId="Titre4">
    <w:name w:val="heading 4"/>
    <w:aliases w:val="3rd level paper heading"/>
    <w:basedOn w:val="Normal"/>
    <w:next w:val="Corpsdetexte"/>
    <w:link w:val="Titre4Car"/>
    <w:uiPriority w:val="4"/>
    <w:rsid w:val="00897ED5"/>
    <w:pPr>
      <w:widowControl w:val="0"/>
      <w:numPr>
        <w:ilvl w:val="3"/>
        <w:numId w:val="12"/>
      </w:numPr>
      <w:spacing w:before="100" w:beforeAutospacing="1" w:after="100" w:afterAutospacing="1" w:line="240" w:lineRule="atLeast"/>
      <w:outlineLvl w:val="3"/>
    </w:pPr>
    <w:rPr>
      <w:i/>
      <w:sz w:val="20"/>
      <w:lang w:val="en-US"/>
    </w:rPr>
  </w:style>
  <w:style w:type="paragraph" w:styleId="Titre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Titre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Titre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Titre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Titre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link w:val="CorpsdetexteCar"/>
    <w:qFormat/>
    <w:rsid w:val="005268A1"/>
    <w:pPr>
      <w:spacing w:after="120" w:line="260" w:lineRule="atLeast"/>
      <w:jc w:val="both"/>
    </w:pPr>
    <w:rPr>
      <w:sz w:val="22"/>
      <w:lang w:eastAsia="en-US"/>
    </w:rPr>
  </w:style>
  <w:style w:type="paragraph" w:styleId="Retraitcorpsdetexte">
    <w:name w:val="Body Text Indent"/>
    <w:basedOn w:val="Corpsdetexte"/>
    <w:uiPriority w:val="49"/>
    <w:locked/>
    <w:pPr>
      <w:ind w:left="1134" w:hanging="675"/>
    </w:pPr>
  </w:style>
  <w:style w:type="paragraph" w:customStyle="1" w:styleId="BodyTextMultiline">
    <w:name w:val="Body Text Multiline"/>
    <w:basedOn w:val="Corpsdetexte"/>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Lgende">
    <w:name w:val="caption"/>
    <w:next w:val="Normal"/>
    <w:uiPriority w:val="49"/>
    <w:pPr>
      <w:spacing w:after="85"/>
    </w:pPr>
    <w:rPr>
      <w:bCs/>
      <w:sz w:val="18"/>
      <w:lang w:val="en-US" w:eastAsia="en-US"/>
    </w:rPr>
  </w:style>
  <w:style w:type="paragraph" w:styleId="Pieddepage">
    <w:name w:val="footer"/>
    <w:basedOn w:val="Normal"/>
    <w:link w:val="PieddepageCar"/>
    <w:uiPriority w:val="99"/>
    <w:locked/>
    <w:pPr>
      <w:overflowPunct/>
      <w:autoSpaceDE/>
      <w:autoSpaceDN/>
      <w:adjustRightInd/>
      <w:textAlignment w:val="auto"/>
    </w:pPr>
    <w:rPr>
      <w:sz w:val="2"/>
      <w:lang w:val="en-US"/>
    </w:rPr>
  </w:style>
  <w:style w:type="paragraph" w:styleId="Notedebasdepage">
    <w:name w:val="footnote text"/>
    <w:semiHidden/>
    <w:locked/>
    <w:pPr>
      <w:tabs>
        <w:tab w:val="left" w:pos="459"/>
      </w:tabs>
      <w:spacing w:before="142"/>
      <w:ind w:left="459"/>
      <w:jc w:val="both"/>
    </w:pPr>
    <w:rPr>
      <w:sz w:val="18"/>
      <w:lang w:eastAsia="en-US"/>
    </w:rPr>
  </w:style>
  <w:style w:type="paragraph" w:styleId="En-tte">
    <w:name w:val="header"/>
    <w:next w:val="Corpsdetexte"/>
    <w:link w:val="En-tteCar"/>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Corpsdetexte"/>
    <w:uiPriority w:val="6"/>
    <w:qFormat/>
    <w:rsid w:val="00717C6F"/>
    <w:pPr>
      <w:numPr>
        <w:numId w:val="20"/>
      </w:numPr>
      <w:ind w:left="709"/>
    </w:pPr>
  </w:style>
  <w:style w:type="paragraph" w:customStyle="1" w:styleId="ListNumbered">
    <w:name w:val="List Numbered"/>
    <w:basedOn w:val="Corpsdetexte"/>
    <w:uiPriority w:val="5"/>
    <w:qFormat/>
    <w:locked/>
    <w:rsid w:val="00717C6F"/>
    <w:pPr>
      <w:numPr>
        <w:numId w:val="22"/>
      </w:numPr>
    </w:pPr>
  </w:style>
  <w:style w:type="paragraph" w:styleId="Titre">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Appelnotedebasdep">
    <w:name w:val="footnote reference"/>
    <w:basedOn w:val="Policepardfaut"/>
    <w:semiHidden/>
    <w:locked/>
    <w:rPr>
      <w:vertAlign w:val="superscript"/>
    </w:rPr>
  </w:style>
  <w:style w:type="paragraph" w:styleId="Sous-titre">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Corpsdetexte"/>
    <w:uiPriority w:val="49"/>
    <w:locked/>
    <w:pPr>
      <w:spacing w:line="280" w:lineRule="exact"/>
      <w:jc w:val="right"/>
    </w:pPr>
    <w:rPr>
      <w:rFonts w:ascii="Arial" w:hAnsi="Arial" w:cs="Arial"/>
      <w:b/>
      <w:bCs/>
      <w:caps/>
      <w:sz w:val="24"/>
    </w:rPr>
  </w:style>
  <w:style w:type="paragraph" w:customStyle="1" w:styleId="zyxClassification2">
    <w:name w:val="zyxClassification2"/>
    <w:basedOn w:val="Pieddepage"/>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PieddepageCar">
    <w:name w:val="Pied de page Car"/>
    <w:basedOn w:val="Policepardfaut"/>
    <w:link w:val="Pieddepage"/>
    <w:uiPriority w:val="99"/>
    <w:rsid w:val="00037321"/>
    <w:rPr>
      <w:sz w:val="2"/>
      <w:lang w:val="en-US" w:eastAsia="en-US"/>
    </w:rPr>
  </w:style>
  <w:style w:type="paragraph" w:customStyle="1" w:styleId="Runninghead">
    <w:name w:val="Running head"/>
    <w:basedOn w:val="Normal"/>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Policepardfaut"/>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CorpsdetexteCar">
    <w:name w:val="Corps de texte Car"/>
    <w:basedOn w:val="Policepardfaut"/>
    <w:link w:val="Corpsdetexte"/>
    <w:rsid w:val="005268A1"/>
    <w:rPr>
      <w:sz w:val="22"/>
      <w:lang w:eastAsia="en-US"/>
    </w:rPr>
  </w:style>
  <w:style w:type="character" w:customStyle="1" w:styleId="AuthornameandaffiliationChar">
    <w:name w:val="Author name and affiliation Char"/>
    <w:basedOn w:val="CorpsdetexteCar"/>
    <w:link w:val="Authornameandaffiliation"/>
    <w:uiPriority w:val="49"/>
    <w:rsid w:val="007C75FA"/>
    <w:rPr>
      <w:sz w:val="22"/>
      <w:lang w:val="en-US" w:eastAsia="en-US"/>
    </w:rPr>
  </w:style>
  <w:style w:type="table" w:styleId="Grilledutableau">
    <w:name w:val="Table Grid"/>
    <w:basedOn w:val="Tableau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Textedebulles">
    <w:name w:val="Balloon Text"/>
    <w:basedOn w:val="Normal"/>
    <w:link w:val="TextedebullesCar"/>
    <w:uiPriority w:val="49"/>
    <w:locked/>
    <w:rsid w:val="005F00A0"/>
    <w:rPr>
      <w:rFonts w:ascii="Tahoma" w:hAnsi="Tahoma" w:cs="Tahoma"/>
      <w:sz w:val="16"/>
      <w:szCs w:val="16"/>
    </w:rPr>
  </w:style>
  <w:style w:type="character" w:customStyle="1" w:styleId="TextedebullesCar">
    <w:name w:val="Texte de bulles Car"/>
    <w:basedOn w:val="Policepardfaut"/>
    <w:link w:val="Textedebulles"/>
    <w:uiPriority w:val="49"/>
    <w:rsid w:val="005F00A0"/>
    <w:rPr>
      <w:rFonts w:ascii="Tahoma" w:hAnsi="Tahoma" w:cs="Tahoma"/>
      <w:sz w:val="16"/>
      <w:szCs w:val="16"/>
      <w:lang w:eastAsia="en-US"/>
    </w:rPr>
  </w:style>
  <w:style w:type="paragraph" w:customStyle="1" w:styleId="Figurecaption">
    <w:name w:val="Figure caption"/>
    <w:basedOn w:val="Corpsdetexte"/>
    <w:link w:val="FigurecaptionChar"/>
    <w:uiPriority w:val="49"/>
    <w:qFormat/>
    <w:locked/>
    <w:rsid w:val="007C75FA"/>
    <w:pPr>
      <w:jc w:val="center"/>
    </w:pPr>
    <w:rPr>
      <w:i/>
      <w:sz w:val="20"/>
    </w:rPr>
  </w:style>
  <w:style w:type="paragraph" w:customStyle="1" w:styleId="Otherunnumberedheadings">
    <w:name w:val="Other unnumbered headings"/>
    <w:next w:val="Corpsdetexte"/>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CorpsdetexteCar"/>
    <w:link w:val="Figurecaption"/>
    <w:uiPriority w:val="49"/>
    <w:rsid w:val="007C75FA"/>
    <w:rPr>
      <w:i/>
      <w:sz w:val="22"/>
      <w:lang w:eastAsia="en-US"/>
    </w:rPr>
  </w:style>
  <w:style w:type="paragraph" w:customStyle="1" w:styleId="Referencelist">
    <w:name w:val="Reference list"/>
    <w:basedOn w:val="Corpsdetexte"/>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CorpsdetexteCar"/>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CorpsdetexteCar"/>
    <w:link w:val="Referencelist"/>
    <w:uiPriority w:val="49"/>
    <w:rsid w:val="005268A1"/>
    <w:rPr>
      <w:sz w:val="22"/>
      <w:szCs w:val="18"/>
      <w:lang w:eastAsia="en-US"/>
    </w:rPr>
  </w:style>
  <w:style w:type="paragraph" w:customStyle="1" w:styleId="TableTitle">
    <w:name w:val="Table Title"/>
    <w:basedOn w:val="Corpsdetexte"/>
    <w:link w:val="TableTitleChar"/>
    <w:uiPriority w:val="49"/>
    <w:qFormat/>
    <w:rsid w:val="007C75FA"/>
    <w:rPr>
      <w:caps/>
    </w:rPr>
  </w:style>
  <w:style w:type="character" w:customStyle="1" w:styleId="TableTitleChar">
    <w:name w:val="Table Title Char"/>
    <w:basedOn w:val="CorpsdetexteCar"/>
    <w:link w:val="TableTitle"/>
    <w:uiPriority w:val="49"/>
    <w:rsid w:val="007C75FA"/>
    <w:rPr>
      <w:caps/>
      <w:sz w:val="22"/>
      <w:lang w:eastAsia="en-US"/>
    </w:rPr>
  </w:style>
  <w:style w:type="paragraph" w:styleId="NormalWeb">
    <w:name w:val="Normal (Web)"/>
    <w:basedOn w:val="Normal"/>
    <w:uiPriority w:val="49"/>
    <w:semiHidden/>
    <w:unhideWhenUsed/>
    <w:locked/>
    <w:rsid w:val="002C29DB"/>
    <w:rPr>
      <w:sz w:val="24"/>
      <w:szCs w:val="24"/>
    </w:rPr>
  </w:style>
  <w:style w:type="paragraph" w:customStyle="1" w:styleId="FIG-LONG">
    <w:name w:val="FIG-LONG"/>
    <w:basedOn w:val="Normal"/>
    <w:next w:val="Normal"/>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Policepardfaut"/>
    <w:link w:val="FIG-LONG"/>
    <w:rsid w:val="007C75FA"/>
    <w:rPr>
      <w:i/>
      <w:iCs/>
      <w:szCs w:val="18"/>
      <w:lang w:eastAsia="en-US"/>
    </w:rPr>
  </w:style>
  <w:style w:type="table" w:customStyle="1" w:styleId="TableGrid1">
    <w:name w:val="Table Grid1"/>
    <w:basedOn w:val="TableauNormal"/>
    <w:next w:val="Grilledutableau"/>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49"/>
    <w:semiHidden/>
    <w:unhideWhenUsed/>
    <w:locked/>
    <w:rsid w:val="00A233D1"/>
    <w:rPr>
      <w:sz w:val="16"/>
      <w:szCs w:val="16"/>
    </w:rPr>
  </w:style>
  <w:style w:type="paragraph" w:styleId="Commentaire">
    <w:name w:val="annotation text"/>
    <w:basedOn w:val="Normal"/>
    <w:link w:val="CommentaireCar"/>
    <w:uiPriority w:val="49"/>
    <w:semiHidden/>
    <w:unhideWhenUsed/>
    <w:locked/>
    <w:rsid w:val="00A233D1"/>
    <w:rPr>
      <w:sz w:val="20"/>
    </w:rPr>
  </w:style>
  <w:style w:type="character" w:customStyle="1" w:styleId="CommentaireCar">
    <w:name w:val="Commentaire Car"/>
    <w:basedOn w:val="Policepardfaut"/>
    <w:link w:val="Commentaire"/>
    <w:uiPriority w:val="49"/>
    <w:semiHidden/>
    <w:rsid w:val="00A233D1"/>
    <w:rPr>
      <w:lang w:eastAsia="en-US"/>
    </w:rPr>
  </w:style>
  <w:style w:type="paragraph" w:styleId="Objetducommentaire">
    <w:name w:val="annotation subject"/>
    <w:basedOn w:val="Commentaire"/>
    <w:next w:val="Commentaire"/>
    <w:link w:val="ObjetducommentaireCar"/>
    <w:uiPriority w:val="49"/>
    <w:semiHidden/>
    <w:unhideWhenUsed/>
    <w:locked/>
    <w:rsid w:val="00A233D1"/>
    <w:rPr>
      <w:b/>
      <w:bCs/>
    </w:rPr>
  </w:style>
  <w:style w:type="character" w:customStyle="1" w:styleId="ObjetducommentaireCar">
    <w:name w:val="Objet du commentaire Car"/>
    <w:basedOn w:val="CommentaireCar"/>
    <w:link w:val="Objetducommentaire"/>
    <w:uiPriority w:val="49"/>
    <w:semiHidden/>
    <w:rsid w:val="00A233D1"/>
    <w:rPr>
      <w:b/>
      <w:bCs/>
      <w:lang w:eastAsia="en-US"/>
    </w:rPr>
  </w:style>
  <w:style w:type="paragraph" w:styleId="Rvision">
    <w:name w:val="Revision"/>
    <w:hidden/>
    <w:uiPriority w:val="99"/>
    <w:semiHidden/>
    <w:rsid w:val="00712E17"/>
    <w:rPr>
      <w:sz w:val="22"/>
      <w:lang w:eastAsia="en-US"/>
    </w:rPr>
  </w:style>
  <w:style w:type="paragraph" w:styleId="Sansinterligne">
    <w:name w:val="No Spacing"/>
    <w:link w:val="SansinterligneCar"/>
    <w:uiPriority w:val="1"/>
    <w:locked/>
    <w:rsid w:val="0083137C"/>
    <w:rPr>
      <w:rFonts w:asciiTheme="minorHAnsi" w:hAnsiTheme="minorHAnsi" w:cstheme="minorBidi"/>
      <w:sz w:val="22"/>
      <w:szCs w:val="22"/>
      <w:lang w:val="en-US" w:eastAsia="en-US"/>
    </w:rPr>
  </w:style>
  <w:style w:type="character" w:customStyle="1" w:styleId="SansinterligneCar">
    <w:name w:val="Sans interligne Car"/>
    <w:basedOn w:val="Policepardfaut"/>
    <w:link w:val="Sansinterligne"/>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Titre1"/>
    <w:link w:val="PaperTitleChar"/>
    <w:uiPriority w:val="49"/>
    <w:rsid w:val="00BC6BAA"/>
  </w:style>
  <w:style w:type="character" w:customStyle="1" w:styleId="Titre1Car">
    <w:name w:val="Titre 1 Car"/>
    <w:aliases w:val="Headin Car"/>
    <w:basedOn w:val="Policepardfaut"/>
    <w:link w:val="Titre1"/>
    <w:uiPriority w:val="4"/>
    <w:rsid w:val="00B42408"/>
    <w:rPr>
      <w:rFonts w:cs="Arial"/>
      <w:bCs/>
      <w:caps/>
      <w:szCs w:val="32"/>
      <w:lang w:eastAsia="en-US"/>
    </w:rPr>
  </w:style>
  <w:style w:type="character" w:customStyle="1" w:styleId="PaperTitleChar">
    <w:name w:val="Paper Title Char"/>
    <w:basedOn w:val="Titre1Car"/>
    <w:link w:val="PaperTitle"/>
    <w:uiPriority w:val="49"/>
    <w:rsid w:val="00BC6BAA"/>
    <w:rPr>
      <w:rFonts w:cs="Arial"/>
      <w:bCs/>
      <w:caps/>
      <w:szCs w:val="32"/>
      <w:lang w:eastAsia="en-US"/>
    </w:rPr>
  </w:style>
  <w:style w:type="paragraph" w:customStyle="1" w:styleId="Heading2nd">
    <w:name w:val="Heading 2nd"/>
    <w:basedOn w:val="Titre3"/>
    <w:link w:val="Heading2ndChar"/>
    <w:uiPriority w:val="49"/>
    <w:qFormat/>
    <w:rsid w:val="007C75FA"/>
    <w:rPr>
      <w:sz w:val="22"/>
    </w:rPr>
  </w:style>
  <w:style w:type="character" w:customStyle="1" w:styleId="Titre3Car">
    <w:name w:val="Titre 3 Car"/>
    <w:aliases w:val="Heading Car"/>
    <w:basedOn w:val="Policepardfaut"/>
    <w:link w:val="Titre3"/>
    <w:uiPriority w:val="4"/>
    <w:rsid w:val="003F7ACA"/>
    <w:rPr>
      <w:b/>
      <w:lang w:eastAsia="en-US"/>
    </w:rPr>
  </w:style>
  <w:style w:type="character" w:customStyle="1" w:styleId="Heading2ndChar">
    <w:name w:val="Heading 2nd Char"/>
    <w:basedOn w:val="Titre3Car"/>
    <w:link w:val="Heading2nd"/>
    <w:uiPriority w:val="49"/>
    <w:rsid w:val="007C75FA"/>
    <w:rPr>
      <w:b/>
      <w:sz w:val="22"/>
      <w:lang w:eastAsia="en-US"/>
    </w:rPr>
  </w:style>
  <w:style w:type="paragraph" w:customStyle="1" w:styleId="Heading3rd">
    <w:name w:val="Heading 3rd"/>
    <w:basedOn w:val="Titre4"/>
    <w:link w:val="Heading3rdChar"/>
    <w:uiPriority w:val="49"/>
    <w:qFormat/>
    <w:rsid w:val="007C75FA"/>
    <w:pPr>
      <w:ind w:left="0"/>
    </w:pPr>
    <w:rPr>
      <w:sz w:val="22"/>
    </w:rPr>
  </w:style>
  <w:style w:type="character" w:customStyle="1" w:styleId="Titre4Car">
    <w:name w:val="Titre 4 Car"/>
    <w:aliases w:val="3rd level paper heading Car"/>
    <w:basedOn w:val="Policepardfaut"/>
    <w:link w:val="Titre4"/>
    <w:uiPriority w:val="4"/>
    <w:rsid w:val="003F7ACA"/>
    <w:rPr>
      <w:i/>
      <w:lang w:val="en-US" w:eastAsia="en-US"/>
    </w:rPr>
  </w:style>
  <w:style w:type="character" w:customStyle="1" w:styleId="Heading3rdChar">
    <w:name w:val="Heading 3rd Char"/>
    <w:basedOn w:val="Titre4Car"/>
    <w:link w:val="Heading3rd"/>
    <w:uiPriority w:val="49"/>
    <w:rsid w:val="007C75FA"/>
    <w:rPr>
      <w:i/>
      <w:sz w:val="22"/>
      <w:lang w:val="en-US" w:eastAsia="en-US"/>
    </w:rPr>
  </w:style>
  <w:style w:type="paragraph" w:customStyle="1" w:styleId="Heading1st">
    <w:name w:val="Heading 1st"/>
    <w:basedOn w:val="Titre2"/>
    <w:link w:val="Heading1stChar"/>
    <w:autoRedefine/>
    <w:uiPriority w:val="49"/>
    <w:qFormat/>
    <w:rsid w:val="007C75FA"/>
    <w:rPr>
      <w:sz w:val="22"/>
    </w:rPr>
  </w:style>
  <w:style w:type="character" w:customStyle="1" w:styleId="Heading1stChar">
    <w:name w:val="Heading 1st Char"/>
    <w:basedOn w:val="Titre1Car"/>
    <w:link w:val="Heading1st"/>
    <w:uiPriority w:val="49"/>
    <w:rsid w:val="007C75FA"/>
    <w:rPr>
      <w:rFonts w:cs="Arial"/>
      <w:bCs w:val="0"/>
      <w:caps/>
      <w:sz w:val="22"/>
      <w:szCs w:val="32"/>
      <w:lang w:eastAsia="en-US"/>
    </w:rPr>
  </w:style>
  <w:style w:type="character" w:styleId="Lienhypertexte">
    <w:name w:val="Hyperlink"/>
    <w:basedOn w:val="Policepardfaut"/>
    <w:uiPriority w:val="49"/>
    <w:unhideWhenUsed/>
    <w:locked/>
    <w:rsid w:val="0066420C"/>
    <w:rPr>
      <w:color w:val="0000FF" w:themeColor="hyperlink"/>
      <w:u w:val="single"/>
    </w:rPr>
  </w:style>
  <w:style w:type="character" w:styleId="Mentionnonrsolue">
    <w:name w:val="Unresolved Mention"/>
    <w:basedOn w:val="Policepardfaut"/>
    <w:uiPriority w:val="99"/>
    <w:semiHidden/>
    <w:unhideWhenUsed/>
    <w:rsid w:val="0066420C"/>
    <w:rPr>
      <w:color w:val="605E5C"/>
      <w:shd w:val="clear" w:color="auto" w:fill="E1DFDD"/>
    </w:rPr>
  </w:style>
  <w:style w:type="character" w:customStyle="1" w:styleId="En-tteCar">
    <w:name w:val="En-tête Car"/>
    <w:basedOn w:val="Policepardfaut"/>
    <w:link w:val="En-tte"/>
    <w:uiPriority w:val="99"/>
    <w:rsid w:val="00E379A5"/>
    <w:rPr>
      <w:sz w:val="18"/>
      <w:lang w:val="en-US" w:eastAsia="en-US"/>
    </w:rPr>
  </w:style>
  <w:style w:type="character" w:styleId="Textedelespacerserv">
    <w:name w:val="Placeholder Text"/>
    <w:basedOn w:val="Policepardfaut"/>
    <w:uiPriority w:val="99"/>
    <w:semiHidden/>
    <w:locked/>
    <w:rsid w:val="00FE75A2"/>
    <w:rPr>
      <w:color w:val="808080"/>
    </w:rPr>
  </w:style>
  <w:style w:type="paragraph" w:styleId="Bibliographie">
    <w:name w:val="Bibliography"/>
    <w:basedOn w:val="Normal"/>
    <w:next w:val="Normal"/>
    <w:uiPriority w:val="37"/>
    <w:unhideWhenUsed/>
    <w:locked/>
    <w:rsid w:val="009B56F9"/>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2E6F7E8-C907-45D6-87FB-5C439F811E2B}">
  <ds:schemaRefs>
    <ds:schemaRef ds:uri="http://schemas.openxmlformats.org/officeDocument/2006/bibliography"/>
  </ds:schemaRefs>
</ds:datastoreItem>
</file>

<file path=customXml/itemProps4.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5.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IAEA Blank (r01)</Template>
  <TotalTime>300</TotalTime>
  <Pages>4</Pages>
  <Words>6151</Words>
  <Characters>33833</Characters>
  <Application>Microsoft Office Word</Application>
  <DocSecurity>0</DocSecurity>
  <Lines>281</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IAEA Extended Abstract Template</vt:lpstr>
      <vt:lpstr>IAEA Extended Abstract Template</vt:lpstr>
    </vt:vector>
  </TitlesOfParts>
  <Company>IAEA</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lastModifiedBy>D AMBROSI Veronica 249622</cp:lastModifiedBy>
  <cp:revision>23</cp:revision>
  <cp:lastPrinted>2015-12-01T10:27:00Z</cp:lastPrinted>
  <dcterms:created xsi:type="dcterms:W3CDTF">2025-06-13T13:52:00Z</dcterms:created>
  <dcterms:modified xsi:type="dcterms:W3CDTF">2025-07-04T11:21:00Z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y fmtid="{D5CDD505-2E9C-101B-9397-08002B2CF9AE}" pid="13" name="ZOTERO_PREF_1">
    <vt:lpwstr>&lt;data data-version="3" zotero-version="7.0.11"&gt;&lt;session id="QP9ukOJY"/&gt;&lt;style id="http://www.zotero.org/styles/ieee" locale="en-US" hasBibliography="1" bibliographyStyleHasBeenSet="1"/&gt;&lt;prefs&gt;&lt;pref name="fieldType" value="Field"/&gt;&lt;/prefs&gt;&lt;/data&gt;</vt:lpwstr>
  </property>
</Properties>
</file>