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0B07" w14:textId="58ADFD5C" w:rsidR="00FC530C" w:rsidRPr="00802D2A" w:rsidRDefault="00FC530C" w:rsidP="00FC530C">
      <w:pPr>
        <w:spacing w:after="0"/>
        <w:jc w:val="center"/>
        <w:rPr>
          <w:rFonts w:asciiTheme="majorBidi" w:hAnsiTheme="majorBidi" w:cstheme="majorBidi"/>
          <w:b/>
          <w:bCs/>
        </w:rPr>
      </w:pPr>
    </w:p>
    <w:p w14:paraId="131FC7A3" w14:textId="09F9CC21" w:rsidR="00FC530C" w:rsidRDefault="00990143" w:rsidP="00990143">
      <w:pPr>
        <w:spacing w:after="0"/>
        <w:jc w:val="center"/>
        <w:rPr>
          <w:rFonts w:asciiTheme="majorBidi" w:hAnsiTheme="majorBidi" w:cstheme="majorBidi"/>
          <w:sz w:val="24"/>
          <w:szCs w:val="24"/>
        </w:rPr>
      </w:pPr>
      <w:r w:rsidRPr="00802D2A">
        <w:rPr>
          <w:rFonts w:asciiTheme="majorBidi" w:hAnsiTheme="majorBidi" w:cstheme="majorBidi"/>
          <w:noProof/>
          <w:lang w:eastAsia="en-GB"/>
        </w:rPr>
        <w:drawing>
          <wp:inline distT="0" distB="0" distL="0" distR="0" wp14:anchorId="4F18D35F" wp14:editId="0671C4FF">
            <wp:extent cx="1771650" cy="1538985"/>
            <wp:effectExtent l="0" t="0" r="0" b="4445"/>
            <wp:docPr id="1" name="Picture 1" descr="http://oasis.iaea.org/OASIS/OASIS/MTCD/References/VID/IAEA_LOGO_NEW_JPG/With_slogan_vertical/IAEA-Logo-E_vertical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is.iaea.org/OASIS/OASIS/MTCD/References/VID/IAEA_LOGO_NEW_JPG/With_slogan_vertical/IAEA-Logo-E_vertical_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132" cy="1544615"/>
                    </a:xfrm>
                    <a:prstGeom prst="rect">
                      <a:avLst/>
                    </a:prstGeom>
                    <a:noFill/>
                    <a:ln>
                      <a:noFill/>
                    </a:ln>
                  </pic:spPr>
                </pic:pic>
              </a:graphicData>
            </a:graphic>
          </wp:inline>
        </w:drawing>
      </w:r>
    </w:p>
    <w:p w14:paraId="5BA1FD55" w14:textId="77777777" w:rsidR="00990143" w:rsidRPr="00802D2A" w:rsidRDefault="00990143" w:rsidP="00990143">
      <w:pPr>
        <w:spacing w:after="0"/>
        <w:jc w:val="center"/>
        <w:rPr>
          <w:rFonts w:asciiTheme="majorBidi" w:hAnsiTheme="majorBidi" w:cstheme="majorBidi"/>
          <w:sz w:val="24"/>
          <w:szCs w:val="24"/>
        </w:rPr>
      </w:pPr>
    </w:p>
    <w:p w14:paraId="016C366F" w14:textId="3CF91FF4" w:rsidR="00E657B2" w:rsidRDefault="000F6BBC" w:rsidP="00FC530C">
      <w:pPr>
        <w:spacing w:after="0"/>
        <w:jc w:val="center"/>
        <w:rPr>
          <w:rFonts w:asciiTheme="majorBidi" w:hAnsiTheme="majorBidi" w:cstheme="majorBidi"/>
          <w:b/>
          <w:bCs/>
          <w:sz w:val="28"/>
          <w:szCs w:val="28"/>
        </w:rPr>
      </w:pPr>
      <w:r w:rsidRPr="000F6BBC">
        <w:rPr>
          <w:rFonts w:asciiTheme="majorBidi" w:hAnsiTheme="majorBidi" w:cstheme="majorBidi"/>
          <w:b/>
          <w:bCs/>
          <w:sz w:val="42"/>
          <w:szCs w:val="42"/>
        </w:rPr>
        <w:t>Technical Meeting on Experience in Codes and Standards for Fusion Technology</w:t>
      </w:r>
    </w:p>
    <w:p w14:paraId="587B044A" w14:textId="793AA941" w:rsidR="00FC530C" w:rsidRDefault="00FA5445" w:rsidP="00331448">
      <w:pPr>
        <w:spacing w:after="0"/>
        <w:jc w:val="center"/>
        <w:rPr>
          <w:rFonts w:asciiTheme="majorBidi" w:hAnsiTheme="majorBidi" w:cstheme="majorBidi"/>
          <w:b/>
          <w:bCs/>
          <w:sz w:val="28"/>
          <w:szCs w:val="28"/>
        </w:rPr>
      </w:pPr>
      <w:r w:rsidRPr="00FA5445">
        <w:rPr>
          <w:rFonts w:asciiTheme="majorBidi" w:hAnsiTheme="majorBidi" w:cstheme="majorBidi"/>
          <w:b/>
          <w:bCs/>
          <w:sz w:val="28"/>
          <w:szCs w:val="28"/>
        </w:rPr>
        <w:t>IAEA Headquarters, Vienna, Austria</w:t>
      </w:r>
      <w:r w:rsidR="000169F3">
        <w:rPr>
          <w:rFonts w:asciiTheme="majorBidi" w:hAnsiTheme="majorBidi" w:cstheme="majorBidi"/>
          <w:b/>
          <w:bCs/>
          <w:sz w:val="28"/>
          <w:szCs w:val="28"/>
        </w:rPr>
        <w:t xml:space="preserve"> </w:t>
      </w:r>
    </w:p>
    <w:p w14:paraId="026066C0" w14:textId="77777777" w:rsidR="00FC530C" w:rsidRDefault="00FC530C" w:rsidP="00FC530C">
      <w:pPr>
        <w:spacing w:after="0"/>
        <w:jc w:val="center"/>
        <w:rPr>
          <w:rFonts w:asciiTheme="majorBidi" w:hAnsiTheme="majorBidi" w:cstheme="majorBidi"/>
          <w:b/>
          <w:bCs/>
          <w:sz w:val="28"/>
          <w:szCs w:val="28"/>
        </w:rPr>
      </w:pPr>
    </w:p>
    <w:p w14:paraId="6F7059C9" w14:textId="77777777" w:rsidR="00250912" w:rsidRPr="007472F3" w:rsidRDefault="00250912" w:rsidP="00250912">
      <w:pPr>
        <w:spacing w:after="0"/>
        <w:jc w:val="center"/>
        <w:rPr>
          <w:rFonts w:asciiTheme="majorBidi" w:hAnsiTheme="majorBidi" w:cstheme="majorBidi"/>
          <w:b/>
          <w:bCs/>
          <w:sz w:val="28"/>
          <w:szCs w:val="28"/>
        </w:rPr>
      </w:pPr>
    </w:p>
    <w:p w14:paraId="3A4747B1" w14:textId="65CC6F0E" w:rsidR="00FC530C" w:rsidRDefault="001751DA" w:rsidP="00FC530C">
      <w:pPr>
        <w:spacing w:after="0"/>
        <w:jc w:val="center"/>
        <w:rPr>
          <w:rFonts w:asciiTheme="majorBidi" w:hAnsiTheme="majorBidi" w:cstheme="majorBidi"/>
          <w:b/>
          <w:bCs/>
          <w:sz w:val="28"/>
          <w:szCs w:val="28"/>
        </w:rPr>
      </w:pPr>
      <w:r>
        <w:rPr>
          <w:rFonts w:asciiTheme="majorBidi" w:hAnsiTheme="majorBidi" w:cstheme="majorBidi"/>
          <w:b/>
          <w:bCs/>
          <w:sz w:val="28"/>
          <w:szCs w:val="28"/>
        </w:rPr>
        <w:t>1</w:t>
      </w:r>
      <w:r w:rsidR="00F4705E">
        <w:rPr>
          <w:rFonts w:asciiTheme="majorBidi" w:hAnsiTheme="majorBidi" w:cstheme="majorBidi"/>
          <w:b/>
          <w:bCs/>
          <w:sz w:val="28"/>
          <w:szCs w:val="28"/>
        </w:rPr>
        <w:t>8</w:t>
      </w:r>
      <w:r w:rsidR="00C70B52">
        <w:rPr>
          <w:rFonts w:asciiTheme="majorBidi" w:hAnsiTheme="majorBidi" w:cstheme="majorBidi"/>
          <w:b/>
          <w:bCs/>
          <w:sz w:val="28"/>
          <w:szCs w:val="28"/>
        </w:rPr>
        <w:t>-</w:t>
      </w:r>
      <w:r w:rsidR="00990143">
        <w:rPr>
          <w:rFonts w:asciiTheme="majorBidi" w:hAnsiTheme="majorBidi" w:cstheme="majorBidi"/>
          <w:b/>
          <w:bCs/>
          <w:sz w:val="28"/>
          <w:szCs w:val="28"/>
        </w:rPr>
        <w:t>2</w:t>
      </w:r>
      <w:r w:rsidR="00EA2B9D">
        <w:rPr>
          <w:rFonts w:asciiTheme="majorBidi" w:hAnsiTheme="majorBidi" w:cstheme="majorBidi"/>
          <w:b/>
          <w:bCs/>
          <w:sz w:val="28"/>
          <w:szCs w:val="28"/>
        </w:rPr>
        <w:t>1</w:t>
      </w:r>
      <w:r w:rsidR="00990143">
        <w:rPr>
          <w:rFonts w:asciiTheme="majorBidi" w:hAnsiTheme="majorBidi" w:cstheme="majorBidi"/>
          <w:b/>
          <w:bCs/>
          <w:sz w:val="28"/>
          <w:szCs w:val="28"/>
        </w:rPr>
        <w:t xml:space="preserve"> November </w:t>
      </w:r>
      <w:r w:rsidR="003A3393">
        <w:rPr>
          <w:rFonts w:asciiTheme="majorBidi" w:hAnsiTheme="majorBidi" w:cstheme="majorBidi"/>
          <w:b/>
          <w:bCs/>
          <w:sz w:val="28"/>
          <w:szCs w:val="28"/>
        </w:rPr>
        <w:t>202</w:t>
      </w:r>
      <w:r w:rsidR="003114D4">
        <w:rPr>
          <w:rFonts w:asciiTheme="majorBidi" w:hAnsiTheme="majorBidi" w:cstheme="majorBidi"/>
          <w:b/>
          <w:bCs/>
          <w:sz w:val="28"/>
          <w:szCs w:val="28"/>
        </w:rPr>
        <w:t>5</w:t>
      </w:r>
    </w:p>
    <w:p w14:paraId="776B8EAC" w14:textId="77777777" w:rsidR="00EE143E" w:rsidRDefault="00EE143E" w:rsidP="00FC530C">
      <w:pPr>
        <w:spacing w:after="0"/>
        <w:jc w:val="center"/>
        <w:rPr>
          <w:rFonts w:asciiTheme="majorBidi" w:hAnsiTheme="majorBidi" w:cstheme="majorBidi"/>
          <w:b/>
          <w:bCs/>
          <w:sz w:val="28"/>
          <w:szCs w:val="28"/>
        </w:rPr>
      </w:pPr>
    </w:p>
    <w:p w14:paraId="2C81A332" w14:textId="32DDED0E" w:rsidR="00EE143E" w:rsidRDefault="00EE143E" w:rsidP="00FC530C">
      <w:pPr>
        <w:spacing w:after="0"/>
        <w:jc w:val="center"/>
        <w:rPr>
          <w:rStyle w:val="Hyperlink"/>
          <w:rFonts w:asciiTheme="majorBidi" w:hAnsiTheme="majorBidi" w:cstheme="majorBidi"/>
          <w:b/>
          <w:bCs/>
          <w:color w:val="000000" w:themeColor="text1"/>
          <w:sz w:val="28"/>
          <w:szCs w:val="28"/>
          <w:u w:val="none"/>
        </w:rPr>
      </w:pPr>
      <w:r>
        <w:rPr>
          <w:rFonts w:asciiTheme="majorBidi" w:hAnsiTheme="majorBidi" w:cstheme="majorBidi"/>
          <w:b/>
          <w:bCs/>
          <w:sz w:val="28"/>
          <w:szCs w:val="28"/>
        </w:rPr>
        <w:t>Ref:</w:t>
      </w:r>
      <w:r w:rsidRPr="005025E9">
        <w:rPr>
          <w:rFonts w:asciiTheme="majorBidi" w:hAnsiTheme="majorBidi" w:cstheme="majorBidi"/>
          <w:b/>
          <w:bCs/>
          <w:color w:val="000000" w:themeColor="text1"/>
          <w:sz w:val="28"/>
          <w:szCs w:val="28"/>
        </w:rPr>
        <w:t xml:space="preserve"> </w:t>
      </w:r>
      <w:hyperlink r:id="rId12" w:history="1">
        <w:r w:rsidR="00E312CA" w:rsidRPr="00175C7C">
          <w:rPr>
            <w:rStyle w:val="Hyperlink"/>
            <w:rFonts w:asciiTheme="majorBidi" w:hAnsiTheme="majorBidi" w:cstheme="majorBidi"/>
            <w:b/>
            <w:bCs/>
            <w:color w:val="000000" w:themeColor="text1"/>
            <w:sz w:val="28"/>
            <w:szCs w:val="28"/>
            <w:u w:val="none"/>
          </w:rPr>
          <w:t>EVT2404255</w:t>
        </w:r>
      </w:hyperlink>
    </w:p>
    <w:p w14:paraId="0791B5D6" w14:textId="5E1EEC2D" w:rsidR="00810501" w:rsidRPr="00BC6266" w:rsidRDefault="00810501" w:rsidP="00FC530C">
      <w:pPr>
        <w:spacing w:after="0"/>
        <w:jc w:val="center"/>
        <w:rPr>
          <w:rFonts w:asciiTheme="majorBidi" w:hAnsiTheme="majorBidi" w:cstheme="majorBidi"/>
          <w:b/>
          <w:bCs/>
          <w:sz w:val="28"/>
          <w:szCs w:val="28"/>
        </w:rPr>
      </w:pPr>
      <w:r>
        <w:rPr>
          <w:rStyle w:val="Hyperlink"/>
          <w:rFonts w:asciiTheme="majorBidi" w:hAnsiTheme="majorBidi" w:cstheme="majorBidi"/>
          <w:b/>
          <w:bCs/>
          <w:color w:val="000000" w:themeColor="text1"/>
          <w:sz w:val="28"/>
          <w:szCs w:val="28"/>
          <w:u w:val="none"/>
        </w:rPr>
        <w:t>Room: M5</w:t>
      </w:r>
      <w:r w:rsidR="000169F3">
        <w:rPr>
          <w:rStyle w:val="Hyperlink"/>
          <w:rFonts w:asciiTheme="majorBidi" w:hAnsiTheme="majorBidi" w:cstheme="majorBidi"/>
          <w:b/>
          <w:bCs/>
          <w:color w:val="000000" w:themeColor="text1"/>
          <w:sz w:val="28"/>
          <w:szCs w:val="28"/>
          <w:u w:val="none"/>
        </w:rPr>
        <w:t xml:space="preserve"> (Hybrid)</w:t>
      </w:r>
    </w:p>
    <w:p w14:paraId="5A6BD283" w14:textId="339DFC55" w:rsidR="00331448" w:rsidRPr="00802D2A" w:rsidRDefault="00331448" w:rsidP="0077021B">
      <w:pPr>
        <w:spacing w:after="0"/>
        <w:rPr>
          <w:rFonts w:asciiTheme="majorBidi" w:hAnsiTheme="majorBidi" w:cstheme="majorBidi"/>
          <w:b/>
          <w:bCs/>
          <w:sz w:val="28"/>
          <w:szCs w:val="28"/>
        </w:rPr>
      </w:pPr>
    </w:p>
    <w:p w14:paraId="1165AD98" w14:textId="000A8571" w:rsidR="00FC530C" w:rsidRPr="00802D2A" w:rsidRDefault="00FC530C" w:rsidP="00FC530C">
      <w:pPr>
        <w:spacing w:before="240"/>
        <w:jc w:val="center"/>
        <w:rPr>
          <w:rFonts w:asciiTheme="majorBidi" w:hAnsiTheme="majorBidi" w:cstheme="majorBidi"/>
          <w:b/>
          <w:bCs/>
          <w:sz w:val="36"/>
          <w:szCs w:val="36"/>
        </w:rPr>
      </w:pPr>
      <w:r w:rsidRPr="00802D2A">
        <w:rPr>
          <w:rFonts w:asciiTheme="majorBidi" w:hAnsiTheme="majorBidi" w:cstheme="majorBidi"/>
          <w:b/>
          <w:bCs/>
          <w:sz w:val="36"/>
          <w:szCs w:val="36"/>
        </w:rPr>
        <w:t>Information Sheet</w:t>
      </w:r>
    </w:p>
    <w:p w14:paraId="31118DF4" w14:textId="77777777" w:rsidR="003C4F05" w:rsidRDefault="003C4F05" w:rsidP="00FC530C">
      <w:pPr>
        <w:pStyle w:val="Heading1"/>
        <w:keepNext/>
        <w:keepLines/>
        <w:spacing w:before="100" w:beforeAutospacing="1" w:after="100" w:afterAutospacing="1"/>
        <w:rPr>
          <w:rFonts w:asciiTheme="majorBidi" w:hAnsiTheme="majorBidi" w:cstheme="majorBidi"/>
        </w:rPr>
      </w:pPr>
    </w:p>
    <w:p w14:paraId="04C15B44" w14:textId="674A865D" w:rsidR="00FC530C" w:rsidRPr="00802D2A" w:rsidRDefault="00FC530C" w:rsidP="00FC530C">
      <w:pPr>
        <w:pStyle w:val="Heading1"/>
        <w:keepNext/>
        <w:keepLines/>
        <w:spacing w:before="100" w:beforeAutospacing="1" w:after="100" w:afterAutospacing="1"/>
        <w:rPr>
          <w:rFonts w:asciiTheme="majorBidi" w:hAnsiTheme="majorBidi" w:cstheme="majorBidi"/>
        </w:rPr>
      </w:pPr>
      <w:r w:rsidRPr="00802D2A">
        <w:rPr>
          <w:rFonts w:asciiTheme="majorBidi" w:hAnsiTheme="majorBidi" w:cstheme="majorBidi"/>
        </w:rPr>
        <w:t>Introduction</w:t>
      </w:r>
    </w:p>
    <w:p w14:paraId="61E1DA9A" w14:textId="13A81DD6" w:rsidR="00624E2B" w:rsidRPr="00F84B72" w:rsidRDefault="00624E2B" w:rsidP="00624E2B">
      <w:pPr>
        <w:pStyle w:val="para1"/>
        <w:rPr>
          <w:sz w:val="22"/>
          <w:szCs w:val="22"/>
        </w:rPr>
      </w:pPr>
      <w:r w:rsidRPr="00F84B72">
        <w:rPr>
          <w:sz w:val="22"/>
          <w:szCs w:val="22"/>
        </w:rPr>
        <w:t>This meeting aims to support and strengthen international cooperation on fusion research and development with the goal of building scientific and technical knowledge in this field for the</w:t>
      </w:r>
      <w:r w:rsidR="00600FC9" w:rsidRPr="00F84B72">
        <w:rPr>
          <w:sz w:val="22"/>
          <w:szCs w:val="22"/>
        </w:rPr>
        <w:t xml:space="preserve"> </w:t>
      </w:r>
      <w:r w:rsidRPr="00F84B72">
        <w:rPr>
          <w:sz w:val="22"/>
          <w:szCs w:val="22"/>
        </w:rPr>
        <w:t xml:space="preserve">construction of fusion power plants. </w:t>
      </w:r>
      <w:r w:rsidR="0041152F" w:rsidRPr="00F84B72">
        <w:rPr>
          <w:sz w:val="22"/>
          <w:szCs w:val="22"/>
        </w:rPr>
        <w:t xml:space="preserve">Many fusion companies have </w:t>
      </w:r>
      <w:r w:rsidR="00980E20">
        <w:rPr>
          <w:sz w:val="22"/>
          <w:szCs w:val="22"/>
        </w:rPr>
        <w:t xml:space="preserve">started, or </w:t>
      </w:r>
      <w:r w:rsidR="005E1478">
        <w:rPr>
          <w:sz w:val="22"/>
          <w:szCs w:val="22"/>
        </w:rPr>
        <w:t>plan</w:t>
      </w:r>
      <w:r w:rsidR="00980E20">
        <w:rPr>
          <w:sz w:val="22"/>
          <w:szCs w:val="22"/>
        </w:rPr>
        <w:t xml:space="preserve"> to</w:t>
      </w:r>
      <w:r w:rsidR="005E1478" w:rsidRPr="00F245CA">
        <w:rPr>
          <w:sz w:val="22"/>
          <w:szCs w:val="22"/>
        </w:rPr>
        <w:t xml:space="preserve"> </w:t>
      </w:r>
      <w:r w:rsidR="00E2447F">
        <w:rPr>
          <w:sz w:val="22"/>
          <w:szCs w:val="22"/>
        </w:rPr>
        <w:t xml:space="preserve">start </w:t>
      </w:r>
      <w:r w:rsidR="00E2447F" w:rsidRPr="00F245CA">
        <w:rPr>
          <w:sz w:val="22"/>
          <w:szCs w:val="22"/>
        </w:rPr>
        <w:t xml:space="preserve">fusion </w:t>
      </w:r>
      <w:r w:rsidR="000F7836">
        <w:rPr>
          <w:sz w:val="22"/>
          <w:szCs w:val="22"/>
        </w:rPr>
        <w:t>demonstration/pilot plant</w:t>
      </w:r>
      <w:r w:rsidR="00E2447F">
        <w:rPr>
          <w:sz w:val="22"/>
          <w:szCs w:val="22"/>
        </w:rPr>
        <w:t xml:space="preserve"> </w:t>
      </w:r>
      <w:r w:rsidR="005E1478" w:rsidRPr="00F245CA">
        <w:rPr>
          <w:sz w:val="22"/>
          <w:szCs w:val="22"/>
        </w:rPr>
        <w:t>operation</w:t>
      </w:r>
      <w:r w:rsidR="005E1478">
        <w:rPr>
          <w:sz w:val="22"/>
          <w:szCs w:val="22"/>
        </w:rPr>
        <w:t>s</w:t>
      </w:r>
      <w:r w:rsidR="0041152F" w:rsidRPr="00F84B72">
        <w:rPr>
          <w:sz w:val="22"/>
          <w:szCs w:val="22"/>
        </w:rPr>
        <w:t xml:space="preserve"> within the next decade</w:t>
      </w:r>
      <w:r w:rsidR="001108EC" w:rsidRPr="00F84B72">
        <w:rPr>
          <w:sz w:val="22"/>
          <w:szCs w:val="22"/>
        </w:rPr>
        <w:t xml:space="preserve">, if these designs are to reach </w:t>
      </w:r>
      <w:r w:rsidR="00091582" w:rsidRPr="00F84B72">
        <w:rPr>
          <w:sz w:val="22"/>
          <w:szCs w:val="22"/>
        </w:rPr>
        <w:t>commercialisation,</w:t>
      </w:r>
      <w:r w:rsidR="001108EC" w:rsidRPr="00F84B72">
        <w:rPr>
          <w:sz w:val="22"/>
          <w:szCs w:val="22"/>
        </w:rPr>
        <w:t xml:space="preserve"> then codes and </w:t>
      </w:r>
      <w:r w:rsidR="00A74A38" w:rsidRPr="00F84B72">
        <w:rPr>
          <w:sz w:val="22"/>
          <w:szCs w:val="22"/>
        </w:rPr>
        <w:t>standards</w:t>
      </w:r>
      <w:r w:rsidR="001108EC" w:rsidRPr="00F84B72">
        <w:rPr>
          <w:sz w:val="22"/>
          <w:szCs w:val="22"/>
        </w:rPr>
        <w:t xml:space="preserve"> </w:t>
      </w:r>
      <w:r w:rsidR="00F1322A" w:rsidRPr="00F84B72">
        <w:rPr>
          <w:sz w:val="22"/>
          <w:szCs w:val="22"/>
        </w:rPr>
        <w:t xml:space="preserve">(C&amp;S) should be </w:t>
      </w:r>
      <w:r w:rsidR="00C05C47">
        <w:rPr>
          <w:sz w:val="22"/>
          <w:szCs w:val="22"/>
        </w:rPr>
        <w:t xml:space="preserve">identified or </w:t>
      </w:r>
      <w:r w:rsidR="001108EC" w:rsidRPr="00F84B72">
        <w:rPr>
          <w:sz w:val="22"/>
          <w:szCs w:val="22"/>
        </w:rPr>
        <w:t xml:space="preserve">developed </w:t>
      </w:r>
      <w:r w:rsidR="00A74A38" w:rsidRPr="00F84B72">
        <w:rPr>
          <w:sz w:val="22"/>
          <w:szCs w:val="22"/>
        </w:rPr>
        <w:t>in parallel with the fusion industry.</w:t>
      </w:r>
      <w:r w:rsidR="002F59C5" w:rsidRPr="00F84B72">
        <w:rPr>
          <w:sz w:val="22"/>
          <w:szCs w:val="22"/>
        </w:rPr>
        <w:t xml:space="preserve"> </w:t>
      </w:r>
      <w:r w:rsidR="009A1729" w:rsidRPr="00F84B72">
        <w:rPr>
          <w:sz w:val="22"/>
          <w:szCs w:val="22"/>
        </w:rPr>
        <w:t xml:space="preserve">Building on a series of consultancy meetings held by the IAEA in 2023 and 2024, and by the United Kingdom Atomic Energy Authority in February 2025, this meeting focuses on the development and identification of </w:t>
      </w:r>
      <w:r w:rsidR="00231519" w:rsidRPr="00F84B72">
        <w:rPr>
          <w:sz w:val="22"/>
          <w:szCs w:val="22"/>
        </w:rPr>
        <w:t>C&amp;S</w:t>
      </w:r>
      <w:r w:rsidR="009A1729" w:rsidRPr="00F84B72">
        <w:rPr>
          <w:sz w:val="22"/>
          <w:szCs w:val="22"/>
        </w:rPr>
        <w:t xml:space="preserve"> for fusion.</w:t>
      </w:r>
      <w:r w:rsidR="00F76810" w:rsidRPr="00F84B72">
        <w:rPr>
          <w:sz w:val="22"/>
          <w:szCs w:val="22"/>
        </w:rPr>
        <w:t xml:space="preserve"> Inputs from this meeting will </w:t>
      </w:r>
      <w:r w:rsidR="00486ECC" w:rsidRPr="00F84B72">
        <w:rPr>
          <w:sz w:val="22"/>
          <w:szCs w:val="22"/>
        </w:rPr>
        <w:t xml:space="preserve">contribute to an IAEA database on </w:t>
      </w:r>
      <w:r w:rsidR="00231519" w:rsidRPr="00F84B72">
        <w:rPr>
          <w:sz w:val="22"/>
          <w:szCs w:val="22"/>
        </w:rPr>
        <w:t>C&amp;S</w:t>
      </w:r>
      <w:r w:rsidR="00486ECC" w:rsidRPr="00F84B72">
        <w:rPr>
          <w:sz w:val="22"/>
          <w:szCs w:val="22"/>
        </w:rPr>
        <w:t xml:space="preserve"> which is being developed for the </w:t>
      </w:r>
      <w:r w:rsidR="002D1E86" w:rsidRPr="00F84B72">
        <w:rPr>
          <w:sz w:val="22"/>
          <w:szCs w:val="22"/>
        </w:rPr>
        <w:t xml:space="preserve">IAEA </w:t>
      </w:r>
      <w:r w:rsidR="00486ECC" w:rsidRPr="00F84B72">
        <w:rPr>
          <w:sz w:val="22"/>
          <w:szCs w:val="22"/>
        </w:rPr>
        <w:t xml:space="preserve">Fusion CONNECT (FUSE) platform. </w:t>
      </w:r>
      <w:r w:rsidR="00716166" w:rsidRPr="00F84B72">
        <w:rPr>
          <w:sz w:val="22"/>
          <w:szCs w:val="22"/>
        </w:rPr>
        <w:t xml:space="preserve">The </w:t>
      </w:r>
      <w:r w:rsidR="00231519" w:rsidRPr="00F84B72">
        <w:rPr>
          <w:sz w:val="22"/>
          <w:szCs w:val="22"/>
        </w:rPr>
        <w:t xml:space="preserve">C&amp;S </w:t>
      </w:r>
      <w:r w:rsidR="00716166" w:rsidRPr="00F84B72">
        <w:rPr>
          <w:sz w:val="22"/>
          <w:szCs w:val="22"/>
        </w:rPr>
        <w:t xml:space="preserve">database will be continually updated by fusion organisations/companies to identify </w:t>
      </w:r>
      <w:r w:rsidR="002E64F3" w:rsidRPr="00F84B72">
        <w:rPr>
          <w:sz w:val="22"/>
          <w:szCs w:val="22"/>
        </w:rPr>
        <w:t xml:space="preserve">common </w:t>
      </w:r>
      <w:r w:rsidR="00231519" w:rsidRPr="00F84B72">
        <w:rPr>
          <w:sz w:val="22"/>
          <w:szCs w:val="22"/>
        </w:rPr>
        <w:t>C&amp;S</w:t>
      </w:r>
      <w:r w:rsidR="00FC2F56" w:rsidRPr="00F84B72">
        <w:rPr>
          <w:sz w:val="22"/>
          <w:szCs w:val="22"/>
        </w:rPr>
        <w:t>, (</w:t>
      </w:r>
      <w:r w:rsidR="001F6D27">
        <w:rPr>
          <w:sz w:val="22"/>
          <w:szCs w:val="22"/>
        </w:rPr>
        <w:t xml:space="preserve">which can </w:t>
      </w:r>
      <w:r w:rsidR="00823FB3">
        <w:rPr>
          <w:sz w:val="22"/>
          <w:szCs w:val="22"/>
        </w:rPr>
        <w:t>be adapted</w:t>
      </w:r>
      <w:r w:rsidR="001F6D27">
        <w:rPr>
          <w:sz w:val="22"/>
          <w:szCs w:val="22"/>
        </w:rPr>
        <w:t xml:space="preserve"> from other sectors</w:t>
      </w:r>
      <w:r w:rsidR="00FC2F56" w:rsidRPr="00F84B72">
        <w:rPr>
          <w:sz w:val="22"/>
          <w:szCs w:val="22"/>
        </w:rPr>
        <w:t xml:space="preserve">) </w:t>
      </w:r>
      <w:r w:rsidR="002E64F3" w:rsidRPr="00F84B72">
        <w:rPr>
          <w:sz w:val="22"/>
          <w:szCs w:val="22"/>
        </w:rPr>
        <w:t xml:space="preserve">which </w:t>
      </w:r>
      <w:r w:rsidR="008C1743" w:rsidRPr="00F84B72">
        <w:rPr>
          <w:sz w:val="22"/>
          <w:szCs w:val="22"/>
        </w:rPr>
        <w:t xml:space="preserve">apply across fusion technologies. </w:t>
      </w:r>
      <w:r w:rsidR="004B3DE3" w:rsidRPr="00F84B72">
        <w:rPr>
          <w:sz w:val="22"/>
          <w:szCs w:val="22"/>
        </w:rPr>
        <w:t>Areas where there are significant gaps</w:t>
      </w:r>
      <w:r w:rsidR="00EA5E5C">
        <w:rPr>
          <w:sz w:val="22"/>
          <w:szCs w:val="22"/>
        </w:rPr>
        <w:t xml:space="preserve"> (ex. tritium breeding)</w:t>
      </w:r>
      <w:r w:rsidR="004B3DE3" w:rsidRPr="00F84B72">
        <w:rPr>
          <w:sz w:val="22"/>
          <w:szCs w:val="22"/>
        </w:rPr>
        <w:t xml:space="preserve"> or areas </w:t>
      </w:r>
      <w:r w:rsidR="00EA5E5C">
        <w:rPr>
          <w:sz w:val="22"/>
          <w:szCs w:val="22"/>
        </w:rPr>
        <w:t xml:space="preserve">where revisions are </w:t>
      </w:r>
      <w:r w:rsidR="004B3DE3" w:rsidRPr="00F84B72">
        <w:rPr>
          <w:sz w:val="22"/>
          <w:szCs w:val="22"/>
        </w:rPr>
        <w:t>required</w:t>
      </w:r>
      <w:r w:rsidR="00EA5E5C">
        <w:rPr>
          <w:sz w:val="22"/>
          <w:szCs w:val="22"/>
        </w:rPr>
        <w:t xml:space="preserve"> (ex. ASME B</w:t>
      </w:r>
      <w:r w:rsidR="0020112A">
        <w:rPr>
          <w:sz w:val="22"/>
          <w:szCs w:val="22"/>
        </w:rPr>
        <w:t xml:space="preserve">oiler </w:t>
      </w:r>
      <w:r w:rsidR="00F13EB4">
        <w:rPr>
          <w:sz w:val="22"/>
          <w:szCs w:val="22"/>
        </w:rPr>
        <w:t xml:space="preserve">and </w:t>
      </w:r>
      <w:r w:rsidR="00EA5E5C">
        <w:rPr>
          <w:sz w:val="22"/>
          <w:szCs w:val="22"/>
        </w:rPr>
        <w:t>P</w:t>
      </w:r>
      <w:r w:rsidR="0020112A">
        <w:rPr>
          <w:sz w:val="22"/>
          <w:szCs w:val="22"/>
        </w:rPr>
        <w:t xml:space="preserve">ressure </w:t>
      </w:r>
      <w:r w:rsidR="00EA5E5C">
        <w:rPr>
          <w:sz w:val="22"/>
          <w:szCs w:val="22"/>
        </w:rPr>
        <w:t>V</w:t>
      </w:r>
      <w:r w:rsidR="0020112A">
        <w:rPr>
          <w:sz w:val="22"/>
          <w:szCs w:val="22"/>
        </w:rPr>
        <w:t xml:space="preserve">essel </w:t>
      </w:r>
      <w:r w:rsidR="00EA5E5C">
        <w:rPr>
          <w:sz w:val="22"/>
          <w:szCs w:val="22"/>
        </w:rPr>
        <w:t>C</w:t>
      </w:r>
      <w:r w:rsidR="0020112A">
        <w:rPr>
          <w:sz w:val="22"/>
          <w:szCs w:val="22"/>
        </w:rPr>
        <w:t>ode</w:t>
      </w:r>
      <w:r w:rsidR="00EA5E5C">
        <w:rPr>
          <w:sz w:val="22"/>
          <w:szCs w:val="22"/>
        </w:rPr>
        <w:t>)</w:t>
      </w:r>
      <w:r w:rsidR="004B3DE3" w:rsidRPr="00F84B72">
        <w:rPr>
          <w:sz w:val="22"/>
          <w:szCs w:val="22"/>
        </w:rPr>
        <w:t xml:space="preserve"> can then be identified </w:t>
      </w:r>
      <w:r w:rsidR="00BC0EBF" w:rsidRPr="00F84B72">
        <w:rPr>
          <w:sz w:val="22"/>
          <w:szCs w:val="22"/>
        </w:rPr>
        <w:t>in the database and handed to</w:t>
      </w:r>
      <w:r w:rsidR="004B3DE3" w:rsidRPr="00F84B72">
        <w:rPr>
          <w:sz w:val="22"/>
          <w:szCs w:val="22"/>
        </w:rPr>
        <w:t xml:space="preserve"> codes and standards organisations </w:t>
      </w:r>
      <w:r w:rsidR="00931A0C" w:rsidRPr="00F84B72">
        <w:rPr>
          <w:sz w:val="22"/>
          <w:szCs w:val="22"/>
        </w:rPr>
        <w:t>so that</w:t>
      </w:r>
      <w:r w:rsidR="004B3DE3" w:rsidRPr="00F84B72">
        <w:rPr>
          <w:sz w:val="22"/>
          <w:szCs w:val="22"/>
        </w:rPr>
        <w:t xml:space="preserve"> </w:t>
      </w:r>
      <w:r w:rsidR="00011711" w:rsidRPr="00F84B72">
        <w:rPr>
          <w:sz w:val="22"/>
          <w:szCs w:val="22"/>
        </w:rPr>
        <w:t>C&amp;S</w:t>
      </w:r>
      <w:r w:rsidR="004B3DE3" w:rsidRPr="00F84B72">
        <w:rPr>
          <w:sz w:val="22"/>
          <w:szCs w:val="22"/>
        </w:rPr>
        <w:t xml:space="preserve"> can be developed to support </w:t>
      </w:r>
      <w:r w:rsidR="00011711" w:rsidRPr="00F84B72">
        <w:rPr>
          <w:sz w:val="22"/>
          <w:szCs w:val="22"/>
        </w:rPr>
        <w:t>the growth of the fusion sector.</w:t>
      </w:r>
    </w:p>
    <w:p w14:paraId="577E9D4D" w14:textId="6B4A2EB6" w:rsidR="00A50F7B" w:rsidRPr="00F84B72" w:rsidRDefault="00762E03" w:rsidP="00865D02">
      <w:pPr>
        <w:pStyle w:val="para1"/>
        <w:rPr>
          <w:sz w:val="22"/>
          <w:szCs w:val="22"/>
        </w:rPr>
      </w:pPr>
      <w:r w:rsidRPr="00F84B72">
        <w:rPr>
          <w:sz w:val="22"/>
          <w:szCs w:val="22"/>
        </w:rPr>
        <w:lastRenderedPageBreak/>
        <w:t xml:space="preserve">There are key factors to consider when addressing </w:t>
      </w:r>
      <w:r w:rsidR="00EF652F" w:rsidRPr="00F84B72">
        <w:rPr>
          <w:sz w:val="22"/>
          <w:szCs w:val="22"/>
        </w:rPr>
        <w:t>C&amp;S</w:t>
      </w:r>
      <w:r w:rsidRPr="00F84B72">
        <w:rPr>
          <w:sz w:val="22"/>
          <w:szCs w:val="22"/>
        </w:rPr>
        <w:t xml:space="preserve"> for fusion, these include:</w:t>
      </w:r>
    </w:p>
    <w:p w14:paraId="0D1E9CC0" w14:textId="381F29AA" w:rsidR="00762E03" w:rsidRPr="00F84B72" w:rsidRDefault="00B45441" w:rsidP="00762E03">
      <w:pPr>
        <w:pStyle w:val="para1"/>
        <w:numPr>
          <w:ilvl w:val="0"/>
          <w:numId w:val="13"/>
        </w:numPr>
        <w:rPr>
          <w:sz w:val="22"/>
          <w:szCs w:val="22"/>
        </w:rPr>
      </w:pPr>
      <w:r w:rsidRPr="00F84B72">
        <w:rPr>
          <w:sz w:val="22"/>
          <w:szCs w:val="22"/>
        </w:rPr>
        <w:t>R</w:t>
      </w:r>
      <w:r w:rsidR="009672B0" w:rsidRPr="00F84B72">
        <w:rPr>
          <w:sz w:val="22"/>
          <w:szCs w:val="22"/>
        </w:rPr>
        <w:t xml:space="preserve">isks associated with not </w:t>
      </w:r>
      <w:r w:rsidR="006A3F50" w:rsidRPr="00F84B72">
        <w:rPr>
          <w:sz w:val="22"/>
          <w:szCs w:val="22"/>
        </w:rPr>
        <w:t xml:space="preserve">developing </w:t>
      </w:r>
      <w:r w:rsidR="00EF652F" w:rsidRPr="00F84B72">
        <w:rPr>
          <w:sz w:val="22"/>
          <w:szCs w:val="22"/>
        </w:rPr>
        <w:t>C&amp;S</w:t>
      </w:r>
      <w:r w:rsidR="006A3F50" w:rsidRPr="00F84B72">
        <w:rPr>
          <w:sz w:val="22"/>
          <w:szCs w:val="22"/>
        </w:rPr>
        <w:t xml:space="preserve">, these include custom engineering </w:t>
      </w:r>
      <w:r w:rsidR="00352596" w:rsidRPr="00F84B72">
        <w:rPr>
          <w:sz w:val="22"/>
          <w:szCs w:val="22"/>
        </w:rPr>
        <w:t>from scratch for each design, a risk of overdesign, licensing delays</w:t>
      </w:r>
      <w:r w:rsidR="00CF7EB8" w:rsidRPr="00F84B72">
        <w:rPr>
          <w:sz w:val="22"/>
          <w:szCs w:val="22"/>
        </w:rPr>
        <w:t xml:space="preserve">, a higher overall project cost and delays to timelines. </w:t>
      </w:r>
      <w:r w:rsidR="00283B7C" w:rsidRPr="00F84B72">
        <w:rPr>
          <w:sz w:val="22"/>
          <w:szCs w:val="22"/>
        </w:rPr>
        <w:t xml:space="preserve">In the </w:t>
      </w:r>
      <w:r w:rsidR="00E9319E" w:rsidRPr="00F84B72">
        <w:rPr>
          <w:sz w:val="22"/>
          <w:szCs w:val="22"/>
        </w:rPr>
        <w:t>long-term</w:t>
      </w:r>
      <w:r w:rsidR="00283B7C" w:rsidRPr="00F84B72">
        <w:rPr>
          <w:sz w:val="22"/>
          <w:szCs w:val="22"/>
        </w:rPr>
        <w:t>, i</w:t>
      </w:r>
      <w:r w:rsidR="00CF7EB8" w:rsidRPr="00F84B72">
        <w:rPr>
          <w:sz w:val="22"/>
          <w:szCs w:val="22"/>
        </w:rPr>
        <w:t xml:space="preserve">f </w:t>
      </w:r>
      <w:r w:rsidR="005F3B06" w:rsidRPr="00F84B72">
        <w:rPr>
          <w:sz w:val="22"/>
          <w:szCs w:val="22"/>
        </w:rPr>
        <w:t xml:space="preserve">all technological challenges have been solved but </w:t>
      </w:r>
      <w:r w:rsidR="00CF7EB8" w:rsidRPr="00F84B72">
        <w:rPr>
          <w:sz w:val="22"/>
          <w:szCs w:val="22"/>
        </w:rPr>
        <w:t>fusion plants are</w:t>
      </w:r>
      <w:r w:rsidR="00EE4EAB" w:rsidRPr="00F84B72">
        <w:rPr>
          <w:sz w:val="22"/>
          <w:szCs w:val="22"/>
        </w:rPr>
        <w:t xml:space="preserve"> economically inviable then fusion will not be commercially deployed.</w:t>
      </w:r>
    </w:p>
    <w:p w14:paraId="3E3D8E77" w14:textId="338D515E" w:rsidR="00283B7C" w:rsidRPr="00F84B72" w:rsidRDefault="001F3913" w:rsidP="00762E03">
      <w:pPr>
        <w:pStyle w:val="para1"/>
        <w:numPr>
          <w:ilvl w:val="0"/>
          <w:numId w:val="13"/>
        </w:numPr>
        <w:rPr>
          <w:sz w:val="22"/>
          <w:szCs w:val="22"/>
        </w:rPr>
      </w:pPr>
      <w:r w:rsidRPr="00F84B72">
        <w:rPr>
          <w:sz w:val="22"/>
          <w:szCs w:val="22"/>
        </w:rPr>
        <w:t xml:space="preserve">Identification of safety critical components is important, with </w:t>
      </w:r>
      <w:r w:rsidR="004F62EE" w:rsidRPr="00F84B72">
        <w:rPr>
          <w:sz w:val="22"/>
          <w:szCs w:val="22"/>
        </w:rPr>
        <w:t xml:space="preserve">considered thought to the </w:t>
      </w:r>
      <w:r w:rsidR="00EF652F" w:rsidRPr="00F84B72">
        <w:rPr>
          <w:sz w:val="22"/>
          <w:szCs w:val="22"/>
        </w:rPr>
        <w:t>C&amp;S</w:t>
      </w:r>
      <w:r w:rsidR="004F62EE" w:rsidRPr="00F84B72">
        <w:rPr>
          <w:sz w:val="22"/>
          <w:szCs w:val="22"/>
        </w:rPr>
        <w:t xml:space="preserve"> which </w:t>
      </w:r>
      <w:r w:rsidR="00FA0EB7" w:rsidRPr="00F84B72">
        <w:rPr>
          <w:sz w:val="22"/>
          <w:szCs w:val="22"/>
        </w:rPr>
        <w:t>should</w:t>
      </w:r>
      <w:r w:rsidR="004F62EE" w:rsidRPr="00F84B72">
        <w:rPr>
          <w:sz w:val="22"/>
          <w:szCs w:val="22"/>
        </w:rPr>
        <w:t xml:space="preserve"> be applied to these components. However, many of the components in a fusion plant </w:t>
      </w:r>
      <w:r w:rsidR="000C6A0E" w:rsidRPr="00F84B72">
        <w:rPr>
          <w:sz w:val="22"/>
          <w:szCs w:val="22"/>
        </w:rPr>
        <w:t xml:space="preserve">are non-safety critical and therefore their failure </w:t>
      </w:r>
      <w:r w:rsidR="000848CF" w:rsidRPr="00F84B72">
        <w:rPr>
          <w:sz w:val="22"/>
          <w:szCs w:val="22"/>
        </w:rPr>
        <w:t xml:space="preserve">only concerns investment protection. </w:t>
      </w:r>
      <w:r w:rsidR="00026B62" w:rsidRPr="00F84B72">
        <w:rPr>
          <w:sz w:val="22"/>
          <w:szCs w:val="22"/>
        </w:rPr>
        <w:t>Companies and organisations</w:t>
      </w:r>
      <w:r w:rsidR="0092428C" w:rsidRPr="00F84B72">
        <w:rPr>
          <w:sz w:val="22"/>
          <w:szCs w:val="22"/>
        </w:rPr>
        <w:t xml:space="preserve"> will want to prove the success of their novel non-safety critical components, </w:t>
      </w:r>
      <w:r w:rsidR="00673AC5" w:rsidRPr="00F84B72">
        <w:rPr>
          <w:sz w:val="22"/>
          <w:szCs w:val="22"/>
        </w:rPr>
        <w:t>for exampl</w:t>
      </w:r>
      <w:r w:rsidR="002A5CAE" w:rsidRPr="00F84B72">
        <w:rPr>
          <w:sz w:val="22"/>
          <w:szCs w:val="22"/>
        </w:rPr>
        <w:t>e by</w:t>
      </w:r>
      <w:r w:rsidR="00E3639B" w:rsidRPr="00F84B72">
        <w:rPr>
          <w:sz w:val="22"/>
          <w:szCs w:val="22"/>
        </w:rPr>
        <w:t xml:space="preserve"> </w:t>
      </w:r>
      <w:r w:rsidR="002A5CAE" w:rsidRPr="00F84B72">
        <w:rPr>
          <w:sz w:val="22"/>
          <w:szCs w:val="22"/>
        </w:rPr>
        <w:t>in-situ monitoring of</w:t>
      </w:r>
      <w:r w:rsidR="00E3639B" w:rsidRPr="00F84B72">
        <w:rPr>
          <w:sz w:val="22"/>
          <w:szCs w:val="22"/>
        </w:rPr>
        <w:t xml:space="preserve"> novel </w:t>
      </w:r>
      <w:r w:rsidR="00673AC5" w:rsidRPr="00F84B72">
        <w:rPr>
          <w:sz w:val="22"/>
          <w:szCs w:val="22"/>
        </w:rPr>
        <w:t>non-safety critical components.</w:t>
      </w:r>
      <w:r w:rsidR="0092428C" w:rsidRPr="00F84B72">
        <w:rPr>
          <w:sz w:val="22"/>
          <w:szCs w:val="22"/>
        </w:rPr>
        <w:t xml:space="preserve"> </w:t>
      </w:r>
    </w:p>
    <w:p w14:paraId="1C239B7D" w14:textId="43495121" w:rsidR="000848CF" w:rsidRPr="00F84B72" w:rsidRDefault="00EF652F" w:rsidP="000848CF">
      <w:pPr>
        <w:pStyle w:val="para1"/>
        <w:numPr>
          <w:ilvl w:val="0"/>
          <w:numId w:val="13"/>
        </w:numPr>
        <w:rPr>
          <w:sz w:val="22"/>
          <w:szCs w:val="22"/>
        </w:rPr>
      </w:pPr>
      <w:r w:rsidRPr="00F84B72">
        <w:rPr>
          <w:sz w:val="22"/>
          <w:szCs w:val="22"/>
        </w:rPr>
        <w:t xml:space="preserve">C&amp;S </w:t>
      </w:r>
      <w:r w:rsidR="000274FD" w:rsidRPr="00F84B72">
        <w:rPr>
          <w:sz w:val="22"/>
          <w:szCs w:val="22"/>
        </w:rPr>
        <w:t>should be developed alongside the fusion industry, aligning with its growth and maturity</w:t>
      </w:r>
      <w:r w:rsidR="000848CF" w:rsidRPr="00F84B72">
        <w:rPr>
          <w:sz w:val="22"/>
          <w:szCs w:val="22"/>
        </w:rPr>
        <w:t xml:space="preserve">. Not all data on fusion plants will necessarily be available prior to the commissioning of a plant, therefore </w:t>
      </w:r>
      <w:r w:rsidR="00B21583" w:rsidRPr="00F84B72">
        <w:rPr>
          <w:sz w:val="22"/>
          <w:szCs w:val="22"/>
        </w:rPr>
        <w:t xml:space="preserve">C&amp;S </w:t>
      </w:r>
      <w:r w:rsidR="005F1270" w:rsidRPr="00F84B72">
        <w:rPr>
          <w:sz w:val="22"/>
          <w:szCs w:val="22"/>
        </w:rPr>
        <w:t>on non-safety critical components should</w:t>
      </w:r>
      <w:r w:rsidR="000848CF" w:rsidRPr="00F84B72">
        <w:rPr>
          <w:sz w:val="22"/>
          <w:szCs w:val="22"/>
        </w:rPr>
        <w:t xml:space="preserve"> be guiding</w:t>
      </w:r>
      <w:r w:rsidR="000274FD" w:rsidRPr="00F84B72">
        <w:rPr>
          <w:sz w:val="22"/>
          <w:szCs w:val="22"/>
        </w:rPr>
        <w:t xml:space="preserve">. If </w:t>
      </w:r>
      <w:r w:rsidR="00B21583" w:rsidRPr="00F84B72">
        <w:rPr>
          <w:sz w:val="22"/>
          <w:szCs w:val="22"/>
        </w:rPr>
        <w:t xml:space="preserve">C&amp;S </w:t>
      </w:r>
      <w:r w:rsidR="000274FD" w:rsidRPr="00F84B72">
        <w:rPr>
          <w:sz w:val="22"/>
          <w:szCs w:val="22"/>
        </w:rPr>
        <w:t>are too prescriptive then this could stifle innovation</w:t>
      </w:r>
      <w:r w:rsidR="00AF27DE" w:rsidRPr="00F84B72">
        <w:rPr>
          <w:sz w:val="22"/>
          <w:szCs w:val="22"/>
        </w:rPr>
        <w:t xml:space="preserve"> and lead to increased timelines and higher costs.</w:t>
      </w:r>
    </w:p>
    <w:p w14:paraId="108EAC56" w14:textId="27551CCB" w:rsidR="00931A0C" w:rsidRPr="00F84B72" w:rsidRDefault="00F13898" w:rsidP="000848CF">
      <w:pPr>
        <w:pStyle w:val="para1"/>
        <w:numPr>
          <w:ilvl w:val="0"/>
          <w:numId w:val="13"/>
        </w:numPr>
        <w:rPr>
          <w:sz w:val="22"/>
          <w:szCs w:val="22"/>
        </w:rPr>
      </w:pPr>
      <w:r w:rsidRPr="00F84B72">
        <w:rPr>
          <w:sz w:val="22"/>
          <w:szCs w:val="22"/>
        </w:rPr>
        <w:t xml:space="preserve">Timely development of C&amp;S. </w:t>
      </w:r>
      <w:r w:rsidR="00FF3A23" w:rsidRPr="00F84B72">
        <w:rPr>
          <w:sz w:val="22"/>
          <w:szCs w:val="22"/>
        </w:rPr>
        <w:t>It is important for C&amp;S to be developed as the fusion industry is maturing</w:t>
      </w:r>
      <w:r w:rsidR="00273ADD" w:rsidRPr="00F84B72">
        <w:rPr>
          <w:sz w:val="22"/>
          <w:szCs w:val="22"/>
        </w:rPr>
        <w:t xml:space="preserve"> as C&amp;S take several years to develop</w:t>
      </w:r>
      <w:r w:rsidR="00736EC3" w:rsidRPr="00F84B72">
        <w:rPr>
          <w:sz w:val="22"/>
          <w:szCs w:val="22"/>
        </w:rPr>
        <w:t xml:space="preserve"> and C&amp;S should be in place when commercial deployment is reached. </w:t>
      </w:r>
      <w:r w:rsidR="00FF3A23" w:rsidRPr="00F84B72">
        <w:rPr>
          <w:sz w:val="22"/>
          <w:szCs w:val="22"/>
        </w:rPr>
        <w:t xml:space="preserve"> </w:t>
      </w:r>
    </w:p>
    <w:p w14:paraId="25C2A35F" w14:textId="5FB8AB35" w:rsidR="00EA2B9D" w:rsidRPr="00EA2B9D" w:rsidRDefault="00686C01" w:rsidP="00F84B72">
      <w:pPr>
        <w:pStyle w:val="Heading1"/>
      </w:pPr>
      <w:r>
        <w:t>Purpose</w:t>
      </w:r>
    </w:p>
    <w:p w14:paraId="3D65E324" w14:textId="78ACB233" w:rsidR="00686C01" w:rsidRPr="00F84B72" w:rsidRDefault="00216525" w:rsidP="00F84B72">
      <w:r w:rsidRPr="00F84B72">
        <w:rPr>
          <w:rFonts w:ascii="Times New Roman" w:hAnsi="Times New Roman" w:cs="Times New Roman"/>
          <w:bCs/>
          <w:szCs w:val="14"/>
        </w:rPr>
        <w:t>The purpose of the event is to present, review and discuss experiences of the application of codes and standards in the deployment of fusion facilities.</w:t>
      </w:r>
    </w:p>
    <w:p w14:paraId="6041DC50" w14:textId="77777777" w:rsidR="00FC530C" w:rsidRPr="00F84B72" w:rsidRDefault="00FC530C" w:rsidP="00FC530C">
      <w:pPr>
        <w:pStyle w:val="Heading1"/>
        <w:keepNext/>
        <w:keepLines/>
        <w:spacing w:before="100" w:beforeAutospacing="1" w:after="100" w:afterAutospacing="1"/>
        <w:rPr>
          <w:rFonts w:asciiTheme="majorBidi" w:hAnsiTheme="majorBidi" w:cstheme="majorBidi"/>
        </w:rPr>
      </w:pPr>
      <w:r w:rsidRPr="00F84B72">
        <w:rPr>
          <w:rFonts w:asciiTheme="majorBidi" w:hAnsiTheme="majorBidi" w:cstheme="majorBidi"/>
        </w:rPr>
        <w:t>Objectives</w:t>
      </w:r>
    </w:p>
    <w:p w14:paraId="663FB49B" w14:textId="72DA63E3" w:rsidR="00B472A0" w:rsidRPr="00F84B72" w:rsidRDefault="00B472A0" w:rsidP="00FC530C">
      <w:pPr>
        <w:pStyle w:val="para1"/>
        <w:rPr>
          <w:sz w:val="22"/>
          <w:szCs w:val="22"/>
        </w:rPr>
      </w:pPr>
      <w:r w:rsidRPr="00F84B72">
        <w:rPr>
          <w:sz w:val="22"/>
          <w:szCs w:val="22"/>
        </w:rPr>
        <w:t xml:space="preserve">The </w:t>
      </w:r>
      <w:proofErr w:type="gramStart"/>
      <w:r w:rsidR="00216525">
        <w:rPr>
          <w:sz w:val="22"/>
          <w:szCs w:val="22"/>
        </w:rPr>
        <w:t>objectives</w:t>
      </w:r>
      <w:proofErr w:type="gramEnd"/>
      <w:r w:rsidRPr="00F84B72">
        <w:rPr>
          <w:sz w:val="22"/>
          <w:szCs w:val="22"/>
        </w:rPr>
        <w:t xml:space="preserve"> of the </w:t>
      </w:r>
      <w:r w:rsidR="003114D4" w:rsidRPr="00F84B72">
        <w:rPr>
          <w:sz w:val="22"/>
          <w:szCs w:val="22"/>
        </w:rPr>
        <w:t>m</w:t>
      </w:r>
      <w:r w:rsidRPr="00F84B72">
        <w:rPr>
          <w:sz w:val="22"/>
          <w:szCs w:val="22"/>
        </w:rPr>
        <w:t xml:space="preserve">eeting is to discuss </w:t>
      </w:r>
      <w:r w:rsidR="00862D3A" w:rsidRPr="00F84B72">
        <w:rPr>
          <w:sz w:val="22"/>
          <w:szCs w:val="22"/>
        </w:rPr>
        <w:t>A</w:t>
      </w:r>
      <w:r w:rsidR="00BD636E" w:rsidRPr="00F84B72">
        <w:rPr>
          <w:sz w:val="22"/>
          <w:szCs w:val="22"/>
        </w:rPr>
        <w:t>pplicable Codes and Standards</w:t>
      </w:r>
      <w:r w:rsidR="00551410" w:rsidRPr="00F84B72">
        <w:rPr>
          <w:sz w:val="22"/>
          <w:szCs w:val="22"/>
        </w:rPr>
        <w:t xml:space="preserve"> </w:t>
      </w:r>
      <w:r w:rsidR="00C22A21" w:rsidRPr="00F84B72">
        <w:rPr>
          <w:sz w:val="22"/>
          <w:szCs w:val="22"/>
        </w:rPr>
        <w:t xml:space="preserve">for fusion </w:t>
      </w:r>
      <w:r w:rsidR="00983F09" w:rsidRPr="00F84B72">
        <w:rPr>
          <w:sz w:val="22"/>
          <w:szCs w:val="22"/>
        </w:rPr>
        <w:t>machines</w:t>
      </w:r>
      <w:r w:rsidR="00284506" w:rsidRPr="00F84B72">
        <w:rPr>
          <w:sz w:val="22"/>
          <w:szCs w:val="22"/>
        </w:rPr>
        <w:t xml:space="preserve">, </w:t>
      </w:r>
      <w:r w:rsidR="009E7C01" w:rsidRPr="00F84B72">
        <w:rPr>
          <w:sz w:val="22"/>
          <w:szCs w:val="22"/>
        </w:rPr>
        <w:t>share best practices, and iden</w:t>
      </w:r>
      <w:r w:rsidR="00807A4D" w:rsidRPr="00F84B72">
        <w:rPr>
          <w:sz w:val="22"/>
          <w:szCs w:val="22"/>
        </w:rPr>
        <w:t>tif</w:t>
      </w:r>
      <w:r w:rsidR="009E7C01" w:rsidRPr="00F84B72">
        <w:rPr>
          <w:sz w:val="22"/>
          <w:szCs w:val="22"/>
        </w:rPr>
        <w:t>y key research and development gaps</w:t>
      </w:r>
      <w:r w:rsidR="0036449D" w:rsidRPr="00F84B72">
        <w:rPr>
          <w:sz w:val="22"/>
          <w:szCs w:val="22"/>
        </w:rPr>
        <w:t xml:space="preserve"> to </w:t>
      </w:r>
      <w:r w:rsidR="00807A4D" w:rsidRPr="00F84B72">
        <w:rPr>
          <w:sz w:val="22"/>
          <w:szCs w:val="22"/>
        </w:rPr>
        <w:t>prioritise</w:t>
      </w:r>
      <w:r w:rsidR="00F84479" w:rsidRPr="00F84B72">
        <w:rPr>
          <w:sz w:val="22"/>
          <w:szCs w:val="22"/>
        </w:rPr>
        <w:t xml:space="preserve"> future efforts and foster collaboration across stakeholders.</w:t>
      </w:r>
      <w:r w:rsidR="00C22A21" w:rsidRPr="00F84B72">
        <w:rPr>
          <w:sz w:val="22"/>
          <w:szCs w:val="22"/>
        </w:rPr>
        <w:t xml:space="preserve"> </w:t>
      </w:r>
      <w:r w:rsidR="00F249C6" w:rsidRPr="00F84B72">
        <w:rPr>
          <w:sz w:val="22"/>
          <w:szCs w:val="22"/>
        </w:rPr>
        <w:t xml:space="preserve">This </w:t>
      </w:r>
      <w:r w:rsidR="00766BF3" w:rsidRPr="00F84B72">
        <w:rPr>
          <w:sz w:val="22"/>
          <w:szCs w:val="22"/>
        </w:rPr>
        <w:t xml:space="preserve">effort </w:t>
      </w:r>
      <w:r w:rsidR="00F249C6" w:rsidRPr="00F84B72">
        <w:rPr>
          <w:sz w:val="22"/>
          <w:szCs w:val="22"/>
        </w:rPr>
        <w:t>is</w:t>
      </w:r>
      <w:r w:rsidR="00990CC7" w:rsidRPr="00F84B72">
        <w:rPr>
          <w:sz w:val="22"/>
          <w:szCs w:val="22"/>
        </w:rPr>
        <w:t xml:space="preserve"> part of the </w:t>
      </w:r>
      <w:r w:rsidRPr="00F84B72">
        <w:rPr>
          <w:sz w:val="22"/>
          <w:szCs w:val="22"/>
        </w:rPr>
        <w:t xml:space="preserve">development of a </w:t>
      </w:r>
      <w:r w:rsidR="00AF201B" w:rsidRPr="00F84B72">
        <w:rPr>
          <w:sz w:val="22"/>
          <w:szCs w:val="22"/>
        </w:rPr>
        <w:t>Fusion CONNECT platform</w:t>
      </w:r>
      <w:r w:rsidR="003114D4" w:rsidRPr="00F84B72">
        <w:rPr>
          <w:sz w:val="22"/>
          <w:szCs w:val="22"/>
        </w:rPr>
        <w:t>, hosted by the IAEA,</w:t>
      </w:r>
      <w:r w:rsidR="009F2C9E" w:rsidRPr="00F84B72">
        <w:rPr>
          <w:sz w:val="22"/>
          <w:szCs w:val="22"/>
        </w:rPr>
        <w:t xml:space="preserve"> </w:t>
      </w:r>
      <w:r w:rsidR="001201EE" w:rsidRPr="00F84B72">
        <w:rPr>
          <w:sz w:val="22"/>
          <w:szCs w:val="22"/>
        </w:rPr>
        <w:t>supporting</w:t>
      </w:r>
      <w:r w:rsidR="00DA6E89" w:rsidRPr="00F84B72">
        <w:rPr>
          <w:sz w:val="22"/>
          <w:szCs w:val="22"/>
        </w:rPr>
        <w:t xml:space="preserve"> </w:t>
      </w:r>
      <w:r w:rsidR="001201EE" w:rsidRPr="00F84B72">
        <w:rPr>
          <w:sz w:val="22"/>
          <w:szCs w:val="22"/>
        </w:rPr>
        <w:t xml:space="preserve">fusion </w:t>
      </w:r>
      <w:r w:rsidR="00E147CB" w:rsidRPr="00F84B72">
        <w:rPr>
          <w:sz w:val="22"/>
          <w:szCs w:val="22"/>
        </w:rPr>
        <w:t>p</w:t>
      </w:r>
      <w:r w:rsidR="00F81D0C" w:rsidRPr="00F84B72">
        <w:rPr>
          <w:sz w:val="22"/>
          <w:szCs w:val="22"/>
        </w:rPr>
        <w:t>ower</w:t>
      </w:r>
      <w:r w:rsidR="00E147CB" w:rsidRPr="00F84B72">
        <w:rPr>
          <w:sz w:val="22"/>
          <w:szCs w:val="22"/>
        </w:rPr>
        <w:t xml:space="preserve"> </w:t>
      </w:r>
      <w:r w:rsidR="001201EE" w:rsidRPr="00F84B72">
        <w:rPr>
          <w:sz w:val="22"/>
          <w:szCs w:val="22"/>
        </w:rPr>
        <w:t>plant</w:t>
      </w:r>
      <w:r w:rsidR="00E147CB" w:rsidRPr="00F84B72">
        <w:rPr>
          <w:sz w:val="22"/>
          <w:szCs w:val="22"/>
        </w:rPr>
        <w:t xml:space="preserve"> development and deployment</w:t>
      </w:r>
      <w:r w:rsidR="001201EE" w:rsidRPr="00F84B72">
        <w:rPr>
          <w:sz w:val="22"/>
          <w:szCs w:val="22"/>
        </w:rPr>
        <w:t xml:space="preserve"> through the production of several IAEA</w:t>
      </w:r>
      <w:r w:rsidR="00C77E61" w:rsidRPr="00F84B72">
        <w:rPr>
          <w:sz w:val="22"/>
          <w:szCs w:val="22"/>
        </w:rPr>
        <w:t xml:space="preserve"> databases</w:t>
      </w:r>
      <w:r w:rsidR="009F2C9E" w:rsidRPr="00F84B72">
        <w:rPr>
          <w:sz w:val="22"/>
          <w:szCs w:val="22"/>
        </w:rPr>
        <w:t xml:space="preserve">. These </w:t>
      </w:r>
      <w:r w:rsidR="00C77E61" w:rsidRPr="00F84B72">
        <w:rPr>
          <w:sz w:val="22"/>
          <w:szCs w:val="22"/>
        </w:rPr>
        <w:t xml:space="preserve">databases </w:t>
      </w:r>
      <w:r w:rsidR="009F2C9E" w:rsidRPr="00F84B72">
        <w:rPr>
          <w:sz w:val="22"/>
          <w:szCs w:val="22"/>
        </w:rPr>
        <w:t>will</w:t>
      </w:r>
      <w:r w:rsidR="001201EE" w:rsidRPr="00F84B72">
        <w:rPr>
          <w:sz w:val="22"/>
          <w:szCs w:val="22"/>
        </w:rPr>
        <w:t xml:space="preserve"> address </w:t>
      </w:r>
      <w:r w:rsidR="004A2C62" w:rsidRPr="00F84B72">
        <w:rPr>
          <w:sz w:val="22"/>
          <w:szCs w:val="22"/>
        </w:rPr>
        <w:t xml:space="preserve">the </w:t>
      </w:r>
      <w:r w:rsidR="00617732" w:rsidRPr="00F84B72">
        <w:rPr>
          <w:sz w:val="22"/>
          <w:szCs w:val="22"/>
        </w:rPr>
        <w:t>codes and standards</w:t>
      </w:r>
      <w:r w:rsidR="00C77E61" w:rsidRPr="00F84B72">
        <w:rPr>
          <w:sz w:val="22"/>
          <w:szCs w:val="22"/>
        </w:rPr>
        <w:t xml:space="preserve"> </w:t>
      </w:r>
      <w:r w:rsidR="00617732" w:rsidRPr="00F84B72">
        <w:rPr>
          <w:sz w:val="22"/>
          <w:szCs w:val="22"/>
        </w:rPr>
        <w:t>with different technologies, fuel cycles, and systems</w:t>
      </w:r>
      <w:r w:rsidR="001201EE" w:rsidRPr="00F84B72">
        <w:rPr>
          <w:sz w:val="22"/>
          <w:szCs w:val="22"/>
        </w:rPr>
        <w:t>.</w:t>
      </w:r>
      <w:r w:rsidR="00DA6E89" w:rsidRPr="00F84B72">
        <w:rPr>
          <w:sz w:val="22"/>
          <w:szCs w:val="22"/>
        </w:rPr>
        <w:t xml:space="preserve"> </w:t>
      </w:r>
      <w:r w:rsidR="00EA341F" w:rsidRPr="00F84B72">
        <w:rPr>
          <w:sz w:val="22"/>
          <w:szCs w:val="22"/>
        </w:rPr>
        <w:t xml:space="preserve">This meeting </w:t>
      </w:r>
      <w:r w:rsidR="00E147CB" w:rsidRPr="00F84B72">
        <w:rPr>
          <w:sz w:val="22"/>
          <w:szCs w:val="22"/>
        </w:rPr>
        <w:t>is to</w:t>
      </w:r>
      <w:r w:rsidR="00EA341F" w:rsidRPr="00F84B72">
        <w:rPr>
          <w:sz w:val="22"/>
          <w:szCs w:val="22"/>
        </w:rPr>
        <w:t xml:space="preserve"> prepare objectives and assign activities for </w:t>
      </w:r>
      <w:r w:rsidR="001F2C14" w:rsidRPr="00F84B72">
        <w:rPr>
          <w:sz w:val="22"/>
          <w:szCs w:val="22"/>
        </w:rPr>
        <w:t>which can contribute towards the</w:t>
      </w:r>
      <w:r w:rsidR="004D41D5" w:rsidRPr="00F84B72">
        <w:rPr>
          <w:sz w:val="22"/>
          <w:szCs w:val="22"/>
        </w:rPr>
        <w:t xml:space="preserve"> </w:t>
      </w:r>
      <w:r w:rsidR="001F2C14" w:rsidRPr="00F84B72">
        <w:rPr>
          <w:sz w:val="22"/>
          <w:szCs w:val="22"/>
        </w:rPr>
        <w:t>A</w:t>
      </w:r>
      <w:r w:rsidR="004D41D5" w:rsidRPr="00F84B72">
        <w:rPr>
          <w:sz w:val="22"/>
          <w:szCs w:val="22"/>
        </w:rPr>
        <w:t xml:space="preserve">pplicable </w:t>
      </w:r>
      <w:r w:rsidR="001F2C14" w:rsidRPr="00F84B72">
        <w:rPr>
          <w:sz w:val="22"/>
          <w:szCs w:val="22"/>
        </w:rPr>
        <w:t>C</w:t>
      </w:r>
      <w:r w:rsidR="004D41D5" w:rsidRPr="00F84B72">
        <w:rPr>
          <w:sz w:val="22"/>
          <w:szCs w:val="22"/>
        </w:rPr>
        <w:t xml:space="preserve">odes and </w:t>
      </w:r>
      <w:r w:rsidR="001F2C14" w:rsidRPr="00F84B72">
        <w:rPr>
          <w:sz w:val="22"/>
          <w:szCs w:val="22"/>
        </w:rPr>
        <w:t>S</w:t>
      </w:r>
      <w:r w:rsidR="004D41D5" w:rsidRPr="00F84B72">
        <w:rPr>
          <w:sz w:val="22"/>
          <w:szCs w:val="22"/>
        </w:rPr>
        <w:t>tandards for fusion power plants</w:t>
      </w:r>
      <w:r w:rsidR="001F2C14" w:rsidRPr="00F84B72">
        <w:rPr>
          <w:sz w:val="22"/>
          <w:szCs w:val="22"/>
        </w:rPr>
        <w:t xml:space="preserve"> database</w:t>
      </w:r>
      <w:r w:rsidR="004A2C62" w:rsidRPr="00F84B72">
        <w:rPr>
          <w:sz w:val="22"/>
          <w:szCs w:val="22"/>
        </w:rPr>
        <w:t>.</w:t>
      </w:r>
    </w:p>
    <w:p w14:paraId="61441389" w14:textId="27E33258" w:rsidR="00FC530C" w:rsidRPr="00F84B72" w:rsidRDefault="00FC530C" w:rsidP="00FC530C">
      <w:pPr>
        <w:pStyle w:val="para1"/>
        <w:rPr>
          <w:sz w:val="22"/>
          <w:szCs w:val="22"/>
        </w:rPr>
      </w:pPr>
      <w:r w:rsidRPr="00F84B72">
        <w:rPr>
          <w:sz w:val="22"/>
          <w:szCs w:val="22"/>
        </w:rPr>
        <w:t xml:space="preserve">Specific objectives of the </w:t>
      </w:r>
      <w:r w:rsidR="00761DD5" w:rsidRPr="00F84B72">
        <w:rPr>
          <w:sz w:val="22"/>
          <w:szCs w:val="22"/>
        </w:rPr>
        <w:t>event</w:t>
      </w:r>
      <w:r w:rsidRPr="00F84B72">
        <w:rPr>
          <w:sz w:val="22"/>
          <w:szCs w:val="22"/>
        </w:rPr>
        <w:t xml:space="preserve"> are</w:t>
      </w:r>
      <w:r w:rsidR="009F2C9E" w:rsidRPr="00F84B72">
        <w:rPr>
          <w:sz w:val="22"/>
          <w:szCs w:val="22"/>
        </w:rPr>
        <w:t xml:space="preserve"> to have experts in </w:t>
      </w:r>
      <w:r w:rsidR="00551410" w:rsidRPr="00F84B72">
        <w:rPr>
          <w:sz w:val="22"/>
          <w:szCs w:val="22"/>
        </w:rPr>
        <w:t xml:space="preserve">design, </w:t>
      </w:r>
      <w:r w:rsidR="00162B53" w:rsidRPr="00F84B72">
        <w:rPr>
          <w:sz w:val="22"/>
          <w:szCs w:val="22"/>
        </w:rPr>
        <w:t>construction, and testing</w:t>
      </w:r>
      <w:r w:rsidR="00551410" w:rsidRPr="00F84B72">
        <w:rPr>
          <w:sz w:val="22"/>
          <w:szCs w:val="22"/>
        </w:rPr>
        <w:t xml:space="preserve"> </w:t>
      </w:r>
      <w:r w:rsidR="00162B53" w:rsidRPr="00F84B72">
        <w:rPr>
          <w:sz w:val="22"/>
          <w:szCs w:val="22"/>
        </w:rPr>
        <w:t xml:space="preserve">of </w:t>
      </w:r>
      <w:r w:rsidR="005D382D" w:rsidRPr="00F84B72">
        <w:rPr>
          <w:sz w:val="22"/>
          <w:szCs w:val="22"/>
        </w:rPr>
        <w:t xml:space="preserve">materials, </w:t>
      </w:r>
      <w:r w:rsidR="00162B53" w:rsidRPr="00F84B72">
        <w:rPr>
          <w:sz w:val="22"/>
          <w:szCs w:val="22"/>
        </w:rPr>
        <w:t xml:space="preserve">structures, systems, and components </w:t>
      </w:r>
      <w:r w:rsidR="00551410" w:rsidRPr="00F84B72">
        <w:rPr>
          <w:sz w:val="22"/>
          <w:szCs w:val="22"/>
        </w:rPr>
        <w:t>for fusion machines</w:t>
      </w:r>
      <w:r w:rsidRPr="00F84B72">
        <w:rPr>
          <w:sz w:val="22"/>
          <w:szCs w:val="22"/>
        </w:rPr>
        <w:t>:</w:t>
      </w:r>
    </w:p>
    <w:p w14:paraId="33825A8C" w14:textId="612C8275" w:rsidR="009F2C9E" w:rsidRPr="00F84B72" w:rsidRDefault="00AC00C1" w:rsidP="0077021B">
      <w:pPr>
        <w:pStyle w:val="para1"/>
        <w:numPr>
          <w:ilvl w:val="0"/>
          <w:numId w:val="4"/>
        </w:numPr>
        <w:rPr>
          <w:sz w:val="22"/>
          <w:szCs w:val="22"/>
        </w:rPr>
      </w:pPr>
      <w:r w:rsidRPr="00F84B72">
        <w:rPr>
          <w:sz w:val="22"/>
          <w:szCs w:val="22"/>
        </w:rPr>
        <w:t>D</w:t>
      </w:r>
      <w:r w:rsidR="009F2C9E" w:rsidRPr="00F84B72">
        <w:rPr>
          <w:sz w:val="22"/>
          <w:szCs w:val="22"/>
        </w:rPr>
        <w:t>iscuss the status of fusion demonstration</w:t>
      </w:r>
      <w:r w:rsidR="00766BF3" w:rsidRPr="00F84B72">
        <w:rPr>
          <w:sz w:val="22"/>
          <w:szCs w:val="22"/>
        </w:rPr>
        <w:t>/pilot</w:t>
      </w:r>
      <w:r w:rsidR="009F2C9E" w:rsidRPr="00F84B72">
        <w:rPr>
          <w:sz w:val="22"/>
          <w:szCs w:val="22"/>
        </w:rPr>
        <w:t xml:space="preserve"> plants in progress, with particular focus on </w:t>
      </w:r>
      <w:r w:rsidR="00EF0C6C" w:rsidRPr="00F84B72">
        <w:rPr>
          <w:sz w:val="22"/>
          <w:szCs w:val="22"/>
        </w:rPr>
        <w:t xml:space="preserve">the methodology for identifying </w:t>
      </w:r>
      <w:r w:rsidR="003D24E8" w:rsidRPr="00F84B72">
        <w:rPr>
          <w:sz w:val="22"/>
          <w:szCs w:val="22"/>
        </w:rPr>
        <w:t>Applicable Codes and Standards</w:t>
      </w:r>
      <w:r w:rsidR="00FC59BB" w:rsidRPr="00F84B72">
        <w:rPr>
          <w:sz w:val="22"/>
          <w:szCs w:val="22"/>
        </w:rPr>
        <w:t>:</w:t>
      </w:r>
    </w:p>
    <w:p w14:paraId="108DE111" w14:textId="689A920A" w:rsidR="00677D8C" w:rsidRPr="00F84B72" w:rsidRDefault="004A73B6" w:rsidP="0077021B">
      <w:pPr>
        <w:pStyle w:val="para1"/>
        <w:numPr>
          <w:ilvl w:val="1"/>
          <w:numId w:val="4"/>
        </w:numPr>
        <w:rPr>
          <w:sz w:val="22"/>
          <w:szCs w:val="22"/>
        </w:rPr>
      </w:pPr>
      <w:r w:rsidRPr="00F84B72">
        <w:rPr>
          <w:sz w:val="22"/>
          <w:szCs w:val="22"/>
        </w:rPr>
        <w:t xml:space="preserve">Identify </w:t>
      </w:r>
      <w:r w:rsidR="00677D8C" w:rsidRPr="00F84B72">
        <w:rPr>
          <w:sz w:val="22"/>
          <w:szCs w:val="22"/>
        </w:rPr>
        <w:t xml:space="preserve">relevant industry </w:t>
      </w:r>
      <w:r w:rsidRPr="00F84B72">
        <w:rPr>
          <w:sz w:val="22"/>
          <w:szCs w:val="22"/>
        </w:rPr>
        <w:t>Codes and Standards</w:t>
      </w:r>
      <w:r w:rsidR="00677D8C" w:rsidRPr="00F84B72">
        <w:rPr>
          <w:sz w:val="22"/>
          <w:szCs w:val="22"/>
        </w:rPr>
        <w:t xml:space="preserve"> applicable to fusion energy systems</w:t>
      </w:r>
      <w:r w:rsidR="00E16AD1" w:rsidRPr="00F84B72">
        <w:rPr>
          <w:sz w:val="22"/>
          <w:szCs w:val="22"/>
        </w:rPr>
        <w:t>.</w:t>
      </w:r>
      <w:r w:rsidRPr="00F84B72">
        <w:rPr>
          <w:sz w:val="22"/>
          <w:szCs w:val="22"/>
        </w:rPr>
        <w:t xml:space="preserve"> </w:t>
      </w:r>
    </w:p>
    <w:p w14:paraId="419C6502" w14:textId="3EEDDB6F" w:rsidR="004A73B6" w:rsidRDefault="00677D8C" w:rsidP="0077021B">
      <w:pPr>
        <w:pStyle w:val="para1"/>
        <w:numPr>
          <w:ilvl w:val="1"/>
          <w:numId w:val="4"/>
        </w:numPr>
        <w:rPr>
          <w:sz w:val="22"/>
          <w:szCs w:val="22"/>
        </w:rPr>
      </w:pPr>
      <w:r w:rsidRPr="00F84B72">
        <w:rPr>
          <w:sz w:val="22"/>
          <w:szCs w:val="22"/>
        </w:rPr>
        <w:lastRenderedPageBreak/>
        <w:t>Identify areas where codes and standards</w:t>
      </w:r>
      <w:r w:rsidR="004A73B6" w:rsidRPr="00F84B72">
        <w:rPr>
          <w:sz w:val="22"/>
          <w:szCs w:val="22"/>
        </w:rPr>
        <w:t xml:space="preserve"> do not </w:t>
      </w:r>
      <w:r w:rsidR="00C23ADA" w:rsidRPr="00F84B72">
        <w:rPr>
          <w:sz w:val="22"/>
          <w:szCs w:val="22"/>
        </w:rPr>
        <w:t>exist, or</w:t>
      </w:r>
      <w:r w:rsidRPr="00F84B72">
        <w:rPr>
          <w:sz w:val="22"/>
          <w:szCs w:val="22"/>
        </w:rPr>
        <w:t xml:space="preserve"> need to be </w:t>
      </w:r>
      <w:r w:rsidR="001F3C77" w:rsidRPr="00F84B72">
        <w:rPr>
          <w:sz w:val="22"/>
          <w:szCs w:val="22"/>
        </w:rPr>
        <w:t>de</w:t>
      </w:r>
      <w:r w:rsidR="00807A4D" w:rsidRPr="00F84B72">
        <w:rPr>
          <w:sz w:val="22"/>
          <w:szCs w:val="22"/>
        </w:rPr>
        <w:t>veloped</w:t>
      </w:r>
      <w:r w:rsidR="001F3C77" w:rsidRPr="00F84B72">
        <w:rPr>
          <w:sz w:val="22"/>
          <w:szCs w:val="22"/>
        </w:rPr>
        <w:t xml:space="preserve"> or </w:t>
      </w:r>
      <w:r w:rsidRPr="00F84B72">
        <w:rPr>
          <w:sz w:val="22"/>
          <w:szCs w:val="22"/>
        </w:rPr>
        <w:t>revised</w:t>
      </w:r>
      <w:r w:rsidR="004A73B6" w:rsidRPr="00F84B72">
        <w:rPr>
          <w:sz w:val="22"/>
          <w:szCs w:val="22"/>
        </w:rPr>
        <w:t xml:space="preserve"> for fusion </w:t>
      </w:r>
      <w:r w:rsidRPr="00F84B72">
        <w:rPr>
          <w:sz w:val="22"/>
          <w:szCs w:val="22"/>
        </w:rPr>
        <w:t>energy systems</w:t>
      </w:r>
      <w:r w:rsidR="00E16AD1" w:rsidRPr="00F84B72">
        <w:rPr>
          <w:sz w:val="22"/>
          <w:szCs w:val="22"/>
        </w:rPr>
        <w:t>.</w:t>
      </w:r>
      <w:r w:rsidR="001B7E78">
        <w:rPr>
          <w:sz w:val="22"/>
          <w:szCs w:val="22"/>
        </w:rPr>
        <w:t xml:space="preserve"> Some examples are listed below.</w:t>
      </w:r>
    </w:p>
    <w:p w14:paraId="1BB39D5F" w14:textId="3CEFBCF4" w:rsidR="00381B8C" w:rsidRPr="00381B8C" w:rsidRDefault="00381B8C" w:rsidP="00381B8C">
      <w:pPr>
        <w:pStyle w:val="para1"/>
        <w:numPr>
          <w:ilvl w:val="2"/>
          <w:numId w:val="4"/>
        </w:numPr>
        <w:rPr>
          <w:sz w:val="22"/>
          <w:szCs w:val="22"/>
        </w:rPr>
      </w:pPr>
      <w:r w:rsidRPr="00381B8C">
        <w:rPr>
          <w:sz w:val="22"/>
          <w:szCs w:val="22"/>
        </w:rPr>
        <w:t xml:space="preserve">Materials data: operation of validated materials under different temperatures e.g. 20 K, radiation induced deformation mechanisms under 14 MeV neutrons, joints between materials, tritium permeation and </w:t>
      </w:r>
      <w:r w:rsidR="00487466">
        <w:rPr>
          <w:sz w:val="22"/>
          <w:szCs w:val="22"/>
        </w:rPr>
        <w:t>e</w:t>
      </w:r>
      <w:r w:rsidRPr="00381B8C">
        <w:rPr>
          <w:sz w:val="22"/>
          <w:szCs w:val="22"/>
        </w:rPr>
        <w:t>lectromagnetic loads on materials. In addition, new materials are still in development and are not included in existing C&amp;S.</w:t>
      </w:r>
    </w:p>
    <w:p w14:paraId="73983A3B" w14:textId="57812522" w:rsidR="00381B8C" w:rsidRPr="003B6640" w:rsidRDefault="00381B8C" w:rsidP="003B6640">
      <w:pPr>
        <w:pStyle w:val="para1"/>
        <w:numPr>
          <w:ilvl w:val="2"/>
          <w:numId w:val="4"/>
        </w:numPr>
        <w:rPr>
          <w:sz w:val="22"/>
          <w:szCs w:val="22"/>
        </w:rPr>
      </w:pPr>
      <w:r w:rsidRPr="00381B8C">
        <w:rPr>
          <w:sz w:val="22"/>
          <w:szCs w:val="22"/>
        </w:rPr>
        <w:t xml:space="preserve">Structural materials: application of ASME BPVC, materials qualification of radiation resistant structural materials. Other considerations such as corrosion of thermal pipes, manufacturing defects etc. </w:t>
      </w:r>
      <w:r w:rsidR="003B6640">
        <w:rPr>
          <w:sz w:val="22"/>
          <w:szCs w:val="22"/>
        </w:rPr>
        <w:t>Ex.</w:t>
      </w:r>
      <w:r w:rsidRPr="003B6640">
        <w:rPr>
          <w:sz w:val="22"/>
          <w:szCs w:val="22"/>
        </w:rPr>
        <w:t xml:space="preserve"> material </w:t>
      </w:r>
      <w:r w:rsidR="003B6640">
        <w:rPr>
          <w:sz w:val="22"/>
          <w:szCs w:val="22"/>
        </w:rPr>
        <w:t>for</w:t>
      </w:r>
      <w:r w:rsidRPr="003B6640">
        <w:rPr>
          <w:sz w:val="22"/>
          <w:szCs w:val="22"/>
        </w:rPr>
        <w:t xml:space="preserve"> a radiation resistant steel used for the vacuum vessel – structural materials.</w:t>
      </w:r>
    </w:p>
    <w:p w14:paraId="31FEE717" w14:textId="06B9B5A8" w:rsidR="00381B8C" w:rsidRDefault="00381B8C" w:rsidP="00381B8C">
      <w:pPr>
        <w:pStyle w:val="para1"/>
        <w:numPr>
          <w:ilvl w:val="2"/>
          <w:numId w:val="4"/>
        </w:numPr>
        <w:rPr>
          <w:sz w:val="22"/>
          <w:szCs w:val="22"/>
        </w:rPr>
      </w:pPr>
      <w:r w:rsidRPr="00381B8C">
        <w:rPr>
          <w:sz w:val="22"/>
          <w:szCs w:val="22"/>
        </w:rPr>
        <w:t>Tritium breeder blankets</w:t>
      </w:r>
      <w:r w:rsidR="00D85BAC">
        <w:rPr>
          <w:sz w:val="22"/>
          <w:szCs w:val="22"/>
        </w:rPr>
        <w:t xml:space="preserve"> (</w:t>
      </w:r>
      <w:r w:rsidR="00BA6400">
        <w:rPr>
          <w:sz w:val="22"/>
          <w:szCs w:val="22"/>
        </w:rPr>
        <w:t xml:space="preserve">ex. </w:t>
      </w:r>
      <w:r w:rsidR="00D85BAC">
        <w:rPr>
          <w:sz w:val="22"/>
          <w:szCs w:val="22"/>
        </w:rPr>
        <w:t>molten salts, liquid metals</w:t>
      </w:r>
      <w:r w:rsidR="00BA6400">
        <w:rPr>
          <w:sz w:val="22"/>
          <w:szCs w:val="22"/>
        </w:rPr>
        <w:t>)</w:t>
      </w:r>
    </w:p>
    <w:p w14:paraId="62049249" w14:textId="4AABC006" w:rsidR="00D85BAC" w:rsidRPr="00381B8C" w:rsidRDefault="00D85BAC" w:rsidP="00381B8C">
      <w:pPr>
        <w:pStyle w:val="para1"/>
        <w:numPr>
          <w:ilvl w:val="2"/>
          <w:numId w:val="4"/>
        </w:numPr>
        <w:rPr>
          <w:sz w:val="22"/>
          <w:szCs w:val="22"/>
        </w:rPr>
      </w:pPr>
      <w:r>
        <w:rPr>
          <w:sz w:val="22"/>
          <w:szCs w:val="22"/>
        </w:rPr>
        <w:t>Heat transfer systems (how to extract the heat)</w:t>
      </w:r>
    </w:p>
    <w:p w14:paraId="1AF4285C" w14:textId="77777777" w:rsidR="00381B8C" w:rsidRPr="00381B8C" w:rsidRDefault="00381B8C" w:rsidP="00381B8C">
      <w:pPr>
        <w:pStyle w:val="para1"/>
        <w:numPr>
          <w:ilvl w:val="2"/>
          <w:numId w:val="4"/>
        </w:numPr>
        <w:rPr>
          <w:sz w:val="22"/>
          <w:szCs w:val="22"/>
        </w:rPr>
      </w:pPr>
      <w:r w:rsidRPr="00381B8C">
        <w:rPr>
          <w:sz w:val="22"/>
          <w:szCs w:val="22"/>
        </w:rPr>
        <w:t xml:space="preserve">Remote handling </w:t>
      </w:r>
    </w:p>
    <w:p w14:paraId="2881B080" w14:textId="3A0FEDD6" w:rsidR="005F028A" w:rsidRPr="00F84B72" w:rsidRDefault="00381B8C" w:rsidP="00F84B72">
      <w:pPr>
        <w:pStyle w:val="para1"/>
        <w:numPr>
          <w:ilvl w:val="2"/>
          <w:numId w:val="4"/>
        </w:numPr>
        <w:rPr>
          <w:sz w:val="22"/>
          <w:szCs w:val="22"/>
        </w:rPr>
      </w:pPr>
      <w:r w:rsidRPr="00381B8C">
        <w:rPr>
          <w:sz w:val="22"/>
          <w:szCs w:val="22"/>
        </w:rPr>
        <w:t>Cybersecurity (although this is likely to be IP)</w:t>
      </w:r>
    </w:p>
    <w:p w14:paraId="61E5E638" w14:textId="04D540F2" w:rsidR="00551410" w:rsidRPr="00F84B72" w:rsidRDefault="004A73B6" w:rsidP="0077021B">
      <w:pPr>
        <w:pStyle w:val="para1"/>
        <w:numPr>
          <w:ilvl w:val="1"/>
          <w:numId w:val="4"/>
        </w:numPr>
        <w:rPr>
          <w:sz w:val="22"/>
          <w:szCs w:val="22"/>
        </w:rPr>
      </w:pPr>
      <w:r w:rsidRPr="00F84B72">
        <w:rPr>
          <w:sz w:val="22"/>
          <w:szCs w:val="22"/>
        </w:rPr>
        <w:t>P</w:t>
      </w:r>
      <w:r w:rsidR="00F249C6" w:rsidRPr="00F84B72">
        <w:rPr>
          <w:sz w:val="22"/>
          <w:szCs w:val="22"/>
        </w:rPr>
        <w:t xml:space="preserve">resent and discuss </w:t>
      </w:r>
      <w:r w:rsidR="00E147CB" w:rsidRPr="00F84B72">
        <w:rPr>
          <w:sz w:val="22"/>
          <w:szCs w:val="22"/>
        </w:rPr>
        <w:t>attendee</w:t>
      </w:r>
      <w:r w:rsidR="00DF29D7" w:rsidRPr="00F84B72">
        <w:rPr>
          <w:sz w:val="22"/>
          <w:szCs w:val="22"/>
        </w:rPr>
        <w:t>s’</w:t>
      </w:r>
      <w:r w:rsidR="00F249C6" w:rsidRPr="00F84B72">
        <w:rPr>
          <w:sz w:val="22"/>
          <w:szCs w:val="22"/>
        </w:rPr>
        <w:t xml:space="preserve"> proposals</w:t>
      </w:r>
      <w:r w:rsidR="00E16AD1" w:rsidRPr="00F84B72">
        <w:rPr>
          <w:sz w:val="22"/>
          <w:szCs w:val="22"/>
        </w:rPr>
        <w:t xml:space="preserve"> and current experience</w:t>
      </w:r>
      <w:r w:rsidR="00747FE3" w:rsidRPr="00F84B72">
        <w:rPr>
          <w:sz w:val="22"/>
          <w:szCs w:val="22"/>
        </w:rPr>
        <w:t>s</w:t>
      </w:r>
      <w:r w:rsidR="00F249C6" w:rsidRPr="00F84B72">
        <w:rPr>
          <w:sz w:val="22"/>
          <w:szCs w:val="22"/>
        </w:rPr>
        <w:t xml:space="preserve"> </w:t>
      </w:r>
      <w:r w:rsidR="00747FE3" w:rsidRPr="00F84B72">
        <w:rPr>
          <w:sz w:val="22"/>
          <w:szCs w:val="22"/>
        </w:rPr>
        <w:t>in</w:t>
      </w:r>
      <w:r w:rsidR="00807A4D" w:rsidRPr="00F84B72">
        <w:rPr>
          <w:sz w:val="22"/>
          <w:szCs w:val="22"/>
        </w:rPr>
        <w:t xml:space="preserve"> </w:t>
      </w:r>
      <w:r w:rsidR="00E16AD1" w:rsidRPr="00F84B72">
        <w:rPr>
          <w:sz w:val="22"/>
          <w:szCs w:val="22"/>
        </w:rPr>
        <w:t xml:space="preserve">adopting </w:t>
      </w:r>
      <w:r w:rsidR="003D24E8" w:rsidRPr="00F84B72">
        <w:rPr>
          <w:sz w:val="22"/>
          <w:szCs w:val="22"/>
        </w:rPr>
        <w:t>applicable codes and standards</w:t>
      </w:r>
      <w:r w:rsidR="00551410" w:rsidRPr="00F84B72">
        <w:rPr>
          <w:sz w:val="22"/>
          <w:szCs w:val="22"/>
        </w:rPr>
        <w:t xml:space="preserve"> for fusion power plants</w:t>
      </w:r>
      <w:r w:rsidR="00E16AD1" w:rsidRPr="00F84B72">
        <w:rPr>
          <w:sz w:val="22"/>
          <w:szCs w:val="22"/>
        </w:rPr>
        <w:t>.</w:t>
      </w:r>
    </w:p>
    <w:p w14:paraId="05A71430" w14:textId="7ECA1173" w:rsidR="00617732" w:rsidRPr="00F84B72" w:rsidRDefault="004A73B6" w:rsidP="0077021B">
      <w:pPr>
        <w:pStyle w:val="para1"/>
        <w:numPr>
          <w:ilvl w:val="1"/>
          <w:numId w:val="4"/>
        </w:numPr>
        <w:rPr>
          <w:sz w:val="22"/>
          <w:szCs w:val="22"/>
        </w:rPr>
      </w:pPr>
      <w:r w:rsidRPr="00F84B72">
        <w:rPr>
          <w:sz w:val="22"/>
          <w:szCs w:val="22"/>
        </w:rPr>
        <w:t>D</w:t>
      </w:r>
      <w:r w:rsidR="00617732" w:rsidRPr="00F84B72">
        <w:rPr>
          <w:sz w:val="22"/>
          <w:szCs w:val="22"/>
        </w:rPr>
        <w:t xml:space="preserve">iscuss alternative fusion technologies and fuel cycles to ensure that </w:t>
      </w:r>
      <w:r w:rsidR="00862D3A" w:rsidRPr="00F84B72">
        <w:rPr>
          <w:sz w:val="22"/>
          <w:szCs w:val="22"/>
        </w:rPr>
        <w:t>codes and standards</w:t>
      </w:r>
      <w:r w:rsidR="00617732" w:rsidRPr="00F84B72">
        <w:rPr>
          <w:sz w:val="22"/>
          <w:szCs w:val="22"/>
        </w:rPr>
        <w:t xml:space="preserve"> are </w:t>
      </w:r>
      <w:r w:rsidR="25225556" w:rsidRPr="00F84B72">
        <w:rPr>
          <w:sz w:val="22"/>
          <w:szCs w:val="22"/>
        </w:rPr>
        <w:t>technologically neutral</w:t>
      </w:r>
      <w:r w:rsidR="00E16AD1" w:rsidRPr="00F84B72">
        <w:rPr>
          <w:sz w:val="22"/>
          <w:szCs w:val="22"/>
        </w:rPr>
        <w:t>.</w:t>
      </w:r>
    </w:p>
    <w:p w14:paraId="62095E8E" w14:textId="77777777" w:rsidR="00B75E6B" w:rsidRPr="00F84B72" w:rsidRDefault="00474EA1" w:rsidP="0077021B">
      <w:pPr>
        <w:pStyle w:val="para1"/>
        <w:numPr>
          <w:ilvl w:val="0"/>
          <w:numId w:val="4"/>
        </w:numPr>
        <w:rPr>
          <w:sz w:val="22"/>
          <w:szCs w:val="22"/>
        </w:rPr>
      </w:pPr>
      <w:r w:rsidRPr="00F84B72">
        <w:rPr>
          <w:sz w:val="22"/>
          <w:szCs w:val="22"/>
        </w:rPr>
        <w:t xml:space="preserve">Discuss contributions needed </w:t>
      </w:r>
      <w:r w:rsidR="00B75E6B" w:rsidRPr="00F84B72">
        <w:rPr>
          <w:sz w:val="22"/>
          <w:szCs w:val="22"/>
        </w:rPr>
        <w:t xml:space="preserve">and identify potential contributors </w:t>
      </w:r>
      <w:r w:rsidRPr="00F84B72">
        <w:rPr>
          <w:sz w:val="22"/>
          <w:szCs w:val="22"/>
        </w:rPr>
        <w:t>for</w:t>
      </w:r>
      <w:r w:rsidR="00B75E6B" w:rsidRPr="00F84B72">
        <w:rPr>
          <w:sz w:val="22"/>
          <w:szCs w:val="22"/>
        </w:rPr>
        <w:t>:</w:t>
      </w:r>
    </w:p>
    <w:p w14:paraId="200EC2D0" w14:textId="6630A129" w:rsidR="00B75E6B" w:rsidRPr="00F84B72" w:rsidRDefault="00EB574E" w:rsidP="0077021B">
      <w:pPr>
        <w:pStyle w:val="para1"/>
        <w:numPr>
          <w:ilvl w:val="1"/>
          <w:numId w:val="4"/>
        </w:numPr>
        <w:rPr>
          <w:sz w:val="22"/>
          <w:szCs w:val="22"/>
        </w:rPr>
      </w:pPr>
      <w:r w:rsidRPr="00F84B72">
        <w:rPr>
          <w:sz w:val="22"/>
          <w:szCs w:val="22"/>
        </w:rPr>
        <w:t>Database</w:t>
      </w:r>
      <w:r w:rsidR="00E147CB" w:rsidRPr="00F84B72">
        <w:rPr>
          <w:sz w:val="22"/>
          <w:szCs w:val="22"/>
        </w:rPr>
        <w:t xml:space="preserve">: </w:t>
      </w:r>
      <w:r w:rsidRPr="00F84B72">
        <w:rPr>
          <w:sz w:val="22"/>
          <w:szCs w:val="22"/>
        </w:rPr>
        <w:t>Applicable Codes and Standards</w:t>
      </w:r>
      <w:r w:rsidR="00DD3D4D" w:rsidRPr="00F84B72">
        <w:rPr>
          <w:sz w:val="22"/>
          <w:szCs w:val="22"/>
        </w:rPr>
        <w:t xml:space="preserve"> for Fusion Power Plants</w:t>
      </w:r>
      <w:r w:rsidR="00E147CB" w:rsidRPr="00F84B72">
        <w:rPr>
          <w:sz w:val="22"/>
          <w:szCs w:val="22"/>
        </w:rPr>
        <w:t xml:space="preserve"> (name TBD)</w:t>
      </w:r>
    </w:p>
    <w:p w14:paraId="24A90641" w14:textId="04293BAA" w:rsidR="00FC59BB" w:rsidRPr="00F84B72" w:rsidRDefault="00FC59BB" w:rsidP="0077021B">
      <w:pPr>
        <w:pStyle w:val="para1"/>
        <w:numPr>
          <w:ilvl w:val="1"/>
          <w:numId w:val="4"/>
        </w:numPr>
        <w:rPr>
          <w:sz w:val="22"/>
          <w:szCs w:val="22"/>
        </w:rPr>
      </w:pPr>
      <w:r w:rsidRPr="00F84B72">
        <w:rPr>
          <w:sz w:val="22"/>
          <w:szCs w:val="22"/>
        </w:rPr>
        <w:t xml:space="preserve">Best </w:t>
      </w:r>
      <w:r w:rsidR="00CB7731" w:rsidRPr="00F84B72">
        <w:rPr>
          <w:sz w:val="22"/>
          <w:szCs w:val="22"/>
        </w:rPr>
        <w:t>practi</w:t>
      </w:r>
      <w:r w:rsidR="00807A4D" w:rsidRPr="00F84B72">
        <w:rPr>
          <w:sz w:val="22"/>
          <w:szCs w:val="22"/>
        </w:rPr>
        <w:t>c</w:t>
      </w:r>
      <w:r w:rsidR="00CB7731" w:rsidRPr="00F84B72">
        <w:rPr>
          <w:sz w:val="22"/>
          <w:szCs w:val="22"/>
        </w:rPr>
        <w:t>e</w:t>
      </w:r>
      <w:r w:rsidR="00C23ADA" w:rsidRPr="00F84B72">
        <w:rPr>
          <w:sz w:val="22"/>
          <w:szCs w:val="22"/>
        </w:rPr>
        <w:t>s</w:t>
      </w:r>
      <w:r w:rsidRPr="00F84B72">
        <w:rPr>
          <w:sz w:val="22"/>
          <w:szCs w:val="22"/>
        </w:rPr>
        <w:t xml:space="preserve">: </w:t>
      </w:r>
      <w:r w:rsidR="00CB7731" w:rsidRPr="00F84B72">
        <w:rPr>
          <w:sz w:val="22"/>
          <w:szCs w:val="22"/>
        </w:rPr>
        <w:t>C</w:t>
      </w:r>
      <w:r w:rsidR="008B164A" w:rsidRPr="00F84B72">
        <w:rPr>
          <w:sz w:val="22"/>
          <w:szCs w:val="22"/>
        </w:rPr>
        <w:t xml:space="preserve">ase studies </w:t>
      </w:r>
      <w:r w:rsidR="00CB7731" w:rsidRPr="00F84B72">
        <w:rPr>
          <w:sz w:val="22"/>
          <w:szCs w:val="22"/>
        </w:rPr>
        <w:t>on approaches for adopting existing codes and standards in the design, construction and operation of fusion machines.</w:t>
      </w:r>
    </w:p>
    <w:p w14:paraId="45EEBA72" w14:textId="34E453AF" w:rsidR="00677D8C" w:rsidRPr="00F84B72" w:rsidRDefault="00677D8C" w:rsidP="0077021B">
      <w:pPr>
        <w:pStyle w:val="para1"/>
        <w:numPr>
          <w:ilvl w:val="1"/>
          <w:numId w:val="4"/>
        </w:numPr>
        <w:rPr>
          <w:sz w:val="22"/>
          <w:szCs w:val="22"/>
        </w:rPr>
      </w:pPr>
      <w:r w:rsidRPr="00F84B72">
        <w:rPr>
          <w:sz w:val="22"/>
          <w:szCs w:val="22"/>
        </w:rPr>
        <w:t>Codes and Standards Developers: For those that do not exist, or need revision, which organi</w:t>
      </w:r>
      <w:r w:rsidR="00A5270D">
        <w:rPr>
          <w:sz w:val="22"/>
          <w:szCs w:val="22"/>
        </w:rPr>
        <w:t>s</w:t>
      </w:r>
      <w:r w:rsidRPr="00F84B72">
        <w:rPr>
          <w:sz w:val="22"/>
          <w:szCs w:val="22"/>
        </w:rPr>
        <w:t>ations can we request development</w:t>
      </w:r>
      <w:r w:rsidR="0009195B" w:rsidRPr="00F84B72">
        <w:rPr>
          <w:sz w:val="22"/>
          <w:szCs w:val="22"/>
        </w:rPr>
        <w:t xml:space="preserve"> (ex. ISO, IEEE, ASME</w:t>
      </w:r>
      <w:r w:rsidR="000169F3">
        <w:rPr>
          <w:sz w:val="22"/>
          <w:szCs w:val="22"/>
        </w:rPr>
        <w:t>)</w:t>
      </w:r>
      <w:r w:rsidRPr="00F84B72">
        <w:rPr>
          <w:sz w:val="22"/>
          <w:szCs w:val="22"/>
        </w:rPr>
        <w:t>.</w:t>
      </w:r>
    </w:p>
    <w:p w14:paraId="1570B051" w14:textId="7C7FA727" w:rsidR="009F6256" w:rsidRPr="00F84B72" w:rsidRDefault="009F6256" w:rsidP="009F6256">
      <w:pPr>
        <w:pStyle w:val="para1"/>
        <w:numPr>
          <w:ilvl w:val="0"/>
          <w:numId w:val="4"/>
        </w:numPr>
        <w:rPr>
          <w:sz w:val="22"/>
          <w:szCs w:val="22"/>
        </w:rPr>
      </w:pPr>
      <w:r w:rsidRPr="00F84B72">
        <w:rPr>
          <w:sz w:val="22"/>
          <w:szCs w:val="22"/>
        </w:rPr>
        <w:t xml:space="preserve">Discuss the methodology for developing new codes and standards, </w:t>
      </w:r>
      <w:r w:rsidR="00BD37CE" w:rsidRPr="00F84B72">
        <w:rPr>
          <w:sz w:val="22"/>
          <w:szCs w:val="22"/>
        </w:rPr>
        <w:t>or for the revision of existing codes and standards</w:t>
      </w:r>
    </w:p>
    <w:p w14:paraId="25032812" w14:textId="45257A79" w:rsidR="00BD37CE" w:rsidRPr="00F84B72" w:rsidRDefault="00BD37CE" w:rsidP="00BD37CE">
      <w:pPr>
        <w:pStyle w:val="para1"/>
        <w:numPr>
          <w:ilvl w:val="1"/>
          <w:numId w:val="4"/>
        </w:numPr>
        <w:rPr>
          <w:sz w:val="22"/>
          <w:szCs w:val="22"/>
        </w:rPr>
      </w:pPr>
      <w:r w:rsidRPr="00F84B72">
        <w:rPr>
          <w:sz w:val="22"/>
          <w:szCs w:val="22"/>
        </w:rPr>
        <w:t xml:space="preserve">Codes and Standards Developers: For those C&amp;S that do not exist, or need revision, </w:t>
      </w:r>
      <w:r w:rsidR="0069492D" w:rsidRPr="00F84B72">
        <w:rPr>
          <w:sz w:val="22"/>
          <w:szCs w:val="22"/>
        </w:rPr>
        <w:t>what is the process or methodology for standards</w:t>
      </w:r>
      <w:r w:rsidRPr="00F84B72">
        <w:rPr>
          <w:sz w:val="22"/>
          <w:szCs w:val="22"/>
        </w:rPr>
        <w:t xml:space="preserve"> organi</w:t>
      </w:r>
      <w:r w:rsidR="00A5270D">
        <w:rPr>
          <w:sz w:val="22"/>
          <w:szCs w:val="22"/>
        </w:rPr>
        <w:t>s</w:t>
      </w:r>
      <w:r w:rsidRPr="00F84B72">
        <w:rPr>
          <w:sz w:val="22"/>
          <w:szCs w:val="22"/>
        </w:rPr>
        <w:t xml:space="preserve">ations </w:t>
      </w:r>
      <w:r w:rsidR="00B73E30" w:rsidRPr="00F84B72">
        <w:rPr>
          <w:sz w:val="22"/>
          <w:szCs w:val="22"/>
        </w:rPr>
        <w:t>to develop or revise C&amp;S</w:t>
      </w:r>
      <w:r w:rsidR="00FE651D" w:rsidRPr="00F84B72">
        <w:rPr>
          <w:sz w:val="22"/>
          <w:szCs w:val="22"/>
        </w:rPr>
        <w:t xml:space="preserve"> (ex. ISO, IEEE, ASME)</w:t>
      </w:r>
      <w:r w:rsidRPr="00F84B72">
        <w:rPr>
          <w:sz w:val="22"/>
          <w:szCs w:val="22"/>
        </w:rPr>
        <w:t>.</w:t>
      </w:r>
    </w:p>
    <w:p w14:paraId="64A9038D" w14:textId="65D253BB" w:rsidR="00BD37CE" w:rsidRPr="00F84B72" w:rsidRDefault="006377F9" w:rsidP="00BD37CE">
      <w:pPr>
        <w:pStyle w:val="para1"/>
        <w:numPr>
          <w:ilvl w:val="1"/>
          <w:numId w:val="4"/>
        </w:numPr>
        <w:rPr>
          <w:sz w:val="22"/>
          <w:szCs w:val="22"/>
        </w:rPr>
      </w:pPr>
      <w:r w:rsidRPr="00F84B72">
        <w:rPr>
          <w:sz w:val="22"/>
          <w:szCs w:val="22"/>
        </w:rPr>
        <w:t xml:space="preserve">Fusion </w:t>
      </w:r>
      <w:r w:rsidR="000E1347">
        <w:rPr>
          <w:sz w:val="22"/>
          <w:szCs w:val="22"/>
        </w:rPr>
        <w:t>D</w:t>
      </w:r>
      <w:r w:rsidR="000E1347" w:rsidRPr="00F245CA">
        <w:rPr>
          <w:sz w:val="22"/>
          <w:szCs w:val="22"/>
        </w:rPr>
        <w:t>emonstration/</w:t>
      </w:r>
      <w:r w:rsidR="000E1347">
        <w:rPr>
          <w:sz w:val="22"/>
          <w:szCs w:val="22"/>
        </w:rPr>
        <w:t>P</w:t>
      </w:r>
      <w:r w:rsidR="000E1347" w:rsidRPr="00F245CA">
        <w:rPr>
          <w:sz w:val="22"/>
          <w:szCs w:val="22"/>
        </w:rPr>
        <w:t xml:space="preserve">ilot </w:t>
      </w:r>
      <w:r w:rsidR="000E1347">
        <w:rPr>
          <w:sz w:val="22"/>
          <w:szCs w:val="22"/>
        </w:rPr>
        <w:t>P</w:t>
      </w:r>
      <w:r w:rsidR="000E1347" w:rsidRPr="00F245CA">
        <w:rPr>
          <w:sz w:val="22"/>
          <w:szCs w:val="22"/>
        </w:rPr>
        <w:t xml:space="preserve">lant </w:t>
      </w:r>
      <w:r w:rsidR="00241E23" w:rsidRPr="00F84B72">
        <w:rPr>
          <w:sz w:val="22"/>
          <w:szCs w:val="22"/>
        </w:rPr>
        <w:t xml:space="preserve">Developers: What has been the process or methodology for standardizing </w:t>
      </w:r>
      <w:r w:rsidR="00D06355" w:rsidRPr="00F84B72">
        <w:rPr>
          <w:sz w:val="22"/>
          <w:szCs w:val="22"/>
        </w:rPr>
        <w:t xml:space="preserve">development of </w:t>
      </w:r>
      <w:r w:rsidR="005D382D" w:rsidRPr="00F84B72">
        <w:rPr>
          <w:sz w:val="22"/>
          <w:szCs w:val="22"/>
        </w:rPr>
        <w:t xml:space="preserve">materials, </w:t>
      </w:r>
      <w:r w:rsidR="00D06355" w:rsidRPr="00F84B72">
        <w:rPr>
          <w:sz w:val="22"/>
          <w:szCs w:val="22"/>
        </w:rPr>
        <w:t>structures, systems, or components</w:t>
      </w:r>
      <w:r w:rsidR="00FE651D" w:rsidRPr="00F84B72">
        <w:rPr>
          <w:sz w:val="22"/>
          <w:szCs w:val="22"/>
        </w:rPr>
        <w:t xml:space="preserve"> (ex. ITER)</w:t>
      </w:r>
      <w:r w:rsidR="00D06355" w:rsidRPr="00F84B72">
        <w:rPr>
          <w:sz w:val="22"/>
          <w:szCs w:val="22"/>
        </w:rPr>
        <w:t>.</w:t>
      </w:r>
    </w:p>
    <w:p w14:paraId="3E8D6093" w14:textId="35020C80" w:rsidR="002F792D" w:rsidRPr="00F84B72" w:rsidRDefault="002F792D" w:rsidP="016AC321">
      <w:pPr>
        <w:pStyle w:val="Heading1"/>
        <w:keepNext/>
        <w:keepLines/>
        <w:spacing w:beforeAutospacing="1" w:afterAutospacing="1"/>
        <w:rPr>
          <w:rFonts w:asciiTheme="majorBidi" w:hAnsiTheme="majorBidi" w:cstheme="majorBidi"/>
        </w:rPr>
      </w:pPr>
      <w:r w:rsidRPr="00F84B72">
        <w:rPr>
          <w:rFonts w:asciiTheme="majorBidi" w:hAnsiTheme="majorBidi" w:cstheme="majorBidi"/>
        </w:rPr>
        <w:lastRenderedPageBreak/>
        <w:t>Target Audience</w:t>
      </w:r>
    </w:p>
    <w:p w14:paraId="1ED71210" w14:textId="4673F6CE" w:rsidR="00807A4D" w:rsidRPr="00F84B72" w:rsidRDefault="001430BF" w:rsidP="0077021B">
      <w:r w:rsidRPr="00F84B72">
        <w:rPr>
          <w:rFonts w:asciiTheme="majorBidi" w:hAnsiTheme="majorBidi" w:cstheme="majorBidi"/>
        </w:rPr>
        <w:t xml:space="preserve">The meeting is </w:t>
      </w:r>
      <w:r w:rsidR="001F2C14" w:rsidRPr="00F84B72">
        <w:rPr>
          <w:rFonts w:asciiTheme="majorBidi" w:hAnsiTheme="majorBidi" w:cstheme="majorBidi"/>
        </w:rPr>
        <w:t xml:space="preserve">aimed at those </w:t>
      </w:r>
      <w:r w:rsidRPr="00F84B72">
        <w:rPr>
          <w:rFonts w:asciiTheme="majorBidi" w:hAnsiTheme="majorBidi" w:cstheme="majorBidi"/>
        </w:rPr>
        <w:t xml:space="preserve">involved or interested in the </w:t>
      </w:r>
      <w:r w:rsidR="00807A4D" w:rsidRPr="00F84B72">
        <w:rPr>
          <w:rFonts w:asciiTheme="majorBidi" w:hAnsiTheme="majorBidi" w:cstheme="majorBidi"/>
        </w:rPr>
        <w:t>R&amp;D</w:t>
      </w:r>
      <w:r w:rsidRPr="00F84B72">
        <w:rPr>
          <w:rFonts w:asciiTheme="majorBidi" w:hAnsiTheme="majorBidi" w:cstheme="majorBidi"/>
        </w:rPr>
        <w:t xml:space="preserve"> of fusion technology, including government organi</w:t>
      </w:r>
      <w:r w:rsidR="00A5270D">
        <w:rPr>
          <w:rFonts w:asciiTheme="majorBidi" w:hAnsiTheme="majorBidi" w:cstheme="majorBidi"/>
        </w:rPr>
        <w:t>s</w:t>
      </w:r>
      <w:r w:rsidRPr="00F84B72">
        <w:rPr>
          <w:rFonts w:asciiTheme="majorBidi" w:hAnsiTheme="majorBidi" w:cstheme="majorBidi"/>
        </w:rPr>
        <w:t xml:space="preserve">ations (policymakers, analysts, regulators, and R&amp;D </w:t>
      </w:r>
      <w:r w:rsidR="00FD11A6">
        <w:rPr>
          <w:rFonts w:asciiTheme="majorBidi" w:hAnsiTheme="majorBidi" w:cstheme="majorBidi"/>
        </w:rPr>
        <w:t>organisations</w:t>
      </w:r>
      <w:r w:rsidRPr="00F84B72">
        <w:rPr>
          <w:rFonts w:asciiTheme="majorBidi" w:hAnsiTheme="majorBidi" w:cstheme="majorBidi"/>
        </w:rPr>
        <w:t>) and industry stakeholders (vendors, engineering companies, plant operators and technology developers).</w:t>
      </w:r>
    </w:p>
    <w:p w14:paraId="0B6AB34A" w14:textId="30E6BC7B" w:rsidR="00FC530C" w:rsidRPr="00F84B72" w:rsidRDefault="00FC530C" w:rsidP="00FC530C">
      <w:pPr>
        <w:pStyle w:val="Heading1"/>
        <w:keepNext/>
        <w:keepLines/>
        <w:spacing w:before="100" w:beforeAutospacing="1" w:after="100" w:afterAutospacing="1"/>
        <w:rPr>
          <w:rFonts w:asciiTheme="majorBidi" w:hAnsiTheme="majorBidi" w:cstheme="majorBidi"/>
        </w:rPr>
      </w:pPr>
      <w:r w:rsidRPr="00F84B72">
        <w:rPr>
          <w:rFonts w:asciiTheme="majorBidi" w:hAnsiTheme="majorBidi" w:cstheme="majorBidi"/>
        </w:rPr>
        <w:t>Working Language(s)</w:t>
      </w:r>
    </w:p>
    <w:p w14:paraId="29FCC00C" w14:textId="213FAC18" w:rsidR="016AC321" w:rsidRPr="00F84B72" w:rsidRDefault="001430BF" w:rsidP="0077021B">
      <w:pPr>
        <w:spacing w:before="100" w:beforeAutospacing="1" w:after="100" w:afterAutospacing="1" w:line="280" w:lineRule="atLeast"/>
        <w:jc w:val="both"/>
        <w:rPr>
          <w:rFonts w:asciiTheme="majorBidi" w:eastAsia="Times New Roman" w:hAnsiTheme="majorBidi" w:cstheme="majorBidi"/>
        </w:rPr>
      </w:pPr>
      <w:r w:rsidRPr="00F84B72">
        <w:rPr>
          <w:rFonts w:asciiTheme="majorBidi" w:eastAsia="Times New Roman" w:hAnsiTheme="majorBidi" w:cstheme="majorBidi"/>
        </w:rPr>
        <w:t xml:space="preserve">The working language of this meeting will be English with no interpretation provided. All communications </w:t>
      </w:r>
      <w:r w:rsidR="00C23ADA" w:rsidRPr="00F84B72">
        <w:rPr>
          <w:rFonts w:asciiTheme="majorBidi" w:eastAsia="Times New Roman" w:hAnsiTheme="majorBidi" w:cstheme="majorBidi"/>
        </w:rPr>
        <w:t>and presentations</w:t>
      </w:r>
      <w:r w:rsidRPr="00F84B72">
        <w:rPr>
          <w:rFonts w:asciiTheme="majorBidi" w:eastAsia="Times New Roman" w:hAnsiTheme="majorBidi" w:cstheme="majorBidi"/>
        </w:rPr>
        <w:t xml:space="preserve"> must be submitted in English.</w:t>
      </w:r>
    </w:p>
    <w:p w14:paraId="1F6B7C7A" w14:textId="3E82B304" w:rsidR="004969DC" w:rsidRPr="00F84B72" w:rsidRDefault="004969DC" w:rsidP="004969DC">
      <w:pPr>
        <w:spacing w:before="100" w:beforeAutospacing="1" w:after="100" w:afterAutospacing="1" w:line="280" w:lineRule="atLeast"/>
        <w:jc w:val="both"/>
        <w:rPr>
          <w:rFonts w:asciiTheme="majorBidi" w:eastAsia="Times New Roman" w:hAnsiTheme="majorBidi" w:cstheme="majorBidi"/>
          <w:b/>
          <w:bCs/>
          <w:sz w:val="32"/>
          <w:szCs w:val="32"/>
        </w:rPr>
      </w:pPr>
      <w:r w:rsidRPr="00F84B72">
        <w:rPr>
          <w:rFonts w:asciiTheme="majorBidi" w:eastAsia="Times New Roman" w:hAnsiTheme="majorBidi" w:cstheme="majorBidi"/>
          <w:b/>
          <w:bCs/>
          <w:sz w:val="32"/>
          <w:szCs w:val="32"/>
        </w:rPr>
        <w:t>Expected Outputs</w:t>
      </w:r>
      <w:r w:rsidRPr="00F84B72">
        <w:rPr>
          <w:rFonts w:asciiTheme="majorBidi" w:eastAsia="Times New Roman" w:hAnsiTheme="majorBidi" w:cstheme="majorBidi"/>
          <w:b/>
          <w:bCs/>
          <w:sz w:val="32"/>
          <w:szCs w:val="32"/>
        </w:rPr>
        <w:tab/>
      </w:r>
    </w:p>
    <w:p w14:paraId="148F4D36" w14:textId="77777777" w:rsidR="00F96216" w:rsidRPr="00F84B72" w:rsidRDefault="004969DC" w:rsidP="00AE7134">
      <w:pPr>
        <w:spacing w:before="100" w:beforeAutospacing="1" w:after="100" w:afterAutospacing="1" w:line="280" w:lineRule="atLeast"/>
        <w:jc w:val="both"/>
        <w:rPr>
          <w:rFonts w:asciiTheme="majorBidi" w:eastAsia="Times New Roman" w:hAnsiTheme="majorBidi" w:cstheme="majorBidi"/>
          <w:szCs w:val="20"/>
        </w:rPr>
      </w:pPr>
      <w:r w:rsidRPr="00F84B72">
        <w:rPr>
          <w:rFonts w:asciiTheme="majorBidi" w:eastAsia="Times New Roman" w:hAnsiTheme="majorBidi" w:cstheme="majorBidi"/>
          <w:szCs w:val="20"/>
        </w:rPr>
        <w:t>The expected outputs are:</w:t>
      </w:r>
    </w:p>
    <w:p w14:paraId="4F9CCAC7" w14:textId="6863527E" w:rsidR="000E17EF" w:rsidRPr="00F84B72" w:rsidRDefault="00F96216" w:rsidP="00F84B72">
      <w:pPr>
        <w:pStyle w:val="ListParagraph"/>
        <w:numPr>
          <w:ilvl w:val="0"/>
          <w:numId w:val="16"/>
        </w:numPr>
        <w:spacing w:before="100" w:beforeAutospacing="1" w:after="100" w:afterAutospacing="1" w:line="280" w:lineRule="atLeast"/>
        <w:rPr>
          <w:sz w:val="22"/>
          <w:szCs w:val="22"/>
        </w:rPr>
      </w:pPr>
      <w:r w:rsidRPr="00F84B72">
        <w:rPr>
          <w:sz w:val="22"/>
          <w:szCs w:val="22"/>
        </w:rPr>
        <w:t>Continue to identify applicable codes and standards</w:t>
      </w:r>
      <w:r w:rsidR="004A73B6" w:rsidRPr="00F84B72">
        <w:rPr>
          <w:sz w:val="22"/>
          <w:szCs w:val="22"/>
        </w:rPr>
        <w:t>, including those which do not currently exist</w:t>
      </w:r>
      <w:r w:rsidR="00677D8C" w:rsidRPr="00F84B72">
        <w:rPr>
          <w:sz w:val="22"/>
          <w:szCs w:val="22"/>
        </w:rPr>
        <w:t>, or those that need revision</w:t>
      </w:r>
      <w:r w:rsidRPr="00F84B72">
        <w:rPr>
          <w:sz w:val="22"/>
          <w:szCs w:val="22"/>
        </w:rPr>
        <w:t>.</w:t>
      </w:r>
    </w:p>
    <w:p w14:paraId="5DAA9C8C" w14:textId="46031CE8" w:rsidR="000E17EF" w:rsidRPr="00F84B72" w:rsidRDefault="00F96216" w:rsidP="00F84B72">
      <w:pPr>
        <w:pStyle w:val="ListParagraph"/>
        <w:numPr>
          <w:ilvl w:val="0"/>
          <w:numId w:val="16"/>
        </w:numPr>
        <w:spacing w:before="100" w:beforeAutospacing="1" w:after="100" w:afterAutospacing="1" w:line="280" w:lineRule="atLeast"/>
        <w:rPr>
          <w:sz w:val="22"/>
          <w:szCs w:val="22"/>
        </w:rPr>
      </w:pPr>
      <w:r w:rsidRPr="00F84B72">
        <w:rPr>
          <w:sz w:val="22"/>
          <w:szCs w:val="22"/>
        </w:rPr>
        <w:t>Explore the possibilities to define the fusion codes and standards readiness level</w:t>
      </w:r>
      <w:r w:rsidR="008046D2" w:rsidRPr="00F84B72">
        <w:rPr>
          <w:sz w:val="22"/>
          <w:szCs w:val="22"/>
        </w:rPr>
        <w:t>s</w:t>
      </w:r>
      <w:r w:rsidRPr="00F84B72">
        <w:rPr>
          <w:sz w:val="22"/>
          <w:szCs w:val="22"/>
        </w:rPr>
        <w:t>.</w:t>
      </w:r>
    </w:p>
    <w:p w14:paraId="4A06B82E" w14:textId="20FC66EA" w:rsidR="000E17EF" w:rsidRPr="00F84B72" w:rsidRDefault="00F96216" w:rsidP="00F84B72">
      <w:pPr>
        <w:pStyle w:val="ListParagraph"/>
        <w:numPr>
          <w:ilvl w:val="0"/>
          <w:numId w:val="16"/>
        </w:numPr>
        <w:spacing w:before="100" w:beforeAutospacing="1" w:after="100" w:afterAutospacing="1" w:line="280" w:lineRule="atLeast"/>
        <w:rPr>
          <w:sz w:val="22"/>
          <w:szCs w:val="22"/>
        </w:rPr>
      </w:pPr>
      <w:r w:rsidRPr="00F84B72">
        <w:rPr>
          <w:sz w:val="22"/>
          <w:szCs w:val="22"/>
        </w:rPr>
        <w:t>Explore the possibilities for sharing the database</w:t>
      </w:r>
      <w:r w:rsidR="00F13BD5" w:rsidRPr="00F84B72">
        <w:rPr>
          <w:sz w:val="22"/>
          <w:szCs w:val="22"/>
        </w:rPr>
        <w:t xml:space="preserve"> including</w:t>
      </w:r>
      <w:r w:rsidR="00D9402C" w:rsidRPr="00F84B72">
        <w:rPr>
          <w:sz w:val="22"/>
          <w:szCs w:val="22"/>
        </w:rPr>
        <w:t xml:space="preserve"> by example:</w:t>
      </w:r>
      <w:r w:rsidR="00DA7ABE" w:rsidRPr="00F84B72">
        <w:rPr>
          <w:sz w:val="22"/>
          <w:szCs w:val="22"/>
        </w:rPr>
        <w:t xml:space="preserve"> material properties</w:t>
      </w:r>
      <w:r w:rsidRPr="00F84B72">
        <w:rPr>
          <w:sz w:val="22"/>
          <w:szCs w:val="22"/>
        </w:rPr>
        <w:t xml:space="preserve">. </w:t>
      </w:r>
    </w:p>
    <w:p w14:paraId="3AFC2D20" w14:textId="0499A4EC" w:rsidR="000E17EF" w:rsidRPr="00F84B72" w:rsidRDefault="00B81562" w:rsidP="00F84B72">
      <w:pPr>
        <w:pStyle w:val="ListParagraph"/>
        <w:numPr>
          <w:ilvl w:val="0"/>
          <w:numId w:val="16"/>
        </w:numPr>
        <w:spacing w:before="100" w:beforeAutospacing="1" w:after="100" w:afterAutospacing="1" w:line="280" w:lineRule="atLeast"/>
        <w:rPr>
          <w:sz w:val="22"/>
          <w:szCs w:val="22"/>
        </w:rPr>
      </w:pPr>
      <w:r w:rsidRPr="00F84B72">
        <w:rPr>
          <w:sz w:val="22"/>
          <w:szCs w:val="22"/>
        </w:rPr>
        <w:t xml:space="preserve">Identify the grand challenges </w:t>
      </w:r>
      <w:r w:rsidR="00CC22AF" w:rsidRPr="00F84B72">
        <w:rPr>
          <w:sz w:val="22"/>
          <w:szCs w:val="22"/>
        </w:rPr>
        <w:t xml:space="preserve">to help define the objectives </w:t>
      </w:r>
      <w:r w:rsidR="004A73B6" w:rsidRPr="00F84B72">
        <w:rPr>
          <w:sz w:val="22"/>
          <w:szCs w:val="22"/>
        </w:rPr>
        <w:t>of a shared Fusion</w:t>
      </w:r>
      <w:r w:rsidR="00DD0EF2" w:rsidRPr="00F84B72">
        <w:rPr>
          <w:sz w:val="22"/>
          <w:szCs w:val="22"/>
        </w:rPr>
        <w:t xml:space="preserve"> platform</w:t>
      </w:r>
      <w:r w:rsidR="00F110A7" w:rsidRPr="00F84B72">
        <w:rPr>
          <w:sz w:val="22"/>
          <w:szCs w:val="22"/>
        </w:rPr>
        <w:t xml:space="preserve">, </w:t>
      </w:r>
      <w:r w:rsidR="007F5767" w:rsidRPr="00F84B72">
        <w:rPr>
          <w:sz w:val="22"/>
          <w:szCs w:val="22"/>
        </w:rPr>
        <w:t>agree on a format and minimum data required.</w:t>
      </w:r>
    </w:p>
    <w:p w14:paraId="4B38F432" w14:textId="73004777" w:rsidR="000E17EF" w:rsidRPr="00F84B72" w:rsidRDefault="004A73B6" w:rsidP="00F84B72">
      <w:pPr>
        <w:pStyle w:val="ListParagraph"/>
        <w:numPr>
          <w:ilvl w:val="0"/>
          <w:numId w:val="16"/>
        </w:numPr>
        <w:spacing w:before="100" w:beforeAutospacing="1" w:after="100" w:afterAutospacing="1" w:line="280" w:lineRule="atLeast"/>
        <w:rPr>
          <w:sz w:val="22"/>
          <w:szCs w:val="22"/>
        </w:rPr>
      </w:pPr>
      <w:r w:rsidRPr="00F84B72">
        <w:rPr>
          <w:sz w:val="22"/>
          <w:szCs w:val="22"/>
        </w:rPr>
        <w:t>Identify</w:t>
      </w:r>
      <w:r w:rsidR="00F96216" w:rsidRPr="00F84B72">
        <w:rPr>
          <w:sz w:val="22"/>
          <w:szCs w:val="22"/>
        </w:rPr>
        <w:t xml:space="preserve"> gaps and set priorities for fusion codes standards. </w:t>
      </w:r>
    </w:p>
    <w:p w14:paraId="42A15BAE" w14:textId="74803C1F" w:rsidR="005D21FB" w:rsidRPr="00F84B72" w:rsidRDefault="005D21FB" w:rsidP="00F84B72">
      <w:pPr>
        <w:pStyle w:val="ListParagraph"/>
        <w:numPr>
          <w:ilvl w:val="0"/>
          <w:numId w:val="16"/>
        </w:numPr>
        <w:spacing w:before="100" w:beforeAutospacing="1" w:after="100" w:afterAutospacing="1" w:line="280" w:lineRule="atLeast"/>
        <w:rPr>
          <w:sz w:val="22"/>
          <w:szCs w:val="22"/>
        </w:rPr>
      </w:pPr>
      <w:r w:rsidRPr="00F84B72">
        <w:rPr>
          <w:sz w:val="22"/>
          <w:szCs w:val="22"/>
        </w:rPr>
        <w:t>Integrate safety, fusion regulatory and codes and standards (perhaps so the design).</w:t>
      </w:r>
    </w:p>
    <w:p w14:paraId="1624B97A" w14:textId="5F2983FA" w:rsidR="016AC321" w:rsidRDefault="001031C1" w:rsidP="016AC321">
      <w:pPr>
        <w:pStyle w:val="NormalWeb"/>
        <w:rPr>
          <w:color w:val="000000" w:themeColor="text1"/>
          <w:sz w:val="22"/>
          <w:szCs w:val="22"/>
        </w:rPr>
      </w:pPr>
      <w:r w:rsidRPr="016AC321">
        <w:rPr>
          <w:color w:val="000000" w:themeColor="text1"/>
          <w:sz w:val="22"/>
          <w:szCs w:val="22"/>
        </w:rPr>
        <w:t xml:space="preserve">The event will </w:t>
      </w:r>
      <w:r w:rsidR="001F2C14" w:rsidRPr="016AC321">
        <w:rPr>
          <w:color w:val="000000" w:themeColor="text1"/>
          <w:sz w:val="22"/>
          <w:szCs w:val="22"/>
        </w:rPr>
        <w:t xml:space="preserve">be in person at </w:t>
      </w:r>
      <w:r w:rsidR="00127559">
        <w:rPr>
          <w:color w:val="000000" w:themeColor="text1"/>
          <w:sz w:val="22"/>
          <w:szCs w:val="22"/>
        </w:rPr>
        <w:t>the IAEA Headquarters, Vienna</w:t>
      </w:r>
      <w:r w:rsidR="00211D44">
        <w:rPr>
          <w:color w:val="000000" w:themeColor="text1"/>
          <w:sz w:val="22"/>
          <w:szCs w:val="22"/>
        </w:rPr>
        <w:t>.</w:t>
      </w:r>
      <w:r w:rsidR="00127559">
        <w:rPr>
          <w:color w:val="000000" w:themeColor="text1"/>
          <w:sz w:val="22"/>
          <w:szCs w:val="22"/>
        </w:rPr>
        <w:t xml:space="preserve"> </w:t>
      </w:r>
      <w:r w:rsidR="00211D44">
        <w:rPr>
          <w:color w:val="000000" w:themeColor="text1"/>
          <w:sz w:val="22"/>
          <w:szCs w:val="22"/>
        </w:rPr>
        <w:t>V</w:t>
      </w:r>
      <w:r w:rsidR="00127559">
        <w:rPr>
          <w:color w:val="000000" w:themeColor="text1"/>
          <w:sz w:val="22"/>
          <w:szCs w:val="22"/>
        </w:rPr>
        <w:t xml:space="preserve">irtual </w:t>
      </w:r>
      <w:r w:rsidR="0067017C">
        <w:rPr>
          <w:color w:val="000000" w:themeColor="text1"/>
          <w:sz w:val="22"/>
          <w:szCs w:val="22"/>
        </w:rPr>
        <w:t>participation will be possible.</w:t>
      </w:r>
    </w:p>
    <w:p w14:paraId="5E1029A5" w14:textId="085E5B85" w:rsidR="005710A9" w:rsidRPr="00CB15DD" w:rsidRDefault="005710A9" w:rsidP="005710A9">
      <w:pPr>
        <w:contextualSpacing/>
        <w:jc w:val="both"/>
        <w:rPr>
          <w:rFonts w:ascii="Times New Roman" w:hAnsi="Times New Roman" w:cs="Times New Roman"/>
          <w:b/>
          <w:sz w:val="32"/>
          <w:szCs w:val="32"/>
        </w:rPr>
      </w:pPr>
      <w:r w:rsidRPr="00CB15DD">
        <w:rPr>
          <w:rFonts w:ascii="Times New Roman" w:hAnsi="Times New Roman" w:cs="Times New Roman"/>
          <w:b/>
          <w:sz w:val="32"/>
          <w:szCs w:val="32"/>
        </w:rPr>
        <w:t>Participation and Registration</w:t>
      </w:r>
    </w:p>
    <w:p w14:paraId="2D1A9182" w14:textId="77777777" w:rsidR="005710A9" w:rsidRPr="00A971FA" w:rsidRDefault="005710A9" w:rsidP="005710A9">
      <w:pPr>
        <w:contextualSpacing/>
        <w:jc w:val="both"/>
        <w:rPr>
          <w:rFonts w:ascii="Calibri" w:eastAsia="Calibri" w:hAnsi="Calibri" w:cs="Times New Roman"/>
          <w:b/>
          <w:bCs/>
          <w:sz w:val="24"/>
          <w:szCs w:val="24"/>
          <w:lang w:val="en-US"/>
        </w:rPr>
      </w:pPr>
    </w:p>
    <w:p w14:paraId="6F4CF7A6" w14:textId="1E3FD3F6" w:rsidR="005710A9" w:rsidRPr="00E843A9" w:rsidRDefault="005710A9" w:rsidP="005710A9">
      <w:pPr>
        <w:autoSpaceDE w:val="0"/>
        <w:autoSpaceDN w:val="0"/>
        <w:adjustRightInd w:val="0"/>
        <w:spacing w:after="0" w:line="240" w:lineRule="auto"/>
        <w:jc w:val="both"/>
        <w:rPr>
          <w:rFonts w:ascii="TimesNewRomanPSMT" w:hAnsi="TimesNewRomanPSMT" w:cs="TimesNewRomanPSMT"/>
          <w:color w:val="000000"/>
        </w:rPr>
      </w:pPr>
      <w:r w:rsidRPr="00E843A9">
        <w:rPr>
          <w:rFonts w:ascii="TimesNewRomanPSMT" w:hAnsi="TimesNewRomanPSMT" w:cs="TimesNewRomanPSMT"/>
          <w:color w:val="000000"/>
        </w:rPr>
        <w:t>All persons wishing to participate in the event must be designated by an IAEA Member State or should be a member of an organi</w:t>
      </w:r>
      <w:r w:rsidR="00A5270D">
        <w:rPr>
          <w:rFonts w:ascii="TimesNewRomanPSMT" w:hAnsi="TimesNewRomanPSMT" w:cs="TimesNewRomanPSMT"/>
          <w:color w:val="000000"/>
        </w:rPr>
        <w:t>s</w:t>
      </w:r>
      <w:r w:rsidRPr="00E843A9">
        <w:rPr>
          <w:rFonts w:ascii="TimesNewRomanPSMT" w:hAnsi="TimesNewRomanPSMT" w:cs="TimesNewRomanPSMT"/>
          <w:color w:val="000000"/>
        </w:rPr>
        <w:t>ation that has been invited to attend.</w:t>
      </w:r>
    </w:p>
    <w:p w14:paraId="76C589D2" w14:textId="77777777"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p>
    <w:p w14:paraId="13453A7F" w14:textId="558629A0"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In order to be designated by an IAEA Member State or invited organi</w:t>
      </w:r>
      <w:r w:rsidR="00A5270D">
        <w:rPr>
          <w:rFonts w:ascii="TimesNewRomanPSMT" w:hAnsi="TimesNewRomanPSMT" w:cs="TimesNewRomanPSMT"/>
          <w:color w:val="000000"/>
        </w:rPr>
        <w:t>s</w:t>
      </w:r>
      <w:r>
        <w:rPr>
          <w:rFonts w:ascii="TimesNewRomanPSMT" w:hAnsi="TimesNewRomanPSMT" w:cs="TimesNewRomanPSMT"/>
          <w:color w:val="000000"/>
        </w:rPr>
        <w:t>ation, participants are requested to submit their application via the InTouch+ platform (</w:t>
      </w:r>
      <w:r>
        <w:rPr>
          <w:rFonts w:ascii="TimesNewRomanPSMT" w:hAnsi="TimesNewRomanPSMT" w:cs="TimesNewRomanPSMT"/>
          <w:color w:val="0000FF"/>
        </w:rPr>
        <w:t>https://intouchplus.iaea.org</w:t>
      </w:r>
      <w:r>
        <w:rPr>
          <w:rFonts w:ascii="TimesNewRomanPSMT" w:hAnsi="TimesNewRomanPSMT" w:cs="TimesNewRomanPSMT"/>
          <w:color w:val="000000"/>
        </w:rPr>
        <w:t>) to the competent national authority (Ministry of Foreign Affairs, Permanent Mission to the IAEA or National Atomic Energy Authority) or organi</w:t>
      </w:r>
      <w:r w:rsidR="00A5270D">
        <w:rPr>
          <w:rFonts w:ascii="TimesNewRomanPSMT" w:hAnsi="TimesNewRomanPSMT" w:cs="TimesNewRomanPSMT"/>
          <w:color w:val="000000"/>
        </w:rPr>
        <w:t>s</w:t>
      </w:r>
      <w:r>
        <w:rPr>
          <w:rFonts w:ascii="TimesNewRomanPSMT" w:hAnsi="TimesNewRomanPSMT" w:cs="TimesNewRomanPSMT"/>
          <w:color w:val="000000"/>
        </w:rPr>
        <w:t xml:space="preserve">ation for onward transmission to the IAEA by </w:t>
      </w:r>
      <w:r w:rsidRPr="00F72566">
        <w:rPr>
          <w:rFonts w:ascii="Times New Roman" w:eastAsia="SimSun" w:hAnsi="Times New Roman" w:cs="Times New Roman"/>
          <w:b/>
          <w:lang w:eastAsia="en-GB"/>
        </w:rPr>
        <w:t xml:space="preserve">15 </w:t>
      </w:r>
      <w:r w:rsidR="00801514" w:rsidRPr="00F84B72">
        <w:rPr>
          <w:rFonts w:ascii="Times New Roman" w:eastAsia="SimSun" w:hAnsi="Times New Roman" w:cs="Times New Roman"/>
          <w:b/>
          <w:lang w:eastAsia="en-GB"/>
        </w:rPr>
        <w:t>August</w:t>
      </w:r>
      <w:r w:rsidRPr="00F72566">
        <w:rPr>
          <w:rFonts w:ascii="Times New Roman" w:eastAsia="SimSun" w:hAnsi="Times New Roman" w:cs="Times New Roman"/>
          <w:b/>
          <w:lang w:eastAsia="en-GB"/>
        </w:rPr>
        <w:t xml:space="preserve"> 2025</w:t>
      </w:r>
      <w:r w:rsidRPr="00FF0A6F">
        <w:rPr>
          <w:rFonts w:ascii="TimesNewRomanPSMT" w:hAnsi="TimesNewRomanPSMT" w:cs="TimesNewRomanPSMT"/>
          <w:color w:val="000000"/>
        </w:rPr>
        <w:t>,</w:t>
      </w:r>
      <w:r>
        <w:rPr>
          <w:rFonts w:ascii="TimesNewRomanPSMT" w:hAnsi="TimesNewRomanPSMT" w:cs="TimesNewRomanPSMT"/>
          <w:color w:val="000000"/>
        </w:rPr>
        <w:t xml:space="preserve"> following the registration procedure in InTouch+:</w:t>
      </w:r>
    </w:p>
    <w:p w14:paraId="61E1E1B1" w14:textId="77777777"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p>
    <w:p w14:paraId="319C2F0D" w14:textId="77777777"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1. Access the InTouch+ platform (</w:t>
      </w:r>
      <w:hyperlink r:id="rId13" w:history="1">
        <w:r w:rsidRPr="00041046">
          <w:rPr>
            <w:rStyle w:val="Hyperlink"/>
            <w:rFonts w:ascii="TimesNewRomanPSMT" w:hAnsi="TimesNewRomanPSMT" w:cs="TimesNewRomanPSMT"/>
          </w:rPr>
          <w:t>https://intouchplus.iaea.org</w:t>
        </w:r>
      </w:hyperlink>
      <w:r>
        <w:rPr>
          <w:rFonts w:ascii="TimesNewRomanPSMT" w:hAnsi="TimesNewRomanPSMT" w:cs="TimesNewRomanPSMT"/>
          <w:color w:val="000000"/>
        </w:rPr>
        <w:t>):</w:t>
      </w:r>
    </w:p>
    <w:p w14:paraId="4FC5C0D7" w14:textId="77777777"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p>
    <w:p w14:paraId="7083DE01" w14:textId="77777777" w:rsidR="005710A9" w:rsidRPr="00F84B72" w:rsidRDefault="005710A9" w:rsidP="005710A9">
      <w:pPr>
        <w:pStyle w:val="ListParagraph"/>
        <w:numPr>
          <w:ilvl w:val="0"/>
          <w:numId w:val="14"/>
        </w:numPr>
        <w:autoSpaceDE w:val="0"/>
        <w:autoSpaceDN w:val="0"/>
        <w:adjustRightInd w:val="0"/>
        <w:spacing w:before="0" w:after="0" w:line="240" w:lineRule="auto"/>
        <w:rPr>
          <w:rFonts w:ascii="TimesNewRomanPSMT" w:hAnsi="TimesNewRomanPSMT" w:cs="TimesNewRomanPSMT"/>
          <w:color w:val="000000"/>
          <w:sz w:val="22"/>
          <w:szCs w:val="22"/>
        </w:rPr>
      </w:pPr>
      <w:r w:rsidRPr="00F84B72">
        <w:rPr>
          <w:rFonts w:ascii="TimesNewRomanPSMT" w:hAnsi="TimesNewRomanPSMT" w:cs="TimesNewRomanPSMT"/>
          <w:color w:val="000000"/>
          <w:sz w:val="22"/>
          <w:szCs w:val="22"/>
        </w:rPr>
        <w:t xml:space="preserve">Persons with an existing NUCLEUS account can sign in to the platform with their username and </w:t>
      </w:r>
      <w:proofErr w:type="gramStart"/>
      <w:r w:rsidRPr="00F84B72">
        <w:rPr>
          <w:rFonts w:ascii="TimesNewRomanPSMT" w:hAnsi="TimesNewRomanPSMT" w:cs="TimesNewRomanPSMT"/>
          <w:color w:val="000000"/>
          <w:sz w:val="22"/>
          <w:szCs w:val="22"/>
        </w:rPr>
        <w:t>password;</w:t>
      </w:r>
      <w:proofErr w:type="gramEnd"/>
    </w:p>
    <w:p w14:paraId="0DE8CDC5" w14:textId="678733EA" w:rsidR="005710A9" w:rsidRPr="00F84B72" w:rsidRDefault="005710A9" w:rsidP="005710A9">
      <w:pPr>
        <w:pStyle w:val="ListParagraph"/>
        <w:numPr>
          <w:ilvl w:val="0"/>
          <w:numId w:val="14"/>
        </w:numPr>
        <w:autoSpaceDE w:val="0"/>
        <w:autoSpaceDN w:val="0"/>
        <w:adjustRightInd w:val="0"/>
        <w:spacing w:before="0" w:after="0" w:line="240" w:lineRule="auto"/>
        <w:rPr>
          <w:rFonts w:ascii="TimesNewRomanPSMT" w:hAnsi="TimesNewRomanPSMT" w:cs="TimesNewRomanPSMT"/>
          <w:color w:val="000000"/>
          <w:sz w:val="22"/>
          <w:szCs w:val="22"/>
        </w:rPr>
      </w:pPr>
      <w:r w:rsidRPr="00F84B72">
        <w:rPr>
          <w:rFonts w:ascii="TimesNewRomanPSMT" w:hAnsi="TimesNewRomanPSMT" w:cs="TimesNewRomanPSMT"/>
          <w:color w:val="000000"/>
          <w:sz w:val="22"/>
          <w:szCs w:val="22"/>
        </w:rPr>
        <w:t xml:space="preserve">persons without an existing NUCLEUS account can register </w:t>
      </w:r>
      <w:hyperlink r:id="rId14" w:history="1">
        <w:r w:rsidRPr="00F84B72">
          <w:rPr>
            <w:rStyle w:val="Hyperlink"/>
            <w:rFonts w:ascii="TimesNewRomanPSMT" w:hAnsi="TimesNewRomanPSMT" w:cs="TimesNewRomanPSMT"/>
            <w:sz w:val="22"/>
            <w:szCs w:val="22"/>
          </w:rPr>
          <w:t>here</w:t>
        </w:r>
      </w:hyperlink>
      <w:r w:rsidRPr="00F84B72">
        <w:rPr>
          <w:rFonts w:ascii="TimesNewRomanPSMT" w:hAnsi="TimesNewRomanPSMT" w:cs="TimesNewRomanPSMT"/>
          <w:color w:val="000000"/>
          <w:sz w:val="22"/>
          <w:szCs w:val="22"/>
        </w:rPr>
        <w:t>.</w:t>
      </w:r>
    </w:p>
    <w:p w14:paraId="372AA65B" w14:textId="77777777" w:rsidR="005710A9" w:rsidRPr="00CB15DD" w:rsidRDefault="005710A9" w:rsidP="00F84B72">
      <w:pPr>
        <w:pStyle w:val="ListParagraph"/>
        <w:numPr>
          <w:ilvl w:val="0"/>
          <w:numId w:val="0"/>
        </w:numPr>
        <w:autoSpaceDE w:val="0"/>
        <w:autoSpaceDN w:val="0"/>
        <w:adjustRightInd w:val="0"/>
        <w:spacing w:after="0" w:line="240" w:lineRule="auto"/>
        <w:ind w:left="720"/>
        <w:rPr>
          <w:rFonts w:ascii="TimesNewRomanPSMT" w:hAnsi="TimesNewRomanPSMT" w:cs="TimesNewRomanPSMT"/>
          <w:color w:val="000000"/>
        </w:rPr>
      </w:pPr>
    </w:p>
    <w:p w14:paraId="7A3CB5D7" w14:textId="77777777"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2. Once signed in, prospective participants can use the InTouch+ platform to:</w:t>
      </w:r>
    </w:p>
    <w:p w14:paraId="332F57E9" w14:textId="77777777" w:rsidR="00487466" w:rsidRDefault="00487466" w:rsidP="005710A9">
      <w:pPr>
        <w:autoSpaceDE w:val="0"/>
        <w:autoSpaceDN w:val="0"/>
        <w:adjustRightInd w:val="0"/>
        <w:spacing w:after="0" w:line="240" w:lineRule="auto"/>
        <w:jc w:val="both"/>
        <w:rPr>
          <w:rFonts w:ascii="TimesNewRomanPSMT" w:hAnsi="TimesNewRomanPSMT" w:cs="TimesNewRomanPSMT"/>
          <w:color w:val="000000"/>
        </w:rPr>
      </w:pPr>
    </w:p>
    <w:p w14:paraId="0618EF92" w14:textId="77777777" w:rsidR="005710A9" w:rsidRPr="00F84B72" w:rsidRDefault="005710A9" w:rsidP="005710A9">
      <w:pPr>
        <w:pStyle w:val="ListParagraph"/>
        <w:numPr>
          <w:ilvl w:val="0"/>
          <w:numId w:val="15"/>
        </w:numPr>
        <w:autoSpaceDE w:val="0"/>
        <w:autoSpaceDN w:val="0"/>
        <w:adjustRightInd w:val="0"/>
        <w:spacing w:before="0" w:after="0" w:line="240" w:lineRule="auto"/>
        <w:rPr>
          <w:rFonts w:ascii="TimesNewRomanPSMT" w:hAnsi="TimesNewRomanPSMT" w:cs="TimesNewRomanPSMT"/>
          <w:color w:val="000000"/>
          <w:sz w:val="22"/>
          <w:szCs w:val="22"/>
        </w:rPr>
      </w:pPr>
      <w:r w:rsidRPr="00F84B72">
        <w:rPr>
          <w:rFonts w:ascii="TimesNewRomanPSMT" w:hAnsi="TimesNewRomanPSMT" w:cs="TimesNewRomanPSMT"/>
          <w:color w:val="000000"/>
          <w:sz w:val="22"/>
          <w:szCs w:val="22"/>
        </w:rPr>
        <w:t xml:space="preserve">Complete or update their personal details under ‘Complete Profile’ and upload the relevant supporting </w:t>
      </w:r>
      <w:proofErr w:type="gramStart"/>
      <w:r w:rsidRPr="00F84B72">
        <w:rPr>
          <w:rFonts w:ascii="TimesNewRomanPSMT" w:hAnsi="TimesNewRomanPSMT" w:cs="TimesNewRomanPSMT"/>
          <w:color w:val="000000"/>
          <w:sz w:val="22"/>
          <w:szCs w:val="22"/>
        </w:rPr>
        <w:t>documents;</w:t>
      </w:r>
      <w:proofErr w:type="gramEnd"/>
    </w:p>
    <w:p w14:paraId="05AB6E43" w14:textId="77777777" w:rsidR="005710A9" w:rsidRPr="00F84B72" w:rsidRDefault="005710A9" w:rsidP="005710A9">
      <w:pPr>
        <w:pStyle w:val="ListParagraph"/>
        <w:numPr>
          <w:ilvl w:val="0"/>
          <w:numId w:val="15"/>
        </w:numPr>
        <w:autoSpaceDE w:val="0"/>
        <w:autoSpaceDN w:val="0"/>
        <w:adjustRightInd w:val="0"/>
        <w:spacing w:before="0" w:after="0" w:line="240" w:lineRule="auto"/>
        <w:rPr>
          <w:rFonts w:ascii="TimesNewRomanPSMT" w:hAnsi="TimesNewRomanPSMT" w:cs="TimesNewRomanPSMT"/>
          <w:color w:val="000000"/>
          <w:sz w:val="22"/>
          <w:szCs w:val="22"/>
        </w:rPr>
      </w:pPr>
      <w:r w:rsidRPr="00F84B72">
        <w:rPr>
          <w:rFonts w:ascii="SymbolMT" w:eastAsia="SymbolMT" w:hAnsi="TimesNewRomanPSMT" w:cs="SymbolMT"/>
          <w:color w:val="000000"/>
          <w:sz w:val="22"/>
          <w:szCs w:val="22"/>
        </w:rPr>
        <w:t xml:space="preserve"> </w:t>
      </w:r>
      <w:r w:rsidRPr="00F84B72">
        <w:rPr>
          <w:rFonts w:ascii="TimesNewRomanPSMT" w:hAnsi="TimesNewRomanPSMT" w:cs="TimesNewRomanPSMT"/>
          <w:color w:val="000000"/>
          <w:sz w:val="22"/>
          <w:szCs w:val="22"/>
        </w:rPr>
        <w:t xml:space="preserve">Search for the relevant event under the ‘My Eligible Events’ </w:t>
      </w:r>
      <w:proofErr w:type="gramStart"/>
      <w:r w:rsidRPr="00F84B72">
        <w:rPr>
          <w:rFonts w:ascii="TimesNewRomanPSMT" w:hAnsi="TimesNewRomanPSMT" w:cs="TimesNewRomanPSMT"/>
          <w:color w:val="000000"/>
          <w:sz w:val="22"/>
          <w:szCs w:val="22"/>
        </w:rPr>
        <w:t>tab;</w:t>
      </w:r>
      <w:proofErr w:type="gramEnd"/>
    </w:p>
    <w:p w14:paraId="1CB1B8FD" w14:textId="76E1AA37" w:rsidR="005710A9" w:rsidRPr="00F84B72" w:rsidRDefault="005710A9" w:rsidP="005710A9">
      <w:pPr>
        <w:pStyle w:val="ListParagraph"/>
        <w:numPr>
          <w:ilvl w:val="0"/>
          <w:numId w:val="15"/>
        </w:numPr>
        <w:autoSpaceDE w:val="0"/>
        <w:autoSpaceDN w:val="0"/>
        <w:adjustRightInd w:val="0"/>
        <w:spacing w:before="0" w:after="0" w:line="240" w:lineRule="auto"/>
        <w:rPr>
          <w:rFonts w:ascii="TimesNewRomanPSMT" w:hAnsi="TimesNewRomanPSMT" w:cs="TimesNewRomanPSMT"/>
          <w:color w:val="000000"/>
          <w:sz w:val="22"/>
          <w:szCs w:val="22"/>
        </w:rPr>
      </w:pPr>
      <w:r w:rsidRPr="00F84B72">
        <w:rPr>
          <w:rFonts w:ascii="TimesNewRomanPSMT" w:hAnsi="TimesNewRomanPSMT" w:cs="TimesNewRomanPSMT"/>
          <w:color w:val="000000"/>
          <w:sz w:val="22"/>
          <w:szCs w:val="22"/>
        </w:rPr>
        <w:lastRenderedPageBreak/>
        <w:t>Select the Member State or invited organi</w:t>
      </w:r>
      <w:r w:rsidR="00A5270D" w:rsidRPr="00F84B72">
        <w:rPr>
          <w:rFonts w:ascii="TimesNewRomanPSMT" w:hAnsi="TimesNewRomanPSMT" w:cs="TimesNewRomanPSMT"/>
          <w:color w:val="000000"/>
          <w:sz w:val="22"/>
          <w:szCs w:val="22"/>
        </w:rPr>
        <w:t>s</w:t>
      </w:r>
      <w:r w:rsidRPr="00F84B72">
        <w:rPr>
          <w:rFonts w:ascii="TimesNewRomanPSMT" w:hAnsi="TimesNewRomanPSMT" w:cs="TimesNewRomanPSMT"/>
          <w:color w:val="000000"/>
          <w:sz w:val="22"/>
          <w:szCs w:val="22"/>
        </w:rPr>
        <w:t>ation they want to represent from the drop-down menu entitled ‘Designating Authority’ (if an invited organi</w:t>
      </w:r>
      <w:r w:rsidR="00A5270D" w:rsidRPr="00F84B72">
        <w:rPr>
          <w:rFonts w:ascii="TimesNewRomanPSMT" w:hAnsi="TimesNewRomanPSMT" w:cs="TimesNewRomanPSMT"/>
          <w:color w:val="000000"/>
          <w:sz w:val="22"/>
          <w:szCs w:val="22"/>
        </w:rPr>
        <w:t>s</w:t>
      </w:r>
      <w:r w:rsidRPr="00F84B72">
        <w:rPr>
          <w:rFonts w:ascii="TimesNewRomanPSMT" w:hAnsi="TimesNewRomanPSMT" w:cs="TimesNewRomanPSMT"/>
          <w:color w:val="000000"/>
          <w:sz w:val="22"/>
          <w:szCs w:val="22"/>
        </w:rPr>
        <w:t xml:space="preserve">ation is not listed, please contact </w:t>
      </w:r>
      <w:r w:rsidRPr="00F84B72">
        <w:rPr>
          <w:rFonts w:ascii="TimesNewRomanPSMT" w:hAnsi="TimesNewRomanPSMT" w:cs="TimesNewRomanPSMT"/>
          <w:color w:val="0000FF"/>
          <w:sz w:val="22"/>
          <w:szCs w:val="22"/>
        </w:rPr>
        <w:t>InTouchPlus.Contact-Point@iaea.org</w:t>
      </w:r>
      <w:proofErr w:type="gramStart"/>
      <w:r w:rsidRPr="00F84B72">
        <w:rPr>
          <w:rFonts w:ascii="TimesNewRomanPSMT" w:hAnsi="TimesNewRomanPSMT" w:cs="TimesNewRomanPSMT"/>
          <w:color w:val="000000"/>
          <w:sz w:val="22"/>
          <w:szCs w:val="22"/>
        </w:rPr>
        <w:t>);</w:t>
      </w:r>
      <w:proofErr w:type="gramEnd"/>
    </w:p>
    <w:p w14:paraId="691281AC" w14:textId="0B60F45F" w:rsidR="005710A9" w:rsidRPr="00F84B72" w:rsidRDefault="005710A9" w:rsidP="005710A9">
      <w:pPr>
        <w:pStyle w:val="ListParagraph"/>
        <w:numPr>
          <w:ilvl w:val="0"/>
          <w:numId w:val="15"/>
        </w:numPr>
        <w:autoSpaceDE w:val="0"/>
        <w:autoSpaceDN w:val="0"/>
        <w:adjustRightInd w:val="0"/>
        <w:spacing w:before="0" w:after="0" w:line="240" w:lineRule="auto"/>
        <w:rPr>
          <w:rFonts w:ascii="TimesNewRomanPSMT" w:hAnsi="TimesNewRomanPSMT" w:cs="TimesNewRomanPSMT"/>
          <w:color w:val="000000"/>
          <w:sz w:val="22"/>
          <w:szCs w:val="22"/>
        </w:rPr>
      </w:pPr>
      <w:r w:rsidRPr="00F84B72">
        <w:rPr>
          <w:rFonts w:ascii="TimesNewRomanPSMT" w:hAnsi="TimesNewRomanPSMT" w:cs="TimesNewRomanPSMT"/>
          <w:color w:val="000000"/>
          <w:sz w:val="22"/>
          <w:szCs w:val="22"/>
        </w:rPr>
        <w:t>If applicable, indicate whether financial support is requested and complete the relevant information (this is not applicable to participants from invited organi</w:t>
      </w:r>
      <w:r w:rsidR="00A5270D" w:rsidRPr="00F84B72">
        <w:rPr>
          <w:rFonts w:ascii="TimesNewRomanPSMT" w:hAnsi="TimesNewRomanPSMT" w:cs="TimesNewRomanPSMT"/>
          <w:color w:val="000000"/>
          <w:sz w:val="22"/>
          <w:szCs w:val="22"/>
        </w:rPr>
        <w:t>s</w:t>
      </w:r>
      <w:r w:rsidRPr="00F84B72">
        <w:rPr>
          <w:rFonts w:ascii="TimesNewRomanPSMT" w:hAnsi="TimesNewRomanPSMT" w:cs="TimesNewRomanPSMT"/>
          <w:color w:val="000000"/>
          <w:sz w:val="22"/>
          <w:szCs w:val="22"/>
        </w:rPr>
        <w:t>ations</w:t>
      </w:r>
      <w:proofErr w:type="gramStart"/>
      <w:r w:rsidRPr="00F84B72">
        <w:rPr>
          <w:rFonts w:ascii="TimesNewRomanPSMT" w:hAnsi="TimesNewRomanPSMT" w:cs="TimesNewRomanPSMT"/>
          <w:color w:val="000000"/>
          <w:sz w:val="22"/>
          <w:szCs w:val="22"/>
        </w:rPr>
        <w:t>);</w:t>
      </w:r>
      <w:proofErr w:type="gramEnd"/>
    </w:p>
    <w:p w14:paraId="0605936E" w14:textId="29A402D9" w:rsidR="005710A9" w:rsidRPr="00F84B72" w:rsidRDefault="005710A9" w:rsidP="005710A9">
      <w:pPr>
        <w:pStyle w:val="ListParagraph"/>
        <w:numPr>
          <w:ilvl w:val="0"/>
          <w:numId w:val="15"/>
        </w:numPr>
        <w:autoSpaceDE w:val="0"/>
        <w:autoSpaceDN w:val="0"/>
        <w:adjustRightInd w:val="0"/>
        <w:spacing w:before="0" w:after="0" w:line="240" w:lineRule="auto"/>
        <w:rPr>
          <w:rFonts w:ascii="TimesNewRomanPSMT" w:hAnsi="TimesNewRomanPSMT" w:cs="TimesNewRomanPSMT"/>
          <w:color w:val="000000"/>
          <w:sz w:val="22"/>
          <w:szCs w:val="22"/>
        </w:rPr>
      </w:pPr>
      <w:r w:rsidRPr="00F84B72">
        <w:rPr>
          <w:rFonts w:ascii="TimesNewRomanPSMT" w:hAnsi="TimesNewRomanPSMT" w:cs="TimesNewRomanPSMT"/>
          <w:color w:val="000000"/>
          <w:sz w:val="22"/>
          <w:szCs w:val="22"/>
        </w:rPr>
        <w:t>Based on the data input, the InTouch+ platform will automatically generate the Participation Form</w:t>
      </w:r>
      <w:r w:rsidR="003C7F99">
        <w:rPr>
          <w:rFonts w:ascii="TimesNewRomanPSMT" w:hAnsi="TimesNewRomanPSMT" w:cs="TimesNewRomanPSMT"/>
          <w:color w:val="000000"/>
          <w:sz w:val="22"/>
          <w:szCs w:val="22"/>
        </w:rPr>
        <w:t xml:space="preserve"> </w:t>
      </w:r>
      <w:r w:rsidRPr="00F84B72">
        <w:rPr>
          <w:rFonts w:ascii="TimesNewRomanPSMT" w:hAnsi="TimesNewRomanPSMT" w:cs="TimesNewRomanPSMT"/>
          <w:color w:val="000000"/>
          <w:sz w:val="22"/>
          <w:szCs w:val="22"/>
        </w:rPr>
        <w:t>(Form A) and/or the Grant Application Form (Form C</w:t>
      </w:r>
      <w:proofErr w:type="gramStart"/>
      <w:r w:rsidRPr="00F84B72">
        <w:rPr>
          <w:rFonts w:ascii="TimesNewRomanPSMT" w:hAnsi="TimesNewRomanPSMT" w:cs="TimesNewRomanPSMT"/>
          <w:color w:val="000000"/>
          <w:sz w:val="22"/>
          <w:szCs w:val="22"/>
        </w:rPr>
        <w:t>);</w:t>
      </w:r>
      <w:proofErr w:type="gramEnd"/>
    </w:p>
    <w:p w14:paraId="1EF5A4AD" w14:textId="77777777" w:rsidR="005710A9" w:rsidRPr="00F84B72" w:rsidRDefault="005710A9" w:rsidP="005710A9">
      <w:pPr>
        <w:pStyle w:val="ListParagraph"/>
        <w:numPr>
          <w:ilvl w:val="0"/>
          <w:numId w:val="15"/>
        </w:numPr>
        <w:autoSpaceDE w:val="0"/>
        <w:autoSpaceDN w:val="0"/>
        <w:adjustRightInd w:val="0"/>
        <w:spacing w:before="0" w:after="0" w:line="240" w:lineRule="auto"/>
        <w:rPr>
          <w:rFonts w:ascii="TimesNewRomanPSMT" w:hAnsi="TimesNewRomanPSMT" w:cs="TimesNewRomanPSMT"/>
          <w:color w:val="000000"/>
          <w:sz w:val="22"/>
          <w:szCs w:val="22"/>
        </w:rPr>
      </w:pPr>
      <w:r w:rsidRPr="00F84B72">
        <w:rPr>
          <w:rFonts w:ascii="TimesNewRomanPSMT" w:hAnsi="TimesNewRomanPSMT" w:cs="TimesNewRomanPSMT"/>
          <w:color w:val="000000"/>
          <w:sz w:val="22"/>
          <w:szCs w:val="22"/>
        </w:rPr>
        <w:t>Submit their application.</w:t>
      </w:r>
    </w:p>
    <w:p w14:paraId="50BB3FC9" w14:textId="77777777"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p>
    <w:p w14:paraId="3A8AF20A" w14:textId="77777777" w:rsidR="005710A9" w:rsidRPr="00F84B72" w:rsidRDefault="005710A9" w:rsidP="005710A9">
      <w:pPr>
        <w:autoSpaceDE w:val="0"/>
        <w:autoSpaceDN w:val="0"/>
        <w:adjustRightInd w:val="0"/>
        <w:spacing w:after="0" w:line="240" w:lineRule="auto"/>
        <w:jc w:val="both"/>
        <w:rPr>
          <w:rFonts w:ascii="TimesNewRomanPSMT" w:hAnsi="TimesNewRomanPSMT" w:cs="TimesNewRomanPSMT"/>
          <w:b/>
          <w:bCs/>
          <w:color w:val="000000"/>
        </w:rPr>
      </w:pPr>
      <w:r>
        <w:rPr>
          <w:rFonts w:ascii="TimesNewRomanPSMT" w:hAnsi="TimesNewRomanPSMT" w:cs="TimesNewRomanPSMT"/>
          <w:color w:val="000000"/>
        </w:rPr>
        <w:t xml:space="preserve">Once submitted through the InTouch+ platform, the application, together with the auto-generated form(s), </w:t>
      </w:r>
      <w:r w:rsidRPr="00F84B72">
        <w:rPr>
          <w:rFonts w:ascii="TimesNewRomanPSMT" w:hAnsi="TimesNewRomanPSMT" w:cs="TimesNewRomanPSMT"/>
          <w:b/>
          <w:bCs/>
          <w:color w:val="000000"/>
        </w:rPr>
        <w:t>will be transmitted automatically to the required authority for approval</w:t>
      </w:r>
      <w:r>
        <w:rPr>
          <w:rFonts w:ascii="TimesNewRomanPSMT" w:hAnsi="TimesNewRomanPSMT" w:cs="TimesNewRomanPSMT"/>
          <w:color w:val="000000"/>
        </w:rPr>
        <w:t xml:space="preserve">. If approved, the application, together with the applicable form(s), </w:t>
      </w:r>
      <w:r w:rsidRPr="00F84B72">
        <w:rPr>
          <w:rFonts w:ascii="TimesNewRomanPSMT" w:hAnsi="TimesNewRomanPSMT" w:cs="TimesNewRomanPSMT"/>
          <w:b/>
          <w:bCs/>
          <w:color w:val="000000"/>
        </w:rPr>
        <w:t>will automatically be sent to the IAEA through the online platform.</w:t>
      </w:r>
    </w:p>
    <w:p w14:paraId="7F74324F" w14:textId="77777777" w:rsidR="005710A9" w:rsidRDefault="005710A9" w:rsidP="005710A9">
      <w:pPr>
        <w:autoSpaceDE w:val="0"/>
        <w:autoSpaceDN w:val="0"/>
        <w:adjustRightInd w:val="0"/>
        <w:spacing w:after="0" w:line="240" w:lineRule="auto"/>
        <w:rPr>
          <w:rFonts w:ascii="TimesNewRomanPSMT" w:hAnsi="TimesNewRomanPSMT" w:cs="TimesNewRomanPSMT"/>
          <w:color w:val="000000"/>
          <w:sz w:val="20"/>
          <w:szCs w:val="20"/>
        </w:rPr>
      </w:pPr>
    </w:p>
    <w:p w14:paraId="27BB083F" w14:textId="2375BD57"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NOTE: The application for financial support should be made, together with the submission of the application, </w:t>
      </w:r>
      <w:r w:rsidRPr="00FF0A6F">
        <w:rPr>
          <w:rFonts w:ascii="TimesNewRomanPSMT" w:hAnsi="TimesNewRomanPSMT" w:cs="TimesNewRomanPSMT"/>
          <w:color w:val="000000"/>
        </w:rPr>
        <w:t xml:space="preserve">by </w:t>
      </w:r>
      <w:r w:rsidRPr="00F72566">
        <w:rPr>
          <w:rFonts w:ascii="Times New Roman" w:eastAsia="SimSun" w:hAnsi="Times New Roman" w:cs="Times New Roman"/>
          <w:b/>
          <w:lang w:eastAsia="en-GB"/>
        </w:rPr>
        <w:t xml:space="preserve">15 </w:t>
      </w:r>
      <w:r w:rsidR="003E62AD" w:rsidRPr="00F84B72">
        <w:rPr>
          <w:rFonts w:ascii="Times New Roman" w:eastAsia="SimSun" w:hAnsi="Times New Roman" w:cs="Times New Roman"/>
          <w:b/>
          <w:lang w:eastAsia="en-GB"/>
        </w:rPr>
        <w:t>August</w:t>
      </w:r>
      <w:r w:rsidRPr="00F72566">
        <w:rPr>
          <w:rFonts w:ascii="Times New Roman" w:eastAsia="SimSun" w:hAnsi="Times New Roman" w:cs="Times New Roman"/>
          <w:b/>
          <w:lang w:eastAsia="en-GB"/>
        </w:rPr>
        <w:t xml:space="preserve"> 2025</w:t>
      </w:r>
      <w:r w:rsidRPr="00F72566">
        <w:rPr>
          <w:rFonts w:ascii="TimesNewRomanPSMT" w:hAnsi="TimesNewRomanPSMT" w:cs="TimesNewRomanPSMT"/>
        </w:rPr>
        <w:t>.</w:t>
      </w:r>
    </w:p>
    <w:p w14:paraId="4D3822FE" w14:textId="3C75251B"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For additional information on how to apply for an event, please refer to the </w:t>
      </w:r>
      <w:hyperlink r:id="rId15" w:history="1">
        <w:r w:rsidRPr="003C7F99">
          <w:rPr>
            <w:rStyle w:val="Hyperlink"/>
            <w:rFonts w:ascii="TimesNewRomanPSMT" w:hAnsi="TimesNewRomanPSMT" w:cs="TimesNewRomanPSMT"/>
          </w:rPr>
          <w:t>InTouch+ Help</w:t>
        </w:r>
      </w:hyperlink>
      <w:r>
        <w:rPr>
          <w:rFonts w:ascii="TimesNewRomanPSMT" w:hAnsi="TimesNewRomanPSMT" w:cs="TimesNewRomanPSMT"/>
          <w:color w:val="0000FF"/>
        </w:rPr>
        <w:t xml:space="preserve"> </w:t>
      </w:r>
      <w:r>
        <w:rPr>
          <w:rFonts w:ascii="TimesNewRomanPSMT" w:hAnsi="TimesNewRomanPSMT" w:cs="TimesNewRomanPSMT"/>
          <w:color w:val="000000"/>
        </w:rPr>
        <w:t xml:space="preserve">page. Any other issues or queries related to InTouch+ can be sent to </w:t>
      </w:r>
      <w:hyperlink r:id="rId16" w:history="1">
        <w:r w:rsidRPr="00041046">
          <w:rPr>
            <w:rStyle w:val="Hyperlink"/>
            <w:rFonts w:ascii="TimesNewRomanPSMT" w:hAnsi="TimesNewRomanPSMT" w:cs="TimesNewRomanPSMT"/>
          </w:rPr>
          <w:t>InTouchPlus.Contact-Point@iaea.org</w:t>
        </w:r>
      </w:hyperlink>
      <w:r>
        <w:rPr>
          <w:rFonts w:ascii="TimesNewRomanPSMT" w:hAnsi="TimesNewRomanPSMT" w:cs="TimesNewRomanPSMT"/>
          <w:color w:val="000000"/>
        </w:rPr>
        <w:t>.</w:t>
      </w:r>
    </w:p>
    <w:p w14:paraId="7DA33666" w14:textId="77777777"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p>
    <w:p w14:paraId="796AD5DF" w14:textId="77777777"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Selected participants will be informed in due course on the procedures to be followed with regard to</w:t>
      </w:r>
    </w:p>
    <w:p w14:paraId="129BBEBB" w14:textId="77777777"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administrative and financial matters. </w:t>
      </w:r>
    </w:p>
    <w:p w14:paraId="7BF0C301" w14:textId="77777777" w:rsidR="005710A9" w:rsidRDefault="005710A9" w:rsidP="005710A9">
      <w:pPr>
        <w:autoSpaceDE w:val="0"/>
        <w:autoSpaceDN w:val="0"/>
        <w:adjustRightInd w:val="0"/>
        <w:spacing w:after="0" w:line="240" w:lineRule="auto"/>
        <w:jc w:val="both"/>
        <w:rPr>
          <w:rFonts w:ascii="TimesNewRomanPSMT" w:hAnsi="TimesNewRomanPSMT" w:cs="TimesNewRomanPSMT"/>
          <w:color w:val="000000"/>
        </w:rPr>
      </w:pPr>
    </w:p>
    <w:p w14:paraId="5E75EA9B" w14:textId="3E6EFA4D" w:rsidR="005710A9" w:rsidRPr="0084299A" w:rsidRDefault="005710A9" w:rsidP="005710A9">
      <w:pPr>
        <w:autoSpaceDE w:val="0"/>
        <w:autoSpaceDN w:val="0"/>
        <w:adjustRightInd w:val="0"/>
        <w:spacing w:after="0" w:line="240" w:lineRule="auto"/>
        <w:jc w:val="both"/>
        <w:rPr>
          <w:rFonts w:ascii="TimesNewRomanPSMT" w:hAnsi="TimesNewRomanPSMT" w:cs="TimesNewRomanPSMT"/>
          <w:color w:val="000000"/>
        </w:rPr>
      </w:pPr>
      <w:r>
        <w:rPr>
          <w:rFonts w:ascii="TimesNewRomanPSMT" w:hAnsi="TimesNewRomanPSMT" w:cs="TimesNewRomanPSMT"/>
          <w:color w:val="000000"/>
        </w:rPr>
        <w:t xml:space="preserve">Participants are hereby informed that the personal data they submit will be processed in line with the </w:t>
      </w:r>
      <w:hyperlink r:id="rId17" w:history="1">
        <w:r w:rsidRPr="003C7F99">
          <w:rPr>
            <w:rStyle w:val="Hyperlink"/>
            <w:rFonts w:ascii="TimesNewRomanPSMT" w:hAnsi="TimesNewRomanPSMT" w:cs="TimesNewRomanPSMT"/>
          </w:rPr>
          <w:t>Agency’s Personal Data and Privacy Policy</w:t>
        </w:r>
      </w:hyperlink>
      <w:r>
        <w:rPr>
          <w:rFonts w:ascii="TimesNewRomanPSMT" w:hAnsi="TimesNewRomanPSMT" w:cs="TimesNewRomanPSMT"/>
          <w:color w:val="0000FF"/>
        </w:rPr>
        <w:t xml:space="preserve"> </w:t>
      </w:r>
      <w:r>
        <w:rPr>
          <w:rFonts w:ascii="TimesNewRomanPSMT" w:hAnsi="TimesNewRomanPSMT" w:cs="TimesNewRomanPSMT"/>
          <w:color w:val="000000"/>
        </w:rPr>
        <w:t xml:space="preserve">and is collected solely for the purpose(s) of reviewing and assessing the application and to complete logistical arrangements where required. The IAEA may also use the contact details of Applicants to inform them of the IAEA’s scientific and technical publications, or the latest employment opportunities and current open vacancies at the IAEA. These secondary purposes are consistent with the IAEA’s mandate. Further information can be found in the </w:t>
      </w:r>
      <w:r>
        <w:rPr>
          <w:rFonts w:ascii="TimesNewRomanPSMT" w:hAnsi="TimesNewRomanPSMT" w:cs="TimesNewRomanPSMT"/>
          <w:color w:val="0000FF"/>
        </w:rPr>
        <w:t xml:space="preserve">Data Processing Notice </w:t>
      </w:r>
      <w:r>
        <w:rPr>
          <w:rFonts w:ascii="TimesNewRomanPSMT" w:hAnsi="TimesNewRomanPSMT" w:cs="TimesNewRomanPSMT"/>
          <w:color w:val="000000"/>
        </w:rPr>
        <w:t>concerning IAEA InTouch+ platform.</w:t>
      </w:r>
    </w:p>
    <w:p w14:paraId="58781C5F" w14:textId="77777777" w:rsidR="003C4F05" w:rsidRDefault="003C4F05" w:rsidP="005710A9">
      <w:pPr>
        <w:contextualSpacing/>
        <w:jc w:val="both"/>
        <w:rPr>
          <w:rFonts w:ascii="Times New Roman" w:hAnsi="Times New Roman" w:cs="Times New Roman"/>
          <w:b/>
          <w:sz w:val="32"/>
          <w:szCs w:val="32"/>
        </w:rPr>
      </w:pPr>
    </w:p>
    <w:p w14:paraId="254ACA21" w14:textId="052430FD" w:rsidR="005710A9" w:rsidRPr="0084299A" w:rsidRDefault="00E96CDE" w:rsidP="005710A9">
      <w:pPr>
        <w:contextualSpacing/>
        <w:jc w:val="both"/>
        <w:rPr>
          <w:rFonts w:ascii="Times New Roman" w:hAnsi="Times New Roman" w:cs="Times New Roman"/>
          <w:b/>
          <w:sz w:val="32"/>
          <w:szCs w:val="32"/>
        </w:rPr>
      </w:pPr>
      <w:r>
        <w:rPr>
          <w:rFonts w:ascii="Times New Roman" w:hAnsi="Times New Roman" w:cs="Times New Roman"/>
          <w:b/>
          <w:sz w:val="32"/>
          <w:szCs w:val="32"/>
        </w:rPr>
        <w:t>Contributions</w:t>
      </w:r>
      <w:r w:rsidR="005710A9" w:rsidRPr="0084299A">
        <w:rPr>
          <w:rFonts w:ascii="Times New Roman" w:hAnsi="Times New Roman" w:cs="Times New Roman"/>
          <w:b/>
          <w:sz w:val="32"/>
          <w:szCs w:val="32"/>
        </w:rPr>
        <w:t xml:space="preserve"> and Pr</w:t>
      </w:r>
      <w:r>
        <w:rPr>
          <w:rFonts w:ascii="Times New Roman" w:hAnsi="Times New Roman" w:cs="Times New Roman"/>
          <w:b/>
          <w:sz w:val="32"/>
          <w:szCs w:val="32"/>
        </w:rPr>
        <w:t>esentations</w:t>
      </w:r>
    </w:p>
    <w:p w14:paraId="41390810" w14:textId="77777777" w:rsidR="005710A9" w:rsidRDefault="005710A9" w:rsidP="005710A9">
      <w:pPr>
        <w:contextualSpacing/>
        <w:jc w:val="both"/>
        <w:rPr>
          <w:rFonts w:ascii="Calibri" w:eastAsia="Calibri" w:hAnsi="Calibri" w:cs="Times New Roman"/>
          <w:sz w:val="24"/>
          <w:szCs w:val="24"/>
          <w:lang w:val="en-US"/>
        </w:rPr>
      </w:pPr>
    </w:p>
    <w:p w14:paraId="4A7CED71" w14:textId="6FF35AB4" w:rsidR="000D6D89" w:rsidRDefault="000169F3" w:rsidP="005710A9">
      <w:pPr>
        <w:contextualSpacing/>
        <w:jc w:val="both"/>
        <w:rPr>
          <w:rFonts w:ascii="TimesNewRomanPSMT" w:hAnsi="TimesNewRomanPSMT" w:cs="TimesNewRomanPSMT"/>
          <w:color w:val="000000"/>
        </w:rPr>
      </w:pPr>
      <w:r>
        <w:rPr>
          <w:rFonts w:ascii="TimesNewRomanPSMT" w:hAnsi="TimesNewRomanPSMT" w:cs="TimesNewRomanPSMT"/>
          <w:color w:val="000000"/>
        </w:rPr>
        <w:t xml:space="preserve">To attend the technical meeting </w:t>
      </w:r>
      <w:r w:rsidR="005710A9" w:rsidRPr="00FF0A6F">
        <w:rPr>
          <w:rFonts w:ascii="TimesNewRomanPSMT" w:hAnsi="TimesNewRomanPSMT" w:cs="TimesNewRomanPSMT"/>
          <w:color w:val="000000"/>
        </w:rPr>
        <w:t>participant</w:t>
      </w:r>
      <w:r>
        <w:rPr>
          <w:rFonts w:ascii="TimesNewRomanPSMT" w:hAnsi="TimesNewRomanPSMT" w:cs="TimesNewRomanPSMT"/>
          <w:color w:val="000000"/>
        </w:rPr>
        <w:t>s are required to submit:</w:t>
      </w:r>
    </w:p>
    <w:p w14:paraId="527A2A32" w14:textId="77777777" w:rsidR="00913226" w:rsidRPr="00F84B72" w:rsidRDefault="000D6D89" w:rsidP="000D6D89">
      <w:pPr>
        <w:pStyle w:val="ListParagraph"/>
        <w:rPr>
          <w:sz w:val="22"/>
          <w:szCs w:val="22"/>
        </w:rPr>
      </w:pPr>
      <w:r w:rsidRPr="00F84B72">
        <w:rPr>
          <w:sz w:val="22"/>
          <w:szCs w:val="22"/>
        </w:rPr>
        <w:t>Title of your presentation (presentations will be limited to 30 minutes</w:t>
      </w:r>
      <w:r w:rsidR="003A7D79" w:rsidRPr="00F84B72">
        <w:rPr>
          <w:sz w:val="22"/>
          <w:szCs w:val="22"/>
        </w:rPr>
        <w:t xml:space="preserve"> </w:t>
      </w:r>
      <w:r w:rsidR="00C8573E" w:rsidRPr="00F84B72">
        <w:rPr>
          <w:sz w:val="22"/>
          <w:szCs w:val="22"/>
        </w:rPr>
        <w:t>including</w:t>
      </w:r>
      <w:r w:rsidR="003A7D79" w:rsidRPr="00F84B72">
        <w:rPr>
          <w:sz w:val="22"/>
          <w:szCs w:val="22"/>
        </w:rPr>
        <w:t xml:space="preserve"> Q&amp;A)</w:t>
      </w:r>
      <w:r w:rsidR="0097349C" w:rsidRPr="00F84B72">
        <w:rPr>
          <w:sz w:val="22"/>
          <w:szCs w:val="22"/>
        </w:rPr>
        <w:t>. Presentations can be given on codes and standards activitie</w:t>
      </w:r>
      <w:r w:rsidR="00ED71B4" w:rsidRPr="00F84B72">
        <w:rPr>
          <w:sz w:val="22"/>
          <w:szCs w:val="22"/>
        </w:rPr>
        <w:t xml:space="preserve">s. </w:t>
      </w:r>
    </w:p>
    <w:p w14:paraId="34C4C660" w14:textId="3CD7864F" w:rsidR="00913226" w:rsidRPr="00F84B72" w:rsidRDefault="00ED71B4" w:rsidP="00913226">
      <w:pPr>
        <w:pStyle w:val="ListParagraph"/>
        <w:numPr>
          <w:ilvl w:val="1"/>
          <w:numId w:val="3"/>
        </w:numPr>
        <w:rPr>
          <w:sz w:val="22"/>
          <w:szCs w:val="22"/>
        </w:rPr>
      </w:pPr>
      <w:r w:rsidRPr="00F84B72">
        <w:rPr>
          <w:sz w:val="22"/>
          <w:szCs w:val="22"/>
        </w:rPr>
        <w:t>What is your organi</w:t>
      </w:r>
      <w:r w:rsidR="00A5270D">
        <w:rPr>
          <w:sz w:val="22"/>
          <w:szCs w:val="22"/>
        </w:rPr>
        <w:t>s</w:t>
      </w:r>
      <w:r w:rsidRPr="00F84B72">
        <w:rPr>
          <w:sz w:val="22"/>
          <w:szCs w:val="22"/>
        </w:rPr>
        <w:t xml:space="preserve">ation doing to address C&amp;S? </w:t>
      </w:r>
    </w:p>
    <w:p w14:paraId="187D77F1" w14:textId="77777777" w:rsidR="00913226" w:rsidRPr="00F84B72" w:rsidRDefault="00ED71B4" w:rsidP="00913226">
      <w:pPr>
        <w:pStyle w:val="ListParagraph"/>
        <w:numPr>
          <w:ilvl w:val="1"/>
          <w:numId w:val="3"/>
        </w:numPr>
        <w:rPr>
          <w:sz w:val="22"/>
          <w:szCs w:val="22"/>
        </w:rPr>
      </w:pPr>
      <w:r w:rsidRPr="00F84B72">
        <w:rPr>
          <w:sz w:val="22"/>
          <w:szCs w:val="22"/>
        </w:rPr>
        <w:t xml:space="preserve">What is your methodology for identifying relevant C&amp;S? </w:t>
      </w:r>
    </w:p>
    <w:p w14:paraId="143E2510" w14:textId="3F25673E" w:rsidR="000D6D89" w:rsidRDefault="00ED71B4" w:rsidP="00913226">
      <w:pPr>
        <w:pStyle w:val="ListParagraph"/>
        <w:numPr>
          <w:ilvl w:val="1"/>
          <w:numId w:val="3"/>
        </w:numPr>
        <w:rPr>
          <w:sz w:val="22"/>
          <w:szCs w:val="22"/>
        </w:rPr>
      </w:pPr>
      <w:r w:rsidRPr="00F84B72">
        <w:rPr>
          <w:sz w:val="22"/>
          <w:szCs w:val="22"/>
        </w:rPr>
        <w:t>If you are a standards organi</w:t>
      </w:r>
      <w:r w:rsidR="00A5270D">
        <w:rPr>
          <w:sz w:val="22"/>
          <w:szCs w:val="22"/>
        </w:rPr>
        <w:t>s</w:t>
      </w:r>
      <w:r w:rsidRPr="00F84B72">
        <w:rPr>
          <w:sz w:val="22"/>
          <w:szCs w:val="22"/>
        </w:rPr>
        <w:t xml:space="preserve">ation, what is your methodology for developing new C&amp;S, or </w:t>
      </w:r>
      <w:r w:rsidR="00913226" w:rsidRPr="00F84B72">
        <w:rPr>
          <w:sz w:val="22"/>
          <w:szCs w:val="22"/>
        </w:rPr>
        <w:t>developing/revising existing C&amp;S?</w:t>
      </w:r>
    </w:p>
    <w:p w14:paraId="33F8B2EB" w14:textId="65EB9962" w:rsidR="004553A9" w:rsidRPr="00F84B72" w:rsidRDefault="005C3643" w:rsidP="00F84B72">
      <w:pPr>
        <w:pStyle w:val="ListParagraph"/>
        <w:numPr>
          <w:ilvl w:val="0"/>
          <w:numId w:val="0"/>
        </w:numPr>
        <w:ind w:left="720"/>
        <w:rPr>
          <w:sz w:val="22"/>
          <w:szCs w:val="22"/>
        </w:rPr>
      </w:pPr>
      <w:r>
        <w:rPr>
          <w:sz w:val="22"/>
          <w:szCs w:val="22"/>
        </w:rPr>
        <w:t>*Please feel free to provide a</w:t>
      </w:r>
      <w:r w:rsidR="000169F3">
        <w:rPr>
          <w:sz w:val="22"/>
          <w:szCs w:val="22"/>
        </w:rPr>
        <w:t xml:space="preserve"> brief</w:t>
      </w:r>
      <w:r>
        <w:rPr>
          <w:sz w:val="22"/>
          <w:szCs w:val="22"/>
        </w:rPr>
        <w:t xml:space="preserve"> overview of your </w:t>
      </w:r>
      <w:r w:rsidR="006E0816">
        <w:rPr>
          <w:sz w:val="22"/>
          <w:szCs w:val="22"/>
        </w:rPr>
        <w:t>organisation’s</w:t>
      </w:r>
      <w:r>
        <w:rPr>
          <w:sz w:val="22"/>
          <w:szCs w:val="22"/>
        </w:rPr>
        <w:t xml:space="preserve"> fusion activities.</w:t>
      </w:r>
    </w:p>
    <w:p w14:paraId="7B50B976" w14:textId="5C191F20" w:rsidR="00C30CA7" w:rsidRDefault="003A7D79" w:rsidP="00C30CA7">
      <w:pPr>
        <w:pStyle w:val="ListParagraph"/>
        <w:rPr>
          <w:sz w:val="22"/>
          <w:szCs w:val="22"/>
        </w:rPr>
      </w:pPr>
      <w:r w:rsidRPr="00F84B72">
        <w:rPr>
          <w:sz w:val="22"/>
          <w:szCs w:val="22"/>
        </w:rPr>
        <w:t>Example</w:t>
      </w:r>
      <w:r w:rsidR="00913226" w:rsidRPr="00F84B72">
        <w:rPr>
          <w:sz w:val="22"/>
          <w:szCs w:val="22"/>
        </w:rPr>
        <w:t>s</w:t>
      </w:r>
      <w:r w:rsidRPr="00F84B72">
        <w:rPr>
          <w:sz w:val="22"/>
          <w:szCs w:val="22"/>
        </w:rPr>
        <w:t xml:space="preserve"> of identified fusion codes and standards </w:t>
      </w:r>
      <w:r w:rsidR="00174B67">
        <w:rPr>
          <w:sz w:val="22"/>
          <w:szCs w:val="22"/>
        </w:rPr>
        <w:t>that need development or where gaps are obviously present. A template for each C&amp;S can be found on the INDICO platform (see below), if possible</w:t>
      </w:r>
      <w:r w:rsidR="00DB07B3">
        <w:rPr>
          <w:sz w:val="22"/>
          <w:szCs w:val="22"/>
        </w:rPr>
        <w:t>,</w:t>
      </w:r>
      <w:r w:rsidR="00174B67">
        <w:rPr>
          <w:sz w:val="22"/>
          <w:szCs w:val="22"/>
        </w:rPr>
        <w:t xml:space="preserve"> reference to the specific </w:t>
      </w:r>
      <w:r w:rsidR="00FC65F7">
        <w:rPr>
          <w:sz w:val="22"/>
          <w:szCs w:val="22"/>
        </w:rPr>
        <w:t>section</w:t>
      </w:r>
      <w:r w:rsidR="00174B67">
        <w:rPr>
          <w:sz w:val="22"/>
          <w:szCs w:val="22"/>
        </w:rPr>
        <w:t xml:space="preserve"> of the C&amp;S should be provided. </w:t>
      </w:r>
      <w:r w:rsidR="000169F3">
        <w:rPr>
          <w:sz w:val="22"/>
          <w:szCs w:val="22"/>
        </w:rPr>
        <w:t>Key categories for the C&amp;S are identified below</w:t>
      </w:r>
      <w:r w:rsidR="00174B67">
        <w:rPr>
          <w:sz w:val="22"/>
          <w:szCs w:val="22"/>
        </w:rPr>
        <w:t>:</w:t>
      </w:r>
    </w:p>
    <w:p w14:paraId="6CDB1DA9" w14:textId="77777777" w:rsidR="00C30CA7" w:rsidRPr="00F84B72" w:rsidRDefault="00C30CA7">
      <w:pPr>
        <w:pStyle w:val="ListParagraph"/>
        <w:numPr>
          <w:ilvl w:val="1"/>
          <w:numId w:val="3"/>
        </w:numPr>
        <w:rPr>
          <w:sz w:val="22"/>
          <w:szCs w:val="22"/>
        </w:rPr>
      </w:pPr>
      <w:r w:rsidRPr="00F84B72">
        <w:rPr>
          <w:sz w:val="22"/>
          <w:szCs w:val="22"/>
        </w:rPr>
        <w:t>Materials data</w:t>
      </w:r>
    </w:p>
    <w:p w14:paraId="1E3C22C3" w14:textId="4C6D8800" w:rsidR="00C30CA7" w:rsidRPr="00F84B72" w:rsidRDefault="00C30CA7">
      <w:pPr>
        <w:pStyle w:val="ListParagraph"/>
        <w:numPr>
          <w:ilvl w:val="1"/>
          <w:numId w:val="3"/>
        </w:numPr>
        <w:rPr>
          <w:sz w:val="22"/>
          <w:szCs w:val="22"/>
        </w:rPr>
      </w:pPr>
      <w:r w:rsidRPr="00F84B72">
        <w:rPr>
          <w:sz w:val="22"/>
          <w:szCs w:val="22"/>
        </w:rPr>
        <w:t>Structural materials</w:t>
      </w:r>
    </w:p>
    <w:p w14:paraId="38000088" w14:textId="77777777" w:rsidR="00EE3D37" w:rsidRPr="00F84B72" w:rsidRDefault="00EE3D37" w:rsidP="00EE3D37">
      <w:pPr>
        <w:pStyle w:val="ListParagraph"/>
        <w:numPr>
          <w:ilvl w:val="1"/>
          <w:numId w:val="3"/>
        </w:numPr>
        <w:rPr>
          <w:sz w:val="22"/>
          <w:szCs w:val="22"/>
        </w:rPr>
      </w:pPr>
      <w:r w:rsidRPr="00F84B72">
        <w:rPr>
          <w:sz w:val="22"/>
          <w:szCs w:val="22"/>
        </w:rPr>
        <w:t>Tritium breeder blankets (ex. molten salts, liquid metals)</w:t>
      </w:r>
    </w:p>
    <w:p w14:paraId="73214030" w14:textId="77777777" w:rsidR="00EE3D37" w:rsidRPr="00F84B72" w:rsidRDefault="00EE3D37" w:rsidP="00EE3D37">
      <w:pPr>
        <w:pStyle w:val="ListParagraph"/>
        <w:numPr>
          <w:ilvl w:val="1"/>
          <w:numId w:val="3"/>
        </w:numPr>
        <w:rPr>
          <w:sz w:val="22"/>
          <w:szCs w:val="22"/>
        </w:rPr>
      </w:pPr>
      <w:r w:rsidRPr="00F84B72">
        <w:rPr>
          <w:sz w:val="22"/>
          <w:szCs w:val="22"/>
        </w:rPr>
        <w:t>Heat transfer systems (how to extract the heat)</w:t>
      </w:r>
    </w:p>
    <w:p w14:paraId="5DA86906" w14:textId="77777777" w:rsidR="00EE3D37" w:rsidRPr="00F84B72" w:rsidRDefault="00EE3D37" w:rsidP="00EE3D37">
      <w:pPr>
        <w:pStyle w:val="ListParagraph"/>
        <w:numPr>
          <w:ilvl w:val="1"/>
          <w:numId w:val="3"/>
        </w:numPr>
        <w:rPr>
          <w:sz w:val="22"/>
          <w:szCs w:val="22"/>
        </w:rPr>
      </w:pPr>
      <w:r w:rsidRPr="00F84B72">
        <w:rPr>
          <w:sz w:val="22"/>
          <w:szCs w:val="22"/>
        </w:rPr>
        <w:t xml:space="preserve">Remote handling </w:t>
      </w:r>
    </w:p>
    <w:p w14:paraId="20D1E120" w14:textId="4ACBEE75" w:rsidR="00EE3D37" w:rsidRPr="00F84B72" w:rsidRDefault="00EE3D37" w:rsidP="00EE3D37">
      <w:pPr>
        <w:pStyle w:val="ListParagraph"/>
        <w:numPr>
          <w:ilvl w:val="1"/>
          <w:numId w:val="3"/>
        </w:numPr>
        <w:rPr>
          <w:sz w:val="22"/>
          <w:szCs w:val="22"/>
        </w:rPr>
      </w:pPr>
      <w:r w:rsidRPr="00F84B72">
        <w:rPr>
          <w:sz w:val="22"/>
          <w:szCs w:val="22"/>
        </w:rPr>
        <w:lastRenderedPageBreak/>
        <w:t xml:space="preserve">Cybersecurity </w:t>
      </w:r>
    </w:p>
    <w:p w14:paraId="501C3E3E" w14:textId="69FC007B" w:rsidR="00EE3D37" w:rsidRPr="001503FC" w:rsidRDefault="00FB0ABC" w:rsidP="00F84B72">
      <w:pPr>
        <w:pStyle w:val="ListParagraph"/>
        <w:numPr>
          <w:ilvl w:val="1"/>
          <w:numId w:val="3"/>
        </w:numPr>
      </w:pPr>
      <w:r w:rsidRPr="00F84B72">
        <w:rPr>
          <w:sz w:val="22"/>
          <w:szCs w:val="22"/>
        </w:rPr>
        <w:t>Other Systems</w:t>
      </w:r>
    </w:p>
    <w:p w14:paraId="7D1A936E" w14:textId="3FF8465F" w:rsidR="005710A9" w:rsidRPr="0084299A" w:rsidRDefault="00C8573E" w:rsidP="005710A9">
      <w:pPr>
        <w:contextualSpacing/>
        <w:jc w:val="both"/>
        <w:rPr>
          <w:rFonts w:ascii="TimesNewRomanPSMT" w:hAnsi="TimesNewRomanPSMT" w:cs="TimesNewRomanPSMT"/>
          <w:color w:val="000000"/>
        </w:rPr>
      </w:pPr>
      <w:r>
        <w:rPr>
          <w:rFonts w:ascii="TimesNewRomanPSMT" w:hAnsi="TimesNewRomanPSMT" w:cs="TimesNewRomanPSMT"/>
        </w:rPr>
        <w:t>Contributions should be submitted by</w:t>
      </w:r>
      <w:r w:rsidR="005710A9" w:rsidRPr="00FF0A6F">
        <w:rPr>
          <w:rFonts w:ascii="TimesNewRomanPSMT" w:hAnsi="TimesNewRomanPSMT" w:cs="TimesNewRomanPSMT"/>
        </w:rPr>
        <w:t xml:space="preserve"> </w:t>
      </w:r>
      <w:r w:rsidR="001F25FD" w:rsidRPr="00F84B72">
        <w:rPr>
          <w:rFonts w:ascii="Times New Roman" w:eastAsia="SimSun" w:hAnsi="Times New Roman" w:cs="Times New Roman"/>
          <w:b/>
          <w:lang w:eastAsia="en-GB"/>
        </w:rPr>
        <w:t>10</w:t>
      </w:r>
      <w:r w:rsidR="005710A9" w:rsidRPr="00F72566">
        <w:rPr>
          <w:rFonts w:ascii="Times New Roman" w:eastAsia="SimSun" w:hAnsi="Times New Roman" w:cs="Times New Roman"/>
          <w:b/>
          <w:lang w:eastAsia="en-GB"/>
        </w:rPr>
        <w:t xml:space="preserve"> </w:t>
      </w:r>
      <w:r w:rsidR="0025424A" w:rsidRPr="00F72566">
        <w:rPr>
          <w:rFonts w:ascii="Times New Roman" w:eastAsia="SimSun" w:hAnsi="Times New Roman" w:cs="Times New Roman"/>
          <w:b/>
          <w:lang w:eastAsia="en-GB"/>
        </w:rPr>
        <w:t>October</w:t>
      </w:r>
      <w:r w:rsidR="005710A9" w:rsidRPr="00F72566">
        <w:rPr>
          <w:rFonts w:ascii="Times New Roman" w:eastAsia="SimSun" w:hAnsi="Times New Roman" w:cs="Times New Roman"/>
          <w:b/>
          <w:lang w:eastAsia="en-GB"/>
        </w:rPr>
        <w:t xml:space="preserve"> 2025</w:t>
      </w:r>
      <w:r w:rsidR="005710A9" w:rsidRPr="00F72566">
        <w:rPr>
          <w:rFonts w:ascii="TimesNewRomanPSMT" w:hAnsi="TimesNewRomanPSMT" w:cs="TimesNewRomanPSMT"/>
          <w:color w:val="000000"/>
        </w:rPr>
        <w:t xml:space="preserve">. Instructions on how to upload the </w:t>
      </w:r>
      <w:r w:rsidR="0025424A" w:rsidRPr="00F72566">
        <w:rPr>
          <w:rFonts w:ascii="TimesNewRomanPSMT" w:hAnsi="TimesNewRomanPSMT" w:cs="TimesNewRomanPSMT"/>
          <w:color w:val="000000"/>
        </w:rPr>
        <w:t>contributions</w:t>
      </w:r>
      <w:r w:rsidR="005710A9" w:rsidRPr="00F72566">
        <w:rPr>
          <w:rFonts w:ascii="TimesNewRomanPSMT" w:hAnsi="TimesNewRomanPSMT" w:cs="TimesNewRomanPSMT"/>
          <w:color w:val="000000"/>
        </w:rPr>
        <w:t xml:space="preserve"> are available on the IAEA-INDICO website </w:t>
      </w:r>
      <w:hyperlink r:id="rId18" w:history="1">
        <w:r w:rsidR="006D23A2" w:rsidRPr="00F84B72">
          <w:rPr>
            <w:rStyle w:val="Hyperlink"/>
          </w:rPr>
          <w:t>Technical Meeti</w:t>
        </w:r>
        <w:r w:rsidR="006D23A2" w:rsidRPr="00F84B72">
          <w:rPr>
            <w:rStyle w:val="Hyperlink"/>
          </w:rPr>
          <w:t>n</w:t>
        </w:r>
        <w:r w:rsidR="006D23A2" w:rsidRPr="00F84B72">
          <w:rPr>
            <w:rStyle w:val="Hyperlink"/>
          </w:rPr>
          <w:t>g on Experience in Codes and Standards for Fusion Technology (18-20 November 2025): Overview · Indico for IAEA Conferences</w:t>
        </w:r>
        <w:r w:rsidR="005710A9" w:rsidRPr="00F84B72">
          <w:rPr>
            <w:rStyle w:val="Hyperlink"/>
          </w:rPr>
          <w:t>.</w:t>
        </w:r>
      </w:hyperlink>
      <w:r w:rsidR="000C6E99">
        <w:t xml:space="preserve"> </w:t>
      </w:r>
      <w:r w:rsidR="00F32C17" w:rsidRPr="00F84B72">
        <w:rPr>
          <w:rFonts w:ascii="Times New Roman" w:hAnsi="Times New Roman" w:cs="Times New Roman"/>
        </w:rPr>
        <w:t xml:space="preserve">If </w:t>
      </w:r>
      <w:r w:rsidR="00200063" w:rsidRPr="00F84B72">
        <w:rPr>
          <w:rFonts w:ascii="Times New Roman" w:hAnsi="Times New Roman" w:cs="Times New Roman"/>
        </w:rPr>
        <w:t xml:space="preserve">too many contributions are submitted, the organisers reserve the right to select a limited number of presentations </w:t>
      </w:r>
      <w:r w:rsidR="00F72566" w:rsidRPr="00F84B72">
        <w:rPr>
          <w:rFonts w:ascii="Times New Roman" w:hAnsi="Times New Roman" w:cs="Times New Roman"/>
        </w:rPr>
        <w:t>from participants.</w:t>
      </w:r>
      <w:r w:rsidR="00F72566" w:rsidRPr="00F84B72">
        <w:rPr>
          <w:rFonts w:ascii="Times New Roman" w:hAnsi="Times New Roman" w:cs="Times New Roman"/>
          <w:color w:val="000000"/>
        </w:rPr>
        <w:t xml:space="preserve"> </w:t>
      </w:r>
      <w:r w:rsidR="005710A9" w:rsidRPr="00FF0A6F">
        <w:rPr>
          <w:rFonts w:ascii="TimesNewRomanPSMT" w:hAnsi="TimesNewRomanPSMT" w:cs="TimesNewRomanPSMT"/>
          <w:color w:val="000000"/>
        </w:rPr>
        <w:t>Submissions must contain the author’s name, email address, country, organi</w:t>
      </w:r>
      <w:r w:rsidR="00A5270D">
        <w:rPr>
          <w:rFonts w:ascii="TimesNewRomanPSMT" w:hAnsi="TimesNewRomanPSMT" w:cs="TimesNewRomanPSMT"/>
          <w:color w:val="000000"/>
        </w:rPr>
        <w:t>s</w:t>
      </w:r>
      <w:r w:rsidR="005710A9" w:rsidRPr="00FF0A6F">
        <w:rPr>
          <w:rFonts w:ascii="TimesNewRomanPSMT" w:hAnsi="TimesNewRomanPSMT" w:cs="TimesNewRomanPSMT"/>
          <w:color w:val="000000"/>
        </w:rPr>
        <w:t xml:space="preserve">ation and </w:t>
      </w:r>
      <w:r w:rsidR="0025424A">
        <w:rPr>
          <w:rFonts w:ascii="TimesNewRomanPSMT" w:hAnsi="TimesNewRomanPSMT" w:cs="TimesNewRomanPSMT"/>
          <w:color w:val="000000"/>
        </w:rPr>
        <w:t>title of presentation,</w:t>
      </w:r>
      <w:r w:rsidR="003C462A">
        <w:rPr>
          <w:rFonts w:ascii="TimesNewRomanPSMT" w:hAnsi="TimesNewRomanPSMT" w:cs="TimesNewRomanPSMT"/>
          <w:color w:val="000000"/>
        </w:rPr>
        <w:t xml:space="preserve"> and</w:t>
      </w:r>
      <w:r w:rsidR="0025424A">
        <w:rPr>
          <w:rFonts w:ascii="TimesNewRomanPSMT" w:hAnsi="TimesNewRomanPSMT" w:cs="TimesNewRomanPSMT"/>
          <w:color w:val="000000"/>
        </w:rPr>
        <w:t xml:space="preserve"> example</w:t>
      </w:r>
      <w:r w:rsidR="003C462A">
        <w:rPr>
          <w:rFonts w:ascii="TimesNewRomanPSMT" w:hAnsi="TimesNewRomanPSMT" w:cs="TimesNewRomanPSMT"/>
          <w:color w:val="000000"/>
        </w:rPr>
        <w:t>s</w:t>
      </w:r>
      <w:r w:rsidR="0025424A">
        <w:rPr>
          <w:rFonts w:ascii="TimesNewRomanPSMT" w:hAnsi="TimesNewRomanPSMT" w:cs="TimesNewRomanPSMT"/>
          <w:color w:val="000000"/>
        </w:rPr>
        <w:t xml:space="preserve"> of identified codes and standards</w:t>
      </w:r>
      <w:r w:rsidR="005710A9" w:rsidRPr="00FF0A6F">
        <w:rPr>
          <w:rFonts w:ascii="TimesNewRomanPSMT" w:hAnsi="TimesNewRomanPSMT" w:cs="TimesNewRomanPSMT"/>
          <w:color w:val="000000"/>
        </w:rPr>
        <w:t xml:space="preserve">. An electronic copy of the proceedings, consisting of presentation slides will be made available to all participants </w:t>
      </w:r>
      <w:r w:rsidR="0025424A">
        <w:rPr>
          <w:rFonts w:ascii="TimesNewRomanPSMT" w:hAnsi="TimesNewRomanPSMT" w:cs="TimesNewRomanPSMT"/>
          <w:color w:val="000000"/>
        </w:rPr>
        <w:t>following the meeting</w:t>
      </w:r>
      <w:r w:rsidR="005710A9" w:rsidRPr="00FF0A6F">
        <w:rPr>
          <w:rFonts w:ascii="TimesNewRomanPSMT" w:hAnsi="TimesNewRomanPSMT" w:cs="TimesNewRomanPSMT"/>
          <w:color w:val="000000"/>
        </w:rPr>
        <w:t>.</w:t>
      </w:r>
    </w:p>
    <w:p w14:paraId="7F96DA8B" w14:textId="77777777" w:rsidR="005710A9" w:rsidRDefault="005710A9" w:rsidP="005710A9">
      <w:pPr>
        <w:contextualSpacing/>
        <w:jc w:val="both"/>
        <w:rPr>
          <w:rFonts w:ascii="Calibri" w:eastAsia="Calibri" w:hAnsi="Calibri" w:cs="Times New Roman"/>
          <w:sz w:val="24"/>
          <w:szCs w:val="24"/>
          <w:lang w:val="en-US"/>
        </w:rPr>
      </w:pPr>
    </w:p>
    <w:p w14:paraId="594B02CD" w14:textId="21067765" w:rsidR="005710A9" w:rsidRPr="00592A0B" w:rsidRDefault="005710A9" w:rsidP="005710A9">
      <w:pPr>
        <w:contextualSpacing/>
        <w:jc w:val="both"/>
        <w:rPr>
          <w:rFonts w:ascii="Times New Roman" w:hAnsi="Times New Roman" w:cs="Times New Roman"/>
          <w:b/>
          <w:sz w:val="32"/>
          <w:szCs w:val="32"/>
        </w:rPr>
      </w:pPr>
      <w:r w:rsidRPr="00592A0B">
        <w:rPr>
          <w:rFonts w:ascii="Times New Roman" w:hAnsi="Times New Roman" w:cs="Times New Roman"/>
          <w:b/>
          <w:sz w:val="32"/>
          <w:szCs w:val="32"/>
        </w:rPr>
        <w:t>Expenditures and Grants</w:t>
      </w:r>
    </w:p>
    <w:p w14:paraId="2DB75980" w14:textId="77777777" w:rsidR="005710A9" w:rsidRDefault="005710A9" w:rsidP="005710A9">
      <w:pPr>
        <w:contextualSpacing/>
        <w:jc w:val="both"/>
        <w:rPr>
          <w:rFonts w:ascii="Calibri" w:eastAsia="Calibri" w:hAnsi="Calibri" w:cs="Times New Roman"/>
          <w:sz w:val="24"/>
          <w:szCs w:val="24"/>
        </w:rPr>
      </w:pPr>
    </w:p>
    <w:p w14:paraId="6DF153F8" w14:textId="77777777" w:rsidR="005710A9" w:rsidRPr="00592A0B" w:rsidRDefault="005710A9" w:rsidP="005710A9">
      <w:pPr>
        <w:contextualSpacing/>
        <w:jc w:val="both"/>
        <w:rPr>
          <w:rFonts w:ascii="TimesNewRomanPSMT" w:hAnsi="TimesNewRomanPSMT" w:cs="TimesNewRomanPSMT"/>
          <w:color w:val="000000"/>
        </w:rPr>
      </w:pPr>
      <w:r w:rsidRPr="00592A0B">
        <w:rPr>
          <w:rFonts w:ascii="TimesNewRomanPSMT" w:hAnsi="TimesNewRomanPSMT" w:cs="TimesNewRomanPSMT"/>
          <w:color w:val="000000"/>
        </w:rPr>
        <w:t>No registration fee is charged to participants.</w:t>
      </w:r>
    </w:p>
    <w:p w14:paraId="5E2F5471" w14:textId="77777777" w:rsidR="005710A9" w:rsidRDefault="005710A9" w:rsidP="005710A9">
      <w:pPr>
        <w:contextualSpacing/>
        <w:jc w:val="both"/>
        <w:rPr>
          <w:rFonts w:ascii="TimesNewRomanPSMT" w:hAnsi="TimesNewRomanPSMT" w:cs="TimesNewRomanPSMT"/>
          <w:color w:val="000000"/>
        </w:rPr>
      </w:pPr>
    </w:p>
    <w:p w14:paraId="58C75CEC" w14:textId="77777777" w:rsidR="005710A9" w:rsidRPr="004C6D27" w:rsidRDefault="005710A9" w:rsidP="005710A9">
      <w:pPr>
        <w:spacing w:after="170" w:line="280" w:lineRule="atLeast"/>
        <w:jc w:val="both"/>
        <w:rPr>
          <w:rFonts w:ascii="Times New Roman" w:eastAsia="Times New Roman" w:hAnsi="Times New Roman" w:cs="Times New Roman"/>
        </w:rPr>
      </w:pPr>
      <w:r w:rsidRPr="00FF0A6F">
        <w:rPr>
          <w:rFonts w:ascii="Times New Roman" w:eastAsia="Times New Roman" w:hAnsi="Times New Roman" w:cs="Times New Roman"/>
        </w:rPr>
        <w:t>The IAEA is generally not in a position to bear the travel and other costs of participants in the event.</w:t>
      </w:r>
      <w:r w:rsidRPr="00FF0A6F">
        <w:rPr>
          <w:rFonts w:ascii="Times New Roman" w:eastAsia="Times New Roman" w:hAnsi="Times New Roman" w:cs="Times New Roman"/>
          <w:color w:val="000000"/>
          <w:lang w:eastAsia="en-GB"/>
        </w:rPr>
        <w:t xml:space="preserve"> The IAEA has, however, limited funds at its disposal to help meet the cost of attendance of certain participants. </w:t>
      </w:r>
      <w:r w:rsidRPr="00FF0A6F">
        <w:rPr>
          <w:rFonts w:ascii="Times New Roman" w:eastAsia="Times New Roman" w:hAnsi="Times New Roman" w:cs="Times New Roman"/>
        </w:rPr>
        <w:t>Upon specific request, such assistance may be offered to normally one participant per country, provided that, in the IAEA’s view, the participant will make an important contribution to the event.</w:t>
      </w:r>
    </w:p>
    <w:p w14:paraId="7344BCD2" w14:textId="4BEDE467" w:rsidR="005710A9" w:rsidRDefault="005710A9" w:rsidP="005710A9">
      <w:pPr>
        <w:contextualSpacing/>
        <w:jc w:val="both"/>
        <w:rPr>
          <w:rFonts w:ascii="Times New Roman" w:eastAsia="SimSun" w:hAnsi="Times New Roman" w:cs="Times New Roman"/>
          <w:b/>
          <w:color w:val="0000FF"/>
          <w:lang w:eastAsia="en-GB"/>
        </w:rPr>
      </w:pPr>
      <w:r w:rsidRPr="00FF0A6F">
        <w:rPr>
          <w:rFonts w:ascii="Times New Roman" w:eastAsia="SimSun" w:hAnsi="Times New Roman" w:cs="Times New Roman"/>
          <w:lang w:eastAsia="en-GB"/>
        </w:rPr>
        <w:t xml:space="preserve">The application for financial support should be made, together with the submission of the application, by </w:t>
      </w:r>
      <w:r w:rsidRPr="00F72566">
        <w:rPr>
          <w:rFonts w:ascii="Times New Roman" w:eastAsia="SimSun" w:hAnsi="Times New Roman" w:cs="Times New Roman"/>
          <w:b/>
          <w:lang w:eastAsia="en-GB"/>
        </w:rPr>
        <w:t xml:space="preserve">15 </w:t>
      </w:r>
      <w:r w:rsidR="001F25FD" w:rsidRPr="00F84B72">
        <w:rPr>
          <w:rFonts w:ascii="Times New Roman" w:eastAsia="SimSun" w:hAnsi="Times New Roman" w:cs="Times New Roman"/>
          <w:b/>
          <w:lang w:eastAsia="en-GB"/>
        </w:rPr>
        <w:t>August</w:t>
      </w:r>
      <w:r w:rsidRPr="00F72566">
        <w:rPr>
          <w:rFonts w:ascii="Times New Roman" w:eastAsia="SimSun" w:hAnsi="Times New Roman" w:cs="Times New Roman"/>
          <w:b/>
          <w:lang w:eastAsia="en-GB"/>
        </w:rPr>
        <w:t xml:space="preserve"> 2025.</w:t>
      </w:r>
    </w:p>
    <w:p w14:paraId="0647D712" w14:textId="77777777" w:rsidR="003C4F05" w:rsidRDefault="003C4F05" w:rsidP="005710A9">
      <w:pPr>
        <w:contextualSpacing/>
        <w:jc w:val="both"/>
        <w:rPr>
          <w:rFonts w:ascii="Times New Roman" w:hAnsi="Times New Roman" w:cs="Times New Roman"/>
          <w:b/>
          <w:sz w:val="32"/>
          <w:szCs w:val="32"/>
        </w:rPr>
      </w:pPr>
    </w:p>
    <w:p w14:paraId="17DAE786" w14:textId="18977A9F" w:rsidR="005710A9" w:rsidRPr="00592A0B" w:rsidRDefault="005710A9" w:rsidP="005710A9">
      <w:pPr>
        <w:contextualSpacing/>
        <w:jc w:val="both"/>
        <w:rPr>
          <w:rFonts w:ascii="Times New Roman" w:hAnsi="Times New Roman" w:cs="Times New Roman"/>
          <w:b/>
          <w:sz w:val="32"/>
          <w:szCs w:val="32"/>
        </w:rPr>
      </w:pPr>
      <w:r w:rsidRPr="00592A0B">
        <w:rPr>
          <w:rFonts w:ascii="Times New Roman" w:hAnsi="Times New Roman" w:cs="Times New Roman"/>
          <w:b/>
          <w:sz w:val="32"/>
          <w:szCs w:val="32"/>
        </w:rPr>
        <w:t>Venue</w:t>
      </w:r>
    </w:p>
    <w:p w14:paraId="43F0B9AD" w14:textId="77777777" w:rsidR="005710A9" w:rsidRDefault="005710A9" w:rsidP="005710A9">
      <w:pPr>
        <w:contextualSpacing/>
        <w:jc w:val="both"/>
        <w:rPr>
          <w:rFonts w:ascii="Calibri" w:eastAsia="Calibri" w:hAnsi="Calibri" w:cs="Times New Roman"/>
          <w:sz w:val="24"/>
          <w:szCs w:val="24"/>
        </w:rPr>
      </w:pPr>
    </w:p>
    <w:p w14:paraId="050FEBF5" w14:textId="77777777" w:rsidR="005710A9" w:rsidRPr="00E843A9" w:rsidRDefault="005710A9" w:rsidP="005710A9">
      <w:pPr>
        <w:widowControl w:val="0"/>
        <w:autoSpaceDE w:val="0"/>
        <w:autoSpaceDN w:val="0"/>
        <w:adjustRightInd w:val="0"/>
        <w:spacing w:after="170" w:line="280" w:lineRule="atLeast"/>
        <w:ind w:right="113"/>
        <w:jc w:val="both"/>
        <w:rPr>
          <w:rFonts w:ascii="Times New Roman" w:eastAsia="SimSun" w:hAnsi="Times New Roman" w:cs="Times New Roman"/>
          <w:color w:val="000000"/>
          <w:lang w:eastAsia="en-GB"/>
        </w:rPr>
      </w:pPr>
      <w:r w:rsidRPr="00E843A9">
        <w:rPr>
          <w:rFonts w:ascii="Times New Roman" w:eastAsia="SimSun" w:hAnsi="Times New Roman" w:cs="Times New Roman"/>
          <w:color w:val="000000"/>
          <w:lang w:eastAsia="en-GB"/>
        </w:rPr>
        <w:t>The event</w:t>
      </w:r>
      <w:r w:rsidRPr="00E843A9">
        <w:rPr>
          <w:rFonts w:ascii="Times New Roman" w:eastAsia="SimSun" w:hAnsi="Times New Roman" w:cs="Times New Roman"/>
          <w:lang w:eastAsia="en-GB"/>
        </w:rPr>
        <w:t xml:space="preserve"> </w:t>
      </w:r>
      <w:r w:rsidRPr="00E843A9">
        <w:rPr>
          <w:rFonts w:ascii="Times New Roman" w:eastAsia="SimSun" w:hAnsi="Times New Roman" w:cs="Times New Roman"/>
          <w:color w:val="000000"/>
          <w:lang w:eastAsia="en-GB"/>
        </w:rPr>
        <w:t>will be held at the Vienna International Centre (VIC), where the IAEA’s Headquarters are located. Participants must make their own travel and accommodation arrangements.</w:t>
      </w:r>
    </w:p>
    <w:p w14:paraId="4EDBBBC4" w14:textId="77777777" w:rsidR="005710A9" w:rsidRPr="00E843A9" w:rsidRDefault="005710A9" w:rsidP="005710A9">
      <w:pPr>
        <w:widowControl w:val="0"/>
        <w:autoSpaceDE w:val="0"/>
        <w:autoSpaceDN w:val="0"/>
        <w:adjustRightInd w:val="0"/>
        <w:spacing w:after="170" w:line="280" w:lineRule="atLeast"/>
        <w:ind w:right="113"/>
        <w:jc w:val="both"/>
        <w:rPr>
          <w:rFonts w:ascii="Times New Roman" w:eastAsia="SimSun" w:hAnsi="Times New Roman" w:cs="Times New Roman"/>
          <w:u w:val="single"/>
          <w:lang w:eastAsia="en-GB"/>
        </w:rPr>
      </w:pPr>
      <w:r w:rsidRPr="00E843A9">
        <w:rPr>
          <w:rFonts w:ascii="Times New Roman" w:eastAsia="SimSun" w:hAnsi="Times New Roman" w:cs="Times New Roman"/>
          <w:color w:val="000000"/>
          <w:lang w:eastAsia="en-GB"/>
        </w:rPr>
        <w:t xml:space="preserve">General information on the VIC and other practical details, such as a list of hotels offering a reduced rate for IAEA participants, are listed on the following IAEA web page: </w:t>
      </w:r>
    </w:p>
    <w:p w14:paraId="5EBF3D05" w14:textId="77777777" w:rsidR="005710A9" w:rsidRPr="00E843A9" w:rsidRDefault="005710A9" w:rsidP="005710A9">
      <w:pPr>
        <w:widowControl w:val="0"/>
        <w:autoSpaceDE w:val="0"/>
        <w:autoSpaceDN w:val="0"/>
        <w:adjustRightInd w:val="0"/>
        <w:spacing w:after="170" w:line="280" w:lineRule="atLeast"/>
        <w:ind w:right="113"/>
        <w:jc w:val="both"/>
        <w:rPr>
          <w:rFonts w:ascii="Times New Roman" w:eastAsia="SimSun" w:hAnsi="Times New Roman" w:cs="Times New Roman"/>
          <w:u w:val="single"/>
          <w:lang w:eastAsia="en-GB"/>
        </w:rPr>
      </w:pPr>
      <w:hyperlink r:id="rId19">
        <w:r w:rsidRPr="00E843A9">
          <w:rPr>
            <w:rFonts w:ascii="Times New Roman" w:eastAsia="Times New Roman" w:hAnsi="Times New Roman" w:cs="Times New Roman"/>
            <w:color w:val="0000FF"/>
            <w:u w:val="single"/>
            <w:lang w:eastAsia="en-GB"/>
          </w:rPr>
          <w:t>www.iaea.org/events</w:t>
        </w:r>
      </w:hyperlink>
      <w:r w:rsidRPr="00E843A9">
        <w:rPr>
          <w:rFonts w:ascii="Times New Roman" w:eastAsia="Times New Roman" w:hAnsi="Times New Roman" w:cs="Times New Roman"/>
          <w:color w:val="000000"/>
          <w:lang w:eastAsia="en-GB"/>
        </w:rPr>
        <w:t>.</w:t>
      </w:r>
    </w:p>
    <w:p w14:paraId="6994DB74" w14:textId="77777777" w:rsidR="005710A9" w:rsidRPr="00592A0B" w:rsidRDefault="005710A9" w:rsidP="005710A9">
      <w:pPr>
        <w:contextualSpacing/>
        <w:jc w:val="both"/>
        <w:rPr>
          <w:rFonts w:ascii="Times New Roman" w:eastAsia="Calibri" w:hAnsi="Times New Roman" w:cs="Times New Roman"/>
        </w:rPr>
      </w:pPr>
      <w:r w:rsidRPr="00592A0B">
        <w:rPr>
          <w:rFonts w:ascii="Times New Roman" w:eastAsia="Calibri" w:hAnsi="Times New Roman" w:cs="Times New Roman"/>
        </w:rPr>
        <w:t>Participants are advised to arrive at Checkpoint 1/Gate 1 of the VIC one hour before the start of the event on the first day in order to allow for timely registration. Participants will need to present an official photo identification document in order to be admitted to the VIC premises.</w:t>
      </w:r>
    </w:p>
    <w:p w14:paraId="2E5F2147" w14:textId="77777777" w:rsidR="003C4F05" w:rsidRDefault="003C4F05" w:rsidP="005710A9">
      <w:pPr>
        <w:contextualSpacing/>
        <w:jc w:val="both"/>
        <w:rPr>
          <w:rFonts w:ascii="Times New Roman" w:hAnsi="Times New Roman" w:cs="Times New Roman"/>
          <w:b/>
          <w:sz w:val="32"/>
          <w:szCs w:val="32"/>
        </w:rPr>
      </w:pPr>
    </w:p>
    <w:p w14:paraId="27BA5497" w14:textId="14FFA4BA" w:rsidR="005710A9" w:rsidRPr="00BC3DB7" w:rsidRDefault="005710A9" w:rsidP="005710A9">
      <w:pPr>
        <w:contextualSpacing/>
        <w:jc w:val="both"/>
        <w:rPr>
          <w:rFonts w:ascii="Calibri" w:eastAsia="Calibri" w:hAnsi="Calibri" w:cs="Times New Roman"/>
          <w:b/>
          <w:bCs/>
          <w:sz w:val="24"/>
          <w:szCs w:val="24"/>
        </w:rPr>
      </w:pPr>
      <w:r w:rsidRPr="00592A0B">
        <w:rPr>
          <w:rFonts w:ascii="Times New Roman" w:hAnsi="Times New Roman" w:cs="Times New Roman"/>
          <w:b/>
          <w:sz w:val="32"/>
          <w:szCs w:val="32"/>
        </w:rPr>
        <w:t>Visas</w:t>
      </w:r>
    </w:p>
    <w:p w14:paraId="324BFC00" w14:textId="77777777" w:rsidR="005710A9" w:rsidRDefault="005710A9" w:rsidP="005710A9">
      <w:pPr>
        <w:contextualSpacing/>
        <w:jc w:val="both"/>
        <w:rPr>
          <w:rFonts w:ascii="Calibri" w:eastAsia="Calibri" w:hAnsi="Calibri" w:cs="Times New Roman"/>
          <w:sz w:val="24"/>
          <w:szCs w:val="24"/>
        </w:rPr>
      </w:pPr>
    </w:p>
    <w:p w14:paraId="280F48FE" w14:textId="77777777" w:rsidR="005710A9" w:rsidRPr="00592A0B" w:rsidRDefault="005710A9" w:rsidP="005710A9">
      <w:pPr>
        <w:contextualSpacing/>
        <w:jc w:val="both"/>
        <w:rPr>
          <w:rFonts w:ascii="Times New Roman" w:eastAsia="Calibri" w:hAnsi="Times New Roman" w:cs="Times New Roman"/>
        </w:rPr>
      </w:pPr>
      <w:r w:rsidRPr="00592A0B">
        <w:rPr>
          <w:rFonts w:ascii="Times New Roman" w:eastAsia="Calibri" w:hAnsi="Times New Roman" w:cs="Times New Roman"/>
        </w:rPr>
        <w:t>Participants who require a visa to enter Austria should submit the necessary application to the nearest diplomatic or consular representative of Austria at least four weeks before they travel to Austria. Since Austria is a Schengen State, persons requiring a visa will have to apply for a Schengen visa. In States where Austria has no diplomatic mission, visas can be obtained from the consular authority of a Schengen Partner State representing Austria in the country in question.</w:t>
      </w:r>
    </w:p>
    <w:p w14:paraId="478123A8" w14:textId="77777777" w:rsidR="00FC777B" w:rsidRDefault="00FC777B" w:rsidP="005710A9">
      <w:pPr>
        <w:contextualSpacing/>
        <w:jc w:val="both"/>
        <w:rPr>
          <w:rFonts w:ascii="Times New Roman" w:hAnsi="Times New Roman" w:cs="Times New Roman"/>
          <w:b/>
          <w:sz w:val="32"/>
          <w:szCs w:val="32"/>
        </w:rPr>
      </w:pPr>
    </w:p>
    <w:p w14:paraId="7E9EFDC6" w14:textId="412BC714" w:rsidR="005710A9" w:rsidRDefault="005710A9" w:rsidP="005710A9">
      <w:pPr>
        <w:contextualSpacing/>
        <w:jc w:val="both"/>
        <w:rPr>
          <w:rFonts w:ascii="Calibri" w:eastAsia="Calibri" w:hAnsi="Calibri" w:cs="Times New Roman"/>
          <w:b/>
          <w:bCs/>
          <w:sz w:val="24"/>
          <w:szCs w:val="24"/>
        </w:rPr>
      </w:pPr>
      <w:r w:rsidRPr="00BA5F23">
        <w:rPr>
          <w:rFonts w:ascii="Times New Roman" w:hAnsi="Times New Roman" w:cs="Times New Roman"/>
          <w:b/>
          <w:sz w:val="32"/>
          <w:szCs w:val="32"/>
        </w:rPr>
        <w:t>Key Deadlines and Dates</w:t>
      </w:r>
    </w:p>
    <w:p w14:paraId="347A92BC" w14:textId="77777777" w:rsidR="005710A9" w:rsidRPr="006355E3" w:rsidRDefault="005710A9" w:rsidP="005710A9">
      <w:pPr>
        <w:contextualSpacing/>
        <w:jc w:val="both"/>
        <w:rPr>
          <w:rFonts w:ascii="Calibri" w:eastAsia="Calibri" w:hAnsi="Calibri" w:cs="Times New Roman"/>
          <w:b/>
          <w:bCs/>
          <w:sz w:val="24"/>
          <w:szCs w:val="24"/>
        </w:rPr>
      </w:pPr>
    </w:p>
    <w:tbl>
      <w:tblPr>
        <w:tblStyle w:val="TableGrid"/>
        <w:tblW w:w="0" w:type="auto"/>
        <w:tblLook w:val="04A0" w:firstRow="1" w:lastRow="0" w:firstColumn="1" w:lastColumn="0" w:noHBand="0" w:noVBand="1"/>
      </w:tblPr>
      <w:tblGrid>
        <w:gridCol w:w="2263"/>
        <w:gridCol w:w="6753"/>
      </w:tblGrid>
      <w:tr w:rsidR="005710A9" w14:paraId="5D6F7687" w14:textId="77777777">
        <w:tc>
          <w:tcPr>
            <w:tcW w:w="2263" w:type="dxa"/>
          </w:tcPr>
          <w:p w14:paraId="5EDA21D9" w14:textId="31737247" w:rsidR="005710A9" w:rsidRPr="00FF0A6F" w:rsidRDefault="005710A9">
            <w:pPr>
              <w:contextualSpacing/>
              <w:jc w:val="both"/>
              <w:rPr>
                <w:rFonts w:eastAsia="Calibri"/>
                <w:b/>
                <w:bCs/>
                <w:sz w:val="24"/>
                <w:szCs w:val="24"/>
              </w:rPr>
            </w:pPr>
            <w:r>
              <w:rPr>
                <w:rFonts w:eastAsia="Calibri"/>
                <w:b/>
                <w:bCs/>
                <w:sz w:val="24"/>
                <w:szCs w:val="24"/>
              </w:rPr>
              <w:t>15</w:t>
            </w:r>
            <w:r w:rsidRPr="00FF0A6F">
              <w:rPr>
                <w:rFonts w:eastAsia="Calibri"/>
                <w:b/>
                <w:bCs/>
                <w:sz w:val="24"/>
                <w:szCs w:val="24"/>
              </w:rPr>
              <w:t xml:space="preserve"> </w:t>
            </w:r>
            <w:r w:rsidR="00FC777B">
              <w:rPr>
                <w:rFonts w:eastAsia="Calibri"/>
                <w:b/>
                <w:bCs/>
                <w:sz w:val="24"/>
                <w:szCs w:val="24"/>
              </w:rPr>
              <w:t>August</w:t>
            </w:r>
            <w:r w:rsidRPr="00FF0A6F">
              <w:rPr>
                <w:rFonts w:eastAsia="Calibri"/>
                <w:b/>
                <w:bCs/>
                <w:sz w:val="24"/>
                <w:szCs w:val="24"/>
              </w:rPr>
              <w:t xml:space="preserve"> 2025</w:t>
            </w:r>
          </w:p>
        </w:tc>
        <w:tc>
          <w:tcPr>
            <w:tcW w:w="6753" w:type="dxa"/>
          </w:tcPr>
          <w:p w14:paraId="715177D7" w14:textId="0D0A9C07" w:rsidR="005710A9" w:rsidRPr="00BA5F23" w:rsidRDefault="005710A9">
            <w:pPr>
              <w:contextualSpacing/>
              <w:jc w:val="both"/>
              <w:rPr>
                <w:rFonts w:eastAsia="Calibri"/>
                <w:b/>
                <w:bCs/>
                <w:sz w:val="24"/>
                <w:szCs w:val="24"/>
              </w:rPr>
            </w:pPr>
            <w:r w:rsidRPr="00BA5F23">
              <w:rPr>
                <w:rFonts w:eastAsia="Calibri"/>
                <w:sz w:val="24"/>
                <w:szCs w:val="24"/>
              </w:rPr>
              <w:t>Deadline for submission of Participation Form (Form A), Form for Grant Application Form (Form C) (if applicable) through the official channels</w:t>
            </w:r>
          </w:p>
        </w:tc>
      </w:tr>
      <w:tr w:rsidR="009365F7" w14:paraId="3EEAFD39" w14:textId="77777777">
        <w:tc>
          <w:tcPr>
            <w:tcW w:w="2263" w:type="dxa"/>
          </w:tcPr>
          <w:p w14:paraId="7436C642" w14:textId="1AAA7956" w:rsidR="009365F7" w:rsidRDefault="001F25FD">
            <w:pPr>
              <w:contextualSpacing/>
              <w:jc w:val="both"/>
              <w:rPr>
                <w:rFonts w:eastAsia="Calibri"/>
                <w:b/>
                <w:bCs/>
                <w:sz w:val="24"/>
                <w:szCs w:val="24"/>
              </w:rPr>
            </w:pPr>
            <w:r>
              <w:rPr>
                <w:rFonts w:eastAsia="Calibri"/>
                <w:b/>
                <w:bCs/>
                <w:sz w:val="24"/>
                <w:szCs w:val="24"/>
              </w:rPr>
              <w:t>10</w:t>
            </w:r>
            <w:r w:rsidR="009365F7">
              <w:rPr>
                <w:rFonts w:eastAsia="Calibri"/>
                <w:b/>
                <w:bCs/>
                <w:sz w:val="24"/>
                <w:szCs w:val="24"/>
              </w:rPr>
              <w:t xml:space="preserve"> October 2025</w:t>
            </w:r>
          </w:p>
        </w:tc>
        <w:tc>
          <w:tcPr>
            <w:tcW w:w="6753" w:type="dxa"/>
          </w:tcPr>
          <w:p w14:paraId="7460C178" w14:textId="32B077B0" w:rsidR="009365F7" w:rsidRPr="00BA5F23" w:rsidRDefault="00CB3F02">
            <w:pPr>
              <w:contextualSpacing/>
              <w:jc w:val="both"/>
              <w:rPr>
                <w:rFonts w:eastAsia="Calibri"/>
                <w:sz w:val="24"/>
                <w:szCs w:val="24"/>
              </w:rPr>
            </w:pPr>
            <w:r w:rsidRPr="00BA5F23">
              <w:rPr>
                <w:rFonts w:eastAsia="Calibri"/>
                <w:sz w:val="24"/>
                <w:szCs w:val="24"/>
              </w:rPr>
              <w:t xml:space="preserve">Deadline for submission of </w:t>
            </w:r>
            <w:r>
              <w:rPr>
                <w:rFonts w:eastAsia="Calibri"/>
                <w:sz w:val="24"/>
                <w:szCs w:val="24"/>
              </w:rPr>
              <w:t xml:space="preserve">title of presentation, </w:t>
            </w:r>
            <w:r w:rsidR="000768A0">
              <w:rPr>
                <w:rFonts w:eastAsia="Calibri"/>
                <w:sz w:val="24"/>
                <w:szCs w:val="24"/>
              </w:rPr>
              <w:t>and</w:t>
            </w:r>
            <w:r>
              <w:rPr>
                <w:rFonts w:eastAsia="Calibri"/>
                <w:sz w:val="24"/>
                <w:szCs w:val="24"/>
              </w:rPr>
              <w:t xml:space="preserve"> example</w:t>
            </w:r>
            <w:r w:rsidR="000768A0">
              <w:rPr>
                <w:rFonts w:eastAsia="Calibri"/>
                <w:sz w:val="24"/>
                <w:szCs w:val="24"/>
              </w:rPr>
              <w:t>s</w:t>
            </w:r>
            <w:r>
              <w:rPr>
                <w:rFonts w:eastAsia="Calibri"/>
                <w:sz w:val="24"/>
                <w:szCs w:val="24"/>
              </w:rPr>
              <w:t xml:space="preserve"> of identified codes and standards</w:t>
            </w:r>
            <w:r w:rsidRPr="00BA5F23">
              <w:rPr>
                <w:rFonts w:eastAsia="Calibri"/>
                <w:sz w:val="24"/>
                <w:szCs w:val="24"/>
              </w:rPr>
              <w:t xml:space="preserve"> through IAEA-INDICO for regular contributions</w:t>
            </w:r>
            <w:r w:rsidR="000768A0">
              <w:rPr>
                <w:rFonts w:eastAsia="Calibri"/>
                <w:sz w:val="24"/>
                <w:szCs w:val="24"/>
              </w:rPr>
              <w:t>. Depending on the number of presentations</w:t>
            </w:r>
          </w:p>
        </w:tc>
      </w:tr>
      <w:tr w:rsidR="005710A9" w14:paraId="72B9476A" w14:textId="77777777">
        <w:tc>
          <w:tcPr>
            <w:tcW w:w="2263" w:type="dxa"/>
          </w:tcPr>
          <w:p w14:paraId="5CB30877" w14:textId="788B69B1" w:rsidR="005710A9" w:rsidRPr="00FF0A6F" w:rsidRDefault="009365F7">
            <w:pPr>
              <w:contextualSpacing/>
              <w:jc w:val="both"/>
              <w:rPr>
                <w:rFonts w:eastAsia="Calibri"/>
                <w:b/>
                <w:bCs/>
                <w:sz w:val="24"/>
                <w:szCs w:val="24"/>
              </w:rPr>
            </w:pPr>
            <w:r>
              <w:rPr>
                <w:rFonts w:eastAsia="Calibri"/>
                <w:b/>
                <w:bCs/>
                <w:sz w:val="24"/>
                <w:szCs w:val="24"/>
              </w:rPr>
              <w:t>18</w:t>
            </w:r>
            <w:r w:rsidR="005710A9" w:rsidRPr="00FF0A6F">
              <w:rPr>
                <w:rFonts w:eastAsia="Calibri"/>
                <w:b/>
                <w:bCs/>
                <w:sz w:val="24"/>
                <w:szCs w:val="24"/>
              </w:rPr>
              <w:t xml:space="preserve"> </w:t>
            </w:r>
            <w:r>
              <w:rPr>
                <w:rFonts w:eastAsia="Calibri"/>
                <w:b/>
                <w:bCs/>
                <w:sz w:val="24"/>
                <w:szCs w:val="24"/>
              </w:rPr>
              <w:t>Nov</w:t>
            </w:r>
            <w:r w:rsidR="005710A9">
              <w:rPr>
                <w:rFonts w:eastAsia="Calibri"/>
                <w:b/>
                <w:bCs/>
                <w:sz w:val="24"/>
                <w:szCs w:val="24"/>
              </w:rPr>
              <w:t>ember</w:t>
            </w:r>
            <w:r w:rsidR="005710A9" w:rsidRPr="00FF0A6F">
              <w:rPr>
                <w:rFonts w:eastAsia="Calibri"/>
                <w:b/>
                <w:bCs/>
                <w:sz w:val="24"/>
                <w:szCs w:val="24"/>
              </w:rPr>
              <w:t xml:space="preserve"> 2025</w:t>
            </w:r>
          </w:p>
        </w:tc>
        <w:tc>
          <w:tcPr>
            <w:tcW w:w="6753" w:type="dxa"/>
          </w:tcPr>
          <w:p w14:paraId="5B58A4DB" w14:textId="77777777" w:rsidR="005710A9" w:rsidRPr="00BA5F23" w:rsidRDefault="005710A9">
            <w:pPr>
              <w:contextualSpacing/>
              <w:jc w:val="both"/>
              <w:rPr>
                <w:rFonts w:eastAsia="Calibri"/>
                <w:sz w:val="24"/>
                <w:szCs w:val="24"/>
              </w:rPr>
            </w:pPr>
            <w:r w:rsidRPr="00BA5F23">
              <w:rPr>
                <w:rFonts w:eastAsia="Calibri"/>
                <w:sz w:val="24"/>
                <w:szCs w:val="24"/>
              </w:rPr>
              <w:t xml:space="preserve">Event begins </w:t>
            </w:r>
          </w:p>
        </w:tc>
      </w:tr>
      <w:tr w:rsidR="005710A9" w14:paraId="374D8E29" w14:textId="77777777">
        <w:tc>
          <w:tcPr>
            <w:tcW w:w="2263" w:type="dxa"/>
          </w:tcPr>
          <w:p w14:paraId="48F58FE3" w14:textId="36EC7839" w:rsidR="005710A9" w:rsidRPr="00FF0A6F" w:rsidRDefault="001213E2">
            <w:pPr>
              <w:contextualSpacing/>
              <w:jc w:val="both"/>
              <w:rPr>
                <w:rFonts w:eastAsia="Calibri"/>
                <w:b/>
                <w:bCs/>
                <w:sz w:val="24"/>
                <w:szCs w:val="24"/>
              </w:rPr>
            </w:pPr>
            <w:r>
              <w:rPr>
                <w:rFonts w:eastAsia="Calibri"/>
                <w:b/>
                <w:bCs/>
                <w:sz w:val="24"/>
                <w:szCs w:val="24"/>
              </w:rPr>
              <w:t>2</w:t>
            </w:r>
            <w:r w:rsidR="00722428">
              <w:rPr>
                <w:rFonts w:eastAsia="Calibri"/>
                <w:b/>
                <w:bCs/>
                <w:sz w:val="24"/>
                <w:szCs w:val="24"/>
              </w:rPr>
              <w:t>1</w:t>
            </w:r>
            <w:r w:rsidR="005710A9" w:rsidRPr="00FF0A6F">
              <w:rPr>
                <w:rFonts w:eastAsia="Calibri"/>
                <w:b/>
                <w:bCs/>
                <w:sz w:val="24"/>
                <w:szCs w:val="24"/>
              </w:rPr>
              <w:t xml:space="preserve"> </w:t>
            </w:r>
            <w:r w:rsidR="009365F7">
              <w:rPr>
                <w:rFonts w:eastAsia="Calibri"/>
                <w:b/>
                <w:bCs/>
                <w:sz w:val="24"/>
                <w:szCs w:val="24"/>
              </w:rPr>
              <w:t>Nov</w:t>
            </w:r>
            <w:r w:rsidR="005710A9">
              <w:rPr>
                <w:rFonts w:eastAsia="Calibri"/>
                <w:b/>
                <w:bCs/>
                <w:sz w:val="24"/>
                <w:szCs w:val="24"/>
              </w:rPr>
              <w:t>ember</w:t>
            </w:r>
            <w:r w:rsidR="005710A9" w:rsidRPr="00FF0A6F">
              <w:rPr>
                <w:rFonts w:eastAsia="Calibri"/>
                <w:b/>
                <w:bCs/>
                <w:sz w:val="24"/>
                <w:szCs w:val="24"/>
              </w:rPr>
              <w:t xml:space="preserve"> 2025</w:t>
            </w:r>
          </w:p>
        </w:tc>
        <w:tc>
          <w:tcPr>
            <w:tcW w:w="6753" w:type="dxa"/>
          </w:tcPr>
          <w:p w14:paraId="0F9DE457" w14:textId="77777777" w:rsidR="005710A9" w:rsidRPr="00BA5F23" w:rsidRDefault="005710A9">
            <w:pPr>
              <w:contextualSpacing/>
              <w:jc w:val="both"/>
              <w:rPr>
                <w:rFonts w:eastAsia="Calibri"/>
                <w:sz w:val="24"/>
                <w:szCs w:val="24"/>
              </w:rPr>
            </w:pPr>
            <w:r w:rsidRPr="00BA5F23">
              <w:rPr>
                <w:rFonts w:eastAsia="Calibri"/>
                <w:sz w:val="24"/>
                <w:szCs w:val="24"/>
              </w:rPr>
              <w:t>Event ends</w:t>
            </w:r>
          </w:p>
        </w:tc>
      </w:tr>
    </w:tbl>
    <w:p w14:paraId="4663342D" w14:textId="74DD439F" w:rsidR="00FC530C" w:rsidRPr="00802D2A" w:rsidRDefault="00FC530C" w:rsidP="00FC530C">
      <w:pPr>
        <w:pStyle w:val="Heading1"/>
        <w:keepNext/>
        <w:keepLines/>
        <w:spacing w:before="100" w:beforeAutospacing="1" w:after="100" w:afterAutospacing="1"/>
        <w:rPr>
          <w:rFonts w:asciiTheme="majorBidi" w:hAnsiTheme="majorBidi" w:cstheme="majorBidi"/>
        </w:rPr>
      </w:pPr>
      <w:r>
        <w:rPr>
          <w:rFonts w:asciiTheme="majorBidi" w:hAnsiTheme="majorBidi" w:cstheme="majorBidi"/>
        </w:rPr>
        <w:t>Contacts</w:t>
      </w:r>
    </w:p>
    <w:p w14:paraId="580D0F01" w14:textId="28CD0204" w:rsidR="00864899" w:rsidRPr="009548E2" w:rsidRDefault="00FC530C" w:rsidP="00004F3F">
      <w:pPr>
        <w:spacing w:after="170" w:line="280" w:lineRule="atLeast"/>
        <w:jc w:val="both"/>
        <w:rPr>
          <w:rFonts w:asciiTheme="majorBidi" w:eastAsia="Times New Roman" w:hAnsiTheme="majorBidi" w:cstheme="majorBidi"/>
          <w:b/>
          <w:sz w:val="24"/>
          <w:szCs w:val="24"/>
        </w:rPr>
      </w:pPr>
      <w:r w:rsidRPr="009548E2">
        <w:rPr>
          <w:rFonts w:asciiTheme="majorBidi" w:eastAsia="Times New Roman" w:hAnsiTheme="majorBidi" w:cstheme="majorBidi"/>
          <w:b/>
          <w:sz w:val="24"/>
          <w:szCs w:val="24"/>
        </w:rPr>
        <w:t>Scientific Secretaries:</w:t>
      </w:r>
    </w:p>
    <w:p w14:paraId="3F738C73" w14:textId="365E90AA" w:rsidR="00864899" w:rsidRPr="00D17471" w:rsidRDefault="00864899" w:rsidP="00864899">
      <w:pPr>
        <w:pStyle w:val="NoSpacing"/>
        <w:rPr>
          <w:rFonts w:ascii="Arial" w:hAnsi="Arial" w:cs="Arial"/>
          <w:sz w:val="22"/>
          <w:szCs w:val="22"/>
        </w:rPr>
      </w:pPr>
      <w:r w:rsidRPr="00D17471">
        <w:rPr>
          <w:rFonts w:ascii="Times New Roman" w:hAnsi="Times New Roman"/>
          <w:b/>
          <w:bCs/>
          <w:color w:val="000000"/>
          <w:sz w:val="22"/>
          <w:szCs w:val="22"/>
        </w:rPr>
        <w:t>Mr Ryan Wagner</w:t>
      </w:r>
    </w:p>
    <w:p w14:paraId="4EDFFD14" w14:textId="77777777" w:rsidR="00864899" w:rsidRPr="009F2E72" w:rsidRDefault="00864899" w:rsidP="00864899">
      <w:pPr>
        <w:pStyle w:val="NoSpacing"/>
        <w:rPr>
          <w:sz w:val="22"/>
          <w:szCs w:val="22"/>
        </w:rPr>
      </w:pPr>
      <w:r w:rsidRPr="009F2E72">
        <w:rPr>
          <w:sz w:val="22"/>
          <w:szCs w:val="22"/>
        </w:rPr>
        <w:t>Nuclear Power Technology Development Section</w:t>
      </w:r>
    </w:p>
    <w:p w14:paraId="01FCD84A" w14:textId="77777777" w:rsidR="00864899" w:rsidRPr="009F2E72" w:rsidRDefault="00864899" w:rsidP="00864899">
      <w:pPr>
        <w:pStyle w:val="NoSpacing"/>
        <w:rPr>
          <w:sz w:val="22"/>
          <w:szCs w:val="22"/>
        </w:rPr>
      </w:pPr>
      <w:r w:rsidRPr="009F2E72">
        <w:rPr>
          <w:sz w:val="22"/>
          <w:szCs w:val="22"/>
        </w:rPr>
        <w:t>Division of Nuclear Power</w:t>
      </w:r>
    </w:p>
    <w:p w14:paraId="5C023133" w14:textId="77777777" w:rsidR="00864899" w:rsidRPr="009F2E72" w:rsidRDefault="00864899" w:rsidP="00864899">
      <w:pPr>
        <w:pStyle w:val="NoSpacing"/>
        <w:rPr>
          <w:sz w:val="22"/>
          <w:szCs w:val="22"/>
        </w:rPr>
      </w:pPr>
      <w:r w:rsidRPr="009F2E72">
        <w:rPr>
          <w:sz w:val="22"/>
          <w:szCs w:val="22"/>
        </w:rPr>
        <w:t>Department of Nuclear Energy</w:t>
      </w:r>
    </w:p>
    <w:p w14:paraId="683FF126" w14:textId="04E9A6CA" w:rsidR="00864899" w:rsidRPr="009F2E72" w:rsidRDefault="00864899" w:rsidP="00864899">
      <w:pPr>
        <w:pStyle w:val="NoSpacing"/>
        <w:rPr>
          <w:sz w:val="22"/>
          <w:szCs w:val="22"/>
          <w:lang w:val="fr-FR"/>
        </w:rPr>
      </w:pPr>
      <w:r w:rsidRPr="009F2E72">
        <w:rPr>
          <w:sz w:val="22"/>
          <w:szCs w:val="22"/>
        </w:rPr>
        <w:t>International Atomic Energy Agency</w:t>
      </w:r>
      <w:r w:rsidR="00230A41">
        <w:rPr>
          <w:sz w:val="22"/>
          <w:szCs w:val="22"/>
          <w:lang w:val="fr-FR"/>
        </w:rPr>
        <w:t xml:space="preserve">, </w:t>
      </w:r>
      <w:r w:rsidRPr="009F2E72">
        <w:rPr>
          <w:sz w:val="22"/>
          <w:szCs w:val="22"/>
          <w:lang w:val="fr-FR"/>
        </w:rPr>
        <w:t>Vienna International Centre</w:t>
      </w:r>
    </w:p>
    <w:p w14:paraId="78132142" w14:textId="77777777" w:rsidR="00864899" w:rsidRPr="009F2E72" w:rsidRDefault="00864899" w:rsidP="00864899">
      <w:pPr>
        <w:pStyle w:val="NoSpacing"/>
        <w:rPr>
          <w:sz w:val="22"/>
          <w:szCs w:val="22"/>
          <w:lang w:val="fr-FR"/>
        </w:rPr>
      </w:pPr>
      <w:r w:rsidRPr="009F2E72">
        <w:rPr>
          <w:sz w:val="22"/>
          <w:szCs w:val="22"/>
          <w:lang w:val="fr-FR"/>
        </w:rPr>
        <w:t>PO Box 100</w:t>
      </w:r>
    </w:p>
    <w:p w14:paraId="10EFD4BE" w14:textId="77777777" w:rsidR="00864899" w:rsidRPr="009F2E72" w:rsidRDefault="00864899" w:rsidP="00864899">
      <w:pPr>
        <w:pStyle w:val="NoSpacing"/>
        <w:rPr>
          <w:sz w:val="22"/>
          <w:szCs w:val="22"/>
          <w:lang w:val="fr-FR"/>
        </w:rPr>
      </w:pPr>
      <w:r w:rsidRPr="009F2E72">
        <w:rPr>
          <w:sz w:val="22"/>
          <w:szCs w:val="22"/>
          <w:lang w:val="fr-FR"/>
        </w:rPr>
        <w:t>1400 VIENNA</w:t>
      </w:r>
    </w:p>
    <w:p w14:paraId="21178604" w14:textId="001DFE6F" w:rsidR="00864899" w:rsidRPr="009F2E72" w:rsidRDefault="00864899" w:rsidP="00864899">
      <w:pPr>
        <w:pStyle w:val="NoSpacing"/>
        <w:rPr>
          <w:sz w:val="22"/>
          <w:szCs w:val="22"/>
          <w:lang w:val="fr-FR"/>
        </w:rPr>
      </w:pPr>
      <w:r w:rsidRPr="009F2E72">
        <w:rPr>
          <w:sz w:val="22"/>
          <w:szCs w:val="22"/>
          <w:lang w:val="fr-FR"/>
        </w:rPr>
        <w:t>AUSTRIA</w:t>
      </w:r>
    </w:p>
    <w:p w14:paraId="1E7CF9BB" w14:textId="19B6A2C5" w:rsidR="00864899" w:rsidRPr="009F2E72" w:rsidRDefault="00864899" w:rsidP="00864899">
      <w:pPr>
        <w:pStyle w:val="NoSpacing"/>
        <w:rPr>
          <w:sz w:val="22"/>
          <w:szCs w:val="22"/>
        </w:rPr>
      </w:pPr>
      <w:r w:rsidRPr="009F2E72">
        <w:rPr>
          <w:sz w:val="22"/>
          <w:szCs w:val="22"/>
          <w:lang w:val="fr-FR"/>
        </w:rPr>
        <w:t xml:space="preserve">Tel. </w:t>
      </w:r>
      <w:r w:rsidRPr="00552801">
        <w:rPr>
          <w:sz w:val="22"/>
          <w:szCs w:val="22"/>
          <w:lang w:val="fr-FR"/>
        </w:rPr>
        <w:t>+43</w:t>
      </w:r>
      <w:r>
        <w:rPr>
          <w:sz w:val="22"/>
          <w:szCs w:val="22"/>
          <w:lang w:val="fr-FR"/>
        </w:rPr>
        <w:t xml:space="preserve"> </w:t>
      </w:r>
      <w:r w:rsidRPr="00552801">
        <w:rPr>
          <w:sz w:val="22"/>
          <w:szCs w:val="22"/>
          <w:lang w:val="fr-FR"/>
        </w:rPr>
        <w:t>1 2600-</w:t>
      </w:r>
      <w:r w:rsidR="00010A9D">
        <w:rPr>
          <w:sz w:val="22"/>
          <w:szCs w:val="22"/>
          <w:lang w:val="fr-FR"/>
        </w:rPr>
        <w:t>22825</w:t>
      </w:r>
    </w:p>
    <w:p w14:paraId="3B855034" w14:textId="77777777" w:rsidR="00864899" w:rsidRDefault="00864899" w:rsidP="00864899">
      <w:pPr>
        <w:pStyle w:val="NoSpacing"/>
        <w:rPr>
          <w:sz w:val="22"/>
          <w:szCs w:val="22"/>
        </w:rPr>
      </w:pPr>
      <w:r w:rsidRPr="009F2E72">
        <w:rPr>
          <w:sz w:val="22"/>
          <w:szCs w:val="22"/>
          <w:lang w:val="fr-FR"/>
        </w:rPr>
        <w:t xml:space="preserve">Email: </w:t>
      </w:r>
      <w:hyperlink r:id="rId20" w:history="1">
        <w:r w:rsidRPr="008C5531">
          <w:rPr>
            <w:rStyle w:val="Hyperlink"/>
            <w:sz w:val="22"/>
            <w:szCs w:val="22"/>
          </w:rPr>
          <w:t>R.Wagner@iaea.org</w:t>
        </w:r>
      </w:hyperlink>
      <w:r w:rsidRPr="008C5531">
        <w:rPr>
          <w:sz w:val="22"/>
          <w:szCs w:val="22"/>
        </w:rPr>
        <w:t xml:space="preserve"> </w:t>
      </w:r>
    </w:p>
    <w:p w14:paraId="7798EB62" w14:textId="77777777" w:rsidR="00C55C1E" w:rsidRDefault="00C55C1E" w:rsidP="00864899">
      <w:pPr>
        <w:pStyle w:val="NoSpacing"/>
        <w:rPr>
          <w:sz w:val="22"/>
          <w:szCs w:val="22"/>
        </w:rPr>
      </w:pPr>
    </w:p>
    <w:p w14:paraId="6077C8A5" w14:textId="6E53FC92" w:rsidR="00C55C1E" w:rsidRPr="00D17471" w:rsidRDefault="00C55C1E" w:rsidP="00C55C1E">
      <w:pPr>
        <w:pStyle w:val="NoSpacing"/>
        <w:rPr>
          <w:rFonts w:ascii="Arial" w:hAnsi="Arial" w:cs="Arial"/>
          <w:sz w:val="22"/>
          <w:szCs w:val="22"/>
        </w:rPr>
      </w:pPr>
      <w:r w:rsidRPr="00D17471">
        <w:rPr>
          <w:rFonts w:ascii="Times New Roman" w:hAnsi="Times New Roman"/>
          <w:b/>
          <w:bCs/>
          <w:color w:val="000000"/>
          <w:sz w:val="22"/>
          <w:szCs w:val="22"/>
        </w:rPr>
        <w:t>M</w:t>
      </w:r>
      <w:r>
        <w:rPr>
          <w:rFonts w:ascii="Times New Roman" w:hAnsi="Times New Roman"/>
          <w:b/>
          <w:bCs/>
          <w:color w:val="000000"/>
          <w:sz w:val="22"/>
          <w:szCs w:val="22"/>
        </w:rPr>
        <w:t>s</w:t>
      </w:r>
      <w:r w:rsidRPr="00D17471">
        <w:rPr>
          <w:rFonts w:ascii="Times New Roman" w:hAnsi="Times New Roman"/>
          <w:b/>
          <w:bCs/>
          <w:color w:val="000000"/>
          <w:sz w:val="22"/>
          <w:szCs w:val="22"/>
        </w:rPr>
        <w:t xml:space="preserve"> </w:t>
      </w:r>
      <w:r>
        <w:rPr>
          <w:rFonts w:ascii="Times New Roman" w:hAnsi="Times New Roman"/>
          <w:b/>
          <w:bCs/>
          <w:color w:val="000000"/>
          <w:sz w:val="22"/>
          <w:szCs w:val="22"/>
        </w:rPr>
        <w:t>Laura Wheatley</w:t>
      </w:r>
    </w:p>
    <w:p w14:paraId="6E595AF3" w14:textId="77777777" w:rsidR="00C55C1E" w:rsidRPr="009F2E72" w:rsidRDefault="00C55C1E" w:rsidP="00C55C1E">
      <w:pPr>
        <w:pStyle w:val="NoSpacing"/>
        <w:rPr>
          <w:sz w:val="22"/>
          <w:szCs w:val="22"/>
        </w:rPr>
      </w:pPr>
      <w:r w:rsidRPr="009F2E72">
        <w:rPr>
          <w:sz w:val="22"/>
          <w:szCs w:val="22"/>
        </w:rPr>
        <w:t>Nuclear Power Technology Development Section</w:t>
      </w:r>
    </w:p>
    <w:p w14:paraId="75030387" w14:textId="77777777" w:rsidR="00C55C1E" w:rsidRPr="009F2E72" w:rsidRDefault="00C55C1E" w:rsidP="00C55C1E">
      <w:pPr>
        <w:pStyle w:val="NoSpacing"/>
        <w:rPr>
          <w:sz w:val="22"/>
          <w:szCs w:val="22"/>
        </w:rPr>
      </w:pPr>
      <w:r w:rsidRPr="009F2E72">
        <w:rPr>
          <w:sz w:val="22"/>
          <w:szCs w:val="22"/>
        </w:rPr>
        <w:t>Division of Nuclear Power</w:t>
      </w:r>
    </w:p>
    <w:p w14:paraId="0FAB3793" w14:textId="77777777" w:rsidR="00C55C1E" w:rsidRPr="009F2E72" w:rsidRDefault="00C55C1E" w:rsidP="00C55C1E">
      <w:pPr>
        <w:pStyle w:val="NoSpacing"/>
        <w:rPr>
          <w:sz w:val="22"/>
          <w:szCs w:val="22"/>
        </w:rPr>
      </w:pPr>
      <w:r w:rsidRPr="009F2E72">
        <w:rPr>
          <w:sz w:val="22"/>
          <w:szCs w:val="22"/>
        </w:rPr>
        <w:t>Department of Nuclear Energy</w:t>
      </w:r>
    </w:p>
    <w:p w14:paraId="5D294222" w14:textId="3F353FB7" w:rsidR="00C55C1E" w:rsidRPr="009F2E72" w:rsidRDefault="00C55C1E" w:rsidP="00C55C1E">
      <w:pPr>
        <w:pStyle w:val="NoSpacing"/>
        <w:rPr>
          <w:sz w:val="22"/>
          <w:szCs w:val="22"/>
          <w:lang w:val="fr-FR"/>
        </w:rPr>
      </w:pPr>
      <w:r w:rsidRPr="009F2E72">
        <w:rPr>
          <w:sz w:val="22"/>
          <w:szCs w:val="22"/>
        </w:rPr>
        <w:t>International Atomic Energy Agency</w:t>
      </w:r>
      <w:r w:rsidR="00230A41">
        <w:rPr>
          <w:sz w:val="22"/>
          <w:szCs w:val="22"/>
          <w:lang w:val="fr-FR"/>
        </w:rPr>
        <w:t xml:space="preserve">, </w:t>
      </w:r>
      <w:r w:rsidRPr="009F2E72">
        <w:rPr>
          <w:sz w:val="22"/>
          <w:szCs w:val="22"/>
          <w:lang w:val="fr-FR"/>
        </w:rPr>
        <w:t>Vienna International Centre</w:t>
      </w:r>
    </w:p>
    <w:p w14:paraId="12DAF08A" w14:textId="77777777" w:rsidR="00C55C1E" w:rsidRPr="009F2E72" w:rsidRDefault="00C55C1E" w:rsidP="00C55C1E">
      <w:pPr>
        <w:pStyle w:val="NoSpacing"/>
        <w:rPr>
          <w:sz w:val="22"/>
          <w:szCs w:val="22"/>
          <w:lang w:val="fr-FR"/>
        </w:rPr>
      </w:pPr>
      <w:r w:rsidRPr="009F2E72">
        <w:rPr>
          <w:sz w:val="22"/>
          <w:szCs w:val="22"/>
          <w:lang w:val="fr-FR"/>
        </w:rPr>
        <w:t>PO Box 100</w:t>
      </w:r>
    </w:p>
    <w:p w14:paraId="744A9DF8" w14:textId="77777777" w:rsidR="00C55C1E" w:rsidRPr="009F2E72" w:rsidRDefault="00C55C1E" w:rsidP="00C55C1E">
      <w:pPr>
        <w:pStyle w:val="NoSpacing"/>
        <w:rPr>
          <w:sz w:val="22"/>
          <w:szCs w:val="22"/>
          <w:lang w:val="fr-FR"/>
        </w:rPr>
      </w:pPr>
      <w:r w:rsidRPr="009F2E72">
        <w:rPr>
          <w:sz w:val="22"/>
          <w:szCs w:val="22"/>
          <w:lang w:val="fr-FR"/>
        </w:rPr>
        <w:t>1400 VIENNA</w:t>
      </w:r>
    </w:p>
    <w:p w14:paraId="74A74C64" w14:textId="3B4DC0AA" w:rsidR="00C55C1E" w:rsidRPr="009F2E72" w:rsidRDefault="00C55C1E" w:rsidP="00C55C1E">
      <w:pPr>
        <w:pStyle w:val="NoSpacing"/>
        <w:rPr>
          <w:sz w:val="22"/>
          <w:szCs w:val="22"/>
          <w:lang w:val="fr-FR"/>
        </w:rPr>
      </w:pPr>
      <w:r w:rsidRPr="009F2E72">
        <w:rPr>
          <w:sz w:val="22"/>
          <w:szCs w:val="22"/>
          <w:lang w:val="fr-FR"/>
        </w:rPr>
        <w:t>AUSTRIA</w:t>
      </w:r>
    </w:p>
    <w:p w14:paraId="512A850C" w14:textId="30E509EF" w:rsidR="00C55C1E" w:rsidRPr="009F2E72" w:rsidRDefault="00C55C1E" w:rsidP="00C55C1E">
      <w:pPr>
        <w:pStyle w:val="NoSpacing"/>
        <w:rPr>
          <w:sz w:val="22"/>
          <w:szCs w:val="22"/>
        </w:rPr>
      </w:pPr>
      <w:r w:rsidRPr="009F2E72">
        <w:rPr>
          <w:sz w:val="22"/>
          <w:szCs w:val="22"/>
          <w:lang w:val="fr-FR"/>
        </w:rPr>
        <w:t xml:space="preserve">Tel. </w:t>
      </w:r>
      <w:r w:rsidR="000A5C1D" w:rsidRPr="000A5C1D">
        <w:rPr>
          <w:sz w:val="22"/>
          <w:szCs w:val="22"/>
          <w:lang w:val="fr-FR"/>
        </w:rPr>
        <w:t>+43-1-2600-23330</w:t>
      </w:r>
    </w:p>
    <w:p w14:paraId="7848435D" w14:textId="77777777" w:rsidR="00F66880" w:rsidRDefault="00C55C1E" w:rsidP="00316AE9">
      <w:pPr>
        <w:pStyle w:val="NoSpacing"/>
        <w:rPr>
          <w:rStyle w:val="Hyperlink"/>
        </w:rPr>
      </w:pPr>
      <w:r w:rsidRPr="009F2E72">
        <w:rPr>
          <w:sz w:val="22"/>
          <w:szCs w:val="22"/>
          <w:lang w:val="fr-FR"/>
        </w:rPr>
        <w:t xml:space="preserve">Email: </w:t>
      </w:r>
      <w:hyperlink r:id="rId21" w:history="1">
        <w:r w:rsidR="003B24B0" w:rsidRPr="007D5FA7">
          <w:rPr>
            <w:rStyle w:val="Hyperlink"/>
          </w:rPr>
          <w:t>l.wheatley@iaea.org</w:t>
        </w:r>
      </w:hyperlink>
    </w:p>
    <w:p w14:paraId="6F371EE4" w14:textId="77777777" w:rsidR="00F66880" w:rsidRDefault="00F66880" w:rsidP="00316AE9">
      <w:pPr>
        <w:pStyle w:val="NoSpacing"/>
        <w:rPr>
          <w:rStyle w:val="Hyperlink"/>
        </w:rPr>
      </w:pPr>
    </w:p>
    <w:p w14:paraId="3972592E" w14:textId="2954C6B0" w:rsidR="0077224A" w:rsidRDefault="00640C03" w:rsidP="00316AE9">
      <w:pPr>
        <w:pStyle w:val="NoSpacing"/>
        <w:rPr>
          <w:rStyle w:val="Hyperlink"/>
        </w:rPr>
      </w:pPr>
      <w:r>
        <w:rPr>
          <w:rFonts w:eastAsia="Times New Roman"/>
          <w:b/>
        </w:rPr>
        <w:t>C</w:t>
      </w:r>
      <w:r w:rsidRPr="009548E2">
        <w:rPr>
          <w:rFonts w:eastAsia="Times New Roman"/>
          <w:b/>
        </w:rPr>
        <w:t>hair</w:t>
      </w:r>
      <w:r>
        <w:rPr>
          <w:rFonts w:eastAsia="Times New Roman"/>
          <w:b/>
        </w:rPr>
        <w:t>:</w:t>
      </w:r>
    </w:p>
    <w:p w14:paraId="69501B76" w14:textId="77777777" w:rsidR="00F83F40" w:rsidRPr="00F84B72" w:rsidRDefault="00F83F40" w:rsidP="00F84B72">
      <w:pPr>
        <w:pStyle w:val="NormalWeb"/>
        <w:contextualSpacing/>
        <w:rPr>
          <w:sz w:val="22"/>
          <w:szCs w:val="22"/>
        </w:rPr>
      </w:pPr>
      <w:r w:rsidRPr="00F84B72">
        <w:rPr>
          <w:b/>
          <w:bCs/>
          <w:color w:val="000000"/>
          <w:sz w:val="22"/>
          <w:szCs w:val="22"/>
        </w:rPr>
        <w:t>Dr Yiqiang Wang, CSci &amp; CEng</w:t>
      </w:r>
    </w:p>
    <w:p w14:paraId="413A5FA6" w14:textId="77777777" w:rsidR="00F83F40" w:rsidRPr="00F84B72" w:rsidRDefault="00F83F40" w:rsidP="00F84B72">
      <w:pPr>
        <w:pStyle w:val="NormalWeb"/>
        <w:contextualSpacing/>
        <w:rPr>
          <w:sz w:val="22"/>
          <w:szCs w:val="22"/>
        </w:rPr>
      </w:pPr>
      <w:r w:rsidRPr="00F84B72">
        <w:rPr>
          <w:color w:val="000000"/>
          <w:sz w:val="22"/>
          <w:szCs w:val="22"/>
        </w:rPr>
        <w:t>In-Vessel Engineering Section Leader</w:t>
      </w:r>
    </w:p>
    <w:p w14:paraId="77743EB7" w14:textId="77777777" w:rsidR="00F83F40" w:rsidRPr="00F84B72" w:rsidRDefault="00F83F40" w:rsidP="00F84B72">
      <w:pPr>
        <w:pStyle w:val="NormalWeb"/>
        <w:contextualSpacing/>
        <w:rPr>
          <w:sz w:val="22"/>
          <w:szCs w:val="22"/>
        </w:rPr>
      </w:pPr>
      <w:r w:rsidRPr="00F84B72">
        <w:rPr>
          <w:color w:val="000000"/>
          <w:sz w:val="22"/>
          <w:szCs w:val="22"/>
        </w:rPr>
        <w:t>Integrated Engineering Division</w:t>
      </w:r>
    </w:p>
    <w:p w14:paraId="4196E366" w14:textId="77777777" w:rsidR="00F83F40" w:rsidRPr="00F84B72" w:rsidRDefault="00F83F40" w:rsidP="00F84B72">
      <w:pPr>
        <w:pStyle w:val="NormalWeb"/>
        <w:contextualSpacing/>
        <w:jc w:val="both"/>
        <w:rPr>
          <w:sz w:val="22"/>
          <w:szCs w:val="22"/>
        </w:rPr>
      </w:pPr>
      <w:r w:rsidRPr="00F84B72">
        <w:rPr>
          <w:color w:val="000000"/>
          <w:sz w:val="22"/>
          <w:szCs w:val="22"/>
        </w:rPr>
        <w:t> </w:t>
      </w:r>
    </w:p>
    <w:p w14:paraId="549E8FB4" w14:textId="77777777" w:rsidR="00F83F40" w:rsidRPr="00F84B72" w:rsidRDefault="00F83F40" w:rsidP="00F84B72">
      <w:pPr>
        <w:pStyle w:val="NormalWeb"/>
        <w:contextualSpacing/>
        <w:rPr>
          <w:sz w:val="22"/>
          <w:szCs w:val="22"/>
        </w:rPr>
      </w:pPr>
      <w:r w:rsidRPr="00F84B72">
        <w:rPr>
          <w:color w:val="000000"/>
          <w:sz w:val="22"/>
          <w:szCs w:val="22"/>
        </w:rPr>
        <w:t>United Kingdom Atomic Energy Authority</w:t>
      </w:r>
    </w:p>
    <w:p w14:paraId="61FBC973" w14:textId="77777777" w:rsidR="00F83F40" w:rsidRPr="00F84B72" w:rsidRDefault="00F83F40" w:rsidP="00F84B72">
      <w:pPr>
        <w:pStyle w:val="NormalWeb"/>
        <w:contextualSpacing/>
        <w:rPr>
          <w:sz w:val="22"/>
          <w:szCs w:val="22"/>
        </w:rPr>
      </w:pPr>
      <w:r w:rsidRPr="00F84B72">
        <w:rPr>
          <w:color w:val="000000"/>
          <w:sz w:val="22"/>
          <w:szCs w:val="22"/>
        </w:rPr>
        <w:t>Culham Science Centre, Abingdon, OX14 3DB, UK</w:t>
      </w:r>
    </w:p>
    <w:p w14:paraId="136C318C" w14:textId="77777777" w:rsidR="00F83F40" w:rsidRPr="00F84B72" w:rsidRDefault="00F83F40" w:rsidP="00F84B72">
      <w:pPr>
        <w:pStyle w:val="NormalWeb"/>
        <w:contextualSpacing/>
        <w:rPr>
          <w:sz w:val="22"/>
          <w:szCs w:val="22"/>
        </w:rPr>
      </w:pPr>
      <w:r w:rsidRPr="00F84B72">
        <w:rPr>
          <w:color w:val="000000"/>
          <w:sz w:val="22"/>
          <w:szCs w:val="22"/>
        </w:rPr>
        <w:t>Tel. +44 (0)1235 464844</w:t>
      </w:r>
    </w:p>
    <w:p w14:paraId="40960515" w14:textId="2681F5EB" w:rsidR="0077224A" w:rsidRPr="00F84B72" w:rsidRDefault="00F83F40" w:rsidP="00F84B72">
      <w:pPr>
        <w:pStyle w:val="NormalWeb"/>
        <w:contextualSpacing/>
        <w:rPr>
          <w:rStyle w:val="Hyperlink"/>
          <w:color w:val="auto"/>
          <w:sz w:val="22"/>
          <w:szCs w:val="22"/>
          <w:u w:val="none"/>
        </w:rPr>
      </w:pPr>
      <w:r w:rsidRPr="00F84B72">
        <w:rPr>
          <w:color w:val="000000"/>
          <w:sz w:val="22"/>
          <w:szCs w:val="22"/>
        </w:rPr>
        <w:t xml:space="preserve">Email: </w:t>
      </w:r>
      <w:hyperlink r:id="rId22" w:history="1">
        <w:r w:rsidRPr="00F84B72">
          <w:rPr>
            <w:rStyle w:val="Hyperlink"/>
            <w:sz w:val="22"/>
            <w:szCs w:val="22"/>
          </w:rPr>
          <w:t>yiqiang.wang@ukaea.uk</w:t>
        </w:r>
      </w:hyperlink>
    </w:p>
    <w:p w14:paraId="320CE2F9" w14:textId="77777777" w:rsidR="003C7F99" w:rsidRDefault="003C7F99" w:rsidP="00316AE9">
      <w:pPr>
        <w:pStyle w:val="NoSpacing"/>
        <w:rPr>
          <w:rStyle w:val="Hyperlink"/>
        </w:rPr>
      </w:pPr>
    </w:p>
    <w:p w14:paraId="014B5130" w14:textId="77777777" w:rsidR="00C14AFE" w:rsidRDefault="00F66880" w:rsidP="00316AE9">
      <w:pPr>
        <w:pStyle w:val="NoSpacing"/>
        <w:rPr>
          <w:rStyle w:val="Hyperlink"/>
          <w:b/>
          <w:bCs/>
          <w:color w:val="000000" w:themeColor="text1"/>
          <w:u w:val="none"/>
        </w:rPr>
      </w:pPr>
      <w:r w:rsidRPr="009548E2">
        <w:rPr>
          <w:rStyle w:val="Hyperlink"/>
          <w:b/>
          <w:bCs/>
          <w:color w:val="000000" w:themeColor="text1"/>
          <w:u w:val="none"/>
        </w:rPr>
        <w:lastRenderedPageBreak/>
        <w:t>Administrative Secretary</w:t>
      </w:r>
      <w:r w:rsidR="00C14AFE">
        <w:rPr>
          <w:rStyle w:val="Hyperlink"/>
          <w:b/>
          <w:bCs/>
          <w:color w:val="000000" w:themeColor="text1"/>
          <w:u w:val="none"/>
        </w:rPr>
        <w:t>:</w:t>
      </w:r>
    </w:p>
    <w:p w14:paraId="1380FE2A" w14:textId="77777777" w:rsidR="00C14AFE" w:rsidRDefault="00C14AFE" w:rsidP="00316AE9">
      <w:pPr>
        <w:pStyle w:val="NoSpacing"/>
        <w:rPr>
          <w:rStyle w:val="Hyperlink"/>
          <w:b/>
          <w:bCs/>
          <w:color w:val="000000" w:themeColor="text1"/>
          <w:u w:val="none"/>
        </w:rPr>
      </w:pPr>
    </w:p>
    <w:p w14:paraId="0A3BE127" w14:textId="77777777" w:rsidR="00CE0F35" w:rsidRPr="009F2E72" w:rsidRDefault="00C14AFE" w:rsidP="00CE0F35">
      <w:pPr>
        <w:pStyle w:val="NoSpacing"/>
        <w:rPr>
          <w:sz w:val="22"/>
          <w:szCs w:val="22"/>
        </w:rPr>
      </w:pPr>
      <w:r>
        <w:rPr>
          <w:rStyle w:val="Hyperlink"/>
          <w:b/>
          <w:bCs/>
          <w:color w:val="000000" w:themeColor="text1"/>
          <w:sz w:val="22"/>
          <w:szCs w:val="22"/>
          <w:u w:val="none"/>
        </w:rPr>
        <w:t xml:space="preserve">Ms </w:t>
      </w:r>
      <w:r w:rsidR="00B10B88">
        <w:rPr>
          <w:rStyle w:val="Hyperlink"/>
          <w:b/>
          <w:bCs/>
          <w:color w:val="000000" w:themeColor="text1"/>
          <w:sz w:val="22"/>
          <w:szCs w:val="22"/>
          <w:u w:val="none"/>
        </w:rPr>
        <w:t>Khurshida Abdurasulova</w:t>
      </w:r>
      <w:r w:rsidR="00FC530C" w:rsidRPr="00C14AFE">
        <w:rPr>
          <w:rFonts w:eastAsia="Times New Roman"/>
          <w:b/>
          <w:bCs/>
        </w:rPr>
        <w:br/>
      </w:r>
      <w:r w:rsidR="00CE0F35" w:rsidRPr="009F2E72">
        <w:rPr>
          <w:sz w:val="22"/>
          <w:szCs w:val="22"/>
        </w:rPr>
        <w:t>Nuclear Power Technology Development Section</w:t>
      </w:r>
    </w:p>
    <w:p w14:paraId="36393C0F" w14:textId="77777777" w:rsidR="00CE0F35" w:rsidRPr="009F2E72" w:rsidRDefault="00CE0F35" w:rsidP="00CE0F35">
      <w:pPr>
        <w:pStyle w:val="NoSpacing"/>
        <w:rPr>
          <w:sz w:val="22"/>
          <w:szCs w:val="22"/>
        </w:rPr>
      </w:pPr>
      <w:r w:rsidRPr="009F2E72">
        <w:rPr>
          <w:sz w:val="22"/>
          <w:szCs w:val="22"/>
        </w:rPr>
        <w:t>Division of Nuclear Power</w:t>
      </w:r>
    </w:p>
    <w:p w14:paraId="4CC1C957" w14:textId="77777777" w:rsidR="00CE0F35" w:rsidRPr="009F2E72" w:rsidRDefault="00CE0F35" w:rsidP="00CE0F35">
      <w:pPr>
        <w:pStyle w:val="NoSpacing"/>
        <w:rPr>
          <w:sz w:val="22"/>
          <w:szCs w:val="22"/>
        </w:rPr>
      </w:pPr>
      <w:r w:rsidRPr="009F2E72">
        <w:rPr>
          <w:sz w:val="22"/>
          <w:szCs w:val="22"/>
        </w:rPr>
        <w:t>Department of Nuclear Energy</w:t>
      </w:r>
    </w:p>
    <w:p w14:paraId="4155E9CB" w14:textId="77777777" w:rsidR="00CE0F35" w:rsidRPr="009F2E72" w:rsidRDefault="00CE0F35" w:rsidP="00CE0F35">
      <w:pPr>
        <w:pStyle w:val="NoSpacing"/>
        <w:rPr>
          <w:sz w:val="22"/>
          <w:szCs w:val="22"/>
        </w:rPr>
      </w:pPr>
      <w:r w:rsidRPr="009F2E72">
        <w:rPr>
          <w:sz w:val="22"/>
          <w:szCs w:val="22"/>
        </w:rPr>
        <w:t>International Atomic Energy Agency</w:t>
      </w:r>
    </w:p>
    <w:p w14:paraId="17F6ECC3" w14:textId="77777777" w:rsidR="00CE0F35" w:rsidRPr="009F2E72" w:rsidRDefault="00CE0F35" w:rsidP="00CE0F35">
      <w:pPr>
        <w:pStyle w:val="NoSpacing"/>
        <w:rPr>
          <w:sz w:val="22"/>
          <w:szCs w:val="22"/>
          <w:lang w:val="fr-FR"/>
        </w:rPr>
      </w:pPr>
      <w:r w:rsidRPr="009F2E72">
        <w:rPr>
          <w:sz w:val="22"/>
          <w:szCs w:val="22"/>
          <w:lang w:val="fr-FR"/>
        </w:rPr>
        <w:t>Vienna International Centre</w:t>
      </w:r>
    </w:p>
    <w:p w14:paraId="76E5AA69" w14:textId="77777777" w:rsidR="00CE0F35" w:rsidRPr="009F2E72" w:rsidRDefault="00CE0F35" w:rsidP="00CE0F35">
      <w:pPr>
        <w:pStyle w:val="NoSpacing"/>
        <w:rPr>
          <w:sz w:val="22"/>
          <w:szCs w:val="22"/>
          <w:lang w:val="fr-FR"/>
        </w:rPr>
      </w:pPr>
      <w:r w:rsidRPr="009F2E72">
        <w:rPr>
          <w:sz w:val="22"/>
          <w:szCs w:val="22"/>
          <w:lang w:val="fr-FR"/>
        </w:rPr>
        <w:t>PO Box 100</w:t>
      </w:r>
    </w:p>
    <w:p w14:paraId="63C7797A" w14:textId="77777777" w:rsidR="00CE0F35" w:rsidRPr="009F2E72" w:rsidRDefault="00CE0F35" w:rsidP="00CE0F35">
      <w:pPr>
        <w:pStyle w:val="NoSpacing"/>
        <w:rPr>
          <w:sz w:val="22"/>
          <w:szCs w:val="22"/>
          <w:lang w:val="fr-FR"/>
        </w:rPr>
      </w:pPr>
      <w:r w:rsidRPr="009F2E72">
        <w:rPr>
          <w:sz w:val="22"/>
          <w:szCs w:val="22"/>
          <w:lang w:val="fr-FR"/>
        </w:rPr>
        <w:t>1400 VIENNA</w:t>
      </w:r>
    </w:p>
    <w:p w14:paraId="768C168F" w14:textId="77777777" w:rsidR="00CE0F35" w:rsidRPr="009F2E72" w:rsidRDefault="00CE0F35" w:rsidP="00CE0F35">
      <w:pPr>
        <w:pStyle w:val="NoSpacing"/>
        <w:rPr>
          <w:sz w:val="22"/>
          <w:szCs w:val="22"/>
          <w:lang w:val="fr-FR"/>
        </w:rPr>
      </w:pPr>
      <w:r w:rsidRPr="009F2E72">
        <w:rPr>
          <w:sz w:val="22"/>
          <w:szCs w:val="22"/>
          <w:lang w:val="fr-FR"/>
        </w:rPr>
        <w:t>AUSTRIA</w:t>
      </w:r>
    </w:p>
    <w:p w14:paraId="774A5299" w14:textId="4054DE46" w:rsidR="00CE0F35" w:rsidRPr="009F2E72" w:rsidRDefault="00CE0F35" w:rsidP="00CE0F35">
      <w:pPr>
        <w:pStyle w:val="NoSpacing"/>
        <w:rPr>
          <w:sz w:val="22"/>
          <w:szCs w:val="22"/>
        </w:rPr>
      </w:pPr>
      <w:r w:rsidRPr="009F2E72">
        <w:rPr>
          <w:sz w:val="22"/>
          <w:szCs w:val="22"/>
          <w:lang w:val="fr-FR"/>
        </w:rPr>
        <w:t xml:space="preserve">Tel. </w:t>
      </w:r>
      <w:r w:rsidRPr="000A5C1D">
        <w:rPr>
          <w:sz w:val="22"/>
          <w:szCs w:val="22"/>
          <w:lang w:val="fr-FR"/>
        </w:rPr>
        <w:t>+43-1-2600-2</w:t>
      </w:r>
      <w:r w:rsidR="00472830">
        <w:rPr>
          <w:sz w:val="22"/>
          <w:szCs w:val="22"/>
          <w:lang w:val="fr-FR"/>
        </w:rPr>
        <w:t>4236</w:t>
      </w:r>
    </w:p>
    <w:p w14:paraId="794FB216" w14:textId="624AD9F3" w:rsidR="00CE0F35" w:rsidRDefault="00CE0F35" w:rsidP="00CE0F35">
      <w:pPr>
        <w:pStyle w:val="NoSpacing"/>
        <w:rPr>
          <w:rStyle w:val="Hyperlink"/>
        </w:rPr>
      </w:pPr>
      <w:r w:rsidRPr="009F2E72">
        <w:rPr>
          <w:sz w:val="22"/>
          <w:szCs w:val="22"/>
          <w:lang w:val="fr-FR"/>
        </w:rPr>
        <w:t xml:space="preserve">Email: </w:t>
      </w:r>
      <w:hyperlink r:id="rId23" w:history="1">
        <w:r w:rsidR="00472830" w:rsidRPr="00472830">
          <w:rPr>
            <w:rStyle w:val="Hyperlink"/>
          </w:rPr>
          <w:t>k.abdurasulova@iaea.org</w:t>
        </w:r>
      </w:hyperlink>
    </w:p>
    <w:p w14:paraId="617EAB38" w14:textId="77777777" w:rsidR="00230A41" w:rsidRDefault="00230A41" w:rsidP="00CE0F35">
      <w:pPr>
        <w:pStyle w:val="NoSpacing"/>
        <w:rPr>
          <w:rStyle w:val="Hyperlink"/>
        </w:rPr>
      </w:pPr>
    </w:p>
    <w:p w14:paraId="1017E6A2" w14:textId="5B47CB66" w:rsidR="00FC530C" w:rsidRPr="00331448" w:rsidRDefault="00FC530C" w:rsidP="00331448">
      <w:pPr>
        <w:pStyle w:val="BodyText"/>
        <w:rPr>
          <w:szCs w:val="22"/>
        </w:rPr>
      </w:pPr>
      <w:r w:rsidRPr="00B97000">
        <w:rPr>
          <w:szCs w:val="22"/>
        </w:rPr>
        <w:t>Subsequent correspondence on scientific matters should be sent to the Scientific Secretaries</w:t>
      </w:r>
      <w:r w:rsidR="0007737B">
        <w:rPr>
          <w:szCs w:val="22"/>
        </w:rPr>
        <w:t xml:space="preserve"> and the Chair</w:t>
      </w:r>
      <w:r w:rsidR="0026598A">
        <w:rPr>
          <w:szCs w:val="22"/>
        </w:rPr>
        <w:t>.</w:t>
      </w:r>
    </w:p>
    <w:sectPr w:rsidR="00FC530C" w:rsidRPr="00331448" w:rsidSect="00FC530C">
      <w:headerReference w:type="even" r:id="rId24"/>
      <w:headerReference w:type="default" r:id="rId25"/>
      <w:footerReference w:type="even" r:id="rId26"/>
      <w:footerReference w:type="default" r:id="rId27"/>
      <w:headerReference w:type="first" r:id="rId28"/>
      <w:footerReference w:type="first" r:id="rId29"/>
      <w:pgSz w:w="11907" w:h="16840" w:code="9"/>
      <w:pgMar w:top="1531" w:right="1418" w:bottom="1134" w:left="1418" w:header="567" w:footer="113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6B39" w14:textId="77777777" w:rsidR="0098416C" w:rsidRDefault="0098416C">
      <w:pPr>
        <w:spacing w:after="0" w:line="240" w:lineRule="auto"/>
      </w:pPr>
      <w:r>
        <w:separator/>
      </w:r>
    </w:p>
  </w:endnote>
  <w:endnote w:type="continuationSeparator" w:id="0">
    <w:p w14:paraId="21B499B4" w14:textId="77777777" w:rsidR="0098416C" w:rsidRDefault="0098416C">
      <w:pPr>
        <w:spacing w:after="0" w:line="240" w:lineRule="auto"/>
      </w:pPr>
      <w:r>
        <w:continuationSeparator/>
      </w:r>
    </w:p>
  </w:endnote>
  <w:endnote w:type="continuationNotice" w:id="1">
    <w:p w14:paraId="539DBCBE" w14:textId="77777777" w:rsidR="0098416C" w:rsidRDefault="00984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CCD5" w14:textId="77777777" w:rsidR="00D707E4" w:rsidRDefault="00D70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C831" w14:textId="77777777" w:rsidR="00D44C53" w:rsidRDefault="00D44C53">
    <w:pPr>
      <w:jc w:val="cen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D66B" w14:textId="77777777" w:rsidR="00D707E4" w:rsidRDefault="00D70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3E02" w14:textId="77777777" w:rsidR="0098416C" w:rsidRDefault="0098416C">
      <w:pPr>
        <w:spacing w:after="0" w:line="240" w:lineRule="auto"/>
      </w:pPr>
      <w:r>
        <w:separator/>
      </w:r>
    </w:p>
  </w:footnote>
  <w:footnote w:type="continuationSeparator" w:id="0">
    <w:p w14:paraId="38158AE1" w14:textId="77777777" w:rsidR="0098416C" w:rsidRDefault="0098416C">
      <w:pPr>
        <w:spacing w:after="0" w:line="240" w:lineRule="auto"/>
      </w:pPr>
      <w:r>
        <w:continuationSeparator/>
      </w:r>
    </w:p>
  </w:footnote>
  <w:footnote w:type="continuationNotice" w:id="1">
    <w:p w14:paraId="48793C4B" w14:textId="77777777" w:rsidR="0098416C" w:rsidRDefault="009841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2425" w14:textId="77777777" w:rsidR="00D44C53" w:rsidRDefault="0051710F">
    <w:r>
      <w:t xml:space="preserve">Page </w:t>
    </w: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3BD3" w14:textId="77777777" w:rsidR="00D44C53" w:rsidRDefault="00D44C53">
    <w:pPr>
      <w:rPr>
        <w:sz w:val="2"/>
      </w:rPr>
    </w:pPr>
  </w:p>
  <w:p w14:paraId="7369C5B2" w14:textId="77777777" w:rsidR="00D44C53" w:rsidRDefault="0051710F">
    <w:pPr>
      <w:jc w:val="right"/>
      <w:rPr>
        <w:sz w:val="2"/>
      </w:rPr>
    </w:pPr>
    <w:r>
      <w:t xml:space="preserve">Page </w:t>
    </w:r>
    <w:r>
      <w:fldChar w:fldCharType="begin"/>
    </w:r>
    <w:r>
      <w:instrText xml:space="preserve"> PAGE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FA41" w14:textId="27542F01" w:rsidR="00D707E4" w:rsidRDefault="00D70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07A"/>
    <w:multiLevelType w:val="hybridMultilevel"/>
    <w:tmpl w:val="CA90AC18"/>
    <w:lvl w:ilvl="0" w:tplc="08090001">
      <w:start w:val="1"/>
      <w:numFmt w:val="bullet"/>
      <w:lvlText w:val=""/>
      <w:lvlJc w:val="left"/>
      <w:pPr>
        <w:ind w:left="720" w:hanging="360"/>
      </w:pPr>
      <w:rPr>
        <w:rFonts w:ascii="Symbol" w:hAnsi="Symbol" w:hint="default"/>
      </w:rPr>
    </w:lvl>
    <w:lvl w:ilvl="1" w:tplc="C4EC07BC">
      <w:numFmt w:val="bullet"/>
      <w:lvlText w:val="-"/>
      <w:lvlJc w:val="left"/>
      <w:pPr>
        <w:ind w:left="1021" w:hanging="397"/>
      </w:pPr>
      <w:rPr>
        <w:rFonts w:ascii="Calibri" w:eastAsia="Times New Roman" w:hAnsi="Calibri" w:hint="default"/>
      </w:rPr>
    </w:lvl>
    <w:lvl w:ilvl="2" w:tplc="08090005">
      <w:start w:val="1"/>
      <w:numFmt w:val="bullet"/>
      <w:lvlText w:val=""/>
      <w:lvlJc w:val="left"/>
      <w:pPr>
        <w:ind w:left="2340" w:hanging="36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E033C"/>
    <w:multiLevelType w:val="hybridMultilevel"/>
    <w:tmpl w:val="0272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536EA"/>
    <w:multiLevelType w:val="hybridMultilevel"/>
    <w:tmpl w:val="D67CCE26"/>
    <w:lvl w:ilvl="0" w:tplc="CB74A0C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150D8"/>
    <w:multiLevelType w:val="hybridMultilevel"/>
    <w:tmpl w:val="509E54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E1D24"/>
    <w:multiLevelType w:val="hybridMultilevel"/>
    <w:tmpl w:val="487E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85DC5"/>
    <w:multiLevelType w:val="multilevel"/>
    <w:tmpl w:val="643605E6"/>
    <w:lvl w:ilvl="0">
      <w:start w:val="1"/>
      <w:numFmt w:val="bullet"/>
      <w:lvlText w:val=""/>
      <w:lvlJc w:val="left"/>
      <w:pPr>
        <w:tabs>
          <w:tab w:val="num" w:pos="459"/>
        </w:tabs>
        <w:ind w:left="0" w:firstLine="0"/>
      </w:pPr>
      <w:rPr>
        <w:rFonts w:ascii="Symbol" w:hAnsi="Symbol" w:hint="default"/>
      </w:rPr>
    </w:lvl>
    <w:lvl w:ilvl="1">
      <w:start w:val="1"/>
      <w:numFmt w:val="decimal"/>
      <w:suff w:val="space"/>
      <w:lvlText w:val="%1.%2."/>
      <w:lvlJc w:val="left"/>
      <w:pPr>
        <w:tabs>
          <w:tab w:val="num" w:pos="459"/>
        </w:tabs>
        <w:ind w:left="0" w:firstLine="0"/>
      </w:pPr>
      <w:rPr>
        <w:color w:val="auto"/>
      </w:rPr>
    </w:lvl>
    <w:lvl w:ilvl="2">
      <w:start w:val="1"/>
      <w:numFmt w:val="decimal"/>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6" w15:restartNumberingAfterBreak="0">
    <w:nsid w:val="517F3F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180861"/>
    <w:multiLevelType w:val="hybridMultilevel"/>
    <w:tmpl w:val="3B12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BB5909"/>
    <w:multiLevelType w:val="hybridMultilevel"/>
    <w:tmpl w:val="3FAAC132"/>
    <w:lvl w:ilvl="0" w:tplc="4B00A4C0">
      <w:start w:val="4"/>
      <w:numFmt w:val="bullet"/>
      <w:pStyle w:val="ListParagraph"/>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855C2"/>
    <w:multiLevelType w:val="multilevel"/>
    <w:tmpl w:val="643605E6"/>
    <w:lvl w:ilvl="0">
      <w:start w:val="1"/>
      <w:numFmt w:val="bullet"/>
      <w:lvlText w:val=""/>
      <w:lvlJc w:val="left"/>
      <w:pPr>
        <w:tabs>
          <w:tab w:val="num" w:pos="459"/>
        </w:tabs>
        <w:ind w:left="0" w:firstLine="0"/>
      </w:pPr>
      <w:rPr>
        <w:rFonts w:ascii="Symbol" w:hAnsi="Symbol" w:hint="default"/>
      </w:rPr>
    </w:lvl>
    <w:lvl w:ilvl="1">
      <w:start w:val="1"/>
      <w:numFmt w:val="decimal"/>
      <w:suff w:val="space"/>
      <w:lvlText w:val="%1.%2."/>
      <w:lvlJc w:val="left"/>
      <w:pPr>
        <w:tabs>
          <w:tab w:val="num" w:pos="459"/>
        </w:tabs>
        <w:ind w:left="0" w:firstLine="0"/>
      </w:pPr>
      <w:rPr>
        <w:color w:val="auto"/>
      </w:rPr>
    </w:lvl>
    <w:lvl w:ilvl="2">
      <w:start w:val="1"/>
      <w:numFmt w:val="decimal"/>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0" w15:restartNumberingAfterBreak="0">
    <w:nsid w:val="5F4A6CD5"/>
    <w:multiLevelType w:val="hybridMultilevel"/>
    <w:tmpl w:val="6798CD68"/>
    <w:lvl w:ilvl="0" w:tplc="6FCAFD42">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17925"/>
    <w:multiLevelType w:val="hybridMultilevel"/>
    <w:tmpl w:val="B79C900E"/>
    <w:lvl w:ilvl="0" w:tplc="225C6BBA">
      <w:numFmt w:val="bullet"/>
      <w:lvlText w:val="-"/>
      <w:lvlJc w:val="left"/>
      <w:pPr>
        <w:ind w:left="36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51093"/>
    <w:multiLevelType w:val="multilevel"/>
    <w:tmpl w:val="643605E6"/>
    <w:lvl w:ilvl="0">
      <w:start w:val="1"/>
      <w:numFmt w:val="bullet"/>
      <w:lvlText w:val=""/>
      <w:lvlJc w:val="left"/>
      <w:pPr>
        <w:tabs>
          <w:tab w:val="num" w:pos="459"/>
        </w:tabs>
        <w:ind w:left="0" w:firstLine="0"/>
      </w:pPr>
      <w:rPr>
        <w:rFonts w:ascii="Symbol" w:hAnsi="Symbol" w:hint="default"/>
      </w:rPr>
    </w:lvl>
    <w:lvl w:ilvl="1">
      <w:start w:val="1"/>
      <w:numFmt w:val="decimal"/>
      <w:suff w:val="space"/>
      <w:lvlText w:val="%1.%2."/>
      <w:lvlJc w:val="left"/>
      <w:pPr>
        <w:tabs>
          <w:tab w:val="num" w:pos="459"/>
        </w:tabs>
        <w:ind w:left="0" w:firstLine="0"/>
      </w:pPr>
      <w:rPr>
        <w:color w:val="auto"/>
      </w:rPr>
    </w:lvl>
    <w:lvl w:ilvl="2">
      <w:start w:val="1"/>
      <w:numFmt w:val="decimal"/>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3" w15:restartNumberingAfterBreak="0">
    <w:nsid w:val="72E4606F"/>
    <w:multiLevelType w:val="hybridMultilevel"/>
    <w:tmpl w:val="BAB0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278F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8849C2"/>
    <w:multiLevelType w:val="hybridMultilevel"/>
    <w:tmpl w:val="D088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554900">
    <w:abstractNumId w:val="12"/>
  </w:num>
  <w:num w:numId="2" w16cid:durableId="1857305642">
    <w:abstractNumId w:val="15"/>
  </w:num>
  <w:num w:numId="3" w16cid:durableId="466631580">
    <w:abstractNumId w:val="8"/>
  </w:num>
  <w:num w:numId="4" w16cid:durableId="102457252">
    <w:abstractNumId w:val="0"/>
  </w:num>
  <w:num w:numId="5" w16cid:durableId="1807773466">
    <w:abstractNumId w:val="11"/>
  </w:num>
  <w:num w:numId="6" w16cid:durableId="617830750">
    <w:abstractNumId w:val="14"/>
  </w:num>
  <w:num w:numId="7" w16cid:durableId="1410274403">
    <w:abstractNumId w:val="6"/>
  </w:num>
  <w:num w:numId="8" w16cid:durableId="1397970351">
    <w:abstractNumId w:val="13"/>
  </w:num>
  <w:num w:numId="9" w16cid:durableId="1966808010">
    <w:abstractNumId w:val="7"/>
  </w:num>
  <w:num w:numId="10" w16cid:durableId="581181527">
    <w:abstractNumId w:val="2"/>
  </w:num>
  <w:num w:numId="11" w16cid:durableId="683094990">
    <w:abstractNumId w:val="9"/>
  </w:num>
  <w:num w:numId="12" w16cid:durableId="2062248722">
    <w:abstractNumId w:val="5"/>
  </w:num>
  <w:num w:numId="13" w16cid:durableId="1899392455">
    <w:abstractNumId w:val="10"/>
  </w:num>
  <w:num w:numId="14" w16cid:durableId="1605458554">
    <w:abstractNumId w:val="4"/>
  </w:num>
  <w:num w:numId="15" w16cid:durableId="1316105779">
    <w:abstractNumId w:val="1"/>
  </w:num>
  <w:num w:numId="16" w16cid:durableId="1513109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0C"/>
    <w:rsid w:val="000008B6"/>
    <w:rsid w:val="00001F84"/>
    <w:rsid w:val="00003ED6"/>
    <w:rsid w:val="00004F3F"/>
    <w:rsid w:val="00010A9D"/>
    <w:rsid w:val="00011711"/>
    <w:rsid w:val="00013549"/>
    <w:rsid w:val="000169F3"/>
    <w:rsid w:val="00016ACA"/>
    <w:rsid w:val="00026B62"/>
    <w:rsid w:val="000274FD"/>
    <w:rsid w:val="0004179B"/>
    <w:rsid w:val="00043197"/>
    <w:rsid w:val="00046E7E"/>
    <w:rsid w:val="00047177"/>
    <w:rsid w:val="00047D0C"/>
    <w:rsid w:val="0005208F"/>
    <w:rsid w:val="000720C1"/>
    <w:rsid w:val="000768A0"/>
    <w:rsid w:val="00076982"/>
    <w:rsid w:val="0007737B"/>
    <w:rsid w:val="000848CF"/>
    <w:rsid w:val="00091582"/>
    <w:rsid w:val="0009195B"/>
    <w:rsid w:val="0009264D"/>
    <w:rsid w:val="000A029A"/>
    <w:rsid w:val="000A1EAD"/>
    <w:rsid w:val="000A3C83"/>
    <w:rsid w:val="000A4128"/>
    <w:rsid w:val="000A5C1D"/>
    <w:rsid w:val="000B579E"/>
    <w:rsid w:val="000B59DC"/>
    <w:rsid w:val="000C1D89"/>
    <w:rsid w:val="000C6A0E"/>
    <w:rsid w:val="000C6E99"/>
    <w:rsid w:val="000D124C"/>
    <w:rsid w:val="000D6D89"/>
    <w:rsid w:val="000D72FB"/>
    <w:rsid w:val="000E1347"/>
    <w:rsid w:val="000E17EF"/>
    <w:rsid w:val="000E53BA"/>
    <w:rsid w:val="000E6B39"/>
    <w:rsid w:val="000F6BBC"/>
    <w:rsid w:val="000F7836"/>
    <w:rsid w:val="001031C1"/>
    <w:rsid w:val="001108EC"/>
    <w:rsid w:val="001122BE"/>
    <w:rsid w:val="001160A9"/>
    <w:rsid w:val="00116FE3"/>
    <w:rsid w:val="001201EE"/>
    <w:rsid w:val="001213E2"/>
    <w:rsid w:val="00127559"/>
    <w:rsid w:val="00135664"/>
    <w:rsid w:val="00136BFB"/>
    <w:rsid w:val="00136F2A"/>
    <w:rsid w:val="00142D76"/>
    <w:rsid w:val="00142E63"/>
    <w:rsid w:val="001430BF"/>
    <w:rsid w:val="001503FC"/>
    <w:rsid w:val="001506C1"/>
    <w:rsid w:val="001545B5"/>
    <w:rsid w:val="00162B53"/>
    <w:rsid w:val="001745AF"/>
    <w:rsid w:val="00174B67"/>
    <w:rsid w:val="001751DA"/>
    <w:rsid w:val="00175C7C"/>
    <w:rsid w:val="00180998"/>
    <w:rsid w:val="001957C7"/>
    <w:rsid w:val="001A4639"/>
    <w:rsid w:val="001B7E78"/>
    <w:rsid w:val="001C36AF"/>
    <w:rsid w:val="001D2004"/>
    <w:rsid w:val="001E3A86"/>
    <w:rsid w:val="001F25FD"/>
    <w:rsid w:val="001F2C14"/>
    <w:rsid w:val="001F3913"/>
    <w:rsid w:val="001F3C77"/>
    <w:rsid w:val="001F4777"/>
    <w:rsid w:val="001F6D27"/>
    <w:rsid w:val="00200063"/>
    <w:rsid w:val="0020112A"/>
    <w:rsid w:val="00205730"/>
    <w:rsid w:val="00210153"/>
    <w:rsid w:val="00211D44"/>
    <w:rsid w:val="00216525"/>
    <w:rsid w:val="00217DF2"/>
    <w:rsid w:val="00225FFA"/>
    <w:rsid w:val="00227E58"/>
    <w:rsid w:val="00230A41"/>
    <w:rsid w:val="00231519"/>
    <w:rsid w:val="00237C39"/>
    <w:rsid w:val="00241E23"/>
    <w:rsid w:val="00250912"/>
    <w:rsid w:val="00251B6B"/>
    <w:rsid w:val="0025424A"/>
    <w:rsid w:val="00260E3D"/>
    <w:rsid w:val="00261E65"/>
    <w:rsid w:val="00263983"/>
    <w:rsid w:val="0026598A"/>
    <w:rsid w:val="00273ADD"/>
    <w:rsid w:val="00283B7C"/>
    <w:rsid w:val="00284506"/>
    <w:rsid w:val="00285904"/>
    <w:rsid w:val="0029410F"/>
    <w:rsid w:val="002A5CAE"/>
    <w:rsid w:val="002B0714"/>
    <w:rsid w:val="002B0EA9"/>
    <w:rsid w:val="002B3444"/>
    <w:rsid w:val="002C3B02"/>
    <w:rsid w:val="002D1C59"/>
    <w:rsid w:val="002D1E86"/>
    <w:rsid w:val="002D6266"/>
    <w:rsid w:val="002E12ED"/>
    <w:rsid w:val="002E64F3"/>
    <w:rsid w:val="002F29EF"/>
    <w:rsid w:val="002F59C5"/>
    <w:rsid w:val="002F792D"/>
    <w:rsid w:val="00310A41"/>
    <w:rsid w:val="003114D4"/>
    <w:rsid w:val="00313BC2"/>
    <w:rsid w:val="00316AE9"/>
    <w:rsid w:val="00316B35"/>
    <w:rsid w:val="00331448"/>
    <w:rsid w:val="00331479"/>
    <w:rsid w:val="00340F52"/>
    <w:rsid w:val="0034120B"/>
    <w:rsid w:val="00351961"/>
    <w:rsid w:val="00352596"/>
    <w:rsid w:val="00354340"/>
    <w:rsid w:val="00356106"/>
    <w:rsid w:val="00356D78"/>
    <w:rsid w:val="00357374"/>
    <w:rsid w:val="0036449D"/>
    <w:rsid w:val="00370A26"/>
    <w:rsid w:val="00381B8C"/>
    <w:rsid w:val="00393EA6"/>
    <w:rsid w:val="003957CE"/>
    <w:rsid w:val="003A3393"/>
    <w:rsid w:val="003A7D79"/>
    <w:rsid w:val="003B24B0"/>
    <w:rsid w:val="003B6640"/>
    <w:rsid w:val="003C2015"/>
    <w:rsid w:val="003C21F8"/>
    <w:rsid w:val="003C462A"/>
    <w:rsid w:val="003C4F05"/>
    <w:rsid w:val="003C74CE"/>
    <w:rsid w:val="003C7F99"/>
    <w:rsid w:val="003D24E8"/>
    <w:rsid w:val="003D6357"/>
    <w:rsid w:val="003E39DC"/>
    <w:rsid w:val="003E62AD"/>
    <w:rsid w:val="003E6D23"/>
    <w:rsid w:val="00404C87"/>
    <w:rsid w:val="00410BF3"/>
    <w:rsid w:val="0041152F"/>
    <w:rsid w:val="00411E3D"/>
    <w:rsid w:val="00413673"/>
    <w:rsid w:val="00422E26"/>
    <w:rsid w:val="00422E3F"/>
    <w:rsid w:val="004344E4"/>
    <w:rsid w:val="004510AD"/>
    <w:rsid w:val="004553A9"/>
    <w:rsid w:val="00466A39"/>
    <w:rsid w:val="00472830"/>
    <w:rsid w:val="00474EA1"/>
    <w:rsid w:val="00485C51"/>
    <w:rsid w:val="00486ECC"/>
    <w:rsid w:val="004871E8"/>
    <w:rsid w:val="00487466"/>
    <w:rsid w:val="004969DC"/>
    <w:rsid w:val="0049772B"/>
    <w:rsid w:val="004A2C62"/>
    <w:rsid w:val="004A5387"/>
    <w:rsid w:val="004A73B6"/>
    <w:rsid w:val="004A74A7"/>
    <w:rsid w:val="004B3DE3"/>
    <w:rsid w:val="004B7284"/>
    <w:rsid w:val="004D1AF8"/>
    <w:rsid w:val="004D41D5"/>
    <w:rsid w:val="004E1F2E"/>
    <w:rsid w:val="004E7E5C"/>
    <w:rsid w:val="004F1464"/>
    <w:rsid w:val="004F59E2"/>
    <w:rsid w:val="004F62EE"/>
    <w:rsid w:val="005025E9"/>
    <w:rsid w:val="0051710F"/>
    <w:rsid w:val="00532EDB"/>
    <w:rsid w:val="0054354D"/>
    <w:rsid w:val="00551410"/>
    <w:rsid w:val="00552801"/>
    <w:rsid w:val="00554B70"/>
    <w:rsid w:val="00570A22"/>
    <w:rsid w:val="005710A9"/>
    <w:rsid w:val="00582382"/>
    <w:rsid w:val="0059556C"/>
    <w:rsid w:val="005C3643"/>
    <w:rsid w:val="005C4862"/>
    <w:rsid w:val="005D010D"/>
    <w:rsid w:val="005D0792"/>
    <w:rsid w:val="005D21FB"/>
    <w:rsid w:val="005D382D"/>
    <w:rsid w:val="005D4747"/>
    <w:rsid w:val="005D665B"/>
    <w:rsid w:val="005E1478"/>
    <w:rsid w:val="005F028A"/>
    <w:rsid w:val="005F1270"/>
    <w:rsid w:val="005F3AD0"/>
    <w:rsid w:val="005F3B06"/>
    <w:rsid w:val="00600FC9"/>
    <w:rsid w:val="006061D6"/>
    <w:rsid w:val="006170D4"/>
    <w:rsid w:val="00617732"/>
    <w:rsid w:val="00620797"/>
    <w:rsid w:val="00621DCA"/>
    <w:rsid w:val="00624E2B"/>
    <w:rsid w:val="00630DC2"/>
    <w:rsid w:val="0063676B"/>
    <w:rsid w:val="006377F9"/>
    <w:rsid w:val="00640C03"/>
    <w:rsid w:val="00647C6C"/>
    <w:rsid w:val="0067017C"/>
    <w:rsid w:val="00673AC5"/>
    <w:rsid w:val="00675BFA"/>
    <w:rsid w:val="00677D8C"/>
    <w:rsid w:val="00686C01"/>
    <w:rsid w:val="00687E70"/>
    <w:rsid w:val="0069492D"/>
    <w:rsid w:val="006A3F50"/>
    <w:rsid w:val="006B59CD"/>
    <w:rsid w:val="006C3481"/>
    <w:rsid w:val="006D23A2"/>
    <w:rsid w:val="006D58CF"/>
    <w:rsid w:val="006E0816"/>
    <w:rsid w:val="006E77AB"/>
    <w:rsid w:val="00701332"/>
    <w:rsid w:val="00716166"/>
    <w:rsid w:val="00722428"/>
    <w:rsid w:val="00727D5E"/>
    <w:rsid w:val="00736EC3"/>
    <w:rsid w:val="00743900"/>
    <w:rsid w:val="00747FE3"/>
    <w:rsid w:val="0075256C"/>
    <w:rsid w:val="00754BA6"/>
    <w:rsid w:val="00761DD5"/>
    <w:rsid w:val="00762E03"/>
    <w:rsid w:val="00766BF3"/>
    <w:rsid w:val="0077021B"/>
    <w:rsid w:val="007702FA"/>
    <w:rsid w:val="0077224A"/>
    <w:rsid w:val="00772822"/>
    <w:rsid w:val="0077315A"/>
    <w:rsid w:val="00782D56"/>
    <w:rsid w:val="007B117E"/>
    <w:rsid w:val="007D3963"/>
    <w:rsid w:val="007D3DE7"/>
    <w:rsid w:val="007D4918"/>
    <w:rsid w:val="007D7F38"/>
    <w:rsid w:val="007F3B25"/>
    <w:rsid w:val="007F5767"/>
    <w:rsid w:val="007F651A"/>
    <w:rsid w:val="00801514"/>
    <w:rsid w:val="008046D2"/>
    <w:rsid w:val="0080694A"/>
    <w:rsid w:val="00807A4D"/>
    <w:rsid w:val="00810501"/>
    <w:rsid w:val="00814BD7"/>
    <w:rsid w:val="00815C83"/>
    <w:rsid w:val="00823BA1"/>
    <w:rsid w:val="00823FB3"/>
    <w:rsid w:val="00842A60"/>
    <w:rsid w:val="0085276D"/>
    <w:rsid w:val="00861D17"/>
    <w:rsid w:val="00862D3A"/>
    <w:rsid w:val="00864899"/>
    <w:rsid w:val="00865D02"/>
    <w:rsid w:val="00874819"/>
    <w:rsid w:val="00882869"/>
    <w:rsid w:val="00894F84"/>
    <w:rsid w:val="008B164A"/>
    <w:rsid w:val="008B3C91"/>
    <w:rsid w:val="008C1743"/>
    <w:rsid w:val="008C5531"/>
    <w:rsid w:val="008F6B47"/>
    <w:rsid w:val="00910D15"/>
    <w:rsid w:val="00913226"/>
    <w:rsid w:val="00915015"/>
    <w:rsid w:val="00921F91"/>
    <w:rsid w:val="0092428C"/>
    <w:rsid w:val="00925D1F"/>
    <w:rsid w:val="00931108"/>
    <w:rsid w:val="00931A0C"/>
    <w:rsid w:val="009365F7"/>
    <w:rsid w:val="00937E4F"/>
    <w:rsid w:val="00951215"/>
    <w:rsid w:val="009548E2"/>
    <w:rsid w:val="00963592"/>
    <w:rsid w:val="00966B04"/>
    <w:rsid w:val="009672B0"/>
    <w:rsid w:val="0097349C"/>
    <w:rsid w:val="00974BFD"/>
    <w:rsid w:val="0098068B"/>
    <w:rsid w:val="00980E20"/>
    <w:rsid w:val="00983F09"/>
    <w:rsid w:val="0098416C"/>
    <w:rsid w:val="00986BE2"/>
    <w:rsid w:val="00990143"/>
    <w:rsid w:val="00990CC7"/>
    <w:rsid w:val="00991413"/>
    <w:rsid w:val="009A1729"/>
    <w:rsid w:val="009A3D00"/>
    <w:rsid w:val="009A734F"/>
    <w:rsid w:val="009A745E"/>
    <w:rsid w:val="009B1580"/>
    <w:rsid w:val="009B356C"/>
    <w:rsid w:val="009B4180"/>
    <w:rsid w:val="009C465F"/>
    <w:rsid w:val="009C72BE"/>
    <w:rsid w:val="009D3152"/>
    <w:rsid w:val="009D5B02"/>
    <w:rsid w:val="009E7C01"/>
    <w:rsid w:val="009F2C9E"/>
    <w:rsid w:val="009F463F"/>
    <w:rsid w:val="009F6256"/>
    <w:rsid w:val="00A0232C"/>
    <w:rsid w:val="00A034E3"/>
    <w:rsid w:val="00A11DF4"/>
    <w:rsid w:val="00A161D9"/>
    <w:rsid w:val="00A16631"/>
    <w:rsid w:val="00A20C64"/>
    <w:rsid w:val="00A308AD"/>
    <w:rsid w:val="00A375EE"/>
    <w:rsid w:val="00A50F7B"/>
    <w:rsid w:val="00A5270D"/>
    <w:rsid w:val="00A6060E"/>
    <w:rsid w:val="00A64B0C"/>
    <w:rsid w:val="00A74A38"/>
    <w:rsid w:val="00A82D37"/>
    <w:rsid w:val="00A83F62"/>
    <w:rsid w:val="00A8503E"/>
    <w:rsid w:val="00A93EF4"/>
    <w:rsid w:val="00AA10D7"/>
    <w:rsid w:val="00AA4A9D"/>
    <w:rsid w:val="00AC00C1"/>
    <w:rsid w:val="00AC2EDF"/>
    <w:rsid w:val="00AD40AE"/>
    <w:rsid w:val="00AE7134"/>
    <w:rsid w:val="00AF201B"/>
    <w:rsid w:val="00AF27DE"/>
    <w:rsid w:val="00AF3AE7"/>
    <w:rsid w:val="00B01563"/>
    <w:rsid w:val="00B07FD6"/>
    <w:rsid w:val="00B10B88"/>
    <w:rsid w:val="00B21583"/>
    <w:rsid w:val="00B25267"/>
    <w:rsid w:val="00B45441"/>
    <w:rsid w:val="00B45D1D"/>
    <w:rsid w:val="00B472A0"/>
    <w:rsid w:val="00B70811"/>
    <w:rsid w:val="00B73E30"/>
    <w:rsid w:val="00B743BD"/>
    <w:rsid w:val="00B75E6B"/>
    <w:rsid w:val="00B81562"/>
    <w:rsid w:val="00B90142"/>
    <w:rsid w:val="00B96903"/>
    <w:rsid w:val="00BA6400"/>
    <w:rsid w:val="00BC0EBF"/>
    <w:rsid w:val="00BC6332"/>
    <w:rsid w:val="00BC6C0E"/>
    <w:rsid w:val="00BD37CE"/>
    <w:rsid w:val="00BD5B98"/>
    <w:rsid w:val="00BD636E"/>
    <w:rsid w:val="00BF47CB"/>
    <w:rsid w:val="00C004FF"/>
    <w:rsid w:val="00C01488"/>
    <w:rsid w:val="00C05C47"/>
    <w:rsid w:val="00C064F3"/>
    <w:rsid w:val="00C14AFE"/>
    <w:rsid w:val="00C22A21"/>
    <w:rsid w:val="00C23802"/>
    <w:rsid w:val="00C23ADA"/>
    <w:rsid w:val="00C30CA7"/>
    <w:rsid w:val="00C30D25"/>
    <w:rsid w:val="00C32B21"/>
    <w:rsid w:val="00C32D60"/>
    <w:rsid w:val="00C42BCE"/>
    <w:rsid w:val="00C55C1E"/>
    <w:rsid w:val="00C70B52"/>
    <w:rsid w:val="00C7269D"/>
    <w:rsid w:val="00C77E61"/>
    <w:rsid w:val="00C8573E"/>
    <w:rsid w:val="00CB3F02"/>
    <w:rsid w:val="00CB4893"/>
    <w:rsid w:val="00CB6A2D"/>
    <w:rsid w:val="00CB7731"/>
    <w:rsid w:val="00CC22AF"/>
    <w:rsid w:val="00CD5FBD"/>
    <w:rsid w:val="00CD7A3A"/>
    <w:rsid w:val="00CE0F35"/>
    <w:rsid w:val="00CE75E4"/>
    <w:rsid w:val="00CF1B01"/>
    <w:rsid w:val="00CF26DF"/>
    <w:rsid w:val="00CF6E0E"/>
    <w:rsid w:val="00CF7EB8"/>
    <w:rsid w:val="00D06355"/>
    <w:rsid w:val="00D11997"/>
    <w:rsid w:val="00D17471"/>
    <w:rsid w:val="00D3090F"/>
    <w:rsid w:val="00D349CB"/>
    <w:rsid w:val="00D44C53"/>
    <w:rsid w:val="00D52DE5"/>
    <w:rsid w:val="00D5728B"/>
    <w:rsid w:val="00D577AD"/>
    <w:rsid w:val="00D707E4"/>
    <w:rsid w:val="00D764EC"/>
    <w:rsid w:val="00D818F1"/>
    <w:rsid w:val="00D85BAC"/>
    <w:rsid w:val="00D85D9F"/>
    <w:rsid w:val="00D9402C"/>
    <w:rsid w:val="00DA1740"/>
    <w:rsid w:val="00DA6E89"/>
    <w:rsid w:val="00DA7ABE"/>
    <w:rsid w:val="00DB07B3"/>
    <w:rsid w:val="00DB6136"/>
    <w:rsid w:val="00DB6C5F"/>
    <w:rsid w:val="00DC62C8"/>
    <w:rsid w:val="00DD0EF2"/>
    <w:rsid w:val="00DD3BCB"/>
    <w:rsid w:val="00DD3D4D"/>
    <w:rsid w:val="00DE6271"/>
    <w:rsid w:val="00DF23BE"/>
    <w:rsid w:val="00DF29D7"/>
    <w:rsid w:val="00DF4831"/>
    <w:rsid w:val="00E02BCA"/>
    <w:rsid w:val="00E04C93"/>
    <w:rsid w:val="00E10FAD"/>
    <w:rsid w:val="00E11A36"/>
    <w:rsid w:val="00E147CB"/>
    <w:rsid w:val="00E16AD1"/>
    <w:rsid w:val="00E20909"/>
    <w:rsid w:val="00E226D8"/>
    <w:rsid w:val="00E2447F"/>
    <w:rsid w:val="00E257BB"/>
    <w:rsid w:val="00E26B7C"/>
    <w:rsid w:val="00E27119"/>
    <w:rsid w:val="00E312CA"/>
    <w:rsid w:val="00E33506"/>
    <w:rsid w:val="00E3639B"/>
    <w:rsid w:val="00E53E3D"/>
    <w:rsid w:val="00E55380"/>
    <w:rsid w:val="00E56EBA"/>
    <w:rsid w:val="00E657B2"/>
    <w:rsid w:val="00E83355"/>
    <w:rsid w:val="00E90C98"/>
    <w:rsid w:val="00E9319E"/>
    <w:rsid w:val="00E93367"/>
    <w:rsid w:val="00E94374"/>
    <w:rsid w:val="00E96CDE"/>
    <w:rsid w:val="00EA1491"/>
    <w:rsid w:val="00EA2B9D"/>
    <w:rsid w:val="00EA341F"/>
    <w:rsid w:val="00EA5E5C"/>
    <w:rsid w:val="00EB2ED7"/>
    <w:rsid w:val="00EB3AFA"/>
    <w:rsid w:val="00EB574E"/>
    <w:rsid w:val="00ED71B4"/>
    <w:rsid w:val="00EE143E"/>
    <w:rsid w:val="00EE3D37"/>
    <w:rsid w:val="00EE4EAB"/>
    <w:rsid w:val="00EF0C6C"/>
    <w:rsid w:val="00EF2CBC"/>
    <w:rsid w:val="00EF38CB"/>
    <w:rsid w:val="00EF652F"/>
    <w:rsid w:val="00F0700A"/>
    <w:rsid w:val="00F110A7"/>
    <w:rsid w:val="00F1322A"/>
    <w:rsid w:val="00F13898"/>
    <w:rsid w:val="00F13BD5"/>
    <w:rsid w:val="00F13EB4"/>
    <w:rsid w:val="00F16484"/>
    <w:rsid w:val="00F175C9"/>
    <w:rsid w:val="00F249C6"/>
    <w:rsid w:val="00F32C17"/>
    <w:rsid w:val="00F34CBE"/>
    <w:rsid w:val="00F409B9"/>
    <w:rsid w:val="00F43371"/>
    <w:rsid w:val="00F4675C"/>
    <w:rsid w:val="00F4705E"/>
    <w:rsid w:val="00F66880"/>
    <w:rsid w:val="00F72566"/>
    <w:rsid w:val="00F76810"/>
    <w:rsid w:val="00F81D0C"/>
    <w:rsid w:val="00F82E79"/>
    <w:rsid w:val="00F83F40"/>
    <w:rsid w:val="00F84479"/>
    <w:rsid w:val="00F84B72"/>
    <w:rsid w:val="00F91E2F"/>
    <w:rsid w:val="00F94F45"/>
    <w:rsid w:val="00F96216"/>
    <w:rsid w:val="00FA0EB7"/>
    <w:rsid w:val="00FA5445"/>
    <w:rsid w:val="00FB0ABC"/>
    <w:rsid w:val="00FB2A28"/>
    <w:rsid w:val="00FB35BB"/>
    <w:rsid w:val="00FB7B0A"/>
    <w:rsid w:val="00FC2F56"/>
    <w:rsid w:val="00FC530C"/>
    <w:rsid w:val="00FC59BB"/>
    <w:rsid w:val="00FC65F7"/>
    <w:rsid w:val="00FC777B"/>
    <w:rsid w:val="00FD11A6"/>
    <w:rsid w:val="00FE46F9"/>
    <w:rsid w:val="00FE651D"/>
    <w:rsid w:val="00FF3A23"/>
    <w:rsid w:val="016AC321"/>
    <w:rsid w:val="25225556"/>
    <w:rsid w:val="3A201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8D4C1"/>
  <w15:chartTrackingRefBased/>
  <w15:docId w15:val="{E20E4D19-39D5-452C-8D50-317EEDB2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30C"/>
    <w:pPr>
      <w:spacing w:after="200" w:line="276" w:lineRule="auto"/>
    </w:pPr>
  </w:style>
  <w:style w:type="paragraph" w:styleId="Heading1">
    <w:name w:val="heading 1"/>
    <w:next w:val="Normal"/>
    <w:link w:val="Heading1Char"/>
    <w:qFormat/>
    <w:rsid w:val="00FC530C"/>
    <w:pPr>
      <w:widowControl w:val="0"/>
      <w:spacing w:before="851" w:after="390" w:line="360" w:lineRule="exact"/>
      <w:outlineLvl w:val="0"/>
    </w:pPr>
    <w:rPr>
      <w:rFonts w:ascii="Times New Roman" w:eastAsia="Times New Roman" w:hAnsi="Times New Roman" w:cs="Times New Roman"/>
      <w:b/>
      <w:sz w:val="32"/>
      <w:szCs w:val="20"/>
    </w:rPr>
  </w:style>
  <w:style w:type="paragraph" w:styleId="Heading2">
    <w:name w:val="heading 2"/>
    <w:next w:val="Normal"/>
    <w:link w:val="Heading2Char"/>
    <w:qFormat/>
    <w:rsid w:val="00FC530C"/>
    <w:pPr>
      <w:widowControl w:val="0"/>
      <w:spacing w:after="200" w:line="320" w:lineRule="exact"/>
      <w:outlineLvl w:val="1"/>
    </w:pPr>
    <w:rPr>
      <w:rFonts w:ascii="Times New Roman" w:eastAsia="Times New Roman" w:hAnsi="Times New Roman" w:cs="Times New Roman"/>
      <w:b/>
      <w:sz w:val="28"/>
      <w:szCs w:val="20"/>
    </w:rPr>
  </w:style>
  <w:style w:type="paragraph" w:styleId="Heading3">
    <w:name w:val="heading 3"/>
    <w:next w:val="Normal"/>
    <w:link w:val="Heading3Char"/>
    <w:qFormat/>
    <w:rsid w:val="00FC530C"/>
    <w:pPr>
      <w:widowControl w:val="0"/>
      <w:spacing w:after="200" w:line="320" w:lineRule="exact"/>
      <w:outlineLvl w:val="2"/>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FC530C"/>
    <w:pPr>
      <w:spacing w:before="240" w:after="60"/>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30C"/>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FC530C"/>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FC530C"/>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FC530C"/>
    <w:rPr>
      <w:rFonts w:ascii="Arial" w:hAnsi="Arial" w:cs="Arial"/>
      <w:lang w:val="en-US"/>
    </w:rPr>
  </w:style>
  <w:style w:type="paragraph" w:styleId="BodyText">
    <w:name w:val="Body Text"/>
    <w:link w:val="BodyTextChar"/>
    <w:semiHidden/>
    <w:rsid w:val="00FC530C"/>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FC530C"/>
    <w:rPr>
      <w:rFonts w:ascii="Times New Roman" w:eastAsia="Times New Roman" w:hAnsi="Times New Roman" w:cs="Times New Roman"/>
      <w:szCs w:val="20"/>
    </w:rPr>
  </w:style>
  <w:style w:type="paragraph" w:customStyle="1" w:styleId="zyxConfid2Red">
    <w:name w:val="zyxConfid2Red"/>
    <w:basedOn w:val="Normal"/>
    <w:rsid w:val="00FC530C"/>
    <w:pPr>
      <w:spacing w:after="20" w:line="220" w:lineRule="exact"/>
      <w:jc w:val="right"/>
    </w:pPr>
    <w:rPr>
      <w:rFonts w:ascii="Arial" w:hAnsi="Arial" w:cs="Arial"/>
      <w:color w:val="FF0000"/>
    </w:rPr>
  </w:style>
  <w:style w:type="paragraph" w:customStyle="1" w:styleId="zyxConfidBlack">
    <w:name w:val="zyxConfidBlack"/>
    <w:basedOn w:val="Normal"/>
    <w:rsid w:val="00FC530C"/>
    <w:pPr>
      <w:framePr w:wrap="auto" w:vAnchor="page" w:hAnchor="page" w:x="1333" w:y="228"/>
      <w:overflowPunct w:val="0"/>
      <w:autoSpaceDE w:val="0"/>
      <w:autoSpaceDN w:val="0"/>
      <w:adjustRightInd w:val="0"/>
      <w:spacing w:before="80" w:after="0" w:line="240" w:lineRule="auto"/>
      <w:suppressOverlap/>
      <w:jc w:val="right"/>
      <w:textAlignment w:val="baseline"/>
    </w:pPr>
    <w:rPr>
      <w:rFonts w:ascii="Arial" w:eastAsia="Times New Roman" w:hAnsi="Arial" w:cs="Arial"/>
      <w:b/>
      <w:bCs/>
      <w:caps/>
      <w:color w:val="000000"/>
      <w:sz w:val="40"/>
      <w:szCs w:val="20"/>
    </w:rPr>
  </w:style>
  <w:style w:type="paragraph" w:customStyle="1" w:styleId="zyxDistribution">
    <w:name w:val="zyxDistribution"/>
    <w:basedOn w:val="Normal"/>
    <w:rsid w:val="00FC530C"/>
    <w:pPr>
      <w:framePr w:wrap="around" w:vAnchor="page" w:hAnchor="page" w:x="1390" w:y="15707"/>
      <w:widowControl w:val="0"/>
      <w:spacing w:before="240" w:after="20"/>
      <w:ind w:left="142"/>
      <w:suppressOverlap/>
    </w:pPr>
    <w:rPr>
      <w:rFonts w:ascii="Arial" w:hAnsi="Arial"/>
      <w:b/>
    </w:rPr>
  </w:style>
  <w:style w:type="paragraph" w:customStyle="1" w:styleId="zyxSensitivity">
    <w:name w:val="zyxSensitivity"/>
    <w:basedOn w:val="Normal"/>
    <w:rsid w:val="00FC530C"/>
    <w:pPr>
      <w:framePr w:wrap="around" w:vAnchor="page" w:hAnchor="page" w:x="1390" w:y="15707"/>
      <w:widowControl w:val="0"/>
      <w:spacing w:line="220" w:lineRule="exact"/>
      <w:ind w:left="142"/>
      <w:suppressOverlap/>
    </w:pPr>
    <w:rPr>
      <w:rFonts w:ascii="Arial" w:hAnsi="Arial"/>
      <w:b/>
    </w:rPr>
  </w:style>
  <w:style w:type="character" w:styleId="Hyperlink">
    <w:name w:val="Hyperlink"/>
    <w:basedOn w:val="DefaultParagraphFont"/>
    <w:uiPriority w:val="99"/>
    <w:unhideWhenUsed/>
    <w:rsid w:val="00FC530C"/>
    <w:rPr>
      <w:color w:val="0563C1" w:themeColor="hyperlink"/>
      <w:u w:val="single"/>
    </w:rPr>
  </w:style>
  <w:style w:type="paragraph" w:styleId="ListParagraph">
    <w:name w:val="List Paragraph"/>
    <w:basedOn w:val="Normal"/>
    <w:uiPriority w:val="34"/>
    <w:qFormat/>
    <w:rsid w:val="00FC530C"/>
    <w:pPr>
      <w:numPr>
        <w:numId w:val="3"/>
      </w:numPr>
      <w:spacing w:before="240"/>
      <w:contextualSpacing/>
      <w:jc w:val="both"/>
    </w:pPr>
    <w:rPr>
      <w:rFonts w:asciiTheme="majorBidi" w:hAnsiTheme="majorBidi" w:cstheme="majorBidi"/>
      <w:sz w:val="24"/>
      <w:szCs w:val="24"/>
    </w:rPr>
  </w:style>
  <w:style w:type="paragraph" w:customStyle="1" w:styleId="para1">
    <w:name w:val="para1"/>
    <w:basedOn w:val="Normal"/>
    <w:qFormat/>
    <w:rsid w:val="00FC530C"/>
    <w:pPr>
      <w:jc w:val="both"/>
    </w:pPr>
    <w:rPr>
      <w:rFonts w:asciiTheme="majorBidi" w:hAnsiTheme="majorBidi" w:cstheme="majorBidi"/>
      <w:sz w:val="24"/>
      <w:szCs w:val="24"/>
    </w:rPr>
  </w:style>
  <w:style w:type="paragraph" w:styleId="NoSpacing">
    <w:name w:val="No Spacing"/>
    <w:uiPriority w:val="1"/>
    <w:qFormat/>
    <w:rsid w:val="00FC530C"/>
    <w:pPr>
      <w:spacing w:after="0" w:line="240" w:lineRule="auto"/>
    </w:pPr>
    <w:rPr>
      <w:rFonts w:asciiTheme="majorBidi" w:hAnsiTheme="majorBidi" w:cstheme="majorBidi"/>
      <w:sz w:val="24"/>
      <w:szCs w:val="24"/>
    </w:rPr>
  </w:style>
  <w:style w:type="paragraph" w:styleId="CommentText">
    <w:name w:val="annotation text"/>
    <w:basedOn w:val="Normal"/>
    <w:link w:val="CommentTextChar"/>
    <w:uiPriority w:val="99"/>
    <w:unhideWhenUsed/>
    <w:rsid w:val="0059556C"/>
    <w:pPr>
      <w:spacing w:after="9" w:line="240" w:lineRule="auto"/>
      <w:ind w:left="10" w:hanging="10"/>
      <w:jc w:val="both"/>
    </w:pPr>
    <w:rPr>
      <w:rFonts w:ascii="Times New Roman" w:eastAsia="Times New Roman" w:hAnsi="Times New Roman" w:cs="Times New Roman"/>
      <w:color w:val="000000"/>
      <w:sz w:val="20"/>
      <w:szCs w:val="20"/>
      <w:lang w:eastAsia="zh-CN"/>
    </w:rPr>
  </w:style>
  <w:style w:type="character" w:customStyle="1" w:styleId="CommentTextChar">
    <w:name w:val="Comment Text Char"/>
    <w:basedOn w:val="DefaultParagraphFont"/>
    <w:link w:val="CommentText"/>
    <w:uiPriority w:val="99"/>
    <w:rsid w:val="0059556C"/>
    <w:rPr>
      <w:rFonts w:ascii="Times New Roman" w:eastAsia="Times New Roman" w:hAnsi="Times New Roman" w:cs="Times New Roman"/>
      <w:color w:val="000000"/>
      <w:sz w:val="20"/>
      <w:szCs w:val="20"/>
      <w:lang w:eastAsia="zh-CN"/>
    </w:rPr>
  </w:style>
  <w:style w:type="paragraph" w:styleId="NormalWeb">
    <w:name w:val="Normal (Web)"/>
    <w:basedOn w:val="Normal"/>
    <w:uiPriority w:val="99"/>
    <w:unhideWhenUsed/>
    <w:rsid w:val="001031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11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997"/>
  </w:style>
  <w:style w:type="paragraph" w:styleId="Header">
    <w:name w:val="header"/>
    <w:basedOn w:val="Normal"/>
    <w:link w:val="HeaderChar"/>
    <w:uiPriority w:val="99"/>
    <w:unhideWhenUsed/>
    <w:rsid w:val="00D11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997"/>
  </w:style>
  <w:style w:type="table" w:styleId="PlainTable3">
    <w:name w:val="Plain Table 3"/>
    <w:basedOn w:val="TableNormal"/>
    <w:uiPriority w:val="43"/>
    <w:rsid w:val="004A53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974BFD"/>
    <w:rPr>
      <w:color w:val="954F72" w:themeColor="followedHyperlink"/>
      <w:u w:val="single"/>
    </w:rPr>
  </w:style>
  <w:style w:type="table" w:styleId="TableGrid">
    <w:name w:val="Table Grid"/>
    <w:basedOn w:val="TableNormal"/>
    <w:uiPriority w:val="39"/>
    <w:rsid w:val="00814BD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22BE"/>
    <w:rPr>
      <w:color w:val="605E5C"/>
      <w:shd w:val="clear" w:color="auto" w:fill="E1DFDD"/>
    </w:rPr>
  </w:style>
  <w:style w:type="character" w:styleId="CommentReference">
    <w:name w:val="annotation reference"/>
    <w:basedOn w:val="DefaultParagraphFont"/>
    <w:uiPriority w:val="99"/>
    <w:semiHidden/>
    <w:unhideWhenUsed/>
    <w:rsid w:val="00466A39"/>
    <w:rPr>
      <w:sz w:val="16"/>
      <w:szCs w:val="16"/>
    </w:rPr>
  </w:style>
  <w:style w:type="paragraph" w:styleId="CommentSubject">
    <w:name w:val="annotation subject"/>
    <w:basedOn w:val="CommentText"/>
    <w:next w:val="CommentText"/>
    <w:link w:val="CommentSubjectChar"/>
    <w:uiPriority w:val="99"/>
    <w:semiHidden/>
    <w:unhideWhenUsed/>
    <w:rsid w:val="00466A39"/>
    <w:pPr>
      <w:spacing w:after="200"/>
      <w:ind w:left="0" w:firstLine="0"/>
      <w:jc w:val="left"/>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466A39"/>
    <w:rPr>
      <w:rFonts w:ascii="Times New Roman" w:eastAsia="Times New Roman" w:hAnsi="Times New Roman" w:cs="Times New Roman"/>
      <w:b/>
      <w:bCs/>
      <w:color w:val="000000"/>
      <w:sz w:val="20"/>
      <w:szCs w:val="20"/>
      <w:lang w:eastAsia="zh-CN"/>
    </w:rPr>
  </w:style>
  <w:style w:type="paragraph" w:styleId="Revision">
    <w:name w:val="Revision"/>
    <w:hidden/>
    <w:uiPriority w:val="99"/>
    <w:semiHidden/>
    <w:rsid w:val="002D6266"/>
    <w:pPr>
      <w:spacing w:after="0" w:line="240" w:lineRule="auto"/>
    </w:pPr>
  </w:style>
  <w:style w:type="character" w:styleId="Mention">
    <w:name w:val="Mention"/>
    <w:basedOn w:val="DefaultParagraphFont"/>
    <w:uiPriority w:val="99"/>
    <w:unhideWhenUsed/>
    <w:rsid w:val="002101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077">
      <w:bodyDiv w:val="1"/>
      <w:marLeft w:val="0"/>
      <w:marRight w:val="0"/>
      <w:marTop w:val="0"/>
      <w:marBottom w:val="0"/>
      <w:divBdr>
        <w:top w:val="none" w:sz="0" w:space="0" w:color="auto"/>
        <w:left w:val="none" w:sz="0" w:space="0" w:color="auto"/>
        <w:bottom w:val="none" w:sz="0" w:space="0" w:color="auto"/>
        <w:right w:val="none" w:sz="0" w:space="0" w:color="auto"/>
      </w:divBdr>
    </w:div>
    <w:div w:id="183324868">
      <w:bodyDiv w:val="1"/>
      <w:marLeft w:val="0"/>
      <w:marRight w:val="0"/>
      <w:marTop w:val="0"/>
      <w:marBottom w:val="0"/>
      <w:divBdr>
        <w:top w:val="none" w:sz="0" w:space="0" w:color="auto"/>
        <w:left w:val="none" w:sz="0" w:space="0" w:color="auto"/>
        <w:bottom w:val="none" w:sz="0" w:space="0" w:color="auto"/>
        <w:right w:val="none" w:sz="0" w:space="0" w:color="auto"/>
      </w:divBdr>
    </w:div>
    <w:div w:id="301616967">
      <w:bodyDiv w:val="1"/>
      <w:marLeft w:val="0"/>
      <w:marRight w:val="0"/>
      <w:marTop w:val="0"/>
      <w:marBottom w:val="0"/>
      <w:divBdr>
        <w:top w:val="none" w:sz="0" w:space="0" w:color="auto"/>
        <w:left w:val="none" w:sz="0" w:space="0" w:color="auto"/>
        <w:bottom w:val="none" w:sz="0" w:space="0" w:color="auto"/>
        <w:right w:val="none" w:sz="0" w:space="0" w:color="auto"/>
      </w:divBdr>
    </w:div>
    <w:div w:id="499657079">
      <w:bodyDiv w:val="1"/>
      <w:marLeft w:val="0"/>
      <w:marRight w:val="0"/>
      <w:marTop w:val="0"/>
      <w:marBottom w:val="0"/>
      <w:divBdr>
        <w:top w:val="none" w:sz="0" w:space="0" w:color="auto"/>
        <w:left w:val="none" w:sz="0" w:space="0" w:color="auto"/>
        <w:bottom w:val="none" w:sz="0" w:space="0" w:color="auto"/>
        <w:right w:val="none" w:sz="0" w:space="0" w:color="auto"/>
      </w:divBdr>
    </w:div>
    <w:div w:id="757141051">
      <w:bodyDiv w:val="1"/>
      <w:marLeft w:val="0"/>
      <w:marRight w:val="0"/>
      <w:marTop w:val="0"/>
      <w:marBottom w:val="0"/>
      <w:divBdr>
        <w:top w:val="none" w:sz="0" w:space="0" w:color="auto"/>
        <w:left w:val="none" w:sz="0" w:space="0" w:color="auto"/>
        <w:bottom w:val="none" w:sz="0" w:space="0" w:color="auto"/>
        <w:right w:val="none" w:sz="0" w:space="0" w:color="auto"/>
      </w:divBdr>
    </w:div>
    <w:div w:id="1067999484">
      <w:bodyDiv w:val="1"/>
      <w:marLeft w:val="0"/>
      <w:marRight w:val="0"/>
      <w:marTop w:val="0"/>
      <w:marBottom w:val="0"/>
      <w:divBdr>
        <w:top w:val="none" w:sz="0" w:space="0" w:color="auto"/>
        <w:left w:val="none" w:sz="0" w:space="0" w:color="auto"/>
        <w:bottom w:val="none" w:sz="0" w:space="0" w:color="auto"/>
        <w:right w:val="none" w:sz="0" w:space="0" w:color="auto"/>
      </w:divBdr>
      <w:divsChild>
        <w:div w:id="582225598">
          <w:marLeft w:val="0"/>
          <w:marRight w:val="0"/>
          <w:marTop w:val="0"/>
          <w:marBottom w:val="0"/>
          <w:divBdr>
            <w:top w:val="none" w:sz="0" w:space="0" w:color="auto"/>
            <w:left w:val="none" w:sz="0" w:space="0" w:color="auto"/>
            <w:bottom w:val="none" w:sz="0" w:space="0" w:color="auto"/>
            <w:right w:val="none" w:sz="0" w:space="0" w:color="auto"/>
          </w:divBdr>
        </w:div>
      </w:divsChild>
    </w:div>
    <w:div w:id="1111047198">
      <w:bodyDiv w:val="1"/>
      <w:marLeft w:val="0"/>
      <w:marRight w:val="0"/>
      <w:marTop w:val="0"/>
      <w:marBottom w:val="0"/>
      <w:divBdr>
        <w:top w:val="none" w:sz="0" w:space="0" w:color="auto"/>
        <w:left w:val="none" w:sz="0" w:space="0" w:color="auto"/>
        <w:bottom w:val="none" w:sz="0" w:space="0" w:color="auto"/>
        <w:right w:val="none" w:sz="0" w:space="0" w:color="auto"/>
      </w:divBdr>
    </w:div>
    <w:div w:id="1121680836">
      <w:bodyDiv w:val="1"/>
      <w:marLeft w:val="0"/>
      <w:marRight w:val="0"/>
      <w:marTop w:val="0"/>
      <w:marBottom w:val="0"/>
      <w:divBdr>
        <w:top w:val="none" w:sz="0" w:space="0" w:color="auto"/>
        <w:left w:val="none" w:sz="0" w:space="0" w:color="auto"/>
        <w:bottom w:val="none" w:sz="0" w:space="0" w:color="auto"/>
        <w:right w:val="none" w:sz="0" w:space="0" w:color="auto"/>
      </w:divBdr>
    </w:div>
    <w:div w:id="1648121634">
      <w:bodyDiv w:val="1"/>
      <w:marLeft w:val="0"/>
      <w:marRight w:val="0"/>
      <w:marTop w:val="0"/>
      <w:marBottom w:val="0"/>
      <w:divBdr>
        <w:top w:val="none" w:sz="0" w:space="0" w:color="auto"/>
        <w:left w:val="none" w:sz="0" w:space="0" w:color="auto"/>
        <w:bottom w:val="none" w:sz="0" w:space="0" w:color="auto"/>
        <w:right w:val="none" w:sz="0" w:space="0" w:color="auto"/>
      </w:divBdr>
    </w:div>
    <w:div w:id="20742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ouchplus.iaea.org" TargetMode="External"/><Relationship Id="rId18" Type="http://schemas.openxmlformats.org/officeDocument/2006/relationships/hyperlink" Target="https://conferences.iaea.org/event/42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l.wheatley@iaea.org" TargetMode="External"/><Relationship Id="rId7" Type="http://schemas.openxmlformats.org/officeDocument/2006/relationships/settings" Target="settings.xml"/><Relationship Id="rId12" Type="http://schemas.openxmlformats.org/officeDocument/2006/relationships/hyperlink" Target="https://wls.iaea.org/IAEATMS/faces/EventSearch.jsf?langCode=US&amp;resetParam=1" TargetMode="External"/><Relationship Id="rId17" Type="http://schemas.openxmlformats.org/officeDocument/2006/relationships/hyperlink" Target="https://adminonline.iaea.org/AdminManual/documents/amp1s21.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TouchPlus.Contact-Point@iaea.org" TargetMode="External"/><Relationship Id="rId20" Type="http://schemas.openxmlformats.org/officeDocument/2006/relationships/hyperlink" Target="mailto:R.Wagner@iaea.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ucleus.iaea.org/Pages/Help/WhatIsNucleus.aspx" TargetMode="External"/><Relationship Id="rId23" Type="http://schemas.openxmlformats.org/officeDocument/2006/relationships/hyperlink" Target="mailto:k.abdurasulova@iaea.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iaea.org/eve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ucleus.iaea.org/Pages/help/Registration.aspx" TargetMode="External"/><Relationship Id="rId22" Type="http://schemas.openxmlformats.org/officeDocument/2006/relationships/hyperlink" Target="mailto:yiqiang.wang@ukaea.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DCDA923FAA3F4CBA27552034238FD5" ma:contentTypeVersion="4" ma:contentTypeDescription="Create a new document." ma:contentTypeScope="" ma:versionID="420990be84807ebf407c944ee83bd273">
  <xsd:schema xmlns:xsd="http://www.w3.org/2001/XMLSchema" xmlns:xs="http://www.w3.org/2001/XMLSchema" xmlns:p="http://schemas.microsoft.com/office/2006/metadata/properties" xmlns:ns2="133b9a05-b2c1-44e5-836f-f643490b5c81" targetNamespace="http://schemas.microsoft.com/office/2006/metadata/properties" ma:root="true" ma:fieldsID="ab4324ed3541b26c1f311561ae5dcd75" ns2:_="">
    <xsd:import namespace="133b9a05-b2c1-44e5-836f-f643490b5c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b9a05-b2c1-44e5-836f-f643490b5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5D7CD-E71C-4FF1-9D93-0EC924131AA5}">
  <ds:schemaRefs>
    <ds:schemaRef ds:uri="http://schemas.microsoft.com/sharepoint/v3/contenttype/forms"/>
  </ds:schemaRefs>
</ds:datastoreItem>
</file>

<file path=customXml/itemProps2.xml><?xml version="1.0" encoding="utf-8"?>
<ds:datastoreItem xmlns:ds="http://schemas.openxmlformats.org/officeDocument/2006/customXml" ds:itemID="{07761BC3-3633-4D10-A46C-54B0955FCB34}">
  <ds:schemaRefs>
    <ds:schemaRef ds:uri="http://schemas.openxmlformats.org/officeDocument/2006/bibliography"/>
  </ds:schemaRefs>
</ds:datastoreItem>
</file>

<file path=customXml/itemProps3.xml><?xml version="1.0" encoding="utf-8"?>
<ds:datastoreItem xmlns:ds="http://schemas.openxmlformats.org/officeDocument/2006/customXml" ds:itemID="{0769AAAB-6061-4296-9B68-A4F440F72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b9a05-b2c1-44e5-836f-f643490b5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8D127-45AD-400F-AC5F-305782DF363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2f21493-a4d1-4b7f-ad07-819c824f5c4a}" enabled="0" method="" siteId="{a2f21493-a4d1-4b7f-ad07-819c824f5c4a}"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8</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VIRGILI, Nicole</dc:creator>
  <cp:keywords/>
  <dc:description/>
  <cp:lastModifiedBy>WAGNER, Ryan</cp:lastModifiedBy>
  <cp:revision>6</cp:revision>
  <cp:lastPrinted>2023-01-27T10:52:00Z</cp:lastPrinted>
  <dcterms:created xsi:type="dcterms:W3CDTF">2025-05-14T14:00:00Z</dcterms:created>
  <dcterms:modified xsi:type="dcterms:W3CDTF">2025-05-14T14:06:00Z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0x01010017DCDA923FAA3F4CBA27552034238FD5</vt:lpwstr>
  </property>
  <property fmtid="{D5CDD505-2E9C-101B-9397-08002B2CF9AE}" pid="3" name="Order">
    <vt:r8>105200</vt:r8>
  </property>
  <property fmtid="{D5CDD505-2E9C-101B-9397-08002B2CF9AE}" pid="4" name="xd_ProgID">
    <vt:lpwstr/>
  </property>
  <property fmtid="{D5CDD505-2E9C-101B-9397-08002B2CF9AE}" pid="5" name="TemplateUrl">
    <vt:lpwstr/>
  </property>
  <property fmtid="{D5CDD505-2E9C-101B-9397-08002B2CF9AE}" pid="6" name="_CopySource">
    <vt:lpwstr>https://nucleus.iaea.org/sites/FR17/frteam/NPTDS Fission-Fusion Synergies/Shared Documents/2021_05_NES/1st CM_Compatibility Materials and Coolants/InfoSheet-CM-coolants-materials compatibility_7-9 February 2022.docx</vt:lpwstr>
  </property>
  <property fmtid="{D5CDD505-2E9C-101B-9397-08002B2CF9AE}" pid="7" name="MSIP_Label_22759de7-3255-46b5-8dfe-736652f9c6c1_Enabled">
    <vt:lpwstr>true</vt:lpwstr>
  </property>
  <property fmtid="{D5CDD505-2E9C-101B-9397-08002B2CF9AE}" pid="8" name="MSIP_Label_22759de7-3255-46b5-8dfe-736652f9c6c1_SetDate">
    <vt:lpwstr>2024-12-10T23:40:26Z</vt:lpwstr>
  </property>
  <property fmtid="{D5CDD505-2E9C-101B-9397-08002B2CF9AE}" pid="9" name="MSIP_Label_22759de7-3255-46b5-8dfe-736652f9c6c1_Method">
    <vt:lpwstr>Standard</vt:lpwstr>
  </property>
  <property fmtid="{D5CDD505-2E9C-101B-9397-08002B2CF9AE}" pid="10" name="MSIP_Label_22759de7-3255-46b5-8dfe-736652f9c6c1_Name">
    <vt:lpwstr>22759de7-3255-46b5-8dfe-736652f9c6c1</vt:lpwstr>
  </property>
  <property fmtid="{D5CDD505-2E9C-101B-9397-08002B2CF9AE}" pid="11" name="MSIP_Label_22759de7-3255-46b5-8dfe-736652f9c6c1_SiteId">
    <vt:lpwstr>c6ac664b-ae27-4d5d-b4e6-bb5717196fc7</vt:lpwstr>
  </property>
  <property fmtid="{D5CDD505-2E9C-101B-9397-08002B2CF9AE}" pid="12" name="MSIP_Label_22759de7-3255-46b5-8dfe-736652f9c6c1_ActionId">
    <vt:lpwstr>393e38b0-760e-47fd-9481-3f91bdb637c6</vt:lpwstr>
  </property>
  <property fmtid="{D5CDD505-2E9C-101B-9397-08002B2CF9AE}" pid="13" name="MSIP_Label_22759de7-3255-46b5-8dfe-736652f9c6c1_ContentBits">
    <vt:lpwstr>0</vt:lpwstr>
  </property>
</Properties>
</file>