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69247" w14:textId="25FC1C47" w:rsidR="003755D8" w:rsidRPr="000F0635" w:rsidRDefault="00CE32F2" w:rsidP="000F0635">
      <w:pPr>
        <w:pStyle w:val="Default"/>
        <w:ind w:left="540"/>
        <w:jc w:val="both"/>
        <w:rPr>
          <w:b/>
          <w:bCs/>
          <w:sz w:val="28"/>
          <w:szCs w:val="28"/>
          <w:u w:val="single"/>
        </w:rPr>
      </w:pPr>
      <w:r w:rsidRPr="000F0635">
        <w:rPr>
          <w:b/>
          <w:bCs/>
          <w:sz w:val="28"/>
          <w:szCs w:val="28"/>
        </w:rPr>
        <w:t>Establishment, evolution and competency development of competent authorities and compliance assurance mecha</w:t>
      </w:r>
      <w:r w:rsidR="00A9259D" w:rsidRPr="000F0635">
        <w:rPr>
          <w:b/>
          <w:bCs/>
          <w:sz w:val="28"/>
          <w:szCs w:val="28"/>
        </w:rPr>
        <w:t>nis</w:t>
      </w:r>
      <w:r w:rsidR="00096993" w:rsidRPr="000F0635">
        <w:rPr>
          <w:b/>
          <w:bCs/>
          <w:sz w:val="28"/>
          <w:szCs w:val="28"/>
        </w:rPr>
        <w:t>ms</w:t>
      </w:r>
      <w:r w:rsidR="00BD004B" w:rsidRPr="000F0635">
        <w:rPr>
          <w:b/>
          <w:bCs/>
          <w:sz w:val="28"/>
          <w:szCs w:val="28"/>
        </w:rPr>
        <w:t xml:space="preserve"> for safe </w:t>
      </w:r>
      <w:r w:rsidR="004855F5" w:rsidRPr="000F0635">
        <w:rPr>
          <w:b/>
          <w:bCs/>
          <w:sz w:val="28"/>
          <w:szCs w:val="28"/>
        </w:rPr>
        <w:t>a</w:t>
      </w:r>
      <w:r w:rsidR="00BD004B" w:rsidRPr="000F0635">
        <w:rPr>
          <w:b/>
          <w:bCs/>
          <w:sz w:val="28"/>
          <w:szCs w:val="28"/>
        </w:rPr>
        <w:t xml:space="preserve">nd secure transport of </w:t>
      </w:r>
      <w:r w:rsidR="00A7327B" w:rsidRPr="000F0635">
        <w:rPr>
          <w:b/>
          <w:bCs/>
          <w:sz w:val="28"/>
          <w:szCs w:val="28"/>
        </w:rPr>
        <w:t xml:space="preserve">nuclear and </w:t>
      </w:r>
      <w:r w:rsidR="00BD004B" w:rsidRPr="000F0635">
        <w:rPr>
          <w:b/>
          <w:bCs/>
          <w:sz w:val="28"/>
          <w:szCs w:val="28"/>
        </w:rPr>
        <w:t xml:space="preserve">radioactive materials </w:t>
      </w:r>
      <w:r w:rsidRPr="000F0635">
        <w:rPr>
          <w:b/>
          <w:bCs/>
          <w:sz w:val="28"/>
          <w:szCs w:val="28"/>
        </w:rPr>
        <w:t xml:space="preserve">in Myanmar </w:t>
      </w:r>
    </w:p>
    <w:p w14:paraId="4CAC8E0A" w14:textId="77777777" w:rsidR="00B77D61" w:rsidRDefault="00B77D61" w:rsidP="00E879F6">
      <w:pPr>
        <w:pStyle w:val="ListParagraph"/>
        <w:autoSpaceDE w:val="0"/>
        <w:autoSpaceDN w:val="0"/>
        <w:adjustRightInd w:val="0"/>
        <w:spacing w:line="312" w:lineRule="auto"/>
        <w:ind w:left="540" w:right="475"/>
        <w:rPr>
          <w:b/>
          <w:sz w:val="20"/>
          <w:szCs w:val="20"/>
          <w:lang w:bidi="my-MM"/>
        </w:rPr>
      </w:pPr>
    </w:p>
    <w:p w14:paraId="33655538" w14:textId="06963CF1" w:rsidR="00E879F6" w:rsidRPr="001C5ABA" w:rsidRDefault="00E879F6" w:rsidP="00E879F6">
      <w:pPr>
        <w:pStyle w:val="ListParagraph"/>
        <w:autoSpaceDE w:val="0"/>
        <w:autoSpaceDN w:val="0"/>
        <w:adjustRightInd w:val="0"/>
        <w:spacing w:line="312" w:lineRule="auto"/>
        <w:ind w:left="540" w:right="475"/>
        <w:rPr>
          <w:b/>
          <w:sz w:val="20"/>
          <w:szCs w:val="20"/>
          <w:lang w:bidi="my-MM"/>
        </w:rPr>
      </w:pPr>
      <w:r w:rsidRPr="001C5ABA">
        <w:rPr>
          <w:b/>
          <w:sz w:val="20"/>
          <w:szCs w:val="20"/>
          <w:lang w:bidi="my-MM"/>
        </w:rPr>
        <w:t>Aung Min Pho Saw</w:t>
      </w:r>
      <w:r w:rsidR="00156F60">
        <w:rPr>
          <w:b/>
          <w:sz w:val="20"/>
          <w:szCs w:val="20"/>
          <w:vertAlign w:val="superscript"/>
          <w:lang w:bidi="my-MM"/>
        </w:rPr>
        <w:t>1</w:t>
      </w:r>
    </w:p>
    <w:p w14:paraId="518302EF" w14:textId="77777777" w:rsidR="00E879F6" w:rsidRDefault="00E879F6" w:rsidP="00E879F6">
      <w:pPr>
        <w:pStyle w:val="ListParagraph"/>
        <w:autoSpaceDE w:val="0"/>
        <w:autoSpaceDN w:val="0"/>
        <w:adjustRightInd w:val="0"/>
        <w:spacing w:line="312" w:lineRule="auto"/>
        <w:ind w:left="540" w:right="475"/>
        <w:rPr>
          <w:sz w:val="20"/>
          <w:szCs w:val="20"/>
          <w:lang w:bidi="my-MM"/>
        </w:rPr>
      </w:pPr>
      <w:r w:rsidRPr="001C5ABA">
        <w:rPr>
          <w:sz w:val="20"/>
          <w:szCs w:val="20"/>
          <w:lang w:bidi="my-MM"/>
        </w:rPr>
        <w:t>Department of Atomic Energy</w:t>
      </w:r>
    </w:p>
    <w:p w14:paraId="2A147081" w14:textId="77777777" w:rsidR="00E879F6" w:rsidRPr="001C5ABA" w:rsidRDefault="00E879F6" w:rsidP="00E879F6">
      <w:pPr>
        <w:pStyle w:val="ListParagraph"/>
        <w:autoSpaceDE w:val="0"/>
        <w:autoSpaceDN w:val="0"/>
        <w:adjustRightInd w:val="0"/>
        <w:spacing w:line="312" w:lineRule="auto"/>
        <w:ind w:left="540" w:right="475"/>
        <w:rPr>
          <w:sz w:val="20"/>
          <w:szCs w:val="20"/>
          <w:lang w:bidi="my-MM"/>
        </w:rPr>
      </w:pPr>
      <w:r w:rsidRPr="001C5ABA">
        <w:rPr>
          <w:sz w:val="20"/>
          <w:szCs w:val="20"/>
          <w:lang w:bidi="my-MM"/>
        </w:rPr>
        <w:t xml:space="preserve">Ministry of Science and Technology </w:t>
      </w:r>
    </w:p>
    <w:p w14:paraId="6D2CCAFE" w14:textId="63F49B16" w:rsidR="00E879F6" w:rsidRDefault="00E879F6" w:rsidP="00E879F6">
      <w:pPr>
        <w:pStyle w:val="ListParagraph"/>
        <w:autoSpaceDE w:val="0"/>
        <w:autoSpaceDN w:val="0"/>
        <w:adjustRightInd w:val="0"/>
        <w:spacing w:line="312" w:lineRule="auto"/>
        <w:ind w:left="540" w:right="475"/>
        <w:rPr>
          <w:sz w:val="20"/>
          <w:szCs w:val="20"/>
          <w:lang w:bidi="my-MM"/>
        </w:rPr>
      </w:pPr>
      <w:r w:rsidRPr="001C5ABA">
        <w:rPr>
          <w:sz w:val="20"/>
          <w:szCs w:val="20"/>
          <w:lang w:bidi="my-MM"/>
        </w:rPr>
        <w:t>Building No</w:t>
      </w:r>
      <w:proofErr w:type="gramStart"/>
      <w:r w:rsidRPr="001C5ABA">
        <w:rPr>
          <w:sz w:val="20"/>
          <w:szCs w:val="20"/>
          <w:lang w:bidi="my-MM"/>
        </w:rPr>
        <w:t>.(</w:t>
      </w:r>
      <w:proofErr w:type="gramEnd"/>
      <w:r w:rsidRPr="001C5ABA">
        <w:rPr>
          <w:sz w:val="20"/>
          <w:szCs w:val="20"/>
          <w:lang w:bidi="my-MM"/>
        </w:rPr>
        <w:t xml:space="preserve">21), Nay </w:t>
      </w:r>
      <w:proofErr w:type="spellStart"/>
      <w:r w:rsidRPr="001C5ABA">
        <w:rPr>
          <w:sz w:val="20"/>
          <w:szCs w:val="20"/>
          <w:lang w:bidi="my-MM"/>
        </w:rPr>
        <w:t>Pyi</w:t>
      </w:r>
      <w:proofErr w:type="spellEnd"/>
      <w:r w:rsidRPr="001C5ABA">
        <w:rPr>
          <w:sz w:val="20"/>
          <w:szCs w:val="20"/>
          <w:lang w:bidi="my-MM"/>
        </w:rPr>
        <w:t xml:space="preserve"> Taw, Myanmar</w:t>
      </w:r>
    </w:p>
    <w:p w14:paraId="48F8B3AE" w14:textId="0811FADD" w:rsidR="000F0635" w:rsidRDefault="000F0635" w:rsidP="00E879F6">
      <w:pPr>
        <w:pStyle w:val="ListParagraph"/>
        <w:autoSpaceDE w:val="0"/>
        <w:autoSpaceDN w:val="0"/>
        <w:adjustRightInd w:val="0"/>
        <w:spacing w:line="312" w:lineRule="auto"/>
        <w:ind w:left="540" w:right="475"/>
        <w:rPr>
          <w:sz w:val="20"/>
          <w:szCs w:val="20"/>
          <w:lang w:bidi="my-MM"/>
        </w:rPr>
      </w:pPr>
      <w:r>
        <w:rPr>
          <w:sz w:val="20"/>
          <w:szCs w:val="20"/>
          <w:lang w:bidi="my-MM"/>
        </w:rPr>
        <w:t>Email: ampsmyrdae@gmail.com</w:t>
      </w:r>
    </w:p>
    <w:p w14:paraId="39EE762E" w14:textId="77777777" w:rsidR="00203592" w:rsidRDefault="00203592" w:rsidP="00E879F6">
      <w:pPr>
        <w:pStyle w:val="ListParagraph"/>
        <w:autoSpaceDE w:val="0"/>
        <w:autoSpaceDN w:val="0"/>
        <w:adjustRightInd w:val="0"/>
        <w:spacing w:line="312" w:lineRule="auto"/>
        <w:ind w:left="540" w:right="475"/>
        <w:rPr>
          <w:sz w:val="20"/>
          <w:szCs w:val="20"/>
          <w:lang w:bidi="my-MM"/>
        </w:rPr>
      </w:pPr>
    </w:p>
    <w:p w14:paraId="106F8309" w14:textId="316A5F5A" w:rsidR="00E879F6" w:rsidRPr="001C5ABA" w:rsidRDefault="00E879F6" w:rsidP="00E879F6">
      <w:pPr>
        <w:pStyle w:val="ListParagraph"/>
        <w:autoSpaceDE w:val="0"/>
        <w:autoSpaceDN w:val="0"/>
        <w:adjustRightInd w:val="0"/>
        <w:spacing w:line="312" w:lineRule="auto"/>
        <w:ind w:left="540" w:right="475"/>
        <w:rPr>
          <w:b/>
          <w:sz w:val="20"/>
          <w:szCs w:val="20"/>
          <w:lang w:bidi="my-MM"/>
        </w:rPr>
      </w:pPr>
      <w:proofErr w:type="spellStart"/>
      <w:r>
        <w:rPr>
          <w:b/>
          <w:sz w:val="20"/>
          <w:szCs w:val="20"/>
          <w:lang w:bidi="my-MM"/>
        </w:rPr>
        <w:t>Ohnmar</w:t>
      </w:r>
      <w:proofErr w:type="spellEnd"/>
      <w:r>
        <w:rPr>
          <w:b/>
          <w:sz w:val="20"/>
          <w:szCs w:val="20"/>
          <w:lang w:bidi="my-MM"/>
        </w:rPr>
        <w:t xml:space="preserve"> Than</w:t>
      </w:r>
      <w:r w:rsidR="00555F02">
        <w:rPr>
          <w:b/>
          <w:sz w:val="20"/>
          <w:szCs w:val="20"/>
          <w:vertAlign w:val="superscript"/>
          <w:lang w:bidi="my-MM"/>
        </w:rPr>
        <w:t>2</w:t>
      </w:r>
    </w:p>
    <w:p w14:paraId="2102AFA9" w14:textId="77777777" w:rsidR="00E879F6" w:rsidRDefault="00E879F6" w:rsidP="00E879F6">
      <w:pPr>
        <w:pStyle w:val="ListParagraph"/>
        <w:autoSpaceDE w:val="0"/>
        <w:autoSpaceDN w:val="0"/>
        <w:adjustRightInd w:val="0"/>
        <w:spacing w:line="312" w:lineRule="auto"/>
        <w:ind w:left="540" w:right="475"/>
        <w:rPr>
          <w:sz w:val="20"/>
          <w:szCs w:val="20"/>
          <w:lang w:bidi="my-MM"/>
        </w:rPr>
      </w:pPr>
      <w:r w:rsidRPr="001C5ABA">
        <w:rPr>
          <w:sz w:val="20"/>
          <w:szCs w:val="20"/>
          <w:lang w:bidi="my-MM"/>
        </w:rPr>
        <w:t xml:space="preserve">Department of </w:t>
      </w:r>
      <w:r>
        <w:rPr>
          <w:sz w:val="20"/>
          <w:szCs w:val="20"/>
          <w:lang w:bidi="my-MM"/>
        </w:rPr>
        <w:t>Research and Innovation</w:t>
      </w:r>
    </w:p>
    <w:p w14:paraId="7F19B37E" w14:textId="77777777" w:rsidR="00E879F6" w:rsidRPr="001C5ABA" w:rsidRDefault="00E879F6" w:rsidP="00E879F6">
      <w:pPr>
        <w:pStyle w:val="ListParagraph"/>
        <w:autoSpaceDE w:val="0"/>
        <w:autoSpaceDN w:val="0"/>
        <w:adjustRightInd w:val="0"/>
        <w:spacing w:line="312" w:lineRule="auto"/>
        <w:ind w:left="540" w:right="475"/>
        <w:rPr>
          <w:sz w:val="20"/>
          <w:szCs w:val="20"/>
          <w:lang w:bidi="my-MM"/>
        </w:rPr>
      </w:pPr>
      <w:r w:rsidRPr="001C5ABA">
        <w:rPr>
          <w:sz w:val="20"/>
          <w:szCs w:val="20"/>
          <w:lang w:bidi="my-MM"/>
        </w:rPr>
        <w:t xml:space="preserve">Ministry of Science and Technology </w:t>
      </w:r>
    </w:p>
    <w:p w14:paraId="1807E575" w14:textId="77777777" w:rsidR="00E879F6" w:rsidRPr="001C5ABA" w:rsidRDefault="00E879F6" w:rsidP="00E879F6">
      <w:pPr>
        <w:pStyle w:val="ListParagraph"/>
        <w:autoSpaceDE w:val="0"/>
        <w:autoSpaceDN w:val="0"/>
        <w:adjustRightInd w:val="0"/>
        <w:spacing w:line="312" w:lineRule="auto"/>
        <w:ind w:left="540" w:right="475"/>
        <w:rPr>
          <w:sz w:val="20"/>
          <w:szCs w:val="20"/>
          <w:lang w:bidi="my-MM"/>
        </w:rPr>
      </w:pPr>
      <w:r w:rsidRPr="001C5ABA">
        <w:rPr>
          <w:sz w:val="20"/>
          <w:szCs w:val="20"/>
          <w:lang w:bidi="my-MM"/>
        </w:rPr>
        <w:t>Building No</w:t>
      </w:r>
      <w:proofErr w:type="gramStart"/>
      <w:r w:rsidRPr="001C5ABA">
        <w:rPr>
          <w:sz w:val="20"/>
          <w:szCs w:val="20"/>
          <w:lang w:bidi="my-MM"/>
        </w:rPr>
        <w:t>.(</w:t>
      </w:r>
      <w:proofErr w:type="gramEnd"/>
      <w:r w:rsidRPr="001C5ABA">
        <w:rPr>
          <w:sz w:val="20"/>
          <w:szCs w:val="20"/>
          <w:lang w:bidi="my-MM"/>
        </w:rPr>
        <w:t xml:space="preserve">21), Nay </w:t>
      </w:r>
      <w:proofErr w:type="spellStart"/>
      <w:r w:rsidRPr="001C5ABA">
        <w:rPr>
          <w:sz w:val="20"/>
          <w:szCs w:val="20"/>
          <w:lang w:bidi="my-MM"/>
        </w:rPr>
        <w:t>Pyi</w:t>
      </w:r>
      <w:proofErr w:type="spellEnd"/>
      <w:r w:rsidRPr="001C5ABA">
        <w:rPr>
          <w:sz w:val="20"/>
          <w:szCs w:val="20"/>
          <w:lang w:bidi="my-MM"/>
        </w:rPr>
        <w:t xml:space="preserve"> Taw, Myanmar</w:t>
      </w:r>
    </w:p>
    <w:p w14:paraId="01FA7693" w14:textId="77777777" w:rsidR="00E879F6" w:rsidRPr="00746B21" w:rsidRDefault="00E879F6" w:rsidP="003755D8">
      <w:pPr>
        <w:pStyle w:val="Default"/>
        <w:jc w:val="center"/>
        <w:rPr>
          <w:b/>
          <w:bCs/>
          <w:sz w:val="22"/>
          <w:szCs w:val="22"/>
          <w:u w:val="single"/>
        </w:rPr>
      </w:pPr>
    </w:p>
    <w:p w14:paraId="00A39A4E" w14:textId="77777777" w:rsidR="002F12DF" w:rsidRPr="002A3C66" w:rsidRDefault="002F12DF" w:rsidP="002F12DF">
      <w:pPr>
        <w:pStyle w:val="Default"/>
        <w:tabs>
          <w:tab w:val="center" w:pos="540"/>
        </w:tabs>
        <w:spacing w:line="312" w:lineRule="auto"/>
        <w:ind w:left="540" w:right="677"/>
        <w:jc w:val="both"/>
        <w:rPr>
          <w:b/>
          <w:sz w:val="22"/>
          <w:szCs w:val="22"/>
        </w:rPr>
      </w:pPr>
      <w:r w:rsidRPr="002A3C66">
        <w:rPr>
          <w:b/>
          <w:sz w:val="22"/>
          <w:szCs w:val="22"/>
        </w:rPr>
        <w:t xml:space="preserve">Abstract </w:t>
      </w:r>
    </w:p>
    <w:p w14:paraId="1F635EF5" w14:textId="77777777" w:rsidR="003755D8" w:rsidRPr="002A3C66" w:rsidRDefault="003755D8" w:rsidP="000F0635">
      <w:pPr>
        <w:spacing w:after="0"/>
        <w:rPr>
          <w:rFonts w:ascii="Times New Roman" w:hAnsi="Times New Roman" w:cs="Times New Roman"/>
          <w:color w:val="000000"/>
        </w:rPr>
      </w:pPr>
    </w:p>
    <w:p w14:paraId="423EA574" w14:textId="5A74BF2E" w:rsidR="003755D8" w:rsidRPr="002A3C66" w:rsidRDefault="003755D8" w:rsidP="002A3C66">
      <w:pPr>
        <w:autoSpaceDE w:val="0"/>
        <w:autoSpaceDN w:val="0"/>
        <w:adjustRightInd w:val="0"/>
        <w:spacing w:before="120" w:after="120" w:line="312" w:lineRule="auto"/>
        <w:ind w:left="288" w:firstLine="432"/>
        <w:jc w:val="both"/>
        <w:rPr>
          <w:rFonts w:ascii="Times New Roman" w:eastAsia="MS Mincho" w:hAnsi="Times New Roman" w:cs="Times New Roman"/>
          <w:iCs/>
        </w:rPr>
      </w:pPr>
      <w:r w:rsidRPr="002A3C66">
        <w:rPr>
          <w:rFonts w:ascii="Times New Roman" w:eastAsia="Calibri" w:hAnsi="Times New Roman" w:cs="Times New Roman"/>
          <w:iCs/>
          <w:color w:val="000000"/>
        </w:rPr>
        <w:t>The widespread applications of radioactive materials and radiation generating equipment in the field of industry, medicine, agriculture and research in Myanmar necessit</w:t>
      </w:r>
      <w:r w:rsidRPr="002A3C66">
        <w:rPr>
          <w:rFonts w:ascii="Times New Roman" w:hAnsi="Times New Roman" w:cs="Times New Roman"/>
          <w:color w:val="000000"/>
        </w:rPr>
        <w:t>ated</w:t>
      </w:r>
      <w:r w:rsidR="00282328" w:rsidRPr="002A3C66">
        <w:rPr>
          <w:rFonts w:ascii="Times New Roman" w:hAnsi="Times New Roman" w:cs="Times New Roman"/>
          <w:color w:val="000000"/>
        </w:rPr>
        <w:t xml:space="preserve"> es</w:t>
      </w:r>
      <w:r w:rsidRPr="002A3C66">
        <w:rPr>
          <w:rFonts w:ascii="Times New Roman" w:eastAsia="Calibri" w:hAnsi="Times New Roman" w:cs="Times New Roman"/>
          <w:iCs/>
          <w:color w:val="000000"/>
        </w:rPr>
        <w:t xml:space="preserve">tablishment of an efficient regulatory framework and consequently the </w:t>
      </w:r>
      <w:r w:rsidRPr="002A3C66">
        <w:rPr>
          <w:rFonts w:ascii="Times New Roman" w:eastAsia="Calibri" w:hAnsi="Times New Roman" w:cs="Times New Roman"/>
          <w:iCs/>
        </w:rPr>
        <w:t xml:space="preserve">Department </w:t>
      </w:r>
      <w:r w:rsidRPr="002A3C66">
        <w:rPr>
          <w:rFonts w:ascii="Times New Roman" w:eastAsia="Calibri" w:hAnsi="Times New Roman" w:cs="Times New Roman"/>
          <w:iCs/>
          <w:color w:val="000000"/>
        </w:rPr>
        <w:t>of Atomic Energy (DAE) constituted to</w:t>
      </w:r>
      <w:r w:rsidRPr="002A3C66">
        <w:rPr>
          <w:rFonts w:ascii="Times New Roman" w:eastAsia="Calibri" w:hAnsi="Times New Roman" w:cs="Times New Roman"/>
          <w:iCs/>
          <w:color w:val="FF0000"/>
        </w:rPr>
        <w:t xml:space="preserve"> </w:t>
      </w:r>
      <w:r w:rsidRPr="002A3C66">
        <w:rPr>
          <w:rFonts w:ascii="Times New Roman" w:eastAsia="Calibri" w:hAnsi="Times New Roman" w:cs="Times New Roman"/>
          <w:iCs/>
          <w:color w:val="000000"/>
        </w:rPr>
        <w:t xml:space="preserve">exercise regulatory control </w:t>
      </w:r>
      <w:r w:rsidRPr="002A3C66">
        <w:rPr>
          <w:rFonts w:ascii="Times New Roman" w:eastAsia="Calibri" w:hAnsi="Times New Roman" w:cs="Times New Roman"/>
          <w:iCs/>
        </w:rPr>
        <w:t xml:space="preserve">over the safe and secure transport of the nuclear </w:t>
      </w:r>
      <w:r w:rsidR="00124286" w:rsidRPr="002A3C66">
        <w:rPr>
          <w:rFonts w:ascii="Times New Roman" w:eastAsia="Calibri" w:hAnsi="Times New Roman" w:cs="Times New Roman"/>
          <w:iCs/>
        </w:rPr>
        <w:t xml:space="preserve">and radioactive </w:t>
      </w:r>
      <w:r w:rsidRPr="002A3C66">
        <w:rPr>
          <w:rFonts w:ascii="Times New Roman" w:eastAsia="Calibri" w:hAnsi="Times New Roman" w:cs="Times New Roman"/>
          <w:iCs/>
        </w:rPr>
        <w:t>materials.</w:t>
      </w:r>
    </w:p>
    <w:p w14:paraId="3B22FA4E" w14:textId="31312559" w:rsidR="00492D74" w:rsidRPr="00B7639C" w:rsidRDefault="00E1461C" w:rsidP="00B7639C">
      <w:pPr>
        <w:autoSpaceDE w:val="0"/>
        <w:autoSpaceDN w:val="0"/>
        <w:adjustRightInd w:val="0"/>
        <w:spacing w:before="120" w:after="120" w:line="312" w:lineRule="auto"/>
        <w:ind w:left="288" w:firstLine="432"/>
        <w:jc w:val="both"/>
        <w:rPr>
          <w:rFonts w:ascii="Times New Roman" w:eastAsia="Calibri" w:hAnsi="Times New Roman" w:cs="Times New Roman"/>
        </w:rPr>
      </w:pPr>
      <w:r w:rsidRPr="00E1461C">
        <w:rPr>
          <w:rFonts w:ascii="Times New Roman" w:eastAsia="Calibri" w:hAnsi="Times New Roman" w:cs="Times New Roman"/>
          <w:color w:val="000000"/>
        </w:rPr>
        <w:t xml:space="preserve">DAE </w:t>
      </w:r>
      <w:r w:rsidRPr="00E1461C">
        <w:rPr>
          <w:rFonts w:ascii="Times New Roman" w:eastAsia="Calibri" w:hAnsi="Times New Roman" w:cs="Times New Roman"/>
          <w:color w:val="000000"/>
        </w:rPr>
        <w:t>promulgated Atomic Energy law on 8</w:t>
      </w:r>
      <w:r w:rsidRPr="00E1461C">
        <w:rPr>
          <w:rFonts w:ascii="Times New Roman" w:eastAsia="Calibri" w:hAnsi="Times New Roman" w:cs="Times New Roman"/>
          <w:color w:val="000000"/>
          <w:vertAlign w:val="superscript"/>
        </w:rPr>
        <w:t>th</w:t>
      </w:r>
      <w:r w:rsidRPr="00E1461C">
        <w:rPr>
          <w:rFonts w:ascii="Times New Roman" w:eastAsia="Calibri" w:hAnsi="Times New Roman" w:cs="Times New Roman"/>
          <w:color w:val="000000"/>
        </w:rPr>
        <w:t xml:space="preserve"> July 1998 for safe use of radiation source in the country. It was mainly based on radiation safety and does not cover nuclear safety, nuclear security and safeguards (3S strategies).</w:t>
      </w:r>
      <w:r>
        <w:rPr>
          <w:rFonts w:ascii="Times New Roman" w:eastAsia="Calibri" w:hAnsi="Times New Roman" w:cs="Times New Roman"/>
          <w:color w:val="000000"/>
        </w:rPr>
        <w:t xml:space="preserve"> </w:t>
      </w:r>
      <w:r w:rsidR="003755D8" w:rsidRPr="00E1461C">
        <w:rPr>
          <w:rFonts w:ascii="Times New Roman" w:eastAsia="Calibri" w:hAnsi="Times New Roman" w:cs="Times New Roman"/>
        </w:rPr>
        <w:t>In</w:t>
      </w:r>
      <w:r w:rsidR="003755D8" w:rsidRPr="002A3C66">
        <w:rPr>
          <w:rFonts w:ascii="Times New Roman" w:eastAsia="Calibri" w:hAnsi="Times New Roman" w:cs="Times New Roman"/>
        </w:rPr>
        <w:t xml:space="preserve"> order to strengthen its national nuclear related legislation, DAE has just recently completed the drafting of the Myanmar Nuclear Law</w:t>
      </w:r>
      <w:r w:rsidR="00203592" w:rsidRPr="002A3C66">
        <w:rPr>
          <w:rFonts w:ascii="Times New Roman" w:eastAsia="Calibri" w:hAnsi="Times New Roman" w:cs="Times New Roman"/>
        </w:rPr>
        <w:t xml:space="preserve"> as DAE acts as </w:t>
      </w:r>
      <w:r w:rsidR="001A06D4" w:rsidRPr="002A3C66">
        <w:rPr>
          <w:rFonts w:ascii="Times New Roman" w:eastAsia="Calibri" w:hAnsi="Times New Roman" w:cs="Times New Roman"/>
        </w:rPr>
        <w:t xml:space="preserve">the </w:t>
      </w:r>
      <w:r w:rsidR="00203592" w:rsidRPr="002A3C66">
        <w:rPr>
          <w:rFonts w:ascii="Times New Roman" w:eastAsia="Calibri" w:hAnsi="Times New Roman" w:cs="Times New Roman"/>
        </w:rPr>
        <w:t xml:space="preserve">regulatory body </w:t>
      </w:r>
      <w:r w:rsidR="001A06D4" w:rsidRPr="002A3C66">
        <w:rPr>
          <w:rFonts w:ascii="Times New Roman" w:eastAsia="Calibri" w:hAnsi="Times New Roman" w:cs="Times New Roman"/>
        </w:rPr>
        <w:t xml:space="preserve">under the atomic </w:t>
      </w:r>
      <w:r w:rsidR="008F1380" w:rsidRPr="002A3C66">
        <w:rPr>
          <w:rFonts w:ascii="Times New Roman" w:eastAsia="Calibri" w:hAnsi="Times New Roman" w:cs="Times New Roman"/>
        </w:rPr>
        <w:t>e</w:t>
      </w:r>
      <w:r w:rsidR="001A06D4" w:rsidRPr="002A3C66">
        <w:rPr>
          <w:rFonts w:ascii="Times New Roman" w:eastAsia="Calibri" w:hAnsi="Times New Roman" w:cs="Times New Roman"/>
        </w:rPr>
        <w:t>nergy law and is responsible for all as</w:t>
      </w:r>
      <w:r w:rsidR="00561F44" w:rsidRPr="002A3C66">
        <w:rPr>
          <w:rFonts w:ascii="Times New Roman" w:eastAsia="Calibri" w:hAnsi="Times New Roman" w:cs="Times New Roman"/>
        </w:rPr>
        <w:t>p</w:t>
      </w:r>
      <w:r w:rsidR="001A06D4" w:rsidRPr="002A3C66">
        <w:rPr>
          <w:rFonts w:ascii="Times New Roman" w:eastAsia="Calibri" w:hAnsi="Times New Roman" w:cs="Times New Roman"/>
        </w:rPr>
        <w:t>ects for control, security and safe management of radioactive materials used in Myan</w:t>
      </w:r>
      <w:r w:rsidR="0019162D" w:rsidRPr="002A3C66">
        <w:rPr>
          <w:rFonts w:ascii="Times New Roman" w:eastAsia="Calibri" w:hAnsi="Times New Roman" w:cs="Times New Roman"/>
        </w:rPr>
        <w:t>mar.</w:t>
      </w:r>
      <w:r w:rsidR="003755D8" w:rsidRPr="002A3C66">
        <w:rPr>
          <w:rFonts w:ascii="Times New Roman" w:hAnsi="Times New Roman" w:cs="Times New Roman"/>
        </w:rPr>
        <w:t>[</w:t>
      </w:r>
      <w:r w:rsidR="001A06D4" w:rsidRPr="002A3C66">
        <w:rPr>
          <w:rFonts w:ascii="Times New Roman" w:hAnsi="Times New Roman" w:cs="Times New Roman"/>
        </w:rPr>
        <w:t>1</w:t>
      </w:r>
      <w:r w:rsidR="003755D8" w:rsidRPr="002A3C66">
        <w:rPr>
          <w:rFonts w:ascii="Times New Roman" w:hAnsi="Times New Roman" w:cs="Times New Roman"/>
        </w:rPr>
        <w:t>]</w:t>
      </w:r>
      <w:r w:rsidR="00F66B7C" w:rsidRPr="002A3C66">
        <w:rPr>
          <w:rFonts w:ascii="Times New Roman" w:hAnsi="Times New Roman" w:cs="Times New Roman"/>
        </w:rPr>
        <w:t xml:space="preserve"> </w:t>
      </w:r>
    </w:p>
    <w:p w14:paraId="22781BF3" w14:textId="458F4DA1" w:rsidR="00746B21" w:rsidRPr="002A3C66" w:rsidRDefault="00203592" w:rsidP="002A3C66">
      <w:pPr>
        <w:pStyle w:val="ListParagraph"/>
        <w:spacing w:before="120" w:after="120" w:line="312" w:lineRule="auto"/>
        <w:ind w:left="288" w:firstLine="432"/>
        <w:jc w:val="both"/>
        <w:rPr>
          <w:color w:val="000000" w:themeColor="text1"/>
          <w:sz w:val="22"/>
          <w:szCs w:val="22"/>
        </w:rPr>
      </w:pPr>
      <w:r w:rsidRPr="002A3C66">
        <w:rPr>
          <w:sz w:val="22"/>
          <w:szCs w:val="22"/>
        </w:rPr>
        <w:t xml:space="preserve">In Myanmar, </w:t>
      </w:r>
      <w:r w:rsidR="006E0B68" w:rsidRPr="002A3C66">
        <w:rPr>
          <w:sz w:val="22"/>
          <w:szCs w:val="22"/>
        </w:rPr>
        <w:t xml:space="preserve">Users of radiation sources </w:t>
      </w:r>
      <w:r w:rsidR="00920A0F" w:rsidRPr="002A3C66">
        <w:rPr>
          <w:sz w:val="22"/>
          <w:szCs w:val="22"/>
        </w:rPr>
        <w:t>must</w:t>
      </w:r>
      <w:r w:rsidR="006E0B68" w:rsidRPr="002A3C66">
        <w:rPr>
          <w:sz w:val="22"/>
          <w:szCs w:val="22"/>
        </w:rPr>
        <w:t xml:space="preserve"> submit storage design and emergency procedu</w:t>
      </w:r>
      <w:r w:rsidR="00EF4F80" w:rsidRPr="002A3C66">
        <w:rPr>
          <w:sz w:val="22"/>
          <w:szCs w:val="22"/>
        </w:rPr>
        <w:t xml:space="preserve">res when they apply for </w:t>
      </w:r>
      <w:proofErr w:type="spellStart"/>
      <w:r w:rsidR="00EF4F80" w:rsidRPr="002A3C66">
        <w:rPr>
          <w:sz w:val="22"/>
          <w:szCs w:val="22"/>
        </w:rPr>
        <w:t>licence</w:t>
      </w:r>
      <w:proofErr w:type="spellEnd"/>
      <w:r w:rsidR="00EF4F80" w:rsidRPr="002A3C66">
        <w:rPr>
          <w:sz w:val="22"/>
          <w:szCs w:val="22"/>
        </w:rPr>
        <w:t xml:space="preserve"> and also transporters needs permission from inspectors of DAE to get transport certificate.</w:t>
      </w:r>
      <w:r w:rsidR="00A52F32" w:rsidRPr="002A3C66">
        <w:rPr>
          <w:color w:val="000000" w:themeColor="text1"/>
          <w:sz w:val="22"/>
          <w:szCs w:val="22"/>
        </w:rPr>
        <w:t>[2]</w:t>
      </w:r>
      <w:r w:rsidR="00746B21" w:rsidRPr="002A3C66">
        <w:rPr>
          <w:sz w:val="22"/>
          <w:szCs w:val="22"/>
        </w:rPr>
        <w:t xml:space="preserve"> All the radioactive sources are registered and sources having activity above the exemption levels are licensed both for safety and security point of view.</w:t>
      </w:r>
      <w:r w:rsidR="00DD426B" w:rsidRPr="002A3C66">
        <w:rPr>
          <w:color w:val="000000" w:themeColor="text1"/>
          <w:sz w:val="22"/>
          <w:szCs w:val="22"/>
        </w:rPr>
        <w:t xml:space="preserve"> </w:t>
      </w:r>
      <w:r w:rsidR="00843E08" w:rsidRPr="002A3C66">
        <w:rPr>
          <w:bCs/>
          <w:color w:val="000000" w:themeColor="text1"/>
          <w:sz w:val="22"/>
          <w:szCs w:val="22"/>
        </w:rPr>
        <w:t>DAE is using Regulatory Authority Information System (RAIS) since 1998</w:t>
      </w:r>
      <w:r w:rsidR="00843E08" w:rsidRPr="002A3C66">
        <w:rPr>
          <w:color w:val="000000" w:themeColor="text1"/>
          <w:sz w:val="22"/>
          <w:szCs w:val="22"/>
        </w:rPr>
        <w:t xml:space="preserve"> and now using RAIS 3.3</w:t>
      </w:r>
      <w:proofErr w:type="gramStart"/>
      <w:r w:rsidR="00843E08" w:rsidRPr="002A3C66">
        <w:rPr>
          <w:color w:val="000000" w:themeColor="text1"/>
          <w:sz w:val="22"/>
          <w:szCs w:val="22"/>
        </w:rPr>
        <w:t>.</w:t>
      </w:r>
      <w:r w:rsidR="00A52F32" w:rsidRPr="002A3C66">
        <w:rPr>
          <w:color w:val="000000" w:themeColor="text1"/>
          <w:sz w:val="22"/>
          <w:szCs w:val="22"/>
        </w:rPr>
        <w:t>[</w:t>
      </w:r>
      <w:proofErr w:type="gramEnd"/>
      <w:r w:rsidR="00A52F32" w:rsidRPr="002A3C66">
        <w:rPr>
          <w:color w:val="000000" w:themeColor="text1"/>
          <w:sz w:val="22"/>
          <w:szCs w:val="22"/>
        </w:rPr>
        <w:t>3]</w:t>
      </w:r>
    </w:p>
    <w:p w14:paraId="5D2198C4" w14:textId="03AA1200" w:rsidR="00843E08" w:rsidRPr="002A3C66" w:rsidRDefault="006E0B68" w:rsidP="002A3C66">
      <w:pPr>
        <w:pStyle w:val="ListParagraph"/>
        <w:spacing w:before="120" w:after="120" w:line="312" w:lineRule="auto"/>
        <w:ind w:left="288" w:firstLine="432"/>
        <w:jc w:val="both"/>
        <w:rPr>
          <w:bCs/>
          <w:iCs/>
          <w:color w:val="000000" w:themeColor="text1"/>
          <w:sz w:val="22"/>
          <w:szCs w:val="22"/>
          <w:lang w:val="en-GB"/>
        </w:rPr>
      </w:pPr>
      <w:r w:rsidRPr="002A3C66">
        <w:rPr>
          <w:color w:val="000000" w:themeColor="text1"/>
          <w:sz w:val="22"/>
          <w:szCs w:val="22"/>
        </w:rPr>
        <w:t>Inspectors from DAE are implementing safety</w:t>
      </w:r>
      <w:r w:rsidR="00746B21" w:rsidRPr="002A3C66">
        <w:rPr>
          <w:color w:val="000000" w:themeColor="text1"/>
          <w:sz w:val="22"/>
          <w:szCs w:val="22"/>
        </w:rPr>
        <w:t xml:space="preserve"> and security </w:t>
      </w:r>
      <w:r w:rsidR="00227375" w:rsidRPr="002A3C66">
        <w:rPr>
          <w:color w:val="000000" w:themeColor="text1"/>
          <w:sz w:val="22"/>
          <w:szCs w:val="22"/>
        </w:rPr>
        <w:t>culture in every practices and</w:t>
      </w:r>
      <w:r w:rsidRPr="002A3C66">
        <w:rPr>
          <w:color w:val="000000" w:themeColor="text1"/>
          <w:sz w:val="22"/>
          <w:szCs w:val="22"/>
        </w:rPr>
        <w:t xml:space="preserve"> </w:t>
      </w:r>
      <w:r w:rsidR="00682310" w:rsidRPr="002A3C66">
        <w:rPr>
          <w:color w:val="000000" w:themeColor="text1"/>
          <w:sz w:val="22"/>
          <w:szCs w:val="22"/>
        </w:rPr>
        <w:t xml:space="preserve">transport of radioactive sources </w:t>
      </w:r>
      <w:r w:rsidRPr="002A3C66">
        <w:rPr>
          <w:color w:val="000000" w:themeColor="text1"/>
          <w:sz w:val="22"/>
          <w:szCs w:val="22"/>
        </w:rPr>
        <w:t>which they inspect.</w:t>
      </w:r>
      <w:r w:rsidR="00405A64" w:rsidRPr="002A3C66">
        <w:rPr>
          <w:color w:val="000000" w:themeColor="text1"/>
          <w:sz w:val="22"/>
          <w:szCs w:val="22"/>
        </w:rPr>
        <w:t xml:space="preserve"> </w:t>
      </w:r>
      <w:r w:rsidRPr="002A3C66">
        <w:rPr>
          <w:color w:val="000000" w:themeColor="text1"/>
          <w:sz w:val="22"/>
          <w:szCs w:val="22"/>
        </w:rPr>
        <w:t xml:space="preserve">Their safety </w:t>
      </w:r>
      <w:r w:rsidR="00746B21" w:rsidRPr="002A3C66">
        <w:rPr>
          <w:color w:val="000000" w:themeColor="text1"/>
          <w:sz w:val="22"/>
          <w:szCs w:val="22"/>
        </w:rPr>
        <w:t xml:space="preserve">and security </w:t>
      </w:r>
      <w:r w:rsidRPr="002A3C66">
        <w:rPr>
          <w:color w:val="000000" w:themeColor="text1"/>
          <w:sz w:val="22"/>
          <w:szCs w:val="22"/>
        </w:rPr>
        <w:t>points are for</w:t>
      </w:r>
      <w:r w:rsidR="00682310" w:rsidRPr="002A3C66">
        <w:rPr>
          <w:color w:val="000000" w:themeColor="text1"/>
          <w:sz w:val="22"/>
          <w:szCs w:val="22"/>
        </w:rPr>
        <w:t xml:space="preserve"> </w:t>
      </w:r>
      <w:r w:rsidR="00843E08" w:rsidRPr="002A3C66">
        <w:rPr>
          <w:color w:val="000000" w:themeColor="text1"/>
          <w:sz w:val="22"/>
          <w:szCs w:val="22"/>
        </w:rPr>
        <w:t>carriers</w:t>
      </w:r>
      <w:r w:rsidR="00682310" w:rsidRPr="002A3C66">
        <w:rPr>
          <w:color w:val="000000" w:themeColor="text1"/>
          <w:sz w:val="22"/>
          <w:szCs w:val="22"/>
        </w:rPr>
        <w:t>,</w:t>
      </w:r>
      <w:r w:rsidRPr="002A3C66">
        <w:rPr>
          <w:color w:val="000000" w:themeColor="text1"/>
          <w:sz w:val="22"/>
          <w:szCs w:val="22"/>
        </w:rPr>
        <w:t xml:space="preserve"> radiation workers, public and environment.</w:t>
      </w:r>
      <w:r w:rsidR="00405A64" w:rsidRPr="002A3C66">
        <w:rPr>
          <w:color w:val="000000" w:themeColor="text1"/>
          <w:sz w:val="22"/>
          <w:szCs w:val="22"/>
        </w:rPr>
        <w:t xml:space="preserve"> </w:t>
      </w:r>
      <w:r w:rsidRPr="002A3C66">
        <w:rPr>
          <w:color w:val="000000" w:themeColor="text1"/>
          <w:sz w:val="22"/>
          <w:szCs w:val="22"/>
        </w:rPr>
        <w:t xml:space="preserve">They measured the radiation levels </w:t>
      </w:r>
      <w:r w:rsidR="00682310" w:rsidRPr="002A3C66">
        <w:rPr>
          <w:color w:val="000000" w:themeColor="text1"/>
          <w:sz w:val="22"/>
          <w:szCs w:val="22"/>
        </w:rPr>
        <w:t xml:space="preserve">around the radioactive sources transport vehicles </w:t>
      </w:r>
      <w:r w:rsidRPr="002A3C66">
        <w:rPr>
          <w:color w:val="000000" w:themeColor="text1"/>
          <w:sz w:val="22"/>
          <w:szCs w:val="22"/>
        </w:rPr>
        <w:t xml:space="preserve">with instruments provided by </w:t>
      </w:r>
      <w:r w:rsidR="00606FA3" w:rsidRPr="002A3C66">
        <w:rPr>
          <w:color w:val="000000" w:themeColor="text1"/>
          <w:sz w:val="22"/>
          <w:szCs w:val="22"/>
        </w:rPr>
        <w:t>International Atomic Energy Agency (</w:t>
      </w:r>
      <w:r w:rsidR="008F1380" w:rsidRPr="002A3C66">
        <w:rPr>
          <w:color w:val="000000" w:themeColor="text1"/>
          <w:sz w:val="22"/>
          <w:szCs w:val="22"/>
        </w:rPr>
        <w:t>IAEA)</w:t>
      </w:r>
      <w:r w:rsidR="00843E08" w:rsidRPr="002A3C66">
        <w:rPr>
          <w:color w:val="000000" w:themeColor="text1"/>
          <w:sz w:val="22"/>
          <w:szCs w:val="22"/>
        </w:rPr>
        <w:t xml:space="preserve"> and </w:t>
      </w:r>
      <w:r w:rsidR="005860C2" w:rsidRPr="002A3C66">
        <w:rPr>
          <w:color w:val="000000" w:themeColor="text1"/>
          <w:sz w:val="22"/>
          <w:szCs w:val="22"/>
        </w:rPr>
        <w:t>United States Department of Energy (</w:t>
      </w:r>
      <w:r w:rsidR="00843E08" w:rsidRPr="002A3C66">
        <w:rPr>
          <w:color w:val="000000" w:themeColor="text1"/>
          <w:sz w:val="22"/>
          <w:szCs w:val="22"/>
        </w:rPr>
        <w:t>USDOE</w:t>
      </w:r>
      <w:r w:rsidR="005860C2" w:rsidRPr="002A3C66">
        <w:rPr>
          <w:color w:val="000000" w:themeColor="text1"/>
          <w:sz w:val="22"/>
          <w:szCs w:val="22"/>
        </w:rPr>
        <w:t xml:space="preserve">) </w:t>
      </w:r>
      <w:r w:rsidRPr="002A3C66">
        <w:rPr>
          <w:color w:val="000000" w:themeColor="text1"/>
          <w:sz w:val="22"/>
          <w:szCs w:val="22"/>
        </w:rPr>
        <w:t xml:space="preserve">to ensure the safety </w:t>
      </w:r>
      <w:r w:rsidR="00EF4F80" w:rsidRPr="002A3C66">
        <w:rPr>
          <w:color w:val="000000" w:themeColor="text1"/>
          <w:sz w:val="22"/>
          <w:szCs w:val="22"/>
        </w:rPr>
        <w:t>for the vehicle crew and public</w:t>
      </w:r>
      <w:r w:rsidRPr="002A3C66">
        <w:rPr>
          <w:color w:val="000000" w:themeColor="text1"/>
          <w:sz w:val="22"/>
          <w:szCs w:val="22"/>
        </w:rPr>
        <w:t>.</w:t>
      </w:r>
      <w:r w:rsidR="00843E08" w:rsidRPr="002A3C66">
        <w:rPr>
          <w:bCs/>
          <w:iCs/>
          <w:color w:val="000000" w:themeColor="text1"/>
          <w:sz w:val="22"/>
          <w:szCs w:val="22"/>
          <w:lang w:val="en-GB"/>
        </w:rPr>
        <w:t xml:space="preserve"> Ministry of Health and Sport is producing </w:t>
      </w:r>
      <w:r w:rsidR="008F1380" w:rsidRPr="002A3C66">
        <w:rPr>
          <w:bCs/>
          <w:iCs/>
          <w:color w:val="000000" w:themeColor="text1"/>
          <w:sz w:val="22"/>
          <w:szCs w:val="22"/>
          <w:lang w:val="en-GB"/>
        </w:rPr>
        <w:t>and sharing</w:t>
      </w:r>
      <w:r w:rsidR="00843E08" w:rsidRPr="002A3C66">
        <w:rPr>
          <w:bCs/>
          <w:iCs/>
          <w:color w:val="000000" w:themeColor="text1"/>
          <w:sz w:val="22"/>
          <w:szCs w:val="22"/>
          <w:lang w:val="en-GB"/>
        </w:rPr>
        <w:t xml:space="preserve"> some</w:t>
      </w:r>
      <w:r w:rsidR="008F1380" w:rsidRPr="002A3C66">
        <w:rPr>
          <w:bCs/>
          <w:iCs/>
          <w:color w:val="000000" w:themeColor="text1"/>
          <w:sz w:val="22"/>
          <w:szCs w:val="22"/>
          <w:lang w:val="en-GB"/>
        </w:rPr>
        <w:t xml:space="preserve"> part</w:t>
      </w:r>
      <w:r w:rsidR="00843E08" w:rsidRPr="002A3C66">
        <w:rPr>
          <w:bCs/>
          <w:iCs/>
          <w:color w:val="000000" w:themeColor="text1"/>
          <w:sz w:val="22"/>
          <w:szCs w:val="22"/>
          <w:lang w:val="en-GB"/>
        </w:rPr>
        <w:t xml:space="preserve"> of </w:t>
      </w:r>
      <w:r w:rsidR="008F1380" w:rsidRPr="002A3C66">
        <w:rPr>
          <w:bCs/>
          <w:iCs/>
          <w:color w:val="000000" w:themeColor="text1"/>
          <w:sz w:val="22"/>
          <w:szCs w:val="22"/>
          <w:lang w:val="en-GB"/>
        </w:rPr>
        <w:t xml:space="preserve">short half-life radioisotopes from its cyclotron </w:t>
      </w:r>
      <w:r w:rsidR="00843E08" w:rsidRPr="002A3C66">
        <w:rPr>
          <w:bCs/>
          <w:iCs/>
          <w:color w:val="000000" w:themeColor="text1"/>
          <w:sz w:val="22"/>
          <w:szCs w:val="22"/>
          <w:lang w:val="en-GB"/>
        </w:rPr>
        <w:t xml:space="preserve">to private hospitals by using </w:t>
      </w:r>
      <w:r w:rsidR="002B67E4" w:rsidRPr="002A3C66">
        <w:rPr>
          <w:bCs/>
          <w:iCs/>
          <w:color w:val="000000" w:themeColor="text1"/>
          <w:sz w:val="22"/>
          <w:szCs w:val="22"/>
          <w:lang w:val="en-GB"/>
        </w:rPr>
        <w:t>modified</w:t>
      </w:r>
      <w:r w:rsidR="00843E08" w:rsidRPr="002A3C66">
        <w:rPr>
          <w:bCs/>
          <w:iCs/>
          <w:color w:val="000000" w:themeColor="text1"/>
          <w:sz w:val="22"/>
          <w:szCs w:val="22"/>
          <w:lang w:val="en-GB"/>
        </w:rPr>
        <w:t xml:space="preserve"> transport vehicle with radiation shields around transport package. </w:t>
      </w:r>
    </w:p>
    <w:p w14:paraId="3DD92CBC" w14:textId="60B42A64" w:rsidR="007233C9" w:rsidRPr="002A3C66" w:rsidRDefault="00115DB6" w:rsidP="002A3C66">
      <w:pPr>
        <w:pStyle w:val="ListParagraph"/>
        <w:spacing w:before="120" w:after="120" w:line="312" w:lineRule="auto"/>
        <w:ind w:left="288" w:firstLine="432"/>
        <w:jc w:val="both"/>
        <w:rPr>
          <w:sz w:val="22"/>
          <w:szCs w:val="22"/>
        </w:rPr>
      </w:pPr>
      <w:proofErr w:type="gramStart"/>
      <w:r w:rsidRPr="002A3C66">
        <w:rPr>
          <w:sz w:val="22"/>
          <w:szCs w:val="22"/>
        </w:rPr>
        <w:t>Challenges i</w:t>
      </w:r>
      <w:r w:rsidR="00EF4F80" w:rsidRPr="002A3C66">
        <w:rPr>
          <w:sz w:val="22"/>
          <w:szCs w:val="22"/>
        </w:rPr>
        <w:t>n Myanmar</w:t>
      </w:r>
      <w:r w:rsidRPr="002A3C66">
        <w:rPr>
          <w:sz w:val="22"/>
          <w:szCs w:val="22"/>
        </w:rPr>
        <w:t xml:space="preserve"> is</w:t>
      </w:r>
      <w:proofErr w:type="gramEnd"/>
      <w:r w:rsidRPr="002A3C66">
        <w:rPr>
          <w:sz w:val="22"/>
          <w:szCs w:val="22"/>
        </w:rPr>
        <w:t xml:space="preserve"> </w:t>
      </w:r>
      <w:r w:rsidR="00EF4F80" w:rsidRPr="002A3C66">
        <w:rPr>
          <w:sz w:val="22"/>
          <w:szCs w:val="22"/>
        </w:rPr>
        <w:t>well developed and implemented safety</w:t>
      </w:r>
      <w:r w:rsidR="00843E08" w:rsidRPr="002A3C66">
        <w:rPr>
          <w:sz w:val="22"/>
          <w:szCs w:val="22"/>
        </w:rPr>
        <w:t xml:space="preserve"> and security</w:t>
      </w:r>
      <w:r w:rsidR="00EF4F80" w:rsidRPr="002A3C66">
        <w:rPr>
          <w:sz w:val="22"/>
          <w:szCs w:val="22"/>
        </w:rPr>
        <w:t xml:space="preserve"> culture is essential. To achieve that, DAE in collaboration with stakeholders, has been conducting workshops and trainings to exchange information, knowledge of radiation safety, experience and good practices on the system of radiation protection at the national level and regional levels with the help of IAEA and other </w:t>
      </w:r>
      <w:r w:rsidR="00405A64" w:rsidRPr="002A3C66">
        <w:rPr>
          <w:sz w:val="22"/>
          <w:szCs w:val="22"/>
        </w:rPr>
        <w:t>international organization</w:t>
      </w:r>
      <w:r w:rsidR="00EF4F80" w:rsidRPr="002A3C66">
        <w:rPr>
          <w:sz w:val="22"/>
          <w:szCs w:val="22"/>
        </w:rPr>
        <w:t xml:space="preserve">. </w:t>
      </w:r>
    </w:p>
    <w:p w14:paraId="361AA11F" w14:textId="41CFBA01" w:rsidR="00C748E0" w:rsidRPr="002A3C66" w:rsidRDefault="006E6D79" w:rsidP="002A3C66">
      <w:pPr>
        <w:pStyle w:val="ListParagraph"/>
        <w:spacing w:before="120" w:after="120" w:line="312" w:lineRule="auto"/>
        <w:ind w:left="288" w:firstLine="547"/>
        <w:jc w:val="both"/>
        <w:rPr>
          <w:sz w:val="22"/>
          <w:szCs w:val="22"/>
        </w:rPr>
      </w:pPr>
      <w:r w:rsidRPr="002A3C66">
        <w:rPr>
          <w:sz w:val="22"/>
          <w:szCs w:val="22"/>
        </w:rPr>
        <w:lastRenderedPageBreak/>
        <w:t xml:space="preserve">IAEA is providing assistance to Myanmar </w:t>
      </w:r>
      <w:r w:rsidR="00C748E0" w:rsidRPr="002A3C66">
        <w:rPr>
          <w:sz w:val="22"/>
          <w:szCs w:val="22"/>
        </w:rPr>
        <w:t>by giving appropriate trainings for inspection of specific practices and also support new instruments for inspections such as neutron detectors to inspect linear accelerators</w:t>
      </w:r>
      <w:r w:rsidR="00D4331E" w:rsidRPr="002A3C66">
        <w:rPr>
          <w:sz w:val="22"/>
          <w:szCs w:val="22"/>
        </w:rPr>
        <w:t xml:space="preserve"> and other neutron producing facilities</w:t>
      </w:r>
      <w:r w:rsidR="00C748E0" w:rsidRPr="002A3C66">
        <w:rPr>
          <w:sz w:val="22"/>
          <w:szCs w:val="22"/>
        </w:rPr>
        <w:t>.</w:t>
      </w:r>
      <w:r w:rsidR="006A55A5" w:rsidRPr="002A3C66">
        <w:rPr>
          <w:sz w:val="22"/>
          <w:szCs w:val="22"/>
        </w:rPr>
        <w:t xml:space="preserve"> </w:t>
      </w:r>
      <w:r w:rsidR="005860C2" w:rsidRPr="002A3C66">
        <w:rPr>
          <w:sz w:val="22"/>
          <w:szCs w:val="22"/>
        </w:rPr>
        <w:t xml:space="preserve">The </w:t>
      </w:r>
      <w:r w:rsidR="006A55A5" w:rsidRPr="002A3C66">
        <w:rPr>
          <w:sz w:val="22"/>
          <w:szCs w:val="22"/>
        </w:rPr>
        <w:t>DAE is also trying to strengthen its human resource</w:t>
      </w:r>
      <w:r w:rsidR="00606FA3" w:rsidRPr="002A3C66">
        <w:rPr>
          <w:sz w:val="22"/>
          <w:szCs w:val="22"/>
        </w:rPr>
        <w:t>s</w:t>
      </w:r>
      <w:r w:rsidR="006A55A5" w:rsidRPr="002A3C66">
        <w:rPr>
          <w:sz w:val="22"/>
          <w:szCs w:val="22"/>
        </w:rPr>
        <w:t xml:space="preserve"> by recruiting new staffs to enhance the ability of performing the necessary activities in safety and security of radioactive sources and nuclear materials more effectively.</w:t>
      </w:r>
      <w:r w:rsidR="00A52F32" w:rsidRPr="002A3C66">
        <w:rPr>
          <w:color w:val="000000" w:themeColor="text1"/>
          <w:sz w:val="22"/>
          <w:szCs w:val="22"/>
        </w:rPr>
        <w:t xml:space="preserve"> DAE is also planning to conduct radiation protection officer (RPO) training.</w:t>
      </w:r>
    </w:p>
    <w:p w14:paraId="16095468" w14:textId="1247805D" w:rsidR="00D4331E" w:rsidRPr="002A3C66" w:rsidRDefault="00D4331E" w:rsidP="002A3C66">
      <w:pPr>
        <w:pStyle w:val="Default"/>
        <w:spacing w:before="120" w:after="120" w:line="312" w:lineRule="auto"/>
        <w:ind w:left="288" w:firstLine="547"/>
        <w:jc w:val="both"/>
        <w:rPr>
          <w:color w:val="auto"/>
          <w:sz w:val="22"/>
          <w:szCs w:val="22"/>
        </w:rPr>
      </w:pPr>
      <w:r w:rsidRPr="002A3C66">
        <w:rPr>
          <w:color w:val="auto"/>
          <w:sz w:val="22"/>
          <w:szCs w:val="22"/>
        </w:rPr>
        <w:t xml:space="preserve">This paper will present an overview of the Legislative and Regulatory Framework for Safe and Secure Transport to fulfill the demands of radiation and nuclear safety in various sectors in Myanmar. </w:t>
      </w:r>
      <w:r w:rsidR="00791AF7" w:rsidRPr="002A3C66">
        <w:rPr>
          <w:color w:val="auto"/>
          <w:sz w:val="22"/>
          <w:szCs w:val="22"/>
        </w:rPr>
        <w:t xml:space="preserve">With the support of IAEA and other developed member states, </w:t>
      </w:r>
      <w:r w:rsidR="00791AF7" w:rsidRPr="002A3C66">
        <w:rPr>
          <w:rFonts w:eastAsia="Times New Roman"/>
          <w:color w:val="auto"/>
          <w:sz w:val="22"/>
          <w:szCs w:val="22"/>
        </w:rPr>
        <w:t>Myanmar is looking ahead to working with emerging technologies and innovative graded approaches.</w:t>
      </w:r>
      <w:bookmarkStart w:id="0" w:name="_GoBack"/>
      <w:bookmarkEnd w:id="0"/>
    </w:p>
    <w:p w14:paraId="508F1F23" w14:textId="77777777" w:rsidR="003755D8" w:rsidRDefault="003755D8" w:rsidP="003755D8">
      <w:pPr>
        <w:spacing w:after="0" w:line="240" w:lineRule="auto"/>
        <w:ind w:left="630"/>
        <w:jc w:val="both"/>
        <w:rPr>
          <w:rFonts w:ascii="Times New Roman" w:hAnsi="Times New Roman" w:cs="Times New Roman"/>
          <w:sz w:val="20"/>
          <w:szCs w:val="20"/>
        </w:rPr>
      </w:pPr>
    </w:p>
    <w:p w14:paraId="1DAA630D" w14:textId="77777777" w:rsidR="00D4331E" w:rsidRDefault="00D4331E" w:rsidP="00D4331E">
      <w:pPr>
        <w:tabs>
          <w:tab w:val="left" w:pos="709"/>
        </w:tabs>
        <w:spacing w:after="0"/>
        <w:ind w:left="567" w:right="57"/>
        <w:jc w:val="center"/>
        <w:rPr>
          <w:rFonts w:ascii="Times New Roman" w:hAnsi="Times New Roman"/>
          <w:b/>
          <w:sz w:val="20"/>
          <w:szCs w:val="20"/>
        </w:rPr>
      </w:pPr>
      <w:r>
        <w:rPr>
          <w:rFonts w:ascii="Times New Roman" w:hAnsi="Times New Roman"/>
          <w:b/>
          <w:sz w:val="20"/>
          <w:szCs w:val="20"/>
        </w:rPr>
        <w:t>REFERENCES</w:t>
      </w:r>
    </w:p>
    <w:p w14:paraId="6FC46F00" w14:textId="77777777" w:rsidR="00BD7724" w:rsidRDefault="00BD7724" w:rsidP="00D4331E">
      <w:pPr>
        <w:tabs>
          <w:tab w:val="left" w:pos="709"/>
        </w:tabs>
        <w:spacing w:after="0"/>
        <w:ind w:left="567" w:right="57"/>
        <w:jc w:val="center"/>
        <w:rPr>
          <w:rFonts w:ascii="Times New Roman" w:hAnsi="Times New Roman"/>
          <w:b/>
          <w:sz w:val="20"/>
          <w:szCs w:val="20"/>
        </w:rPr>
      </w:pPr>
    </w:p>
    <w:p w14:paraId="3970DBE8" w14:textId="2C018FD6" w:rsidR="001A06D4" w:rsidRDefault="00BD7724" w:rsidP="00555F02">
      <w:pPr>
        <w:autoSpaceDE w:val="0"/>
        <w:autoSpaceDN w:val="0"/>
        <w:adjustRightInd w:val="0"/>
        <w:spacing w:line="360" w:lineRule="auto"/>
        <w:ind w:left="900" w:hanging="270"/>
        <w:jc w:val="both"/>
        <w:rPr>
          <w:rFonts w:ascii="Times New Roman" w:hAnsi="Times New Roman"/>
          <w:sz w:val="18"/>
          <w:szCs w:val="18"/>
        </w:rPr>
      </w:pPr>
      <w:r>
        <w:rPr>
          <w:rFonts w:ascii="Times New Roman" w:hAnsi="Times New Roman"/>
          <w:sz w:val="18"/>
          <w:szCs w:val="18"/>
        </w:rPr>
        <w:t xml:space="preserve">[1] </w:t>
      </w:r>
      <w:proofErr w:type="spellStart"/>
      <w:r w:rsidR="001A06D4">
        <w:rPr>
          <w:rFonts w:ascii="Times New Roman" w:hAnsi="Times New Roman"/>
          <w:sz w:val="18"/>
          <w:szCs w:val="18"/>
        </w:rPr>
        <w:t>Tun</w:t>
      </w:r>
      <w:proofErr w:type="spellEnd"/>
      <w:r w:rsidR="001A06D4">
        <w:rPr>
          <w:rFonts w:ascii="Times New Roman" w:hAnsi="Times New Roman"/>
          <w:sz w:val="18"/>
          <w:szCs w:val="18"/>
        </w:rPr>
        <w:t xml:space="preserve">, </w:t>
      </w:r>
      <w:proofErr w:type="spellStart"/>
      <w:r w:rsidR="001A06D4">
        <w:rPr>
          <w:rFonts w:ascii="Times New Roman" w:hAnsi="Times New Roman"/>
          <w:sz w:val="18"/>
          <w:szCs w:val="18"/>
        </w:rPr>
        <w:t>Khin</w:t>
      </w:r>
      <w:proofErr w:type="spellEnd"/>
      <w:r w:rsidR="001A06D4">
        <w:rPr>
          <w:rFonts w:ascii="Times New Roman" w:hAnsi="Times New Roman"/>
          <w:sz w:val="18"/>
          <w:szCs w:val="18"/>
        </w:rPr>
        <w:t xml:space="preserve"> Pa Pa</w:t>
      </w:r>
      <w:r w:rsidR="001A06D4">
        <w:rPr>
          <w:rFonts w:ascii="Times New Roman" w:hAnsi="Times New Roman"/>
          <w:sz w:val="18"/>
          <w:szCs w:val="18"/>
          <w:vertAlign w:val="superscript"/>
        </w:rPr>
        <w:t>1</w:t>
      </w:r>
      <w:r w:rsidR="001A06D4">
        <w:rPr>
          <w:rFonts w:ascii="Times New Roman" w:hAnsi="Times New Roman"/>
          <w:sz w:val="18"/>
          <w:szCs w:val="18"/>
        </w:rPr>
        <w:t xml:space="preserve">, </w:t>
      </w:r>
      <w:proofErr w:type="spellStart"/>
      <w:r w:rsidR="001A06D4">
        <w:rPr>
          <w:rFonts w:ascii="Times New Roman" w:hAnsi="Times New Roman"/>
          <w:sz w:val="18"/>
          <w:szCs w:val="18"/>
        </w:rPr>
        <w:t>Aung</w:t>
      </w:r>
      <w:proofErr w:type="spellEnd"/>
      <w:r w:rsidR="001A06D4">
        <w:rPr>
          <w:rFonts w:ascii="Times New Roman" w:hAnsi="Times New Roman"/>
          <w:sz w:val="18"/>
          <w:szCs w:val="18"/>
        </w:rPr>
        <w:t xml:space="preserve"> Min Pho </w:t>
      </w:r>
      <w:r w:rsidR="001A06D4">
        <w:rPr>
          <w:rFonts w:ascii="Times New Roman" w:hAnsi="Times New Roman"/>
          <w:sz w:val="18"/>
          <w:szCs w:val="18"/>
          <w:lang w:bidi="my-MM"/>
        </w:rPr>
        <w:t>Saw</w:t>
      </w:r>
      <w:r w:rsidR="001A06D4">
        <w:rPr>
          <w:rFonts w:ascii="Times New Roman" w:hAnsi="Times New Roman"/>
          <w:sz w:val="18"/>
          <w:szCs w:val="18"/>
          <w:vertAlign w:val="superscript"/>
          <w:lang w:bidi="my-MM"/>
        </w:rPr>
        <w:t>2</w:t>
      </w:r>
      <w:r w:rsidR="001A06D4">
        <w:rPr>
          <w:rFonts w:ascii="Times New Roman" w:hAnsi="Times New Roman"/>
          <w:sz w:val="18"/>
          <w:szCs w:val="18"/>
        </w:rPr>
        <w:t>, “Strengthening Effectiveness of Regulatory System in Myanmar- Promoting and Maintaining Regulatory Infrastructure for the Control of Radiation Sources”, International Conference on Effective Nuclear and Radiation Regulatory Systems: Working Together to Enhance Cooperation, 4-7 Nov 2019, The Hague, the Netherlands, IAEA-CN-270</w:t>
      </w:r>
    </w:p>
    <w:p w14:paraId="0EA1A270" w14:textId="4D6E59BE" w:rsidR="00D4331E" w:rsidRDefault="00D4331E" w:rsidP="00555F02">
      <w:pPr>
        <w:autoSpaceDE w:val="0"/>
        <w:autoSpaceDN w:val="0"/>
        <w:adjustRightInd w:val="0"/>
        <w:spacing w:line="360" w:lineRule="auto"/>
        <w:ind w:left="900" w:hanging="270"/>
        <w:jc w:val="both"/>
        <w:rPr>
          <w:rFonts w:ascii="Times New Roman" w:hAnsi="Times New Roman"/>
          <w:sz w:val="18"/>
          <w:szCs w:val="18"/>
        </w:rPr>
      </w:pPr>
      <w:r>
        <w:rPr>
          <w:rFonts w:ascii="Times New Roman" w:hAnsi="Times New Roman"/>
          <w:sz w:val="18"/>
          <w:szCs w:val="18"/>
        </w:rPr>
        <w:t>[</w:t>
      </w:r>
      <w:r w:rsidR="00BD7724">
        <w:rPr>
          <w:rFonts w:ascii="Times New Roman" w:hAnsi="Times New Roman"/>
          <w:sz w:val="18"/>
          <w:szCs w:val="18"/>
        </w:rPr>
        <w:t>2</w:t>
      </w:r>
      <w:r>
        <w:rPr>
          <w:rFonts w:ascii="Times New Roman" w:hAnsi="Times New Roman"/>
          <w:sz w:val="18"/>
          <w:szCs w:val="18"/>
        </w:rPr>
        <w:t>] K. Tun, “Developing and Sustaining Physical Protection Regime in Myanmar”, International Conference on Physical Protection of Nuclear Material and Nuclear Facilities, 13-17 Nov 2017, Vienna, Austria, IAEA- CN-254, pp. 319</w:t>
      </w:r>
    </w:p>
    <w:p w14:paraId="515C688D" w14:textId="77777777" w:rsidR="00555F02" w:rsidRDefault="00555F02" w:rsidP="00555F02">
      <w:pPr>
        <w:spacing w:after="0" w:line="360" w:lineRule="auto"/>
        <w:ind w:left="900" w:hanging="270"/>
        <w:jc w:val="both"/>
        <w:rPr>
          <w:rFonts w:ascii="Times New Roman" w:hAnsi="Times New Roman"/>
          <w:sz w:val="18"/>
          <w:szCs w:val="18"/>
        </w:rPr>
      </w:pPr>
      <w:r>
        <w:rPr>
          <w:rFonts w:ascii="Times New Roman" w:hAnsi="Times New Roman"/>
          <w:sz w:val="18"/>
          <w:szCs w:val="18"/>
        </w:rPr>
        <w:t xml:space="preserve">[3] </w:t>
      </w:r>
      <w:proofErr w:type="spellStart"/>
      <w:r>
        <w:rPr>
          <w:rFonts w:ascii="Times New Roman" w:hAnsi="Times New Roman"/>
          <w:sz w:val="18"/>
          <w:szCs w:val="18"/>
        </w:rPr>
        <w:t>Tun</w:t>
      </w:r>
      <w:proofErr w:type="spellEnd"/>
      <w:r>
        <w:rPr>
          <w:rFonts w:ascii="Times New Roman" w:hAnsi="Times New Roman"/>
          <w:sz w:val="18"/>
          <w:szCs w:val="18"/>
        </w:rPr>
        <w:t>, K.</w:t>
      </w:r>
      <w:r>
        <w:rPr>
          <w:rFonts w:ascii="Times New Roman" w:hAnsi="Times New Roman"/>
          <w:sz w:val="18"/>
          <w:szCs w:val="18"/>
          <w:vertAlign w:val="superscript"/>
        </w:rPr>
        <w:t>1</w:t>
      </w:r>
      <w:proofErr w:type="gramStart"/>
      <w:r>
        <w:rPr>
          <w:rFonts w:ascii="Times New Roman" w:hAnsi="Times New Roman"/>
          <w:sz w:val="18"/>
          <w:szCs w:val="18"/>
        </w:rPr>
        <w:t>, ”</w:t>
      </w:r>
      <w:proofErr w:type="gramEnd"/>
      <w:r>
        <w:rPr>
          <w:rFonts w:ascii="Times New Roman" w:hAnsi="Times New Roman"/>
          <w:sz w:val="18"/>
          <w:szCs w:val="18"/>
        </w:rPr>
        <w:t>Strengthening Sustainability and Effectiveness for Security of Radioactive Material by Promoting International Cooperation and Domestic Interfaces in Myanmar”, 3-7 Dec 2018, Vienna, Austria, IAEA-CN-269, PP. 407</w:t>
      </w:r>
    </w:p>
    <w:sectPr w:rsidR="00555F02" w:rsidSect="00555F02">
      <w:pgSz w:w="11909" w:h="16834" w:code="9"/>
      <w:pgMar w:top="864" w:right="1008"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D798C9"/>
    <w:multiLevelType w:val="hybridMultilevel"/>
    <w:tmpl w:val="6F5CAF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D852AF7"/>
    <w:multiLevelType w:val="hybridMultilevel"/>
    <w:tmpl w:val="4DEE0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E78"/>
    <w:rsid w:val="0008660A"/>
    <w:rsid w:val="00096993"/>
    <w:rsid w:val="000A54B9"/>
    <w:rsid w:val="000F0635"/>
    <w:rsid w:val="000F5C12"/>
    <w:rsid w:val="00114AF6"/>
    <w:rsid w:val="00115DB6"/>
    <w:rsid w:val="00124286"/>
    <w:rsid w:val="00156F60"/>
    <w:rsid w:val="0019162D"/>
    <w:rsid w:val="001A06D4"/>
    <w:rsid w:val="001A7040"/>
    <w:rsid w:val="001D41FA"/>
    <w:rsid w:val="001E7822"/>
    <w:rsid w:val="00203592"/>
    <w:rsid w:val="00227375"/>
    <w:rsid w:val="00282328"/>
    <w:rsid w:val="002A3C66"/>
    <w:rsid w:val="002B67E4"/>
    <w:rsid w:val="002F12DF"/>
    <w:rsid w:val="003755D8"/>
    <w:rsid w:val="00380A8C"/>
    <w:rsid w:val="00405A64"/>
    <w:rsid w:val="004662E9"/>
    <w:rsid w:val="004855F5"/>
    <w:rsid w:val="00492D74"/>
    <w:rsid w:val="004B2C2B"/>
    <w:rsid w:val="004E61D2"/>
    <w:rsid w:val="0051777F"/>
    <w:rsid w:val="00555F02"/>
    <w:rsid w:val="00561F44"/>
    <w:rsid w:val="005860C2"/>
    <w:rsid w:val="00593CE6"/>
    <w:rsid w:val="005963E7"/>
    <w:rsid w:val="005D1ABA"/>
    <w:rsid w:val="005F3E8F"/>
    <w:rsid w:val="00606FA3"/>
    <w:rsid w:val="00627DC9"/>
    <w:rsid w:val="0066264B"/>
    <w:rsid w:val="00682310"/>
    <w:rsid w:val="006A55A5"/>
    <w:rsid w:val="006B5B92"/>
    <w:rsid w:val="006B7BCE"/>
    <w:rsid w:val="006D6E78"/>
    <w:rsid w:val="006E0B68"/>
    <w:rsid w:val="006E6D79"/>
    <w:rsid w:val="007233C9"/>
    <w:rsid w:val="00746B21"/>
    <w:rsid w:val="00766876"/>
    <w:rsid w:val="00791AF7"/>
    <w:rsid w:val="007A02AE"/>
    <w:rsid w:val="007B47F4"/>
    <w:rsid w:val="00842182"/>
    <w:rsid w:val="00843E08"/>
    <w:rsid w:val="008478D3"/>
    <w:rsid w:val="008D37E5"/>
    <w:rsid w:val="008F1380"/>
    <w:rsid w:val="00907C63"/>
    <w:rsid w:val="00920A0F"/>
    <w:rsid w:val="009578AA"/>
    <w:rsid w:val="009F6392"/>
    <w:rsid w:val="00A1067D"/>
    <w:rsid w:val="00A1088F"/>
    <w:rsid w:val="00A52F32"/>
    <w:rsid w:val="00A65D5D"/>
    <w:rsid w:val="00A7327B"/>
    <w:rsid w:val="00A9259D"/>
    <w:rsid w:val="00AE63E1"/>
    <w:rsid w:val="00AE7F35"/>
    <w:rsid w:val="00AF0718"/>
    <w:rsid w:val="00B32FB2"/>
    <w:rsid w:val="00B55784"/>
    <w:rsid w:val="00B7639C"/>
    <w:rsid w:val="00B77D61"/>
    <w:rsid w:val="00BD004B"/>
    <w:rsid w:val="00BD7724"/>
    <w:rsid w:val="00C748E0"/>
    <w:rsid w:val="00C96273"/>
    <w:rsid w:val="00CA0B23"/>
    <w:rsid w:val="00CA454C"/>
    <w:rsid w:val="00CC3DCB"/>
    <w:rsid w:val="00CE32F2"/>
    <w:rsid w:val="00D4331E"/>
    <w:rsid w:val="00D73B49"/>
    <w:rsid w:val="00D94D7E"/>
    <w:rsid w:val="00DD426B"/>
    <w:rsid w:val="00E1461C"/>
    <w:rsid w:val="00E4635B"/>
    <w:rsid w:val="00E879F6"/>
    <w:rsid w:val="00ED7868"/>
    <w:rsid w:val="00EF4F80"/>
    <w:rsid w:val="00F44DA9"/>
    <w:rsid w:val="00F526BB"/>
    <w:rsid w:val="00F5324C"/>
    <w:rsid w:val="00F66B7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55D8"/>
    <w:pPr>
      <w:autoSpaceDE w:val="0"/>
      <w:autoSpaceDN w:val="0"/>
      <w:adjustRightInd w:val="0"/>
      <w:spacing w:after="0" w:line="240" w:lineRule="auto"/>
    </w:pPr>
    <w:rPr>
      <w:rFonts w:ascii="Times New Roman" w:hAnsi="Times New Roman" w:cs="Times New Roman"/>
      <w:color w:val="000000"/>
      <w:sz w:val="24"/>
      <w:szCs w:val="24"/>
      <w:lang w:bidi="my-MM"/>
    </w:rPr>
  </w:style>
  <w:style w:type="paragraph" w:styleId="ListParagraph">
    <w:name w:val="List Paragraph"/>
    <w:basedOn w:val="Normal"/>
    <w:uiPriority w:val="34"/>
    <w:qFormat/>
    <w:rsid w:val="006E0B68"/>
    <w:pPr>
      <w:spacing w:after="0" w:line="240" w:lineRule="auto"/>
      <w:ind w:left="720"/>
      <w:contextualSpacing/>
    </w:pPr>
    <w:rPr>
      <w:rFonts w:ascii="Times New Roman" w:eastAsia="Times New Roman" w:hAnsi="Times New Roman" w:cs="Times New Roman"/>
      <w:sz w:val="24"/>
      <w:szCs w:val="24"/>
    </w:rPr>
  </w:style>
  <w:style w:type="character" w:customStyle="1" w:styleId="abstract">
    <w:name w:val="abstract"/>
    <w:basedOn w:val="DefaultParagraphFont"/>
    <w:rsid w:val="00D4331E"/>
  </w:style>
  <w:style w:type="character" w:styleId="Hyperlink">
    <w:name w:val="Hyperlink"/>
    <w:basedOn w:val="DefaultParagraphFont"/>
    <w:uiPriority w:val="99"/>
    <w:unhideWhenUsed/>
    <w:rsid w:val="00E879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55D8"/>
    <w:pPr>
      <w:autoSpaceDE w:val="0"/>
      <w:autoSpaceDN w:val="0"/>
      <w:adjustRightInd w:val="0"/>
      <w:spacing w:after="0" w:line="240" w:lineRule="auto"/>
    </w:pPr>
    <w:rPr>
      <w:rFonts w:ascii="Times New Roman" w:hAnsi="Times New Roman" w:cs="Times New Roman"/>
      <w:color w:val="000000"/>
      <w:sz w:val="24"/>
      <w:szCs w:val="24"/>
      <w:lang w:bidi="my-MM"/>
    </w:rPr>
  </w:style>
  <w:style w:type="paragraph" w:styleId="ListParagraph">
    <w:name w:val="List Paragraph"/>
    <w:basedOn w:val="Normal"/>
    <w:uiPriority w:val="34"/>
    <w:qFormat/>
    <w:rsid w:val="006E0B68"/>
    <w:pPr>
      <w:spacing w:after="0" w:line="240" w:lineRule="auto"/>
      <w:ind w:left="720"/>
      <w:contextualSpacing/>
    </w:pPr>
    <w:rPr>
      <w:rFonts w:ascii="Times New Roman" w:eastAsia="Times New Roman" w:hAnsi="Times New Roman" w:cs="Times New Roman"/>
      <w:sz w:val="24"/>
      <w:szCs w:val="24"/>
    </w:rPr>
  </w:style>
  <w:style w:type="character" w:customStyle="1" w:styleId="abstract">
    <w:name w:val="abstract"/>
    <w:basedOn w:val="DefaultParagraphFont"/>
    <w:rsid w:val="00D4331E"/>
  </w:style>
  <w:style w:type="character" w:styleId="Hyperlink">
    <w:name w:val="Hyperlink"/>
    <w:basedOn w:val="DefaultParagraphFont"/>
    <w:uiPriority w:val="99"/>
    <w:unhideWhenUsed/>
    <w:rsid w:val="00E879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2823">
      <w:bodyDiv w:val="1"/>
      <w:marLeft w:val="0"/>
      <w:marRight w:val="0"/>
      <w:marTop w:val="0"/>
      <w:marBottom w:val="0"/>
      <w:divBdr>
        <w:top w:val="none" w:sz="0" w:space="0" w:color="auto"/>
        <w:left w:val="none" w:sz="0" w:space="0" w:color="auto"/>
        <w:bottom w:val="none" w:sz="0" w:space="0" w:color="auto"/>
        <w:right w:val="none" w:sz="0" w:space="0" w:color="auto"/>
      </w:divBdr>
    </w:div>
    <w:div w:id="395324041">
      <w:bodyDiv w:val="1"/>
      <w:marLeft w:val="0"/>
      <w:marRight w:val="0"/>
      <w:marTop w:val="0"/>
      <w:marBottom w:val="0"/>
      <w:divBdr>
        <w:top w:val="none" w:sz="0" w:space="0" w:color="auto"/>
        <w:left w:val="none" w:sz="0" w:space="0" w:color="auto"/>
        <w:bottom w:val="none" w:sz="0" w:space="0" w:color="auto"/>
        <w:right w:val="none" w:sz="0" w:space="0" w:color="auto"/>
      </w:divBdr>
    </w:div>
    <w:div w:id="817497762">
      <w:bodyDiv w:val="1"/>
      <w:marLeft w:val="0"/>
      <w:marRight w:val="0"/>
      <w:marTop w:val="0"/>
      <w:marBottom w:val="0"/>
      <w:divBdr>
        <w:top w:val="none" w:sz="0" w:space="0" w:color="auto"/>
        <w:left w:val="none" w:sz="0" w:space="0" w:color="auto"/>
        <w:bottom w:val="none" w:sz="0" w:space="0" w:color="auto"/>
        <w:right w:val="none" w:sz="0" w:space="0" w:color="auto"/>
      </w:divBdr>
    </w:div>
    <w:div w:id="852693323">
      <w:bodyDiv w:val="1"/>
      <w:marLeft w:val="0"/>
      <w:marRight w:val="0"/>
      <w:marTop w:val="0"/>
      <w:marBottom w:val="0"/>
      <w:divBdr>
        <w:top w:val="none" w:sz="0" w:space="0" w:color="auto"/>
        <w:left w:val="none" w:sz="0" w:space="0" w:color="auto"/>
        <w:bottom w:val="none" w:sz="0" w:space="0" w:color="auto"/>
        <w:right w:val="none" w:sz="0" w:space="0" w:color="auto"/>
      </w:divBdr>
    </w:div>
    <w:div w:id="1062755125">
      <w:bodyDiv w:val="1"/>
      <w:marLeft w:val="0"/>
      <w:marRight w:val="0"/>
      <w:marTop w:val="0"/>
      <w:marBottom w:val="0"/>
      <w:divBdr>
        <w:top w:val="none" w:sz="0" w:space="0" w:color="auto"/>
        <w:left w:val="none" w:sz="0" w:space="0" w:color="auto"/>
        <w:bottom w:val="none" w:sz="0" w:space="0" w:color="auto"/>
        <w:right w:val="none" w:sz="0" w:space="0" w:color="auto"/>
      </w:divBdr>
    </w:div>
    <w:div w:id="1092166735">
      <w:bodyDiv w:val="1"/>
      <w:marLeft w:val="0"/>
      <w:marRight w:val="0"/>
      <w:marTop w:val="0"/>
      <w:marBottom w:val="0"/>
      <w:divBdr>
        <w:top w:val="none" w:sz="0" w:space="0" w:color="auto"/>
        <w:left w:val="none" w:sz="0" w:space="0" w:color="auto"/>
        <w:bottom w:val="none" w:sz="0" w:space="0" w:color="auto"/>
        <w:right w:val="none" w:sz="0" w:space="0" w:color="auto"/>
      </w:divBdr>
    </w:div>
    <w:div w:id="1105422435">
      <w:bodyDiv w:val="1"/>
      <w:marLeft w:val="0"/>
      <w:marRight w:val="0"/>
      <w:marTop w:val="0"/>
      <w:marBottom w:val="0"/>
      <w:divBdr>
        <w:top w:val="none" w:sz="0" w:space="0" w:color="auto"/>
        <w:left w:val="none" w:sz="0" w:space="0" w:color="auto"/>
        <w:bottom w:val="none" w:sz="0" w:space="0" w:color="auto"/>
        <w:right w:val="none" w:sz="0" w:space="0" w:color="auto"/>
      </w:divBdr>
    </w:div>
    <w:div w:id="1219394317">
      <w:bodyDiv w:val="1"/>
      <w:marLeft w:val="0"/>
      <w:marRight w:val="0"/>
      <w:marTop w:val="0"/>
      <w:marBottom w:val="0"/>
      <w:divBdr>
        <w:top w:val="none" w:sz="0" w:space="0" w:color="auto"/>
        <w:left w:val="none" w:sz="0" w:space="0" w:color="auto"/>
        <w:bottom w:val="none" w:sz="0" w:space="0" w:color="auto"/>
        <w:right w:val="none" w:sz="0" w:space="0" w:color="auto"/>
      </w:divBdr>
    </w:div>
    <w:div w:id="1255360343">
      <w:bodyDiv w:val="1"/>
      <w:marLeft w:val="0"/>
      <w:marRight w:val="0"/>
      <w:marTop w:val="0"/>
      <w:marBottom w:val="0"/>
      <w:divBdr>
        <w:top w:val="none" w:sz="0" w:space="0" w:color="auto"/>
        <w:left w:val="none" w:sz="0" w:space="0" w:color="auto"/>
        <w:bottom w:val="none" w:sz="0" w:space="0" w:color="auto"/>
        <w:right w:val="none" w:sz="0" w:space="0" w:color="auto"/>
      </w:divBdr>
    </w:div>
    <w:div w:id="1458766553">
      <w:bodyDiv w:val="1"/>
      <w:marLeft w:val="0"/>
      <w:marRight w:val="0"/>
      <w:marTop w:val="0"/>
      <w:marBottom w:val="0"/>
      <w:divBdr>
        <w:top w:val="none" w:sz="0" w:space="0" w:color="auto"/>
        <w:left w:val="none" w:sz="0" w:space="0" w:color="auto"/>
        <w:bottom w:val="none" w:sz="0" w:space="0" w:color="auto"/>
        <w:right w:val="none" w:sz="0" w:space="0" w:color="auto"/>
      </w:divBdr>
    </w:div>
    <w:div w:id="1556505774">
      <w:bodyDiv w:val="1"/>
      <w:marLeft w:val="0"/>
      <w:marRight w:val="0"/>
      <w:marTop w:val="0"/>
      <w:marBottom w:val="0"/>
      <w:divBdr>
        <w:top w:val="none" w:sz="0" w:space="0" w:color="auto"/>
        <w:left w:val="none" w:sz="0" w:space="0" w:color="auto"/>
        <w:bottom w:val="none" w:sz="0" w:space="0" w:color="auto"/>
        <w:right w:val="none" w:sz="0" w:space="0" w:color="auto"/>
      </w:divBdr>
    </w:div>
    <w:div w:id="18305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EC04F-2240-4C20-9448-A1D6238A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2025-09-30T13:15:00Z</dcterms:created>
  <dcterms:modified xsi:type="dcterms:W3CDTF">2025-09-30T13:28:00Z</dcterms:modified>
</cp:coreProperties>
</file>