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816F4">
      <w:pPr>
        <w:jc w:val="center"/>
        <w:rPr>
          <w:rFonts w:ascii="Arial" w:hAnsi="Arial" w:cs="Arial"/>
          <w:b/>
          <w:bCs/>
          <w:sz w:val="20"/>
          <w:szCs w:val="20"/>
          <w:lang w:val="en-US"/>
        </w:rPr>
      </w:pPr>
      <w:bookmarkStart w:id="0" w:name="_Hlk206664159"/>
      <w:r>
        <w:rPr>
          <w:rFonts w:ascii="Arial" w:hAnsi="Arial" w:cs="Arial"/>
          <w:b/>
          <w:bCs/>
          <w:sz w:val="20"/>
          <w:szCs w:val="20"/>
        </w:rPr>
        <w:t xml:space="preserve">CHALLENGES AND OPPORTUNITIES IN </w:t>
      </w:r>
      <w:bookmarkStart w:id="1" w:name="_Hlk210046051"/>
      <w:r>
        <w:rPr>
          <w:rFonts w:ascii="Arial" w:hAnsi="Arial" w:cs="Arial"/>
          <w:b/>
          <w:bCs/>
          <w:sz w:val="20"/>
          <w:szCs w:val="20"/>
        </w:rPr>
        <w:t>DEVELOPING MALAYSIA’S FIRST CERTIFIED TRANSPORT PACKAGE FOR RADIOACTIVE SOURCES</w:t>
      </w:r>
      <w:bookmarkEnd w:id="1"/>
    </w:p>
    <w:bookmarkEnd w:id="0"/>
    <w:p w14:paraId="45C1C00C">
      <w:pPr>
        <w:jc w:val="center"/>
        <w:rPr>
          <w:rFonts w:ascii="Arial" w:hAnsi="Arial" w:cs="Arial"/>
          <w:b/>
          <w:bCs/>
          <w:sz w:val="20"/>
          <w:szCs w:val="20"/>
          <w:lang w:val="en-US"/>
        </w:rPr>
      </w:pPr>
      <w:r>
        <w:rPr>
          <w:rFonts w:ascii="Arial" w:hAnsi="Arial" w:cs="Arial"/>
          <w:b/>
          <w:bCs/>
          <w:sz w:val="20"/>
          <w:szCs w:val="20"/>
          <w:lang w:val="en-US"/>
        </w:rPr>
        <w:t xml:space="preserve">Muhammad Hannan Bahrin, Anwar Abdul Rahman, Mohd Zaid Hassan @ Abdul Rahman, Azraf Azman, Mohd Rizal Mamat@Ibrahim, </w:t>
      </w:r>
    </w:p>
    <w:p w14:paraId="1E9B887A">
      <w:pPr>
        <w:jc w:val="center"/>
        <w:rPr>
          <w:rFonts w:ascii="Arial" w:hAnsi="Arial" w:cs="Arial"/>
          <w:sz w:val="20"/>
          <w:szCs w:val="20"/>
          <w:lang w:val="en-US"/>
        </w:rPr>
      </w:pPr>
      <w:r>
        <w:rPr>
          <w:rFonts w:ascii="Arial" w:hAnsi="Arial" w:cs="Arial"/>
          <w:sz w:val="20"/>
          <w:szCs w:val="20"/>
          <w:lang w:val="en-US"/>
        </w:rPr>
        <w:t xml:space="preserve">Prototype and Plant Development Center (PDC), Technical Support Division (BST), </w:t>
      </w:r>
    </w:p>
    <w:p w14:paraId="1C61F3A9">
      <w:pPr>
        <w:jc w:val="center"/>
        <w:rPr>
          <w:rFonts w:ascii="Arial" w:hAnsi="Arial" w:cs="Arial"/>
          <w:sz w:val="20"/>
          <w:szCs w:val="20"/>
          <w:lang w:val="en-US"/>
        </w:rPr>
      </w:pPr>
      <w:r>
        <w:rPr>
          <w:rFonts w:ascii="Arial" w:hAnsi="Arial" w:cs="Arial"/>
          <w:sz w:val="20"/>
          <w:szCs w:val="20"/>
          <w:lang w:val="en-US"/>
        </w:rPr>
        <w:t>Agensi Nuklear Malaysia</w:t>
      </w:r>
    </w:p>
    <w:p w14:paraId="11E049BD">
      <w:pPr>
        <w:jc w:val="center"/>
        <w:rPr>
          <w:rFonts w:ascii="Arial" w:hAnsi="Arial" w:cs="Arial"/>
          <w:i/>
          <w:iCs/>
          <w:sz w:val="20"/>
          <w:szCs w:val="20"/>
          <w:lang w:val="en-US"/>
        </w:rPr>
      </w:pPr>
      <w:r>
        <w:rPr>
          <w:rFonts w:ascii="Arial" w:hAnsi="Arial" w:cs="Arial"/>
          <w:i/>
          <w:iCs/>
          <w:sz w:val="20"/>
          <w:szCs w:val="20"/>
          <w:lang w:val="en-US"/>
        </w:rPr>
        <w:t>Abstract</w:t>
      </w:r>
    </w:p>
    <w:p w14:paraId="20E09E94">
      <w:pPr>
        <w:jc w:val="both"/>
        <w:rPr>
          <w:rFonts w:hint="default" w:ascii="Arial" w:hAnsi="Arial"/>
          <w:sz w:val="20"/>
          <w:szCs w:val="20"/>
          <w:lang w:val="en-US"/>
        </w:rPr>
      </w:pPr>
      <w:r>
        <w:rPr>
          <w:rFonts w:ascii="Arial" w:hAnsi="Arial" w:cs="Arial"/>
          <w:sz w:val="20"/>
          <w:szCs w:val="20"/>
        </w:rPr>
        <w:t xml:space="preserve">Malaysia’s current reliance on imported transport packages for radioactive materials presents several challenges, including high procurement costs, logistical delays, and dependency on foreign suppliers. This issue is particularly critical for time-sensitive applications such as medical isotopes with short half-lives, as well as for industrial non-destructive testing (NDT) and the use of high-activity sealed sources (Category 1 and 2). </w:t>
      </w:r>
      <w:r>
        <w:rPr>
          <w:rFonts w:hint="default" w:ascii="Arial" w:hAnsi="Arial"/>
          <w:sz w:val="20"/>
          <w:szCs w:val="20"/>
          <w:lang w:val="en-US"/>
        </w:rPr>
        <w:t>Although local efforts have been initiated to develop a prototype radioactive transport package, the design has not yet met the requirements of the Radiation Protection (Licensing) Regulations 1986 under the Atomic Energy Licensing Act 304 and the international safety standards of IAEA SSR-6. A structured and well-planned approach will be essential to ensure future designs achieve full compliance with both national regulations and international guidelines.</w:t>
      </w:r>
    </w:p>
    <w:p w14:paraId="4E5F284A">
      <w:pPr>
        <w:jc w:val="both"/>
        <w:rPr>
          <w:rFonts w:ascii="Arial" w:hAnsi="Arial" w:cs="Arial"/>
          <w:sz w:val="20"/>
          <w:szCs w:val="20"/>
        </w:rPr>
      </w:pPr>
      <w:r>
        <w:rPr>
          <w:rFonts w:ascii="Arial" w:hAnsi="Arial" w:cs="Arial"/>
          <w:sz w:val="20"/>
          <w:szCs w:val="20"/>
        </w:rPr>
        <w:t>The absence of a certified domestic transport package limits national flexibility, weakens supply chain resilience, and poses long-term risks to safety and security assurance. In line with Wawasan Nuklear Malaysia 2030, which identifies the development of a licensed radioactive source transport container as a key performance indicator, and the National Nuclear Technology Policy (DTNN) 2030, which emphasises localisation, safety, security and safeguards (3S), and industry capability building, Malaysia is motivated to establish its own certified package design. This effort not only addresses pressing domestic needs but also strengthens compliance with IAEA SSR-6 requirements and positions Malaysia to contribute to regional nuclear transport solutions.</w:t>
      </w:r>
    </w:p>
    <w:p w14:paraId="18FA4376">
      <w:pPr>
        <w:jc w:val="both"/>
        <w:rPr>
          <w:rFonts w:ascii="Arial" w:hAnsi="Arial" w:cs="Arial"/>
          <w:sz w:val="20"/>
          <w:szCs w:val="20"/>
        </w:rPr>
      </w:pPr>
      <w:r>
        <w:rPr>
          <w:rFonts w:ascii="Arial" w:hAnsi="Arial" w:cs="Arial"/>
          <w:sz w:val="20"/>
          <w:szCs w:val="20"/>
        </w:rPr>
        <w:t>This paper aims to present a feasibility study and roadmap that will guide Malaysia in creating its first certified transport package compliant with IAEA SSR-6 safety standards and local regulations, and to establish in-country capability for package design, testing, and life-cycle management. Challenges identified include regulatory and certification processes, technical capability gaps, and the availability of specialised expertise. Nonetheless, Malaysia’s readiness is supported by identified stakeholders, including national agencies with suitable testing facilities for drop, leak, thermal, and other qualification assessments, as well as local manufacturers, R&amp;D centres, and Quality Control and Assurance auditors that can play key roles in the development, certification, and life-cycle management process. The project will open opportunities for collaboration with government agencies, research institutions, and international partners to accelerate development and enable technology transfer.</w:t>
      </w:r>
    </w:p>
    <w:p w14:paraId="521AC6D8">
      <w:pPr>
        <w:jc w:val="both"/>
        <w:rPr>
          <w:rFonts w:ascii="Arial" w:hAnsi="Arial" w:cs="Arial"/>
          <w:sz w:val="20"/>
          <w:szCs w:val="20"/>
        </w:rPr>
      </w:pPr>
      <w:r>
        <w:rPr>
          <w:rFonts w:ascii="Arial" w:hAnsi="Arial" w:cs="Arial"/>
          <w:sz w:val="20"/>
          <w:szCs w:val="20"/>
        </w:rPr>
        <w:t>Malaysia possesses a solid foundation of industrial capability that can support the development of a certified transport package for radioactive materials. The country is well known for its heavy engineering and fabrication industries, particularly in oil and gas and pressure vessel manufacturing. Local fabricators operate under ASME code compliance and other international and Malaysian standards, which are broadly aligned with the requirements of the IAEA SSR-6 regulations. This indicates that the fundamental skills, practices, and quality frameworks needed to support nuclear transport package fabrication are already present within the domestic industry.</w:t>
      </w:r>
    </w:p>
    <w:p w14:paraId="684B25C8">
      <w:pPr>
        <w:jc w:val="both"/>
        <w:rPr>
          <w:rFonts w:ascii="Arial" w:hAnsi="Arial" w:cs="Arial"/>
          <w:sz w:val="20"/>
          <w:szCs w:val="20"/>
        </w:rPr>
      </w:pPr>
      <w:r>
        <w:rPr>
          <w:rFonts w:ascii="Arial" w:hAnsi="Arial" w:cs="Arial"/>
          <w:sz w:val="20"/>
          <w:szCs w:val="20"/>
        </w:rPr>
        <w:t xml:space="preserve">In terms of testing and qualification, several national institutions have been identified as potential stakeholders with relevant facilities and capacity. These include the Standard and Industrial Research Institute of Malaysia (SIRIM), the National Water Research Institute of Malaysia (NAHRIM), and the Malaysian Nuclear Agency (Nuklear Malaysia). Collectively, these </w:t>
      </w:r>
      <w:r>
        <w:rPr>
          <w:rFonts w:ascii="Arial" w:hAnsi="Arial" w:cs="Arial"/>
          <w:sz w:val="20"/>
          <w:szCs w:val="20"/>
          <w:lang w:val="en-US"/>
        </w:rPr>
        <w:t>organizations</w:t>
      </w:r>
      <w:r>
        <w:rPr>
          <w:rFonts w:ascii="Arial" w:hAnsi="Arial" w:cs="Arial"/>
          <w:sz w:val="20"/>
          <w:szCs w:val="20"/>
        </w:rPr>
        <w:t xml:space="preserve"> provide facilities capable of conducting drop tests, compression and stacking tests, water immersion tests, and thermal tests — all of which are critical to the qualification of a transport package. Importantly, these facilities already operate under internationally </w:t>
      </w:r>
      <w:r>
        <w:rPr>
          <w:rFonts w:ascii="Arial" w:hAnsi="Arial" w:cs="Arial"/>
          <w:sz w:val="20"/>
          <w:szCs w:val="20"/>
          <w:lang w:val="en-US"/>
        </w:rPr>
        <w:t>recognized</w:t>
      </w:r>
      <w:r>
        <w:rPr>
          <w:rFonts w:ascii="Arial" w:hAnsi="Arial" w:cs="Arial"/>
          <w:sz w:val="20"/>
          <w:szCs w:val="20"/>
        </w:rPr>
        <w:t xml:space="preserve"> standards such as ASME, ISO, British Standards (BS), and Malaysian Standards, ensuring technical credibility. In the future, there may be a need to develop a dedicated Malaysian standard for quality assurance of transport packages, aligned with ISO/ASME auditing practices, </w:t>
      </w:r>
      <w:r>
        <w:rPr>
          <w:rFonts w:ascii="Arial" w:hAnsi="Arial" w:cs="Arial"/>
          <w:sz w:val="20"/>
          <w:szCs w:val="20"/>
          <w:lang w:val="en-US"/>
        </w:rPr>
        <w:t>life-cycle</w:t>
      </w:r>
      <w:r>
        <w:rPr>
          <w:rFonts w:ascii="Arial" w:hAnsi="Arial" w:cs="Arial"/>
          <w:sz w:val="20"/>
          <w:szCs w:val="20"/>
        </w:rPr>
        <w:t xml:space="preserve"> management, and </w:t>
      </w:r>
      <w:r>
        <w:rPr>
          <w:rFonts w:ascii="Arial" w:hAnsi="Arial" w:cs="Arial"/>
          <w:sz w:val="20"/>
          <w:szCs w:val="20"/>
          <w:lang w:val="en-US"/>
        </w:rPr>
        <w:t>re-certification</w:t>
      </w:r>
      <w:r>
        <w:rPr>
          <w:rFonts w:ascii="Arial" w:hAnsi="Arial" w:cs="Arial"/>
          <w:sz w:val="20"/>
          <w:szCs w:val="20"/>
        </w:rPr>
        <w:t xml:space="preserve"> processes.</w:t>
      </w:r>
    </w:p>
    <w:p w14:paraId="50220EAA">
      <w:pPr>
        <w:jc w:val="both"/>
        <w:rPr>
          <w:rFonts w:ascii="Arial" w:hAnsi="Arial" w:cs="Arial"/>
          <w:sz w:val="20"/>
          <w:szCs w:val="20"/>
        </w:rPr>
      </w:pPr>
      <w:r>
        <w:rPr>
          <w:rFonts w:ascii="Arial" w:hAnsi="Arial" w:cs="Arial"/>
          <w:sz w:val="20"/>
          <w:szCs w:val="20"/>
        </w:rPr>
        <w:t xml:space="preserve">Beyond industrial and institutional capacity, Malaysia benefits from the expertise of its universities, particularly research universities and Technical and Vocational Education and Training (TVET) institutions. These universities are </w:t>
      </w:r>
      <w:r>
        <w:rPr>
          <w:rFonts w:ascii="Arial" w:hAnsi="Arial" w:cs="Arial"/>
          <w:sz w:val="20"/>
          <w:szCs w:val="20"/>
          <w:lang w:val="en-US"/>
        </w:rPr>
        <w:t>recognized</w:t>
      </w:r>
      <w:r>
        <w:rPr>
          <w:rFonts w:ascii="Arial" w:hAnsi="Arial" w:cs="Arial"/>
          <w:sz w:val="20"/>
          <w:szCs w:val="20"/>
        </w:rPr>
        <w:t xml:space="preserve"> for their contributions in design, simulation analysis, and fabrication research, and they represent an important source of innovation and skilled human capital for </w:t>
      </w:r>
      <w:r>
        <w:rPr>
          <w:rFonts w:ascii="Arial" w:hAnsi="Arial" w:cs="Arial"/>
          <w:sz w:val="20"/>
          <w:szCs w:val="20"/>
          <w:lang w:val="en-US"/>
        </w:rPr>
        <w:t>radioactive</w:t>
      </w:r>
      <w:r>
        <w:rPr>
          <w:rFonts w:hint="default" w:ascii="Arial" w:hAnsi="Arial" w:cs="Arial"/>
          <w:sz w:val="20"/>
          <w:szCs w:val="20"/>
          <w:lang w:val="en-US"/>
        </w:rPr>
        <w:t xml:space="preserve"> transport </w:t>
      </w:r>
      <w:r>
        <w:rPr>
          <w:rFonts w:ascii="Arial" w:hAnsi="Arial" w:cs="Arial"/>
          <w:sz w:val="20"/>
          <w:szCs w:val="20"/>
        </w:rPr>
        <w:t>package development.</w:t>
      </w:r>
    </w:p>
    <w:p w14:paraId="2D127A9D">
      <w:pPr>
        <w:jc w:val="both"/>
        <w:rPr>
          <w:rFonts w:ascii="Arial" w:hAnsi="Arial" w:cs="Arial"/>
          <w:sz w:val="20"/>
          <w:szCs w:val="20"/>
        </w:rPr>
      </w:pPr>
      <w:r>
        <w:rPr>
          <w:rFonts w:ascii="Arial" w:hAnsi="Arial" w:cs="Arial"/>
          <w:sz w:val="20"/>
          <w:szCs w:val="20"/>
        </w:rPr>
        <w:t>From a regulatory perspective, Malaysia is supported by strong authorities. The Jabatan Tenaga Atom (Atom Malaysia) and the Medical Radiation Regulatory Division (RADIA), Ministry of Health serve as reliable regulators for the approval and oversight of radioactive transport packages. These agencies have established engagement with both regional authorities and the IAEA, ensuring alignment with international best practices.</w:t>
      </w:r>
    </w:p>
    <w:p w14:paraId="60CCEF4A">
      <w:pPr>
        <w:jc w:val="both"/>
        <w:rPr>
          <w:rFonts w:ascii="Arial" w:hAnsi="Arial" w:cs="Arial"/>
          <w:sz w:val="20"/>
          <w:szCs w:val="20"/>
        </w:rPr>
      </w:pPr>
      <w:r>
        <w:rPr>
          <w:rFonts w:ascii="Arial" w:hAnsi="Arial" w:cs="Arial"/>
          <w:sz w:val="20"/>
          <w:szCs w:val="20"/>
        </w:rPr>
        <w:t>In addition, Malaysia has designated Competent Authorities (CAs) for each mode of transport, enabling integrated regulatory oversight and coordination with international stakeholders. These include</w:t>
      </w:r>
      <w:r>
        <w:rPr>
          <w:rFonts w:hint="default" w:ascii="Arial" w:hAnsi="Arial" w:cs="Arial"/>
          <w:sz w:val="20"/>
          <w:szCs w:val="20"/>
          <w:lang w:val="en-US"/>
        </w:rPr>
        <w:t xml:space="preserve"> the </w:t>
      </w:r>
      <w:r>
        <w:rPr>
          <w:rFonts w:ascii="Arial" w:hAnsi="Arial" w:cs="Arial"/>
          <w:sz w:val="20"/>
          <w:szCs w:val="20"/>
        </w:rPr>
        <w:t>Malaysia Road Transport Department (JPJ)</w:t>
      </w:r>
      <w:r>
        <w:rPr>
          <w:rFonts w:hint="default" w:ascii="Arial" w:hAnsi="Arial" w:cs="Arial"/>
          <w:sz w:val="20"/>
          <w:szCs w:val="20"/>
          <w:lang w:val="en-US"/>
        </w:rPr>
        <w:t xml:space="preserve"> under</w:t>
      </w:r>
      <w:r>
        <w:rPr>
          <w:rFonts w:ascii="Arial" w:hAnsi="Arial" w:cs="Arial"/>
          <w:sz w:val="20"/>
          <w:szCs w:val="20"/>
        </w:rPr>
        <w:t xml:space="preserve"> Ministry of Transport</w:t>
      </w:r>
      <w:r>
        <w:rPr>
          <w:rFonts w:hint="default" w:ascii="Arial" w:hAnsi="Arial" w:cs="Arial"/>
          <w:sz w:val="20"/>
          <w:szCs w:val="20"/>
          <w:lang w:val="en-US"/>
        </w:rPr>
        <w:t xml:space="preserve">, the </w:t>
      </w:r>
      <w:r>
        <w:rPr>
          <w:rFonts w:ascii="Arial" w:hAnsi="Arial" w:cs="Arial"/>
          <w:sz w:val="20"/>
          <w:szCs w:val="20"/>
        </w:rPr>
        <w:t>Malaysian Maritime Enforcement Agency (Maritime) and Port Authority</w:t>
      </w:r>
      <w:r>
        <w:rPr>
          <w:rFonts w:hint="default" w:ascii="Arial" w:hAnsi="Arial" w:cs="Arial"/>
          <w:sz w:val="20"/>
          <w:szCs w:val="20"/>
          <w:lang w:val="en-US"/>
        </w:rPr>
        <w:t>, the</w:t>
      </w:r>
      <w:r>
        <w:rPr>
          <w:rFonts w:ascii="Arial" w:hAnsi="Arial" w:cs="Arial"/>
          <w:sz w:val="20"/>
          <w:szCs w:val="20"/>
        </w:rPr>
        <w:t xml:space="preserve"> Land Public Transport Agency (APAD) – Rail Enforcement Division</w:t>
      </w:r>
      <w:r>
        <w:rPr>
          <w:rFonts w:hint="default" w:ascii="Arial" w:hAnsi="Arial" w:cs="Arial"/>
          <w:sz w:val="20"/>
          <w:szCs w:val="20"/>
          <w:lang w:val="en-US"/>
        </w:rPr>
        <w:t xml:space="preserve"> under</w:t>
      </w:r>
      <w:r>
        <w:rPr>
          <w:rFonts w:ascii="Arial" w:hAnsi="Arial" w:cs="Arial"/>
          <w:sz w:val="20"/>
          <w:szCs w:val="20"/>
        </w:rPr>
        <w:t xml:space="preserve"> Ministry of Transport</w:t>
      </w:r>
      <w:r>
        <w:rPr>
          <w:rFonts w:hint="default" w:ascii="Arial" w:hAnsi="Arial" w:cs="Arial"/>
          <w:sz w:val="20"/>
          <w:szCs w:val="20"/>
          <w:lang w:val="en-US"/>
        </w:rPr>
        <w:t xml:space="preserve">, the </w:t>
      </w:r>
      <w:r>
        <w:rPr>
          <w:rFonts w:ascii="Arial" w:hAnsi="Arial" w:cs="Arial"/>
          <w:sz w:val="20"/>
          <w:szCs w:val="20"/>
        </w:rPr>
        <w:t>Civil Aviation Authority of Malaysia (CAAM)</w:t>
      </w:r>
      <w:r>
        <w:rPr>
          <w:rFonts w:hint="default" w:ascii="Arial" w:hAnsi="Arial" w:cs="Arial"/>
          <w:sz w:val="20"/>
          <w:szCs w:val="20"/>
          <w:lang w:val="en-US"/>
        </w:rPr>
        <w:t xml:space="preserve"> under </w:t>
      </w:r>
      <w:r>
        <w:rPr>
          <w:rFonts w:ascii="Arial" w:hAnsi="Arial" w:cs="Arial"/>
          <w:sz w:val="20"/>
          <w:szCs w:val="20"/>
        </w:rPr>
        <w:t>Ministry of Transport</w:t>
      </w:r>
      <w:r>
        <w:rPr>
          <w:rFonts w:hint="default" w:ascii="Arial" w:hAnsi="Arial" w:cs="Arial"/>
          <w:sz w:val="20"/>
          <w:szCs w:val="20"/>
          <w:lang w:val="en-US"/>
        </w:rPr>
        <w:t xml:space="preserve"> and the</w:t>
      </w:r>
      <w:r>
        <w:rPr>
          <w:rFonts w:ascii="Arial" w:hAnsi="Arial" w:cs="Arial"/>
          <w:sz w:val="20"/>
          <w:szCs w:val="20"/>
        </w:rPr>
        <w:t xml:space="preserve"> National Disaster Management Agency (NADMA)</w:t>
      </w:r>
      <w:r>
        <w:rPr>
          <w:rFonts w:hint="default" w:ascii="Arial" w:hAnsi="Arial" w:cs="Arial"/>
          <w:sz w:val="20"/>
          <w:szCs w:val="20"/>
          <w:lang w:val="en-US"/>
        </w:rPr>
        <w:t xml:space="preserve"> for the </w:t>
      </w:r>
      <w:r>
        <w:rPr>
          <w:rFonts w:ascii="Arial" w:hAnsi="Arial" w:cs="Arial"/>
          <w:sz w:val="20"/>
          <w:szCs w:val="20"/>
        </w:rPr>
        <w:t>National emergency response</w:t>
      </w:r>
      <w:r>
        <w:rPr>
          <w:rFonts w:hint="default" w:ascii="Arial" w:hAnsi="Arial" w:cs="Arial"/>
          <w:sz w:val="20"/>
          <w:szCs w:val="20"/>
          <w:lang w:val="en-US"/>
        </w:rPr>
        <w:t xml:space="preserve">. </w:t>
      </w:r>
      <w:r>
        <w:rPr>
          <w:rFonts w:ascii="Arial" w:hAnsi="Arial" w:cs="Arial"/>
          <w:sz w:val="20"/>
          <w:szCs w:val="20"/>
        </w:rPr>
        <w:t>This network of competent authorities reflects Malaysia’s readiness to coordinate across multiple modes of tra</w:t>
      </w:r>
      <w:bookmarkStart w:id="2" w:name="_GoBack"/>
      <w:bookmarkEnd w:id="2"/>
      <w:r>
        <w:rPr>
          <w:rFonts w:ascii="Arial" w:hAnsi="Arial" w:cs="Arial"/>
          <w:sz w:val="20"/>
          <w:szCs w:val="20"/>
        </w:rPr>
        <w:t>nsport and to integrate transport safety with emergency preparedness.</w:t>
      </w:r>
    </w:p>
    <w:p w14:paraId="060BA6D4">
      <w:pPr>
        <w:jc w:val="both"/>
        <w:rPr>
          <w:rFonts w:ascii="Arial" w:hAnsi="Arial" w:cs="Arial"/>
          <w:sz w:val="20"/>
          <w:szCs w:val="20"/>
        </w:rPr>
      </w:pPr>
      <w:r>
        <w:rPr>
          <w:rFonts w:ascii="Arial" w:hAnsi="Arial" w:cs="Arial"/>
          <w:sz w:val="20"/>
          <w:szCs w:val="20"/>
        </w:rPr>
        <w:t>In conclusion, this initiative represents Malaysia’s strategic move toward self-reliance in the nuclear transport sector. It has the potential to strengthen regional nuclear safety and security transport capacities and capabilities, and to position Malaysia as a credible contributor to international best practices. While the transport package is primarily intended for use within Malaysia and neighbouring regional countries, it fully supports both national policy goals and IAEA objectives. The project will therefore make a significant contribution to the global effort to ensure the safe, secure, and efficient transportation of radioactive materials.</w:t>
      </w:r>
    </w:p>
    <w:p w14:paraId="33D701F8">
      <w:pPr>
        <w:jc w:val="both"/>
        <w:rPr>
          <w:rFonts w:ascii="Arial" w:hAnsi="Arial" w:cs="Arial"/>
          <w:sz w:val="20"/>
          <w:szCs w:val="20"/>
        </w:rPr>
      </w:pPr>
    </w:p>
    <w:p w14:paraId="14B42105">
      <w:pPr>
        <w:jc w:val="both"/>
        <w:rPr>
          <w:rFonts w:ascii="Arial" w:hAnsi="Arial" w:cs="Arial"/>
          <w:sz w:val="20"/>
          <w:szCs w:val="20"/>
        </w:rPr>
      </w:pPr>
      <w:r>
        <w:rPr>
          <w:rFonts w:ascii="Arial" w:hAnsi="Arial" w:cs="Arial"/>
          <w:sz w:val="20"/>
          <w:szCs w:val="20"/>
        </w:rPr>
        <w:t xml:space="preserve">Keywords: Radioactive transport package, IAEA SSR-6 compliance, National policy, Stakeholder readiness, </w:t>
      </w:r>
    </w:p>
    <w:p w14:paraId="19EE516A">
      <w:pPr>
        <w:jc w:val="both"/>
        <w:rPr>
          <w:rFonts w:ascii="Arial" w:hAnsi="Arial" w:cs="Arial"/>
          <w:sz w:val="20"/>
          <w:szCs w:val="20"/>
        </w:rPr>
      </w:pPr>
      <w:r>
        <w:drawing>
          <wp:inline distT="0" distB="0" distL="0" distR="0">
            <wp:extent cx="5968365" cy="4030980"/>
            <wp:effectExtent l="0" t="0" r="0" b="7620"/>
            <wp:docPr id="89948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87583" name="Picture 1"/>
                    <pic:cNvPicPr>
                      <a:picLocks noChangeAspect="1"/>
                    </pic:cNvPicPr>
                  </pic:nvPicPr>
                  <pic:blipFill>
                    <a:blip r:embed="rId6"/>
                    <a:stretch>
                      <a:fillRect/>
                    </a:stretch>
                  </pic:blipFill>
                  <pic:spPr>
                    <a:xfrm>
                      <a:off x="0" y="0"/>
                      <a:ext cx="6006322" cy="4056560"/>
                    </a:xfrm>
                    <a:prstGeom prst="rect">
                      <a:avLst/>
                    </a:prstGeom>
                  </pic:spPr>
                </pic:pic>
              </a:graphicData>
            </a:graphic>
          </wp:inline>
        </w:drawing>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5E"/>
    <w:rsid w:val="000A1D3E"/>
    <w:rsid w:val="001041A1"/>
    <w:rsid w:val="001201FC"/>
    <w:rsid w:val="00132069"/>
    <w:rsid w:val="001342A2"/>
    <w:rsid w:val="00154241"/>
    <w:rsid w:val="001F6B0D"/>
    <w:rsid w:val="002D7385"/>
    <w:rsid w:val="003134EC"/>
    <w:rsid w:val="004B4663"/>
    <w:rsid w:val="00557051"/>
    <w:rsid w:val="005D5687"/>
    <w:rsid w:val="00601B86"/>
    <w:rsid w:val="0065626B"/>
    <w:rsid w:val="006B2296"/>
    <w:rsid w:val="006D3111"/>
    <w:rsid w:val="007642E3"/>
    <w:rsid w:val="00875540"/>
    <w:rsid w:val="009617DC"/>
    <w:rsid w:val="009D6C97"/>
    <w:rsid w:val="009F4AFD"/>
    <w:rsid w:val="00AE43EC"/>
    <w:rsid w:val="00AE495E"/>
    <w:rsid w:val="00B267EB"/>
    <w:rsid w:val="00BC2B9E"/>
    <w:rsid w:val="00BD3998"/>
    <w:rsid w:val="00C43B2A"/>
    <w:rsid w:val="00C90007"/>
    <w:rsid w:val="00D32C94"/>
    <w:rsid w:val="00DB223F"/>
    <w:rsid w:val="00E34283"/>
    <w:rsid w:val="00E456A2"/>
    <w:rsid w:val="00E64C87"/>
    <w:rsid w:val="00EF0544"/>
    <w:rsid w:val="00F30A38"/>
    <w:rsid w:val="01390B5A"/>
    <w:rsid w:val="323B6588"/>
    <w:rsid w:val="34611B2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MY"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rPr>
      <w:rFonts w:ascii="Times New Roman" w:hAnsi="Times New Roman" w:cs="Times New Roman"/>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876</Words>
  <Characters>5826</Characters>
  <Lines>102</Lines>
  <Paragraphs>24</Paragraphs>
  <TotalTime>26</TotalTime>
  <ScaleCrop>false</ScaleCrop>
  <LinksUpToDate>false</LinksUpToDate>
  <CharactersWithSpaces>6678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2025-09-25T09:21:00Z</dcterms:created>
  <dc:creator>Muhammad Hannan Bin Bahrin</dc:creator>
  <cp:lastModifiedBy>Afiqah Sunif</cp:lastModifiedBy>
  <cp:lastPrinted>2025-09-25T09:04:00Z</cp:lastPrinted>
  <dcterms:modified xsi:type="dcterms:W3CDTF">2025-09-29T14:48:47Z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8d7adb5e-379a-4a60-84af-ca093933de0f</vt:lpwstr>
  </property>
  <property fmtid="{D5CDD505-2E9C-101B-9397-08002B2CF9AE}" pid="3" name="KSOProductBuildVer">
    <vt:lpwstr>1033-12.2.0.21931</vt:lpwstr>
  </property>
  <property fmtid="{D5CDD505-2E9C-101B-9397-08002B2CF9AE}" pid="4" name="ICV">
    <vt:lpwstr>0F2BF81006264C81B29CBC8AF73F34E1_13</vt:lpwstr>
  </property>
</Properties>
</file>