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340F" w14:textId="77777777" w:rsidR="00E01B0C" w:rsidRPr="00C956B3" w:rsidRDefault="00E01B0C" w:rsidP="000D286A">
      <w:pPr>
        <w:snapToGrid w:val="0"/>
        <w:rPr>
          <w:bCs/>
          <w:i/>
          <w:iCs/>
          <w:color w:val="2F5496" w:themeColor="accent1" w:themeShade="BF"/>
          <w:sz w:val="30"/>
        </w:rPr>
      </w:pPr>
    </w:p>
    <w:p w14:paraId="33E24B89" w14:textId="6AF8E931" w:rsidR="000D286A" w:rsidRPr="00C956B3" w:rsidRDefault="007F1AFC" w:rsidP="000D286A">
      <w:pPr>
        <w:snapToGrid w:val="0"/>
        <w:jc w:val="center"/>
        <w:rPr>
          <w:b/>
          <w:color w:val="2F5496" w:themeColor="accent1" w:themeShade="BF"/>
          <w:sz w:val="30"/>
        </w:rPr>
      </w:pPr>
      <w:r>
        <w:rPr>
          <w:b/>
          <w:color w:val="2F5496" w:themeColor="accent1" w:themeShade="BF"/>
          <w:sz w:val="30"/>
        </w:rPr>
        <w:t xml:space="preserve">Application of </w:t>
      </w:r>
      <w:r w:rsidR="00602064">
        <w:rPr>
          <w:b/>
          <w:color w:val="2F5496" w:themeColor="accent1" w:themeShade="BF"/>
          <w:sz w:val="30"/>
        </w:rPr>
        <w:t>the</w:t>
      </w:r>
      <w:r w:rsidR="000D286A" w:rsidRPr="00C956B3">
        <w:rPr>
          <w:b/>
          <w:color w:val="2F5496" w:themeColor="accent1" w:themeShade="BF"/>
          <w:sz w:val="30"/>
        </w:rPr>
        <w:t xml:space="preserve"> Regulatory Impact Analysis (RIA) </w:t>
      </w:r>
      <w:r w:rsidR="00534583" w:rsidRPr="00C956B3">
        <w:rPr>
          <w:b/>
          <w:color w:val="2F5496" w:themeColor="accent1" w:themeShade="BF"/>
          <w:sz w:val="30"/>
        </w:rPr>
        <w:t xml:space="preserve">using Multi-Criteria Decision Analysis </w:t>
      </w:r>
      <w:r w:rsidR="00425FBD" w:rsidRPr="00C956B3">
        <w:rPr>
          <w:b/>
          <w:color w:val="2F5496" w:themeColor="accent1" w:themeShade="BF"/>
          <w:sz w:val="30"/>
        </w:rPr>
        <w:t xml:space="preserve">(MCDA) </w:t>
      </w:r>
      <w:r w:rsidR="000D286A" w:rsidRPr="00C956B3">
        <w:rPr>
          <w:b/>
          <w:color w:val="2F5496" w:themeColor="accent1" w:themeShade="BF"/>
          <w:sz w:val="30"/>
        </w:rPr>
        <w:t xml:space="preserve">of the Indonesian Regulation </w:t>
      </w:r>
      <w:r w:rsidR="00A5441A">
        <w:rPr>
          <w:b/>
          <w:color w:val="2F5496" w:themeColor="accent1" w:themeShade="BF"/>
          <w:sz w:val="30"/>
        </w:rPr>
        <w:t>for</w:t>
      </w:r>
      <w:r w:rsidR="000D286A" w:rsidRPr="00C956B3">
        <w:rPr>
          <w:b/>
          <w:color w:val="2F5496" w:themeColor="accent1" w:themeShade="BF"/>
          <w:sz w:val="30"/>
        </w:rPr>
        <w:t xml:space="preserve"> the Safe Transport of Radioactive Materials</w:t>
      </w:r>
    </w:p>
    <w:p w14:paraId="72A4EDD7" w14:textId="674096B3" w:rsidR="000D286A" w:rsidRDefault="000D286A" w:rsidP="00A519B4">
      <w:pPr>
        <w:snapToGrid w:val="0"/>
        <w:jc w:val="center"/>
        <w:rPr>
          <w:b/>
          <w:sz w:val="30"/>
        </w:rPr>
      </w:pPr>
    </w:p>
    <w:p w14:paraId="504561A0" w14:textId="77777777" w:rsidR="00407772" w:rsidRPr="004B00F6" w:rsidRDefault="00407772" w:rsidP="00407772">
      <w:pPr>
        <w:pStyle w:val="Heading1"/>
        <w:spacing w:line="276" w:lineRule="auto"/>
        <w:ind w:left="211" w:right="566"/>
        <w:jc w:val="center"/>
      </w:pPr>
    </w:p>
    <w:p w14:paraId="10BF1444" w14:textId="77777777" w:rsidR="00407772" w:rsidRPr="00FE6B76" w:rsidRDefault="00407772" w:rsidP="00407772">
      <w:pPr>
        <w:jc w:val="center"/>
        <w:rPr>
          <w:rFonts w:cstheme="minorHAnsi"/>
          <w:vertAlign w:val="superscript"/>
        </w:rPr>
      </w:pPr>
      <w:r w:rsidRPr="002C1FC4">
        <w:rPr>
          <w:rFonts w:cstheme="minorHAnsi"/>
        </w:rPr>
        <w:t>Vatimah Zahrawati</w:t>
      </w:r>
      <w:proofErr w:type="gramStart"/>
      <w:r>
        <w:rPr>
          <w:rFonts w:cstheme="minorHAnsi"/>
          <w:vertAlign w:val="superscript"/>
        </w:rPr>
        <w:t>1,a</w:t>
      </w:r>
      <w:proofErr w:type="gramEnd"/>
      <w:r>
        <w:rPr>
          <w:rFonts w:cstheme="minorHAnsi"/>
          <w:vertAlign w:val="superscript"/>
        </w:rPr>
        <w:t>)</w:t>
      </w:r>
      <w:r>
        <w:rPr>
          <w:rFonts w:cstheme="minorHAnsi"/>
        </w:rPr>
        <w:t xml:space="preserve">, Muhammad Sujana </w:t>
      </w:r>
      <w:proofErr w:type="spellStart"/>
      <w:r>
        <w:rPr>
          <w:rFonts w:cstheme="minorHAnsi"/>
        </w:rPr>
        <w:t>Prawira</w:t>
      </w:r>
      <w:r>
        <w:rPr>
          <w:rFonts w:cstheme="minorHAnsi"/>
          <w:vertAlign w:val="superscript"/>
        </w:rPr>
        <w:t>,b</w:t>
      </w:r>
      <w:proofErr w:type="spellEnd"/>
      <w:r>
        <w:rPr>
          <w:rFonts w:cstheme="minorHAnsi"/>
          <w:vertAlign w:val="superscript"/>
        </w:rPr>
        <w:t>)</w:t>
      </w:r>
    </w:p>
    <w:p w14:paraId="0D791FB7" w14:textId="77777777" w:rsidR="00407772" w:rsidRPr="002C1FC4" w:rsidRDefault="00407772" w:rsidP="00407772">
      <w:pPr>
        <w:spacing w:before="240" w:after="240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vertAlign w:val="superscript"/>
        </w:rPr>
        <w:t>1,2</w:t>
      </w:r>
      <w:r w:rsidRPr="002C1FC4">
        <w:rPr>
          <w:rFonts w:cstheme="minorHAnsi"/>
          <w:i/>
          <w:iCs/>
        </w:rPr>
        <w:t xml:space="preserve">BAPETEN (Badan </w:t>
      </w:r>
      <w:proofErr w:type="spellStart"/>
      <w:r w:rsidRPr="002C1FC4">
        <w:rPr>
          <w:rFonts w:cstheme="minorHAnsi"/>
          <w:i/>
          <w:iCs/>
        </w:rPr>
        <w:t>Pengawas</w:t>
      </w:r>
      <w:proofErr w:type="spellEnd"/>
      <w:r w:rsidRPr="002C1FC4">
        <w:rPr>
          <w:rFonts w:cstheme="minorHAnsi"/>
          <w:i/>
          <w:iCs/>
        </w:rPr>
        <w:t xml:space="preserve"> Tenaga </w:t>
      </w:r>
      <w:proofErr w:type="spellStart"/>
      <w:r w:rsidRPr="002C1FC4">
        <w:rPr>
          <w:rFonts w:cstheme="minorHAnsi"/>
          <w:i/>
          <w:iCs/>
        </w:rPr>
        <w:t>Nuklir</w:t>
      </w:r>
      <w:proofErr w:type="spellEnd"/>
      <w:r w:rsidRPr="002C1FC4">
        <w:rPr>
          <w:rFonts w:cstheme="minorHAnsi"/>
          <w:i/>
          <w:iCs/>
        </w:rPr>
        <w:t>)</w:t>
      </w:r>
    </w:p>
    <w:p w14:paraId="7AC26CFE" w14:textId="77777777" w:rsidR="00407772" w:rsidRPr="002C1FC4" w:rsidRDefault="00407772" w:rsidP="00407772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vertAlign w:val="superscript"/>
        </w:rPr>
        <w:t>a)</w:t>
      </w:r>
      <w:r w:rsidRPr="00F33539">
        <w:rPr>
          <w:rFonts w:cstheme="minorHAnsi"/>
          <w:i/>
          <w:iCs/>
          <w:vertAlign w:val="superscript"/>
        </w:rPr>
        <w:t xml:space="preserve"> </w:t>
      </w:r>
      <w:hyperlink r:id="rId5" w:history="1">
        <w:r w:rsidRPr="00196030">
          <w:rPr>
            <w:rStyle w:val="Hyperlink"/>
            <w:rFonts w:cstheme="minorHAnsi"/>
            <w:i/>
            <w:iCs/>
          </w:rPr>
          <w:t>v.zahrawati@bapeten.go.id</w:t>
        </w:r>
      </w:hyperlink>
      <w:r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  <w:vertAlign w:val="superscript"/>
        </w:rPr>
        <w:t>b)</w:t>
      </w:r>
      <w:hyperlink r:id="rId6" w:history="1">
        <w:r>
          <w:rPr>
            <w:rStyle w:val="Hyperlink"/>
            <w:rFonts w:cstheme="minorHAnsi"/>
            <w:i/>
            <w:iCs/>
          </w:rPr>
          <w:t>s</w:t>
        </w:r>
      </w:hyperlink>
      <w:r>
        <w:rPr>
          <w:rStyle w:val="Hyperlink"/>
          <w:rFonts w:cstheme="minorHAnsi"/>
          <w:i/>
          <w:iCs/>
        </w:rPr>
        <w:t xml:space="preserve"> </w:t>
      </w:r>
      <w:hyperlink r:id="rId7" w:history="1">
        <w:r w:rsidRPr="00616757">
          <w:rPr>
            <w:rStyle w:val="Hyperlink"/>
            <w:rFonts w:cstheme="minorHAnsi"/>
            <w:i/>
            <w:iCs/>
          </w:rPr>
          <w:t>prawira@bapeten.go.id</w:t>
        </w:r>
      </w:hyperlink>
      <w:r>
        <w:rPr>
          <w:rFonts w:cstheme="minorHAnsi"/>
          <w:i/>
          <w:iCs/>
        </w:rPr>
        <w:t xml:space="preserve"> </w:t>
      </w:r>
    </w:p>
    <w:p w14:paraId="0FDC5159" w14:textId="77777777" w:rsidR="00407772" w:rsidRDefault="00407772" w:rsidP="00407772">
      <w:pPr>
        <w:pStyle w:val="BodyText"/>
        <w:spacing w:before="233"/>
      </w:pPr>
    </w:p>
    <w:p w14:paraId="4EAED06B" w14:textId="77777777" w:rsidR="00AF00D6" w:rsidRPr="007235F1" w:rsidRDefault="00AF00D6" w:rsidP="00AF00D6">
      <w:pPr>
        <w:spacing w:after="160"/>
        <w:jc w:val="center"/>
        <w:rPr>
          <w:rFonts w:eastAsiaTheme="minorEastAsia"/>
          <w:b/>
          <w:sz w:val="20"/>
          <w:szCs w:val="20"/>
          <w:lang w:eastAsia="ko-KR"/>
        </w:rPr>
      </w:pPr>
      <w:r w:rsidRPr="007235F1">
        <w:rPr>
          <w:rFonts w:eastAsiaTheme="minorEastAsia"/>
          <w:b/>
          <w:sz w:val="20"/>
          <w:szCs w:val="20"/>
          <w:lang w:eastAsia="ko-KR"/>
        </w:rPr>
        <w:t>Abstract</w:t>
      </w:r>
    </w:p>
    <w:p w14:paraId="187C9589" w14:textId="77777777" w:rsidR="00594096" w:rsidRDefault="00594096" w:rsidP="002B007D">
      <w:pPr>
        <w:jc w:val="both"/>
        <w:rPr>
          <w:i/>
          <w:iCs/>
        </w:rPr>
      </w:pPr>
    </w:p>
    <w:p w14:paraId="475A44EA" w14:textId="77777777" w:rsidR="00594096" w:rsidRPr="007913D8" w:rsidRDefault="00594096" w:rsidP="002B007D">
      <w:pPr>
        <w:jc w:val="both"/>
        <w:rPr>
          <w:i/>
          <w:iCs/>
        </w:rPr>
      </w:pPr>
    </w:p>
    <w:p w14:paraId="4BD6A2F6" w14:textId="75F7147C" w:rsidR="00661D1B" w:rsidRDefault="00661D1B" w:rsidP="00661D1B">
      <w:pPr>
        <w:spacing w:after="160"/>
        <w:jc w:val="both"/>
      </w:pPr>
      <w:r>
        <w:t>In 2015, the Indonesian government issued the Government Regulation on the Safety and Security of Transport</w:t>
      </w:r>
      <w:r w:rsidR="0052166B">
        <w:t xml:space="preserve"> of</w:t>
      </w:r>
      <w:r>
        <w:t xml:space="preserve"> Radioactive Materials (GR 58/2015), which was developed based on the SSR 6/2012</w:t>
      </w:r>
      <w:r w:rsidR="00EA0055">
        <w:t>.</w:t>
      </w:r>
      <w:r>
        <w:t xml:space="preserve"> Since then, th</w:t>
      </w:r>
      <w:r w:rsidR="007E19D8">
        <w:t>is</w:t>
      </w:r>
      <w:r>
        <w:t xml:space="preserve"> IAEA safety standard has been </w:t>
      </w:r>
      <w:r w:rsidR="00B273BC">
        <w:t>revised</w:t>
      </w:r>
      <w:r w:rsidR="007E19D8">
        <w:t xml:space="preserve"> into</w:t>
      </w:r>
      <w:r>
        <w:t xml:space="preserve"> SSR 6 </w:t>
      </w:r>
      <w:r w:rsidRPr="00926E75">
        <w:t>rev.1</w:t>
      </w:r>
      <w:r w:rsidR="00261332">
        <w:t xml:space="preserve"> in 2018</w:t>
      </w:r>
      <w:r w:rsidR="00EA0055">
        <w:t>.</w:t>
      </w:r>
      <w:r w:rsidRPr="00926E75">
        <w:t xml:space="preserve"> </w:t>
      </w:r>
      <w:r w:rsidR="00276681">
        <w:t>Some improvement</w:t>
      </w:r>
      <w:r w:rsidR="009F4D7A">
        <w:t>s</w:t>
      </w:r>
      <w:r w:rsidR="00276681">
        <w:t xml:space="preserve"> in SSR-6/2018 </w:t>
      </w:r>
      <w:r w:rsidR="00850679">
        <w:t>m</w:t>
      </w:r>
      <w:r w:rsidR="00D335AF">
        <w:t>ay</w:t>
      </w:r>
      <w:r w:rsidR="00850679">
        <w:t xml:space="preserve"> impact the implementation </w:t>
      </w:r>
      <w:r w:rsidR="002E6B38">
        <w:t xml:space="preserve">and </w:t>
      </w:r>
      <w:r w:rsidR="009F4D7A">
        <w:t>necessitat</w:t>
      </w:r>
      <w:r w:rsidR="002E6B38">
        <w:t xml:space="preserve">e </w:t>
      </w:r>
      <w:r w:rsidR="009F4D7A">
        <w:t>updates</w:t>
      </w:r>
      <w:r w:rsidR="002E6B38">
        <w:t xml:space="preserve"> to </w:t>
      </w:r>
      <w:r w:rsidR="00F16A69">
        <w:t>the</w:t>
      </w:r>
      <w:r w:rsidR="002E6B38">
        <w:t xml:space="preserve"> </w:t>
      </w:r>
      <w:r w:rsidR="008254AF">
        <w:t>regulation in Indonesia. In</w:t>
      </w:r>
      <w:r w:rsidR="008A7FBA">
        <w:t xml:space="preserve"> </w:t>
      </w:r>
      <w:r w:rsidR="008254AF">
        <w:t>add</w:t>
      </w:r>
      <w:r w:rsidR="008A7FBA">
        <w:t>ition</w:t>
      </w:r>
      <w:r w:rsidR="001F4027">
        <w:t xml:space="preserve">, since the regulation </w:t>
      </w:r>
      <w:r w:rsidR="00151B39" w:rsidRPr="008302F8">
        <w:t xml:space="preserve">was </w:t>
      </w:r>
      <w:r w:rsidR="001F4027" w:rsidRPr="008302F8">
        <w:t>issued in 2015, t</w:t>
      </w:r>
      <w:r w:rsidR="00F44B6A" w:rsidRPr="008302F8">
        <w:t xml:space="preserve">he implementation </w:t>
      </w:r>
      <w:r w:rsidR="00DB13CB" w:rsidRPr="008302F8">
        <w:t xml:space="preserve">issues </w:t>
      </w:r>
      <w:r w:rsidR="00F44B6A" w:rsidRPr="008302F8">
        <w:t xml:space="preserve">need to be </w:t>
      </w:r>
      <w:proofErr w:type="spellStart"/>
      <w:r w:rsidR="00F44B6A" w:rsidRPr="008302F8">
        <w:t>analysed</w:t>
      </w:r>
      <w:proofErr w:type="spellEnd"/>
      <w:r w:rsidR="00F44B6A" w:rsidRPr="008302F8">
        <w:t xml:space="preserve"> due to the </w:t>
      </w:r>
      <w:r w:rsidR="008C4958" w:rsidRPr="008302F8">
        <w:t>development of nuclear application</w:t>
      </w:r>
      <w:r w:rsidR="001938BA" w:rsidRPr="008302F8">
        <w:t>s</w:t>
      </w:r>
      <w:r w:rsidR="008C4958" w:rsidRPr="008302F8">
        <w:t xml:space="preserve"> in Indo</w:t>
      </w:r>
      <w:r w:rsidR="00133E13" w:rsidRPr="008302F8">
        <w:t>ne</w:t>
      </w:r>
      <w:r w:rsidR="008C4958" w:rsidRPr="008302F8">
        <w:t>sia</w:t>
      </w:r>
      <w:r w:rsidR="00F44B6A" w:rsidRPr="008302F8">
        <w:t xml:space="preserve">. </w:t>
      </w:r>
      <w:r w:rsidRPr="008302F8">
        <w:t xml:space="preserve">This study conducts </w:t>
      </w:r>
      <w:r w:rsidR="000E17D4" w:rsidRPr="008302F8">
        <w:t>a</w:t>
      </w:r>
      <w:r w:rsidRPr="008302F8">
        <w:t xml:space="preserve"> regulatory impact analysis of the regulation regarding the safety of t</w:t>
      </w:r>
      <w:r w:rsidR="000E17D4" w:rsidRPr="008302F8">
        <w:t>ransporting</w:t>
      </w:r>
      <w:r w:rsidRPr="008302F8">
        <w:t xml:space="preserve"> radioactive materials in Indonesia</w:t>
      </w:r>
      <w:bookmarkStart w:id="0" w:name="OLE_LINK1"/>
      <w:r w:rsidR="00067C26" w:rsidRPr="008302F8">
        <w:t xml:space="preserve"> </w:t>
      </w:r>
      <w:r w:rsidR="00806AE8" w:rsidRPr="008302F8">
        <w:t>and</w:t>
      </w:r>
      <w:r w:rsidRPr="008302F8">
        <w:t xml:space="preserve"> provide</w:t>
      </w:r>
      <w:r w:rsidR="00806AE8" w:rsidRPr="008302F8">
        <w:t>s</w:t>
      </w:r>
      <w:r w:rsidRPr="008302F8">
        <w:t xml:space="preserve"> recommendations to the authority </w:t>
      </w:r>
      <w:r w:rsidR="000E17D4" w:rsidRPr="008302F8">
        <w:t>for</w:t>
      </w:r>
      <w:r w:rsidRPr="008302F8">
        <w:t xml:space="preserve"> </w:t>
      </w:r>
      <w:r w:rsidR="005060E5" w:rsidRPr="008302F8">
        <w:t>future</w:t>
      </w:r>
      <w:r w:rsidRPr="008302F8">
        <w:t xml:space="preserve"> </w:t>
      </w:r>
      <w:r w:rsidR="005060E5" w:rsidRPr="008302F8">
        <w:t>improvement</w:t>
      </w:r>
      <w:r w:rsidR="000E17D4" w:rsidRPr="008302F8">
        <w:t>s</w:t>
      </w:r>
      <w:r w:rsidRPr="008302F8">
        <w:t xml:space="preserve"> in </w:t>
      </w:r>
      <w:r w:rsidR="005060E5" w:rsidRPr="008302F8">
        <w:t>regulations</w:t>
      </w:r>
      <w:r w:rsidR="00EA0055" w:rsidRPr="008302F8">
        <w:t>.</w:t>
      </w:r>
      <w:bookmarkEnd w:id="0"/>
      <w:r w:rsidR="00EA0055" w:rsidRPr="008302F8">
        <w:t xml:space="preserve"> </w:t>
      </w:r>
      <w:r w:rsidRPr="008302F8">
        <w:t xml:space="preserve">The method </w:t>
      </w:r>
      <w:r w:rsidR="00FE5181" w:rsidRPr="008302F8">
        <w:t>employ</w:t>
      </w:r>
      <w:r w:rsidRPr="008302F8">
        <w:t xml:space="preserve">ed is the Regulatory Impact Assessment </w:t>
      </w:r>
      <w:r w:rsidR="008C69BF" w:rsidRPr="008302F8">
        <w:t xml:space="preserve">(RIA), combined with Multi-Criteria Decision Analysis (MCDA), which </w:t>
      </w:r>
      <w:r w:rsidR="00FE5181" w:rsidRPr="008302F8">
        <w:t>provides</w:t>
      </w:r>
      <w:r w:rsidR="008C69BF" w:rsidRPr="008302F8">
        <w:t xml:space="preserve"> recommendations for decision-makers considering </w:t>
      </w:r>
      <w:r w:rsidR="00A34B32" w:rsidRPr="008302F8">
        <w:t>the</w:t>
      </w:r>
      <w:r w:rsidR="008C69BF" w:rsidRPr="008302F8">
        <w:t xml:space="preserve"> rankings of preferences</w:t>
      </w:r>
      <w:r w:rsidR="00A34B32" w:rsidRPr="008302F8">
        <w:t xml:space="preserve"> from multiple stakeholders</w:t>
      </w:r>
      <w:r w:rsidR="008C69BF" w:rsidRPr="008302F8">
        <w:t>.</w:t>
      </w:r>
      <w:r w:rsidR="00EA0055" w:rsidRPr="008302F8">
        <w:t xml:space="preserve"> </w:t>
      </w:r>
      <w:r w:rsidR="009C3337" w:rsidRPr="008302F8">
        <w:t xml:space="preserve">The study shows </w:t>
      </w:r>
      <w:r w:rsidRPr="008302F8">
        <w:t xml:space="preserve">that </w:t>
      </w:r>
      <w:r w:rsidR="00C63A59" w:rsidRPr="008302F8">
        <w:t xml:space="preserve">to keep updated </w:t>
      </w:r>
      <w:r w:rsidR="00274DCA" w:rsidRPr="008302F8">
        <w:t>with the IAEA</w:t>
      </w:r>
      <w:r w:rsidR="009315E9" w:rsidRPr="008302F8">
        <w:t>’s</w:t>
      </w:r>
      <w:r w:rsidR="00274DCA" w:rsidRPr="008302F8">
        <w:t xml:space="preserve"> latest standard</w:t>
      </w:r>
      <w:r w:rsidR="00723DBC" w:rsidRPr="008302F8">
        <w:t xml:space="preserve">, </w:t>
      </w:r>
      <w:r w:rsidRPr="008302F8">
        <w:t xml:space="preserve">several changes to the regulation are </w:t>
      </w:r>
      <w:r w:rsidR="00723DBC" w:rsidRPr="008302F8">
        <w:t>required</w:t>
      </w:r>
      <w:r w:rsidR="00123FD2" w:rsidRPr="008302F8">
        <w:t xml:space="preserve">, such as </w:t>
      </w:r>
      <w:r w:rsidR="001E0FFB" w:rsidRPr="008302F8">
        <w:t xml:space="preserve">adding </w:t>
      </w:r>
      <w:r w:rsidR="00E36903" w:rsidRPr="008302F8">
        <w:t>the Surface Contaminated Object-III (SCO-III)</w:t>
      </w:r>
      <w:r w:rsidR="006A506D" w:rsidRPr="008302F8">
        <w:t>,</w:t>
      </w:r>
      <w:r w:rsidR="00E36903" w:rsidRPr="008302F8">
        <w:t xml:space="preserve"> </w:t>
      </w:r>
      <w:r w:rsidR="006A506D" w:rsidRPr="008302F8">
        <w:t>which</w:t>
      </w:r>
      <w:r w:rsidRPr="008302F8">
        <w:t xml:space="preserve"> could be a solution for the transportation of large-sized materials that are activated or contaminated, such as radioactive waste from the process of upgrading or decommissioning a reactor.</w:t>
      </w:r>
      <w:r w:rsidRPr="008302F8">
        <w:rPr>
          <w:rFonts w:eastAsiaTheme="minorEastAsia"/>
          <w:bCs/>
          <w:sz w:val="20"/>
          <w:szCs w:val="20"/>
          <w:lang w:eastAsia="ko-KR"/>
        </w:rPr>
        <w:t xml:space="preserve"> </w:t>
      </w:r>
      <w:r w:rsidRPr="008302F8">
        <w:t xml:space="preserve">Moreover, </w:t>
      </w:r>
      <w:r w:rsidR="007B4FF6" w:rsidRPr="008302F8">
        <w:t>t</w:t>
      </w:r>
      <w:r w:rsidRPr="008302F8">
        <w:t>he provision for transportation under the special arrangements is also an important aspect that should be included in the regulation</w:t>
      </w:r>
      <w:r w:rsidR="00AC07C0">
        <w:t xml:space="preserve">. </w:t>
      </w:r>
      <w:r w:rsidR="006677E8">
        <w:t>Besides</w:t>
      </w:r>
      <w:r w:rsidR="00AC07C0">
        <w:t xml:space="preserve"> being in line with international practice</w:t>
      </w:r>
      <w:r w:rsidR="006677E8">
        <w:t>,</w:t>
      </w:r>
      <w:r w:rsidR="006729EC" w:rsidRPr="008302F8">
        <w:t xml:space="preserve"> </w:t>
      </w:r>
      <w:r w:rsidR="006677E8">
        <w:t xml:space="preserve">the special arrangement </w:t>
      </w:r>
      <w:r w:rsidR="006729EC" w:rsidRPr="008302F8">
        <w:t xml:space="preserve">is </w:t>
      </w:r>
      <w:r w:rsidR="00CE2AB1" w:rsidRPr="008302F8">
        <w:t xml:space="preserve">a possible </w:t>
      </w:r>
      <w:r w:rsidRPr="008302F8">
        <w:t>option in situations where some administrative requirements are impracticable</w:t>
      </w:r>
      <w:r w:rsidRPr="00507E16">
        <w:t xml:space="preserve">. </w:t>
      </w:r>
      <w:r w:rsidR="00014C62" w:rsidRPr="00507E16">
        <w:t>The competent authority may approve special arrangements for transport operations for a single consignment or a planned series of multiple consignments.</w:t>
      </w:r>
      <w:r w:rsidR="00014C62" w:rsidRPr="00556417">
        <w:t xml:space="preserve"> </w:t>
      </w:r>
      <w:r w:rsidR="00014C62">
        <w:t xml:space="preserve">Adding the special arrangement provision also affects the provision for </w:t>
      </w:r>
      <w:r w:rsidR="00754B65">
        <w:t xml:space="preserve">transactional </w:t>
      </w:r>
      <w:r w:rsidR="00014C62">
        <w:t>shipment approval for transportation under special arrangements.</w:t>
      </w:r>
      <w:r w:rsidR="00C05252">
        <w:t xml:space="preserve"> </w:t>
      </w:r>
      <w:r w:rsidR="00ED3442">
        <w:t xml:space="preserve">The </w:t>
      </w:r>
      <w:r w:rsidR="0057770D">
        <w:t>lack</w:t>
      </w:r>
      <w:r w:rsidR="00ED3442">
        <w:t xml:space="preserve"> of </w:t>
      </w:r>
      <w:r w:rsidR="0057770D">
        <w:t xml:space="preserve">a </w:t>
      </w:r>
      <w:r w:rsidR="00ED3442">
        <w:t xml:space="preserve">graded approach to apply shipment approval </w:t>
      </w:r>
      <w:r w:rsidR="0057770D">
        <w:t>causes</w:t>
      </w:r>
      <w:r w:rsidR="00D91A6C" w:rsidRPr="008302F8">
        <w:t xml:space="preserve"> difficulties</w:t>
      </w:r>
      <w:r w:rsidRPr="008302F8">
        <w:t xml:space="preserve">, as some activities, such as well logging and radiopharmaceuticals, require frequent movement. </w:t>
      </w:r>
      <w:r w:rsidR="00C31EF2">
        <w:t xml:space="preserve">Furthermore, the </w:t>
      </w:r>
      <w:r w:rsidR="00791838">
        <w:t>lack of</w:t>
      </w:r>
      <w:r w:rsidR="00C31EF2">
        <w:t xml:space="preserve"> coordination betw</w:t>
      </w:r>
      <w:r w:rsidR="00791838">
        <w:t xml:space="preserve">een authorities is also </w:t>
      </w:r>
      <w:r w:rsidR="00F62AD2">
        <w:t>an</w:t>
      </w:r>
      <w:r w:rsidR="00791838">
        <w:t xml:space="preserve"> important issue</w:t>
      </w:r>
      <w:r w:rsidR="00D74B20">
        <w:t xml:space="preserve"> that </w:t>
      </w:r>
      <w:r w:rsidR="002E3E57">
        <w:t>causes</w:t>
      </w:r>
      <w:r w:rsidR="00D74B20">
        <w:t xml:space="preserve"> </w:t>
      </w:r>
      <w:r w:rsidR="009B0F1C">
        <w:t xml:space="preserve">difficulties for carriers to gain </w:t>
      </w:r>
      <w:r w:rsidR="002E3E57">
        <w:t xml:space="preserve">a </w:t>
      </w:r>
      <w:r w:rsidR="009B0F1C">
        <w:t xml:space="preserve">license </w:t>
      </w:r>
      <w:r w:rsidR="002E3E57">
        <w:t>for</w:t>
      </w:r>
      <w:r w:rsidR="009B0F1C">
        <w:t xml:space="preserve"> </w:t>
      </w:r>
      <w:r w:rsidR="002E3E57">
        <w:t xml:space="preserve">the </w:t>
      </w:r>
      <w:r w:rsidR="009B0F1C">
        <w:t xml:space="preserve">transportation of </w:t>
      </w:r>
      <w:r w:rsidR="00601C76">
        <w:t xml:space="preserve">hazardous materials under exclusive use. </w:t>
      </w:r>
      <w:r w:rsidR="00791838">
        <w:t xml:space="preserve">The </w:t>
      </w:r>
      <w:r w:rsidR="00E53BB6">
        <w:t xml:space="preserve">MCDA is conducted by </w:t>
      </w:r>
      <w:r w:rsidR="002410A8">
        <w:t xml:space="preserve">setting the fundamental objective of the </w:t>
      </w:r>
      <w:r w:rsidR="00E12611">
        <w:t>safety of the transportation of radioactive material</w:t>
      </w:r>
      <w:r w:rsidR="005F033F">
        <w:t xml:space="preserve"> and some </w:t>
      </w:r>
      <w:r w:rsidR="00256362">
        <w:t>specific</w:t>
      </w:r>
      <w:r w:rsidR="005F033F">
        <w:t xml:space="preserve"> objectives, such as </w:t>
      </w:r>
      <w:r w:rsidR="00256362">
        <w:t>increasing</w:t>
      </w:r>
      <w:r w:rsidR="005B5EB5">
        <w:t xml:space="preserve"> the </w:t>
      </w:r>
      <w:r w:rsidR="005F033F">
        <w:t>regulation align</w:t>
      </w:r>
      <w:r w:rsidR="005B5EB5">
        <w:t>me</w:t>
      </w:r>
      <w:r w:rsidR="00191E45">
        <w:t>nt</w:t>
      </w:r>
      <w:r w:rsidR="005F033F">
        <w:t xml:space="preserve"> with </w:t>
      </w:r>
      <w:r w:rsidR="00256362">
        <w:t xml:space="preserve">the </w:t>
      </w:r>
      <w:r w:rsidR="005F033F">
        <w:t xml:space="preserve">latest IAEA standard, </w:t>
      </w:r>
      <w:r w:rsidR="00256362">
        <w:t>increasing</w:t>
      </w:r>
      <w:r w:rsidR="005B5EB5">
        <w:t xml:space="preserve"> the </w:t>
      </w:r>
      <w:r w:rsidR="003E7544">
        <w:t xml:space="preserve">harmonized regulation, </w:t>
      </w:r>
      <w:r w:rsidR="00256362">
        <w:t>reducing</w:t>
      </w:r>
      <w:r w:rsidR="003E7544">
        <w:t xml:space="preserve"> the cost for </w:t>
      </w:r>
      <w:r w:rsidR="00256362">
        <w:t xml:space="preserve">the </w:t>
      </w:r>
      <w:r w:rsidR="003E7544">
        <w:t>authority and</w:t>
      </w:r>
      <w:r w:rsidR="00E12611">
        <w:t xml:space="preserve"> </w:t>
      </w:r>
      <w:r w:rsidR="00861858">
        <w:t xml:space="preserve">consignors, </w:t>
      </w:r>
      <w:r w:rsidR="00256362">
        <w:t>and increasing</w:t>
      </w:r>
      <w:r w:rsidR="00191E45">
        <w:t xml:space="preserve"> </w:t>
      </w:r>
      <w:r w:rsidR="00256362">
        <w:t xml:space="preserve">the </w:t>
      </w:r>
      <w:r w:rsidR="00191E45">
        <w:t xml:space="preserve">implementation of the </w:t>
      </w:r>
      <w:r w:rsidR="001F6487">
        <w:t>regulation</w:t>
      </w:r>
      <w:r w:rsidR="00747E20">
        <w:t xml:space="preserve"> to the operators. </w:t>
      </w:r>
      <w:r w:rsidR="00F5010C">
        <w:t xml:space="preserve">To achieve the objectives, the </w:t>
      </w:r>
      <w:r w:rsidR="00256362">
        <w:t>attributes</w:t>
      </w:r>
      <w:r w:rsidR="00F5010C">
        <w:t xml:space="preserve"> and the </w:t>
      </w:r>
      <w:r w:rsidR="00033F99">
        <w:t xml:space="preserve">performance </w:t>
      </w:r>
      <w:r w:rsidR="00F5010C">
        <w:t xml:space="preserve">measurement </w:t>
      </w:r>
      <w:r w:rsidR="00256362">
        <w:t>are</w:t>
      </w:r>
      <w:r w:rsidR="004B6E02">
        <w:t xml:space="preserve"> created. </w:t>
      </w:r>
      <w:r w:rsidR="00424F8D">
        <w:t xml:space="preserve">To find the best recommendation, </w:t>
      </w:r>
      <w:r w:rsidR="004B6E02">
        <w:t>several alternative</w:t>
      </w:r>
      <w:r w:rsidR="0041082A">
        <w:t>s</w:t>
      </w:r>
      <w:r w:rsidR="004B6E02">
        <w:t xml:space="preserve"> </w:t>
      </w:r>
      <w:r w:rsidR="00256362">
        <w:t>are</w:t>
      </w:r>
      <w:r w:rsidR="004B6E02">
        <w:t xml:space="preserve"> created</w:t>
      </w:r>
      <w:r w:rsidR="00256362">
        <w:t>,</w:t>
      </w:r>
      <w:r w:rsidR="004B6E02">
        <w:t xml:space="preserve"> </w:t>
      </w:r>
      <w:r w:rsidR="00256362">
        <w:t>including</w:t>
      </w:r>
      <w:r w:rsidR="00645622">
        <w:t xml:space="preserve"> the actions to support the </w:t>
      </w:r>
      <w:r w:rsidR="009440E4">
        <w:t>alternative objectives</w:t>
      </w:r>
      <w:r w:rsidR="001E7ED2">
        <w:t xml:space="preserve">. </w:t>
      </w:r>
      <w:r w:rsidR="009440E4">
        <w:t>Using the MCDA, t</w:t>
      </w:r>
      <w:r w:rsidR="001E7ED2">
        <w:t xml:space="preserve">he </w:t>
      </w:r>
      <w:r w:rsidR="009440E4">
        <w:t xml:space="preserve">different </w:t>
      </w:r>
      <w:r w:rsidR="001E7ED2">
        <w:t>stakeholders</w:t>
      </w:r>
      <w:r w:rsidR="009440E4">
        <w:t>’ view is considered</w:t>
      </w:r>
      <w:r w:rsidR="006E46F6">
        <w:t xml:space="preserve">. The stakeholders’ </w:t>
      </w:r>
      <w:r w:rsidR="00B91DA7">
        <w:t>opinions</w:t>
      </w:r>
      <w:r w:rsidR="001E7ED2">
        <w:t xml:space="preserve"> that </w:t>
      </w:r>
      <w:r w:rsidR="00D15F98">
        <w:t>are</w:t>
      </w:r>
      <w:r w:rsidR="001E7ED2">
        <w:t xml:space="preserve"> included in the analysis are the regulatory body, operators or consignors, </w:t>
      </w:r>
      <w:r w:rsidR="0041082A">
        <w:t>c</w:t>
      </w:r>
      <w:r w:rsidR="001E7ED2">
        <w:t xml:space="preserve">onsignee, </w:t>
      </w:r>
      <w:r w:rsidR="0041082A">
        <w:t>and the public.</w:t>
      </w:r>
      <w:r w:rsidR="001F6487">
        <w:t xml:space="preserve"> </w:t>
      </w:r>
      <w:r w:rsidR="00D15F98">
        <w:t xml:space="preserve">Each stakeholder </w:t>
      </w:r>
      <w:r w:rsidR="003668CD">
        <w:t>give</w:t>
      </w:r>
      <w:r w:rsidR="0068355C">
        <w:t>s</w:t>
      </w:r>
      <w:r w:rsidR="003668CD">
        <w:t xml:space="preserve"> the scale of each</w:t>
      </w:r>
      <w:r w:rsidR="00035812">
        <w:t xml:space="preserve"> </w:t>
      </w:r>
      <w:r w:rsidR="003668CD">
        <w:t>alternative</w:t>
      </w:r>
      <w:r w:rsidR="0068355C">
        <w:t>.</w:t>
      </w:r>
      <w:r w:rsidR="003668CD">
        <w:t xml:space="preserve"> </w:t>
      </w:r>
      <w:r w:rsidR="00812664" w:rsidRPr="008302F8">
        <w:lastRenderedPageBreak/>
        <w:t xml:space="preserve">After combining all stakeholder views, the results </w:t>
      </w:r>
      <w:r w:rsidR="00447224" w:rsidRPr="008302F8">
        <w:t>indicate</w:t>
      </w:r>
      <w:r w:rsidR="00812664" w:rsidRPr="008302F8">
        <w:t xml:space="preserve"> that </w:t>
      </w:r>
      <w:r w:rsidR="00447686" w:rsidRPr="008302F8">
        <w:t xml:space="preserve">a </w:t>
      </w:r>
      <w:r w:rsidR="00812664" w:rsidRPr="008302F8">
        <w:t xml:space="preserve">minimal change </w:t>
      </w:r>
      <w:r w:rsidR="00447224" w:rsidRPr="008302F8">
        <w:t>to</w:t>
      </w:r>
      <w:r w:rsidR="00D6353D" w:rsidRPr="008302F8">
        <w:t xml:space="preserve"> the GR 58/2015 </w:t>
      </w:r>
      <w:r w:rsidR="00812664" w:rsidRPr="008302F8">
        <w:t xml:space="preserve">is the best option and </w:t>
      </w:r>
      <w:r w:rsidR="00447224" w:rsidRPr="008302F8">
        <w:t xml:space="preserve">is </w:t>
      </w:r>
      <w:r w:rsidR="00812664" w:rsidRPr="008302F8">
        <w:t xml:space="preserve">recommended based on </w:t>
      </w:r>
      <w:r w:rsidR="00447224" w:rsidRPr="008302F8">
        <w:t xml:space="preserve">the </w:t>
      </w:r>
      <w:r w:rsidR="00812664" w:rsidRPr="008302F8">
        <w:t>MCDA calculation. As for the second alternative, the comprehensive change can be another option to consider</w:t>
      </w:r>
      <w:r w:rsidR="00741531" w:rsidRPr="008302F8">
        <w:t>.</w:t>
      </w:r>
      <w:r w:rsidR="00543114">
        <w:t xml:space="preserve"> </w:t>
      </w:r>
      <w:r w:rsidR="00212E45">
        <w:t xml:space="preserve">It is recommended to </w:t>
      </w:r>
      <w:r w:rsidR="00EE06BE">
        <w:t xml:space="preserve">have </w:t>
      </w:r>
      <w:r w:rsidR="00940360">
        <w:t xml:space="preserve">a </w:t>
      </w:r>
      <w:r w:rsidR="00EE06BE">
        <w:t>more comprehensive study</w:t>
      </w:r>
      <w:r w:rsidR="00CF7721">
        <w:t xml:space="preserve"> by </w:t>
      </w:r>
      <w:r w:rsidR="0095144D">
        <w:t>increasing the participation</w:t>
      </w:r>
      <w:r w:rsidR="00EE06BE">
        <w:t xml:space="preserve"> of stakeholders </w:t>
      </w:r>
      <w:r w:rsidR="0095144D">
        <w:t xml:space="preserve">to give their </w:t>
      </w:r>
      <w:r w:rsidR="00033655">
        <w:t>preferred</w:t>
      </w:r>
      <w:r w:rsidR="0095144D">
        <w:t xml:space="preserve"> </w:t>
      </w:r>
      <w:r w:rsidR="007020CF">
        <w:t>alternative</w:t>
      </w:r>
      <w:r w:rsidR="00033655">
        <w:t>,</w:t>
      </w:r>
      <w:r w:rsidR="007020CF">
        <w:t xml:space="preserve"> including</w:t>
      </w:r>
      <w:r w:rsidR="00EE06BE">
        <w:t xml:space="preserve"> the </w:t>
      </w:r>
      <w:r w:rsidR="001D05BB">
        <w:t>consignor</w:t>
      </w:r>
      <w:r w:rsidR="00033655">
        <w:t>s</w:t>
      </w:r>
      <w:r w:rsidR="00D05E29">
        <w:t>, carriers,</w:t>
      </w:r>
      <w:r w:rsidR="001D05BB">
        <w:t xml:space="preserve"> and consignee</w:t>
      </w:r>
      <w:r w:rsidR="00033655">
        <w:t>s</w:t>
      </w:r>
      <w:r w:rsidR="00EE06BE">
        <w:t>.</w:t>
      </w:r>
    </w:p>
    <w:p w14:paraId="043692A2" w14:textId="77777777" w:rsidR="00661D1B" w:rsidRDefault="00661D1B" w:rsidP="00661D1B">
      <w:pPr>
        <w:jc w:val="both"/>
      </w:pPr>
    </w:p>
    <w:p w14:paraId="3CA40D78" w14:textId="06ABC314" w:rsidR="00661D1B" w:rsidRDefault="00661D1B" w:rsidP="00661D1B">
      <w:pPr>
        <w:jc w:val="both"/>
        <w:rPr>
          <w:i/>
          <w:iCs/>
        </w:rPr>
      </w:pPr>
      <w:r w:rsidRPr="007265E3">
        <w:rPr>
          <w:b/>
          <w:bCs/>
          <w:i/>
          <w:iCs/>
        </w:rPr>
        <w:t>Keywords</w:t>
      </w:r>
      <w:r w:rsidRPr="007913D8">
        <w:rPr>
          <w:i/>
          <w:iCs/>
        </w:rPr>
        <w:t xml:space="preserve">: </w:t>
      </w:r>
      <w:r>
        <w:rPr>
          <w:i/>
          <w:iCs/>
        </w:rPr>
        <w:t>transportation of radioactive materials, safety on transport, transport regulation, SSR-6.</w:t>
      </w:r>
    </w:p>
    <w:p w14:paraId="23A50726" w14:textId="77777777" w:rsidR="00407772" w:rsidRDefault="00407772" w:rsidP="00407772">
      <w:pPr>
        <w:jc w:val="both"/>
      </w:pPr>
    </w:p>
    <w:p w14:paraId="16A50D98" w14:textId="77777777" w:rsidR="00AE57FD" w:rsidRDefault="00AE57FD" w:rsidP="00407772">
      <w:pPr>
        <w:jc w:val="both"/>
      </w:pPr>
    </w:p>
    <w:sectPr w:rsidR="00AE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E1613"/>
    <w:multiLevelType w:val="multilevel"/>
    <w:tmpl w:val="66BE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72"/>
    <w:rsid w:val="00014C62"/>
    <w:rsid w:val="000176F6"/>
    <w:rsid w:val="000329B6"/>
    <w:rsid w:val="00033655"/>
    <w:rsid w:val="00033F99"/>
    <w:rsid w:val="00033FA5"/>
    <w:rsid w:val="00035812"/>
    <w:rsid w:val="00067C26"/>
    <w:rsid w:val="00077339"/>
    <w:rsid w:val="0008744F"/>
    <w:rsid w:val="000902B8"/>
    <w:rsid w:val="000A2B50"/>
    <w:rsid w:val="000B1DBA"/>
    <w:rsid w:val="000D286A"/>
    <w:rsid w:val="000E000F"/>
    <w:rsid w:val="000E17D4"/>
    <w:rsid w:val="000F106A"/>
    <w:rsid w:val="000F426C"/>
    <w:rsid w:val="000F4778"/>
    <w:rsid w:val="0010297A"/>
    <w:rsid w:val="00115CEE"/>
    <w:rsid w:val="00123FD2"/>
    <w:rsid w:val="001271C1"/>
    <w:rsid w:val="00133E13"/>
    <w:rsid w:val="001454B9"/>
    <w:rsid w:val="00151B39"/>
    <w:rsid w:val="001557DB"/>
    <w:rsid w:val="00166818"/>
    <w:rsid w:val="00191E45"/>
    <w:rsid w:val="001938BA"/>
    <w:rsid w:val="001B2B9A"/>
    <w:rsid w:val="001B6AD1"/>
    <w:rsid w:val="001C47F2"/>
    <w:rsid w:val="001C7125"/>
    <w:rsid w:val="001D05BB"/>
    <w:rsid w:val="001E0FFB"/>
    <w:rsid w:val="001E1750"/>
    <w:rsid w:val="001E7ED2"/>
    <w:rsid w:val="001F4027"/>
    <w:rsid w:val="001F6487"/>
    <w:rsid w:val="00200A6F"/>
    <w:rsid w:val="00212E45"/>
    <w:rsid w:val="00222227"/>
    <w:rsid w:val="00231C81"/>
    <w:rsid w:val="00233982"/>
    <w:rsid w:val="0023592D"/>
    <w:rsid w:val="002410A8"/>
    <w:rsid w:val="0024557F"/>
    <w:rsid w:val="00256362"/>
    <w:rsid w:val="00261332"/>
    <w:rsid w:val="00270878"/>
    <w:rsid w:val="00274DCA"/>
    <w:rsid w:val="00276681"/>
    <w:rsid w:val="00280890"/>
    <w:rsid w:val="002873EA"/>
    <w:rsid w:val="00297EE9"/>
    <w:rsid w:val="002A1A12"/>
    <w:rsid w:val="002A2D78"/>
    <w:rsid w:val="002A7284"/>
    <w:rsid w:val="002B007D"/>
    <w:rsid w:val="002C1214"/>
    <w:rsid w:val="002D62FF"/>
    <w:rsid w:val="002E3E57"/>
    <w:rsid w:val="002E6B38"/>
    <w:rsid w:val="002F3BDC"/>
    <w:rsid w:val="00343760"/>
    <w:rsid w:val="0034639F"/>
    <w:rsid w:val="003668CD"/>
    <w:rsid w:val="00373AA1"/>
    <w:rsid w:val="00382D7D"/>
    <w:rsid w:val="003833EF"/>
    <w:rsid w:val="0039117E"/>
    <w:rsid w:val="003A552B"/>
    <w:rsid w:val="003C19E8"/>
    <w:rsid w:val="003D3E0D"/>
    <w:rsid w:val="003E46C4"/>
    <w:rsid w:val="003E5807"/>
    <w:rsid w:val="003E7544"/>
    <w:rsid w:val="004058AF"/>
    <w:rsid w:val="00407772"/>
    <w:rsid w:val="0041082A"/>
    <w:rsid w:val="00424F8D"/>
    <w:rsid w:val="00425B09"/>
    <w:rsid w:val="00425FBD"/>
    <w:rsid w:val="0043062E"/>
    <w:rsid w:val="00447224"/>
    <w:rsid w:val="00447686"/>
    <w:rsid w:val="00451BC2"/>
    <w:rsid w:val="0045333E"/>
    <w:rsid w:val="00453A5B"/>
    <w:rsid w:val="00453F03"/>
    <w:rsid w:val="004549D2"/>
    <w:rsid w:val="00467B86"/>
    <w:rsid w:val="00472F9F"/>
    <w:rsid w:val="004832AD"/>
    <w:rsid w:val="004A249D"/>
    <w:rsid w:val="004B6E02"/>
    <w:rsid w:val="004C3F02"/>
    <w:rsid w:val="004D20D6"/>
    <w:rsid w:val="004D5E3A"/>
    <w:rsid w:val="004F4D22"/>
    <w:rsid w:val="005060E5"/>
    <w:rsid w:val="00507340"/>
    <w:rsid w:val="00507E16"/>
    <w:rsid w:val="0052166B"/>
    <w:rsid w:val="00534583"/>
    <w:rsid w:val="00543114"/>
    <w:rsid w:val="00545DA8"/>
    <w:rsid w:val="00556417"/>
    <w:rsid w:val="00560360"/>
    <w:rsid w:val="00576536"/>
    <w:rsid w:val="0057770D"/>
    <w:rsid w:val="00594096"/>
    <w:rsid w:val="005B5EB5"/>
    <w:rsid w:val="005C0213"/>
    <w:rsid w:val="005C6270"/>
    <w:rsid w:val="005C6A59"/>
    <w:rsid w:val="005D44C4"/>
    <w:rsid w:val="005F033F"/>
    <w:rsid w:val="00601C76"/>
    <w:rsid w:val="00602064"/>
    <w:rsid w:val="00635238"/>
    <w:rsid w:val="00635802"/>
    <w:rsid w:val="00643E3F"/>
    <w:rsid w:val="00645622"/>
    <w:rsid w:val="00647CC5"/>
    <w:rsid w:val="00650016"/>
    <w:rsid w:val="00657BD6"/>
    <w:rsid w:val="00661D1B"/>
    <w:rsid w:val="006677E8"/>
    <w:rsid w:val="006729EC"/>
    <w:rsid w:val="0068355C"/>
    <w:rsid w:val="00690EFD"/>
    <w:rsid w:val="00692F66"/>
    <w:rsid w:val="00694912"/>
    <w:rsid w:val="006A506D"/>
    <w:rsid w:val="006A5C5C"/>
    <w:rsid w:val="006D79BA"/>
    <w:rsid w:val="006E4470"/>
    <w:rsid w:val="006E46F6"/>
    <w:rsid w:val="007020CF"/>
    <w:rsid w:val="00705181"/>
    <w:rsid w:val="0070601E"/>
    <w:rsid w:val="00714F60"/>
    <w:rsid w:val="00723DBC"/>
    <w:rsid w:val="007265E3"/>
    <w:rsid w:val="00734E84"/>
    <w:rsid w:val="00737FB3"/>
    <w:rsid w:val="00741531"/>
    <w:rsid w:val="00743C57"/>
    <w:rsid w:val="00747E20"/>
    <w:rsid w:val="00754B65"/>
    <w:rsid w:val="00773DD2"/>
    <w:rsid w:val="00775A8E"/>
    <w:rsid w:val="007913D8"/>
    <w:rsid w:val="00791838"/>
    <w:rsid w:val="007A7EC1"/>
    <w:rsid w:val="007B4FF6"/>
    <w:rsid w:val="007C79D4"/>
    <w:rsid w:val="007D0BF1"/>
    <w:rsid w:val="007D21BB"/>
    <w:rsid w:val="007E1699"/>
    <w:rsid w:val="007E19D8"/>
    <w:rsid w:val="007F1AFC"/>
    <w:rsid w:val="00801DDB"/>
    <w:rsid w:val="00806AE8"/>
    <w:rsid w:val="00812664"/>
    <w:rsid w:val="00822785"/>
    <w:rsid w:val="008254AF"/>
    <w:rsid w:val="00827EB3"/>
    <w:rsid w:val="008302F8"/>
    <w:rsid w:val="00831A96"/>
    <w:rsid w:val="00832D61"/>
    <w:rsid w:val="0083422C"/>
    <w:rsid w:val="00850679"/>
    <w:rsid w:val="00856BF0"/>
    <w:rsid w:val="00857650"/>
    <w:rsid w:val="00861858"/>
    <w:rsid w:val="00865919"/>
    <w:rsid w:val="0088386B"/>
    <w:rsid w:val="008A7FBA"/>
    <w:rsid w:val="008C3C59"/>
    <w:rsid w:val="008C4958"/>
    <w:rsid w:val="008C69BF"/>
    <w:rsid w:val="008D0A13"/>
    <w:rsid w:val="008F1C8F"/>
    <w:rsid w:val="0090254B"/>
    <w:rsid w:val="00914B84"/>
    <w:rsid w:val="00926E75"/>
    <w:rsid w:val="009315E9"/>
    <w:rsid w:val="00940360"/>
    <w:rsid w:val="00940C1E"/>
    <w:rsid w:val="009440E4"/>
    <w:rsid w:val="00946AB8"/>
    <w:rsid w:val="0095144D"/>
    <w:rsid w:val="00957E83"/>
    <w:rsid w:val="009664C8"/>
    <w:rsid w:val="00972442"/>
    <w:rsid w:val="0097750C"/>
    <w:rsid w:val="0098264A"/>
    <w:rsid w:val="00997CF9"/>
    <w:rsid w:val="009A18B6"/>
    <w:rsid w:val="009B0F1C"/>
    <w:rsid w:val="009B469F"/>
    <w:rsid w:val="009C23E8"/>
    <w:rsid w:val="009C3337"/>
    <w:rsid w:val="009F4D7A"/>
    <w:rsid w:val="00A34B32"/>
    <w:rsid w:val="00A50DB9"/>
    <w:rsid w:val="00A519B4"/>
    <w:rsid w:val="00A543F2"/>
    <w:rsid w:val="00A5441A"/>
    <w:rsid w:val="00A5624B"/>
    <w:rsid w:val="00A662F5"/>
    <w:rsid w:val="00A73AC2"/>
    <w:rsid w:val="00AB2214"/>
    <w:rsid w:val="00AB2E76"/>
    <w:rsid w:val="00AB3F0C"/>
    <w:rsid w:val="00AC07C0"/>
    <w:rsid w:val="00AD07F8"/>
    <w:rsid w:val="00AD2FE0"/>
    <w:rsid w:val="00AE57FD"/>
    <w:rsid w:val="00AF00D6"/>
    <w:rsid w:val="00B273BC"/>
    <w:rsid w:val="00B34880"/>
    <w:rsid w:val="00B3533B"/>
    <w:rsid w:val="00B6034F"/>
    <w:rsid w:val="00B91DA7"/>
    <w:rsid w:val="00BD39A1"/>
    <w:rsid w:val="00BE65BB"/>
    <w:rsid w:val="00BF442A"/>
    <w:rsid w:val="00C026F3"/>
    <w:rsid w:val="00C05252"/>
    <w:rsid w:val="00C31EF2"/>
    <w:rsid w:val="00C6085E"/>
    <w:rsid w:val="00C62BE3"/>
    <w:rsid w:val="00C63A59"/>
    <w:rsid w:val="00C67AE8"/>
    <w:rsid w:val="00C80C6F"/>
    <w:rsid w:val="00C90993"/>
    <w:rsid w:val="00C956B3"/>
    <w:rsid w:val="00C970A7"/>
    <w:rsid w:val="00CA29E0"/>
    <w:rsid w:val="00CD7902"/>
    <w:rsid w:val="00CE2AB1"/>
    <w:rsid w:val="00CE3600"/>
    <w:rsid w:val="00CE4DDD"/>
    <w:rsid w:val="00CF6EBD"/>
    <w:rsid w:val="00CF7721"/>
    <w:rsid w:val="00D05E29"/>
    <w:rsid w:val="00D15F98"/>
    <w:rsid w:val="00D330FF"/>
    <w:rsid w:val="00D335AF"/>
    <w:rsid w:val="00D34F1C"/>
    <w:rsid w:val="00D36142"/>
    <w:rsid w:val="00D50F47"/>
    <w:rsid w:val="00D520F8"/>
    <w:rsid w:val="00D6353D"/>
    <w:rsid w:val="00D63579"/>
    <w:rsid w:val="00D63F0B"/>
    <w:rsid w:val="00D666A6"/>
    <w:rsid w:val="00D7356A"/>
    <w:rsid w:val="00D74B20"/>
    <w:rsid w:val="00D803B1"/>
    <w:rsid w:val="00D91A6C"/>
    <w:rsid w:val="00DA0CBB"/>
    <w:rsid w:val="00DB13CB"/>
    <w:rsid w:val="00DD5A41"/>
    <w:rsid w:val="00DD66E0"/>
    <w:rsid w:val="00DE2B30"/>
    <w:rsid w:val="00DF5A60"/>
    <w:rsid w:val="00E01B0C"/>
    <w:rsid w:val="00E05D49"/>
    <w:rsid w:val="00E106C1"/>
    <w:rsid w:val="00E12611"/>
    <w:rsid w:val="00E258BB"/>
    <w:rsid w:val="00E36903"/>
    <w:rsid w:val="00E40D62"/>
    <w:rsid w:val="00E53BB6"/>
    <w:rsid w:val="00EA0055"/>
    <w:rsid w:val="00EA183C"/>
    <w:rsid w:val="00EA21A1"/>
    <w:rsid w:val="00EA3D55"/>
    <w:rsid w:val="00ED3442"/>
    <w:rsid w:val="00EE06BE"/>
    <w:rsid w:val="00EE40E6"/>
    <w:rsid w:val="00EF347B"/>
    <w:rsid w:val="00EF3A88"/>
    <w:rsid w:val="00F0095B"/>
    <w:rsid w:val="00F06A14"/>
    <w:rsid w:val="00F164AB"/>
    <w:rsid w:val="00F16A69"/>
    <w:rsid w:val="00F22B8C"/>
    <w:rsid w:val="00F30F78"/>
    <w:rsid w:val="00F345ED"/>
    <w:rsid w:val="00F44063"/>
    <w:rsid w:val="00F44B6A"/>
    <w:rsid w:val="00F5010C"/>
    <w:rsid w:val="00F52A56"/>
    <w:rsid w:val="00F62AD2"/>
    <w:rsid w:val="00F73877"/>
    <w:rsid w:val="00FD5040"/>
    <w:rsid w:val="00FE5181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BDA9B"/>
  <w15:chartTrackingRefBased/>
  <w15:docId w15:val="{D21CD3DD-3B74-A14F-9509-5C319613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07772"/>
    <w:pPr>
      <w:ind w:hanging="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72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077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777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077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0C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wira@bapeten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apriliani@bapeten.go.id" TargetMode="External"/><Relationship Id="rId5" Type="http://schemas.openxmlformats.org/officeDocument/2006/relationships/hyperlink" Target="mailto:v.zahrawati@bapeten.go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600</Words>
  <Characters>3678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vatimah zahrawati</dc:creator>
  <cp:keywords/>
  <dc:description/>
  <cp:lastModifiedBy>vatimah zahrawati</cp:lastModifiedBy>
  <cp:revision>75</cp:revision>
  <dcterms:created xsi:type="dcterms:W3CDTF">2025-09-25T11:49:00Z</dcterms:created>
  <dcterms:modified xsi:type="dcterms:W3CDTF">2025-09-25T14:02:00Z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aee6a3dc-e436-42a5-9005-ff25615f9c31</vt:lpwstr>
  </property>
</Properties>
</file>