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AF61" w14:textId="77777777" w:rsidR="00466685" w:rsidRDefault="00466685" w:rsidP="00466685">
      <w:pPr>
        <w:jc w:val="center"/>
        <w:rPr>
          <w:b/>
          <w:bCs/>
        </w:rPr>
      </w:pPr>
      <w:r w:rsidRPr="00466685">
        <w:rPr>
          <w:b/>
          <w:bCs/>
        </w:rPr>
        <w:t>Radiation Protection</w:t>
      </w:r>
      <w:r>
        <w:rPr>
          <w:b/>
          <w:bCs/>
        </w:rPr>
        <w:t xml:space="preserve"> </w:t>
      </w:r>
      <w:proofErr w:type="spellStart"/>
      <w:r>
        <w:rPr>
          <w:b/>
          <w:bCs/>
        </w:rPr>
        <w:t>Programme</w:t>
      </w:r>
      <w:proofErr w:type="spellEnd"/>
      <w:r w:rsidRPr="00466685">
        <w:rPr>
          <w:b/>
          <w:bCs/>
        </w:rPr>
        <w:t xml:space="preserve"> in Transport: A Gap Analysis of </w:t>
      </w:r>
      <w:r>
        <w:rPr>
          <w:b/>
          <w:bCs/>
        </w:rPr>
        <w:t>Annex XIV of BAPETEN Regulation</w:t>
      </w:r>
      <w:r w:rsidRPr="00466685">
        <w:rPr>
          <w:b/>
          <w:bCs/>
        </w:rPr>
        <w:t xml:space="preserve"> No. 7/2020 and IAEA SSG-86</w:t>
      </w:r>
      <w:r>
        <w:rPr>
          <w:b/>
          <w:bCs/>
        </w:rPr>
        <w:t xml:space="preserve"> </w:t>
      </w:r>
    </w:p>
    <w:p w14:paraId="5489E1B2" w14:textId="77777777" w:rsidR="00466685" w:rsidRDefault="00466685" w:rsidP="00466685">
      <w:pPr>
        <w:spacing w:after="0"/>
        <w:jc w:val="center"/>
      </w:pPr>
      <w:proofErr w:type="spellStart"/>
      <w:r>
        <w:t>Nurhadiansyah</w:t>
      </w:r>
      <w:proofErr w:type="spellEnd"/>
      <w:r>
        <w:t>* and Evin Yuliati</w:t>
      </w:r>
    </w:p>
    <w:p w14:paraId="48A4521D" w14:textId="77777777" w:rsidR="00466685" w:rsidRDefault="00466685" w:rsidP="00466685">
      <w:pPr>
        <w:spacing w:after="0"/>
        <w:jc w:val="center"/>
      </w:pPr>
      <w:r>
        <w:t>Nuclear Energy Regulatory Agency (BAPETEN)</w:t>
      </w:r>
    </w:p>
    <w:p w14:paraId="62EF0451" w14:textId="77777777" w:rsidR="00466685" w:rsidRDefault="00466685" w:rsidP="00466685">
      <w:pPr>
        <w:spacing w:after="0"/>
        <w:jc w:val="center"/>
      </w:pPr>
      <w:r>
        <w:t>Jakarta, Indonesia</w:t>
      </w:r>
    </w:p>
    <w:p w14:paraId="068572D8" w14:textId="77777777" w:rsidR="00466685" w:rsidRDefault="00466685" w:rsidP="00466685">
      <w:pPr>
        <w:spacing w:after="0"/>
        <w:jc w:val="center"/>
      </w:pPr>
      <w:r>
        <w:t>*Email: n.nurhadiansyah@bapeten.go.id</w:t>
      </w:r>
    </w:p>
    <w:p w14:paraId="48936CA9" w14:textId="77777777" w:rsidR="00466685" w:rsidRPr="00466685" w:rsidRDefault="00466685" w:rsidP="00466685">
      <w:pPr>
        <w:jc w:val="center"/>
        <w:rPr>
          <w:b/>
          <w:bCs/>
        </w:rPr>
      </w:pPr>
    </w:p>
    <w:p w14:paraId="30347227" w14:textId="15CA793B" w:rsidR="00017D51" w:rsidRPr="00017D51" w:rsidRDefault="00017D51" w:rsidP="00017D51">
      <w:pPr>
        <w:jc w:val="both"/>
      </w:pPr>
      <w:r w:rsidRPr="00017D51">
        <w:t xml:space="preserve">The transport of radioactive material requires specific regulatory frameworks to address safety and security challenges beyond those of general transport. At the international level, the IAEA establishes requirements through SSR-6 </w:t>
      </w:r>
      <w:sdt>
        <w:sdtPr>
          <w:id w:val="804896239"/>
          <w:citation/>
        </w:sdtPr>
        <w:sdtContent>
          <w:r>
            <w:fldChar w:fldCharType="begin"/>
          </w:r>
          <w:r w:rsidR="00EF00D0">
            <w:instrText xml:space="preserve">CITATION Int12 \l 1033 </w:instrText>
          </w:r>
          <w:r>
            <w:fldChar w:fldCharType="separate"/>
          </w:r>
          <w:r w:rsidR="00EF00D0" w:rsidRPr="00EF00D0">
            <w:rPr>
              <w:noProof/>
            </w:rPr>
            <w:t>[1]</w:t>
          </w:r>
          <w:r>
            <w:fldChar w:fldCharType="end"/>
          </w:r>
        </w:sdtContent>
      </w:sdt>
      <w:r>
        <w:t xml:space="preserve"> </w:t>
      </w:r>
      <w:r w:rsidRPr="00017D51">
        <w:t>and supporting safety guides</w:t>
      </w:r>
      <w:sdt>
        <w:sdtPr>
          <w:id w:val="1855922670"/>
          <w:citation/>
        </w:sdtPr>
        <w:sdtContent>
          <w:r>
            <w:fldChar w:fldCharType="begin"/>
          </w:r>
          <w:r>
            <w:instrText xml:space="preserve"> CITATION IAE141 \l 1033  \m IAE15 \m IAE221 \m IAE234</w:instrText>
          </w:r>
          <w:r>
            <w:fldChar w:fldCharType="separate"/>
          </w:r>
          <w:r w:rsidR="00EF00D0">
            <w:rPr>
              <w:noProof/>
            </w:rPr>
            <w:t xml:space="preserve"> </w:t>
          </w:r>
          <w:r w:rsidR="00EF00D0" w:rsidRPr="00EF00D0">
            <w:rPr>
              <w:noProof/>
            </w:rPr>
            <w:t>[2, 3, 4, 5]</w:t>
          </w:r>
          <w:r>
            <w:fldChar w:fldCharType="end"/>
          </w:r>
        </w:sdtContent>
      </w:sdt>
      <w:r w:rsidRPr="00017D51">
        <w:t xml:space="preserve">, including SSG-86 on Radiation Protection </w:t>
      </w:r>
      <w:proofErr w:type="spellStart"/>
      <w:r w:rsidRPr="00017D51">
        <w:t>Programmes</w:t>
      </w:r>
      <w:proofErr w:type="spellEnd"/>
      <w:r w:rsidRPr="00017D51">
        <w:t xml:space="preserve"> (RPP) for the Transport of Radioactive Material</w:t>
      </w:r>
      <w:sdt>
        <w:sdtPr>
          <w:id w:val="1714848190"/>
          <w:citation/>
        </w:sdtPr>
        <w:sdtContent>
          <w:r>
            <w:fldChar w:fldCharType="begin"/>
          </w:r>
          <w:r>
            <w:instrText xml:space="preserve"> CITATION IAE233 \l 1033 </w:instrText>
          </w:r>
          <w:r>
            <w:fldChar w:fldCharType="separate"/>
          </w:r>
          <w:r w:rsidR="00EF00D0">
            <w:rPr>
              <w:noProof/>
            </w:rPr>
            <w:t xml:space="preserve"> </w:t>
          </w:r>
          <w:r w:rsidR="00EF00D0" w:rsidRPr="00EF00D0">
            <w:rPr>
              <w:noProof/>
            </w:rPr>
            <w:t>[6]</w:t>
          </w:r>
          <w:r>
            <w:fldChar w:fldCharType="end"/>
          </w:r>
        </w:sdtContent>
      </w:sdt>
      <w:r w:rsidRPr="00017D51">
        <w:t>. In Indonesia, the legal basis is provided by Government Regulation No. 58/2015 on Radiation Safety and Security in the Transportation of Radioactive Materials, further detailed in BAPETEN Regulation (BR) No. 7/2020, with Annex XIV outlining the national RPP framework.</w:t>
      </w:r>
      <w:r w:rsidR="004E1F78">
        <w:t xml:space="preserve"> </w:t>
      </w:r>
      <w:r w:rsidR="004E1F78" w:rsidRPr="004E1F78">
        <w:t xml:space="preserve">The five years of implementing BR No. 7/2020 Annex XIV provide a timely opportunity to review and strengthen Indonesia’s regulation on radiation protection </w:t>
      </w:r>
      <w:proofErr w:type="spellStart"/>
      <w:r w:rsidR="004E1F78" w:rsidRPr="004E1F78">
        <w:t>programmes</w:t>
      </w:r>
      <w:proofErr w:type="spellEnd"/>
      <w:r w:rsidR="004E1F78" w:rsidRPr="004E1F78">
        <w:t xml:space="preserve"> for the transport of radioactive material.</w:t>
      </w:r>
    </w:p>
    <w:p w14:paraId="670C217A" w14:textId="35D6D566" w:rsidR="00017D51" w:rsidRPr="00017D51" w:rsidRDefault="00017D51" w:rsidP="00017D51">
      <w:pPr>
        <w:jc w:val="both"/>
      </w:pPr>
      <w:r w:rsidRPr="00017D51">
        <w:t>This study conducts a structured gap analysis between Annex XIV of BR No. 7/2020 and the international guidance in IAEA SSG-86. The analysis focuses on the graded approach, roles and responsibilities, dose assessment, integration with management systems, and practical examples. The findings highlight both areas of alignment and critical gaps. Addressing these gaps will enhance Indonesia’s regulatory effectiveness and support future revisions to ensure closer alignment with international standards.</w:t>
      </w:r>
    </w:p>
    <w:p w14:paraId="5989CDF6" w14:textId="77777777" w:rsidR="00CF7F0F" w:rsidRDefault="00CF7F0F" w:rsidP="00CF7F0F">
      <w:pPr>
        <w:jc w:val="both"/>
        <w:rPr>
          <w:b/>
          <w:bCs/>
        </w:rPr>
      </w:pPr>
      <w:r>
        <w:rPr>
          <w:b/>
          <w:bCs/>
        </w:rPr>
        <w:t>T</w:t>
      </w:r>
      <w:r w:rsidRPr="00CF7F0F">
        <w:rPr>
          <w:b/>
          <w:bCs/>
        </w:rPr>
        <w:t>able 1. Gap Analysis of Annex XIV BR No. 7/2020 and IAEA SSG-86</w:t>
      </w:r>
    </w:p>
    <w:tbl>
      <w:tblPr>
        <w:tblStyle w:val="TableGrid"/>
        <w:tblW w:w="936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04"/>
        <w:gridCol w:w="1746"/>
        <w:gridCol w:w="1980"/>
        <w:gridCol w:w="2372"/>
        <w:gridCol w:w="2758"/>
      </w:tblGrid>
      <w:tr w:rsidR="00B125E0" w14:paraId="788CE9FD" w14:textId="77777777" w:rsidTr="00857624">
        <w:tc>
          <w:tcPr>
            <w:tcW w:w="504" w:type="dxa"/>
            <w:shd w:val="clear" w:color="auto" w:fill="E7E6E6" w:themeFill="background2"/>
          </w:tcPr>
          <w:p w14:paraId="16AF3DFF" w14:textId="77777777" w:rsidR="00B125E0" w:rsidRDefault="00B125E0" w:rsidP="00B125E0">
            <w:pPr>
              <w:jc w:val="center"/>
              <w:rPr>
                <w:b/>
                <w:bCs/>
              </w:rPr>
            </w:pPr>
            <w:r>
              <w:rPr>
                <w:b/>
                <w:bCs/>
              </w:rPr>
              <w:t>No</w:t>
            </w:r>
          </w:p>
        </w:tc>
        <w:tc>
          <w:tcPr>
            <w:tcW w:w="1746" w:type="dxa"/>
            <w:shd w:val="clear" w:color="auto" w:fill="E7E6E6" w:themeFill="background2"/>
          </w:tcPr>
          <w:p w14:paraId="5BEA1B21" w14:textId="77777777" w:rsidR="00B125E0" w:rsidRDefault="00B125E0" w:rsidP="00B125E0">
            <w:pPr>
              <w:jc w:val="center"/>
              <w:rPr>
                <w:b/>
                <w:bCs/>
              </w:rPr>
            </w:pPr>
            <w:r>
              <w:rPr>
                <w:b/>
                <w:bCs/>
              </w:rPr>
              <w:t>Aspect</w:t>
            </w:r>
          </w:p>
        </w:tc>
        <w:tc>
          <w:tcPr>
            <w:tcW w:w="1980" w:type="dxa"/>
            <w:shd w:val="clear" w:color="auto" w:fill="E7E6E6" w:themeFill="background2"/>
          </w:tcPr>
          <w:p w14:paraId="3F1FA35F" w14:textId="77777777" w:rsidR="00B125E0" w:rsidRDefault="00B125E0" w:rsidP="00B125E0">
            <w:pPr>
              <w:jc w:val="center"/>
              <w:rPr>
                <w:b/>
                <w:bCs/>
              </w:rPr>
            </w:pPr>
            <w:r>
              <w:rPr>
                <w:b/>
                <w:bCs/>
              </w:rPr>
              <w:t>BR No. 7/2020</w:t>
            </w:r>
          </w:p>
          <w:p w14:paraId="3BCB39F2" w14:textId="77777777" w:rsidR="00B125E0" w:rsidRDefault="00B125E0" w:rsidP="00B125E0">
            <w:pPr>
              <w:jc w:val="center"/>
              <w:rPr>
                <w:b/>
                <w:bCs/>
              </w:rPr>
            </w:pPr>
            <w:r>
              <w:rPr>
                <w:b/>
                <w:bCs/>
              </w:rPr>
              <w:t>(Annex XIV)</w:t>
            </w:r>
          </w:p>
        </w:tc>
        <w:tc>
          <w:tcPr>
            <w:tcW w:w="2372" w:type="dxa"/>
            <w:shd w:val="clear" w:color="auto" w:fill="E7E6E6" w:themeFill="background2"/>
          </w:tcPr>
          <w:p w14:paraId="7E7AC8DC" w14:textId="77777777" w:rsidR="00B125E0" w:rsidRDefault="00B125E0" w:rsidP="00B125E0">
            <w:pPr>
              <w:jc w:val="center"/>
              <w:rPr>
                <w:b/>
                <w:bCs/>
              </w:rPr>
            </w:pPr>
            <w:r>
              <w:rPr>
                <w:b/>
                <w:bCs/>
              </w:rPr>
              <w:t>IAEA SSG-86</w:t>
            </w:r>
          </w:p>
        </w:tc>
        <w:tc>
          <w:tcPr>
            <w:tcW w:w="2758" w:type="dxa"/>
            <w:shd w:val="clear" w:color="auto" w:fill="E7E6E6" w:themeFill="background2"/>
          </w:tcPr>
          <w:p w14:paraId="477898DB" w14:textId="77777777" w:rsidR="00B125E0" w:rsidRDefault="00B125E0" w:rsidP="00B125E0">
            <w:pPr>
              <w:jc w:val="center"/>
              <w:rPr>
                <w:b/>
                <w:bCs/>
              </w:rPr>
            </w:pPr>
            <w:r>
              <w:rPr>
                <w:b/>
                <w:bCs/>
              </w:rPr>
              <w:t>Identified Gap/ Recommendation</w:t>
            </w:r>
          </w:p>
        </w:tc>
      </w:tr>
      <w:tr w:rsidR="00B125E0" w14:paraId="32B9D98A" w14:textId="77777777" w:rsidTr="00857624">
        <w:tc>
          <w:tcPr>
            <w:tcW w:w="504" w:type="dxa"/>
          </w:tcPr>
          <w:p w14:paraId="50F98658" w14:textId="77777777" w:rsidR="00B125E0" w:rsidRPr="00B125E0" w:rsidRDefault="00B125E0" w:rsidP="00B125E0">
            <w:pPr>
              <w:jc w:val="both"/>
            </w:pPr>
            <w:r>
              <w:t>1.</w:t>
            </w:r>
          </w:p>
        </w:tc>
        <w:tc>
          <w:tcPr>
            <w:tcW w:w="1746" w:type="dxa"/>
          </w:tcPr>
          <w:p w14:paraId="0FA3CC7E" w14:textId="77777777" w:rsidR="00B125E0" w:rsidRPr="00CF7F0F" w:rsidRDefault="0033663C" w:rsidP="00B125E0">
            <w:pPr>
              <w:spacing w:after="160" w:line="278" w:lineRule="auto"/>
              <w:jc w:val="both"/>
            </w:pPr>
            <w:r w:rsidRPr="002D0966">
              <w:t>Graded approach</w:t>
            </w:r>
          </w:p>
        </w:tc>
        <w:tc>
          <w:tcPr>
            <w:tcW w:w="1980" w:type="dxa"/>
          </w:tcPr>
          <w:p w14:paraId="19E8AE2E" w14:textId="77777777" w:rsidR="00B125E0" w:rsidRPr="00CF7F0F" w:rsidRDefault="0088677D" w:rsidP="00B125E0">
            <w:pPr>
              <w:spacing w:after="160" w:line="278" w:lineRule="auto"/>
              <w:jc w:val="both"/>
            </w:pPr>
            <w:r w:rsidRPr="002D0966">
              <w:t>D</w:t>
            </w:r>
            <w:r w:rsidR="00C47B17" w:rsidRPr="002D0966">
              <w:t>ose-based graded approach</w:t>
            </w:r>
            <w:r w:rsidRPr="002D0966">
              <w:t>.</w:t>
            </w:r>
          </w:p>
        </w:tc>
        <w:tc>
          <w:tcPr>
            <w:tcW w:w="2372" w:type="dxa"/>
          </w:tcPr>
          <w:p w14:paraId="0E6EDB3A" w14:textId="77777777" w:rsidR="00B125E0" w:rsidRPr="00CF7F0F" w:rsidRDefault="0088677D" w:rsidP="00B125E0">
            <w:pPr>
              <w:spacing w:after="160" w:line="278" w:lineRule="auto"/>
              <w:jc w:val="both"/>
            </w:pPr>
            <w:r w:rsidRPr="002D0966">
              <w:t>R</w:t>
            </w:r>
            <w:r w:rsidR="00C47B17" w:rsidRPr="002D0966">
              <w:t xml:space="preserve">isk-based </w:t>
            </w:r>
            <w:r w:rsidR="00B125E0" w:rsidRPr="00CF7F0F">
              <w:t>graded approach covering routine</w:t>
            </w:r>
            <w:r w:rsidRPr="002D0966">
              <w:t>,</w:t>
            </w:r>
            <w:r w:rsidR="00B125E0" w:rsidRPr="00CF7F0F">
              <w:t xml:space="preserve"> normal</w:t>
            </w:r>
            <w:r w:rsidRPr="002D0966">
              <w:t xml:space="preserve">, </w:t>
            </w:r>
            <w:r w:rsidR="00B125E0" w:rsidRPr="00CF7F0F">
              <w:t>and accident conditions</w:t>
            </w:r>
            <w:r w:rsidRPr="002D0966">
              <w:t>.</w:t>
            </w:r>
          </w:p>
        </w:tc>
        <w:tc>
          <w:tcPr>
            <w:tcW w:w="2758" w:type="dxa"/>
          </w:tcPr>
          <w:p w14:paraId="4DDD029B" w14:textId="77777777" w:rsidR="00B125E0" w:rsidRPr="00CF7F0F" w:rsidRDefault="00B125E0" w:rsidP="00B125E0">
            <w:pPr>
              <w:spacing w:after="160" w:line="278" w:lineRule="auto"/>
              <w:jc w:val="both"/>
            </w:pPr>
            <w:r w:rsidRPr="00CF7F0F">
              <w:t xml:space="preserve">Add </w:t>
            </w:r>
            <w:r w:rsidRPr="002D0966">
              <w:t xml:space="preserve">a </w:t>
            </w:r>
            <w:r w:rsidR="00C47B17" w:rsidRPr="002D0966">
              <w:t xml:space="preserve">risk-based </w:t>
            </w:r>
            <w:r w:rsidRPr="00CF7F0F">
              <w:t>graded approach and explicit coverage of all transport conditions.</w:t>
            </w:r>
          </w:p>
        </w:tc>
      </w:tr>
      <w:tr w:rsidR="00B125E0" w14:paraId="0D872170" w14:textId="77777777" w:rsidTr="00857624">
        <w:tc>
          <w:tcPr>
            <w:tcW w:w="504" w:type="dxa"/>
          </w:tcPr>
          <w:p w14:paraId="1EDB45D2" w14:textId="77777777" w:rsidR="00B125E0" w:rsidRPr="00B125E0" w:rsidRDefault="00B125E0" w:rsidP="00B125E0">
            <w:pPr>
              <w:jc w:val="both"/>
            </w:pPr>
            <w:r w:rsidRPr="00B125E0">
              <w:t>2.</w:t>
            </w:r>
          </w:p>
        </w:tc>
        <w:tc>
          <w:tcPr>
            <w:tcW w:w="1746" w:type="dxa"/>
          </w:tcPr>
          <w:p w14:paraId="5D125617" w14:textId="77777777" w:rsidR="00B125E0" w:rsidRPr="00CF7F0F" w:rsidRDefault="00B125E0" w:rsidP="00B125E0">
            <w:pPr>
              <w:spacing w:after="160" w:line="278" w:lineRule="auto"/>
              <w:jc w:val="both"/>
            </w:pPr>
            <w:r w:rsidRPr="00CF7F0F">
              <w:t>Roles &amp; Responsibilities</w:t>
            </w:r>
          </w:p>
        </w:tc>
        <w:tc>
          <w:tcPr>
            <w:tcW w:w="1980" w:type="dxa"/>
          </w:tcPr>
          <w:p w14:paraId="237D912A" w14:textId="77777777" w:rsidR="00B125E0" w:rsidRPr="00CF7F0F" w:rsidRDefault="002D0966" w:rsidP="00B125E0">
            <w:pPr>
              <w:spacing w:after="160" w:line="278" w:lineRule="auto"/>
              <w:jc w:val="both"/>
            </w:pPr>
            <w:r>
              <w:t>C</w:t>
            </w:r>
            <w:r w:rsidR="00B125E0" w:rsidRPr="00CF7F0F">
              <w:t xml:space="preserve">onsignor, carrier, </w:t>
            </w:r>
            <w:r w:rsidR="00B125E0">
              <w:t xml:space="preserve">and </w:t>
            </w:r>
            <w:r w:rsidR="00B125E0" w:rsidRPr="00CF7F0F">
              <w:t>consignee</w:t>
            </w:r>
            <w:r w:rsidR="00B125E0">
              <w:t>.</w:t>
            </w:r>
          </w:p>
        </w:tc>
        <w:tc>
          <w:tcPr>
            <w:tcW w:w="2372" w:type="dxa"/>
          </w:tcPr>
          <w:p w14:paraId="2336C5D0" w14:textId="77777777" w:rsidR="00B125E0" w:rsidRPr="00CF7F0F" w:rsidRDefault="002D0966" w:rsidP="0033663C">
            <w:pPr>
              <w:spacing w:after="160" w:line="278" w:lineRule="auto"/>
              <w:jc w:val="both"/>
            </w:pPr>
            <w:r w:rsidRPr="002D0966">
              <w:t>Includes consignors, carriers, consignees, and port/airport operators</w:t>
            </w:r>
            <w:r>
              <w:t>.</w:t>
            </w:r>
          </w:p>
        </w:tc>
        <w:tc>
          <w:tcPr>
            <w:tcW w:w="2758" w:type="dxa"/>
          </w:tcPr>
          <w:p w14:paraId="074F6FF8" w14:textId="77777777" w:rsidR="00B125E0" w:rsidRPr="00CF7F0F" w:rsidRDefault="002D0966" w:rsidP="00B125E0">
            <w:pPr>
              <w:spacing w:after="160" w:line="278" w:lineRule="auto"/>
              <w:jc w:val="both"/>
            </w:pPr>
            <w:r w:rsidRPr="002D0966">
              <w:t>Broaden roles with detailed assignments and coordination.</w:t>
            </w:r>
          </w:p>
        </w:tc>
      </w:tr>
      <w:tr w:rsidR="00B125E0" w14:paraId="4AFAA72C" w14:textId="77777777" w:rsidTr="00857624">
        <w:tc>
          <w:tcPr>
            <w:tcW w:w="504" w:type="dxa"/>
          </w:tcPr>
          <w:p w14:paraId="141A7CD6" w14:textId="77777777" w:rsidR="00B125E0" w:rsidRPr="00B125E0" w:rsidRDefault="00B125E0" w:rsidP="00B125E0">
            <w:pPr>
              <w:jc w:val="both"/>
            </w:pPr>
            <w:r>
              <w:lastRenderedPageBreak/>
              <w:t>3.</w:t>
            </w:r>
          </w:p>
        </w:tc>
        <w:tc>
          <w:tcPr>
            <w:tcW w:w="1746" w:type="dxa"/>
          </w:tcPr>
          <w:p w14:paraId="5733EB97" w14:textId="77777777" w:rsidR="00B125E0" w:rsidRPr="00CF7F0F" w:rsidRDefault="00B125E0" w:rsidP="00B125E0">
            <w:pPr>
              <w:spacing w:after="160" w:line="278" w:lineRule="auto"/>
              <w:jc w:val="both"/>
            </w:pPr>
            <w:r w:rsidRPr="00CF7F0F">
              <w:t>Dose Assessment</w:t>
            </w:r>
          </w:p>
        </w:tc>
        <w:tc>
          <w:tcPr>
            <w:tcW w:w="1980" w:type="dxa"/>
          </w:tcPr>
          <w:p w14:paraId="7DE1F57D" w14:textId="77777777" w:rsidR="00B125E0" w:rsidRPr="00CF7F0F" w:rsidRDefault="00FF474F" w:rsidP="00B125E0">
            <w:pPr>
              <w:spacing w:after="160" w:line="278" w:lineRule="auto"/>
              <w:jc w:val="both"/>
            </w:pPr>
            <w:r w:rsidRPr="002D0966">
              <w:t>Package-focused, dose-based.</w:t>
            </w:r>
          </w:p>
        </w:tc>
        <w:tc>
          <w:tcPr>
            <w:tcW w:w="2372" w:type="dxa"/>
          </w:tcPr>
          <w:p w14:paraId="6093C35B" w14:textId="77777777" w:rsidR="00B125E0" w:rsidRPr="00CF7F0F" w:rsidRDefault="00FF474F" w:rsidP="00B125E0">
            <w:pPr>
              <w:spacing w:after="160" w:line="278" w:lineRule="auto"/>
              <w:jc w:val="both"/>
            </w:pPr>
            <w:r w:rsidRPr="002D0966">
              <w:t>Comprehensive, risk-based; includes workers, public, and optimization.</w:t>
            </w:r>
          </w:p>
        </w:tc>
        <w:tc>
          <w:tcPr>
            <w:tcW w:w="2758" w:type="dxa"/>
          </w:tcPr>
          <w:p w14:paraId="1FBA5925" w14:textId="6F11F5FF" w:rsidR="00B125E0" w:rsidRPr="00CF7F0F" w:rsidRDefault="002D0966" w:rsidP="00B125E0">
            <w:pPr>
              <w:spacing w:after="160" w:line="278" w:lineRule="auto"/>
              <w:jc w:val="both"/>
            </w:pPr>
            <w:r w:rsidRPr="002D0966">
              <w:t xml:space="preserve">Integrate routine, normal, </w:t>
            </w:r>
            <w:r w:rsidR="00851009">
              <w:t xml:space="preserve">and </w:t>
            </w:r>
            <w:r w:rsidRPr="002D0966">
              <w:t>accident scenarios; expand worker/public evaluation</w:t>
            </w:r>
          </w:p>
        </w:tc>
      </w:tr>
      <w:tr w:rsidR="0088677D" w14:paraId="4E5FB2FE" w14:textId="77777777" w:rsidTr="00857624">
        <w:tc>
          <w:tcPr>
            <w:tcW w:w="504" w:type="dxa"/>
          </w:tcPr>
          <w:p w14:paraId="47606DEC" w14:textId="067540AA" w:rsidR="0088677D" w:rsidRDefault="006A7F88" w:rsidP="0088677D">
            <w:pPr>
              <w:jc w:val="both"/>
            </w:pPr>
            <w:r>
              <w:t>4</w:t>
            </w:r>
            <w:r w:rsidR="00C30D9B">
              <w:t xml:space="preserve">. </w:t>
            </w:r>
          </w:p>
        </w:tc>
        <w:tc>
          <w:tcPr>
            <w:tcW w:w="1746" w:type="dxa"/>
          </w:tcPr>
          <w:p w14:paraId="5965C542" w14:textId="77777777" w:rsidR="0088677D" w:rsidRPr="00CF7F0F" w:rsidRDefault="0088677D" w:rsidP="0088677D">
            <w:pPr>
              <w:spacing w:after="160" w:line="278" w:lineRule="auto"/>
              <w:jc w:val="both"/>
            </w:pPr>
            <w:r w:rsidRPr="00CF7F0F">
              <w:t>Management System</w:t>
            </w:r>
          </w:p>
        </w:tc>
        <w:tc>
          <w:tcPr>
            <w:tcW w:w="1980" w:type="dxa"/>
          </w:tcPr>
          <w:p w14:paraId="304D5C9B" w14:textId="77777777" w:rsidR="0088677D" w:rsidRPr="00CF7F0F" w:rsidRDefault="0088677D" w:rsidP="0088677D">
            <w:pPr>
              <w:spacing w:after="160" w:line="278" w:lineRule="auto"/>
              <w:jc w:val="both"/>
            </w:pPr>
            <w:r w:rsidRPr="00CF7F0F">
              <w:t>Not explicitly addressed.</w:t>
            </w:r>
          </w:p>
        </w:tc>
        <w:tc>
          <w:tcPr>
            <w:tcW w:w="2372" w:type="dxa"/>
          </w:tcPr>
          <w:p w14:paraId="22E661CE" w14:textId="77777777" w:rsidR="0088677D" w:rsidRPr="00CF7F0F" w:rsidRDefault="0088677D" w:rsidP="0088677D">
            <w:pPr>
              <w:spacing w:after="160" w:line="278" w:lineRule="auto"/>
              <w:jc w:val="both"/>
            </w:pPr>
            <w:r w:rsidRPr="00CF7F0F">
              <w:t xml:space="preserve">Requires integration of RPP into </w:t>
            </w:r>
            <w:r w:rsidR="00FF474F" w:rsidRPr="002D0966">
              <w:t xml:space="preserve">the </w:t>
            </w:r>
            <w:r w:rsidRPr="00CF7F0F">
              <w:t>management system (QA/QC, audits).</w:t>
            </w:r>
          </w:p>
        </w:tc>
        <w:tc>
          <w:tcPr>
            <w:tcW w:w="2758" w:type="dxa"/>
          </w:tcPr>
          <w:p w14:paraId="7B42D7DA" w14:textId="342259ED" w:rsidR="0088677D" w:rsidRPr="00CF7F0F" w:rsidRDefault="00FF474F" w:rsidP="0088677D">
            <w:pPr>
              <w:spacing w:after="160" w:line="278" w:lineRule="auto"/>
              <w:jc w:val="both"/>
            </w:pPr>
            <w:r w:rsidRPr="002D0966">
              <w:t xml:space="preserve">Embed RPP in </w:t>
            </w:r>
            <w:r w:rsidR="00851009">
              <w:t xml:space="preserve">the </w:t>
            </w:r>
            <w:r w:rsidRPr="002D0966">
              <w:t>management system.</w:t>
            </w:r>
          </w:p>
        </w:tc>
      </w:tr>
      <w:tr w:rsidR="00C30D9B" w14:paraId="795FE033" w14:textId="77777777" w:rsidTr="00857624">
        <w:tc>
          <w:tcPr>
            <w:tcW w:w="504" w:type="dxa"/>
          </w:tcPr>
          <w:p w14:paraId="48628A39" w14:textId="068F55DA" w:rsidR="00C30D9B" w:rsidRDefault="006A7F88" w:rsidP="00C30D9B">
            <w:pPr>
              <w:jc w:val="both"/>
            </w:pPr>
            <w:r>
              <w:t>5</w:t>
            </w:r>
            <w:r w:rsidR="00C30D9B">
              <w:t xml:space="preserve">. </w:t>
            </w:r>
          </w:p>
        </w:tc>
        <w:tc>
          <w:tcPr>
            <w:tcW w:w="1746" w:type="dxa"/>
          </w:tcPr>
          <w:p w14:paraId="075D7F48" w14:textId="77777777" w:rsidR="00C30D9B" w:rsidRPr="00CF7F0F" w:rsidRDefault="00C30D9B" w:rsidP="00C30D9B">
            <w:pPr>
              <w:spacing w:after="160" w:line="278" w:lineRule="auto"/>
              <w:jc w:val="both"/>
            </w:pPr>
            <w:r w:rsidRPr="00CF7F0F">
              <w:t>Examples</w:t>
            </w:r>
          </w:p>
        </w:tc>
        <w:tc>
          <w:tcPr>
            <w:tcW w:w="1980" w:type="dxa"/>
          </w:tcPr>
          <w:p w14:paraId="28E8A714" w14:textId="77777777" w:rsidR="00C30D9B" w:rsidRPr="00CF7F0F" w:rsidRDefault="00C30D9B" w:rsidP="00C30D9B">
            <w:pPr>
              <w:spacing w:after="160" w:line="278" w:lineRule="auto"/>
              <w:jc w:val="both"/>
            </w:pPr>
            <w:r w:rsidRPr="00CF7F0F">
              <w:t>No examples.</w:t>
            </w:r>
          </w:p>
        </w:tc>
        <w:tc>
          <w:tcPr>
            <w:tcW w:w="2372" w:type="dxa"/>
          </w:tcPr>
          <w:p w14:paraId="005E6D68" w14:textId="77777777" w:rsidR="00C30D9B" w:rsidRPr="00CF7F0F" w:rsidRDefault="00FF474F" w:rsidP="00C30D9B">
            <w:pPr>
              <w:spacing w:after="160" w:line="278" w:lineRule="auto"/>
              <w:jc w:val="both"/>
            </w:pPr>
            <w:r w:rsidRPr="002D0966">
              <w:t>Provides model RPPs and examples.</w:t>
            </w:r>
          </w:p>
        </w:tc>
        <w:tc>
          <w:tcPr>
            <w:tcW w:w="2758" w:type="dxa"/>
          </w:tcPr>
          <w:p w14:paraId="4197D8AB" w14:textId="77777777" w:rsidR="00C30D9B" w:rsidRPr="00CF7F0F" w:rsidRDefault="00FF474F" w:rsidP="00C30D9B">
            <w:pPr>
              <w:spacing w:after="160" w:line="278" w:lineRule="auto"/>
              <w:jc w:val="both"/>
            </w:pPr>
            <w:r w:rsidRPr="002D0966">
              <w:t>Add practical examples.</w:t>
            </w:r>
          </w:p>
        </w:tc>
      </w:tr>
    </w:tbl>
    <w:p w14:paraId="374E042E" w14:textId="7927D0DA" w:rsidR="002D0966" w:rsidRPr="002D0966" w:rsidRDefault="006A7F88" w:rsidP="002D0966">
      <w:pPr>
        <w:jc w:val="both"/>
      </w:pPr>
      <w:r w:rsidRPr="006A7F88">
        <w:t xml:space="preserve">The gaps have clear implications. A dose-based graded approach focuses only on worker thresholds, ignoring public exposure, accident conditions, and optimization. </w:t>
      </w:r>
      <w:proofErr w:type="gramStart"/>
      <w:r w:rsidRPr="006A7F88">
        <w:t>This risks</w:t>
      </w:r>
      <w:proofErr w:type="gramEnd"/>
      <w:r w:rsidRPr="006A7F88">
        <w:t xml:space="preserve"> missing high-risk but low-dose scenarios such as contamination events, transit storage, or emergency stops. Limited roles and responsibilities to consignor, carrier, and consignee leave interfaces at ports, airports, warehouses, and subcontractors unregulated. In an accident, responders may not know whose procedures apply. A package-focused dose assessment is not comprehensive, leaving workers and the public insufficiently protected in routine and accident scenarios. This creates risks of over-exposure in foreseeable events such as delayed shipments in public terminals. Without integration into QA/QC, the RPP becomes a static document rather than a system for continuous improvement. The absence of practical examples may also cause uneven RPP implementation across </w:t>
      </w:r>
      <w:r w:rsidR="004E1F78">
        <w:t xml:space="preserve">the </w:t>
      </w:r>
      <w:r w:rsidRPr="006A7F88">
        <w:t>industry.</w:t>
      </w:r>
      <w:r>
        <w:t xml:space="preserve"> </w:t>
      </w:r>
    </w:p>
    <w:p w14:paraId="4703304D" w14:textId="6912DC42" w:rsidR="002D0966" w:rsidRDefault="00EF00D0" w:rsidP="002D0966">
      <w:pPr>
        <w:jc w:val="both"/>
      </w:pPr>
      <w:r w:rsidRPr="00EF00D0">
        <w:t>Closing these gaps would align Indonesia’s framework with IAEA standards while also strengthening regional leadership, driving innovation, promoting continuous improvement, and fostering a stronger safety culture. After five years of implementation, it is timely to revise BR No. 7/2020 by incorporating a risk-based graded approach, expanded roles, comprehensive dose assessment, management system integration, and practical examples to enhance regulation. Beyond regulatory alignment, the findings of this study can guide regulatory revisions, support reviews of current practices under BR No. 7/2020 Annex XIV, and provide a benchmark against IAEA SSG-86</w:t>
      </w:r>
      <w:r w:rsidR="002D0966" w:rsidRPr="002D0966">
        <w:t>.</w:t>
      </w:r>
    </w:p>
    <w:p w14:paraId="46102286" w14:textId="47D5CE11" w:rsidR="001C5CFD" w:rsidRPr="001C5CFD" w:rsidRDefault="001C5CFD" w:rsidP="002D0966">
      <w:pPr>
        <w:jc w:val="both"/>
        <w:rPr>
          <w:i/>
          <w:iCs/>
        </w:rPr>
      </w:pPr>
      <w:r w:rsidRPr="001C5CFD">
        <w:rPr>
          <w:i/>
          <w:iCs/>
        </w:rPr>
        <w:t xml:space="preserve">Keyword: radiation protection </w:t>
      </w:r>
      <w:proofErr w:type="spellStart"/>
      <w:r w:rsidRPr="001C5CFD">
        <w:rPr>
          <w:i/>
          <w:iCs/>
        </w:rPr>
        <w:t>programme</w:t>
      </w:r>
      <w:proofErr w:type="spellEnd"/>
      <w:r w:rsidRPr="001C5CFD">
        <w:rPr>
          <w:i/>
          <w:iCs/>
        </w:rPr>
        <w:t>, gap analysis, transport of radioactive material</w:t>
      </w:r>
    </w:p>
    <w:sdt>
      <w:sdtPr>
        <w:rPr>
          <w:rFonts w:asciiTheme="minorHAnsi" w:eastAsiaTheme="minorHAnsi" w:hAnsiTheme="minorHAnsi" w:cstheme="minorBidi"/>
          <w:color w:val="auto"/>
          <w:sz w:val="24"/>
          <w:szCs w:val="24"/>
        </w:rPr>
        <w:id w:val="-936050423"/>
        <w:docPartObj>
          <w:docPartGallery w:val="Bibliographies"/>
          <w:docPartUnique/>
        </w:docPartObj>
      </w:sdtPr>
      <w:sdtContent>
        <w:p w14:paraId="6060E0C6" w14:textId="77777777" w:rsidR="002D0966" w:rsidRPr="00DC4442" w:rsidRDefault="002D0966">
          <w:pPr>
            <w:pStyle w:val="Heading1"/>
            <w:rPr>
              <w:rFonts w:ascii="Times New Roman" w:hAnsi="Times New Roman" w:cs="Times New Roman"/>
              <w:b/>
              <w:bCs/>
              <w:color w:val="auto"/>
              <w:sz w:val="24"/>
              <w:szCs w:val="24"/>
            </w:rPr>
          </w:pPr>
          <w:r w:rsidRPr="00DC4442">
            <w:rPr>
              <w:rFonts w:ascii="Times New Roman" w:hAnsi="Times New Roman" w:cs="Times New Roman"/>
              <w:b/>
              <w:bCs/>
              <w:color w:val="auto"/>
              <w:sz w:val="24"/>
              <w:szCs w:val="24"/>
            </w:rPr>
            <w:t>References</w:t>
          </w:r>
        </w:p>
        <w:sdt>
          <w:sdtPr>
            <w:id w:val="-573587230"/>
            <w:bibliography/>
          </w:sdtPr>
          <w:sdtContent>
            <w:p w14:paraId="595A340A" w14:textId="77777777" w:rsidR="00EF00D0" w:rsidRDefault="002D0966">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9016"/>
              </w:tblGrid>
              <w:tr w:rsidR="00EF00D0" w14:paraId="7E0B1DE6" w14:textId="77777777">
                <w:trPr>
                  <w:divId w:val="782918419"/>
                  <w:tblCellSpacing w:w="15" w:type="dxa"/>
                </w:trPr>
                <w:tc>
                  <w:tcPr>
                    <w:tcW w:w="50" w:type="pct"/>
                    <w:hideMark/>
                  </w:tcPr>
                  <w:p w14:paraId="68B314D6" w14:textId="6AB2685A" w:rsidR="00EF00D0" w:rsidRDefault="00EF00D0">
                    <w:pPr>
                      <w:pStyle w:val="Bibliography"/>
                      <w:rPr>
                        <w:noProof/>
                        <w:kern w:val="0"/>
                        <w14:ligatures w14:val="none"/>
                      </w:rPr>
                    </w:pPr>
                    <w:r>
                      <w:rPr>
                        <w:noProof/>
                      </w:rPr>
                      <w:lastRenderedPageBreak/>
                      <w:t xml:space="preserve">[1] </w:t>
                    </w:r>
                  </w:p>
                </w:tc>
                <w:tc>
                  <w:tcPr>
                    <w:tcW w:w="0" w:type="auto"/>
                    <w:hideMark/>
                  </w:tcPr>
                  <w:p w14:paraId="39333F2B" w14:textId="77777777" w:rsidR="00EF00D0" w:rsidRDefault="00EF00D0">
                    <w:pPr>
                      <w:pStyle w:val="Bibliography"/>
                      <w:rPr>
                        <w:noProof/>
                      </w:rPr>
                    </w:pPr>
                    <w:r>
                      <w:rPr>
                        <w:noProof/>
                      </w:rPr>
                      <w:t>IAEA, "Specific Safety Requirements No. SSR-6 Regulations for the Safe Transport of Radioactive Material," IAEA, Vienna, 2012.</w:t>
                    </w:r>
                  </w:p>
                </w:tc>
              </w:tr>
              <w:tr w:rsidR="00EF00D0" w14:paraId="0314F6F8" w14:textId="77777777">
                <w:trPr>
                  <w:divId w:val="782918419"/>
                  <w:tblCellSpacing w:w="15" w:type="dxa"/>
                </w:trPr>
                <w:tc>
                  <w:tcPr>
                    <w:tcW w:w="50" w:type="pct"/>
                    <w:hideMark/>
                  </w:tcPr>
                  <w:p w14:paraId="0B86F320" w14:textId="77777777" w:rsidR="00EF00D0" w:rsidRDefault="00EF00D0">
                    <w:pPr>
                      <w:pStyle w:val="Bibliography"/>
                      <w:rPr>
                        <w:noProof/>
                      </w:rPr>
                    </w:pPr>
                    <w:r>
                      <w:rPr>
                        <w:noProof/>
                      </w:rPr>
                      <w:t xml:space="preserve">[2] </w:t>
                    </w:r>
                  </w:p>
                </w:tc>
                <w:tc>
                  <w:tcPr>
                    <w:tcW w:w="0" w:type="auto"/>
                    <w:hideMark/>
                  </w:tcPr>
                  <w:p w14:paraId="5329BBC3" w14:textId="77777777" w:rsidR="00EF00D0" w:rsidRDefault="00EF00D0">
                    <w:pPr>
                      <w:pStyle w:val="Bibliography"/>
                      <w:rPr>
                        <w:noProof/>
                      </w:rPr>
                    </w:pPr>
                    <w:r>
                      <w:rPr>
                        <w:noProof/>
                      </w:rPr>
                      <w:t>IAEA, "Specific Safety Guide No. SSG-26 Advisory Material for the IAEA Regulations for the Safe Transport of Radioactive Material," IAEA, Vienna, 2014.</w:t>
                    </w:r>
                  </w:p>
                </w:tc>
              </w:tr>
              <w:tr w:rsidR="00EF00D0" w14:paraId="01AF7E03" w14:textId="77777777">
                <w:trPr>
                  <w:divId w:val="782918419"/>
                  <w:tblCellSpacing w:w="15" w:type="dxa"/>
                </w:trPr>
                <w:tc>
                  <w:tcPr>
                    <w:tcW w:w="50" w:type="pct"/>
                    <w:hideMark/>
                  </w:tcPr>
                  <w:p w14:paraId="56533460" w14:textId="77777777" w:rsidR="00EF00D0" w:rsidRDefault="00EF00D0">
                    <w:pPr>
                      <w:pStyle w:val="Bibliography"/>
                      <w:rPr>
                        <w:noProof/>
                      </w:rPr>
                    </w:pPr>
                    <w:r>
                      <w:rPr>
                        <w:noProof/>
                      </w:rPr>
                      <w:t xml:space="preserve">[3] </w:t>
                    </w:r>
                  </w:p>
                </w:tc>
                <w:tc>
                  <w:tcPr>
                    <w:tcW w:w="0" w:type="auto"/>
                    <w:hideMark/>
                  </w:tcPr>
                  <w:p w14:paraId="510D2E21" w14:textId="77777777" w:rsidR="00EF00D0" w:rsidRDefault="00EF00D0">
                    <w:pPr>
                      <w:pStyle w:val="Bibliography"/>
                      <w:rPr>
                        <w:noProof/>
                      </w:rPr>
                    </w:pPr>
                    <w:r>
                      <w:rPr>
                        <w:noProof/>
                      </w:rPr>
                      <w:t>IAEA, "Specific Safety Guide No. SSG-33 Schedules of Provisions of the IAEA Regulations for the Safe Transport of Radioactive Material," IAEA, Vienna, 2015.</w:t>
                    </w:r>
                  </w:p>
                </w:tc>
              </w:tr>
              <w:tr w:rsidR="00EF00D0" w14:paraId="45908167" w14:textId="77777777">
                <w:trPr>
                  <w:divId w:val="782918419"/>
                  <w:tblCellSpacing w:w="15" w:type="dxa"/>
                </w:trPr>
                <w:tc>
                  <w:tcPr>
                    <w:tcW w:w="50" w:type="pct"/>
                    <w:hideMark/>
                  </w:tcPr>
                  <w:p w14:paraId="4481DA48" w14:textId="77777777" w:rsidR="00EF00D0" w:rsidRDefault="00EF00D0">
                    <w:pPr>
                      <w:pStyle w:val="Bibliography"/>
                      <w:rPr>
                        <w:noProof/>
                      </w:rPr>
                    </w:pPr>
                    <w:r>
                      <w:rPr>
                        <w:noProof/>
                      </w:rPr>
                      <w:t xml:space="preserve">[4] </w:t>
                    </w:r>
                  </w:p>
                </w:tc>
                <w:tc>
                  <w:tcPr>
                    <w:tcW w:w="0" w:type="auto"/>
                    <w:hideMark/>
                  </w:tcPr>
                  <w:p w14:paraId="449FE7E8" w14:textId="77777777" w:rsidR="00EF00D0" w:rsidRDefault="00EF00D0">
                    <w:pPr>
                      <w:pStyle w:val="Bibliography"/>
                      <w:rPr>
                        <w:noProof/>
                      </w:rPr>
                    </w:pPr>
                    <w:r>
                      <w:rPr>
                        <w:noProof/>
                      </w:rPr>
                      <w:t>IAEA, "Specific Safety Guide No. SSG-66 Format and Content of the Package Design Safety Report for the Transport of Radioactive Material," IAEA, Vienna, 2022.</w:t>
                    </w:r>
                  </w:p>
                </w:tc>
              </w:tr>
              <w:tr w:rsidR="00EF00D0" w14:paraId="41F8DC52" w14:textId="77777777">
                <w:trPr>
                  <w:divId w:val="782918419"/>
                  <w:tblCellSpacing w:w="15" w:type="dxa"/>
                </w:trPr>
                <w:tc>
                  <w:tcPr>
                    <w:tcW w:w="50" w:type="pct"/>
                    <w:hideMark/>
                  </w:tcPr>
                  <w:p w14:paraId="53C12941" w14:textId="77777777" w:rsidR="00EF00D0" w:rsidRDefault="00EF00D0">
                    <w:pPr>
                      <w:pStyle w:val="Bibliography"/>
                      <w:rPr>
                        <w:noProof/>
                      </w:rPr>
                    </w:pPr>
                    <w:r>
                      <w:rPr>
                        <w:noProof/>
                      </w:rPr>
                      <w:t xml:space="preserve">[5] </w:t>
                    </w:r>
                  </w:p>
                </w:tc>
                <w:tc>
                  <w:tcPr>
                    <w:tcW w:w="0" w:type="auto"/>
                    <w:hideMark/>
                  </w:tcPr>
                  <w:p w14:paraId="34587E7A" w14:textId="77777777" w:rsidR="00EF00D0" w:rsidRDefault="00EF00D0">
                    <w:pPr>
                      <w:pStyle w:val="Bibliography"/>
                      <w:rPr>
                        <w:noProof/>
                      </w:rPr>
                    </w:pPr>
                    <w:r>
                      <w:rPr>
                        <w:noProof/>
                      </w:rPr>
                      <w:t>IAEA, "Specific Safety Guide No. SSG-78 Compliance Assurance for the Safe Transport of Radioactive Material," IAEA, Vienna, 2023.</w:t>
                    </w:r>
                  </w:p>
                </w:tc>
              </w:tr>
              <w:tr w:rsidR="00EF00D0" w14:paraId="521B4C5E" w14:textId="77777777">
                <w:trPr>
                  <w:divId w:val="782918419"/>
                  <w:tblCellSpacing w:w="15" w:type="dxa"/>
                </w:trPr>
                <w:tc>
                  <w:tcPr>
                    <w:tcW w:w="50" w:type="pct"/>
                    <w:hideMark/>
                  </w:tcPr>
                  <w:p w14:paraId="03291301" w14:textId="77777777" w:rsidR="00EF00D0" w:rsidRDefault="00EF00D0">
                    <w:pPr>
                      <w:pStyle w:val="Bibliography"/>
                      <w:rPr>
                        <w:noProof/>
                      </w:rPr>
                    </w:pPr>
                    <w:r>
                      <w:rPr>
                        <w:noProof/>
                      </w:rPr>
                      <w:t xml:space="preserve">[6] </w:t>
                    </w:r>
                  </w:p>
                </w:tc>
                <w:tc>
                  <w:tcPr>
                    <w:tcW w:w="0" w:type="auto"/>
                    <w:hideMark/>
                  </w:tcPr>
                  <w:p w14:paraId="59CABF57" w14:textId="77777777" w:rsidR="00EF00D0" w:rsidRDefault="00EF00D0">
                    <w:pPr>
                      <w:pStyle w:val="Bibliography"/>
                      <w:rPr>
                        <w:noProof/>
                      </w:rPr>
                    </w:pPr>
                    <w:r>
                      <w:rPr>
                        <w:noProof/>
                      </w:rPr>
                      <w:t>IAEA, "Safety Standard Series No. SSG-86 on Radiation Protection Programmes for the Transport of Radioactive Material," IAEA , Vienna, 2023.</w:t>
                    </w:r>
                  </w:p>
                </w:tc>
              </w:tr>
            </w:tbl>
            <w:p w14:paraId="7C4D81DE" w14:textId="77777777" w:rsidR="00EF00D0" w:rsidRDefault="00EF00D0">
              <w:pPr>
                <w:divId w:val="782918419"/>
                <w:rPr>
                  <w:rFonts w:eastAsia="Times New Roman"/>
                  <w:noProof/>
                </w:rPr>
              </w:pPr>
            </w:p>
            <w:p w14:paraId="1F336035" w14:textId="6853C9A9" w:rsidR="00625170" w:rsidRDefault="002D0966">
              <w:r>
                <w:rPr>
                  <w:b/>
                  <w:bCs/>
                  <w:noProof/>
                </w:rPr>
                <w:fldChar w:fldCharType="end"/>
              </w:r>
            </w:p>
          </w:sdtContent>
        </w:sdt>
      </w:sdtContent>
    </w:sdt>
    <w:sectPr w:rsidR="00625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85"/>
    <w:rsid w:val="00000640"/>
    <w:rsid w:val="00017D51"/>
    <w:rsid w:val="00102303"/>
    <w:rsid w:val="001C5CFD"/>
    <w:rsid w:val="002863A6"/>
    <w:rsid w:val="002D0966"/>
    <w:rsid w:val="00307E85"/>
    <w:rsid w:val="00325D95"/>
    <w:rsid w:val="0033663C"/>
    <w:rsid w:val="00466685"/>
    <w:rsid w:val="004E1F78"/>
    <w:rsid w:val="005902F3"/>
    <w:rsid w:val="005A1BD5"/>
    <w:rsid w:val="005D3E62"/>
    <w:rsid w:val="00606F6F"/>
    <w:rsid w:val="00625170"/>
    <w:rsid w:val="00641F98"/>
    <w:rsid w:val="006A7F88"/>
    <w:rsid w:val="006B65B9"/>
    <w:rsid w:val="00772FA3"/>
    <w:rsid w:val="007E7F57"/>
    <w:rsid w:val="00851009"/>
    <w:rsid w:val="00857624"/>
    <w:rsid w:val="0088677D"/>
    <w:rsid w:val="008973A8"/>
    <w:rsid w:val="009A4ED7"/>
    <w:rsid w:val="00A83C8E"/>
    <w:rsid w:val="00A96EF8"/>
    <w:rsid w:val="00AC11F4"/>
    <w:rsid w:val="00AE5238"/>
    <w:rsid w:val="00B125E0"/>
    <w:rsid w:val="00B21AFE"/>
    <w:rsid w:val="00BD298D"/>
    <w:rsid w:val="00C30D9B"/>
    <w:rsid w:val="00C47B17"/>
    <w:rsid w:val="00CF7F0F"/>
    <w:rsid w:val="00D75124"/>
    <w:rsid w:val="00DC4442"/>
    <w:rsid w:val="00DF06A0"/>
    <w:rsid w:val="00DF3A64"/>
    <w:rsid w:val="00E00722"/>
    <w:rsid w:val="00E36D8C"/>
    <w:rsid w:val="00EC7AD3"/>
    <w:rsid w:val="00EF00D0"/>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AD80E"/>
  <w15:chartTrackingRefBased/>
  <w15:docId w15:val="{FE47BC3F-F9B7-427F-BE7C-889920F8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6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6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6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6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6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6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685"/>
    <w:rPr>
      <w:rFonts w:eastAsiaTheme="majorEastAsia" w:cstheme="majorBidi"/>
      <w:color w:val="272727" w:themeColor="text1" w:themeTint="D8"/>
    </w:rPr>
  </w:style>
  <w:style w:type="paragraph" w:styleId="Title">
    <w:name w:val="Title"/>
    <w:basedOn w:val="Normal"/>
    <w:next w:val="Normal"/>
    <w:link w:val="TitleChar"/>
    <w:uiPriority w:val="10"/>
    <w:qFormat/>
    <w:rsid w:val="0046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685"/>
    <w:pPr>
      <w:spacing w:before="160"/>
      <w:jc w:val="center"/>
    </w:pPr>
    <w:rPr>
      <w:i/>
      <w:iCs/>
      <w:color w:val="404040" w:themeColor="text1" w:themeTint="BF"/>
    </w:rPr>
  </w:style>
  <w:style w:type="character" w:customStyle="1" w:styleId="QuoteChar">
    <w:name w:val="Quote Char"/>
    <w:basedOn w:val="DefaultParagraphFont"/>
    <w:link w:val="Quote"/>
    <w:uiPriority w:val="29"/>
    <w:rsid w:val="00466685"/>
    <w:rPr>
      <w:i/>
      <w:iCs/>
      <w:color w:val="404040" w:themeColor="text1" w:themeTint="BF"/>
    </w:rPr>
  </w:style>
  <w:style w:type="paragraph" w:styleId="ListParagraph">
    <w:name w:val="List Paragraph"/>
    <w:basedOn w:val="Normal"/>
    <w:uiPriority w:val="34"/>
    <w:qFormat/>
    <w:rsid w:val="00466685"/>
    <w:pPr>
      <w:ind w:left="720"/>
      <w:contextualSpacing/>
    </w:pPr>
  </w:style>
  <w:style w:type="character" w:styleId="IntenseEmphasis">
    <w:name w:val="Intense Emphasis"/>
    <w:basedOn w:val="DefaultParagraphFont"/>
    <w:uiPriority w:val="21"/>
    <w:qFormat/>
    <w:rsid w:val="00466685"/>
    <w:rPr>
      <w:i/>
      <w:iCs/>
      <w:color w:val="2F5496" w:themeColor="accent1" w:themeShade="BF"/>
    </w:rPr>
  </w:style>
  <w:style w:type="paragraph" w:styleId="IntenseQuote">
    <w:name w:val="Intense Quote"/>
    <w:basedOn w:val="Normal"/>
    <w:next w:val="Normal"/>
    <w:link w:val="IntenseQuoteChar"/>
    <w:uiPriority w:val="30"/>
    <w:qFormat/>
    <w:rsid w:val="00466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685"/>
    <w:rPr>
      <w:i/>
      <w:iCs/>
      <w:color w:val="2F5496" w:themeColor="accent1" w:themeShade="BF"/>
    </w:rPr>
  </w:style>
  <w:style w:type="character" w:styleId="IntenseReference">
    <w:name w:val="Intense Reference"/>
    <w:basedOn w:val="DefaultParagraphFont"/>
    <w:uiPriority w:val="32"/>
    <w:qFormat/>
    <w:rsid w:val="00466685"/>
    <w:rPr>
      <w:b/>
      <w:bCs/>
      <w:smallCaps/>
      <w:color w:val="2F5496" w:themeColor="accent1" w:themeShade="BF"/>
      <w:spacing w:val="5"/>
    </w:rPr>
  </w:style>
  <w:style w:type="table" w:styleId="TableGrid">
    <w:name w:val="Table Grid"/>
    <w:basedOn w:val="TableNormal"/>
    <w:uiPriority w:val="39"/>
    <w:rsid w:val="00B1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0D9B"/>
    <w:rPr>
      <w:b/>
      <w:bCs/>
    </w:rPr>
  </w:style>
  <w:style w:type="paragraph" w:styleId="Bibliography">
    <w:name w:val="Bibliography"/>
    <w:basedOn w:val="Normal"/>
    <w:next w:val="Normal"/>
    <w:uiPriority w:val="37"/>
    <w:unhideWhenUsed/>
    <w:rsid w:val="002D0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7599">
      <w:bodyDiv w:val="1"/>
      <w:marLeft w:val="0"/>
      <w:marRight w:val="0"/>
      <w:marTop w:val="0"/>
      <w:marBottom w:val="0"/>
      <w:divBdr>
        <w:top w:val="none" w:sz="0" w:space="0" w:color="auto"/>
        <w:left w:val="none" w:sz="0" w:space="0" w:color="auto"/>
        <w:bottom w:val="none" w:sz="0" w:space="0" w:color="auto"/>
        <w:right w:val="none" w:sz="0" w:space="0" w:color="auto"/>
      </w:divBdr>
    </w:div>
    <w:div w:id="114258532">
      <w:bodyDiv w:val="1"/>
      <w:marLeft w:val="0"/>
      <w:marRight w:val="0"/>
      <w:marTop w:val="0"/>
      <w:marBottom w:val="0"/>
      <w:divBdr>
        <w:top w:val="none" w:sz="0" w:space="0" w:color="auto"/>
        <w:left w:val="none" w:sz="0" w:space="0" w:color="auto"/>
        <w:bottom w:val="none" w:sz="0" w:space="0" w:color="auto"/>
        <w:right w:val="none" w:sz="0" w:space="0" w:color="auto"/>
      </w:divBdr>
    </w:div>
    <w:div w:id="115107031">
      <w:bodyDiv w:val="1"/>
      <w:marLeft w:val="0"/>
      <w:marRight w:val="0"/>
      <w:marTop w:val="0"/>
      <w:marBottom w:val="0"/>
      <w:divBdr>
        <w:top w:val="none" w:sz="0" w:space="0" w:color="auto"/>
        <w:left w:val="none" w:sz="0" w:space="0" w:color="auto"/>
        <w:bottom w:val="none" w:sz="0" w:space="0" w:color="auto"/>
        <w:right w:val="none" w:sz="0" w:space="0" w:color="auto"/>
      </w:divBdr>
    </w:div>
    <w:div w:id="155924647">
      <w:bodyDiv w:val="1"/>
      <w:marLeft w:val="0"/>
      <w:marRight w:val="0"/>
      <w:marTop w:val="0"/>
      <w:marBottom w:val="0"/>
      <w:divBdr>
        <w:top w:val="none" w:sz="0" w:space="0" w:color="auto"/>
        <w:left w:val="none" w:sz="0" w:space="0" w:color="auto"/>
        <w:bottom w:val="none" w:sz="0" w:space="0" w:color="auto"/>
        <w:right w:val="none" w:sz="0" w:space="0" w:color="auto"/>
      </w:divBdr>
    </w:div>
    <w:div w:id="182138683">
      <w:bodyDiv w:val="1"/>
      <w:marLeft w:val="0"/>
      <w:marRight w:val="0"/>
      <w:marTop w:val="0"/>
      <w:marBottom w:val="0"/>
      <w:divBdr>
        <w:top w:val="none" w:sz="0" w:space="0" w:color="auto"/>
        <w:left w:val="none" w:sz="0" w:space="0" w:color="auto"/>
        <w:bottom w:val="none" w:sz="0" w:space="0" w:color="auto"/>
        <w:right w:val="none" w:sz="0" w:space="0" w:color="auto"/>
      </w:divBdr>
    </w:div>
    <w:div w:id="215089553">
      <w:bodyDiv w:val="1"/>
      <w:marLeft w:val="0"/>
      <w:marRight w:val="0"/>
      <w:marTop w:val="0"/>
      <w:marBottom w:val="0"/>
      <w:divBdr>
        <w:top w:val="none" w:sz="0" w:space="0" w:color="auto"/>
        <w:left w:val="none" w:sz="0" w:space="0" w:color="auto"/>
        <w:bottom w:val="none" w:sz="0" w:space="0" w:color="auto"/>
        <w:right w:val="none" w:sz="0" w:space="0" w:color="auto"/>
      </w:divBdr>
    </w:div>
    <w:div w:id="374620467">
      <w:bodyDiv w:val="1"/>
      <w:marLeft w:val="0"/>
      <w:marRight w:val="0"/>
      <w:marTop w:val="0"/>
      <w:marBottom w:val="0"/>
      <w:divBdr>
        <w:top w:val="none" w:sz="0" w:space="0" w:color="auto"/>
        <w:left w:val="none" w:sz="0" w:space="0" w:color="auto"/>
        <w:bottom w:val="none" w:sz="0" w:space="0" w:color="auto"/>
        <w:right w:val="none" w:sz="0" w:space="0" w:color="auto"/>
      </w:divBdr>
    </w:div>
    <w:div w:id="486868059">
      <w:bodyDiv w:val="1"/>
      <w:marLeft w:val="0"/>
      <w:marRight w:val="0"/>
      <w:marTop w:val="0"/>
      <w:marBottom w:val="0"/>
      <w:divBdr>
        <w:top w:val="none" w:sz="0" w:space="0" w:color="auto"/>
        <w:left w:val="none" w:sz="0" w:space="0" w:color="auto"/>
        <w:bottom w:val="none" w:sz="0" w:space="0" w:color="auto"/>
        <w:right w:val="none" w:sz="0" w:space="0" w:color="auto"/>
      </w:divBdr>
    </w:div>
    <w:div w:id="782918419">
      <w:bodyDiv w:val="1"/>
      <w:marLeft w:val="0"/>
      <w:marRight w:val="0"/>
      <w:marTop w:val="0"/>
      <w:marBottom w:val="0"/>
      <w:divBdr>
        <w:top w:val="none" w:sz="0" w:space="0" w:color="auto"/>
        <w:left w:val="none" w:sz="0" w:space="0" w:color="auto"/>
        <w:bottom w:val="none" w:sz="0" w:space="0" w:color="auto"/>
        <w:right w:val="none" w:sz="0" w:space="0" w:color="auto"/>
      </w:divBdr>
    </w:div>
    <w:div w:id="796139470">
      <w:bodyDiv w:val="1"/>
      <w:marLeft w:val="0"/>
      <w:marRight w:val="0"/>
      <w:marTop w:val="0"/>
      <w:marBottom w:val="0"/>
      <w:divBdr>
        <w:top w:val="none" w:sz="0" w:space="0" w:color="auto"/>
        <w:left w:val="none" w:sz="0" w:space="0" w:color="auto"/>
        <w:bottom w:val="none" w:sz="0" w:space="0" w:color="auto"/>
        <w:right w:val="none" w:sz="0" w:space="0" w:color="auto"/>
      </w:divBdr>
    </w:div>
    <w:div w:id="832527502">
      <w:bodyDiv w:val="1"/>
      <w:marLeft w:val="0"/>
      <w:marRight w:val="0"/>
      <w:marTop w:val="0"/>
      <w:marBottom w:val="0"/>
      <w:divBdr>
        <w:top w:val="none" w:sz="0" w:space="0" w:color="auto"/>
        <w:left w:val="none" w:sz="0" w:space="0" w:color="auto"/>
        <w:bottom w:val="none" w:sz="0" w:space="0" w:color="auto"/>
        <w:right w:val="none" w:sz="0" w:space="0" w:color="auto"/>
      </w:divBdr>
    </w:div>
    <w:div w:id="863443265">
      <w:bodyDiv w:val="1"/>
      <w:marLeft w:val="0"/>
      <w:marRight w:val="0"/>
      <w:marTop w:val="0"/>
      <w:marBottom w:val="0"/>
      <w:divBdr>
        <w:top w:val="none" w:sz="0" w:space="0" w:color="auto"/>
        <w:left w:val="none" w:sz="0" w:space="0" w:color="auto"/>
        <w:bottom w:val="none" w:sz="0" w:space="0" w:color="auto"/>
        <w:right w:val="none" w:sz="0" w:space="0" w:color="auto"/>
      </w:divBdr>
    </w:div>
    <w:div w:id="928270567">
      <w:bodyDiv w:val="1"/>
      <w:marLeft w:val="0"/>
      <w:marRight w:val="0"/>
      <w:marTop w:val="0"/>
      <w:marBottom w:val="0"/>
      <w:divBdr>
        <w:top w:val="none" w:sz="0" w:space="0" w:color="auto"/>
        <w:left w:val="none" w:sz="0" w:space="0" w:color="auto"/>
        <w:bottom w:val="none" w:sz="0" w:space="0" w:color="auto"/>
        <w:right w:val="none" w:sz="0" w:space="0" w:color="auto"/>
      </w:divBdr>
    </w:div>
    <w:div w:id="946696029">
      <w:bodyDiv w:val="1"/>
      <w:marLeft w:val="0"/>
      <w:marRight w:val="0"/>
      <w:marTop w:val="0"/>
      <w:marBottom w:val="0"/>
      <w:divBdr>
        <w:top w:val="none" w:sz="0" w:space="0" w:color="auto"/>
        <w:left w:val="none" w:sz="0" w:space="0" w:color="auto"/>
        <w:bottom w:val="none" w:sz="0" w:space="0" w:color="auto"/>
        <w:right w:val="none" w:sz="0" w:space="0" w:color="auto"/>
      </w:divBdr>
    </w:div>
    <w:div w:id="986008043">
      <w:bodyDiv w:val="1"/>
      <w:marLeft w:val="0"/>
      <w:marRight w:val="0"/>
      <w:marTop w:val="0"/>
      <w:marBottom w:val="0"/>
      <w:divBdr>
        <w:top w:val="none" w:sz="0" w:space="0" w:color="auto"/>
        <w:left w:val="none" w:sz="0" w:space="0" w:color="auto"/>
        <w:bottom w:val="none" w:sz="0" w:space="0" w:color="auto"/>
        <w:right w:val="none" w:sz="0" w:space="0" w:color="auto"/>
      </w:divBdr>
    </w:div>
    <w:div w:id="1154644969">
      <w:bodyDiv w:val="1"/>
      <w:marLeft w:val="0"/>
      <w:marRight w:val="0"/>
      <w:marTop w:val="0"/>
      <w:marBottom w:val="0"/>
      <w:divBdr>
        <w:top w:val="none" w:sz="0" w:space="0" w:color="auto"/>
        <w:left w:val="none" w:sz="0" w:space="0" w:color="auto"/>
        <w:bottom w:val="none" w:sz="0" w:space="0" w:color="auto"/>
        <w:right w:val="none" w:sz="0" w:space="0" w:color="auto"/>
      </w:divBdr>
    </w:div>
    <w:div w:id="1181236240">
      <w:bodyDiv w:val="1"/>
      <w:marLeft w:val="0"/>
      <w:marRight w:val="0"/>
      <w:marTop w:val="0"/>
      <w:marBottom w:val="0"/>
      <w:divBdr>
        <w:top w:val="none" w:sz="0" w:space="0" w:color="auto"/>
        <w:left w:val="none" w:sz="0" w:space="0" w:color="auto"/>
        <w:bottom w:val="none" w:sz="0" w:space="0" w:color="auto"/>
        <w:right w:val="none" w:sz="0" w:space="0" w:color="auto"/>
      </w:divBdr>
    </w:div>
    <w:div w:id="1376126023">
      <w:bodyDiv w:val="1"/>
      <w:marLeft w:val="0"/>
      <w:marRight w:val="0"/>
      <w:marTop w:val="0"/>
      <w:marBottom w:val="0"/>
      <w:divBdr>
        <w:top w:val="none" w:sz="0" w:space="0" w:color="auto"/>
        <w:left w:val="none" w:sz="0" w:space="0" w:color="auto"/>
        <w:bottom w:val="none" w:sz="0" w:space="0" w:color="auto"/>
        <w:right w:val="none" w:sz="0" w:space="0" w:color="auto"/>
      </w:divBdr>
    </w:div>
    <w:div w:id="1423993590">
      <w:bodyDiv w:val="1"/>
      <w:marLeft w:val="0"/>
      <w:marRight w:val="0"/>
      <w:marTop w:val="0"/>
      <w:marBottom w:val="0"/>
      <w:divBdr>
        <w:top w:val="none" w:sz="0" w:space="0" w:color="auto"/>
        <w:left w:val="none" w:sz="0" w:space="0" w:color="auto"/>
        <w:bottom w:val="none" w:sz="0" w:space="0" w:color="auto"/>
        <w:right w:val="none" w:sz="0" w:space="0" w:color="auto"/>
      </w:divBdr>
    </w:div>
    <w:div w:id="1429691135">
      <w:bodyDiv w:val="1"/>
      <w:marLeft w:val="0"/>
      <w:marRight w:val="0"/>
      <w:marTop w:val="0"/>
      <w:marBottom w:val="0"/>
      <w:divBdr>
        <w:top w:val="none" w:sz="0" w:space="0" w:color="auto"/>
        <w:left w:val="none" w:sz="0" w:space="0" w:color="auto"/>
        <w:bottom w:val="none" w:sz="0" w:space="0" w:color="auto"/>
        <w:right w:val="none" w:sz="0" w:space="0" w:color="auto"/>
      </w:divBdr>
    </w:div>
    <w:div w:id="1471169749">
      <w:bodyDiv w:val="1"/>
      <w:marLeft w:val="0"/>
      <w:marRight w:val="0"/>
      <w:marTop w:val="0"/>
      <w:marBottom w:val="0"/>
      <w:divBdr>
        <w:top w:val="none" w:sz="0" w:space="0" w:color="auto"/>
        <w:left w:val="none" w:sz="0" w:space="0" w:color="auto"/>
        <w:bottom w:val="none" w:sz="0" w:space="0" w:color="auto"/>
        <w:right w:val="none" w:sz="0" w:space="0" w:color="auto"/>
      </w:divBdr>
    </w:div>
    <w:div w:id="1519656014">
      <w:bodyDiv w:val="1"/>
      <w:marLeft w:val="0"/>
      <w:marRight w:val="0"/>
      <w:marTop w:val="0"/>
      <w:marBottom w:val="0"/>
      <w:divBdr>
        <w:top w:val="none" w:sz="0" w:space="0" w:color="auto"/>
        <w:left w:val="none" w:sz="0" w:space="0" w:color="auto"/>
        <w:bottom w:val="none" w:sz="0" w:space="0" w:color="auto"/>
        <w:right w:val="none" w:sz="0" w:space="0" w:color="auto"/>
      </w:divBdr>
    </w:div>
    <w:div w:id="1537279362">
      <w:bodyDiv w:val="1"/>
      <w:marLeft w:val="0"/>
      <w:marRight w:val="0"/>
      <w:marTop w:val="0"/>
      <w:marBottom w:val="0"/>
      <w:divBdr>
        <w:top w:val="none" w:sz="0" w:space="0" w:color="auto"/>
        <w:left w:val="none" w:sz="0" w:space="0" w:color="auto"/>
        <w:bottom w:val="none" w:sz="0" w:space="0" w:color="auto"/>
        <w:right w:val="none" w:sz="0" w:space="0" w:color="auto"/>
      </w:divBdr>
    </w:div>
    <w:div w:id="1573200736">
      <w:bodyDiv w:val="1"/>
      <w:marLeft w:val="0"/>
      <w:marRight w:val="0"/>
      <w:marTop w:val="0"/>
      <w:marBottom w:val="0"/>
      <w:divBdr>
        <w:top w:val="none" w:sz="0" w:space="0" w:color="auto"/>
        <w:left w:val="none" w:sz="0" w:space="0" w:color="auto"/>
        <w:bottom w:val="none" w:sz="0" w:space="0" w:color="auto"/>
        <w:right w:val="none" w:sz="0" w:space="0" w:color="auto"/>
      </w:divBdr>
    </w:div>
    <w:div w:id="1595624800">
      <w:bodyDiv w:val="1"/>
      <w:marLeft w:val="0"/>
      <w:marRight w:val="0"/>
      <w:marTop w:val="0"/>
      <w:marBottom w:val="0"/>
      <w:divBdr>
        <w:top w:val="none" w:sz="0" w:space="0" w:color="auto"/>
        <w:left w:val="none" w:sz="0" w:space="0" w:color="auto"/>
        <w:bottom w:val="none" w:sz="0" w:space="0" w:color="auto"/>
        <w:right w:val="none" w:sz="0" w:space="0" w:color="auto"/>
      </w:divBdr>
    </w:div>
    <w:div w:id="1716850213">
      <w:bodyDiv w:val="1"/>
      <w:marLeft w:val="0"/>
      <w:marRight w:val="0"/>
      <w:marTop w:val="0"/>
      <w:marBottom w:val="0"/>
      <w:divBdr>
        <w:top w:val="none" w:sz="0" w:space="0" w:color="auto"/>
        <w:left w:val="none" w:sz="0" w:space="0" w:color="auto"/>
        <w:bottom w:val="none" w:sz="0" w:space="0" w:color="auto"/>
        <w:right w:val="none" w:sz="0" w:space="0" w:color="auto"/>
      </w:divBdr>
    </w:div>
    <w:div w:id="21343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IAE233</b:Tag>
    <b:SourceType>ElectronicSource</b:SourceType>
    <b:Guid>{B944F617-35F1-4EB3-9FEA-BB56833517D8}</b:Guid>
    <b:Author>
      <b:Author>
        <b:Corporate>IAEA</b:Corporate>
      </b:Author>
    </b:Author>
    <b:Title>Safety Standard Series No. SSG-86 on Radiation Protection Programmes for the Transport of Radioactive Material</b:Title>
    <b:City>Vienna</b:City>
    <b:Publisher>IAEA </b:Publisher>
    <b:Year>2023</b:Year>
    <b:RefOrder>6</b:RefOrder>
  </b:Source>
  <b:Source>
    <b:Tag>IAE141</b:Tag>
    <b:SourceType>ElectronicSource</b:SourceType>
    <b:Guid>{D843FE22-D55D-48E3-AF31-E210AF3CBE85}</b:Guid>
    <b:Author>
      <b:Author>
        <b:Corporate>IAEA</b:Corporate>
      </b:Author>
    </b:Author>
    <b:Title>Specific Safety Guide No. SSG-26 Advisory Material for the IAEA Regulations for the Safe Transport of Radioactive Material</b:Title>
    <b:City>Vienna</b:City>
    <b:Publisher>IAEA</b:Publisher>
    <b:Year>2014</b:Year>
    <b:RefOrder>2</b:RefOrder>
  </b:Source>
  <b:Source>
    <b:Tag>IAE15</b:Tag>
    <b:SourceType>ElectronicSource</b:SourceType>
    <b:Guid>{78152B93-4D8D-4447-9DA9-8BB674ADB3F4}</b:Guid>
    <b:Author>
      <b:Author>
        <b:Corporate>IAEA</b:Corporate>
      </b:Author>
    </b:Author>
    <b:Title>Specific Safety Guide No. SSG-33 Schedules of Provisions of the IAEA Regulations for the Safe Transport of Radioactive Material</b:Title>
    <b:City>Vienna</b:City>
    <b:Publisher>IAEA</b:Publisher>
    <b:Year>2015</b:Year>
    <b:RefOrder>3</b:RefOrder>
  </b:Source>
  <b:Source>
    <b:Tag>IAE221</b:Tag>
    <b:SourceType>ElectronicSource</b:SourceType>
    <b:Guid>{C91A2C7C-F3D4-4236-92BA-3A8E1609F231}</b:Guid>
    <b:Author>
      <b:Author>
        <b:Corporate>IAEA</b:Corporate>
      </b:Author>
    </b:Author>
    <b:Title>Specific Safety Guide No. SSG-66 Format and Content of the Package Design Safety Report for the Transport of Radioactive Material </b:Title>
    <b:City>Vienna</b:City>
    <b:Publisher>IAEA</b:Publisher>
    <b:Year>2022</b:Year>
    <b:RefOrder>4</b:RefOrder>
  </b:Source>
  <b:Source>
    <b:Tag>IAE234</b:Tag>
    <b:SourceType>ElectronicSource</b:SourceType>
    <b:Guid>{D1B5F479-C15F-43EB-93B4-F65561DF2874}</b:Guid>
    <b:Author>
      <b:Author>
        <b:Corporate>IAEA</b:Corporate>
      </b:Author>
    </b:Author>
    <b:Title>Specific Safety Guide No. SSG-78 Compliance Assurance for the Safe Transport of Radioactive Material</b:Title>
    <b:City>Vienna</b:City>
    <b:Publisher>IAEA</b:Publisher>
    <b:Year>2023</b:Year>
    <b:RefOrder>5</b:RefOrder>
  </b:Source>
  <b:Source>
    <b:Tag>Int12</b:Tag>
    <b:SourceType>ElectronicSource</b:SourceType>
    <b:Guid>{3777F9AC-3DC8-413C-9E61-F67B4C60B3E9}</b:Guid>
    <b:Author>
      <b:Author>
        <b:Corporate>IAEA</b:Corporate>
      </b:Author>
    </b:Author>
    <b:Title>Specific Safety Requirements No. SSR-6 Regulations for the Safe Transport of Radioactive Material</b:Title>
    <b:City>Vienna</b:City>
    <b:Publisher>IAEA</b:Publisher>
    <b:Year>2012</b:Year>
    <b:RefOrder>1</b:RefOrder>
  </b:Source>
</b:Sources>
</file>

<file path=customXml/itemProps1.xml><?xml version="1.0" encoding="utf-8"?>
<ds:datastoreItem xmlns:ds="http://schemas.openxmlformats.org/officeDocument/2006/customXml" ds:itemID="{4CF6E337-A25C-4B8F-B9CA-7F0CE89C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725</Words>
  <Characters>4654</Characters>
  <Application>Microsoft Office Word</Application>
  <DocSecurity>0</DocSecurity>
  <Lines>136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2025-09-13T17:31:00Z</cp:lastPrinted>
  <dcterms:created xsi:type="dcterms:W3CDTF">2025-09-29T15:22:00Z</dcterms:created>
  <dcterms:modified xsi:type="dcterms:W3CDTF">2025-09-29T17:22:00Z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8d0857a1-4f1b-4d03-ada2-0613dd3d933c</vt:lpwstr>
  </property>
</Properties>
</file>