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7DF2" w:rsidRPr="00837D9B" w:rsidRDefault="00C57DF2" w:rsidP="00C57DF2">
      <w:pPr>
        <w:spacing w:after="0" w:line="276" w:lineRule="auto"/>
        <w:jc w:val="center"/>
        <w:rPr>
          <w:rFonts w:ascii="Berlin Sans FB" w:hAnsi="Berlin Sans FB"/>
          <w:b/>
          <w:bCs/>
          <w:sz w:val="28"/>
          <w:szCs w:val="28"/>
          <w:u w:val="single"/>
        </w:rPr>
      </w:pPr>
      <w:r w:rsidRPr="00C57DF2">
        <w:rPr>
          <w:rFonts w:ascii="Berlin Sans FB" w:hAnsi="Berlin Sans FB"/>
          <w:b/>
          <w:bCs/>
          <w:sz w:val="28"/>
          <w:szCs w:val="28"/>
          <w:u w:val="single"/>
        </w:rPr>
        <w:t>SAFE AND SECURE TRANSPORT OF SMALL MODULAR REACTORS</w:t>
      </w:r>
      <w:r>
        <w:rPr>
          <w:rFonts w:ascii="Berlin Sans FB" w:hAnsi="Berlin Sans FB"/>
          <w:b/>
          <w:bCs/>
          <w:sz w:val="28"/>
          <w:szCs w:val="28"/>
          <w:u w:val="single"/>
        </w:rPr>
        <w:t xml:space="preserve"> FOR DEPLOYMENT</w:t>
      </w:r>
      <w:r w:rsidRPr="00C57DF2">
        <w:rPr>
          <w:rFonts w:ascii="Berlin Sans FB" w:hAnsi="Berlin Sans FB"/>
          <w:b/>
          <w:bCs/>
          <w:sz w:val="28"/>
          <w:szCs w:val="28"/>
          <w:u w:val="single"/>
        </w:rPr>
        <w:t xml:space="preserve"> IN NIGERIA</w:t>
      </w:r>
    </w:p>
    <w:p w:rsidR="009148A3" w:rsidRDefault="009148A3" w:rsidP="00C57DF2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Nigeria is seriously considering the feasibility of deploying small modular reactors (SMRs) across</w:t>
      </w:r>
      <w:r w:rsidR="00A327CB">
        <w:rPr>
          <w:rFonts w:ascii="Georgia" w:hAnsi="Georgia"/>
        </w:rPr>
        <w:t xml:space="preserve"> its</w:t>
      </w:r>
      <w:r>
        <w:rPr>
          <w:rFonts w:ascii="Georgia" w:hAnsi="Georgia"/>
        </w:rPr>
        <w:t xml:space="preserve"> geopolitical zones in order to achieve the goal of energy sufficiency for the country. The rationale behind this decision is due to; the country’s low-capacity grid, cost considerations for the deployment of SMRs compare to the conventional nuclear power plants (NPPs)</w:t>
      </w:r>
      <w:r w:rsidR="00A14D7F">
        <w:rPr>
          <w:rFonts w:ascii="Georgia" w:hAnsi="Georgia"/>
        </w:rPr>
        <w:t xml:space="preserve"> and other non-electrical power applications that Nigeria could benefit from the deployment of SMRs such as </w:t>
      </w:r>
      <w:r w:rsidR="00A14D7F" w:rsidRPr="00A14D7F">
        <w:rPr>
          <w:rFonts w:ascii="Georgia" w:hAnsi="Georgia"/>
        </w:rPr>
        <w:t>utilization of waste heat from nuclear reactors for industrial or district heating</w:t>
      </w:r>
      <w:r w:rsidR="00A14D7F">
        <w:rPr>
          <w:rFonts w:ascii="Georgia" w:hAnsi="Georgia"/>
        </w:rPr>
        <w:t xml:space="preserve"> </w:t>
      </w:r>
      <w:r w:rsidR="00B27CB2">
        <w:rPr>
          <w:rFonts w:ascii="Georgia" w:hAnsi="Georgia"/>
        </w:rPr>
        <w:t>as well as water production</w:t>
      </w:r>
      <w:r w:rsidR="00A14D7F">
        <w:rPr>
          <w:rFonts w:ascii="Georgia" w:hAnsi="Georgia"/>
        </w:rPr>
        <w:t>.</w:t>
      </w:r>
    </w:p>
    <w:p w:rsidR="00C57DF2" w:rsidRDefault="00C57DF2" w:rsidP="00C57DF2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Nigeria Atomic Energy Commission (NAEC) as the Nuclear Energy Programme Implementing Organization (NEPIO) saddled with the responsibility of coordinating Nigeria’s Nuclear Power Programme (NNPP) is </w:t>
      </w:r>
      <w:r w:rsidR="00A14D7F">
        <w:rPr>
          <w:rFonts w:ascii="Georgia" w:hAnsi="Georgia"/>
        </w:rPr>
        <w:t xml:space="preserve">currently developing </w:t>
      </w:r>
      <w:r w:rsidR="00A14D7F" w:rsidRPr="00A14D7F">
        <w:rPr>
          <w:rFonts w:ascii="Georgia" w:hAnsi="Georgia"/>
        </w:rPr>
        <w:t>Strategic Plan</w:t>
      </w:r>
      <w:r w:rsidR="00A14D7F" w:rsidRPr="00A14D7F">
        <w:rPr>
          <w:rFonts w:ascii="Georgia" w:hAnsi="Georgia"/>
        </w:rPr>
        <w:t xml:space="preserve"> </w:t>
      </w:r>
      <w:r w:rsidR="00A14D7F">
        <w:rPr>
          <w:rFonts w:ascii="Georgia" w:hAnsi="Georgia"/>
        </w:rPr>
        <w:t xml:space="preserve">document </w:t>
      </w:r>
      <w:r w:rsidR="00A14D7F" w:rsidRPr="00A14D7F">
        <w:rPr>
          <w:rFonts w:ascii="Georgia" w:hAnsi="Georgia"/>
        </w:rPr>
        <w:t>for</w:t>
      </w:r>
      <w:r w:rsidR="00A14D7F">
        <w:rPr>
          <w:rFonts w:ascii="Georgia" w:hAnsi="Georgia"/>
        </w:rPr>
        <w:t xml:space="preserve"> the</w:t>
      </w:r>
      <w:r w:rsidR="00A14D7F" w:rsidRPr="00A14D7F">
        <w:rPr>
          <w:rFonts w:ascii="Georgia" w:hAnsi="Georgia"/>
        </w:rPr>
        <w:t xml:space="preserve"> </w:t>
      </w:r>
      <w:r w:rsidR="00A403CE">
        <w:rPr>
          <w:rFonts w:ascii="Georgia" w:hAnsi="Georgia"/>
        </w:rPr>
        <w:t xml:space="preserve">development and </w:t>
      </w:r>
      <w:r w:rsidR="00A14D7F" w:rsidRPr="00A14D7F">
        <w:rPr>
          <w:rFonts w:ascii="Georgia" w:hAnsi="Georgia"/>
        </w:rPr>
        <w:t xml:space="preserve">deployment of </w:t>
      </w:r>
      <w:r w:rsidR="00A14D7F">
        <w:rPr>
          <w:rFonts w:ascii="Georgia" w:hAnsi="Georgia"/>
        </w:rPr>
        <w:t>SMRs</w:t>
      </w:r>
      <w:r w:rsidR="00A14D7F" w:rsidRPr="00A14D7F">
        <w:rPr>
          <w:rFonts w:ascii="Georgia" w:hAnsi="Georgia"/>
        </w:rPr>
        <w:t xml:space="preserve"> in Nigeria</w:t>
      </w:r>
      <w:r w:rsidR="00B27CB2">
        <w:rPr>
          <w:rFonts w:ascii="Georgia" w:hAnsi="Georgia"/>
        </w:rPr>
        <w:t>.</w:t>
      </w:r>
    </w:p>
    <w:p w:rsidR="00B27CB2" w:rsidRDefault="00A327CB" w:rsidP="00B27CB2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Thus, t</w:t>
      </w:r>
      <w:r w:rsidR="00B27CB2">
        <w:rPr>
          <w:rFonts w:ascii="Georgia" w:hAnsi="Georgia"/>
        </w:rPr>
        <w:t xml:space="preserve">he objective of the presentation </w:t>
      </w:r>
      <w:r>
        <w:rPr>
          <w:rFonts w:ascii="Georgia" w:hAnsi="Georgia"/>
        </w:rPr>
        <w:t>is</w:t>
      </w:r>
      <w:r w:rsidR="00B27CB2">
        <w:rPr>
          <w:rFonts w:ascii="Georgia" w:hAnsi="Georgia"/>
        </w:rPr>
        <w:t xml:space="preserve"> to </w:t>
      </w:r>
      <w:r w:rsidR="00A403CE">
        <w:rPr>
          <w:rFonts w:ascii="Georgia" w:hAnsi="Georgia"/>
        </w:rPr>
        <w:t>address the safety and security requirements, robust regulatory framework and major challenges f</w:t>
      </w:r>
      <w:r w:rsidR="00A403CE" w:rsidRPr="00A403CE">
        <w:rPr>
          <w:rFonts w:ascii="Georgia" w:hAnsi="Georgia"/>
        </w:rPr>
        <w:t xml:space="preserve">or safe and secure transport of </w:t>
      </w:r>
      <w:r w:rsidR="00A403CE" w:rsidRPr="00A403CE">
        <w:rPr>
          <w:rFonts w:ascii="Georgia" w:hAnsi="Georgia"/>
        </w:rPr>
        <w:t xml:space="preserve">SMRs </w:t>
      </w:r>
      <w:r w:rsidR="00A403CE">
        <w:rPr>
          <w:rFonts w:ascii="Georgia" w:hAnsi="Georgia"/>
        </w:rPr>
        <w:t xml:space="preserve">development and deployment </w:t>
      </w:r>
      <w:r w:rsidR="00A403CE" w:rsidRPr="00A403CE">
        <w:rPr>
          <w:rFonts w:ascii="Georgia" w:hAnsi="Georgia"/>
        </w:rPr>
        <w:t>in Nig</w:t>
      </w:r>
      <w:r w:rsidR="00A403CE">
        <w:rPr>
          <w:rFonts w:ascii="Georgia" w:hAnsi="Georgia"/>
        </w:rPr>
        <w:t>eria within the country’s national nuclear power roadmap framework.</w:t>
      </w:r>
    </w:p>
    <w:p w:rsidR="00A53076" w:rsidRDefault="007D726B" w:rsidP="00B27CB2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It is expedient to note that the transportation of SMRs in a safe and secure manner in Nigeria will require careful planning, execution and compliance with international and national regulations as well as adherence to industry standards and guidelines for SMR security. </w:t>
      </w:r>
      <w:r w:rsidR="00A53076">
        <w:rPr>
          <w:rFonts w:ascii="Georgia" w:hAnsi="Georgia"/>
        </w:rPr>
        <w:t>Some of the key areas of focus to achieve safe and secure transport of SMRs for deployment in Nigeria are:</w:t>
      </w:r>
    </w:p>
    <w:p w:rsidR="00A53076" w:rsidRPr="00A53076" w:rsidRDefault="00A53076" w:rsidP="00544909">
      <w:pPr>
        <w:spacing w:after="0" w:line="360" w:lineRule="auto"/>
        <w:jc w:val="both"/>
        <w:rPr>
          <w:rFonts w:ascii="Georgia" w:eastAsia="Calibri" w:hAnsi="Georgia" w:cs="Times New Roman"/>
          <w:b/>
          <w:bCs/>
          <w:u w:val="single"/>
        </w:rPr>
      </w:pPr>
      <w:r w:rsidRPr="00A53076">
        <w:rPr>
          <w:rFonts w:ascii="Georgia" w:eastAsia="Calibri" w:hAnsi="Georgia" w:cs="Times New Roman"/>
          <w:b/>
          <w:bCs/>
          <w:u w:val="single"/>
        </w:rPr>
        <w:t xml:space="preserve">Safety </w:t>
      </w:r>
      <w:r w:rsidRPr="00A53076">
        <w:rPr>
          <w:rFonts w:ascii="Georgia" w:eastAsia="Calibri" w:hAnsi="Georgia" w:cs="Times New Roman"/>
          <w:b/>
          <w:bCs/>
          <w:u w:val="single"/>
        </w:rPr>
        <w:t xml:space="preserve">Requirements </w:t>
      </w:r>
    </w:p>
    <w:p w:rsidR="00A53076" w:rsidRDefault="00A53076" w:rsidP="00544909">
      <w:pPr>
        <w:spacing w:after="0" w:line="360" w:lineRule="auto"/>
        <w:jc w:val="both"/>
        <w:rPr>
          <w:rFonts w:ascii="Georgia" w:eastAsia="Calibri" w:hAnsi="Georgia" w:cs="Times New Roman"/>
        </w:rPr>
      </w:pPr>
      <w:r w:rsidRPr="00A53076">
        <w:rPr>
          <w:rFonts w:ascii="Georgia" w:eastAsia="Calibri" w:hAnsi="Georgia" w:cs="Times New Roman"/>
        </w:rPr>
        <w:t xml:space="preserve">Perimeter Security: </w:t>
      </w:r>
      <w:r>
        <w:rPr>
          <w:rFonts w:ascii="Georgia" w:eastAsia="Calibri" w:hAnsi="Georgia" w:cs="Times New Roman"/>
        </w:rPr>
        <w:t xml:space="preserve">This can be achieved through the implementation of </w:t>
      </w:r>
      <w:r w:rsidRPr="00A53076">
        <w:rPr>
          <w:rFonts w:ascii="Georgia" w:eastAsia="Calibri" w:hAnsi="Georgia" w:cs="Times New Roman"/>
        </w:rPr>
        <w:t>robust physical barriers and surveillance systems to prevent unauthorized access.</w:t>
      </w:r>
    </w:p>
    <w:p w:rsidR="00A53076" w:rsidRDefault="00A53076" w:rsidP="00544909">
      <w:pPr>
        <w:spacing w:after="0" w:line="360" w:lineRule="auto"/>
        <w:jc w:val="both"/>
        <w:rPr>
          <w:rFonts w:ascii="Georgia" w:eastAsia="Calibri" w:hAnsi="Georgia" w:cs="Times New Roman"/>
        </w:rPr>
      </w:pPr>
      <w:r w:rsidRPr="00A53076">
        <w:rPr>
          <w:rFonts w:ascii="Georgia" w:eastAsia="Calibri" w:hAnsi="Georgia" w:cs="Times New Roman"/>
        </w:rPr>
        <w:t>Insider Threats:</w:t>
      </w:r>
      <w:r>
        <w:rPr>
          <w:rFonts w:ascii="Georgia" w:eastAsia="Calibri" w:hAnsi="Georgia" w:cs="Times New Roman"/>
        </w:rPr>
        <w:t xml:space="preserve"> </w:t>
      </w:r>
      <w:r w:rsidR="009A7DE3" w:rsidRPr="009A7DE3">
        <w:rPr>
          <w:rFonts w:ascii="Georgia" w:eastAsia="Calibri" w:hAnsi="Georgia" w:cs="Times New Roman"/>
        </w:rPr>
        <w:t>To reduce insider threats, undertake extensive background checks and develop staff reliability programs.</w:t>
      </w:r>
    </w:p>
    <w:p w:rsidR="00A53076" w:rsidRPr="00A53076" w:rsidRDefault="00A53076" w:rsidP="00544909">
      <w:pPr>
        <w:spacing w:after="0" w:line="360" w:lineRule="auto"/>
        <w:jc w:val="both"/>
        <w:rPr>
          <w:rFonts w:ascii="Georgia" w:eastAsia="Calibri" w:hAnsi="Georgia" w:cs="Times New Roman"/>
        </w:rPr>
      </w:pPr>
      <w:r w:rsidRPr="00A53076">
        <w:rPr>
          <w:rFonts w:ascii="Georgia" w:eastAsia="Calibri" w:hAnsi="Georgia" w:cs="Times New Roman"/>
        </w:rPr>
        <w:t xml:space="preserve">Remote Monitoring: </w:t>
      </w:r>
      <w:r w:rsidR="009A7DE3" w:rsidRPr="009A7DE3">
        <w:rPr>
          <w:rFonts w:ascii="Georgia" w:eastAsia="Calibri" w:hAnsi="Georgia" w:cs="Times New Roman"/>
        </w:rPr>
        <w:t>Enhancing security through the use of emerging technologies such as drones, AI-driven surveillance, and real-time monitoring systems</w:t>
      </w:r>
      <w:r w:rsidRPr="00A53076">
        <w:rPr>
          <w:rFonts w:ascii="Georgia" w:eastAsia="Calibri" w:hAnsi="Georgia" w:cs="Times New Roman"/>
        </w:rPr>
        <w:t>.</w:t>
      </w:r>
    </w:p>
    <w:p w:rsidR="00A53076" w:rsidRPr="00A53076" w:rsidRDefault="00A53076" w:rsidP="00544909">
      <w:pPr>
        <w:spacing w:after="0" w:line="360" w:lineRule="auto"/>
        <w:jc w:val="both"/>
        <w:rPr>
          <w:rFonts w:ascii="Georgia" w:hAnsi="Georgia"/>
          <w:b/>
          <w:bCs/>
          <w:u w:val="single"/>
        </w:rPr>
      </w:pPr>
      <w:r w:rsidRPr="00A53076">
        <w:rPr>
          <w:rFonts w:ascii="Georgia" w:hAnsi="Georgia"/>
          <w:b/>
          <w:bCs/>
          <w:u w:val="single"/>
        </w:rPr>
        <w:t>Security Requirements</w:t>
      </w:r>
    </w:p>
    <w:p w:rsidR="00A53076" w:rsidRPr="00A53076" w:rsidRDefault="00A53076" w:rsidP="00544909">
      <w:pPr>
        <w:spacing w:after="0" w:line="276" w:lineRule="auto"/>
        <w:jc w:val="both"/>
        <w:rPr>
          <w:rFonts w:ascii="Georgia" w:hAnsi="Georgia"/>
        </w:rPr>
      </w:pPr>
      <w:r w:rsidRPr="00A53076">
        <w:rPr>
          <w:rFonts w:ascii="Georgia" w:hAnsi="Georgia"/>
        </w:rPr>
        <w:t>Transportation Security: Securing the transport of fuel, components, and reactor modules through advanced tracking and monitoring systems.</w:t>
      </w:r>
    </w:p>
    <w:p w:rsidR="00A53076" w:rsidRPr="00A53076" w:rsidRDefault="00A53076" w:rsidP="009A7DE3">
      <w:pPr>
        <w:spacing w:after="0" w:line="276" w:lineRule="auto"/>
        <w:jc w:val="both"/>
        <w:rPr>
          <w:rFonts w:ascii="Georgia" w:hAnsi="Georgia"/>
        </w:rPr>
      </w:pPr>
      <w:r w:rsidRPr="00A53076">
        <w:rPr>
          <w:rFonts w:ascii="Georgia" w:hAnsi="Georgia"/>
        </w:rPr>
        <w:t xml:space="preserve">Cybersecurity: </w:t>
      </w:r>
      <w:r w:rsidR="009A7DE3" w:rsidRPr="009A7DE3">
        <w:rPr>
          <w:rFonts w:ascii="Georgia" w:hAnsi="Georgia"/>
        </w:rPr>
        <w:t xml:space="preserve">Strong firewalls, encryption, and intrusion detection systems are used to protect digital systems from </w:t>
      </w:r>
      <w:r w:rsidR="009A7DE3" w:rsidRPr="009A7DE3">
        <w:rPr>
          <w:rFonts w:ascii="Georgia" w:hAnsi="Georgia"/>
        </w:rPr>
        <w:t>cyber-attacks</w:t>
      </w:r>
      <w:r w:rsidR="009A7DE3" w:rsidRPr="009A7DE3">
        <w:rPr>
          <w:rFonts w:ascii="Georgia" w:hAnsi="Georgia"/>
        </w:rPr>
        <w:t>.</w:t>
      </w:r>
    </w:p>
    <w:p w:rsidR="00E303CB" w:rsidRDefault="00A53076" w:rsidP="00A53076">
      <w:pPr>
        <w:spacing w:line="276" w:lineRule="auto"/>
        <w:jc w:val="both"/>
        <w:rPr>
          <w:rFonts w:ascii="Georgia" w:hAnsi="Georgia"/>
        </w:rPr>
      </w:pPr>
      <w:r w:rsidRPr="00A53076">
        <w:rPr>
          <w:rFonts w:ascii="Georgia" w:hAnsi="Georgia"/>
        </w:rPr>
        <w:t xml:space="preserve">Safeguards by Design: </w:t>
      </w:r>
      <w:r>
        <w:rPr>
          <w:rFonts w:ascii="Georgia" w:hAnsi="Georgia"/>
        </w:rPr>
        <w:t>This can be achieved by working with the reactor vend</w:t>
      </w:r>
      <w:r w:rsidR="00FD3D92">
        <w:rPr>
          <w:rFonts w:ascii="Georgia" w:hAnsi="Georgia"/>
        </w:rPr>
        <w:t>or by i</w:t>
      </w:r>
      <w:r w:rsidRPr="00A53076">
        <w:rPr>
          <w:rFonts w:ascii="Georgia" w:hAnsi="Georgia"/>
        </w:rPr>
        <w:t>ncorporating non-proliferation measures into reactor design, such as material accountancy and containment systems</w:t>
      </w:r>
      <w:r w:rsidR="00FD3D92">
        <w:rPr>
          <w:rFonts w:ascii="Georgia" w:hAnsi="Georgia"/>
        </w:rPr>
        <w:t>.</w:t>
      </w:r>
    </w:p>
    <w:p w:rsidR="00FD3D92" w:rsidRPr="00FD3D92" w:rsidRDefault="00FD3D92" w:rsidP="00544909">
      <w:pPr>
        <w:spacing w:after="0" w:line="360" w:lineRule="auto"/>
        <w:jc w:val="both"/>
        <w:rPr>
          <w:rFonts w:ascii="Georgia" w:hAnsi="Georgia"/>
          <w:b/>
          <w:bCs/>
          <w:u w:val="single"/>
        </w:rPr>
      </w:pPr>
      <w:r w:rsidRPr="00FD3D92">
        <w:rPr>
          <w:rFonts w:ascii="Georgia" w:hAnsi="Georgia"/>
          <w:b/>
          <w:bCs/>
          <w:u w:val="single"/>
        </w:rPr>
        <w:lastRenderedPageBreak/>
        <w:t xml:space="preserve">Major </w:t>
      </w:r>
      <w:r w:rsidRPr="00FD3D92">
        <w:rPr>
          <w:rFonts w:ascii="Georgia" w:hAnsi="Georgia"/>
          <w:b/>
          <w:bCs/>
          <w:u w:val="single"/>
        </w:rPr>
        <w:t xml:space="preserve">Challenges </w:t>
      </w:r>
    </w:p>
    <w:p w:rsidR="00FD3D92" w:rsidRPr="00FD3D92" w:rsidRDefault="00FD3D92" w:rsidP="00544909">
      <w:pPr>
        <w:spacing w:after="0" w:line="276" w:lineRule="auto"/>
        <w:jc w:val="both"/>
        <w:rPr>
          <w:rFonts w:ascii="Georgia" w:hAnsi="Georgia"/>
        </w:rPr>
      </w:pPr>
      <w:r w:rsidRPr="00FD3D92">
        <w:rPr>
          <w:rFonts w:ascii="Georgia" w:hAnsi="Georgia"/>
        </w:rPr>
        <w:t xml:space="preserve">Infrastructure: Ensuring </w:t>
      </w:r>
      <w:r w:rsidR="002E6C2D">
        <w:rPr>
          <w:rFonts w:ascii="Georgia" w:hAnsi="Georgia"/>
        </w:rPr>
        <w:t xml:space="preserve">the upgrade and expansion of the existing </w:t>
      </w:r>
      <w:r w:rsidRPr="00FD3D92">
        <w:rPr>
          <w:rFonts w:ascii="Georgia" w:hAnsi="Georgia"/>
        </w:rPr>
        <w:t xml:space="preserve">infrastructure </w:t>
      </w:r>
      <w:r w:rsidR="002E6C2D">
        <w:rPr>
          <w:rFonts w:ascii="Georgia" w:hAnsi="Georgia"/>
        </w:rPr>
        <w:t xml:space="preserve">to </w:t>
      </w:r>
      <w:r w:rsidRPr="00FD3D92">
        <w:rPr>
          <w:rFonts w:ascii="Georgia" w:hAnsi="Georgia"/>
        </w:rPr>
        <w:t>support the transportation and deployment of SMRs.</w:t>
      </w:r>
    </w:p>
    <w:p w:rsidR="00FD3D92" w:rsidRDefault="00FD3D92" w:rsidP="00544909">
      <w:pPr>
        <w:spacing w:after="0" w:line="276" w:lineRule="auto"/>
        <w:jc w:val="both"/>
        <w:rPr>
          <w:rFonts w:ascii="Georgia" w:hAnsi="Georgia"/>
        </w:rPr>
      </w:pPr>
      <w:r w:rsidRPr="00FD3D92">
        <w:rPr>
          <w:rFonts w:ascii="Georgia" w:hAnsi="Georgia"/>
        </w:rPr>
        <w:t>Regulatory Readiness: Developing a robust regulatory framework that can oversee the safe and secure deployment of SMRs.</w:t>
      </w:r>
    </w:p>
    <w:p w:rsidR="00544909" w:rsidRDefault="00544909" w:rsidP="00544909">
      <w:pPr>
        <w:spacing w:after="0" w:line="276" w:lineRule="auto"/>
        <w:jc w:val="both"/>
        <w:rPr>
          <w:rFonts w:ascii="Georgia" w:hAnsi="Georgia"/>
        </w:rPr>
      </w:pPr>
      <w:r w:rsidRPr="00544909">
        <w:rPr>
          <w:rFonts w:ascii="Georgia" w:hAnsi="Georgia"/>
        </w:rPr>
        <w:t>E</w:t>
      </w:r>
      <w:r>
        <w:rPr>
          <w:rFonts w:ascii="Georgia" w:hAnsi="Georgia"/>
        </w:rPr>
        <w:t>lectric</w:t>
      </w:r>
      <w:r w:rsidRPr="00544909">
        <w:rPr>
          <w:rFonts w:ascii="Georgia" w:hAnsi="Georgia"/>
        </w:rPr>
        <w:t xml:space="preserve"> Grid Capacity: Nigeria's </w:t>
      </w:r>
      <w:r>
        <w:rPr>
          <w:rFonts w:ascii="Georgia" w:hAnsi="Georgia"/>
        </w:rPr>
        <w:t>electric</w:t>
      </w:r>
      <w:r w:rsidRPr="00544909">
        <w:rPr>
          <w:rFonts w:ascii="Georgia" w:hAnsi="Georgia"/>
        </w:rPr>
        <w:t xml:space="preserve"> grid capacity is </w:t>
      </w:r>
      <w:r>
        <w:rPr>
          <w:rFonts w:ascii="Georgia" w:hAnsi="Georgia"/>
        </w:rPr>
        <w:t>of low-capacity</w:t>
      </w:r>
      <w:r w:rsidRPr="00544909">
        <w:rPr>
          <w:rFonts w:ascii="Georgia" w:hAnsi="Georgia"/>
        </w:rPr>
        <w:t>,</w:t>
      </w:r>
      <w:r>
        <w:rPr>
          <w:rFonts w:ascii="Georgia" w:hAnsi="Georgia"/>
        </w:rPr>
        <w:t xml:space="preserve"> hence the integration of SMRs </w:t>
      </w:r>
      <w:r w:rsidRPr="00544909">
        <w:rPr>
          <w:rFonts w:ascii="Georgia" w:hAnsi="Georgia"/>
        </w:rPr>
        <w:t>into the existing grid infrastructure</w:t>
      </w:r>
      <w:r>
        <w:rPr>
          <w:rFonts w:ascii="Georgia" w:hAnsi="Georgia"/>
        </w:rPr>
        <w:t xml:space="preserve"> would be of immense benefit</w:t>
      </w:r>
      <w:r w:rsidRPr="00544909">
        <w:rPr>
          <w:rFonts w:ascii="Georgia" w:hAnsi="Georgia"/>
        </w:rPr>
        <w:t>.</w:t>
      </w:r>
    </w:p>
    <w:p w:rsidR="00A327CB" w:rsidRDefault="00A327CB" w:rsidP="00544909">
      <w:pPr>
        <w:spacing w:after="0" w:line="276" w:lineRule="auto"/>
        <w:jc w:val="both"/>
        <w:rPr>
          <w:rFonts w:ascii="Georgia" w:hAnsi="Georgia"/>
        </w:rPr>
      </w:pPr>
      <w:r w:rsidRPr="00A327CB">
        <w:rPr>
          <w:rFonts w:ascii="Georgia" w:hAnsi="Georgia"/>
        </w:rPr>
        <w:t>Financing and Funding: Securing funding for SMR projects is a significant challenge, and Nigeria may need to explore alternative financing options, such as public-private partnerships.</w:t>
      </w:r>
    </w:p>
    <w:p w:rsidR="00A327CB" w:rsidRPr="00FD3D92" w:rsidRDefault="00A327CB" w:rsidP="00544909">
      <w:pPr>
        <w:spacing w:after="0" w:line="276" w:lineRule="auto"/>
        <w:jc w:val="both"/>
        <w:rPr>
          <w:rFonts w:ascii="Georgia" w:hAnsi="Georgia"/>
        </w:rPr>
      </w:pPr>
      <w:r w:rsidRPr="00A327CB">
        <w:rPr>
          <w:rFonts w:ascii="Georgia" w:hAnsi="Georgia"/>
        </w:rPr>
        <w:t>Coordination and Planning: SMR deployment</w:t>
      </w:r>
      <w:r w:rsidR="002E6C2D">
        <w:rPr>
          <w:rFonts w:ascii="Georgia" w:hAnsi="Georgia"/>
        </w:rPr>
        <w:t xml:space="preserve"> </w:t>
      </w:r>
      <w:r w:rsidR="002E6C2D" w:rsidRPr="002E6C2D">
        <w:rPr>
          <w:rFonts w:ascii="Georgia" w:hAnsi="Georgia"/>
        </w:rPr>
        <w:t>needs coordinated planning at regional and national levels, which might be a</w:t>
      </w:r>
      <w:r w:rsidR="002E6C2D">
        <w:rPr>
          <w:rFonts w:ascii="Georgia" w:hAnsi="Georgia"/>
        </w:rPr>
        <w:t xml:space="preserve"> little</w:t>
      </w:r>
      <w:r w:rsidR="002E6C2D" w:rsidRPr="002E6C2D">
        <w:rPr>
          <w:rFonts w:ascii="Georgia" w:hAnsi="Georgia"/>
        </w:rPr>
        <w:t xml:space="preserve"> difficult </w:t>
      </w:r>
      <w:r w:rsidR="002E6C2D">
        <w:rPr>
          <w:rFonts w:ascii="Georgia" w:hAnsi="Georgia"/>
        </w:rPr>
        <w:t xml:space="preserve">due to </w:t>
      </w:r>
      <w:r w:rsidR="002E6C2D" w:rsidRPr="002E6C2D">
        <w:rPr>
          <w:rFonts w:ascii="Georgia" w:hAnsi="Georgia"/>
        </w:rPr>
        <w:t xml:space="preserve">Nigeria's </w:t>
      </w:r>
      <w:r w:rsidRPr="00A327CB">
        <w:rPr>
          <w:rFonts w:ascii="Georgia" w:hAnsi="Georgia"/>
        </w:rPr>
        <w:t xml:space="preserve">decentralized </w:t>
      </w:r>
      <w:r w:rsidR="002E6C2D">
        <w:rPr>
          <w:rFonts w:ascii="Georgia" w:hAnsi="Georgia"/>
        </w:rPr>
        <w:t>system of government</w:t>
      </w:r>
      <w:r>
        <w:rPr>
          <w:rFonts w:ascii="Georgia" w:hAnsi="Georgia"/>
        </w:rPr>
        <w:t xml:space="preserve">. </w:t>
      </w:r>
    </w:p>
    <w:p w:rsidR="00FD3D92" w:rsidRPr="00FD3D92" w:rsidRDefault="00FD3D92" w:rsidP="00FD3D92">
      <w:pPr>
        <w:spacing w:line="276" w:lineRule="auto"/>
        <w:jc w:val="both"/>
        <w:rPr>
          <w:rFonts w:ascii="Georgia" w:hAnsi="Georgia"/>
        </w:rPr>
      </w:pPr>
      <w:r w:rsidRPr="00FD3D92">
        <w:rPr>
          <w:rFonts w:ascii="Georgia" w:hAnsi="Georgia"/>
        </w:rPr>
        <w:t>Public Acceptance: Addressing public concerns and educating communities about the benefits and risks of SMRs.</w:t>
      </w:r>
    </w:p>
    <w:p w:rsidR="00FD3D92" w:rsidRDefault="00A327CB" w:rsidP="00A327CB">
      <w:pPr>
        <w:spacing w:after="0" w:line="276" w:lineRule="auto"/>
        <w:jc w:val="center"/>
        <w:rPr>
          <w:rFonts w:ascii="Georgia" w:hAnsi="Georgia"/>
        </w:rPr>
      </w:pPr>
      <w:r w:rsidRPr="00A327CB">
        <w:rPr>
          <w:rFonts w:ascii="Georgia" w:hAnsi="Georgia"/>
        </w:rPr>
        <w:drawing>
          <wp:inline distT="0" distB="0" distL="0" distR="0" wp14:anchorId="57C530EE" wp14:editId="758180C5">
            <wp:extent cx="5866560" cy="4162425"/>
            <wp:effectExtent l="0" t="0" r="1270" b="0"/>
            <wp:docPr id="108924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242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0866" cy="419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7CB" w:rsidRPr="00A327CB" w:rsidRDefault="00A327CB" w:rsidP="00A327CB">
      <w:pPr>
        <w:spacing w:line="276" w:lineRule="auto"/>
        <w:jc w:val="center"/>
        <w:rPr>
          <w:rFonts w:ascii="Georgia" w:hAnsi="Georgia"/>
          <w:sz w:val="20"/>
          <w:szCs w:val="20"/>
        </w:rPr>
      </w:pPr>
      <w:r w:rsidRPr="00837D9B">
        <w:rPr>
          <w:rFonts w:ascii="Cavolini" w:hAnsi="Cavolini" w:cs="Cavolini"/>
          <w:b/>
          <w:bCs/>
          <w:sz w:val="20"/>
          <w:szCs w:val="20"/>
        </w:rPr>
        <w:t>Figure 1:</w:t>
      </w:r>
      <w:r w:rsidRPr="00837D9B">
        <w:rPr>
          <w:rFonts w:ascii="Georgia" w:hAnsi="Georgia"/>
        </w:rPr>
        <w:t xml:space="preserve"> </w:t>
      </w:r>
      <w:r>
        <w:rPr>
          <w:rFonts w:ascii="Cavolini" w:hAnsi="Cavolini" w:cs="Cavolini"/>
          <w:b/>
          <w:bCs/>
          <w:sz w:val="20"/>
          <w:szCs w:val="20"/>
        </w:rPr>
        <w:t>Strategy for Safe and Secure Transport of Small Modular Reactors in Nigeria</w:t>
      </w:r>
    </w:p>
    <w:p w:rsidR="00FD3D92" w:rsidRPr="00683AEF" w:rsidRDefault="00FD3D92" w:rsidP="00FD3D92">
      <w:pPr>
        <w:spacing w:line="276" w:lineRule="auto"/>
        <w:jc w:val="both"/>
        <w:rPr>
          <w:rFonts w:ascii="Georgia" w:hAnsi="Georgia"/>
        </w:rPr>
      </w:pPr>
      <w:r w:rsidRPr="00FD3D92">
        <w:rPr>
          <w:rFonts w:ascii="Georgia" w:hAnsi="Georgia"/>
        </w:rPr>
        <w:t>NAEC as the NEPIO</w:t>
      </w:r>
      <w:r>
        <w:rPr>
          <w:rFonts w:ascii="Georgia" w:hAnsi="Georgia"/>
        </w:rPr>
        <w:t xml:space="preserve"> can ensure safe and secure transport of SMRs deployment by addressing the major challenges and implementing </w:t>
      </w:r>
      <w:r w:rsidRPr="00FD3D92">
        <w:rPr>
          <w:rFonts w:ascii="Georgia" w:hAnsi="Georgia"/>
        </w:rPr>
        <w:t>robust safety and security measures</w:t>
      </w:r>
      <w:r>
        <w:rPr>
          <w:rFonts w:ascii="Georgia" w:hAnsi="Georgia"/>
        </w:rPr>
        <w:t xml:space="preserve"> in order for the country to harness the enormous </w:t>
      </w:r>
      <w:r w:rsidRPr="00FD3D92">
        <w:rPr>
          <w:rFonts w:ascii="Georgia" w:hAnsi="Georgia"/>
        </w:rPr>
        <w:t>potential of SMRs to meet its energy needs while ensuring the safety and security of its citizens.</w:t>
      </w:r>
    </w:p>
    <w:sectPr w:rsidR="00FD3D92" w:rsidRPr="00683AEF" w:rsidSect="00A327CB">
      <w:pgSz w:w="12240" w:h="15840"/>
      <w:pgMar w:top="135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volini">
    <w:altName w:val="Times New Roman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EF"/>
    <w:rsid w:val="0029048A"/>
    <w:rsid w:val="002E6C2D"/>
    <w:rsid w:val="005175B3"/>
    <w:rsid w:val="00544909"/>
    <w:rsid w:val="00683AEF"/>
    <w:rsid w:val="006A03BA"/>
    <w:rsid w:val="007D726B"/>
    <w:rsid w:val="00814932"/>
    <w:rsid w:val="009148A3"/>
    <w:rsid w:val="009A7DE3"/>
    <w:rsid w:val="009F4F61"/>
    <w:rsid w:val="00A14D7F"/>
    <w:rsid w:val="00A327CB"/>
    <w:rsid w:val="00A403CE"/>
    <w:rsid w:val="00A53076"/>
    <w:rsid w:val="00B27CB2"/>
    <w:rsid w:val="00C57DF2"/>
    <w:rsid w:val="00E303CB"/>
    <w:rsid w:val="00FD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18F5A"/>
  <w15:chartTrackingRefBased/>
  <w15:docId w15:val="{A7CFC3BF-7167-4C63-A754-998FE48C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F2"/>
  </w:style>
  <w:style w:type="paragraph" w:styleId="Heading1">
    <w:name w:val="heading 1"/>
    <w:basedOn w:val="Normal"/>
    <w:next w:val="Normal"/>
    <w:link w:val="Heading1Char"/>
    <w:uiPriority w:val="9"/>
    <w:qFormat/>
    <w:rsid w:val="00683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A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A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A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A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A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A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A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Rasheed Ogunola</dc:creator>
  <cp:keywords/>
  <dc:description/>
  <cp:lastModifiedBy>Rasheed Ogunola</cp:lastModifiedBy>
  <cp:revision>2</cp:revision>
  <dcterms:created xsi:type="dcterms:W3CDTF">2025-09-14T11:00:00Z</dcterms:created>
  <dcterms:modified xsi:type="dcterms:W3CDTF">2025-09-14T14:07:00Z</dcterms:modified>
</cp:coreProperties>
</file>