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2276" w14:textId="21C0D701" w:rsidR="000B1BE9" w:rsidRPr="000B1BE9" w:rsidRDefault="000B1BE9" w:rsidP="00EA174E">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0B1BE9">
        <w:rPr>
          <w:rFonts w:ascii="Times New Roman" w:eastAsia="Times New Roman" w:hAnsi="Times New Roman" w:cs="Times New Roman"/>
          <w:b/>
          <w:bCs/>
          <w:kern w:val="0"/>
          <w14:ligatures w14:val="none"/>
        </w:rPr>
        <w:t xml:space="preserve">Advancing Safety and Security by Design through the Development of </w:t>
      </w:r>
      <w:proofErr w:type="spellStart"/>
      <w:r w:rsidRPr="000B1BE9">
        <w:rPr>
          <w:rFonts w:ascii="Times New Roman" w:eastAsia="Times New Roman" w:hAnsi="Times New Roman" w:cs="Times New Roman"/>
          <w:b/>
          <w:bCs/>
          <w:i/>
          <w:iCs/>
          <w:kern w:val="0"/>
          <w14:ligatures w14:val="none"/>
        </w:rPr>
        <w:t>RadSecure</w:t>
      </w:r>
      <w:proofErr w:type="spellEnd"/>
      <w:r w:rsidRPr="000B1BE9">
        <w:rPr>
          <w:rFonts w:ascii="Times New Roman" w:eastAsia="Times New Roman" w:hAnsi="Times New Roman" w:cs="Times New Roman"/>
          <w:b/>
          <w:bCs/>
          <w:i/>
          <w:iCs/>
          <w:kern w:val="0"/>
          <w14:ligatures w14:val="none"/>
        </w:rPr>
        <w:t xml:space="preserve"> Mover</w:t>
      </w:r>
      <w:r w:rsidRPr="000B1BE9">
        <w:rPr>
          <w:rFonts w:ascii="Times New Roman" w:eastAsia="Times New Roman" w:hAnsi="Times New Roman" w:cs="Times New Roman"/>
          <w:b/>
          <w:bCs/>
          <w:kern w:val="0"/>
          <w14:ligatures w14:val="none"/>
        </w:rPr>
        <w:t xml:space="preserve"> for the Transport of Radioactive Material in Indonesia</w:t>
      </w:r>
    </w:p>
    <w:p w14:paraId="02CEBC7F" w14:textId="77777777" w:rsidR="000B1BE9" w:rsidRPr="000B1BE9" w:rsidRDefault="000B1BE9" w:rsidP="000B1BE9">
      <w:pPr>
        <w:spacing w:before="100" w:beforeAutospacing="1" w:after="100" w:afterAutospacing="1" w:line="240" w:lineRule="auto"/>
        <w:jc w:val="both"/>
        <w:outlineLvl w:val="2"/>
        <w:rPr>
          <w:rFonts w:ascii="Times New Roman" w:eastAsia="Times New Roman" w:hAnsi="Times New Roman" w:cs="Times New Roman"/>
          <w:b/>
          <w:bCs/>
          <w:kern w:val="0"/>
          <w:sz w:val="22"/>
          <w:szCs w:val="22"/>
          <w14:ligatures w14:val="none"/>
        </w:rPr>
      </w:pPr>
      <w:r w:rsidRPr="000B1BE9">
        <w:rPr>
          <w:rFonts w:ascii="Times New Roman" w:eastAsia="Times New Roman" w:hAnsi="Times New Roman" w:cs="Times New Roman"/>
          <w:b/>
          <w:bCs/>
          <w:kern w:val="0"/>
          <w:sz w:val="22"/>
          <w:szCs w:val="22"/>
          <w14:ligatures w14:val="none"/>
        </w:rPr>
        <w:t>Background</w:t>
      </w:r>
    </w:p>
    <w:p w14:paraId="5522A32E" w14:textId="4919F296" w:rsidR="002276FA" w:rsidRPr="002276FA" w:rsidRDefault="002276FA" w:rsidP="002276FA">
      <w:pPr>
        <w:spacing w:line="240" w:lineRule="auto"/>
        <w:jc w:val="both"/>
        <w:rPr>
          <w:rFonts w:ascii="Times New Roman" w:hAnsi="Times New Roman" w:cs="Times New Roman"/>
          <w:sz w:val="22"/>
          <w:szCs w:val="22"/>
        </w:rPr>
      </w:pPr>
      <w:r w:rsidRPr="002276FA">
        <w:rPr>
          <w:rFonts w:ascii="Times New Roman" w:hAnsi="Times New Roman" w:cs="Times New Roman"/>
          <w:sz w:val="22"/>
          <w:szCs w:val="22"/>
        </w:rPr>
        <w:t>Indonesia’s nuclear energy programme is entering a decisive stage with the planned commissioning of its first nuclear power plant (NPP) by 2032. This milestone will inevitably increase the demand for the safe and secure transport of nuclear and radioactive materials, spanning medical isotopes, research reactor fuel, radioactive sources, and ultimately nuclear fuel cycle materials. Transport is widely recognized as one of the most sensitive links in the nuclear infrastructure chain: every shipment must guarantee both safet</w:t>
      </w:r>
      <w:r w:rsidR="007D1E99">
        <w:rPr>
          <w:rFonts w:ascii="Times New Roman" w:hAnsi="Times New Roman" w:cs="Times New Roman"/>
          <w:sz w:val="22"/>
          <w:szCs w:val="22"/>
        </w:rPr>
        <w:t>y</w:t>
      </w:r>
      <w:r w:rsidR="009C668D">
        <w:rPr>
          <w:rFonts w:ascii="Times New Roman" w:hAnsi="Times New Roman" w:cs="Times New Roman"/>
          <w:sz w:val="22"/>
          <w:szCs w:val="22"/>
        </w:rPr>
        <w:t xml:space="preserve"> in </w:t>
      </w:r>
      <w:r w:rsidRPr="002276FA">
        <w:rPr>
          <w:rFonts w:ascii="Times New Roman" w:hAnsi="Times New Roman" w:cs="Times New Roman"/>
          <w:sz w:val="22"/>
          <w:szCs w:val="22"/>
        </w:rPr>
        <w:t>preventing accidents, radiation exposure, and environmental contamination</w:t>
      </w:r>
      <w:r w:rsidR="009C668D">
        <w:rPr>
          <w:rFonts w:ascii="Times New Roman" w:hAnsi="Times New Roman" w:cs="Times New Roman"/>
          <w:sz w:val="22"/>
          <w:szCs w:val="22"/>
        </w:rPr>
        <w:t xml:space="preserve"> </w:t>
      </w:r>
      <w:r w:rsidRPr="002276FA">
        <w:rPr>
          <w:rFonts w:ascii="Times New Roman" w:hAnsi="Times New Roman" w:cs="Times New Roman"/>
          <w:sz w:val="22"/>
          <w:szCs w:val="22"/>
        </w:rPr>
        <w:t>and security</w:t>
      </w:r>
      <w:r w:rsidR="009C668D">
        <w:rPr>
          <w:rFonts w:ascii="Times New Roman" w:hAnsi="Times New Roman" w:cs="Times New Roman"/>
          <w:sz w:val="22"/>
          <w:szCs w:val="22"/>
        </w:rPr>
        <w:t xml:space="preserve"> in</w:t>
      </w:r>
      <w:r w:rsidR="007D1E99">
        <w:rPr>
          <w:rFonts w:ascii="Times New Roman" w:hAnsi="Times New Roman" w:cs="Times New Roman"/>
          <w:sz w:val="22"/>
          <w:szCs w:val="22"/>
        </w:rPr>
        <w:t xml:space="preserve"> </w:t>
      </w:r>
      <w:r w:rsidRPr="002276FA">
        <w:rPr>
          <w:rFonts w:ascii="Times New Roman" w:hAnsi="Times New Roman" w:cs="Times New Roman"/>
          <w:sz w:val="22"/>
          <w:szCs w:val="22"/>
        </w:rPr>
        <w:t>protecting against theft, sabotage, or malicious acts.</w:t>
      </w:r>
    </w:p>
    <w:p w14:paraId="2CDB0BE1" w14:textId="77777777" w:rsidR="002276FA" w:rsidRPr="002276FA" w:rsidRDefault="002276FA" w:rsidP="002276FA">
      <w:pPr>
        <w:spacing w:line="240" w:lineRule="auto"/>
        <w:jc w:val="both"/>
        <w:rPr>
          <w:rFonts w:ascii="Times New Roman" w:hAnsi="Times New Roman" w:cs="Times New Roman"/>
          <w:sz w:val="22"/>
          <w:szCs w:val="22"/>
        </w:rPr>
      </w:pPr>
      <w:r w:rsidRPr="002276FA">
        <w:rPr>
          <w:rFonts w:ascii="Times New Roman" w:hAnsi="Times New Roman" w:cs="Times New Roman"/>
          <w:sz w:val="22"/>
          <w:szCs w:val="22"/>
        </w:rPr>
        <w:t>At present, Indonesia lacks purpose-built transport vehicles for radioactive materials. Current practice relies on modified commercial trucks, which are only minimally adapted to international and national requirements. Such reliance introduces vulnerabilities: insufficient radiation shielding for high-activity sources, limited structural resilience, and the absence of integrated physical protection systems. These deficiencies stand in contrast with international benchmarks such as IAEA SSR-6 (Rev.1) for transport safety and the IAEA Nuclear Security Series No. 9-G (Rev.1) for transport security. Without dedicated transport infrastructure, Indonesia risks operational and regulatory gaps as it scales up nuclear activities in parallel with its energy transition.</w:t>
      </w:r>
    </w:p>
    <w:p w14:paraId="42E11E61" w14:textId="6A638D5A" w:rsidR="000B1BE9" w:rsidRDefault="002276FA" w:rsidP="002276FA">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2276FA">
        <w:rPr>
          <w:rFonts w:ascii="Times New Roman" w:hAnsi="Times New Roman" w:cs="Times New Roman"/>
          <w:sz w:val="22"/>
          <w:szCs w:val="22"/>
        </w:rPr>
        <w:t xml:space="preserve">The </w:t>
      </w:r>
      <w:proofErr w:type="spellStart"/>
      <w:r w:rsidRPr="002276FA">
        <w:rPr>
          <w:rFonts w:ascii="Times New Roman" w:hAnsi="Times New Roman" w:cs="Times New Roman"/>
          <w:i/>
          <w:iCs/>
          <w:sz w:val="22"/>
          <w:szCs w:val="22"/>
        </w:rPr>
        <w:t>RadSecure</w:t>
      </w:r>
      <w:proofErr w:type="spellEnd"/>
      <w:r w:rsidRPr="002276FA">
        <w:rPr>
          <w:rFonts w:ascii="Times New Roman" w:hAnsi="Times New Roman" w:cs="Times New Roman"/>
          <w:sz w:val="22"/>
          <w:szCs w:val="22"/>
        </w:rPr>
        <w:t xml:space="preserve"> </w:t>
      </w:r>
      <w:r w:rsidRPr="00D34C98">
        <w:rPr>
          <w:rFonts w:ascii="Times New Roman" w:hAnsi="Times New Roman" w:cs="Times New Roman"/>
          <w:i/>
          <w:iCs/>
          <w:sz w:val="22"/>
          <w:szCs w:val="22"/>
        </w:rPr>
        <w:t>Mover</w:t>
      </w:r>
      <w:r w:rsidRPr="002276FA">
        <w:rPr>
          <w:rFonts w:ascii="Times New Roman" w:hAnsi="Times New Roman" w:cs="Times New Roman"/>
          <w:sz w:val="22"/>
          <w:szCs w:val="22"/>
        </w:rPr>
        <w:t xml:space="preserve"> was developed to directly address this infrastructure gap. It represents Indonesia’s first industrial design intellectual property dedicated to radioactive material transport, combining nuclear safety and security functions in a unified vehicle platform. By embedding multilayer shielding, ergonomic access controls, integrated monitoring, and internationally compliant hazard communication into its exterior and functional design, the </w:t>
      </w:r>
      <w:proofErr w:type="spellStart"/>
      <w:r w:rsidRPr="002276FA">
        <w:rPr>
          <w:rFonts w:ascii="Times New Roman" w:hAnsi="Times New Roman" w:cs="Times New Roman"/>
          <w:i/>
          <w:iCs/>
          <w:sz w:val="22"/>
          <w:szCs w:val="22"/>
        </w:rPr>
        <w:t>RadSecure</w:t>
      </w:r>
      <w:proofErr w:type="spellEnd"/>
      <w:r w:rsidRPr="002276FA">
        <w:rPr>
          <w:rFonts w:ascii="Times New Roman" w:hAnsi="Times New Roman" w:cs="Times New Roman"/>
          <w:sz w:val="22"/>
          <w:szCs w:val="22"/>
        </w:rPr>
        <w:t xml:space="preserve"> </w:t>
      </w:r>
      <w:r w:rsidRPr="00D34C98">
        <w:rPr>
          <w:rFonts w:ascii="Times New Roman" w:hAnsi="Times New Roman" w:cs="Times New Roman"/>
          <w:i/>
          <w:iCs/>
          <w:sz w:val="22"/>
          <w:szCs w:val="22"/>
        </w:rPr>
        <w:t>Mover</w:t>
      </w:r>
      <w:r w:rsidRPr="002276FA">
        <w:rPr>
          <w:rFonts w:ascii="Times New Roman" w:hAnsi="Times New Roman" w:cs="Times New Roman"/>
          <w:sz w:val="22"/>
          <w:szCs w:val="22"/>
        </w:rPr>
        <w:t xml:space="preserve"> sets a precedent for safety–security by design, rather than relying on retrofitted commercial vehicles</w:t>
      </w:r>
      <w:r w:rsidR="000B1BE9" w:rsidRPr="000B1BE9">
        <w:rPr>
          <w:rFonts w:ascii="Times New Roman" w:eastAsia="Times New Roman" w:hAnsi="Times New Roman" w:cs="Times New Roman"/>
          <w:kern w:val="0"/>
          <w:sz w:val="22"/>
          <w:szCs w:val="22"/>
          <w14:ligatures w14:val="none"/>
        </w:rPr>
        <w:t>.</w:t>
      </w:r>
    </w:p>
    <w:p w14:paraId="2097A194" w14:textId="51A505EC" w:rsidR="000B1BE9" w:rsidRPr="000B1BE9" w:rsidRDefault="000B1BE9" w:rsidP="000B1BE9">
      <w:pPr>
        <w:spacing w:before="100" w:beforeAutospacing="1" w:after="100" w:afterAutospacing="1" w:line="240" w:lineRule="auto"/>
        <w:jc w:val="both"/>
        <w:rPr>
          <w:rFonts w:ascii="Times New Roman" w:eastAsia="Times New Roman" w:hAnsi="Times New Roman" w:cs="Times New Roman"/>
          <w:b/>
          <w:bCs/>
          <w:kern w:val="0"/>
          <w:sz w:val="22"/>
          <w:szCs w:val="22"/>
          <w14:ligatures w14:val="none"/>
        </w:rPr>
      </w:pPr>
      <w:r w:rsidRPr="000B1BE9">
        <w:rPr>
          <w:rFonts w:ascii="Times New Roman" w:eastAsia="Times New Roman" w:hAnsi="Times New Roman" w:cs="Times New Roman"/>
          <w:b/>
          <w:bCs/>
          <w:kern w:val="0"/>
          <w:sz w:val="22"/>
          <w:szCs w:val="22"/>
          <w14:ligatures w14:val="none"/>
        </w:rPr>
        <w:t>Design Strategies</w:t>
      </w:r>
    </w:p>
    <w:p w14:paraId="741E74B8" w14:textId="77777777" w:rsidR="000B1BE9" w:rsidRPr="000B1BE9" w:rsidRDefault="000B1BE9" w:rsidP="000B1BE9">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0B1BE9">
        <w:rPr>
          <w:rFonts w:ascii="Times New Roman" w:eastAsia="Times New Roman" w:hAnsi="Times New Roman" w:cs="Times New Roman"/>
          <w:kern w:val="0"/>
          <w:sz w:val="22"/>
          <w:szCs w:val="22"/>
          <w14:ligatures w14:val="none"/>
        </w:rPr>
        <w:t xml:space="preserve">The </w:t>
      </w:r>
      <w:proofErr w:type="spellStart"/>
      <w:r w:rsidRPr="000B1BE9">
        <w:rPr>
          <w:rFonts w:ascii="Times New Roman" w:eastAsia="Times New Roman" w:hAnsi="Times New Roman" w:cs="Times New Roman"/>
          <w:i/>
          <w:iCs/>
          <w:kern w:val="0"/>
          <w:sz w:val="22"/>
          <w:szCs w:val="22"/>
          <w14:ligatures w14:val="none"/>
        </w:rPr>
        <w:t>RadSecure</w:t>
      </w:r>
      <w:proofErr w:type="spellEnd"/>
      <w:r w:rsidRPr="000B1BE9">
        <w:rPr>
          <w:rFonts w:ascii="Times New Roman" w:eastAsia="Times New Roman" w:hAnsi="Times New Roman" w:cs="Times New Roman"/>
          <w:kern w:val="0"/>
          <w:sz w:val="22"/>
          <w:szCs w:val="22"/>
          <w14:ligatures w14:val="none"/>
        </w:rPr>
        <w:t xml:space="preserve"> Mover introduces a number of innovations that align with international and national requirements:</w:t>
      </w:r>
    </w:p>
    <w:p w14:paraId="4F709B66" w14:textId="10A65062" w:rsidR="000B1BE9" w:rsidRPr="000B1BE9" w:rsidRDefault="000B1BE9" w:rsidP="000B1BE9">
      <w:pPr>
        <w:numPr>
          <w:ilvl w:val="0"/>
          <w:numId w:val="1"/>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0B1BE9">
        <w:rPr>
          <w:rFonts w:ascii="Times New Roman" w:eastAsia="Times New Roman" w:hAnsi="Times New Roman" w:cs="Times New Roman"/>
          <w:kern w:val="0"/>
          <w:sz w:val="22"/>
          <w:szCs w:val="22"/>
          <w14:ligatures w14:val="none"/>
        </w:rPr>
        <w:t xml:space="preserve">Cabin as Command </w:t>
      </w:r>
      <w:r w:rsidR="00D34C98" w:rsidRPr="00D34C98">
        <w:rPr>
          <w:rFonts w:ascii="Times New Roman" w:eastAsia="Times New Roman" w:hAnsi="Times New Roman" w:cs="Times New Roman"/>
          <w:kern w:val="0"/>
          <w:sz w:val="22"/>
          <w:szCs w:val="22"/>
          <w14:ligatures w14:val="none"/>
        </w:rPr>
        <w:t>Centre</w:t>
      </w:r>
      <w:r w:rsidRPr="000B1BE9">
        <w:rPr>
          <w:rFonts w:ascii="Times New Roman" w:eastAsia="Times New Roman" w:hAnsi="Times New Roman" w:cs="Times New Roman"/>
          <w:kern w:val="0"/>
          <w:sz w:val="22"/>
          <w:szCs w:val="22"/>
          <w14:ligatures w14:val="none"/>
        </w:rPr>
        <w:t xml:space="preserve">: Aerodynamic yet protective design with reinforced structures, CCTV monitoring, and integrated communication systems, functioning as a mobile command and control unit in line with the principle of </w:t>
      </w:r>
      <w:r w:rsidR="00D34C98" w:rsidRPr="000B1BE9">
        <w:rPr>
          <w:rFonts w:ascii="Times New Roman" w:eastAsia="Times New Roman" w:hAnsi="Times New Roman" w:cs="Times New Roman"/>
          <w:i/>
          <w:iCs/>
          <w:kern w:val="0"/>
          <w:sz w:val="22"/>
          <w:szCs w:val="22"/>
          <w14:ligatures w14:val="none"/>
        </w:rPr>
        <w:t>defence</w:t>
      </w:r>
      <w:r w:rsidRPr="000B1BE9">
        <w:rPr>
          <w:rFonts w:ascii="Times New Roman" w:eastAsia="Times New Roman" w:hAnsi="Times New Roman" w:cs="Times New Roman"/>
          <w:kern w:val="0"/>
          <w:sz w:val="22"/>
          <w:szCs w:val="22"/>
          <w14:ligatures w14:val="none"/>
        </w:rPr>
        <w:t>-</w:t>
      </w:r>
      <w:r w:rsidRPr="000B1BE9">
        <w:rPr>
          <w:rFonts w:ascii="Times New Roman" w:eastAsia="Times New Roman" w:hAnsi="Times New Roman" w:cs="Times New Roman"/>
          <w:i/>
          <w:iCs/>
          <w:kern w:val="0"/>
          <w:sz w:val="22"/>
          <w:szCs w:val="22"/>
          <w14:ligatures w14:val="none"/>
        </w:rPr>
        <w:t>in</w:t>
      </w:r>
      <w:r w:rsidRPr="000B1BE9">
        <w:rPr>
          <w:rFonts w:ascii="Times New Roman" w:eastAsia="Times New Roman" w:hAnsi="Times New Roman" w:cs="Times New Roman"/>
          <w:kern w:val="0"/>
          <w:sz w:val="22"/>
          <w:szCs w:val="22"/>
          <w14:ligatures w14:val="none"/>
        </w:rPr>
        <w:t>-</w:t>
      </w:r>
      <w:r w:rsidRPr="000B1BE9">
        <w:rPr>
          <w:rFonts w:ascii="Times New Roman" w:eastAsia="Times New Roman" w:hAnsi="Times New Roman" w:cs="Times New Roman"/>
          <w:i/>
          <w:iCs/>
          <w:kern w:val="0"/>
          <w:sz w:val="22"/>
          <w:szCs w:val="22"/>
          <w14:ligatures w14:val="none"/>
        </w:rPr>
        <w:t>depth</w:t>
      </w:r>
      <w:r w:rsidRPr="000B1BE9">
        <w:rPr>
          <w:rFonts w:ascii="Times New Roman" w:eastAsia="Times New Roman" w:hAnsi="Times New Roman" w:cs="Times New Roman"/>
          <w:kern w:val="0"/>
          <w:sz w:val="22"/>
          <w:szCs w:val="22"/>
          <w14:ligatures w14:val="none"/>
        </w:rPr>
        <w:t>.</w:t>
      </w:r>
    </w:p>
    <w:p w14:paraId="2E0668C1" w14:textId="77777777" w:rsidR="000B1BE9" w:rsidRPr="000B1BE9" w:rsidRDefault="000B1BE9" w:rsidP="000B1BE9">
      <w:pPr>
        <w:numPr>
          <w:ilvl w:val="0"/>
          <w:numId w:val="1"/>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0B1BE9">
        <w:rPr>
          <w:rFonts w:ascii="Times New Roman" w:eastAsia="Times New Roman" w:hAnsi="Times New Roman" w:cs="Times New Roman"/>
          <w:kern w:val="0"/>
          <w:sz w:val="22"/>
          <w:szCs w:val="22"/>
          <w14:ligatures w14:val="none"/>
        </w:rPr>
        <w:t>Shielded Cargo Space: Multilayer gamma and neutron shielding integrated into the vehicle’s structural body, with protective diagonal contours and chamfered rear roof for both structural resilience and aerodynamic efficiency.</w:t>
      </w:r>
    </w:p>
    <w:p w14:paraId="46ED7FA4" w14:textId="0068F9F0" w:rsidR="000B1BE9" w:rsidRPr="000B1BE9" w:rsidRDefault="000B1BE9" w:rsidP="000B1BE9">
      <w:pPr>
        <w:numPr>
          <w:ilvl w:val="0"/>
          <w:numId w:val="1"/>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0B1BE9">
        <w:rPr>
          <w:rFonts w:ascii="Times New Roman" w:eastAsia="Times New Roman" w:hAnsi="Times New Roman" w:cs="Times New Roman"/>
          <w:kern w:val="0"/>
          <w:sz w:val="22"/>
          <w:szCs w:val="22"/>
          <w14:ligatures w14:val="none"/>
        </w:rPr>
        <w:t>Controlled Access: Dual entry design (side access for inspection and top-loading for secure container handling) to improve operational flexibility while ensuring controlled access in compliance with</w:t>
      </w:r>
      <w:r w:rsidR="00D34C98">
        <w:rPr>
          <w:rFonts w:ascii="Times New Roman" w:eastAsia="Times New Roman" w:hAnsi="Times New Roman" w:cs="Times New Roman"/>
          <w:kern w:val="0"/>
          <w:sz w:val="22"/>
          <w:szCs w:val="22"/>
          <w14:ligatures w14:val="none"/>
        </w:rPr>
        <w:t xml:space="preserve"> </w:t>
      </w:r>
      <w:r w:rsidRPr="000B1BE9">
        <w:rPr>
          <w:rFonts w:ascii="Times New Roman" w:eastAsia="Times New Roman" w:hAnsi="Times New Roman" w:cs="Times New Roman"/>
          <w:kern w:val="0"/>
          <w:sz w:val="22"/>
          <w:szCs w:val="22"/>
          <w14:ligatures w14:val="none"/>
        </w:rPr>
        <w:t>regulations.</w:t>
      </w:r>
    </w:p>
    <w:p w14:paraId="20469404" w14:textId="2AF4284C" w:rsidR="000B1BE9" w:rsidRPr="000B1BE9" w:rsidRDefault="000B1BE9" w:rsidP="000B1BE9">
      <w:pPr>
        <w:numPr>
          <w:ilvl w:val="0"/>
          <w:numId w:val="1"/>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0B1BE9">
        <w:rPr>
          <w:rFonts w:ascii="Times New Roman" w:eastAsia="Times New Roman" w:hAnsi="Times New Roman" w:cs="Times New Roman"/>
          <w:kern w:val="0"/>
          <w:sz w:val="22"/>
          <w:szCs w:val="22"/>
          <w14:ligatures w14:val="none"/>
        </w:rPr>
        <w:t>Integrated Hydraulic Crane: Centrally positioned crane for balanced loading/unloading, hazard-</w:t>
      </w:r>
      <w:r w:rsidR="00D34C98" w:rsidRPr="000B1BE9">
        <w:rPr>
          <w:rFonts w:ascii="Times New Roman" w:eastAsia="Times New Roman" w:hAnsi="Times New Roman" w:cs="Times New Roman"/>
          <w:kern w:val="0"/>
          <w:sz w:val="22"/>
          <w:szCs w:val="22"/>
          <w14:ligatures w14:val="none"/>
        </w:rPr>
        <w:t>coloured</w:t>
      </w:r>
      <w:r w:rsidRPr="000B1BE9">
        <w:rPr>
          <w:rFonts w:ascii="Times New Roman" w:eastAsia="Times New Roman" w:hAnsi="Times New Roman" w:cs="Times New Roman"/>
          <w:kern w:val="0"/>
          <w:sz w:val="22"/>
          <w:szCs w:val="22"/>
          <w14:ligatures w14:val="none"/>
        </w:rPr>
        <w:t xml:space="preserve"> for visibility, and fully integrated with the body design to prevent external vulnerabilities.</w:t>
      </w:r>
    </w:p>
    <w:p w14:paraId="49E3CAA3" w14:textId="231F9602" w:rsidR="000B1BE9" w:rsidRPr="00D34C98" w:rsidRDefault="000B1BE9" w:rsidP="000B1BE9">
      <w:pPr>
        <w:numPr>
          <w:ilvl w:val="0"/>
          <w:numId w:val="1"/>
        </w:num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0B1BE9">
        <w:rPr>
          <w:rFonts w:ascii="Times New Roman" w:eastAsia="Times New Roman" w:hAnsi="Times New Roman" w:cs="Times New Roman"/>
          <w:kern w:val="0"/>
          <w:sz w:val="22"/>
          <w:szCs w:val="22"/>
          <w14:ligatures w14:val="none"/>
        </w:rPr>
        <w:t xml:space="preserve">Safety–Security Visual Identity: Internationally compliant hazard </w:t>
      </w:r>
      <w:r w:rsidR="00D34C98" w:rsidRPr="000B1BE9">
        <w:rPr>
          <w:rFonts w:ascii="Times New Roman" w:eastAsia="Times New Roman" w:hAnsi="Times New Roman" w:cs="Times New Roman"/>
          <w:kern w:val="0"/>
          <w:sz w:val="22"/>
          <w:szCs w:val="22"/>
          <w14:ligatures w14:val="none"/>
        </w:rPr>
        <w:t>colours</w:t>
      </w:r>
      <w:r w:rsidRPr="000B1BE9">
        <w:rPr>
          <w:rFonts w:ascii="Times New Roman" w:eastAsia="Times New Roman" w:hAnsi="Times New Roman" w:cs="Times New Roman"/>
          <w:kern w:val="0"/>
          <w:sz w:val="22"/>
          <w:szCs w:val="22"/>
          <w14:ligatures w14:val="none"/>
        </w:rPr>
        <w:t xml:space="preserve"> (radiation yellow, trefoil symbols, hazard orange), reflective hazard lines, and clear “</w:t>
      </w:r>
      <w:proofErr w:type="spellStart"/>
      <w:r w:rsidRPr="00D34C98">
        <w:rPr>
          <w:rFonts w:ascii="Times New Roman" w:eastAsia="Times New Roman" w:hAnsi="Times New Roman" w:cs="Times New Roman"/>
          <w:i/>
          <w:iCs/>
          <w:kern w:val="0"/>
          <w:sz w:val="22"/>
          <w:szCs w:val="22"/>
          <w14:ligatures w14:val="none"/>
        </w:rPr>
        <w:t>RadSecure</w:t>
      </w:r>
      <w:proofErr w:type="spellEnd"/>
      <w:r w:rsidRPr="000B1BE9">
        <w:rPr>
          <w:rFonts w:ascii="Times New Roman" w:eastAsia="Times New Roman" w:hAnsi="Times New Roman" w:cs="Times New Roman"/>
          <w:kern w:val="0"/>
          <w:sz w:val="22"/>
          <w:szCs w:val="22"/>
          <w14:ligatures w14:val="none"/>
        </w:rPr>
        <w:t xml:space="preserve"> </w:t>
      </w:r>
      <w:r w:rsidRPr="00D34C98">
        <w:rPr>
          <w:rFonts w:ascii="Times New Roman" w:eastAsia="Times New Roman" w:hAnsi="Times New Roman" w:cs="Times New Roman"/>
          <w:i/>
          <w:iCs/>
          <w:kern w:val="0"/>
          <w:sz w:val="22"/>
          <w:szCs w:val="22"/>
          <w14:ligatures w14:val="none"/>
        </w:rPr>
        <w:t>Mover</w:t>
      </w:r>
      <w:r w:rsidRPr="000B1BE9">
        <w:rPr>
          <w:rFonts w:ascii="Times New Roman" w:eastAsia="Times New Roman" w:hAnsi="Times New Roman" w:cs="Times New Roman"/>
          <w:kern w:val="0"/>
          <w:sz w:val="22"/>
          <w:szCs w:val="22"/>
          <w14:ligatures w14:val="none"/>
        </w:rPr>
        <w:t>” branding, enhancing both hazard communication and rapid recognition by authorities.</w:t>
      </w:r>
    </w:p>
    <w:p w14:paraId="31014CE5" w14:textId="77777777" w:rsidR="00D34C98" w:rsidRPr="000B1BE9" w:rsidRDefault="00D34C98" w:rsidP="00D34C98">
      <w:pPr>
        <w:spacing w:before="100" w:beforeAutospacing="1" w:after="100" w:afterAutospacing="1" w:line="240" w:lineRule="auto"/>
        <w:ind w:left="720"/>
        <w:jc w:val="both"/>
        <w:rPr>
          <w:rFonts w:ascii="Times New Roman" w:eastAsia="Times New Roman" w:hAnsi="Times New Roman" w:cs="Times New Roman"/>
          <w:kern w:val="0"/>
          <w:sz w:val="22"/>
          <w:szCs w:val="22"/>
          <w14:ligatures w14:val="none"/>
        </w:rPr>
      </w:pPr>
    </w:p>
    <w:p w14:paraId="42E1AF6C" w14:textId="77777777" w:rsidR="000B1BE9" w:rsidRPr="000B1BE9" w:rsidRDefault="000B1BE9" w:rsidP="000B1BE9">
      <w:pPr>
        <w:spacing w:before="100" w:beforeAutospacing="1" w:after="100" w:afterAutospacing="1" w:line="240" w:lineRule="auto"/>
        <w:jc w:val="both"/>
        <w:outlineLvl w:val="2"/>
        <w:rPr>
          <w:rFonts w:ascii="Times New Roman" w:eastAsia="Times New Roman" w:hAnsi="Times New Roman" w:cs="Times New Roman"/>
          <w:b/>
          <w:bCs/>
          <w:kern w:val="0"/>
          <w:sz w:val="22"/>
          <w:szCs w:val="22"/>
          <w14:ligatures w14:val="none"/>
        </w:rPr>
      </w:pPr>
      <w:r w:rsidRPr="000B1BE9">
        <w:rPr>
          <w:rFonts w:ascii="Times New Roman" w:eastAsia="Times New Roman" w:hAnsi="Times New Roman" w:cs="Times New Roman"/>
          <w:b/>
          <w:bCs/>
          <w:kern w:val="0"/>
          <w:sz w:val="22"/>
          <w:szCs w:val="22"/>
          <w14:ligatures w14:val="none"/>
        </w:rPr>
        <w:lastRenderedPageBreak/>
        <w:t>Implementation and Validation</w:t>
      </w:r>
    </w:p>
    <w:p w14:paraId="5E2A13A9" w14:textId="0670E214" w:rsidR="00204309" w:rsidRPr="00DB1595" w:rsidRDefault="00204309" w:rsidP="00204309">
      <w:pPr>
        <w:jc w:val="both"/>
        <w:rPr>
          <w:rFonts w:ascii="Times New Roman" w:hAnsi="Times New Roman" w:cs="Times New Roman"/>
          <w:sz w:val="22"/>
          <w:szCs w:val="22"/>
        </w:rPr>
      </w:pPr>
      <w:r w:rsidRPr="00DB1595">
        <w:rPr>
          <w:rFonts w:ascii="Times New Roman" w:hAnsi="Times New Roman" w:cs="Times New Roman"/>
          <w:sz w:val="22"/>
          <w:szCs w:val="22"/>
        </w:rPr>
        <w:t xml:space="preserve">The </w:t>
      </w:r>
      <w:proofErr w:type="spellStart"/>
      <w:r w:rsidRPr="00D34C98">
        <w:rPr>
          <w:rFonts w:ascii="Times New Roman" w:hAnsi="Times New Roman" w:cs="Times New Roman"/>
          <w:i/>
          <w:iCs/>
          <w:sz w:val="22"/>
          <w:szCs w:val="22"/>
        </w:rPr>
        <w:t>RadSecure</w:t>
      </w:r>
      <w:proofErr w:type="spellEnd"/>
      <w:r w:rsidRPr="00DB1595">
        <w:rPr>
          <w:rFonts w:ascii="Times New Roman" w:hAnsi="Times New Roman" w:cs="Times New Roman"/>
          <w:sz w:val="22"/>
          <w:szCs w:val="22"/>
        </w:rPr>
        <w:t xml:space="preserve"> </w:t>
      </w:r>
      <w:r w:rsidRPr="00D34C98">
        <w:rPr>
          <w:rFonts w:ascii="Times New Roman" w:hAnsi="Times New Roman" w:cs="Times New Roman"/>
          <w:i/>
          <w:iCs/>
          <w:sz w:val="22"/>
          <w:szCs w:val="22"/>
        </w:rPr>
        <w:t>Mover</w:t>
      </w:r>
      <w:r w:rsidRPr="00DB1595">
        <w:rPr>
          <w:rFonts w:ascii="Times New Roman" w:hAnsi="Times New Roman" w:cs="Times New Roman"/>
          <w:sz w:val="22"/>
          <w:szCs w:val="22"/>
        </w:rPr>
        <w:t xml:space="preserve"> has been formally submitted and accepted as an industrial design intellectual property in Indonesia, highlighting its novelty and technical uniqueness. To move from concept to validated system, the next stage emphasizes simulation-based modelling, ensuring that safety and security performance can be demonstrated before prototyping and certification. The modelling approach follows a stepwise logic, connecting radiation physics, accident scenarios, geographical context, and operational response into one integrated framework:</w:t>
      </w:r>
    </w:p>
    <w:p w14:paraId="0F4118BC" w14:textId="77777777" w:rsidR="00204309" w:rsidRPr="00204309" w:rsidRDefault="00204309" w:rsidP="00204309">
      <w:pPr>
        <w:pStyle w:val="ListParagraph"/>
        <w:numPr>
          <w:ilvl w:val="0"/>
          <w:numId w:val="5"/>
        </w:numPr>
        <w:jc w:val="both"/>
        <w:rPr>
          <w:rFonts w:ascii="Times New Roman" w:hAnsi="Times New Roman" w:cs="Times New Roman"/>
          <w:sz w:val="22"/>
          <w:szCs w:val="22"/>
        </w:rPr>
      </w:pPr>
      <w:r w:rsidRPr="00204309">
        <w:rPr>
          <w:rFonts w:ascii="Times New Roman" w:hAnsi="Times New Roman" w:cs="Times New Roman"/>
          <w:sz w:val="22"/>
          <w:szCs w:val="22"/>
        </w:rPr>
        <w:t>Shielding validation with PHITS: Using the Particle and Heavy Ion Transport code System (PHITS), the design’s multilayer shielding will be assessed for both gamma and neutron emitters. This produces dose-rate envelopes under realistic loading conditions, demonstrating compliance with IAEA SSR-6 limits and national BAPETEN requirements.</w:t>
      </w:r>
    </w:p>
    <w:p w14:paraId="4F5E8BB5" w14:textId="7EDDBA0E" w:rsidR="00204309" w:rsidRPr="00204309" w:rsidRDefault="00204309" w:rsidP="00204309">
      <w:pPr>
        <w:pStyle w:val="ListParagraph"/>
        <w:numPr>
          <w:ilvl w:val="0"/>
          <w:numId w:val="5"/>
        </w:numPr>
        <w:jc w:val="both"/>
        <w:rPr>
          <w:rFonts w:ascii="Times New Roman" w:hAnsi="Times New Roman" w:cs="Times New Roman"/>
          <w:sz w:val="22"/>
          <w:szCs w:val="22"/>
        </w:rPr>
      </w:pPr>
      <w:r w:rsidRPr="00204309">
        <w:rPr>
          <w:rFonts w:ascii="Times New Roman" w:hAnsi="Times New Roman" w:cs="Times New Roman"/>
          <w:sz w:val="22"/>
          <w:szCs w:val="22"/>
        </w:rPr>
        <w:t>Accident release scenarios with</w:t>
      </w:r>
      <w:r w:rsidR="00D34C98">
        <w:rPr>
          <w:rFonts w:ascii="Times New Roman" w:hAnsi="Times New Roman" w:cs="Times New Roman"/>
          <w:sz w:val="22"/>
          <w:szCs w:val="22"/>
        </w:rPr>
        <w:t xml:space="preserve"> </w:t>
      </w:r>
      <w:r w:rsidRPr="00204309">
        <w:rPr>
          <w:rFonts w:ascii="Times New Roman" w:hAnsi="Times New Roman" w:cs="Times New Roman"/>
          <w:sz w:val="22"/>
          <w:szCs w:val="22"/>
        </w:rPr>
        <w:t xml:space="preserve">ALOHA: Building on PHITS results, conservative accident or sabotage scenarios will be modelled using atmospheric dispersion tools </w:t>
      </w:r>
      <w:r w:rsidR="00D34C98">
        <w:rPr>
          <w:rFonts w:ascii="Times New Roman" w:hAnsi="Times New Roman" w:cs="Times New Roman"/>
          <w:sz w:val="22"/>
          <w:szCs w:val="22"/>
        </w:rPr>
        <w:t xml:space="preserve">- </w:t>
      </w:r>
      <w:r w:rsidRPr="00204309">
        <w:rPr>
          <w:rFonts w:ascii="Times New Roman" w:hAnsi="Times New Roman" w:cs="Times New Roman"/>
          <w:sz w:val="22"/>
          <w:szCs w:val="22"/>
        </w:rPr>
        <w:t>ALOHA. These provide what-if plume predictions, showing potential public exposure pathways if containment were compromised.</w:t>
      </w:r>
    </w:p>
    <w:p w14:paraId="79228D6B" w14:textId="77777777" w:rsidR="00204309" w:rsidRPr="00204309" w:rsidRDefault="00204309" w:rsidP="00204309">
      <w:pPr>
        <w:pStyle w:val="ListParagraph"/>
        <w:numPr>
          <w:ilvl w:val="0"/>
          <w:numId w:val="5"/>
        </w:numPr>
        <w:jc w:val="both"/>
        <w:rPr>
          <w:rFonts w:ascii="Times New Roman" w:hAnsi="Times New Roman" w:cs="Times New Roman"/>
          <w:sz w:val="22"/>
          <w:szCs w:val="22"/>
        </w:rPr>
      </w:pPr>
      <w:r w:rsidRPr="00204309">
        <w:rPr>
          <w:rFonts w:ascii="Times New Roman" w:hAnsi="Times New Roman" w:cs="Times New Roman"/>
          <w:sz w:val="22"/>
          <w:szCs w:val="22"/>
        </w:rPr>
        <w:t>Geospatial risk mapping with QGIS: Dispersion outputs and transport routes will then be overlaid on national maps using QGIS. By integrating population density, hospitals, police stations, and sensitive facilities, this step identifies high-risk zones, emergency response nodes, and standoff requirements along actual Indonesian transport corridors.</w:t>
      </w:r>
    </w:p>
    <w:p w14:paraId="3D984CF0" w14:textId="14EB9175" w:rsidR="00204309" w:rsidRPr="00204309" w:rsidRDefault="00204309" w:rsidP="00204309">
      <w:pPr>
        <w:pStyle w:val="ListParagraph"/>
        <w:numPr>
          <w:ilvl w:val="0"/>
          <w:numId w:val="5"/>
        </w:numPr>
        <w:jc w:val="both"/>
        <w:rPr>
          <w:rFonts w:ascii="Times New Roman" w:hAnsi="Times New Roman" w:cs="Times New Roman"/>
          <w:sz w:val="22"/>
          <w:szCs w:val="22"/>
        </w:rPr>
      </w:pPr>
      <w:r w:rsidRPr="00204309">
        <w:rPr>
          <w:rFonts w:ascii="Times New Roman" w:hAnsi="Times New Roman" w:cs="Times New Roman"/>
          <w:sz w:val="22"/>
          <w:szCs w:val="22"/>
        </w:rPr>
        <w:t xml:space="preserve">Response performance with </w:t>
      </w:r>
      <w:proofErr w:type="spellStart"/>
      <w:r w:rsidRPr="00204309">
        <w:rPr>
          <w:rFonts w:ascii="Times New Roman" w:hAnsi="Times New Roman" w:cs="Times New Roman"/>
          <w:sz w:val="22"/>
          <w:szCs w:val="22"/>
        </w:rPr>
        <w:t>SimPy</w:t>
      </w:r>
      <w:proofErr w:type="spellEnd"/>
      <w:r w:rsidRPr="00204309">
        <w:rPr>
          <w:rFonts w:ascii="Times New Roman" w:hAnsi="Times New Roman" w:cs="Times New Roman"/>
          <w:sz w:val="22"/>
          <w:szCs w:val="22"/>
        </w:rPr>
        <w:t>: Finally, discrete-event modelling will simulate the time-critical process from incident detection to resolution. Variables such as detection speed, responder distance, traffic congestion, and escort availability are tested to calculate time-to-safe-state and cumulative dose to responders and the public under different scenarios.</w:t>
      </w:r>
    </w:p>
    <w:p w14:paraId="07891A1D" w14:textId="7F26596B" w:rsidR="000B1BE9" w:rsidRPr="000B1BE9" w:rsidRDefault="00204309" w:rsidP="009C668D">
      <w:pPr>
        <w:spacing w:before="100" w:beforeAutospacing="1" w:after="100" w:afterAutospacing="1" w:line="240" w:lineRule="auto"/>
        <w:jc w:val="both"/>
        <w:rPr>
          <w:rFonts w:ascii="Times New Roman" w:eastAsia="Times New Roman" w:hAnsi="Times New Roman" w:cs="Times New Roman"/>
          <w:kern w:val="0"/>
          <w:sz w:val="22"/>
          <w:szCs w:val="22"/>
          <w14:ligatures w14:val="none"/>
        </w:rPr>
      </w:pPr>
      <w:r w:rsidRPr="00DB1595">
        <w:rPr>
          <w:rFonts w:ascii="Times New Roman" w:hAnsi="Times New Roman" w:cs="Times New Roman"/>
          <w:sz w:val="22"/>
          <w:szCs w:val="22"/>
        </w:rPr>
        <w:t xml:space="preserve">Through this integrated simulation chain, the </w:t>
      </w:r>
      <w:proofErr w:type="spellStart"/>
      <w:r w:rsidRPr="00D34C98">
        <w:rPr>
          <w:rFonts w:ascii="Times New Roman" w:hAnsi="Times New Roman" w:cs="Times New Roman"/>
          <w:i/>
          <w:iCs/>
          <w:sz w:val="22"/>
          <w:szCs w:val="22"/>
        </w:rPr>
        <w:t>RadSecure</w:t>
      </w:r>
      <w:proofErr w:type="spellEnd"/>
      <w:r w:rsidRPr="00DB1595">
        <w:rPr>
          <w:rFonts w:ascii="Times New Roman" w:hAnsi="Times New Roman" w:cs="Times New Roman"/>
          <w:sz w:val="22"/>
          <w:szCs w:val="22"/>
        </w:rPr>
        <w:t xml:space="preserve"> </w:t>
      </w:r>
      <w:r w:rsidRPr="00D34C98">
        <w:rPr>
          <w:rFonts w:ascii="Times New Roman" w:hAnsi="Times New Roman" w:cs="Times New Roman"/>
          <w:i/>
          <w:iCs/>
          <w:sz w:val="22"/>
          <w:szCs w:val="22"/>
        </w:rPr>
        <w:t>Mover</w:t>
      </w:r>
      <w:r w:rsidRPr="00DB1595">
        <w:rPr>
          <w:rFonts w:ascii="Times New Roman" w:hAnsi="Times New Roman" w:cs="Times New Roman"/>
          <w:sz w:val="22"/>
          <w:szCs w:val="22"/>
        </w:rPr>
        <w:t xml:space="preserve"> moves beyond static design to become a validated safety–security system, linking physical shielding performance, accident consequences, geographical context, and human response capacity into one coherent framework</w:t>
      </w:r>
    </w:p>
    <w:p w14:paraId="55A821A2" w14:textId="77777777" w:rsidR="000B1BE9" w:rsidRPr="000B1BE9" w:rsidRDefault="000B1BE9" w:rsidP="000B1BE9">
      <w:pPr>
        <w:spacing w:before="100" w:beforeAutospacing="1" w:after="100" w:afterAutospacing="1" w:line="240" w:lineRule="auto"/>
        <w:jc w:val="both"/>
        <w:outlineLvl w:val="2"/>
        <w:rPr>
          <w:rFonts w:ascii="Times New Roman" w:eastAsia="Times New Roman" w:hAnsi="Times New Roman" w:cs="Times New Roman"/>
          <w:b/>
          <w:bCs/>
          <w:kern w:val="0"/>
          <w:sz w:val="22"/>
          <w:szCs w:val="22"/>
          <w14:ligatures w14:val="none"/>
        </w:rPr>
      </w:pPr>
      <w:r w:rsidRPr="000B1BE9">
        <w:rPr>
          <w:rFonts w:ascii="Times New Roman" w:eastAsia="Times New Roman" w:hAnsi="Times New Roman" w:cs="Times New Roman"/>
          <w:b/>
          <w:bCs/>
          <w:kern w:val="0"/>
          <w:sz w:val="22"/>
          <w:szCs w:val="22"/>
          <w14:ligatures w14:val="none"/>
        </w:rPr>
        <w:t>Relevance and Novelty</w:t>
      </w:r>
    </w:p>
    <w:p w14:paraId="0AB5A667" w14:textId="1303DFA6" w:rsidR="002276FA" w:rsidRPr="002276FA" w:rsidRDefault="002276FA" w:rsidP="002276FA">
      <w:pPr>
        <w:jc w:val="both"/>
        <w:rPr>
          <w:rFonts w:ascii="Times New Roman" w:hAnsi="Times New Roman" w:cs="Times New Roman"/>
          <w:sz w:val="22"/>
          <w:szCs w:val="22"/>
        </w:rPr>
      </w:pPr>
      <w:r w:rsidRPr="002276FA">
        <w:rPr>
          <w:rFonts w:ascii="Times New Roman" w:hAnsi="Times New Roman" w:cs="Times New Roman"/>
          <w:sz w:val="22"/>
          <w:szCs w:val="22"/>
        </w:rPr>
        <w:t xml:space="preserve">The </w:t>
      </w:r>
      <w:proofErr w:type="spellStart"/>
      <w:r w:rsidRPr="00D34C98">
        <w:rPr>
          <w:rFonts w:ascii="Times New Roman" w:hAnsi="Times New Roman" w:cs="Times New Roman"/>
          <w:i/>
          <w:iCs/>
          <w:sz w:val="22"/>
          <w:szCs w:val="22"/>
        </w:rPr>
        <w:t>RadSecure</w:t>
      </w:r>
      <w:proofErr w:type="spellEnd"/>
      <w:r w:rsidRPr="002276FA">
        <w:rPr>
          <w:rFonts w:ascii="Times New Roman" w:hAnsi="Times New Roman" w:cs="Times New Roman"/>
          <w:sz w:val="22"/>
          <w:szCs w:val="22"/>
        </w:rPr>
        <w:t xml:space="preserve"> </w:t>
      </w:r>
      <w:r w:rsidRPr="00D34C98">
        <w:rPr>
          <w:rFonts w:ascii="Times New Roman" w:hAnsi="Times New Roman" w:cs="Times New Roman"/>
          <w:i/>
          <w:iCs/>
          <w:sz w:val="22"/>
          <w:szCs w:val="22"/>
        </w:rPr>
        <w:t>Mover</w:t>
      </w:r>
      <w:r w:rsidRPr="002276FA">
        <w:rPr>
          <w:rFonts w:ascii="Times New Roman" w:hAnsi="Times New Roman" w:cs="Times New Roman"/>
          <w:sz w:val="22"/>
          <w:szCs w:val="22"/>
        </w:rPr>
        <w:t xml:space="preserve"> is Indonesia’s first dedicated radioactive material transport vehicle, bridging a critical infrastructure gap ahead of NPP deployment. Its novelty lies in the integrated application of safety-by-design and security-by-design principles within a single transport system, </w:t>
      </w:r>
      <w:r w:rsidR="009C668D" w:rsidRPr="000B1BE9">
        <w:rPr>
          <w:rFonts w:ascii="Times New Roman" w:eastAsia="Times New Roman" w:hAnsi="Times New Roman" w:cs="Times New Roman"/>
          <w:kern w:val="0"/>
          <w:sz w:val="22"/>
          <w:szCs w:val="22"/>
          <w14:ligatures w14:val="none"/>
        </w:rPr>
        <w:t>rather than treating these as add-ons to commercial vehicles</w:t>
      </w:r>
      <w:r w:rsidRPr="002276FA">
        <w:rPr>
          <w:rFonts w:ascii="Times New Roman" w:hAnsi="Times New Roman" w:cs="Times New Roman"/>
          <w:sz w:val="22"/>
          <w:szCs w:val="22"/>
        </w:rPr>
        <w:t>. By combining physical protection, radiation shielding, ergonomic handling, and visible hazard communication, it establishes a model for transport resilience that supports regulatory compliance and public confidence.</w:t>
      </w:r>
    </w:p>
    <w:p w14:paraId="33347DA4" w14:textId="1B37ADEA" w:rsidR="00DB1595" w:rsidRDefault="002276FA" w:rsidP="00DB1595">
      <w:pPr>
        <w:jc w:val="both"/>
        <w:rPr>
          <w:rFonts w:ascii="Times New Roman" w:eastAsia="Times New Roman" w:hAnsi="Times New Roman" w:cs="Times New Roman"/>
          <w:kern w:val="0"/>
          <w:sz w:val="22"/>
          <w:szCs w:val="22"/>
          <w14:ligatures w14:val="none"/>
        </w:rPr>
      </w:pPr>
      <w:r w:rsidRPr="002276FA">
        <w:rPr>
          <w:rFonts w:ascii="Times New Roman" w:hAnsi="Times New Roman" w:cs="Times New Roman"/>
          <w:sz w:val="22"/>
          <w:szCs w:val="22"/>
        </w:rPr>
        <w:t xml:space="preserve">Beyond Indonesia, the </w:t>
      </w:r>
      <w:proofErr w:type="spellStart"/>
      <w:r w:rsidRPr="00D34C98">
        <w:rPr>
          <w:rFonts w:ascii="Times New Roman" w:hAnsi="Times New Roman" w:cs="Times New Roman"/>
          <w:i/>
          <w:iCs/>
          <w:sz w:val="22"/>
          <w:szCs w:val="22"/>
        </w:rPr>
        <w:t>RadSecure</w:t>
      </w:r>
      <w:proofErr w:type="spellEnd"/>
      <w:r w:rsidRPr="002276FA">
        <w:rPr>
          <w:rFonts w:ascii="Times New Roman" w:hAnsi="Times New Roman" w:cs="Times New Roman"/>
          <w:sz w:val="22"/>
          <w:szCs w:val="22"/>
        </w:rPr>
        <w:t xml:space="preserve"> </w:t>
      </w:r>
      <w:r w:rsidRPr="00D34C98">
        <w:rPr>
          <w:rFonts w:ascii="Times New Roman" w:hAnsi="Times New Roman" w:cs="Times New Roman"/>
          <w:i/>
          <w:iCs/>
          <w:sz w:val="22"/>
          <w:szCs w:val="22"/>
        </w:rPr>
        <w:t>Mover</w:t>
      </w:r>
      <w:r w:rsidRPr="002276FA">
        <w:rPr>
          <w:rFonts w:ascii="Times New Roman" w:hAnsi="Times New Roman" w:cs="Times New Roman"/>
          <w:sz w:val="22"/>
          <w:szCs w:val="22"/>
        </w:rPr>
        <w:t xml:space="preserve"> offers a replicable model for newcomer countries facing similar readiness challenges. With </w:t>
      </w:r>
      <w:r w:rsidR="009C668D">
        <w:rPr>
          <w:rFonts w:ascii="Times New Roman" w:hAnsi="Times New Roman" w:cs="Times New Roman"/>
          <w:sz w:val="22"/>
          <w:szCs w:val="22"/>
        </w:rPr>
        <w:t xml:space="preserve">further development through </w:t>
      </w:r>
      <w:r w:rsidRPr="002276FA">
        <w:rPr>
          <w:rFonts w:ascii="Times New Roman" w:hAnsi="Times New Roman" w:cs="Times New Roman"/>
          <w:sz w:val="22"/>
          <w:szCs w:val="22"/>
        </w:rPr>
        <w:t xml:space="preserve">simulation validation and future prototyping, </w:t>
      </w:r>
      <w:proofErr w:type="spellStart"/>
      <w:r w:rsidR="009C668D" w:rsidRPr="00D34C98">
        <w:rPr>
          <w:rFonts w:ascii="Times New Roman" w:eastAsia="Times New Roman" w:hAnsi="Times New Roman" w:cs="Times New Roman"/>
          <w:i/>
          <w:iCs/>
          <w:kern w:val="0"/>
          <w:sz w:val="22"/>
          <w:szCs w:val="22"/>
          <w14:ligatures w14:val="none"/>
        </w:rPr>
        <w:t>RadSecure</w:t>
      </w:r>
      <w:proofErr w:type="spellEnd"/>
      <w:r w:rsidR="009C668D" w:rsidRPr="000B1BE9">
        <w:rPr>
          <w:rFonts w:ascii="Times New Roman" w:eastAsia="Times New Roman" w:hAnsi="Times New Roman" w:cs="Times New Roman"/>
          <w:kern w:val="0"/>
          <w:sz w:val="22"/>
          <w:szCs w:val="22"/>
          <w14:ligatures w14:val="none"/>
        </w:rPr>
        <w:t xml:space="preserve"> </w:t>
      </w:r>
      <w:r w:rsidR="009C668D" w:rsidRPr="00D34C98">
        <w:rPr>
          <w:rFonts w:ascii="Times New Roman" w:eastAsia="Times New Roman" w:hAnsi="Times New Roman" w:cs="Times New Roman"/>
          <w:i/>
          <w:iCs/>
          <w:kern w:val="0"/>
          <w:sz w:val="22"/>
          <w:szCs w:val="22"/>
          <w14:ligatures w14:val="none"/>
        </w:rPr>
        <w:t>Mover</w:t>
      </w:r>
      <w:r w:rsidR="009C668D" w:rsidRPr="000B1BE9">
        <w:rPr>
          <w:rFonts w:ascii="Times New Roman" w:eastAsia="Times New Roman" w:hAnsi="Times New Roman" w:cs="Times New Roman"/>
          <w:kern w:val="0"/>
          <w:sz w:val="22"/>
          <w:szCs w:val="22"/>
          <w14:ligatures w14:val="none"/>
        </w:rPr>
        <w:t xml:space="preserve"> can become a benchmark for safety and security by design in radioactive material transport, directly supporting the IAEA’s goals of strengthening resilience, compliance, and innovation in transport systems</w:t>
      </w:r>
      <w:r w:rsidR="00D34C98">
        <w:rPr>
          <w:rFonts w:ascii="Times New Roman" w:eastAsia="Times New Roman" w:hAnsi="Times New Roman" w:cs="Times New Roman"/>
          <w:kern w:val="0"/>
          <w:sz w:val="22"/>
          <w:szCs w:val="22"/>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D34C98" w14:paraId="11AC5452" w14:textId="77777777" w:rsidTr="00EA174E">
        <w:tc>
          <w:tcPr>
            <w:tcW w:w="4675" w:type="dxa"/>
          </w:tcPr>
          <w:p w14:paraId="256ED810" w14:textId="55FBA0BF" w:rsidR="00D34C98" w:rsidRPr="00EA174E" w:rsidRDefault="00D34C98" w:rsidP="00DB1595">
            <w:pPr>
              <w:jc w:val="both"/>
              <w:rPr>
                <w:rFonts w:ascii="Times New Roman" w:hAnsi="Times New Roman" w:cs="Times New Roman"/>
                <w:sz w:val="18"/>
                <w:szCs w:val="18"/>
              </w:rPr>
            </w:pPr>
            <w:r w:rsidRPr="00EA174E">
              <w:rPr>
                <w:rFonts w:ascii="Times New Roman" w:hAnsi="Times New Roman" w:cs="Times New Roman"/>
                <w:noProof/>
                <w:sz w:val="18"/>
                <w:szCs w:val="18"/>
              </w:rPr>
              <w:lastRenderedPageBreak/>
              <w:drawing>
                <wp:inline distT="0" distB="0" distL="0" distR="0" wp14:anchorId="3152A42B" wp14:editId="58C6ABEC">
                  <wp:extent cx="2880000" cy="2037538"/>
                  <wp:effectExtent l="0" t="0" r="3175" b="0"/>
                  <wp:docPr id="327173875" name="Picture 1" descr="A top view of a yellow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73875" name="Picture 1" descr="A top view of a yellow truck&#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0000" cy="2037538"/>
                          </a:xfrm>
                          <a:prstGeom prst="rect">
                            <a:avLst/>
                          </a:prstGeom>
                        </pic:spPr>
                      </pic:pic>
                    </a:graphicData>
                  </a:graphic>
                </wp:inline>
              </w:drawing>
            </w:r>
          </w:p>
        </w:tc>
        <w:tc>
          <w:tcPr>
            <w:tcW w:w="4675" w:type="dxa"/>
          </w:tcPr>
          <w:p w14:paraId="2863A48C" w14:textId="70B7F8F8" w:rsidR="00D34C98" w:rsidRPr="00EA174E" w:rsidRDefault="00D34C98" w:rsidP="00DB1595">
            <w:pPr>
              <w:jc w:val="both"/>
              <w:rPr>
                <w:rFonts w:ascii="Times New Roman" w:hAnsi="Times New Roman" w:cs="Times New Roman"/>
                <w:sz w:val="18"/>
                <w:szCs w:val="18"/>
              </w:rPr>
            </w:pPr>
            <w:r w:rsidRPr="00EA174E">
              <w:rPr>
                <w:rFonts w:ascii="Times New Roman" w:hAnsi="Times New Roman" w:cs="Times New Roman"/>
                <w:noProof/>
                <w:sz w:val="18"/>
                <w:szCs w:val="18"/>
              </w:rPr>
              <w:drawing>
                <wp:inline distT="0" distB="0" distL="0" distR="0" wp14:anchorId="5CD72F6A" wp14:editId="3B236AD8">
                  <wp:extent cx="2880000" cy="2037538"/>
                  <wp:effectExtent l="0" t="0" r="3175" b="0"/>
                  <wp:docPr id="138945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59565" name="Picture 138945956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0000" cy="2037538"/>
                          </a:xfrm>
                          <a:prstGeom prst="rect">
                            <a:avLst/>
                          </a:prstGeom>
                        </pic:spPr>
                      </pic:pic>
                    </a:graphicData>
                  </a:graphic>
                </wp:inline>
              </w:drawing>
            </w:r>
          </w:p>
        </w:tc>
      </w:tr>
      <w:tr w:rsidR="00D34C98" w14:paraId="0ECAE7F2" w14:textId="77777777" w:rsidTr="00EA174E">
        <w:tc>
          <w:tcPr>
            <w:tcW w:w="4675" w:type="dxa"/>
          </w:tcPr>
          <w:p w14:paraId="1B2B8FE1" w14:textId="5D3C3F12" w:rsidR="00D34C98" w:rsidRPr="00EA174E" w:rsidRDefault="00250060" w:rsidP="00250060">
            <w:pPr>
              <w:jc w:val="center"/>
              <w:rPr>
                <w:rFonts w:ascii="Times New Roman" w:hAnsi="Times New Roman" w:cs="Times New Roman"/>
                <w:sz w:val="18"/>
                <w:szCs w:val="18"/>
              </w:rPr>
            </w:pPr>
            <w:r w:rsidRPr="00EA174E">
              <w:rPr>
                <w:rFonts w:ascii="Times New Roman" w:hAnsi="Times New Roman" w:cs="Times New Roman"/>
                <w:b/>
                <w:bCs/>
                <w:sz w:val="18"/>
                <w:szCs w:val="18"/>
              </w:rPr>
              <w:t>Figure 1</w:t>
            </w:r>
            <w:r w:rsidRPr="00EA174E">
              <w:rPr>
                <w:rFonts w:ascii="Times New Roman" w:hAnsi="Times New Roman" w:cs="Times New Roman"/>
                <w:b/>
                <w:sz w:val="18"/>
                <w:szCs w:val="18"/>
              </w:rPr>
              <w:t>.</w:t>
            </w:r>
            <w:r w:rsidRPr="00EA174E">
              <w:rPr>
                <w:rFonts w:ascii="Times New Roman" w:hAnsi="Times New Roman" w:cs="Times New Roman"/>
                <w:sz w:val="18"/>
                <w:szCs w:val="18"/>
              </w:rPr>
              <w:t xml:space="preserve"> </w:t>
            </w:r>
            <w:proofErr w:type="spellStart"/>
            <w:r w:rsidRPr="00EA174E">
              <w:rPr>
                <w:rFonts w:ascii="Times New Roman" w:hAnsi="Times New Roman" w:cs="Times New Roman"/>
                <w:i/>
                <w:iCs/>
                <w:sz w:val="18"/>
                <w:szCs w:val="18"/>
              </w:rPr>
              <w:t>RadSecure</w:t>
            </w:r>
            <w:proofErr w:type="spellEnd"/>
            <w:r w:rsidRPr="00EA174E">
              <w:rPr>
                <w:rFonts w:ascii="Times New Roman" w:hAnsi="Times New Roman" w:cs="Times New Roman"/>
                <w:sz w:val="18"/>
                <w:szCs w:val="18"/>
              </w:rPr>
              <w:t xml:space="preserve"> </w:t>
            </w:r>
            <w:r w:rsidRPr="00EA174E">
              <w:rPr>
                <w:rFonts w:ascii="Times New Roman" w:hAnsi="Times New Roman" w:cs="Times New Roman"/>
                <w:i/>
                <w:iCs/>
                <w:sz w:val="18"/>
                <w:szCs w:val="18"/>
              </w:rPr>
              <w:t>Mover</w:t>
            </w:r>
            <w:r w:rsidRPr="00EA174E">
              <w:rPr>
                <w:rFonts w:ascii="Times New Roman" w:hAnsi="Times New Roman" w:cs="Times New Roman"/>
                <w:sz w:val="18"/>
                <w:szCs w:val="18"/>
              </w:rPr>
              <w:t xml:space="preserve"> – Top View, </w:t>
            </w:r>
            <w:r w:rsidR="00EA174E" w:rsidRPr="00EA174E">
              <w:rPr>
                <w:rFonts w:ascii="Times New Roman" w:hAnsi="Times New Roman" w:cs="Times New Roman"/>
                <w:sz w:val="18"/>
                <w:szCs w:val="18"/>
              </w:rPr>
              <w:t xml:space="preserve">illustrating the auxiliary solar panels, </w:t>
            </w:r>
            <w:r w:rsidR="00EA174E" w:rsidRPr="00EA174E">
              <w:rPr>
                <w:rFonts w:ascii="Times New Roman" w:eastAsia="Times New Roman" w:hAnsi="Times New Roman" w:cs="Times New Roman"/>
                <w:kern w:val="0"/>
                <w:sz w:val="18"/>
                <w:szCs w:val="18"/>
                <w14:ligatures w14:val="none"/>
              </w:rPr>
              <w:t xml:space="preserve">CCTV monitoring, and integrated communication systems, </w:t>
            </w:r>
            <w:r w:rsidR="00EA174E" w:rsidRPr="00EA174E">
              <w:rPr>
                <w:rFonts w:ascii="Times New Roman" w:hAnsi="Times New Roman" w:cs="Times New Roman"/>
                <w:sz w:val="18"/>
                <w:szCs w:val="18"/>
              </w:rPr>
              <w:t>and top-loading access door designed for secure container handling and operational efficiency.</w:t>
            </w:r>
          </w:p>
        </w:tc>
        <w:tc>
          <w:tcPr>
            <w:tcW w:w="4675" w:type="dxa"/>
          </w:tcPr>
          <w:p w14:paraId="713B6627" w14:textId="1D68082A" w:rsidR="00D34C98" w:rsidRPr="00EA174E" w:rsidRDefault="00250060" w:rsidP="00250060">
            <w:pPr>
              <w:jc w:val="center"/>
              <w:rPr>
                <w:rFonts w:ascii="Times New Roman" w:hAnsi="Times New Roman" w:cs="Times New Roman"/>
                <w:sz w:val="18"/>
                <w:szCs w:val="18"/>
              </w:rPr>
            </w:pPr>
            <w:r w:rsidRPr="00EA174E">
              <w:rPr>
                <w:rFonts w:ascii="Times New Roman" w:hAnsi="Times New Roman" w:cs="Times New Roman"/>
                <w:b/>
                <w:bCs/>
                <w:sz w:val="18"/>
                <w:szCs w:val="18"/>
              </w:rPr>
              <w:t>Figure 2.</w:t>
            </w:r>
            <w:r w:rsidRPr="00EA174E">
              <w:rPr>
                <w:rFonts w:ascii="Times New Roman" w:hAnsi="Times New Roman" w:cs="Times New Roman"/>
                <w:sz w:val="18"/>
                <w:szCs w:val="18"/>
              </w:rPr>
              <w:t xml:space="preserve"> </w:t>
            </w:r>
            <w:proofErr w:type="spellStart"/>
            <w:r w:rsidRPr="00EA174E">
              <w:rPr>
                <w:rFonts w:ascii="Times New Roman" w:hAnsi="Times New Roman" w:cs="Times New Roman"/>
                <w:i/>
                <w:iCs/>
                <w:sz w:val="18"/>
                <w:szCs w:val="18"/>
              </w:rPr>
              <w:t>RadSecure</w:t>
            </w:r>
            <w:proofErr w:type="spellEnd"/>
            <w:r w:rsidRPr="00EA174E">
              <w:rPr>
                <w:rFonts w:ascii="Times New Roman" w:hAnsi="Times New Roman" w:cs="Times New Roman"/>
                <w:sz w:val="18"/>
                <w:szCs w:val="18"/>
              </w:rPr>
              <w:t xml:space="preserve"> </w:t>
            </w:r>
            <w:r w:rsidRPr="00EA174E">
              <w:rPr>
                <w:rFonts w:ascii="Times New Roman" w:hAnsi="Times New Roman" w:cs="Times New Roman"/>
                <w:i/>
                <w:iCs/>
                <w:sz w:val="18"/>
                <w:szCs w:val="18"/>
              </w:rPr>
              <w:t>Mover</w:t>
            </w:r>
            <w:r w:rsidRPr="00EA174E">
              <w:rPr>
                <w:rFonts w:ascii="Times New Roman" w:hAnsi="Times New Roman" w:cs="Times New Roman"/>
                <w:sz w:val="18"/>
                <w:szCs w:val="18"/>
              </w:rPr>
              <w:t xml:space="preserve"> – Isometric View, </w:t>
            </w:r>
            <w:r w:rsidR="00EA174E" w:rsidRPr="00EA174E">
              <w:rPr>
                <w:rFonts w:ascii="Times New Roman" w:hAnsi="Times New Roman" w:cs="Times New Roman"/>
                <w:sz w:val="18"/>
                <w:szCs w:val="18"/>
              </w:rPr>
              <w:t>integrating the cabin, shielded cargo space, and centrally positioned hydraulic crane to demonstrate safety- and security-by-design as a unified concept rather than retrofitted features.</w:t>
            </w:r>
          </w:p>
        </w:tc>
      </w:tr>
      <w:tr w:rsidR="00D34C98" w14:paraId="3DAD87B7" w14:textId="77777777" w:rsidTr="00EA174E">
        <w:tc>
          <w:tcPr>
            <w:tcW w:w="4675" w:type="dxa"/>
          </w:tcPr>
          <w:p w14:paraId="1930F978" w14:textId="41BCCB5F" w:rsidR="00D34C98" w:rsidRPr="00EA174E" w:rsidRDefault="00D34C98" w:rsidP="00DB1595">
            <w:pPr>
              <w:jc w:val="both"/>
              <w:rPr>
                <w:rFonts w:ascii="Times New Roman" w:hAnsi="Times New Roman" w:cs="Times New Roman"/>
                <w:sz w:val="18"/>
                <w:szCs w:val="18"/>
              </w:rPr>
            </w:pPr>
            <w:r w:rsidRPr="00EA174E">
              <w:rPr>
                <w:rFonts w:ascii="Times New Roman" w:hAnsi="Times New Roman" w:cs="Times New Roman"/>
                <w:noProof/>
                <w:sz w:val="18"/>
                <w:szCs w:val="18"/>
              </w:rPr>
              <w:drawing>
                <wp:inline distT="0" distB="0" distL="0" distR="0" wp14:anchorId="02D2D325" wp14:editId="0F0E857B">
                  <wp:extent cx="2880000" cy="2037538"/>
                  <wp:effectExtent l="0" t="0" r="3175" b="0"/>
                  <wp:docPr id="1482723168" name="Picture 3" descr="A yellow truck with a large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23168" name="Picture 3" descr="A yellow truck with a large wheel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0" cy="2037538"/>
                          </a:xfrm>
                          <a:prstGeom prst="rect">
                            <a:avLst/>
                          </a:prstGeom>
                        </pic:spPr>
                      </pic:pic>
                    </a:graphicData>
                  </a:graphic>
                </wp:inline>
              </w:drawing>
            </w:r>
          </w:p>
        </w:tc>
        <w:tc>
          <w:tcPr>
            <w:tcW w:w="4675" w:type="dxa"/>
          </w:tcPr>
          <w:p w14:paraId="06DF402C" w14:textId="4071C188" w:rsidR="00D34C98" w:rsidRPr="00EA174E" w:rsidRDefault="00D34C98" w:rsidP="00DB1595">
            <w:pPr>
              <w:jc w:val="both"/>
              <w:rPr>
                <w:rFonts w:ascii="Times New Roman" w:hAnsi="Times New Roman" w:cs="Times New Roman"/>
                <w:sz w:val="18"/>
                <w:szCs w:val="18"/>
              </w:rPr>
            </w:pPr>
            <w:r w:rsidRPr="00EA174E">
              <w:rPr>
                <w:rFonts w:ascii="Times New Roman" w:hAnsi="Times New Roman" w:cs="Times New Roman"/>
                <w:noProof/>
                <w:sz w:val="18"/>
                <w:szCs w:val="18"/>
              </w:rPr>
              <w:drawing>
                <wp:inline distT="0" distB="0" distL="0" distR="0" wp14:anchorId="671A5146" wp14:editId="63B41821">
                  <wp:extent cx="2880000" cy="2037538"/>
                  <wp:effectExtent l="0" t="0" r="3175" b="0"/>
                  <wp:docPr id="1747490694" name="Picture 4" descr="A yellow vehicle with black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90694" name="Picture 4" descr="A yellow vehicle with black wheel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2037538"/>
                          </a:xfrm>
                          <a:prstGeom prst="rect">
                            <a:avLst/>
                          </a:prstGeom>
                        </pic:spPr>
                      </pic:pic>
                    </a:graphicData>
                  </a:graphic>
                </wp:inline>
              </w:drawing>
            </w:r>
          </w:p>
        </w:tc>
      </w:tr>
      <w:tr w:rsidR="00D34C98" w14:paraId="66C5D412" w14:textId="77777777" w:rsidTr="00EA174E">
        <w:tc>
          <w:tcPr>
            <w:tcW w:w="4675" w:type="dxa"/>
          </w:tcPr>
          <w:p w14:paraId="374D82F2" w14:textId="765B5C57" w:rsidR="00D34C98" w:rsidRPr="00EA174E" w:rsidRDefault="00250060" w:rsidP="00250060">
            <w:pPr>
              <w:jc w:val="center"/>
              <w:rPr>
                <w:rFonts w:ascii="Times New Roman" w:hAnsi="Times New Roman" w:cs="Times New Roman"/>
                <w:noProof/>
                <w:sz w:val="18"/>
                <w:szCs w:val="18"/>
              </w:rPr>
            </w:pPr>
            <w:r w:rsidRPr="00EA174E">
              <w:rPr>
                <w:rFonts w:ascii="Times New Roman" w:hAnsi="Times New Roman" w:cs="Times New Roman"/>
                <w:b/>
                <w:bCs/>
                <w:noProof/>
                <w:sz w:val="18"/>
                <w:szCs w:val="18"/>
              </w:rPr>
              <w:t>Figure 3.</w:t>
            </w:r>
            <w:r w:rsidRPr="00EA174E">
              <w:rPr>
                <w:rFonts w:ascii="Times New Roman" w:hAnsi="Times New Roman" w:cs="Times New Roman"/>
                <w:noProof/>
                <w:sz w:val="18"/>
                <w:szCs w:val="18"/>
              </w:rPr>
              <w:t xml:space="preserve"> </w:t>
            </w:r>
            <w:r w:rsidRPr="00EA174E">
              <w:rPr>
                <w:rFonts w:ascii="Times New Roman" w:hAnsi="Times New Roman" w:cs="Times New Roman"/>
                <w:i/>
                <w:iCs/>
                <w:noProof/>
                <w:sz w:val="18"/>
                <w:szCs w:val="18"/>
              </w:rPr>
              <w:t>RadSecure</w:t>
            </w:r>
            <w:r w:rsidRPr="00EA174E">
              <w:rPr>
                <w:rFonts w:ascii="Times New Roman" w:hAnsi="Times New Roman" w:cs="Times New Roman"/>
                <w:noProof/>
                <w:sz w:val="18"/>
                <w:szCs w:val="18"/>
              </w:rPr>
              <w:t xml:space="preserve"> </w:t>
            </w:r>
            <w:r w:rsidRPr="00EA174E">
              <w:rPr>
                <w:rFonts w:ascii="Times New Roman" w:hAnsi="Times New Roman" w:cs="Times New Roman"/>
                <w:i/>
                <w:iCs/>
                <w:noProof/>
                <w:sz w:val="18"/>
                <w:szCs w:val="18"/>
              </w:rPr>
              <w:t>Mover</w:t>
            </w:r>
            <w:r w:rsidRPr="00EA174E">
              <w:rPr>
                <w:rFonts w:ascii="Times New Roman" w:hAnsi="Times New Roman" w:cs="Times New Roman"/>
                <w:noProof/>
                <w:sz w:val="18"/>
                <w:szCs w:val="18"/>
              </w:rPr>
              <w:t xml:space="preserve"> – Front View, </w:t>
            </w:r>
            <w:r w:rsidR="00EA174E" w:rsidRPr="00EA174E">
              <w:rPr>
                <w:rFonts w:ascii="Times New Roman" w:hAnsi="Times New Roman" w:cs="Times New Roman"/>
                <w:noProof/>
                <w:sz w:val="18"/>
                <w:szCs w:val="18"/>
              </w:rPr>
              <w:t>showing an aerodynamic yet reinforced driver’s cabin designed as a mobile command-and-control unit with slanted windshield, reinforced pillars, and integrated monitoring systems.</w:t>
            </w:r>
          </w:p>
        </w:tc>
        <w:tc>
          <w:tcPr>
            <w:tcW w:w="4675" w:type="dxa"/>
          </w:tcPr>
          <w:p w14:paraId="33A547F2" w14:textId="14E98266" w:rsidR="00D34C98" w:rsidRPr="00EA174E" w:rsidRDefault="00250060" w:rsidP="00EA174E">
            <w:pPr>
              <w:jc w:val="center"/>
              <w:rPr>
                <w:rFonts w:ascii="Times New Roman" w:hAnsi="Times New Roman" w:cs="Times New Roman"/>
                <w:noProof/>
                <w:sz w:val="18"/>
                <w:szCs w:val="18"/>
              </w:rPr>
            </w:pPr>
            <w:r w:rsidRPr="00EA174E">
              <w:rPr>
                <w:rFonts w:ascii="Times New Roman" w:hAnsi="Times New Roman" w:cs="Times New Roman"/>
                <w:b/>
                <w:bCs/>
                <w:noProof/>
                <w:sz w:val="18"/>
                <w:szCs w:val="18"/>
              </w:rPr>
              <w:t>Figure 4.</w:t>
            </w:r>
            <w:r w:rsidRPr="00EA174E">
              <w:rPr>
                <w:rFonts w:ascii="Times New Roman" w:hAnsi="Times New Roman" w:cs="Times New Roman"/>
                <w:noProof/>
                <w:sz w:val="18"/>
                <w:szCs w:val="18"/>
              </w:rPr>
              <w:t xml:space="preserve"> </w:t>
            </w:r>
            <w:r w:rsidRPr="00EA174E">
              <w:rPr>
                <w:rFonts w:ascii="Times New Roman" w:hAnsi="Times New Roman" w:cs="Times New Roman"/>
                <w:i/>
                <w:iCs/>
                <w:noProof/>
                <w:sz w:val="18"/>
                <w:szCs w:val="18"/>
              </w:rPr>
              <w:t>RadSecure</w:t>
            </w:r>
            <w:r w:rsidRPr="00EA174E">
              <w:rPr>
                <w:rFonts w:ascii="Times New Roman" w:hAnsi="Times New Roman" w:cs="Times New Roman"/>
                <w:noProof/>
                <w:sz w:val="18"/>
                <w:szCs w:val="18"/>
              </w:rPr>
              <w:t xml:space="preserve"> </w:t>
            </w:r>
            <w:r w:rsidRPr="00EA174E">
              <w:rPr>
                <w:rFonts w:ascii="Times New Roman" w:hAnsi="Times New Roman" w:cs="Times New Roman"/>
                <w:i/>
                <w:iCs/>
                <w:noProof/>
                <w:sz w:val="18"/>
                <w:szCs w:val="18"/>
              </w:rPr>
              <w:t>Mover</w:t>
            </w:r>
            <w:r w:rsidRPr="00EA174E">
              <w:rPr>
                <w:rFonts w:ascii="Times New Roman" w:hAnsi="Times New Roman" w:cs="Times New Roman"/>
                <w:noProof/>
                <w:sz w:val="18"/>
                <w:szCs w:val="18"/>
              </w:rPr>
              <w:t xml:space="preserve"> – Rear View, </w:t>
            </w:r>
            <w:r w:rsidR="00EA174E" w:rsidRPr="00EA174E">
              <w:rPr>
                <w:rFonts w:ascii="Times New Roman" w:hAnsi="Times New Roman" w:cs="Times New Roman"/>
                <w:noProof/>
                <w:sz w:val="18"/>
                <w:szCs w:val="18"/>
              </w:rPr>
              <w:t>featuring a chamfered roof contour for structural strength and aerodynamics.</w:t>
            </w:r>
          </w:p>
        </w:tc>
      </w:tr>
      <w:tr w:rsidR="00D34C98" w14:paraId="7F700980" w14:textId="77777777" w:rsidTr="00EA174E">
        <w:tc>
          <w:tcPr>
            <w:tcW w:w="4675" w:type="dxa"/>
          </w:tcPr>
          <w:p w14:paraId="4AAE1768" w14:textId="3799658A" w:rsidR="00D34C98" w:rsidRPr="00EA174E" w:rsidRDefault="00D34C98" w:rsidP="00DB1595">
            <w:pPr>
              <w:jc w:val="both"/>
              <w:rPr>
                <w:rFonts w:ascii="Times New Roman" w:hAnsi="Times New Roman" w:cs="Times New Roman"/>
                <w:noProof/>
                <w:sz w:val="18"/>
                <w:szCs w:val="18"/>
              </w:rPr>
            </w:pPr>
            <w:r w:rsidRPr="00EA174E">
              <w:rPr>
                <w:rFonts w:ascii="Times New Roman" w:hAnsi="Times New Roman" w:cs="Times New Roman"/>
                <w:noProof/>
                <w:sz w:val="18"/>
                <w:szCs w:val="18"/>
              </w:rPr>
              <w:drawing>
                <wp:inline distT="0" distB="0" distL="0" distR="0" wp14:anchorId="12D91D7A" wp14:editId="2454C91D">
                  <wp:extent cx="2880000" cy="2037538"/>
                  <wp:effectExtent l="0" t="0" r="3175" b="0"/>
                  <wp:docPr id="1859436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36863" name="Picture 18594368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2037538"/>
                          </a:xfrm>
                          <a:prstGeom prst="rect">
                            <a:avLst/>
                          </a:prstGeom>
                        </pic:spPr>
                      </pic:pic>
                    </a:graphicData>
                  </a:graphic>
                </wp:inline>
              </w:drawing>
            </w:r>
          </w:p>
        </w:tc>
        <w:tc>
          <w:tcPr>
            <w:tcW w:w="4675" w:type="dxa"/>
          </w:tcPr>
          <w:p w14:paraId="13C4C96D" w14:textId="690B6AB6" w:rsidR="00D34C98" w:rsidRPr="00EA174E" w:rsidRDefault="00D34C98" w:rsidP="00DB1595">
            <w:pPr>
              <w:jc w:val="both"/>
              <w:rPr>
                <w:rFonts w:ascii="Times New Roman" w:hAnsi="Times New Roman" w:cs="Times New Roman"/>
                <w:noProof/>
                <w:sz w:val="18"/>
                <w:szCs w:val="18"/>
              </w:rPr>
            </w:pPr>
            <w:r w:rsidRPr="00EA174E">
              <w:rPr>
                <w:rFonts w:ascii="Times New Roman" w:hAnsi="Times New Roman" w:cs="Times New Roman"/>
                <w:noProof/>
                <w:sz w:val="18"/>
                <w:szCs w:val="18"/>
              </w:rPr>
              <w:drawing>
                <wp:inline distT="0" distB="0" distL="0" distR="0" wp14:anchorId="7609A6E6" wp14:editId="2B778C79">
                  <wp:extent cx="2880000" cy="2037538"/>
                  <wp:effectExtent l="0" t="0" r="3175" b="0"/>
                  <wp:docPr id="12823859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85976" name="Picture 12823859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2037538"/>
                          </a:xfrm>
                          <a:prstGeom prst="rect">
                            <a:avLst/>
                          </a:prstGeom>
                        </pic:spPr>
                      </pic:pic>
                    </a:graphicData>
                  </a:graphic>
                </wp:inline>
              </w:drawing>
            </w:r>
          </w:p>
        </w:tc>
      </w:tr>
      <w:tr w:rsidR="00D34C98" w14:paraId="6573EDD2" w14:textId="77777777" w:rsidTr="00EA174E">
        <w:tc>
          <w:tcPr>
            <w:tcW w:w="4675" w:type="dxa"/>
          </w:tcPr>
          <w:p w14:paraId="6F9B777F" w14:textId="65ABC90E" w:rsidR="00D34C98" w:rsidRPr="00EA174E" w:rsidRDefault="00EA174E" w:rsidP="00EA174E">
            <w:pPr>
              <w:jc w:val="center"/>
              <w:rPr>
                <w:rFonts w:ascii="Times New Roman" w:hAnsi="Times New Roman" w:cs="Times New Roman"/>
                <w:noProof/>
                <w:sz w:val="18"/>
                <w:szCs w:val="18"/>
              </w:rPr>
            </w:pPr>
            <w:r w:rsidRPr="00EA174E">
              <w:rPr>
                <w:rFonts w:ascii="Times New Roman" w:hAnsi="Times New Roman" w:cs="Times New Roman"/>
                <w:b/>
                <w:bCs/>
                <w:noProof/>
                <w:sz w:val="18"/>
                <w:szCs w:val="18"/>
              </w:rPr>
              <w:t>Figure 5.</w:t>
            </w:r>
            <w:r w:rsidRPr="00EA174E">
              <w:rPr>
                <w:rFonts w:ascii="Times New Roman" w:hAnsi="Times New Roman" w:cs="Times New Roman"/>
                <w:noProof/>
                <w:sz w:val="18"/>
                <w:szCs w:val="18"/>
              </w:rPr>
              <w:t xml:space="preserve"> </w:t>
            </w:r>
            <w:r w:rsidRPr="00EA174E">
              <w:rPr>
                <w:rFonts w:ascii="Times New Roman" w:hAnsi="Times New Roman" w:cs="Times New Roman"/>
                <w:i/>
                <w:iCs/>
                <w:noProof/>
                <w:sz w:val="18"/>
                <w:szCs w:val="18"/>
              </w:rPr>
              <w:t>RadSecure</w:t>
            </w:r>
            <w:r w:rsidRPr="00EA174E">
              <w:rPr>
                <w:rFonts w:ascii="Times New Roman" w:hAnsi="Times New Roman" w:cs="Times New Roman"/>
                <w:noProof/>
                <w:sz w:val="18"/>
                <w:szCs w:val="18"/>
              </w:rPr>
              <w:t xml:space="preserve"> </w:t>
            </w:r>
            <w:r w:rsidRPr="00EA174E">
              <w:rPr>
                <w:rFonts w:ascii="Times New Roman" w:hAnsi="Times New Roman" w:cs="Times New Roman"/>
                <w:i/>
                <w:iCs/>
                <w:noProof/>
                <w:sz w:val="18"/>
                <w:szCs w:val="18"/>
              </w:rPr>
              <w:t>Mover</w:t>
            </w:r>
            <w:r w:rsidRPr="00EA174E">
              <w:rPr>
                <w:rFonts w:ascii="Times New Roman" w:hAnsi="Times New Roman" w:cs="Times New Roman"/>
                <w:noProof/>
                <w:sz w:val="18"/>
                <w:szCs w:val="18"/>
              </w:rPr>
              <w:t xml:space="preserve"> – Right Side View, highlighting the protective diagonal contour and side access door for inspection and controlled partial unloading in compliance with transport regulations.</w:t>
            </w:r>
          </w:p>
        </w:tc>
        <w:tc>
          <w:tcPr>
            <w:tcW w:w="4675" w:type="dxa"/>
          </w:tcPr>
          <w:p w14:paraId="3A443361" w14:textId="1EBC60BB" w:rsidR="00D34C98" w:rsidRPr="00EA174E" w:rsidRDefault="00EA174E" w:rsidP="00EA174E">
            <w:pPr>
              <w:jc w:val="center"/>
              <w:rPr>
                <w:rFonts w:ascii="Times New Roman" w:hAnsi="Times New Roman" w:cs="Times New Roman"/>
                <w:noProof/>
                <w:sz w:val="18"/>
                <w:szCs w:val="18"/>
              </w:rPr>
            </w:pPr>
            <w:r w:rsidRPr="00EA174E">
              <w:rPr>
                <w:rFonts w:ascii="Times New Roman" w:hAnsi="Times New Roman" w:cs="Times New Roman"/>
                <w:b/>
                <w:bCs/>
                <w:noProof/>
                <w:sz w:val="18"/>
                <w:szCs w:val="18"/>
              </w:rPr>
              <w:t>Figure 6.</w:t>
            </w:r>
            <w:r w:rsidRPr="00EA174E">
              <w:rPr>
                <w:rFonts w:ascii="Times New Roman" w:hAnsi="Times New Roman" w:cs="Times New Roman"/>
                <w:noProof/>
                <w:sz w:val="18"/>
                <w:szCs w:val="18"/>
              </w:rPr>
              <w:t xml:space="preserve"> </w:t>
            </w:r>
            <w:r w:rsidRPr="00EA174E">
              <w:rPr>
                <w:rFonts w:ascii="Times New Roman" w:hAnsi="Times New Roman" w:cs="Times New Roman"/>
                <w:i/>
                <w:iCs/>
                <w:noProof/>
                <w:sz w:val="18"/>
                <w:szCs w:val="18"/>
              </w:rPr>
              <w:t>RadSecure</w:t>
            </w:r>
            <w:r w:rsidRPr="00EA174E">
              <w:rPr>
                <w:rFonts w:ascii="Times New Roman" w:hAnsi="Times New Roman" w:cs="Times New Roman"/>
                <w:noProof/>
                <w:sz w:val="18"/>
                <w:szCs w:val="18"/>
              </w:rPr>
              <w:t xml:space="preserve"> </w:t>
            </w:r>
            <w:r w:rsidRPr="00EA174E">
              <w:rPr>
                <w:rFonts w:ascii="Times New Roman" w:hAnsi="Times New Roman" w:cs="Times New Roman"/>
                <w:i/>
                <w:iCs/>
                <w:noProof/>
                <w:sz w:val="18"/>
                <w:szCs w:val="18"/>
              </w:rPr>
              <w:t>Mover</w:t>
            </w:r>
            <w:r w:rsidRPr="00EA174E">
              <w:rPr>
                <w:rFonts w:ascii="Times New Roman" w:hAnsi="Times New Roman" w:cs="Times New Roman"/>
                <w:noProof/>
                <w:sz w:val="18"/>
                <w:szCs w:val="18"/>
              </w:rPr>
              <w:t xml:space="preserve"> – Left Side View, displaying hazard-colored protective lines, reflective strips for nighttime visibility, and strategically placed radiation trefoil symbols for hazard communication.</w:t>
            </w:r>
          </w:p>
        </w:tc>
      </w:tr>
    </w:tbl>
    <w:p w14:paraId="1FD62627" w14:textId="77777777" w:rsidR="00D34C98" w:rsidRPr="00E630A3" w:rsidRDefault="00D34C98" w:rsidP="00DB1595">
      <w:pPr>
        <w:jc w:val="both"/>
        <w:rPr>
          <w:rFonts w:ascii="Times New Roman" w:hAnsi="Times New Roman" w:cs="Times New Roman"/>
          <w:sz w:val="22"/>
          <w:szCs w:val="22"/>
        </w:rPr>
      </w:pPr>
    </w:p>
    <w:sectPr w:rsidR="00D34C98" w:rsidRPr="00E630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B6814"/>
    <w:multiLevelType w:val="multilevel"/>
    <w:tmpl w:val="2A62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E2550"/>
    <w:multiLevelType w:val="multilevel"/>
    <w:tmpl w:val="67D0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94725"/>
    <w:multiLevelType w:val="hybridMultilevel"/>
    <w:tmpl w:val="42B4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82E4B"/>
    <w:multiLevelType w:val="hybridMultilevel"/>
    <w:tmpl w:val="5E4A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B3478"/>
    <w:multiLevelType w:val="hybridMultilevel"/>
    <w:tmpl w:val="3D78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585890">
    <w:abstractNumId w:val="1"/>
  </w:num>
  <w:num w:numId="2" w16cid:durableId="972831688">
    <w:abstractNumId w:val="0"/>
  </w:num>
  <w:num w:numId="3" w16cid:durableId="1772358525">
    <w:abstractNumId w:val="4"/>
  </w:num>
  <w:num w:numId="4" w16cid:durableId="146745996">
    <w:abstractNumId w:val="3"/>
  </w:num>
  <w:num w:numId="5" w16cid:durableId="800616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E9"/>
    <w:rsid w:val="000B1BE9"/>
    <w:rsid w:val="00204309"/>
    <w:rsid w:val="002276FA"/>
    <w:rsid w:val="00250060"/>
    <w:rsid w:val="002E625F"/>
    <w:rsid w:val="002F151C"/>
    <w:rsid w:val="00341917"/>
    <w:rsid w:val="004033CE"/>
    <w:rsid w:val="00473300"/>
    <w:rsid w:val="006A5653"/>
    <w:rsid w:val="007D1E99"/>
    <w:rsid w:val="009C668D"/>
    <w:rsid w:val="009F0A08"/>
    <w:rsid w:val="00C52F47"/>
    <w:rsid w:val="00D34C98"/>
    <w:rsid w:val="00DB1595"/>
    <w:rsid w:val="00E630A3"/>
    <w:rsid w:val="00EA174E"/>
    <w:rsid w:val="00FA41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E3CC"/>
  <w15:chartTrackingRefBased/>
  <w15:docId w15:val="{0B426F15-4D0F-3345-8BE0-3445DF71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1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1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BE9"/>
    <w:rPr>
      <w:rFonts w:eastAsiaTheme="majorEastAsia" w:cstheme="majorBidi"/>
      <w:color w:val="272727" w:themeColor="text1" w:themeTint="D8"/>
    </w:rPr>
  </w:style>
  <w:style w:type="paragraph" w:styleId="Title">
    <w:name w:val="Title"/>
    <w:basedOn w:val="Normal"/>
    <w:next w:val="Normal"/>
    <w:link w:val="TitleChar"/>
    <w:uiPriority w:val="10"/>
    <w:qFormat/>
    <w:rsid w:val="000B1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BE9"/>
    <w:pPr>
      <w:spacing w:before="160"/>
      <w:jc w:val="center"/>
    </w:pPr>
    <w:rPr>
      <w:i/>
      <w:iCs/>
      <w:color w:val="404040" w:themeColor="text1" w:themeTint="BF"/>
    </w:rPr>
  </w:style>
  <w:style w:type="character" w:customStyle="1" w:styleId="QuoteChar">
    <w:name w:val="Quote Char"/>
    <w:basedOn w:val="DefaultParagraphFont"/>
    <w:link w:val="Quote"/>
    <w:uiPriority w:val="29"/>
    <w:rsid w:val="000B1BE9"/>
    <w:rPr>
      <w:i/>
      <w:iCs/>
      <w:color w:val="404040" w:themeColor="text1" w:themeTint="BF"/>
    </w:rPr>
  </w:style>
  <w:style w:type="paragraph" w:styleId="ListParagraph">
    <w:name w:val="List Paragraph"/>
    <w:basedOn w:val="Normal"/>
    <w:uiPriority w:val="34"/>
    <w:qFormat/>
    <w:rsid w:val="000B1BE9"/>
    <w:pPr>
      <w:ind w:left="720"/>
      <w:contextualSpacing/>
    </w:pPr>
  </w:style>
  <w:style w:type="character" w:styleId="IntenseEmphasis">
    <w:name w:val="Intense Emphasis"/>
    <w:basedOn w:val="DefaultParagraphFont"/>
    <w:uiPriority w:val="21"/>
    <w:qFormat/>
    <w:rsid w:val="000B1BE9"/>
    <w:rPr>
      <w:i/>
      <w:iCs/>
      <w:color w:val="0F4761" w:themeColor="accent1" w:themeShade="BF"/>
    </w:rPr>
  </w:style>
  <w:style w:type="paragraph" w:styleId="IntenseQuote">
    <w:name w:val="Intense Quote"/>
    <w:basedOn w:val="Normal"/>
    <w:next w:val="Normal"/>
    <w:link w:val="IntenseQuoteChar"/>
    <w:uiPriority w:val="30"/>
    <w:qFormat/>
    <w:rsid w:val="000B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BE9"/>
    <w:rPr>
      <w:i/>
      <w:iCs/>
      <w:color w:val="0F4761" w:themeColor="accent1" w:themeShade="BF"/>
    </w:rPr>
  </w:style>
  <w:style w:type="character" w:styleId="IntenseReference">
    <w:name w:val="Intense Reference"/>
    <w:basedOn w:val="DefaultParagraphFont"/>
    <w:uiPriority w:val="32"/>
    <w:qFormat/>
    <w:rsid w:val="000B1BE9"/>
    <w:rPr>
      <w:b/>
      <w:bCs/>
      <w:smallCaps/>
      <w:color w:val="0F4761" w:themeColor="accent1" w:themeShade="BF"/>
      <w:spacing w:val="5"/>
    </w:rPr>
  </w:style>
  <w:style w:type="paragraph" w:styleId="NormalWeb">
    <w:name w:val="Normal (Web)"/>
    <w:basedOn w:val="Normal"/>
    <w:uiPriority w:val="99"/>
    <w:semiHidden/>
    <w:unhideWhenUsed/>
    <w:rsid w:val="000B1BE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B1BE9"/>
    <w:rPr>
      <w:b/>
      <w:bCs/>
    </w:rPr>
  </w:style>
  <w:style w:type="table" w:styleId="TableGrid">
    <w:name w:val="Table Grid"/>
    <w:basedOn w:val="TableNormal"/>
    <w:uiPriority w:val="39"/>
    <w:rsid w:val="00D34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Irvan Dwi Junianto</dc:creator>
  <cp:keywords/>
  <dc:description/>
  <cp:lastModifiedBy>Irvan Dwi Junianto</cp:lastModifiedBy>
  <cp:revision>6</cp:revision>
  <dcterms:created xsi:type="dcterms:W3CDTF">2025-08-25T15:36:00Z</dcterms:created>
  <dcterms:modified xsi:type="dcterms:W3CDTF">2025-08-30T07:03:00Z</dcterms:modified>
</cp:coreProperties>
</file>