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5AD43" w14:textId="77777777" w:rsidR="008A7EEE" w:rsidRPr="008A7EEE" w:rsidRDefault="008A7EEE" w:rsidP="00A964E3">
      <w:pPr>
        <w:pStyle w:val="1"/>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0" w:right="0"/>
        <w:rPr>
          <w:rFonts w:ascii="Times New Roman" w:hAnsi="Times New Roman"/>
          <w:bCs/>
          <w:noProof/>
          <w:color w:val="FF0000"/>
          <w:szCs w:val="32"/>
          <w:lang w:val="en-GB"/>
        </w:rPr>
      </w:pPr>
      <w:r w:rsidRPr="008A7EEE">
        <w:rPr>
          <w:rFonts w:ascii="Times New Roman" w:hAnsi="Times New Roman"/>
          <w:bCs/>
          <w:noProof/>
          <w:color w:val="FF0000"/>
          <w:szCs w:val="32"/>
          <w:lang w:val="en-GB"/>
        </w:rPr>
        <w:t>conference pre-print</w:t>
      </w:r>
    </w:p>
    <w:p w14:paraId="397ABAA8" w14:textId="77777777" w:rsidR="008A7EEE" w:rsidRDefault="008A7EEE" w:rsidP="00A964E3">
      <w:pPr>
        <w:pStyle w:val="1"/>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0" w:right="0"/>
        <w:rPr>
          <w:rFonts w:ascii="Times New Roman" w:hAnsi="Times New Roman"/>
          <w:bCs/>
          <w:noProof/>
          <w:szCs w:val="32"/>
          <w:lang w:val="en-GB"/>
        </w:rPr>
      </w:pPr>
    </w:p>
    <w:p w14:paraId="4000159D" w14:textId="5F909AE3" w:rsidR="00E20E70" w:rsidRPr="00F81411" w:rsidRDefault="006D5C0B" w:rsidP="006D5C0B">
      <w:pPr>
        <w:pStyle w:val="1"/>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0"/>
        <w:rPr>
          <w:rFonts w:ascii="Times New Roman" w:hAnsi="Times New Roman"/>
          <w:bCs/>
          <w:noProof/>
          <w:szCs w:val="32"/>
          <w:lang w:val="en-GB"/>
        </w:rPr>
      </w:pPr>
      <w:r w:rsidRPr="006D5C0B">
        <w:rPr>
          <w:rFonts w:ascii="Times New Roman" w:hAnsi="Times New Roman"/>
          <w:bCs/>
          <w:noProof/>
          <w:szCs w:val="32"/>
          <w:lang w:val="en-GB"/>
        </w:rPr>
        <w:t xml:space="preserve">SAFETY REGULATION OF FUSION FACILITIES </w:t>
      </w:r>
      <w:r>
        <w:rPr>
          <w:rFonts w:ascii="Times New Roman" w:hAnsi="Times New Roman"/>
          <w:bCs/>
          <w:noProof/>
          <w:szCs w:val="32"/>
          <w:lang w:val="en-GB"/>
        </w:rPr>
        <w:br/>
      </w:r>
      <w:r w:rsidRPr="006D5C0B">
        <w:rPr>
          <w:rFonts w:ascii="Times New Roman" w:hAnsi="Times New Roman"/>
          <w:bCs/>
          <w:noProof/>
          <w:szCs w:val="32"/>
          <w:lang w:val="en-GB"/>
        </w:rPr>
        <w:t>IN THE RUSSIAN FEDERATION</w:t>
      </w:r>
    </w:p>
    <w:p w14:paraId="06219C66" w14:textId="77777777" w:rsidR="00802381" w:rsidRPr="00F81411" w:rsidRDefault="00802381" w:rsidP="00477B19">
      <w:pPr>
        <w:pStyle w:val="Authornameandaffiliation"/>
        <w:jc w:val="both"/>
        <w:rPr>
          <w:lang w:val="en-GB"/>
        </w:rPr>
      </w:pPr>
    </w:p>
    <w:p w14:paraId="5279B8DD" w14:textId="7135D299" w:rsidR="003B5E0E" w:rsidRPr="006D5C0B" w:rsidRDefault="006D5C0B" w:rsidP="00477B19">
      <w:pPr>
        <w:pStyle w:val="Authornameandaffiliation"/>
        <w:ind w:left="0"/>
        <w:jc w:val="both"/>
      </w:pPr>
      <w:r w:rsidRPr="00195293">
        <w:rPr>
          <w:u w:val="single"/>
          <w:lang w:val="en-GB"/>
        </w:rPr>
        <w:t>M</w:t>
      </w:r>
      <w:r w:rsidR="00FF386F" w:rsidRPr="00195293">
        <w:rPr>
          <w:u w:val="single"/>
          <w:lang w:val="en-GB"/>
        </w:rPr>
        <w:t xml:space="preserve">. </w:t>
      </w:r>
      <w:r w:rsidRPr="00195293">
        <w:rPr>
          <w:u w:val="single"/>
          <w:lang w:val="en-GB"/>
        </w:rPr>
        <w:t>POLIANSKII</w:t>
      </w:r>
      <w:r w:rsidRPr="006D5C0B">
        <w:t xml:space="preserve">, </w:t>
      </w:r>
      <w:r w:rsidR="00195293">
        <w:t xml:space="preserve">A. KURYNDIN, </w:t>
      </w:r>
      <w:r w:rsidRPr="006D5C0B">
        <w:t>S. SINEGRIBOV,</w:t>
      </w:r>
      <w:r w:rsidR="00EF6B63">
        <w:t xml:space="preserve"> </w:t>
      </w:r>
      <w:r w:rsidRPr="006D5C0B">
        <w:t>A. KIRKIN, A. SMIRNOV</w:t>
      </w:r>
    </w:p>
    <w:p w14:paraId="22B5DEE3" w14:textId="31AF846E" w:rsidR="00FF386F" w:rsidRPr="00F81411" w:rsidRDefault="006D5C0B" w:rsidP="00477B19">
      <w:pPr>
        <w:pStyle w:val="Authornameandaffiliation"/>
        <w:ind w:left="0"/>
        <w:jc w:val="both"/>
        <w:rPr>
          <w:lang w:val="en-GB"/>
        </w:rPr>
      </w:pPr>
      <w:r w:rsidRPr="006D5C0B">
        <w:rPr>
          <w:lang w:val="en-GB"/>
        </w:rPr>
        <w:t>Scientific and Engineering Centre for Nuclear and Radiation Safety (SEC NRS)</w:t>
      </w:r>
    </w:p>
    <w:p w14:paraId="363473D2" w14:textId="1B6D8C34" w:rsidR="00FF386F" w:rsidRPr="00F81411" w:rsidRDefault="006D5C0B" w:rsidP="00477B19">
      <w:pPr>
        <w:pStyle w:val="Authornameandaffiliation"/>
        <w:ind w:left="0"/>
        <w:jc w:val="both"/>
        <w:rPr>
          <w:lang w:val="en-GB"/>
        </w:rPr>
      </w:pPr>
      <w:r w:rsidRPr="006D5C0B">
        <w:rPr>
          <w:lang w:val="en-GB"/>
        </w:rPr>
        <w:t>Moscow</w:t>
      </w:r>
      <w:r w:rsidR="00FF386F" w:rsidRPr="00F81411">
        <w:rPr>
          <w:lang w:val="en-GB"/>
        </w:rPr>
        <w:t xml:space="preserve">, </w:t>
      </w:r>
      <w:r w:rsidRPr="006D5C0B">
        <w:rPr>
          <w:lang w:val="en-GB"/>
        </w:rPr>
        <w:t>Russian Federation</w:t>
      </w:r>
    </w:p>
    <w:p w14:paraId="154C1276" w14:textId="27B49A3D" w:rsidR="00FF386F" w:rsidRPr="00F81411" w:rsidRDefault="00FF386F" w:rsidP="00477B19">
      <w:pPr>
        <w:pStyle w:val="Authornameandaffiliation"/>
        <w:ind w:left="0"/>
        <w:jc w:val="both"/>
        <w:rPr>
          <w:lang w:val="en-GB"/>
        </w:rPr>
      </w:pPr>
      <w:r w:rsidRPr="00F81411">
        <w:rPr>
          <w:lang w:val="en-GB"/>
        </w:rPr>
        <w:t xml:space="preserve">Email: </w:t>
      </w:r>
      <w:r w:rsidR="006D5C0B" w:rsidRPr="006D5C0B">
        <w:rPr>
          <w:lang w:val="en-GB"/>
        </w:rPr>
        <w:t>polyanskiy@secnrs.ru</w:t>
      </w:r>
    </w:p>
    <w:p w14:paraId="412431E2" w14:textId="77777777" w:rsidR="00FF386F" w:rsidRPr="00F81411" w:rsidRDefault="00FF386F" w:rsidP="00477B19">
      <w:pPr>
        <w:pStyle w:val="Authornameandaffiliation"/>
        <w:jc w:val="both"/>
        <w:rPr>
          <w:lang w:val="en-GB"/>
        </w:rPr>
      </w:pPr>
    </w:p>
    <w:p w14:paraId="249A7EB9" w14:textId="77777777" w:rsidR="00647F33" w:rsidRPr="00F81411" w:rsidRDefault="00647F33" w:rsidP="00477B19">
      <w:pPr>
        <w:suppressAutoHyphens/>
        <w:overflowPunct/>
        <w:autoSpaceDE/>
        <w:autoSpaceDN/>
        <w:adjustRightInd/>
        <w:spacing w:after="260"/>
        <w:jc w:val="both"/>
        <w:textAlignment w:val="auto"/>
        <w:rPr>
          <w:rFonts w:eastAsiaTheme="minorHAnsi"/>
          <w:b/>
          <w:sz w:val="20"/>
          <w:lang w:eastAsia="ar-SA"/>
        </w:rPr>
      </w:pPr>
      <w:r w:rsidRPr="00F81411">
        <w:rPr>
          <w:rFonts w:eastAsiaTheme="minorHAnsi"/>
          <w:b/>
          <w:sz w:val="20"/>
          <w:lang w:eastAsia="ar-SA"/>
        </w:rPr>
        <w:t>Abstract</w:t>
      </w:r>
    </w:p>
    <w:p w14:paraId="55FC4DF5" w14:textId="265BAD68" w:rsidR="00477B19" w:rsidRPr="00F81411" w:rsidRDefault="006D5C0B" w:rsidP="00446113">
      <w:pPr>
        <w:suppressAutoHyphens/>
        <w:overflowPunct/>
        <w:autoSpaceDE/>
        <w:autoSpaceDN/>
        <w:adjustRightInd/>
        <w:spacing w:after="240"/>
        <w:ind w:firstLine="567"/>
        <w:jc w:val="both"/>
        <w:textAlignment w:val="auto"/>
        <w:rPr>
          <w:rFonts w:eastAsiaTheme="minorHAnsi"/>
          <w:sz w:val="18"/>
          <w:szCs w:val="18"/>
          <w:lang w:eastAsia="ar-SA"/>
        </w:rPr>
      </w:pPr>
      <w:r w:rsidRPr="006D5C0B">
        <w:rPr>
          <w:rFonts w:eastAsiaTheme="minorHAnsi"/>
          <w:sz w:val="18"/>
          <w:szCs w:val="18"/>
          <w:lang w:eastAsia="ar-SA"/>
        </w:rPr>
        <w:t>The paper presents the latest developments in establishing a safety regulation framework for fusion facilities in the Russian Federation. This includes legislative amendments governing atomic energy use and the formulation of federal rules and regulations (FRRs) to ensure the safety of fusion facilities, as well as the protection of personnel, the public, and the environment from potential radiation hazards. These requirements will become legally binding during the design, safety justification, and operation of both future fusion facilities and existing installations classified as nuclear facilities. The</w:t>
      </w:r>
      <w:r w:rsidR="00195293">
        <w:rPr>
          <w:rFonts w:eastAsiaTheme="minorHAnsi"/>
          <w:sz w:val="18"/>
          <w:szCs w:val="18"/>
          <w:lang w:eastAsia="ar-SA"/>
        </w:rPr>
        <w:t> </w:t>
      </w:r>
      <w:r w:rsidRPr="006D5C0B">
        <w:rPr>
          <w:rFonts w:eastAsiaTheme="minorHAnsi"/>
          <w:sz w:val="18"/>
          <w:szCs w:val="18"/>
          <w:lang w:eastAsia="ar-SA"/>
        </w:rPr>
        <w:t>document also outlines proposed terminology, definitions, and a graded regulatory approach to impose additional safety standards on fusion and hybrid systems with elevated hazard potential.</w:t>
      </w:r>
    </w:p>
    <w:p w14:paraId="4D5544AB" w14:textId="2C652761" w:rsidR="002C0984" w:rsidRPr="002C0984" w:rsidRDefault="002C0984" w:rsidP="002C0984">
      <w:pPr>
        <w:overflowPunct/>
        <w:autoSpaceDE/>
        <w:autoSpaceDN/>
        <w:adjustRightInd/>
        <w:spacing w:after="260"/>
        <w:jc w:val="both"/>
        <w:textAlignment w:val="auto"/>
        <w:rPr>
          <w:rFonts w:eastAsiaTheme="minorHAnsi"/>
          <w:sz w:val="20"/>
          <w:lang w:val="en-US" w:eastAsia="ar-SA"/>
        </w:rPr>
      </w:pPr>
      <w:r w:rsidRPr="002C0984">
        <w:rPr>
          <w:rFonts w:eastAsiaTheme="minorHAnsi"/>
          <w:sz w:val="20"/>
          <w:lang w:val="en-US" w:eastAsia="ar-SA"/>
        </w:rPr>
        <w:t>At present, the issues of ensuring the safety of new types of nuclear installations, fusion and hybrid systems are not sufficiently regulated in the regulatory legal framework of the Russian Federation. Under Federal Law No.</w:t>
      </w:r>
      <w:r w:rsidR="00195293">
        <w:rPr>
          <w:rFonts w:eastAsiaTheme="minorHAnsi"/>
          <w:sz w:val="20"/>
          <w:lang w:val="en-US" w:eastAsia="ar-SA"/>
        </w:rPr>
        <w:t> </w:t>
      </w:r>
      <w:r w:rsidRPr="002C0984">
        <w:rPr>
          <w:rFonts w:eastAsiaTheme="minorHAnsi"/>
          <w:sz w:val="20"/>
          <w:lang w:val="en-US" w:eastAsia="ar-SA"/>
        </w:rPr>
        <w:t>170-FZ [1], regulated entities include nuclear installations (systems containing nuclear materials e.g., structures with reactors, critical/subcritical test facilities, reprocessing installations) and radiation sources (systems containing radioactive substances or generating ionizing radiation, independent of nuclear installations).</w:t>
      </w:r>
    </w:p>
    <w:p w14:paraId="5B382139" w14:textId="77777777" w:rsidR="002C0984" w:rsidRPr="002C0984" w:rsidRDefault="002C0984" w:rsidP="002C0984">
      <w:pPr>
        <w:overflowPunct/>
        <w:autoSpaceDE/>
        <w:autoSpaceDN/>
        <w:adjustRightInd/>
        <w:spacing w:after="260"/>
        <w:jc w:val="both"/>
        <w:textAlignment w:val="auto"/>
        <w:rPr>
          <w:rFonts w:eastAsiaTheme="minorHAnsi"/>
          <w:sz w:val="20"/>
          <w:lang w:val="en-US" w:eastAsia="ar-SA"/>
        </w:rPr>
      </w:pPr>
      <w:r w:rsidRPr="002C0984">
        <w:rPr>
          <w:rFonts w:eastAsiaTheme="minorHAnsi"/>
          <w:sz w:val="20"/>
          <w:lang w:val="en-US" w:eastAsia="ar-SA"/>
        </w:rPr>
        <w:t>Fusion reactors and facilities exhibit hazards analogous to conventional nuclear installations and radiation sources, such as ionizing radiation, radioactive waste generation, and atmospheric releases. Certain radiation characteristics of fusion facilities (FFs) may align with those of large-scale nuclear facilities. Unique risks associated with FFs include tritium accumulation in structural components, tritium/dust releases, electromagnet quench events (loss of superconductivity), cryogenic hazards, electromagnetic fields, and the use of toxic substances.</w:t>
      </w:r>
    </w:p>
    <w:p w14:paraId="135F5E07" w14:textId="77777777" w:rsidR="002C0984" w:rsidRPr="002C0984" w:rsidRDefault="002C0984" w:rsidP="002C0984">
      <w:pPr>
        <w:overflowPunct/>
        <w:autoSpaceDE/>
        <w:autoSpaceDN/>
        <w:adjustRightInd/>
        <w:spacing w:after="260"/>
        <w:jc w:val="both"/>
        <w:textAlignment w:val="auto"/>
        <w:rPr>
          <w:rFonts w:eastAsiaTheme="minorHAnsi"/>
          <w:sz w:val="20"/>
          <w:lang w:val="en-US" w:eastAsia="ar-SA"/>
        </w:rPr>
      </w:pPr>
      <w:r w:rsidRPr="002C0984">
        <w:rPr>
          <w:rFonts w:eastAsiaTheme="minorHAnsi"/>
          <w:sz w:val="20"/>
          <w:lang w:val="en-US" w:eastAsia="ar-SA"/>
        </w:rPr>
        <w:t xml:space="preserve">Analysis of the existing regulatory framework identified the optimal approach: integrating FFs into current nuclear facility classifications under Russian law and developing new FRRs tailored to fusion and hybrid systems. Legislative amendments are proposed to enable this integration. </w:t>
      </w:r>
    </w:p>
    <w:p w14:paraId="11F31B7B" w14:textId="2976504D" w:rsidR="00EE0041" w:rsidRDefault="002C0984" w:rsidP="002C0984">
      <w:pPr>
        <w:overflowPunct/>
        <w:autoSpaceDE/>
        <w:autoSpaceDN/>
        <w:adjustRightInd/>
        <w:spacing w:after="260"/>
        <w:jc w:val="both"/>
        <w:textAlignment w:val="auto"/>
        <w:rPr>
          <w:rFonts w:eastAsiaTheme="minorHAnsi"/>
          <w:sz w:val="20"/>
          <w:lang w:val="en-US" w:eastAsia="ar-SA"/>
        </w:rPr>
      </w:pPr>
      <w:r w:rsidRPr="002C0984">
        <w:rPr>
          <w:rFonts w:eastAsiaTheme="minorHAnsi"/>
          <w:sz w:val="20"/>
          <w:lang w:val="en-US" w:eastAsia="ar-SA"/>
        </w:rPr>
        <w:t>The cornerstone of this effort is the federal law “On Amendments to Article 3 of the Federal Law ‘On the Use of Atomic Energy’” [2], which was adopted [3] on 31 July 2025 with enactment on 1 January 2027. The Law [3] provides for the possibility to enable the classification of fusion facilities as either “nuclear installations” or “radiation sources”. High-intensity FFs, hybrid systems incorporating nuclear materials (e.g., blankets with fissile substances), as well as D-T FFs will qualify as “nuclear installations”. Experimental plasma devices with</w:t>
      </w:r>
      <w:r w:rsidRPr="002C0984">
        <w:rPr>
          <w:rFonts w:eastAsiaTheme="minorHAnsi"/>
          <w:sz w:val="20"/>
          <w:lang w:eastAsia="ar-SA"/>
        </w:rPr>
        <w:t xml:space="preserve"> </w:t>
      </w:r>
      <w:r w:rsidRPr="002C0984">
        <w:rPr>
          <w:rFonts w:eastAsiaTheme="minorHAnsi"/>
          <w:sz w:val="20"/>
          <w:lang w:val="en-US" w:eastAsia="ar-SA"/>
        </w:rPr>
        <w:t>low neutron intensity or a small amount of radioactive inventory will qualify as “radiation sources”.</w:t>
      </w:r>
    </w:p>
    <w:p w14:paraId="60403844" w14:textId="449D7624" w:rsidR="002C0984" w:rsidRPr="002C0984" w:rsidRDefault="002C0984" w:rsidP="002C0984">
      <w:pPr>
        <w:overflowPunct/>
        <w:autoSpaceDE/>
        <w:autoSpaceDN/>
        <w:adjustRightInd/>
        <w:spacing w:after="260"/>
        <w:jc w:val="both"/>
        <w:textAlignment w:val="auto"/>
        <w:rPr>
          <w:rFonts w:eastAsiaTheme="minorHAnsi"/>
          <w:sz w:val="20"/>
          <w:lang w:val="en-US" w:eastAsia="ar-SA"/>
        </w:rPr>
      </w:pPr>
      <w:r w:rsidRPr="002C0984">
        <w:rPr>
          <w:rFonts w:eastAsiaTheme="minorHAnsi"/>
          <w:sz w:val="20"/>
          <w:lang w:val="en-US" w:eastAsia="ar-SA"/>
        </w:rPr>
        <w:t>In accordance with the Law [3], the criteria for categorizing facilities and basic safety requirements should be established in the FRR. Proposals for four foundational FRRs are under development, including the “</w:t>
      </w:r>
      <w:r w:rsidR="00F04963" w:rsidRPr="00F04963">
        <w:rPr>
          <w:rFonts w:eastAsiaTheme="minorHAnsi"/>
          <w:sz w:val="20"/>
          <w:lang w:val="en-US" w:eastAsia="ar-SA"/>
        </w:rPr>
        <w:t>General Safety Provisions for Fusion Facilities</w:t>
      </w:r>
      <w:r w:rsidRPr="002C0984">
        <w:rPr>
          <w:rFonts w:eastAsiaTheme="minorHAnsi"/>
          <w:sz w:val="20"/>
          <w:lang w:val="en-US" w:eastAsia="ar-SA"/>
        </w:rPr>
        <w:t>” (G</w:t>
      </w:r>
      <w:r w:rsidR="00F04963">
        <w:rPr>
          <w:rFonts w:eastAsiaTheme="minorHAnsi"/>
          <w:sz w:val="20"/>
          <w:lang w:val="en-US" w:eastAsia="ar-SA"/>
        </w:rPr>
        <w:t>S</w:t>
      </w:r>
      <w:r w:rsidRPr="002C0984">
        <w:rPr>
          <w:rFonts w:eastAsiaTheme="minorHAnsi"/>
          <w:sz w:val="20"/>
          <w:lang w:val="en-US" w:eastAsia="ar-SA"/>
        </w:rPr>
        <w:t>P FF), which will establish the main most significant safety requirements. The requirements included in the draft of the first version of the G</w:t>
      </w:r>
      <w:r w:rsidR="00F04963">
        <w:rPr>
          <w:rFonts w:eastAsiaTheme="minorHAnsi"/>
          <w:sz w:val="20"/>
          <w:lang w:val="en-US" w:eastAsia="ar-SA"/>
        </w:rPr>
        <w:t>S</w:t>
      </w:r>
      <w:r w:rsidRPr="002C0984">
        <w:rPr>
          <w:rFonts w:eastAsiaTheme="minorHAnsi"/>
          <w:sz w:val="20"/>
          <w:lang w:val="en-US" w:eastAsia="ar-SA"/>
        </w:rPr>
        <w:t>P FF are rather technology neutral and have been developed on the basis of the requirements for other nuclear facilities:</w:t>
      </w:r>
    </w:p>
    <w:p w14:paraId="6335DA49" w14:textId="26C17E98" w:rsidR="002C0984" w:rsidRPr="00F81411" w:rsidRDefault="002C0984" w:rsidP="002C0984">
      <w:pPr>
        <w:pStyle w:val="ListEmdash"/>
        <w:numPr>
          <w:ilvl w:val="0"/>
          <w:numId w:val="20"/>
        </w:numPr>
        <w:ind w:left="360"/>
      </w:pPr>
      <w:r w:rsidRPr="002C0984">
        <w:t xml:space="preserve">nuclear power plants </w:t>
      </w:r>
      <w:r w:rsidR="00F75A5E">
        <w:rPr>
          <w:lang w:val="en-US"/>
        </w:rPr>
        <w:t>[4]</w:t>
      </w:r>
      <w:r w:rsidRPr="002C0984">
        <w:t>;</w:t>
      </w:r>
    </w:p>
    <w:p w14:paraId="3CE4F3D1" w14:textId="72F3FA2C" w:rsidR="002C0984" w:rsidRPr="00F81411" w:rsidRDefault="002C0984" w:rsidP="002C0984">
      <w:pPr>
        <w:pStyle w:val="a1"/>
        <w:numPr>
          <w:ilvl w:val="0"/>
          <w:numId w:val="20"/>
        </w:numPr>
        <w:ind w:left="360"/>
      </w:pPr>
      <w:r w:rsidRPr="002C0984">
        <w:t xml:space="preserve">nuclear research </w:t>
      </w:r>
      <w:r w:rsidR="00170D27">
        <w:t>reactors</w:t>
      </w:r>
      <w:r w:rsidR="00F75A5E">
        <w:t xml:space="preserve"> [5]</w:t>
      </w:r>
      <w:r w:rsidRPr="002C0984">
        <w:t>;</w:t>
      </w:r>
    </w:p>
    <w:p w14:paraId="35CD5699" w14:textId="68225D64" w:rsidR="002C0984" w:rsidRDefault="002C0984" w:rsidP="002C0984">
      <w:pPr>
        <w:pStyle w:val="a1"/>
        <w:numPr>
          <w:ilvl w:val="0"/>
          <w:numId w:val="20"/>
        </w:numPr>
        <w:ind w:left="360"/>
      </w:pPr>
      <w:r w:rsidRPr="002C0984">
        <w:t xml:space="preserve">radiation sources </w:t>
      </w:r>
      <w:r w:rsidR="00F75A5E">
        <w:t>[6]</w:t>
      </w:r>
      <w:r w:rsidRPr="00F81411">
        <w:t>.</w:t>
      </w:r>
    </w:p>
    <w:p w14:paraId="5E6617C7" w14:textId="77777777" w:rsidR="002C0984" w:rsidRPr="002C0984" w:rsidRDefault="002C0984" w:rsidP="002C0984">
      <w:pPr>
        <w:pStyle w:val="a1"/>
        <w:ind w:left="360" w:firstLine="0"/>
      </w:pPr>
    </w:p>
    <w:p w14:paraId="217FF9E2" w14:textId="67CA230F" w:rsidR="002C0984" w:rsidRDefault="002C0984" w:rsidP="002C0984">
      <w:pPr>
        <w:overflowPunct/>
        <w:autoSpaceDE/>
        <w:autoSpaceDN/>
        <w:adjustRightInd/>
        <w:spacing w:after="260"/>
        <w:jc w:val="both"/>
        <w:textAlignment w:val="auto"/>
        <w:rPr>
          <w:rFonts w:eastAsiaTheme="minorHAnsi"/>
          <w:sz w:val="20"/>
          <w:lang w:val="en-US" w:eastAsia="ar-SA"/>
        </w:rPr>
      </w:pPr>
      <w:r w:rsidRPr="002C0984">
        <w:rPr>
          <w:rFonts w:eastAsiaTheme="minorHAnsi"/>
          <w:sz w:val="20"/>
          <w:lang w:val="en-US" w:eastAsia="ar-SA"/>
        </w:rPr>
        <w:t>G</w:t>
      </w:r>
      <w:r w:rsidR="00F04963">
        <w:rPr>
          <w:rFonts w:eastAsiaTheme="minorHAnsi"/>
          <w:sz w:val="20"/>
          <w:lang w:val="en-US" w:eastAsia="ar-SA"/>
        </w:rPr>
        <w:t>S</w:t>
      </w:r>
      <w:r w:rsidRPr="002C0984">
        <w:rPr>
          <w:rFonts w:eastAsiaTheme="minorHAnsi"/>
          <w:sz w:val="20"/>
          <w:lang w:val="en-US" w:eastAsia="ar-SA"/>
        </w:rPr>
        <w:t>P FF establish requirements in terms of:</w:t>
      </w:r>
    </w:p>
    <w:p w14:paraId="6038481B" w14:textId="365CDA97" w:rsidR="001A0D66" w:rsidRPr="001A0D66" w:rsidRDefault="001A0D66" w:rsidP="001A0D66">
      <w:pPr>
        <w:pStyle w:val="ListEmdash"/>
        <w:numPr>
          <w:ilvl w:val="0"/>
          <w:numId w:val="20"/>
        </w:numPr>
        <w:ind w:left="360"/>
      </w:pPr>
      <w:r w:rsidRPr="002C0984">
        <w:rPr>
          <w:rFonts w:eastAsiaTheme="minorHAnsi"/>
          <w:lang w:val="en-US" w:eastAsia="ar-SA"/>
        </w:rPr>
        <w:t>basic safety criteria and principles realized in the design of the FF and its systems</w:t>
      </w:r>
      <w:r w:rsidRPr="002C0984">
        <w:t>;</w:t>
      </w:r>
      <w:r w:rsidRPr="002C0984">
        <w:rPr>
          <w:lang w:val="en-US"/>
        </w:rPr>
        <w:t xml:space="preserve"> </w:t>
      </w:r>
    </w:p>
    <w:p w14:paraId="7891D781" w14:textId="6C634CDC" w:rsidR="002C0984" w:rsidRPr="001A0D66" w:rsidRDefault="002C0984" w:rsidP="001A0D66">
      <w:pPr>
        <w:pStyle w:val="ListEmdash"/>
        <w:numPr>
          <w:ilvl w:val="0"/>
          <w:numId w:val="20"/>
        </w:numPr>
        <w:ind w:left="360"/>
      </w:pPr>
      <w:r w:rsidRPr="001A0D66">
        <w:rPr>
          <w:rFonts w:eastAsiaTheme="minorHAnsi"/>
          <w:lang w:val="en-US" w:eastAsia="ar-SA"/>
        </w:rPr>
        <w:lastRenderedPageBreak/>
        <w:t>compliance with the established limits of radiation doses to personnel and the public, norms of releases and discharges of radioactive substances during normal operation and abnormal operation, including design basis accidents;</w:t>
      </w:r>
    </w:p>
    <w:p w14:paraId="0E05777D" w14:textId="2B9B48DE" w:rsidR="002C0984" w:rsidRPr="001A0D66" w:rsidRDefault="002C0984" w:rsidP="001A0D66">
      <w:pPr>
        <w:pStyle w:val="ListEmdash"/>
        <w:numPr>
          <w:ilvl w:val="0"/>
          <w:numId w:val="20"/>
        </w:numPr>
        <w:ind w:left="360"/>
      </w:pPr>
      <w:r w:rsidRPr="001A0D66">
        <w:rPr>
          <w:rFonts w:eastAsiaTheme="minorHAnsi"/>
          <w:lang w:val="en-US" w:eastAsia="ar-SA"/>
        </w:rPr>
        <w:t>limitation of radiation impact on personnel, population and environment in case of beyond design basis accidents;</w:t>
      </w:r>
    </w:p>
    <w:p w14:paraId="02C5A133" w14:textId="774CCD2B" w:rsidR="002C0984" w:rsidRPr="001A0D66" w:rsidRDefault="002C0984" w:rsidP="001A0D66">
      <w:pPr>
        <w:pStyle w:val="ListEmdash"/>
        <w:numPr>
          <w:ilvl w:val="0"/>
          <w:numId w:val="20"/>
        </w:numPr>
        <w:ind w:left="360"/>
      </w:pPr>
      <w:r w:rsidRPr="001A0D66">
        <w:rPr>
          <w:rFonts w:eastAsiaTheme="minorHAnsi"/>
          <w:lang w:val="en-US" w:eastAsia="ar-SA"/>
        </w:rPr>
        <w:t>ensuring the required quality of systems (elements) and work performed;</w:t>
      </w:r>
    </w:p>
    <w:p w14:paraId="72C5CA23" w14:textId="2101C7F5" w:rsidR="002C0984" w:rsidRPr="001A0D66" w:rsidRDefault="002C0984" w:rsidP="001A0D66">
      <w:pPr>
        <w:pStyle w:val="ListEmdash"/>
        <w:numPr>
          <w:ilvl w:val="0"/>
          <w:numId w:val="20"/>
        </w:numPr>
        <w:ind w:left="360"/>
      </w:pPr>
      <w:r w:rsidRPr="001A0D66">
        <w:rPr>
          <w:rFonts w:eastAsiaTheme="minorHAnsi"/>
          <w:lang w:val="en-US" w:eastAsia="ar-SA"/>
        </w:rPr>
        <w:t>conducting safety analyses;</w:t>
      </w:r>
    </w:p>
    <w:p w14:paraId="28E88BCB" w14:textId="7111F375" w:rsidR="002C0984" w:rsidRPr="001A0D66" w:rsidRDefault="002C0984" w:rsidP="001A0D66">
      <w:pPr>
        <w:pStyle w:val="ListEmdash"/>
        <w:numPr>
          <w:ilvl w:val="0"/>
          <w:numId w:val="20"/>
        </w:numPr>
        <w:ind w:left="360"/>
      </w:pPr>
      <w:r w:rsidRPr="001A0D66">
        <w:rPr>
          <w:rFonts w:eastAsiaTheme="minorHAnsi"/>
          <w:lang w:val="en-US" w:eastAsia="ar-SA"/>
        </w:rPr>
        <w:t>the scope of justification and operational documentation;</w:t>
      </w:r>
    </w:p>
    <w:p w14:paraId="7C47A483" w14:textId="2428FA78" w:rsidR="002C0984" w:rsidRPr="001A0D66" w:rsidRDefault="002C0984" w:rsidP="001A0D66">
      <w:pPr>
        <w:pStyle w:val="ListEmdash"/>
        <w:numPr>
          <w:ilvl w:val="0"/>
          <w:numId w:val="20"/>
        </w:numPr>
        <w:ind w:left="360"/>
      </w:pPr>
      <w:r w:rsidRPr="001A0D66">
        <w:rPr>
          <w:rFonts w:eastAsiaTheme="minorHAnsi"/>
          <w:lang w:val="en-US" w:eastAsia="ar-SA"/>
        </w:rPr>
        <w:t>measures to protect personnel and the public, and instructions in case of accidents;</w:t>
      </w:r>
    </w:p>
    <w:p w14:paraId="637F3784" w14:textId="40A857F6" w:rsidR="002C0984" w:rsidRPr="001A0D66" w:rsidRDefault="002C0984" w:rsidP="001A0D66">
      <w:pPr>
        <w:pStyle w:val="ListEmdash"/>
        <w:numPr>
          <w:ilvl w:val="0"/>
          <w:numId w:val="20"/>
        </w:numPr>
        <w:ind w:left="360"/>
      </w:pPr>
      <w:r w:rsidRPr="001A0D66">
        <w:rPr>
          <w:rFonts w:eastAsiaTheme="minorHAnsi"/>
          <w:lang w:val="en-US" w:eastAsia="ar-SA"/>
        </w:rPr>
        <w:t>commissioning and decommissioning of FF;</w:t>
      </w:r>
    </w:p>
    <w:p w14:paraId="22819B98" w14:textId="1F374008" w:rsidR="002C0984" w:rsidRPr="001A0D66" w:rsidRDefault="002C0984" w:rsidP="001A0D66">
      <w:pPr>
        <w:pStyle w:val="ListEmdash"/>
        <w:numPr>
          <w:ilvl w:val="0"/>
          <w:numId w:val="20"/>
        </w:numPr>
        <w:ind w:left="360"/>
      </w:pPr>
      <w:r w:rsidRPr="001A0D66">
        <w:rPr>
          <w:rFonts w:eastAsiaTheme="minorHAnsi"/>
          <w:lang w:val="en-US" w:eastAsia="ar-SA"/>
        </w:rPr>
        <w:t>management of technological processes.</w:t>
      </w:r>
    </w:p>
    <w:p w14:paraId="25A04435" w14:textId="77777777" w:rsidR="001A0D66" w:rsidRPr="001A0D66" w:rsidRDefault="001A0D66" w:rsidP="001A0D66">
      <w:pPr>
        <w:pStyle w:val="ListEmdash"/>
      </w:pPr>
    </w:p>
    <w:p w14:paraId="613AEB7C" w14:textId="50AFEA70" w:rsidR="002C0984" w:rsidRPr="002C0984" w:rsidRDefault="002C0984" w:rsidP="002C0984">
      <w:pPr>
        <w:overflowPunct/>
        <w:autoSpaceDE/>
        <w:autoSpaceDN/>
        <w:adjustRightInd/>
        <w:spacing w:after="260"/>
        <w:jc w:val="both"/>
        <w:textAlignment w:val="auto"/>
        <w:rPr>
          <w:rFonts w:eastAsiaTheme="minorHAnsi"/>
          <w:sz w:val="20"/>
          <w:lang w:val="en-US" w:eastAsia="ar-SA"/>
        </w:rPr>
      </w:pPr>
      <w:r w:rsidRPr="002C0984">
        <w:rPr>
          <w:rFonts w:eastAsiaTheme="minorHAnsi"/>
          <w:sz w:val="20"/>
          <w:lang w:val="en-US" w:eastAsia="ar-SA"/>
        </w:rPr>
        <w:t>As outlined in the draft G</w:t>
      </w:r>
      <w:r w:rsidR="00F04963">
        <w:rPr>
          <w:rFonts w:eastAsiaTheme="minorHAnsi"/>
          <w:sz w:val="20"/>
          <w:lang w:val="en-US" w:eastAsia="ar-SA"/>
        </w:rPr>
        <w:t>S</w:t>
      </w:r>
      <w:r w:rsidRPr="002C0984">
        <w:rPr>
          <w:rFonts w:eastAsiaTheme="minorHAnsi"/>
          <w:sz w:val="20"/>
          <w:lang w:val="en-US" w:eastAsia="ar-SA"/>
        </w:rPr>
        <w:t>P FF, the core design principle is the application of defense in depth (</w:t>
      </w:r>
      <w:proofErr w:type="spellStart"/>
      <w:r w:rsidRPr="002C0984">
        <w:rPr>
          <w:rFonts w:eastAsiaTheme="minorHAnsi"/>
          <w:sz w:val="20"/>
          <w:lang w:val="en-US" w:eastAsia="ar-SA"/>
        </w:rPr>
        <w:t>DiD</w:t>
      </w:r>
      <w:proofErr w:type="spellEnd"/>
      <w:r w:rsidRPr="002C0984">
        <w:rPr>
          <w:rFonts w:eastAsiaTheme="minorHAnsi"/>
          <w:sz w:val="20"/>
          <w:lang w:val="en-US" w:eastAsia="ar-SA"/>
        </w:rPr>
        <w:t xml:space="preserve">). This approach establishes </w:t>
      </w:r>
      <w:proofErr w:type="spellStart"/>
      <w:r w:rsidRPr="002C0984">
        <w:rPr>
          <w:rFonts w:eastAsiaTheme="minorHAnsi"/>
          <w:sz w:val="20"/>
          <w:lang w:val="en-US" w:eastAsia="ar-SA"/>
        </w:rPr>
        <w:t>DiD</w:t>
      </w:r>
      <w:proofErr w:type="spellEnd"/>
      <w:r w:rsidRPr="002C0984">
        <w:rPr>
          <w:rFonts w:eastAsiaTheme="minorHAnsi"/>
          <w:sz w:val="20"/>
          <w:lang w:val="en-US" w:eastAsia="ar-SA"/>
        </w:rPr>
        <w:t xml:space="preserve"> levels, sets requirements for physical barriers to prevent the release of radioactive substances and ionizing radiation, and specifies necessary technical and organizational measures to ensure these barriers remain effective.</w:t>
      </w:r>
    </w:p>
    <w:p w14:paraId="2C68E903" w14:textId="07C1AB6C" w:rsidR="002C0984" w:rsidRPr="002C0984" w:rsidRDefault="002C0984" w:rsidP="002C0984">
      <w:pPr>
        <w:overflowPunct/>
        <w:autoSpaceDE/>
        <w:autoSpaceDN/>
        <w:adjustRightInd/>
        <w:spacing w:after="260"/>
        <w:jc w:val="both"/>
        <w:textAlignment w:val="auto"/>
        <w:rPr>
          <w:rFonts w:eastAsiaTheme="minorHAnsi"/>
          <w:sz w:val="20"/>
          <w:lang w:val="en-US" w:eastAsia="ar-SA"/>
        </w:rPr>
      </w:pPr>
      <w:r w:rsidRPr="002C0984">
        <w:rPr>
          <w:rFonts w:eastAsiaTheme="minorHAnsi"/>
          <w:sz w:val="20"/>
          <w:lang w:val="en-US" w:eastAsia="ar-SA"/>
        </w:rPr>
        <w:t>The G</w:t>
      </w:r>
      <w:r w:rsidR="00F04963">
        <w:rPr>
          <w:rFonts w:eastAsiaTheme="minorHAnsi"/>
          <w:sz w:val="20"/>
          <w:lang w:val="en-US" w:eastAsia="ar-SA"/>
        </w:rPr>
        <w:t>S</w:t>
      </w:r>
      <w:r w:rsidRPr="002C0984">
        <w:rPr>
          <w:rFonts w:eastAsiaTheme="minorHAnsi"/>
          <w:sz w:val="20"/>
          <w:lang w:val="en-US" w:eastAsia="ar-SA"/>
        </w:rPr>
        <w:t>P FF introduces a graded approach to regulating FF safety, based on hazard factors and risk levels associated with FF characteristics, as well as the use of different technologies, materials, and substances. Additional safety requirements will be specified in FF safety data sheets for facilities where the following activities are planned:</w:t>
      </w:r>
    </w:p>
    <w:p w14:paraId="714A68D6" w14:textId="6FA31E24" w:rsidR="001A0D66" w:rsidRDefault="001A0D66" w:rsidP="001A0D66">
      <w:pPr>
        <w:pStyle w:val="ListEmdash"/>
        <w:numPr>
          <w:ilvl w:val="0"/>
          <w:numId w:val="20"/>
        </w:numPr>
        <w:ind w:left="360"/>
        <w:rPr>
          <w:rFonts w:eastAsiaTheme="minorHAnsi"/>
          <w:lang w:val="en-US" w:eastAsia="ar-SA"/>
        </w:rPr>
      </w:pPr>
      <w:r w:rsidRPr="002C0984">
        <w:rPr>
          <w:rFonts w:eastAsiaTheme="minorHAnsi"/>
          <w:lang w:val="en-US" w:eastAsia="ar-SA"/>
        </w:rPr>
        <w:t>use of nuclear materials (e.g., in hybrid FF blanket</w:t>
      </w:r>
      <w:bookmarkStart w:id="0" w:name="_GoBack"/>
      <w:bookmarkEnd w:id="0"/>
      <w:r w:rsidRPr="002C0984">
        <w:rPr>
          <w:rFonts w:eastAsiaTheme="minorHAnsi"/>
          <w:lang w:val="en-US" w:eastAsia="ar-SA"/>
        </w:rPr>
        <w:t>s) – due to the risk of criticality events</w:t>
      </w:r>
      <w:r w:rsidRPr="001A0D66">
        <w:rPr>
          <w:rFonts w:eastAsiaTheme="minorHAnsi"/>
          <w:lang w:val="en-US" w:eastAsia="ar-SA"/>
        </w:rPr>
        <w:t>;</w:t>
      </w:r>
    </w:p>
    <w:p w14:paraId="0F0D8787" w14:textId="63D27379" w:rsidR="002C0984" w:rsidRDefault="002C0984" w:rsidP="001A0D66">
      <w:pPr>
        <w:pStyle w:val="ListEmdash"/>
        <w:numPr>
          <w:ilvl w:val="0"/>
          <w:numId w:val="20"/>
        </w:numPr>
        <w:ind w:left="360"/>
        <w:rPr>
          <w:rFonts w:eastAsiaTheme="minorHAnsi"/>
          <w:lang w:val="en-US" w:eastAsia="ar-SA"/>
        </w:rPr>
      </w:pPr>
      <w:r w:rsidRPr="001A0D66">
        <w:rPr>
          <w:rFonts w:eastAsiaTheme="minorHAnsi"/>
          <w:lang w:val="en-US" w:eastAsia="ar-SA"/>
        </w:rPr>
        <w:t>operation of high-intensity fusion devices – leading to continuous neutron irradiation of structural materials, significant activated dust generation, and accelerated degradation of systems and components due to damaging factors (ionizing radiation, high heat fluxes, flooding, electromagnetic radiation, etc.);</w:t>
      </w:r>
    </w:p>
    <w:p w14:paraId="15150270" w14:textId="12782CF2" w:rsidR="002C0984" w:rsidRDefault="002C0984" w:rsidP="001A0D66">
      <w:pPr>
        <w:pStyle w:val="ListEmdash"/>
        <w:numPr>
          <w:ilvl w:val="0"/>
          <w:numId w:val="20"/>
        </w:numPr>
        <w:ind w:left="360"/>
        <w:rPr>
          <w:rFonts w:eastAsiaTheme="minorHAnsi"/>
          <w:lang w:val="en-US" w:eastAsia="ar-SA"/>
        </w:rPr>
      </w:pPr>
      <w:r w:rsidRPr="001A0D66">
        <w:rPr>
          <w:rFonts w:eastAsiaTheme="minorHAnsi"/>
          <w:lang w:val="en-US" w:eastAsia="ar-SA"/>
        </w:rPr>
        <w:t>use of tritium and/or other special non-nuclear materials for tritium production – requiring strict inventory control and accounting, given tritium’s high permeability and the potential formation of tritiated water and organic tritium compounds.</w:t>
      </w:r>
    </w:p>
    <w:p w14:paraId="276108BF" w14:textId="77777777" w:rsidR="001A0D66" w:rsidRPr="001A0D66" w:rsidRDefault="001A0D66" w:rsidP="001A0D66">
      <w:pPr>
        <w:pStyle w:val="ListEmdash"/>
        <w:rPr>
          <w:rFonts w:eastAsiaTheme="minorHAnsi"/>
          <w:lang w:val="en-US" w:eastAsia="ar-SA"/>
        </w:rPr>
      </w:pPr>
    </w:p>
    <w:p w14:paraId="31F52851" w14:textId="2F4542C9" w:rsidR="00E24E97" w:rsidRPr="0027376F" w:rsidRDefault="00321882" w:rsidP="002C0984">
      <w:pPr>
        <w:overflowPunct/>
        <w:autoSpaceDE/>
        <w:autoSpaceDN/>
        <w:adjustRightInd/>
        <w:spacing w:after="260"/>
        <w:jc w:val="both"/>
        <w:textAlignment w:val="auto"/>
        <w:rPr>
          <w:rFonts w:eastAsiaTheme="minorHAnsi"/>
          <w:sz w:val="20"/>
          <w:lang w:val="en-US" w:eastAsia="ar-SA"/>
        </w:rPr>
      </w:pPr>
      <w:r w:rsidRPr="00321882">
        <w:rPr>
          <w:rFonts w:eastAsiaTheme="minorHAnsi"/>
          <w:sz w:val="20"/>
          <w:lang w:val="en-US" w:eastAsia="ar-SA"/>
        </w:rPr>
        <w:t xml:space="preserve">For implementation </w:t>
      </w:r>
      <w:r>
        <w:rPr>
          <w:rFonts w:eastAsiaTheme="minorHAnsi"/>
          <w:sz w:val="20"/>
          <w:lang w:val="en-US" w:eastAsia="ar-SA"/>
        </w:rPr>
        <w:t>of the</w:t>
      </w:r>
      <w:r w:rsidR="000C7D66">
        <w:rPr>
          <w:rFonts w:eastAsiaTheme="minorHAnsi"/>
          <w:sz w:val="20"/>
          <w:lang w:val="en-US" w:eastAsia="ar-SA"/>
        </w:rPr>
        <w:t xml:space="preserve"> </w:t>
      </w:r>
      <w:r w:rsidR="000C7D66" w:rsidRPr="002C0984">
        <w:rPr>
          <w:rFonts w:eastAsiaTheme="minorHAnsi"/>
          <w:sz w:val="20"/>
          <w:lang w:val="en-US" w:eastAsia="ar-SA"/>
        </w:rPr>
        <w:t>graded approach to regulating FF safety</w:t>
      </w:r>
      <w:r w:rsidR="00E24E97" w:rsidRPr="00E24E97">
        <w:rPr>
          <w:rFonts w:eastAsiaTheme="minorHAnsi"/>
          <w:sz w:val="20"/>
          <w:lang w:val="en-US" w:eastAsia="ar-SA"/>
        </w:rPr>
        <w:t xml:space="preserve"> </w:t>
      </w:r>
      <w:r w:rsidR="00360671" w:rsidRPr="00360671">
        <w:rPr>
          <w:rFonts w:eastAsiaTheme="minorHAnsi"/>
          <w:sz w:val="20"/>
          <w:lang w:val="en-US" w:eastAsia="ar-SA"/>
        </w:rPr>
        <w:t>it is planned to use the classification</w:t>
      </w:r>
      <w:r>
        <w:rPr>
          <w:rFonts w:eastAsiaTheme="minorHAnsi"/>
          <w:sz w:val="20"/>
          <w:lang w:val="en-US" w:eastAsia="ar-SA"/>
        </w:rPr>
        <w:t>, which</w:t>
      </w:r>
      <w:r w:rsidRPr="00321882">
        <w:rPr>
          <w:rFonts w:eastAsiaTheme="minorHAnsi"/>
          <w:sz w:val="20"/>
          <w:lang w:val="en-US" w:eastAsia="ar-SA"/>
        </w:rPr>
        <w:t xml:space="preserve"> </w:t>
      </w:r>
      <w:r w:rsidR="00E24E97">
        <w:rPr>
          <w:rFonts w:eastAsiaTheme="minorHAnsi"/>
          <w:sz w:val="20"/>
          <w:lang w:eastAsia="ar-SA"/>
        </w:rPr>
        <w:t>can be seen below Fig. 1</w:t>
      </w:r>
      <w:r w:rsidR="000C7D66">
        <w:rPr>
          <w:rFonts w:eastAsiaTheme="minorHAnsi"/>
          <w:sz w:val="20"/>
          <w:lang w:val="en-US" w:eastAsia="ar-SA"/>
        </w:rPr>
        <w:t xml:space="preserve"> and </w:t>
      </w:r>
      <w:r w:rsidR="00E24E97">
        <w:rPr>
          <w:rFonts w:eastAsiaTheme="minorHAnsi"/>
          <w:sz w:val="20"/>
          <w:lang w:val="en-US" w:eastAsia="ar-SA"/>
        </w:rPr>
        <w:t>2.</w:t>
      </w:r>
      <w:r w:rsidR="0027376F" w:rsidRPr="0027376F">
        <w:rPr>
          <w:rFonts w:eastAsiaTheme="minorHAnsi"/>
          <w:sz w:val="20"/>
          <w:lang w:val="en-US" w:eastAsia="ar-SA"/>
        </w:rPr>
        <w:t xml:space="preserve"> Regulation of the safety of </w:t>
      </w:r>
      <w:r w:rsidR="0027376F">
        <w:rPr>
          <w:rFonts w:eastAsiaTheme="minorHAnsi"/>
          <w:sz w:val="20"/>
          <w:lang w:val="en-US" w:eastAsia="ar-SA"/>
        </w:rPr>
        <w:t>FFs</w:t>
      </w:r>
      <w:r w:rsidR="0027376F" w:rsidRPr="0027376F">
        <w:rPr>
          <w:rFonts w:eastAsiaTheme="minorHAnsi"/>
          <w:sz w:val="20"/>
          <w:lang w:val="en-US" w:eastAsia="ar-SA"/>
        </w:rPr>
        <w:t xml:space="preserve"> that do not meet the criteria set out in the </w:t>
      </w:r>
      <w:r w:rsidR="00153B3F">
        <w:rPr>
          <w:rFonts w:eastAsiaTheme="minorHAnsi"/>
          <w:sz w:val="20"/>
          <w:lang w:val="en-US" w:eastAsia="ar-SA"/>
        </w:rPr>
        <w:t>G</w:t>
      </w:r>
      <w:r w:rsidR="00F04963">
        <w:rPr>
          <w:rFonts w:eastAsiaTheme="minorHAnsi"/>
          <w:sz w:val="20"/>
          <w:lang w:val="en-US" w:eastAsia="ar-SA"/>
        </w:rPr>
        <w:t>S</w:t>
      </w:r>
      <w:r w:rsidR="00153B3F">
        <w:rPr>
          <w:rFonts w:eastAsiaTheme="minorHAnsi"/>
          <w:sz w:val="20"/>
          <w:lang w:val="en-US" w:eastAsia="ar-SA"/>
        </w:rPr>
        <w:t>P FF</w:t>
      </w:r>
      <w:r w:rsidR="0027376F" w:rsidRPr="0027376F">
        <w:rPr>
          <w:rFonts w:eastAsiaTheme="minorHAnsi"/>
          <w:sz w:val="20"/>
          <w:lang w:val="en-US" w:eastAsia="ar-SA"/>
        </w:rPr>
        <w:t xml:space="preserve"> is carried out in accordance with the provisions of Federal Law </w:t>
      </w:r>
      <w:r w:rsidR="001F5CCF">
        <w:rPr>
          <w:rFonts w:eastAsiaTheme="minorHAnsi"/>
          <w:sz w:val="20"/>
          <w:lang w:val="en-US" w:eastAsia="ar-SA"/>
        </w:rPr>
        <w:t>No.</w:t>
      </w:r>
      <w:r w:rsidR="0027376F" w:rsidRPr="0027376F">
        <w:rPr>
          <w:rFonts w:eastAsiaTheme="minorHAnsi"/>
          <w:sz w:val="20"/>
          <w:lang w:val="en-US" w:eastAsia="ar-SA"/>
        </w:rPr>
        <w:t xml:space="preserve"> 99-FZ</w:t>
      </w:r>
      <w:r w:rsidR="00B212F4">
        <w:rPr>
          <w:rFonts w:eastAsiaTheme="minorHAnsi"/>
          <w:sz w:val="20"/>
          <w:lang w:val="en-US" w:eastAsia="ar-SA"/>
        </w:rPr>
        <w:t xml:space="preserve"> [</w:t>
      </w:r>
      <w:r w:rsidR="00F75A5E">
        <w:rPr>
          <w:rFonts w:eastAsiaTheme="minorHAnsi"/>
          <w:sz w:val="20"/>
          <w:lang w:val="en-US" w:eastAsia="ar-SA"/>
        </w:rPr>
        <w:t>7</w:t>
      </w:r>
      <w:r w:rsidR="00B212F4">
        <w:rPr>
          <w:rFonts w:eastAsiaTheme="minorHAnsi"/>
          <w:sz w:val="20"/>
          <w:lang w:val="en-US" w:eastAsia="ar-SA"/>
        </w:rPr>
        <w:t>]</w:t>
      </w:r>
      <w:r w:rsidR="0027376F" w:rsidRPr="0027376F">
        <w:rPr>
          <w:rFonts w:eastAsiaTheme="minorHAnsi"/>
          <w:sz w:val="20"/>
          <w:lang w:val="en-US" w:eastAsia="ar-SA"/>
        </w:rPr>
        <w:t>.</w:t>
      </w:r>
    </w:p>
    <w:p w14:paraId="1BBA3AF5" w14:textId="3351007B" w:rsidR="00E24E97" w:rsidRDefault="00E24E97" w:rsidP="00E24E97">
      <w:pPr>
        <w:overflowPunct/>
        <w:autoSpaceDE/>
        <w:adjustRightInd/>
        <w:jc w:val="center"/>
        <w:rPr>
          <w:rFonts w:eastAsiaTheme="minorHAnsi"/>
          <w:sz w:val="20"/>
          <w:lang w:eastAsia="ar-SA"/>
        </w:rPr>
      </w:pPr>
      <w:r w:rsidRPr="00E24E97">
        <w:rPr>
          <w:rFonts w:eastAsiaTheme="minorHAnsi"/>
          <w:noProof/>
          <w:sz w:val="20"/>
          <w:lang w:eastAsia="ar-SA"/>
        </w:rPr>
        <w:drawing>
          <wp:inline distT="0" distB="0" distL="0" distR="0" wp14:anchorId="458C3FD5" wp14:editId="3BE7D74B">
            <wp:extent cx="5732145" cy="227139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2271395"/>
                    </a:xfrm>
                    <a:prstGeom prst="rect">
                      <a:avLst/>
                    </a:prstGeom>
                  </pic:spPr>
                </pic:pic>
              </a:graphicData>
            </a:graphic>
          </wp:inline>
        </w:drawing>
      </w:r>
    </w:p>
    <w:p w14:paraId="5274786F" w14:textId="1AD91B2C" w:rsidR="00E24E97" w:rsidRDefault="00E24E97" w:rsidP="00E24E97">
      <w:pPr>
        <w:pStyle w:val="a7"/>
        <w:spacing w:before="240" w:after="480"/>
        <w:jc w:val="center"/>
        <w:rPr>
          <w:i/>
          <w:sz w:val="20"/>
          <w:lang w:val="en-GB"/>
        </w:rPr>
      </w:pPr>
      <w:r>
        <w:rPr>
          <w:bCs w:val="0"/>
          <w:i/>
          <w:szCs w:val="18"/>
          <w:lang w:val="en-GB"/>
        </w:rPr>
        <w:t xml:space="preserve">FIG. </w:t>
      </w:r>
      <w:r>
        <w:rPr>
          <w:bCs w:val="0"/>
          <w:i/>
          <w:szCs w:val="18"/>
          <w:lang w:val="en-GB"/>
        </w:rPr>
        <w:fldChar w:fldCharType="begin"/>
      </w:r>
      <w:r>
        <w:rPr>
          <w:bCs w:val="0"/>
          <w:i/>
          <w:szCs w:val="18"/>
          <w:lang w:val="en-GB"/>
        </w:rPr>
        <w:instrText xml:space="preserve"> SEQ Figure \* ARABIC </w:instrText>
      </w:r>
      <w:r>
        <w:rPr>
          <w:bCs w:val="0"/>
          <w:i/>
          <w:szCs w:val="18"/>
          <w:lang w:val="en-GB"/>
        </w:rPr>
        <w:fldChar w:fldCharType="separate"/>
      </w:r>
      <w:r w:rsidR="00EF2FEF">
        <w:rPr>
          <w:bCs w:val="0"/>
          <w:i/>
          <w:noProof/>
          <w:szCs w:val="18"/>
          <w:lang w:val="en-GB"/>
        </w:rPr>
        <w:t>1</w:t>
      </w:r>
      <w:r>
        <w:rPr>
          <w:bCs w:val="0"/>
          <w:i/>
          <w:szCs w:val="18"/>
          <w:lang w:val="en-GB"/>
        </w:rPr>
        <w:fldChar w:fldCharType="end"/>
      </w:r>
      <w:r>
        <w:rPr>
          <w:bCs w:val="0"/>
          <w:i/>
          <w:szCs w:val="18"/>
          <w:lang w:val="en-GB"/>
        </w:rPr>
        <w:t xml:space="preserve">. </w:t>
      </w:r>
      <w:r w:rsidRPr="00E24E97">
        <w:rPr>
          <w:bCs w:val="0"/>
          <w:i/>
          <w:szCs w:val="18"/>
          <w:lang w:val="en-GB"/>
        </w:rPr>
        <w:t>Criteria on Neutron Intensity</w:t>
      </w:r>
      <w:r>
        <w:rPr>
          <w:i/>
          <w:lang w:val="en-GB"/>
        </w:rPr>
        <w:t>.</w:t>
      </w:r>
    </w:p>
    <w:p w14:paraId="61DD57C2" w14:textId="1B37F324" w:rsidR="00E24E97" w:rsidRDefault="00CC1562" w:rsidP="00E24E97">
      <w:pPr>
        <w:overflowPunct/>
        <w:autoSpaceDE/>
        <w:adjustRightInd/>
        <w:jc w:val="center"/>
        <w:rPr>
          <w:rFonts w:eastAsiaTheme="minorHAnsi"/>
          <w:sz w:val="20"/>
          <w:lang w:eastAsia="ar-SA"/>
        </w:rPr>
      </w:pPr>
      <w:r w:rsidRPr="00CC1562">
        <w:rPr>
          <w:rFonts w:eastAsiaTheme="minorHAnsi"/>
          <w:noProof/>
          <w:sz w:val="20"/>
          <w:lang w:eastAsia="ar-SA"/>
        </w:rPr>
        <w:lastRenderedPageBreak/>
        <w:drawing>
          <wp:inline distT="0" distB="0" distL="0" distR="0" wp14:anchorId="06C2152F" wp14:editId="382FC226">
            <wp:extent cx="5732145" cy="2642870"/>
            <wp:effectExtent l="0" t="0" r="190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2642870"/>
                    </a:xfrm>
                    <a:prstGeom prst="rect">
                      <a:avLst/>
                    </a:prstGeom>
                  </pic:spPr>
                </pic:pic>
              </a:graphicData>
            </a:graphic>
          </wp:inline>
        </w:drawing>
      </w:r>
    </w:p>
    <w:p w14:paraId="037C8718" w14:textId="413666EB" w:rsidR="00E24E97" w:rsidRDefault="00E24E97" w:rsidP="00E24E97">
      <w:pPr>
        <w:pStyle w:val="a7"/>
        <w:spacing w:before="240" w:after="480"/>
        <w:jc w:val="center"/>
        <w:rPr>
          <w:i/>
          <w:sz w:val="20"/>
          <w:lang w:val="en-GB"/>
        </w:rPr>
      </w:pPr>
      <w:r>
        <w:rPr>
          <w:bCs w:val="0"/>
          <w:i/>
          <w:szCs w:val="18"/>
          <w:lang w:val="en-GB"/>
        </w:rPr>
        <w:t xml:space="preserve">FIG. </w:t>
      </w:r>
      <w:r w:rsidRPr="00E24E97">
        <w:rPr>
          <w:bCs w:val="0"/>
          <w:i/>
          <w:szCs w:val="18"/>
        </w:rPr>
        <w:t>2</w:t>
      </w:r>
      <w:r>
        <w:rPr>
          <w:bCs w:val="0"/>
          <w:i/>
          <w:szCs w:val="18"/>
          <w:lang w:val="en-GB"/>
        </w:rPr>
        <w:t xml:space="preserve">. </w:t>
      </w:r>
      <w:r w:rsidRPr="00E24E97">
        <w:rPr>
          <w:bCs w:val="0"/>
          <w:i/>
          <w:szCs w:val="18"/>
          <w:lang w:val="en-GB"/>
        </w:rPr>
        <w:t>Classification scheme of Fusion Facilities</w:t>
      </w:r>
      <w:r>
        <w:rPr>
          <w:i/>
          <w:lang w:val="en-GB"/>
        </w:rPr>
        <w:t>.</w:t>
      </w:r>
    </w:p>
    <w:p w14:paraId="5AB90B04" w14:textId="705B3FF1" w:rsidR="006C57C3" w:rsidRPr="00E428DD" w:rsidRDefault="006C57C3" w:rsidP="005B0398">
      <w:pPr>
        <w:overflowPunct/>
        <w:autoSpaceDE/>
        <w:autoSpaceDN/>
        <w:adjustRightInd/>
        <w:spacing w:after="260"/>
        <w:jc w:val="both"/>
        <w:textAlignment w:val="auto"/>
        <w:rPr>
          <w:rFonts w:eastAsiaTheme="minorHAnsi"/>
          <w:sz w:val="20"/>
          <w:lang w:val="en-US" w:eastAsia="ar-SA"/>
        </w:rPr>
      </w:pPr>
      <w:r w:rsidRPr="006C57C3">
        <w:rPr>
          <w:rFonts w:eastAsiaTheme="minorHAnsi"/>
          <w:sz w:val="20"/>
          <w:lang w:eastAsia="ar-SA"/>
        </w:rPr>
        <w:t xml:space="preserve">Additional safety requirements will be </w:t>
      </w:r>
      <w:r w:rsidR="00E428DD">
        <w:rPr>
          <w:rFonts w:eastAsiaTheme="minorHAnsi"/>
          <w:sz w:val="20"/>
          <w:lang w:val="en-US" w:eastAsia="ar-SA"/>
        </w:rPr>
        <w:t xml:space="preserve">set </w:t>
      </w:r>
      <w:r w:rsidR="00E428DD">
        <w:rPr>
          <w:rFonts w:eastAsiaTheme="minorHAnsi"/>
          <w:sz w:val="20"/>
          <w:lang w:eastAsia="ar-SA"/>
        </w:rPr>
        <w:t>for</w:t>
      </w:r>
      <w:r w:rsidRPr="006C57C3">
        <w:rPr>
          <w:rFonts w:eastAsiaTheme="minorHAnsi"/>
          <w:sz w:val="20"/>
          <w:lang w:eastAsia="ar-SA"/>
        </w:rPr>
        <w:t xml:space="preserve"> </w:t>
      </w:r>
      <w:r w:rsidR="00E428DD">
        <w:rPr>
          <w:rFonts w:eastAsiaTheme="minorHAnsi"/>
          <w:sz w:val="20"/>
          <w:lang w:eastAsia="ar-SA"/>
        </w:rPr>
        <w:t>Fusion Facilities</w:t>
      </w:r>
      <w:r w:rsidRPr="006C57C3">
        <w:rPr>
          <w:rFonts w:eastAsiaTheme="minorHAnsi"/>
          <w:sz w:val="20"/>
          <w:lang w:eastAsia="ar-SA"/>
        </w:rPr>
        <w:t xml:space="preserve"> </w:t>
      </w:r>
      <w:r w:rsidR="00E428DD" w:rsidRPr="00E428DD">
        <w:rPr>
          <w:rFonts w:eastAsiaTheme="minorHAnsi"/>
          <w:sz w:val="20"/>
          <w:lang w:val="en-US" w:eastAsia="ar-SA"/>
        </w:rPr>
        <w:t xml:space="preserve">based on hazard factors and risk levels associated with </w:t>
      </w:r>
      <w:r w:rsidR="00E428DD">
        <w:rPr>
          <w:rFonts w:eastAsiaTheme="minorHAnsi"/>
          <w:sz w:val="20"/>
          <w:lang w:eastAsia="ar-SA"/>
        </w:rPr>
        <w:t>facility</w:t>
      </w:r>
      <w:r w:rsidR="00E428DD" w:rsidRPr="00E428DD">
        <w:rPr>
          <w:rFonts w:eastAsiaTheme="minorHAnsi"/>
          <w:sz w:val="20"/>
          <w:lang w:val="en-US" w:eastAsia="ar-SA"/>
        </w:rPr>
        <w:t xml:space="preserve"> characteristics, as well as the use of different technologies, materials, and substances</w:t>
      </w:r>
      <w:r w:rsidR="00E428DD">
        <w:rPr>
          <w:rFonts w:eastAsiaTheme="minorHAnsi"/>
          <w:sz w:val="20"/>
          <w:lang w:val="en-US" w:eastAsia="ar-SA"/>
        </w:rPr>
        <w:t xml:space="preserve">, </w:t>
      </w:r>
      <w:r w:rsidR="00E428DD">
        <w:rPr>
          <w:rFonts w:eastAsiaTheme="minorHAnsi"/>
          <w:sz w:val="20"/>
          <w:lang w:eastAsia="ar-SA"/>
        </w:rPr>
        <w:t>see Table 1.</w:t>
      </w:r>
    </w:p>
    <w:p w14:paraId="1F4A9AD4" w14:textId="46203B06" w:rsidR="00E24E97" w:rsidRDefault="00E24E97" w:rsidP="00E24E97">
      <w:pPr>
        <w:pStyle w:val="a1"/>
        <w:spacing w:after="260" w:line="240" w:lineRule="auto"/>
        <w:ind w:firstLine="0"/>
      </w:pPr>
      <w:r>
        <w:t>TABLE 1.</w:t>
      </w:r>
      <w:r>
        <w:tab/>
      </w:r>
      <w:r w:rsidR="005B0398" w:rsidRPr="005B0398">
        <w:t xml:space="preserve">ADDITIONAL REQUIREMENTS FOR </w:t>
      </w:r>
      <w:r w:rsidR="005B0398">
        <w:t>FUSION FACILITIES</w:t>
      </w:r>
      <w:r w:rsidR="005B0398" w:rsidRPr="005B0398">
        <w:t xml:space="preserve"> CLASSIFIED AS A NUCLEAR INSTALLATION</w:t>
      </w:r>
    </w:p>
    <w:p w14:paraId="0C226DCB" w14:textId="77777777" w:rsidR="00E24E97" w:rsidRDefault="00E24E97" w:rsidP="00E24E97">
      <w:pPr>
        <w:pStyle w:val="a1"/>
        <w:spacing w:line="240" w:lineRule="auto"/>
      </w:pPr>
    </w:p>
    <w:tbl>
      <w:tblPr>
        <w:tblStyle w:val="ae"/>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30"/>
      </w:tblGrid>
      <w:tr w:rsidR="00226B3C" w:rsidRPr="00226B3C" w14:paraId="63AAF5CD" w14:textId="77777777" w:rsidTr="005B0398">
        <w:trPr>
          <w:jc w:val="center"/>
        </w:trPr>
        <w:tc>
          <w:tcPr>
            <w:tcW w:w="1701" w:type="dxa"/>
            <w:tcBorders>
              <w:top w:val="single" w:sz="4" w:space="0" w:color="auto"/>
              <w:left w:val="nil"/>
              <w:bottom w:val="single" w:sz="4" w:space="0" w:color="auto"/>
              <w:right w:val="nil"/>
            </w:tcBorders>
            <w:hideMark/>
          </w:tcPr>
          <w:p w14:paraId="1FDAAFC2" w14:textId="0D4C23FA" w:rsidR="00226B3C" w:rsidRPr="00226B3C" w:rsidRDefault="00226B3C" w:rsidP="00226B3C">
            <w:pPr>
              <w:pStyle w:val="a1"/>
              <w:ind w:firstLine="0"/>
              <w:jc w:val="left"/>
              <w:rPr>
                <w:b/>
              </w:rPr>
            </w:pPr>
            <w:r w:rsidRPr="00226B3C">
              <w:rPr>
                <w:b/>
              </w:rPr>
              <w:t xml:space="preserve">Criteria for classification </w:t>
            </w:r>
            <w:r w:rsidRPr="00226B3C">
              <w:rPr>
                <w:b/>
              </w:rPr>
              <w:br/>
              <w:t xml:space="preserve">as </w:t>
            </w:r>
            <w:r w:rsidR="005B0398">
              <w:rPr>
                <w:b/>
              </w:rPr>
              <w:t xml:space="preserve">a </w:t>
            </w:r>
            <w:r w:rsidRPr="00226B3C">
              <w:rPr>
                <w:b/>
              </w:rPr>
              <w:t>nuclear installation</w:t>
            </w:r>
          </w:p>
        </w:tc>
        <w:tc>
          <w:tcPr>
            <w:tcW w:w="7230" w:type="dxa"/>
            <w:tcBorders>
              <w:top w:val="single" w:sz="4" w:space="0" w:color="auto"/>
              <w:left w:val="nil"/>
              <w:bottom w:val="single" w:sz="4" w:space="0" w:color="auto"/>
              <w:right w:val="nil"/>
            </w:tcBorders>
            <w:hideMark/>
          </w:tcPr>
          <w:p w14:paraId="239562FF" w14:textId="6A0179D6" w:rsidR="00226B3C" w:rsidRDefault="005B0398">
            <w:pPr>
              <w:pStyle w:val="a1"/>
              <w:ind w:firstLine="0"/>
              <w:jc w:val="center"/>
            </w:pPr>
            <w:r>
              <w:rPr>
                <w:b/>
              </w:rPr>
              <w:t>A</w:t>
            </w:r>
            <w:r w:rsidRPr="005B0398">
              <w:rPr>
                <w:b/>
              </w:rPr>
              <w:t>dditional requirements</w:t>
            </w:r>
          </w:p>
        </w:tc>
      </w:tr>
      <w:tr w:rsidR="00226B3C" w:rsidRPr="00226B3C" w14:paraId="37C3EEFB" w14:textId="77777777" w:rsidTr="00195293">
        <w:trPr>
          <w:jc w:val="center"/>
        </w:trPr>
        <w:tc>
          <w:tcPr>
            <w:tcW w:w="1701" w:type="dxa"/>
            <w:tcBorders>
              <w:top w:val="single" w:sz="4" w:space="0" w:color="auto"/>
              <w:left w:val="nil"/>
              <w:bottom w:val="single" w:sz="4" w:space="0" w:color="auto"/>
              <w:right w:val="nil"/>
            </w:tcBorders>
          </w:tcPr>
          <w:p w14:paraId="0537A053" w14:textId="7FE8E3CE" w:rsidR="00226B3C" w:rsidRPr="00226B3C" w:rsidRDefault="00226B3C" w:rsidP="00226B3C">
            <w:pPr>
              <w:pStyle w:val="a1"/>
              <w:ind w:firstLine="0"/>
              <w:jc w:val="left"/>
              <w:rPr>
                <w:rStyle w:val="TabletextChar"/>
              </w:rPr>
            </w:pPr>
            <w:r w:rsidRPr="00226B3C">
              <w:rPr>
                <w:rStyle w:val="TabletextChar"/>
              </w:rPr>
              <w:t>Tritium usage</w:t>
            </w:r>
          </w:p>
        </w:tc>
        <w:tc>
          <w:tcPr>
            <w:tcW w:w="7230" w:type="dxa"/>
            <w:tcBorders>
              <w:top w:val="single" w:sz="4" w:space="0" w:color="auto"/>
              <w:left w:val="nil"/>
              <w:bottom w:val="single" w:sz="4" w:space="0" w:color="auto"/>
              <w:right w:val="nil"/>
            </w:tcBorders>
          </w:tcPr>
          <w:p w14:paraId="60810090" w14:textId="2D79D771" w:rsidR="00226B3C" w:rsidRPr="00226B3C" w:rsidRDefault="00894273" w:rsidP="005B0398">
            <w:pPr>
              <w:pStyle w:val="a1"/>
              <w:numPr>
                <w:ilvl w:val="0"/>
                <w:numId w:val="35"/>
              </w:numPr>
              <w:ind w:left="462"/>
            </w:pPr>
            <w:r w:rsidRPr="00894273">
              <w:rPr>
                <w:lang w:val="en-US"/>
              </w:rPr>
              <w:t>for tritium-containing systems and components in the rooms where they are located</w:t>
            </w:r>
          </w:p>
          <w:p w14:paraId="4FFF6F21" w14:textId="45B8F04E" w:rsidR="00226B3C" w:rsidRPr="00226B3C" w:rsidRDefault="00894273" w:rsidP="005B0398">
            <w:pPr>
              <w:pStyle w:val="a1"/>
              <w:numPr>
                <w:ilvl w:val="0"/>
                <w:numId w:val="35"/>
              </w:numPr>
              <w:ind w:left="462"/>
            </w:pPr>
            <w:r w:rsidRPr="00894273">
              <w:rPr>
                <w:lang w:val="en-US"/>
              </w:rPr>
              <w:t>to control of discharges of radioactive substances</w:t>
            </w:r>
          </w:p>
          <w:p w14:paraId="1557152A" w14:textId="23B19005" w:rsidR="00226B3C" w:rsidRPr="00226B3C" w:rsidRDefault="00894273" w:rsidP="005B0398">
            <w:pPr>
              <w:pStyle w:val="a1"/>
              <w:numPr>
                <w:ilvl w:val="0"/>
                <w:numId w:val="35"/>
              </w:numPr>
              <w:ind w:left="462"/>
            </w:pPr>
            <w:r w:rsidRPr="00894273">
              <w:rPr>
                <w:lang w:val="en-US"/>
              </w:rPr>
              <w:t>to minimize the accumulation of tritium in materials</w:t>
            </w:r>
          </w:p>
          <w:p w14:paraId="48D3AD5F" w14:textId="518916F7" w:rsidR="00226B3C" w:rsidRPr="00226B3C" w:rsidRDefault="00894273" w:rsidP="005B0398">
            <w:pPr>
              <w:pStyle w:val="a1"/>
              <w:numPr>
                <w:ilvl w:val="0"/>
                <w:numId w:val="35"/>
              </w:numPr>
              <w:ind w:left="462"/>
            </w:pPr>
            <w:r w:rsidRPr="00894273">
              <w:rPr>
                <w:lang w:val="en-US"/>
              </w:rPr>
              <w:t>to limit the release of radioactive substances, including in case of accidents</w:t>
            </w:r>
          </w:p>
          <w:p w14:paraId="420E4042" w14:textId="332F060C" w:rsidR="00226B3C" w:rsidRPr="00226B3C" w:rsidRDefault="00226B3C" w:rsidP="005B0398">
            <w:pPr>
              <w:pStyle w:val="a1"/>
              <w:numPr>
                <w:ilvl w:val="0"/>
                <w:numId w:val="35"/>
              </w:numPr>
              <w:ind w:left="462"/>
            </w:pPr>
            <w:r w:rsidRPr="00226B3C">
              <w:t xml:space="preserve">for accounting and control of Special Non-Nuclear Materials (including </w:t>
            </w:r>
            <w:r w:rsidRPr="00226B3C">
              <w:rPr>
                <w:vertAlign w:val="superscript"/>
              </w:rPr>
              <w:t>3</w:t>
            </w:r>
            <w:r w:rsidRPr="00226B3C">
              <w:t xml:space="preserve">H, </w:t>
            </w:r>
            <w:r w:rsidRPr="00226B3C">
              <w:rPr>
                <w:vertAlign w:val="superscript"/>
              </w:rPr>
              <w:t>6</w:t>
            </w:r>
            <w:r w:rsidRPr="00226B3C">
              <w:t xml:space="preserve">Li) </w:t>
            </w:r>
            <w:r w:rsidRPr="00226B3C">
              <w:br/>
            </w:r>
            <w:r w:rsidR="00894273" w:rsidRPr="00894273">
              <w:rPr>
                <w:lang w:val="en-US"/>
              </w:rPr>
              <w:t>in the State System for Accounting and Control</w:t>
            </w:r>
          </w:p>
        </w:tc>
      </w:tr>
      <w:tr w:rsidR="00226B3C" w:rsidRPr="00226B3C" w14:paraId="114F8CC6" w14:textId="77777777" w:rsidTr="00195293">
        <w:trPr>
          <w:jc w:val="center"/>
        </w:trPr>
        <w:tc>
          <w:tcPr>
            <w:tcW w:w="1701" w:type="dxa"/>
            <w:tcBorders>
              <w:top w:val="single" w:sz="4" w:space="0" w:color="auto"/>
              <w:left w:val="nil"/>
              <w:bottom w:val="single" w:sz="4" w:space="0" w:color="auto"/>
              <w:right w:val="nil"/>
            </w:tcBorders>
            <w:hideMark/>
          </w:tcPr>
          <w:p w14:paraId="30A4938A" w14:textId="3F6558A2" w:rsidR="00226B3C" w:rsidRDefault="00226B3C" w:rsidP="00226B3C">
            <w:pPr>
              <w:pStyle w:val="a1"/>
              <w:ind w:firstLine="0"/>
              <w:jc w:val="left"/>
            </w:pPr>
            <w:r w:rsidRPr="00226B3C">
              <w:rPr>
                <w:rStyle w:val="TabletextChar"/>
              </w:rPr>
              <w:t xml:space="preserve">Nuclear materials (NMs) usage </w:t>
            </w:r>
            <w:r>
              <w:rPr>
                <w:rStyle w:val="TabletextChar"/>
              </w:rPr>
              <w:br/>
            </w:r>
            <w:r w:rsidRPr="00226B3C">
              <w:rPr>
                <w:rStyle w:val="TabletextChar"/>
              </w:rPr>
              <w:t>(</w:t>
            </w:r>
            <w:r w:rsidRPr="00226B3C">
              <w:rPr>
                <w:rStyle w:val="TabletextChar"/>
                <w:vertAlign w:val="superscript"/>
              </w:rPr>
              <w:t>238</w:t>
            </w:r>
            <w:r w:rsidRPr="00226B3C">
              <w:rPr>
                <w:rStyle w:val="TabletextChar"/>
              </w:rPr>
              <w:t xml:space="preserve">U, </w:t>
            </w:r>
            <w:r w:rsidRPr="00226B3C">
              <w:rPr>
                <w:rStyle w:val="TabletextChar"/>
                <w:vertAlign w:val="superscript"/>
              </w:rPr>
              <w:t>232</w:t>
            </w:r>
            <w:r w:rsidRPr="00226B3C">
              <w:rPr>
                <w:rStyle w:val="TabletextChar"/>
              </w:rPr>
              <w:t xml:space="preserve">Th, </w:t>
            </w:r>
            <w:r>
              <w:rPr>
                <w:rStyle w:val="TabletextChar"/>
                <w:lang w:val="en-US"/>
              </w:rPr>
              <w:t>etc.</w:t>
            </w:r>
            <w:r w:rsidRPr="00226B3C">
              <w:rPr>
                <w:rStyle w:val="TabletextChar"/>
              </w:rPr>
              <w:t>)</w:t>
            </w:r>
          </w:p>
        </w:tc>
        <w:tc>
          <w:tcPr>
            <w:tcW w:w="7230" w:type="dxa"/>
            <w:tcBorders>
              <w:top w:val="single" w:sz="4" w:space="0" w:color="auto"/>
              <w:left w:val="nil"/>
              <w:bottom w:val="single" w:sz="4" w:space="0" w:color="auto"/>
              <w:right w:val="nil"/>
            </w:tcBorders>
            <w:hideMark/>
          </w:tcPr>
          <w:p w14:paraId="1EE9AC5D" w14:textId="0DB88DBD" w:rsidR="00226B3C" w:rsidRPr="00226B3C" w:rsidRDefault="00894273" w:rsidP="005B0398">
            <w:pPr>
              <w:pStyle w:val="a1"/>
              <w:numPr>
                <w:ilvl w:val="0"/>
                <w:numId w:val="35"/>
              </w:numPr>
              <w:ind w:left="462"/>
            </w:pPr>
            <w:r w:rsidRPr="00894273">
              <w:rPr>
                <w:lang w:val="en-US"/>
              </w:rPr>
              <w:t>for systems and components, including for the containment of NMs within established boundaries</w:t>
            </w:r>
          </w:p>
          <w:p w14:paraId="05863D89" w14:textId="4081E051" w:rsidR="00226B3C" w:rsidRPr="00226B3C" w:rsidRDefault="00894273" w:rsidP="005B0398">
            <w:pPr>
              <w:pStyle w:val="a1"/>
              <w:numPr>
                <w:ilvl w:val="0"/>
                <w:numId w:val="35"/>
              </w:numPr>
              <w:ind w:left="462"/>
            </w:pPr>
            <w:r w:rsidRPr="00894273">
              <w:rPr>
                <w:lang w:val="en-US"/>
              </w:rPr>
              <w:t>for the means of exclusion of criticality</w:t>
            </w:r>
          </w:p>
          <w:p w14:paraId="09F36AC5" w14:textId="3F9730C7" w:rsidR="00226B3C" w:rsidRPr="00226B3C" w:rsidRDefault="00894273" w:rsidP="005B0398">
            <w:pPr>
              <w:pStyle w:val="a1"/>
              <w:numPr>
                <w:ilvl w:val="0"/>
                <w:numId w:val="35"/>
              </w:numPr>
              <w:ind w:left="462"/>
            </w:pPr>
            <w:r w:rsidRPr="00894273">
              <w:rPr>
                <w:lang w:val="en-US"/>
              </w:rPr>
              <w:t>for heat removal systems (from blankets with NMs)</w:t>
            </w:r>
          </w:p>
          <w:p w14:paraId="5A53AB4E" w14:textId="58F1C193" w:rsidR="00226B3C" w:rsidRPr="00894273" w:rsidRDefault="00894273" w:rsidP="005B0398">
            <w:pPr>
              <w:pStyle w:val="a1"/>
              <w:numPr>
                <w:ilvl w:val="0"/>
                <w:numId w:val="35"/>
              </w:numPr>
              <w:ind w:left="462"/>
            </w:pPr>
            <w:r w:rsidRPr="00894273">
              <w:rPr>
                <w:lang w:val="en-US"/>
              </w:rPr>
              <w:t>to control of neutron flux density in the blankets</w:t>
            </w:r>
          </w:p>
          <w:p w14:paraId="56DFC1D3" w14:textId="48A80E52" w:rsidR="00226B3C" w:rsidRPr="00894273" w:rsidRDefault="00894273" w:rsidP="005B0398">
            <w:pPr>
              <w:pStyle w:val="a1"/>
              <w:numPr>
                <w:ilvl w:val="0"/>
                <w:numId w:val="35"/>
              </w:numPr>
              <w:ind w:left="462"/>
            </w:pPr>
            <w:r w:rsidRPr="00894273">
              <w:rPr>
                <w:lang w:val="en-US"/>
              </w:rPr>
              <w:t>for accounting and control of NMs</w:t>
            </w:r>
          </w:p>
          <w:p w14:paraId="34BCD559" w14:textId="4FAAC31E" w:rsidR="00226B3C" w:rsidRDefault="00894273" w:rsidP="005B0398">
            <w:pPr>
              <w:pStyle w:val="a1"/>
              <w:numPr>
                <w:ilvl w:val="0"/>
                <w:numId w:val="35"/>
              </w:numPr>
              <w:ind w:left="462"/>
            </w:pPr>
            <w:r w:rsidRPr="00894273">
              <w:rPr>
                <w:lang w:val="en-US"/>
              </w:rPr>
              <w:t>for handling systems and storages of NMs</w:t>
            </w:r>
          </w:p>
        </w:tc>
      </w:tr>
      <w:tr w:rsidR="00226B3C" w:rsidRPr="00226B3C" w14:paraId="7A14F9BC" w14:textId="77777777" w:rsidTr="00195293">
        <w:trPr>
          <w:jc w:val="center"/>
        </w:trPr>
        <w:tc>
          <w:tcPr>
            <w:tcW w:w="1701" w:type="dxa"/>
            <w:tcBorders>
              <w:top w:val="single" w:sz="4" w:space="0" w:color="auto"/>
              <w:left w:val="nil"/>
              <w:bottom w:val="single" w:sz="4" w:space="0" w:color="auto"/>
              <w:right w:val="nil"/>
            </w:tcBorders>
            <w:hideMark/>
          </w:tcPr>
          <w:p w14:paraId="33D8491E" w14:textId="5EC32D11" w:rsidR="00226B3C" w:rsidRDefault="00226B3C" w:rsidP="00226B3C">
            <w:pPr>
              <w:pStyle w:val="a1"/>
              <w:ind w:firstLine="0"/>
              <w:jc w:val="left"/>
            </w:pPr>
            <w:r w:rsidRPr="00226B3C">
              <w:t>High-intensity Fusion machine</w:t>
            </w:r>
          </w:p>
        </w:tc>
        <w:tc>
          <w:tcPr>
            <w:tcW w:w="7230" w:type="dxa"/>
            <w:tcBorders>
              <w:top w:val="single" w:sz="4" w:space="0" w:color="auto"/>
              <w:left w:val="nil"/>
              <w:bottom w:val="single" w:sz="4" w:space="0" w:color="auto"/>
              <w:right w:val="nil"/>
            </w:tcBorders>
            <w:hideMark/>
          </w:tcPr>
          <w:p w14:paraId="63AE50EE" w14:textId="3E6B0388" w:rsidR="002D61FF" w:rsidRPr="00226B3C" w:rsidRDefault="00894273" w:rsidP="005B0398">
            <w:pPr>
              <w:pStyle w:val="a1"/>
              <w:numPr>
                <w:ilvl w:val="0"/>
                <w:numId w:val="35"/>
              </w:numPr>
              <w:ind w:left="462"/>
              <w:rPr>
                <w:lang w:val="en-US"/>
              </w:rPr>
            </w:pPr>
            <w:r w:rsidRPr="00894273">
              <w:rPr>
                <w:lang w:val="en-US"/>
              </w:rPr>
              <w:t>to control of the fusion reaction</w:t>
            </w:r>
          </w:p>
          <w:p w14:paraId="316394FA" w14:textId="77777777" w:rsidR="002D61FF" w:rsidRPr="00226B3C" w:rsidRDefault="005B0398" w:rsidP="005B0398">
            <w:pPr>
              <w:pStyle w:val="a1"/>
              <w:numPr>
                <w:ilvl w:val="0"/>
                <w:numId w:val="35"/>
              </w:numPr>
              <w:ind w:left="462"/>
              <w:rPr>
                <w:lang w:val="ru-RU"/>
              </w:rPr>
            </w:pPr>
            <w:r w:rsidRPr="00226B3C">
              <w:rPr>
                <w:lang w:val="en-US"/>
              </w:rPr>
              <w:t>for protection safety systems</w:t>
            </w:r>
          </w:p>
          <w:p w14:paraId="5456FE7B" w14:textId="4C51E1C8" w:rsidR="002D61FF" w:rsidRPr="00226B3C" w:rsidRDefault="00894273" w:rsidP="005B0398">
            <w:pPr>
              <w:pStyle w:val="a1"/>
              <w:numPr>
                <w:ilvl w:val="0"/>
                <w:numId w:val="35"/>
              </w:numPr>
              <w:ind w:left="462"/>
              <w:rPr>
                <w:lang w:val="en-US"/>
              </w:rPr>
            </w:pPr>
            <w:r w:rsidRPr="00894273">
              <w:rPr>
                <w:lang w:val="en-US"/>
              </w:rPr>
              <w:t>to the probabilistic safety analysis, reliability analysis</w:t>
            </w:r>
          </w:p>
          <w:p w14:paraId="286D8F59" w14:textId="77777777" w:rsidR="002D61FF" w:rsidRPr="00226B3C" w:rsidRDefault="005B0398" w:rsidP="005B0398">
            <w:pPr>
              <w:pStyle w:val="a1"/>
              <w:numPr>
                <w:ilvl w:val="0"/>
                <w:numId w:val="35"/>
              </w:numPr>
              <w:ind w:left="462"/>
              <w:rPr>
                <w:lang w:val="en-US"/>
              </w:rPr>
            </w:pPr>
            <w:r w:rsidRPr="00226B3C">
              <w:rPr>
                <w:lang w:val="en-US"/>
              </w:rPr>
              <w:t>for chemistry regimes of the media in the FFs systems and components</w:t>
            </w:r>
          </w:p>
          <w:p w14:paraId="0E211AEF" w14:textId="1A32C613" w:rsidR="002D61FF" w:rsidRPr="00226B3C" w:rsidRDefault="00894273" w:rsidP="005B0398">
            <w:pPr>
              <w:pStyle w:val="a1"/>
              <w:numPr>
                <w:ilvl w:val="0"/>
                <w:numId w:val="35"/>
              </w:numPr>
              <w:ind w:left="462"/>
              <w:rPr>
                <w:lang w:val="en-US"/>
              </w:rPr>
            </w:pPr>
            <w:r w:rsidRPr="00894273">
              <w:rPr>
                <w:lang w:val="en-US"/>
              </w:rPr>
              <w:t>to develop of action plans for protection of the personnel and the public in case of accidents</w:t>
            </w:r>
          </w:p>
          <w:p w14:paraId="2712EEE2" w14:textId="77777777" w:rsidR="002D61FF" w:rsidRPr="00226B3C" w:rsidRDefault="005B0398" w:rsidP="005B0398">
            <w:pPr>
              <w:pStyle w:val="a1"/>
              <w:numPr>
                <w:ilvl w:val="0"/>
                <w:numId w:val="35"/>
              </w:numPr>
              <w:ind w:left="462"/>
              <w:rPr>
                <w:lang w:val="ru-RU"/>
              </w:rPr>
            </w:pPr>
            <w:r w:rsidRPr="00226B3C">
              <w:rPr>
                <w:lang w:val="en-US"/>
              </w:rPr>
              <w:t>for</w:t>
            </w:r>
            <w:r w:rsidRPr="00226B3C">
              <w:rPr>
                <w:lang w:val="ru-RU"/>
              </w:rPr>
              <w:t xml:space="preserve"> </w:t>
            </w:r>
            <w:r w:rsidRPr="00226B3C">
              <w:rPr>
                <w:lang w:val="en-US"/>
              </w:rPr>
              <w:t>accident management</w:t>
            </w:r>
          </w:p>
          <w:p w14:paraId="1C632673" w14:textId="45C5B6DE" w:rsidR="002D61FF" w:rsidRPr="00226B3C" w:rsidRDefault="00894273" w:rsidP="005B0398">
            <w:pPr>
              <w:pStyle w:val="a1"/>
              <w:numPr>
                <w:ilvl w:val="0"/>
                <w:numId w:val="35"/>
              </w:numPr>
              <w:ind w:left="462"/>
              <w:rPr>
                <w:lang w:val="ru-RU"/>
              </w:rPr>
            </w:pPr>
            <w:r>
              <w:rPr>
                <w:lang w:val="en-US"/>
              </w:rPr>
              <w:t>to</w:t>
            </w:r>
            <w:r w:rsidR="005B0398" w:rsidRPr="00226B3C">
              <w:rPr>
                <w:lang w:val="en-US"/>
              </w:rPr>
              <w:t xml:space="preserve"> the personnel training</w:t>
            </w:r>
          </w:p>
          <w:p w14:paraId="0B79DECA" w14:textId="3BE1E22B" w:rsidR="00226B3C" w:rsidRDefault="00226B3C" w:rsidP="005B0398">
            <w:pPr>
              <w:pStyle w:val="a1"/>
              <w:ind w:left="462" w:firstLine="0"/>
              <w:jc w:val="center"/>
            </w:pPr>
          </w:p>
        </w:tc>
      </w:tr>
    </w:tbl>
    <w:p w14:paraId="3A53F805" w14:textId="77777777" w:rsidR="00E24E97" w:rsidRDefault="00E24E97" w:rsidP="002C0984">
      <w:pPr>
        <w:overflowPunct/>
        <w:autoSpaceDE/>
        <w:autoSpaceDN/>
        <w:adjustRightInd/>
        <w:spacing w:after="260"/>
        <w:jc w:val="both"/>
        <w:textAlignment w:val="auto"/>
        <w:rPr>
          <w:rFonts w:eastAsiaTheme="minorHAnsi"/>
          <w:sz w:val="20"/>
          <w:lang w:val="en-US" w:eastAsia="ar-SA"/>
        </w:rPr>
      </w:pPr>
    </w:p>
    <w:p w14:paraId="620B4599" w14:textId="11777A82" w:rsidR="002C0984" w:rsidRPr="002C0984" w:rsidRDefault="002C0984" w:rsidP="002C0984">
      <w:pPr>
        <w:overflowPunct/>
        <w:autoSpaceDE/>
        <w:autoSpaceDN/>
        <w:adjustRightInd/>
        <w:spacing w:after="260"/>
        <w:jc w:val="both"/>
        <w:textAlignment w:val="auto"/>
        <w:rPr>
          <w:rFonts w:eastAsiaTheme="minorHAnsi"/>
          <w:sz w:val="20"/>
          <w:lang w:val="en-US" w:eastAsia="ar-SA"/>
        </w:rPr>
      </w:pPr>
      <w:r w:rsidRPr="002C0984">
        <w:rPr>
          <w:rFonts w:eastAsiaTheme="minorHAnsi"/>
          <w:sz w:val="20"/>
          <w:lang w:val="en-US" w:eastAsia="ar-SA"/>
        </w:rPr>
        <w:lastRenderedPageBreak/>
        <w:t>The G</w:t>
      </w:r>
      <w:r w:rsidR="00F04963">
        <w:rPr>
          <w:rFonts w:eastAsiaTheme="minorHAnsi"/>
          <w:sz w:val="20"/>
          <w:lang w:val="en-US" w:eastAsia="ar-SA"/>
        </w:rPr>
        <w:t>S</w:t>
      </w:r>
      <w:r w:rsidRPr="002C0984">
        <w:rPr>
          <w:rFonts w:eastAsiaTheme="minorHAnsi"/>
          <w:sz w:val="20"/>
          <w:lang w:val="en-US" w:eastAsia="ar-SA"/>
        </w:rPr>
        <w:t>P FF further introduces a classification of FF system elements based on their purpose, influence on safety, and the nature of the safety functions they perform. For systems fulfilling fundamental safety functions (such as protection, control, containment, and support) the G</w:t>
      </w:r>
      <w:r w:rsidR="00F04963">
        <w:rPr>
          <w:rFonts w:eastAsiaTheme="minorHAnsi"/>
          <w:sz w:val="20"/>
          <w:lang w:val="en-US" w:eastAsia="ar-SA"/>
        </w:rPr>
        <w:t>S</w:t>
      </w:r>
      <w:r w:rsidRPr="002C0984">
        <w:rPr>
          <w:rFonts w:eastAsiaTheme="minorHAnsi"/>
          <w:sz w:val="20"/>
          <w:lang w:val="en-US" w:eastAsia="ar-SA"/>
        </w:rPr>
        <w:t>P FF outlines core design and operational principles. Additionally, it standardizes key terms and definitions for FF safety regulation, drawing from the published Glossary [</w:t>
      </w:r>
      <w:r w:rsidR="00F75A5E">
        <w:rPr>
          <w:rFonts w:eastAsiaTheme="minorHAnsi"/>
          <w:sz w:val="20"/>
          <w:lang w:val="en-US" w:eastAsia="ar-SA"/>
        </w:rPr>
        <w:t>8</w:t>
      </w:r>
      <w:r w:rsidRPr="002C0984">
        <w:rPr>
          <w:rFonts w:eastAsiaTheme="minorHAnsi"/>
          <w:sz w:val="20"/>
          <w:lang w:val="en-US" w:eastAsia="ar-SA"/>
        </w:rPr>
        <w:t>].</w:t>
      </w:r>
    </w:p>
    <w:p w14:paraId="6579E049" w14:textId="77777777" w:rsidR="002C0984" w:rsidRPr="002C0984" w:rsidRDefault="002C0984" w:rsidP="002C0984">
      <w:pPr>
        <w:overflowPunct/>
        <w:autoSpaceDE/>
        <w:autoSpaceDN/>
        <w:adjustRightInd/>
        <w:spacing w:after="260"/>
        <w:jc w:val="both"/>
        <w:textAlignment w:val="auto"/>
        <w:rPr>
          <w:rFonts w:eastAsiaTheme="minorHAnsi"/>
          <w:sz w:val="20"/>
          <w:lang w:val="en-US" w:eastAsia="ar-SA"/>
        </w:rPr>
      </w:pPr>
      <w:r w:rsidRPr="002C0984">
        <w:rPr>
          <w:rFonts w:eastAsiaTheme="minorHAnsi"/>
          <w:sz w:val="20"/>
          <w:lang w:val="en-US" w:eastAsia="ar-SA"/>
        </w:rPr>
        <w:t>Currently, alongside advancements in fusion technology, significant efforts are underway to expand the atomic energy safety regulatory framework, integrating FF into Russian legislation. The primary objectives for FF safety regulation in the Russian Federation include legislative updates and development of FRRs defining safety requirements for fusion and hybrid systems.</w:t>
      </w:r>
    </w:p>
    <w:p w14:paraId="08EBFC71" w14:textId="794C19FF" w:rsidR="002C0984" w:rsidRDefault="002C0984" w:rsidP="002C0984">
      <w:pPr>
        <w:overflowPunct/>
        <w:autoSpaceDE/>
        <w:autoSpaceDN/>
        <w:adjustRightInd/>
        <w:spacing w:after="260"/>
        <w:jc w:val="both"/>
        <w:textAlignment w:val="auto"/>
        <w:rPr>
          <w:rFonts w:eastAsiaTheme="minorHAnsi"/>
          <w:sz w:val="20"/>
          <w:lang w:val="en-US" w:eastAsia="ar-SA"/>
        </w:rPr>
      </w:pPr>
      <w:r w:rsidRPr="002C0984">
        <w:rPr>
          <w:rFonts w:eastAsiaTheme="minorHAnsi"/>
          <w:sz w:val="20"/>
          <w:lang w:val="en-US" w:eastAsia="ar-SA"/>
        </w:rPr>
        <w:t>These initiatives are being actively advanced through collaboration among regulatory bodies, nuclear industry stakeholders, and organizations contributing to the federal project "Thermonuclear Energy Technologies".</w:t>
      </w:r>
    </w:p>
    <w:p w14:paraId="30EF2CED" w14:textId="5D114727" w:rsidR="00B74ACA" w:rsidRPr="00B74ACA" w:rsidRDefault="00B74ACA" w:rsidP="00B74ACA">
      <w:pPr>
        <w:overflowPunct/>
        <w:autoSpaceDE/>
        <w:autoSpaceDN/>
        <w:adjustRightInd/>
        <w:spacing w:after="260"/>
        <w:jc w:val="both"/>
        <w:textAlignment w:val="auto"/>
        <w:rPr>
          <w:rFonts w:eastAsiaTheme="minorHAnsi"/>
          <w:sz w:val="20"/>
          <w:lang w:val="en-US" w:eastAsia="ar-SA"/>
        </w:rPr>
      </w:pPr>
      <w:r w:rsidRPr="00B74ACA">
        <w:rPr>
          <w:rFonts w:eastAsiaTheme="minorHAnsi"/>
          <w:sz w:val="20"/>
          <w:lang w:val="en-US" w:eastAsia="ar-SA"/>
        </w:rPr>
        <w:t xml:space="preserve">Development of Federal rules and regulations in the field of atomic energy use for </w:t>
      </w:r>
      <w:r w:rsidR="007A483F">
        <w:rPr>
          <w:rFonts w:eastAsiaTheme="minorHAnsi"/>
          <w:sz w:val="20"/>
          <w:lang w:val="en-US" w:eastAsia="ar-SA"/>
        </w:rPr>
        <w:t>f</w:t>
      </w:r>
      <w:r w:rsidRPr="00B74ACA">
        <w:rPr>
          <w:rFonts w:eastAsiaTheme="minorHAnsi"/>
          <w:sz w:val="20"/>
          <w:lang w:val="en-US" w:eastAsia="ar-SA"/>
        </w:rPr>
        <w:t xml:space="preserve">usion </w:t>
      </w:r>
      <w:r w:rsidR="007A483F">
        <w:rPr>
          <w:rFonts w:eastAsiaTheme="minorHAnsi"/>
          <w:sz w:val="20"/>
          <w:lang w:val="en-US" w:eastAsia="ar-SA"/>
        </w:rPr>
        <w:t>f</w:t>
      </w:r>
      <w:r w:rsidRPr="00B74ACA">
        <w:rPr>
          <w:rFonts w:eastAsiaTheme="minorHAnsi"/>
          <w:sz w:val="20"/>
          <w:lang w:val="en-US" w:eastAsia="ar-SA"/>
        </w:rPr>
        <w:t>acilities is important step for providing high level of safety. Development of approaches to safety regulation</w:t>
      </w:r>
      <w:r w:rsidR="007A483F">
        <w:rPr>
          <w:rFonts w:eastAsiaTheme="minorHAnsi"/>
          <w:sz w:val="20"/>
          <w:lang w:val="en-US" w:eastAsia="ar-SA"/>
        </w:rPr>
        <w:t xml:space="preserve"> in the Russian Federation</w:t>
      </w:r>
      <w:r w:rsidRPr="00B74ACA">
        <w:rPr>
          <w:rFonts w:eastAsiaTheme="minorHAnsi"/>
          <w:sz w:val="20"/>
          <w:lang w:val="en-US" w:eastAsia="ar-SA"/>
        </w:rPr>
        <w:t xml:space="preserve"> is based on international approaches as well as accumulated experience in regulating safety of NPPs, research reactors and radioactive sources. Close interaction with design and operation organizations of fusion facilities is also one of the key elements of the effective regulatory framework development.</w:t>
      </w:r>
    </w:p>
    <w:p w14:paraId="1EDB0AF0" w14:textId="77777777" w:rsidR="00D26ADA" w:rsidRPr="00F81411" w:rsidRDefault="00D26ADA" w:rsidP="00537496">
      <w:pPr>
        <w:pStyle w:val="Otherunnumberedheadings"/>
      </w:pPr>
      <w:r w:rsidRPr="00F81411">
        <w:t>References</w:t>
      </w:r>
    </w:p>
    <w:p w14:paraId="543F5DAC" w14:textId="5C5A472F" w:rsidR="00285755" w:rsidRPr="00F81411" w:rsidRDefault="006D5C0B" w:rsidP="00AE0AE2">
      <w:pPr>
        <w:pStyle w:val="Referencelist"/>
        <w:ind w:left="360"/>
      </w:pPr>
      <w:r w:rsidRPr="006D5C0B">
        <w:t xml:space="preserve">Federal Law of the Russian Federation </w:t>
      </w:r>
      <w:r w:rsidRPr="006D5C0B">
        <w:rPr>
          <w:lang w:val="en-US"/>
        </w:rPr>
        <w:t xml:space="preserve">of November </w:t>
      </w:r>
      <w:r w:rsidRPr="001F5CCF">
        <w:rPr>
          <w:lang w:val="en-US"/>
        </w:rPr>
        <w:t xml:space="preserve">21, </w:t>
      </w:r>
      <w:r w:rsidRPr="001F5CCF">
        <w:t xml:space="preserve">1995 </w:t>
      </w:r>
      <w:r w:rsidR="001F5CCF" w:rsidRPr="001F5CCF">
        <w:rPr>
          <w:rFonts w:eastAsiaTheme="minorHAnsi"/>
          <w:lang w:val="en-US" w:eastAsia="ar-SA"/>
        </w:rPr>
        <w:t>No.</w:t>
      </w:r>
      <w:r w:rsidRPr="001F5CCF">
        <w:t xml:space="preserve"> 170</w:t>
      </w:r>
      <w:r w:rsidRPr="006D5C0B">
        <w:t>-FZ “On the Use of Atomic Energy”</w:t>
      </w:r>
      <w:r w:rsidR="00E0748B">
        <w:br/>
      </w:r>
      <w:r w:rsidR="00823306">
        <w:t>(</w:t>
      </w:r>
      <w:hyperlink r:id="rId10" w:history="1">
        <w:r w:rsidR="00E0748B" w:rsidRPr="00CD1DA0">
          <w:rPr>
            <w:rStyle w:val="af1"/>
          </w:rPr>
          <w:t>http://www.kremlin.ru/acts/bank/8503</w:t>
        </w:r>
      </w:hyperlink>
      <w:r w:rsidR="00823306">
        <w:t>)</w:t>
      </w:r>
      <w:r w:rsidRPr="006D5C0B">
        <w:t>.</w:t>
      </w:r>
      <w:r w:rsidR="00E0748B" w:rsidRPr="00E0748B">
        <w:rPr>
          <w:lang w:val="en-US"/>
        </w:rPr>
        <w:t xml:space="preserve"> </w:t>
      </w:r>
    </w:p>
    <w:p w14:paraId="1DF96A13" w14:textId="290F4A28" w:rsidR="009E0D5B" w:rsidRPr="00F81411" w:rsidRDefault="006D5C0B" w:rsidP="00AE0AE2">
      <w:pPr>
        <w:pStyle w:val="Referencelist"/>
        <w:ind w:left="360"/>
      </w:pPr>
      <w:r w:rsidRPr="006D5C0B">
        <w:t>Draft Federal Law No. 835243-8 “On Amending Article 3 of the Federal Law ‘On the Use of Atomic Energy</w:t>
      </w:r>
      <w:r w:rsidRPr="006D5C0B">
        <w:rPr>
          <w:lang w:val="en-US"/>
        </w:rPr>
        <w:t xml:space="preserve">’” </w:t>
      </w:r>
      <w:r w:rsidRPr="006D5C0B">
        <w:rPr>
          <w:lang w:val="en-US"/>
        </w:rPr>
        <w:br/>
      </w:r>
      <w:r w:rsidRPr="006D5C0B">
        <w:t>(in terms of regulating the safety of fusion reactors and facilities)</w:t>
      </w:r>
      <w:r w:rsidRPr="006D5C0B">
        <w:rPr>
          <w:lang w:val="en-US"/>
        </w:rPr>
        <w:t xml:space="preserve"> (</w:t>
      </w:r>
      <w:hyperlink r:id="rId11" w:history="1">
        <w:r w:rsidRPr="006D5C0B">
          <w:rPr>
            <w:rStyle w:val="af1"/>
            <w:lang w:val="en-US"/>
          </w:rPr>
          <w:t>https://sozd.duma.gov.ru/bill/835243-8</w:t>
        </w:r>
      </w:hyperlink>
      <w:r w:rsidRPr="006D5C0B">
        <w:rPr>
          <w:lang w:val="en-US"/>
        </w:rPr>
        <w:t>)</w:t>
      </w:r>
      <w:r w:rsidRPr="006D5C0B">
        <w:t>.</w:t>
      </w:r>
    </w:p>
    <w:p w14:paraId="04672589" w14:textId="14D28499" w:rsidR="009E0D5B" w:rsidRPr="00F75A5E" w:rsidRDefault="006D5C0B" w:rsidP="00AE0AE2">
      <w:pPr>
        <w:pStyle w:val="Referencelist"/>
        <w:ind w:left="360"/>
      </w:pPr>
      <w:r w:rsidRPr="006D5C0B">
        <w:t xml:space="preserve">Federal Law of the Russian Federation </w:t>
      </w:r>
      <w:r w:rsidRPr="006D5C0B">
        <w:rPr>
          <w:lang w:val="en-US"/>
        </w:rPr>
        <w:t xml:space="preserve">of July 31, </w:t>
      </w:r>
      <w:r w:rsidRPr="006D5C0B">
        <w:t xml:space="preserve">2025 No. 342-FZ “On Amending Article 3 of the Federal Law </w:t>
      </w:r>
      <w:r w:rsidRPr="006D5C0B">
        <w:br/>
        <w:t>‘On the Use of Atomic Energy</w:t>
      </w:r>
      <w:r w:rsidRPr="006D5C0B">
        <w:rPr>
          <w:lang w:val="en-US"/>
        </w:rPr>
        <w:t xml:space="preserve">’” </w:t>
      </w:r>
      <w:r w:rsidRPr="006D5C0B">
        <w:t>(</w:t>
      </w:r>
      <w:hyperlink r:id="rId12" w:history="1">
        <w:r w:rsidR="00B4233F" w:rsidRPr="00CD1DA0">
          <w:rPr>
            <w:rStyle w:val="af1"/>
          </w:rPr>
          <w:t>http://www.kremlin.ru/acts/bank/52293</w:t>
        </w:r>
      </w:hyperlink>
      <w:r w:rsidRPr="006D5C0B">
        <w:t>)</w:t>
      </w:r>
      <w:r w:rsidRPr="006D5C0B">
        <w:rPr>
          <w:lang w:val="en-US"/>
        </w:rPr>
        <w:t>.</w:t>
      </w:r>
    </w:p>
    <w:p w14:paraId="6B35A551" w14:textId="5CE12DC4" w:rsidR="00F75A5E" w:rsidRDefault="00C71E26" w:rsidP="00AE0AE2">
      <w:pPr>
        <w:pStyle w:val="Referencelist"/>
        <w:ind w:left="360"/>
      </w:pPr>
      <w:r w:rsidRPr="00C71E26">
        <w:t>Federal rules and regulations in the area of nuclear energy use “General provisions for nuclear power plant safety assurance" NP-001-15</w:t>
      </w:r>
      <w:r w:rsidR="00F75A5E">
        <w:t xml:space="preserve"> </w:t>
      </w:r>
      <w:r w:rsidR="00F75A5E" w:rsidRPr="00F75A5E">
        <w:t>(</w:t>
      </w:r>
      <w:hyperlink r:id="rId13" w:history="1">
        <w:r w:rsidR="00F75A5E" w:rsidRPr="00F75A5E">
          <w:rPr>
            <w:rStyle w:val="af1"/>
          </w:rPr>
          <w:t>https://docs.secnrs.ru/catalog/FNP/NP_001_15/#</w:t>
        </w:r>
      </w:hyperlink>
      <w:r w:rsidR="00F75A5E" w:rsidRPr="00F75A5E">
        <w:t>).</w:t>
      </w:r>
    </w:p>
    <w:p w14:paraId="789AFECA" w14:textId="06D61E4A" w:rsidR="00F75A5E" w:rsidRDefault="00C71E26" w:rsidP="00AE0AE2">
      <w:pPr>
        <w:pStyle w:val="Referencelist"/>
        <w:ind w:left="360"/>
      </w:pPr>
      <w:r w:rsidRPr="00C71E26">
        <w:t xml:space="preserve">Federal </w:t>
      </w:r>
      <w:r w:rsidRPr="00C71E26">
        <w:t>rules and regulations in the area of nuclear energy use</w:t>
      </w:r>
      <w:r w:rsidRPr="00C71E26">
        <w:t xml:space="preserve"> "General safety provisions of nuclear research installations"</w:t>
      </w:r>
      <w:r>
        <w:t xml:space="preserve"> </w:t>
      </w:r>
      <w:r w:rsidRPr="00C71E26">
        <w:t>NP-0</w:t>
      </w:r>
      <w:r>
        <w:t>33</w:t>
      </w:r>
      <w:r w:rsidRPr="00C71E26">
        <w:t>-</w:t>
      </w:r>
      <w:r>
        <w:t>11</w:t>
      </w:r>
      <w:r>
        <w:t xml:space="preserve"> </w:t>
      </w:r>
      <w:r w:rsidR="00F75A5E" w:rsidRPr="002C0984">
        <w:t>(</w:t>
      </w:r>
      <w:hyperlink r:id="rId14" w:history="1">
        <w:r w:rsidR="00F75A5E" w:rsidRPr="0050558D">
          <w:rPr>
            <w:rStyle w:val="af1"/>
          </w:rPr>
          <w:t>https://docs.secnrs.ru/catalog/FNP/NP_033_11/#</w:t>
        </w:r>
      </w:hyperlink>
      <w:r w:rsidR="00F75A5E" w:rsidRPr="002C0984">
        <w:t>)</w:t>
      </w:r>
      <w:r w:rsidR="00F75A5E" w:rsidRPr="00F75A5E">
        <w:t>.</w:t>
      </w:r>
    </w:p>
    <w:p w14:paraId="3078BD37" w14:textId="5FADD009" w:rsidR="00F75A5E" w:rsidRPr="0027376F" w:rsidRDefault="00C71E26" w:rsidP="00AE0AE2">
      <w:pPr>
        <w:pStyle w:val="Referencelist"/>
        <w:ind w:left="360"/>
      </w:pPr>
      <w:r w:rsidRPr="00C71E26">
        <w:t>Federal rules and regulations in the field of atomic energy use "General provisions of safety assurance for radioactive sources"</w:t>
      </w:r>
      <w:r>
        <w:t xml:space="preserve"> </w:t>
      </w:r>
      <w:r w:rsidRPr="00C71E26">
        <w:t>NP-0</w:t>
      </w:r>
      <w:r>
        <w:t>3</w:t>
      </w:r>
      <w:r>
        <w:t>8</w:t>
      </w:r>
      <w:r w:rsidRPr="00C71E26">
        <w:t>-</w:t>
      </w:r>
      <w:r>
        <w:t>1</w:t>
      </w:r>
      <w:r>
        <w:t>6</w:t>
      </w:r>
      <w:r w:rsidR="00F75A5E" w:rsidRPr="00F75A5E">
        <w:t xml:space="preserve"> </w:t>
      </w:r>
      <w:r w:rsidR="00F75A5E" w:rsidRPr="002C0984">
        <w:t>(</w:t>
      </w:r>
      <w:hyperlink r:id="rId15" w:history="1">
        <w:r w:rsidR="00F75A5E" w:rsidRPr="0050558D">
          <w:rPr>
            <w:rStyle w:val="af1"/>
          </w:rPr>
          <w:t>https://docs.secnrs.ru/catalog/FNP/NP_038_16/#</w:t>
        </w:r>
      </w:hyperlink>
      <w:r w:rsidR="00F75A5E" w:rsidRPr="002C0984">
        <w:t>)</w:t>
      </w:r>
      <w:r w:rsidR="00F75A5E" w:rsidRPr="00F75A5E">
        <w:t>.</w:t>
      </w:r>
    </w:p>
    <w:p w14:paraId="1732B583" w14:textId="6FC52C75" w:rsidR="0027376F" w:rsidRPr="006D5C0B" w:rsidRDefault="0027376F" w:rsidP="00AE0AE2">
      <w:pPr>
        <w:pStyle w:val="Referencelist"/>
        <w:ind w:left="360"/>
      </w:pPr>
      <w:r w:rsidRPr="006D5C0B">
        <w:t xml:space="preserve">Federal Law of the Russian Federation </w:t>
      </w:r>
      <w:r w:rsidRPr="001F5CCF">
        <w:rPr>
          <w:lang w:val="en-US"/>
        </w:rPr>
        <w:t xml:space="preserve">of May 4, 2011 </w:t>
      </w:r>
      <w:r w:rsidR="001F5CCF" w:rsidRPr="001F5CCF">
        <w:rPr>
          <w:rFonts w:eastAsiaTheme="minorHAnsi"/>
          <w:lang w:val="en-US" w:eastAsia="ar-SA"/>
        </w:rPr>
        <w:t>No.</w:t>
      </w:r>
      <w:r w:rsidRPr="001F5CCF">
        <w:t xml:space="preserve"> </w:t>
      </w:r>
      <w:r w:rsidRPr="001F5CCF">
        <w:rPr>
          <w:lang w:val="en-US"/>
        </w:rPr>
        <w:t>99</w:t>
      </w:r>
      <w:r w:rsidRPr="001F5CCF">
        <w:t>-FZ</w:t>
      </w:r>
      <w:r w:rsidRPr="006D5C0B">
        <w:t xml:space="preserve"> “</w:t>
      </w:r>
      <w:r w:rsidRPr="0027376F">
        <w:rPr>
          <w:lang w:val="en-US"/>
        </w:rPr>
        <w:t>On Licensing of Certain Types of Activity</w:t>
      </w:r>
      <w:r w:rsidRPr="006D5C0B">
        <w:t>”</w:t>
      </w:r>
      <w:r w:rsidR="00B4233F" w:rsidRPr="00B4233F">
        <w:rPr>
          <w:lang w:val="en-US"/>
        </w:rPr>
        <w:t xml:space="preserve"> (</w:t>
      </w:r>
      <w:hyperlink r:id="rId16" w:history="1">
        <w:r w:rsidR="00B4233F" w:rsidRPr="00CD1DA0">
          <w:rPr>
            <w:rStyle w:val="af1"/>
            <w:lang w:val="en-US"/>
          </w:rPr>
          <w:t>http://www.kremlin.ru/acts/bank/33139</w:t>
        </w:r>
      </w:hyperlink>
      <w:r w:rsidR="00B4233F" w:rsidRPr="00B4233F">
        <w:rPr>
          <w:lang w:val="en-US"/>
        </w:rPr>
        <w:t>)</w:t>
      </w:r>
      <w:r w:rsidRPr="006D5C0B">
        <w:t>.</w:t>
      </w:r>
      <w:r w:rsidR="00B4233F" w:rsidRPr="00B4233F">
        <w:rPr>
          <w:lang w:val="en-US"/>
        </w:rPr>
        <w:t xml:space="preserve"> </w:t>
      </w:r>
    </w:p>
    <w:p w14:paraId="0321CE56" w14:textId="77777777" w:rsidR="006D5C0B" w:rsidRDefault="006D5C0B" w:rsidP="006D5C0B">
      <w:pPr>
        <w:pStyle w:val="Referencelist"/>
        <w:ind w:left="360"/>
      </w:pPr>
      <w:r>
        <w:t>Fusion facilities. Glossary. First edition</w:t>
      </w:r>
    </w:p>
    <w:p w14:paraId="1403BD2A" w14:textId="50667905" w:rsidR="00F45EEE" w:rsidRPr="002C0984" w:rsidRDefault="006D5C0B" w:rsidP="002C0984">
      <w:pPr>
        <w:pStyle w:val="Referencelist"/>
        <w:numPr>
          <w:ilvl w:val="0"/>
          <w:numId w:val="0"/>
        </w:numPr>
      </w:pPr>
      <w:r>
        <w:t>(</w:t>
      </w:r>
      <w:hyperlink r:id="rId17" w:history="1">
        <w:r w:rsidR="002C0984" w:rsidRPr="0050558D">
          <w:rPr>
            <w:rStyle w:val="af1"/>
          </w:rPr>
          <w:t>https://docs.secnrs.ru/catalog/works/Ustanovki_upravlyaemogo_termoyadernogo_sinteza_Glossariy_pervaya_redaktsiya/</w:t>
        </w:r>
      </w:hyperlink>
      <w:r>
        <w:t>).</w:t>
      </w:r>
      <w:r w:rsidR="002C0984" w:rsidRPr="002C0984">
        <w:t xml:space="preserve"> </w:t>
      </w:r>
    </w:p>
    <w:sectPr w:rsidR="00F45EEE" w:rsidRPr="002C0984" w:rsidSect="0074740D">
      <w:headerReference w:type="even" r:id="rId18"/>
      <w:headerReference w:type="default" r:id="rId19"/>
      <w:footerReference w:type="even" r:id="rId20"/>
      <w:footerReference w:type="default" r:id="rId21"/>
      <w:headerReference w:type="first" r:id="rId22"/>
      <w:footerReference w:type="first" r:id="rId23"/>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A88D1" w14:textId="77777777" w:rsidR="00753C46" w:rsidRDefault="00753C46">
      <w:r>
        <w:separator/>
      </w:r>
    </w:p>
  </w:endnote>
  <w:endnote w:type="continuationSeparator" w:id="0">
    <w:p w14:paraId="1F77ADA9" w14:textId="77777777" w:rsidR="00753C46" w:rsidRDefault="0075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13C8" w14:textId="082B6270" w:rsidR="00E20E70" w:rsidRDefault="00E20E70">
    <w:pPr>
      <w:pStyle w:val="zyxClassification1"/>
    </w:pPr>
    <w:r>
      <w:fldChar w:fldCharType="begin"/>
    </w:r>
    <w:r>
      <w:instrText xml:space="preserve"> DOCPROPERTY "IaeaClassification"  \* MERGEFORMAT </w:instrText>
    </w:r>
    <w:r>
      <w:fldChar w:fldCharType="end"/>
    </w:r>
  </w:p>
  <w:p w14:paraId="0A52B72D" w14:textId="65E2CC2F" w:rsidR="00E20E70" w:rsidRDefault="00E20E70">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521FB" w14:textId="0D34318A" w:rsidR="00E20E70" w:rsidRDefault="00E20E70">
    <w:pPr>
      <w:pStyle w:val="zyxClassification1"/>
    </w:pPr>
    <w:r>
      <w:fldChar w:fldCharType="begin"/>
    </w:r>
    <w:r>
      <w:instrText xml:space="preserve"> DOCPROPERTY "IaeaClassification"  \* MERGEFORMAT </w:instrText>
    </w:r>
    <w:r>
      <w:fldChar w:fldCharType="end"/>
    </w:r>
  </w:p>
  <w:p w14:paraId="1C255CCC" w14:textId="60C91D38" w:rsidR="00E20E70" w:rsidRPr="00037321" w:rsidRDefault="00037321">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F81411">
      <w:rPr>
        <w:rFonts w:ascii="Times New Roman" w:hAnsi="Times New Roman" w:cs="Times New Roman"/>
        <w:noProof/>
        <w:sz w:val="20"/>
      </w:rPr>
      <w:t>1</w:t>
    </w:r>
    <w:r w:rsidRPr="00037321">
      <w:rPr>
        <w:rFonts w:ascii="Times New Roman" w:hAnsi="Times New Roman" w:cs="Times New Roman"/>
        <w:sz w:val="20"/>
      </w:rPr>
      <w:fldChar w:fldCharType="end"/>
    </w:r>
    <w:r w:rsidR="00E20E70" w:rsidRPr="00037321">
      <w:rPr>
        <w:rFonts w:ascii="Times New Roman" w:hAnsi="Times New Roman" w:cs="Times New Roman"/>
        <w:sz w:val="20"/>
      </w:rPr>
      <w:fldChar w:fldCharType="begin"/>
    </w:r>
    <w:r w:rsidR="00E20E70" w:rsidRPr="00037321">
      <w:rPr>
        <w:rFonts w:ascii="Times New Roman" w:hAnsi="Times New Roman" w:cs="Times New Roman"/>
        <w:sz w:val="20"/>
      </w:rPr>
      <w:instrText>DOCPROPERTY "IaeaClassification2"  \* MERGEFORMAT</w:instrText>
    </w:r>
    <w:r w:rsidR="00E20E70" w:rsidRPr="00037321">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4465049A" w14:textId="77777777">
      <w:trPr>
        <w:cantSplit/>
      </w:trPr>
      <w:tc>
        <w:tcPr>
          <w:tcW w:w="4644" w:type="dxa"/>
        </w:tcPr>
        <w:p w14:paraId="6465D6C2" w14:textId="54211590"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31ECBB1A" w14:textId="3B42FBBC"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2" w:name="DOC_bkmClassification2"/>
      <w:tc>
        <w:tcPr>
          <w:tcW w:w="5670" w:type="dxa"/>
          <w:tcMar>
            <w:right w:w="249" w:type="dxa"/>
          </w:tcMar>
        </w:tcPr>
        <w:p w14:paraId="61D29A20" w14:textId="4CD23345"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2"/>
        <w:p w14:paraId="676FBAFA" w14:textId="5125D89B"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3" w:name="DOC_bkmFileName"/>
  <w:p w14:paraId="726E647B" w14:textId="248A7A7E" w:rsidR="00E20E70" w:rsidRDefault="00E20E70">
    <w:r>
      <w:rPr>
        <w:sz w:val="16"/>
      </w:rPr>
      <w:fldChar w:fldCharType="begin"/>
    </w:r>
    <w:r>
      <w:rPr>
        <w:sz w:val="16"/>
      </w:rPr>
      <w:instrText xml:space="preserve"> FILENAME \* MERGEFORMAT </w:instrText>
    </w:r>
    <w:r>
      <w:rPr>
        <w:sz w:val="16"/>
      </w:rPr>
      <w:fldChar w:fldCharType="separate"/>
    </w:r>
    <w:r w:rsidR="00EF2FEF">
      <w:rPr>
        <w:noProof/>
        <w:sz w:val="16"/>
      </w:rPr>
      <w:t>Manuscript_Polianskii_PWF_FEC 2025</w:t>
    </w:r>
    <w:r>
      <w:rPr>
        <w:sz w:val="16"/>
      </w:rP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A0293" w14:textId="77777777" w:rsidR="00753C46" w:rsidRDefault="00753C46">
      <w:r>
        <w:t>___________________________________________________________________________</w:t>
      </w:r>
    </w:p>
  </w:footnote>
  <w:footnote w:type="continuationSeparator" w:id="0">
    <w:p w14:paraId="1EF4539C" w14:textId="77777777" w:rsidR="00753C46" w:rsidRDefault="00753C46">
      <w:r>
        <w:t>___________________________________________________________________________</w:t>
      </w:r>
    </w:p>
  </w:footnote>
  <w:footnote w:type="continuationNotice" w:id="1">
    <w:p w14:paraId="6E8F8EFB" w14:textId="77777777" w:rsidR="00753C46" w:rsidRDefault="00753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A6D30" w14:textId="06512571" w:rsidR="00E20E70" w:rsidRDefault="00CF7AF3" w:rsidP="006A660C">
    <w:pPr>
      <w:pStyle w:val="Runninghead"/>
    </w:pPr>
    <w:r>
      <w:tab/>
    </w:r>
    <w:r w:rsidR="00F81427" w:rsidRPr="00F81427">
      <w:t>IAEA-CN-316/</w:t>
    </w:r>
    <w:r w:rsidR="006A660C">
      <w:rPr>
        <w:lang w:val="ru-RU"/>
      </w:rPr>
      <w:t>3378</w:t>
    </w:r>
    <w:r w:rsidR="00E20E70">
      <w:fldChar w:fldCharType="begin"/>
    </w:r>
    <w:r w:rsidR="00E20E70">
      <w:instrText xml:space="preserve"> DOCPROPERTY "IaeaClassification"  \* MERGEFORMAT </w:instrText>
    </w:r>
    <w:r w:rsidR="00E20E70">
      <w:fldChar w:fldCharType="end"/>
    </w:r>
  </w:p>
  <w:p w14:paraId="214BAC5F" w14:textId="520C69D4" w:rsidR="00E20E70" w:rsidRDefault="00E20E70">
    <w:pPr>
      <w:pStyle w:val="zyxClassification2"/>
    </w:pPr>
    <w:r>
      <w:fldChar w:fldCharType="begin"/>
    </w:r>
    <w:r>
      <w:instrText>DOCPROPERTY "IaeaClassification2"  \* MERGEFORMAT</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17FAF" w14:textId="18B6AC8B" w:rsidR="00E20E70" w:rsidRDefault="006D5C0B" w:rsidP="00B82FA5">
    <w:pPr>
      <w:pStyle w:val="Runninghead"/>
    </w:pPr>
    <w:r w:rsidRPr="006D5C0B">
      <w:t>M. POLIANSKII</w:t>
    </w:r>
    <w:r w:rsidR="00AC5A3A">
      <w:t xml:space="preserve"> </w:t>
    </w:r>
    <w:r w:rsidRPr="006D5C0B">
      <w:t>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5DBD8CF3" w14:textId="77777777">
      <w:trPr>
        <w:cantSplit/>
        <w:trHeight w:val="716"/>
      </w:trPr>
      <w:tc>
        <w:tcPr>
          <w:tcW w:w="979" w:type="dxa"/>
          <w:vMerge w:val="restart"/>
        </w:tcPr>
        <w:p w14:paraId="3B1AD97B" w14:textId="77777777" w:rsidR="00E20E70" w:rsidRDefault="00E20E70">
          <w:pPr>
            <w:spacing w:before="180"/>
            <w:ind w:left="17"/>
          </w:pPr>
        </w:p>
      </w:tc>
      <w:tc>
        <w:tcPr>
          <w:tcW w:w="3638" w:type="dxa"/>
          <w:vAlign w:val="bottom"/>
        </w:tcPr>
        <w:p w14:paraId="101610DD" w14:textId="77777777" w:rsidR="00E20E70" w:rsidRDefault="00E20E70">
          <w:pPr>
            <w:spacing w:after="20"/>
          </w:pPr>
        </w:p>
      </w:tc>
      <w:bookmarkStart w:id="1" w:name="DOC_bkmClassification1"/>
      <w:tc>
        <w:tcPr>
          <w:tcW w:w="5702" w:type="dxa"/>
          <w:vMerge w:val="restart"/>
          <w:tcMar>
            <w:right w:w="193" w:type="dxa"/>
          </w:tcMar>
        </w:tcPr>
        <w:p w14:paraId="3991A535" w14:textId="389FF616"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1"/>
        <w:p w14:paraId="237BC191" w14:textId="691BDD16" w:rsidR="00E20E70" w:rsidRDefault="00E20E70">
          <w:pPr>
            <w:pStyle w:val="zyxConfid2Red"/>
          </w:pPr>
          <w:r>
            <w:fldChar w:fldCharType="begin"/>
          </w:r>
          <w:r>
            <w:instrText>DOCPROPERTY "IaeaClassification2"  \* MERGEFORMAT</w:instrText>
          </w:r>
          <w:r>
            <w:fldChar w:fldCharType="end"/>
          </w:r>
        </w:p>
      </w:tc>
    </w:tr>
    <w:tr w:rsidR="00E20E70" w14:paraId="2A83CB65" w14:textId="77777777">
      <w:trPr>
        <w:cantSplit/>
        <w:trHeight w:val="167"/>
      </w:trPr>
      <w:tc>
        <w:tcPr>
          <w:tcW w:w="979" w:type="dxa"/>
          <w:vMerge/>
        </w:tcPr>
        <w:p w14:paraId="4BD525BC" w14:textId="77777777" w:rsidR="00E20E70" w:rsidRDefault="00E20E70">
          <w:pPr>
            <w:spacing w:before="57"/>
          </w:pPr>
        </w:p>
      </w:tc>
      <w:tc>
        <w:tcPr>
          <w:tcW w:w="3638" w:type="dxa"/>
          <w:vAlign w:val="bottom"/>
        </w:tcPr>
        <w:p w14:paraId="4B1586DF" w14:textId="77777777" w:rsidR="00E20E70" w:rsidRDefault="00E20E70">
          <w:pPr>
            <w:pStyle w:val="9"/>
            <w:spacing w:before="0" w:after="10"/>
          </w:pPr>
        </w:p>
      </w:tc>
      <w:tc>
        <w:tcPr>
          <w:tcW w:w="5702" w:type="dxa"/>
          <w:vMerge/>
          <w:vAlign w:val="bottom"/>
        </w:tcPr>
        <w:p w14:paraId="13E3F03B" w14:textId="77777777" w:rsidR="00E20E70" w:rsidRDefault="00E20E70">
          <w:pPr>
            <w:pStyle w:val="9"/>
            <w:spacing w:before="0" w:after="10"/>
          </w:pPr>
        </w:p>
      </w:tc>
    </w:tr>
  </w:tbl>
  <w:p w14:paraId="1D1EB1DE" w14:textId="77777777" w:rsidR="00E20E70"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1B6AD5A"/>
    <w:lvl w:ilvl="0">
      <w:numFmt w:val="decimal"/>
      <w:lvlText w:val="*"/>
      <w:lvlJc w:val="left"/>
    </w:lvl>
  </w:abstractNum>
  <w:abstractNum w:abstractNumId="1"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3" w15:restartNumberingAfterBreak="0">
    <w:nsid w:val="179F5671"/>
    <w:multiLevelType w:val="hybridMultilevel"/>
    <w:tmpl w:val="67246400"/>
    <w:name w:val="HeadingTemplate2"/>
    <w:lvl w:ilvl="0" w:tplc="EDCE82DC">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7" w15:restartNumberingAfterBreak="0">
    <w:nsid w:val="3D18048A"/>
    <w:multiLevelType w:val="hybridMultilevel"/>
    <w:tmpl w:val="1642268C"/>
    <w:name w:val="HeadingTemplate222"/>
    <w:lvl w:ilvl="0" w:tplc="309A0324">
      <w:start w:val="1"/>
      <w:numFmt w:val="decimal"/>
      <w:pStyle w:val="Reference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54619C"/>
    <w:multiLevelType w:val="hybridMultilevel"/>
    <w:tmpl w:val="CAA46C68"/>
    <w:lvl w:ilvl="0" w:tplc="3EFC9C92">
      <w:start w:val="1"/>
      <w:numFmt w:val="bullet"/>
      <w:lvlText w:val=""/>
      <w:lvlJc w:val="left"/>
      <w:pPr>
        <w:tabs>
          <w:tab w:val="num" w:pos="720"/>
        </w:tabs>
        <w:ind w:left="720" w:hanging="360"/>
      </w:pPr>
      <w:rPr>
        <w:rFonts w:ascii="Wingdings" w:hAnsi="Wingdings" w:hint="default"/>
      </w:rPr>
    </w:lvl>
    <w:lvl w:ilvl="1" w:tplc="3788DE0E" w:tentative="1">
      <w:start w:val="1"/>
      <w:numFmt w:val="bullet"/>
      <w:lvlText w:val=""/>
      <w:lvlJc w:val="left"/>
      <w:pPr>
        <w:tabs>
          <w:tab w:val="num" w:pos="1440"/>
        </w:tabs>
        <w:ind w:left="1440" w:hanging="360"/>
      </w:pPr>
      <w:rPr>
        <w:rFonts w:ascii="Wingdings" w:hAnsi="Wingdings" w:hint="default"/>
      </w:rPr>
    </w:lvl>
    <w:lvl w:ilvl="2" w:tplc="7E223D4C" w:tentative="1">
      <w:start w:val="1"/>
      <w:numFmt w:val="bullet"/>
      <w:lvlText w:val=""/>
      <w:lvlJc w:val="left"/>
      <w:pPr>
        <w:tabs>
          <w:tab w:val="num" w:pos="2160"/>
        </w:tabs>
        <w:ind w:left="2160" w:hanging="360"/>
      </w:pPr>
      <w:rPr>
        <w:rFonts w:ascii="Wingdings" w:hAnsi="Wingdings" w:hint="default"/>
      </w:rPr>
    </w:lvl>
    <w:lvl w:ilvl="3" w:tplc="207CB7D8" w:tentative="1">
      <w:start w:val="1"/>
      <w:numFmt w:val="bullet"/>
      <w:lvlText w:val=""/>
      <w:lvlJc w:val="left"/>
      <w:pPr>
        <w:tabs>
          <w:tab w:val="num" w:pos="2880"/>
        </w:tabs>
        <w:ind w:left="2880" w:hanging="360"/>
      </w:pPr>
      <w:rPr>
        <w:rFonts w:ascii="Wingdings" w:hAnsi="Wingdings" w:hint="default"/>
      </w:rPr>
    </w:lvl>
    <w:lvl w:ilvl="4" w:tplc="7A42AE92" w:tentative="1">
      <w:start w:val="1"/>
      <w:numFmt w:val="bullet"/>
      <w:lvlText w:val=""/>
      <w:lvlJc w:val="left"/>
      <w:pPr>
        <w:tabs>
          <w:tab w:val="num" w:pos="3600"/>
        </w:tabs>
        <w:ind w:left="3600" w:hanging="360"/>
      </w:pPr>
      <w:rPr>
        <w:rFonts w:ascii="Wingdings" w:hAnsi="Wingdings" w:hint="default"/>
      </w:rPr>
    </w:lvl>
    <w:lvl w:ilvl="5" w:tplc="B0DEB194" w:tentative="1">
      <w:start w:val="1"/>
      <w:numFmt w:val="bullet"/>
      <w:lvlText w:val=""/>
      <w:lvlJc w:val="left"/>
      <w:pPr>
        <w:tabs>
          <w:tab w:val="num" w:pos="4320"/>
        </w:tabs>
        <w:ind w:left="4320" w:hanging="360"/>
      </w:pPr>
      <w:rPr>
        <w:rFonts w:ascii="Wingdings" w:hAnsi="Wingdings" w:hint="default"/>
      </w:rPr>
    </w:lvl>
    <w:lvl w:ilvl="6" w:tplc="EF541926" w:tentative="1">
      <w:start w:val="1"/>
      <w:numFmt w:val="bullet"/>
      <w:lvlText w:val=""/>
      <w:lvlJc w:val="left"/>
      <w:pPr>
        <w:tabs>
          <w:tab w:val="num" w:pos="5040"/>
        </w:tabs>
        <w:ind w:left="5040" w:hanging="360"/>
      </w:pPr>
      <w:rPr>
        <w:rFonts w:ascii="Wingdings" w:hAnsi="Wingdings" w:hint="default"/>
      </w:rPr>
    </w:lvl>
    <w:lvl w:ilvl="7" w:tplc="1D3CD41E" w:tentative="1">
      <w:start w:val="1"/>
      <w:numFmt w:val="bullet"/>
      <w:lvlText w:val=""/>
      <w:lvlJc w:val="left"/>
      <w:pPr>
        <w:tabs>
          <w:tab w:val="num" w:pos="5760"/>
        </w:tabs>
        <w:ind w:left="5760" w:hanging="360"/>
      </w:pPr>
      <w:rPr>
        <w:rFonts w:ascii="Wingdings" w:hAnsi="Wingdings" w:hint="default"/>
      </w:rPr>
    </w:lvl>
    <w:lvl w:ilvl="8" w:tplc="261433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0"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suff w:val="space"/>
      <w:lvlText w:val="%1%2."/>
      <w:lvlJc w:val="left"/>
      <w:pPr>
        <w:ind w:left="0" w:firstLine="0"/>
      </w:pPr>
      <w:rPr>
        <w:rFonts w:hint="default"/>
        <w:color w:val="auto"/>
      </w:rPr>
    </w:lvl>
    <w:lvl w:ilvl="2">
      <w:start w:val="1"/>
      <w:numFmt w:val="decimal"/>
      <w:lvlRestart w:val="0"/>
      <w:pStyle w:val="3"/>
      <w:lvlText w:val="%1%2.%3."/>
      <w:lvlJc w:val="left"/>
      <w:pPr>
        <w:ind w:left="0" w:firstLine="0"/>
      </w:pPr>
      <w:rPr>
        <w:rFonts w:hint="default"/>
      </w:rPr>
    </w:lvl>
    <w:lvl w:ilvl="3">
      <w:start w:val="1"/>
      <w:numFmt w:val="decimal"/>
      <w:lvlRestart w:val="0"/>
      <w:pStyle w:val="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3"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7DF0A60"/>
    <w:multiLevelType w:val="hybridMultilevel"/>
    <w:tmpl w:val="4CF25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2"/>
  </w:num>
  <w:num w:numId="4">
    <w:abstractNumId w:val="12"/>
  </w:num>
  <w:num w:numId="5">
    <w:abstractNumId w:val="12"/>
  </w:num>
  <w:num w:numId="6">
    <w:abstractNumId w:val="6"/>
  </w:num>
  <w:num w:numId="7">
    <w:abstractNumId w:val="10"/>
  </w:num>
  <w:num w:numId="8">
    <w:abstractNumId w:val="13"/>
  </w:num>
  <w:num w:numId="9">
    <w:abstractNumId w:val="2"/>
  </w:num>
  <w:num w:numId="10">
    <w:abstractNumId w:val="12"/>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lvlText w:val="%1%2."/>
        <w:lvlJc w:val="left"/>
        <w:pPr>
          <w:ind w:left="0" w:firstLine="0"/>
        </w:pPr>
        <w:rPr>
          <w:rFonts w:hint="default"/>
          <w:color w:val="auto"/>
        </w:rPr>
      </w:lvl>
    </w:lvlOverride>
    <w:lvlOverride w:ilvl="2">
      <w:lvl w:ilvl="2">
        <w:start w:val="1"/>
        <w:numFmt w:val="decimal"/>
        <w:lvlRestart w:val="0"/>
        <w:pStyle w:val="3"/>
        <w:lvlText w:val="%1%2.%3."/>
        <w:lvlJc w:val="left"/>
        <w:pPr>
          <w:ind w:left="0" w:firstLine="0"/>
        </w:pPr>
        <w:rPr>
          <w:rFonts w:hint="default"/>
        </w:rPr>
      </w:lvl>
    </w:lvlOverride>
    <w:lvlOverride w:ilvl="3">
      <w:lvl w:ilvl="3">
        <w:start w:val="1"/>
        <w:numFmt w:val="none"/>
        <w:lvlRestart w:val="0"/>
        <w:pStyle w:val="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abstractNumId w:val="12"/>
  </w:num>
  <w:num w:numId="12">
    <w:abstractNumId w:val="12"/>
  </w:num>
  <w:num w:numId="13">
    <w:abstractNumId w:val="12"/>
  </w:num>
  <w:num w:numId="14">
    <w:abstractNumId w:val="12"/>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suff w:val="space"/>
        <w:lvlText w:val="%1%2."/>
        <w:lvlJc w:val="left"/>
        <w:pPr>
          <w:ind w:left="0" w:firstLine="0"/>
        </w:pPr>
        <w:rPr>
          <w:rFonts w:hint="default"/>
          <w:color w:val="auto"/>
        </w:rPr>
      </w:lvl>
    </w:lvlOverride>
    <w:lvlOverride w:ilvl="2">
      <w:lvl w:ilvl="2">
        <w:start w:val="1"/>
        <w:numFmt w:val="decimal"/>
        <w:lvlRestart w:val="0"/>
        <w:pStyle w:val="3"/>
        <w:suff w:val="space"/>
        <w:lvlText w:val="%1%2.%3."/>
        <w:lvlJc w:val="left"/>
        <w:pPr>
          <w:ind w:left="0" w:firstLine="0"/>
        </w:pPr>
        <w:rPr>
          <w:rFonts w:hint="default"/>
        </w:rPr>
      </w:lvl>
    </w:lvlOverride>
    <w:lvlOverride w:ilvl="3">
      <w:lvl w:ilvl="3">
        <w:start w:val="1"/>
        <w:numFmt w:val="decimal"/>
        <w:lvlRestart w:val="0"/>
        <w:pStyle w:val="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abstractNumId w:val="12"/>
  </w:num>
  <w:num w:numId="16">
    <w:abstractNumId w:val="12"/>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
  </w:num>
  <w:num w:numId="21">
    <w:abstractNumId w:val="12"/>
  </w:num>
  <w:num w:numId="22">
    <w:abstractNumId w:val="4"/>
  </w:num>
  <w:num w:numId="23">
    <w:abstractNumId w:val="1"/>
  </w:num>
  <w:num w:numId="24">
    <w:abstractNumId w:val="11"/>
  </w:num>
  <w:num w:numId="25">
    <w:abstractNumId w:val="12"/>
  </w:num>
  <w:num w:numId="26">
    <w:abstractNumId w:val="12"/>
  </w:num>
  <w:num w:numId="27">
    <w:abstractNumId w:val="12"/>
  </w:num>
  <w:num w:numId="28">
    <w:abstractNumId w:val="12"/>
  </w:num>
  <w:num w:numId="29">
    <w:abstractNumId w:val="12"/>
  </w:num>
  <w:num w:numId="30">
    <w:abstractNumId w:val="7"/>
  </w:num>
  <w:num w:numId="31">
    <w:abstractNumId w:val="7"/>
  </w:num>
  <w:num w:numId="32">
    <w:abstractNumId w:val="12"/>
  </w:num>
  <w:num w:numId="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4">
    <w:abstractNumId w:val="3"/>
  </w:num>
  <w:num w:numId="35">
    <w:abstractNumId w:val="14"/>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11C41"/>
    <w:rsid w:val="000229AB"/>
    <w:rsid w:val="0002569A"/>
    <w:rsid w:val="000300A7"/>
    <w:rsid w:val="00037321"/>
    <w:rsid w:val="00045FA9"/>
    <w:rsid w:val="00082BE8"/>
    <w:rsid w:val="000A0299"/>
    <w:rsid w:val="000C7D66"/>
    <w:rsid w:val="000F7E94"/>
    <w:rsid w:val="001119D6"/>
    <w:rsid w:val="0012117D"/>
    <w:rsid w:val="001308F2"/>
    <w:rsid w:val="001313E8"/>
    <w:rsid w:val="00153B3F"/>
    <w:rsid w:val="00157BE2"/>
    <w:rsid w:val="00170D27"/>
    <w:rsid w:val="00195293"/>
    <w:rsid w:val="001A0D66"/>
    <w:rsid w:val="001C58F5"/>
    <w:rsid w:val="001D5CEE"/>
    <w:rsid w:val="001F49FB"/>
    <w:rsid w:val="001F5CCF"/>
    <w:rsid w:val="002071D9"/>
    <w:rsid w:val="00226B3C"/>
    <w:rsid w:val="00256822"/>
    <w:rsid w:val="0026525A"/>
    <w:rsid w:val="0027376F"/>
    <w:rsid w:val="00274790"/>
    <w:rsid w:val="00285755"/>
    <w:rsid w:val="002A1F9C"/>
    <w:rsid w:val="002A6086"/>
    <w:rsid w:val="002B29C2"/>
    <w:rsid w:val="002C0984"/>
    <w:rsid w:val="002C4208"/>
    <w:rsid w:val="002D61FF"/>
    <w:rsid w:val="002D7969"/>
    <w:rsid w:val="00321882"/>
    <w:rsid w:val="00352DE1"/>
    <w:rsid w:val="00360671"/>
    <w:rsid w:val="003728E6"/>
    <w:rsid w:val="003B5E0E"/>
    <w:rsid w:val="003C1316"/>
    <w:rsid w:val="003D255A"/>
    <w:rsid w:val="003F0622"/>
    <w:rsid w:val="003F08E9"/>
    <w:rsid w:val="00416949"/>
    <w:rsid w:val="004370D8"/>
    <w:rsid w:val="00446113"/>
    <w:rsid w:val="00472854"/>
    <w:rsid w:val="00472C43"/>
    <w:rsid w:val="00477B19"/>
    <w:rsid w:val="00537496"/>
    <w:rsid w:val="00544ED3"/>
    <w:rsid w:val="0055303A"/>
    <w:rsid w:val="0058477B"/>
    <w:rsid w:val="0058654F"/>
    <w:rsid w:val="00596ACA"/>
    <w:rsid w:val="005B0398"/>
    <w:rsid w:val="005E39BC"/>
    <w:rsid w:val="005F00A0"/>
    <w:rsid w:val="006000B2"/>
    <w:rsid w:val="00623147"/>
    <w:rsid w:val="00647F33"/>
    <w:rsid w:val="00662532"/>
    <w:rsid w:val="006A660C"/>
    <w:rsid w:val="006B2274"/>
    <w:rsid w:val="006C57C3"/>
    <w:rsid w:val="006D5C0B"/>
    <w:rsid w:val="006D7750"/>
    <w:rsid w:val="006F2F13"/>
    <w:rsid w:val="00703CC7"/>
    <w:rsid w:val="00717C6F"/>
    <w:rsid w:val="007445DA"/>
    <w:rsid w:val="0074740D"/>
    <w:rsid w:val="00753C46"/>
    <w:rsid w:val="00765630"/>
    <w:rsid w:val="007A483F"/>
    <w:rsid w:val="007B4FD1"/>
    <w:rsid w:val="00802381"/>
    <w:rsid w:val="00823306"/>
    <w:rsid w:val="008270D0"/>
    <w:rsid w:val="00883848"/>
    <w:rsid w:val="00894273"/>
    <w:rsid w:val="00897ED5"/>
    <w:rsid w:val="008A7EEE"/>
    <w:rsid w:val="008B6BB9"/>
    <w:rsid w:val="008C3C89"/>
    <w:rsid w:val="008F4C98"/>
    <w:rsid w:val="00911543"/>
    <w:rsid w:val="009519C9"/>
    <w:rsid w:val="009D0B86"/>
    <w:rsid w:val="009E0D5B"/>
    <w:rsid w:val="009E1558"/>
    <w:rsid w:val="009E2C90"/>
    <w:rsid w:val="00A0200D"/>
    <w:rsid w:val="00A42898"/>
    <w:rsid w:val="00A964E3"/>
    <w:rsid w:val="00AB6ACE"/>
    <w:rsid w:val="00AC5A3A"/>
    <w:rsid w:val="00AD4958"/>
    <w:rsid w:val="00AE0AE2"/>
    <w:rsid w:val="00B1443F"/>
    <w:rsid w:val="00B161E5"/>
    <w:rsid w:val="00B212F4"/>
    <w:rsid w:val="00B4233F"/>
    <w:rsid w:val="00B74ACA"/>
    <w:rsid w:val="00B82FA5"/>
    <w:rsid w:val="00BD1400"/>
    <w:rsid w:val="00BD196C"/>
    <w:rsid w:val="00BD605C"/>
    <w:rsid w:val="00BE2A76"/>
    <w:rsid w:val="00C5120E"/>
    <w:rsid w:val="00C65E60"/>
    <w:rsid w:val="00C71E26"/>
    <w:rsid w:val="00CC1562"/>
    <w:rsid w:val="00CC6955"/>
    <w:rsid w:val="00CE5A52"/>
    <w:rsid w:val="00CF7AF3"/>
    <w:rsid w:val="00D12E72"/>
    <w:rsid w:val="00D26ADA"/>
    <w:rsid w:val="00D35A78"/>
    <w:rsid w:val="00D53F64"/>
    <w:rsid w:val="00D555A1"/>
    <w:rsid w:val="00D64DC2"/>
    <w:rsid w:val="00DA46CA"/>
    <w:rsid w:val="00DF21EB"/>
    <w:rsid w:val="00E0748B"/>
    <w:rsid w:val="00E20E70"/>
    <w:rsid w:val="00E24E97"/>
    <w:rsid w:val="00E25B68"/>
    <w:rsid w:val="00E428DD"/>
    <w:rsid w:val="00E84003"/>
    <w:rsid w:val="00EC10FC"/>
    <w:rsid w:val="00EC5DE1"/>
    <w:rsid w:val="00EE0041"/>
    <w:rsid w:val="00EE29B9"/>
    <w:rsid w:val="00EF2FEF"/>
    <w:rsid w:val="00EF6B63"/>
    <w:rsid w:val="00F004EE"/>
    <w:rsid w:val="00F04963"/>
    <w:rsid w:val="00F10ED3"/>
    <w:rsid w:val="00F42E23"/>
    <w:rsid w:val="00F45EEE"/>
    <w:rsid w:val="00F51E9C"/>
    <w:rsid w:val="00F523CA"/>
    <w:rsid w:val="00F64829"/>
    <w:rsid w:val="00F70F80"/>
    <w:rsid w:val="00F74A9D"/>
    <w:rsid w:val="00F75A5E"/>
    <w:rsid w:val="00F81411"/>
    <w:rsid w:val="00F81427"/>
    <w:rsid w:val="00FF386F"/>
    <w:rsid w:val="00FF70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5981A"/>
  <w15:docId w15:val="{1D5323B3-0188-4AAC-A100-D1474308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49" w:defSemiHidden="0" w:defUnhideWhenUsed="0" w:defQFormat="0" w:count="375">
    <w:lsdException w:name="Normal" w:locked="0"/>
    <w:lsdException w:name="heading 1" w:locked="0" w:uiPriority="0" w:qFormat="1"/>
    <w:lsdException w:name="heading 2" w:locked="0" w:uiPriority="0" w:qFormat="1"/>
    <w:lsdException w:name="heading 3" w:locked="0" w:semiHidden="1" w:uiPriority="4"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lsdException w:name="footer" w:locked="0" w:semiHidden="1" w:uiPriority="99" w:unhideWhenUsed="1"/>
    <w:lsdException w:name="index heading"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locked="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uiPriority w:val="49"/>
    <w:rsid w:val="00CF7AF3"/>
    <w:pPr>
      <w:overflowPunct w:val="0"/>
      <w:autoSpaceDE w:val="0"/>
      <w:autoSpaceDN w:val="0"/>
      <w:adjustRightInd w:val="0"/>
      <w:textAlignment w:val="baseline"/>
    </w:pPr>
    <w:rPr>
      <w:sz w:val="22"/>
      <w:lang w:eastAsia="en-US"/>
    </w:rPr>
  </w:style>
  <w:style w:type="paragraph" w:styleId="1">
    <w:name w:val="heading 1"/>
    <w:aliases w:val="Paper title"/>
    <w:next w:val="a0"/>
    <w:link w:val="10"/>
    <w:qFormat/>
    <w:rsid w:val="00EE29B9"/>
    <w:pPr>
      <w:spacing w:line="280" w:lineRule="atLeast"/>
      <w:ind w:left="567" w:right="567"/>
      <w:outlineLvl w:val="0"/>
    </w:pPr>
    <w:rPr>
      <w:rFonts w:ascii="Times New Roman Bold" w:hAnsi="Times New Roman Bold"/>
      <w:b/>
      <w:caps/>
      <w:sz w:val="24"/>
      <w:lang w:val="en-US" w:eastAsia="en-US"/>
    </w:rPr>
  </w:style>
  <w:style w:type="paragraph" w:styleId="2">
    <w:name w:val="heading 2"/>
    <w:aliases w:val="1st level paper heading"/>
    <w:next w:val="a1"/>
    <w:link w:val="20"/>
    <w:qFormat/>
    <w:rsid w:val="00EE0041"/>
    <w:pPr>
      <w:widowControl w:val="0"/>
      <w:spacing w:before="100" w:beforeAutospacing="1" w:after="100" w:afterAutospacing="1" w:line="280" w:lineRule="atLeast"/>
      <w:outlineLvl w:val="1"/>
    </w:pPr>
    <w:rPr>
      <w:caps/>
      <w:lang w:eastAsia="en-US"/>
    </w:rPr>
  </w:style>
  <w:style w:type="paragraph" w:styleId="3">
    <w:name w:val="heading 3"/>
    <w:aliases w:val="2nd level paper heading"/>
    <w:next w:val="a1"/>
    <w:uiPriority w:val="4"/>
    <w:qFormat/>
    <w:rsid w:val="00897ED5"/>
    <w:pPr>
      <w:widowControl w:val="0"/>
      <w:numPr>
        <w:ilvl w:val="2"/>
        <w:numId w:val="12"/>
      </w:numPr>
      <w:spacing w:before="240" w:after="240" w:line="240" w:lineRule="exact"/>
      <w:outlineLvl w:val="2"/>
    </w:pPr>
    <w:rPr>
      <w:b/>
      <w:lang w:eastAsia="en-US"/>
    </w:rPr>
  </w:style>
  <w:style w:type="paragraph" w:styleId="4">
    <w:name w:val="heading 4"/>
    <w:aliases w:val="3rd level paper heading"/>
    <w:basedOn w:val="a"/>
    <w:next w:val="a1"/>
    <w:uiPriority w:val="4"/>
    <w:qFormat/>
    <w:rsid w:val="00897ED5"/>
    <w:pPr>
      <w:widowControl w:val="0"/>
      <w:numPr>
        <w:ilvl w:val="3"/>
        <w:numId w:val="12"/>
      </w:numPr>
      <w:spacing w:before="100" w:beforeAutospacing="1" w:after="100" w:afterAutospacing="1" w:line="240" w:lineRule="atLeast"/>
      <w:outlineLvl w:val="3"/>
    </w:pPr>
    <w:rPr>
      <w:i/>
      <w:sz w:val="20"/>
      <w:lang w:val="en-US"/>
    </w:rPr>
  </w:style>
  <w:style w:type="paragraph" w:styleId="5">
    <w:name w:val="heading 5"/>
    <w:basedOn w:val="a"/>
    <w:next w:val="a"/>
    <w:uiPriority w:val="19"/>
    <w:locked/>
    <w:pPr>
      <w:overflowPunct/>
      <w:autoSpaceDE/>
      <w:autoSpaceDN/>
      <w:adjustRightInd/>
      <w:spacing w:before="240" w:after="60"/>
      <w:textAlignment w:val="auto"/>
      <w:outlineLvl w:val="4"/>
    </w:pPr>
    <w:rPr>
      <w:b/>
      <w:bCs/>
      <w:i/>
      <w:iCs/>
      <w:sz w:val="26"/>
      <w:szCs w:val="26"/>
      <w:lang w:val="en-US"/>
    </w:rPr>
  </w:style>
  <w:style w:type="paragraph" w:styleId="6">
    <w:name w:val="heading 6"/>
    <w:basedOn w:val="a"/>
    <w:next w:val="a"/>
    <w:uiPriority w:val="19"/>
    <w:locked/>
    <w:pPr>
      <w:overflowPunct/>
      <w:autoSpaceDE/>
      <w:autoSpaceDN/>
      <w:adjustRightInd/>
      <w:spacing w:before="240" w:after="60"/>
      <w:textAlignment w:val="auto"/>
      <w:outlineLvl w:val="5"/>
    </w:pPr>
    <w:rPr>
      <w:b/>
      <w:bCs/>
      <w:szCs w:val="22"/>
      <w:lang w:val="en-US"/>
    </w:rPr>
  </w:style>
  <w:style w:type="paragraph" w:styleId="7">
    <w:name w:val="heading 7"/>
    <w:basedOn w:val="a"/>
    <w:next w:val="a"/>
    <w:uiPriority w:val="19"/>
    <w:locked/>
    <w:pPr>
      <w:overflowPunct/>
      <w:autoSpaceDE/>
      <w:autoSpaceDN/>
      <w:adjustRightInd/>
      <w:spacing w:before="240" w:after="60"/>
      <w:textAlignment w:val="auto"/>
      <w:outlineLvl w:val="6"/>
    </w:pPr>
    <w:rPr>
      <w:szCs w:val="24"/>
      <w:lang w:val="en-US"/>
    </w:rPr>
  </w:style>
  <w:style w:type="paragraph" w:styleId="8">
    <w:name w:val="heading 8"/>
    <w:basedOn w:val="a"/>
    <w:next w:val="a"/>
    <w:uiPriority w:val="19"/>
    <w:locked/>
    <w:pPr>
      <w:overflowPunct/>
      <w:autoSpaceDE/>
      <w:autoSpaceDN/>
      <w:adjustRightInd/>
      <w:spacing w:before="240" w:after="60"/>
      <w:textAlignment w:val="auto"/>
      <w:outlineLvl w:val="7"/>
    </w:pPr>
    <w:rPr>
      <w:i/>
      <w:iCs/>
      <w:szCs w:val="24"/>
      <w:lang w:val="en-US"/>
    </w:rPr>
  </w:style>
  <w:style w:type="paragraph" w:styleId="9">
    <w:name w:val="heading 9"/>
    <w:basedOn w:val="a"/>
    <w:next w:val="a"/>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link w:val="a5"/>
    <w:qFormat/>
    <w:rsid w:val="00647F33"/>
    <w:pPr>
      <w:spacing w:line="260" w:lineRule="atLeast"/>
      <w:ind w:firstLine="567"/>
      <w:contextualSpacing/>
      <w:jc w:val="both"/>
    </w:pPr>
    <w:rPr>
      <w:lang w:eastAsia="en-US"/>
    </w:rPr>
  </w:style>
  <w:style w:type="paragraph" w:styleId="a6">
    <w:name w:val="Body Text Indent"/>
    <w:basedOn w:val="a1"/>
    <w:uiPriority w:val="49"/>
    <w:locked/>
    <w:pPr>
      <w:ind w:left="1134" w:hanging="675"/>
    </w:pPr>
  </w:style>
  <w:style w:type="paragraph" w:customStyle="1" w:styleId="BodyTextMultiline">
    <w:name w:val="Body Text Multiline"/>
    <w:basedOn w:val="a1"/>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a7">
    <w:name w:val="caption"/>
    <w:next w:val="a"/>
    <w:uiPriority w:val="49"/>
    <w:qFormat/>
    <w:pPr>
      <w:spacing w:after="85"/>
    </w:pPr>
    <w:rPr>
      <w:bCs/>
      <w:sz w:val="18"/>
      <w:lang w:val="en-US" w:eastAsia="en-US"/>
    </w:rPr>
  </w:style>
  <w:style w:type="paragraph" w:styleId="a8">
    <w:name w:val="footer"/>
    <w:basedOn w:val="a"/>
    <w:link w:val="a9"/>
    <w:uiPriority w:val="99"/>
    <w:locked/>
    <w:pPr>
      <w:overflowPunct/>
      <w:autoSpaceDE/>
      <w:autoSpaceDN/>
      <w:adjustRightInd/>
      <w:textAlignment w:val="auto"/>
    </w:pPr>
    <w:rPr>
      <w:sz w:val="2"/>
      <w:lang w:val="en-US"/>
    </w:rPr>
  </w:style>
  <w:style w:type="paragraph" w:styleId="aa">
    <w:name w:val="footnote text"/>
    <w:semiHidden/>
    <w:locked/>
    <w:pPr>
      <w:tabs>
        <w:tab w:val="left" w:pos="459"/>
      </w:tabs>
      <w:spacing w:before="142"/>
      <w:ind w:left="459"/>
      <w:jc w:val="both"/>
    </w:pPr>
    <w:rPr>
      <w:sz w:val="18"/>
      <w:lang w:eastAsia="en-US"/>
    </w:rPr>
  </w:style>
  <w:style w:type="paragraph" w:styleId="ab">
    <w:name w:val="header"/>
    <w:next w:val="a1"/>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a1"/>
    <w:uiPriority w:val="6"/>
    <w:qFormat/>
    <w:rsid w:val="00717C6F"/>
    <w:pPr>
      <w:ind w:firstLine="0"/>
    </w:pPr>
  </w:style>
  <w:style w:type="paragraph" w:customStyle="1" w:styleId="ListNumbered">
    <w:name w:val="List Numbered"/>
    <w:basedOn w:val="a1"/>
    <w:uiPriority w:val="5"/>
    <w:qFormat/>
    <w:locked/>
    <w:rsid w:val="00717C6F"/>
    <w:pPr>
      <w:numPr>
        <w:numId w:val="22"/>
      </w:numPr>
    </w:pPr>
  </w:style>
  <w:style w:type="paragraph" w:styleId="ac">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a"/>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a"/>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a"/>
    <w:uiPriority w:val="49"/>
    <w:locked/>
    <w:pPr>
      <w:keepNext/>
      <w:spacing w:after="10"/>
    </w:pPr>
    <w:rPr>
      <w:rFonts w:ascii="Arial" w:hAnsi="Arial"/>
      <w:b/>
      <w:sz w:val="13"/>
    </w:rPr>
  </w:style>
  <w:style w:type="paragraph" w:customStyle="1" w:styleId="zyxP1Footer">
    <w:name w:val="zyxP1_Footer"/>
    <w:basedOn w:val="a"/>
    <w:uiPriority w:val="49"/>
    <w:locked/>
    <w:pPr>
      <w:widowControl w:val="0"/>
      <w:spacing w:line="160" w:lineRule="exact"/>
      <w:ind w:left="108"/>
    </w:pPr>
    <w:rPr>
      <w:sz w:val="14"/>
    </w:rPr>
  </w:style>
  <w:style w:type="paragraph" w:customStyle="1" w:styleId="zyxSensitivity">
    <w:name w:val="zyxSensitivity"/>
    <w:basedOn w:val="a"/>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a"/>
    <w:uiPriority w:val="49"/>
    <w:locked/>
    <w:pPr>
      <w:keepNext/>
      <w:spacing w:line="420" w:lineRule="exact"/>
    </w:pPr>
    <w:rPr>
      <w:rFonts w:ascii="Arial" w:hAnsi="Arial"/>
      <w:sz w:val="40"/>
    </w:rPr>
  </w:style>
  <w:style w:type="character" w:styleId="ad">
    <w:name w:val="footnote reference"/>
    <w:basedOn w:val="a2"/>
    <w:semiHidden/>
    <w:locked/>
    <w:rPr>
      <w:vertAlign w:val="superscript"/>
    </w:rPr>
  </w:style>
  <w:style w:type="paragraph" w:styleId="a0">
    <w:name w:val="Subtitle"/>
    <w:next w:val="a1"/>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a1"/>
    <w:uiPriority w:val="49"/>
    <w:locked/>
    <w:pPr>
      <w:spacing w:line="280" w:lineRule="exact"/>
      <w:jc w:val="right"/>
    </w:pPr>
    <w:rPr>
      <w:rFonts w:ascii="Arial" w:hAnsi="Arial" w:cs="Arial"/>
      <w:b/>
      <w:bCs/>
      <w:caps/>
      <w:sz w:val="24"/>
    </w:rPr>
  </w:style>
  <w:style w:type="paragraph" w:customStyle="1" w:styleId="zyxClassification2">
    <w:name w:val="zyxClassification2"/>
    <w:basedOn w:val="a8"/>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a9">
    <w:name w:val="Нижний колонтитул Знак"/>
    <w:basedOn w:val="a2"/>
    <w:link w:val="a8"/>
    <w:uiPriority w:val="99"/>
    <w:rsid w:val="00037321"/>
    <w:rPr>
      <w:sz w:val="2"/>
      <w:lang w:val="en-US" w:eastAsia="en-US"/>
    </w:rPr>
  </w:style>
  <w:style w:type="paragraph" w:customStyle="1" w:styleId="Runninghead">
    <w:name w:val="Running head"/>
    <w:basedOn w:val="a"/>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a2"/>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a5">
    <w:name w:val="Основной текст Знак"/>
    <w:basedOn w:val="a2"/>
    <w:link w:val="a1"/>
    <w:rsid w:val="00647F33"/>
    <w:rPr>
      <w:lang w:eastAsia="en-US"/>
    </w:rPr>
  </w:style>
  <w:style w:type="character" w:customStyle="1" w:styleId="AuthornameandaffiliationChar">
    <w:name w:val="Author name and affiliation Char"/>
    <w:basedOn w:val="a5"/>
    <w:link w:val="Authornameandaffiliation"/>
    <w:uiPriority w:val="49"/>
    <w:rsid w:val="00647F33"/>
    <w:rPr>
      <w:lang w:val="en-US" w:eastAsia="en-US"/>
    </w:rPr>
  </w:style>
  <w:style w:type="table" w:styleId="ae">
    <w:name w:val="Table Grid"/>
    <w:basedOn w:val="a3"/>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af">
    <w:name w:val="Balloon Text"/>
    <w:basedOn w:val="a"/>
    <w:link w:val="af0"/>
    <w:uiPriority w:val="49"/>
    <w:locked/>
    <w:rsid w:val="005F00A0"/>
    <w:rPr>
      <w:rFonts w:ascii="Tahoma" w:hAnsi="Tahoma" w:cs="Tahoma"/>
      <w:sz w:val="16"/>
      <w:szCs w:val="16"/>
    </w:rPr>
  </w:style>
  <w:style w:type="character" w:customStyle="1" w:styleId="af0">
    <w:name w:val="Текст выноски Знак"/>
    <w:basedOn w:val="a2"/>
    <w:link w:val="af"/>
    <w:uiPriority w:val="49"/>
    <w:rsid w:val="005F00A0"/>
    <w:rPr>
      <w:rFonts w:ascii="Tahoma" w:hAnsi="Tahoma" w:cs="Tahoma"/>
      <w:sz w:val="16"/>
      <w:szCs w:val="16"/>
      <w:lang w:eastAsia="en-US"/>
    </w:rPr>
  </w:style>
  <w:style w:type="paragraph" w:customStyle="1" w:styleId="Figurecaption">
    <w:name w:val="Figure caption"/>
    <w:basedOn w:val="a1"/>
    <w:link w:val="FigurecaptionChar"/>
    <w:uiPriority w:val="49"/>
    <w:qFormat/>
    <w:locked/>
    <w:rsid w:val="00717C6F"/>
    <w:pPr>
      <w:jc w:val="center"/>
    </w:pPr>
    <w:rPr>
      <w:i/>
      <w:sz w:val="18"/>
    </w:rPr>
  </w:style>
  <w:style w:type="paragraph" w:customStyle="1" w:styleId="Otherunnumberedheadings">
    <w:name w:val="Other unnumbered headings"/>
    <w:next w:val="a1"/>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a5"/>
    <w:link w:val="Figurecaption"/>
    <w:uiPriority w:val="49"/>
    <w:rsid w:val="00717C6F"/>
    <w:rPr>
      <w:i/>
      <w:sz w:val="18"/>
      <w:lang w:eastAsia="en-US"/>
    </w:rPr>
  </w:style>
  <w:style w:type="paragraph" w:customStyle="1" w:styleId="Referencelist">
    <w:name w:val="Reference list"/>
    <w:basedOn w:val="a1"/>
    <w:link w:val="ReferencelistChar"/>
    <w:uiPriority w:val="49"/>
    <w:qFormat/>
    <w:rsid w:val="009E0D5B"/>
    <w:pPr>
      <w:numPr>
        <w:numId w:val="30"/>
      </w:numPr>
      <w:ind w:left="720"/>
    </w:pPr>
    <w:rPr>
      <w:sz w:val="18"/>
      <w:szCs w:val="18"/>
    </w:rPr>
  </w:style>
  <w:style w:type="character" w:customStyle="1" w:styleId="OtherunnumberedheadingsChar">
    <w:name w:val="Other unnumbered headings Char"/>
    <w:basedOn w:val="a5"/>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a5"/>
    <w:link w:val="Referencelist"/>
    <w:uiPriority w:val="49"/>
    <w:rsid w:val="009E0D5B"/>
    <w:rPr>
      <w:sz w:val="18"/>
      <w:szCs w:val="18"/>
      <w:lang w:eastAsia="en-US"/>
    </w:rPr>
  </w:style>
  <w:style w:type="paragraph" w:customStyle="1" w:styleId="Tabletext">
    <w:name w:val="Table text"/>
    <w:basedOn w:val="a1"/>
    <w:link w:val="TabletextChar"/>
    <w:uiPriority w:val="49"/>
    <w:qFormat/>
    <w:rsid w:val="00883848"/>
    <w:pPr>
      <w:ind w:firstLine="0"/>
    </w:pPr>
  </w:style>
  <w:style w:type="character" w:customStyle="1" w:styleId="TabletextChar">
    <w:name w:val="Table text Char"/>
    <w:basedOn w:val="a5"/>
    <w:link w:val="Tabletext"/>
    <w:uiPriority w:val="49"/>
    <w:rsid w:val="00883848"/>
    <w:rPr>
      <w:lang w:eastAsia="en-US"/>
    </w:rPr>
  </w:style>
  <w:style w:type="character" w:customStyle="1" w:styleId="10">
    <w:name w:val="Заголовок 1 Знак"/>
    <w:aliases w:val="Paper title Знак"/>
    <w:basedOn w:val="a2"/>
    <w:link w:val="1"/>
    <w:rsid w:val="00477B19"/>
    <w:rPr>
      <w:rFonts w:ascii="Times New Roman Bold" w:hAnsi="Times New Roman Bold"/>
      <w:b/>
      <w:caps/>
      <w:sz w:val="24"/>
      <w:lang w:val="en-US" w:eastAsia="en-US"/>
    </w:rPr>
  </w:style>
  <w:style w:type="character" w:customStyle="1" w:styleId="20">
    <w:name w:val="Заголовок 2 Знак"/>
    <w:aliases w:val="1st level paper heading Знак"/>
    <w:basedOn w:val="a2"/>
    <w:link w:val="2"/>
    <w:rsid w:val="00011C41"/>
    <w:rPr>
      <w:caps/>
      <w:lang w:eastAsia="en-US"/>
    </w:rPr>
  </w:style>
  <w:style w:type="character" w:styleId="af1">
    <w:name w:val="Hyperlink"/>
    <w:basedOn w:val="a2"/>
    <w:uiPriority w:val="49"/>
    <w:unhideWhenUsed/>
    <w:locked/>
    <w:rsid w:val="006D5C0B"/>
    <w:rPr>
      <w:color w:val="0000FF" w:themeColor="hyperlink"/>
      <w:u w:val="single"/>
    </w:rPr>
  </w:style>
  <w:style w:type="character" w:styleId="af2">
    <w:name w:val="Unresolved Mention"/>
    <w:basedOn w:val="a2"/>
    <w:uiPriority w:val="99"/>
    <w:semiHidden/>
    <w:unhideWhenUsed/>
    <w:rsid w:val="006D5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048045">
      <w:bodyDiv w:val="1"/>
      <w:marLeft w:val="0"/>
      <w:marRight w:val="0"/>
      <w:marTop w:val="0"/>
      <w:marBottom w:val="0"/>
      <w:divBdr>
        <w:top w:val="none" w:sz="0" w:space="0" w:color="auto"/>
        <w:left w:val="none" w:sz="0" w:space="0" w:color="auto"/>
        <w:bottom w:val="none" w:sz="0" w:space="0" w:color="auto"/>
        <w:right w:val="none" w:sz="0" w:space="0" w:color="auto"/>
      </w:divBdr>
    </w:div>
    <w:div w:id="1204368405">
      <w:bodyDiv w:val="1"/>
      <w:marLeft w:val="0"/>
      <w:marRight w:val="0"/>
      <w:marTop w:val="0"/>
      <w:marBottom w:val="0"/>
      <w:divBdr>
        <w:top w:val="none" w:sz="0" w:space="0" w:color="auto"/>
        <w:left w:val="none" w:sz="0" w:space="0" w:color="auto"/>
        <w:bottom w:val="none" w:sz="0" w:space="0" w:color="auto"/>
        <w:right w:val="none" w:sz="0" w:space="0" w:color="auto"/>
      </w:divBdr>
    </w:div>
    <w:div w:id="1595474174">
      <w:bodyDiv w:val="1"/>
      <w:marLeft w:val="0"/>
      <w:marRight w:val="0"/>
      <w:marTop w:val="0"/>
      <w:marBottom w:val="0"/>
      <w:divBdr>
        <w:top w:val="none" w:sz="0" w:space="0" w:color="auto"/>
        <w:left w:val="none" w:sz="0" w:space="0" w:color="auto"/>
        <w:bottom w:val="none" w:sz="0" w:space="0" w:color="auto"/>
        <w:right w:val="none" w:sz="0" w:space="0" w:color="auto"/>
      </w:divBdr>
    </w:div>
    <w:div w:id="1628773676">
      <w:bodyDiv w:val="1"/>
      <w:marLeft w:val="0"/>
      <w:marRight w:val="0"/>
      <w:marTop w:val="0"/>
      <w:marBottom w:val="0"/>
      <w:divBdr>
        <w:top w:val="none" w:sz="0" w:space="0" w:color="auto"/>
        <w:left w:val="none" w:sz="0" w:space="0" w:color="auto"/>
        <w:bottom w:val="none" w:sz="0" w:space="0" w:color="auto"/>
        <w:right w:val="none" w:sz="0" w:space="0" w:color="auto"/>
      </w:divBdr>
    </w:div>
    <w:div w:id="1911502935">
      <w:bodyDiv w:val="1"/>
      <w:marLeft w:val="0"/>
      <w:marRight w:val="0"/>
      <w:marTop w:val="0"/>
      <w:marBottom w:val="0"/>
      <w:divBdr>
        <w:top w:val="none" w:sz="0" w:space="0" w:color="auto"/>
        <w:left w:val="none" w:sz="0" w:space="0" w:color="auto"/>
        <w:bottom w:val="none" w:sz="0" w:space="0" w:color="auto"/>
        <w:right w:val="none" w:sz="0" w:space="0" w:color="auto"/>
      </w:divBdr>
      <w:divsChild>
        <w:div w:id="923414748">
          <w:marLeft w:val="446"/>
          <w:marRight w:val="0"/>
          <w:marTop w:val="0"/>
          <w:marBottom w:val="60"/>
          <w:divBdr>
            <w:top w:val="none" w:sz="0" w:space="0" w:color="auto"/>
            <w:left w:val="none" w:sz="0" w:space="0" w:color="auto"/>
            <w:bottom w:val="none" w:sz="0" w:space="0" w:color="auto"/>
            <w:right w:val="none" w:sz="0" w:space="0" w:color="auto"/>
          </w:divBdr>
        </w:div>
        <w:div w:id="242686926">
          <w:marLeft w:val="446"/>
          <w:marRight w:val="0"/>
          <w:marTop w:val="0"/>
          <w:marBottom w:val="60"/>
          <w:divBdr>
            <w:top w:val="none" w:sz="0" w:space="0" w:color="auto"/>
            <w:left w:val="none" w:sz="0" w:space="0" w:color="auto"/>
            <w:bottom w:val="none" w:sz="0" w:space="0" w:color="auto"/>
            <w:right w:val="none" w:sz="0" w:space="0" w:color="auto"/>
          </w:divBdr>
        </w:div>
        <w:div w:id="1684287264">
          <w:marLeft w:val="446"/>
          <w:marRight w:val="0"/>
          <w:marTop w:val="0"/>
          <w:marBottom w:val="60"/>
          <w:divBdr>
            <w:top w:val="none" w:sz="0" w:space="0" w:color="auto"/>
            <w:left w:val="none" w:sz="0" w:space="0" w:color="auto"/>
            <w:bottom w:val="none" w:sz="0" w:space="0" w:color="auto"/>
            <w:right w:val="none" w:sz="0" w:space="0" w:color="auto"/>
          </w:divBdr>
        </w:div>
        <w:div w:id="421874693">
          <w:marLeft w:val="446"/>
          <w:marRight w:val="0"/>
          <w:marTop w:val="0"/>
          <w:marBottom w:val="60"/>
          <w:divBdr>
            <w:top w:val="none" w:sz="0" w:space="0" w:color="auto"/>
            <w:left w:val="none" w:sz="0" w:space="0" w:color="auto"/>
            <w:bottom w:val="none" w:sz="0" w:space="0" w:color="auto"/>
            <w:right w:val="none" w:sz="0" w:space="0" w:color="auto"/>
          </w:divBdr>
        </w:div>
        <w:div w:id="729036814">
          <w:marLeft w:val="446"/>
          <w:marRight w:val="0"/>
          <w:marTop w:val="0"/>
          <w:marBottom w:val="60"/>
          <w:divBdr>
            <w:top w:val="none" w:sz="0" w:space="0" w:color="auto"/>
            <w:left w:val="none" w:sz="0" w:space="0" w:color="auto"/>
            <w:bottom w:val="none" w:sz="0" w:space="0" w:color="auto"/>
            <w:right w:val="none" w:sz="0" w:space="0" w:color="auto"/>
          </w:divBdr>
        </w:div>
        <w:div w:id="602541556">
          <w:marLeft w:val="446"/>
          <w:marRight w:val="0"/>
          <w:marTop w:val="0"/>
          <w:marBottom w:val="60"/>
          <w:divBdr>
            <w:top w:val="none" w:sz="0" w:space="0" w:color="auto"/>
            <w:left w:val="none" w:sz="0" w:space="0" w:color="auto"/>
            <w:bottom w:val="none" w:sz="0" w:space="0" w:color="auto"/>
            <w:right w:val="none" w:sz="0" w:space="0" w:color="auto"/>
          </w:divBdr>
        </w:div>
        <w:div w:id="1973553275">
          <w:marLeft w:val="446"/>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secnrs.ru/catalog/FNP/NP_001_1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kremlin.ru/acts/bank/52293" TargetMode="External"/><Relationship Id="rId17" Type="http://schemas.openxmlformats.org/officeDocument/2006/relationships/hyperlink" Target="https://docs.secnrs.ru/catalog/works/Ustanovki_upravlyaemogo_termoyadernogo_sinteza_Glossariy_pervaya_redaktsiy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remlin.ru/acts/bank/3313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zd.duma.gov.ru/bill/835243-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secnrs.ru/catalog/FNP/NP_038_16/" TargetMode="External"/><Relationship Id="rId23" Type="http://schemas.openxmlformats.org/officeDocument/2006/relationships/footer" Target="footer3.xml"/><Relationship Id="rId10" Type="http://schemas.openxmlformats.org/officeDocument/2006/relationships/hyperlink" Target="http://www.kremlin.ru/acts/bank/850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s.secnrs.ru/catalog/FNP/NP_033_11/"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9F1DA7B6-94D6-4DAC-A9ED-CC3D55D9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Template>
  <TotalTime>235</TotalTime>
  <Pages>1</Pages>
  <Words>1708</Words>
  <Characters>9739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IAEA</vt:lpstr>
      <vt:lpstr>IAEA</vt:lpstr>
    </vt:vector>
  </TitlesOfParts>
  <Company>IAEA</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Mikhail Polianskii</dc:creator>
  <cp:lastModifiedBy>Полянский Михаил Сергеевич</cp:lastModifiedBy>
  <cp:revision>45</cp:revision>
  <cp:lastPrinted>2025-10-08T16:28:00Z</cp:lastPrinted>
  <dcterms:created xsi:type="dcterms:W3CDTF">2024-06-21T08:12:00Z</dcterms:created>
  <dcterms:modified xsi:type="dcterms:W3CDTF">2025-10-08T16:30:00Z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ies>
</file>