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F52AB" w14:textId="3012D480" w:rsidR="00A964E3" w:rsidRPr="00F81411" w:rsidRDefault="003339DE" w:rsidP="00A964E3">
      <w:pPr>
        <w:pStyle w:val="1"/>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40" w:lineRule="auto"/>
        <w:ind w:left="0" w:right="0"/>
        <w:rPr>
          <w:rFonts w:ascii="Times New Roman" w:hAnsi="Times New Roman"/>
          <w:bCs/>
          <w:noProof/>
          <w:szCs w:val="32"/>
          <w:lang w:val="en-GB"/>
        </w:rPr>
      </w:pPr>
      <w:r w:rsidRPr="003339DE">
        <w:rPr>
          <w:rFonts w:ascii="Times New Roman" w:hAnsi="Times New Roman"/>
          <w:bCs/>
          <w:noProof/>
          <w:szCs w:val="32"/>
          <w:lang w:val="en-GB"/>
        </w:rPr>
        <w:t>CSMC POWER SUPPLY SYSTEM COMPLETES DC 48KA STEADY STATE OUTPUT EXPERIMEN</w:t>
      </w:r>
      <w:r>
        <w:rPr>
          <w:rFonts w:ascii="Times New Roman" w:hAnsi="Times New Roman" w:hint="eastAsia"/>
          <w:bCs/>
          <w:noProof/>
          <w:szCs w:val="32"/>
          <w:lang w:val="en-GB" w:eastAsia="zh-CN"/>
        </w:rPr>
        <w:t>T</w:t>
      </w:r>
      <w:r w:rsidR="009E1558" w:rsidRPr="00F81411">
        <w:rPr>
          <w:rFonts w:ascii="Times New Roman" w:hAnsi="Times New Roman"/>
          <w:bCs/>
          <w:noProof/>
          <w:szCs w:val="32"/>
          <w:lang w:val="en-GB"/>
        </w:rPr>
        <w:t xml:space="preserve"> </w:t>
      </w:r>
    </w:p>
    <w:p w14:paraId="06219C66" w14:textId="77777777" w:rsidR="00802381" w:rsidRPr="00F81411" w:rsidRDefault="00802381" w:rsidP="00477B19">
      <w:pPr>
        <w:pStyle w:val="Authornameandaffiliation"/>
        <w:jc w:val="both"/>
        <w:rPr>
          <w:lang w:val="en-GB" w:eastAsia="zh-CN"/>
        </w:rPr>
      </w:pPr>
    </w:p>
    <w:p w14:paraId="5279B8DD" w14:textId="3F621CA8" w:rsidR="003B5E0E" w:rsidRPr="00F81411" w:rsidRDefault="003339DE" w:rsidP="00477B19">
      <w:pPr>
        <w:pStyle w:val="Authornameandaffiliation"/>
        <w:ind w:left="0"/>
        <w:jc w:val="both"/>
        <w:rPr>
          <w:lang w:val="en-GB" w:eastAsia="zh-CN"/>
        </w:rPr>
      </w:pPr>
      <w:r>
        <w:rPr>
          <w:rFonts w:hint="eastAsia"/>
          <w:lang w:val="en-GB" w:eastAsia="zh-CN"/>
        </w:rPr>
        <w:t>Hong Lei</w:t>
      </w:r>
      <w:r w:rsidR="00417711">
        <w:rPr>
          <w:rFonts w:hint="eastAsia"/>
          <w:lang w:val="en-GB" w:eastAsia="zh-CN"/>
        </w:rPr>
        <w:t>, Guang Yang</w:t>
      </w:r>
    </w:p>
    <w:p w14:paraId="1F4F9636" w14:textId="7552B94A" w:rsidR="003339DE" w:rsidRDefault="003339DE" w:rsidP="00477B19">
      <w:pPr>
        <w:pStyle w:val="Authornameandaffiliation"/>
        <w:ind w:left="0"/>
        <w:jc w:val="both"/>
        <w:rPr>
          <w:lang w:val="en-GB"/>
        </w:rPr>
      </w:pPr>
      <w:r w:rsidRPr="003339DE">
        <w:rPr>
          <w:lang w:val="en-GB"/>
        </w:rPr>
        <w:t>Hefei Institutes of Physical Science, Chinese Academy of Sciences</w:t>
      </w:r>
    </w:p>
    <w:p w14:paraId="363473D2" w14:textId="1EA0B55B" w:rsidR="00FF386F" w:rsidRPr="003339DE" w:rsidRDefault="003339DE" w:rsidP="00477B19">
      <w:pPr>
        <w:pStyle w:val="Authornameandaffiliation"/>
        <w:ind w:left="0"/>
        <w:jc w:val="both"/>
        <w:rPr>
          <w:lang w:val="en-GB" w:eastAsia="zh-CN"/>
        </w:rPr>
      </w:pPr>
      <w:r w:rsidRPr="003339DE">
        <w:rPr>
          <w:rFonts w:hint="eastAsia"/>
          <w:lang w:val="en-GB" w:eastAsia="zh-CN"/>
        </w:rPr>
        <w:t>Hefei</w:t>
      </w:r>
      <w:r w:rsidR="00FF386F" w:rsidRPr="003339DE">
        <w:rPr>
          <w:lang w:val="en-GB"/>
        </w:rPr>
        <w:t>, C</w:t>
      </w:r>
      <w:r w:rsidRPr="003339DE">
        <w:rPr>
          <w:rFonts w:hint="eastAsia"/>
          <w:lang w:val="en-GB" w:eastAsia="zh-CN"/>
        </w:rPr>
        <w:t>hina</w:t>
      </w:r>
    </w:p>
    <w:p w14:paraId="154C1276" w14:textId="110B90AE" w:rsidR="00FF386F" w:rsidRPr="003339DE" w:rsidRDefault="00FF386F" w:rsidP="00477B19">
      <w:pPr>
        <w:pStyle w:val="Authornameandaffiliation"/>
        <w:ind w:left="0"/>
        <w:jc w:val="both"/>
        <w:rPr>
          <w:lang w:val="en-GB" w:eastAsia="zh-CN"/>
        </w:rPr>
      </w:pPr>
      <w:r w:rsidRPr="003339DE">
        <w:rPr>
          <w:lang w:val="en-GB"/>
        </w:rPr>
        <w:t xml:space="preserve">Email: </w:t>
      </w:r>
      <w:r w:rsidR="003339DE" w:rsidRPr="003339DE">
        <w:rPr>
          <w:rFonts w:hint="eastAsia"/>
          <w:lang w:val="en-GB" w:eastAsia="zh-CN"/>
        </w:rPr>
        <w:t>redlei@ipp.ac.cn</w:t>
      </w:r>
    </w:p>
    <w:p w14:paraId="226D042C" w14:textId="77777777" w:rsidR="00FF386F" w:rsidRPr="003339DE" w:rsidRDefault="00FF386F" w:rsidP="00477B19">
      <w:pPr>
        <w:pStyle w:val="Authornameandaffiliation"/>
        <w:jc w:val="both"/>
        <w:rPr>
          <w:lang w:val="en-GB"/>
        </w:rPr>
      </w:pPr>
    </w:p>
    <w:p w14:paraId="4B45D484" w14:textId="639D58E3" w:rsidR="00FF386F" w:rsidRPr="003339DE" w:rsidRDefault="003339DE" w:rsidP="00477B19">
      <w:pPr>
        <w:pStyle w:val="Authornameandaffiliation"/>
        <w:ind w:left="0"/>
        <w:jc w:val="both"/>
        <w:rPr>
          <w:lang w:val="en-GB" w:eastAsia="zh-CN"/>
        </w:rPr>
      </w:pPr>
      <w:r w:rsidRPr="003339DE">
        <w:rPr>
          <w:rFonts w:hint="eastAsia"/>
          <w:lang w:val="en-GB" w:eastAsia="zh-CN"/>
        </w:rPr>
        <w:t>Li Jiang</w:t>
      </w:r>
      <w:r w:rsidR="00D3792B">
        <w:rPr>
          <w:rFonts w:hint="eastAsia"/>
          <w:lang w:val="en-GB" w:eastAsia="zh-CN"/>
        </w:rPr>
        <w:t>,</w:t>
      </w:r>
      <w:r w:rsidRPr="003339DE">
        <w:t xml:space="preserve"> </w:t>
      </w:r>
      <w:r w:rsidRPr="003339DE">
        <w:rPr>
          <w:lang w:val="en-GB" w:eastAsia="zh-CN"/>
        </w:rPr>
        <w:t xml:space="preserve">Ge Gao, </w:t>
      </w:r>
      <w:proofErr w:type="spellStart"/>
      <w:r w:rsidRPr="003339DE">
        <w:rPr>
          <w:lang w:val="en-GB" w:eastAsia="zh-CN"/>
        </w:rPr>
        <w:t>Qiangjian</w:t>
      </w:r>
      <w:proofErr w:type="spellEnd"/>
      <w:r w:rsidRPr="003339DE">
        <w:rPr>
          <w:lang w:val="en-GB" w:eastAsia="zh-CN"/>
        </w:rPr>
        <w:t xml:space="preserve"> Chen, </w:t>
      </w:r>
      <w:proofErr w:type="spellStart"/>
      <w:r w:rsidRPr="003339DE">
        <w:rPr>
          <w:lang w:val="en-GB" w:eastAsia="zh-CN"/>
        </w:rPr>
        <w:t>Linsen</w:t>
      </w:r>
      <w:proofErr w:type="spellEnd"/>
      <w:r w:rsidRPr="003339DE">
        <w:rPr>
          <w:lang w:val="en-GB" w:eastAsia="zh-CN"/>
        </w:rPr>
        <w:t xml:space="preserve"> Wang, Hua Li, </w:t>
      </w:r>
      <w:proofErr w:type="spellStart"/>
      <w:r w:rsidRPr="003339DE">
        <w:rPr>
          <w:lang w:val="en-GB" w:eastAsia="zh-CN"/>
        </w:rPr>
        <w:t>Zhiquan</w:t>
      </w:r>
      <w:proofErr w:type="spellEnd"/>
      <w:r w:rsidRPr="003339DE">
        <w:rPr>
          <w:lang w:val="en-GB" w:eastAsia="zh-CN"/>
        </w:rPr>
        <w:t xml:space="preserve"> Song, </w:t>
      </w:r>
      <w:proofErr w:type="spellStart"/>
      <w:r w:rsidRPr="003339DE">
        <w:rPr>
          <w:lang w:val="en-GB" w:eastAsia="zh-CN"/>
        </w:rPr>
        <w:t>Liuwei</w:t>
      </w:r>
      <w:proofErr w:type="spellEnd"/>
      <w:r w:rsidRPr="003339DE">
        <w:rPr>
          <w:lang w:val="en-GB" w:eastAsia="zh-CN"/>
        </w:rPr>
        <w:t xml:space="preserve"> Xu</w:t>
      </w:r>
    </w:p>
    <w:p w14:paraId="50F69F33" w14:textId="2AD25B30" w:rsidR="00FF386F" w:rsidRPr="00F81411" w:rsidRDefault="003339DE" w:rsidP="00477B19">
      <w:pPr>
        <w:pStyle w:val="Authornameandaffiliation"/>
        <w:ind w:left="0"/>
        <w:jc w:val="both"/>
        <w:rPr>
          <w:lang w:val="en-GB"/>
        </w:rPr>
      </w:pPr>
      <w:r w:rsidRPr="003339DE">
        <w:rPr>
          <w:lang w:val="en-GB"/>
        </w:rPr>
        <w:t>Hefei Institutes of Physical Science, Chinese Academy of Sciences</w:t>
      </w:r>
    </w:p>
    <w:p w14:paraId="204639CD" w14:textId="5CB45B0E" w:rsidR="00FF386F" w:rsidRDefault="003339DE" w:rsidP="00477B19">
      <w:pPr>
        <w:pStyle w:val="Authornameandaffiliation"/>
        <w:ind w:left="0"/>
        <w:jc w:val="both"/>
        <w:rPr>
          <w:lang w:val="en-GB" w:eastAsia="zh-CN"/>
        </w:rPr>
      </w:pPr>
      <w:r>
        <w:rPr>
          <w:rFonts w:hint="eastAsia"/>
          <w:lang w:val="en-GB" w:eastAsia="zh-CN"/>
        </w:rPr>
        <w:t>Hefei</w:t>
      </w:r>
      <w:r w:rsidR="00FF386F" w:rsidRPr="00F81411">
        <w:rPr>
          <w:lang w:val="en-GB"/>
        </w:rPr>
        <w:t>, C</w:t>
      </w:r>
      <w:r>
        <w:rPr>
          <w:rFonts w:hint="eastAsia"/>
          <w:lang w:val="en-GB" w:eastAsia="zh-CN"/>
        </w:rPr>
        <w:t>hina</w:t>
      </w:r>
    </w:p>
    <w:p w14:paraId="22EF0299" w14:textId="0B339BDF" w:rsidR="003339DE" w:rsidRPr="00F81411" w:rsidRDefault="003339DE" w:rsidP="00477B19">
      <w:pPr>
        <w:pStyle w:val="Authornameandaffiliation"/>
        <w:ind w:left="0"/>
        <w:jc w:val="both"/>
        <w:rPr>
          <w:lang w:val="en-GB" w:eastAsia="zh-CN"/>
        </w:rPr>
      </w:pPr>
      <w:r w:rsidRPr="003339DE">
        <w:rPr>
          <w:lang w:val="en-GB" w:eastAsia="zh-CN"/>
        </w:rPr>
        <w:t xml:space="preserve">Corresponding </w:t>
      </w:r>
      <w:r>
        <w:rPr>
          <w:rFonts w:hint="eastAsia"/>
          <w:lang w:val="en-GB" w:eastAsia="zh-CN"/>
        </w:rPr>
        <w:t>A</w:t>
      </w:r>
      <w:r w:rsidRPr="003339DE">
        <w:rPr>
          <w:lang w:val="en-GB" w:eastAsia="zh-CN"/>
        </w:rPr>
        <w:t>uthor</w:t>
      </w:r>
      <w:r>
        <w:rPr>
          <w:rFonts w:hint="eastAsia"/>
          <w:lang w:val="en-GB" w:eastAsia="zh-CN"/>
        </w:rPr>
        <w:t>: Li Jiang</w:t>
      </w:r>
      <w:r w:rsidR="007B4217">
        <w:rPr>
          <w:rFonts w:hint="eastAsia"/>
          <w:lang w:val="en-GB" w:eastAsia="zh-CN"/>
        </w:rPr>
        <w:t xml:space="preserve">, </w:t>
      </w:r>
      <w:r w:rsidR="007B4217">
        <w:rPr>
          <w:lang w:val="en-GB" w:eastAsia="zh-CN"/>
        </w:rPr>
        <w:t>Ge</w:t>
      </w:r>
      <w:r w:rsidR="007B4217">
        <w:rPr>
          <w:rFonts w:hint="eastAsia"/>
          <w:lang w:val="en-GB" w:eastAsia="zh-CN"/>
        </w:rPr>
        <w:t xml:space="preserve"> Gao</w:t>
      </w:r>
      <w:r w:rsidR="00EB3C2F">
        <w:rPr>
          <w:rFonts w:hint="eastAsia"/>
          <w:lang w:val="en-GB" w:eastAsia="zh-CN"/>
        </w:rPr>
        <w:t xml:space="preserve"> </w:t>
      </w:r>
      <w:r>
        <w:rPr>
          <w:rFonts w:hint="eastAsia"/>
          <w:lang w:val="en-GB" w:eastAsia="zh-CN"/>
        </w:rPr>
        <w:t>(</w:t>
      </w:r>
      <w:r w:rsidR="00EB3C2F" w:rsidRPr="00EB3C2F">
        <w:rPr>
          <w:rFonts w:hint="eastAsia"/>
          <w:lang w:val="en-GB" w:eastAsia="zh-CN"/>
        </w:rPr>
        <w:t>jiangli@ipp.ac.cn</w:t>
      </w:r>
      <w:r w:rsidR="007B4217">
        <w:rPr>
          <w:rFonts w:hint="eastAsia"/>
          <w:lang w:val="en-GB" w:eastAsia="zh-CN"/>
        </w:rPr>
        <w:t>,</w:t>
      </w:r>
      <w:r w:rsidR="00EB3C2F">
        <w:rPr>
          <w:rFonts w:hint="eastAsia"/>
          <w:lang w:val="en-GB" w:eastAsia="zh-CN"/>
        </w:rPr>
        <w:t xml:space="preserve"> </w:t>
      </w:r>
      <w:r w:rsidR="007B4217">
        <w:rPr>
          <w:rFonts w:hint="eastAsia"/>
          <w:lang w:val="en-GB" w:eastAsia="zh-CN"/>
        </w:rPr>
        <w:t>gg@ipp.ac.cn</w:t>
      </w:r>
      <w:r>
        <w:rPr>
          <w:rFonts w:hint="eastAsia"/>
          <w:lang w:val="en-GB" w:eastAsia="zh-CN"/>
        </w:rPr>
        <w:t>)</w:t>
      </w:r>
    </w:p>
    <w:p w14:paraId="71707E74" w14:textId="77777777" w:rsidR="003339DE" w:rsidRPr="00F81411" w:rsidRDefault="003339DE" w:rsidP="003339DE">
      <w:pPr>
        <w:pStyle w:val="Authornameandaffiliation"/>
        <w:ind w:left="0"/>
        <w:jc w:val="both"/>
        <w:rPr>
          <w:lang w:val="en-GB" w:eastAsia="zh-CN"/>
        </w:rPr>
      </w:pPr>
    </w:p>
    <w:p w14:paraId="249A7EB9" w14:textId="77777777" w:rsidR="00647F33" w:rsidRPr="00F81411" w:rsidRDefault="00647F33" w:rsidP="00477B19">
      <w:pPr>
        <w:suppressAutoHyphens/>
        <w:overflowPunct/>
        <w:autoSpaceDE/>
        <w:autoSpaceDN/>
        <w:adjustRightInd/>
        <w:spacing w:after="260"/>
        <w:jc w:val="both"/>
        <w:textAlignment w:val="auto"/>
        <w:rPr>
          <w:rFonts w:eastAsiaTheme="minorHAnsi"/>
          <w:b/>
          <w:sz w:val="20"/>
          <w:lang w:eastAsia="ar-SA"/>
        </w:rPr>
      </w:pPr>
      <w:r w:rsidRPr="00F81411">
        <w:rPr>
          <w:rFonts w:eastAsiaTheme="minorHAnsi"/>
          <w:b/>
          <w:sz w:val="20"/>
          <w:lang w:eastAsia="ar-SA"/>
        </w:rPr>
        <w:t>Abstract</w:t>
      </w:r>
    </w:p>
    <w:p w14:paraId="0FE6BC1D" w14:textId="5EAE3A31" w:rsidR="00417711" w:rsidRPr="00417711" w:rsidRDefault="00417711" w:rsidP="003122AA">
      <w:pPr>
        <w:suppressAutoHyphens/>
        <w:overflowPunct/>
        <w:autoSpaceDE/>
        <w:autoSpaceDN/>
        <w:adjustRightInd/>
        <w:spacing w:after="120"/>
        <w:jc w:val="both"/>
        <w:textAlignment w:val="auto"/>
        <w:rPr>
          <w:sz w:val="18"/>
          <w:szCs w:val="18"/>
          <w:lang w:eastAsia="zh-CN"/>
        </w:rPr>
      </w:pPr>
      <w:r w:rsidRPr="00417711">
        <w:rPr>
          <w:rFonts w:eastAsiaTheme="minorHAnsi" w:hint="eastAsia"/>
          <w:sz w:val="18"/>
          <w:szCs w:val="18"/>
          <w:lang w:eastAsia="ar-SA"/>
        </w:rPr>
        <w:t>The CRAFT Central Solenoid Model Coil</w:t>
      </w:r>
      <w:r w:rsidRPr="00417711">
        <w:rPr>
          <w:rFonts w:ascii="宋体" w:eastAsia="宋体" w:hAnsi="宋体" w:cs="宋体" w:hint="eastAsia"/>
          <w:sz w:val="18"/>
          <w:szCs w:val="18"/>
          <w:lang w:eastAsia="ar-SA"/>
        </w:rPr>
        <w:t>（</w:t>
      </w:r>
      <w:r w:rsidRPr="00417711">
        <w:rPr>
          <w:rFonts w:eastAsiaTheme="minorHAnsi" w:hint="eastAsia"/>
          <w:sz w:val="18"/>
          <w:szCs w:val="18"/>
          <w:lang w:eastAsia="ar-SA"/>
        </w:rPr>
        <w:t>CSMC</w:t>
      </w:r>
      <w:r w:rsidRPr="00417711">
        <w:rPr>
          <w:rFonts w:ascii="宋体" w:eastAsia="宋体" w:hAnsi="宋体" w:cs="宋体" w:hint="eastAsia"/>
          <w:sz w:val="18"/>
          <w:szCs w:val="18"/>
          <w:lang w:eastAsia="ar-SA"/>
        </w:rPr>
        <w:t>）</w:t>
      </w:r>
      <w:r w:rsidRPr="00417711">
        <w:rPr>
          <w:rFonts w:eastAsiaTheme="minorHAnsi" w:hint="eastAsia"/>
          <w:sz w:val="18"/>
          <w:szCs w:val="18"/>
          <w:lang w:eastAsia="ar-SA"/>
        </w:rPr>
        <w:t xml:space="preserve"> serves as a critical platform for testing the central solenoid system of future Chinese fusion reactors. As a core component of fusion system in fusion reactors, the central solenoid coil plays a pivotal role in </w:t>
      </w:r>
      <w:r w:rsidRPr="00417711">
        <w:rPr>
          <w:rFonts w:eastAsiaTheme="minorHAnsi"/>
          <w:sz w:val="18"/>
          <w:szCs w:val="18"/>
          <w:lang w:eastAsia="ar-SA"/>
        </w:rPr>
        <w:t>confining high-temperature plasma by generating a toroidal magnetic field. The CSMC Power Supply System is essential for delivering operational current to the central solenoid system. Within the CSMC testing framework, this power supply system holds paramount importance, demanding exceptional reliability and stability. It must maintain consistent performance during prolonged operation while mitigating risks such as superconducting magnet power interruptions or equipment damage caused by potential failures. To achieve these objectives, all constituent modules of the power supply system must exhibit superior quality and operational robustness, incorporate redundant architectural designs, and feature comprehensive fault diagnosis mechanisms alongside protective functionalities.</w:t>
      </w:r>
    </w:p>
    <w:p w14:paraId="42C00B61" w14:textId="78A2376E" w:rsidR="00417711" w:rsidRDefault="00417711" w:rsidP="003122AA">
      <w:pPr>
        <w:suppressAutoHyphens/>
        <w:overflowPunct/>
        <w:autoSpaceDE/>
        <w:autoSpaceDN/>
        <w:adjustRightInd/>
        <w:spacing w:after="120"/>
        <w:jc w:val="both"/>
        <w:textAlignment w:val="auto"/>
        <w:rPr>
          <w:sz w:val="18"/>
          <w:szCs w:val="18"/>
          <w:lang w:eastAsia="zh-CN"/>
        </w:rPr>
      </w:pPr>
      <w:r w:rsidRPr="00417711">
        <w:rPr>
          <w:rFonts w:eastAsiaTheme="minorHAnsi"/>
          <w:sz w:val="18"/>
          <w:szCs w:val="18"/>
          <w:lang w:eastAsia="ar-SA"/>
        </w:rPr>
        <w:t>After years of dedicated research efforts, the scientific team has made significant breakthroughs in the development of the CSMC power supply system. During rigorous testing under a 369mH superconducting pure inductive load, the system successfully achieved a steady-state current output of 48 kA. This accomplishment sets a new global record in experimental parameters within this field, establishing world-leading performance benchmarks.</w:t>
      </w:r>
    </w:p>
    <w:p w14:paraId="4B47862C" w14:textId="77777777" w:rsidR="00647F33" w:rsidRPr="00F81411" w:rsidRDefault="00F523CA" w:rsidP="00011C41">
      <w:pPr>
        <w:pStyle w:val="1"/>
        <w:keepNext/>
        <w:keepLines/>
        <w:numPr>
          <w:ilvl w:val="1"/>
          <w:numId w:val="10"/>
        </w:num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260" w:line="240" w:lineRule="auto"/>
        <w:ind w:right="0"/>
        <w:rPr>
          <w:rFonts w:ascii="Times New Roman" w:hAnsi="Times New Roman"/>
          <w:b w:val="0"/>
          <w:bCs/>
          <w:sz w:val="20"/>
          <w:lang w:val="en-GB"/>
        </w:rPr>
      </w:pPr>
      <w:r w:rsidRPr="00F81411">
        <w:rPr>
          <w:rFonts w:ascii="Times New Roman" w:hAnsi="Times New Roman"/>
          <w:b w:val="0"/>
          <w:bCs/>
          <w:sz w:val="20"/>
          <w:lang w:val="en-GB"/>
        </w:rPr>
        <w:t>INTRODUCTION</w:t>
      </w:r>
    </w:p>
    <w:p w14:paraId="180795FA" w14:textId="552F4429" w:rsidR="005167EF" w:rsidRDefault="005167EF" w:rsidP="00446113">
      <w:pPr>
        <w:overflowPunct/>
        <w:autoSpaceDE/>
        <w:autoSpaceDN/>
        <w:adjustRightInd/>
        <w:spacing w:after="260"/>
        <w:jc w:val="both"/>
        <w:textAlignment w:val="auto"/>
        <w:rPr>
          <w:sz w:val="20"/>
          <w:lang w:eastAsia="zh-CN"/>
        </w:rPr>
      </w:pPr>
      <w:r w:rsidRPr="005167EF">
        <w:rPr>
          <w:rFonts w:eastAsiaTheme="minorHAnsi"/>
          <w:sz w:val="20"/>
          <w:lang w:eastAsia="ar-SA"/>
        </w:rPr>
        <w:t>The development of high-power magnet power supply systems has long been recognized as a critical challenge in fusion engineering research. Substantial investigative efforts have been dedicated to this cutting-edge domain globally. Publicly available information indicates that the poloidal field power supply system integrated into Japan's JT-60SA tokamak is specifically engineered for precise control over plasma shape, positioning, and stability</w:t>
      </w:r>
      <w:r w:rsidR="00166552">
        <w:rPr>
          <w:rFonts w:hint="eastAsia"/>
          <w:sz w:val="20"/>
          <w:lang w:eastAsia="zh-CN"/>
        </w:rPr>
        <w:t xml:space="preserve"> as F</w:t>
      </w:r>
      <w:r w:rsidR="001B2B3C">
        <w:rPr>
          <w:rFonts w:hint="eastAsia"/>
          <w:sz w:val="20"/>
          <w:lang w:eastAsia="zh-CN"/>
        </w:rPr>
        <w:t>IG. 1</w:t>
      </w:r>
      <w:r w:rsidRPr="005167EF">
        <w:rPr>
          <w:rFonts w:eastAsiaTheme="minorHAnsi"/>
          <w:sz w:val="20"/>
          <w:lang w:eastAsia="ar-SA"/>
        </w:rPr>
        <w:t>. This system distinguishes itself through exceptional precision control capabilities and robust operational reliability, with a rated output current reaching 20kA</w:t>
      </w:r>
      <w:r>
        <w:rPr>
          <w:rFonts w:hint="eastAsia"/>
          <w:sz w:val="20"/>
          <w:lang w:eastAsia="zh-CN"/>
        </w:rPr>
        <w:t xml:space="preserve"> </w:t>
      </w:r>
      <w:r w:rsidRPr="005167EF">
        <w:rPr>
          <w:rFonts w:eastAsiaTheme="minorHAnsi" w:hint="eastAsia"/>
          <w:sz w:val="20"/>
          <w:lang w:eastAsia="ar-SA"/>
        </w:rPr>
        <w:t>[1-5]</w:t>
      </w:r>
      <w:r w:rsidRPr="005167EF">
        <w:rPr>
          <w:rFonts w:eastAsiaTheme="minorHAnsi"/>
          <w:sz w:val="20"/>
          <w:lang w:eastAsia="ar-SA"/>
        </w:rPr>
        <w:t>.</w:t>
      </w:r>
      <w:r w:rsidRPr="005167EF">
        <w:t xml:space="preserve"> </w:t>
      </w:r>
      <w:r w:rsidRPr="005167EF">
        <w:rPr>
          <w:rFonts w:eastAsiaTheme="minorHAnsi"/>
          <w:sz w:val="20"/>
          <w:lang w:eastAsia="ar-SA"/>
        </w:rPr>
        <w:t>The Poloidal Field (PF) power supply system of South Korea's KSTAR device adopts a core design philosophy emphasizing high-current delivery capability and precise current regulation</w:t>
      </w:r>
      <w:r w:rsidR="001B2B3C">
        <w:rPr>
          <w:rFonts w:hint="eastAsia"/>
          <w:sz w:val="20"/>
          <w:lang w:eastAsia="zh-CN"/>
        </w:rPr>
        <w:t xml:space="preserve"> as FIG.2</w:t>
      </w:r>
      <w:r w:rsidRPr="005167EF">
        <w:rPr>
          <w:rFonts w:eastAsiaTheme="minorHAnsi"/>
          <w:sz w:val="20"/>
          <w:lang w:eastAsia="ar-SA"/>
        </w:rPr>
        <w:t>. With a rated output current reaching 25kA, this system effectively enables rapid establishment and sustained maintenance of plasma current over extended durations</w:t>
      </w:r>
      <w:r>
        <w:rPr>
          <w:rFonts w:hint="eastAsia"/>
          <w:sz w:val="20"/>
          <w:lang w:eastAsia="zh-CN"/>
        </w:rPr>
        <w:t xml:space="preserve"> [6-7]</w:t>
      </w:r>
      <w:r w:rsidRPr="005167EF">
        <w:rPr>
          <w:rFonts w:eastAsiaTheme="minorHAnsi"/>
          <w:sz w:val="20"/>
          <w:lang w:eastAsia="ar-SA"/>
        </w:rPr>
        <w:t>.</w:t>
      </w:r>
    </w:p>
    <w:p w14:paraId="1ED7F7F0" w14:textId="28948092" w:rsidR="005167EF" w:rsidRDefault="00CF1919" w:rsidP="00A56CF7">
      <w:pPr>
        <w:jc w:val="center"/>
      </w:pPr>
      <w:r>
        <w:rPr>
          <w:rFonts w:hint="eastAsia"/>
        </w:rPr>
        <w:object w:dxaOrig="3766" w:dyaOrig="2611" w14:anchorId="3DB02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3pt;height:121.45pt" o:ole="">
            <v:imagedata r:id="rId8" o:title=""/>
          </v:shape>
          <o:OLEObject Type="Embed" ProgID="Visio.Drawing.15" ShapeID="_x0000_i1025" DrawAspect="Content" ObjectID="_1820059684" r:id="rId9"/>
        </w:object>
      </w:r>
      <w:r w:rsidR="005167EF">
        <w:rPr>
          <w:rFonts w:hint="eastAsia"/>
        </w:rPr>
        <w:t xml:space="preserve"> </w:t>
      </w:r>
      <w:r>
        <w:rPr>
          <w:rFonts w:hint="eastAsia"/>
        </w:rPr>
        <w:object w:dxaOrig="5131" w:dyaOrig="1561" w14:anchorId="411429D7">
          <v:shape id="_x0000_i1026" type="#_x0000_t75" style="width:267.35pt;height:91.4pt" o:ole="">
            <v:imagedata r:id="rId10" o:title=""/>
          </v:shape>
          <o:OLEObject Type="Embed" ProgID="Visio.Drawing.15" ShapeID="_x0000_i1026" DrawAspect="Content" ObjectID="_1820059685" r:id="rId11"/>
        </w:object>
      </w:r>
    </w:p>
    <w:p w14:paraId="5E4F6B0E" w14:textId="57D44920" w:rsidR="005167EF" w:rsidRPr="001B2B3C" w:rsidRDefault="00166552" w:rsidP="005167EF">
      <w:pPr>
        <w:rPr>
          <w:i/>
          <w:iCs/>
        </w:rPr>
      </w:pPr>
      <w:r w:rsidRPr="001B2B3C">
        <w:rPr>
          <w:i/>
          <w:iCs/>
        </w:rPr>
        <w:t>FIG. 1</w:t>
      </w:r>
      <w:r w:rsidRPr="001B2B3C">
        <w:rPr>
          <w:rFonts w:hint="eastAsia"/>
          <w:i/>
          <w:iCs/>
          <w:lang w:eastAsia="zh-CN"/>
        </w:rPr>
        <w:t xml:space="preserve"> </w:t>
      </w:r>
      <w:r w:rsidR="005167EF" w:rsidRPr="001B2B3C">
        <w:rPr>
          <w:rFonts w:hint="eastAsia"/>
          <w:i/>
          <w:iCs/>
        </w:rPr>
        <w:t xml:space="preserve">JT-60SA </w:t>
      </w:r>
      <w:bookmarkStart w:id="0" w:name="_Hlk207802296"/>
      <w:r w:rsidR="001B2B3C" w:rsidRPr="001B2B3C">
        <w:rPr>
          <w:rFonts w:hint="eastAsia"/>
          <w:i/>
          <w:iCs/>
          <w:lang w:eastAsia="zh-CN"/>
        </w:rPr>
        <w:t>p</w:t>
      </w:r>
      <w:r w:rsidRPr="001B2B3C">
        <w:rPr>
          <w:i/>
          <w:iCs/>
        </w:rPr>
        <w:t>oloidal field power topology</w:t>
      </w:r>
      <w:bookmarkEnd w:id="0"/>
      <w:r w:rsidR="005167EF" w:rsidRPr="001B2B3C">
        <w:rPr>
          <w:rFonts w:hint="eastAsia"/>
          <w:i/>
          <w:iCs/>
        </w:rPr>
        <w:t xml:space="preserve">      </w:t>
      </w:r>
      <w:r w:rsidR="001B2B3C" w:rsidRPr="001B2B3C">
        <w:rPr>
          <w:i/>
          <w:iCs/>
        </w:rPr>
        <w:t xml:space="preserve">FIG. </w:t>
      </w:r>
      <w:r w:rsidR="001B2B3C" w:rsidRPr="001B2B3C">
        <w:rPr>
          <w:rFonts w:hint="eastAsia"/>
          <w:i/>
          <w:iCs/>
        </w:rPr>
        <w:t>2</w:t>
      </w:r>
      <w:r w:rsidR="001B2B3C" w:rsidRPr="001B2B3C">
        <w:rPr>
          <w:rFonts w:hint="eastAsia"/>
          <w:i/>
          <w:iCs/>
          <w:lang w:eastAsia="zh-CN"/>
        </w:rPr>
        <w:t xml:space="preserve"> </w:t>
      </w:r>
      <w:r w:rsidR="005167EF" w:rsidRPr="001B2B3C">
        <w:rPr>
          <w:rFonts w:hint="eastAsia"/>
          <w:i/>
          <w:iCs/>
        </w:rPr>
        <w:t xml:space="preserve">KSTAR </w:t>
      </w:r>
      <w:r w:rsidR="001B2B3C" w:rsidRPr="001B2B3C">
        <w:rPr>
          <w:rFonts w:hint="eastAsia"/>
          <w:i/>
          <w:iCs/>
          <w:lang w:eastAsia="zh-CN"/>
        </w:rPr>
        <w:t>p</w:t>
      </w:r>
      <w:r w:rsidRPr="001B2B3C">
        <w:rPr>
          <w:i/>
          <w:iCs/>
        </w:rPr>
        <w:t>oloidal field power topology</w:t>
      </w:r>
    </w:p>
    <w:p w14:paraId="30C4A24B" w14:textId="7F06E22E" w:rsidR="005167EF" w:rsidRDefault="005167EF" w:rsidP="00446113">
      <w:pPr>
        <w:overflowPunct/>
        <w:autoSpaceDE/>
        <w:autoSpaceDN/>
        <w:adjustRightInd/>
        <w:spacing w:after="260"/>
        <w:jc w:val="both"/>
        <w:textAlignment w:val="auto"/>
        <w:rPr>
          <w:sz w:val="20"/>
          <w:lang w:eastAsia="zh-CN"/>
        </w:rPr>
      </w:pPr>
      <w:r w:rsidRPr="005167EF">
        <w:rPr>
          <w:sz w:val="20"/>
          <w:lang w:eastAsia="zh-CN"/>
        </w:rPr>
        <w:t>Each converter unit within the ITER Poloidal Field Power Supply delivers an output voltage of 1.35 kV and achieves a maximum output current of 55 kA</w:t>
      </w:r>
      <w:r>
        <w:rPr>
          <w:rFonts w:hint="eastAsia"/>
          <w:sz w:val="20"/>
          <w:lang w:eastAsia="zh-CN"/>
        </w:rPr>
        <w:t xml:space="preserve"> [8-10]</w:t>
      </w:r>
      <w:r w:rsidRPr="005167EF">
        <w:rPr>
          <w:sz w:val="20"/>
          <w:lang w:eastAsia="zh-CN"/>
        </w:rPr>
        <w:t>.</w:t>
      </w:r>
      <w:r w:rsidR="001B2B3C" w:rsidRPr="001B2B3C">
        <w:t xml:space="preserve"> </w:t>
      </w:r>
      <w:r w:rsidR="001B2B3C" w:rsidRPr="001B2B3C">
        <w:rPr>
          <w:sz w:val="20"/>
          <w:lang w:eastAsia="zh-CN"/>
        </w:rPr>
        <w:t xml:space="preserve">The main topology of the circuit is shown in the </w:t>
      </w:r>
      <w:r w:rsidR="001B2B3C">
        <w:rPr>
          <w:rFonts w:hint="eastAsia"/>
          <w:sz w:val="20"/>
          <w:lang w:eastAsia="zh-CN"/>
        </w:rPr>
        <w:t>FIG.3</w:t>
      </w:r>
      <w:r w:rsidR="001B2B3C" w:rsidRPr="001B2B3C">
        <w:rPr>
          <w:sz w:val="20"/>
          <w:lang w:eastAsia="zh-CN"/>
        </w:rPr>
        <w:t xml:space="preserve"> below</w:t>
      </w:r>
      <w:r w:rsidR="001B2B3C">
        <w:rPr>
          <w:rFonts w:hint="eastAsia"/>
          <w:sz w:val="20"/>
          <w:lang w:eastAsia="zh-CN"/>
        </w:rPr>
        <w:t>.</w:t>
      </w:r>
    </w:p>
    <w:p w14:paraId="5E913233" w14:textId="4B3D7DD6" w:rsidR="005167EF" w:rsidRDefault="009824AA" w:rsidP="00042E40">
      <w:pPr>
        <w:jc w:val="center"/>
      </w:pPr>
      <w:r>
        <w:rPr>
          <w:rFonts w:hint="eastAsia"/>
        </w:rPr>
        <w:object w:dxaOrig="4336" w:dyaOrig="1876" w14:anchorId="7B9E6667">
          <v:shape id="_x0000_i1027" type="#_x0000_t75" style="width:210.35pt;height:90.8pt" o:ole="">
            <v:imagedata r:id="rId12" o:title=""/>
          </v:shape>
          <o:OLEObject Type="Embed" ProgID="Visio.Drawing.15" ShapeID="_x0000_i1027" DrawAspect="Content" ObjectID="_1820059686" r:id="rId13"/>
        </w:object>
      </w:r>
      <w:r>
        <w:rPr>
          <w:rFonts w:hint="eastAsia"/>
        </w:rPr>
        <w:object w:dxaOrig="4756" w:dyaOrig="1981" w14:anchorId="0AE6C90D">
          <v:shape id="_x0000_i1028" type="#_x0000_t75" style="width:206pt;height:85.75pt" o:ole="">
            <v:imagedata r:id="rId14" o:title=""/>
          </v:shape>
          <o:OLEObject Type="Embed" ProgID="Visio.Drawing.15" ShapeID="_x0000_i1028" DrawAspect="Content" ObjectID="_1820059687" r:id="rId15"/>
        </w:object>
      </w:r>
    </w:p>
    <w:p w14:paraId="033FAD8A" w14:textId="21BC7245" w:rsidR="005167EF" w:rsidRPr="001B2B3C" w:rsidRDefault="001B2B3C" w:rsidP="004074B9">
      <w:pPr>
        <w:jc w:val="center"/>
        <w:rPr>
          <w:i/>
          <w:iCs/>
        </w:rPr>
      </w:pPr>
      <w:r w:rsidRPr="001B2B3C">
        <w:rPr>
          <w:i/>
          <w:iCs/>
        </w:rPr>
        <w:t xml:space="preserve">FIG. </w:t>
      </w:r>
      <w:r w:rsidRPr="001B2B3C">
        <w:rPr>
          <w:rFonts w:hint="eastAsia"/>
          <w:i/>
          <w:iCs/>
          <w:lang w:eastAsia="zh-CN"/>
        </w:rPr>
        <w:t xml:space="preserve">3. </w:t>
      </w:r>
      <w:r w:rsidR="005167EF" w:rsidRPr="001B2B3C">
        <w:rPr>
          <w:rFonts w:hint="eastAsia"/>
          <w:i/>
          <w:iCs/>
        </w:rPr>
        <w:t xml:space="preserve">ITER </w:t>
      </w:r>
      <w:r w:rsidRPr="001B2B3C">
        <w:rPr>
          <w:i/>
          <w:iCs/>
        </w:rPr>
        <w:t>poloidal field power topology</w:t>
      </w:r>
      <w:r w:rsidR="005167EF" w:rsidRPr="001B2B3C">
        <w:rPr>
          <w:rFonts w:hint="eastAsia"/>
          <w:i/>
          <w:iCs/>
        </w:rPr>
        <w:t xml:space="preserve">         </w:t>
      </w:r>
      <w:r w:rsidRPr="001B2B3C">
        <w:rPr>
          <w:i/>
          <w:iCs/>
        </w:rPr>
        <w:t xml:space="preserve">FIG. </w:t>
      </w:r>
      <w:r w:rsidRPr="001B2B3C">
        <w:rPr>
          <w:rFonts w:hint="eastAsia"/>
          <w:i/>
          <w:iCs/>
          <w:lang w:eastAsia="zh-CN"/>
        </w:rPr>
        <w:t>4</w:t>
      </w:r>
      <w:r w:rsidRPr="001B2B3C">
        <w:rPr>
          <w:i/>
          <w:iCs/>
        </w:rPr>
        <w:t>.</w:t>
      </w:r>
      <w:r w:rsidRPr="001B2B3C">
        <w:rPr>
          <w:rFonts w:hint="eastAsia"/>
          <w:i/>
          <w:iCs/>
          <w:lang w:eastAsia="zh-CN"/>
        </w:rPr>
        <w:t xml:space="preserve"> </w:t>
      </w:r>
      <w:r w:rsidR="005167EF" w:rsidRPr="001B2B3C">
        <w:rPr>
          <w:rFonts w:hint="eastAsia"/>
          <w:i/>
          <w:iCs/>
        </w:rPr>
        <w:t xml:space="preserve">EAST </w:t>
      </w:r>
      <w:r w:rsidRPr="001B2B3C">
        <w:rPr>
          <w:i/>
          <w:iCs/>
        </w:rPr>
        <w:t>poloidal field power topology</w:t>
      </w:r>
    </w:p>
    <w:p w14:paraId="4DF58236" w14:textId="514809BD" w:rsidR="005167EF" w:rsidRDefault="005167EF" w:rsidP="00A56CF7">
      <w:pPr>
        <w:overflowPunct/>
        <w:autoSpaceDE/>
        <w:autoSpaceDN/>
        <w:adjustRightInd/>
        <w:spacing w:after="120"/>
        <w:jc w:val="both"/>
        <w:textAlignment w:val="auto"/>
        <w:rPr>
          <w:sz w:val="20"/>
          <w:lang w:eastAsia="zh-CN"/>
        </w:rPr>
      </w:pPr>
      <w:r w:rsidRPr="005167EF">
        <w:rPr>
          <w:sz w:val="20"/>
          <w:lang w:eastAsia="zh-CN"/>
        </w:rPr>
        <w:t>The EAST Poloidal Field Power Supply comprises twelve independent power units, each employing a thyristor-based three-phase bridge rectifier circuit</w:t>
      </w:r>
      <w:r w:rsidR="001B2B3C">
        <w:rPr>
          <w:rFonts w:hint="eastAsia"/>
          <w:sz w:val="20"/>
          <w:lang w:eastAsia="zh-CN"/>
        </w:rPr>
        <w:t xml:space="preserve"> as FIG. 4</w:t>
      </w:r>
      <w:r w:rsidRPr="005167EF">
        <w:rPr>
          <w:sz w:val="20"/>
          <w:lang w:eastAsia="zh-CN"/>
        </w:rPr>
        <w:t>. To achieve high-current output capability, each rectifier leg incorporates three parallel-connected thyristors. Regarding topological configuration, ten units (PS1-PS6 and PS9-PS12) utilize an in-phase reverse-parallel connection for their rectifier legs, which ensures high-power output while effectively reducing voltage ripple. In contrast, PS7 and PS8 adopt a non-in-phase reverse-parallel structure. The schematic diagram of the power supply topology is illustrated in the figure</w:t>
      </w:r>
      <w:r>
        <w:rPr>
          <w:rFonts w:hint="eastAsia"/>
          <w:sz w:val="20"/>
          <w:lang w:eastAsia="zh-CN"/>
        </w:rPr>
        <w:t xml:space="preserve"> [11-12]</w:t>
      </w:r>
      <w:r w:rsidRPr="005167EF">
        <w:rPr>
          <w:sz w:val="20"/>
          <w:lang w:eastAsia="zh-CN"/>
        </w:rPr>
        <w:t>.</w:t>
      </w:r>
    </w:p>
    <w:p w14:paraId="1305A1F8" w14:textId="617598F2" w:rsidR="00D8519B" w:rsidRDefault="00D8519B" w:rsidP="00A56CF7">
      <w:pPr>
        <w:overflowPunct/>
        <w:autoSpaceDE/>
        <w:autoSpaceDN/>
        <w:adjustRightInd/>
        <w:spacing w:after="120"/>
        <w:jc w:val="both"/>
        <w:textAlignment w:val="auto"/>
        <w:rPr>
          <w:sz w:val="20"/>
          <w:lang w:eastAsia="zh-CN"/>
        </w:rPr>
      </w:pPr>
      <w:r w:rsidRPr="00D8519B">
        <w:rPr>
          <w:sz w:val="20"/>
          <w:lang w:eastAsia="zh-CN"/>
        </w:rPr>
        <w:t>The development of high-power superconducting magnet power supply system represents a critical focus in magnetic confinement fusion research, with the CSMC power architecture being a prominent subject of international study. During CSM module testing at ITER, although switch components and power supplies encountered failures at both 10 kA and 15 kA discharge levels (depicted in F</w:t>
      </w:r>
      <w:r w:rsidR="001B2B3C">
        <w:rPr>
          <w:rFonts w:hint="eastAsia"/>
          <w:sz w:val="20"/>
          <w:lang w:eastAsia="zh-CN"/>
        </w:rPr>
        <w:t>IG. 5</w:t>
      </w:r>
      <w:r w:rsidRPr="00D8519B">
        <w:rPr>
          <w:sz w:val="20"/>
          <w:lang w:eastAsia="zh-CN"/>
        </w:rPr>
        <w:t>), the system ultimately achieved a peak test current of 40 kA (illustrated in F</w:t>
      </w:r>
      <w:r w:rsidR="001B2B3C">
        <w:rPr>
          <w:rFonts w:hint="eastAsia"/>
          <w:sz w:val="20"/>
          <w:lang w:eastAsia="zh-CN"/>
        </w:rPr>
        <w:t>IG. 6</w:t>
      </w:r>
      <w:r w:rsidRPr="00D8519B">
        <w:rPr>
          <w:sz w:val="20"/>
          <w:lang w:eastAsia="zh-CN"/>
        </w:rPr>
        <w:t>).</w:t>
      </w:r>
    </w:p>
    <w:p w14:paraId="7CF18DB7" w14:textId="14EC5C4C" w:rsidR="00D8519B" w:rsidRPr="00145D60" w:rsidRDefault="00D8519B" w:rsidP="001B2B3C">
      <w:pPr>
        <w:overflowPunct/>
        <w:autoSpaceDE/>
        <w:autoSpaceDN/>
        <w:adjustRightInd/>
        <w:jc w:val="center"/>
        <w:textAlignment w:val="auto"/>
        <w:rPr>
          <w:sz w:val="20"/>
          <w:lang w:eastAsia="zh-CN"/>
        </w:rPr>
      </w:pPr>
      <w:r>
        <w:rPr>
          <w:noProof/>
        </w:rPr>
        <w:drawing>
          <wp:inline distT="0" distB="0" distL="0" distR="0" wp14:anchorId="181E102B" wp14:editId="68CBCE07">
            <wp:extent cx="2589919" cy="2230555"/>
            <wp:effectExtent l="0" t="0" r="1270" b="0"/>
            <wp:docPr id="820376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76909" name=""/>
                    <pic:cNvPicPr/>
                  </pic:nvPicPr>
                  <pic:blipFill>
                    <a:blip r:embed="rId16"/>
                    <a:stretch>
                      <a:fillRect/>
                    </a:stretch>
                  </pic:blipFill>
                  <pic:spPr>
                    <a:xfrm>
                      <a:off x="0" y="0"/>
                      <a:ext cx="2640688" cy="2274280"/>
                    </a:xfrm>
                    <a:prstGeom prst="rect">
                      <a:avLst/>
                    </a:prstGeom>
                  </pic:spPr>
                </pic:pic>
              </a:graphicData>
            </a:graphic>
          </wp:inline>
        </w:drawing>
      </w:r>
      <w:r>
        <w:rPr>
          <w:noProof/>
        </w:rPr>
        <w:drawing>
          <wp:inline distT="0" distB="0" distL="0" distR="0" wp14:anchorId="5949B920" wp14:editId="0E759822">
            <wp:extent cx="3100868" cy="2180200"/>
            <wp:effectExtent l="0" t="0" r="4445" b="0"/>
            <wp:docPr id="804489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8972" name=""/>
                    <pic:cNvPicPr/>
                  </pic:nvPicPr>
                  <pic:blipFill>
                    <a:blip r:embed="rId17"/>
                    <a:stretch>
                      <a:fillRect/>
                    </a:stretch>
                  </pic:blipFill>
                  <pic:spPr>
                    <a:xfrm>
                      <a:off x="0" y="0"/>
                      <a:ext cx="3211436" cy="2257940"/>
                    </a:xfrm>
                    <a:prstGeom prst="rect">
                      <a:avLst/>
                    </a:prstGeom>
                  </pic:spPr>
                </pic:pic>
              </a:graphicData>
            </a:graphic>
          </wp:inline>
        </w:drawing>
      </w:r>
    </w:p>
    <w:p w14:paraId="023D18EB" w14:textId="48CD41CD" w:rsidR="00D8519B" w:rsidRPr="001B2B3C" w:rsidRDefault="001B2B3C" w:rsidP="001B2B3C">
      <w:pPr>
        <w:overflowPunct/>
        <w:autoSpaceDE/>
        <w:autoSpaceDN/>
        <w:adjustRightInd/>
        <w:spacing w:afterLines="100" w:after="240"/>
        <w:jc w:val="center"/>
        <w:textAlignment w:val="auto"/>
        <w:rPr>
          <w:i/>
          <w:iCs/>
          <w:sz w:val="20"/>
          <w:lang w:eastAsia="zh-CN"/>
        </w:rPr>
      </w:pPr>
      <w:r w:rsidRPr="001B2B3C">
        <w:rPr>
          <w:rFonts w:hint="eastAsia"/>
          <w:i/>
          <w:iCs/>
          <w:sz w:val="20"/>
          <w:lang w:eastAsia="zh-CN"/>
        </w:rPr>
        <w:t>FIG.</w:t>
      </w:r>
      <w:r w:rsidR="00D8519B" w:rsidRPr="001B2B3C">
        <w:rPr>
          <w:i/>
          <w:iCs/>
          <w:sz w:val="20"/>
          <w:lang w:eastAsia="zh-CN"/>
        </w:rPr>
        <w:t xml:space="preserve"> </w:t>
      </w:r>
      <w:r w:rsidRPr="001B2B3C">
        <w:rPr>
          <w:rFonts w:hint="eastAsia"/>
          <w:i/>
          <w:iCs/>
          <w:sz w:val="20"/>
          <w:lang w:eastAsia="zh-CN"/>
        </w:rPr>
        <w:t>5</w:t>
      </w:r>
      <w:r w:rsidR="00D8519B" w:rsidRPr="001B2B3C">
        <w:rPr>
          <w:i/>
          <w:iCs/>
          <w:sz w:val="20"/>
          <w:lang w:eastAsia="zh-CN"/>
        </w:rPr>
        <w:t xml:space="preserve"> ITER CSMC Power Supply System </w:t>
      </w:r>
      <w:r w:rsidR="00D8519B" w:rsidRPr="001B2B3C">
        <w:rPr>
          <w:rFonts w:hint="eastAsia"/>
          <w:i/>
          <w:iCs/>
          <w:sz w:val="20"/>
          <w:lang w:eastAsia="zh-CN"/>
        </w:rPr>
        <w:t xml:space="preserve">       </w:t>
      </w:r>
      <w:r w:rsidR="00D8519B" w:rsidRPr="001B2B3C">
        <w:rPr>
          <w:i/>
          <w:iCs/>
          <w:sz w:val="20"/>
          <w:lang w:eastAsia="zh-CN"/>
        </w:rPr>
        <w:t>F</w:t>
      </w:r>
      <w:r w:rsidRPr="001B2B3C">
        <w:rPr>
          <w:rFonts w:hint="eastAsia"/>
          <w:i/>
          <w:iCs/>
          <w:sz w:val="20"/>
          <w:lang w:eastAsia="zh-CN"/>
        </w:rPr>
        <w:t>IG.</w:t>
      </w:r>
      <w:r w:rsidR="00D8519B" w:rsidRPr="001B2B3C">
        <w:rPr>
          <w:i/>
          <w:iCs/>
          <w:sz w:val="20"/>
          <w:lang w:eastAsia="zh-CN"/>
        </w:rPr>
        <w:t xml:space="preserve"> </w:t>
      </w:r>
      <w:r w:rsidRPr="001B2B3C">
        <w:rPr>
          <w:rFonts w:hint="eastAsia"/>
          <w:i/>
          <w:iCs/>
          <w:sz w:val="20"/>
          <w:lang w:eastAsia="zh-CN"/>
        </w:rPr>
        <w:t>6</w:t>
      </w:r>
      <w:r w:rsidR="00D8519B" w:rsidRPr="001B2B3C">
        <w:rPr>
          <w:i/>
          <w:iCs/>
          <w:sz w:val="20"/>
          <w:lang w:eastAsia="zh-CN"/>
        </w:rPr>
        <w:t xml:space="preserve"> ITER CSMC Test Current Waveform</w:t>
      </w:r>
    </w:p>
    <w:p w14:paraId="540E36C5" w14:textId="4C3F325B" w:rsidR="00477B19" w:rsidRPr="00F81411" w:rsidRDefault="00A5783E" w:rsidP="00011C41">
      <w:pPr>
        <w:pStyle w:val="1"/>
        <w:keepNext/>
        <w:keepLines/>
        <w:numPr>
          <w:ilvl w:val="1"/>
          <w:numId w:val="10"/>
        </w:num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260" w:line="240" w:lineRule="auto"/>
        <w:ind w:right="0"/>
        <w:rPr>
          <w:rFonts w:ascii="Times New Roman" w:hAnsi="Times New Roman"/>
          <w:b w:val="0"/>
          <w:bCs/>
          <w:sz w:val="20"/>
          <w:lang w:val="en-GB"/>
        </w:rPr>
      </w:pPr>
      <w:r w:rsidRPr="00A5783E">
        <w:rPr>
          <w:rFonts w:ascii="Times New Roman" w:hAnsi="Times New Roman"/>
          <w:b w:val="0"/>
          <w:bCs/>
          <w:sz w:val="20"/>
          <w:lang w:val="en-GB"/>
        </w:rPr>
        <w:t>CSMC Converter Power Supply Operating Principles</w:t>
      </w:r>
    </w:p>
    <w:p w14:paraId="139D8212" w14:textId="62D30E75" w:rsidR="003A3DFE" w:rsidRPr="00616926" w:rsidRDefault="00616926" w:rsidP="00616926">
      <w:pPr>
        <w:pStyle w:val="2"/>
        <w:keepNext/>
        <w:keepLines/>
        <w:widowControl/>
        <w:numPr>
          <w:ilvl w:val="2"/>
          <w:numId w:val="12"/>
        </w:num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240" w:beforeAutospacing="0" w:after="260" w:afterAutospacing="0" w:line="240" w:lineRule="auto"/>
        <w:rPr>
          <w:b/>
          <w:bCs/>
          <w:iCs/>
          <w:caps w:val="0"/>
          <w:lang w:eastAsia="ar-SA"/>
        </w:rPr>
      </w:pPr>
      <w:r w:rsidRPr="00616926">
        <w:rPr>
          <w:b/>
          <w:bCs/>
          <w:iCs/>
          <w:caps w:val="0"/>
          <w:lang w:eastAsia="ar-SA"/>
        </w:rPr>
        <w:t>Operating principle of rectifier transformer</w:t>
      </w:r>
    </w:p>
    <w:p w14:paraId="767C699B" w14:textId="70CD6B62" w:rsidR="00A5783E" w:rsidRDefault="00A5783E" w:rsidP="00477B19">
      <w:pPr>
        <w:overflowPunct/>
        <w:autoSpaceDE/>
        <w:autoSpaceDN/>
        <w:adjustRightInd/>
        <w:spacing w:after="260"/>
        <w:jc w:val="both"/>
        <w:textAlignment w:val="auto"/>
        <w:rPr>
          <w:sz w:val="20"/>
          <w:lang w:eastAsia="zh-CN"/>
        </w:rPr>
      </w:pPr>
      <w:r w:rsidRPr="00A5783E">
        <w:rPr>
          <w:rFonts w:eastAsiaTheme="minorHAnsi"/>
          <w:sz w:val="20"/>
          <w:lang w:eastAsia="ar-SA"/>
        </w:rPr>
        <w:t>The working principle of CSMC rectifier power supply is based on thyristor rectifier technology, and its control mainly considers two aspects. On the one hand, in the parallel mode, multiple rectifier bridge units work in parallel, and each unit is controlled independently to accurately regulate the output current to ensure the balanced distribution of power and system stability.</w:t>
      </w:r>
      <w:r>
        <w:rPr>
          <w:rFonts w:hint="eastAsia"/>
          <w:sz w:val="20"/>
          <w:lang w:eastAsia="zh-CN"/>
        </w:rPr>
        <w:t xml:space="preserve"> </w:t>
      </w:r>
      <w:r w:rsidRPr="00A5783E">
        <w:rPr>
          <w:rFonts w:eastAsiaTheme="minorHAnsi"/>
          <w:sz w:val="20"/>
          <w:lang w:eastAsia="ar-SA"/>
        </w:rPr>
        <w:t>On the other hand, the protection strategy of high power rectifier power supply should be considered. According to the special requirements of superconducting magnet, the power supply system is designed with protection measures such as inverter operation mode and bypass switch, which can effectively release the energy stored in the magnet in case of failure, avoid the damage caused by energy accumulation, and ensure the safety of superconducting magnet and the reliability of power supply system.</w:t>
      </w:r>
    </w:p>
    <w:p w14:paraId="0E935C01" w14:textId="0E0FEEBD" w:rsidR="00166552" w:rsidRPr="00166552" w:rsidRDefault="00166552" w:rsidP="003122AA">
      <w:pPr>
        <w:overflowPunct/>
        <w:autoSpaceDE/>
        <w:autoSpaceDN/>
        <w:adjustRightInd/>
        <w:jc w:val="center"/>
        <w:textAlignment w:val="auto"/>
        <w:rPr>
          <w:sz w:val="20"/>
          <w:lang w:eastAsia="zh-CN"/>
        </w:rPr>
      </w:pPr>
      <w:r>
        <w:rPr>
          <w:noProof/>
        </w:rPr>
        <w:lastRenderedPageBreak/>
        <w:drawing>
          <wp:inline distT="0" distB="0" distL="0" distR="0" wp14:anchorId="14467E3D" wp14:editId="1877FE6E">
            <wp:extent cx="4611757" cy="1821198"/>
            <wp:effectExtent l="0" t="0" r="0" b="0"/>
            <wp:docPr id="23" name="图片 22">
              <a:extLst xmlns:a="http://schemas.openxmlformats.org/drawingml/2006/main">
                <a:ext uri="{FF2B5EF4-FFF2-40B4-BE49-F238E27FC236}">
                  <a16:creationId xmlns:a16="http://schemas.microsoft.com/office/drawing/2014/main" id="{5C6A9D4B-F611-8B4A-51FF-C17D713A6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5C6A9D4B-F611-8B4A-51FF-C17D713A6A2C}"/>
                        </a:ext>
                      </a:extLst>
                    </pic:cNvPr>
                    <pic:cNvPicPr>
                      <a:picLocks noChangeAspect="1"/>
                    </pic:cNvPicPr>
                  </pic:nvPicPr>
                  <pic:blipFill>
                    <a:blip r:embed="rId18"/>
                    <a:stretch>
                      <a:fillRect/>
                    </a:stretch>
                  </pic:blipFill>
                  <pic:spPr>
                    <a:xfrm>
                      <a:off x="0" y="0"/>
                      <a:ext cx="4771323" cy="1884211"/>
                    </a:xfrm>
                    <a:prstGeom prst="rect">
                      <a:avLst/>
                    </a:prstGeom>
                  </pic:spPr>
                </pic:pic>
              </a:graphicData>
            </a:graphic>
          </wp:inline>
        </w:drawing>
      </w:r>
    </w:p>
    <w:p w14:paraId="0AC36ED5" w14:textId="0363464F" w:rsidR="001B2B3C" w:rsidRPr="001B2B3C" w:rsidRDefault="001B2B3C" w:rsidP="00E07EAD">
      <w:pPr>
        <w:overflowPunct/>
        <w:autoSpaceDE/>
        <w:autoSpaceDN/>
        <w:adjustRightInd/>
        <w:spacing w:after="120"/>
        <w:jc w:val="center"/>
        <w:textAlignment w:val="auto"/>
        <w:rPr>
          <w:i/>
          <w:iCs/>
          <w:sz w:val="20"/>
          <w:lang w:eastAsia="zh-CN"/>
        </w:rPr>
      </w:pPr>
      <w:r w:rsidRPr="001B2B3C">
        <w:rPr>
          <w:rFonts w:hint="eastAsia"/>
          <w:i/>
          <w:iCs/>
          <w:sz w:val="20"/>
          <w:lang w:eastAsia="zh-CN"/>
        </w:rPr>
        <w:t xml:space="preserve">FIG. 7 </w:t>
      </w:r>
      <w:r w:rsidRPr="001B2B3C">
        <w:rPr>
          <w:i/>
          <w:iCs/>
          <w:sz w:val="20"/>
          <w:lang w:eastAsia="zh-CN"/>
        </w:rPr>
        <w:t>Topological Diagram of Electrical Equipment</w:t>
      </w:r>
    </w:p>
    <w:p w14:paraId="44A723BA" w14:textId="528717CB" w:rsidR="00166552" w:rsidRDefault="00166552" w:rsidP="00477B19">
      <w:pPr>
        <w:overflowPunct/>
        <w:autoSpaceDE/>
        <w:autoSpaceDN/>
        <w:adjustRightInd/>
        <w:spacing w:after="260"/>
        <w:jc w:val="both"/>
        <w:textAlignment w:val="auto"/>
        <w:rPr>
          <w:sz w:val="20"/>
          <w:lang w:eastAsia="zh-CN"/>
        </w:rPr>
      </w:pPr>
      <w:r w:rsidRPr="00166552">
        <w:rPr>
          <w:sz w:val="20"/>
          <w:lang w:eastAsia="zh-CN"/>
        </w:rPr>
        <w:t>F</w:t>
      </w:r>
      <w:r w:rsidR="001B2B3C">
        <w:rPr>
          <w:rFonts w:hint="eastAsia"/>
          <w:sz w:val="20"/>
          <w:lang w:eastAsia="zh-CN"/>
        </w:rPr>
        <w:t>IG. 7</w:t>
      </w:r>
      <w:r w:rsidRPr="00166552">
        <w:rPr>
          <w:sz w:val="20"/>
          <w:lang w:eastAsia="zh-CN"/>
        </w:rPr>
        <w:t xml:space="preserve"> shows the structure of the C</w:t>
      </w:r>
      <w:r w:rsidR="00C15746">
        <w:rPr>
          <w:rFonts w:hint="eastAsia"/>
          <w:sz w:val="20"/>
          <w:lang w:eastAsia="zh-CN"/>
        </w:rPr>
        <w:t>SMC</w:t>
      </w:r>
      <w:r w:rsidRPr="00166552">
        <w:rPr>
          <w:sz w:val="20"/>
          <w:lang w:eastAsia="zh-CN"/>
        </w:rPr>
        <w:t xml:space="preserve"> magnet power supply.</w:t>
      </w:r>
      <w:r>
        <w:rPr>
          <w:rFonts w:hint="eastAsia"/>
          <w:sz w:val="20"/>
          <w:lang w:eastAsia="zh-CN"/>
        </w:rPr>
        <w:t xml:space="preserve"> </w:t>
      </w:r>
      <w:r w:rsidRPr="00166552">
        <w:rPr>
          <w:sz w:val="20"/>
          <w:lang w:eastAsia="zh-CN"/>
        </w:rPr>
        <w:t>The topology of the power supply system consists of a step-down transformer, two sets of rectifier transformers, two sets of independent converter units, quench protection system and superconducting load.</w:t>
      </w:r>
      <w:r>
        <w:rPr>
          <w:rFonts w:hint="eastAsia"/>
          <w:sz w:val="20"/>
          <w:lang w:eastAsia="zh-CN"/>
        </w:rPr>
        <w:t xml:space="preserve"> </w:t>
      </w:r>
      <w:r w:rsidRPr="00166552">
        <w:rPr>
          <w:sz w:val="20"/>
          <w:lang w:eastAsia="zh-CN"/>
        </w:rPr>
        <w:t>Each set of converter unit comprises a three-winding rectifier transformer, a three-phase fully-controlled bridge rectifier circuit formed by thyristors, a current-sharing reactor and a bypass switch.</w:t>
      </w:r>
      <w:r>
        <w:rPr>
          <w:rFonts w:hint="eastAsia"/>
          <w:sz w:val="20"/>
          <w:lang w:eastAsia="zh-CN"/>
        </w:rPr>
        <w:t xml:space="preserve"> </w:t>
      </w:r>
      <w:r w:rsidRPr="00166552">
        <w:rPr>
          <w:sz w:val="20"/>
          <w:lang w:eastAsia="zh-CN"/>
        </w:rPr>
        <w:t>The power supply system is supplied by a 110 kV high voltage bus, and the output voltage is reduced to 197 V through a step-down transformer and a rectifier transformer to meet the power supply requirements of the superconducting magnet.</w:t>
      </w:r>
      <w:r>
        <w:rPr>
          <w:rFonts w:hint="eastAsia"/>
          <w:sz w:val="20"/>
          <w:lang w:eastAsia="zh-CN"/>
        </w:rPr>
        <w:t xml:space="preserve"> </w:t>
      </w:r>
      <w:r w:rsidRPr="00166552">
        <w:rPr>
          <w:sz w:val="20"/>
          <w:lang w:eastAsia="zh-CN"/>
        </w:rPr>
        <w:t xml:space="preserve">In the </w:t>
      </w:r>
      <w:r>
        <w:rPr>
          <w:rFonts w:hint="eastAsia"/>
          <w:sz w:val="20"/>
          <w:lang w:eastAsia="zh-CN"/>
        </w:rPr>
        <w:t>CSMC</w:t>
      </w:r>
      <w:r w:rsidRPr="00166552">
        <w:rPr>
          <w:sz w:val="20"/>
          <w:lang w:eastAsia="zh-CN"/>
        </w:rPr>
        <w:t xml:space="preserve"> magnet power supply, two sets of converters are operated in parallel to realize 12-pulse output, and the primary winding of each rectifier transformer is connected in an extended delta manner to form a required phase difference on the secondary side.</w:t>
      </w:r>
      <w:r>
        <w:rPr>
          <w:rFonts w:hint="eastAsia"/>
          <w:sz w:val="20"/>
          <w:lang w:eastAsia="zh-CN"/>
        </w:rPr>
        <w:t xml:space="preserve"> </w:t>
      </w:r>
      <w:r w:rsidRPr="00166552">
        <w:rPr>
          <w:sz w:val="20"/>
          <w:lang w:eastAsia="zh-CN"/>
        </w:rPr>
        <w:t xml:space="preserve">The two transformers CU1 and CU2 are connected by the extended delta to achieve a phase shift angle of </w:t>
      </w:r>
      <w:r w:rsidR="00647498">
        <w:rPr>
          <w:rFonts w:hint="eastAsia"/>
          <w:sz w:val="20"/>
          <w:lang w:eastAsia="zh-CN"/>
        </w:rPr>
        <w:t>+22.5</w:t>
      </w:r>
      <w:bookmarkStart w:id="1" w:name="_Hlk207804172"/>
      <w:r w:rsidRPr="00166552">
        <w:rPr>
          <w:sz w:val="20"/>
          <w:lang w:eastAsia="zh-CN"/>
        </w:rPr>
        <w:t>°</w:t>
      </w:r>
      <w:bookmarkEnd w:id="1"/>
      <w:r w:rsidRPr="00166552">
        <w:rPr>
          <w:sz w:val="20"/>
          <w:lang w:eastAsia="zh-CN"/>
        </w:rPr>
        <w:t xml:space="preserve"> </w:t>
      </w:r>
      <w:r w:rsidR="00647498">
        <w:rPr>
          <w:rFonts w:hint="eastAsia"/>
          <w:sz w:val="20"/>
          <w:lang w:eastAsia="zh-CN"/>
        </w:rPr>
        <w:t>and -7.5</w:t>
      </w:r>
      <w:r w:rsidR="00647498" w:rsidRPr="00647498">
        <w:rPr>
          <w:rFonts w:hint="eastAsia"/>
          <w:sz w:val="20"/>
          <w:lang w:eastAsia="zh-CN"/>
        </w:rPr>
        <w:t>°</w:t>
      </w:r>
      <w:r w:rsidRPr="00166552">
        <w:rPr>
          <w:sz w:val="20"/>
          <w:lang w:eastAsia="zh-CN"/>
        </w:rPr>
        <w:t>for each transformer, and the phasor diagram of the connection is shown in F</w:t>
      </w:r>
      <w:r w:rsidR="000A6B62">
        <w:rPr>
          <w:rFonts w:hint="eastAsia"/>
          <w:sz w:val="20"/>
          <w:lang w:eastAsia="zh-CN"/>
        </w:rPr>
        <w:t>IG. 8</w:t>
      </w:r>
      <w:r w:rsidRPr="00166552">
        <w:rPr>
          <w:sz w:val="20"/>
          <w:lang w:eastAsia="zh-CN"/>
        </w:rPr>
        <w:t>.</w:t>
      </w:r>
    </w:p>
    <w:p w14:paraId="27894CDB" w14:textId="229EA200" w:rsidR="000A6B62" w:rsidRDefault="00647498" w:rsidP="000A6B62">
      <w:pPr>
        <w:overflowPunct/>
        <w:autoSpaceDE/>
        <w:autoSpaceDN/>
        <w:adjustRightInd/>
        <w:spacing w:after="260"/>
        <w:jc w:val="center"/>
        <w:textAlignment w:val="auto"/>
        <w:rPr>
          <w:lang w:eastAsia="zh-CN"/>
        </w:rPr>
      </w:pPr>
      <w:r>
        <w:rPr>
          <w:noProof/>
        </w:rPr>
        <w:drawing>
          <wp:inline distT="0" distB="0" distL="0" distR="0" wp14:anchorId="66672C06" wp14:editId="16A5378F">
            <wp:extent cx="1250686" cy="1351966"/>
            <wp:effectExtent l="0" t="0" r="6985" b="635"/>
            <wp:docPr id="534798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98713" name=""/>
                    <pic:cNvPicPr/>
                  </pic:nvPicPr>
                  <pic:blipFill>
                    <a:blip r:embed="rId19"/>
                    <a:stretch>
                      <a:fillRect/>
                    </a:stretch>
                  </pic:blipFill>
                  <pic:spPr>
                    <a:xfrm>
                      <a:off x="0" y="0"/>
                      <a:ext cx="1277663" cy="1381128"/>
                    </a:xfrm>
                    <a:prstGeom prst="rect">
                      <a:avLst/>
                    </a:prstGeom>
                  </pic:spPr>
                </pic:pic>
              </a:graphicData>
            </a:graphic>
          </wp:inline>
        </w:drawing>
      </w:r>
      <w:r>
        <w:rPr>
          <w:rFonts w:hint="eastAsia"/>
          <w:lang w:eastAsia="zh-CN"/>
        </w:rPr>
        <w:t xml:space="preserve">      </w:t>
      </w:r>
      <w:r>
        <w:rPr>
          <w:noProof/>
        </w:rPr>
        <w:drawing>
          <wp:inline distT="0" distB="0" distL="0" distR="0" wp14:anchorId="2042FC6E" wp14:editId="42495095">
            <wp:extent cx="1212446" cy="1178062"/>
            <wp:effectExtent l="0" t="0" r="6985" b="3175"/>
            <wp:docPr id="985728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28965" name=""/>
                    <pic:cNvPicPr/>
                  </pic:nvPicPr>
                  <pic:blipFill>
                    <a:blip r:embed="rId20"/>
                    <a:stretch>
                      <a:fillRect/>
                    </a:stretch>
                  </pic:blipFill>
                  <pic:spPr>
                    <a:xfrm>
                      <a:off x="0" y="0"/>
                      <a:ext cx="1233553" cy="1198570"/>
                    </a:xfrm>
                    <a:prstGeom prst="rect">
                      <a:avLst/>
                    </a:prstGeom>
                  </pic:spPr>
                </pic:pic>
              </a:graphicData>
            </a:graphic>
          </wp:inline>
        </w:drawing>
      </w:r>
    </w:p>
    <w:p w14:paraId="26BF1DA5" w14:textId="356A1139" w:rsidR="00647498" w:rsidRPr="00647498" w:rsidRDefault="00647498" w:rsidP="000A6B62">
      <w:pPr>
        <w:overflowPunct/>
        <w:autoSpaceDE/>
        <w:autoSpaceDN/>
        <w:adjustRightInd/>
        <w:spacing w:after="260"/>
        <w:jc w:val="center"/>
        <w:textAlignment w:val="auto"/>
        <w:rPr>
          <w:i/>
          <w:iCs/>
          <w:lang w:eastAsia="zh-CN"/>
        </w:rPr>
      </w:pPr>
      <w:r w:rsidRPr="00647498">
        <w:rPr>
          <w:i/>
          <w:iCs/>
          <w:lang w:eastAsia="zh-CN"/>
        </w:rPr>
        <w:t>FIG. 8</w:t>
      </w:r>
      <w:r w:rsidRPr="00647498">
        <w:rPr>
          <w:rFonts w:hint="eastAsia"/>
          <w:i/>
          <w:iCs/>
          <w:lang w:eastAsia="zh-CN"/>
        </w:rPr>
        <w:t xml:space="preserve"> </w:t>
      </w:r>
      <w:r w:rsidRPr="00647498">
        <w:rPr>
          <w:i/>
          <w:iCs/>
          <w:lang w:eastAsia="zh-CN"/>
        </w:rPr>
        <w:t>Phasor diagram of the extended delta connection</w:t>
      </w:r>
    </w:p>
    <w:p w14:paraId="7CD9C2F4" w14:textId="25FD3562" w:rsidR="00647498" w:rsidRPr="00616926" w:rsidRDefault="00616926" w:rsidP="00616926">
      <w:pPr>
        <w:pStyle w:val="2"/>
        <w:keepNext/>
        <w:keepLines/>
        <w:widowControl/>
        <w:numPr>
          <w:ilvl w:val="2"/>
          <w:numId w:val="12"/>
        </w:num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240" w:beforeAutospacing="0" w:after="260" w:afterAutospacing="0" w:line="240" w:lineRule="auto"/>
        <w:rPr>
          <w:b/>
          <w:bCs/>
          <w:iCs/>
          <w:caps w:val="0"/>
          <w:lang w:eastAsia="ar-SA"/>
        </w:rPr>
      </w:pPr>
      <w:r w:rsidRPr="00616926">
        <w:rPr>
          <w:b/>
          <w:bCs/>
          <w:iCs/>
          <w:caps w:val="0"/>
          <w:lang w:eastAsia="ar-SA"/>
        </w:rPr>
        <w:t>Mathematical Model of Rectifier Power Supply</w:t>
      </w:r>
    </w:p>
    <w:p w14:paraId="137B5B70" w14:textId="6BD9BA57" w:rsidR="000A6B62" w:rsidRDefault="00C15746" w:rsidP="00104493">
      <w:pPr>
        <w:overflowPunct/>
        <w:autoSpaceDE/>
        <w:autoSpaceDN/>
        <w:adjustRightInd/>
        <w:spacing w:after="120"/>
        <w:jc w:val="both"/>
        <w:textAlignment w:val="auto"/>
        <w:rPr>
          <w:sz w:val="20"/>
          <w:lang w:eastAsia="zh-CN"/>
        </w:rPr>
      </w:pPr>
      <w:r w:rsidRPr="00C15746">
        <w:rPr>
          <w:sz w:val="20"/>
          <w:lang w:eastAsia="zh-CN"/>
        </w:rPr>
        <w:t>The two groups of converter units in the CSMC magnet power supply have the same topology, and the topology of a single converter unit is shown in the figure, in which the rectifier transformer is equivalent to a three-phase AC power supply</w:t>
      </w:r>
      <w:r w:rsidR="009D461F">
        <w:rPr>
          <w:rFonts w:hint="eastAsia"/>
          <w:sz w:val="20"/>
          <w:lang w:eastAsia="zh-CN"/>
        </w:rPr>
        <w:t xml:space="preserve"> as FIG.9</w:t>
      </w:r>
      <w:r w:rsidRPr="00C15746">
        <w:rPr>
          <w:sz w:val="20"/>
          <w:lang w:eastAsia="zh-CN"/>
        </w:rPr>
        <w:t>.</w:t>
      </w:r>
      <w:r>
        <w:rPr>
          <w:rFonts w:hint="eastAsia"/>
          <w:sz w:val="20"/>
          <w:lang w:eastAsia="zh-CN"/>
        </w:rPr>
        <w:t xml:space="preserve"> </w:t>
      </w:r>
      <w:r w:rsidRPr="00C15746">
        <w:rPr>
          <w:sz w:val="20"/>
          <w:lang w:eastAsia="zh-CN"/>
        </w:rPr>
        <w:t>Based on the idealized assumptions, it is assumed that the output voltage of the rectifier transformer has the same amplitude and frequency, and the phase difference between the three phases is 120°.</w:t>
      </w:r>
      <w:r>
        <w:rPr>
          <w:rFonts w:hint="eastAsia"/>
          <w:sz w:val="20"/>
          <w:lang w:eastAsia="zh-CN"/>
        </w:rPr>
        <w:t xml:space="preserve"> </w:t>
      </w:r>
      <w:r w:rsidRPr="00C15746">
        <w:rPr>
          <w:sz w:val="20"/>
          <w:lang w:eastAsia="zh-CN"/>
        </w:rPr>
        <w:t>In order to simplify the analysis and focus on the basic operating characteristics of the converter, the switching devices are assumed to be ideal switches, and the switching losses and external disturbances are not considered.</w:t>
      </w:r>
    </w:p>
    <w:p w14:paraId="11EFB0EB" w14:textId="19FF04E4" w:rsidR="00C15746" w:rsidRDefault="00E07EAD" w:rsidP="00104493">
      <w:pPr>
        <w:overflowPunct/>
        <w:autoSpaceDE/>
        <w:autoSpaceDN/>
        <w:adjustRightInd/>
        <w:spacing w:after="120"/>
        <w:jc w:val="center"/>
        <w:textAlignment w:val="auto"/>
        <w:rPr>
          <w:sz w:val="20"/>
          <w:lang w:eastAsia="zh-CN"/>
        </w:rPr>
      </w:pPr>
      <w:r>
        <w:rPr>
          <w:rFonts w:hint="eastAsia"/>
        </w:rPr>
        <w:object w:dxaOrig="2790" w:dyaOrig="1636" w14:anchorId="76EE81BB">
          <v:shape id="_x0000_i1029" type="#_x0000_t75" style="width:197.85pt;height:116.45pt" o:ole="">
            <v:imagedata r:id="rId21" o:title=""/>
          </v:shape>
          <o:OLEObject Type="Embed" ProgID="Visio.Drawing.15" ShapeID="_x0000_i1029" DrawAspect="Content" ObjectID="_1820059688" r:id="rId22"/>
        </w:object>
      </w:r>
    </w:p>
    <w:p w14:paraId="45321486" w14:textId="26886C6B" w:rsidR="009D461F" w:rsidRPr="009D461F" w:rsidRDefault="009D461F" w:rsidP="00C15746">
      <w:pPr>
        <w:overflowPunct/>
        <w:autoSpaceDE/>
        <w:autoSpaceDN/>
        <w:adjustRightInd/>
        <w:spacing w:after="260"/>
        <w:jc w:val="center"/>
        <w:textAlignment w:val="auto"/>
        <w:rPr>
          <w:i/>
          <w:iCs/>
          <w:lang w:eastAsia="zh-CN"/>
        </w:rPr>
      </w:pPr>
      <w:r w:rsidRPr="009D461F">
        <w:rPr>
          <w:i/>
          <w:iCs/>
          <w:lang w:eastAsia="zh-CN"/>
        </w:rPr>
        <w:t xml:space="preserve">FIG. </w:t>
      </w:r>
      <w:r w:rsidRPr="009D461F">
        <w:rPr>
          <w:rFonts w:hint="eastAsia"/>
          <w:i/>
          <w:iCs/>
          <w:lang w:eastAsia="zh-CN"/>
        </w:rPr>
        <w:t>9</w:t>
      </w:r>
      <w:r w:rsidRPr="009D461F">
        <w:rPr>
          <w:i/>
          <w:iCs/>
          <w:lang w:eastAsia="zh-CN"/>
        </w:rPr>
        <w:t xml:space="preserve"> Topology of a single converter unit</w:t>
      </w:r>
    </w:p>
    <w:p w14:paraId="17E043C3" w14:textId="7AD6921E" w:rsidR="00C15746" w:rsidRDefault="00C15746" w:rsidP="00C15746">
      <w:pPr>
        <w:overflowPunct/>
        <w:autoSpaceDE/>
        <w:autoSpaceDN/>
        <w:adjustRightInd/>
        <w:spacing w:after="260"/>
        <w:jc w:val="both"/>
        <w:textAlignment w:val="auto"/>
        <w:rPr>
          <w:sz w:val="20"/>
          <w:lang w:eastAsia="zh-CN"/>
        </w:rPr>
      </w:pPr>
      <w:r w:rsidRPr="00C15746">
        <w:rPr>
          <w:sz w:val="20"/>
          <w:lang w:eastAsia="zh-CN"/>
        </w:rPr>
        <w:lastRenderedPageBreak/>
        <w:t>Suppose the output voltage of the rectifier transformer is:</w:t>
      </w:r>
    </w:p>
    <w:p w14:paraId="7FEFEBB5" w14:textId="03B93ED8" w:rsidR="00C15746" w:rsidRDefault="00CF1919" w:rsidP="003122AA">
      <w:pPr>
        <w:overflowPunct/>
        <w:autoSpaceDE/>
        <w:autoSpaceDN/>
        <w:adjustRightInd/>
        <w:spacing w:after="260"/>
        <w:jc w:val="right"/>
        <w:textAlignment w:val="auto"/>
        <w:rPr>
          <w:sz w:val="20"/>
          <w:lang w:eastAsia="zh-CN"/>
        </w:rPr>
      </w:pPr>
      <w:r w:rsidRPr="00C95D50">
        <w:rPr>
          <w:rFonts w:hint="eastAsia"/>
          <w:position w:val="-90"/>
        </w:rPr>
        <w:object w:dxaOrig="2340" w:dyaOrig="1920" w14:anchorId="2B00FFA3">
          <v:shape id="_x0000_i1030" type="#_x0000_t75" style="width:108.95pt;height:89.55pt" o:ole="">
            <v:imagedata r:id="rId23" o:title=""/>
          </v:shape>
          <o:OLEObject Type="Embed" ProgID="Equation.DSMT4" ShapeID="_x0000_i1030" DrawAspect="Content" ObjectID="_1820059689" r:id="rId24"/>
        </w:object>
      </w:r>
      <w:r w:rsidR="003122AA">
        <w:rPr>
          <w:rFonts w:hint="eastAsia"/>
          <w:lang w:eastAsia="zh-CN"/>
        </w:rPr>
        <w:t xml:space="preserve">                                (1)</w:t>
      </w:r>
    </w:p>
    <w:p w14:paraId="4C1384A1" w14:textId="79D59318" w:rsidR="00C15746" w:rsidRDefault="00C15746" w:rsidP="00C15746">
      <w:pPr>
        <w:overflowPunct/>
        <w:autoSpaceDE/>
        <w:autoSpaceDN/>
        <w:adjustRightInd/>
        <w:jc w:val="both"/>
        <w:textAlignment w:val="auto"/>
        <w:rPr>
          <w:sz w:val="20"/>
          <w:lang w:eastAsia="zh-CN"/>
        </w:rPr>
      </w:pPr>
      <w:r w:rsidRPr="00C15746">
        <w:rPr>
          <w:sz w:val="20"/>
          <w:lang w:eastAsia="zh-CN"/>
        </w:rPr>
        <w:t xml:space="preserve">Where, </w:t>
      </w:r>
      <w:r w:rsidRPr="00C15746">
        <w:rPr>
          <w:rFonts w:ascii="等线" w:eastAsia="等线" w:hAnsi="等线" w:hint="eastAsia"/>
          <w:kern w:val="2"/>
          <w:position w:val="-12"/>
          <w:szCs w:val="24"/>
          <w:lang w:val="en-US" w:eastAsia="zh-CN"/>
          <w14:ligatures w14:val="standardContextual"/>
        </w:rPr>
        <w:object w:dxaOrig="279" w:dyaOrig="360" w14:anchorId="6AAC8F55">
          <v:shape id="_x0000_i1031" type="#_x0000_t75" style="width:14.4pt;height:18.15pt" o:ole="">
            <v:imagedata r:id="rId25" o:title=""/>
          </v:shape>
          <o:OLEObject Type="Embed" ProgID="Equation.DSMT4" ShapeID="_x0000_i1031" DrawAspect="Content" ObjectID="_1820059690" r:id="rId26"/>
        </w:object>
      </w:r>
      <w:r>
        <w:rPr>
          <w:rFonts w:hint="eastAsia"/>
          <w:sz w:val="20"/>
          <w:lang w:val="en-US" w:eastAsia="zh-CN"/>
        </w:rPr>
        <w:t>present</w:t>
      </w:r>
      <w:r w:rsidRPr="00C15746">
        <w:rPr>
          <w:sz w:val="20"/>
          <w:lang w:eastAsia="zh-CN"/>
        </w:rPr>
        <w:t xml:space="preserve"> value of output voltage of rectifier transformer.</w:t>
      </w:r>
    </w:p>
    <w:p w14:paraId="072D4300" w14:textId="347C1FE7" w:rsidR="00C15746" w:rsidRDefault="00000000" w:rsidP="00C15746">
      <w:pPr>
        <w:overflowPunct/>
        <w:autoSpaceDE/>
        <w:autoSpaceDN/>
        <w:adjustRightInd/>
        <w:jc w:val="both"/>
        <w:textAlignment w:val="auto"/>
        <w:rPr>
          <w:sz w:val="20"/>
          <w:lang w:eastAsia="zh-CN"/>
        </w:rPr>
      </w:pPr>
      <w:r>
        <w:rPr>
          <w:rFonts w:ascii="等线" w:eastAsia="等线" w:hAnsi="等线"/>
          <w:kern w:val="2"/>
          <w:position w:val="-6"/>
          <w:szCs w:val="24"/>
          <w:lang w:val="en-US" w:eastAsia="zh-CN"/>
          <w14:ligatures w14:val="standardContextual"/>
        </w:rPr>
        <w:pict w14:anchorId="419E0AA4">
          <v:shape id="_x0000_i1032" type="#_x0000_t75" style="width:12.5pt;height:11.25pt">
            <v:imagedata r:id="rId27" o:title=""/>
          </v:shape>
        </w:pict>
      </w:r>
      <w:r w:rsidR="00C15746">
        <w:rPr>
          <w:rFonts w:ascii="等线" w:eastAsia="等线" w:hAnsi="等线" w:hint="eastAsia"/>
          <w:kern w:val="2"/>
          <w:szCs w:val="24"/>
          <w:lang w:val="en-US" w:eastAsia="zh-CN"/>
          <w14:ligatures w14:val="standardContextual"/>
        </w:rPr>
        <w:t xml:space="preserve"> </w:t>
      </w:r>
      <w:r w:rsidR="00C15746" w:rsidRPr="00C15746">
        <w:rPr>
          <w:sz w:val="20"/>
          <w:lang w:eastAsia="zh-CN"/>
        </w:rPr>
        <w:t>frequency of output voltage of rectifier transformer.</w:t>
      </w:r>
    </w:p>
    <w:p w14:paraId="1578192D" w14:textId="5837E942" w:rsidR="00330E80" w:rsidRDefault="00330E80" w:rsidP="00C15746">
      <w:pPr>
        <w:overflowPunct/>
        <w:autoSpaceDE/>
        <w:autoSpaceDN/>
        <w:adjustRightInd/>
        <w:jc w:val="both"/>
        <w:textAlignment w:val="auto"/>
        <w:rPr>
          <w:sz w:val="20"/>
          <w:lang w:eastAsia="zh-CN"/>
        </w:rPr>
      </w:pPr>
      <w:r w:rsidRPr="00330E80">
        <w:rPr>
          <w:sz w:val="20"/>
          <w:lang w:eastAsia="zh-CN"/>
        </w:rPr>
        <w:t>The single rectifier unit is a six-pulse rectifier bridge, the output DC voltage pulses six times in a power frequency cycle, and the average value of the output voltage of the rectifier in each pulse when the conduction angle is fixed is:</w:t>
      </w:r>
    </w:p>
    <w:p w14:paraId="338A678F" w14:textId="06A11361" w:rsidR="00330E80" w:rsidRDefault="003122AA" w:rsidP="00022116">
      <w:pPr>
        <w:overflowPunct/>
        <w:autoSpaceDE/>
        <w:autoSpaceDN/>
        <w:adjustRightInd/>
        <w:jc w:val="right"/>
        <w:textAlignment w:val="auto"/>
        <w:rPr>
          <w:sz w:val="20"/>
          <w:lang w:eastAsia="zh-CN"/>
        </w:rPr>
      </w:pPr>
      <w:r w:rsidRPr="00C95D50">
        <w:rPr>
          <w:rFonts w:hint="eastAsia"/>
          <w:position w:val="-30"/>
        </w:rPr>
        <w:object w:dxaOrig="4580" w:dyaOrig="720" w14:anchorId="082909B1">
          <v:shape id="_x0000_i1033" type="#_x0000_t75" style="width:206.6pt;height:32.55pt" o:ole="">
            <v:imagedata r:id="rId28" o:title=""/>
          </v:shape>
          <o:OLEObject Type="Embed" ProgID="Equation.DSMT4" ShapeID="_x0000_i1033" DrawAspect="Content" ObjectID="_1820059691" r:id="rId29"/>
        </w:object>
      </w:r>
      <w:r w:rsidR="00022116">
        <w:rPr>
          <w:rFonts w:hint="eastAsia"/>
          <w:lang w:eastAsia="zh-CN"/>
        </w:rPr>
        <w:t xml:space="preserve">          </w:t>
      </w:r>
      <w:r>
        <w:rPr>
          <w:rFonts w:hint="eastAsia"/>
          <w:lang w:eastAsia="zh-CN"/>
        </w:rPr>
        <w:t xml:space="preserve">     </w:t>
      </w:r>
      <w:r w:rsidR="00022116">
        <w:rPr>
          <w:rFonts w:hint="eastAsia"/>
          <w:lang w:eastAsia="zh-CN"/>
        </w:rPr>
        <w:t xml:space="preserve">  (</w:t>
      </w:r>
      <w:r>
        <w:rPr>
          <w:rFonts w:hint="eastAsia"/>
          <w:lang w:eastAsia="zh-CN"/>
        </w:rPr>
        <w:t>2</w:t>
      </w:r>
      <w:r w:rsidR="00022116">
        <w:rPr>
          <w:rFonts w:hint="eastAsia"/>
          <w:lang w:eastAsia="zh-CN"/>
        </w:rPr>
        <w:t>)</w:t>
      </w:r>
    </w:p>
    <w:p w14:paraId="5184BB9D" w14:textId="3B3C49B5" w:rsidR="00330E80" w:rsidRDefault="004074B9" w:rsidP="00330E80">
      <w:pPr>
        <w:overflowPunct/>
        <w:autoSpaceDE/>
        <w:autoSpaceDN/>
        <w:adjustRightInd/>
        <w:jc w:val="both"/>
        <w:textAlignment w:val="auto"/>
        <w:rPr>
          <w:sz w:val="20"/>
          <w:lang w:eastAsia="zh-CN"/>
        </w:rPr>
      </w:pPr>
      <w:r>
        <w:rPr>
          <w:rFonts w:hint="eastAsia"/>
          <w:sz w:val="20"/>
          <w:lang w:eastAsia="zh-CN"/>
        </w:rPr>
        <w:t>In the formula</w:t>
      </w:r>
      <w:r w:rsidR="00330E80">
        <w:rPr>
          <w:rFonts w:hint="eastAsia"/>
          <w:sz w:val="20"/>
          <w:lang w:eastAsia="zh-CN"/>
        </w:rPr>
        <w:t>,</w:t>
      </w:r>
      <w:r w:rsidR="00330E80" w:rsidRPr="00330E80">
        <w:rPr>
          <w:sz w:val="20"/>
          <w:lang w:eastAsia="zh-CN"/>
        </w:rPr>
        <w:t xml:space="preserve"> α</w:t>
      </w:r>
      <w:r w:rsidR="003122AA">
        <w:rPr>
          <w:rFonts w:hint="eastAsia"/>
          <w:sz w:val="20"/>
          <w:lang w:eastAsia="zh-CN"/>
        </w:rPr>
        <w:t xml:space="preserve"> </w:t>
      </w:r>
      <w:r w:rsidR="00330E80" w:rsidRPr="00330E80">
        <w:rPr>
          <w:sz w:val="20"/>
          <w:lang w:eastAsia="zh-CN"/>
        </w:rPr>
        <w:t>conduction angle of bridge arm of rectifier bridge</w:t>
      </w:r>
      <w:r w:rsidR="00330E80">
        <w:rPr>
          <w:rFonts w:hint="eastAsia"/>
          <w:sz w:val="20"/>
          <w:lang w:eastAsia="zh-CN"/>
        </w:rPr>
        <w:t>.</w:t>
      </w:r>
    </w:p>
    <w:p w14:paraId="2C252E2D" w14:textId="6E6FC7A2" w:rsidR="00330E80" w:rsidRDefault="00330E80" w:rsidP="00330E80">
      <w:pPr>
        <w:overflowPunct/>
        <w:autoSpaceDE/>
        <w:autoSpaceDN/>
        <w:adjustRightInd/>
        <w:textAlignment w:val="auto"/>
        <w:rPr>
          <w:sz w:val="20"/>
          <w:lang w:eastAsia="zh-CN"/>
        </w:rPr>
      </w:pPr>
      <w:r w:rsidRPr="00330E80">
        <w:rPr>
          <w:sz w:val="20"/>
          <w:lang w:eastAsia="zh-CN"/>
        </w:rPr>
        <w:t>In engineering practice,</w:t>
      </w:r>
      <w:r>
        <w:rPr>
          <w:rFonts w:hint="eastAsia"/>
          <w:sz w:val="20"/>
          <w:lang w:eastAsia="zh-CN"/>
        </w:rPr>
        <w:t xml:space="preserve"> t</w:t>
      </w:r>
      <w:r w:rsidRPr="00330E80">
        <w:rPr>
          <w:sz w:val="20"/>
          <w:lang w:eastAsia="zh-CN"/>
        </w:rPr>
        <w:t>he mathematical model of high-power rectifier power supply when a single rectifier works is as follows:</w:t>
      </w:r>
    </w:p>
    <w:p w14:paraId="330049C9" w14:textId="767CDAAB" w:rsidR="00330E80" w:rsidRDefault="003122AA" w:rsidP="003122AA">
      <w:pPr>
        <w:overflowPunct/>
        <w:autoSpaceDE/>
        <w:autoSpaceDN/>
        <w:adjustRightInd/>
        <w:jc w:val="right"/>
        <w:textAlignment w:val="auto"/>
        <w:rPr>
          <w:sz w:val="20"/>
          <w:lang w:eastAsia="zh-CN"/>
        </w:rPr>
      </w:pPr>
      <w:r w:rsidRPr="00C95D50">
        <w:rPr>
          <w:rFonts w:hint="eastAsia"/>
          <w:position w:val="-30"/>
        </w:rPr>
        <w:object w:dxaOrig="3220" w:dyaOrig="680" w14:anchorId="26420B02">
          <v:shape id="_x0000_i1034" type="#_x0000_t75" style="width:147.75pt;height:31.3pt" o:ole="">
            <v:imagedata r:id="rId30" o:title=""/>
          </v:shape>
          <o:OLEObject Type="Embed" ProgID="Equation.DSMT4" ShapeID="_x0000_i1034" DrawAspect="Content" ObjectID="_1820059692" r:id="rId31"/>
        </w:object>
      </w:r>
      <w:r>
        <w:rPr>
          <w:rFonts w:hint="eastAsia"/>
          <w:lang w:eastAsia="zh-CN"/>
        </w:rPr>
        <w:t xml:space="preserve">                        (3)</w:t>
      </w:r>
    </w:p>
    <w:p w14:paraId="69558695" w14:textId="710DD032" w:rsidR="00330E80" w:rsidRDefault="00330E80" w:rsidP="00330E80">
      <w:pPr>
        <w:overflowPunct/>
        <w:autoSpaceDE/>
        <w:autoSpaceDN/>
        <w:adjustRightInd/>
        <w:textAlignment w:val="auto"/>
        <w:rPr>
          <w:sz w:val="20"/>
          <w:lang w:eastAsia="zh-CN"/>
        </w:rPr>
      </w:pPr>
      <w:r w:rsidRPr="00330E80">
        <w:rPr>
          <w:sz w:val="20"/>
          <w:lang w:eastAsia="zh-CN"/>
        </w:rPr>
        <w:t xml:space="preserve">In the formula, </w:t>
      </w:r>
      <w:r w:rsidR="00000000">
        <w:rPr>
          <w:rFonts w:ascii="等线" w:eastAsia="等线" w:hAnsi="等线"/>
          <w:kern w:val="2"/>
          <w:position w:val="-12"/>
          <w:szCs w:val="24"/>
          <w:lang w:val="en-US" w:eastAsia="zh-CN"/>
          <w14:ligatures w14:val="standardContextual"/>
        </w:rPr>
        <w:pict w14:anchorId="4157FCA5">
          <v:shape id="_x0000_i1035" type="#_x0000_t75" style="width:12.5pt;height:18.15pt">
            <v:imagedata r:id="rId32" o:title=""/>
          </v:shape>
        </w:pict>
      </w:r>
      <w:r w:rsidRPr="00330E80">
        <w:rPr>
          <w:sz w:val="20"/>
          <w:lang w:eastAsia="zh-CN"/>
        </w:rPr>
        <w:t xml:space="preserve"> represents the delay time of the six-pulse rectifier bridge</w:t>
      </w:r>
      <w:r>
        <w:rPr>
          <w:rFonts w:hint="eastAsia"/>
          <w:sz w:val="20"/>
          <w:lang w:eastAsia="zh-CN"/>
        </w:rPr>
        <w:t>.</w:t>
      </w:r>
    </w:p>
    <w:p w14:paraId="50745B6D" w14:textId="429EE51F" w:rsidR="00330E80" w:rsidRDefault="00000000" w:rsidP="00330E80">
      <w:pPr>
        <w:overflowPunct/>
        <w:autoSpaceDE/>
        <w:autoSpaceDN/>
        <w:adjustRightInd/>
        <w:textAlignment w:val="auto"/>
        <w:rPr>
          <w:sz w:val="20"/>
          <w:lang w:eastAsia="zh-CN"/>
        </w:rPr>
      </w:pPr>
      <w:r>
        <w:rPr>
          <w:rFonts w:ascii="等线" w:eastAsia="等线" w:hAnsi="等线"/>
          <w:kern w:val="2"/>
          <w:position w:val="-12"/>
          <w:szCs w:val="24"/>
          <w:lang w:val="en-US" w:eastAsia="zh-CN"/>
          <w14:ligatures w14:val="standardContextual"/>
        </w:rPr>
        <w:pict w14:anchorId="1440833A">
          <v:shape id="_x0000_i1036" type="#_x0000_t75" style="width:15.65pt;height:18.15pt">
            <v:imagedata r:id="rId33" o:title=""/>
          </v:shape>
        </w:pict>
      </w:r>
      <w:r w:rsidR="00330E80" w:rsidRPr="00330E80">
        <w:rPr>
          <w:sz w:val="20"/>
          <w:lang w:eastAsia="zh-CN"/>
        </w:rPr>
        <w:t xml:space="preserve"> represents the amplification factor of the six-pulse rectifier bridge</w:t>
      </w:r>
      <w:r w:rsidR="00330E80">
        <w:rPr>
          <w:rFonts w:hint="eastAsia"/>
          <w:sz w:val="20"/>
          <w:lang w:eastAsia="zh-CN"/>
        </w:rPr>
        <w:t xml:space="preserve">. </w:t>
      </w:r>
    </w:p>
    <w:p w14:paraId="11E942B7" w14:textId="4C22BA1F" w:rsidR="00330E80" w:rsidRDefault="00000000" w:rsidP="00330E80">
      <w:pPr>
        <w:overflowPunct/>
        <w:autoSpaceDE/>
        <w:autoSpaceDN/>
        <w:adjustRightInd/>
        <w:textAlignment w:val="auto"/>
        <w:rPr>
          <w:sz w:val="20"/>
          <w:lang w:eastAsia="zh-CN"/>
        </w:rPr>
      </w:pPr>
      <w:r>
        <w:rPr>
          <w:rFonts w:ascii="等线" w:eastAsia="等线" w:hAnsi="等线"/>
          <w:kern w:val="2"/>
          <w:position w:val="-12"/>
          <w:szCs w:val="24"/>
          <w:lang w:val="en-US" w:eastAsia="zh-CN"/>
          <w14:ligatures w14:val="standardContextual"/>
        </w:rPr>
        <w:pict w14:anchorId="1A2C2D42">
          <v:shape id="_x0000_i1037" type="#_x0000_t75" style="width:30.05pt;height:18.15pt">
            <v:imagedata r:id="rId34" o:title=""/>
          </v:shape>
        </w:pict>
      </w:r>
      <w:r w:rsidR="00330E80" w:rsidRPr="00330E80">
        <w:rPr>
          <w:sz w:val="20"/>
          <w:lang w:eastAsia="zh-CN"/>
        </w:rPr>
        <w:t xml:space="preserve"> represent that equivalent impedance of the rectifier unit line.</w:t>
      </w:r>
    </w:p>
    <w:p w14:paraId="307D2A3A" w14:textId="61018E84" w:rsidR="00C15746" w:rsidRPr="00C15746" w:rsidRDefault="00C15746" w:rsidP="00C15746">
      <w:pPr>
        <w:pStyle w:val="2"/>
        <w:keepNext/>
        <w:keepLines/>
        <w:widowControl/>
        <w:numPr>
          <w:ilvl w:val="2"/>
          <w:numId w:val="12"/>
        </w:num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240" w:beforeAutospacing="0" w:after="260" w:afterAutospacing="0" w:line="240" w:lineRule="auto"/>
        <w:rPr>
          <w:b/>
          <w:bCs/>
          <w:iCs/>
          <w:caps w:val="0"/>
          <w:lang w:eastAsia="ar-SA"/>
        </w:rPr>
      </w:pPr>
      <w:r w:rsidRPr="00C15746">
        <w:rPr>
          <w:b/>
          <w:bCs/>
          <w:iCs/>
          <w:caps w:val="0"/>
          <w:lang w:eastAsia="ar-SA"/>
        </w:rPr>
        <w:t>Single-bridge steady state operation mode</w:t>
      </w:r>
    </w:p>
    <w:p w14:paraId="01E401B2" w14:textId="5206542F" w:rsidR="008064F8" w:rsidRDefault="00E07EAD" w:rsidP="000E7457">
      <w:pPr>
        <w:overflowPunct/>
        <w:autoSpaceDE/>
        <w:autoSpaceDN/>
        <w:adjustRightInd/>
        <w:spacing w:after="120"/>
        <w:jc w:val="center"/>
        <w:textAlignment w:val="auto"/>
        <w:rPr>
          <w:sz w:val="20"/>
          <w:lang w:eastAsia="zh-CN"/>
        </w:rPr>
      </w:pPr>
      <w:r>
        <w:rPr>
          <w:rFonts w:hint="eastAsia"/>
        </w:rPr>
        <w:object w:dxaOrig="2086" w:dyaOrig="1380" w14:anchorId="7F297987">
          <v:shape id="_x0000_i1038" type="#_x0000_t75" style="width:191.6pt;height:126.45pt" o:ole="">
            <v:imagedata r:id="rId35" o:title=""/>
          </v:shape>
          <o:OLEObject Type="Embed" ProgID="Visio.Drawing.15" ShapeID="_x0000_i1038" DrawAspect="Content" ObjectID="_1820059693" r:id="rId36"/>
        </w:object>
      </w:r>
    </w:p>
    <w:p w14:paraId="60D9A57D" w14:textId="1A32BA8D" w:rsidR="009D461F" w:rsidRDefault="009D461F" w:rsidP="000E7457">
      <w:pPr>
        <w:overflowPunct/>
        <w:autoSpaceDE/>
        <w:autoSpaceDN/>
        <w:adjustRightInd/>
        <w:spacing w:after="120"/>
        <w:jc w:val="center"/>
        <w:textAlignment w:val="auto"/>
        <w:rPr>
          <w:sz w:val="20"/>
          <w:lang w:eastAsia="zh-CN"/>
        </w:rPr>
      </w:pPr>
      <w:r w:rsidRPr="009D461F">
        <w:rPr>
          <w:sz w:val="20"/>
          <w:lang w:eastAsia="zh-CN"/>
        </w:rPr>
        <w:t xml:space="preserve">FIG. </w:t>
      </w:r>
      <w:r>
        <w:rPr>
          <w:rFonts w:hint="eastAsia"/>
          <w:sz w:val="20"/>
          <w:lang w:eastAsia="zh-CN"/>
        </w:rPr>
        <w:t>10</w:t>
      </w:r>
      <w:r w:rsidRPr="009D461F">
        <w:rPr>
          <w:sz w:val="20"/>
          <w:lang w:eastAsia="zh-CN"/>
        </w:rPr>
        <w:t xml:space="preserve"> Equivalent circuit of a single-bridge converter unit</w:t>
      </w:r>
    </w:p>
    <w:p w14:paraId="3C5C19DE" w14:textId="5987DACC" w:rsidR="008064F8" w:rsidRDefault="008064F8" w:rsidP="00477B19">
      <w:pPr>
        <w:overflowPunct/>
        <w:autoSpaceDE/>
        <w:autoSpaceDN/>
        <w:adjustRightInd/>
        <w:spacing w:after="260"/>
        <w:jc w:val="both"/>
        <w:textAlignment w:val="auto"/>
        <w:rPr>
          <w:sz w:val="20"/>
          <w:lang w:eastAsia="zh-CN"/>
        </w:rPr>
      </w:pPr>
      <w:r w:rsidRPr="008064F8">
        <w:rPr>
          <w:sz w:val="20"/>
          <w:lang w:eastAsia="zh-CN"/>
        </w:rPr>
        <w:t>The equivalent circuit of the single-bridge converter unit is shown in F</w:t>
      </w:r>
      <w:r w:rsidR="003122AA">
        <w:rPr>
          <w:rFonts w:hint="eastAsia"/>
          <w:sz w:val="20"/>
          <w:lang w:eastAsia="zh-CN"/>
        </w:rPr>
        <w:t>IG.10</w:t>
      </w:r>
      <w:r w:rsidRPr="008064F8">
        <w:rPr>
          <w:sz w:val="20"/>
          <w:lang w:eastAsia="zh-CN"/>
        </w:rPr>
        <w:t>. The relationship between the load current and voltage in the figure is as follows:</w:t>
      </w:r>
    </w:p>
    <w:p w14:paraId="54CBA097" w14:textId="55016A07" w:rsidR="008064F8" w:rsidRDefault="00CF1919" w:rsidP="003B3A90">
      <w:pPr>
        <w:overflowPunct/>
        <w:autoSpaceDE/>
        <w:autoSpaceDN/>
        <w:adjustRightInd/>
        <w:spacing w:after="120"/>
        <w:jc w:val="right"/>
        <w:textAlignment w:val="auto"/>
        <w:rPr>
          <w:sz w:val="20"/>
          <w:lang w:eastAsia="zh-CN"/>
        </w:rPr>
      </w:pPr>
      <w:r w:rsidRPr="003B3A90">
        <w:rPr>
          <w:rFonts w:hint="eastAsia"/>
          <w:position w:val="-60"/>
          <w:sz w:val="16"/>
          <w:szCs w:val="13"/>
        </w:rPr>
        <w:object w:dxaOrig="2240" w:dyaOrig="1320" w14:anchorId="7959A027">
          <v:shape id="_x0000_i1039" type="#_x0000_t75" style="width:113.3pt;height:67pt" o:ole="">
            <v:imagedata r:id="rId37" o:title=""/>
          </v:shape>
          <o:OLEObject Type="Embed" ProgID="Equation.DSMT4" ShapeID="_x0000_i1039" DrawAspect="Content" ObjectID="_1820059694" r:id="rId38"/>
        </w:object>
      </w:r>
      <w:r w:rsidR="003B3A90">
        <w:rPr>
          <w:rFonts w:hint="eastAsia"/>
          <w:lang w:eastAsia="zh-CN"/>
        </w:rPr>
        <w:t xml:space="preserve">                               (4)</w:t>
      </w:r>
    </w:p>
    <w:p w14:paraId="739E1922" w14:textId="6F1D0B90" w:rsidR="008064F8" w:rsidRDefault="008064F8" w:rsidP="003B3A90">
      <w:pPr>
        <w:overflowPunct/>
        <w:autoSpaceDE/>
        <w:autoSpaceDN/>
        <w:adjustRightInd/>
        <w:spacing w:after="120" w:line="180" w:lineRule="auto"/>
        <w:jc w:val="both"/>
        <w:textAlignment w:val="auto"/>
        <w:rPr>
          <w:sz w:val="20"/>
          <w:lang w:eastAsia="zh-CN"/>
        </w:rPr>
      </w:pPr>
      <w:r w:rsidRPr="008064F8">
        <w:rPr>
          <w:sz w:val="20"/>
          <w:lang w:eastAsia="zh-CN"/>
        </w:rPr>
        <w:t xml:space="preserve">In the formula, </w:t>
      </w:r>
      <w:r w:rsidR="00000000">
        <w:rPr>
          <w:rFonts w:ascii="等线" w:eastAsia="等线" w:hAnsi="等线"/>
          <w:kern w:val="2"/>
          <w:position w:val="-12"/>
          <w:szCs w:val="24"/>
          <w:lang w:val="en-US" w:eastAsia="zh-CN"/>
          <w14:ligatures w14:val="standardContextual"/>
        </w:rPr>
        <w:pict w14:anchorId="303B51BF">
          <v:shape id="_x0000_i1040" type="#_x0000_t75" style="width:12.5pt;height:18.15pt">
            <v:imagedata r:id="rId39" o:title=""/>
          </v:shape>
        </w:pict>
      </w:r>
      <w:r w:rsidRPr="008064F8">
        <w:rPr>
          <w:sz w:val="20"/>
          <w:lang w:eastAsia="zh-CN"/>
        </w:rPr>
        <w:t>is the output voltage of the converter</w:t>
      </w:r>
      <w:r>
        <w:rPr>
          <w:rFonts w:hint="eastAsia"/>
          <w:sz w:val="20"/>
          <w:lang w:eastAsia="zh-CN"/>
        </w:rPr>
        <w:t xml:space="preserve">. </w:t>
      </w:r>
      <w:r w:rsidR="00000000">
        <w:rPr>
          <w:rFonts w:ascii="等线" w:eastAsia="等线" w:hAnsi="等线"/>
          <w:kern w:val="2"/>
          <w:position w:val="-12"/>
          <w:szCs w:val="24"/>
          <w:lang w:val="en-US" w:eastAsia="zh-CN"/>
          <w14:ligatures w14:val="standardContextual"/>
        </w:rPr>
        <w:pict w14:anchorId="72F4357F">
          <v:shape id="_x0000_i1041" type="#_x0000_t75" style="width:14.4pt;height:18.15pt">
            <v:imagedata r:id="rId40" o:title=""/>
          </v:shape>
        </w:pict>
      </w:r>
      <w:r w:rsidRPr="008064F8">
        <w:rPr>
          <w:sz w:val="20"/>
          <w:lang w:eastAsia="zh-CN"/>
        </w:rPr>
        <w:t>is the inductance of the current-sharing reactor</w:t>
      </w:r>
      <w:r w:rsidR="00FD2137">
        <w:rPr>
          <w:rFonts w:hint="eastAsia"/>
          <w:sz w:val="20"/>
          <w:lang w:eastAsia="zh-CN"/>
        </w:rPr>
        <w:t xml:space="preserve">. </w:t>
      </w:r>
      <w:r w:rsidR="00000000">
        <w:rPr>
          <w:rFonts w:ascii="等线" w:eastAsia="等线" w:hAnsi="等线"/>
          <w:kern w:val="2"/>
          <w:position w:val="-12"/>
          <w:szCs w:val="24"/>
          <w:lang w:val="en-US" w:eastAsia="zh-CN"/>
          <w14:ligatures w14:val="standardContextual"/>
        </w:rPr>
        <w:pict w14:anchorId="11740EC9">
          <v:shape id="_x0000_i1042" type="#_x0000_t75" style="width:15.05pt;height:18.15pt">
            <v:imagedata r:id="rId41" o:title=""/>
          </v:shape>
        </w:pict>
      </w:r>
      <w:r w:rsidRPr="008064F8">
        <w:rPr>
          <w:sz w:val="20"/>
          <w:lang w:eastAsia="zh-CN"/>
        </w:rPr>
        <w:t>is the equivalent resistance of the line</w:t>
      </w:r>
      <w:r w:rsidR="00FD2137">
        <w:rPr>
          <w:rFonts w:hint="eastAsia"/>
          <w:sz w:val="20"/>
          <w:lang w:eastAsia="zh-CN"/>
        </w:rPr>
        <w:t xml:space="preserve">. </w:t>
      </w:r>
      <w:r w:rsidR="00000000">
        <w:rPr>
          <w:rFonts w:ascii="等线" w:eastAsia="等线" w:hAnsi="等线"/>
          <w:kern w:val="2"/>
          <w:position w:val="-12"/>
          <w:szCs w:val="24"/>
          <w:lang w:val="en-US" w:eastAsia="zh-CN"/>
          <w14:ligatures w14:val="standardContextual"/>
        </w:rPr>
        <w:pict w14:anchorId="2FC7E50A">
          <v:shape id="_x0000_i1043" type="#_x0000_t75" style="width:15.05pt;height:18.15pt">
            <v:imagedata r:id="rId42" o:title=""/>
          </v:shape>
        </w:pict>
      </w:r>
      <w:r w:rsidRPr="008064F8">
        <w:rPr>
          <w:sz w:val="20"/>
          <w:lang w:eastAsia="zh-CN"/>
        </w:rPr>
        <w:t>is the inductance of the magnet coil</w:t>
      </w:r>
      <w:r w:rsidR="00FD2137">
        <w:rPr>
          <w:rFonts w:hint="eastAsia"/>
          <w:sz w:val="20"/>
          <w:lang w:eastAsia="zh-CN"/>
        </w:rPr>
        <w:t>.</w:t>
      </w:r>
      <w:r w:rsidRPr="008064F8">
        <w:rPr>
          <w:sz w:val="20"/>
          <w:lang w:eastAsia="zh-CN"/>
        </w:rPr>
        <w:t xml:space="preserve"> </w:t>
      </w:r>
      <w:bookmarkStart w:id="2" w:name="_Hlk207812942"/>
      <w:r w:rsidR="00000000">
        <w:rPr>
          <w:rFonts w:ascii="等线" w:eastAsia="等线" w:hAnsi="等线"/>
          <w:kern w:val="2"/>
          <w:position w:val="-12"/>
          <w:szCs w:val="24"/>
          <w:lang w:val="en-US" w:eastAsia="zh-CN"/>
          <w14:ligatures w14:val="standardContextual"/>
        </w:rPr>
        <w:pict w14:anchorId="0BD88667">
          <v:shape id="_x0000_i1044" type="#_x0000_t75" style="width:15.05pt;height:18.15pt">
            <v:imagedata r:id="rId43" o:title=""/>
          </v:shape>
        </w:pict>
      </w:r>
      <w:bookmarkEnd w:id="2"/>
      <w:r w:rsidRPr="008064F8">
        <w:rPr>
          <w:sz w:val="20"/>
          <w:lang w:eastAsia="zh-CN"/>
        </w:rPr>
        <w:t>is the resistance of the magnet coil</w:t>
      </w:r>
      <w:r w:rsidR="00FD2137">
        <w:rPr>
          <w:rFonts w:hint="eastAsia"/>
          <w:sz w:val="20"/>
          <w:lang w:eastAsia="zh-CN"/>
        </w:rPr>
        <w:t>.</w:t>
      </w:r>
      <w:r w:rsidRPr="008064F8">
        <w:rPr>
          <w:sz w:val="20"/>
          <w:lang w:eastAsia="zh-CN"/>
        </w:rPr>
        <w:t xml:space="preserve"> </w:t>
      </w:r>
      <w:r w:rsidR="00000000">
        <w:rPr>
          <w:rFonts w:ascii="等线" w:eastAsia="等线" w:hAnsi="等线"/>
          <w:kern w:val="2"/>
          <w:position w:val="-12"/>
          <w:szCs w:val="24"/>
          <w:lang w:val="en-US" w:eastAsia="zh-CN"/>
          <w14:ligatures w14:val="standardContextual"/>
        </w:rPr>
        <w:pict w14:anchorId="7C9B3F65">
          <v:shape id="_x0000_i1045" type="#_x0000_t75" style="width:13.75pt;height:18.15pt">
            <v:imagedata r:id="rId44" o:title=""/>
          </v:shape>
        </w:pict>
      </w:r>
      <w:r w:rsidRPr="008064F8">
        <w:rPr>
          <w:sz w:val="20"/>
          <w:lang w:eastAsia="zh-CN"/>
        </w:rPr>
        <w:t>is the voltage at each load end</w:t>
      </w:r>
      <w:r w:rsidR="00FD2137">
        <w:rPr>
          <w:rFonts w:hint="eastAsia"/>
          <w:sz w:val="20"/>
          <w:lang w:eastAsia="zh-CN"/>
        </w:rPr>
        <w:t>.</w:t>
      </w:r>
      <w:r w:rsidRPr="008064F8">
        <w:rPr>
          <w:sz w:val="20"/>
          <w:lang w:eastAsia="zh-CN"/>
        </w:rPr>
        <w:t xml:space="preserve"> </w:t>
      </w:r>
      <w:r w:rsidR="00000000">
        <w:rPr>
          <w:rFonts w:ascii="等线" w:eastAsia="等线" w:hAnsi="等线"/>
          <w:kern w:val="2"/>
          <w:position w:val="-12"/>
          <w:szCs w:val="24"/>
          <w:lang w:val="en-US" w:eastAsia="zh-CN"/>
          <w14:ligatures w14:val="standardContextual"/>
        </w:rPr>
        <w:pict w14:anchorId="047CE04A">
          <v:shape id="_x0000_i1046" type="#_x0000_t75" style="width:11.25pt;height:18.15pt">
            <v:imagedata r:id="rId45" o:title=""/>
          </v:shape>
        </w:pict>
      </w:r>
      <w:r w:rsidRPr="008064F8">
        <w:rPr>
          <w:sz w:val="20"/>
          <w:lang w:eastAsia="zh-CN"/>
        </w:rPr>
        <w:t xml:space="preserve"> is the current at the load end.</w:t>
      </w:r>
    </w:p>
    <w:p w14:paraId="7C5003CD" w14:textId="4771DA2B" w:rsidR="00FD2137" w:rsidRDefault="00330E80" w:rsidP="003B3A90">
      <w:pPr>
        <w:overflowPunct/>
        <w:autoSpaceDE/>
        <w:autoSpaceDN/>
        <w:adjustRightInd/>
        <w:spacing w:after="120" w:line="180" w:lineRule="auto"/>
        <w:jc w:val="both"/>
        <w:textAlignment w:val="auto"/>
        <w:rPr>
          <w:sz w:val="20"/>
          <w:lang w:eastAsia="zh-CN"/>
        </w:rPr>
      </w:pPr>
      <w:r w:rsidRPr="00330E80">
        <w:rPr>
          <w:sz w:val="20"/>
          <w:lang w:eastAsia="zh-CN"/>
        </w:rPr>
        <w:lastRenderedPageBreak/>
        <w:t>Take the Laplace transform of the above equation.</w:t>
      </w:r>
      <w:r>
        <w:rPr>
          <w:rFonts w:hint="eastAsia"/>
          <w:sz w:val="20"/>
          <w:lang w:eastAsia="zh-CN"/>
        </w:rPr>
        <w:t xml:space="preserve"> </w:t>
      </w:r>
      <w:r w:rsidRPr="00330E80">
        <w:rPr>
          <w:sz w:val="20"/>
          <w:lang w:eastAsia="zh-CN"/>
        </w:rPr>
        <w:t xml:space="preserve">For the convenience of analysis, the inductance </w:t>
      </w:r>
      <w:r w:rsidR="00000000">
        <w:rPr>
          <w:rFonts w:ascii="等线" w:eastAsia="等线" w:hAnsi="等线"/>
          <w:kern w:val="2"/>
          <w:position w:val="-12"/>
          <w:szCs w:val="24"/>
          <w:lang w:val="en-US" w:eastAsia="zh-CN"/>
          <w14:ligatures w14:val="standardContextual"/>
        </w:rPr>
        <w:pict w14:anchorId="4C300128">
          <v:shape id="_x0000_i1047" type="#_x0000_t75" style="width:14.4pt;height:18.15pt">
            <v:imagedata r:id="rId46" o:title=""/>
          </v:shape>
        </w:pict>
      </w:r>
      <w:r>
        <w:rPr>
          <w:rFonts w:ascii="等线" w:eastAsia="等线" w:hAnsi="等线" w:hint="eastAsia"/>
          <w:kern w:val="2"/>
          <w:szCs w:val="24"/>
          <w:lang w:val="en-US" w:eastAsia="zh-CN"/>
          <w14:ligatures w14:val="standardContextual"/>
        </w:rPr>
        <w:t xml:space="preserve"> </w:t>
      </w:r>
      <w:r w:rsidRPr="00330E80">
        <w:rPr>
          <w:sz w:val="20"/>
          <w:lang w:eastAsia="zh-CN"/>
        </w:rPr>
        <w:t xml:space="preserve">of the current-sharing reactor and the equivalent resistance </w:t>
      </w:r>
      <w:r w:rsidR="00000000">
        <w:rPr>
          <w:rFonts w:ascii="等线" w:eastAsia="等线" w:hAnsi="等线"/>
          <w:kern w:val="2"/>
          <w:position w:val="-12"/>
          <w:szCs w:val="24"/>
          <w:lang w:val="en-US" w:eastAsia="zh-CN"/>
          <w14:ligatures w14:val="standardContextual"/>
        </w:rPr>
        <w:pict w14:anchorId="37A98258">
          <v:shape id="_x0000_i1048" type="#_x0000_t75" style="width:15.05pt;height:18.15pt">
            <v:imagedata r:id="rId47" o:title=""/>
          </v:shape>
        </w:pict>
      </w:r>
      <w:r w:rsidRPr="00330E80">
        <w:rPr>
          <w:sz w:val="20"/>
          <w:lang w:eastAsia="zh-CN"/>
        </w:rPr>
        <w:t xml:space="preserve"> of the line are combined into the internal impedance of the converter </w:t>
      </w:r>
      <w:r w:rsidR="00000000">
        <w:rPr>
          <w:rFonts w:ascii="等线" w:eastAsia="等线" w:hAnsi="等线"/>
          <w:kern w:val="2"/>
          <w:position w:val="-12"/>
          <w:szCs w:val="24"/>
          <w:lang w:val="en-US" w:eastAsia="zh-CN"/>
          <w14:ligatures w14:val="standardContextual"/>
        </w:rPr>
        <w:pict w14:anchorId="47998192">
          <v:shape id="_x0000_i1049" type="#_x0000_t75" style="width:80.15pt;height:18.15pt">
            <v:imagedata r:id="rId48" o:title=""/>
          </v:shape>
        </w:pict>
      </w:r>
      <w:r w:rsidRPr="00330E80">
        <w:rPr>
          <w:sz w:val="20"/>
          <w:lang w:eastAsia="zh-CN"/>
        </w:rPr>
        <w:t xml:space="preserve">, and the inductance </w:t>
      </w:r>
      <w:r w:rsidR="00000000">
        <w:rPr>
          <w:rFonts w:ascii="等线" w:eastAsia="等线" w:hAnsi="等线"/>
          <w:kern w:val="2"/>
          <w:position w:val="-12"/>
          <w:szCs w:val="24"/>
          <w:lang w:val="en-US" w:eastAsia="zh-CN"/>
          <w14:ligatures w14:val="standardContextual"/>
        </w:rPr>
        <w:pict w14:anchorId="72010146">
          <v:shape id="_x0000_i1050" type="#_x0000_t75" style="width:15.05pt;height:18.15pt">
            <v:imagedata r:id="rId49" o:title=""/>
          </v:shape>
        </w:pict>
      </w:r>
      <w:r w:rsidRPr="00330E80">
        <w:rPr>
          <w:sz w:val="20"/>
          <w:lang w:eastAsia="zh-CN"/>
        </w:rPr>
        <w:t xml:space="preserve"> of the magnet coil and the resistance </w:t>
      </w:r>
      <w:r w:rsidR="00000000">
        <w:rPr>
          <w:rFonts w:ascii="等线" w:eastAsia="等线" w:hAnsi="等线"/>
          <w:kern w:val="2"/>
          <w:position w:val="-12"/>
          <w:szCs w:val="24"/>
          <w:lang w:val="en-US" w:eastAsia="zh-CN"/>
          <w14:ligatures w14:val="standardContextual"/>
        </w:rPr>
        <w:pict w14:anchorId="2EB1FF5D">
          <v:shape id="_x0000_i1051" type="#_x0000_t75" style="width:15.05pt;height:18.15pt">
            <v:imagedata r:id="rId50" o:title=""/>
          </v:shape>
        </w:pict>
      </w:r>
      <w:r w:rsidRPr="00330E80">
        <w:rPr>
          <w:sz w:val="20"/>
          <w:lang w:eastAsia="zh-CN"/>
        </w:rPr>
        <w:t xml:space="preserve"> are combined into the load impedance, </w:t>
      </w:r>
      <w:r w:rsidR="00000000">
        <w:rPr>
          <w:rFonts w:ascii="等线" w:eastAsia="等线" w:hAnsi="等线"/>
          <w:kern w:val="2"/>
          <w:position w:val="-12"/>
          <w:szCs w:val="24"/>
          <w:lang w:val="en-US" w:eastAsia="zh-CN"/>
          <w14:ligatures w14:val="standardContextual"/>
        </w:rPr>
        <w:pict w14:anchorId="6945972A">
          <v:shape id="_x0000_i1052" type="#_x0000_t75" style="width:82.65pt;height:18.15pt">
            <v:imagedata r:id="rId51" o:title=""/>
          </v:shape>
        </w:pict>
      </w:r>
      <w:r w:rsidRPr="00330E80">
        <w:rPr>
          <w:sz w:val="20"/>
          <w:lang w:eastAsia="zh-CN"/>
        </w:rPr>
        <w:t>, then:</w:t>
      </w:r>
    </w:p>
    <w:p w14:paraId="5FEF225A" w14:textId="27FFD587" w:rsidR="00FD2137" w:rsidRPr="00330E80" w:rsidRDefault="001B68F4" w:rsidP="00AD6563">
      <w:pPr>
        <w:overflowPunct/>
        <w:autoSpaceDE/>
        <w:autoSpaceDN/>
        <w:adjustRightInd/>
        <w:spacing w:after="120"/>
        <w:jc w:val="right"/>
        <w:textAlignment w:val="auto"/>
        <w:rPr>
          <w:sz w:val="20"/>
          <w:lang w:eastAsia="zh-CN"/>
        </w:rPr>
      </w:pPr>
      <w:r w:rsidRPr="00C95D50">
        <w:rPr>
          <w:rFonts w:hint="eastAsia"/>
          <w:position w:val="-32"/>
        </w:rPr>
        <w:object w:dxaOrig="2640" w:dyaOrig="760" w14:anchorId="7CDBAD22">
          <v:shape id="_x0000_i1053" type="#_x0000_t75" style="width:152.15pt;height:44.45pt" o:ole="">
            <v:imagedata r:id="rId52" o:title=""/>
          </v:shape>
          <o:OLEObject Type="Embed" ProgID="Equation.DSMT4" ShapeID="_x0000_i1053" DrawAspect="Content" ObjectID="_1820059695" r:id="rId53"/>
        </w:object>
      </w:r>
      <w:r w:rsidR="00AD6563">
        <w:rPr>
          <w:rFonts w:hint="eastAsia"/>
          <w:lang w:eastAsia="zh-CN"/>
        </w:rPr>
        <w:t xml:space="preserve">                         (5)</w:t>
      </w:r>
    </w:p>
    <w:p w14:paraId="5B3DB96F" w14:textId="1E47F763" w:rsidR="00330E80" w:rsidRDefault="00330E80" w:rsidP="00AD6563">
      <w:pPr>
        <w:overflowPunct/>
        <w:autoSpaceDE/>
        <w:autoSpaceDN/>
        <w:adjustRightInd/>
        <w:spacing w:after="120"/>
        <w:jc w:val="both"/>
        <w:textAlignment w:val="auto"/>
        <w:rPr>
          <w:sz w:val="20"/>
          <w:lang w:eastAsia="zh-CN"/>
        </w:rPr>
      </w:pPr>
      <w:r w:rsidRPr="00330E80">
        <w:rPr>
          <w:sz w:val="20"/>
          <w:lang w:eastAsia="zh-CN"/>
        </w:rPr>
        <w:t>The mathematical model of single-branch converter operation can be obtained by combining Formula (2-7) and Formula (</w:t>
      </w:r>
      <w:r w:rsidR="00AD6563">
        <w:rPr>
          <w:rFonts w:hint="eastAsia"/>
          <w:sz w:val="20"/>
          <w:lang w:eastAsia="zh-CN"/>
        </w:rPr>
        <w:t>6</w:t>
      </w:r>
      <w:r w:rsidRPr="00330E80">
        <w:rPr>
          <w:sz w:val="20"/>
          <w:lang w:eastAsia="zh-CN"/>
        </w:rPr>
        <w:t>):</w:t>
      </w:r>
    </w:p>
    <w:p w14:paraId="0B68BE73" w14:textId="1FD73076" w:rsidR="00330E80" w:rsidRDefault="001B68F4" w:rsidP="00AD6563">
      <w:pPr>
        <w:overflowPunct/>
        <w:autoSpaceDE/>
        <w:autoSpaceDN/>
        <w:adjustRightInd/>
        <w:spacing w:after="120"/>
        <w:jc w:val="right"/>
        <w:textAlignment w:val="auto"/>
        <w:rPr>
          <w:sz w:val="20"/>
          <w:lang w:eastAsia="zh-CN"/>
        </w:rPr>
      </w:pPr>
      <w:r w:rsidRPr="00C95D50">
        <w:rPr>
          <w:rFonts w:hint="eastAsia"/>
          <w:position w:val="-52"/>
        </w:rPr>
        <w:object w:dxaOrig="3300" w:dyaOrig="1160" w14:anchorId="1D4F69AF">
          <v:shape id="_x0000_i1054" type="#_x0000_t75" style="width:175.95pt;height:62pt" o:ole="">
            <v:imagedata r:id="rId54" o:title=""/>
          </v:shape>
          <o:OLEObject Type="Embed" ProgID="Equation.DSMT4" ShapeID="_x0000_i1054" DrawAspect="Content" ObjectID="_1820059696" r:id="rId55"/>
        </w:object>
      </w:r>
      <w:r w:rsidR="00AD6563">
        <w:rPr>
          <w:rFonts w:hint="eastAsia"/>
          <w:lang w:eastAsia="zh-CN"/>
        </w:rPr>
        <w:t xml:space="preserve">                       (6)</w:t>
      </w:r>
    </w:p>
    <w:p w14:paraId="1CAB5FF4" w14:textId="340FB9F7" w:rsidR="00970B80" w:rsidRDefault="00970B80" w:rsidP="00477B19">
      <w:pPr>
        <w:overflowPunct/>
        <w:autoSpaceDE/>
        <w:autoSpaceDN/>
        <w:adjustRightInd/>
        <w:spacing w:after="260"/>
        <w:jc w:val="both"/>
        <w:textAlignment w:val="auto"/>
        <w:rPr>
          <w:sz w:val="20"/>
          <w:lang w:eastAsia="zh-CN"/>
        </w:rPr>
      </w:pPr>
      <w:r w:rsidRPr="00970B80">
        <w:rPr>
          <w:sz w:val="20"/>
          <w:lang w:eastAsia="zh-CN"/>
        </w:rPr>
        <w:t>When the output power demand of the power supply system is low, the single-bridge steady-state operation mode is adopted.</w:t>
      </w:r>
      <w:r>
        <w:rPr>
          <w:rFonts w:hint="eastAsia"/>
          <w:sz w:val="20"/>
          <w:lang w:eastAsia="zh-CN"/>
        </w:rPr>
        <w:t xml:space="preserve"> </w:t>
      </w:r>
      <w:r w:rsidRPr="00970B80">
        <w:rPr>
          <w:sz w:val="20"/>
          <w:lang w:eastAsia="zh-CN"/>
        </w:rPr>
        <w:t>In this mode, only one of the two rectifier units is put into operation, and the output of the rectifier power supply presents a six-pulse steady-state waveform with a rated output voltage of 250V and a rated output current of 30 kA to meet the requirements of low-power operation conditions.</w:t>
      </w:r>
    </w:p>
    <w:p w14:paraId="5D7AFA0F" w14:textId="1C82D4EC" w:rsidR="00EE0041" w:rsidRPr="00F81411" w:rsidRDefault="00970B80" w:rsidP="00011C41">
      <w:pPr>
        <w:pStyle w:val="1"/>
        <w:keepNext/>
        <w:keepLines/>
        <w:numPr>
          <w:ilvl w:val="1"/>
          <w:numId w:val="10"/>
        </w:num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260" w:line="240" w:lineRule="auto"/>
        <w:ind w:right="0"/>
        <w:rPr>
          <w:rFonts w:ascii="Times New Roman" w:hAnsi="Times New Roman"/>
          <w:b w:val="0"/>
          <w:bCs/>
          <w:sz w:val="20"/>
          <w:lang w:val="en-GB"/>
        </w:rPr>
      </w:pPr>
      <w:r w:rsidRPr="00970B80">
        <w:rPr>
          <w:rFonts w:ascii="Times New Roman" w:hAnsi="Times New Roman"/>
          <w:b w:val="0"/>
          <w:bCs/>
          <w:sz w:val="20"/>
          <w:lang w:val="en-GB"/>
        </w:rPr>
        <w:t>Research on Control Strategy of CSMC Rectifier Power Supply</w:t>
      </w:r>
    </w:p>
    <w:p w14:paraId="3B584776" w14:textId="54FFBDD3" w:rsidR="004F1678" w:rsidRDefault="004666FC" w:rsidP="004F1678">
      <w:pPr>
        <w:overflowPunct/>
        <w:autoSpaceDE/>
        <w:autoSpaceDN/>
        <w:adjustRightInd/>
        <w:spacing w:after="260"/>
        <w:jc w:val="center"/>
        <w:textAlignment w:val="auto"/>
        <w:rPr>
          <w:sz w:val="20"/>
          <w:lang w:eastAsia="zh-CN"/>
        </w:rPr>
      </w:pPr>
      <w:r w:rsidRPr="004666FC">
        <w:rPr>
          <w:noProof/>
          <w:sz w:val="20"/>
          <w:lang w:eastAsia="zh-CN"/>
        </w:rPr>
        <w:drawing>
          <wp:inline distT="0" distB="0" distL="0" distR="0" wp14:anchorId="0DE2A743" wp14:editId="0BCB85CB">
            <wp:extent cx="5732145" cy="3319780"/>
            <wp:effectExtent l="0" t="0" r="1905" b="0"/>
            <wp:docPr id="893808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2145" cy="3319780"/>
                    </a:xfrm>
                    <a:prstGeom prst="rect">
                      <a:avLst/>
                    </a:prstGeom>
                    <a:noFill/>
                    <a:ln>
                      <a:noFill/>
                    </a:ln>
                  </pic:spPr>
                </pic:pic>
              </a:graphicData>
            </a:graphic>
          </wp:inline>
        </w:drawing>
      </w:r>
    </w:p>
    <w:p w14:paraId="614EAE1C" w14:textId="47744E2C" w:rsidR="004F1678" w:rsidRPr="004F1678" w:rsidRDefault="004F1678" w:rsidP="004666FC">
      <w:pPr>
        <w:overflowPunct/>
        <w:autoSpaceDE/>
        <w:autoSpaceDN/>
        <w:adjustRightInd/>
        <w:spacing w:after="120"/>
        <w:jc w:val="center"/>
        <w:textAlignment w:val="auto"/>
        <w:rPr>
          <w:i/>
          <w:iCs/>
          <w:sz w:val="20"/>
          <w:lang w:eastAsia="zh-CN"/>
        </w:rPr>
      </w:pPr>
      <w:r w:rsidRPr="004F1678">
        <w:rPr>
          <w:rFonts w:hint="eastAsia"/>
          <w:i/>
          <w:iCs/>
          <w:sz w:val="20"/>
          <w:lang w:eastAsia="zh-CN"/>
        </w:rPr>
        <w:t>FIG.1</w:t>
      </w:r>
      <w:r w:rsidR="009D461F">
        <w:rPr>
          <w:rFonts w:hint="eastAsia"/>
          <w:i/>
          <w:iCs/>
          <w:sz w:val="20"/>
          <w:lang w:eastAsia="zh-CN"/>
        </w:rPr>
        <w:t>1</w:t>
      </w:r>
      <w:r w:rsidRPr="004F1678">
        <w:rPr>
          <w:rFonts w:hint="eastAsia"/>
          <w:i/>
          <w:iCs/>
          <w:sz w:val="20"/>
          <w:lang w:eastAsia="zh-CN"/>
        </w:rPr>
        <w:t xml:space="preserve">. </w:t>
      </w:r>
      <w:r w:rsidRPr="004F1678">
        <w:rPr>
          <w:i/>
          <w:iCs/>
          <w:sz w:val="20"/>
          <w:lang w:eastAsia="zh-CN"/>
        </w:rPr>
        <w:t>Block diagram of negative feedback control system</w:t>
      </w:r>
    </w:p>
    <w:p w14:paraId="325D9A58" w14:textId="7F3A0C31" w:rsidR="004F1678" w:rsidRDefault="004F1678" w:rsidP="001B68F4">
      <w:pPr>
        <w:overflowPunct/>
        <w:autoSpaceDE/>
        <w:autoSpaceDN/>
        <w:adjustRightInd/>
        <w:spacing w:afterLines="50" w:after="120"/>
        <w:jc w:val="both"/>
        <w:textAlignment w:val="auto"/>
        <w:rPr>
          <w:sz w:val="20"/>
          <w:lang w:eastAsia="zh-CN"/>
        </w:rPr>
      </w:pPr>
      <w:r w:rsidRPr="004F1678">
        <w:rPr>
          <w:sz w:val="20"/>
          <w:lang w:eastAsia="zh-CN"/>
        </w:rPr>
        <w:t xml:space="preserve">The load current Id in </w:t>
      </w:r>
      <w:r>
        <w:rPr>
          <w:rFonts w:hint="eastAsia"/>
          <w:sz w:val="20"/>
          <w:lang w:eastAsia="zh-CN"/>
        </w:rPr>
        <w:t>FIG</w:t>
      </w:r>
      <w:r w:rsidRPr="004F1678">
        <w:rPr>
          <w:sz w:val="20"/>
          <w:lang w:eastAsia="zh-CN"/>
        </w:rPr>
        <w:t xml:space="preserve">. </w:t>
      </w:r>
      <w:r>
        <w:rPr>
          <w:rFonts w:hint="eastAsia"/>
          <w:sz w:val="20"/>
          <w:lang w:eastAsia="zh-CN"/>
        </w:rPr>
        <w:t>1</w:t>
      </w:r>
      <w:r w:rsidR="009D461F">
        <w:rPr>
          <w:rFonts w:hint="eastAsia"/>
          <w:sz w:val="20"/>
          <w:lang w:eastAsia="zh-CN"/>
        </w:rPr>
        <w:t>1</w:t>
      </w:r>
      <w:r w:rsidRPr="004F1678">
        <w:rPr>
          <w:sz w:val="20"/>
          <w:lang w:eastAsia="zh-CN"/>
        </w:rPr>
        <w:t xml:space="preserve"> is sampled and filtered by a current sensor, and is compared with a preset reference current waveform </w:t>
      </w:r>
      <w:proofErr w:type="spellStart"/>
      <w:r w:rsidRPr="004F1678">
        <w:rPr>
          <w:i/>
          <w:iCs/>
          <w:sz w:val="20"/>
          <w:lang w:eastAsia="zh-CN"/>
        </w:rPr>
        <w:t>I</w:t>
      </w:r>
      <w:r w:rsidRPr="004F1678">
        <w:rPr>
          <w:i/>
          <w:iCs/>
          <w:sz w:val="16"/>
          <w:szCs w:val="16"/>
          <w:lang w:eastAsia="zh-CN"/>
        </w:rPr>
        <w:t>ref</w:t>
      </w:r>
      <w:proofErr w:type="spellEnd"/>
      <w:r w:rsidRPr="004F1678">
        <w:rPr>
          <w:sz w:val="20"/>
          <w:lang w:eastAsia="zh-CN"/>
        </w:rPr>
        <w:t xml:space="preserve"> in real time to calculate a corresponding error signal</w:t>
      </w:r>
      <w:r>
        <w:rPr>
          <w:rFonts w:hint="eastAsia"/>
          <w:sz w:val="20"/>
          <w:lang w:eastAsia="zh-CN"/>
        </w:rPr>
        <w:t xml:space="preserve"> </w:t>
      </w:r>
      <w:r w:rsidR="00000000">
        <w:rPr>
          <w:position w:val="-4"/>
        </w:rPr>
        <w:pict w14:anchorId="5EF7F486">
          <v:shape id="_x0000_i1055" type="#_x0000_t75" style="width:11.25pt;height:13.75pt">
            <v:imagedata r:id="rId57" o:title=""/>
          </v:shape>
        </w:pict>
      </w:r>
      <w:r w:rsidRPr="004F1678">
        <w:rPr>
          <w:i/>
          <w:iCs/>
          <w:sz w:val="20"/>
          <w:lang w:eastAsia="zh-CN"/>
        </w:rPr>
        <w:t>I</w:t>
      </w:r>
      <w:r w:rsidRPr="004F1678">
        <w:rPr>
          <w:i/>
          <w:iCs/>
          <w:sz w:val="15"/>
          <w:szCs w:val="15"/>
          <w:lang w:eastAsia="zh-CN"/>
        </w:rPr>
        <w:t>d</w:t>
      </w:r>
      <w:r w:rsidRPr="004F1678">
        <w:rPr>
          <w:sz w:val="20"/>
          <w:lang w:eastAsia="zh-CN"/>
        </w:rPr>
        <w:t>, which is input to a negative feedback controller.</w:t>
      </w:r>
      <w:r>
        <w:rPr>
          <w:rFonts w:hint="eastAsia"/>
          <w:sz w:val="20"/>
          <w:lang w:eastAsia="zh-CN"/>
        </w:rPr>
        <w:t xml:space="preserve"> </w:t>
      </w:r>
      <w:r w:rsidRPr="004F1678">
        <w:rPr>
          <w:sz w:val="20"/>
          <w:lang w:eastAsia="zh-CN"/>
        </w:rPr>
        <w:t>The negative feedback controller adjusts the output control quantity</w:t>
      </w:r>
      <w:r w:rsidR="00000000">
        <w:rPr>
          <w:position w:val="-4"/>
        </w:rPr>
        <w:pict w14:anchorId="7FC7406D">
          <v:shape id="_x0000_i1056" type="#_x0000_t75" style="width:11.25pt;height:13.75pt">
            <v:imagedata r:id="rId57" o:title=""/>
          </v:shape>
        </w:pict>
      </w:r>
      <w:proofErr w:type="spellStart"/>
      <w:r w:rsidRPr="004F1678">
        <w:rPr>
          <w:i/>
          <w:iCs/>
          <w:sz w:val="20"/>
          <w:lang w:eastAsia="zh-CN"/>
        </w:rPr>
        <w:t>U</w:t>
      </w:r>
      <w:r w:rsidRPr="004F1678">
        <w:rPr>
          <w:i/>
          <w:iCs/>
          <w:sz w:val="16"/>
          <w:szCs w:val="16"/>
          <w:lang w:eastAsia="zh-CN"/>
        </w:rPr>
        <w:t>ref</w:t>
      </w:r>
      <w:proofErr w:type="spellEnd"/>
      <w:r w:rsidRPr="004F1678">
        <w:rPr>
          <w:sz w:val="20"/>
          <w:lang w:eastAsia="zh-CN"/>
        </w:rPr>
        <w:t xml:space="preserve"> according to the change of</w:t>
      </w:r>
      <w:r w:rsidR="00000000">
        <w:rPr>
          <w:i/>
          <w:iCs/>
          <w:position w:val="-4"/>
        </w:rPr>
        <w:pict w14:anchorId="12FE8E98">
          <v:shape id="_x0000_i1057" type="#_x0000_t75" style="width:11.25pt;height:13.75pt">
            <v:imagedata r:id="rId58" o:title=""/>
          </v:shape>
        </w:pict>
      </w:r>
      <w:r w:rsidRPr="004F1678">
        <w:rPr>
          <w:i/>
          <w:iCs/>
          <w:sz w:val="20"/>
          <w:lang w:eastAsia="zh-CN"/>
        </w:rPr>
        <w:t>I</w:t>
      </w:r>
      <w:r w:rsidRPr="004F1678">
        <w:rPr>
          <w:i/>
          <w:iCs/>
          <w:sz w:val="16"/>
          <w:szCs w:val="16"/>
          <w:lang w:eastAsia="zh-CN"/>
        </w:rPr>
        <w:t>d</w:t>
      </w:r>
      <w:r w:rsidRPr="004F1678">
        <w:rPr>
          <w:sz w:val="20"/>
          <w:lang w:eastAsia="zh-CN"/>
        </w:rPr>
        <w:t>, and cooperates with the current sharing controller to adjust the conduction angle alpha</w:t>
      </w:r>
      <w:r w:rsidR="00000000">
        <w:rPr>
          <w:position w:val="-12"/>
        </w:rPr>
        <w:pict w14:anchorId="54B48C11">
          <v:shape id="_x0000_i1058" type="#_x0000_t75" style="width:30.05pt;height:18.15pt">
            <v:imagedata r:id="rId59" o:title=""/>
          </v:shape>
        </w:pict>
      </w:r>
      <w:r w:rsidRPr="004F1678">
        <w:rPr>
          <w:sz w:val="20"/>
          <w:lang w:eastAsia="zh-CN"/>
        </w:rPr>
        <w:t xml:space="preserve"> of each group of converters.</w:t>
      </w:r>
      <w:r>
        <w:rPr>
          <w:rFonts w:hint="eastAsia"/>
          <w:sz w:val="20"/>
          <w:lang w:eastAsia="zh-CN"/>
        </w:rPr>
        <w:t xml:space="preserve"> </w:t>
      </w:r>
      <w:r w:rsidRPr="004F1678">
        <w:rPr>
          <w:sz w:val="20"/>
          <w:lang w:eastAsia="zh-CN"/>
        </w:rPr>
        <w:t xml:space="preserve">The pulse generation module generates a trigger pulse signal according to the calculated conduction angles </w:t>
      </w:r>
      <w:r w:rsidR="00000000">
        <w:rPr>
          <w:position w:val="-12"/>
        </w:rPr>
        <w:pict w14:anchorId="037DE0E5">
          <v:shape id="_x0000_i1059" type="#_x0000_t75" style="width:30.05pt;height:18.15pt">
            <v:imagedata r:id="rId59" o:title=""/>
          </v:shape>
        </w:pict>
      </w:r>
      <w:r w:rsidRPr="004F1678">
        <w:rPr>
          <w:sz w:val="20"/>
          <w:lang w:eastAsia="zh-CN"/>
        </w:rPr>
        <w:t>and a synchronization signal provided by the phase-locked loop, and the trigger pulse signal is used for triggering the thyristor to perform corresponding phase control.</w:t>
      </w:r>
      <w:r>
        <w:rPr>
          <w:rFonts w:hint="eastAsia"/>
          <w:sz w:val="20"/>
          <w:lang w:eastAsia="zh-CN"/>
        </w:rPr>
        <w:t xml:space="preserve"> </w:t>
      </w:r>
      <w:r w:rsidRPr="004F1678">
        <w:rPr>
          <w:sz w:val="20"/>
          <w:lang w:eastAsia="zh-CN"/>
        </w:rPr>
        <w:t xml:space="preserve">The whole control flow of the </w:t>
      </w:r>
      <w:r w:rsidRPr="004F1678">
        <w:rPr>
          <w:sz w:val="20"/>
          <w:lang w:eastAsia="zh-CN"/>
        </w:rPr>
        <w:lastRenderedPageBreak/>
        <w:t>system realizes the closed-loop regulation of the output current, ensures that the current stably tracks the set value, and is suitable for loads with high precision and high stability requirements such as superconducting magnets.</w:t>
      </w:r>
    </w:p>
    <w:p w14:paraId="63CB6052" w14:textId="2EE50FBF" w:rsidR="004F1678" w:rsidRDefault="004F1678" w:rsidP="001B68F4">
      <w:pPr>
        <w:overflowPunct/>
        <w:autoSpaceDE/>
        <w:autoSpaceDN/>
        <w:adjustRightInd/>
        <w:spacing w:afterLines="50" w:after="120"/>
        <w:jc w:val="both"/>
        <w:textAlignment w:val="auto"/>
        <w:rPr>
          <w:sz w:val="20"/>
          <w:lang w:eastAsia="zh-CN"/>
        </w:rPr>
      </w:pPr>
      <w:r w:rsidRPr="004F1678">
        <w:rPr>
          <w:sz w:val="20"/>
          <w:lang w:eastAsia="zh-CN"/>
        </w:rPr>
        <w:t>According to the mathematical model, the block diagram of the current closed-loop feedback control system for rectifier power supply operation is shown in F</w:t>
      </w:r>
      <w:r w:rsidR="00536A22">
        <w:rPr>
          <w:rFonts w:hint="eastAsia"/>
          <w:sz w:val="20"/>
          <w:lang w:eastAsia="zh-CN"/>
        </w:rPr>
        <w:t>IG.12</w:t>
      </w:r>
      <w:r w:rsidRPr="004F1678">
        <w:rPr>
          <w:sz w:val="20"/>
          <w:lang w:eastAsia="zh-CN"/>
        </w:rPr>
        <w:t>.</w:t>
      </w:r>
    </w:p>
    <w:p w14:paraId="22F064C3" w14:textId="6956A8E2" w:rsidR="004F1678" w:rsidRDefault="00CF1919" w:rsidP="00536A22">
      <w:pPr>
        <w:overflowPunct/>
        <w:autoSpaceDE/>
        <w:autoSpaceDN/>
        <w:adjustRightInd/>
        <w:jc w:val="center"/>
        <w:textAlignment w:val="auto"/>
        <w:rPr>
          <w:sz w:val="20"/>
          <w:lang w:eastAsia="zh-CN"/>
        </w:rPr>
      </w:pPr>
      <w:r>
        <w:rPr>
          <w:noProof/>
        </w:rPr>
        <w:drawing>
          <wp:inline distT="0" distB="0" distL="0" distR="0" wp14:anchorId="3C99CD81" wp14:editId="548B35BB">
            <wp:extent cx="3966140" cy="1150255"/>
            <wp:effectExtent l="0" t="0" r="0" b="0"/>
            <wp:docPr id="555298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98180" name=""/>
                    <pic:cNvPicPr/>
                  </pic:nvPicPr>
                  <pic:blipFill>
                    <a:blip r:embed="rId60"/>
                    <a:stretch>
                      <a:fillRect/>
                    </a:stretch>
                  </pic:blipFill>
                  <pic:spPr>
                    <a:xfrm>
                      <a:off x="0" y="0"/>
                      <a:ext cx="3985102" cy="1155754"/>
                    </a:xfrm>
                    <a:prstGeom prst="rect">
                      <a:avLst/>
                    </a:prstGeom>
                  </pic:spPr>
                </pic:pic>
              </a:graphicData>
            </a:graphic>
          </wp:inline>
        </w:drawing>
      </w:r>
    </w:p>
    <w:p w14:paraId="269AA299" w14:textId="2676BBE1" w:rsidR="009D461F" w:rsidRPr="00536A22" w:rsidRDefault="009D461F" w:rsidP="00076629">
      <w:pPr>
        <w:overflowPunct/>
        <w:autoSpaceDE/>
        <w:autoSpaceDN/>
        <w:adjustRightInd/>
        <w:spacing w:after="120"/>
        <w:jc w:val="center"/>
        <w:textAlignment w:val="auto"/>
        <w:rPr>
          <w:i/>
          <w:iCs/>
          <w:sz w:val="20"/>
          <w:lang w:eastAsia="zh-CN"/>
        </w:rPr>
      </w:pPr>
      <w:r w:rsidRPr="00536A22">
        <w:rPr>
          <w:i/>
          <w:iCs/>
          <w:sz w:val="20"/>
          <w:lang w:eastAsia="zh-CN"/>
        </w:rPr>
        <w:t>FIG.1</w:t>
      </w:r>
      <w:r w:rsidRPr="00536A22">
        <w:rPr>
          <w:rFonts w:hint="eastAsia"/>
          <w:i/>
          <w:iCs/>
          <w:sz w:val="20"/>
          <w:lang w:eastAsia="zh-CN"/>
        </w:rPr>
        <w:t>2</w:t>
      </w:r>
      <w:r w:rsidRPr="00536A22">
        <w:rPr>
          <w:i/>
          <w:iCs/>
          <w:sz w:val="20"/>
          <w:lang w:eastAsia="zh-CN"/>
        </w:rPr>
        <w:t xml:space="preserve">. </w:t>
      </w:r>
      <w:r w:rsidR="00536A22" w:rsidRPr="00536A22">
        <w:rPr>
          <w:i/>
          <w:iCs/>
          <w:sz w:val="20"/>
          <w:lang w:eastAsia="zh-CN"/>
        </w:rPr>
        <w:t>Block diagram of current closed-loop feedback control system</w:t>
      </w:r>
    </w:p>
    <w:p w14:paraId="0E450113" w14:textId="0ACFED2B" w:rsidR="004F1678" w:rsidRDefault="004F1678" w:rsidP="00536A22">
      <w:pPr>
        <w:overflowPunct/>
        <w:autoSpaceDE/>
        <w:autoSpaceDN/>
        <w:adjustRightInd/>
        <w:jc w:val="both"/>
        <w:textAlignment w:val="auto"/>
        <w:rPr>
          <w:sz w:val="20"/>
          <w:lang w:eastAsia="zh-CN"/>
        </w:rPr>
      </w:pPr>
      <w:r w:rsidRPr="004F1678">
        <w:rPr>
          <w:i/>
          <w:iCs/>
          <w:sz w:val="20"/>
          <w:lang w:eastAsia="zh-CN"/>
        </w:rPr>
        <w:t>H</w:t>
      </w:r>
      <w:r w:rsidRPr="004F1678">
        <w:rPr>
          <w:i/>
          <w:iCs/>
          <w:sz w:val="20"/>
          <w:vertAlign w:val="subscript"/>
          <w:lang w:eastAsia="zh-CN"/>
        </w:rPr>
        <w:t>f</w:t>
      </w:r>
      <w:r w:rsidR="00B23084">
        <w:rPr>
          <w:rFonts w:hint="eastAsia"/>
          <w:i/>
          <w:iCs/>
          <w:sz w:val="20"/>
          <w:vertAlign w:val="subscript"/>
          <w:lang w:eastAsia="zh-CN"/>
        </w:rPr>
        <w:t xml:space="preserve"> </w:t>
      </w:r>
      <w:r w:rsidRPr="004F1678">
        <w:rPr>
          <w:sz w:val="20"/>
          <w:lang w:eastAsia="zh-CN"/>
        </w:rPr>
        <w:t>(s) in F</w:t>
      </w:r>
      <w:r w:rsidR="00536A22">
        <w:rPr>
          <w:rFonts w:hint="eastAsia"/>
          <w:sz w:val="20"/>
          <w:lang w:eastAsia="zh-CN"/>
        </w:rPr>
        <w:t>IG.12</w:t>
      </w:r>
      <w:r w:rsidRPr="004F1678">
        <w:rPr>
          <w:sz w:val="20"/>
          <w:lang w:eastAsia="zh-CN"/>
        </w:rPr>
        <w:t xml:space="preserve"> is the measurement filtering link, which can be regarded as a first-order low-pass filter </w:t>
      </w:r>
      <w:r w:rsidRPr="004F1678">
        <w:rPr>
          <w:i/>
          <w:iCs/>
          <w:sz w:val="20"/>
          <w:lang w:eastAsia="zh-CN"/>
        </w:rPr>
        <w:t>H</w:t>
      </w:r>
      <w:r w:rsidRPr="004F1678">
        <w:rPr>
          <w:i/>
          <w:iCs/>
          <w:sz w:val="15"/>
          <w:szCs w:val="15"/>
          <w:lang w:eastAsia="zh-CN"/>
        </w:rPr>
        <w:t>f</w:t>
      </w:r>
      <w:r w:rsidR="00B23084">
        <w:rPr>
          <w:rFonts w:hint="eastAsia"/>
          <w:i/>
          <w:iCs/>
          <w:sz w:val="15"/>
          <w:szCs w:val="15"/>
          <w:lang w:eastAsia="zh-CN"/>
        </w:rPr>
        <w:t xml:space="preserve"> </w:t>
      </w:r>
      <w:r w:rsidRPr="004F1678">
        <w:rPr>
          <w:sz w:val="20"/>
          <w:lang w:eastAsia="zh-CN"/>
        </w:rPr>
        <w:t xml:space="preserve">(s)=1. According to the characteristics of the converter, </w:t>
      </w:r>
      <w:proofErr w:type="spellStart"/>
      <w:r w:rsidRPr="004F1678">
        <w:rPr>
          <w:i/>
          <w:iCs/>
          <w:sz w:val="20"/>
          <w:lang w:eastAsia="zh-CN"/>
        </w:rPr>
        <w:t>T</w:t>
      </w:r>
      <w:r w:rsidRPr="004F1678">
        <w:rPr>
          <w:i/>
          <w:iCs/>
          <w:sz w:val="11"/>
          <w:szCs w:val="11"/>
          <w:lang w:eastAsia="zh-CN"/>
        </w:rPr>
        <w:t>f</w:t>
      </w:r>
      <w:proofErr w:type="spellEnd"/>
      <w:r w:rsidRPr="004F1678">
        <w:rPr>
          <w:sz w:val="11"/>
          <w:szCs w:val="11"/>
          <w:lang w:eastAsia="zh-CN"/>
        </w:rPr>
        <w:t xml:space="preserve"> </w:t>
      </w:r>
      <w:r w:rsidRPr="004F1678">
        <w:rPr>
          <w:sz w:val="20"/>
          <w:lang w:eastAsia="zh-CN"/>
        </w:rPr>
        <w:t>is 0.0005</w:t>
      </w:r>
      <w:r>
        <w:rPr>
          <w:rFonts w:hint="eastAsia"/>
          <w:sz w:val="20"/>
          <w:lang w:eastAsia="zh-CN"/>
        </w:rPr>
        <w:t>s</w:t>
      </w:r>
      <w:r w:rsidRPr="004F1678">
        <w:rPr>
          <w:sz w:val="20"/>
          <w:lang w:eastAsia="zh-CN"/>
        </w:rPr>
        <w:t xml:space="preserve">, </w:t>
      </w:r>
      <w:r w:rsidRPr="004F1678">
        <w:rPr>
          <w:i/>
          <w:iCs/>
          <w:sz w:val="20"/>
          <w:lang w:eastAsia="zh-CN"/>
        </w:rPr>
        <w:t>K</w:t>
      </w:r>
      <w:r w:rsidRPr="004F1678">
        <w:rPr>
          <w:i/>
          <w:iCs/>
          <w:sz w:val="18"/>
          <w:szCs w:val="18"/>
          <w:vertAlign w:val="subscript"/>
          <w:lang w:eastAsia="zh-CN"/>
        </w:rPr>
        <w:t>0</w:t>
      </w:r>
      <w:r w:rsidRPr="004F1678">
        <w:rPr>
          <w:sz w:val="20"/>
          <w:lang w:eastAsia="zh-CN"/>
        </w:rPr>
        <w:t xml:space="preserve"> is the sampling ratio of the current sensor 2.0× 10</w:t>
      </w:r>
      <w:r w:rsidR="002553EE" w:rsidRPr="002553EE">
        <w:rPr>
          <w:rFonts w:hint="eastAsia"/>
          <w:sz w:val="20"/>
          <w:vertAlign w:val="superscript"/>
          <w:lang w:eastAsia="zh-CN"/>
        </w:rPr>
        <w:t>-4</w:t>
      </w:r>
      <w:r w:rsidRPr="004F1678">
        <w:rPr>
          <w:sz w:val="20"/>
          <w:lang w:eastAsia="zh-CN"/>
        </w:rPr>
        <w:t xml:space="preserve">, </w:t>
      </w:r>
      <w:r w:rsidRPr="004F1678">
        <w:rPr>
          <w:i/>
          <w:iCs/>
          <w:sz w:val="20"/>
          <w:lang w:eastAsia="zh-CN"/>
        </w:rPr>
        <w:t>K</w:t>
      </w:r>
      <w:r w:rsidRPr="004F1678">
        <w:rPr>
          <w:i/>
          <w:iCs/>
          <w:sz w:val="20"/>
          <w:vertAlign w:val="subscript"/>
          <w:lang w:eastAsia="zh-CN"/>
        </w:rPr>
        <w:t>s</w:t>
      </w:r>
      <w:r w:rsidRPr="004F1678">
        <w:rPr>
          <w:sz w:val="20"/>
          <w:lang w:eastAsia="zh-CN"/>
        </w:rPr>
        <w:t xml:space="preserve"> is the amplification factor 93 of the six-pulse rectifier bridge, and </w:t>
      </w:r>
      <w:r w:rsidRPr="004F1678">
        <w:rPr>
          <w:i/>
          <w:iCs/>
          <w:sz w:val="20"/>
          <w:lang w:eastAsia="zh-CN"/>
        </w:rPr>
        <w:t>T</w:t>
      </w:r>
      <w:r w:rsidRPr="004F1678">
        <w:rPr>
          <w:i/>
          <w:iCs/>
          <w:sz w:val="20"/>
          <w:vertAlign w:val="subscript"/>
          <w:lang w:eastAsia="zh-CN"/>
        </w:rPr>
        <w:t>s</w:t>
      </w:r>
      <w:r w:rsidRPr="004F1678">
        <w:rPr>
          <w:sz w:val="20"/>
          <w:lang w:eastAsia="zh-CN"/>
        </w:rPr>
        <w:t xml:space="preserve"> is the delay time 0.00175s of the six-pulse rectifier bridge.</w:t>
      </w:r>
    </w:p>
    <w:p w14:paraId="34F0F751" w14:textId="667E75EF" w:rsidR="00FA27A2" w:rsidRDefault="00FA27A2" w:rsidP="003B3A90">
      <w:pPr>
        <w:overflowPunct/>
        <w:autoSpaceDE/>
        <w:autoSpaceDN/>
        <w:adjustRightInd/>
        <w:spacing w:after="120"/>
        <w:jc w:val="both"/>
        <w:textAlignment w:val="auto"/>
        <w:rPr>
          <w:sz w:val="20"/>
          <w:lang w:eastAsia="zh-CN"/>
        </w:rPr>
      </w:pPr>
      <w:r w:rsidRPr="00FA27A2">
        <w:rPr>
          <w:sz w:val="20"/>
          <w:lang w:eastAsia="zh-CN"/>
        </w:rPr>
        <w:t>The simulation and tracking results of PI controller are shown in the figure below</w:t>
      </w:r>
      <w:r>
        <w:rPr>
          <w:rFonts w:hint="eastAsia"/>
          <w:sz w:val="20"/>
          <w:lang w:eastAsia="zh-CN"/>
        </w:rPr>
        <w:t>：</w:t>
      </w:r>
    </w:p>
    <w:p w14:paraId="5C4B4D26" w14:textId="31D61FE1" w:rsidR="00802649" w:rsidRDefault="00FA27A2" w:rsidP="00536A22">
      <w:pPr>
        <w:overflowPunct/>
        <w:autoSpaceDE/>
        <w:autoSpaceDN/>
        <w:adjustRightInd/>
        <w:jc w:val="center"/>
        <w:textAlignment w:val="auto"/>
        <w:rPr>
          <w:sz w:val="20"/>
          <w:lang w:eastAsia="zh-CN"/>
        </w:rPr>
      </w:pPr>
      <w:r>
        <w:rPr>
          <w:rFonts w:hint="eastAsia"/>
          <w:noProof/>
          <w:sz w:val="20"/>
          <w:lang w:eastAsia="zh-CN"/>
        </w:rPr>
        <w:drawing>
          <wp:inline distT="0" distB="0" distL="0" distR="0" wp14:anchorId="7E91BCBF" wp14:editId="490C42C4">
            <wp:extent cx="4397899" cy="1857375"/>
            <wp:effectExtent l="0" t="0" r="3175" b="0"/>
            <wp:docPr id="12686630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63000" name="图片 126866300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66541" cy="1886365"/>
                    </a:xfrm>
                    <a:prstGeom prst="rect">
                      <a:avLst/>
                    </a:prstGeom>
                  </pic:spPr>
                </pic:pic>
              </a:graphicData>
            </a:graphic>
          </wp:inline>
        </w:drawing>
      </w:r>
    </w:p>
    <w:p w14:paraId="69B3ABC2" w14:textId="48B1E737" w:rsidR="00FA27A2" w:rsidRPr="00536A22" w:rsidRDefault="00FA27A2" w:rsidP="00FA27A2">
      <w:pPr>
        <w:overflowPunct/>
        <w:autoSpaceDE/>
        <w:autoSpaceDN/>
        <w:adjustRightInd/>
        <w:spacing w:after="260"/>
        <w:jc w:val="center"/>
        <w:textAlignment w:val="auto"/>
        <w:rPr>
          <w:i/>
          <w:iCs/>
          <w:sz w:val="20"/>
          <w:lang w:eastAsia="zh-CN"/>
        </w:rPr>
      </w:pPr>
      <w:r w:rsidRPr="00536A22">
        <w:rPr>
          <w:i/>
          <w:iCs/>
          <w:sz w:val="20"/>
          <w:lang w:eastAsia="zh-CN"/>
        </w:rPr>
        <w:t>F</w:t>
      </w:r>
      <w:r w:rsidR="00536A22" w:rsidRPr="00536A22">
        <w:rPr>
          <w:rFonts w:hint="eastAsia"/>
          <w:i/>
          <w:iCs/>
          <w:sz w:val="20"/>
          <w:lang w:eastAsia="zh-CN"/>
        </w:rPr>
        <w:t>IG.13</w:t>
      </w:r>
      <w:r w:rsidRPr="00536A22">
        <w:rPr>
          <w:i/>
          <w:iCs/>
          <w:sz w:val="20"/>
          <w:lang w:eastAsia="zh-CN"/>
        </w:rPr>
        <w:t xml:space="preserve"> Load current tracking waveform with PI controller</w:t>
      </w:r>
    </w:p>
    <w:p w14:paraId="0C67F150" w14:textId="3860368A" w:rsidR="00F004EE" w:rsidRPr="00F81411" w:rsidRDefault="00802649" w:rsidP="00011C41">
      <w:pPr>
        <w:pStyle w:val="1"/>
        <w:keepNext/>
        <w:keepLines/>
        <w:numPr>
          <w:ilvl w:val="1"/>
          <w:numId w:val="10"/>
        </w:num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260" w:line="240" w:lineRule="auto"/>
        <w:ind w:right="0"/>
        <w:rPr>
          <w:rFonts w:ascii="Times New Roman" w:hAnsi="Times New Roman"/>
          <w:b w:val="0"/>
          <w:bCs/>
          <w:sz w:val="20"/>
          <w:lang w:val="en-GB"/>
        </w:rPr>
      </w:pPr>
      <w:r w:rsidRPr="00802649">
        <w:rPr>
          <w:rFonts w:ascii="Times New Roman" w:hAnsi="Times New Roman"/>
          <w:b w:val="0"/>
          <w:bCs/>
          <w:sz w:val="20"/>
          <w:lang w:val="en-GB"/>
        </w:rPr>
        <w:t>Simulation and experimental results</w:t>
      </w:r>
    </w:p>
    <w:p w14:paraId="15D92493" w14:textId="1834DAA0" w:rsidR="00802649" w:rsidRDefault="00802649" w:rsidP="003B3A90">
      <w:pPr>
        <w:overflowPunct/>
        <w:autoSpaceDE/>
        <w:autoSpaceDN/>
        <w:adjustRightInd/>
        <w:spacing w:after="120"/>
        <w:jc w:val="both"/>
        <w:textAlignment w:val="auto"/>
        <w:rPr>
          <w:sz w:val="20"/>
          <w:lang w:eastAsia="zh-CN"/>
        </w:rPr>
      </w:pPr>
      <w:r w:rsidRPr="00802649">
        <w:rPr>
          <w:rFonts w:eastAsiaTheme="minorHAnsi"/>
          <w:sz w:val="20"/>
          <w:lang w:eastAsia="ar-SA"/>
        </w:rPr>
        <w:t>In order to verify the effectiveness and feasibility of the proposed circuit design scheme and control strategy, a complete simulation model is built on the MATLAB/Simulink platform to simulate the operation characteristics of Tokamak high-power four-quadrant rectifier power supply, and to support the comparison and analysis of control effects under different operating condition</w:t>
      </w:r>
      <w:r w:rsidRPr="00536A22">
        <w:rPr>
          <w:rFonts w:eastAsiaTheme="minorHAnsi"/>
          <w:sz w:val="20"/>
          <w:lang w:eastAsia="ar-SA"/>
        </w:rPr>
        <w:t>s.</w:t>
      </w:r>
      <w:r w:rsidRPr="00536A22">
        <w:rPr>
          <w:rFonts w:hint="eastAsia"/>
          <w:sz w:val="20"/>
          <w:lang w:eastAsia="zh-CN"/>
        </w:rPr>
        <w:t xml:space="preserve"> </w:t>
      </w:r>
      <w:r w:rsidRPr="00536A22">
        <w:rPr>
          <w:rFonts w:eastAsiaTheme="minorHAnsi"/>
          <w:sz w:val="20"/>
          <w:lang w:eastAsia="ar-SA"/>
        </w:rPr>
        <w:t>F</w:t>
      </w:r>
      <w:r w:rsidR="00536A22" w:rsidRPr="00536A22">
        <w:rPr>
          <w:rFonts w:hint="eastAsia"/>
          <w:sz w:val="20"/>
          <w:lang w:eastAsia="zh-CN"/>
        </w:rPr>
        <w:t>IG.14</w:t>
      </w:r>
      <w:r w:rsidRPr="00536A22">
        <w:rPr>
          <w:rFonts w:eastAsiaTheme="minorHAnsi"/>
          <w:sz w:val="20"/>
          <w:lang w:eastAsia="ar-SA"/>
        </w:rPr>
        <w:t xml:space="preserve"> </w:t>
      </w:r>
      <w:r w:rsidRPr="00802649">
        <w:rPr>
          <w:rFonts w:eastAsiaTheme="minorHAnsi"/>
          <w:sz w:val="20"/>
          <w:lang w:eastAsia="ar-SA"/>
        </w:rPr>
        <w:t>shows the CSMC power supply simulation experimental model built on the Simulink experimental platform.</w:t>
      </w:r>
    </w:p>
    <w:p w14:paraId="7263E53D" w14:textId="57C5875F" w:rsidR="00802649" w:rsidRDefault="00802649" w:rsidP="00536A22">
      <w:pPr>
        <w:overflowPunct/>
        <w:autoSpaceDE/>
        <w:autoSpaceDN/>
        <w:adjustRightInd/>
        <w:jc w:val="center"/>
        <w:textAlignment w:val="auto"/>
        <w:rPr>
          <w:sz w:val="20"/>
          <w:lang w:eastAsia="zh-CN"/>
        </w:rPr>
      </w:pPr>
      <w:r w:rsidRPr="00802649">
        <w:rPr>
          <w:noProof/>
          <w:sz w:val="20"/>
          <w:lang w:eastAsia="zh-CN"/>
        </w:rPr>
        <w:drawing>
          <wp:inline distT="0" distB="0" distL="0" distR="0" wp14:anchorId="5D846AF6" wp14:editId="03467A5F">
            <wp:extent cx="5714917" cy="1765935"/>
            <wp:effectExtent l="0" t="0" r="635" b="5715"/>
            <wp:docPr id="18427169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36521" cy="1803511"/>
                    </a:xfrm>
                    <a:prstGeom prst="rect">
                      <a:avLst/>
                    </a:prstGeom>
                    <a:noFill/>
                    <a:ln>
                      <a:noFill/>
                    </a:ln>
                  </pic:spPr>
                </pic:pic>
              </a:graphicData>
            </a:graphic>
          </wp:inline>
        </w:drawing>
      </w:r>
    </w:p>
    <w:p w14:paraId="3EBDCC4E" w14:textId="456AF058" w:rsidR="00802649" w:rsidRPr="00536A22" w:rsidRDefault="00536A22" w:rsidP="00536A22">
      <w:pPr>
        <w:overflowPunct/>
        <w:autoSpaceDE/>
        <w:autoSpaceDN/>
        <w:adjustRightInd/>
        <w:jc w:val="center"/>
        <w:textAlignment w:val="auto"/>
        <w:rPr>
          <w:i/>
          <w:iCs/>
          <w:sz w:val="20"/>
          <w:lang w:eastAsia="zh-CN"/>
        </w:rPr>
      </w:pPr>
      <w:r w:rsidRPr="00536A22">
        <w:rPr>
          <w:rFonts w:hint="eastAsia"/>
          <w:i/>
          <w:iCs/>
          <w:sz w:val="20"/>
          <w:lang w:eastAsia="zh-CN"/>
        </w:rPr>
        <w:t>FIG.14</w:t>
      </w:r>
      <w:r w:rsidR="00802649" w:rsidRPr="00536A22">
        <w:rPr>
          <w:rFonts w:hint="eastAsia"/>
          <w:i/>
          <w:iCs/>
          <w:sz w:val="20"/>
          <w:lang w:eastAsia="zh-CN"/>
        </w:rPr>
        <w:t xml:space="preserve"> </w:t>
      </w:r>
      <w:r w:rsidR="00802649" w:rsidRPr="00536A22">
        <w:rPr>
          <w:i/>
          <w:iCs/>
          <w:sz w:val="20"/>
          <w:lang w:eastAsia="zh-CN"/>
        </w:rPr>
        <w:t>Simulation Model of Converter for CSMC Power System</w:t>
      </w:r>
    </w:p>
    <w:p w14:paraId="03289D8D" w14:textId="12DB587F" w:rsidR="00C73DD9" w:rsidRDefault="00802649" w:rsidP="00536A22">
      <w:pPr>
        <w:overflowPunct/>
        <w:autoSpaceDE/>
        <w:autoSpaceDN/>
        <w:adjustRightInd/>
        <w:jc w:val="both"/>
        <w:textAlignment w:val="auto"/>
        <w:rPr>
          <w:sz w:val="20"/>
          <w:lang w:eastAsia="zh-CN"/>
        </w:rPr>
      </w:pPr>
      <w:r w:rsidRPr="00802649">
        <w:rPr>
          <w:sz w:val="20"/>
          <w:lang w:eastAsia="zh-CN"/>
        </w:rPr>
        <w:t>The main simulation parameters are as follows: the grid voltage part is 110kV three-phase 50Hz AC power supply, the short-circuit capacity is 1.27 GVA, and the ratio of reactance to resistance is 10.The rated capacity of the step-down transformer is 63MVA, the transformation ratio is 110kV/35kV, and the load loss is 232kW.The rated capacity of the rectifier transformer is 8MVA, the transformation ratio is 35kV/197 V, and the load loss is 46kW.</w:t>
      </w:r>
      <w:r>
        <w:rPr>
          <w:rFonts w:hint="eastAsia"/>
          <w:sz w:val="20"/>
          <w:lang w:eastAsia="zh-CN"/>
        </w:rPr>
        <w:t xml:space="preserve"> </w:t>
      </w:r>
      <w:r w:rsidRPr="00802649">
        <w:rPr>
          <w:sz w:val="20"/>
          <w:lang w:eastAsia="zh-CN"/>
        </w:rPr>
        <w:lastRenderedPageBreak/>
        <w:t>The four rectifier transformers are respectively shifted by +22.5° and -7.5° through extended delta connection.</w:t>
      </w:r>
      <w:r>
        <w:rPr>
          <w:rFonts w:hint="eastAsia"/>
          <w:sz w:val="20"/>
          <w:lang w:eastAsia="zh-CN"/>
        </w:rPr>
        <w:t xml:space="preserve"> </w:t>
      </w:r>
      <w:r w:rsidRPr="00802649">
        <w:rPr>
          <w:sz w:val="20"/>
          <w:lang w:eastAsia="zh-CN"/>
        </w:rPr>
        <w:t>The inductance and internal resistance of the current sharing reactor are 120μH and 120μΩ, respectively.</w:t>
      </w:r>
      <w:r>
        <w:rPr>
          <w:rFonts w:hint="eastAsia"/>
          <w:sz w:val="20"/>
          <w:lang w:eastAsia="zh-CN"/>
        </w:rPr>
        <w:t xml:space="preserve"> </w:t>
      </w:r>
      <w:r w:rsidRPr="00802649">
        <w:rPr>
          <w:sz w:val="20"/>
          <w:lang w:eastAsia="zh-CN"/>
        </w:rPr>
        <w:t>The DC side magnet coil load is set to a 4mH inductance.</w:t>
      </w:r>
    </w:p>
    <w:p w14:paraId="7347794E" w14:textId="50DE6B91" w:rsidR="007A66E3" w:rsidRDefault="00236AB2" w:rsidP="003B3A90">
      <w:pPr>
        <w:overflowPunct/>
        <w:autoSpaceDE/>
        <w:autoSpaceDN/>
        <w:adjustRightInd/>
        <w:spacing w:after="120"/>
        <w:jc w:val="center"/>
        <w:textAlignment w:val="auto"/>
      </w:pPr>
      <w:r>
        <w:rPr>
          <w:rFonts w:hint="eastAsia"/>
        </w:rPr>
        <w:object w:dxaOrig="10005" w:dyaOrig="8971" w14:anchorId="2150C5E7">
          <v:shape id="_x0000_i1060" type="#_x0000_t75" style="width:452.05pt;height:341.2pt" o:ole="">
            <v:imagedata r:id="rId63" o:title=""/>
          </v:shape>
          <o:OLEObject Type="Embed" ProgID="Visio.Drawing.15" ShapeID="_x0000_i1060" DrawAspect="Content" ObjectID="_1820059697" r:id="rId64"/>
        </w:object>
      </w:r>
    </w:p>
    <w:p w14:paraId="1CA6C730" w14:textId="73C4465D" w:rsidR="00536A22" w:rsidRPr="00536A22" w:rsidRDefault="00536A22" w:rsidP="00536A22">
      <w:pPr>
        <w:overflowPunct/>
        <w:autoSpaceDE/>
        <w:autoSpaceDN/>
        <w:adjustRightInd/>
        <w:jc w:val="center"/>
        <w:textAlignment w:val="auto"/>
        <w:rPr>
          <w:i/>
          <w:iCs/>
          <w:sz w:val="20"/>
          <w:lang w:eastAsia="zh-CN"/>
        </w:rPr>
      </w:pPr>
      <w:r w:rsidRPr="00536A22">
        <w:rPr>
          <w:rFonts w:hint="eastAsia"/>
          <w:i/>
          <w:iCs/>
          <w:sz w:val="20"/>
          <w:lang w:eastAsia="zh-CN"/>
        </w:rPr>
        <w:t xml:space="preserve">FIG.15 </w:t>
      </w:r>
      <w:r w:rsidRPr="00536A22">
        <w:rPr>
          <w:i/>
          <w:iCs/>
          <w:sz w:val="20"/>
          <w:lang w:eastAsia="zh-CN"/>
        </w:rPr>
        <w:t>CSMC Power Supply Field Test Device</w:t>
      </w:r>
    </w:p>
    <w:p w14:paraId="3F964E69" w14:textId="6E829CCB" w:rsidR="007A66E3" w:rsidRDefault="00536A22" w:rsidP="00CF1919">
      <w:pPr>
        <w:overflowPunct/>
        <w:autoSpaceDE/>
        <w:autoSpaceDN/>
        <w:adjustRightInd/>
        <w:spacing w:after="120"/>
        <w:jc w:val="both"/>
        <w:textAlignment w:val="auto"/>
        <w:rPr>
          <w:sz w:val="20"/>
          <w:lang w:eastAsia="zh-CN"/>
        </w:rPr>
      </w:pPr>
      <w:r w:rsidRPr="00536A22">
        <w:rPr>
          <w:rFonts w:hint="eastAsia"/>
          <w:sz w:val="20"/>
          <w:lang w:eastAsia="zh-CN"/>
        </w:rPr>
        <w:t>FIG.14</w:t>
      </w:r>
      <w:r w:rsidR="007A66E3" w:rsidRPr="00536A22">
        <w:rPr>
          <w:sz w:val="20"/>
          <w:lang w:eastAsia="zh-CN"/>
        </w:rPr>
        <w:t xml:space="preserve"> s</w:t>
      </w:r>
      <w:r w:rsidR="007A66E3" w:rsidRPr="007A66E3">
        <w:rPr>
          <w:sz w:val="20"/>
          <w:lang w:eastAsia="zh-CN"/>
        </w:rPr>
        <w:t>hows the simulation verification results under the single-branch operation mode: when the reference current command is set as the trapezoidal waveform of 20kA, the load current can track the given waveform command with high accuracy under the condition of 110kV grid voltage input, and there is no significant overshoot or oscillation in the dynamic response process, indicating that the current closed-loop control strategy has good tracking performance and stability.</w:t>
      </w:r>
    </w:p>
    <w:p w14:paraId="327C3BFC" w14:textId="22F9383B" w:rsidR="00802649" w:rsidRDefault="007A66E3" w:rsidP="003B3A90">
      <w:pPr>
        <w:overflowPunct/>
        <w:autoSpaceDE/>
        <w:autoSpaceDN/>
        <w:adjustRightInd/>
        <w:jc w:val="center"/>
        <w:textAlignment w:val="auto"/>
        <w:rPr>
          <w:sz w:val="20"/>
          <w:lang w:eastAsia="zh-CN"/>
        </w:rPr>
      </w:pPr>
      <w:r>
        <w:rPr>
          <w:noProof/>
        </w:rPr>
        <w:drawing>
          <wp:inline distT="0" distB="0" distL="0" distR="0" wp14:anchorId="35C02AE1" wp14:editId="61D23A86">
            <wp:extent cx="3021496" cy="1845299"/>
            <wp:effectExtent l="0" t="0" r="7620" b="3175"/>
            <wp:docPr id="1579898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98946" name=""/>
                    <pic:cNvPicPr/>
                  </pic:nvPicPr>
                  <pic:blipFill>
                    <a:blip r:embed="rId65"/>
                    <a:stretch>
                      <a:fillRect/>
                    </a:stretch>
                  </pic:blipFill>
                  <pic:spPr>
                    <a:xfrm>
                      <a:off x="0" y="0"/>
                      <a:ext cx="3086431" cy="1884956"/>
                    </a:xfrm>
                    <a:prstGeom prst="rect">
                      <a:avLst/>
                    </a:prstGeom>
                  </pic:spPr>
                </pic:pic>
              </a:graphicData>
            </a:graphic>
          </wp:inline>
        </w:drawing>
      </w:r>
      <w:r w:rsidR="003B3A90">
        <w:rPr>
          <w:rFonts w:hint="eastAsia"/>
          <w:lang w:eastAsia="zh-CN"/>
        </w:rPr>
        <w:t xml:space="preserve"> </w:t>
      </w:r>
      <w:r w:rsidR="00E07EAD">
        <w:rPr>
          <w:rFonts w:hint="eastAsia"/>
        </w:rPr>
        <w:object w:dxaOrig="22486" w:dyaOrig="15106" w14:anchorId="397CF165">
          <v:shape id="_x0000_i1061" type="#_x0000_t75" style="width:202.25pt;height:135.85pt" o:ole="">
            <v:imagedata r:id="rId66" o:title=""/>
          </v:shape>
          <o:OLEObject Type="Embed" ProgID="Visio.Drawing.15" ShapeID="_x0000_i1061" DrawAspect="Content" ObjectID="_1820059698" r:id="rId67"/>
        </w:object>
      </w:r>
    </w:p>
    <w:p w14:paraId="6C8125C6" w14:textId="727E343E" w:rsidR="007A66E3" w:rsidRPr="00536A22" w:rsidRDefault="00536A22" w:rsidP="003B3A90">
      <w:pPr>
        <w:pStyle w:val="a1"/>
        <w:spacing w:line="220" w:lineRule="atLeast"/>
        <w:rPr>
          <w:lang w:eastAsia="zh-CN"/>
        </w:rPr>
      </w:pPr>
      <w:r w:rsidRPr="00536A22">
        <w:rPr>
          <w:rFonts w:hint="eastAsia"/>
          <w:lang w:eastAsia="zh-CN"/>
        </w:rPr>
        <w:t>(a</w:t>
      </w:r>
      <w:r>
        <w:rPr>
          <w:lang w:eastAsia="zh-CN"/>
        </w:rPr>
        <w:t xml:space="preserve">) </w:t>
      </w:r>
      <w:r w:rsidR="009D461F" w:rsidRPr="00536A22">
        <w:rPr>
          <w:lang w:eastAsia="zh-CN"/>
        </w:rPr>
        <w:t>20k</w:t>
      </w:r>
      <w:r w:rsidR="009D461F" w:rsidRPr="00536A22">
        <w:rPr>
          <w:rFonts w:hint="eastAsia"/>
          <w:lang w:eastAsia="zh-CN"/>
        </w:rPr>
        <w:t>A</w:t>
      </w:r>
      <w:r w:rsidR="009D461F" w:rsidRPr="00536A22">
        <w:rPr>
          <w:lang w:eastAsia="zh-CN"/>
        </w:rPr>
        <w:t xml:space="preserve"> single bridge simulation waveform</w:t>
      </w:r>
      <w:r w:rsidR="009D461F" w:rsidRPr="00536A22">
        <w:rPr>
          <w:rFonts w:hint="eastAsia"/>
          <w:lang w:eastAsia="zh-CN"/>
        </w:rPr>
        <w:t xml:space="preserve">     </w:t>
      </w:r>
      <w:proofErr w:type="gramStart"/>
      <w:r w:rsidR="009D461F" w:rsidRPr="00536A22">
        <w:rPr>
          <w:rFonts w:hint="eastAsia"/>
          <w:lang w:eastAsia="zh-CN"/>
        </w:rPr>
        <w:t xml:space="preserve">   </w:t>
      </w:r>
      <w:r>
        <w:rPr>
          <w:rFonts w:hint="eastAsia"/>
          <w:lang w:eastAsia="zh-CN"/>
        </w:rPr>
        <w:t>(</w:t>
      </w:r>
      <w:proofErr w:type="gramEnd"/>
      <w:r>
        <w:rPr>
          <w:rFonts w:hint="eastAsia"/>
          <w:lang w:eastAsia="zh-CN"/>
        </w:rPr>
        <w:t xml:space="preserve">b) </w:t>
      </w:r>
      <w:r w:rsidR="009D461F" w:rsidRPr="00536A22">
        <w:rPr>
          <w:lang w:eastAsia="zh-CN"/>
        </w:rPr>
        <w:t>20k</w:t>
      </w:r>
      <w:r w:rsidR="009D461F" w:rsidRPr="00536A22">
        <w:rPr>
          <w:rFonts w:hint="eastAsia"/>
          <w:lang w:eastAsia="zh-CN"/>
        </w:rPr>
        <w:t>A</w:t>
      </w:r>
      <w:r w:rsidR="009D461F" w:rsidRPr="00536A22">
        <w:rPr>
          <w:lang w:eastAsia="zh-CN"/>
        </w:rPr>
        <w:t xml:space="preserve"> single bridge experimental waveform</w:t>
      </w:r>
    </w:p>
    <w:p w14:paraId="3A805F1F" w14:textId="0407CA86" w:rsidR="00C73DD9" w:rsidRDefault="00E07EAD" w:rsidP="00A56CF7">
      <w:pPr>
        <w:overflowPunct/>
        <w:autoSpaceDE/>
        <w:autoSpaceDN/>
        <w:adjustRightInd/>
        <w:jc w:val="center"/>
        <w:textAlignment w:val="auto"/>
      </w:pPr>
      <w:r>
        <w:rPr>
          <w:rFonts w:hint="eastAsia"/>
        </w:rPr>
        <w:object w:dxaOrig="27045" w:dyaOrig="16605" w14:anchorId="0F44B258">
          <v:shape id="_x0000_i1062" type="#_x0000_t75" style="width:369.4pt;height:226pt" o:ole="">
            <v:imagedata r:id="rId68" o:title=""/>
          </v:shape>
          <o:OLEObject Type="Embed" ProgID="Visio.Drawing.15" ShapeID="_x0000_i1062" DrawAspect="Content" ObjectID="_1820059699" r:id="rId69"/>
        </w:object>
      </w:r>
    </w:p>
    <w:p w14:paraId="679BE7CE" w14:textId="7C060100" w:rsidR="00536A22" w:rsidRDefault="00536A22" w:rsidP="00536A22">
      <w:pPr>
        <w:overflowPunct/>
        <w:autoSpaceDE/>
        <w:autoSpaceDN/>
        <w:adjustRightInd/>
        <w:jc w:val="center"/>
        <w:textAlignment w:val="auto"/>
        <w:rPr>
          <w:lang w:eastAsia="zh-CN"/>
        </w:rPr>
      </w:pPr>
      <w:r>
        <w:rPr>
          <w:rFonts w:hint="eastAsia"/>
          <w:lang w:eastAsia="zh-CN"/>
        </w:rPr>
        <w:t xml:space="preserve">(c) </w:t>
      </w:r>
      <w:r w:rsidRPr="00536A22">
        <w:rPr>
          <w:lang w:eastAsia="zh-CN"/>
        </w:rPr>
        <w:t>CSMC Power System 48k</w:t>
      </w:r>
      <w:r>
        <w:rPr>
          <w:rFonts w:hint="eastAsia"/>
          <w:lang w:eastAsia="zh-CN"/>
        </w:rPr>
        <w:t>A</w:t>
      </w:r>
      <w:r w:rsidRPr="00536A22">
        <w:rPr>
          <w:lang w:eastAsia="zh-CN"/>
        </w:rPr>
        <w:t xml:space="preserve"> Experimental Results</w:t>
      </w:r>
    </w:p>
    <w:p w14:paraId="748F4958" w14:textId="4AD5667F" w:rsidR="0044785A" w:rsidRPr="0044785A" w:rsidRDefault="0044785A" w:rsidP="00536A22">
      <w:pPr>
        <w:overflowPunct/>
        <w:autoSpaceDE/>
        <w:autoSpaceDN/>
        <w:adjustRightInd/>
        <w:jc w:val="center"/>
        <w:textAlignment w:val="auto"/>
        <w:rPr>
          <w:i/>
          <w:iCs/>
          <w:sz w:val="20"/>
          <w:lang w:eastAsia="zh-CN"/>
        </w:rPr>
      </w:pPr>
      <w:r w:rsidRPr="0044785A">
        <w:rPr>
          <w:rFonts w:hint="eastAsia"/>
          <w:i/>
          <w:iCs/>
          <w:sz w:val="20"/>
          <w:lang w:eastAsia="zh-CN"/>
        </w:rPr>
        <w:t xml:space="preserve">FIG.15 </w:t>
      </w:r>
      <w:r w:rsidRPr="0044785A">
        <w:rPr>
          <w:i/>
          <w:iCs/>
          <w:sz w:val="20"/>
          <w:lang w:eastAsia="zh-CN"/>
        </w:rPr>
        <w:t>Simulation and Experimental Results of CSMC Power Supply System</w:t>
      </w:r>
    </w:p>
    <w:p w14:paraId="7967DAB5" w14:textId="297A43FB" w:rsidR="006C2910" w:rsidRDefault="006C2910" w:rsidP="000300A7">
      <w:pPr>
        <w:overflowPunct/>
        <w:autoSpaceDE/>
        <w:autoSpaceDN/>
        <w:adjustRightInd/>
        <w:spacing w:after="260"/>
        <w:jc w:val="both"/>
        <w:textAlignment w:val="auto"/>
        <w:rPr>
          <w:sz w:val="20"/>
          <w:lang w:eastAsia="zh-CN"/>
        </w:rPr>
      </w:pPr>
      <w:r w:rsidRPr="006C2910">
        <w:rPr>
          <w:rFonts w:eastAsiaTheme="minorHAnsi"/>
          <w:sz w:val="20"/>
          <w:lang w:eastAsia="ar-SA"/>
        </w:rPr>
        <w:t>It can be seen from F</w:t>
      </w:r>
      <w:r>
        <w:rPr>
          <w:rFonts w:hint="eastAsia"/>
          <w:sz w:val="20"/>
          <w:lang w:eastAsia="zh-CN"/>
        </w:rPr>
        <w:t xml:space="preserve">IG. </w:t>
      </w:r>
      <w:r w:rsidRPr="006C2910">
        <w:rPr>
          <w:rFonts w:eastAsiaTheme="minorHAnsi"/>
          <w:sz w:val="20"/>
          <w:lang w:eastAsia="ar-SA"/>
        </w:rPr>
        <w:t>15 (</w:t>
      </w:r>
      <w:r w:rsidRPr="006C2910">
        <w:rPr>
          <w:sz w:val="20"/>
          <w:lang w:eastAsia="zh-CN"/>
        </w:rPr>
        <w:t>c</w:t>
      </w:r>
      <w:r w:rsidRPr="006C2910">
        <w:rPr>
          <w:rFonts w:eastAsiaTheme="minorHAnsi"/>
          <w:sz w:val="20"/>
          <w:lang w:eastAsia="ar-SA"/>
        </w:rPr>
        <w:t>) that the output current of the dual-bridge power supply reaches 4</w:t>
      </w:r>
      <w:r w:rsidR="004010A6">
        <w:rPr>
          <w:rFonts w:hint="eastAsia"/>
          <w:sz w:val="20"/>
          <w:lang w:eastAsia="zh-CN"/>
        </w:rPr>
        <w:t>8</w:t>
      </w:r>
      <w:r w:rsidRPr="006C2910">
        <w:rPr>
          <w:rFonts w:eastAsiaTheme="minorHAnsi"/>
          <w:sz w:val="20"/>
          <w:lang w:eastAsia="ar-SA"/>
        </w:rPr>
        <w:t>.</w:t>
      </w:r>
      <w:r w:rsidR="004010A6">
        <w:rPr>
          <w:rFonts w:hint="eastAsia"/>
          <w:sz w:val="20"/>
          <w:lang w:eastAsia="zh-CN"/>
        </w:rPr>
        <w:t>57</w:t>
      </w:r>
      <w:r>
        <w:rPr>
          <w:rFonts w:hint="eastAsia"/>
          <w:sz w:val="20"/>
          <w:lang w:eastAsia="zh-CN"/>
        </w:rPr>
        <w:t>kA</w:t>
      </w:r>
      <w:r w:rsidRPr="006C2910">
        <w:rPr>
          <w:rFonts w:eastAsiaTheme="minorHAnsi"/>
          <w:sz w:val="20"/>
          <w:lang w:eastAsia="ar-SA"/>
        </w:rPr>
        <w:t xml:space="preserve"> and the output current of the single-bridge power supply is nearly 2</w:t>
      </w:r>
      <w:r w:rsidR="004074B9">
        <w:rPr>
          <w:rFonts w:hint="eastAsia"/>
          <w:sz w:val="20"/>
          <w:lang w:eastAsia="zh-CN"/>
        </w:rPr>
        <w:t>4</w:t>
      </w:r>
      <w:r w:rsidRPr="006C2910">
        <w:rPr>
          <w:rFonts w:eastAsiaTheme="minorHAnsi"/>
          <w:sz w:val="20"/>
          <w:lang w:eastAsia="ar-SA"/>
        </w:rPr>
        <w:t xml:space="preserve"> </w:t>
      </w:r>
      <w:r>
        <w:rPr>
          <w:rFonts w:hint="eastAsia"/>
          <w:sz w:val="20"/>
          <w:lang w:eastAsia="zh-CN"/>
        </w:rPr>
        <w:t>kA</w:t>
      </w:r>
      <w:r w:rsidRPr="006C2910">
        <w:rPr>
          <w:rFonts w:eastAsiaTheme="minorHAnsi"/>
          <w:sz w:val="20"/>
          <w:lang w:eastAsia="ar-SA"/>
        </w:rPr>
        <w:t>. Due to the current sharing problem of the two power supplies, the current output of the two bridge arms is not even.</w:t>
      </w:r>
      <w:r>
        <w:rPr>
          <w:rFonts w:hint="eastAsia"/>
          <w:sz w:val="20"/>
          <w:lang w:eastAsia="zh-CN"/>
        </w:rPr>
        <w:t xml:space="preserve"> </w:t>
      </w:r>
      <w:r w:rsidRPr="006C2910">
        <w:rPr>
          <w:rFonts w:eastAsiaTheme="minorHAnsi"/>
          <w:sz w:val="20"/>
          <w:lang w:eastAsia="ar-SA"/>
        </w:rPr>
        <w:t>During the experiment, the temperature of the current lead rises due to the rapid climbing of the current, so the current rise rate is 80 A/s, and it is maintained for a period of time on different current platforms to ensure that the current lead</w:t>
      </w:r>
      <w:r w:rsidR="004074B9">
        <w:rPr>
          <w:rFonts w:hint="eastAsia"/>
          <w:sz w:val="20"/>
          <w:lang w:eastAsia="zh-CN"/>
        </w:rPr>
        <w:t>er</w:t>
      </w:r>
      <w:r w:rsidRPr="006C2910">
        <w:rPr>
          <w:rFonts w:eastAsiaTheme="minorHAnsi"/>
          <w:sz w:val="20"/>
          <w:lang w:eastAsia="ar-SA"/>
        </w:rPr>
        <w:t xml:space="preserve"> is cooled in time.</w:t>
      </w:r>
      <w:r>
        <w:rPr>
          <w:rFonts w:hint="eastAsia"/>
          <w:sz w:val="20"/>
          <w:lang w:eastAsia="zh-CN"/>
        </w:rPr>
        <w:t xml:space="preserve"> </w:t>
      </w:r>
      <w:r w:rsidR="001F1FCC" w:rsidRPr="001F1FCC">
        <w:rPr>
          <w:sz w:val="20"/>
          <w:lang w:eastAsia="zh-CN"/>
        </w:rPr>
        <w:t xml:space="preserve">The experimental data in the </w:t>
      </w:r>
      <w:r w:rsidR="001F1FCC">
        <w:rPr>
          <w:rFonts w:hint="eastAsia"/>
          <w:sz w:val="20"/>
          <w:lang w:eastAsia="zh-CN"/>
        </w:rPr>
        <w:t>FIG.15</w:t>
      </w:r>
      <w:r w:rsidR="001F1FCC" w:rsidRPr="001F1FCC">
        <w:rPr>
          <w:sz w:val="20"/>
          <w:lang w:eastAsia="zh-CN"/>
        </w:rPr>
        <w:t xml:space="preserve"> is the measured data of the sensor. After calculation, </w:t>
      </w:r>
      <w:r w:rsidR="004010A6">
        <w:rPr>
          <w:rFonts w:hint="eastAsia"/>
          <w:sz w:val="20"/>
          <w:lang w:eastAsia="zh-CN"/>
        </w:rPr>
        <w:t>1</w:t>
      </w:r>
      <w:r w:rsidR="001F1FCC" w:rsidRPr="001F1FCC">
        <w:rPr>
          <w:sz w:val="20"/>
          <w:lang w:eastAsia="zh-CN"/>
        </w:rPr>
        <w:t>.</w:t>
      </w:r>
      <w:r w:rsidR="004010A6">
        <w:rPr>
          <w:rFonts w:hint="eastAsia"/>
          <w:sz w:val="20"/>
          <w:lang w:eastAsia="zh-CN"/>
        </w:rPr>
        <w:t>18</w:t>
      </w:r>
      <w:r w:rsidR="001F1FCC" w:rsidRPr="001F1FCC">
        <w:rPr>
          <w:sz w:val="20"/>
          <w:lang w:eastAsia="zh-CN"/>
        </w:rPr>
        <w:t>% of the measurement error is within the allowable error range</w:t>
      </w:r>
      <w:r w:rsidR="004010A6">
        <w:rPr>
          <w:rFonts w:hint="eastAsia"/>
          <w:sz w:val="20"/>
          <w:lang w:eastAsia="zh-CN"/>
        </w:rPr>
        <w:t xml:space="preserve"> and output d</w:t>
      </w:r>
      <w:r w:rsidR="004010A6" w:rsidRPr="004010A6">
        <w:rPr>
          <w:sz w:val="20"/>
          <w:lang w:eastAsia="zh-CN"/>
        </w:rPr>
        <w:t>eviation</w:t>
      </w:r>
      <w:r w:rsidR="001F1FCC" w:rsidRPr="001F1FCC">
        <w:rPr>
          <w:sz w:val="20"/>
          <w:lang w:eastAsia="zh-CN"/>
        </w:rPr>
        <w:t>.</w:t>
      </w:r>
      <w:r w:rsidR="001F1FCC">
        <w:rPr>
          <w:rFonts w:hint="eastAsia"/>
          <w:sz w:val="20"/>
          <w:lang w:eastAsia="zh-CN"/>
        </w:rPr>
        <w:t xml:space="preserve"> </w:t>
      </w:r>
      <w:r w:rsidRPr="006C2910">
        <w:rPr>
          <w:rFonts w:eastAsiaTheme="minorHAnsi"/>
          <w:sz w:val="20"/>
          <w:lang w:eastAsia="ar-SA"/>
        </w:rPr>
        <w:t>The whole power-on test verifies the output performance of CSMC power supply system under large inductive load.</w:t>
      </w:r>
    </w:p>
    <w:p w14:paraId="5B5A7F85" w14:textId="77777777" w:rsidR="00285755" w:rsidRPr="00F81411" w:rsidRDefault="00285755" w:rsidP="00537496">
      <w:pPr>
        <w:pStyle w:val="Otherunnumberedheadings"/>
      </w:pPr>
      <w:r w:rsidRPr="00F81411">
        <w:t>ACKNOWLEDGEMENTS</w:t>
      </w:r>
    </w:p>
    <w:p w14:paraId="50D4A337" w14:textId="636AC2A6" w:rsidR="003F3936" w:rsidRDefault="003F3936" w:rsidP="00477B19">
      <w:pPr>
        <w:overflowPunct/>
        <w:autoSpaceDE/>
        <w:autoSpaceDN/>
        <w:adjustRightInd/>
        <w:spacing w:after="260"/>
        <w:jc w:val="both"/>
        <w:textAlignment w:val="auto"/>
        <w:rPr>
          <w:sz w:val="20"/>
          <w:lang w:eastAsia="zh-CN"/>
        </w:rPr>
      </w:pPr>
      <w:r w:rsidRPr="003F3936">
        <w:rPr>
          <w:rFonts w:eastAsiaTheme="minorHAnsi"/>
          <w:sz w:val="20"/>
          <w:lang w:eastAsia="ar-SA"/>
        </w:rPr>
        <w:t>This work was supported by the Comprehensive Research Facility for Fusion Technology Program of China (No. 2018-0000527301001228), Open Fund of Magnetic Confinement Fusion Laboratory of Anhui Province (No. 2024AMF04003) and Natural Science Foundation of Anhui Province (228085ME142).</w:t>
      </w:r>
    </w:p>
    <w:p w14:paraId="1EDB0AF0" w14:textId="77777777" w:rsidR="00D26ADA" w:rsidRPr="00F81411" w:rsidRDefault="00D26ADA" w:rsidP="00537496">
      <w:pPr>
        <w:pStyle w:val="Otherunnumberedheadings"/>
      </w:pPr>
      <w:r w:rsidRPr="00F81411">
        <w:t>References</w:t>
      </w:r>
    </w:p>
    <w:p w14:paraId="4E9CB887" w14:textId="2B892025" w:rsidR="00686313" w:rsidRDefault="00686313" w:rsidP="00686313">
      <w:pPr>
        <w:pStyle w:val="Referencelist"/>
        <w:ind w:left="360"/>
      </w:pPr>
      <w:r w:rsidRPr="00686313">
        <w:rPr>
          <w:lang w:val="es-ES"/>
        </w:rPr>
        <w:t xml:space="preserve">Kamada, Y; Di Pietro, E; Hanada, M, et al. </w:t>
      </w:r>
      <w:r>
        <w:t>Completion of JT-60SA construction and contribution to ITER [J]. Nuclear Fusion, 2022, 62(4): 42002.</w:t>
      </w:r>
    </w:p>
    <w:p w14:paraId="6D5FEE27" w14:textId="6475C841" w:rsidR="00686313" w:rsidRDefault="00686313" w:rsidP="00686313">
      <w:pPr>
        <w:pStyle w:val="Referencelist"/>
        <w:ind w:left="360"/>
      </w:pPr>
      <w:r>
        <w:t xml:space="preserve">Shimomura Y, Shimizu K, Hirayama T, et al. JT-60 </w:t>
      </w:r>
      <w:proofErr w:type="gramStart"/>
      <w:r>
        <w:t>program</w:t>
      </w:r>
      <w:proofErr w:type="gramEnd"/>
      <w:r>
        <w:t xml:space="preserve"> [J]. Journal of Nuclear Materials, 1984,128:19-25.</w:t>
      </w:r>
    </w:p>
    <w:p w14:paraId="14404994" w14:textId="62BB030F" w:rsidR="00686313" w:rsidRDefault="00686313" w:rsidP="00686313">
      <w:pPr>
        <w:pStyle w:val="Referencelist"/>
        <w:ind w:left="360"/>
      </w:pPr>
      <w:r>
        <w:t>Kikuchi M. The large Tokamak JT-60: a history of the fight to achieve the Japanese fusion research mission I. The European Physical Journal H, 2018,43(4):551-577.</w:t>
      </w:r>
    </w:p>
    <w:p w14:paraId="01536C8A" w14:textId="1A395B0F" w:rsidR="00686313" w:rsidRDefault="00686313" w:rsidP="00686313">
      <w:pPr>
        <w:pStyle w:val="Referencelist"/>
        <w:ind w:left="360"/>
      </w:pPr>
      <w:r>
        <w:t>Lennholm M, Budd T, Felton R. Plasma control at JET. Fusion Engineering&amp; Design, 2000, 48(1/2):37-45.</w:t>
      </w:r>
    </w:p>
    <w:p w14:paraId="78779F54" w14:textId="00B42059" w:rsidR="00686313" w:rsidRDefault="00686313" w:rsidP="00686313">
      <w:pPr>
        <w:pStyle w:val="Referencelist"/>
        <w:ind w:left="360"/>
      </w:pPr>
      <w:r>
        <w:t>Matsukawa M, Shimada K, Yamauchi K, et al. A Conceptual Design Study for the Error Field Correction Coil Power Supply in JT-60SA [J]. Plasma Science and Technology, 2013,15(03): 257-260.</w:t>
      </w:r>
    </w:p>
    <w:p w14:paraId="2028585F" w14:textId="2F794A82" w:rsidR="00686313" w:rsidRDefault="00686313" w:rsidP="00686313">
      <w:pPr>
        <w:pStyle w:val="Referencelist"/>
        <w:ind w:left="360"/>
      </w:pPr>
      <w:r w:rsidRPr="00686313">
        <w:rPr>
          <w:lang w:val="fr-FR"/>
        </w:rPr>
        <w:t xml:space="preserve">Kwon M , Oh Y K , Yang H L ,et al. </w:t>
      </w:r>
      <w:r>
        <w:t>Overview of KSTAR initial operation[J]. Nuclear Fusion, 2018, 51(9):94006-94017.</w:t>
      </w:r>
    </w:p>
    <w:p w14:paraId="46D30775" w14:textId="59A97813" w:rsidR="00686313" w:rsidRDefault="00686313" w:rsidP="00686313">
      <w:pPr>
        <w:pStyle w:val="Referencelist"/>
        <w:ind w:left="360"/>
      </w:pPr>
      <w:r w:rsidRPr="00686313">
        <w:rPr>
          <w:lang w:val="es-ES"/>
        </w:rPr>
        <w:t xml:space="preserve">Shimada K, Baulaigue O, Cara P,et al. </w:t>
      </w:r>
      <w:r>
        <w:t>Design study of an AC power supply system in JT-60SA[J]. Fusion Engineering and Design, 2011, 86(6):1427-1431.</w:t>
      </w:r>
    </w:p>
    <w:p w14:paraId="28D1F044" w14:textId="5CAC2B0B" w:rsidR="00686313" w:rsidRDefault="00686313" w:rsidP="00686313">
      <w:pPr>
        <w:pStyle w:val="Referencelist"/>
        <w:ind w:left="360"/>
      </w:pPr>
      <w:r>
        <w:t>Choi J H, Ahn H S, Lee D K, et al. Current control method of thyristor converter for PF superconducting coil in KSTAR. Fusion Engineering and Design, 2012 87(11):1828-1833.</w:t>
      </w:r>
    </w:p>
    <w:p w14:paraId="18FB3599" w14:textId="63275D4D" w:rsidR="00686313" w:rsidRDefault="00686313" w:rsidP="00686313">
      <w:pPr>
        <w:pStyle w:val="Referencelist"/>
        <w:ind w:left="360"/>
      </w:pPr>
      <w:r>
        <w:t>Perrault D. Status of ITER Safety Issues [J]. Fusion Science and Technology.2019,75(5):1-6.</w:t>
      </w:r>
    </w:p>
    <w:p w14:paraId="784400B3" w14:textId="02A9AD58" w:rsidR="00686313" w:rsidRDefault="00686313" w:rsidP="00686313">
      <w:pPr>
        <w:pStyle w:val="Referencelist"/>
        <w:ind w:left="360"/>
      </w:pPr>
      <w:r>
        <w:t xml:space="preserve">Aymar R, </w:t>
      </w:r>
      <w:proofErr w:type="spellStart"/>
      <w:r>
        <w:t>Barabaschi</w:t>
      </w:r>
      <w:proofErr w:type="spellEnd"/>
      <w:r>
        <w:t xml:space="preserve"> P, Shimomura Y, The ITER design [J]. Plasma Physics and Controlled Fusion,2002,44(5):519-565.</w:t>
      </w:r>
    </w:p>
    <w:p w14:paraId="63DBD63A" w14:textId="5058A8B7" w:rsidR="00686313" w:rsidRDefault="00686313" w:rsidP="00686313">
      <w:pPr>
        <w:pStyle w:val="Referencelist"/>
        <w:ind w:left="360"/>
      </w:pPr>
      <w:r w:rsidRPr="00686313">
        <w:rPr>
          <w:lang w:val="fr-FR"/>
        </w:rPr>
        <w:t xml:space="preserve">Liu L, Zheng W, Zhang X, et al. </w:t>
      </w:r>
      <w:r>
        <w:t>Design of power and phase feedback control system for ion cyclotron resonance heating in the Experimental Advanced Superconducting Tokamak [J]. Nuclear Engineering and Technology,2024,56(1):216-221.</w:t>
      </w:r>
    </w:p>
    <w:p w14:paraId="1403BD2A" w14:textId="79F31C97" w:rsidR="00F45EEE" w:rsidRPr="00F81411" w:rsidRDefault="00686313" w:rsidP="00686313">
      <w:pPr>
        <w:pStyle w:val="Referencelist"/>
        <w:ind w:left="360"/>
      </w:pPr>
      <w:r>
        <w:t>Song Y, Wu W, Du S. Tokamak engineering mechanics[M]. Berlin: Springer,2014.</w:t>
      </w:r>
    </w:p>
    <w:sectPr w:rsidR="00F45EEE" w:rsidRPr="00F81411" w:rsidSect="0026525A">
      <w:headerReference w:type="even" r:id="rId70"/>
      <w:headerReference w:type="default" r:id="rId71"/>
      <w:footerReference w:type="even" r:id="rId72"/>
      <w:footerReference w:type="default" r:id="rId73"/>
      <w:headerReference w:type="first" r:id="rId74"/>
      <w:footerReference w:type="first" r:id="rId7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D89A8" w14:textId="77777777" w:rsidR="0092498B" w:rsidRDefault="0092498B">
      <w:r>
        <w:separator/>
      </w:r>
    </w:p>
  </w:endnote>
  <w:endnote w:type="continuationSeparator" w:id="0">
    <w:p w14:paraId="290DDAC9" w14:textId="77777777" w:rsidR="0092498B" w:rsidRDefault="00924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B13C8" w14:textId="081DA0D4" w:rsidR="00E20E70" w:rsidRDefault="00E20E70">
    <w:pPr>
      <w:pStyle w:val="zyxClassification1"/>
    </w:pPr>
    <w:r>
      <w:fldChar w:fldCharType="begin"/>
    </w:r>
    <w:r>
      <w:instrText xml:space="preserve"> DOCPROPERTY "IaeaClassification"  \* MERGEFORMAT </w:instrText>
    </w:r>
    <w:r>
      <w:fldChar w:fldCharType="end"/>
    </w:r>
  </w:p>
  <w:p w14:paraId="0A52B72D" w14:textId="2FEFD5B2"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521FB" w14:textId="75288EF2" w:rsidR="00E20E70" w:rsidRDefault="00E20E70">
    <w:pPr>
      <w:pStyle w:val="zyxClassification1"/>
    </w:pPr>
    <w:r>
      <w:fldChar w:fldCharType="begin"/>
    </w:r>
    <w:r>
      <w:instrText xml:space="preserve"> DOCPROPERTY "IaeaClassification"  \* MERGEFORMAT </w:instrText>
    </w:r>
    <w:r>
      <w:fldChar w:fldCharType="end"/>
    </w:r>
  </w:p>
  <w:p w14:paraId="1C255CCC" w14:textId="2AD0CD40"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F81411">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465049A" w14:textId="77777777">
      <w:trPr>
        <w:cantSplit/>
      </w:trPr>
      <w:tc>
        <w:tcPr>
          <w:tcW w:w="4644" w:type="dxa"/>
        </w:tcPr>
        <w:p w14:paraId="6465D6C2" w14:textId="760D0AEC"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1ECBB1A" w14:textId="705D69DD"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 w:name="DOC_bkmClassification2"/>
      <w:tc>
        <w:tcPr>
          <w:tcW w:w="5670" w:type="dxa"/>
          <w:tcMar>
            <w:right w:w="249" w:type="dxa"/>
          </w:tcMar>
        </w:tcPr>
        <w:p w14:paraId="61D29A20" w14:textId="570C085E"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676FBAFA" w14:textId="68A303A4"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14:paraId="726E647B" w14:textId="486D5C9F" w:rsidR="00E20E70" w:rsidRDefault="00E20E70">
    <w:r>
      <w:rPr>
        <w:sz w:val="16"/>
      </w:rPr>
      <w:fldChar w:fldCharType="begin"/>
    </w:r>
    <w:r>
      <w:rPr>
        <w:sz w:val="16"/>
      </w:rPr>
      <w:instrText xml:space="preserve"> FILENAME \* MERGEFORMAT </w:instrText>
    </w:r>
    <w:r>
      <w:rPr>
        <w:sz w:val="16"/>
      </w:rPr>
      <w:fldChar w:fldCharType="separate"/>
    </w:r>
    <w:r w:rsidR="002E30E8">
      <w:rPr>
        <w:noProof/>
        <w:sz w:val="16"/>
      </w:rPr>
      <w:t>Manuscript_FEC 2025(Preprint version) .docx</w:t>
    </w:r>
    <w:r>
      <w:rPr>
        <w:sz w:val="16"/>
      </w:rP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FB473" w14:textId="77777777" w:rsidR="0092498B" w:rsidRDefault="0092498B">
      <w:r>
        <w:t>___________________________________________________________________________</w:t>
      </w:r>
    </w:p>
  </w:footnote>
  <w:footnote w:type="continuationSeparator" w:id="0">
    <w:p w14:paraId="0429221D" w14:textId="77777777" w:rsidR="0092498B" w:rsidRDefault="0092498B">
      <w:r>
        <w:t>___________________________________________________________________________</w:t>
      </w:r>
    </w:p>
  </w:footnote>
  <w:footnote w:type="continuationNotice" w:id="1">
    <w:p w14:paraId="79BF837F" w14:textId="77777777" w:rsidR="0092498B" w:rsidRDefault="009249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38CD2" w14:textId="50FBAF56" w:rsidR="00CF7AF3" w:rsidRDefault="00CF7AF3" w:rsidP="00CF7AF3">
    <w:pPr>
      <w:pStyle w:val="Runninghead"/>
      <w:rPr>
        <w:rFonts w:hint="eastAsia"/>
        <w:lang w:eastAsia="zh-CN"/>
      </w:rPr>
    </w:pPr>
    <w:r>
      <w:tab/>
    </w:r>
    <w:r w:rsidR="00F81427" w:rsidRPr="00F81427">
      <w:t>IAEA-CN-316/</w:t>
    </w:r>
    <w:r w:rsidR="00450F0D">
      <w:rPr>
        <w:rFonts w:hint="eastAsia"/>
        <w:lang w:eastAsia="zh-CN"/>
      </w:rPr>
      <w:t>P</w:t>
    </w:r>
    <w:r w:rsidR="00450F0D" w:rsidRPr="00450F0D">
      <w:rPr>
        <w:lang w:eastAsia="zh-CN"/>
      </w:rPr>
      <w:t>reprint</w:t>
    </w:r>
    <w:r w:rsidR="00450F0D">
      <w:rPr>
        <w:rFonts w:hint="eastAsia"/>
        <w:lang w:eastAsia="zh-CN"/>
      </w:rPr>
      <w:t xml:space="preserve"> version</w:t>
    </w:r>
  </w:p>
  <w:p w14:paraId="7ABE22D0"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B4A6D30" w14:textId="65EED5AC"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214BAC5F" w14:textId="00561D64"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C28EE" w14:textId="052D43ED" w:rsidR="00037321" w:rsidRPr="008A17A8" w:rsidRDefault="008A17A8" w:rsidP="008A17A8">
    <w:pPr>
      <w:pStyle w:val="Runninghead"/>
      <w:rPr>
        <w:rFonts w:hint="eastAsia"/>
        <w:lang w:eastAsia="zh-CN"/>
      </w:rPr>
    </w:pPr>
    <w:r>
      <w:rPr>
        <w:rFonts w:hint="eastAsia"/>
        <w:lang w:eastAsia="zh-CN"/>
      </w:rPr>
      <w:t>Hong Lei</w:t>
    </w:r>
    <w:r w:rsidR="00D3792B">
      <w:rPr>
        <w:rFonts w:hint="eastAsia"/>
        <w:lang w:eastAsia="zh-CN"/>
      </w:rPr>
      <w:t xml:space="preserve">, Guang Yang </w:t>
    </w:r>
    <w:r w:rsidR="00AC5A3A">
      <w:t xml:space="preserve">and </w:t>
    </w:r>
    <w:r>
      <w:rPr>
        <w:rFonts w:hint="eastAsia"/>
        <w:lang w:eastAsia="zh-CN"/>
      </w:rPr>
      <w:t>Li Jiang, et.al.</w:t>
    </w:r>
    <w:r w:rsidR="00450F0D">
      <w:rPr>
        <w:rFonts w:hint="eastAsia"/>
        <w:lang w:eastAsia="zh-CN"/>
      </w:rPr>
      <w:t xml:space="preserve">   (P</w:t>
    </w:r>
    <w:r w:rsidR="00450F0D" w:rsidRPr="00450F0D">
      <w:rPr>
        <w:lang w:eastAsia="zh-CN"/>
      </w:rPr>
      <w:t>reprint</w:t>
    </w:r>
    <w:r w:rsidR="00450F0D">
      <w:rPr>
        <w:rFonts w:hint="eastAsia"/>
        <w:lang w:eastAsia="zh-CN"/>
      </w:rPr>
      <w:t xml:space="preserve"> version)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5DBD8CF3" w14:textId="77777777">
      <w:trPr>
        <w:cantSplit/>
        <w:trHeight w:val="716"/>
      </w:trPr>
      <w:tc>
        <w:tcPr>
          <w:tcW w:w="979" w:type="dxa"/>
          <w:vMerge w:val="restart"/>
        </w:tcPr>
        <w:p w14:paraId="3B1AD97B" w14:textId="77777777" w:rsidR="00E20E70" w:rsidRDefault="00E20E70">
          <w:pPr>
            <w:spacing w:before="180"/>
            <w:ind w:left="17"/>
          </w:pPr>
        </w:p>
      </w:tc>
      <w:tc>
        <w:tcPr>
          <w:tcW w:w="3638" w:type="dxa"/>
          <w:vAlign w:val="bottom"/>
        </w:tcPr>
        <w:p w14:paraId="101610DD" w14:textId="77777777" w:rsidR="00E20E70" w:rsidRDefault="00E20E70">
          <w:pPr>
            <w:spacing w:after="20"/>
          </w:pPr>
        </w:p>
      </w:tc>
      <w:bookmarkStart w:id="3" w:name="DOC_bkmClassification1"/>
      <w:tc>
        <w:tcPr>
          <w:tcW w:w="5702" w:type="dxa"/>
          <w:vMerge w:val="restart"/>
          <w:tcMar>
            <w:right w:w="193" w:type="dxa"/>
          </w:tcMar>
        </w:tcPr>
        <w:p w14:paraId="3991A535" w14:textId="7F27A772"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237BC191" w14:textId="50F1F333" w:rsidR="00E20E70" w:rsidRDefault="00E20E70">
          <w:pPr>
            <w:pStyle w:val="zyxConfid2Red"/>
          </w:pPr>
          <w:r>
            <w:fldChar w:fldCharType="begin"/>
          </w:r>
          <w:r>
            <w:instrText>DOCPROPERTY "IaeaClassification2"  \* MERGEFORMAT</w:instrText>
          </w:r>
          <w:r>
            <w:fldChar w:fldCharType="end"/>
          </w:r>
        </w:p>
      </w:tc>
    </w:tr>
    <w:tr w:rsidR="00E20E70" w14:paraId="2A83CB65" w14:textId="77777777">
      <w:trPr>
        <w:cantSplit/>
        <w:trHeight w:val="167"/>
      </w:trPr>
      <w:tc>
        <w:tcPr>
          <w:tcW w:w="979" w:type="dxa"/>
          <w:vMerge/>
        </w:tcPr>
        <w:p w14:paraId="4BD525BC" w14:textId="77777777" w:rsidR="00E20E70" w:rsidRDefault="00E20E70">
          <w:pPr>
            <w:spacing w:before="57"/>
          </w:pPr>
        </w:p>
      </w:tc>
      <w:tc>
        <w:tcPr>
          <w:tcW w:w="3638" w:type="dxa"/>
          <w:vAlign w:val="bottom"/>
        </w:tcPr>
        <w:p w14:paraId="4B1586DF" w14:textId="77777777" w:rsidR="00E20E70" w:rsidRDefault="00E20E70">
          <w:pPr>
            <w:pStyle w:val="9"/>
            <w:spacing w:before="0" w:after="10"/>
          </w:pPr>
        </w:p>
      </w:tc>
      <w:tc>
        <w:tcPr>
          <w:tcW w:w="5702" w:type="dxa"/>
          <w:vMerge/>
          <w:vAlign w:val="bottom"/>
        </w:tcPr>
        <w:p w14:paraId="13E3F03B" w14:textId="77777777" w:rsidR="00E20E70" w:rsidRDefault="00E20E70">
          <w:pPr>
            <w:pStyle w:val="9"/>
            <w:spacing w:before="0" w:after="10"/>
          </w:pPr>
        </w:p>
      </w:tc>
    </w:tr>
  </w:tbl>
  <w:p w14:paraId="1D1EB1DE"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1B6AD5A"/>
    <w:lvl w:ilvl="0">
      <w:numFmt w:val="decimal"/>
      <w:lvlText w:val="*"/>
      <w:lvlJc w:val="left"/>
    </w:lvl>
  </w:abstractNum>
  <w:abstractNum w:abstractNumId="1" w15:restartNumberingAfterBreak="0">
    <w:nsid w:val="008A5F37"/>
    <w:multiLevelType w:val="hybridMultilevel"/>
    <w:tmpl w:val="6F885870"/>
    <w:lvl w:ilvl="0" w:tplc="20604E2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1477B0"/>
    <w:multiLevelType w:val="hybridMultilevel"/>
    <w:tmpl w:val="961E8A96"/>
    <w:lvl w:ilvl="0" w:tplc="E2709272">
      <w:start w:val="1"/>
      <w:numFmt w:val="lowerLetter"/>
      <w:lvlText w:val="(%1)"/>
      <w:lvlJc w:val="left"/>
      <w:pPr>
        <w:ind w:left="927" w:hanging="360"/>
      </w:pPr>
      <w:rPr>
        <w:rFonts w:hint="default"/>
      </w:rPr>
    </w:lvl>
    <w:lvl w:ilvl="1" w:tplc="04090019" w:tentative="1">
      <w:start w:val="1"/>
      <w:numFmt w:val="lowerLetter"/>
      <w:lvlText w:val="%2)"/>
      <w:lvlJc w:val="left"/>
      <w:pPr>
        <w:ind w:left="1447" w:hanging="440"/>
      </w:pPr>
    </w:lvl>
    <w:lvl w:ilvl="2" w:tplc="0409001B" w:tentative="1">
      <w:start w:val="1"/>
      <w:numFmt w:val="lowerRoman"/>
      <w:lvlText w:val="%3."/>
      <w:lvlJc w:val="right"/>
      <w:pPr>
        <w:ind w:left="1887" w:hanging="440"/>
      </w:pPr>
    </w:lvl>
    <w:lvl w:ilvl="3" w:tplc="0409000F" w:tentative="1">
      <w:start w:val="1"/>
      <w:numFmt w:val="decimal"/>
      <w:lvlText w:val="%4."/>
      <w:lvlJc w:val="left"/>
      <w:pPr>
        <w:ind w:left="2327" w:hanging="440"/>
      </w:pPr>
    </w:lvl>
    <w:lvl w:ilvl="4" w:tplc="04090019" w:tentative="1">
      <w:start w:val="1"/>
      <w:numFmt w:val="lowerLetter"/>
      <w:lvlText w:val="%5)"/>
      <w:lvlJc w:val="left"/>
      <w:pPr>
        <w:ind w:left="2767" w:hanging="440"/>
      </w:pPr>
    </w:lvl>
    <w:lvl w:ilvl="5" w:tplc="0409001B" w:tentative="1">
      <w:start w:val="1"/>
      <w:numFmt w:val="lowerRoman"/>
      <w:lvlText w:val="%6."/>
      <w:lvlJc w:val="right"/>
      <w:pPr>
        <w:ind w:left="3207" w:hanging="440"/>
      </w:pPr>
    </w:lvl>
    <w:lvl w:ilvl="6" w:tplc="0409000F" w:tentative="1">
      <w:start w:val="1"/>
      <w:numFmt w:val="decimal"/>
      <w:lvlText w:val="%7."/>
      <w:lvlJc w:val="left"/>
      <w:pPr>
        <w:ind w:left="3647" w:hanging="440"/>
      </w:pPr>
    </w:lvl>
    <w:lvl w:ilvl="7" w:tplc="04090019" w:tentative="1">
      <w:start w:val="1"/>
      <w:numFmt w:val="lowerLetter"/>
      <w:lvlText w:val="%8)"/>
      <w:lvlJc w:val="left"/>
      <w:pPr>
        <w:ind w:left="4087" w:hanging="440"/>
      </w:pPr>
    </w:lvl>
    <w:lvl w:ilvl="8" w:tplc="0409001B" w:tentative="1">
      <w:start w:val="1"/>
      <w:numFmt w:val="lowerRoman"/>
      <w:lvlText w:val="%9."/>
      <w:lvlJc w:val="right"/>
      <w:pPr>
        <w:ind w:left="4527" w:hanging="44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42007DB"/>
    <w:multiLevelType w:val="hybridMultilevel"/>
    <w:tmpl w:val="2AEADC06"/>
    <w:lvl w:ilvl="0" w:tplc="38243434">
      <w:start w:val="1"/>
      <w:numFmt w:val="lowerLetter"/>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909531002">
    <w:abstractNumId w:val="10"/>
  </w:num>
  <w:num w:numId="2" w16cid:durableId="286934224">
    <w:abstractNumId w:val="6"/>
  </w:num>
  <w:num w:numId="3" w16cid:durableId="116993843">
    <w:abstractNumId w:val="14"/>
  </w:num>
  <w:num w:numId="4" w16cid:durableId="305401690">
    <w:abstractNumId w:val="14"/>
  </w:num>
  <w:num w:numId="5" w16cid:durableId="1859076257">
    <w:abstractNumId w:val="14"/>
  </w:num>
  <w:num w:numId="6" w16cid:durableId="17240454">
    <w:abstractNumId w:val="7"/>
  </w:num>
  <w:num w:numId="7" w16cid:durableId="1389574303">
    <w:abstractNumId w:val="12"/>
  </w:num>
  <w:num w:numId="8" w16cid:durableId="1405757054">
    <w:abstractNumId w:val="15"/>
  </w:num>
  <w:num w:numId="9" w16cid:durableId="649139076">
    <w:abstractNumId w:val="3"/>
  </w:num>
  <w:num w:numId="10" w16cid:durableId="296954234">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543440678">
    <w:abstractNumId w:val="14"/>
  </w:num>
  <w:num w:numId="12" w16cid:durableId="666445822">
    <w:abstractNumId w:val="14"/>
  </w:num>
  <w:num w:numId="13" w16cid:durableId="1833596722">
    <w:abstractNumId w:val="14"/>
  </w:num>
  <w:num w:numId="14" w16cid:durableId="541795708">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240939447">
    <w:abstractNumId w:val="14"/>
  </w:num>
  <w:num w:numId="16" w16cid:durableId="1162694392">
    <w:abstractNumId w:val="14"/>
  </w:num>
  <w:num w:numId="17" w16cid:durableId="466820932">
    <w:abstractNumId w:val="14"/>
  </w:num>
  <w:num w:numId="18" w16cid:durableId="16397284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601053">
    <w:abstractNumId w:val="14"/>
  </w:num>
  <w:num w:numId="20" w16cid:durableId="477068770">
    <w:abstractNumId w:val="4"/>
  </w:num>
  <w:num w:numId="21" w16cid:durableId="994722602">
    <w:abstractNumId w:val="14"/>
  </w:num>
  <w:num w:numId="22" w16cid:durableId="1933392917">
    <w:abstractNumId w:val="5"/>
  </w:num>
  <w:num w:numId="23" w16cid:durableId="1320769046">
    <w:abstractNumId w:val="2"/>
  </w:num>
  <w:num w:numId="24" w16cid:durableId="1074595588">
    <w:abstractNumId w:val="13"/>
  </w:num>
  <w:num w:numId="25" w16cid:durableId="2006278636">
    <w:abstractNumId w:val="14"/>
  </w:num>
  <w:num w:numId="26" w16cid:durableId="708341161">
    <w:abstractNumId w:val="14"/>
  </w:num>
  <w:num w:numId="27" w16cid:durableId="1501582249">
    <w:abstractNumId w:val="14"/>
  </w:num>
  <w:num w:numId="28" w16cid:durableId="2061245322">
    <w:abstractNumId w:val="14"/>
  </w:num>
  <w:num w:numId="29" w16cid:durableId="1279484865">
    <w:abstractNumId w:val="14"/>
  </w:num>
  <w:num w:numId="30" w16cid:durableId="125004724">
    <w:abstractNumId w:val="8"/>
  </w:num>
  <w:num w:numId="31" w16cid:durableId="1644844801">
    <w:abstractNumId w:val="8"/>
  </w:num>
  <w:num w:numId="32" w16cid:durableId="1728455782">
    <w:abstractNumId w:val="14"/>
  </w:num>
  <w:num w:numId="33" w16cid:durableId="207319561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16cid:durableId="1025903591">
    <w:abstractNumId w:val="4"/>
  </w:num>
  <w:num w:numId="35" w16cid:durableId="1825970010">
    <w:abstractNumId w:val="1"/>
  </w:num>
  <w:num w:numId="36" w16cid:durableId="1611668235">
    <w:abstractNumId w:val="11"/>
  </w:num>
  <w:num w:numId="37" w16cid:durableId="1922105392">
    <w:abstractNumId w:val="9"/>
  </w:num>
  <w:num w:numId="38" w16cid:durableId="13672142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11FD"/>
    <w:rsid w:val="00011C41"/>
    <w:rsid w:val="00022116"/>
    <w:rsid w:val="000229AB"/>
    <w:rsid w:val="0002569A"/>
    <w:rsid w:val="000300A7"/>
    <w:rsid w:val="00037321"/>
    <w:rsid w:val="00042E40"/>
    <w:rsid w:val="00076629"/>
    <w:rsid w:val="00082BE8"/>
    <w:rsid w:val="000A0299"/>
    <w:rsid w:val="000A6B62"/>
    <w:rsid w:val="000E7457"/>
    <w:rsid w:val="000F7E94"/>
    <w:rsid w:val="00104493"/>
    <w:rsid w:val="001119D6"/>
    <w:rsid w:val="0012117D"/>
    <w:rsid w:val="00123B2D"/>
    <w:rsid w:val="001308F2"/>
    <w:rsid w:val="001313E8"/>
    <w:rsid w:val="00150F1A"/>
    <w:rsid w:val="00166552"/>
    <w:rsid w:val="00195B61"/>
    <w:rsid w:val="001B2B3C"/>
    <w:rsid w:val="001B68F4"/>
    <w:rsid w:val="001C58F5"/>
    <w:rsid w:val="001D5CEE"/>
    <w:rsid w:val="001E68AE"/>
    <w:rsid w:val="001F1FCC"/>
    <w:rsid w:val="001F49FB"/>
    <w:rsid w:val="002071D9"/>
    <w:rsid w:val="00236AB2"/>
    <w:rsid w:val="002553EE"/>
    <w:rsid w:val="00256822"/>
    <w:rsid w:val="0026525A"/>
    <w:rsid w:val="00274790"/>
    <w:rsid w:val="0028267C"/>
    <w:rsid w:val="00285755"/>
    <w:rsid w:val="002A1F9C"/>
    <w:rsid w:val="002B29C2"/>
    <w:rsid w:val="002C4208"/>
    <w:rsid w:val="002E30E8"/>
    <w:rsid w:val="002F2A9F"/>
    <w:rsid w:val="003122AA"/>
    <w:rsid w:val="00315F2D"/>
    <w:rsid w:val="00330E80"/>
    <w:rsid w:val="00330FC5"/>
    <w:rsid w:val="003339DE"/>
    <w:rsid w:val="003468CC"/>
    <w:rsid w:val="00352DE1"/>
    <w:rsid w:val="003728E6"/>
    <w:rsid w:val="003A3DFE"/>
    <w:rsid w:val="003B3A90"/>
    <w:rsid w:val="003B5E0E"/>
    <w:rsid w:val="003D255A"/>
    <w:rsid w:val="003F3936"/>
    <w:rsid w:val="004010A6"/>
    <w:rsid w:val="004074B9"/>
    <w:rsid w:val="004076E2"/>
    <w:rsid w:val="00416949"/>
    <w:rsid w:val="00417711"/>
    <w:rsid w:val="00420497"/>
    <w:rsid w:val="004370D8"/>
    <w:rsid w:val="00446113"/>
    <w:rsid w:val="0044785A"/>
    <w:rsid w:val="00450F0D"/>
    <w:rsid w:val="004666FC"/>
    <w:rsid w:val="00472854"/>
    <w:rsid w:val="00472C43"/>
    <w:rsid w:val="00477B19"/>
    <w:rsid w:val="004E210F"/>
    <w:rsid w:val="004F1678"/>
    <w:rsid w:val="005118B2"/>
    <w:rsid w:val="005167EF"/>
    <w:rsid w:val="005315FC"/>
    <w:rsid w:val="00536A22"/>
    <w:rsid w:val="00537496"/>
    <w:rsid w:val="00544ED3"/>
    <w:rsid w:val="0057471D"/>
    <w:rsid w:val="0058477B"/>
    <w:rsid w:val="0058654F"/>
    <w:rsid w:val="00596ACA"/>
    <w:rsid w:val="005C1D32"/>
    <w:rsid w:val="005E39BC"/>
    <w:rsid w:val="005F00A0"/>
    <w:rsid w:val="006000B2"/>
    <w:rsid w:val="00616926"/>
    <w:rsid w:val="006460E2"/>
    <w:rsid w:val="00647498"/>
    <w:rsid w:val="00647F33"/>
    <w:rsid w:val="00660934"/>
    <w:rsid w:val="00662532"/>
    <w:rsid w:val="00686313"/>
    <w:rsid w:val="006A3685"/>
    <w:rsid w:val="006B2274"/>
    <w:rsid w:val="006C2910"/>
    <w:rsid w:val="00715122"/>
    <w:rsid w:val="00717C6F"/>
    <w:rsid w:val="007445DA"/>
    <w:rsid w:val="0074669A"/>
    <w:rsid w:val="00765630"/>
    <w:rsid w:val="00772262"/>
    <w:rsid w:val="0078521B"/>
    <w:rsid w:val="007A66E3"/>
    <w:rsid w:val="007B4217"/>
    <w:rsid w:val="007B4FD1"/>
    <w:rsid w:val="00802381"/>
    <w:rsid w:val="00802649"/>
    <w:rsid w:val="008064F8"/>
    <w:rsid w:val="008270D0"/>
    <w:rsid w:val="008768E2"/>
    <w:rsid w:val="00883848"/>
    <w:rsid w:val="00897ED5"/>
    <w:rsid w:val="008A17A8"/>
    <w:rsid w:val="008A519B"/>
    <w:rsid w:val="008A7EEE"/>
    <w:rsid w:val="008B6BB9"/>
    <w:rsid w:val="008C3C89"/>
    <w:rsid w:val="008F4C98"/>
    <w:rsid w:val="00911543"/>
    <w:rsid w:val="0092498B"/>
    <w:rsid w:val="009519C9"/>
    <w:rsid w:val="00970B80"/>
    <w:rsid w:val="009824AA"/>
    <w:rsid w:val="009A3357"/>
    <w:rsid w:val="009B072A"/>
    <w:rsid w:val="009C5268"/>
    <w:rsid w:val="009D0B86"/>
    <w:rsid w:val="009D461F"/>
    <w:rsid w:val="009E0D5B"/>
    <w:rsid w:val="009E1558"/>
    <w:rsid w:val="009F54EC"/>
    <w:rsid w:val="00A42898"/>
    <w:rsid w:val="00A56CF7"/>
    <w:rsid w:val="00A5783E"/>
    <w:rsid w:val="00A964E3"/>
    <w:rsid w:val="00AB6ACE"/>
    <w:rsid w:val="00AC5A3A"/>
    <w:rsid w:val="00AD6563"/>
    <w:rsid w:val="00AE0AE2"/>
    <w:rsid w:val="00B1443F"/>
    <w:rsid w:val="00B23084"/>
    <w:rsid w:val="00B81944"/>
    <w:rsid w:val="00B82FA5"/>
    <w:rsid w:val="00BD1400"/>
    <w:rsid w:val="00BD196C"/>
    <w:rsid w:val="00BD605C"/>
    <w:rsid w:val="00BE2A76"/>
    <w:rsid w:val="00BE60DD"/>
    <w:rsid w:val="00C045D3"/>
    <w:rsid w:val="00C15746"/>
    <w:rsid w:val="00C444B9"/>
    <w:rsid w:val="00C65E60"/>
    <w:rsid w:val="00C73DD9"/>
    <w:rsid w:val="00CE5A52"/>
    <w:rsid w:val="00CF1919"/>
    <w:rsid w:val="00CF7AF3"/>
    <w:rsid w:val="00D26ADA"/>
    <w:rsid w:val="00D35A78"/>
    <w:rsid w:val="00D3792B"/>
    <w:rsid w:val="00D5173B"/>
    <w:rsid w:val="00D555A1"/>
    <w:rsid w:val="00D64DC2"/>
    <w:rsid w:val="00D8519B"/>
    <w:rsid w:val="00DA45D3"/>
    <w:rsid w:val="00DA46CA"/>
    <w:rsid w:val="00DF21EB"/>
    <w:rsid w:val="00E07EAD"/>
    <w:rsid w:val="00E20E70"/>
    <w:rsid w:val="00E25B68"/>
    <w:rsid w:val="00E72BD3"/>
    <w:rsid w:val="00E769AF"/>
    <w:rsid w:val="00E84003"/>
    <w:rsid w:val="00EB3C2F"/>
    <w:rsid w:val="00EC10FC"/>
    <w:rsid w:val="00EE0041"/>
    <w:rsid w:val="00EE29B9"/>
    <w:rsid w:val="00EE6FAA"/>
    <w:rsid w:val="00F004EE"/>
    <w:rsid w:val="00F10ED3"/>
    <w:rsid w:val="00F42E23"/>
    <w:rsid w:val="00F45EEE"/>
    <w:rsid w:val="00F51E9C"/>
    <w:rsid w:val="00F523CA"/>
    <w:rsid w:val="00F55018"/>
    <w:rsid w:val="00F70F80"/>
    <w:rsid w:val="00F74A9D"/>
    <w:rsid w:val="00F81411"/>
    <w:rsid w:val="00F81427"/>
    <w:rsid w:val="00FA27A2"/>
    <w:rsid w:val="00FC3790"/>
    <w:rsid w:val="00FD2137"/>
    <w:rsid w:val="00FE7002"/>
    <w:rsid w:val="00FF386F"/>
    <w:rsid w:val="00FF702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05981A"/>
  <w15:docId w15:val="{1D5323B3-0188-4AAC-A100-D147430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0"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link w:val="10"/>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link w:val="20"/>
    <w:qFormat/>
    <w:rsid w:val="00EE0041"/>
    <w:pPr>
      <w:widowControl w:val="0"/>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页脚 字符"/>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正文文本 字符"/>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批注框文本 字符"/>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character" w:customStyle="1" w:styleId="10">
    <w:name w:val="标题 1 字符"/>
    <w:aliases w:val="Paper title 字符"/>
    <w:basedOn w:val="a2"/>
    <w:link w:val="1"/>
    <w:rsid w:val="00477B19"/>
    <w:rPr>
      <w:rFonts w:ascii="Times New Roman Bold" w:hAnsi="Times New Roman Bold"/>
      <w:b/>
      <w:caps/>
      <w:sz w:val="24"/>
      <w:lang w:val="en-US" w:eastAsia="en-US"/>
    </w:rPr>
  </w:style>
  <w:style w:type="character" w:customStyle="1" w:styleId="20">
    <w:name w:val="标题 2 字符"/>
    <w:aliases w:val="1st level paper heading 字符"/>
    <w:basedOn w:val="a2"/>
    <w:link w:val="2"/>
    <w:rsid w:val="00011C41"/>
    <w:rPr>
      <w:caps/>
      <w:lang w:eastAsia="en-US"/>
    </w:rPr>
  </w:style>
  <w:style w:type="character" w:styleId="af1">
    <w:name w:val="Hyperlink"/>
    <w:basedOn w:val="a2"/>
    <w:uiPriority w:val="49"/>
    <w:unhideWhenUsed/>
    <w:locked/>
    <w:rsid w:val="00EB3C2F"/>
    <w:rPr>
      <w:color w:val="0000FF" w:themeColor="hyperlink"/>
      <w:u w:val="single"/>
    </w:rPr>
  </w:style>
  <w:style w:type="character" w:styleId="af2">
    <w:name w:val="Unresolved Mention"/>
    <w:basedOn w:val="a2"/>
    <w:uiPriority w:val="99"/>
    <w:semiHidden/>
    <w:unhideWhenUsed/>
    <w:rsid w:val="00EB3C2F"/>
    <w:rPr>
      <w:color w:val="605E5C"/>
      <w:shd w:val="clear" w:color="auto" w:fill="E1DFDD"/>
    </w:rPr>
  </w:style>
  <w:style w:type="character" w:styleId="af3">
    <w:name w:val="Placeholder Text"/>
    <w:basedOn w:val="a2"/>
    <w:uiPriority w:val="99"/>
    <w:semiHidden/>
    <w:locked/>
    <w:rsid w:val="00C15746"/>
    <w:rPr>
      <w:color w:val="666666"/>
    </w:rPr>
  </w:style>
  <w:style w:type="paragraph" w:styleId="af4">
    <w:name w:val="List Paragraph"/>
    <w:basedOn w:val="a"/>
    <w:uiPriority w:val="49"/>
    <w:locked/>
    <w:rsid w:val="00536A2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77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0.emf"/><Relationship Id="rId42" Type="http://schemas.openxmlformats.org/officeDocument/2006/relationships/image" Target="media/image24.wmf"/><Relationship Id="rId47" Type="http://schemas.openxmlformats.org/officeDocument/2006/relationships/image" Target="media/image29.wmf"/><Relationship Id="rId63" Type="http://schemas.openxmlformats.org/officeDocument/2006/relationships/image" Target="media/image43.emf"/><Relationship Id="rId68" Type="http://schemas.openxmlformats.org/officeDocument/2006/relationships/image" Target="media/image46.emf"/><Relationship Id="rId16" Type="http://schemas.openxmlformats.org/officeDocument/2006/relationships/image" Target="media/image5.png"/><Relationship Id="rId11" Type="http://schemas.openxmlformats.org/officeDocument/2006/relationships/package" Target="embeddings/Microsoft_Visio_Drawing1.vsdx"/><Relationship Id="rId24" Type="http://schemas.openxmlformats.org/officeDocument/2006/relationships/oleObject" Target="embeddings/oleObject1.bin"/><Relationship Id="rId32" Type="http://schemas.openxmlformats.org/officeDocument/2006/relationships/image" Target="media/image16.wmf"/><Relationship Id="rId37" Type="http://schemas.openxmlformats.org/officeDocument/2006/relationships/image" Target="media/image20.wmf"/><Relationship Id="rId40" Type="http://schemas.openxmlformats.org/officeDocument/2006/relationships/image" Target="media/image22.wmf"/><Relationship Id="rId45" Type="http://schemas.openxmlformats.org/officeDocument/2006/relationships/image" Target="media/image27.wmf"/><Relationship Id="rId53" Type="http://schemas.openxmlformats.org/officeDocument/2006/relationships/oleObject" Target="embeddings/oleObject6.bin"/><Relationship Id="rId58" Type="http://schemas.openxmlformats.org/officeDocument/2006/relationships/image" Target="media/image38.wmf"/><Relationship Id="rId66" Type="http://schemas.openxmlformats.org/officeDocument/2006/relationships/image" Target="media/image45.emf"/><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8.png"/><Relationship Id="rId14" Type="http://schemas.openxmlformats.org/officeDocument/2006/relationships/image" Target="media/image4.emf"/><Relationship Id="rId22" Type="http://schemas.openxmlformats.org/officeDocument/2006/relationships/package" Target="embeddings/Microsoft_Visio_Drawing4.vsdx"/><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image" Target="media/image19.emf"/><Relationship Id="rId43" Type="http://schemas.openxmlformats.org/officeDocument/2006/relationships/image" Target="media/image25.wmf"/><Relationship Id="rId48" Type="http://schemas.openxmlformats.org/officeDocument/2006/relationships/image" Target="media/image30.wmf"/><Relationship Id="rId56" Type="http://schemas.openxmlformats.org/officeDocument/2006/relationships/image" Target="media/image36.emf"/><Relationship Id="rId64" Type="http://schemas.openxmlformats.org/officeDocument/2006/relationships/package" Target="embeddings/Microsoft_Visio_Drawing6.vsdx"/><Relationship Id="rId69" Type="http://schemas.openxmlformats.org/officeDocument/2006/relationships/package" Target="embeddings/Microsoft_Visio_Drawing8.vsdx"/><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3.w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2.wmf"/><Relationship Id="rId33" Type="http://schemas.openxmlformats.org/officeDocument/2006/relationships/image" Target="media/image17.wmf"/><Relationship Id="rId38" Type="http://schemas.openxmlformats.org/officeDocument/2006/relationships/oleObject" Target="embeddings/oleObject5.bin"/><Relationship Id="rId46" Type="http://schemas.openxmlformats.org/officeDocument/2006/relationships/image" Target="media/image28.wmf"/><Relationship Id="rId59" Type="http://schemas.openxmlformats.org/officeDocument/2006/relationships/image" Target="media/image39.wmf"/><Relationship Id="rId67" Type="http://schemas.openxmlformats.org/officeDocument/2006/relationships/package" Target="embeddings/Microsoft_Visio_Drawing7.vsdx"/><Relationship Id="rId20" Type="http://schemas.openxmlformats.org/officeDocument/2006/relationships/image" Target="media/image9.png"/><Relationship Id="rId41" Type="http://schemas.openxmlformats.org/officeDocument/2006/relationships/image" Target="media/image23.wmf"/><Relationship Id="rId54" Type="http://schemas.openxmlformats.org/officeDocument/2006/relationships/image" Target="media/image35.wmf"/><Relationship Id="rId62" Type="http://schemas.openxmlformats.org/officeDocument/2006/relationships/image" Target="media/image42.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package" Target="embeddings/Microsoft_Visio_Drawing5.vsdx"/><Relationship Id="rId49" Type="http://schemas.openxmlformats.org/officeDocument/2006/relationships/image" Target="media/image31.wmf"/><Relationship Id="rId57" Type="http://schemas.openxmlformats.org/officeDocument/2006/relationships/image" Target="media/image37.wmf"/><Relationship Id="rId10" Type="http://schemas.openxmlformats.org/officeDocument/2006/relationships/image" Target="media/image2.emf"/><Relationship Id="rId31" Type="http://schemas.openxmlformats.org/officeDocument/2006/relationships/oleObject" Target="embeddings/oleObject4.bin"/><Relationship Id="rId44" Type="http://schemas.openxmlformats.org/officeDocument/2006/relationships/image" Target="media/image26.wmf"/><Relationship Id="rId52" Type="http://schemas.openxmlformats.org/officeDocument/2006/relationships/image" Target="media/image34.wmf"/><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package" Target="embeddings/Microsoft_Visio_Drawing2.vsdx"/><Relationship Id="rId18" Type="http://schemas.openxmlformats.org/officeDocument/2006/relationships/image" Target="media/image7.emf"/><Relationship Id="rId39" Type="http://schemas.openxmlformats.org/officeDocument/2006/relationships/image" Target="media/image21.wmf"/><Relationship Id="rId34" Type="http://schemas.openxmlformats.org/officeDocument/2006/relationships/image" Target="media/image18.wmf"/><Relationship Id="rId50" Type="http://schemas.openxmlformats.org/officeDocument/2006/relationships/image" Target="media/image32.wmf"/><Relationship Id="rId55" Type="http://schemas.openxmlformats.org/officeDocument/2006/relationships/oleObject" Target="embeddings/oleObject7.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EDAFAA94-CE72-47B0-8750-227A9C230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2</TotalTime>
  <Pages>1</Pages>
  <Words>2572</Words>
  <Characters>14666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红 雷</cp:lastModifiedBy>
  <cp:revision>8</cp:revision>
  <cp:lastPrinted>2025-09-22T07:20:00Z</cp:lastPrinted>
  <dcterms:created xsi:type="dcterms:W3CDTF">2025-09-22T07:19:00Z</dcterms:created>
  <dcterms:modified xsi:type="dcterms:W3CDTF">2025-09-22T07:20:00Z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