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FE57E" w14:textId="1559E182" w:rsidR="00BB281E" w:rsidRDefault="00BB281E" w:rsidP="00BB281E">
      <w:pPr>
        <w:pStyle w:val="1"/>
        <w:rPr>
          <w:rFonts w:hint="eastAsia"/>
        </w:rPr>
      </w:pPr>
      <w:r>
        <w:t>Research on Gaps in Domestic Regulatory</w:t>
      </w:r>
      <w:r>
        <w:rPr>
          <w:rFonts w:hint="eastAsia"/>
          <w:lang w:eastAsia="ko-KR"/>
        </w:rPr>
        <w:t xml:space="preserve"> </w:t>
      </w:r>
      <w:r>
        <w:t>Documentation Based on Security Regulatory Cases</w:t>
      </w:r>
    </w:p>
    <w:p w14:paraId="295DD7F0" w14:textId="77777777" w:rsidR="00BB281E" w:rsidRDefault="00BB281E" w:rsidP="00BB281E">
      <w:pPr>
        <w:pStyle w:val="1"/>
        <w:rPr>
          <w:rFonts w:hint="eastAsia"/>
        </w:rPr>
      </w:pPr>
      <w:r>
        <w:t>of SMRs in Other Countries</w:t>
      </w:r>
    </w:p>
    <w:p w14:paraId="7A489224" w14:textId="78A155A7" w:rsidR="003B5E0E" w:rsidRPr="003B5E0E" w:rsidRDefault="003B5E0E" w:rsidP="00BB281E">
      <w:pPr>
        <w:pStyle w:val="1"/>
        <w:rPr>
          <w:rFonts w:hint="eastAsia"/>
        </w:rPr>
      </w:pPr>
    </w:p>
    <w:p w14:paraId="4D1B799F" w14:textId="77777777" w:rsidR="00802381" w:rsidRDefault="00802381" w:rsidP="00537496">
      <w:pPr>
        <w:pStyle w:val="Authornameandaffiliation"/>
      </w:pPr>
    </w:p>
    <w:p w14:paraId="32159D0F" w14:textId="0223A460" w:rsidR="003B5E0E" w:rsidRDefault="00BB281E" w:rsidP="00537496">
      <w:pPr>
        <w:pStyle w:val="Authornameandaffiliation"/>
        <w:rPr>
          <w:lang w:eastAsia="ko-KR"/>
        </w:rPr>
      </w:pPr>
      <w:r>
        <w:rPr>
          <w:rFonts w:hint="eastAsia"/>
          <w:lang w:eastAsia="ko-KR"/>
        </w:rPr>
        <w:t>S</w:t>
      </w:r>
      <w:r>
        <w:rPr>
          <w:lang w:eastAsia="ko-KR"/>
        </w:rPr>
        <w:t>ubong Lee</w:t>
      </w:r>
    </w:p>
    <w:p w14:paraId="02370931" w14:textId="41134F0D" w:rsidR="00FF386F" w:rsidRDefault="00BB281E" w:rsidP="00537496">
      <w:pPr>
        <w:pStyle w:val="Authornameandaffiliation"/>
      </w:pPr>
      <w:r w:rsidRPr="00BB281E">
        <w:t xml:space="preserve">Korea Institute of Nuclear Nonproliferation </w:t>
      </w:r>
      <w:proofErr w:type="gramStart"/>
      <w:r w:rsidRPr="00BB281E">
        <w:t>And</w:t>
      </w:r>
      <w:proofErr w:type="gramEnd"/>
      <w:r w:rsidRPr="00BB281E">
        <w:t xml:space="preserve"> Control (KINAC)</w:t>
      </w:r>
    </w:p>
    <w:p w14:paraId="14684DE2" w14:textId="44AF3466" w:rsidR="00FF386F" w:rsidRDefault="00BB281E" w:rsidP="00537496">
      <w:pPr>
        <w:pStyle w:val="Authornameandaffiliation"/>
      </w:pPr>
      <w:r>
        <w:t>Daejeon</w:t>
      </w:r>
      <w:r w:rsidR="00FF386F">
        <w:t xml:space="preserve">, </w:t>
      </w:r>
      <w:r>
        <w:t>Republic of Korea</w:t>
      </w:r>
    </w:p>
    <w:p w14:paraId="0080899C" w14:textId="29D02665" w:rsidR="00FF386F" w:rsidRDefault="00FF386F" w:rsidP="00537496">
      <w:pPr>
        <w:pStyle w:val="Authornameandaffiliation"/>
      </w:pPr>
      <w:r>
        <w:t xml:space="preserve">Email: </w:t>
      </w:r>
      <w:hyperlink r:id="rId8" w:history="1">
        <w:r w:rsidR="00BB281E" w:rsidRPr="00E67CF5">
          <w:rPr>
            <w:rStyle w:val="ae"/>
          </w:rPr>
          <w:t>sblee@kinac.re.kr</w:t>
        </w:r>
      </w:hyperlink>
      <w:r w:rsidR="00BB281E">
        <w:t xml:space="preserve"> </w:t>
      </w:r>
    </w:p>
    <w:p w14:paraId="5E2BDA1F" w14:textId="77777777" w:rsidR="00FF386F" w:rsidRDefault="00FF386F" w:rsidP="00537496">
      <w:pPr>
        <w:pStyle w:val="Authornameandaffiliation"/>
      </w:pPr>
    </w:p>
    <w:p w14:paraId="25FC84EB" w14:textId="17BF512F" w:rsidR="00BB281E" w:rsidRPr="00FF386F" w:rsidRDefault="00BB281E" w:rsidP="00BB281E">
      <w:pPr>
        <w:pStyle w:val="Authornameandaffiliation"/>
      </w:pPr>
      <w:proofErr w:type="spellStart"/>
      <w:r>
        <w:t>Kookheui</w:t>
      </w:r>
      <w:proofErr w:type="spellEnd"/>
      <w:r>
        <w:t xml:space="preserve"> Kwon, </w:t>
      </w:r>
      <w:proofErr w:type="spellStart"/>
      <w:r>
        <w:t>Donghyuk</w:t>
      </w:r>
      <w:proofErr w:type="spellEnd"/>
      <w:r>
        <w:t xml:space="preserve"> Lim</w:t>
      </w:r>
    </w:p>
    <w:p w14:paraId="535BB6CC" w14:textId="03999876" w:rsidR="00FF386F" w:rsidRPr="00FF386F" w:rsidRDefault="00BB281E" w:rsidP="00BB281E">
      <w:pPr>
        <w:pStyle w:val="Authornameandaffiliation"/>
      </w:pPr>
      <w:r w:rsidRPr="00BB281E">
        <w:t xml:space="preserve">Korea Institute of Nuclear Nonproliferation </w:t>
      </w:r>
      <w:proofErr w:type="gramStart"/>
      <w:r w:rsidRPr="00BB281E">
        <w:t>And</w:t>
      </w:r>
      <w:proofErr w:type="gramEnd"/>
      <w:r w:rsidRPr="00BB281E">
        <w:t xml:space="preserve"> Control (KINAC)</w:t>
      </w:r>
    </w:p>
    <w:p w14:paraId="26A42E86" w14:textId="77777777" w:rsidR="00BB281E" w:rsidRDefault="00BB281E" w:rsidP="00BB281E">
      <w:pPr>
        <w:pStyle w:val="Authornameandaffiliation"/>
      </w:pPr>
      <w:r>
        <w:t>Daejeon, Republic of Korea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bookmarkStart w:id="0" w:name="_GoBack"/>
      <w:bookmarkEnd w:id="0"/>
    </w:p>
    <w:p w14:paraId="41020445" w14:textId="2348F812" w:rsidR="00982F1C" w:rsidRPr="001B5613" w:rsidRDefault="00982F1C" w:rsidP="00537496">
      <w:pPr>
        <w:pStyle w:val="Abstracttext"/>
        <w:rPr>
          <w:lang w:eastAsia="ko-KR"/>
        </w:rPr>
      </w:pPr>
      <w:r w:rsidRPr="001B5613">
        <w:rPr>
          <w:rFonts w:hint="eastAsia"/>
          <w:lang w:eastAsia="ko-KR"/>
        </w:rPr>
        <w:t>T</w:t>
      </w:r>
      <w:r w:rsidRPr="001B5613">
        <w:rPr>
          <w:lang w:eastAsia="ko-KR"/>
        </w:rPr>
        <w:t xml:space="preserve">his study analyzed the current </w:t>
      </w:r>
      <w:r w:rsidR="000D5144" w:rsidRPr="001B5613">
        <w:rPr>
          <w:lang w:eastAsia="ko-KR"/>
        </w:rPr>
        <w:t xml:space="preserve">SMR </w:t>
      </w:r>
      <w:r w:rsidRPr="001B5613">
        <w:rPr>
          <w:lang w:eastAsia="ko-KR"/>
        </w:rPr>
        <w:t xml:space="preserve">development </w:t>
      </w:r>
      <w:r w:rsidR="000D5144" w:rsidRPr="001B5613">
        <w:rPr>
          <w:lang w:eastAsia="ko-KR"/>
        </w:rPr>
        <w:t>in ROK and international security regulatory frameworks, with a specific focus on developing a strategy for security regulatory documentations of an innovative small modular reactor (</w:t>
      </w:r>
      <w:proofErr w:type="spellStart"/>
      <w:r w:rsidR="000D5144" w:rsidRPr="001B5613">
        <w:rPr>
          <w:lang w:eastAsia="ko-KR"/>
        </w:rPr>
        <w:t>i</w:t>
      </w:r>
      <w:proofErr w:type="spellEnd"/>
      <w:r w:rsidR="000D5144" w:rsidRPr="001B5613">
        <w:rPr>
          <w:lang w:eastAsia="ko-KR"/>
        </w:rPr>
        <w:t xml:space="preserve">-SMR) in ROK. By </w:t>
      </w:r>
      <w:r w:rsidR="001B5613" w:rsidRPr="001B5613">
        <w:rPr>
          <w:lang w:eastAsia="ko-KR"/>
        </w:rPr>
        <w:t>examining cases from key regulatory bodies in countries like the United States (US) and United Kingdom (UK), this study compares ROK and international security regulatory frameworks to identify the most effective strategies for developing security regulatory documentation.</w:t>
      </w:r>
    </w:p>
    <w:p w14:paraId="418AC57B" w14:textId="197BBDC6" w:rsidR="00647F33" w:rsidRPr="00BD605C" w:rsidRDefault="00647F33" w:rsidP="00537496">
      <w:pPr>
        <w:pStyle w:val="Abstracttext"/>
      </w:pPr>
    </w:p>
    <w:p w14:paraId="03C6D75B" w14:textId="77777777" w:rsidR="00647F33" w:rsidRDefault="00F523CA" w:rsidP="00537496">
      <w:pPr>
        <w:pStyle w:val="2"/>
        <w:numPr>
          <w:ilvl w:val="1"/>
          <w:numId w:val="10"/>
        </w:numPr>
      </w:pPr>
      <w:r>
        <w:t>INTRODUCTION</w:t>
      </w:r>
    </w:p>
    <w:p w14:paraId="541AE8F6" w14:textId="63A9639B" w:rsidR="00A330C8" w:rsidRDefault="00C1360B" w:rsidP="004C6ADB">
      <w:pPr>
        <w:pStyle w:val="a1"/>
      </w:pPr>
      <w:r>
        <w:t>Small Modular Reactors (SMRs) are defined as reactors of small to medium size,</w:t>
      </w:r>
      <w:r w:rsidR="00A330C8">
        <w:t xml:space="preserve"> </w:t>
      </w:r>
      <w:r>
        <w:t>producing up to 300 MW(e)</w:t>
      </w:r>
      <w:r w:rsidR="004C6ADB">
        <w:t xml:space="preserve"> </w:t>
      </w:r>
      <w:r>
        <w:t>(small-sized or small modular) or 300 to 700 MW(e)</w:t>
      </w:r>
      <w:r w:rsidR="00A330C8">
        <w:t xml:space="preserve"> </w:t>
      </w:r>
      <w:r>
        <w:t>(medium-sized). More than 80 SMRs are under development</w:t>
      </w:r>
      <w:r w:rsidR="004C6ADB">
        <w:t xml:space="preserve"> </w:t>
      </w:r>
      <w:r>
        <w:t xml:space="preserve">worldwide, such as the US, </w:t>
      </w:r>
      <w:r w:rsidR="004072F9">
        <w:t xml:space="preserve">UK, </w:t>
      </w:r>
      <w:r>
        <w:t>Canada, Russia, China, and others. Under SMR development, nuclear</w:t>
      </w:r>
      <w:r w:rsidR="004C6ADB">
        <w:t xml:space="preserve"> </w:t>
      </w:r>
      <w:r>
        <w:t>regulatory bodies in the U.S., U.K., and Canada have established close cooperation with SMR developers and</w:t>
      </w:r>
      <w:r w:rsidR="004C6ADB">
        <w:t xml:space="preserve"> </w:t>
      </w:r>
      <w:r>
        <w:t xml:space="preserve">are proceeding with the review process. </w:t>
      </w:r>
    </w:p>
    <w:p w14:paraId="6F7EBA36" w14:textId="77777777" w:rsidR="00A330C8" w:rsidRDefault="00C1360B" w:rsidP="00A330C8">
      <w:pPr>
        <w:pStyle w:val="a1"/>
      </w:pPr>
      <w:r>
        <w:t>Currently, the Republic of Korea (ROK) is in the process of developing an innovative Small Modular Reactor</w:t>
      </w:r>
      <w:r w:rsidR="00A330C8">
        <w:t xml:space="preserve"> </w:t>
      </w:r>
      <w:r>
        <w:t>(</w:t>
      </w:r>
      <w:proofErr w:type="spellStart"/>
      <w:r>
        <w:t>i</w:t>
      </w:r>
      <w:proofErr w:type="spellEnd"/>
      <w:r>
        <w:t>-SMR) capable of producing up to 170 MW(e). The major milestones include finalizing the basic design and</w:t>
      </w:r>
      <w:r w:rsidR="00A330C8">
        <w:t xml:space="preserve"> </w:t>
      </w:r>
      <w:r>
        <w:t>standard design by 2026 and obtaining regulatory certification by 2028. Conducting a gap analysis between</w:t>
      </w:r>
      <w:r w:rsidR="00A330C8">
        <w:rPr>
          <w:rFonts w:hint="eastAsia"/>
          <w:lang w:eastAsia="ko-KR"/>
        </w:rPr>
        <w:t xml:space="preserve"> </w:t>
      </w:r>
      <w:r>
        <w:t>domestic regulatory documents and international SMR security-related regulatory frameworks is essential to</w:t>
      </w:r>
      <w:r w:rsidR="00A330C8">
        <w:t xml:space="preserve"> </w:t>
      </w:r>
      <w:r>
        <w:t xml:space="preserve">prepare for the development of </w:t>
      </w:r>
      <w:proofErr w:type="spellStart"/>
      <w:r>
        <w:t>i</w:t>
      </w:r>
      <w:proofErr w:type="spellEnd"/>
      <w:r>
        <w:t>-SMR.</w:t>
      </w:r>
    </w:p>
    <w:p w14:paraId="0D31AC1F" w14:textId="42027A25" w:rsidR="000F4277" w:rsidRDefault="00C1360B" w:rsidP="000F4277">
      <w:pPr>
        <w:pStyle w:val="a1"/>
      </w:pPr>
      <w:r>
        <w:t xml:space="preserve">In this study, firstly, a review of security regulatory documents applicable to </w:t>
      </w:r>
      <w:proofErr w:type="spellStart"/>
      <w:r>
        <w:t>i</w:t>
      </w:r>
      <w:proofErr w:type="spellEnd"/>
      <w:r>
        <w:t>-SMR in the ROK is necessary.</w:t>
      </w:r>
      <w:r w:rsidR="000F4277">
        <w:t xml:space="preserve"> </w:t>
      </w:r>
      <w:r>
        <w:t>Secondly, an analysis of regulatory documents developed and applied for SMR security abroad is required.</w:t>
      </w:r>
      <w:r w:rsidR="000F4277">
        <w:t xml:space="preserve"> </w:t>
      </w:r>
      <w:r>
        <w:t>Then, this study derives a development strategy for security regulatory documents through gap analysis between</w:t>
      </w:r>
      <w:r w:rsidR="000F4277">
        <w:t xml:space="preserve"> </w:t>
      </w:r>
      <w:r>
        <w:t>international and ROK security regulatory documents.</w:t>
      </w:r>
    </w:p>
    <w:p w14:paraId="5C70736E" w14:textId="05FADC99" w:rsidR="00F71D38" w:rsidRDefault="00C53DBD" w:rsidP="00F71D38">
      <w:pPr>
        <w:pStyle w:val="2"/>
        <w:numPr>
          <w:ilvl w:val="1"/>
          <w:numId w:val="10"/>
        </w:numPr>
        <w:rPr>
          <w:lang w:eastAsia="ko-KR"/>
        </w:rPr>
      </w:pPr>
      <w:r w:rsidRPr="00C53DBD">
        <w:rPr>
          <w:lang w:eastAsia="ko-KR"/>
        </w:rPr>
        <w:t xml:space="preserve">Development and Regulation </w:t>
      </w:r>
      <w:r w:rsidR="00036E1F">
        <w:rPr>
          <w:lang w:eastAsia="ko-KR"/>
        </w:rPr>
        <w:t xml:space="preserve">of SMR </w:t>
      </w:r>
      <w:r w:rsidRPr="00C53DBD">
        <w:rPr>
          <w:lang w:eastAsia="ko-KR"/>
        </w:rPr>
        <w:t xml:space="preserve">in </w:t>
      </w:r>
      <w:r w:rsidR="00A420B9">
        <w:rPr>
          <w:lang w:eastAsia="ko-KR"/>
        </w:rPr>
        <w:t>ROK</w:t>
      </w:r>
    </w:p>
    <w:p w14:paraId="3446BF10" w14:textId="341D9FCD" w:rsidR="000F4277" w:rsidRDefault="00150D4A" w:rsidP="000F4277">
      <w:pPr>
        <w:pStyle w:val="3"/>
        <w:rPr>
          <w:lang w:eastAsia="ko-KR"/>
        </w:rPr>
      </w:pPr>
      <w:r>
        <w:rPr>
          <w:lang w:eastAsia="ko-KR"/>
        </w:rPr>
        <w:t xml:space="preserve">Development </w:t>
      </w:r>
      <w:r w:rsidR="003C1FB7">
        <w:rPr>
          <w:rFonts w:hint="eastAsia"/>
          <w:lang w:eastAsia="ko-KR"/>
        </w:rPr>
        <w:t>o</w:t>
      </w:r>
      <w:r w:rsidR="003C1FB7">
        <w:rPr>
          <w:lang w:eastAsia="ko-KR"/>
        </w:rPr>
        <w:t xml:space="preserve">f </w:t>
      </w:r>
      <w:proofErr w:type="spellStart"/>
      <w:r w:rsidR="00730738">
        <w:rPr>
          <w:lang w:eastAsia="ko-KR"/>
        </w:rPr>
        <w:t>i</w:t>
      </w:r>
      <w:proofErr w:type="spellEnd"/>
      <w:r w:rsidR="00730738">
        <w:rPr>
          <w:lang w:eastAsia="ko-KR"/>
        </w:rPr>
        <w:t>-SMR</w:t>
      </w:r>
    </w:p>
    <w:p w14:paraId="19120E67" w14:textId="411A04CC" w:rsidR="0061398E" w:rsidRPr="00DF653D" w:rsidRDefault="0061398E" w:rsidP="00DF653D">
      <w:pPr>
        <w:pStyle w:val="Authornameandaffiliation"/>
        <w:rPr>
          <w:lang w:val="en-GB" w:eastAsia="ko-KR"/>
        </w:rPr>
      </w:pPr>
      <w:r w:rsidRPr="0061398E">
        <w:rPr>
          <w:lang w:val="en-GB" w:eastAsia="ko-KR"/>
        </w:rPr>
        <w:t>In</w:t>
      </w:r>
      <w:r>
        <w:rPr>
          <w:lang w:val="en-GB" w:eastAsia="ko-KR"/>
        </w:rPr>
        <w:t xml:space="preserve"> ROK</w:t>
      </w:r>
      <w:r w:rsidRPr="0061398E">
        <w:rPr>
          <w:lang w:val="en-GB" w:eastAsia="ko-KR"/>
        </w:rPr>
        <w:t xml:space="preserve">, </w:t>
      </w:r>
      <w:r>
        <w:rPr>
          <w:lang w:val="en-GB" w:eastAsia="ko-KR"/>
        </w:rPr>
        <w:t xml:space="preserve">the </w:t>
      </w:r>
      <w:proofErr w:type="spellStart"/>
      <w:r>
        <w:t>i</w:t>
      </w:r>
      <w:proofErr w:type="spellEnd"/>
      <w:r>
        <w:t>-SMR capable of producing up to 170 MW(e)</w:t>
      </w:r>
      <w:r w:rsidRPr="0061398E">
        <w:rPr>
          <w:lang w:val="en-GB" w:eastAsia="ko-KR"/>
        </w:rPr>
        <w:t xml:space="preserve"> has been under development since 2020, and operators, research institutes, designers, and suppliers are participating in the development.</w:t>
      </w:r>
      <w:r w:rsidR="00DF653D">
        <w:rPr>
          <w:lang w:val="en-GB" w:eastAsia="ko-KR"/>
        </w:rPr>
        <w:t xml:space="preserve"> </w:t>
      </w:r>
      <w:r w:rsidR="00DF653D" w:rsidRPr="00DF653D">
        <w:rPr>
          <w:lang w:val="en-GB" w:eastAsia="ko-KR"/>
        </w:rPr>
        <w:t xml:space="preserve">According to the </w:t>
      </w:r>
      <w:r w:rsidR="00DF653D">
        <w:rPr>
          <w:lang w:val="en-GB" w:eastAsia="ko-KR"/>
        </w:rPr>
        <w:t xml:space="preserve">operator’s </w:t>
      </w:r>
      <w:r w:rsidR="00DF653D" w:rsidRPr="00DF653D">
        <w:rPr>
          <w:lang w:val="en-GB" w:eastAsia="ko-KR"/>
        </w:rPr>
        <w:t xml:space="preserve">plans, the major milestones for the development of the </w:t>
      </w:r>
      <w:proofErr w:type="spellStart"/>
      <w:r w:rsidR="00DF653D" w:rsidRPr="00DF653D">
        <w:rPr>
          <w:lang w:val="en-GB" w:eastAsia="ko-KR"/>
        </w:rPr>
        <w:t>i</w:t>
      </w:r>
      <w:proofErr w:type="spellEnd"/>
      <w:r w:rsidR="00DF653D" w:rsidRPr="00DF653D">
        <w:rPr>
          <w:lang w:val="en-GB" w:eastAsia="ko-KR"/>
        </w:rPr>
        <w:t>-SMR are to complete the basic design by 2023, complete the standard design by 2026, and obtain standard design approval by 2028.</w:t>
      </w:r>
    </w:p>
    <w:p w14:paraId="2B57C312" w14:textId="2024A2C6" w:rsidR="000F4277" w:rsidRDefault="003C1FB7" w:rsidP="000F4277">
      <w:pPr>
        <w:pStyle w:val="3"/>
        <w:rPr>
          <w:lang w:eastAsia="ko-KR"/>
        </w:rPr>
      </w:pPr>
      <w:r>
        <w:rPr>
          <w:lang w:eastAsia="ko-KR"/>
        </w:rPr>
        <w:t xml:space="preserve">Regulation of </w:t>
      </w:r>
      <w:proofErr w:type="spellStart"/>
      <w:r w:rsidR="005D30BA">
        <w:rPr>
          <w:lang w:eastAsia="ko-KR"/>
        </w:rPr>
        <w:t>i</w:t>
      </w:r>
      <w:proofErr w:type="spellEnd"/>
      <w:r w:rsidR="005D30BA">
        <w:rPr>
          <w:lang w:eastAsia="ko-KR"/>
        </w:rPr>
        <w:t>-SMR</w:t>
      </w:r>
    </w:p>
    <w:p w14:paraId="043AEF34" w14:textId="77D336F6" w:rsidR="00B10C6C" w:rsidRPr="002B4F8C" w:rsidRDefault="00B10C6C" w:rsidP="00B10C6C">
      <w:pPr>
        <w:pStyle w:val="Authornameandaffiliation"/>
        <w:rPr>
          <w:lang w:val="en-GB" w:eastAsia="ko-KR"/>
        </w:rPr>
      </w:pPr>
      <w:r w:rsidRPr="00B10C6C">
        <w:rPr>
          <w:lang w:val="en-GB" w:eastAsia="ko-KR"/>
        </w:rPr>
        <w:t xml:space="preserve">In order to conduct proactive regulatory activities in line with the </w:t>
      </w:r>
      <w:proofErr w:type="spellStart"/>
      <w:r w:rsidRPr="00B10C6C">
        <w:rPr>
          <w:lang w:val="en-GB" w:eastAsia="ko-KR"/>
        </w:rPr>
        <w:t>i</w:t>
      </w:r>
      <w:proofErr w:type="spellEnd"/>
      <w:r w:rsidRPr="00B10C6C">
        <w:rPr>
          <w:lang w:val="en-GB" w:eastAsia="ko-KR"/>
        </w:rPr>
        <w:t xml:space="preserve">-SMR development plan, the Nuclear Safety and Security Commission (NSSC) launched the "Development of </w:t>
      </w:r>
      <w:r w:rsidR="00F120F9">
        <w:rPr>
          <w:rFonts w:hint="eastAsia"/>
          <w:lang w:val="en-GB" w:eastAsia="ko-KR"/>
        </w:rPr>
        <w:t>T</w:t>
      </w:r>
      <w:r w:rsidR="00F120F9">
        <w:rPr>
          <w:lang w:val="en-GB" w:eastAsia="ko-KR"/>
        </w:rPr>
        <w:t>echnology for Safety Regulations for Small and Medium-Sized Reactor”</w:t>
      </w:r>
      <w:r w:rsidRPr="00B10C6C">
        <w:rPr>
          <w:lang w:val="en-GB" w:eastAsia="ko-KR"/>
        </w:rPr>
        <w:t xml:space="preserve"> research project in 2022.</w:t>
      </w:r>
      <w:r w:rsidR="002B4F8C">
        <w:rPr>
          <w:lang w:val="en-GB" w:eastAsia="ko-KR"/>
        </w:rPr>
        <w:t xml:space="preserve"> </w:t>
      </w:r>
      <w:r w:rsidR="002B4F8C" w:rsidRPr="002B4F8C">
        <w:rPr>
          <w:lang w:val="en-GB" w:eastAsia="ko-KR"/>
        </w:rPr>
        <w:t>The development of the safety regulation framework and safety regulation technology for this project is being carried out by the Korea Institute of Nuclear Safety</w:t>
      </w:r>
      <w:r w:rsidR="002B4F8C">
        <w:rPr>
          <w:lang w:val="en-GB" w:eastAsia="ko-KR"/>
        </w:rPr>
        <w:t xml:space="preserve"> (KINS)</w:t>
      </w:r>
      <w:r w:rsidR="002B4F8C" w:rsidRPr="002B4F8C">
        <w:rPr>
          <w:lang w:val="en-GB" w:eastAsia="ko-KR"/>
        </w:rPr>
        <w:t xml:space="preserve">, while the development of nuclear </w:t>
      </w:r>
      <w:r w:rsidR="00F120F9">
        <w:rPr>
          <w:lang w:val="en-GB" w:eastAsia="ko-KR"/>
        </w:rPr>
        <w:t>Non-</w:t>
      </w:r>
      <w:r w:rsidR="002B4F8C" w:rsidRPr="002B4F8C">
        <w:rPr>
          <w:lang w:val="en-GB" w:eastAsia="ko-KR"/>
        </w:rPr>
        <w:t xml:space="preserve">proliferation and </w:t>
      </w:r>
      <w:r w:rsidR="002B4F8C" w:rsidRPr="002B4F8C">
        <w:rPr>
          <w:lang w:val="en-GB" w:eastAsia="ko-KR"/>
        </w:rPr>
        <w:lastRenderedPageBreak/>
        <w:t xml:space="preserve">nuclear security regulation technology is being handled by the Korea Institute of Nuclear </w:t>
      </w:r>
      <w:proofErr w:type="spellStart"/>
      <w:r w:rsidR="00F120F9">
        <w:rPr>
          <w:lang w:val="en-GB" w:eastAsia="ko-KR"/>
        </w:rPr>
        <w:t>N</w:t>
      </w:r>
      <w:r w:rsidR="002B4F8C" w:rsidRPr="002B4F8C">
        <w:rPr>
          <w:lang w:val="en-GB" w:eastAsia="ko-KR"/>
        </w:rPr>
        <w:t>onproliferation</w:t>
      </w:r>
      <w:proofErr w:type="spellEnd"/>
      <w:r w:rsidR="002B4F8C" w:rsidRPr="002B4F8C">
        <w:rPr>
          <w:lang w:val="en-GB" w:eastAsia="ko-KR"/>
        </w:rPr>
        <w:t xml:space="preserve"> </w:t>
      </w:r>
      <w:r w:rsidR="00F120F9">
        <w:rPr>
          <w:lang w:val="en-GB" w:eastAsia="ko-KR"/>
        </w:rPr>
        <w:t>a</w:t>
      </w:r>
      <w:r w:rsidR="002B4F8C" w:rsidRPr="002B4F8C">
        <w:rPr>
          <w:lang w:val="en-GB" w:eastAsia="ko-KR"/>
        </w:rPr>
        <w:t>nd Control</w:t>
      </w:r>
      <w:r w:rsidR="002B4F8C">
        <w:rPr>
          <w:lang w:val="en-GB" w:eastAsia="ko-KR"/>
        </w:rPr>
        <w:t xml:space="preserve"> (KINAC)</w:t>
      </w:r>
      <w:r w:rsidR="002B4F8C" w:rsidRPr="002B4F8C">
        <w:rPr>
          <w:lang w:val="en-GB" w:eastAsia="ko-KR"/>
        </w:rPr>
        <w:t>.</w:t>
      </w:r>
    </w:p>
    <w:p w14:paraId="03B40C5D" w14:textId="2A2F1C95" w:rsidR="000F4277" w:rsidRDefault="000F4277" w:rsidP="000F4277">
      <w:pPr>
        <w:pStyle w:val="Authornameandaffiliation"/>
        <w:rPr>
          <w:lang w:val="en-GB" w:eastAsia="ko-KR"/>
        </w:rPr>
      </w:pPr>
    </w:p>
    <w:p w14:paraId="6C68589E" w14:textId="5444F568" w:rsidR="002B4F8C" w:rsidRDefault="002B4F8C" w:rsidP="000F4277">
      <w:pPr>
        <w:pStyle w:val="Authornameandaffiliation"/>
        <w:rPr>
          <w:lang w:val="en-GB" w:eastAsia="ko-KR"/>
        </w:rPr>
      </w:pPr>
      <w:r w:rsidRPr="002B4F8C">
        <w:rPr>
          <w:lang w:val="en-GB" w:eastAsia="ko-KR"/>
        </w:rPr>
        <w:t xml:space="preserve">In 2023, the </w:t>
      </w:r>
      <w:r>
        <w:rPr>
          <w:rFonts w:hint="eastAsia"/>
          <w:lang w:val="en-GB" w:eastAsia="ko-KR"/>
        </w:rPr>
        <w:t>N</w:t>
      </w:r>
      <w:r>
        <w:rPr>
          <w:lang w:val="en-GB" w:eastAsia="ko-KR"/>
        </w:rPr>
        <w:t xml:space="preserve">SSC </w:t>
      </w:r>
      <w:r w:rsidRPr="002B4F8C">
        <w:rPr>
          <w:lang w:val="en-GB" w:eastAsia="ko-KR"/>
        </w:rPr>
        <w:t xml:space="preserve">published the "SMR </w:t>
      </w:r>
      <w:r w:rsidR="00F120F9">
        <w:rPr>
          <w:lang w:val="en-GB" w:eastAsia="ko-KR"/>
        </w:rPr>
        <w:t>Regulatory Direction</w:t>
      </w:r>
      <w:r w:rsidRPr="002B4F8C">
        <w:rPr>
          <w:lang w:val="en-GB" w:eastAsia="ko-KR"/>
        </w:rPr>
        <w:t>," which outlines four basic directions and four design guidelines. Guideline 4 states, "</w:t>
      </w:r>
      <w:r w:rsidR="00F120F9">
        <w:rPr>
          <w:lang w:val="en-GB" w:eastAsia="ko-KR"/>
        </w:rPr>
        <w:t>The design of an integrated approach between safety, security, and safeguards should be considered to ensure that nuclear security, non-proliferation, and safety are achieved</w:t>
      </w:r>
      <w:r w:rsidRPr="002B4F8C">
        <w:rPr>
          <w:lang w:val="en-GB" w:eastAsia="ko-KR"/>
        </w:rPr>
        <w:t>"</w:t>
      </w:r>
      <w:r>
        <w:rPr>
          <w:lang w:val="en-GB" w:eastAsia="ko-KR"/>
        </w:rPr>
        <w:t xml:space="preserve"> </w:t>
      </w:r>
      <w:r w:rsidR="00277A6B">
        <w:rPr>
          <w:lang w:val="en-GB" w:eastAsia="ko-KR"/>
        </w:rPr>
        <w:t xml:space="preserve">as shown Fig 1 </w:t>
      </w:r>
      <w:r>
        <w:rPr>
          <w:lang w:val="en-GB" w:eastAsia="ko-KR"/>
        </w:rPr>
        <w:t>[</w:t>
      </w:r>
      <w:r w:rsidR="0024791E">
        <w:rPr>
          <w:lang w:val="en-GB" w:eastAsia="ko-KR"/>
        </w:rPr>
        <w:t>1</w:t>
      </w:r>
      <w:r>
        <w:rPr>
          <w:lang w:val="en-GB" w:eastAsia="ko-KR"/>
        </w:rPr>
        <w:t>].</w:t>
      </w:r>
    </w:p>
    <w:p w14:paraId="5A05F5EC" w14:textId="31B8519A" w:rsidR="005360C4" w:rsidRDefault="005360C4" w:rsidP="000F4277">
      <w:pPr>
        <w:pStyle w:val="Authornameandaffiliation"/>
        <w:rPr>
          <w:lang w:val="en-GB" w:eastAsia="ko-KR"/>
        </w:rPr>
      </w:pPr>
    </w:p>
    <w:p w14:paraId="071F45E2" w14:textId="31ABEABE" w:rsidR="005360C4" w:rsidRDefault="005360C4" w:rsidP="00FF3E36">
      <w:pPr>
        <w:pStyle w:val="Authornameandaffiliation"/>
        <w:jc w:val="center"/>
        <w:rPr>
          <w:lang w:val="en-GB" w:eastAsia="ko-KR"/>
        </w:rPr>
      </w:pPr>
      <w:r w:rsidRPr="005360C4">
        <w:rPr>
          <w:rFonts w:hint="eastAsia"/>
          <w:noProof/>
        </w:rPr>
        <w:drawing>
          <wp:inline distT="0" distB="0" distL="0" distR="0" wp14:anchorId="73787861" wp14:editId="77D5DBEA">
            <wp:extent cx="3467100" cy="2357170"/>
            <wp:effectExtent l="0" t="0" r="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612" cy="2357518"/>
                    </a:xfrm>
                    <a:prstGeom prst="rect">
                      <a:avLst/>
                    </a:prstGeom>
                    <a:noFill/>
                    <a:ln>
                      <a:noFill/>
                    </a:ln>
                  </pic:spPr>
                </pic:pic>
              </a:graphicData>
            </a:graphic>
          </wp:inline>
        </w:drawing>
      </w:r>
    </w:p>
    <w:p w14:paraId="7B288003" w14:textId="3A1D23EA" w:rsidR="00FF3E36" w:rsidRDefault="00FF3E36" w:rsidP="00FF3E36">
      <w:pPr>
        <w:pStyle w:val="a1"/>
        <w:ind w:firstLine="0"/>
        <w:jc w:val="center"/>
      </w:pPr>
      <w:r>
        <w:t>FIG 1. SMR REGULATORY DIRECTION [1]</w:t>
      </w:r>
    </w:p>
    <w:p w14:paraId="7C2B052F" w14:textId="567735DB" w:rsidR="000B0E9C" w:rsidRDefault="000B0E9C" w:rsidP="000F4277">
      <w:pPr>
        <w:pStyle w:val="Authornameandaffiliation"/>
        <w:rPr>
          <w:lang w:val="en-GB"/>
        </w:rPr>
      </w:pPr>
    </w:p>
    <w:p w14:paraId="3659EFD8" w14:textId="147928C5" w:rsidR="002B4F8C" w:rsidRDefault="002B4F8C" w:rsidP="000F4277">
      <w:pPr>
        <w:pStyle w:val="Authornameandaffiliation"/>
        <w:rPr>
          <w:lang w:val="en-GB"/>
        </w:rPr>
      </w:pPr>
      <w:r w:rsidRPr="002B4F8C">
        <w:rPr>
          <w:lang w:val="en-GB"/>
        </w:rPr>
        <w:t>Recently, an</w:t>
      </w:r>
      <w:r w:rsidR="00735762">
        <w:rPr>
          <w:lang w:val="en-GB"/>
        </w:rPr>
        <w:t xml:space="preserve"> </w:t>
      </w:r>
      <w:proofErr w:type="spellStart"/>
      <w:r w:rsidR="00735762">
        <w:rPr>
          <w:lang w:val="en-GB"/>
        </w:rPr>
        <w:t>i</w:t>
      </w:r>
      <w:proofErr w:type="spellEnd"/>
      <w:r w:rsidR="00735762">
        <w:rPr>
          <w:lang w:val="en-GB"/>
        </w:rPr>
        <w:t xml:space="preserve">-SMR </w:t>
      </w:r>
      <w:r w:rsidRPr="002B4F8C">
        <w:rPr>
          <w:lang w:val="en-GB"/>
        </w:rPr>
        <w:t xml:space="preserve">pre-design review process has been introduced. This process involves reviewing the applicability of authorization standards according to laws and regulations before applying for standard design approval. In October 2023, the </w:t>
      </w:r>
      <w:r w:rsidR="00735762">
        <w:rPr>
          <w:lang w:val="en-GB"/>
        </w:rPr>
        <w:t>operator</w:t>
      </w:r>
      <w:r w:rsidRPr="002B4F8C">
        <w:rPr>
          <w:lang w:val="en-GB"/>
        </w:rPr>
        <w:t xml:space="preserve"> applied for a pre-design review of the </w:t>
      </w:r>
      <w:proofErr w:type="spellStart"/>
      <w:r w:rsidRPr="002B4F8C">
        <w:rPr>
          <w:lang w:val="en-GB"/>
        </w:rPr>
        <w:t>i</w:t>
      </w:r>
      <w:proofErr w:type="spellEnd"/>
      <w:r w:rsidRPr="002B4F8C">
        <w:rPr>
          <w:lang w:val="en-GB"/>
        </w:rPr>
        <w:t xml:space="preserve">-SMR and submitted some technical reports for the review. Regulatory expert organizations are conducting review activities and plan to operate the review </w:t>
      </w:r>
      <w:r w:rsidR="00735762">
        <w:rPr>
          <w:lang w:val="en-GB"/>
        </w:rPr>
        <w:t>process</w:t>
      </w:r>
      <w:r w:rsidRPr="002B4F8C">
        <w:rPr>
          <w:lang w:val="en-GB"/>
        </w:rPr>
        <w:t xml:space="preserve"> until the </w:t>
      </w:r>
      <w:r w:rsidR="00735762">
        <w:rPr>
          <w:lang w:val="en-GB"/>
        </w:rPr>
        <w:t>operator</w:t>
      </w:r>
      <w:r w:rsidRPr="002B4F8C">
        <w:rPr>
          <w:lang w:val="en-GB"/>
        </w:rPr>
        <w:t xml:space="preserve"> submits the standard design approval application.</w:t>
      </w:r>
    </w:p>
    <w:p w14:paraId="3B5B5991" w14:textId="77777777" w:rsidR="002B4F8C" w:rsidRPr="00B10C6C" w:rsidRDefault="002B4F8C" w:rsidP="000F4277">
      <w:pPr>
        <w:pStyle w:val="Authornameandaffiliation"/>
        <w:rPr>
          <w:lang w:val="en-GB"/>
        </w:rPr>
      </w:pPr>
    </w:p>
    <w:p w14:paraId="2EAE7BDA" w14:textId="03E3238E" w:rsidR="000F4277" w:rsidRDefault="003C1FB7" w:rsidP="000F4277">
      <w:pPr>
        <w:pStyle w:val="3"/>
        <w:rPr>
          <w:lang w:eastAsia="ko-KR"/>
        </w:rPr>
      </w:pPr>
      <w:r>
        <w:rPr>
          <w:lang w:eastAsia="ko-KR"/>
        </w:rPr>
        <w:t>Security Regulation</w:t>
      </w:r>
      <w:r>
        <w:rPr>
          <w:rFonts w:hint="eastAsia"/>
          <w:lang w:eastAsia="ko-KR"/>
        </w:rPr>
        <w:t xml:space="preserve"> </w:t>
      </w:r>
      <w:r>
        <w:rPr>
          <w:lang w:eastAsia="ko-KR"/>
        </w:rPr>
        <w:t xml:space="preserve">of </w:t>
      </w:r>
      <w:proofErr w:type="spellStart"/>
      <w:r w:rsidR="005D30BA">
        <w:rPr>
          <w:rFonts w:hint="eastAsia"/>
          <w:lang w:eastAsia="ko-KR"/>
        </w:rPr>
        <w:t>i</w:t>
      </w:r>
      <w:proofErr w:type="spellEnd"/>
      <w:r w:rsidR="005D30BA">
        <w:rPr>
          <w:lang w:eastAsia="ko-KR"/>
        </w:rPr>
        <w:t>-SMR</w:t>
      </w:r>
    </w:p>
    <w:p w14:paraId="17903D1F" w14:textId="666F8F43" w:rsidR="004478C2" w:rsidRPr="004478C2" w:rsidRDefault="004478C2" w:rsidP="004478C2">
      <w:pPr>
        <w:pStyle w:val="Authornameandaffiliation"/>
        <w:rPr>
          <w:lang w:val="en-GB"/>
        </w:rPr>
      </w:pPr>
      <w:r w:rsidRPr="004478C2">
        <w:rPr>
          <w:lang w:val="en-GB"/>
        </w:rPr>
        <w:t xml:space="preserve">As part of the research project conducted by the </w:t>
      </w:r>
      <w:r>
        <w:rPr>
          <w:lang w:val="en-GB"/>
        </w:rPr>
        <w:t>NSSC</w:t>
      </w:r>
      <w:r w:rsidRPr="004478C2">
        <w:rPr>
          <w:lang w:val="en-GB"/>
        </w:rPr>
        <w:t xml:space="preserve">, the </w:t>
      </w:r>
      <w:r>
        <w:rPr>
          <w:lang w:val="en-GB"/>
        </w:rPr>
        <w:t>KINAC</w:t>
      </w:r>
      <w:r w:rsidRPr="004478C2">
        <w:rPr>
          <w:lang w:val="en-GB"/>
        </w:rPr>
        <w:t xml:space="preserve"> is undertaking the </w:t>
      </w:r>
      <w:r>
        <w:rPr>
          <w:lang w:val="en-GB"/>
        </w:rPr>
        <w:t>research</w:t>
      </w:r>
      <w:r w:rsidRPr="004478C2">
        <w:rPr>
          <w:lang w:val="en-GB"/>
        </w:rPr>
        <w:t xml:space="preserve"> titled "</w:t>
      </w:r>
      <w:r w:rsidR="00A141DF">
        <w:rPr>
          <w:lang w:val="en-GB"/>
        </w:rPr>
        <w:t>A Regulatory Research for Nuclear Security on LWR type SMR”</w:t>
      </w:r>
      <w:r w:rsidRPr="004478C2">
        <w:rPr>
          <w:lang w:val="en-GB"/>
        </w:rPr>
        <w:t xml:space="preserve"> (2022-2028). The ultimate goal of this project is to develop regulatory strategies, guidelines, and key assessment criteria/requirements related to nuclear s</w:t>
      </w:r>
      <w:r>
        <w:rPr>
          <w:rFonts w:hint="eastAsia"/>
          <w:lang w:val="en-GB" w:eastAsia="ko-KR"/>
        </w:rPr>
        <w:t>e</w:t>
      </w:r>
      <w:r>
        <w:rPr>
          <w:lang w:val="en-GB" w:eastAsia="ko-KR"/>
        </w:rPr>
        <w:t>curity</w:t>
      </w:r>
      <w:r w:rsidRPr="004478C2">
        <w:rPr>
          <w:lang w:val="en-GB"/>
        </w:rPr>
        <w:t xml:space="preserve"> (physical protection</w:t>
      </w:r>
      <w:r>
        <w:rPr>
          <w:lang w:val="en-GB"/>
        </w:rPr>
        <w:t xml:space="preserve"> and </w:t>
      </w:r>
      <w:r w:rsidRPr="004478C2">
        <w:rPr>
          <w:lang w:val="en-GB"/>
        </w:rPr>
        <w:t>cyber</w:t>
      </w:r>
      <w:r>
        <w:rPr>
          <w:lang w:val="en-GB"/>
        </w:rPr>
        <w:t xml:space="preserve"> </w:t>
      </w:r>
      <w:r w:rsidRPr="004478C2">
        <w:rPr>
          <w:lang w:val="en-GB"/>
        </w:rPr>
        <w:t xml:space="preserve">security) </w:t>
      </w:r>
      <w:r w:rsidR="00665F79">
        <w:rPr>
          <w:lang w:val="en-GB"/>
        </w:rPr>
        <w:t xml:space="preserve">for </w:t>
      </w:r>
      <w:r w:rsidRPr="004478C2">
        <w:rPr>
          <w:lang w:val="en-GB"/>
        </w:rPr>
        <w:t xml:space="preserve">the standard design of </w:t>
      </w:r>
      <w:proofErr w:type="spellStart"/>
      <w:r>
        <w:rPr>
          <w:lang w:val="en-GB"/>
        </w:rPr>
        <w:t>i</w:t>
      </w:r>
      <w:proofErr w:type="spellEnd"/>
      <w:r>
        <w:rPr>
          <w:lang w:val="en-GB"/>
        </w:rPr>
        <w:t>-SMR</w:t>
      </w:r>
      <w:r w:rsidRPr="004478C2">
        <w:rPr>
          <w:lang w:val="en-GB"/>
        </w:rPr>
        <w:t>.</w:t>
      </w:r>
    </w:p>
    <w:p w14:paraId="13858F61" w14:textId="77777777" w:rsidR="004478C2" w:rsidRPr="004478C2" w:rsidRDefault="004478C2" w:rsidP="004478C2">
      <w:pPr>
        <w:pStyle w:val="Authornameandaffiliation"/>
        <w:rPr>
          <w:lang w:val="en-GB"/>
        </w:rPr>
      </w:pPr>
    </w:p>
    <w:p w14:paraId="65041D3C" w14:textId="6344BB58" w:rsidR="004478C2" w:rsidRPr="004478C2" w:rsidRDefault="004478C2" w:rsidP="004478C2">
      <w:pPr>
        <w:pStyle w:val="Authornameandaffiliation"/>
        <w:rPr>
          <w:lang w:val="en-GB"/>
        </w:rPr>
      </w:pPr>
      <w:r w:rsidRPr="004478C2">
        <w:rPr>
          <w:lang w:val="en-GB"/>
        </w:rPr>
        <w:t xml:space="preserve">With the introduction of the pre-design review process for </w:t>
      </w:r>
      <w:proofErr w:type="spellStart"/>
      <w:r w:rsidRPr="004478C2">
        <w:rPr>
          <w:lang w:val="en-GB"/>
        </w:rPr>
        <w:t>i</w:t>
      </w:r>
      <w:proofErr w:type="spellEnd"/>
      <w:r>
        <w:rPr>
          <w:lang w:val="en-GB"/>
        </w:rPr>
        <w:t>-SMR</w:t>
      </w:r>
      <w:r w:rsidRPr="004478C2">
        <w:rPr>
          <w:lang w:val="en-GB"/>
        </w:rPr>
        <w:t xml:space="preserve">, the </w:t>
      </w:r>
      <w:r>
        <w:rPr>
          <w:lang w:val="en-GB"/>
        </w:rPr>
        <w:t xml:space="preserve">KINAC </w:t>
      </w:r>
      <w:r w:rsidRPr="004478C2">
        <w:rPr>
          <w:lang w:val="en-GB"/>
        </w:rPr>
        <w:t>is reviewing the technical reports submitted by operators to assess regulatory issues related to physical protection and cybersecurity aspects.</w:t>
      </w:r>
    </w:p>
    <w:p w14:paraId="69E28499" w14:textId="77777777" w:rsidR="004478C2" w:rsidRPr="004478C2" w:rsidRDefault="004478C2" w:rsidP="004478C2">
      <w:pPr>
        <w:pStyle w:val="Authornameandaffiliation"/>
        <w:rPr>
          <w:lang w:val="en-GB"/>
        </w:rPr>
      </w:pPr>
    </w:p>
    <w:p w14:paraId="6EA08830" w14:textId="1F08A9BD" w:rsidR="000F4277" w:rsidRDefault="00180652" w:rsidP="000F4277">
      <w:pPr>
        <w:pStyle w:val="2"/>
        <w:numPr>
          <w:ilvl w:val="1"/>
          <w:numId w:val="10"/>
        </w:numPr>
        <w:rPr>
          <w:lang w:eastAsia="ko-KR"/>
        </w:rPr>
      </w:pPr>
      <w:r>
        <w:rPr>
          <w:lang w:eastAsia="ko-KR"/>
        </w:rPr>
        <w:t>International regulatory cases for smrs</w:t>
      </w:r>
    </w:p>
    <w:p w14:paraId="5BA1FC94" w14:textId="7D71E0D3" w:rsidR="003E2C3A" w:rsidRDefault="002F4256" w:rsidP="003E2C3A">
      <w:pPr>
        <w:pStyle w:val="3"/>
        <w:numPr>
          <w:ilvl w:val="2"/>
          <w:numId w:val="33"/>
        </w:numPr>
        <w:rPr>
          <w:lang w:eastAsia="ko-KR"/>
        </w:rPr>
      </w:pPr>
      <w:r w:rsidRPr="002F4256">
        <w:rPr>
          <w:lang w:eastAsia="ko-KR"/>
        </w:rPr>
        <w:t>U</w:t>
      </w:r>
      <w:r w:rsidR="0028086F">
        <w:rPr>
          <w:lang w:eastAsia="ko-KR"/>
        </w:rPr>
        <w:t>.</w:t>
      </w:r>
      <w:r w:rsidR="00C87CDB">
        <w:rPr>
          <w:lang w:eastAsia="ko-KR"/>
        </w:rPr>
        <w:t>S</w:t>
      </w:r>
      <w:r w:rsidR="0028086F">
        <w:rPr>
          <w:lang w:eastAsia="ko-KR"/>
        </w:rPr>
        <w:t>.</w:t>
      </w:r>
      <w:r w:rsidR="00092404">
        <w:rPr>
          <w:lang w:eastAsia="ko-KR"/>
        </w:rPr>
        <w:t xml:space="preserve"> </w:t>
      </w:r>
      <w:r w:rsidR="0028086F">
        <w:rPr>
          <w:lang w:eastAsia="ko-KR"/>
        </w:rPr>
        <w:t>Nuclear Regulatory Commission (</w:t>
      </w:r>
      <w:r w:rsidR="00092404">
        <w:rPr>
          <w:lang w:eastAsia="ko-KR"/>
        </w:rPr>
        <w:t>NRC</w:t>
      </w:r>
      <w:r w:rsidR="0028086F">
        <w:rPr>
          <w:lang w:eastAsia="ko-KR"/>
        </w:rPr>
        <w:t>)</w:t>
      </w:r>
    </w:p>
    <w:p w14:paraId="2BAFB545" w14:textId="1DD64D32" w:rsidR="00547CC3" w:rsidRPr="00166978" w:rsidRDefault="003E2C3A" w:rsidP="00166978">
      <w:pPr>
        <w:pStyle w:val="4"/>
      </w:pPr>
      <w:proofErr w:type="spellStart"/>
      <w:r>
        <w:rPr>
          <w:rFonts w:hint="eastAsia"/>
          <w:lang w:eastAsia="ko-KR"/>
        </w:rPr>
        <w:t>N</w:t>
      </w:r>
      <w:r>
        <w:rPr>
          <w:lang w:eastAsia="ko-KR"/>
        </w:rPr>
        <w:t>uScale</w:t>
      </w:r>
      <w:proofErr w:type="spellEnd"/>
      <w:r>
        <w:rPr>
          <w:lang w:eastAsia="ko-KR"/>
        </w:rPr>
        <w:t xml:space="preserve"> </w:t>
      </w:r>
      <w:r w:rsidR="00B90FB7">
        <w:rPr>
          <w:rFonts w:hint="eastAsia"/>
          <w:lang w:eastAsia="ko-KR"/>
        </w:rPr>
        <w:t>C</w:t>
      </w:r>
      <w:r w:rsidR="00B90FB7">
        <w:rPr>
          <w:lang w:eastAsia="ko-KR"/>
        </w:rPr>
        <w:t>ase</w:t>
      </w:r>
    </w:p>
    <w:p w14:paraId="6B32DC6E" w14:textId="7E343118" w:rsidR="000B0E9C" w:rsidRDefault="009943CF" w:rsidP="002E6558">
      <w:pPr>
        <w:pStyle w:val="ListEmdash"/>
        <w:ind w:left="709"/>
        <w:rPr>
          <w:lang w:eastAsia="ko-KR"/>
        </w:rPr>
      </w:pPr>
      <w:r>
        <w:rPr>
          <w:rFonts w:hint="eastAsia"/>
          <w:lang w:eastAsia="ko-KR"/>
        </w:rPr>
        <w:t>P</w:t>
      </w:r>
      <w:r>
        <w:rPr>
          <w:lang w:eastAsia="ko-KR"/>
        </w:rPr>
        <w:t>re-Application Review (PAR</w:t>
      </w:r>
      <w:r w:rsidR="00834FFA">
        <w:rPr>
          <w:lang w:eastAsia="ko-KR"/>
        </w:rPr>
        <w:t>) (</w:t>
      </w:r>
      <w:r w:rsidR="00401362">
        <w:rPr>
          <w:lang w:eastAsia="ko-KR"/>
        </w:rPr>
        <w:t>2008</w:t>
      </w:r>
      <w:r w:rsidR="00701C6B">
        <w:rPr>
          <w:lang w:eastAsia="ko-KR"/>
        </w:rPr>
        <w:t xml:space="preserve"> </w:t>
      </w:r>
      <w:r w:rsidR="00701C6B">
        <w:rPr>
          <w:rFonts w:hint="eastAsia"/>
          <w:lang w:eastAsia="ko-KR"/>
        </w:rPr>
        <w:t>-</w:t>
      </w:r>
      <w:r w:rsidR="00701C6B">
        <w:rPr>
          <w:lang w:eastAsia="ko-KR"/>
        </w:rPr>
        <w:t xml:space="preserve"> </w:t>
      </w:r>
      <w:r w:rsidR="00401362">
        <w:rPr>
          <w:lang w:eastAsia="ko-KR"/>
        </w:rPr>
        <w:t>201</w:t>
      </w:r>
      <w:r w:rsidR="00701C6B">
        <w:rPr>
          <w:lang w:eastAsia="ko-KR"/>
        </w:rPr>
        <w:t>6</w:t>
      </w:r>
      <w:r w:rsidR="00401362">
        <w:rPr>
          <w:rFonts w:hint="eastAsia"/>
          <w:lang w:eastAsia="ko-KR"/>
        </w:rPr>
        <w:t>)</w:t>
      </w:r>
    </w:p>
    <w:p w14:paraId="025FF33C" w14:textId="202A6984" w:rsidR="00401362" w:rsidRPr="00F0756B" w:rsidRDefault="009E5946" w:rsidP="00D810BB">
      <w:pPr>
        <w:pStyle w:val="Authornameandaffiliation"/>
      </w:pPr>
      <w:r w:rsidRPr="009E5946">
        <w:rPr>
          <w:lang w:val="en-GB" w:eastAsia="ko-KR"/>
        </w:rPr>
        <w:t xml:space="preserve">The pre-application review is </w:t>
      </w:r>
      <w:r w:rsidR="00701C6B">
        <w:rPr>
          <w:lang w:val="en-GB" w:eastAsia="ko-KR"/>
        </w:rPr>
        <w:t xml:space="preserve">kind of a policy </w:t>
      </w:r>
      <w:r w:rsidR="00701C6B" w:rsidRPr="00F0756B">
        <w:rPr>
          <w:lang w:val="en-GB" w:eastAsia="ko-KR"/>
        </w:rPr>
        <w:t xml:space="preserve">of encouraging early discussion to offer licensing guidance and to identify and resolve potential licensing issues early prior to </w:t>
      </w:r>
      <w:r w:rsidR="00DD3ACE" w:rsidRPr="00F0756B">
        <w:rPr>
          <w:lang w:val="en-GB" w:eastAsia="ko-KR"/>
        </w:rPr>
        <w:t xml:space="preserve">DCA (Design Certification Application). Prior to submitting the DCA, </w:t>
      </w:r>
      <w:proofErr w:type="spellStart"/>
      <w:r w:rsidR="00DD3ACE" w:rsidRPr="00F0756B">
        <w:rPr>
          <w:lang w:val="en-GB" w:eastAsia="ko-KR"/>
        </w:rPr>
        <w:t>NuScale</w:t>
      </w:r>
      <w:proofErr w:type="spellEnd"/>
      <w:r w:rsidR="00DD3ACE" w:rsidRPr="00F0756B">
        <w:rPr>
          <w:lang w:val="en-GB" w:eastAsia="ko-KR"/>
        </w:rPr>
        <w:t xml:space="preserve"> requested the PAR to NRC in 2008 and submitted design documents supporting the review. The NRC carried out the PAR activities from 2008 to 2016 </w:t>
      </w:r>
      <w:r w:rsidR="00DD3ACE" w:rsidRPr="00F0756B">
        <w:rPr>
          <w:rFonts w:hint="eastAsia"/>
          <w:lang w:val="en-GB" w:eastAsia="ko-KR"/>
        </w:rPr>
        <w:t>[</w:t>
      </w:r>
      <w:r w:rsidR="0028086F" w:rsidRPr="00F0756B">
        <w:rPr>
          <w:lang w:val="en-GB" w:eastAsia="ko-KR"/>
        </w:rPr>
        <w:t>2</w:t>
      </w:r>
      <w:r w:rsidR="00DD3ACE" w:rsidRPr="00F0756B">
        <w:rPr>
          <w:lang w:val="en-GB" w:eastAsia="ko-KR"/>
        </w:rPr>
        <w:t xml:space="preserve">]. </w:t>
      </w:r>
      <w:r w:rsidR="0086549E" w:rsidRPr="00F0756B">
        <w:t>In 2010, the NRC, in collaboration with the Department of Energy (DOE), designers, and applicants, identified 17 technical issues impacting SMR designs (SECY-10-0034 [</w:t>
      </w:r>
      <w:r w:rsidR="00E156B8" w:rsidRPr="00F0756B">
        <w:t>3</w:t>
      </w:r>
      <w:r w:rsidR="0086549E" w:rsidRPr="00F0756B">
        <w:t xml:space="preserve">]). Among these, 'security and </w:t>
      </w:r>
      <w:r w:rsidR="0086549E" w:rsidRPr="00F0756B">
        <w:lastRenderedPageBreak/>
        <w:t xml:space="preserve">safeguards requirements for SMRs' was classified as highly important, being one of the key operational issues. </w:t>
      </w:r>
      <w:r w:rsidR="00D810BB" w:rsidRPr="00F0756B">
        <w:t>Furthermore, through several meetings between the NRC and applicants, closer cooperation was achieved to share the concept of "Security by Design" [</w:t>
      </w:r>
      <w:r w:rsidR="00D627BB" w:rsidRPr="00F0756B">
        <w:t>4</w:t>
      </w:r>
      <w:r w:rsidR="00D810BB" w:rsidRPr="00F0756B">
        <w:t>].</w:t>
      </w:r>
    </w:p>
    <w:p w14:paraId="5C03BDF1" w14:textId="77777777" w:rsidR="00D810BB" w:rsidRPr="00F0756B" w:rsidRDefault="00D810BB" w:rsidP="00D810BB">
      <w:pPr>
        <w:pStyle w:val="Authornameandaffiliation"/>
        <w:rPr>
          <w:lang w:val="en-GB" w:eastAsia="ko-KR"/>
        </w:rPr>
      </w:pPr>
    </w:p>
    <w:p w14:paraId="2884737E" w14:textId="54879C92" w:rsidR="00401362" w:rsidRPr="00401362" w:rsidRDefault="00BC2679" w:rsidP="00401362">
      <w:pPr>
        <w:pStyle w:val="ListEmdash"/>
        <w:ind w:left="709"/>
        <w:rPr>
          <w:lang w:eastAsia="ko-KR"/>
        </w:rPr>
      </w:pPr>
      <w:r>
        <w:rPr>
          <w:lang w:eastAsia="ko-KR"/>
        </w:rPr>
        <w:t xml:space="preserve">Development of the </w:t>
      </w:r>
      <w:r w:rsidR="001D4EBE">
        <w:rPr>
          <w:lang w:eastAsia="ko-KR"/>
        </w:rPr>
        <w:t xml:space="preserve">Design-Specific Review Standard (DSRS) </w:t>
      </w:r>
      <w:r w:rsidR="00401362">
        <w:rPr>
          <w:lang w:eastAsia="ko-KR"/>
        </w:rPr>
        <w:t>(201</w:t>
      </w:r>
      <w:r w:rsidR="009302DD">
        <w:rPr>
          <w:lang w:eastAsia="ko-KR"/>
        </w:rPr>
        <w:t xml:space="preserve">5 - </w:t>
      </w:r>
      <w:r w:rsidR="00401362">
        <w:rPr>
          <w:lang w:eastAsia="ko-KR"/>
        </w:rPr>
        <w:t>2016</w:t>
      </w:r>
      <w:r w:rsidR="00401362">
        <w:rPr>
          <w:rFonts w:hint="eastAsia"/>
          <w:lang w:eastAsia="ko-KR"/>
        </w:rPr>
        <w:t>)</w:t>
      </w:r>
    </w:p>
    <w:p w14:paraId="7BEA45A3" w14:textId="7E2C7144" w:rsidR="00401362" w:rsidRPr="00F0756B" w:rsidRDefault="00AB5633" w:rsidP="003C2788">
      <w:pPr>
        <w:pStyle w:val="Authornameandaffiliation"/>
      </w:pPr>
      <w:r>
        <w:rPr>
          <w:rFonts w:hint="eastAsia"/>
          <w:lang w:eastAsia="ko-KR"/>
        </w:rPr>
        <w:t>T</w:t>
      </w:r>
      <w:r>
        <w:rPr>
          <w:lang w:eastAsia="ko-KR"/>
        </w:rPr>
        <w:t>he</w:t>
      </w:r>
      <w:r w:rsidR="001D4EBE">
        <w:rPr>
          <w:lang w:eastAsia="ko-KR"/>
        </w:rPr>
        <w:t xml:space="preserve"> DSRS</w:t>
      </w:r>
      <w:r>
        <w:rPr>
          <w:lang w:eastAsia="ko-KR"/>
        </w:rPr>
        <w:t xml:space="preserve"> for </w:t>
      </w:r>
      <w:proofErr w:type="spellStart"/>
      <w:r>
        <w:rPr>
          <w:lang w:eastAsia="ko-KR"/>
        </w:rPr>
        <w:t>NuScale</w:t>
      </w:r>
      <w:proofErr w:type="spellEnd"/>
      <w:r>
        <w:rPr>
          <w:lang w:eastAsia="ko-KR"/>
        </w:rPr>
        <w:t xml:space="preserve"> has been developed to provide guidance to the NRC technical staff for review of those areas of the </w:t>
      </w:r>
      <w:proofErr w:type="spellStart"/>
      <w:r>
        <w:rPr>
          <w:lang w:eastAsia="ko-KR"/>
        </w:rPr>
        <w:t>NuScale</w:t>
      </w:r>
      <w:proofErr w:type="spellEnd"/>
      <w:r>
        <w:rPr>
          <w:lang w:eastAsia="ko-KR"/>
        </w:rPr>
        <w:t xml:space="preserve"> design that are not covered by the existing NRC Standard Review Plan (SRP) (NUREG-0800). The draft </w:t>
      </w:r>
      <w:proofErr w:type="spellStart"/>
      <w:r>
        <w:rPr>
          <w:lang w:eastAsia="ko-KR"/>
        </w:rPr>
        <w:t>NuScale</w:t>
      </w:r>
      <w:proofErr w:type="spellEnd"/>
      <w:r>
        <w:rPr>
          <w:lang w:eastAsia="ko-KR"/>
        </w:rPr>
        <w:t xml:space="preserve"> DSRS was available for public comment in 2015. The final DSRS was released in </w:t>
      </w:r>
      <w:r w:rsidRPr="00F0756B">
        <w:rPr>
          <w:lang w:eastAsia="ko-KR"/>
        </w:rPr>
        <w:t>2016 [</w:t>
      </w:r>
      <w:r w:rsidR="00FB3B4D" w:rsidRPr="00F0756B">
        <w:rPr>
          <w:lang w:eastAsia="ko-KR"/>
        </w:rPr>
        <w:t>3</w:t>
      </w:r>
      <w:r w:rsidRPr="00F0756B">
        <w:rPr>
          <w:lang w:eastAsia="ko-KR"/>
        </w:rPr>
        <w:t>].</w:t>
      </w:r>
      <w:r w:rsidR="00FE2FC7" w:rsidRPr="00F0756B">
        <w:rPr>
          <w:lang w:eastAsia="ko-KR"/>
        </w:rPr>
        <w:t xml:space="preserve"> To develop the DSRS, NRC staff</w:t>
      </w:r>
      <w:r w:rsidR="00DC5D78" w:rsidRPr="00F0756B">
        <w:rPr>
          <w:lang w:eastAsia="ko-KR"/>
        </w:rPr>
        <w:t xml:space="preserve">s determined the applicability of SRP each section to </w:t>
      </w:r>
      <w:proofErr w:type="spellStart"/>
      <w:r w:rsidR="00DC5D78" w:rsidRPr="00F0756B">
        <w:rPr>
          <w:lang w:eastAsia="ko-KR"/>
        </w:rPr>
        <w:t>NuScale</w:t>
      </w:r>
      <w:proofErr w:type="spellEnd"/>
      <w:r w:rsidR="00DC5D78" w:rsidRPr="00F0756B">
        <w:rPr>
          <w:lang w:eastAsia="ko-KR"/>
        </w:rPr>
        <w:t xml:space="preserve"> design [</w:t>
      </w:r>
      <w:r w:rsidR="0085470D" w:rsidRPr="00F0756B">
        <w:rPr>
          <w:lang w:eastAsia="ko-KR"/>
        </w:rPr>
        <w:t>5</w:t>
      </w:r>
      <w:r w:rsidR="00DC5D78" w:rsidRPr="00F0756B">
        <w:rPr>
          <w:lang w:eastAsia="ko-KR"/>
        </w:rPr>
        <w:t xml:space="preserve">]. </w:t>
      </w:r>
      <w:r w:rsidR="00DC5D78" w:rsidRPr="00F0756B">
        <w:t xml:space="preserve">Security-related criteria in the DSRS are included in Chapter 13.6 (Physical security, cyber security plan etc.) and Chapter 14.3.12 (Physical security hardware – inspections, tests, analyses, and acceptance criteria). For those criteria, the NUREG-0800 SRP section was applicable to the </w:t>
      </w:r>
      <w:proofErr w:type="spellStart"/>
      <w:r w:rsidR="00DC5D78" w:rsidRPr="00F0756B">
        <w:t>NuScale</w:t>
      </w:r>
      <w:proofErr w:type="spellEnd"/>
      <w:r w:rsidR="00DC5D78" w:rsidRPr="00F0756B">
        <w:t xml:space="preserve"> review and be used [</w:t>
      </w:r>
      <w:r w:rsidR="0022539B" w:rsidRPr="00F0756B">
        <w:t>6</w:t>
      </w:r>
      <w:r w:rsidR="00DC5D78" w:rsidRPr="00F0756B">
        <w:t>].</w:t>
      </w:r>
    </w:p>
    <w:p w14:paraId="4E994E91" w14:textId="77777777" w:rsidR="00184B06" w:rsidRDefault="00184B06" w:rsidP="000B0E9C">
      <w:pPr>
        <w:pStyle w:val="Authornameandaffiliation"/>
        <w:rPr>
          <w:lang w:val="en-GB" w:eastAsia="ko-KR"/>
        </w:rPr>
      </w:pPr>
    </w:p>
    <w:p w14:paraId="40FB3E3C" w14:textId="45E07135" w:rsidR="00401362" w:rsidRPr="00401362" w:rsidRDefault="009A4D1B" w:rsidP="00401362">
      <w:pPr>
        <w:pStyle w:val="ListEmdash"/>
        <w:ind w:left="709"/>
        <w:rPr>
          <w:lang w:eastAsia="ko-KR"/>
        </w:rPr>
      </w:pPr>
      <w:r>
        <w:rPr>
          <w:lang w:eastAsia="ko-KR"/>
        </w:rPr>
        <w:t>Review</w:t>
      </w:r>
      <w:r>
        <w:rPr>
          <w:rFonts w:hint="eastAsia"/>
          <w:lang w:eastAsia="ko-KR"/>
        </w:rPr>
        <w:t xml:space="preserve"> </w:t>
      </w:r>
      <w:r>
        <w:rPr>
          <w:lang w:eastAsia="ko-KR"/>
        </w:rPr>
        <w:t xml:space="preserve">of </w:t>
      </w:r>
      <w:r>
        <w:rPr>
          <w:rFonts w:hint="eastAsia"/>
          <w:lang w:eastAsia="ko-KR"/>
        </w:rPr>
        <w:t>D</w:t>
      </w:r>
      <w:r>
        <w:rPr>
          <w:lang w:eastAsia="ko-KR"/>
        </w:rPr>
        <w:t xml:space="preserve">CA </w:t>
      </w:r>
      <w:r w:rsidR="00401362">
        <w:rPr>
          <w:lang w:eastAsia="ko-KR"/>
        </w:rPr>
        <w:t>(201</w:t>
      </w:r>
      <w:r>
        <w:rPr>
          <w:lang w:eastAsia="ko-KR"/>
        </w:rPr>
        <w:t>7 - 2020</w:t>
      </w:r>
      <w:r w:rsidR="00401362">
        <w:rPr>
          <w:rFonts w:hint="eastAsia"/>
          <w:lang w:eastAsia="ko-KR"/>
        </w:rPr>
        <w:t>)</w:t>
      </w:r>
    </w:p>
    <w:p w14:paraId="0E856F00" w14:textId="10D509BB" w:rsidR="00184B06" w:rsidRPr="00F0756B" w:rsidRDefault="00E86A0D" w:rsidP="0045024B">
      <w:pPr>
        <w:pStyle w:val="Authornameandaffiliation"/>
        <w:rPr>
          <w:lang w:eastAsia="ko-KR"/>
        </w:rPr>
      </w:pPr>
      <w:r w:rsidRPr="00F0756B">
        <w:rPr>
          <w:lang w:eastAsia="ko-KR"/>
        </w:rPr>
        <w:t>The NRC received DCA from the appli</w:t>
      </w:r>
      <w:r w:rsidR="00BC2679" w:rsidRPr="00F0756B">
        <w:rPr>
          <w:lang w:eastAsia="ko-KR"/>
        </w:rPr>
        <w:t>cant in 2017</w:t>
      </w:r>
      <w:r w:rsidR="00CE2E02" w:rsidRPr="00F0756B">
        <w:rPr>
          <w:lang w:eastAsia="ko-KR"/>
        </w:rPr>
        <w:t xml:space="preserve"> and reviewed the application documents submitted by the applicant and then issued the </w:t>
      </w:r>
      <w:r w:rsidR="00402F81" w:rsidRPr="00F0756B">
        <w:rPr>
          <w:lang w:eastAsia="ko-KR"/>
        </w:rPr>
        <w:t>Final Safety Evaluation Report (FSER) in 2020 [</w:t>
      </w:r>
      <w:r w:rsidR="00BC54FF" w:rsidRPr="00F0756B">
        <w:rPr>
          <w:lang w:eastAsia="ko-KR"/>
        </w:rPr>
        <w:t>7</w:t>
      </w:r>
      <w:r w:rsidR="00402F81" w:rsidRPr="00F0756B">
        <w:rPr>
          <w:lang w:eastAsia="ko-KR"/>
        </w:rPr>
        <w:t>]</w:t>
      </w:r>
      <w:r w:rsidR="00BC2679" w:rsidRPr="00F0756B">
        <w:rPr>
          <w:lang w:eastAsia="ko-KR"/>
        </w:rPr>
        <w:t>.</w:t>
      </w:r>
      <w:r w:rsidR="00402F81" w:rsidRPr="00F0756B">
        <w:rPr>
          <w:lang w:eastAsia="ko-KR"/>
        </w:rPr>
        <w:t xml:space="preserve"> In FSER, </w:t>
      </w:r>
      <w:r w:rsidR="00402F81" w:rsidRPr="00F0756B">
        <w:t>the results of the security assessment were documented in Chapter 13, Conduct of Operations, specifically in Section 13.6, Physical Security [</w:t>
      </w:r>
      <w:r w:rsidR="00C957F6" w:rsidRPr="00F0756B">
        <w:t>8</w:t>
      </w:r>
      <w:r w:rsidR="00402F81" w:rsidRPr="00F0756B">
        <w:t>]. During this review process, approximately 2,400 Requests for Additional Information (RAIs) were conducted, of which about 70 were related to security.</w:t>
      </w:r>
      <w:r w:rsidR="00402F81" w:rsidRPr="00F0756B">
        <w:rPr>
          <w:lang w:eastAsia="ko-KR"/>
        </w:rPr>
        <w:t xml:space="preserve"> </w:t>
      </w:r>
    </w:p>
    <w:p w14:paraId="37E1B181" w14:textId="6863611A" w:rsidR="00401362" w:rsidRPr="00184B06" w:rsidRDefault="00401362" w:rsidP="000B0E9C">
      <w:pPr>
        <w:pStyle w:val="Authornameandaffiliation"/>
        <w:rPr>
          <w:lang w:val="en-GB" w:eastAsia="ko-KR"/>
        </w:rPr>
      </w:pPr>
    </w:p>
    <w:p w14:paraId="479107F9" w14:textId="3DD6AE7A" w:rsidR="00401362" w:rsidRPr="00401362" w:rsidRDefault="00F11F5A" w:rsidP="00F11F5A">
      <w:pPr>
        <w:pStyle w:val="ListEmdash"/>
        <w:ind w:left="709"/>
        <w:rPr>
          <w:lang w:eastAsia="ko-KR"/>
        </w:rPr>
      </w:pPr>
      <w:r>
        <w:rPr>
          <w:lang w:eastAsia="ko-KR"/>
        </w:rPr>
        <w:t>Amendments to Laws and Regulatory Guide</w:t>
      </w:r>
      <w:r>
        <w:rPr>
          <w:rFonts w:hint="eastAsia"/>
          <w:lang w:eastAsia="ko-KR"/>
        </w:rPr>
        <w:t xml:space="preserve"> </w:t>
      </w:r>
      <w:r w:rsidR="00401362">
        <w:rPr>
          <w:lang w:eastAsia="ko-KR"/>
        </w:rPr>
        <w:t>(20</w:t>
      </w:r>
      <w:r w:rsidR="00E25258">
        <w:rPr>
          <w:lang w:eastAsia="ko-KR"/>
        </w:rPr>
        <w:t>18</w:t>
      </w:r>
      <w:r>
        <w:rPr>
          <w:rFonts w:hint="eastAsia"/>
          <w:lang w:eastAsia="ko-KR"/>
        </w:rPr>
        <w:t xml:space="preserve"> </w:t>
      </w:r>
      <w:r>
        <w:rPr>
          <w:lang w:eastAsia="ko-KR"/>
        </w:rPr>
        <w:t>-</w:t>
      </w:r>
      <w:r w:rsidR="00401362">
        <w:rPr>
          <w:rFonts w:hint="eastAsia"/>
          <w:lang w:eastAsia="ko-KR"/>
        </w:rPr>
        <w:t>)</w:t>
      </w:r>
    </w:p>
    <w:p w14:paraId="2F661C48" w14:textId="37C3D9D6" w:rsidR="00547CC3" w:rsidRDefault="00AC6F9F" w:rsidP="000B0E9C">
      <w:pPr>
        <w:pStyle w:val="Authornameandaffiliation"/>
        <w:rPr>
          <w:lang w:val="en-GB"/>
        </w:rPr>
      </w:pPr>
      <w:r>
        <w:t xml:space="preserve">Based on the review experience with </w:t>
      </w:r>
      <w:proofErr w:type="spellStart"/>
      <w:r>
        <w:t>NuScale</w:t>
      </w:r>
      <w:proofErr w:type="spellEnd"/>
      <w:r>
        <w:t xml:space="preserve">, the NRC has undertaken relevant regulatory </w:t>
      </w:r>
      <w:r w:rsidR="00F11F5A">
        <w:rPr>
          <w:lang w:eastAsia="ko-KR"/>
        </w:rPr>
        <w:t xml:space="preserve">law and </w:t>
      </w:r>
      <w:r>
        <w:t xml:space="preserve">guidance. The NRC issued Regulatory Guide (RG) 1.232 in 2018, which provides Principal Design Criteria applicable to advanced reactor technologies, and RG 1.233 in 2020, which outlines Technology-Inclusive, Risk-Informed, and Performance-Based regulatory guidance for SMRs. </w:t>
      </w:r>
      <w:r>
        <w:rPr>
          <w:lang w:eastAsia="ko-KR"/>
        </w:rPr>
        <w:t>In addition</w:t>
      </w:r>
      <w:r w:rsidR="00A83F30">
        <w:rPr>
          <w:rFonts w:hint="eastAsia"/>
          <w:lang w:val="en-GB" w:eastAsia="ko-KR"/>
        </w:rPr>
        <w:t>,</w:t>
      </w:r>
      <w:r w:rsidR="00A83F30">
        <w:rPr>
          <w:lang w:val="en-GB" w:eastAsia="ko-KR"/>
        </w:rPr>
        <w:t xml:space="preserve"> </w:t>
      </w:r>
      <w:r w:rsidR="00A83F30">
        <w:t>NRC</w:t>
      </w:r>
      <w:r>
        <w:t xml:space="preserve"> </w:t>
      </w:r>
      <w:r w:rsidR="00A83F30">
        <w:t>has initiated a rulemaking process referred to as Title 10 of the Code of Federal Regulations (CFR) Part 53 and</w:t>
      </w:r>
      <w:r w:rsidR="00A83F30">
        <w:rPr>
          <w:rFonts w:hint="eastAsia"/>
          <w:lang w:eastAsia="ko-KR"/>
        </w:rPr>
        <w:t xml:space="preserve"> </w:t>
      </w:r>
      <w:r w:rsidR="00A83F30">
        <w:t>Part 73.110, aimed at suggesting a new regulatory framework for advanced reactors along with accompanying</w:t>
      </w:r>
      <w:r w:rsidR="00A83F30">
        <w:rPr>
          <w:rFonts w:hint="eastAsia"/>
          <w:lang w:eastAsia="ko-KR"/>
        </w:rPr>
        <w:t xml:space="preserve"> </w:t>
      </w:r>
      <w:r w:rsidR="00A83F30">
        <w:t>regulatory guidance</w:t>
      </w:r>
      <w:r w:rsidR="00A83F30">
        <w:rPr>
          <w:lang w:val="en-GB" w:eastAsia="ko-KR"/>
        </w:rPr>
        <w:t xml:space="preserve">. </w:t>
      </w:r>
      <w:r w:rsidR="00A83F30" w:rsidRPr="002407C6">
        <w:rPr>
          <w:lang w:val="en-GB"/>
        </w:rPr>
        <w:t>The NRC staff is expecting to issue the Final Rule by July 2025.</w:t>
      </w:r>
    </w:p>
    <w:p w14:paraId="7759E561" w14:textId="77777777" w:rsidR="00FD276E" w:rsidRDefault="00FD276E" w:rsidP="000B0E9C">
      <w:pPr>
        <w:pStyle w:val="Authornameandaffiliation"/>
        <w:rPr>
          <w:lang w:val="en-GB" w:eastAsia="ko-KR"/>
        </w:rPr>
      </w:pPr>
    </w:p>
    <w:p w14:paraId="3703C317" w14:textId="412A9078" w:rsidR="003E2C3A" w:rsidRPr="003E2C3A" w:rsidRDefault="00072DA2" w:rsidP="003E2C3A">
      <w:pPr>
        <w:pStyle w:val="4"/>
      </w:pPr>
      <w:r>
        <w:rPr>
          <w:rFonts w:hint="eastAsia"/>
          <w:lang w:eastAsia="ko-KR"/>
        </w:rPr>
        <w:t>I</w:t>
      </w:r>
      <w:r>
        <w:rPr>
          <w:lang w:eastAsia="ko-KR"/>
        </w:rPr>
        <w:t>nsights</w:t>
      </w:r>
    </w:p>
    <w:p w14:paraId="6237E3F1" w14:textId="201EEE28" w:rsidR="00276276" w:rsidRDefault="007C1F80" w:rsidP="00276276">
      <w:pPr>
        <w:pStyle w:val="Authornameandaffiliation"/>
        <w:rPr>
          <w:lang w:val="en-GB" w:eastAsia="ko-KR"/>
        </w:rPr>
      </w:pPr>
      <w:r w:rsidRPr="007C1F80">
        <w:rPr>
          <w:lang w:val="en-GB" w:eastAsia="ko-KR"/>
        </w:rPr>
        <w:t>In the U</w:t>
      </w:r>
      <w:r>
        <w:rPr>
          <w:lang w:val="en-GB" w:eastAsia="ko-KR"/>
        </w:rPr>
        <w:t>.</w:t>
      </w:r>
      <w:r>
        <w:rPr>
          <w:rFonts w:hint="eastAsia"/>
          <w:lang w:val="en-GB" w:eastAsia="ko-KR"/>
        </w:rPr>
        <w:t>S</w:t>
      </w:r>
      <w:r>
        <w:rPr>
          <w:lang w:val="en-GB" w:eastAsia="ko-KR"/>
        </w:rPr>
        <w:t>.</w:t>
      </w:r>
      <w:r w:rsidRPr="007C1F80">
        <w:rPr>
          <w:lang w:val="en-GB" w:eastAsia="ko-KR"/>
        </w:rPr>
        <w:t xml:space="preserve"> licensing </w:t>
      </w:r>
      <w:r>
        <w:rPr>
          <w:lang w:val="en-GB" w:eastAsia="ko-KR"/>
        </w:rPr>
        <w:t>framework</w:t>
      </w:r>
      <w:r w:rsidRPr="007C1F80">
        <w:rPr>
          <w:lang w:val="en-GB" w:eastAsia="ko-KR"/>
        </w:rPr>
        <w:t xml:space="preserve">, the concept of </w:t>
      </w:r>
      <w:r>
        <w:rPr>
          <w:lang w:val="en-GB" w:eastAsia="ko-KR"/>
        </w:rPr>
        <w:t>“</w:t>
      </w:r>
      <w:r w:rsidRPr="007C1F80">
        <w:rPr>
          <w:lang w:val="en-GB" w:eastAsia="ko-KR"/>
        </w:rPr>
        <w:t>Security by Design</w:t>
      </w:r>
      <w:r>
        <w:rPr>
          <w:lang w:val="en-GB" w:eastAsia="ko-KR"/>
        </w:rPr>
        <w:t>”</w:t>
      </w:r>
      <w:r w:rsidRPr="007C1F80">
        <w:rPr>
          <w:lang w:val="en-GB" w:eastAsia="ko-KR"/>
        </w:rPr>
        <w:t xml:space="preserve"> is applied to ensure security by considering physical and cyber</w:t>
      </w:r>
      <w:r>
        <w:rPr>
          <w:lang w:val="en-GB" w:eastAsia="ko-KR"/>
        </w:rPr>
        <w:t xml:space="preserve"> </w:t>
      </w:r>
      <w:r w:rsidRPr="007C1F80">
        <w:rPr>
          <w:lang w:val="en-GB" w:eastAsia="ko-KR"/>
        </w:rPr>
        <w:t xml:space="preserve">security from the initial </w:t>
      </w:r>
      <w:r>
        <w:rPr>
          <w:lang w:val="en-GB" w:eastAsia="ko-KR"/>
        </w:rPr>
        <w:t xml:space="preserve">design </w:t>
      </w:r>
      <w:r w:rsidRPr="007C1F80">
        <w:rPr>
          <w:lang w:val="en-GB" w:eastAsia="ko-KR"/>
        </w:rPr>
        <w:t>stages</w:t>
      </w:r>
      <w:r>
        <w:rPr>
          <w:lang w:val="en-GB" w:eastAsia="ko-KR"/>
        </w:rPr>
        <w:t>.</w:t>
      </w:r>
      <w:r w:rsidRPr="007C1F80">
        <w:rPr>
          <w:lang w:val="en-GB" w:eastAsia="ko-KR"/>
        </w:rPr>
        <w:t xml:space="preserve"> In contrast, due to the </w:t>
      </w:r>
      <w:r>
        <w:rPr>
          <w:lang w:val="en-GB" w:eastAsia="ko-KR"/>
        </w:rPr>
        <w:t>dualization</w:t>
      </w:r>
      <w:r w:rsidRPr="007C1F80">
        <w:rPr>
          <w:lang w:val="en-GB" w:eastAsia="ko-KR"/>
        </w:rPr>
        <w:t xml:space="preserve"> of laws dealing with nuclear safety and security in the R</w:t>
      </w:r>
      <w:r>
        <w:rPr>
          <w:lang w:val="en-GB" w:eastAsia="ko-KR"/>
        </w:rPr>
        <w:t>OK</w:t>
      </w:r>
      <w:r w:rsidRPr="007C1F80">
        <w:rPr>
          <w:lang w:val="en-GB" w:eastAsia="ko-KR"/>
        </w:rPr>
        <w:t xml:space="preserve"> licensing </w:t>
      </w:r>
      <w:r w:rsidR="00276276">
        <w:rPr>
          <w:lang w:val="en-GB" w:eastAsia="ko-KR"/>
        </w:rPr>
        <w:t>framework</w:t>
      </w:r>
      <w:r w:rsidRPr="007C1F80">
        <w:rPr>
          <w:lang w:val="en-GB" w:eastAsia="ko-KR"/>
        </w:rPr>
        <w:t xml:space="preserve">, it is challenging to conduct practical security assessments by applying the </w:t>
      </w:r>
      <w:r w:rsidR="00276276">
        <w:rPr>
          <w:lang w:val="en-GB" w:eastAsia="ko-KR"/>
        </w:rPr>
        <w:t>“</w:t>
      </w:r>
      <w:r w:rsidRPr="007C1F80">
        <w:rPr>
          <w:lang w:val="en-GB" w:eastAsia="ko-KR"/>
        </w:rPr>
        <w:t>Security by Design</w:t>
      </w:r>
      <w:r w:rsidR="00276276">
        <w:rPr>
          <w:lang w:val="en-GB" w:eastAsia="ko-KR"/>
        </w:rPr>
        <w:t>”</w:t>
      </w:r>
      <w:r w:rsidRPr="007C1F80">
        <w:rPr>
          <w:lang w:val="en-GB" w:eastAsia="ko-KR"/>
        </w:rPr>
        <w:t xml:space="preserve"> concept. Therefore, regulatory activities are required throughout the entire licensing process in the ROK to ensure that the </w:t>
      </w:r>
      <w:r w:rsidR="00276276">
        <w:rPr>
          <w:lang w:val="en-GB" w:eastAsia="ko-KR"/>
        </w:rPr>
        <w:t>“</w:t>
      </w:r>
      <w:r w:rsidRPr="007C1F80">
        <w:rPr>
          <w:lang w:val="en-GB" w:eastAsia="ko-KR"/>
        </w:rPr>
        <w:t>Security by Design</w:t>
      </w:r>
      <w:r w:rsidR="00276276">
        <w:rPr>
          <w:lang w:val="en-GB" w:eastAsia="ko-KR"/>
        </w:rPr>
        <w:t>”</w:t>
      </w:r>
      <w:r w:rsidRPr="007C1F80">
        <w:rPr>
          <w:lang w:val="en-GB" w:eastAsia="ko-KR"/>
        </w:rPr>
        <w:t xml:space="preserve"> concept is applied to</w:t>
      </w:r>
      <w:r w:rsidR="00276276">
        <w:rPr>
          <w:lang w:val="en-GB" w:eastAsia="ko-KR"/>
        </w:rPr>
        <w:t xml:space="preserve"> </w:t>
      </w:r>
      <w:proofErr w:type="spellStart"/>
      <w:r w:rsidR="00276276">
        <w:rPr>
          <w:lang w:val="en-GB" w:eastAsia="ko-KR"/>
        </w:rPr>
        <w:t>i</w:t>
      </w:r>
      <w:proofErr w:type="spellEnd"/>
      <w:r w:rsidR="00276276">
        <w:rPr>
          <w:lang w:val="en-GB" w:eastAsia="ko-KR"/>
        </w:rPr>
        <w:t>-SMR.</w:t>
      </w:r>
    </w:p>
    <w:p w14:paraId="7E4CC0E5" w14:textId="77777777" w:rsidR="00276276" w:rsidRDefault="00276276" w:rsidP="00276276">
      <w:pPr>
        <w:pStyle w:val="Authornameandaffiliation"/>
        <w:rPr>
          <w:lang w:val="en-GB" w:eastAsia="ko-KR"/>
        </w:rPr>
      </w:pPr>
    </w:p>
    <w:p w14:paraId="7DB342B7" w14:textId="77777777" w:rsidR="00DA1F4F" w:rsidRDefault="00276276" w:rsidP="00DA1F4F">
      <w:pPr>
        <w:pStyle w:val="Authornameandaffiliation"/>
        <w:rPr>
          <w:lang w:eastAsia="ko-KR"/>
        </w:rPr>
      </w:pPr>
      <w:r w:rsidRPr="00276276">
        <w:rPr>
          <w:lang w:eastAsia="ko-KR"/>
        </w:rPr>
        <w:t xml:space="preserve">In comparison to the </w:t>
      </w:r>
      <w:proofErr w:type="spellStart"/>
      <w:r w:rsidRPr="00276276">
        <w:rPr>
          <w:lang w:eastAsia="ko-KR"/>
        </w:rPr>
        <w:t>NuScale</w:t>
      </w:r>
      <w:proofErr w:type="spellEnd"/>
      <w:r w:rsidRPr="00276276">
        <w:rPr>
          <w:lang w:eastAsia="ko-KR"/>
        </w:rPr>
        <w:t xml:space="preserve"> case, applicants should be required to submit </w:t>
      </w:r>
      <w:r>
        <w:rPr>
          <w:lang w:eastAsia="ko-KR"/>
        </w:rPr>
        <w:t xml:space="preserve">security related </w:t>
      </w:r>
      <w:r w:rsidRPr="00276276">
        <w:rPr>
          <w:lang w:eastAsia="ko-KR"/>
        </w:rPr>
        <w:t xml:space="preserve">technical reports during the pre-design review </w:t>
      </w:r>
      <w:r>
        <w:rPr>
          <w:lang w:eastAsia="ko-KR"/>
        </w:rPr>
        <w:t>process</w:t>
      </w:r>
      <w:r w:rsidRPr="00276276">
        <w:rPr>
          <w:lang w:eastAsia="ko-KR"/>
        </w:rPr>
        <w:t xml:space="preserve">, and </w:t>
      </w:r>
      <w:r>
        <w:rPr>
          <w:lang w:eastAsia="ko-KR"/>
        </w:rPr>
        <w:t xml:space="preserve">then </w:t>
      </w:r>
      <w:r w:rsidRPr="00276276">
        <w:rPr>
          <w:lang w:eastAsia="ko-KR"/>
        </w:rPr>
        <w:t xml:space="preserve">regulatory </w:t>
      </w:r>
      <w:r>
        <w:rPr>
          <w:lang w:eastAsia="ko-KR"/>
        </w:rPr>
        <w:t>bod</w:t>
      </w:r>
      <w:r w:rsidRPr="00276276">
        <w:rPr>
          <w:lang w:eastAsia="ko-KR"/>
        </w:rPr>
        <w:t xml:space="preserve">ies should discuss regulatory issues related to security throughout </w:t>
      </w:r>
      <w:r>
        <w:rPr>
          <w:lang w:eastAsia="ko-KR"/>
        </w:rPr>
        <w:t>pre-design review</w:t>
      </w:r>
      <w:r w:rsidRPr="00276276">
        <w:rPr>
          <w:lang w:eastAsia="ko-KR"/>
        </w:rPr>
        <w:t xml:space="preserve"> process. Additionally, in preparation for the upcoming standard design </w:t>
      </w:r>
      <w:r>
        <w:rPr>
          <w:lang w:eastAsia="ko-KR"/>
        </w:rPr>
        <w:t>review</w:t>
      </w:r>
      <w:r w:rsidRPr="00276276">
        <w:rPr>
          <w:lang w:eastAsia="ko-KR"/>
        </w:rPr>
        <w:t xml:space="preserve"> stage, it is necessary to analyze whether the existing security regulatory requirements can be applied to </w:t>
      </w:r>
      <w:proofErr w:type="spellStart"/>
      <w:r>
        <w:rPr>
          <w:lang w:eastAsia="ko-KR"/>
        </w:rPr>
        <w:t>i</w:t>
      </w:r>
      <w:proofErr w:type="spellEnd"/>
      <w:r>
        <w:rPr>
          <w:lang w:eastAsia="ko-KR"/>
        </w:rPr>
        <w:t>-SMR</w:t>
      </w:r>
      <w:r w:rsidRPr="00276276">
        <w:rPr>
          <w:lang w:eastAsia="ko-KR"/>
        </w:rPr>
        <w:t xml:space="preserve">. Based on the </w:t>
      </w:r>
      <w:r>
        <w:rPr>
          <w:lang w:eastAsia="ko-KR"/>
        </w:rPr>
        <w:t>applicability analysis of the security regulatory requirements</w:t>
      </w:r>
      <w:r w:rsidRPr="00276276">
        <w:rPr>
          <w:lang w:eastAsia="ko-KR"/>
        </w:rPr>
        <w:t xml:space="preserve">, it is essential to develop </w:t>
      </w:r>
      <w:proofErr w:type="spellStart"/>
      <w:r>
        <w:rPr>
          <w:lang w:eastAsia="ko-KR"/>
        </w:rPr>
        <w:t>i</w:t>
      </w:r>
      <w:proofErr w:type="spellEnd"/>
      <w:r>
        <w:rPr>
          <w:lang w:eastAsia="ko-KR"/>
        </w:rPr>
        <w:t>-</w:t>
      </w:r>
      <w:r w:rsidRPr="00276276">
        <w:rPr>
          <w:lang w:eastAsia="ko-KR"/>
        </w:rPr>
        <w:t>SMR</w:t>
      </w:r>
      <w:r>
        <w:rPr>
          <w:lang w:eastAsia="ko-KR"/>
        </w:rPr>
        <w:t xml:space="preserve"> </w:t>
      </w:r>
      <w:r w:rsidRPr="00276276">
        <w:rPr>
          <w:lang w:eastAsia="ko-KR"/>
        </w:rPr>
        <w:t>specific review guidelines that can be utilized in the standard design review.</w:t>
      </w:r>
    </w:p>
    <w:p w14:paraId="3E62EFD3" w14:textId="77777777" w:rsidR="00DA1F4F" w:rsidRDefault="00DA1F4F" w:rsidP="00DA1F4F">
      <w:pPr>
        <w:pStyle w:val="Authornameandaffiliation"/>
      </w:pPr>
    </w:p>
    <w:p w14:paraId="2AE9E9A9" w14:textId="4118069C" w:rsidR="00DA1F4F" w:rsidRDefault="00DA1F4F" w:rsidP="00DA1F4F">
      <w:pPr>
        <w:pStyle w:val="Authornameandaffiliation"/>
      </w:pPr>
      <w:r w:rsidRPr="00DA1F4F">
        <w:t xml:space="preserve">In the standard design review process, it is necessary to document the results of the security assessment and the review inquiries conducted to perform the evaluation. Furthermore, by documenting the lessons learned and regulatory experiences during the standard design review process, this information can be used to </w:t>
      </w:r>
      <w:r>
        <w:t>adjust</w:t>
      </w:r>
      <w:r w:rsidRPr="00DA1F4F">
        <w:t xml:space="preserve"> future regulatory </w:t>
      </w:r>
      <w:r w:rsidR="003A5ACE">
        <w:t xml:space="preserve">laws and </w:t>
      </w:r>
      <w:r w:rsidRPr="00DA1F4F">
        <w:t>guidelines.</w:t>
      </w:r>
    </w:p>
    <w:p w14:paraId="51C26643" w14:textId="77777777" w:rsidR="00B978C5" w:rsidRPr="00DA1F4F" w:rsidRDefault="00B978C5" w:rsidP="00DA1F4F">
      <w:pPr>
        <w:pStyle w:val="Authornameandaffiliation"/>
        <w:rPr>
          <w:lang w:eastAsia="ko-KR"/>
        </w:rPr>
      </w:pPr>
    </w:p>
    <w:p w14:paraId="0D66F24E" w14:textId="587C2917" w:rsidR="003E2C3A" w:rsidRDefault="00092404" w:rsidP="003E2C3A">
      <w:pPr>
        <w:pStyle w:val="3"/>
        <w:numPr>
          <w:ilvl w:val="2"/>
          <w:numId w:val="33"/>
        </w:numPr>
        <w:rPr>
          <w:lang w:eastAsia="ko-KR"/>
        </w:rPr>
      </w:pPr>
      <w:r>
        <w:rPr>
          <w:rFonts w:hint="eastAsia"/>
          <w:lang w:eastAsia="ko-KR"/>
        </w:rPr>
        <w:t>U</w:t>
      </w:r>
      <w:r>
        <w:rPr>
          <w:lang w:eastAsia="ko-KR"/>
        </w:rPr>
        <w:t>K ONR</w:t>
      </w:r>
    </w:p>
    <w:p w14:paraId="2374D9A1" w14:textId="3BECC858" w:rsidR="003E2C3A" w:rsidRDefault="00D7082F" w:rsidP="003E2C3A">
      <w:pPr>
        <w:pStyle w:val="4"/>
        <w:numPr>
          <w:ilvl w:val="3"/>
          <w:numId w:val="35"/>
        </w:numPr>
        <w:rPr>
          <w:lang w:eastAsia="ko-KR"/>
        </w:rPr>
      </w:pPr>
      <w:r>
        <w:rPr>
          <w:rFonts w:hint="eastAsia"/>
          <w:lang w:eastAsia="ko-KR"/>
        </w:rPr>
        <w:t>G</w:t>
      </w:r>
      <w:r>
        <w:rPr>
          <w:lang w:eastAsia="ko-KR"/>
        </w:rPr>
        <w:t>eneral Design Assessment (GDA)</w:t>
      </w:r>
      <w:r w:rsidR="00903BE8">
        <w:rPr>
          <w:rFonts w:hint="eastAsia"/>
          <w:lang w:eastAsia="ko-KR"/>
        </w:rPr>
        <w:t xml:space="preserve"> </w:t>
      </w:r>
    </w:p>
    <w:p w14:paraId="5326D706" w14:textId="24DF1375" w:rsidR="008C1C8E" w:rsidRDefault="00816DB5" w:rsidP="002C161A">
      <w:pPr>
        <w:pStyle w:val="Authornameandaffiliation"/>
        <w:rPr>
          <w:b/>
        </w:rPr>
      </w:pPr>
      <w:r>
        <w:lastRenderedPageBreak/>
        <w:t>The GDA</w:t>
      </w:r>
      <w:r w:rsidR="00FD0DD5">
        <w:t xml:space="preserve"> </w:t>
      </w:r>
      <w:r>
        <w:t xml:space="preserve">is a process for the safety and security </w:t>
      </w:r>
      <w:r w:rsidR="002C161A">
        <w:rPr>
          <w:rFonts w:hint="eastAsia"/>
          <w:lang w:eastAsia="ko-KR"/>
        </w:rPr>
        <w:t>a</w:t>
      </w:r>
      <w:r w:rsidR="002C161A">
        <w:rPr>
          <w:lang w:eastAsia="ko-KR"/>
        </w:rPr>
        <w:t>ssessment</w:t>
      </w:r>
      <w:r>
        <w:t xml:space="preserve"> of new nuclear power plants intended to be constructed and operated in the UK. </w:t>
      </w:r>
      <w:r w:rsidR="002C161A">
        <w:t xml:space="preserve">This process will be applied where the Office for Nuclear Regulation (ONR) is asked to assess a proposed design in advance, or in parallel to an application for a nuclear site license application. </w:t>
      </w:r>
      <w:r>
        <w:t>By applying the GDA</w:t>
      </w:r>
      <w:r w:rsidR="002C161A">
        <w:t xml:space="preserve"> process</w:t>
      </w:r>
      <w:r>
        <w:t>, regulatory considerations can be addressed from the early design stages of new nuclear power plants, thereby reducing regulatory evaluation time and resolving potential regulatory uncertainties that site operators might face in the future. Due to these inherent advantages, the GDA is not a mandatory process but is requested for new nuclear power plants intended for construction in the UK.</w:t>
      </w:r>
      <w:r w:rsidR="00AF3640">
        <w:t xml:space="preserve"> The GDA process consists of three st</w:t>
      </w:r>
      <w:r w:rsidR="002C161A">
        <w:t>ep</w:t>
      </w:r>
      <w:r w:rsidR="00AF3640">
        <w:t>s in total, with the ONR defining the evaluation objectives and security-related requirements for each st</w:t>
      </w:r>
      <w:r w:rsidR="002C161A">
        <w:t>ep</w:t>
      </w:r>
      <w:r w:rsidR="00A9596B">
        <w:t xml:space="preserve"> </w:t>
      </w:r>
      <w:r w:rsidR="00A9596B" w:rsidRPr="00F0756B">
        <w:t>[</w:t>
      </w:r>
      <w:r w:rsidR="00F0703B" w:rsidRPr="00F0756B">
        <w:t>9</w:t>
      </w:r>
      <w:r w:rsidR="00A9596B" w:rsidRPr="00F0756B">
        <w:t>]</w:t>
      </w:r>
      <w:r w:rsidR="002C161A" w:rsidRPr="00F0756B">
        <w:t>.</w:t>
      </w:r>
    </w:p>
    <w:p w14:paraId="05EEAA69" w14:textId="77777777" w:rsidR="00A9596B" w:rsidRDefault="002C161A" w:rsidP="00A9596B">
      <w:pPr>
        <w:pStyle w:val="ListEmdash"/>
        <w:ind w:left="709"/>
        <w:rPr>
          <w:lang w:eastAsia="ko-KR"/>
        </w:rPr>
      </w:pPr>
      <w:r>
        <w:rPr>
          <w:rFonts w:hint="eastAsia"/>
          <w:lang w:eastAsia="ko-KR"/>
        </w:rPr>
        <w:t>S</w:t>
      </w:r>
      <w:r>
        <w:rPr>
          <w:lang w:eastAsia="ko-KR"/>
        </w:rPr>
        <w:t xml:space="preserve">tep 1. Initiation (12 months) </w:t>
      </w:r>
    </w:p>
    <w:p w14:paraId="2229816D" w14:textId="77777777" w:rsidR="00A9596B" w:rsidRDefault="002C161A" w:rsidP="00A9596B">
      <w:pPr>
        <w:pStyle w:val="ListEmdash"/>
        <w:ind w:left="709"/>
        <w:rPr>
          <w:lang w:eastAsia="ko-KR"/>
        </w:rPr>
      </w:pPr>
      <w:r>
        <w:rPr>
          <w:rFonts w:hint="eastAsia"/>
          <w:lang w:eastAsia="ko-KR"/>
        </w:rPr>
        <w:t>S</w:t>
      </w:r>
      <w:r>
        <w:rPr>
          <w:lang w:eastAsia="ko-KR"/>
        </w:rPr>
        <w:t>tep 2. Fundamental (12 months)</w:t>
      </w:r>
    </w:p>
    <w:p w14:paraId="0BA4D16E" w14:textId="77777777" w:rsidR="00A9596B" w:rsidRDefault="002C161A" w:rsidP="00A9596B">
      <w:pPr>
        <w:pStyle w:val="ListEmdash"/>
        <w:ind w:left="709"/>
        <w:rPr>
          <w:lang w:eastAsia="ko-KR"/>
        </w:rPr>
      </w:pPr>
      <w:r>
        <w:rPr>
          <w:rFonts w:hint="eastAsia"/>
          <w:lang w:eastAsia="ko-KR"/>
        </w:rPr>
        <w:t>S</w:t>
      </w:r>
      <w:r>
        <w:rPr>
          <w:lang w:eastAsia="ko-KR"/>
        </w:rPr>
        <w:t>tep 3. Detailed (12 months)</w:t>
      </w:r>
    </w:p>
    <w:p w14:paraId="27B0622E" w14:textId="77DD9B89" w:rsidR="002C161A" w:rsidRPr="00A9596B" w:rsidRDefault="002C161A" w:rsidP="00A9596B">
      <w:pPr>
        <w:pStyle w:val="ListEmdash"/>
        <w:ind w:left="709"/>
        <w:rPr>
          <w:lang w:eastAsia="ko-KR"/>
        </w:rPr>
      </w:pPr>
      <w:r>
        <w:rPr>
          <w:rFonts w:hint="eastAsia"/>
          <w:lang w:eastAsia="ko-KR"/>
        </w:rPr>
        <w:t>S</w:t>
      </w:r>
      <w:r>
        <w:rPr>
          <w:lang w:eastAsia="ko-KR"/>
        </w:rPr>
        <w:t xml:space="preserve">tep 4. Resolution of GDA Issues (Agreed between ONR and the applicants) </w:t>
      </w:r>
    </w:p>
    <w:p w14:paraId="2BEF51CE" w14:textId="77777777" w:rsidR="00E80256" w:rsidRDefault="00E80256" w:rsidP="005D0936">
      <w:pPr>
        <w:pStyle w:val="Authornameandaffiliation"/>
        <w:ind w:left="0"/>
        <w:rPr>
          <w:sz w:val="18"/>
          <w:lang w:eastAsia="ko-KR"/>
        </w:rPr>
      </w:pPr>
    </w:p>
    <w:p w14:paraId="1AE3BDBB" w14:textId="078060BB" w:rsidR="00AF3640" w:rsidRPr="00F0756B" w:rsidRDefault="00AF3640" w:rsidP="00AF3640">
      <w:pPr>
        <w:pStyle w:val="Authornameandaffiliation"/>
        <w:rPr>
          <w:lang w:val="en-GB" w:eastAsia="ko-KR"/>
        </w:rPr>
      </w:pPr>
      <w:r w:rsidRPr="00AF3640">
        <w:rPr>
          <w:lang w:val="en-GB" w:eastAsia="ko-KR"/>
        </w:rPr>
        <w:t xml:space="preserve">To conduct the GDA, the </w:t>
      </w:r>
      <w:r w:rsidR="006B3D88">
        <w:rPr>
          <w:lang w:val="en-GB" w:eastAsia="ko-KR"/>
        </w:rPr>
        <w:t>ONR</w:t>
      </w:r>
      <w:r w:rsidRPr="00AF3640">
        <w:rPr>
          <w:lang w:val="en-GB" w:eastAsia="ko-KR"/>
        </w:rPr>
        <w:t xml:space="preserve"> evaluates the suitability of applicants' safety-security cases across the 22 technical assessment topics defined in the </w:t>
      </w:r>
      <w:r w:rsidR="00D36315">
        <w:rPr>
          <w:lang w:val="en-GB" w:eastAsia="ko-KR"/>
        </w:rPr>
        <w:t>T</w:t>
      </w:r>
      <w:r w:rsidRPr="00AF3640">
        <w:rPr>
          <w:lang w:val="en-GB" w:eastAsia="ko-KR"/>
        </w:rPr>
        <w:t>able</w:t>
      </w:r>
      <w:r w:rsidR="006B3D88">
        <w:rPr>
          <w:lang w:val="en-GB" w:eastAsia="ko-KR"/>
        </w:rPr>
        <w:t xml:space="preserve"> 1</w:t>
      </w:r>
      <w:r w:rsidRPr="00AF3640">
        <w:rPr>
          <w:lang w:val="en-GB" w:eastAsia="ko-KR"/>
        </w:rPr>
        <w:t>, with security being one of the required items</w:t>
      </w:r>
      <w:r w:rsidR="00D36315">
        <w:rPr>
          <w:lang w:val="en-GB" w:eastAsia="ko-KR"/>
        </w:rPr>
        <w:t xml:space="preserve"> </w:t>
      </w:r>
      <w:r w:rsidR="00D36315" w:rsidRPr="00D36315">
        <w:rPr>
          <w:b/>
          <w:lang w:val="en-GB" w:eastAsia="ko-KR"/>
        </w:rPr>
        <w:t>[</w:t>
      </w:r>
      <w:r w:rsidR="00507053" w:rsidRPr="00F0756B">
        <w:rPr>
          <w:lang w:val="en-GB" w:eastAsia="ko-KR"/>
        </w:rPr>
        <w:t>9</w:t>
      </w:r>
      <w:r w:rsidR="00D36315" w:rsidRPr="00F0756B">
        <w:rPr>
          <w:lang w:val="en-GB" w:eastAsia="ko-KR"/>
        </w:rPr>
        <w:t>]</w:t>
      </w:r>
      <w:r w:rsidRPr="00F0756B">
        <w:rPr>
          <w:lang w:val="en-GB" w:eastAsia="ko-KR"/>
        </w:rPr>
        <w:t>.</w:t>
      </w:r>
    </w:p>
    <w:p w14:paraId="1E0AD943" w14:textId="213DAD91" w:rsidR="00DD0D3E" w:rsidRPr="00F0756B" w:rsidRDefault="00DD0D3E" w:rsidP="00AF3640">
      <w:pPr>
        <w:pStyle w:val="Authornameandaffiliation"/>
        <w:rPr>
          <w:lang w:val="en-GB" w:eastAsia="ko-KR"/>
        </w:rPr>
      </w:pPr>
    </w:p>
    <w:p w14:paraId="2161EA0B" w14:textId="1A2A7F07" w:rsidR="00DD0D3E" w:rsidRDefault="00DD0D3E" w:rsidP="00DD0D3E">
      <w:pPr>
        <w:pStyle w:val="a1"/>
        <w:ind w:firstLine="0"/>
      </w:pPr>
      <w:r>
        <w:t>TABLE 1.</w:t>
      </w:r>
      <w:r w:rsidR="00A935D1">
        <w:t xml:space="preserve"> GDA TECHNICAL ASSESSMENT TOPICS</w:t>
      </w:r>
    </w:p>
    <w:p w14:paraId="56385F6D" w14:textId="4BB1CAF0" w:rsidR="00DD0D3E" w:rsidRDefault="00DD0D3E" w:rsidP="00AF3640">
      <w:pPr>
        <w:pStyle w:val="Authornameandaffiliation"/>
        <w:rPr>
          <w:lang w:val="en-GB" w:eastAsia="ko-KR"/>
        </w:rPr>
      </w:pPr>
    </w:p>
    <w:tbl>
      <w:tblPr>
        <w:tblStyle w:val="ac"/>
        <w:tblW w:w="0" w:type="auto"/>
        <w:jc w:val="center"/>
        <w:tblLook w:val="04A0" w:firstRow="1" w:lastRow="0" w:firstColumn="1" w:lastColumn="0" w:noHBand="0" w:noVBand="1"/>
      </w:tblPr>
      <w:tblGrid>
        <w:gridCol w:w="1741"/>
        <w:gridCol w:w="1741"/>
        <w:gridCol w:w="1742"/>
        <w:gridCol w:w="1742"/>
        <w:gridCol w:w="1742"/>
      </w:tblGrid>
      <w:tr w:rsidR="00DD0D3E" w14:paraId="22A7DD1A" w14:textId="4290074E" w:rsidTr="00DD0D3E">
        <w:trPr>
          <w:jc w:val="center"/>
        </w:trPr>
        <w:tc>
          <w:tcPr>
            <w:tcW w:w="8708" w:type="dxa"/>
            <w:gridSpan w:val="5"/>
          </w:tcPr>
          <w:p w14:paraId="2A751DCB" w14:textId="7053922D" w:rsidR="00DD0D3E" w:rsidRPr="00DD0D3E" w:rsidRDefault="00DD0D3E" w:rsidP="002F2C38">
            <w:pPr>
              <w:pStyle w:val="a1"/>
              <w:ind w:firstLine="0"/>
              <w:jc w:val="center"/>
              <w:rPr>
                <w:b/>
              </w:rPr>
            </w:pPr>
            <w:r w:rsidRPr="00DD0D3E">
              <w:rPr>
                <w:b/>
              </w:rPr>
              <w:t>Topic</w:t>
            </w:r>
          </w:p>
        </w:tc>
      </w:tr>
      <w:tr w:rsidR="00DD0D3E" w14:paraId="626724F8" w14:textId="6A04C225" w:rsidTr="00DD0D3E">
        <w:trPr>
          <w:jc w:val="center"/>
        </w:trPr>
        <w:tc>
          <w:tcPr>
            <w:tcW w:w="1741" w:type="dxa"/>
            <w:vAlign w:val="center"/>
          </w:tcPr>
          <w:p w14:paraId="1CD9E7B1" w14:textId="24AA3195" w:rsidR="00DD0D3E" w:rsidRPr="0029346D" w:rsidRDefault="00DD0D3E" w:rsidP="00DD0D3E">
            <w:pPr>
              <w:pStyle w:val="a1"/>
              <w:ind w:firstLine="0"/>
              <w:jc w:val="center"/>
              <w:rPr>
                <w:rStyle w:val="TabletextChar"/>
                <w:sz w:val="18"/>
                <w:szCs w:val="18"/>
              </w:rPr>
            </w:pPr>
            <w:r w:rsidRPr="0029346D">
              <w:rPr>
                <w:rStyle w:val="TabletextChar"/>
                <w:sz w:val="18"/>
                <w:szCs w:val="18"/>
              </w:rPr>
              <w:t>Chemistry</w:t>
            </w:r>
          </w:p>
        </w:tc>
        <w:tc>
          <w:tcPr>
            <w:tcW w:w="1741" w:type="dxa"/>
            <w:vAlign w:val="center"/>
          </w:tcPr>
          <w:p w14:paraId="6E9A4272" w14:textId="42FB669D"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Fault Studies</w:t>
            </w:r>
          </w:p>
        </w:tc>
        <w:tc>
          <w:tcPr>
            <w:tcW w:w="1742" w:type="dxa"/>
            <w:vAlign w:val="center"/>
          </w:tcPr>
          <w:p w14:paraId="2EF404C1" w14:textId="0DF74F74"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Radioactive Waste Management</w:t>
            </w:r>
          </w:p>
        </w:tc>
        <w:tc>
          <w:tcPr>
            <w:tcW w:w="1742" w:type="dxa"/>
            <w:vAlign w:val="center"/>
          </w:tcPr>
          <w:p w14:paraId="5313D44E" w14:textId="77D9AA4D"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Civil Engineering</w:t>
            </w:r>
          </w:p>
        </w:tc>
        <w:tc>
          <w:tcPr>
            <w:tcW w:w="1742" w:type="dxa"/>
            <w:vAlign w:val="center"/>
          </w:tcPr>
          <w:p w14:paraId="5398F7A2" w14:textId="7BA711C7"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Fuel and Core</w:t>
            </w:r>
          </w:p>
        </w:tc>
      </w:tr>
      <w:tr w:rsidR="00DD0D3E" w14:paraId="57803B95" w14:textId="2E60D4CC" w:rsidTr="00DD0D3E">
        <w:trPr>
          <w:jc w:val="center"/>
        </w:trPr>
        <w:tc>
          <w:tcPr>
            <w:tcW w:w="1741" w:type="dxa"/>
            <w:vAlign w:val="center"/>
          </w:tcPr>
          <w:p w14:paraId="2A023B86" w14:textId="46E283C6"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Safeguards</w:t>
            </w:r>
          </w:p>
        </w:tc>
        <w:tc>
          <w:tcPr>
            <w:tcW w:w="1741" w:type="dxa"/>
            <w:vAlign w:val="center"/>
          </w:tcPr>
          <w:p w14:paraId="32B26011" w14:textId="7EAAF635"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Control and Instrumentation (C&amp;I)</w:t>
            </w:r>
          </w:p>
        </w:tc>
        <w:tc>
          <w:tcPr>
            <w:tcW w:w="1742" w:type="dxa"/>
            <w:vAlign w:val="center"/>
          </w:tcPr>
          <w:p w14:paraId="001C4498" w14:textId="74674355"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Human Factors</w:t>
            </w:r>
          </w:p>
        </w:tc>
        <w:tc>
          <w:tcPr>
            <w:tcW w:w="1742" w:type="dxa"/>
            <w:vAlign w:val="center"/>
          </w:tcPr>
          <w:p w14:paraId="227ADB6B" w14:textId="75424E3B" w:rsidR="00DD0D3E" w:rsidRPr="0029346D" w:rsidRDefault="00DD0D3E" w:rsidP="00DD0D3E">
            <w:pPr>
              <w:pStyle w:val="a1"/>
              <w:ind w:firstLine="0"/>
              <w:jc w:val="center"/>
              <w:rPr>
                <w:rStyle w:val="TabletextChar"/>
                <w:b/>
                <w:sz w:val="18"/>
                <w:szCs w:val="18"/>
              </w:rPr>
            </w:pPr>
            <w:r w:rsidRPr="0029346D">
              <w:rPr>
                <w:rStyle w:val="TabletextChar"/>
                <w:rFonts w:hint="eastAsia"/>
                <w:b/>
                <w:sz w:val="18"/>
                <w:szCs w:val="18"/>
              </w:rPr>
              <w:t>Security</w:t>
            </w:r>
          </w:p>
        </w:tc>
        <w:tc>
          <w:tcPr>
            <w:tcW w:w="1742" w:type="dxa"/>
            <w:vAlign w:val="center"/>
          </w:tcPr>
          <w:p w14:paraId="53D072DF" w14:textId="4BFF8677"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Conventional Fire Safety</w:t>
            </w:r>
          </w:p>
        </w:tc>
      </w:tr>
      <w:tr w:rsidR="00DD0D3E" w14:paraId="6773E541" w14:textId="77777777" w:rsidTr="00DD0D3E">
        <w:trPr>
          <w:jc w:val="center"/>
        </w:trPr>
        <w:tc>
          <w:tcPr>
            <w:tcW w:w="1741" w:type="dxa"/>
            <w:vAlign w:val="center"/>
          </w:tcPr>
          <w:p w14:paraId="3DD6FADD" w14:textId="448284CE"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Internal hazards</w:t>
            </w:r>
          </w:p>
        </w:tc>
        <w:tc>
          <w:tcPr>
            <w:tcW w:w="1741" w:type="dxa"/>
            <w:vAlign w:val="center"/>
          </w:tcPr>
          <w:p w14:paraId="7B62BEA8" w14:textId="4F10AF87"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Severe Accident Analysis (SAA)</w:t>
            </w:r>
          </w:p>
        </w:tc>
        <w:tc>
          <w:tcPr>
            <w:tcW w:w="1742" w:type="dxa"/>
            <w:vAlign w:val="center"/>
          </w:tcPr>
          <w:p w14:paraId="16393316" w14:textId="388EFB5B"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Conventional health and Safety</w:t>
            </w:r>
          </w:p>
        </w:tc>
        <w:tc>
          <w:tcPr>
            <w:tcW w:w="1742" w:type="dxa"/>
            <w:vAlign w:val="center"/>
          </w:tcPr>
          <w:p w14:paraId="2B6996CE" w14:textId="76DD0EF2"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Management for Safety and Quality Assurance</w:t>
            </w:r>
          </w:p>
        </w:tc>
        <w:tc>
          <w:tcPr>
            <w:tcW w:w="1742" w:type="dxa"/>
            <w:vAlign w:val="center"/>
          </w:tcPr>
          <w:p w14:paraId="0CCB1F13" w14:textId="727FDC73"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Spent Fuel Management</w:t>
            </w:r>
          </w:p>
        </w:tc>
      </w:tr>
      <w:tr w:rsidR="00DD0D3E" w14:paraId="11E49FB8" w14:textId="77777777" w:rsidTr="00DD0D3E">
        <w:trPr>
          <w:jc w:val="center"/>
        </w:trPr>
        <w:tc>
          <w:tcPr>
            <w:tcW w:w="1741" w:type="dxa"/>
            <w:vAlign w:val="center"/>
          </w:tcPr>
          <w:p w14:paraId="4BB145F8" w14:textId="604DA60D"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Decommissioning</w:t>
            </w:r>
          </w:p>
        </w:tc>
        <w:tc>
          <w:tcPr>
            <w:tcW w:w="1741" w:type="dxa"/>
            <w:vAlign w:val="center"/>
          </w:tcPr>
          <w:p w14:paraId="6AD61CA6" w14:textId="1DE83251"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Mechanical Engineering</w:t>
            </w:r>
          </w:p>
        </w:tc>
        <w:tc>
          <w:tcPr>
            <w:tcW w:w="1742" w:type="dxa"/>
            <w:vAlign w:val="center"/>
          </w:tcPr>
          <w:p w14:paraId="3315F92D" w14:textId="4E974E6B"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Structural integrity</w:t>
            </w:r>
          </w:p>
        </w:tc>
        <w:tc>
          <w:tcPr>
            <w:tcW w:w="1742" w:type="dxa"/>
            <w:vAlign w:val="center"/>
          </w:tcPr>
          <w:p w14:paraId="6D050A56" w14:textId="726C1E56"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Electrical Engineering</w:t>
            </w:r>
          </w:p>
        </w:tc>
        <w:tc>
          <w:tcPr>
            <w:tcW w:w="1742" w:type="dxa"/>
            <w:vAlign w:val="center"/>
          </w:tcPr>
          <w:p w14:paraId="756A8105" w14:textId="517445D7"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Probabilistic Safety Analysis (PSA)</w:t>
            </w:r>
          </w:p>
        </w:tc>
      </w:tr>
      <w:tr w:rsidR="00DD0D3E" w14:paraId="7042096C" w14:textId="77777777" w:rsidTr="0029346D">
        <w:trPr>
          <w:trHeight w:val="58"/>
          <w:jc w:val="center"/>
        </w:trPr>
        <w:tc>
          <w:tcPr>
            <w:tcW w:w="1741" w:type="dxa"/>
            <w:vAlign w:val="center"/>
          </w:tcPr>
          <w:p w14:paraId="3FEB2017" w14:textId="2842149E"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External Hazards</w:t>
            </w:r>
          </w:p>
        </w:tc>
        <w:tc>
          <w:tcPr>
            <w:tcW w:w="1741" w:type="dxa"/>
            <w:vAlign w:val="center"/>
          </w:tcPr>
          <w:p w14:paraId="3A3AFB68" w14:textId="55ECA6DD" w:rsidR="00DD0D3E" w:rsidRPr="0029346D" w:rsidRDefault="00DD0D3E" w:rsidP="00DD0D3E">
            <w:pPr>
              <w:pStyle w:val="a1"/>
              <w:ind w:firstLine="0"/>
              <w:jc w:val="center"/>
              <w:rPr>
                <w:rStyle w:val="TabletextChar"/>
                <w:sz w:val="18"/>
                <w:szCs w:val="18"/>
              </w:rPr>
            </w:pPr>
            <w:r w:rsidRPr="0029346D">
              <w:rPr>
                <w:rStyle w:val="TabletextChar"/>
                <w:rFonts w:hint="eastAsia"/>
                <w:sz w:val="18"/>
                <w:szCs w:val="18"/>
              </w:rPr>
              <w:t>Radiological Protection</w:t>
            </w:r>
          </w:p>
        </w:tc>
        <w:tc>
          <w:tcPr>
            <w:tcW w:w="1742" w:type="dxa"/>
            <w:vAlign w:val="center"/>
          </w:tcPr>
          <w:p w14:paraId="03CB9196" w14:textId="77777777" w:rsidR="00DD0D3E" w:rsidRPr="0029346D" w:rsidRDefault="00DD0D3E" w:rsidP="00DD0D3E">
            <w:pPr>
              <w:pStyle w:val="a1"/>
              <w:ind w:firstLine="0"/>
              <w:jc w:val="center"/>
              <w:rPr>
                <w:rStyle w:val="TabletextChar"/>
                <w:sz w:val="18"/>
                <w:szCs w:val="18"/>
              </w:rPr>
            </w:pPr>
          </w:p>
        </w:tc>
        <w:tc>
          <w:tcPr>
            <w:tcW w:w="1742" w:type="dxa"/>
            <w:vAlign w:val="center"/>
          </w:tcPr>
          <w:p w14:paraId="339CE1F0" w14:textId="77777777" w:rsidR="00DD0D3E" w:rsidRPr="0029346D" w:rsidRDefault="00DD0D3E" w:rsidP="00DD0D3E">
            <w:pPr>
              <w:pStyle w:val="a1"/>
              <w:ind w:firstLine="0"/>
              <w:jc w:val="center"/>
              <w:rPr>
                <w:rStyle w:val="TabletextChar"/>
                <w:sz w:val="18"/>
                <w:szCs w:val="18"/>
              </w:rPr>
            </w:pPr>
          </w:p>
        </w:tc>
        <w:tc>
          <w:tcPr>
            <w:tcW w:w="1742" w:type="dxa"/>
            <w:vAlign w:val="center"/>
          </w:tcPr>
          <w:p w14:paraId="249481BE" w14:textId="77777777" w:rsidR="00DD0D3E" w:rsidRPr="0029346D" w:rsidRDefault="00DD0D3E" w:rsidP="00DD0D3E">
            <w:pPr>
              <w:pStyle w:val="a1"/>
              <w:ind w:firstLine="0"/>
              <w:jc w:val="center"/>
              <w:rPr>
                <w:rStyle w:val="TabletextChar"/>
                <w:sz w:val="18"/>
                <w:szCs w:val="18"/>
              </w:rPr>
            </w:pPr>
          </w:p>
        </w:tc>
      </w:tr>
    </w:tbl>
    <w:p w14:paraId="07A49E24" w14:textId="51537ABB" w:rsidR="008C1C8E" w:rsidRPr="00AF3640" w:rsidRDefault="008C1C8E" w:rsidP="00AF3640">
      <w:pPr>
        <w:pStyle w:val="Authornameandaffiliation"/>
        <w:ind w:left="0"/>
        <w:rPr>
          <w:lang w:val="en-GB" w:eastAsia="ko-KR"/>
        </w:rPr>
      </w:pPr>
    </w:p>
    <w:p w14:paraId="4431E7E9" w14:textId="21FB0163" w:rsidR="00903BE8" w:rsidRDefault="009E2065" w:rsidP="003E2C3A">
      <w:pPr>
        <w:pStyle w:val="4"/>
        <w:numPr>
          <w:ilvl w:val="3"/>
          <w:numId w:val="35"/>
        </w:numPr>
        <w:rPr>
          <w:lang w:eastAsia="ko-KR"/>
        </w:rPr>
      </w:pPr>
      <w:r>
        <w:rPr>
          <w:rFonts w:hint="eastAsia"/>
          <w:lang w:eastAsia="ko-KR"/>
        </w:rPr>
        <w:t>S</w:t>
      </w:r>
      <w:r>
        <w:rPr>
          <w:lang w:eastAsia="ko-KR"/>
        </w:rPr>
        <w:t>ecurity Regulation</w:t>
      </w:r>
    </w:p>
    <w:p w14:paraId="2320958C" w14:textId="3627CB5E" w:rsidR="00A83717" w:rsidRPr="00AF3640" w:rsidRDefault="00AF3640" w:rsidP="00A83717">
      <w:pPr>
        <w:pStyle w:val="Authornameandaffiliation"/>
        <w:rPr>
          <w:lang w:val="en-GB"/>
        </w:rPr>
      </w:pPr>
      <w:r w:rsidRPr="00AF3640">
        <w:rPr>
          <w:lang w:val="en-GB"/>
        </w:rPr>
        <w:t>The ONR utilizes Security Assessment Principles (</w:t>
      </w:r>
      <w:proofErr w:type="spellStart"/>
      <w:r w:rsidRPr="00AF3640">
        <w:rPr>
          <w:lang w:val="en-GB"/>
        </w:rPr>
        <w:t>SyAPs</w:t>
      </w:r>
      <w:proofErr w:type="spellEnd"/>
      <w:r w:rsidRPr="00AF3640">
        <w:rPr>
          <w:lang w:val="en-GB"/>
        </w:rPr>
        <w:t xml:space="preserve">) and </w:t>
      </w:r>
      <w:r w:rsidR="00C51D0D">
        <w:rPr>
          <w:lang w:val="en-GB"/>
        </w:rPr>
        <w:t>supporting</w:t>
      </w:r>
      <w:r w:rsidRPr="00AF3640">
        <w:rPr>
          <w:lang w:val="en-GB"/>
        </w:rPr>
        <w:t xml:space="preserve"> Technical Assessment Guides (TAGs) </w:t>
      </w:r>
      <w:r w:rsidR="00C51D0D">
        <w:rPr>
          <w:lang w:val="en-GB"/>
        </w:rPr>
        <w:t xml:space="preserve">to guide security regulatory judgements when </w:t>
      </w:r>
      <w:r w:rsidRPr="00AF3640">
        <w:rPr>
          <w:lang w:val="en-GB"/>
        </w:rPr>
        <w:t xml:space="preserve">conducting </w:t>
      </w:r>
      <w:r w:rsidR="00C51D0D">
        <w:rPr>
          <w:lang w:val="en-GB"/>
        </w:rPr>
        <w:t xml:space="preserve">security </w:t>
      </w:r>
      <w:r w:rsidRPr="00AF3640">
        <w:rPr>
          <w:lang w:val="en-GB"/>
        </w:rPr>
        <w:t xml:space="preserve">regulatory assessments of </w:t>
      </w:r>
      <w:r w:rsidR="00C51D0D">
        <w:rPr>
          <w:lang w:val="en-GB"/>
        </w:rPr>
        <w:t>the applicant’s security submission.</w:t>
      </w:r>
      <w:r w:rsidRPr="00AF3640">
        <w:rPr>
          <w:lang w:val="en-GB"/>
        </w:rPr>
        <w:t xml:space="preserve"> </w:t>
      </w:r>
      <w:r w:rsidR="00C51D0D">
        <w:rPr>
          <w:lang w:val="en-GB"/>
        </w:rPr>
        <w:t xml:space="preserve">The </w:t>
      </w:r>
      <w:proofErr w:type="spellStart"/>
      <w:r w:rsidRPr="00AF3640">
        <w:rPr>
          <w:lang w:val="en-GB"/>
        </w:rPr>
        <w:t>SyAPs</w:t>
      </w:r>
      <w:proofErr w:type="spellEnd"/>
      <w:r w:rsidRPr="00AF3640">
        <w:rPr>
          <w:lang w:val="en-GB"/>
        </w:rPr>
        <w:t xml:space="preserve"> provide essential foundations for introducing outcome-focused regulation across all security d</w:t>
      </w:r>
      <w:r w:rsidR="00C00CE1">
        <w:rPr>
          <w:lang w:val="en-GB"/>
        </w:rPr>
        <w:t>isciplines:</w:t>
      </w:r>
      <w:r w:rsidRPr="00AF3640">
        <w:rPr>
          <w:lang w:val="en-GB"/>
        </w:rPr>
        <w:t xml:space="preserve"> physical, personnel, transportation, cyber</w:t>
      </w:r>
      <w:r w:rsidR="00C00CE1">
        <w:rPr>
          <w:lang w:val="en-GB"/>
        </w:rPr>
        <w:t xml:space="preserve"> security</w:t>
      </w:r>
      <w:r w:rsidRPr="00AF3640">
        <w:rPr>
          <w:lang w:val="en-GB"/>
        </w:rPr>
        <w:t xml:space="preserve">, and information </w:t>
      </w:r>
      <w:r w:rsidR="00C00CE1">
        <w:rPr>
          <w:lang w:val="en-GB"/>
        </w:rPr>
        <w:t xml:space="preserve">assurance. </w:t>
      </w:r>
      <w:r w:rsidR="00A83717">
        <w:rPr>
          <w:lang w:val="en-GB"/>
        </w:rPr>
        <w:t xml:space="preserve">The </w:t>
      </w:r>
      <w:proofErr w:type="spellStart"/>
      <w:r w:rsidR="00A83717">
        <w:rPr>
          <w:lang w:val="en-GB"/>
        </w:rPr>
        <w:t>SyAPs</w:t>
      </w:r>
      <w:proofErr w:type="spellEnd"/>
      <w:r w:rsidR="00A83717">
        <w:rPr>
          <w:lang w:val="en-GB"/>
        </w:rPr>
        <w:t xml:space="preserve"> are supported by TAGs to further assist regulator’s decision-making</w:t>
      </w:r>
    </w:p>
    <w:p w14:paraId="20757001" w14:textId="139C8577" w:rsidR="00A83717" w:rsidRPr="00F0756B" w:rsidRDefault="00AF3640" w:rsidP="00AF3640">
      <w:pPr>
        <w:pStyle w:val="Authornameandaffiliation"/>
        <w:rPr>
          <w:lang w:val="en-GB"/>
        </w:rPr>
      </w:pPr>
      <w:r w:rsidRPr="00AF3640">
        <w:rPr>
          <w:lang w:val="en-GB"/>
        </w:rPr>
        <w:t xml:space="preserve">and providing guidance for each technical </w:t>
      </w:r>
      <w:r w:rsidR="00A83717" w:rsidRPr="00F0756B">
        <w:rPr>
          <w:lang w:val="en-GB"/>
        </w:rPr>
        <w:t xml:space="preserve">security </w:t>
      </w:r>
      <w:r w:rsidRPr="00F0756B">
        <w:rPr>
          <w:lang w:val="en-GB"/>
        </w:rPr>
        <w:t>aspect</w:t>
      </w:r>
      <w:r w:rsidR="00A83717" w:rsidRPr="00F0756B">
        <w:rPr>
          <w:lang w:val="en-GB"/>
        </w:rPr>
        <w:t xml:space="preserve"> [</w:t>
      </w:r>
      <w:r w:rsidR="00905EEC" w:rsidRPr="00F0756B">
        <w:rPr>
          <w:lang w:val="en-GB"/>
        </w:rPr>
        <w:t>9</w:t>
      </w:r>
      <w:r w:rsidR="00A83717" w:rsidRPr="00F0756B">
        <w:rPr>
          <w:lang w:val="en-GB"/>
        </w:rPr>
        <w:t>]</w:t>
      </w:r>
      <w:r w:rsidRPr="00F0756B">
        <w:rPr>
          <w:lang w:val="en-GB"/>
        </w:rPr>
        <w:t xml:space="preserve">. </w:t>
      </w:r>
    </w:p>
    <w:p w14:paraId="18FB175F" w14:textId="77777777" w:rsidR="00A83717" w:rsidRPr="00F0756B" w:rsidRDefault="00A83717" w:rsidP="00AF3640">
      <w:pPr>
        <w:pStyle w:val="Authornameandaffiliation"/>
        <w:rPr>
          <w:lang w:val="en-GB"/>
        </w:rPr>
      </w:pPr>
    </w:p>
    <w:p w14:paraId="3B41A834" w14:textId="028ECF72" w:rsidR="006A1212" w:rsidRPr="00F0756B" w:rsidRDefault="001B5C29" w:rsidP="00AF3640">
      <w:pPr>
        <w:pStyle w:val="Authornameandaffiliation"/>
        <w:rPr>
          <w:lang w:val="en-GB" w:eastAsia="ko-KR"/>
        </w:rPr>
      </w:pPr>
      <w:r w:rsidRPr="00F0756B">
        <w:rPr>
          <w:lang w:val="en-GB" w:eastAsia="ko-KR"/>
        </w:rPr>
        <w:t xml:space="preserve">The </w:t>
      </w:r>
      <w:proofErr w:type="spellStart"/>
      <w:r w:rsidR="00BB49E8" w:rsidRPr="00F0756B">
        <w:rPr>
          <w:rFonts w:hint="eastAsia"/>
          <w:lang w:val="en-GB" w:eastAsia="ko-KR"/>
        </w:rPr>
        <w:t>S</w:t>
      </w:r>
      <w:r w:rsidR="00BB49E8" w:rsidRPr="00F0756B">
        <w:rPr>
          <w:lang w:val="en-GB" w:eastAsia="ko-KR"/>
        </w:rPr>
        <w:t>yAPs</w:t>
      </w:r>
      <w:proofErr w:type="spellEnd"/>
      <w:r w:rsidR="00BB49E8" w:rsidRPr="00F0756B">
        <w:rPr>
          <w:rFonts w:hint="eastAsia"/>
          <w:lang w:val="en-GB" w:eastAsia="ko-KR"/>
        </w:rPr>
        <w:t xml:space="preserve"> </w:t>
      </w:r>
      <w:r w:rsidRPr="00F0756B">
        <w:rPr>
          <w:lang w:val="en-GB" w:eastAsia="ko-KR"/>
        </w:rPr>
        <w:t>consist of Fundamental Security Principles (FSYP), which FSYP 7 defined that</w:t>
      </w:r>
      <w:r w:rsidR="00BB49E8" w:rsidRPr="00F0756B">
        <w:rPr>
          <w:rFonts w:hint="eastAsia"/>
          <w:lang w:val="en-GB" w:eastAsia="ko-KR"/>
        </w:rPr>
        <w:t xml:space="preserve"> </w:t>
      </w:r>
      <w:r w:rsidR="00D402B2" w:rsidRPr="00F0756B">
        <w:rPr>
          <w:lang w:val="en-GB" w:eastAsia="ko-KR"/>
        </w:rPr>
        <w:t>“Duty holders</w:t>
      </w:r>
      <w:r w:rsidR="00D402B2" w:rsidRPr="00F0756B">
        <w:rPr>
          <w:rFonts w:hint="eastAsia"/>
          <w:lang w:val="en-GB" w:eastAsia="ko-KR"/>
        </w:rPr>
        <w:t xml:space="preserve"> </w:t>
      </w:r>
      <w:r w:rsidR="00D402B2" w:rsidRPr="00F0756B">
        <w:rPr>
          <w:lang w:val="en-GB" w:eastAsia="ko-KR"/>
        </w:rPr>
        <w:t>must implement and maintain effective cyber security and information assurance arrangements that integrate technical and procedural controls to protect the confidentiality, integrity and availability of sensitive nuclear information and technology.”</w:t>
      </w:r>
      <w:r w:rsidRPr="00F0756B">
        <w:rPr>
          <w:lang w:val="en-GB" w:eastAsia="ko-KR"/>
        </w:rPr>
        <w:t xml:space="preserve"> [</w:t>
      </w:r>
      <w:r w:rsidR="00905EEC" w:rsidRPr="00F0756B">
        <w:rPr>
          <w:lang w:val="en-GB" w:eastAsia="ko-KR"/>
        </w:rPr>
        <w:t>10</w:t>
      </w:r>
      <w:r w:rsidRPr="00F0756B">
        <w:rPr>
          <w:lang w:val="en-GB" w:eastAsia="ko-KR"/>
        </w:rPr>
        <w:t>]</w:t>
      </w:r>
      <w:r w:rsidRPr="00F0756B">
        <w:rPr>
          <w:rFonts w:hint="eastAsia"/>
          <w:lang w:val="en-GB" w:eastAsia="ko-KR"/>
        </w:rPr>
        <w:t>.</w:t>
      </w:r>
    </w:p>
    <w:p w14:paraId="70378C69" w14:textId="77777777" w:rsidR="00325F8C" w:rsidRDefault="006A1212" w:rsidP="00325F8C">
      <w:pPr>
        <w:pStyle w:val="ListEmdash"/>
        <w:ind w:left="709"/>
        <w:rPr>
          <w:lang w:eastAsia="ko-KR"/>
        </w:rPr>
      </w:pPr>
      <w:r>
        <w:rPr>
          <w:lang w:eastAsia="ko-KR"/>
        </w:rPr>
        <w:t xml:space="preserve">FSYP 1. </w:t>
      </w:r>
      <w:r w:rsidR="00325F8C">
        <w:rPr>
          <w:lang w:eastAsia="ko-KR"/>
        </w:rPr>
        <w:t>Leadership and management for security</w:t>
      </w:r>
    </w:p>
    <w:p w14:paraId="2C62A139" w14:textId="77777777" w:rsidR="00325F8C" w:rsidRDefault="00325F8C" w:rsidP="00325F8C">
      <w:pPr>
        <w:pStyle w:val="ListEmdash"/>
        <w:ind w:left="709"/>
        <w:rPr>
          <w:lang w:eastAsia="ko-KR"/>
        </w:rPr>
      </w:pPr>
      <w:r>
        <w:rPr>
          <w:lang w:eastAsia="ko-KR"/>
        </w:rPr>
        <w:t>FSYP 2. Organisational culture</w:t>
      </w:r>
    </w:p>
    <w:p w14:paraId="2D7EC517" w14:textId="77777777" w:rsidR="00325F8C" w:rsidRDefault="00325F8C" w:rsidP="00325F8C">
      <w:pPr>
        <w:pStyle w:val="ListEmdash"/>
        <w:ind w:left="709"/>
        <w:rPr>
          <w:lang w:eastAsia="ko-KR"/>
        </w:rPr>
      </w:pPr>
      <w:r>
        <w:rPr>
          <w:lang w:eastAsia="ko-KR"/>
        </w:rPr>
        <w:t>FSYP 3. Management of human performance</w:t>
      </w:r>
    </w:p>
    <w:p w14:paraId="30FFA682" w14:textId="77777777" w:rsidR="00325F8C" w:rsidRDefault="00325F8C" w:rsidP="00325F8C">
      <w:pPr>
        <w:pStyle w:val="ListEmdash"/>
        <w:ind w:left="709"/>
        <w:rPr>
          <w:lang w:eastAsia="ko-KR"/>
        </w:rPr>
      </w:pPr>
      <w:r>
        <w:rPr>
          <w:lang w:eastAsia="ko-KR"/>
        </w:rPr>
        <w:t>FSYP 4. Nuclear supply chain management</w:t>
      </w:r>
    </w:p>
    <w:p w14:paraId="56D0DC0D" w14:textId="77777777" w:rsidR="00325F8C" w:rsidRDefault="00325F8C" w:rsidP="00325F8C">
      <w:pPr>
        <w:pStyle w:val="ListEmdash"/>
        <w:ind w:left="709"/>
        <w:rPr>
          <w:lang w:eastAsia="ko-KR"/>
        </w:rPr>
      </w:pPr>
      <w:r>
        <w:rPr>
          <w:lang w:eastAsia="ko-KR"/>
        </w:rPr>
        <w:t>FSYP 5. Reliability, resilience and sustainability</w:t>
      </w:r>
    </w:p>
    <w:p w14:paraId="64783DD5" w14:textId="77777777" w:rsidR="00325F8C" w:rsidRDefault="00325F8C" w:rsidP="00325F8C">
      <w:pPr>
        <w:pStyle w:val="ListEmdash"/>
        <w:ind w:left="709"/>
        <w:rPr>
          <w:lang w:eastAsia="ko-KR"/>
        </w:rPr>
      </w:pPr>
      <w:r>
        <w:rPr>
          <w:lang w:eastAsia="ko-KR"/>
        </w:rPr>
        <w:t>FSYP 6. Physical protection systems</w:t>
      </w:r>
    </w:p>
    <w:p w14:paraId="1557FC36" w14:textId="77777777" w:rsidR="00325F8C" w:rsidRPr="00916228" w:rsidRDefault="00325F8C" w:rsidP="00325F8C">
      <w:pPr>
        <w:pStyle w:val="ListEmdash"/>
        <w:ind w:left="709"/>
        <w:rPr>
          <w:b/>
          <w:lang w:eastAsia="ko-KR"/>
        </w:rPr>
      </w:pPr>
      <w:r w:rsidRPr="00916228">
        <w:rPr>
          <w:b/>
          <w:lang w:eastAsia="ko-KR"/>
        </w:rPr>
        <w:t>FSYP 7. Cyber security and information assurance</w:t>
      </w:r>
    </w:p>
    <w:p w14:paraId="6F0ACA5E" w14:textId="77777777" w:rsidR="00325F8C" w:rsidRDefault="00325F8C" w:rsidP="00325F8C">
      <w:pPr>
        <w:pStyle w:val="ListEmdash"/>
        <w:ind w:left="709"/>
        <w:rPr>
          <w:lang w:eastAsia="ko-KR"/>
        </w:rPr>
      </w:pPr>
      <w:r>
        <w:rPr>
          <w:lang w:eastAsia="ko-KR"/>
        </w:rPr>
        <w:t>FSYP 8. Workforce trustworthiness</w:t>
      </w:r>
    </w:p>
    <w:p w14:paraId="187F5FD6" w14:textId="77777777" w:rsidR="00325F8C" w:rsidRDefault="00325F8C" w:rsidP="00325F8C">
      <w:pPr>
        <w:pStyle w:val="ListEmdash"/>
        <w:ind w:left="709"/>
        <w:rPr>
          <w:lang w:eastAsia="ko-KR"/>
        </w:rPr>
      </w:pPr>
      <w:r>
        <w:rPr>
          <w:lang w:eastAsia="ko-KR"/>
        </w:rPr>
        <w:lastRenderedPageBreak/>
        <w:t xml:space="preserve">FSYP 9. Policing and guarding </w:t>
      </w:r>
    </w:p>
    <w:p w14:paraId="1CB79981" w14:textId="79DBA652" w:rsidR="00A83717" w:rsidRDefault="00325F8C" w:rsidP="00325F8C">
      <w:pPr>
        <w:pStyle w:val="ListEmdash"/>
        <w:ind w:left="709"/>
        <w:rPr>
          <w:lang w:eastAsia="ko-KR"/>
        </w:rPr>
      </w:pPr>
      <w:r>
        <w:rPr>
          <w:lang w:eastAsia="ko-KR"/>
        </w:rPr>
        <w:t>FSYP 10. Emergency preparedness and response</w:t>
      </w:r>
      <w:r w:rsidR="00D402B2">
        <w:rPr>
          <w:lang w:eastAsia="ko-KR"/>
        </w:rPr>
        <w:t xml:space="preserve"> </w:t>
      </w:r>
    </w:p>
    <w:p w14:paraId="7A583AD4" w14:textId="77777777" w:rsidR="00BB49E8" w:rsidRDefault="00BB49E8" w:rsidP="00325F8C">
      <w:pPr>
        <w:pStyle w:val="Authornameandaffiliation"/>
        <w:ind w:left="0"/>
        <w:rPr>
          <w:lang w:val="en-GB" w:eastAsia="ko-KR"/>
        </w:rPr>
      </w:pPr>
    </w:p>
    <w:p w14:paraId="5E424250" w14:textId="3C8A9777" w:rsidR="0029346D" w:rsidRPr="00F0756B" w:rsidRDefault="000200DE" w:rsidP="00AC560D">
      <w:pPr>
        <w:pStyle w:val="Authornameandaffiliation"/>
        <w:rPr>
          <w:lang w:val="en-GB"/>
        </w:rPr>
      </w:pPr>
      <w:r w:rsidRPr="00F0756B">
        <w:rPr>
          <w:lang w:val="en-GB"/>
        </w:rPr>
        <w:t xml:space="preserve">The </w:t>
      </w:r>
      <w:proofErr w:type="spellStart"/>
      <w:r w:rsidRPr="00F0756B">
        <w:rPr>
          <w:lang w:val="en-GB"/>
        </w:rPr>
        <w:t>SyAPs</w:t>
      </w:r>
      <w:proofErr w:type="spellEnd"/>
      <w:r w:rsidRPr="00F0756B">
        <w:rPr>
          <w:lang w:val="en-GB"/>
        </w:rPr>
        <w:t xml:space="preserve"> are supported by TAGs to further assist regulator’s decision-making and providing guidance for each technical security aspect. </w:t>
      </w:r>
      <w:r w:rsidR="00AF3640" w:rsidRPr="00F0756B">
        <w:rPr>
          <w:lang w:val="en-GB"/>
        </w:rPr>
        <w:t xml:space="preserve">Particularly, in 2021, the ONR </w:t>
      </w:r>
      <w:r w:rsidR="009A46A5" w:rsidRPr="00F0756B">
        <w:rPr>
          <w:lang w:val="en-GB"/>
        </w:rPr>
        <w:t>released</w:t>
      </w:r>
      <w:r w:rsidR="00AF3640" w:rsidRPr="00F0756B">
        <w:rPr>
          <w:lang w:val="en-GB"/>
        </w:rPr>
        <w:t xml:space="preserve"> guidance within the </w:t>
      </w:r>
      <w:r w:rsidR="009A46A5" w:rsidRPr="00F0756B">
        <w:rPr>
          <w:lang w:val="en-GB"/>
        </w:rPr>
        <w:t xml:space="preserve">GDA </w:t>
      </w:r>
      <w:r w:rsidR="00AF3640" w:rsidRPr="00F0756B">
        <w:rPr>
          <w:lang w:val="en-GB"/>
        </w:rPr>
        <w:t xml:space="preserve">activities for </w:t>
      </w:r>
      <w:r w:rsidR="009A46A5" w:rsidRPr="00F0756B">
        <w:rPr>
          <w:lang w:val="en-GB"/>
        </w:rPr>
        <w:t>regulators</w:t>
      </w:r>
      <w:r w:rsidR="00AF3640" w:rsidRPr="00F0756B">
        <w:rPr>
          <w:lang w:val="en-GB"/>
        </w:rPr>
        <w:t xml:space="preserve"> to aid in regulatory judgments. This </w:t>
      </w:r>
      <w:r w:rsidR="0029346D" w:rsidRPr="00F0756B">
        <w:rPr>
          <w:lang w:val="en-GB"/>
        </w:rPr>
        <w:t xml:space="preserve">TAGs contains guidelines to inform ONR inspectors in exercising their regulatory judgment during GDA related to the adequacy of generic designs for new nuclear reactors. It aims to provide general advice and guidance to ONR inspectors on how security aspects should be assessed working within the wider GDA process. </w:t>
      </w:r>
      <w:r w:rsidR="002D5369" w:rsidRPr="00F0756B">
        <w:rPr>
          <w:lang w:val="en-GB"/>
        </w:rPr>
        <w:t xml:space="preserve">The output expected from the applicants at the end of GDA is the Generic Security Report Development (GSR). </w:t>
      </w:r>
      <w:r w:rsidR="00AC560D" w:rsidRPr="00F0756B">
        <w:rPr>
          <w:lang w:val="en-GB"/>
        </w:rPr>
        <w:t>The key elements of a GSR submission are target identification</w:t>
      </w:r>
      <w:r w:rsidR="00AC560D" w:rsidRPr="00F0756B">
        <w:rPr>
          <w:rFonts w:hint="eastAsia"/>
          <w:lang w:val="en-GB" w:eastAsia="ko-KR"/>
        </w:rPr>
        <w:t>,</w:t>
      </w:r>
      <w:r w:rsidR="00AC560D" w:rsidRPr="00F0756B">
        <w:rPr>
          <w:lang w:val="en-GB" w:eastAsia="ko-KR"/>
        </w:rPr>
        <w:t xml:space="preserve"> c</w:t>
      </w:r>
      <w:r w:rsidR="00AC560D" w:rsidRPr="00F0756B">
        <w:rPr>
          <w:lang w:val="en-GB"/>
        </w:rPr>
        <w:t>ategorisation for theft and sabotage, and cyber security</w:t>
      </w:r>
      <w:r w:rsidR="00BC7344" w:rsidRPr="00F0756B">
        <w:rPr>
          <w:lang w:val="en-GB"/>
        </w:rPr>
        <w:t xml:space="preserve"> [</w:t>
      </w:r>
      <w:r w:rsidR="006A4B24" w:rsidRPr="00F0756B">
        <w:rPr>
          <w:lang w:val="en-GB"/>
        </w:rPr>
        <w:t>11</w:t>
      </w:r>
      <w:r w:rsidR="00BC7344" w:rsidRPr="00F0756B">
        <w:rPr>
          <w:lang w:val="en-GB"/>
        </w:rPr>
        <w:t>]</w:t>
      </w:r>
      <w:r w:rsidR="00AC560D" w:rsidRPr="00F0756B">
        <w:rPr>
          <w:lang w:val="en-GB"/>
        </w:rPr>
        <w:t xml:space="preserve">. </w:t>
      </w:r>
    </w:p>
    <w:p w14:paraId="3AFC49B4" w14:textId="3272B3F2" w:rsidR="00AF3640" w:rsidRPr="00AF3640" w:rsidRDefault="00AF3640" w:rsidP="000200DE">
      <w:pPr>
        <w:pStyle w:val="Authornameandaffiliation"/>
        <w:rPr>
          <w:lang w:val="en-GB"/>
        </w:rPr>
      </w:pPr>
    </w:p>
    <w:p w14:paraId="71DCE500" w14:textId="7A724D1E" w:rsidR="003E2C3A" w:rsidRDefault="00803791" w:rsidP="003E2C3A">
      <w:pPr>
        <w:pStyle w:val="4"/>
        <w:numPr>
          <w:ilvl w:val="3"/>
          <w:numId w:val="35"/>
        </w:numPr>
      </w:pPr>
      <w:r>
        <w:rPr>
          <w:rFonts w:hint="eastAsia"/>
          <w:lang w:eastAsia="ko-KR"/>
        </w:rPr>
        <w:t>I</w:t>
      </w:r>
      <w:r>
        <w:rPr>
          <w:lang w:eastAsia="ko-KR"/>
        </w:rPr>
        <w:t>nsights</w:t>
      </w:r>
    </w:p>
    <w:p w14:paraId="4B3710D0" w14:textId="1BC3188A" w:rsidR="00EB2075" w:rsidRDefault="006822A8" w:rsidP="008B4648">
      <w:pPr>
        <w:pStyle w:val="Authornameandaffiliation"/>
        <w:rPr>
          <w:lang w:val="en-GB" w:eastAsia="ko-KR"/>
        </w:rPr>
      </w:pPr>
      <w:bookmarkStart w:id="1" w:name="_Hlk169104017"/>
      <w:r>
        <w:rPr>
          <w:lang w:val="en-GB" w:eastAsia="ko-KR"/>
        </w:rPr>
        <w:t>According to the</w:t>
      </w:r>
      <w:r w:rsidRPr="007C1F80">
        <w:rPr>
          <w:lang w:val="en-GB" w:eastAsia="ko-KR"/>
        </w:rPr>
        <w:t xml:space="preserve"> U</w:t>
      </w:r>
      <w:r>
        <w:rPr>
          <w:lang w:val="en-GB" w:eastAsia="ko-KR"/>
        </w:rPr>
        <w:t>K ONR</w:t>
      </w:r>
      <w:r w:rsidRPr="007C1F80">
        <w:rPr>
          <w:lang w:val="en-GB" w:eastAsia="ko-KR"/>
        </w:rPr>
        <w:t xml:space="preserve"> licensing </w:t>
      </w:r>
      <w:r>
        <w:rPr>
          <w:lang w:val="en-GB" w:eastAsia="ko-KR"/>
        </w:rPr>
        <w:t xml:space="preserve">framework, the “Security by Design” concept </w:t>
      </w:r>
      <w:r w:rsidR="00696D33">
        <w:rPr>
          <w:lang w:val="en-GB" w:eastAsia="ko-KR"/>
        </w:rPr>
        <w:t xml:space="preserve">is applied by considering security as a technical assessment topic during the GDA process. This approach ensures robust security by integrating physical and cyber security into the reactor design stage. As mentioned before, the dualization of laws regarding nuclear safety and security in the ROK makes it challenging to apply “Security by Design” concept. Therefore, </w:t>
      </w:r>
      <w:r w:rsidR="008B4648">
        <w:rPr>
          <w:lang w:val="en-GB" w:eastAsia="ko-KR"/>
        </w:rPr>
        <w:t xml:space="preserve">as evidenced in the UK ONR licensing framework, it is essential to ensure that “Security by Design” concept is integrated from the design stage of SMR within the ROK licensing framework. </w:t>
      </w:r>
    </w:p>
    <w:p w14:paraId="4A4C3BEA" w14:textId="59931A9C" w:rsidR="00EB2075" w:rsidRDefault="00EB2075" w:rsidP="00EB2075">
      <w:pPr>
        <w:pStyle w:val="Authornameandaffiliation"/>
        <w:rPr>
          <w:lang w:val="en-GB" w:eastAsia="ko-KR"/>
        </w:rPr>
      </w:pPr>
    </w:p>
    <w:p w14:paraId="7B70BC9E" w14:textId="768C4C8C" w:rsidR="00B038B4" w:rsidRDefault="00BD49F3" w:rsidP="00EB2075">
      <w:pPr>
        <w:pStyle w:val="Authornameandaffiliation"/>
        <w:rPr>
          <w:lang w:val="en-GB" w:eastAsia="ko-KR"/>
        </w:rPr>
      </w:pPr>
      <w:r>
        <w:rPr>
          <w:lang w:val="en-GB" w:eastAsia="ko-KR"/>
        </w:rPr>
        <w:t xml:space="preserve">The UK ONR requires security submissions from applicants and, through a progressive GDA process, demands comprehensive and summarized a security related report. </w:t>
      </w:r>
      <w:r w:rsidR="001460FD">
        <w:rPr>
          <w:lang w:val="en-GB" w:eastAsia="ko-KR"/>
        </w:rPr>
        <w:t>Therefore, in the ROK, it is necessary to require the submission of security relevant documents from applicants in the design stage and to define the document lists required for security regulatory assessment.</w:t>
      </w:r>
      <w:r>
        <w:rPr>
          <w:lang w:val="en-GB" w:eastAsia="ko-KR"/>
        </w:rPr>
        <w:t xml:space="preserve"> </w:t>
      </w:r>
    </w:p>
    <w:p w14:paraId="7F6193C3" w14:textId="5D6E9840" w:rsidR="00BF6148" w:rsidRDefault="00BF6148" w:rsidP="00EB2075">
      <w:pPr>
        <w:pStyle w:val="Authornameandaffiliation"/>
        <w:rPr>
          <w:lang w:val="en-GB" w:eastAsia="ko-KR"/>
        </w:rPr>
      </w:pPr>
    </w:p>
    <w:p w14:paraId="76D3A531" w14:textId="593A5472" w:rsidR="00BF6148" w:rsidRDefault="00BF6148" w:rsidP="00EB2075">
      <w:pPr>
        <w:pStyle w:val="Authornameandaffiliation"/>
        <w:rPr>
          <w:lang w:val="en-GB"/>
        </w:rPr>
      </w:pPr>
      <w:r>
        <w:rPr>
          <w:rFonts w:hint="eastAsia"/>
          <w:lang w:val="en-GB" w:eastAsia="ko-KR"/>
        </w:rPr>
        <w:t>I</w:t>
      </w:r>
      <w:r>
        <w:rPr>
          <w:lang w:val="en-GB" w:eastAsia="ko-KR"/>
        </w:rPr>
        <w:t>n 2021, the UK ONR released the TAGs</w:t>
      </w:r>
      <w:r>
        <w:rPr>
          <w:lang w:val="en-GB"/>
        </w:rPr>
        <w:t xml:space="preserve"> to inform ONR inspectors in exercising their regulatory judgment during GDA related to the adequacy of generic designs for new nuclear reactors. Similarly, the ROK needs to develop regulatory guide for security regulatory assessments. </w:t>
      </w:r>
    </w:p>
    <w:p w14:paraId="2DC66CB3" w14:textId="3044D191" w:rsidR="00BF6148" w:rsidRDefault="00BF6148" w:rsidP="00EB2075">
      <w:pPr>
        <w:pStyle w:val="Authornameandaffiliation"/>
        <w:rPr>
          <w:lang w:val="en-GB" w:eastAsia="ko-KR"/>
        </w:rPr>
      </w:pPr>
    </w:p>
    <w:p w14:paraId="2BCF560B" w14:textId="314E113E" w:rsidR="00BF6148" w:rsidRDefault="00BF6148" w:rsidP="00BF6148">
      <w:pPr>
        <w:pStyle w:val="Authornameandaffiliation"/>
        <w:rPr>
          <w:lang w:eastAsia="ko-KR"/>
        </w:rPr>
      </w:pPr>
      <w:r>
        <w:rPr>
          <w:lang w:eastAsia="ko-KR"/>
        </w:rPr>
        <w:t>Additionally, applicants are provided with security principles and are required to design in compliance with these principles. These security principles apply to all nuclear power plants, including new ones. Therefore, it can be inferred that the criteria for security assessment do not significantly change, even for new nuclear power plants.</w:t>
      </w:r>
    </w:p>
    <w:bookmarkEnd w:id="1"/>
    <w:p w14:paraId="554ED371" w14:textId="0389EE1E" w:rsidR="004F4C53" w:rsidRPr="003E2C3A" w:rsidRDefault="004F4C53" w:rsidP="00AF3640">
      <w:pPr>
        <w:pStyle w:val="Authornameandaffiliation"/>
        <w:ind w:left="0"/>
        <w:rPr>
          <w:lang w:val="en-GB" w:eastAsia="ko-KR"/>
        </w:rPr>
      </w:pPr>
    </w:p>
    <w:p w14:paraId="62F19D23" w14:textId="12011F98" w:rsidR="003E2C3A" w:rsidRDefault="00CA4797" w:rsidP="003E2C3A">
      <w:pPr>
        <w:pStyle w:val="2"/>
        <w:numPr>
          <w:ilvl w:val="1"/>
          <w:numId w:val="10"/>
        </w:numPr>
        <w:rPr>
          <w:lang w:eastAsia="ko-KR"/>
        </w:rPr>
      </w:pPr>
      <w:r>
        <w:rPr>
          <w:lang w:eastAsia="ko-KR"/>
        </w:rPr>
        <w:t>Stra</w:t>
      </w:r>
      <w:r w:rsidR="00B83718">
        <w:rPr>
          <w:lang w:eastAsia="ko-KR"/>
        </w:rPr>
        <w:t>t</w:t>
      </w:r>
      <w:r>
        <w:rPr>
          <w:lang w:eastAsia="ko-KR"/>
        </w:rPr>
        <w:t>e</w:t>
      </w:r>
      <w:r w:rsidR="00B83718">
        <w:rPr>
          <w:lang w:eastAsia="ko-KR"/>
        </w:rPr>
        <w:t>G</w:t>
      </w:r>
      <w:r>
        <w:rPr>
          <w:lang w:eastAsia="ko-KR"/>
        </w:rPr>
        <w:t xml:space="preserve">y for Developing Regulatory DOCUMENTATION </w:t>
      </w:r>
      <w:r w:rsidR="007D3D89">
        <w:rPr>
          <w:lang w:eastAsia="ko-KR"/>
        </w:rPr>
        <w:t>on Security</w:t>
      </w:r>
      <w:r>
        <w:rPr>
          <w:lang w:eastAsia="ko-KR"/>
        </w:rPr>
        <w:t xml:space="preserve"> </w:t>
      </w:r>
    </w:p>
    <w:p w14:paraId="69608856" w14:textId="4AAD8B17" w:rsidR="00894A03" w:rsidRDefault="00894A03" w:rsidP="00AF3640">
      <w:pPr>
        <w:pStyle w:val="Authornameandaffiliation"/>
        <w:rPr>
          <w:lang w:val="en-GB" w:eastAsia="ko-KR"/>
        </w:rPr>
      </w:pPr>
      <w:r>
        <w:rPr>
          <w:rFonts w:hint="eastAsia"/>
          <w:lang w:val="en-GB" w:eastAsia="ko-KR"/>
        </w:rPr>
        <w:t>T</w:t>
      </w:r>
      <w:r w:rsidR="002170C9">
        <w:rPr>
          <w:lang w:val="en-GB" w:eastAsia="ko-KR"/>
        </w:rPr>
        <w:t xml:space="preserve">o ensure robust security from the </w:t>
      </w:r>
      <w:proofErr w:type="spellStart"/>
      <w:r w:rsidR="002170C9">
        <w:rPr>
          <w:lang w:val="en-GB" w:eastAsia="ko-KR"/>
        </w:rPr>
        <w:t>i</w:t>
      </w:r>
      <w:proofErr w:type="spellEnd"/>
      <w:r w:rsidR="002170C9">
        <w:rPr>
          <w:lang w:val="en-GB" w:eastAsia="ko-KR"/>
        </w:rPr>
        <w:t xml:space="preserve">-SMR design phase, it is necessary to establish legal or similar basis for security regulation across the entire licensing framework in the ROK. According to the licensing framework in the US and UK, it has been confirmed that the “Security by Design” concept is applied within the early licensing phase, ensuring security through the integration of physical and cyber security from the early design stage. In contrast, within the ROK licensing framework, the dualization of laws regarding the nuclear safety and security make is challenging to conduct security assessments by applying “Design by Security” concept.   </w:t>
      </w:r>
    </w:p>
    <w:p w14:paraId="6DB27365" w14:textId="02CF8A70" w:rsidR="00F07DCF" w:rsidRDefault="00F07DCF" w:rsidP="00AF3640">
      <w:pPr>
        <w:pStyle w:val="Authornameandaffiliation"/>
        <w:rPr>
          <w:lang w:val="en-GB" w:eastAsia="ko-KR"/>
        </w:rPr>
      </w:pPr>
    </w:p>
    <w:p w14:paraId="6EFE9DB7" w14:textId="0DE5A8AE" w:rsidR="003375C0" w:rsidRDefault="003375C0" w:rsidP="00AF3640">
      <w:pPr>
        <w:pStyle w:val="Authornameandaffiliation"/>
        <w:rPr>
          <w:lang w:val="en-GB" w:eastAsia="ko-KR"/>
        </w:rPr>
      </w:pPr>
      <w:r>
        <w:rPr>
          <w:rFonts w:hint="eastAsia"/>
          <w:lang w:val="en-GB" w:eastAsia="ko-KR"/>
        </w:rPr>
        <w:t>D</w:t>
      </w:r>
      <w:r>
        <w:rPr>
          <w:lang w:val="en-GB" w:eastAsia="ko-KR"/>
        </w:rPr>
        <w:t xml:space="preserve">uring the pre-design review process, </w:t>
      </w:r>
      <w:r w:rsidR="00C356FF">
        <w:rPr>
          <w:rFonts w:hint="eastAsia"/>
          <w:lang w:val="en-GB" w:eastAsia="ko-KR"/>
        </w:rPr>
        <w:t xml:space="preserve">regulatory </w:t>
      </w:r>
      <w:r w:rsidR="00C356FF">
        <w:rPr>
          <w:lang w:val="en-GB" w:eastAsia="ko-KR"/>
        </w:rPr>
        <w:t xml:space="preserve">bodies ought to define review item for security assessment and specify the necessary documents for supporting the assessment, which should be requested from applicants. Moreover, close collaboration during the pre-design review process allows for the identification of security regulatory issues concerning </w:t>
      </w:r>
      <w:proofErr w:type="spellStart"/>
      <w:r w:rsidR="00C356FF">
        <w:rPr>
          <w:lang w:val="en-GB" w:eastAsia="ko-KR"/>
        </w:rPr>
        <w:t>i</w:t>
      </w:r>
      <w:proofErr w:type="spellEnd"/>
      <w:r w:rsidR="00C356FF">
        <w:rPr>
          <w:lang w:val="en-GB" w:eastAsia="ko-KR"/>
        </w:rPr>
        <w:t xml:space="preserve">-SMR. Additionally, in preparation for the upcoming standard design review, it is essential to develop specialized security assessment guidelines for </w:t>
      </w:r>
      <w:proofErr w:type="spellStart"/>
      <w:r w:rsidR="00C356FF">
        <w:rPr>
          <w:lang w:val="en-GB" w:eastAsia="ko-KR"/>
        </w:rPr>
        <w:t>i_SMR</w:t>
      </w:r>
      <w:proofErr w:type="spellEnd"/>
      <w:r w:rsidR="00C356FF">
        <w:rPr>
          <w:lang w:val="en-GB" w:eastAsia="ko-KR"/>
        </w:rPr>
        <w:t xml:space="preserve"> by reviewing </w:t>
      </w:r>
      <w:r w:rsidR="007A4676">
        <w:rPr>
          <w:lang w:val="en-GB" w:eastAsia="ko-KR"/>
        </w:rPr>
        <w:t xml:space="preserve">whether the </w:t>
      </w:r>
      <w:r w:rsidR="00C356FF">
        <w:rPr>
          <w:lang w:val="en-GB" w:eastAsia="ko-KR"/>
        </w:rPr>
        <w:t>existing security guidelines and re</w:t>
      </w:r>
      <w:r w:rsidR="007A4676">
        <w:rPr>
          <w:lang w:val="en-GB" w:eastAsia="ko-KR"/>
        </w:rPr>
        <w:t xml:space="preserve">quirements can cover the </w:t>
      </w:r>
      <w:proofErr w:type="spellStart"/>
      <w:r w:rsidR="007A4676">
        <w:rPr>
          <w:lang w:val="en-GB" w:eastAsia="ko-KR"/>
        </w:rPr>
        <w:t>i</w:t>
      </w:r>
      <w:proofErr w:type="spellEnd"/>
      <w:r w:rsidR="007A4676">
        <w:rPr>
          <w:lang w:val="en-GB" w:eastAsia="ko-KR"/>
        </w:rPr>
        <w:t xml:space="preserve">-SMR design. </w:t>
      </w:r>
    </w:p>
    <w:p w14:paraId="6318B81A" w14:textId="77777777" w:rsidR="007A4676" w:rsidRDefault="007A4676" w:rsidP="00566EF8">
      <w:pPr>
        <w:pStyle w:val="Authornameandaffiliation"/>
        <w:ind w:left="0"/>
        <w:rPr>
          <w:lang w:eastAsia="ko-KR"/>
        </w:rPr>
      </w:pPr>
    </w:p>
    <w:p w14:paraId="55463233" w14:textId="465B9B68" w:rsidR="00A66B1E" w:rsidRPr="007A4676" w:rsidRDefault="007A4676" w:rsidP="007A4676">
      <w:pPr>
        <w:pStyle w:val="Authornameandaffiliation"/>
        <w:rPr>
          <w:lang w:eastAsia="ko-KR"/>
        </w:rPr>
      </w:pPr>
      <w:r>
        <w:rPr>
          <w:lang w:eastAsia="ko-KR"/>
        </w:rPr>
        <w:t xml:space="preserve">As part of the standard design review process, it is essential to document the outcomes of security evaluations and inquiries conducted to facilitate the assessment. Moreover, detailed documentation of </w:t>
      </w:r>
      <w:r>
        <w:rPr>
          <w:lang w:eastAsia="ko-KR"/>
        </w:rPr>
        <w:lastRenderedPageBreak/>
        <w:t>regulatory experiences acquired during the standard design review process will be invaluable for future reference.</w:t>
      </w:r>
    </w:p>
    <w:p w14:paraId="554FBA07" w14:textId="0BFA07B1" w:rsidR="000F4277" w:rsidRDefault="001F11CD" w:rsidP="003E2C3A">
      <w:pPr>
        <w:pStyle w:val="2"/>
        <w:numPr>
          <w:ilvl w:val="1"/>
          <w:numId w:val="10"/>
        </w:numPr>
        <w:rPr>
          <w:lang w:eastAsia="ko-KR"/>
        </w:rPr>
      </w:pPr>
      <w:r>
        <w:rPr>
          <w:rFonts w:hint="eastAsia"/>
          <w:lang w:eastAsia="ko-KR"/>
        </w:rPr>
        <w:t>C</w:t>
      </w:r>
      <w:r>
        <w:rPr>
          <w:lang w:eastAsia="ko-KR"/>
        </w:rPr>
        <w:t>onclusion and Future Plan</w:t>
      </w:r>
    </w:p>
    <w:p w14:paraId="1205C215" w14:textId="18131CC2" w:rsidR="001F11CD" w:rsidRDefault="00C35078" w:rsidP="00C35078">
      <w:pPr>
        <w:pStyle w:val="Authornameandaffiliation"/>
      </w:pPr>
      <w:r>
        <w:rPr>
          <w:rFonts w:hint="eastAsia"/>
          <w:lang w:eastAsia="ko-KR"/>
        </w:rPr>
        <w:t>T</w:t>
      </w:r>
      <w:r>
        <w:rPr>
          <w:lang w:eastAsia="ko-KR"/>
        </w:rPr>
        <w:t xml:space="preserve">his paper introduces the current development status of </w:t>
      </w:r>
      <w:proofErr w:type="spellStart"/>
      <w:r>
        <w:rPr>
          <w:lang w:eastAsia="ko-KR"/>
        </w:rPr>
        <w:t>i</w:t>
      </w:r>
      <w:proofErr w:type="spellEnd"/>
      <w:r>
        <w:rPr>
          <w:lang w:eastAsia="ko-KR"/>
        </w:rPr>
        <w:t xml:space="preserve">-SMR in the ROK and the associated security regulatory activities. AS </w:t>
      </w:r>
      <w:proofErr w:type="spellStart"/>
      <w:r>
        <w:rPr>
          <w:lang w:eastAsia="ko-KR"/>
        </w:rPr>
        <w:t>i</w:t>
      </w:r>
      <w:proofErr w:type="spellEnd"/>
      <w:r>
        <w:rPr>
          <w:lang w:eastAsia="ko-KR"/>
        </w:rPr>
        <w:t xml:space="preserve">-SMR applicant have a plan to apply for SDA by 2026, regulatory bodies responsible for nuclear security need to make efforts to establish a comprehensive security regulatory framework for the </w:t>
      </w:r>
      <w:proofErr w:type="spellStart"/>
      <w:r>
        <w:rPr>
          <w:lang w:eastAsia="ko-KR"/>
        </w:rPr>
        <w:t>i</w:t>
      </w:r>
      <w:proofErr w:type="spellEnd"/>
      <w:r>
        <w:rPr>
          <w:lang w:eastAsia="ko-KR"/>
        </w:rPr>
        <w:t xml:space="preserve">-SMR licensing review. </w:t>
      </w:r>
      <w:r w:rsidR="00237D83">
        <w:t>As part of this effort, this study analyzes the regulatory frameworks and documentation of nuclear regulatory bodies in the U.S. and the UK, summarizing the lessons learned.</w:t>
      </w:r>
      <w:r w:rsidR="0020384F">
        <w:t xml:space="preserve"> In conclusion, we analyzed the differences between the ROK and international security regulatory frameworks and cases, and then identified development strategies for security regulatory documentation in the ROK. </w:t>
      </w:r>
    </w:p>
    <w:p w14:paraId="30430A9B" w14:textId="26F57DEE" w:rsidR="001B662D" w:rsidRDefault="001B662D" w:rsidP="00C35078">
      <w:pPr>
        <w:pStyle w:val="Authornameandaffiliation"/>
        <w:rPr>
          <w:lang w:eastAsia="ko-KR"/>
        </w:rPr>
      </w:pPr>
    </w:p>
    <w:p w14:paraId="32ECDBFE" w14:textId="0B88B776" w:rsidR="001B662D" w:rsidRPr="001F11CD" w:rsidRDefault="001B662D" w:rsidP="00C35078">
      <w:pPr>
        <w:pStyle w:val="Authornameandaffiliation"/>
        <w:rPr>
          <w:lang w:eastAsia="ko-KR"/>
        </w:rPr>
      </w:pPr>
      <w:r>
        <w:rPr>
          <w:rFonts w:hint="eastAsia"/>
          <w:lang w:eastAsia="ko-KR"/>
        </w:rPr>
        <w:t>F</w:t>
      </w:r>
      <w:r>
        <w:rPr>
          <w:lang w:eastAsia="ko-KR"/>
        </w:rPr>
        <w:t xml:space="preserve">uture plan </w:t>
      </w:r>
      <w:r w:rsidR="00922BB0">
        <w:rPr>
          <w:lang w:eastAsia="ko-KR"/>
        </w:rPr>
        <w:t>includes</w:t>
      </w:r>
      <w:r>
        <w:rPr>
          <w:lang w:eastAsia="ko-KR"/>
        </w:rPr>
        <w:t xml:space="preserve"> conducting the deep dive analysis of documentation submitted by applicants</w:t>
      </w:r>
      <w:r w:rsidR="007E7992">
        <w:rPr>
          <w:lang w:eastAsia="ko-KR"/>
        </w:rPr>
        <w:t xml:space="preserve">, </w:t>
      </w:r>
      <w:r>
        <w:rPr>
          <w:lang w:eastAsia="ko-KR"/>
        </w:rPr>
        <w:t xml:space="preserve">as well as </w:t>
      </w:r>
      <w:r w:rsidR="00AA20D6">
        <w:rPr>
          <w:lang w:eastAsia="ko-KR"/>
        </w:rPr>
        <w:t xml:space="preserve">documentation issued by regulatory </w:t>
      </w:r>
      <w:r w:rsidR="007E7992">
        <w:rPr>
          <w:lang w:eastAsia="ko-KR"/>
        </w:rPr>
        <w:t xml:space="preserve">bodies in the US and UK. </w:t>
      </w:r>
      <w:r w:rsidR="00EF5C73">
        <w:rPr>
          <w:lang w:eastAsia="ko-KR"/>
        </w:rPr>
        <w:t xml:space="preserve">It aims to organize these documentations systematically to enhance the development strategy of security-related regulatory documentation. The goal is to gain insights that can be applied to improve the security regulatory framework in the ROK. </w:t>
      </w:r>
    </w:p>
    <w:p w14:paraId="15E1D5EA" w14:textId="77777777" w:rsidR="00A66B1E" w:rsidRPr="00A66B1E" w:rsidRDefault="00A66B1E" w:rsidP="00A66B1E">
      <w:pPr>
        <w:pStyle w:val="a1"/>
        <w:rPr>
          <w:lang w:eastAsia="ko-KR"/>
        </w:rPr>
      </w:pPr>
    </w:p>
    <w:p w14:paraId="15F4F300" w14:textId="77777777" w:rsidR="00285755" w:rsidRDefault="00285755" w:rsidP="00537496">
      <w:pPr>
        <w:pStyle w:val="Otherunnumberedheadings"/>
        <w:rPr>
          <w:rFonts w:hint="eastAsia"/>
        </w:rPr>
      </w:pPr>
      <w:r w:rsidRPr="00285755">
        <w:t>ACKNOWLEDGEMENTS</w:t>
      </w:r>
    </w:p>
    <w:p w14:paraId="711AF860" w14:textId="2F96A81A" w:rsidR="00D26ADA" w:rsidRDefault="00BB5B2C" w:rsidP="00537496">
      <w:pPr>
        <w:pStyle w:val="a1"/>
      </w:pPr>
      <w:r>
        <w:t>This work was supported by the Korea Foundation of Nuclear Safety (</w:t>
      </w:r>
      <w:proofErr w:type="spellStart"/>
      <w:r>
        <w:t>KoFONS</w:t>
      </w:r>
      <w:proofErr w:type="spellEnd"/>
      <w:r>
        <w:t xml:space="preserve">) grant funded by the </w:t>
      </w:r>
      <w:r w:rsidR="009A6704">
        <w:t>ROK government Nuclear Safety and Security Commission (NSSC) (</w:t>
      </w:r>
      <w:r w:rsidR="00772837">
        <w:t>2207008</w:t>
      </w:r>
      <w:r w:rsidR="001E13D5">
        <w:t>-0122-CG100</w:t>
      </w:r>
      <w:r w:rsidR="009A6704">
        <w:t>).</w:t>
      </w:r>
    </w:p>
    <w:p w14:paraId="32B76F9D" w14:textId="77777777" w:rsidR="00D26ADA" w:rsidRPr="00285755" w:rsidRDefault="00D26ADA" w:rsidP="00537496">
      <w:pPr>
        <w:pStyle w:val="Otherunnumberedheadings"/>
        <w:rPr>
          <w:rFonts w:hint="eastAsia"/>
        </w:rPr>
      </w:pPr>
      <w:r>
        <w:t>References</w:t>
      </w:r>
    </w:p>
    <w:p w14:paraId="3BA56E06" w14:textId="740B9996" w:rsidR="00F45EEE" w:rsidRDefault="003B1C78" w:rsidP="003B1C78">
      <w:pPr>
        <w:pStyle w:val="Referencelist"/>
      </w:pPr>
      <w:r w:rsidRPr="003B1C78">
        <w:t>Safety Regulatory Direction Guide for SMRs, Nuclear Safety and Security Commission, 2023.</w:t>
      </w:r>
    </w:p>
    <w:p w14:paraId="461C9C9B" w14:textId="77777777" w:rsidR="003B1C78" w:rsidRDefault="008350FB" w:rsidP="003B1C78">
      <w:pPr>
        <w:pStyle w:val="Referencelist"/>
      </w:pPr>
      <w:hyperlink r:id="rId10" w:history="1">
        <w:r w:rsidR="003B1C78" w:rsidRPr="009D23E1">
          <w:rPr>
            <w:rStyle w:val="ae"/>
            <w:lang w:eastAsia="ko-KR"/>
          </w:rPr>
          <w:t>www.nrc.gov</w:t>
        </w:r>
      </w:hyperlink>
      <w:r w:rsidR="003B1C78">
        <w:rPr>
          <w:lang w:eastAsia="ko-KR"/>
        </w:rPr>
        <w:t xml:space="preserve"> (2024), www.nrc.gov/reactors/new-reactors/smr/licensing-activities/nuscale/pre-app.html</w:t>
      </w:r>
    </w:p>
    <w:p w14:paraId="5059494D" w14:textId="77777777" w:rsidR="003B1C78" w:rsidRDefault="003B1C78" w:rsidP="003B1C78">
      <w:pPr>
        <w:pStyle w:val="Referencelist"/>
        <w:rPr>
          <w:lang w:eastAsia="ko-KR"/>
        </w:rPr>
      </w:pPr>
      <w:r>
        <w:rPr>
          <w:lang w:eastAsia="ko-KR"/>
        </w:rPr>
        <w:t xml:space="preserve">Potential Policy, Licensing, and Key Technical Issues for Small Modular Nuclear Reactor Designs, </w:t>
      </w:r>
      <w:r>
        <w:rPr>
          <w:rFonts w:hint="eastAsia"/>
          <w:lang w:eastAsia="ko-KR"/>
        </w:rPr>
        <w:t>S</w:t>
      </w:r>
      <w:r>
        <w:rPr>
          <w:lang w:eastAsia="ko-KR"/>
        </w:rPr>
        <w:t xml:space="preserve">ECY-10-0034, United States Nuclear Regulatory Commission, 2010. </w:t>
      </w:r>
    </w:p>
    <w:p w14:paraId="60A5A231" w14:textId="77777777" w:rsidR="003B1C78" w:rsidRDefault="003B1C78" w:rsidP="003B1C78">
      <w:pPr>
        <w:pStyle w:val="Referencelist"/>
        <w:rPr>
          <w:lang w:eastAsia="ko-KR"/>
        </w:rPr>
      </w:pPr>
      <w:proofErr w:type="spellStart"/>
      <w:r>
        <w:t>Kookheui</w:t>
      </w:r>
      <w:proofErr w:type="spellEnd"/>
      <w:r>
        <w:t xml:space="preserve"> K.</w:t>
      </w:r>
      <w:r>
        <w:rPr>
          <w:lang w:eastAsia="ko-KR"/>
        </w:rPr>
        <w:t xml:space="preserve">, Analysis of Nuclear Security Review Cases for the </w:t>
      </w:r>
      <w:proofErr w:type="spellStart"/>
      <w:r>
        <w:rPr>
          <w:lang w:eastAsia="ko-KR"/>
        </w:rPr>
        <w:t>NuScale</w:t>
      </w:r>
      <w:proofErr w:type="spellEnd"/>
      <w:r>
        <w:rPr>
          <w:lang w:eastAsia="ko-KR"/>
        </w:rPr>
        <w:t xml:space="preserve"> Standard Design Approval, </w:t>
      </w:r>
      <w:r>
        <w:rPr>
          <w:rFonts w:hint="eastAsia"/>
          <w:lang w:eastAsia="ko-KR"/>
        </w:rPr>
        <w:t>K</w:t>
      </w:r>
      <w:r>
        <w:rPr>
          <w:lang w:eastAsia="ko-KR"/>
        </w:rPr>
        <w:t xml:space="preserve">INAC/TR-011/2022(C2-9320), </w:t>
      </w:r>
      <w:r w:rsidRPr="00BB281E">
        <w:t xml:space="preserve">Korea Institute of Nuclear </w:t>
      </w:r>
      <w:proofErr w:type="spellStart"/>
      <w:r w:rsidRPr="00BB281E">
        <w:t>Nonproliferation</w:t>
      </w:r>
      <w:proofErr w:type="spellEnd"/>
      <w:r w:rsidRPr="00BB281E">
        <w:t xml:space="preserve"> And Control</w:t>
      </w:r>
      <w:r>
        <w:t>, 2022.</w:t>
      </w:r>
    </w:p>
    <w:p w14:paraId="2C20D48C" w14:textId="77777777" w:rsidR="003B1C78" w:rsidRDefault="003B1C78" w:rsidP="003B1C78">
      <w:pPr>
        <w:pStyle w:val="Referencelist"/>
        <w:rPr>
          <w:lang w:eastAsia="ko-KR"/>
        </w:rPr>
      </w:pPr>
      <w:proofErr w:type="spellStart"/>
      <w:r>
        <w:rPr>
          <w:rFonts w:hint="eastAsia"/>
          <w:lang w:eastAsia="ko-KR"/>
        </w:rPr>
        <w:t>N</w:t>
      </w:r>
      <w:r>
        <w:rPr>
          <w:lang w:eastAsia="ko-KR"/>
        </w:rPr>
        <w:t>uScale</w:t>
      </w:r>
      <w:proofErr w:type="spellEnd"/>
      <w:r>
        <w:rPr>
          <w:lang w:eastAsia="ko-KR"/>
        </w:rPr>
        <w:t xml:space="preserve"> Design-Specific Review Standard Scope and Safety Review Matrix, U.S. NRC, 2017.</w:t>
      </w:r>
    </w:p>
    <w:p w14:paraId="293E864D" w14:textId="77777777" w:rsidR="003B1C78" w:rsidRDefault="003B1C78" w:rsidP="003B1C78">
      <w:pPr>
        <w:pStyle w:val="Referencelist"/>
        <w:rPr>
          <w:lang w:eastAsia="ko-KR"/>
        </w:rPr>
      </w:pPr>
      <w:r>
        <w:rPr>
          <w:rFonts w:hint="eastAsia"/>
          <w:lang w:eastAsia="ko-KR"/>
        </w:rPr>
        <w:t>D</w:t>
      </w:r>
      <w:r>
        <w:rPr>
          <w:lang w:eastAsia="ko-KR"/>
        </w:rPr>
        <w:t xml:space="preserve">esign-Specific Review Standard for </w:t>
      </w:r>
      <w:proofErr w:type="spellStart"/>
      <w:r>
        <w:rPr>
          <w:lang w:eastAsia="ko-KR"/>
        </w:rPr>
        <w:t>NuScale</w:t>
      </w:r>
      <w:proofErr w:type="spellEnd"/>
      <w:r>
        <w:rPr>
          <w:lang w:eastAsia="ko-KR"/>
        </w:rPr>
        <w:t xml:space="preserve"> Small Modular Reactor Design, U.S. NRC, 2016.</w:t>
      </w:r>
    </w:p>
    <w:p w14:paraId="16CB7820" w14:textId="77777777" w:rsidR="003B1C78" w:rsidRDefault="008350FB" w:rsidP="003B1C78">
      <w:pPr>
        <w:pStyle w:val="Referencelist"/>
      </w:pPr>
      <w:hyperlink r:id="rId11" w:history="1">
        <w:r w:rsidR="003B1C78" w:rsidRPr="009D23E1">
          <w:rPr>
            <w:rStyle w:val="ae"/>
            <w:lang w:eastAsia="ko-KR"/>
          </w:rPr>
          <w:t>www.nrc.gov</w:t>
        </w:r>
      </w:hyperlink>
      <w:r w:rsidR="003B1C78">
        <w:rPr>
          <w:lang w:eastAsia="ko-KR"/>
        </w:rPr>
        <w:t xml:space="preserve"> (2024), www.nrc.gov/reactors/new-reactors/smr/licensing-activities/nuscale/review-schedule.html</w:t>
      </w:r>
    </w:p>
    <w:p w14:paraId="56FDAD58" w14:textId="77777777" w:rsidR="003B1C78" w:rsidRDefault="003B1C78" w:rsidP="003B1C78">
      <w:pPr>
        <w:pStyle w:val="Referencelist"/>
        <w:rPr>
          <w:lang w:eastAsia="ko-KR"/>
        </w:rPr>
      </w:pPr>
      <w:proofErr w:type="spellStart"/>
      <w:r>
        <w:rPr>
          <w:rFonts w:hint="eastAsia"/>
          <w:lang w:eastAsia="ko-KR"/>
        </w:rPr>
        <w:t>N</w:t>
      </w:r>
      <w:r>
        <w:rPr>
          <w:lang w:eastAsia="ko-KR"/>
        </w:rPr>
        <w:t>uScale</w:t>
      </w:r>
      <w:proofErr w:type="spellEnd"/>
      <w:r>
        <w:rPr>
          <w:lang w:eastAsia="ko-KR"/>
        </w:rPr>
        <w:t xml:space="preserve"> DC Final Safety Evaluation Report, U.S. NRC, 2020.</w:t>
      </w:r>
    </w:p>
    <w:p w14:paraId="75C79645" w14:textId="77777777" w:rsidR="003B1C78" w:rsidRDefault="003B1C78" w:rsidP="003B1C78">
      <w:pPr>
        <w:pStyle w:val="Referencelist"/>
        <w:rPr>
          <w:lang w:eastAsia="ko-KR"/>
        </w:rPr>
      </w:pPr>
      <w:r>
        <w:rPr>
          <w:rFonts w:hint="eastAsia"/>
          <w:lang w:eastAsia="ko-KR"/>
        </w:rPr>
        <w:t>N</w:t>
      </w:r>
      <w:r>
        <w:rPr>
          <w:lang w:eastAsia="ko-KR"/>
        </w:rPr>
        <w:t>ew Nuclear Power Plants Generic Design Assessment Guidance to Requesting Parties, ONR-GDA-GD-006 Revision 0, ONR, 2019.</w:t>
      </w:r>
    </w:p>
    <w:p w14:paraId="4F25B604" w14:textId="77777777" w:rsidR="003B1C78" w:rsidRDefault="003B1C78" w:rsidP="003B1C78">
      <w:pPr>
        <w:pStyle w:val="Referencelist"/>
        <w:rPr>
          <w:lang w:eastAsia="ko-KR"/>
        </w:rPr>
      </w:pPr>
      <w:r>
        <w:rPr>
          <w:rFonts w:hint="eastAsia"/>
          <w:lang w:eastAsia="ko-KR"/>
        </w:rPr>
        <w:t>S</w:t>
      </w:r>
      <w:r>
        <w:rPr>
          <w:lang w:eastAsia="ko-KR"/>
        </w:rPr>
        <w:t>ecurity Assessment Principles for the Civil Nuclear Industry, ONR, 2022.</w:t>
      </w:r>
    </w:p>
    <w:p w14:paraId="7C0FF58B" w14:textId="76918DE0" w:rsidR="003B1C78" w:rsidRPr="00662532" w:rsidRDefault="003B1C78" w:rsidP="003B1C78">
      <w:pPr>
        <w:pStyle w:val="Referencelist"/>
        <w:rPr>
          <w:lang w:eastAsia="ko-KR"/>
        </w:rPr>
      </w:pPr>
      <w:r>
        <w:rPr>
          <w:rFonts w:hint="eastAsia"/>
          <w:lang w:eastAsia="ko-KR"/>
        </w:rPr>
        <w:t>G</w:t>
      </w:r>
      <w:r>
        <w:rPr>
          <w:lang w:eastAsia="ko-KR"/>
        </w:rPr>
        <w:t>uidance on the Security Assessment of Generic New Nuclear Reactor Designs, CNSS-TAST-GD-11.1 Issue 1.2, ONR, 2021.</w:t>
      </w:r>
    </w:p>
    <w:sectPr w:rsidR="003B1C78" w:rsidRPr="00662532"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BA718" w14:textId="77777777" w:rsidR="008350FB" w:rsidRDefault="008350FB">
      <w:r>
        <w:separator/>
      </w:r>
    </w:p>
  </w:endnote>
  <w:endnote w:type="continuationSeparator" w:id="0">
    <w:p w14:paraId="3BE8DD6D" w14:textId="77777777" w:rsidR="008350FB" w:rsidRDefault="0083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F961" w14:textId="71EB65A1" w:rsidR="002F2C38" w:rsidRDefault="002F2C38">
    <w:pPr>
      <w:pStyle w:val="zyxClassification1"/>
    </w:pPr>
    <w:r>
      <w:fldChar w:fldCharType="begin"/>
    </w:r>
    <w:r>
      <w:instrText xml:space="preserve"> DOCPROPERTY "IaeaClassification"  \* MERGEFORMAT </w:instrText>
    </w:r>
    <w:r>
      <w:fldChar w:fldCharType="end"/>
    </w:r>
  </w:p>
  <w:p w14:paraId="1FDEB1B7" w14:textId="0ED3327B" w:rsidR="002F2C38" w:rsidRDefault="002F2C38">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308E" w14:textId="74B9F514" w:rsidR="002F2C38" w:rsidRDefault="002F2C38">
    <w:pPr>
      <w:pStyle w:val="zyxClassification1"/>
    </w:pPr>
    <w:r>
      <w:fldChar w:fldCharType="begin"/>
    </w:r>
    <w:r>
      <w:instrText xml:space="preserve"> DOCPROPERTY "IaeaClassification"  \* MERGEFORMAT </w:instrText>
    </w:r>
    <w:r>
      <w:fldChar w:fldCharType="end"/>
    </w:r>
  </w:p>
  <w:p w14:paraId="7E32AC2C" w14:textId="07C52EB6" w:rsidR="002F2C38" w:rsidRPr="00037321" w:rsidRDefault="002F2C38">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2F2C38" w14:paraId="2AC0DA17" w14:textId="77777777">
      <w:trPr>
        <w:cantSplit/>
      </w:trPr>
      <w:tc>
        <w:tcPr>
          <w:tcW w:w="4644" w:type="dxa"/>
        </w:tcPr>
        <w:p w14:paraId="6CFF9F49" w14:textId="0172A26A" w:rsidR="002F2C38" w:rsidRDefault="002F2C38">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2F2C38" w:rsidRDefault="002F2C38">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6BACBAB6" w:rsidR="002F2C38" w:rsidRDefault="002F2C38">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4D4577F5" w:rsidR="002F2C38" w:rsidRDefault="002F2C38">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14A092E5" w:rsidR="002F2C38" w:rsidRDefault="002F2C38">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DA870" w14:textId="77777777" w:rsidR="008350FB" w:rsidRDefault="008350FB">
      <w:r>
        <w:t>___________________________________________________________________________</w:t>
      </w:r>
    </w:p>
  </w:footnote>
  <w:footnote w:type="continuationSeparator" w:id="0">
    <w:p w14:paraId="02931858" w14:textId="77777777" w:rsidR="008350FB" w:rsidRDefault="008350FB">
      <w:r>
        <w:t>___________________________________________________________________________</w:t>
      </w:r>
    </w:p>
  </w:footnote>
  <w:footnote w:type="continuationNotice" w:id="1">
    <w:p w14:paraId="53C03B51" w14:textId="77777777" w:rsidR="008350FB" w:rsidRDefault="00835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522D" w14:textId="77777777" w:rsidR="002F2C38" w:rsidRDefault="002F2C38" w:rsidP="00CF7AF3">
    <w:pPr>
      <w:pStyle w:val="Runninghead"/>
    </w:pPr>
    <w:r>
      <w:tab/>
      <w:t>IAEA-CN-123/45</w:t>
    </w:r>
  </w:p>
  <w:p w14:paraId="4D70767E" w14:textId="77777777" w:rsidR="002F2C38" w:rsidRPr="009E1558" w:rsidRDefault="002F2C38"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2F2C38" w:rsidRDefault="002F2C38"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2F2C38" w:rsidRDefault="002F2C38">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C4E1" w14:textId="77777777" w:rsidR="002F2C38" w:rsidRDefault="002F2C38" w:rsidP="00B82FA5">
    <w:pPr>
      <w:pStyle w:val="Runninghead"/>
    </w:pPr>
    <w:r>
      <w:t>AUTHOR and OTHER-AUTHOR</w:t>
    </w:r>
  </w:p>
  <w:p w14:paraId="2762EF17" w14:textId="77777777" w:rsidR="002F2C38" w:rsidRPr="009E1558" w:rsidRDefault="002F2C38" w:rsidP="00037321">
    <w:pPr>
      <w:jc w:val="center"/>
      <w:rPr>
        <w:color w:val="BFBFBF" w:themeColor="background1" w:themeShade="BF"/>
        <w:sz w:val="16"/>
        <w:szCs w:val="16"/>
      </w:rPr>
    </w:pPr>
    <w:r>
      <w:rPr>
        <w:color w:val="BFBFBF" w:themeColor="background1" w:themeShade="BF"/>
        <w:sz w:val="16"/>
        <w:szCs w:val="16"/>
      </w:rPr>
      <w:t>[</w:t>
    </w:r>
    <w:r w:rsidRPr="009E1558">
      <w:rPr>
        <w:color w:val="BFBFBF" w:themeColor="background1" w:themeShade="BF"/>
        <w:sz w:val="16"/>
        <w:szCs w:val="16"/>
      </w:rPr>
      <w:t>Left hand page running head is author’s name in Times New Roman 8 p</w:t>
    </w:r>
    <w:r>
      <w:rPr>
        <w:color w:val="BFBFBF" w:themeColor="background1" w:themeShade="BF"/>
        <w:sz w:val="16"/>
        <w:szCs w:val="16"/>
      </w:rPr>
      <w:t>oin</w:t>
    </w:r>
    <w:r w:rsidRPr="009E1558">
      <w:rPr>
        <w:color w:val="BFBFBF" w:themeColor="background1" w:themeShade="BF"/>
        <w:sz w:val="16"/>
        <w:szCs w:val="16"/>
      </w:rPr>
      <w:t>t bold capitals, centred</w:t>
    </w:r>
    <w:r>
      <w:rPr>
        <w:color w:val="BFBFBF" w:themeColor="background1" w:themeShade="BF"/>
        <w:sz w:val="16"/>
        <w:szCs w:val="16"/>
      </w:rPr>
      <w:t>. F</w:t>
    </w:r>
    <w:r w:rsidRPr="009E1558">
      <w:rPr>
        <w:color w:val="BFBFBF" w:themeColor="background1" w:themeShade="BF"/>
        <w:sz w:val="16"/>
        <w:szCs w:val="16"/>
      </w:rPr>
      <w:t xml:space="preserve">or more </w:t>
    </w:r>
    <w:r>
      <w:rPr>
        <w:color w:val="BFBFBF" w:themeColor="background1" w:themeShade="BF"/>
        <w:sz w:val="16"/>
        <w:szCs w:val="16"/>
      </w:rPr>
      <w:t xml:space="preserve">than two </w:t>
    </w:r>
    <w:r w:rsidRPr="009E1558">
      <w:rPr>
        <w:color w:val="BFBFBF" w:themeColor="background1" w:themeShade="BF"/>
        <w:sz w:val="16"/>
        <w:szCs w:val="16"/>
      </w:rPr>
      <w:t>authors</w:t>
    </w:r>
    <w:r>
      <w:rPr>
        <w:color w:val="BFBFBF" w:themeColor="background1" w:themeShade="BF"/>
        <w:sz w:val="16"/>
        <w:szCs w:val="16"/>
      </w:rPr>
      <w:t>,</w:t>
    </w:r>
    <w:r w:rsidRPr="009E1558">
      <w:rPr>
        <w:color w:val="BFBFBF" w:themeColor="background1" w:themeShade="BF"/>
        <w:sz w:val="16"/>
        <w:szCs w:val="16"/>
      </w:rPr>
      <w:t xml:space="preserve"> write </w:t>
    </w:r>
    <w:r>
      <w:rPr>
        <w:b/>
        <w:color w:val="BFBFBF" w:themeColor="background1" w:themeShade="BF"/>
        <w:sz w:val="16"/>
        <w:szCs w:val="16"/>
      </w:rPr>
      <w:t>AUTHOR</w:t>
    </w:r>
    <w:r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2F2C38" w14:paraId="2C69EA9B" w14:textId="77777777">
      <w:trPr>
        <w:cantSplit/>
        <w:trHeight w:val="716"/>
      </w:trPr>
      <w:tc>
        <w:tcPr>
          <w:tcW w:w="979" w:type="dxa"/>
          <w:vMerge w:val="restart"/>
        </w:tcPr>
        <w:p w14:paraId="2A6ADF80" w14:textId="77777777" w:rsidR="002F2C38" w:rsidRDefault="002F2C38">
          <w:pPr>
            <w:spacing w:before="180"/>
            <w:ind w:left="17"/>
          </w:pPr>
        </w:p>
      </w:tc>
      <w:tc>
        <w:tcPr>
          <w:tcW w:w="3638" w:type="dxa"/>
          <w:vAlign w:val="bottom"/>
        </w:tcPr>
        <w:p w14:paraId="610CF310" w14:textId="77777777" w:rsidR="002F2C38" w:rsidRDefault="002F2C38">
          <w:pPr>
            <w:spacing w:after="20"/>
          </w:pPr>
        </w:p>
      </w:tc>
      <w:bookmarkStart w:id="2" w:name="DOC_bkmClassification1"/>
      <w:tc>
        <w:tcPr>
          <w:tcW w:w="5702" w:type="dxa"/>
          <w:vMerge w:val="restart"/>
          <w:tcMar>
            <w:right w:w="193" w:type="dxa"/>
          </w:tcMar>
        </w:tcPr>
        <w:p w14:paraId="48D5842E" w14:textId="65BC9385" w:rsidR="002F2C38" w:rsidRDefault="002F2C38">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4809B93E" w:rsidR="002F2C38" w:rsidRDefault="002F2C38">
          <w:pPr>
            <w:pStyle w:val="zyxConfid2Red"/>
          </w:pPr>
          <w:r>
            <w:fldChar w:fldCharType="begin"/>
          </w:r>
          <w:r>
            <w:instrText>DOCPROPERTY "IaeaClassification2"  \* MERGEFORMAT</w:instrText>
          </w:r>
          <w:r>
            <w:fldChar w:fldCharType="end"/>
          </w:r>
        </w:p>
      </w:tc>
    </w:tr>
    <w:tr w:rsidR="002F2C38" w14:paraId="7130D945" w14:textId="77777777">
      <w:trPr>
        <w:cantSplit/>
        <w:trHeight w:val="167"/>
      </w:trPr>
      <w:tc>
        <w:tcPr>
          <w:tcW w:w="979" w:type="dxa"/>
          <w:vMerge/>
        </w:tcPr>
        <w:p w14:paraId="7659FE2B" w14:textId="77777777" w:rsidR="002F2C38" w:rsidRDefault="002F2C38">
          <w:pPr>
            <w:spacing w:before="57"/>
          </w:pPr>
        </w:p>
      </w:tc>
      <w:tc>
        <w:tcPr>
          <w:tcW w:w="3638" w:type="dxa"/>
          <w:vAlign w:val="bottom"/>
        </w:tcPr>
        <w:p w14:paraId="7578AADC" w14:textId="77777777" w:rsidR="002F2C38" w:rsidRDefault="002F2C38">
          <w:pPr>
            <w:pStyle w:val="9"/>
            <w:spacing w:before="0" w:after="10"/>
          </w:pPr>
        </w:p>
      </w:tc>
      <w:tc>
        <w:tcPr>
          <w:tcW w:w="5702" w:type="dxa"/>
          <w:vMerge/>
          <w:vAlign w:val="bottom"/>
        </w:tcPr>
        <w:p w14:paraId="313FA1D9" w14:textId="77777777" w:rsidR="002F2C38" w:rsidRDefault="002F2C38">
          <w:pPr>
            <w:pStyle w:val="9"/>
            <w:spacing w:before="0" w:after="10"/>
          </w:pPr>
        </w:p>
      </w:tc>
    </w:tr>
  </w:tbl>
  <w:p w14:paraId="7A0C2B4B" w14:textId="77777777" w:rsidR="002F2C38" w:rsidRDefault="002F2C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D1B45"/>
    <w:multiLevelType w:val="hybridMultilevel"/>
    <w:tmpl w:val="097E66F4"/>
    <w:lvl w:ilvl="0" w:tplc="3B40897E">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0940377A"/>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0"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A543D5F"/>
    <w:multiLevelType w:val="hybridMultilevel"/>
    <w:tmpl w:val="192024D6"/>
    <w:lvl w:ilvl="0" w:tplc="307A2E6A">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num w:numId="1">
    <w:abstractNumId w:val="8"/>
  </w:num>
  <w:num w:numId="2">
    <w:abstractNumId w:val="4"/>
  </w:num>
  <w:num w:numId="3">
    <w:abstractNumId w:val="11"/>
  </w:num>
  <w:num w:numId="4">
    <w:abstractNumId w:val="11"/>
  </w:num>
  <w:num w:numId="5">
    <w:abstractNumId w:val="11"/>
  </w:num>
  <w:num w:numId="6">
    <w:abstractNumId w:val="6"/>
  </w:num>
  <w:num w:numId="7">
    <w:abstractNumId w:val="9"/>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4">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5">
    <w:abstractNumId w:val="1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num>
  <w:num w:numId="39">
    <w:abstractNumId w:val="5"/>
  </w:num>
  <w:num w:numId="40">
    <w:abstractNumId w:val="2"/>
  </w:num>
  <w:num w:numId="41">
    <w:abstractNumId w:val="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E3D"/>
    <w:rsid w:val="000140B2"/>
    <w:rsid w:val="00015723"/>
    <w:rsid w:val="000200DE"/>
    <w:rsid w:val="00021C0A"/>
    <w:rsid w:val="000229AB"/>
    <w:rsid w:val="0002569A"/>
    <w:rsid w:val="000369B8"/>
    <w:rsid w:val="00036E1F"/>
    <w:rsid w:val="00037321"/>
    <w:rsid w:val="0004094C"/>
    <w:rsid w:val="00072DA2"/>
    <w:rsid w:val="00087721"/>
    <w:rsid w:val="00092404"/>
    <w:rsid w:val="000A0299"/>
    <w:rsid w:val="000B0E9C"/>
    <w:rsid w:val="000C6F25"/>
    <w:rsid w:val="000D5144"/>
    <w:rsid w:val="000F0952"/>
    <w:rsid w:val="000F4277"/>
    <w:rsid w:val="000F4E8E"/>
    <w:rsid w:val="000F7E94"/>
    <w:rsid w:val="00104475"/>
    <w:rsid w:val="001119D6"/>
    <w:rsid w:val="001308F2"/>
    <w:rsid w:val="001313E8"/>
    <w:rsid w:val="001460FD"/>
    <w:rsid w:val="001469AE"/>
    <w:rsid w:val="00150D4A"/>
    <w:rsid w:val="00153740"/>
    <w:rsid w:val="00166978"/>
    <w:rsid w:val="00180652"/>
    <w:rsid w:val="00184B06"/>
    <w:rsid w:val="001A1B62"/>
    <w:rsid w:val="001B2507"/>
    <w:rsid w:val="001B5613"/>
    <w:rsid w:val="001B5C29"/>
    <w:rsid w:val="001B662D"/>
    <w:rsid w:val="001C480F"/>
    <w:rsid w:val="001C58F5"/>
    <w:rsid w:val="001D4EBE"/>
    <w:rsid w:val="001D5CEE"/>
    <w:rsid w:val="001E13D5"/>
    <w:rsid w:val="001F11CD"/>
    <w:rsid w:val="0020384F"/>
    <w:rsid w:val="002071D9"/>
    <w:rsid w:val="00213AE5"/>
    <w:rsid w:val="0021692E"/>
    <w:rsid w:val="002170C9"/>
    <w:rsid w:val="0022539B"/>
    <w:rsid w:val="00237D83"/>
    <w:rsid w:val="002407C6"/>
    <w:rsid w:val="0024791E"/>
    <w:rsid w:val="00247C05"/>
    <w:rsid w:val="002505D4"/>
    <w:rsid w:val="00256822"/>
    <w:rsid w:val="0026525A"/>
    <w:rsid w:val="00267DBD"/>
    <w:rsid w:val="00274790"/>
    <w:rsid w:val="00276276"/>
    <w:rsid w:val="00277A6B"/>
    <w:rsid w:val="0028086F"/>
    <w:rsid w:val="00285755"/>
    <w:rsid w:val="0029346D"/>
    <w:rsid w:val="002A1F9C"/>
    <w:rsid w:val="002B29C2"/>
    <w:rsid w:val="002B4F8C"/>
    <w:rsid w:val="002C161A"/>
    <w:rsid w:val="002C4208"/>
    <w:rsid w:val="002D5369"/>
    <w:rsid w:val="002E6558"/>
    <w:rsid w:val="002E7EA6"/>
    <w:rsid w:val="002F2C38"/>
    <w:rsid w:val="002F4256"/>
    <w:rsid w:val="00315374"/>
    <w:rsid w:val="00325F8C"/>
    <w:rsid w:val="003375C0"/>
    <w:rsid w:val="00351DAB"/>
    <w:rsid w:val="00352DE1"/>
    <w:rsid w:val="00356DE2"/>
    <w:rsid w:val="003728E6"/>
    <w:rsid w:val="003A5ACE"/>
    <w:rsid w:val="003A7C11"/>
    <w:rsid w:val="003B1C78"/>
    <w:rsid w:val="003B5E0E"/>
    <w:rsid w:val="003C1FB7"/>
    <w:rsid w:val="003C2788"/>
    <w:rsid w:val="003D255A"/>
    <w:rsid w:val="003E2C3A"/>
    <w:rsid w:val="00401079"/>
    <w:rsid w:val="00401362"/>
    <w:rsid w:val="00402F81"/>
    <w:rsid w:val="004072F9"/>
    <w:rsid w:val="00416949"/>
    <w:rsid w:val="004370D8"/>
    <w:rsid w:val="004478C2"/>
    <w:rsid w:val="0045024B"/>
    <w:rsid w:val="00472C43"/>
    <w:rsid w:val="004A54A1"/>
    <w:rsid w:val="004B6A05"/>
    <w:rsid w:val="004C3F28"/>
    <w:rsid w:val="004C6ADB"/>
    <w:rsid w:val="004D26EA"/>
    <w:rsid w:val="004D3895"/>
    <w:rsid w:val="004E6008"/>
    <w:rsid w:val="004F4C53"/>
    <w:rsid w:val="00502DBD"/>
    <w:rsid w:val="00503FB8"/>
    <w:rsid w:val="00507053"/>
    <w:rsid w:val="0051410F"/>
    <w:rsid w:val="005156F4"/>
    <w:rsid w:val="00521C72"/>
    <w:rsid w:val="005360C4"/>
    <w:rsid w:val="00537496"/>
    <w:rsid w:val="00544ED3"/>
    <w:rsid w:val="00547CC3"/>
    <w:rsid w:val="00566EF8"/>
    <w:rsid w:val="0057403A"/>
    <w:rsid w:val="0058477B"/>
    <w:rsid w:val="0058653A"/>
    <w:rsid w:val="0058654F"/>
    <w:rsid w:val="00596ACA"/>
    <w:rsid w:val="005A6554"/>
    <w:rsid w:val="005D0936"/>
    <w:rsid w:val="005D30BA"/>
    <w:rsid w:val="005D7990"/>
    <w:rsid w:val="005E39BC"/>
    <w:rsid w:val="005F00A0"/>
    <w:rsid w:val="005F1123"/>
    <w:rsid w:val="0060658C"/>
    <w:rsid w:val="00613046"/>
    <w:rsid w:val="0061398E"/>
    <w:rsid w:val="006255C9"/>
    <w:rsid w:val="00647F33"/>
    <w:rsid w:val="00662532"/>
    <w:rsid w:val="00665F79"/>
    <w:rsid w:val="00672BB4"/>
    <w:rsid w:val="006822A8"/>
    <w:rsid w:val="00687895"/>
    <w:rsid w:val="00696D33"/>
    <w:rsid w:val="006970DD"/>
    <w:rsid w:val="006A1212"/>
    <w:rsid w:val="006A1716"/>
    <w:rsid w:val="006A4B24"/>
    <w:rsid w:val="006A6DF5"/>
    <w:rsid w:val="006B2274"/>
    <w:rsid w:val="006B3D88"/>
    <w:rsid w:val="006D2E0E"/>
    <w:rsid w:val="006E26D5"/>
    <w:rsid w:val="00701C6B"/>
    <w:rsid w:val="007077DF"/>
    <w:rsid w:val="007150D2"/>
    <w:rsid w:val="00717786"/>
    <w:rsid w:val="00717C6F"/>
    <w:rsid w:val="00730738"/>
    <w:rsid w:val="00735762"/>
    <w:rsid w:val="00741E55"/>
    <w:rsid w:val="007445DA"/>
    <w:rsid w:val="00754204"/>
    <w:rsid w:val="00772837"/>
    <w:rsid w:val="007862C5"/>
    <w:rsid w:val="007951BD"/>
    <w:rsid w:val="007A4676"/>
    <w:rsid w:val="007B4FD1"/>
    <w:rsid w:val="007C1F80"/>
    <w:rsid w:val="007C6275"/>
    <w:rsid w:val="007D1F33"/>
    <w:rsid w:val="007D3D89"/>
    <w:rsid w:val="007E7992"/>
    <w:rsid w:val="00802381"/>
    <w:rsid w:val="00803791"/>
    <w:rsid w:val="00811E30"/>
    <w:rsid w:val="00816DB5"/>
    <w:rsid w:val="00834FFA"/>
    <w:rsid w:val="008350FB"/>
    <w:rsid w:val="00842697"/>
    <w:rsid w:val="0085470D"/>
    <w:rsid w:val="0086549E"/>
    <w:rsid w:val="00883848"/>
    <w:rsid w:val="00894A03"/>
    <w:rsid w:val="00897ED5"/>
    <w:rsid w:val="008B4648"/>
    <w:rsid w:val="008B6BB9"/>
    <w:rsid w:val="008C1C8E"/>
    <w:rsid w:val="008F221F"/>
    <w:rsid w:val="00901718"/>
    <w:rsid w:val="00903BE8"/>
    <w:rsid w:val="00905EEC"/>
    <w:rsid w:val="00911543"/>
    <w:rsid w:val="00916228"/>
    <w:rsid w:val="00922BB0"/>
    <w:rsid w:val="009302DD"/>
    <w:rsid w:val="009519C9"/>
    <w:rsid w:val="009740C0"/>
    <w:rsid w:val="00982F1C"/>
    <w:rsid w:val="009943CF"/>
    <w:rsid w:val="009A46A5"/>
    <w:rsid w:val="009A4D1B"/>
    <w:rsid w:val="009A6704"/>
    <w:rsid w:val="009B2F4D"/>
    <w:rsid w:val="009D0B86"/>
    <w:rsid w:val="009D30D0"/>
    <w:rsid w:val="009E0D5B"/>
    <w:rsid w:val="009E1558"/>
    <w:rsid w:val="009E2065"/>
    <w:rsid w:val="009E5946"/>
    <w:rsid w:val="00A015C4"/>
    <w:rsid w:val="00A141DF"/>
    <w:rsid w:val="00A23080"/>
    <w:rsid w:val="00A330C8"/>
    <w:rsid w:val="00A420B9"/>
    <w:rsid w:val="00A42898"/>
    <w:rsid w:val="00A66B1E"/>
    <w:rsid w:val="00A71821"/>
    <w:rsid w:val="00A83717"/>
    <w:rsid w:val="00A83F30"/>
    <w:rsid w:val="00A935D1"/>
    <w:rsid w:val="00A954AF"/>
    <w:rsid w:val="00A9596B"/>
    <w:rsid w:val="00AA20D6"/>
    <w:rsid w:val="00AB33FC"/>
    <w:rsid w:val="00AB5633"/>
    <w:rsid w:val="00AB6ACE"/>
    <w:rsid w:val="00AC560D"/>
    <w:rsid w:val="00AC5A3A"/>
    <w:rsid w:val="00AC6F9F"/>
    <w:rsid w:val="00AF3640"/>
    <w:rsid w:val="00B0046E"/>
    <w:rsid w:val="00B013D7"/>
    <w:rsid w:val="00B038B4"/>
    <w:rsid w:val="00B10C6C"/>
    <w:rsid w:val="00B21CCD"/>
    <w:rsid w:val="00B82FA5"/>
    <w:rsid w:val="00B83718"/>
    <w:rsid w:val="00B90FB7"/>
    <w:rsid w:val="00B93150"/>
    <w:rsid w:val="00B978C5"/>
    <w:rsid w:val="00BB0F0E"/>
    <w:rsid w:val="00BB1CC8"/>
    <w:rsid w:val="00BB281E"/>
    <w:rsid w:val="00BB49E8"/>
    <w:rsid w:val="00BB5B2C"/>
    <w:rsid w:val="00BC19BE"/>
    <w:rsid w:val="00BC2679"/>
    <w:rsid w:val="00BC54FF"/>
    <w:rsid w:val="00BC7344"/>
    <w:rsid w:val="00BD1400"/>
    <w:rsid w:val="00BD49F3"/>
    <w:rsid w:val="00BD605C"/>
    <w:rsid w:val="00BE2A76"/>
    <w:rsid w:val="00BF6148"/>
    <w:rsid w:val="00C00CE1"/>
    <w:rsid w:val="00C1360B"/>
    <w:rsid w:val="00C35078"/>
    <w:rsid w:val="00C356FF"/>
    <w:rsid w:val="00C41093"/>
    <w:rsid w:val="00C4464D"/>
    <w:rsid w:val="00C51D0D"/>
    <w:rsid w:val="00C53DBD"/>
    <w:rsid w:val="00C62240"/>
    <w:rsid w:val="00C63530"/>
    <w:rsid w:val="00C65E60"/>
    <w:rsid w:val="00C723FC"/>
    <w:rsid w:val="00C87CDB"/>
    <w:rsid w:val="00C957F6"/>
    <w:rsid w:val="00CA4330"/>
    <w:rsid w:val="00CA4797"/>
    <w:rsid w:val="00CA4DC4"/>
    <w:rsid w:val="00CE2E02"/>
    <w:rsid w:val="00CE5A52"/>
    <w:rsid w:val="00CF7AF3"/>
    <w:rsid w:val="00D21409"/>
    <w:rsid w:val="00D23356"/>
    <w:rsid w:val="00D26ADA"/>
    <w:rsid w:val="00D35A78"/>
    <w:rsid w:val="00D36315"/>
    <w:rsid w:val="00D402B2"/>
    <w:rsid w:val="00D4552B"/>
    <w:rsid w:val="00D555A1"/>
    <w:rsid w:val="00D627BB"/>
    <w:rsid w:val="00D64DC2"/>
    <w:rsid w:val="00D7082F"/>
    <w:rsid w:val="00D810BB"/>
    <w:rsid w:val="00D83403"/>
    <w:rsid w:val="00DA1F4F"/>
    <w:rsid w:val="00DA46CA"/>
    <w:rsid w:val="00DB2784"/>
    <w:rsid w:val="00DC5D78"/>
    <w:rsid w:val="00DD0D3E"/>
    <w:rsid w:val="00DD3ACE"/>
    <w:rsid w:val="00DF21EB"/>
    <w:rsid w:val="00DF3D08"/>
    <w:rsid w:val="00DF653D"/>
    <w:rsid w:val="00E156B8"/>
    <w:rsid w:val="00E20E70"/>
    <w:rsid w:val="00E25258"/>
    <w:rsid w:val="00E25B68"/>
    <w:rsid w:val="00E53E2B"/>
    <w:rsid w:val="00E73F5E"/>
    <w:rsid w:val="00E80256"/>
    <w:rsid w:val="00E84003"/>
    <w:rsid w:val="00E86A0D"/>
    <w:rsid w:val="00E92539"/>
    <w:rsid w:val="00E9453F"/>
    <w:rsid w:val="00EB2075"/>
    <w:rsid w:val="00EC10FC"/>
    <w:rsid w:val="00EC4EA9"/>
    <w:rsid w:val="00EE0041"/>
    <w:rsid w:val="00EE29B9"/>
    <w:rsid w:val="00EF5C73"/>
    <w:rsid w:val="00F004EE"/>
    <w:rsid w:val="00F0703B"/>
    <w:rsid w:val="00F0756B"/>
    <w:rsid w:val="00F07DCF"/>
    <w:rsid w:val="00F11F5A"/>
    <w:rsid w:val="00F120F9"/>
    <w:rsid w:val="00F42E23"/>
    <w:rsid w:val="00F45EEE"/>
    <w:rsid w:val="00F51E9C"/>
    <w:rsid w:val="00F523CA"/>
    <w:rsid w:val="00F71D38"/>
    <w:rsid w:val="00F72DE2"/>
    <w:rsid w:val="00F74A9D"/>
    <w:rsid w:val="00FA275D"/>
    <w:rsid w:val="00FB3B4D"/>
    <w:rsid w:val="00FC236D"/>
    <w:rsid w:val="00FD0DD5"/>
    <w:rsid w:val="00FD276E"/>
    <w:rsid w:val="00FD6BE7"/>
    <w:rsid w:val="00FE2FC7"/>
    <w:rsid w:val="00FE56B1"/>
    <w:rsid w:val="00FF386F"/>
    <w:rsid w:val="00FF3E36"/>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3"/>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3"/>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3"/>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character" w:styleId="ae">
    <w:name w:val="Hyperlink"/>
    <w:basedOn w:val="a2"/>
    <w:uiPriority w:val="49"/>
    <w:locked/>
    <w:rsid w:val="00BB281E"/>
    <w:rPr>
      <w:color w:val="0000FF" w:themeColor="hyperlink"/>
      <w:u w:val="single"/>
    </w:rPr>
  </w:style>
  <w:style w:type="character" w:styleId="af">
    <w:name w:val="Unresolved Mention"/>
    <w:basedOn w:val="a2"/>
    <w:uiPriority w:val="99"/>
    <w:semiHidden/>
    <w:unhideWhenUsed/>
    <w:rsid w:val="00BB281E"/>
    <w:rPr>
      <w:color w:val="605E5C"/>
      <w:shd w:val="clear" w:color="auto" w:fill="E1DFDD"/>
    </w:rPr>
  </w:style>
  <w:style w:type="character" w:styleId="af0">
    <w:name w:val="annotation reference"/>
    <w:basedOn w:val="a2"/>
    <w:uiPriority w:val="49"/>
    <w:locked/>
    <w:rsid w:val="007951BD"/>
    <w:rPr>
      <w:sz w:val="18"/>
      <w:szCs w:val="18"/>
    </w:rPr>
  </w:style>
  <w:style w:type="paragraph" w:styleId="af1">
    <w:name w:val="annotation text"/>
    <w:basedOn w:val="a"/>
    <w:link w:val="Char2"/>
    <w:uiPriority w:val="49"/>
    <w:locked/>
    <w:rsid w:val="007951BD"/>
  </w:style>
  <w:style w:type="character" w:customStyle="1" w:styleId="Char2">
    <w:name w:val="메모 텍스트 Char"/>
    <w:basedOn w:val="a2"/>
    <w:link w:val="af1"/>
    <w:uiPriority w:val="49"/>
    <w:rsid w:val="007951BD"/>
    <w:rPr>
      <w:sz w:val="22"/>
      <w:lang w:eastAsia="en-US"/>
    </w:rPr>
  </w:style>
  <w:style w:type="paragraph" w:styleId="af2">
    <w:name w:val="annotation subject"/>
    <w:basedOn w:val="af1"/>
    <w:next w:val="af1"/>
    <w:link w:val="Char3"/>
    <w:uiPriority w:val="49"/>
    <w:locked/>
    <w:rsid w:val="007951BD"/>
    <w:rPr>
      <w:b/>
      <w:bCs/>
    </w:rPr>
  </w:style>
  <w:style w:type="character" w:customStyle="1" w:styleId="Char3">
    <w:name w:val="메모 주제 Char"/>
    <w:basedOn w:val="Char2"/>
    <w:link w:val="af2"/>
    <w:uiPriority w:val="49"/>
    <w:rsid w:val="007951BD"/>
    <w:rPr>
      <w:b/>
      <w:bCs/>
      <w:sz w:val="22"/>
      <w:lang w:eastAsia="en-US"/>
    </w:rPr>
  </w:style>
  <w:style w:type="paragraph" w:customStyle="1" w:styleId="af3">
    <w:name w:val="바탕글"/>
    <w:basedOn w:val="a"/>
    <w:rsid w:val="008C1C8E"/>
    <w:pPr>
      <w:widowControl w:val="0"/>
      <w:wordWrap w:val="0"/>
      <w:overflowPunct/>
      <w:adjustRightInd/>
      <w:snapToGrid w:val="0"/>
      <w:spacing w:line="384" w:lineRule="auto"/>
      <w:jc w:val="both"/>
    </w:pPr>
    <w:rPr>
      <w:rFonts w:ascii="바탕" w:eastAsia="굴림" w:hAnsi="굴림" w:cs="굴림"/>
      <w:color w:val="000000"/>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158">
      <w:bodyDiv w:val="1"/>
      <w:marLeft w:val="0"/>
      <w:marRight w:val="0"/>
      <w:marTop w:val="0"/>
      <w:marBottom w:val="0"/>
      <w:divBdr>
        <w:top w:val="none" w:sz="0" w:space="0" w:color="auto"/>
        <w:left w:val="none" w:sz="0" w:space="0" w:color="auto"/>
        <w:bottom w:val="none" w:sz="0" w:space="0" w:color="auto"/>
        <w:right w:val="none" w:sz="0" w:space="0" w:color="auto"/>
      </w:divBdr>
      <w:divsChild>
        <w:div w:id="682516310">
          <w:marLeft w:val="0"/>
          <w:marRight w:val="0"/>
          <w:marTop w:val="0"/>
          <w:marBottom w:val="0"/>
          <w:divBdr>
            <w:top w:val="none" w:sz="0" w:space="0" w:color="auto"/>
            <w:left w:val="none" w:sz="0" w:space="0" w:color="auto"/>
            <w:bottom w:val="none" w:sz="0" w:space="0" w:color="auto"/>
            <w:right w:val="none" w:sz="0" w:space="0" w:color="auto"/>
          </w:divBdr>
          <w:divsChild>
            <w:div w:id="1476408708">
              <w:marLeft w:val="0"/>
              <w:marRight w:val="0"/>
              <w:marTop w:val="0"/>
              <w:marBottom w:val="0"/>
              <w:divBdr>
                <w:top w:val="none" w:sz="0" w:space="0" w:color="auto"/>
                <w:left w:val="none" w:sz="0" w:space="0" w:color="auto"/>
                <w:bottom w:val="none" w:sz="0" w:space="0" w:color="auto"/>
                <w:right w:val="none" w:sz="0" w:space="0" w:color="auto"/>
              </w:divBdr>
              <w:divsChild>
                <w:div w:id="512187954">
                  <w:marLeft w:val="0"/>
                  <w:marRight w:val="0"/>
                  <w:marTop w:val="0"/>
                  <w:marBottom w:val="0"/>
                  <w:divBdr>
                    <w:top w:val="none" w:sz="0" w:space="0" w:color="auto"/>
                    <w:left w:val="none" w:sz="0" w:space="0" w:color="auto"/>
                    <w:bottom w:val="none" w:sz="0" w:space="0" w:color="auto"/>
                    <w:right w:val="none" w:sz="0" w:space="0" w:color="auto"/>
                  </w:divBdr>
                  <w:divsChild>
                    <w:div w:id="145752575">
                      <w:marLeft w:val="0"/>
                      <w:marRight w:val="0"/>
                      <w:marTop w:val="0"/>
                      <w:marBottom w:val="0"/>
                      <w:divBdr>
                        <w:top w:val="none" w:sz="0" w:space="0" w:color="auto"/>
                        <w:left w:val="none" w:sz="0" w:space="0" w:color="auto"/>
                        <w:bottom w:val="none" w:sz="0" w:space="0" w:color="auto"/>
                        <w:right w:val="none" w:sz="0" w:space="0" w:color="auto"/>
                      </w:divBdr>
                      <w:divsChild>
                        <w:div w:id="703360421">
                          <w:marLeft w:val="0"/>
                          <w:marRight w:val="0"/>
                          <w:marTop w:val="0"/>
                          <w:marBottom w:val="0"/>
                          <w:divBdr>
                            <w:top w:val="none" w:sz="0" w:space="0" w:color="auto"/>
                            <w:left w:val="none" w:sz="0" w:space="0" w:color="auto"/>
                            <w:bottom w:val="none" w:sz="0" w:space="0" w:color="auto"/>
                            <w:right w:val="none" w:sz="0" w:space="0" w:color="auto"/>
                          </w:divBdr>
                          <w:divsChild>
                            <w:div w:id="194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74925">
      <w:bodyDiv w:val="1"/>
      <w:marLeft w:val="0"/>
      <w:marRight w:val="0"/>
      <w:marTop w:val="0"/>
      <w:marBottom w:val="0"/>
      <w:divBdr>
        <w:top w:val="none" w:sz="0" w:space="0" w:color="auto"/>
        <w:left w:val="none" w:sz="0" w:space="0" w:color="auto"/>
        <w:bottom w:val="none" w:sz="0" w:space="0" w:color="auto"/>
        <w:right w:val="none" w:sz="0" w:space="0" w:color="auto"/>
      </w:divBdr>
    </w:div>
    <w:div w:id="110637396">
      <w:bodyDiv w:val="1"/>
      <w:marLeft w:val="0"/>
      <w:marRight w:val="0"/>
      <w:marTop w:val="0"/>
      <w:marBottom w:val="0"/>
      <w:divBdr>
        <w:top w:val="none" w:sz="0" w:space="0" w:color="auto"/>
        <w:left w:val="none" w:sz="0" w:space="0" w:color="auto"/>
        <w:bottom w:val="none" w:sz="0" w:space="0" w:color="auto"/>
        <w:right w:val="none" w:sz="0" w:space="0" w:color="auto"/>
      </w:divBdr>
      <w:divsChild>
        <w:div w:id="1645742054">
          <w:marLeft w:val="0"/>
          <w:marRight w:val="0"/>
          <w:marTop w:val="0"/>
          <w:marBottom w:val="0"/>
          <w:divBdr>
            <w:top w:val="none" w:sz="0" w:space="0" w:color="auto"/>
            <w:left w:val="none" w:sz="0" w:space="0" w:color="auto"/>
            <w:bottom w:val="none" w:sz="0" w:space="0" w:color="auto"/>
            <w:right w:val="none" w:sz="0" w:space="0" w:color="auto"/>
          </w:divBdr>
          <w:divsChild>
            <w:div w:id="853806307">
              <w:marLeft w:val="0"/>
              <w:marRight w:val="0"/>
              <w:marTop w:val="0"/>
              <w:marBottom w:val="0"/>
              <w:divBdr>
                <w:top w:val="none" w:sz="0" w:space="0" w:color="auto"/>
                <w:left w:val="none" w:sz="0" w:space="0" w:color="auto"/>
                <w:bottom w:val="none" w:sz="0" w:space="0" w:color="auto"/>
                <w:right w:val="none" w:sz="0" w:space="0" w:color="auto"/>
              </w:divBdr>
              <w:divsChild>
                <w:div w:id="825785247">
                  <w:marLeft w:val="0"/>
                  <w:marRight w:val="0"/>
                  <w:marTop w:val="0"/>
                  <w:marBottom w:val="0"/>
                  <w:divBdr>
                    <w:top w:val="none" w:sz="0" w:space="0" w:color="auto"/>
                    <w:left w:val="none" w:sz="0" w:space="0" w:color="auto"/>
                    <w:bottom w:val="none" w:sz="0" w:space="0" w:color="auto"/>
                    <w:right w:val="none" w:sz="0" w:space="0" w:color="auto"/>
                  </w:divBdr>
                  <w:divsChild>
                    <w:div w:id="3112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250">
      <w:bodyDiv w:val="1"/>
      <w:marLeft w:val="0"/>
      <w:marRight w:val="0"/>
      <w:marTop w:val="0"/>
      <w:marBottom w:val="0"/>
      <w:divBdr>
        <w:top w:val="none" w:sz="0" w:space="0" w:color="auto"/>
        <w:left w:val="none" w:sz="0" w:space="0" w:color="auto"/>
        <w:bottom w:val="none" w:sz="0" w:space="0" w:color="auto"/>
        <w:right w:val="none" w:sz="0" w:space="0" w:color="auto"/>
      </w:divBdr>
    </w:div>
    <w:div w:id="243270667">
      <w:bodyDiv w:val="1"/>
      <w:marLeft w:val="0"/>
      <w:marRight w:val="0"/>
      <w:marTop w:val="0"/>
      <w:marBottom w:val="0"/>
      <w:divBdr>
        <w:top w:val="none" w:sz="0" w:space="0" w:color="auto"/>
        <w:left w:val="none" w:sz="0" w:space="0" w:color="auto"/>
        <w:bottom w:val="none" w:sz="0" w:space="0" w:color="auto"/>
        <w:right w:val="none" w:sz="0" w:space="0" w:color="auto"/>
      </w:divBdr>
    </w:div>
    <w:div w:id="347146204">
      <w:bodyDiv w:val="1"/>
      <w:marLeft w:val="0"/>
      <w:marRight w:val="0"/>
      <w:marTop w:val="0"/>
      <w:marBottom w:val="0"/>
      <w:divBdr>
        <w:top w:val="none" w:sz="0" w:space="0" w:color="auto"/>
        <w:left w:val="none" w:sz="0" w:space="0" w:color="auto"/>
        <w:bottom w:val="none" w:sz="0" w:space="0" w:color="auto"/>
        <w:right w:val="none" w:sz="0" w:space="0" w:color="auto"/>
      </w:divBdr>
      <w:divsChild>
        <w:div w:id="885066390">
          <w:marLeft w:val="0"/>
          <w:marRight w:val="0"/>
          <w:marTop w:val="0"/>
          <w:marBottom w:val="0"/>
          <w:divBdr>
            <w:top w:val="none" w:sz="0" w:space="0" w:color="auto"/>
            <w:left w:val="none" w:sz="0" w:space="0" w:color="auto"/>
            <w:bottom w:val="none" w:sz="0" w:space="0" w:color="auto"/>
            <w:right w:val="none" w:sz="0" w:space="0" w:color="auto"/>
          </w:divBdr>
          <w:divsChild>
            <w:div w:id="1873878399">
              <w:marLeft w:val="0"/>
              <w:marRight w:val="0"/>
              <w:marTop w:val="0"/>
              <w:marBottom w:val="0"/>
              <w:divBdr>
                <w:top w:val="none" w:sz="0" w:space="0" w:color="auto"/>
                <w:left w:val="none" w:sz="0" w:space="0" w:color="auto"/>
                <w:bottom w:val="none" w:sz="0" w:space="0" w:color="auto"/>
                <w:right w:val="none" w:sz="0" w:space="0" w:color="auto"/>
              </w:divBdr>
              <w:divsChild>
                <w:div w:id="1252273345">
                  <w:marLeft w:val="0"/>
                  <w:marRight w:val="0"/>
                  <w:marTop w:val="0"/>
                  <w:marBottom w:val="0"/>
                  <w:divBdr>
                    <w:top w:val="none" w:sz="0" w:space="0" w:color="auto"/>
                    <w:left w:val="none" w:sz="0" w:space="0" w:color="auto"/>
                    <w:bottom w:val="none" w:sz="0" w:space="0" w:color="auto"/>
                    <w:right w:val="none" w:sz="0" w:space="0" w:color="auto"/>
                  </w:divBdr>
                  <w:divsChild>
                    <w:div w:id="1360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2745">
      <w:bodyDiv w:val="1"/>
      <w:marLeft w:val="0"/>
      <w:marRight w:val="0"/>
      <w:marTop w:val="0"/>
      <w:marBottom w:val="0"/>
      <w:divBdr>
        <w:top w:val="none" w:sz="0" w:space="0" w:color="auto"/>
        <w:left w:val="none" w:sz="0" w:space="0" w:color="auto"/>
        <w:bottom w:val="none" w:sz="0" w:space="0" w:color="auto"/>
        <w:right w:val="none" w:sz="0" w:space="0" w:color="auto"/>
      </w:divBdr>
      <w:divsChild>
        <w:div w:id="533807417">
          <w:marLeft w:val="0"/>
          <w:marRight w:val="0"/>
          <w:marTop w:val="0"/>
          <w:marBottom w:val="0"/>
          <w:divBdr>
            <w:top w:val="single" w:sz="2" w:space="0" w:color="E3E3E3"/>
            <w:left w:val="single" w:sz="2" w:space="0" w:color="E3E3E3"/>
            <w:bottom w:val="single" w:sz="2" w:space="0" w:color="E3E3E3"/>
            <w:right w:val="single" w:sz="2" w:space="0" w:color="E3E3E3"/>
          </w:divBdr>
          <w:divsChild>
            <w:div w:id="964652087">
              <w:marLeft w:val="0"/>
              <w:marRight w:val="0"/>
              <w:marTop w:val="0"/>
              <w:marBottom w:val="0"/>
              <w:divBdr>
                <w:top w:val="single" w:sz="2" w:space="0" w:color="E3E3E3"/>
                <w:left w:val="single" w:sz="2" w:space="0" w:color="E3E3E3"/>
                <w:bottom w:val="single" w:sz="2" w:space="0" w:color="E3E3E3"/>
                <w:right w:val="single" w:sz="2" w:space="0" w:color="E3E3E3"/>
              </w:divBdr>
              <w:divsChild>
                <w:div w:id="122503651">
                  <w:marLeft w:val="0"/>
                  <w:marRight w:val="0"/>
                  <w:marTop w:val="0"/>
                  <w:marBottom w:val="0"/>
                  <w:divBdr>
                    <w:top w:val="single" w:sz="2" w:space="2" w:color="E3E3E3"/>
                    <w:left w:val="single" w:sz="2" w:space="0" w:color="E3E3E3"/>
                    <w:bottom w:val="single" w:sz="2" w:space="0" w:color="E3E3E3"/>
                    <w:right w:val="single" w:sz="2" w:space="0" w:color="E3E3E3"/>
                  </w:divBdr>
                  <w:divsChild>
                    <w:div w:id="227962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52615920">
      <w:bodyDiv w:val="1"/>
      <w:marLeft w:val="0"/>
      <w:marRight w:val="0"/>
      <w:marTop w:val="0"/>
      <w:marBottom w:val="0"/>
      <w:divBdr>
        <w:top w:val="none" w:sz="0" w:space="0" w:color="auto"/>
        <w:left w:val="none" w:sz="0" w:space="0" w:color="auto"/>
        <w:bottom w:val="none" w:sz="0" w:space="0" w:color="auto"/>
        <w:right w:val="none" w:sz="0" w:space="0" w:color="auto"/>
      </w:divBdr>
      <w:divsChild>
        <w:div w:id="1510872847">
          <w:marLeft w:val="0"/>
          <w:marRight w:val="0"/>
          <w:marTop w:val="0"/>
          <w:marBottom w:val="0"/>
          <w:divBdr>
            <w:top w:val="none" w:sz="0" w:space="0" w:color="auto"/>
            <w:left w:val="none" w:sz="0" w:space="0" w:color="auto"/>
            <w:bottom w:val="none" w:sz="0" w:space="0" w:color="auto"/>
            <w:right w:val="none" w:sz="0" w:space="0" w:color="auto"/>
          </w:divBdr>
          <w:divsChild>
            <w:div w:id="918487986">
              <w:marLeft w:val="0"/>
              <w:marRight w:val="0"/>
              <w:marTop w:val="0"/>
              <w:marBottom w:val="0"/>
              <w:divBdr>
                <w:top w:val="none" w:sz="0" w:space="0" w:color="auto"/>
                <w:left w:val="none" w:sz="0" w:space="0" w:color="auto"/>
                <w:bottom w:val="none" w:sz="0" w:space="0" w:color="auto"/>
                <w:right w:val="none" w:sz="0" w:space="0" w:color="auto"/>
              </w:divBdr>
              <w:divsChild>
                <w:div w:id="1818375226">
                  <w:marLeft w:val="0"/>
                  <w:marRight w:val="0"/>
                  <w:marTop w:val="0"/>
                  <w:marBottom w:val="0"/>
                  <w:divBdr>
                    <w:top w:val="none" w:sz="0" w:space="0" w:color="auto"/>
                    <w:left w:val="none" w:sz="0" w:space="0" w:color="auto"/>
                    <w:bottom w:val="none" w:sz="0" w:space="0" w:color="auto"/>
                    <w:right w:val="none" w:sz="0" w:space="0" w:color="auto"/>
                  </w:divBdr>
                  <w:divsChild>
                    <w:div w:id="9211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6753">
          <w:marLeft w:val="0"/>
          <w:marRight w:val="0"/>
          <w:marTop w:val="0"/>
          <w:marBottom w:val="0"/>
          <w:divBdr>
            <w:top w:val="none" w:sz="0" w:space="0" w:color="auto"/>
            <w:left w:val="none" w:sz="0" w:space="0" w:color="auto"/>
            <w:bottom w:val="none" w:sz="0" w:space="0" w:color="auto"/>
            <w:right w:val="none" w:sz="0" w:space="0" w:color="auto"/>
          </w:divBdr>
          <w:divsChild>
            <w:div w:id="1559587667">
              <w:marLeft w:val="0"/>
              <w:marRight w:val="0"/>
              <w:marTop w:val="0"/>
              <w:marBottom w:val="0"/>
              <w:divBdr>
                <w:top w:val="none" w:sz="0" w:space="0" w:color="auto"/>
                <w:left w:val="none" w:sz="0" w:space="0" w:color="auto"/>
                <w:bottom w:val="none" w:sz="0" w:space="0" w:color="auto"/>
                <w:right w:val="none" w:sz="0" w:space="0" w:color="auto"/>
              </w:divBdr>
              <w:divsChild>
                <w:div w:id="2005164398">
                  <w:marLeft w:val="0"/>
                  <w:marRight w:val="0"/>
                  <w:marTop w:val="0"/>
                  <w:marBottom w:val="0"/>
                  <w:divBdr>
                    <w:top w:val="none" w:sz="0" w:space="0" w:color="auto"/>
                    <w:left w:val="none" w:sz="0" w:space="0" w:color="auto"/>
                    <w:bottom w:val="none" w:sz="0" w:space="0" w:color="auto"/>
                    <w:right w:val="none" w:sz="0" w:space="0" w:color="auto"/>
                  </w:divBdr>
                  <w:divsChild>
                    <w:div w:id="752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063551">
      <w:bodyDiv w:val="1"/>
      <w:marLeft w:val="0"/>
      <w:marRight w:val="0"/>
      <w:marTop w:val="0"/>
      <w:marBottom w:val="0"/>
      <w:divBdr>
        <w:top w:val="none" w:sz="0" w:space="0" w:color="auto"/>
        <w:left w:val="none" w:sz="0" w:space="0" w:color="auto"/>
        <w:bottom w:val="none" w:sz="0" w:space="0" w:color="auto"/>
        <w:right w:val="none" w:sz="0" w:space="0" w:color="auto"/>
      </w:divBdr>
    </w:div>
    <w:div w:id="663164766">
      <w:bodyDiv w:val="1"/>
      <w:marLeft w:val="0"/>
      <w:marRight w:val="0"/>
      <w:marTop w:val="0"/>
      <w:marBottom w:val="0"/>
      <w:divBdr>
        <w:top w:val="none" w:sz="0" w:space="0" w:color="auto"/>
        <w:left w:val="none" w:sz="0" w:space="0" w:color="auto"/>
        <w:bottom w:val="none" w:sz="0" w:space="0" w:color="auto"/>
        <w:right w:val="none" w:sz="0" w:space="0" w:color="auto"/>
      </w:divBdr>
      <w:divsChild>
        <w:div w:id="1697073921">
          <w:marLeft w:val="0"/>
          <w:marRight w:val="0"/>
          <w:marTop w:val="0"/>
          <w:marBottom w:val="0"/>
          <w:divBdr>
            <w:top w:val="single" w:sz="2" w:space="0" w:color="E3E3E3"/>
            <w:left w:val="single" w:sz="2" w:space="0" w:color="E3E3E3"/>
            <w:bottom w:val="single" w:sz="2" w:space="0" w:color="E3E3E3"/>
            <w:right w:val="single" w:sz="2" w:space="0" w:color="E3E3E3"/>
          </w:divBdr>
          <w:divsChild>
            <w:div w:id="264969381">
              <w:marLeft w:val="0"/>
              <w:marRight w:val="0"/>
              <w:marTop w:val="0"/>
              <w:marBottom w:val="0"/>
              <w:divBdr>
                <w:top w:val="single" w:sz="2" w:space="0" w:color="E3E3E3"/>
                <w:left w:val="single" w:sz="2" w:space="0" w:color="E3E3E3"/>
                <w:bottom w:val="single" w:sz="2" w:space="0" w:color="E3E3E3"/>
                <w:right w:val="single" w:sz="2" w:space="0" w:color="E3E3E3"/>
              </w:divBdr>
              <w:divsChild>
                <w:div w:id="221454489">
                  <w:marLeft w:val="0"/>
                  <w:marRight w:val="0"/>
                  <w:marTop w:val="0"/>
                  <w:marBottom w:val="0"/>
                  <w:divBdr>
                    <w:top w:val="single" w:sz="2" w:space="2" w:color="E3E3E3"/>
                    <w:left w:val="single" w:sz="2" w:space="0" w:color="E3E3E3"/>
                    <w:bottom w:val="single" w:sz="2" w:space="0" w:color="E3E3E3"/>
                    <w:right w:val="single" w:sz="2" w:space="0" w:color="E3E3E3"/>
                  </w:divBdr>
                  <w:divsChild>
                    <w:div w:id="2093120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0178108">
      <w:bodyDiv w:val="1"/>
      <w:marLeft w:val="0"/>
      <w:marRight w:val="0"/>
      <w:marTop w:val="0"/>
      <w:marBottom w:val="0"/>
      <w:divBdr>
        <w:top w:val="none" w:sz="0" w:space="0" w:color="auto"/>
        <w:left w:val="none" w:sz="0" w:space="0" w:color="auto"/>
        <w:bottom w:val="none" w:sz="0" w:space="0" w:color="auto"/>
        <w:right w:val="none" w:sz="0" w:space="0" w:color="auto"/>
      </w:divBdr>
    </w:div>
    <w:div w:id="733087114">
      <w:bodyDiv w:val="1"/>
      <w:marLeft w:val="0"/>
      <w:marRight w:val="0"/>
      <w:marTop w:val="0"/>
      <w:marBottom w:val="0"/>
      <w:divBdr>
        <w:top w:val="none" w:sz="0" w:space="0" w:color="auto"/>
        <w:left w:val="none" w:sz="0" w:space="0" w:color="auto"/>
        <w:bottom w:val="none" w:sz="0" w:space="0" w:color="auto"/>
        <w:right w:val="none" w:sz="0" w:space="0" w:color="auto"/>
      </w:divBdr>
      <w:divsChild>
        <w:div w:id="1183590544">
          <w:marLeft w:val="0"/>
          <w:marRight w:val="0"/>
          <w:marTop w:val="0"/>
          <w:marBottom w:val="0"/>
          <w:divBdr>
            <w:top w:val="none" w:sz="0" w:space="0" w:color="auto"/>
            <w:left w:val="none" w:sz="0" w:space="0" w:color="auto"/>
            <w:bottom w:val="none" w:sz="0" w:space="0" w:color="auto"/>
            <w:right w:val="none" w:sz="0" w:space="0" w:color="auto"/>
          </w:divBdr>
          <w:divsChild>
            <w:div w:id="1477842370">
              <w:marLeft w:val="0"/>
              <w:marRight w:val="0"/>
              <w:marTop w:val="0"/>
              <w:marBottom w:val="0"/>
              <w:divBdr>
                <w:top w:val="none" w:sz="0" w:space="0" w:color="auto"/>
                <w:left w:val="none" w:sz="0" w:space="0" w:color="auto"/>
                <w:bottom w:val="none" w:sz="0" w:space="0" w:color="auto"/>
                <w:right w:val="none" w:sz="0" w:space="0" w:color="auto"/>
              </w:divBdr>
              <w:divsChild>
                <w:div w:id="1789857365">
                  <w:marLeft w:val="0"/>
                  <w:marRight w:val="0"/>
                  <w:marTop w:val="0"/>
                  <w:marBottom w:val="0"/>
                  <w:divBdr>
                    <w:top w:val="none" w:sz="0" w:space="0" w:color="auto"/>
                    <w:left w:val="none" w:sz="0" w:space="0" w:color="auto"/>
                    <w:bottom w:val="none" w:sz="0" w:space="0" w:color="auto"/>
                    <w:right w:val="none" w:sz="0" w:space="0" w:color="auto"/>
                  </w:divBdr>
                  <w:divsChild>
                    <w:div w:id="8566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257">
          <w:marLeft w:val="0"/>
          <w:marRight w:val="0"/>
          <w:marTop w:val="0"/>
          <w:marBottom w:val="0"/>
          <w:divBdr>
            <w:top w:val="none" w:sz="0" w:space="0" w:color="auto"/>
            <w:left w:val="none" w:sz="0" w:space="0" w:color="auto"/>
            <w:bottom w:val="none" w:sz="0" w:space="0" w:color="auto"/>
            <w:right w:val="none" w:sz="0" w:space="0" w:color="auto"/>
          </w:divBdr>
          <w:divsChild>
            <w:div w:id="672805374">
              <w:marLeft w:val="0"/>
              <w:marRight w:val="0"/>
              <w:marTop w:val="0"/>
              <w:marBottom w:val="0"/>
              <w:divBdr>
                <w:top w:val="none" w:sz="0" w:space="0" w:color="auto"/>
                <w:left w:val="none" w:sz="0" w:space="0" w:color="auto"/>
                <w:bottom w:val="none" w:sz="0" w:space="0" w:color="auto"/>
                <w:right w:val="none" w:sz="0" w:space="0" w:color="auto"/>
              </w:divBdr>
              <w:divsChild>
                <w:div w:id="724373816">
                  <w:marLeft w:val="0"/>
                  <w:marRight w:val="0"/>
                  <w:marTop w:val="0"/>
                  <w:marBottom w:val="0"/>
                  <w:divBdr>
                    <w:top w:val="none" w:sz="0" w:space="0" w:color="auto"/>
                    <w:left w:val="none" w:sz="0" w:space="0" w:color="auto"/>
                    <w:bottom w:val="none" w:sz="0" w:space="0" w:color="auto"/>
                    <w:right w:val="none" w:sz="0" w:space="0" w:color="auto"/>
                  </w:divBdr>
                  <w:divsChild>
                    <w:div w:id="7983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862970">
      <w:bodyDiv w:val="1"/>
      <w:marLeft w:val="0"/>
      <w:marRight w:val="0"/>
      <w:marTop w:val="0"/>
      <w:marBottom w:val="0"/>
      <w:divBdr>
        <w:top w:val="none" w:sz="0" w:space="0" w:color="auto"/>
        <w:left w:val="none" w:sz="0" w:space="0" w:color="auto"/>
        <w:bottom w:val="none" w:sz="0" w:space="0" w:color="auto"/>
        <w:right w:val="none" w:sz="0" w:space="0" w:color="auto"/>
      </w:divBdr>
    </w:div>
    <w:div w:id="873270817">
      <w:bodyDiv w:val="1"/>
      <w:marLeft w:val="0"/>
      <w:marRight w:val="0"/>
      <w:marTop w:val="0"/>
      <w:marBottom w:val="0"/>
      <w:divBdr>
        <w:top w:val="none" w:sz="0" w:space="0" w:color="auto"/>
        <w:left w:val="none" w:sz="0" w:space="0" w:color="auto"/>
        <w:bottom w:val="none" w:sz="0" w:space="0" w:color="auto"/>
        <w:right w:val="none" w:sz="0" w:space="0" w:color="auto"/>
      </w:divBdr>
      <w:divsChild>
        <w:div w:id="1751078235">
          <w:marLeft w:val="0"/>
          <w:marRight w:val="0"/>
          <w:marTop w:val="0"/>
          <w:marBottom w:val="0"/>
          <w:divBdr>
            <w:top w:val="none" w:sz="0" w:space="0" w:color="auto"/>
            <w:left w:val="none" w:sz="0" w:space="0" w:color="auto"/>
            <w:bottom w:val="none" w:sz="0" w:space="0" w:color="auto"/>
            <w:right w:val="none" w:sz="0" w:space="0" w:color="auto"/>
          </w:divBdr>
          <w:divsChild>
            <w:div w:id="741289997">
              <w:marLeft w:val="0"/>
              <w:marRight w:val="0"/>
              <w:marTop w:val="0"/>
              <w:marBottom w:val="0"/>
              <w:divBdr>
                <w:top w:val="none" w:sz="0" w:space="0" w:color="auto"/>
                <w:left w:val="none" w:sz="0" w:space="0" w:color="auto"/>
                <w:bottom w:val="none" w:sz="0" w:space="0" w:color="auto"/>
                <w:right w:val="none" w:sz="0" w:space="0" w:color="auto"/>
              </w:divBdr>
              <w:divsChild>
                <w:div w:id="1021468776">
                  <w:marLeft w:val="0"/>
                  <w:marRight w:val="0"/>
                  <w:marTop w:val="0"/>
                  <w:marBottom w:val="0"/>
                  <w:divBdr>
                    <w:top w:val="none" w:sz="0" w:space="0" w:color="auto"/>
                    <w:left w:val="none" w:sz="0" w:space="0" w:color="auto"/>
                    <w:bottom w:val="none" w:sz="0" w:space="0" w:color="auto"/>
                    <w:right w:val="none" w:sz="0" w:space="0" w:color="auto"/>
                  </w:divBdr>
                  <w:divsChild>
                    <w:div w:id="2622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16579">
      <w:bodyDiv w:val="1"/>
      <w:marLeft w:val="0"/>
      <w:marRight w:val="0"/>
      <w:marTop w:val="0"/>
      <w:marBottom w:val="0"/>
      <w:divBdr>
        <w:top w:val="none" w:sz="0" w:space="0" w:color="auto"/>
        <w:left w:val="none" w:sz="0" w:space="0" w:color="auto"/>
        <w:bottom w:val="none" w:sz="0" w:space="0" w:color="auto"/>
        <w:right w:val="none" w:sz="0" w:space="0" w:color="auto"/>
      </w:divBdr>
    </w:div>
    <w:div w:id="948853428">
      <w:bodyDiv w:val="1"/>
      <w:marLeft w:val="0"/>
      <w:marRight w:val="0"/>
      <w:marTop w:val="0"/>
      <w:marBottom w:val="0"/>
      <w:divBdr>
        <w:top w:val="none" w:sz="0" w:space="0" w:color="auto"/>
        <w:left w:val="none" w:sz="0" w:space="0" w:color="auto"/>
        <w:bottom w:val="none" w:sz="0" w:space="0" w:color="auto"/>
        <w:right w:val="none" w:sz="0" w:space="0" w:color="auto"/>
      </w:divBdr>
      <w:divsChild>
        <w:div w:id="707295435">
          <w:marLeft w:val="0"/>
          <w:marRight w:val="0"/>
          <w:marTop w:val="0"/>
          <w:marBottom w:val="0"/>
          <w:divBdr>
            <w:top w:val="none" w:sz="0" w:space="0" w:color="auto"/>
            <w:left w:val="none" w:sz="0" w:space="0" w:color="auto"/>
            <w:bottom w:val="none" w:sz="0" w:space="0" w:color="auto"/>
            <w:right w:val="none" w:sz="0" w:space="0" w:color="auto"/>
          </w:divBdr>
          <w:divsChild>
            <w:div w:id="1583029147">
              <w:marLeft w:val="0"/>
              <w:marRight w:val="0"/>
              <w:marTop w:val="0"/>
              <w:marBottom w:val="0"/>
              <w:divBdr>
                <w:top w:val="none" w:sz="0" w:space="0" w:color="auto"/>
                <w:left w:val="none" w:sz="0" w:space="0" w:color="auto"/>
                <w:bottom w:val="none" w:sz="0" w:space="0" w:color="auto"/>
                <w:right w:val="none" w:sz="0" w:space="0" w:color="auto"/>
              </w:divBdr>
              <w:divsChild>
                <w:div w:id="2129272700">
                  <w:marLeft w:val="0"/>
                  <w:marRight w:val="0"/>
                  <w:marTop w:val="0"/>
                  <w:marBottom w:val="0"/>
                  <w:divBdr>
                    <w:top w:val="none" w:sz="0" w:space="0" w:color="auto"/>
                    <w:left w:val="none" w:sz="0" w:space="0" w:color="auto"/>
                    <w:bottom w:val="none" w:sz="0" w:space="0" w:color="auto"/>
                    <w:right w:val="none" w:sz="0" w:space="0" w:color="auto"/>
                  </w:divBdr>
                  <w:divsChild>
                    <w:div w:id="12946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7131">
      <w:bodyDiv w:val="1"/>
      <w:marLeft w:val="0"/>
      <w:marRight w:val="0"/>
      <w:marTop w:val="0"/>
      <w:marBottom w:val="0"/>
      <w:divBdr>
        <w:top w:val="none" w:sz="0" w:space="0" w:color="auto"/>
        <w:left w:val="none" w:sz="0" w:space="0" w:color="auto"/>
        <w:bottom w:val="none" w:sz="0" w:space="0" w:color="auto"/>
        <w:right w:val="none" w:sz="0" w:space="0" w:color="auto"/>
      </w:divBdr>
    </w:div>
    <w:div w:id="1301762186">
      <w:bodyDiv w:val="1"/>
      <w:marLeft w:val="0"/>
      <w:marRight w:val="0"/>
      <w:marTop w:val="0"/>
      <w:marBottom w:val="0"/>
      <w:divBdr>
        <w:top w:val="none" w:sz="0" w:space="0" w:color="auto"/>
        <w:left w:val="none" w:sz="0" w:space="0" w:color="auto"/>
        <w:bottom w:val="none" w:sz="0" w:space="0" w:color="auto"/>
        <w:right w:val="none" w:sz="0" w:space="0" w:color="auto"/>
      </w:divBdr>
    </w:div>
    <w:div w:id="1482766210">
      <w:bodyDiv w:val="1"/>
      <w:marLeft w:val="0"/>
      <w:marRight w:val="0"/>
      <w:marTop w:val="0"/>
      <w:marBottom w:val="0"/>
      <w:divBdr>
        <w:top w:val="none" w:sz="0" w:space="0" w:color="auto"/>
        <w:left w:val="none" w:sz="0" w:space="0" w:color="auto"/>
        <w:bottom w:val="none" w:sz="0" w:space="0" w:color="auto"/>
        <w:right w:val="none" w:sz="0" w:space="0" w:color="auto"/>
      </w:divBdr>
    </w:div>
    <w:div w:id="1600219317">
      <w:bodyDiv w:val="1"/>
      <w:marLeft w:val="0"/>
      <w:marRight w:val="0"/>
      <w:marTop w:val="0"/>
      <w:marBottom w:val="0"/>
      <w:divBdr>
        <w:top w:val="none" w:sz="0" w:space="0" w:color="auto"/>
        <w:left w:val="none" w:sz="0" w:space="0" w:color="auto"/>
        <w:bottom w:val="none" w:sz="0" w:space="0" w:color="auto"/>
        <w:right w:val="none" w:sz="0" w:space="0" w:color="auto"/>
      </w:divBdr>
    </w:div>
    <w:div w:id="1602833897">
      <w:bodyDiv w:val="1"/>
      <w:marLeft w:val="0"/>
      <w:marRight w:val="0"/>
      <w:marTop w:val="0"/>
      <w:marBottom w:val="0"/>
      <w:divBdr>
        <w:top w:val="none" w:sz="0" w:space="0" w:color="auto"/>
        <w:left w:val="none" w:sz="0" w:space="0" w:color="auto"/>
        <w:bottom w:val="none" w:sz="0" w:space="0" w:color="auto"/>
        <w:right w:val="none" w:sz="0" w:space="0" w:color="auto"/>
      </w:divBdr>
    </w:div>
    <w:div w:id="1657761531">
      <w:bodyDiv w:val="1"/>
      <w:marLeft w:val="0"/>
      <w:marRight w:val="0"/>
      <w:marTop w:val="0"/>
      <w:marBottom w:val="0"/>
      <w:divBdr>
        <w:top w:val="none" w:sz="0" w:space="0" w:color="auto"/>
        <w:left w:val="none" w:sz="0" w:space="0" w:color="auto"/>
        <w:bottom w:val="none" w:sz="0" w:space="0" w:color="auto"/>
        <w:right w:val="none" w:sz="0" w:space="0" w:color="auto"/>
      </w:divBdr>
    </w:div>
    <w:div w:id="1669559068">
      <w:bodyDiv w:val="1"/>
      <w:marLeft w:val="0"/>
      <w:marRight w:val="0"/>
      <w:marTop w:val="0"/>
      <w:marBottom w:val="0"/>
      <w:divBdr>
        <w:top w:val="none" w:sz="0" w:space="0" w:color="auto"/>
        <w:left w:val="none" w:sz="0" w:space="0" w:color="auto"/>
        <w:bottom w:val="none" w:sz="0" w:space="0" w:color="auto"/>
        <w:right w:val="none" w:sz="0" w:space="0" w:color="auto"/>
      </w:divBdr>
    </w:div>
    <w:div w:id="1733192776">
      <w:bodyDiv w:val="1"/>
      <w:marLeft w:val="0"/>
      <w:marRight w:val="0"/>
      <w:marTop w:val="0"/>
      <w:marBottom w:val="0"/>
      <w:divBdr>
        <w:top w:val="none" w:sz="0" w:space="0" w:color="auto"/>
        <w:left w:val="none" w:sz="0" w:space="0" w:color="auto"/>
        <w:bottom w:val="none" w:sz="0" w:space="0" w:color="auto"/>
        <w:right w:val="none" w:sz="0" w:space="0" w:color="auto"/>
      </w:divBdr>
    </w:div>
    <w:div w:id="1832330882">
      <w:bodyDiv w:val="1"/>
      <w:marLeft w:val="0"/>
      <w:marRight w:val="0"/>
      <w:marTop w:val="0"/>
      <w:marBottom w:val="0"/>
      <w:divBdr>
        <w:top w:val="none" w:sz="0" w:space="0" w:color="auto"/>
        <w:left w:val="none" w:sz="0" w:space="0" w:color="auto"/>
        <w:bottom w:val="none" w:sz="0" w:space="0" w:color="auto"/>
        <w:right w:val="none" w:sz="0" w:space="0" w:color="auto"/>
      </w:divBdr>
    </w:div>
    <w:div w:id="2088647235">
      <w:bodyDiv w:val="1"/>
      <w:marLeft w:val="0"/>
      <w:marRight w:val="0"/>
      <w:marTop w:val="0"/>
      <w:marBottom w:val="0"/>
      <w:divBdr>
        <w:top w:val="none" w:sz="0" w:space="0" w:color="auto"/>
        <w:left w:val="none" w:sz="0" w:space="0" w:color="auto"/>
        <w:bottom w:val="none" w:sz="0" w:space="0" w:color="auto"/>
        <w:right w:val="none" w:sz="0" w:space="0" w:color="auto"/>
      </w:divBdr>
    </w:div>
    <w:div w:id="21275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lee@kinac.re.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r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2CE767A3-2EFD-4BE3-8AB0-777A02BE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58</TotalTime>
  <Pages>6</Pages>
  <Words>2919</Words>
  <Characters>16642</Characters>
  <Application>Microsoft Office Word</Application>
  <DocSecurity>0</DocSecurity>
  <Lines>138</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이수봉</cp:lastModifiedBy>
  <cp:revision>12</cp:revision>
  <cp:lastPrinted>2024-03-19T13:52:00Z</cp:lastPrinted>
  <dcterms:created xsi:type="dcterms:W3CDTF">2024-06-13T08:53:00Z</dcterms:created>
  <dcterms:modified xsi:type="dcterms:W3CDTF">2024-06-14T08:09:00Z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