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DBDC3" w14:textId="77777777" w:rsidR="00A50F90" w:rsidRPr="00EC295A" w:rsidRDefault="00A50F90" w:rsidP="00A50F90">
      <w:pPr>
        <w:pStyle w:val="Ttulo1"/>
      </w:pPr>
      <w:r w:rsidRPr="00EC295A">
        <w:t xml:space="preserve">Initiatives to build a harmonized regulatory framework for new technologies </w:t>
      </w:r>
      <w:r w:rsidRPr="00A50F90">
        <w:t>in Brazil</w:t>
      </w:r>
    </w:p>
    <w:p w14:paraId="4D1B799F" w14:textId="77777777" w:rsidR="00802381" w:rsidRPr="00816CE8" w:rsidRDefault="00802381" w:rsidP="00537496">
      <w:pPr>
        <w:pStyle w:val="Authornameandaffiliation"/>
        <w:rPr>
          <w:lang w:val="en-GB"/>
        </w:rPr>
      </w:pPr>
    </w:p>
    <w:p w14:paraId="0EC23559" w14:textId="6BCCD90B" w:rsidR="00534DD8" w:rsidRPr="00534DD8" w:rsidRDefault="009020B3" w:rsidP="00534DD8">
      <w:pPr>
        <w:pStyle w:val="Authornameandaffiliation"/>
        <w:rPr>
          <w:lang w:val="pt-BR"/>
        </w:rPr>
      </w:pPr>
      <w:r w:rsidRPr="00534DD8">
        <w:rPr>
          <w:lang w:val="pt-BR"/>
        </w:rPr>
        <w:t xml:space="preserve">Anna </w:t>
      </w:r>
      <w:r>
        <w:rPr>
          <w:lang w:val="pt-BR"/>
        </w:rPr>
        <w:t>L</w:t>
      </w:r>
      <w:r w:rsidRPr="00534DD8">
        <w:rPr>
          <w:lang w:val="pt-BR"/>
        </w:rPr>
        <w:t xml:space="preserve">etícia </w:t>
      </w:r>
      <w:r>
        <w:rPr>
          <w:lang w:val="pt-BR"/>
        </w:rPr>
        <w:t>B</w:t>
      </w:r>
      <w:r w:rsidRPr="00534DD8">
        <w:rPr>
          <w:lang w:val="pt-BR"/>
        </w:rPr>
        <w:t xml:space="preserve">arbosa </w:t>
      </w:r>
      <w:r>
        <w:rPr>
          <w:lang w:val="pt-BR"/>
        </w:rPr>
        <w:t>de S</w:t>
      </w:r>
      <w:r w:rsidRPr="00534DD8">
        <w:rPr>
          <w:lang w:val="pt-BR"/>
        </w:rPr>
        <w:t>ousa</w:t>
      </w:r>
    </w:p>
    <w:p w14:paraId="1D53EBF9" w14:textId="77777777" w:rsidR="00534DD8" w:rsidRPr="007340B8" w:rsidRDefault="00534DD8" w:rsidP="00534DD8">
      <w:pPr>
        <w:pStyle w:val="Authornameandaffiliation"/>
        <w:rPr>
          <w:lang w:val="pt-BR"/>
        </w:rPr>
      </w:pPr>
      <w:proofErr w:type="spellStart"/>
      <w:r w:rsidRPr="007340B8">
        <w:rPr>
          <w:lang w:val="pt-BR"/>
        </w:rPr>
        <w:t>National</w:t>
      </w:r>
      <w:proofErr w:type="spellEnd"/>
      <w:r w:rsidRPr="007340B8">
        <w:rPr>
          <w:lang w:val="pt-BR"/>
        </w:rPr>
        <w:t xml:space="preserve"> Nuclear Energy Commission (CNEN)</w:t>
      </w:r>
    </w:p>
    <w:p w14:paraId="01152A3B" w14:textId="77777777" w:rsidR="00534DD8" w:rsidRPr="00534DD8" w:rsidRDefault="00534DD8" w:rsidP="00534DD8">
      <w:pPr>
        <w:pStyle w:val="Authornameandaffiliation"/>
        <w:rPr>
          <w:lang w:val="pt-BR"/>
        </w:rPr>
      </w:pPr>
      <w:r w:rsidRPr="00534DD8">
        <w:rPr>
          <w:lang w:val="pt-BR"/>
        </w:rPr>
        <w:t>Rio de Janeiro/RJ, Brazil</w:t>
      </w:r>
    </w:p>
    <w:p w14:paraId="0080899C" w14:textId="7234BE5D" w:rsidR="00FF386F" w:rsidRPr="007340B8" w:rsidRDefault="00FF386F" w:rsidP="00534DD8">
      <w:pPr>
        <w:pStyle w:val="Authornameandaffiliation"/>
      </w:pPr>
      <w:r w:rsidRPr="007340B8">
        <w:t xml:space="preserve">Email: </w:t>
      </w:r>
      <w:r w:rsidR="00534DD8" w:rsidRPr="007340B8">
        <w:t>anna.sousa@cnen.gov.br</w:t>
      </w:r>
    </w:p>
    <w:p w14:paraId="5E2BDA1F" w14:textId="77777777" w:rsidR="00FF386F" w:rsidRPr="007340B8" w:rsidRDefault="00FF386F" w:rsidP="00537496">
      <w:pPr>
        <w:pStyle w:val="Authornameandaffiliation"/>
      </w:pPr>
    </w:p>
    <w:p w14:paraId="535BB6CC" w14:textId="5472C008" w:rsidR="00FF386F" w:rsidRPr="00534DD8" w:rsidRDefault="00534DD8" w:rsidP="00537496">
      <w:pPr>
        <w:pStyle w:val="Authornameandaffiliation"/>
        <w:rPr>
          <w:lang w:val="pt-BR"/>
        </w:rPr>
      </w:pPr>
      <w:r w:rsidRPr="00534DD8">
        <w:rPr>
          <w:lang w:val="pt-BR"/>
        </w:rPr>
        <w:t xml:space="preserve">Nelbia da Silva </w:t>
      </w:r>
      <w:r w:rsidR="007B13B8" w:rsidRPr="00DA6967">
        <w:rPr>
          <w:lang w:val="pt-BR"/>
        </w:rPr>
        <w:t>L</w:t>
      </w:r>
      <w:r>
        <w:rPr>
          <w:lang w:val="pt-BR"/>
        </w:rPr>
        <w:t>apa</w:t>
      </w:r>
    </w:p>
    <w:p w14:paraId="4329E512" w14:textId="77777777" w:rsidR="00534DD8" w:rsidRPr="007340B8" w:rsidRDefault="00534DD8" w:rsidP="00534DD8">
      <w:pPr>
        <w:pStyle w:val="Authornameandaffiliation"/>
        <w:rPr>
          <w:lang w:val="pt-BR"/>
        </w:rPr>
      </w:pPr>
      <w:proofErr w:type="spellStart"/>
      <w:r w:rsidRPr="007340B8">
        <w:rPr>
          <w:lang w:val="pt-BR"/>
        </w:rPr>
        <w:t>National</w:t>
      </w:r>
      <w:proofErr w:type="spellEnd"/>
      <w:r w:rsidRPr="007340B8">
        <w:rPr>
          <w:lang w:val="pt-BR"/>
        </w:rPr>
        <w:t xml:space="preserve"> Nuclear Energy Commission (CNEN)</w:t>
      </w:r>
    </w:p>
    <w:p w14:paraId="3945B330" w14:textId="77777777" w:rsidR="00534DD8" w:rsidRPr="00534DD8" w:rsidRDefault="00534DD8" w:rsidP="00534DD8">
      <w:pPr>
        <w:pStyle w:val="Authornameandaffiliation"/>
        <w:rPr>
          <w:lang w:val="pt-BR"/>
        </w:rPr>
      </w:pPr>
      <w:r w:rsidRPr="00534DD8">
        <w:rPr>
          <w:lang w:val="pt-BR"/>
        </w:rPr>
        <w:t>Rio de Janeiro/RJ, Brazil</w:t>
      </w:r>
    </w:p>
    <w:p w14:paraId="2C7F19CB" w14:textId="2C7BE3A6" w:rsidR="00FF386F" w:rsidRPr="007340B8" w:rsidRDefault="00534DD8" w:rsidP="00534DD8">
      <w:pPr>
        <w:pStyle w:val="Authornameandaffiliation"/>
      </w:pPr>
      <w:r w:rsidRPr="007340B8">
        <w:t>Email: nelbia.silva@cnen.gov.br</w:t>
      </w:r>
    </w:p>
    <w:p w14:paraId="11C4FCC0" w14:textId="77777777" w:rsidR="00FE3F07" w:rsidRPr="007340B8" w:rsidRDefault="00FE3F07" w:rsidP="00537496">
      <w:pPr>
        <w:pStyle w:val="Authornameandaffiliation"/>
        <w:rPr>
          <w:b/>
        </w:rPr>
      </w:pPr>
    </w:p>
    <w:p w14:paraId="230D4575" w14:textId="3F0DDC30"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185D73FF" w14:textId="6CDBA6FD" w:rsidR="00677B4B" w:rsidRPr="006502B3" w:rsidRDefault="00677B4B" w:rsidP="006502B3">
      <w:pPr>
        <w:pStyle w:val="Default"/>
        <w:ind w:firstLine="567"/>
        <w:jc w:val="both"/>
        <w:rPr>
          <w:color w:val="auto"/>
          <w:sz w:val="18"/>
          <w:szCs w:val="20"/>
          <w:lang w:val="en-US" w:eastAsia="en-US"/>
        </w:rPr>
      </w:pPr>
      <w:r w:rsidRPr="006502B3">
        <w:rPr>
          <w:color w:val="auto"/>
          <w:sz w:val="18"/>
          <w:szCs w:val="20"/>
          <w:lang w:val="en-US" w:eastAsia="en-US"/>
        </w:rPr>
        <w:t xml:space="preserve">One of the biggest challenges of this century will be to adapt energy production to the country's needs. This production must harmonize low cost, reduced environmental footprint, and low greenhouse effect gases release. </w:t>
      </w:r>
      <w:r w:rsidR="007513CD" w:rsidRPr="006502B3">
        <w:rPr>
          <w:color w:val="auto"/>
          <w:sz w:val="18"/>
          <w:szCs w:val="20"/>
          <w:lang w:val="en-US" w:eastAsia="en-US"/>
        </w:rPr>
        <w:t>Regarding this matter, an interesting concept is the Small Modular Reactor (SMR) which provides passive safety, low cost of operation and installation, long cycles with a duration that can reach 8 years and can help decarbonize. As in other countries, Brazil has a challenge to overcome, which is the need to rethink the licensing process and regulatory scope so as not to negatively impact commercial costs and the production schedule of innovative projects.</w:t>
      </w:r>
      <w:r w:rsidRPr="006502B3">
        <w:rPr>
          <w:color w:val="auto"/>
          <w:sz w:val="18"/>
          <w:szCs w:val="20"/>
          <w:lang w:val="en-US" w:eastAsia="en-US"/>
        </w:rPr>
        <w:t xml:space="preserve"> The SMRs bring </w:t>
      </w:r>
      <w:r w:rsidR="007513CD" w:rsidRPr="006502B3">
        <w:rPr>
          <w:color w:val="auto"/>
          <w:sz w:val="18"/>
          <w:szCs w:val="20"/>
          <w:lang w:val="en-US" w:eastAsia="en-US"/>
        </w:rPr>
        <w:t>new concept</w:t>
      </w:r>
      <w:r w:rsidRPr="006502B3">
        <w:rPr>
          <w:color w:val="auto"/>
          <w:sz w:val="18"/>
          <w:szCs w:val="20"/>
          <w:lang w:val="en-US" w:eastAsia="en-US"/>
        </w:rPr>
        <w:t>s to the reactor licensing process associated with outsourcing, to the modular project´s approach, to a strong decentralization of the project activities, and the safety analysis, building, and commission offsite. The paper presents the Brazilian Nuclear Regulatory Body's initiatives to prepare safety requirements for SMRs in harmonization with the current practices as well as cooperation among regulators to provide a regulatory framework for effective oversight of nuclear power.</w:t>
      </w:r>
    </w:p>
    <w:p w14:paraId="03C6D75B" w14:textId="77777777" w:rsidR="00647F33" w:rsidRPr="00F85772" w:rsidRDefault="00F523CA" w:rsidP="00537496">
      <w:pPr>
        <w:pStyle w:val="Ttulo2"/>
        <w:numPr>
          <w:ilvl w:val="1"/>
          <w:numId w:val="10"/>
        </w:numPr>
      </w:pPr>
      <w:r w:rsidRPr="00F85772">
        <w:t>INTRODUCTION</w:t>
      </w:r>
    </w:p>
    <w:p w14:paraId="6FD274B6" w14:textId="77777777" w:rsidR="008366C3" w:rsidRDefault="008366C3" w:rsidP="0047403E">
      <w:pPr>
        <w:pStyle w:val="Corpodetexto"/>
      </w:pPr>
      <w:r>
        <w:t xml:space="preserve">Any country in the world that aims to achieve sustainable and vigorous economic development with energy security will have to consider an adequate supply of safe and clean energy sources. </w:t>
      </w:r>
    </w:p>
    <w:p w14:paraId="77D45616" w14:textId="77777777" w:rsidR="008366C3" w:rsidRDefault="008366C3" w:rsidP="0047403E">
      <w:pPr>
        <w:pStyle w:val="Corpodetexto"/>
      </w:pPr>
      <w:r>
        <w:t>Since the beginning of the 2000s [1], a process of reconsideration of existing energy policy and structure has been established throughout the world, resulting in an active search for alternative energy sources. The solution to the problem lies in the expansion of energy sources that are capable of satisfying energy needs without political conflicts and on a sustainable basis, while at the same time satisfying contemporary requirements of industrial and environmental safety.</w:t>
      </w:r>
    </w:p>
    <w:p w14:paraId="27F78075" w14:textId="77777777" w:rsidR="008366C3" w:rsidRDefault="008366C3" w:rsidP="0047403E">
      <w:pPr>
        <w:pStyle w:val="Corpodetexto"/>
      </w:pPr>
      <w:r>
        <w:t xml:space="preserve">As in many countries, Brazil has been considering, based on the above, nuclear energy as one of the most promising and well-established energy sources, expanding its participation in the energy matrix. </w:t>
      </w:r>
    </w:p>
    <w:p w14:paraId="5D07C2B9" w14:textId="77777777" w:rsidR="008366C3" w:rsidRDefault="008366C3" w:rsidP="0047403E">
      <w:pPr>
        <w:pStyle w:val="Corpodetexto"/>
      </w:pPr>
      <w:r>
        <w:t xml:space="preserve">The Energy Research Company - EPE, within its strategic planning and considering the guidelines for PNE 2050 [2] has been structuring actions to increase the participation of nuclear energy in the Brazilian energy matrix. These actions consider the contribution of SMRs as an option to reduce costs and increase the competitiveness of Nuclear as an energy source. </w:t>
      </w:r>
    </w:p>
    <w:p w14:paraId="0DC61238" w14:textId="77777777" w:rsidR="008366C3" w:rsidRDefault="008366C3" w:rsidP="0047403E">
      <w:pPr>
        <w:pStyle w:val="Corpodetexto"/>
      </w:pPr>
      <w:r>
        <w:t>Brazil, as a member of the G20 [3] and currently president of the group, established, among others, the following thematic axis:</w:t>
      </w:r>
    </w:p>
    <w:p w14:paraId="02B5AE1D" w14:textId="77777777" w:rsidR="008366C3" w:rsidRDefault="008366C3" w:rsidP="0047403E">
      <w:pPr>
        <w:pStyle w:val="Corpodetexto"/>
      </w:pPr>
      <w:r>
        <w:t xml:space="preserve">Tackling climate change and promoting sustainable development in its economic, social, and environmental dimensions </w:t>
      </w:r>
    </w:p>
    <w:p w14:paraId="0EE531C1" w14:textId="77777777" w:rsidR="008366C3" w:rsidRDefault="008366C3" w:rsidP="0047403E">
      <w:pPr>
        <w:pStyle w:val="Corpodetexto"/>
      </w:pPr>
      <w:r>
        <w:t xml:space="preserve">The working group on Energy Transitions covers the following topics: </w:t>
      </w:r>
    </w:p>
    <w:p w14:paraId="09B27AD5" w14:textId="77777777" w:rsidR="008366C3" w:rsidRDefault="008366C3" w:rsidP="0047403E">
      <w:pPr>
        <w:pStyle w:val="Corpodetexto"/>
      </w:pPr>
      <w:r>
        <w:t>• Acceleration of financing for energy transitions</w:t>
      </w:r>
    </w:p>
    <w:p w14:paraId="1F1EECF6" w14:textId="77777777" w:rsidR="008366C3" w:rsidRDefault="008366C3" w:rsidP="0047403E">
      <w:pPr>
        <w:pStyle w:val="Corpodetexto"/>
      </w:pPr>
      <w:r>
        <w:t>• Social dimension of the energy transition</w:t>
      </w:r>
    </w:p>
    <w:p w14:paraId="007559F6" w14:textId="77777777" w:rsidR="008366C3" w:rsidRDefault="008366C3" w:rsidP="0047403E">
      <w:pPr>
        <w:pStyle w:val="Corpodetexto"/>
      </w:pPr>
      <w:r>
        <w:t xml:space="preserve">• Prospects for sustainable fuel innovation </w:t>
      </w:r>
    </w:p>
    <w:p w14:paraId="3108D583" w14:textId="77777777" w:rsidR="008366C3" w:rsidRDefault="008366C3" w:rsidP="0047403E">
      <w:pPr>
        <w:pStyle w:val="Corpodetexto"/>
      </w:pPr>
      <w:r>
        <w:t>Small SMR modular reactors present themselves as technologies that arouse a lot of interest and expectation mainly because they are suitable for smaller networks, require less initial capital and potentially faster construction with less construction risk. The Brazilian government has established actions to establish guidelines regarding the future implementation of SMR in Brazil on the basis established by EPE [2].</w:t>
      </w:r>
    </w:p>
    <w:p w14:paraId="3AF3BD56" w14:textId="5A55729E" w:rsidR="008366C3" w:rsidRDefault="008366C3" w:rsidP="0047403E">
      <w:pPr>
        <w:pStyle w:val="Corpodetexto"/>
      </w:pPr>
      <w:r>
        <w:t>The insertion of SMRs in the Brazilian electrical system represents a significant opportunity to diversify the country's energy matrix, increasing energy security and contributing to environmental sustainability. SMRs offer distinct advantages compared to traditional large nuclear plants, such as a lower initial capital cost</w:t>
      </w:r>
      <w:r w:rsidR="00AF77F2">
        <w:t xml:space="preserve"> </w:t>
      </w:r>
      <w:r w:rsidR="000458FC" w:rsidRPr="008854CE">
        <w:rPr>
          <w:color w:val="000000" w:themeColor="text1"/>
        </w:rPr>
        <w:lastRenderedPageBreak/>
        <w:t>estimation</w:t>
      </w:r>
      <w:r>
        <w:t>, installation flexibility, scalability, and shorter construction time. These attributes make SMRs particularly attractive for Brazil, a country with continental dimensions, with vast energy needs and a geographical complexity that challenges energy distribution and transmission.</w:t>
      </w:r>
    </w:p>
    <w:p w14:paraId="33B35ACE" w14:textId="77777777" w:rsidR="008366C3" w:rsidRDefault="008366C3" w:rsidP="0047403E">
      <w:pPr>
        <w:pStyle w:val="Corpodetexto"/>
      </w:pPr>
      <w:r>
        <w:t>For the effective implementation of SMRs, it is essential to consider adaptive marketing models that align with the peculiarities of the Brazilian market. Models such as self-production, distributed generation, direct sales to the market, partnerships with electric companies, and energy service models are viable and offer different benefits and challenges. The choice between these models must be guided by a balance between energy efficiency, economic viability, social acceptance, and regulatory compliance.</w:t>
      </w:r>
    </w:p>
    <w:p w14:paraId="02AF68CE" w14:textId="77777777" w:rsidR="008366C3" w:rsidRDefault="008366C3" w:rsidP="0047403E">
      <w:pPr>
        <w:pStyle w:val="Corpodetexto"/>
      </w:pPr>
      <w:r>
        <w:t>Preserving the independence of government guidelines, the regulatory body has been establishing specific actions, within its scope of action, to anticipate possible future implementation scenarios.</w:t>
      </w:r>
    </w:p>
    <w:p w14:paraId="1E5463C1" w14:textId="74ED3416" w:rsidR="008366C3" w:rsidRDefault="006930A8" w:rsidP="0047403E">
      <w:pPr>
        <w:pStyle w:val="Corpodetexto"/>
      </w:pPr>
      <w:r w:rsidRPr="0047403E">
        <w:t>The purpose of this paper is to present</w:t>
      </w:r>
      <w:r>
        <w:t xml:space="preserve"> </w:t>
      </w:r>
      <w:r w:rsidR="008366C3">
        <w:t>how, in response to new SMR technologies and their specificities, the Brazilian Nuclear Regulatory Body, National Nuclear Energy Commission (CNEN), has worked to prepare safety requirements and a regulatory framework to provide effective oversight of nuclear power.</w:t>
      </w:r>
    </w:p>
    <w:p w14:paraId="1E70CCB4" w14:textId="77777777" w:rsidR="00F64F7F" w:rsidRDefault="00F64F7F" w:rsidP="00F64F7F">
      <w:pPr>
        <w:pStyle w:val="Ttulo2"/>
        <w:numPr>
          <w:ilvl w:val="1"/>
          <w:numId w:val="10"/>
        </w:numPr>
      </w:pPr>
      <w:r>
        <w:t>Nuclear Regulation</w:t>
      </w:r>
    </w:p>
    <w:p w14:paraId="3D8B4563" w14:textId="6E910F86" w:rsidR="00430790" w:rsidRPr="00430790" w:rsidRDefault="00430790" w:rsidP="00430790">
      <w:pPr>
        <w:spacing w:line="260" w:lineRule="auto"/>
        <w:ind w:firstLine="567"/>
        <w:jc w:val="both"/>
        <w:rPr>
          <w:sz w:val="20"/>
        </w:rPr>
      </w:pPr>
      <w:r w:rsidRPr="00430790">
        <w:rPr>
          <w:sz w:val="20"/>
        </w:rPr>
        <w:t xml:space="preserve">Nuclear Energy has proven itself throughout history to be an innovative and evolutionary technology that has been leveraging global science and technology. Not only in terms of </w:t>
      </w:r>
      <w:proofErr w:type="spellStart"/>
      <w:r w:rsidRPr="00430790">
        <w:rPr>
          <w:sz w:val="20"/>
        </w:rPr>
        <w:t>nucleoelectric</w:t>
      </w:r>
      <w:proofErr w:type="spellEnd"/>
      <w:r w:rsidRPr="00430790">
        <w:rPr>
          <w:sz w:val="20"/>
        </w:rPr>
        <w:t xml:space="preserve"> generation but also in the sophistication of nuclear medicine exams, image quality and equipment sensitivity. In recent years, applications associated with small modular reactors have been added to this set.</w:t>
      </w:r>
    </w:p>
    <w:p w14:paraId="22F1AF59" w14:textId="77777777" w:rsidR="00430790" w:rsidRPr="00430790" w:rsidRDefault="00430790" w:rsidP="00430790">
      <w:pPr>
        <w:spacing w:line="260" w:lineRule="auto"/>
        <w:ind w:firstLine="567"/>
        <w:jc w:val="both"/>
        <w:rPr>
          <w:sz w:val="20"/>
        </w:rPr>
      </w:pPr>
      <w:r w:rsidRPr="00430790">
        <w:rPr>
          <w:sz w:val="20"/>
        </w:rPr>
        <w:t>Another very important characteristic in this context is internationality, which guides issues of trade, property, transport, and controls, and expands discussions around international cooperation and harmonization for the drafting of nuclear legislation. [4].</w:t>
      </w:r>
    </w:p>
    <w:p w14:paraId="2CE0AEA4" w14:textId="77777777" w:rsidR="00430790" w:rsidRPr="00430790" w:rsidRDefault="00430790" w:rsidP="00430790">
      <w:pPr>
        <w:spacing w:line="260" w:lineRule="auto"/>
        <w:ind w:firstLine="567"/>
        <w:jc w:val="both"/>
        <w:rPr>
          <w:sz w:val="20"/>
        </w:rPr>
      </w:pPr>
      <w:r w:rsidRPr="00430790">
        <w:rPr>
          <w:sz w:val="20"/>
        </w:rPr>
        <w:t>State intervention in nuclear matters in all countries has followed a trajectory like that designed by the United States of America, firstly a phase of reserve and monopoly, then another in which this reserve is much smaller and takes place with industry limitations private and finally state control in the form of a monopoly in terms of possession of nuclear materials. [5]</w:t>
      </w:r>
    </w:p>
    <w:p w14:paraId="4298A417" w14:textId="77777777" w:rsidR="00430790" w:rsidRPr="00430790" w:rsidRDefault="00430790" w:rsidP="00430790">
      <w:pPr>
        <w:spacing w:line="260" w:lineRule="auto"/>
        <w:ind w:firstLine="567"/>
        <w:jc w:val="both"/>
        <w:rPr>
          <w:sz w:val="20"/>
        </w:rPr>
      </w:pPr>
      <w:r w:rsidRPr="00430790">
        <w:rPr>
          <w:sz w:val="20"/>
        </w:rPr>
        <w:t xml:space="preserve">This state intervention in general is exercised through government bodies that enjoy legal personality and both economic and financial autonomy, which are subject to governments through one of their ministers who may be the president of the industry council, economy included in a Ministry. </w:t>
      </w:r>
    </w:p>
    <w:p w14:paraId="74DBF060" w14:textId="77777777" w:rsidR="00430790" w:rsidRPr="00430790" w:rsidRDefault="00430790" w:rsidP="00430790">
      <w:pPr>
        <w:spacing w:line="260" w:lineRule="auto"/>
        <w:ind w:firstLine="567"/>
        <w:jc w:val="both"/>
        <w:rPr>
          <w:sz w:val="20"/>
        </w:rPr>
      </w:pPr>
      <w:r w:rsidRPr="00430790">
        <w:rPr>
          <w:sz w:val="20"/>
        </w:rPr>
        <w:t xml:space="preserve">We will indicate that the states' mission to control nuclear energy is exercised through the granting of respective licenses and through an inspection of all areas and aspects that the application of nuclear energy can offer. </w:t>
      </w:r>
    </w:p>
    <w:p w14:paraId="34A193E7" w14:textId="77777777" w:rsidR="00430790" w:rsidRPr="00430790" w:rsidRDefault="00430790" w:rsidP="00430790">
      <w:pPr>
        <w:spacing w:line="260" w:lineRule="auto"/>
        <w:ind w:firstLine="567"/>
        <w:jc w:val="both"/>
        <w:rPr>
          <w:sz w:val="20"/>
        </w:rPr>
      </w:pPr>
      <w:r w:rsidRPr="00430790">
        <w:rPr>
          <w:sz w:val="20"/>
        </w:rPr>
        <w:t xml:space="preserve">International harmonization for the drafting of nuclear regulations is a strong feature of the nuclear industry. The first nuclear programs in Europe followed parallel to those in the USA. Most of these programs had their regulations based on US regulations, each country introduced an element of differentiation. The result was that Europe had a diversity of regulatory and licensing criteria, although European regulations applied to nuclear power plants have the same scope as in the USA, which guaranteed a level of harmonization. [4]. </w:t>
      </w:r>
    </w:p>
    <w:p w14:paraId="35B3D6AA" w14:textId="77777777" w:rsidR="00430790" w:rsidRPr="00430790" w:rsidRDefault="00430790" w:rsidP="00430790">
      <w:pPr>
        <w:spacing w:line="260" w:lineRule="auto"/>
        <w:ind w:firstLine="567"/>
        <w:jc w:val="both"/>
        <w:rPr>
          <w:sz w:val="20"/>
        </w:rPr>
      </w:pPr>
      <w:r w:rsidRPr="00430790">
        <w:rPr>
          <w:sz w:val="20"/>
        </w:rPr>
        <w:t>The nuclear sector is not the only one that shares the characteristics presented above and sectors such as Civil Aviation and telecommunications are sectors with strong international collaboration and have intentionally laid the foundations from the beginning to establish harmonization and international recognition of safety standards [6]</w:t>
      </w:r>
    </w:p>
    <w:p w14:paraId="0A0D059E" w14:textId="35E1CC80" w:rsidR="001F5CE8" w:rsidRDefault="001F5CE8">
      <w:pPr>
        <w:overflowPunct/>
        <w:autoSpaceDE/>
        <w:autoSpaceDN/>
        <w:adjustRightInd/>
        <w:textAlignment w:val="auto"/>
        <w:rPr>
          <w:sz w:val="20"/>
        </w:rPr>
      </w:pPr>
      <w:r>
        <w:br w:type="page"/>
      </w:r>
    </w:p>
    <w:p w14:paraId="01C2B6B0" w14:textId="77777777" w:rsidR="00F64F7F" w:rsidRDefault="00F64F7F" w:rsidP="00F64F7F">
      <w:pPr>
        <w:pStyle w:val="Ttulo3"/>
      </w:pPr>
      <w:r>
        <w:lastRenderedPageBreak/>
        <w:t>Nuclear Regulation in Brazil</w:t>
      </w:r>
    </w:p>
    <w:p w14:paraId="73ABE797" w14:textId="32DCFF8B" w:rsidR="00F74A11" w:rsidRPr="00F74A11" w:rsidRDefault="00F74A11" w:rsidP="00F74A11">
      <w:pPr>
        <w:spacing w:line="260" w:lineRule="auto"/>
        <w:ind w:firstLine="567"/>
        <w:jc w:val="both"/>
        <w:rPr>
          <w:sz w:val="20"/>
        </w:rPr>
      </w:pPr>
      <w:r w:rsidRPr="00F74A11">
        <w:rPr>
          <w:sz w:val="20"/>
        </w:rPr>
        <w:t xml:space="preserve">In Brazil, state control over nuclear energy is exercised by the Brazilian regulatory body, the National Nuclear Energy Commission – CNEN, which is a government body that enjoys legal personality and autonomy. Carrying out the state's mission to control nuclear energy through the granting of licenses and authorizations and thorough inspections in all areas and aspects that the application of nuclear energy can offer </w:t>
      </w:r>
      <w:r w:rsidRPr="00FA7CE3">
        <w:rPr>
          <w:sz w:val="20"/>
        </w:rPr>
        <w:t>[4]. With</w:t>
      </w:r>
      <w:r w:rsidRPr="00F74A11">
        <w:rPr>
          <w:sz w:val="20"/>
        </w:rPr>
        <w:t xml:space="preserve"> the mission of ensuring the safety and peaceful use of nuclear energy, developing, and making nuclear and related technologies available, aiming for the well-being of the population.</w:t>
      </w:r>
    </w:p>
    <w:p w14:paraId="24E082B2" w14:textId="77777777" w:rsidR="00F74A11" w:rsidRPr="00F74A11" w:rsidRDefault="00F74A11" w:rsidP="00F74A11">
      <w:pPr>
        <w:spacing w:line="260" w:lineRule="auto"/>
        <w:ind w:firstLine="567"/>
        <w:jc w:val="both"/>
        <w:rPr>
          <w:sz w:val="20"/>
        </w:rPr>
      </w:pPr>
      <w:r w:rsidRPr="00F74A11">
        <w:rPr>
          <w:sz w:val="20"/>
        </w:rPr>
        <w:t>CNEN operates in both the energy and non-energy sectors and the energy sector covers the entire Nuclear Fuel Cycle and involves a synergistic combination of:</w:t>
      </w:r>
    </w:p>
    <w:p w14:paraId="54029D70" w14:textId="77777777" w:rsidR="00F74A11" w:rsidRPr="00F74A11" w:rsidRDefault="00F74A11" w:rsidP="00F74A11">
      <w:pPr>
        <w:spacing w:line="260" w:lineRule="auto"/>
        <w:ind w:firstLine="567"/>
        <w:jc w:val="both"/>
        <w:rPr>
          <w:sz w:val="20"/>
        </w:rPr>
      </w:pPr>
      <w:r w:rsidRPr="00F74A11">
        <w:rPr>
          <w:sz w:val="20"/>
        </w:rPr>
        <w:t>• Large uranium reserves</w:t>
      </w:r>
    </w:p>
    <w:p w14:paraId="035EA310" w14:textId="77777777" w:rsidR="00F74A11" w:rsidRPr="00F74A11" w:rsidRDefault="00F74A11" w:rsidP="00F74A11">
      <w:pPr>
        <w:spacing w:line="260" w:lineRule="auto"/>
        <w:ind w:firstLine="567"/>
        <w:jc w:val="both"/>
        <w:rPr>
          <w:sz w:val="20"/>
        </w:rPr>
      </w:pPr>
      <w:r w:rsidRPr="00F74A11">
        <w:rPr>
          <w:sz w:val="20"/>
        </w:rPr>
        <w:t>• Fuel Cycle Technologies</w:t>
      </w:r>
    </w:p>
    <w:p w14:paraId="60A25A54" w14:textId="11367CDF" w:rsidR="00F74A11" w:rsidRPr="00F74A11" w:rsidRDefault="00F74A11" w:rsidP="00F74A11">
      <w:pPr>
        <w:spacing w:line="260" w:lineRule="auto"/>
        <w:ind w:firstLine="567"/>
        <w:jc w:val="both"/>
        <w:rPr>
          <w:sz w:val="20"/>
        </w:rPr>
      </w:pPr>
      <w:r w:rsidRPr="00F74A11">
        <w:rPr>
          <w:sz w:val="20"/>
        </w:rPr>
        <w:t xml:space="preserve">• PWR </w:t>
      </w:r>
      <w:r w:rsidR="005E3C87" w:rsidRPr="00F74A11">
        <w:rPr>
          <w:sz w:val="20"/>
        </w:rPr>
        <w:t>technology.</w:t>
      </w:r>
    </w:p>
    <w:p w14:paraId="4F702739" w14:textId="77777777" w:rsidR="00F74A11" w:rsidRPr="00F74A11" w:rsidRDefault="00F74A11" w:rsidP="00F74A11">
      <w:pPr>
        <w:spacing w:line="260" w:lineRule="auto"/>
        <w:ind w:firstLine="567"/>
        <w:jc w:val="both"/>
        <w:rPr>
          <w:sz w:val="20"/>
        </w:rPr>
      </w:pPr>
      <w:r w:rsidRPr="00F74A11">
        <w:rPr>
          <w:sz w:val="20"/>
        </w:rPr>
        <w:t>• Non-proliferation and Safeguards</w:t>
      </w:r>
    </w:p>
    <w:p w14:paraId="1C9DA654" w14:textId="2F342DB9" w:rsidR="00F74A11" w:rsidRPr="00F74A11" w:rsidRDefault="00F74A11" w:rsidP="00F74A11">
      <w:pPr>
        <w:spacing w:line="260" w:lineRule="auto"/>
        <w:ind w:firstLine="567"/>
        <w:jc w:val="both"/>
        <w:rPr>
          <w:sz w:val="20"/>
        </w:rPr>
      </w:pPr>
      <w:r w:rsidRPr="00F74A11">
        <w:rPr>
          <w:sz w:val="20"/>
        </w:rPr>
        <w:t xml:space="preserve">Just like nuclear power plants in other countries around the world, in </w:t>
      </w:r>
      <w:r w:rsidRPr="00F85772">
        <w:rPr>
          <w:sz w:val="20"/>
        </w:rPr>
        <w:t xml:space="preserve">Brazil it </w:t>
      </w:r>
      <w:r w:rsidR="007E0383" w:rsidRPr="00F85772">
        <w:rPr>
          <w:sz w:val="20"/>
        </w:rPr>
        <w:t>has</w:t>
      </w:r>
      <w:r w:rsidRPr="00F85772">
        <w:rPr>
          <w:sz w:val="20"/>
        </w:rPr>
        <w:t xml:space="preserve"> been </w:t>
      </w:r>
      <w:r w:rsidRPr="00F74A11">
        <w:rPr>
          <w:sz w:val="20"/>
        </w:rPr>
        <w:t xml:space="preserve">installed within a legal framework. According to [4], one of the most important features of this legal framework is the provision of a continuous review and approval process for all phases of the life cycle of an NPP by the licensing authority. The regulatory framework for </w:t>
      </w:r>
      <w:r w:rsidRPr="00D156F9">
        <w:rPr>
          <w:sz w:val="20"/>
        </w:rPr>
        <w:t>the nuclear energy sector in nuclear Brazil has a hierarchical structure</w:t>
      </w:r>
      <w:r w:rsidRPr="00F74A11">
        <w:rPr>
          <w:sz w:val="20"/>
        </w:rPr>
        <w:t xml:space="preserve"> very similar to the documents of the international agency and some other member states.</w:t>
      </w:r>
    </w:p>
    <w:p w14:paraId="67029837" w14:textId="1DED31D8" w:rsidR="00F74A11" w:rsidRPr="00F74A11" w:rsidRDefault="00747F05" w:rsidP="00F74A11">
      <w:pPr>
        <w:spacing w:line="260" w:lineRule="auto"/>
        <w:ind w:firstLine="567"/>
        <w:jc w:val="both"/>
        <w:rPr>
          <w:sz w:val="20"/>
        </w:rPr>
      </w:pPr>
      <w:r w:rsidRPr="00C8610C">
        <w:rPr>
          <w:noProof/>
          <w:lang w:val="pt-BR" w:eastAsia="pt-BR"/>
        </w:rPr>
        <w:drawing>
          <wp:anchor distT="0" distB="0" distL="114300" distR="114300" simplePos="0" relativeHeight="251664384" behindDoc="0" locked="0" layoutInCell="1" allowOverlap="1" wp14:anchorId="61025AB7" wp14:editId="3FEB249C">
            <wp:simplePos x="0" y="0"/>
            <wp:positionH relativeFrom="column">
              <wp:posOffset>327025</wp:posOffset>
            </wp:positionH>
            <wp:positionV relativeFrom="paragraph">
              <wp:posOffset>613410</wp:posOffset>
            </wp:positionV>
            <wp:extent cx="5143500" cy="1544955"/>
            <wp:effectExtent l="19050" t="19050" r="19050" b="17145"/>
            <wp:wrapTopAndBottom/>
            <wp:docPr id="82691792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0" cy="154495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F74A11" w:rsidRPr="00F74A11">
        <w:rPr>
          <w:sz w:val="20"/>
        </w:rPr>
        <w:t>The licensing process carried out by CNEN is established by law (</w:t>
      </w:r>
      <w:r w:rsidR="00F74A11" w:rsidRPr="00F74A11">
        <w:rPr>
          <w:i/>
          <w:sz w:val="20"/>
        </w:rPr>
        <w:t xml:space="preserve">Law </w:t>
      </w:r>
      <w:proofErr w:type="gramStart"/>
      <w:r w:rsidR="00F74A11" w:rsidRPr="00F74A11">
        <w:rPr>
          <w:i/>
          <w:sz w:val="20"/>
        </w:rPr>
        <w:t>n.º</w:t>
      </w:r>
      <w:proofErr w:type="gramEnd"/>
      <w:r w:rsidR="00F74A11" w:rsidRPr="00F74A11">
        <w:rPr>
          <w:i/>
          <w:sz w:val="20"/>
        </w:rPr>
        <w:t xml:space="preserve"> 6.189</w:t>
      </w:r>
      <w:r w:rsidR="00F74A11" w:rsidRPr="00F85772">
        <w:rPr>
          <w:i/>
          <w:sz w:val="20"/>
        </w:rPr>
        <w:t xml:space="preserve">, </w:t>
      </w:r>
      <w:r w:rsidR="007E0383" w:rsidRPr="00F85772">
        <w:rPr>
          <w:i/>
          <w:sz w:val="20"/>
        </w:rPr>
        <w:t>December 16, 1974</w:t>
      </w:r>
      <w:r w:rsidR="00F74A11" w:rsidRPr="00F74A11">
        <w:rPr>
          <w:i/>
          <w:sz w:val="20"/>
        </w:rPr>
        <w:t xml:space="preserve">, </w:t>
      </w:r>
      <w:r w:rsidR="00F74A11" w:rsidRPr="00F74A11">
        <w:rPr>
          <w:sz w:val="20"/>
        </w:rPr>
        <w:t>with the changes introduced by Decree-Law</w:t>
      </w:r>
      <w:r w:rsidR="00F74A11" w:rsidRPr="00F74A11">
        <w:rPr>
          <w:i/>
          <w:sz w:val="20"/>
        </w:rPr>
        <w:t xml:space="preserve"> n.º 2.464, 31/08/1988 and Law n.º 7.781, de 27/06/1989)</w:t>
      </w:r>
      <w:r w:rsidR="00F74A11" w:rsidRPr="00F74A11">
        <w:rPr>
          <w:sz w:val="20"/>
        </w:rPr>
        <w:t xml:space="preserve"> and covers the entire life cycle of a nuclear installation as showed in figure 1.</w:t>
      </w:r>
    </w:p>
    <w:p w14:paraId="00B98656" w14:textId="41817187" w:rsidR="00406E92" w:rsidRDefault="001B3904" w:rsidP="00FA7C29">
      <w:pPr>
        <w:pStyle w:val="Corpodetexto"/>
        <w:spacing w:line="240" w:lineRule="auto"/>
        <w:ind w:firstLine="0"/>
      </w:pPr>
      <w:r>
        <w:rPr>
          <w:noProof/>
          <w:lang w:val="pt-BR" w:eastAsia="pt-BR"/>
        </w:rPr>
        <mc:AlternateContent>
          <mc:Choice Requires="wps">
            <w:drawing>
              <wp:anchor distT="0" distB="0" distL="114300" distR="114300" simplePos="0" relativeHeight="251662336" behindDoc="0" locked="0" layoutInCell="1" allowOverlap="1" wp14:anchorId="669D145C" wp14:editId="1C037BCC">
                <wp:simplePos x="0" y="0"/>
                <wp:positionH relativeFrom="margin">
                  <wp:posOffset>355904</wp:posOffset>
                </wp:positionH>
                <wp:positionV relativeFrom="paragraph">
                  <wp:posOffset>1707212</wp:posOffset>
                </wp:positionV>
                <wp:extent cx="3863340" cy="635"/>
                <wp:effectExtent l="0" t="0" r="3810" b="1905"/>
                <wp:wrapTopAndBottom/>
                <wp:docPr id="1411057890"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15D05242" w14:textId="4A642760" w:rsidR="00406E92" w:rsidRPr="00802381" w:rsidRDefault="00406E92" w:rsidP="00FD183B">
                            <w:pPr>
                              <w:pStyle w:val="Legenda"/>
                              <w:spacing w:after="0"/>
                              <w:ind w:left="-567" w:firstLine="709"/>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Chart showing the </w:t>
                            </w:r>
                            <w:r w:rsidR="005B51F8" w:rsidRPr="005B51F8">
                              <w:rPr>
                                <w:rStyle w:val="rynqvb"/>
                                <w:i/>
                              </w:rPr>
                              <w:t>t</w:t>
                            </w:r>
                            <w:r w:rsidR="005B51F8" w:rsidRPr="005B51F8">
                              <w:rPr>
                                <w:rStyle w:val="rynqvb"/>
                                <w:i/>
                                <w:lang w:val="en"/>
                              </w:rPr>
                              <w:t>he licensing process carried out by CNEN</w:t>
                            </w:r>
                            <w:r w:rsidRPr="005B51F8">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69D145C" id="_x0000_t202" coordsize="21600,21600" o:spt="202" path="m,l,21600r21600,l21600,xe">
                <v:stroke joinstyle="miter"/>
                <v:path gradientshapeok="t" o:connecttype="rect"/>
              </v:shapetype>
              <v:shape id="Text Box 2" o:spid="_x0000_s1026" type="#_x0000_t202" style="position:absolute;left:0;text-align:left;margin-left:28pt;margin-top:134.45pt;width:304.2pt;height:.0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" stroked="f">
                <v:textbox style="mso-fit-shape-to-text:t" inset="0,0,0,0">
                  <w:txbxContent>
                    <w:p w14:paraId="15D05242" w14:textId="4A642760" w:rsidR="00406E92" w:rsidRPr="00802381" w:rsidRDefault="00406E92" w:rsidP="00FD183B">
                      <w:pPr>
                        <w:pStyle w:val="Legenda"/>
                        <w:spacing w:after="0"/>
                        <w:ind w:left="-567" w:firstLine="709"/>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Chart showing the </w:t>
                      </w:r>
                      <w:r w:rsidR="005B51F8" w:rsidRPr="005B51F8">
                        <w:rPr>
                          <w:rStyle w:val="rynqvb"/>
                          <w:i/>
                        </w:rPr>
                        <w:t>t</w:t>
                      </w:r>
                      <w:r w:rsidR="005B51F8" w:rsidRPr="005B51F8">
                        <w:rPr>
                          <w:rStyle w:val="rynqvb"/>
                          <w:i/>
                          <w:lang w:val="en"/>
                        </w:rPr>
                        <w:t>he licensing process carried out by CNEN</w:t>
                      </w:r>
                      <w:r w:rsidRPr="005B51F8">
                        <w:rPr>
                          <w:i/>
                        </w:rPr>
                        <w:t>.</w:t>
                      </w:r>
                    </w:p>
                  </w:txbxContent>
                </v:textbox>
                <w10:wrap type="topAndBottom" anchorx="margin"/>
              </v:shape>
            </w:pict>
          </mc:Fallback>
        </mc:AlternateContent>
      </w:r>
    </w:p>
    <w:p w14:paraId="28803C97" w14:textId="145799EC" w:rsidR="00406E92" w:rsidRDefault="00406E92" w:rsidP="002A302B">
      <w:pPr>
        <w:pStyle w:val="Ttulo2"/>
        <w:numPr>
          <w:ilvl w:val="1"/>
          <w:numId w:val="10"/>
        </w:numPr>
        <w:jc w:val="both"/>
      </w:pPr>
      <w:r>
        <w:t xml:space="preserve">The need to adapt the regulatory framework for licensing new technologies </w:t>
      </w:r>
    </w:p>
    <w:p w14:paraId="77CDFBF2" w14:textId="77777777" w:rsidR="007511FF" w:rsidRPr="007511FF" w:rsidRDefault="007511FF" w:rsidP="007511FF">
      <w:pPr>
        <w:spacing w:line="260" w:lineRule="auto"/>
        <w:ind w:firstLine="567"/>
        <w:jc w:val="both"/>
        <w:rPr>
          <w:sz w:val="20"/>
        </w:rPr>
      </w:pPr>
      <w:r w:rsidRPr="007511FF">
        <w:rPr>
          <w:sz w:val="20"/>
        </w:rPr>
        <w:t>The introduction of new nuclear technologies and applications establishes the need to adapt the regulatory system and regulations. Countries that experiment with the introduction of new practices pose some challenges to the regulatory framework.</w:t>
      </w:r>
    </w:p>
    <w:p w14:paraId="3447584B" w14:textId="77777777" w:rsidR="007511FF" w:rsidRPr="007511FF" w:rsidRDefault="007511FF" w:rsidP="007511FF">
      <w:pPr>
        <w:spacing w:line="260" w:lineRule="auto"/>
        <w:ind w:firstLine="567"/>
        <w:jc w:val="both"/>
        <w:rPr>
          <w:sz w:val="20"/>
        </w:rPr>
      </w:pPr>
      <w:r w:rsidRPr="007511FF">
        <w:rPr>
          <w:sz w:val="20"/>
        </w:rPr>
        <w:t xml:space="preserve">Adaptation is necessary to ensure that a credible and effective licensing process is developed and implemented for new technologies. </w:t>
      </w:r>
    </w:p>
    <w:p w14:paraId="301305F2" w14:textId="77777777" w:rsidR="007511FF" w:rsidRPr="007511FF" w:rsidRDefault="007511FF" w:rsidP="007511FF">
      <w:pPr>
        <w:spacing w:line="260" w:lineRule="auto"/>
        <w:ind w:firstLine="567"/>
        <w:jc w:val="both"/>
        <w:rPr>
          <w:sz w:val="20"/>
        </w:rPr>
      </w:pPr>
      <w:r w:rsidRPr="007511FF">
        <w:rPr>
          <w:sz w:val="20"/>
        </w:rPr>
        <w:t>Since the beginning of the 2000s, at a time of worldwide resurgence in interest and activity in the construction of new nuclear installations, states countries such as South Africa, China, South Korea and Pakistan, and the USA report their adaptation efforts, some in search of a harmonized system others focused on reviewing their systems. [7]</w:t>
      </w:r>
    </w:p>
    <w:p w14:paraId="64D7E071" w14:textId="07790288" w:rsidR="007511FF" w:rsidRPr="007511FF" w:rsidRDefault="007511FF" w:rsidP="007511FF">
      <w:pPr>
        <w:spacing w:line="260" w:lineRule="auto"/>
        <w:ind w:firstLine="567"/>
        <w:jc w:val="both"/>
        <w:rPr>
          <w:sz w:val="20"/>
        </w:rPr>
      </w:pPr>
      <w:r w:rsidRPr="007511FF">
        <w:rPr>
          <w:sz w:val="20"/>
        </w:rPr>
        <w:t>We highlight two initiatives here. In the early 2000s [8] South Africa established a process to develop licensing requirements for pebble bed modular reactor (PBMR). This process encountered the main challenges related to its internal human resources capacity to carry out the PBMR licensing review and adjustments. The licensing philosophy requires the insertion of a first-of-a-</w:t>
      </w:r>
      <w:r w:rsidRPr="00E957C2">
        <w:rPr>
          <w:sz w:val="20"/>
        </w:rPr>
        <w:t xml:space="preserve">kind </w:t>
      </w:r>
      <w:r w:rsidR="0033313C" w:rsidRPr="00E957C2">
        <w:rPr>
          <w:sz w:val="20"/>
        </w:rPr>
        <w:t xml:space="preserve">(FOAK) </w:t>
      </w:r>
      <w:r w:rsidRPr="007511FF">
        <w:rPr>
          <w:sz w:val="20"/>
        </w:rPr>
        <w:t>practice.</w:t>
      </w:r>
    </w:p>
    <w:p w14:paraId="48CA2C7C" w14:textId="2F73209A" w:rsidR="007511FF" w:rsidRPr="007511FF" w:rsidRDefault="007511FF" w:rsidP="007511FF">
      <w:pPr>
        <w:spacing w:line="260" w:lineRule="auto"/>
        <w:ind w:firstLine="567"/>
        <w:jc w:val="both"/>
        <w:rPr>
          <w:sz w:val="20"/>
        </w:rPr>
      </w:pPr>
      <w:r w:rsidRPr="007511FF">
        <w:rPr>
          <w:sz w:val="20"/>
        </w:rPr>
        <w:t xml:space="preserve">The US has developed and proposed a program for multinational project approval [9]. The MDAP </w:t>
      </w:r>
      <w:r w:rsidR="00834658" w:rsidRPr="00E957C2">
        <w:rPr>
          <w:sz w:val="20"/>
        </w:rPr>
        <w:t>(Multinational Design Approval Programme)</w:t>
      </w:r>
      <w:r w:rsidR="00834658" w:rsidRPr="00834658">
        <w:rPr>
          <w:color w:val="FF0000"/>
          <w:sz w:val="20"/>
        </w:rPr>
        <w:t xml:space="preserve"> </w:t>
      </w:r>
      <w:r w:rsidRPr="007511FF">
        <w:rPr>
          <w:sz w:val="20"/>
        </w:rPr>
        <w:t xml:space="preserve">was structured in 3 phases: the first aimed at sharing technical information to support national reviews; the second focuses on the development of more standardized reactor </w:t>
      </w:r>
      <w:r w:rsidRPr="007511FF">
        <w:rPr>
          <w:sz w:val="20"/>
        </w:rPr>
        <w:lastRenderedPageBreak/>
        <w:t>projects, to increase reactor safety; the third phase focused on promoting reactor safety in countries with plans to build them.</w:t>
      </w:r>
    </w:p>
    <w:p w14:paraId="0F197E4C" w14:textId="77777777" w:rsidR="007511FF" w:rsidRPr="007511FF" w:rsidRDefault="007511FF" w:rsidP="007511FF">
      <w:pPr>
        <w:spacing w:line="260" w:lineRule="auto"/>
        <w:ind w:firstLine="567"/>
        <w:jc w:val="both"/>
        <w:rPr>
          <w:sz w:val="20"/>
        </w:rPr>
      </w:pPr>
      <w:r w:rsidRPr="007511FF">
        <w:rPr>
          <w:sz w:val="20"/>
        </w:rPr>
        <w:t>Today, SMRs bring a new wave of projects to adapt regulatory systems and the national regulatory organization in Brazil, faced with the movements established by the Government towards future implementation of SMRs, has started a process to adapt the regulatory system, and regulations.</w:t>
      </w:r>
    </w:p>
    <w:p w14:paraId="600ED6A4" w14:textId="77777777" w:rsidR="007511FF" w:rsidRPr="007511FF" w:rsidRDefault="007511FF" w:rsidP="007511FF">
      <w:pPr>
        <w:spacing w:line="260" w:lineRule="auto"/>
        <w:ind w:firstLine="567"/>
        <w:jc w:val="both"/>
        <w:rPr>
          <w:sz w:val="20"/>
        </w:rPr>
      </w:pPr>
      <w:r w:rsidRPr="007511FF">
        <w:rPr>
          <w:sz w:val="20"/>
        </w:rPr>
        <w:t>The new wave of adaptation of regulatory systems has been led by the IAEA and is strongly focused on harmonization and international cooperation.</w:t>
      </w:r>
    </w:p>
    <w:p w14:paraId="6B1ABFF1" w14:textId="77777777" w:rsidR="000864CD" w:rsidRPr="004A3CB6" w:rsidRDefault="000864CD" w:rsidP="000864CD">
      <w:pPr>
        <w:pStyle w:val="Ttulo2"/>
        <w:numPr>
          <w:ilvl w:val="1"/>
          <w:numId w:val="10"/>
        </w:numPr>
      </w:pPr>
      <w:r w:rsidRPr="004A3CB6">
        <w:t>Initiatives to build a harmonized regulatory framework for new technologies in Brazil</w:t>
      </w:r>
    </w:p>
    <w:p w14:paraId="2419E7BA" w14:textId="1429C0F5" w:rsidR="00732375" w:rsidRPr="00644489" w:rsidRDefault="005E1850" w:rsidP="005E1850">
      <w:pPr>
        <w:spacing w:line="260" w:lineRule="auto"/>
        <w:ind w:firstLine="567"/>
        <w:jc w:val="both"/>
        <w:rPr>
          <w:sz w:val="20"/>
          <w:lang w:val="en-US"/>
        </w:rPr>
      </w:pPr>
      <w:r w:rsidRPr="00644489">
        <w:rPr>
          <w:sz w:val="20"/>
          <w:lang w:val="en-US"/>
        </w:rPr>
        <w:t>The Brazilian Nuclear Policy has been recently revised, and the Brazilian Nuclear Program Development Committee (CDPNB) was established to set guidelines and targets for developing the Brazilian Nuclear Program and to oversee its execution. The committee ensured that the Brazilian nuclear sector had a regulatory structure with the aim of regulating, licensing, authorizing, controlling, and inspecting its activities.</w:t>
      </w:r>
      <w:r w:rsidRPr="00644489">
        <w:t xml:space="preserve"> </w:t>
      </w:r>
      <w:r w:rsidRPr="00644489">
        <w:rPr>
          <w:sz w:val="20"/>
        </w:rPr>
        <w:t xml:space="preserve">In this context, the Ministry of Mines and Energy (MME) has requested the creation of a technical group to evaluate aspects for the selection of new nuclear sites for the construction of new plants, </w:t>
      </w:r>
      <w:r w:rsidR="00EE298B">
        <w:rPr>
          <w:sz w:val="20"/>
        </w:rPr>
        <w:t xml:space="preserve">obtaining </w:t>
      </w:r>
      <w:r w:rsidRPr="00644489">
        <w:rPr>
          <w:sz w:val="20"/>
        </w:rPr>
        <w:t>its reference from the National Energy Plan 2050, which estimates an expansion of 3.4 to 23.4 GW in the supply of nuclear energy over the next 30 years and the signalling of the construction of a new nuclear power plant in the Ten-Year Energy Expansion Plan 2031.</w:t>
      </w:r>
      <w:r w:rsidRPr="00644489">
        <w:t xml:space="preserve"> </w:t>
      </w:r>
      <w:r w:rsidRPr="00644489">
        <w:rPr>
          <w:sz w:val="20"/>
          <w:lang w:val="en-US"/>
        </w:rPr>
        <w:t>The CBDPN, through Resolution CBDPN 28/12/2023, has outlined guiding principles for selecting new nuclear sites for the construction of future thermonuclear power plants in Brazil. These guidelines have been established for the government agencies involved. See Table 1 for a detailed overview of the CBDPN guidelines.</w:t>
      </w:r>
    </w:p>
    <w:p w14:paraId="4F747AA6" w14:textId="77777777" w:rsidR="003221FB" w:rsidRPr="005E1850" w:rsidRDefault="003221FB" w:rsidP="003221FB">
      <w:pPr>
        <w:pStyle w:val="Corpodetexto"/>
        <w:ind w:firstLine="0"/>
        <w:rPr>
          <w:lang w:val="en-US"/>
        </w:rPr>
      </w:pPr>
    </w:p>
    <w:p w14:paraId="06BAD56B" w14:textId="2213164F" w:rsidR="003221FB" w:rsidRPr="005E1850" w:rsidRDefault="003221FB" w:rsidP="003221FB">
      <w:pPr>
        <w:pStyle w:val="Corpodetexto"/>
        <w:ind w:firstLine="0"/>
        <w:rPr>
          <w:lang w:val="en-US"/>
        </w:rPr>
      </w:pPr>
      <w:r w:rsidRPr="00150499">
        <w:rPr>
          <w:lang w:val="en-US"/>
        </w:rPr>
        <w:t>TABLE 1.</w:t>
      </w:r>
      <w:r w:rsidRPr="00150499">
        <w:rPr>
          <w:lang w:val="en-US"/>
        </w:rPr>
        <w:tab/>
      </w:r>
      <w:r w:rsidR="005E1850" w:rsidRPr="005E1850">
        <w:rPr>
          <w:lang w:val="en-US"/>
        </w:rPr>
        <w:t>CBDPN GUIDELINES FOR CHOOSING NEW NUCLEAR SITES</w:t>
      </w:r>
    </w:p>
    <w:tbl>
      <w:tblPr>
        <w:tblStyle w:val="Tabelacomgrade"/>
        <w:tblW w:w="893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26"/>
        <w:gridCol w:w="6662"/>
        <w:gridCol w:w="1843"/>
      </w:tblGrid>
      <w:tr w:rsidR="00644489" w:rsidRPr="00644489" w14:paraId="5003A829" w14:textId="77777777" w:rsidTr="00F34DE1">
        <w:tc>
          <w:tcPr>
            <w:tcW w:w="426" w:type="dxa"/>
            <w:vAlign w:val="center"/>
          </w:tcPr>
          <w:tbl>
            <w:tblPr>
              <w:tblW w:w="45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21"/>
              <w:gridCol w:w="136"/>
            </w:tblGrid>
            <w:tr w:rsidR="00644489" w:rsidRPr="00644489" w14:paraId="6A824D5F" w14:textId="77777777" w:rsidTr="007873F8">
              <w:trPr>
                <w:tblCellSpacing w:w="15" w:type="dxa"/>
              </w:trPr>
              <w:tc>
                <w:tcPr>
                  <w:tcW w:w="276" w:type="dxa"/>
                  <w:vAlign w:val="center"/>
                  <w:hideMark/>
                </w:tcPr>
                <w:p w14:paraId="4F4F117A" w14:textId="77777777" w:rsidR="004E5CE3" w:rsidRPr="00644489" w:rsidRDefault="004E5CE3" w:rsidP="002809B8">
                  <w:pPr>
                    <w:overflowPunct/>
                    <w:autoSpaceDE/>
                    <w:autoSpaceDN/>
                    <w:adjustRightInd/>
                    <w:spacing w:before="100" w:beforeAutospacing="1" w:after="100" w:afterAutospacing="1"/>
                    <w:jc w:val="center"/>
                    <w:textAlignment w:val="auto"/>
                    <w:rPr>
                      <w:sz w:val="18"/>
                      <w:szCs w:val="18"/>
                      <w:lang w:val="pt-BR" w:eastAsia="ja-JP"/>
                    </w:rPr>
                  </w:pPr>
                  <w:r w:rsidRPr="00644489">
                    <w:rPr>
                      <w:sz w:val="18"/>
                      <w:szCs w:val="18"/>
                      <w:lang w:val="pt-BR" w:eastAsia="ja-JP"/>
                    </w:rPr>
                    <w:t>Nº</w:t>
                  </w:r>
                </w:p>
              </w:tc>
              <w:tc>
                <w:tcPr>
                  <w:tcW w:w="91" w:type="dxa"/>
                  <w:vAlign w:val="center"/>
                  <w:hideMark/>
                </w:tcPr>
                <w:p w14:paraId="275E5F7F" w14:textId="3C869787" w:rsidR="004E5CE3" w:rsidRPr="00644489" w:rsidRDefault="004E5CE3" w:rsidP="002809B8">
                  <w:pPr>
                    <w:overflowPunct/>
                    <w:autoSpaceDE/>
                    <w:autoSpaceDN/>
                    <w:adjustRightInd/>
                    <w:spacing w:before="100" w:beforeAutospacing="1" w:after="100" w:afterAutospacing="1"/>
                    <w:jc w:val="center"/>
                    <w:textAlignment w:val="auto"/>
                    <w:rPr>
                      <w:sz w:val="18"/>
                      <w:szCs w:val="18"/>
                      <w:lang w:val="pt-BR" w:eastAsia="ja-JP"/>
                    </w:rPr>
                  </w:pPr>
                </w:p>
              </w:tc>
            </w:tr>
          </w:tbl>
          <w:p w14:paraId="4E50407F" w14:textId="77777777" w:rsidR="004E5CE3" w:rsidRPr="00644489" w:rsidRDefault="004E5CE3" w:rsidP="002809B8">
            <w:pPr>
              <w:overflowPunct/>
              <w:autoSpaceDE/>
              <w:autoSpaceDN/>
              <w:adjustRightInd/>
              <w:spacing w:line="260" w:lineRule="auto"/>
              <w:jc w:val="center"/>
              <w:textAlignment w:val="auto"/>
              <w:rPr>
                <w:sz w:val="18"/>
                <w:szCs w:val="18"/>
              </w:rPr>
            </w:pPr>
          </w:p>
        </w:tc>
        <w:tc>
          <w:tcPr>
            <w:tcW w:w="6662" w:type="dxa"/>
            <w:vAlign w:val="center"/>
          </w:tcPr>
          <w:p w14:paraId="77C72365" w14:textId="05E9828C" w:rsidR="004E5CE3" w:rsidRPr="00644489" w:rsidRDefault="005E1850" w:rsidP="002809B8">
            <w:pPr>
              <w:overflowPunct/>
              <w:autoSpaceDE/>
              <w:autoSpaceDN/>
              <w:adjustRightInd/>
              <w:spacing w:line="260" w:lineRule="auto"/>
              <w:jc w:val="center"/>
              <w:textAlignment w:val="auto"/>
              <w:rPr>
                <w:sz w:val="18"/>
                <w:szCs w:val="18"/>
              </w:rPr>
            </w:pPr>
            <w:proofErr w:type="spellStart"/>
            <w:r w:rsidRPr="00644489">
              <w:rPr>
                <w:sz w:val="18"/>
                <w:szCs w:val="18"/>
                <w:lang w:val="pt-BR" w:eastAsia="ja-JP"/>
              </w:rPr>
              <w:t>Guideline</w:t>
            </w:r>
            <w:proofErr w:type="spellEnd"/>
          </w:p>
        </w:tc>
        <w:tc>
          <w:tcPr>
            <w:tcW w:w="1843" w:type="dxa"/>
            <w:vAlign w:val="center"/>
          </w:tcPr>
          <w:p w14:paraId="073CC4BF" w14:textId="77777777" w:rsidR="00A96447" w:rsidRPr="00644489" w:rsidRDefault="00A96447" w:rsidP="002809B8">
            <w:pPr>
              <w:overflowPunct/>
              <w:autoSpaceDE/>
              <w:autoSpaceDN/>
              <w:adjustRightInd/>
              <w:spacing w:line="260" w:lineRule="auto"/>
              <w:jc w:val="center"/>
              <w:textAlignment w:val="auto"/>
              <w:rPr>
                <w:sz w:val="18"/>
                <w:szCs w:val="18"/>
              </w:rPr>
            </w:pPr>
            <w:r w:rsidRPr="00644489">
              <w:rPr>
                <w:sz w:val="18"/>
                <w:szCs w:val="18"/>
              </w:rPr>
              <w:t xml:space="preserve">Responsible </w:t>
            </w:r>
          </w:p>
          <w:p w14:paraId="2B39646F" w14:textId="1D274989" w:rsidR="004E5CE3" w:rsidRPr="00644489" w:rsidRDefault="00A96447" w:rsidP="002809B8">
            <w:pPr>
              <w:overflowPunct/>
              <w:autoSpaceDE/>
              <w:autoSpaceDN/>
              <w:adjustRightInd/>
              <w:spacing w:line="260" w:lineRule="auto"/>
              <w:jc w:val="center"/>
              <w:textAlignment w:val="auto"/>
              <w:rPr>
                <w:sz w:val="18"/>
                <w:szCs w:val="18"/>
              </w:rPr>
            </w:pPr>
            <w:r w:rsidRPr="00644489">
              <w:rPr>
                <w:sz w:val="18"/>
                <w:szCs w:val="18"/>
              </w:rPr>
              <w:t>Body(</w:t>
            </w:r>
            <w:proofErr w:type="spellStart"/>
            <w:r w:rsidRPr="00644489">
              <w:rPr>
                <w:sz w:val="18"/>
                <w:szCs w:val="18"/>
              </w:rPr>
              <w:t>ies</w:t>
            </w:r>
            <w:proofErr w:type="spellEnd"/>
            <w:r w:rsidRPr="00644489">
              <w:rPr>
                <w:sz w:val="18"/>
                <w:szCs w:val="18"/>
              </w:rPr>
              <w:t>)</w:t>
            </w:r>
          </w:p>
        </w:tc>
      </w:tr>
      <w:tr w:rsidR="00644489" w:rsidRPr="00644489" w14:paraId="31ED93F7" w14:textId="77777777" w:rsidTr="00F34DE1">
        <w:tc>
          <w:tcPr>
            <w:tcW w:w="426" w:type="dxa"/>
          </w:tcPr>
          <w:p w14:paraId="37570935" w14:textId="1D2505C6" w:rsidR="00334761" w:rsidRPr="00644489" w:rsidRDefault="00334761" w:rsidP="00A33E4C">
            <w:pPr>
              <w:overflowPunct/>
              <w:autoSpaceDE/>
              <w:autoSpaceDN/>
              <w:adjustRightInd/>
              <w:spacing w:line="260" w:lineRule="auto"/>
              <w:textAlignment w:val="auto"/>
              <w:rPr>
                <w:sz w:val="18"/>
                <w:szCs w:val="18"/>
              </w:rPr>
            </w:pPr>
            <w:r w:rsidRPr="00644489">
              <w:rPr>
                <w:sz w:val="18"/>
                <w:szCs w:val="18"/>
              </w:rPr>
              <w:t>1</w:t>
            </w:r>
          </w:p>
        </w:tc>
        <w:tc>
          <w:tcPr>
            <w:tcW w:w="6662" w:type="dxa"/>
          </w:tcPr>
          <w:p w14:paraId="210907B4" w14:textId="5E7BC281" w:rsidR="00334761" w:rsidRPr="00644489" w:rsidRDefault="005E1850" w:rsidP="00A33E4C">
            <w:pPr>
              <w:overflowPunct/>
              <w:autoSpaceDE/>
              <w:autoSpaceDN/>
              <w:adjustRightInd/>
              <w:spacing w:line="260" w:lineRule="auto"/>
              <w:jc w:val="center"/>
              <w:textAlignment w:val="auto"/>
              <w:rPr>
                <w:sz w:val="18"/>
                <w:szCs w:val="18"/>
                <w:lang w:val="en-US"/>
              </w:rPr>
            </w:pPr>
            <w:r w:rsidRPr="00644489">
              <w:rPr>
                <w:sz w:val="18"/>
                <w:szCs w:val="18"/>
                <w:lang w:val="en-US"/>
              </w:rPr>
              <w:t>Assessing the feasibility of expanding thermonuclear power plants in the Brazilian Electricity System</w:t>
            </w:r>
          </w:p>
        </w:tc>
        <w:tc>
          <w:tcPr>
            <w:tcW w:w="1843" w:type="dxa"/>
            <w:vMerge w:val="restart"/>
            <w:vAlign w:val="center"/>
          </w:tcPr>
          <w:p w14:paraId="1141FF6F" w14:textId="77777777" w:rsidR="00A96447" w:rsidRPr="00150499" w:rsidRDefault="00A96447" w:rsidP="00A96447">
            <w:pPr>
              <w:overflowPunct/>
              <w:autoSpaceDE/>
              <w:autoSpaceDN/>
              <w:adjustRightInd/>
              <w:spacing w:line="260" w:lineRule="auto"/>
              <w:jc w:val="center"/>
              <w:textAlignment w:val="auto"/>
              <w:rPr>
                <w:sz w:val="18"/>
                <w:szCs w:val="18"/>
                <w:lang w:val="en-US"/>
              </w:rPr>
            </w:pPr>
            <w:r w:rsidRPr="00150499">
              <w:rPr>
                <w:sz w:val="18"/>
                <w:szCs w:val="18"/>
                <w:lang w:val="en-US"/>
              </w:rPr>
              <w:t>Ministry of Mines and Energy</w:t>
            </w:r>
          </w:p>
          <w:p w14:paraId="7EEAEBC1" w14:textId="2BF1125A" w:rsidR="00334761" w:rsidRPr="00644489" w:rsidRDefault="00A96447" w:rsidP="00A96447">
            <w:pPr>
              <w:overflowPunct/>
              <w:autoSpaceDE/>
              <w:autoSpaceDN/>
              <w:adjustRightInd/>
              <w:spacing w:line="260" w:lineRule="auto"/>
              <w:jc w:val="center"/>
              <w:textAlignment w:val="auto"/>
              <w:rPr>
                <w:sz w:val="18"/>
                <w:szCs w:val="18"/>
                <w:lang w:val="en-US"/>
              </w:rPr>
            </w:pPr>
            <w:r w:rsidRPr="00644489">
              <w:rPr>
                <w:sz w:val="18"/>
                <w:szCs w:val="18"/>
                <w:lang w:val="en-US"/>
              </w:rPr>
              <w:t xml:space="preserve">with support from EPE and </w:t>
            </w:r>
            <w:proofErr w:type="spellStart"/>
            <w:r w:rsidRPr="00644489">
              <w:rPr>
                <w:sz w:val="18"/>
                <w:szCs w:val="18"/>
                <w:lang w:val="en-US"/>
              </w:rPr>
              <w:t>ENBPar</w:t>
            </w:r>
            <w:proofErr w:type="spellEnd"/>
            <w:r w:rsidRPr="00644489">
              <w:rPr>
                <w:sz w:val="18"/>
                <w:szCs w:val="18"/>
                <w:lang w:val="en-US"/>
              </w:rPr>
              <w:t>/</w:t>
            </w:r>
            <w:proofErr w:type="spellStart"/>
            <w:r w:rsidRPr="00644489">
              <w:rPr>
                <w:sz w:val="18"/>
                <w:szCs w:val="18"/>
                <w:lang w:val="en-US"/>
              </w:rPr>
              <w:t>Eletronuclear</w:t>
            </w:r>
            <w:proofErr w:type="spellEnd"/>
          </w:p>
        </w:tc>
      </w:tr>
      <w:tr w:rsidR="00644489" w:rsidRPr="00644489" w14:paraId="25F5536E" w14:textId="77777777" w:rsidTr="00F34DE1">
        <w:tc>
          <w:tcPr>
            <w:tcW w:w="426" w:type="dxa"/>
          </w:tcPr>
          <w:p w14:paraId="1C28B298" w14:textId="02150ABA" w:rsidR="00334761" w:rsidRPr="00644489" w:rsidRDefault="00334761" w:rsidP="00A33E4C">
            <w:pPr>
              <w:overflowPunct/>
              <w:autoSpaceDE/>
              <w:autoSpaceDN/>
              <w:adjustRightInd/>
              <w:spacing w:line="260" w:lineRule="auto"/>
              <w:textAlignment w:val="auto"/>
              <w:rPr>
                <w:sz w:val="18"/>
                <w:szCs w:val="18"/>
              </w:rPr>
            </w:pPr>
            <w:r w:rsidRPr="00644489">
              <w:rPr>
                <w:sz w:val="18"/>
                <w:szCs w:val="18"/>
              </w:rPr>
              <w:t>2</w:t>
            </w:r>
          </w:p>
        </w:tc>
        <w:tc>
          <w:tcPr>
            <w:tcW w:w="6662" w:type="dxa"/>
          </w:tcPr>
          <w:p w14:paraId="60582584" w14:textId="5F0E8E54" w:rsidR="00334761" w:rsidRPr="00644489" w:rsidRDefault="00470AE9" w:rsidP="00A33E4C">
            <w:pPr>
              <w:overflowPunct/>
              <w:autoSpaceDE/>
              <w:autoSpaceDN/>
              <w:adjustRightInd/>
              <w:spacing w:line="260" w:lineRule="auto"/>
              <w:jc w:val="center"/>
              <w:textAlignment w:val="auto"/>
              <w:rPr>
                <w:sz w:val="18"/>
                <w:szCs w:val="18"/>
                <w:lang w:val="en-US"/>
              </w:rPr>
            </w:pPr>
            <w:r w:rsidRPr="00644489">
              <w:rPr>
                <w:sz w:val="18"/>
                <w:szCs w:val="18"/>
                <w:lang w:val="en-US"/>
              </w:rPr>
              <w:t>To establish, in due course, the National Methodological Reference for selecting sites for new nuclear power plants, the Federal Government will create a guide document based on established methodologies and determining factors.</w:t>
            </w:r>
          </w:p>
        </w:tc>
        <w:tc>
          <w:tcPr>
            <w:tcW w:w="1843" w:type="dxa"/>
            <w:vMerge/>
          </w:tcPr>
          <w:p w14:paraId="30A430EA" w14:textId="77777777" w:rsidR="00334761" w:rsidRPr="00644489" w:rsidRDefault="00334761" w:rsidP="00A33E4C">
            <w:pPr>
              <w:overflowPunct/>
              <w:autoSpaceDE/>
              <w:autoSpaceDN/>
              <w:adjustRightInd/>
              <w:spacing w:line="260" w:lineRule="auto"/>
              <w:jc w:val="center"/>
              <w:textAlignment w:val="auto"/>
              <w:rPr>
                <w:sz w:val="18"/>
                <w:szCs w:val="18"/>
                <w:lang w:val="en-US"/>
              </w:rPr>
            </w:pPr>
          </w:p>
        </w:tc>
      </w:tr>
      <w:tr w:rsidR="00644489" w:rsidRPr="00644489" w14:paraId="29658B61" w14:textId="77777777" w:rsidTr="00F34DE1">
        <w:tc>
          <w:tcPr>
            <w:tcW w:w="426" w:type="dxa"/>
          </w:tcPr>
          <w:p w14:paraId="41F7CA44" w14:textId="7C4920F6" w:rsidR="00334761" w:rsidRPr="00644489" w:rsidRDefault="00334761" w:rsidP="00A33E4C">
            <w:pPr>
              <w:overflowPunct/>
              <w:autoSpaceDE/>
              <w:autoSpaceDN/>
              <w:adjustRightInd/>
              <w:spacing w:line="260" w:lineRule="auto"/>
              <w:textAlignment w:val="auto"/>
              <w:rPr>
                <w:sz w:val="18"/>
                <w:szCs w:val="18"/>
              </w:rPr>
            </w:pPr>
            <w:r w:rsidRPr="00644489">
              <w:rPr>
                <w:sz w:val="18"/>
                <w:szCs w:val="18"/>
              </w:rPr>
              <w:t>3</w:t>
            </w:r>
          </w:p>
        </w:tc>
        <w:tc>
          <w:tcPr>
            <w:tcW w:w="6662" w:type="dxa"/>
          </w:tcPr>
          <w:p w14:paraId="5A177741" w14:textId="5666BFCB" w:rsidR="00334761" w:rsidRPr="00644489" w:rsidRDefault="006F7128" w:rsidP="00A33E4C">
            <w:pPr>
              <w:overflowPunct/>
              <w:autoSpaceDE/>
              <w:autoSpaceDN/>
              <w:adjustRightInd/>
              <w:spacing w:line="260" w:lineRule="auto"/>
              <w:jc w:val="center"/>
              <w:textAlignment w:val="auto"/>
              <w:rPr>
                <w:sz w:val="18"/>
                <w:szCs w:val="18"/>
                <w:lang w:val="en-US"/>
              </w:rPr>
            </w:pPr>
            <w:r w:rsidRPr="00644489">
              <w:rPr>
                <w:sz w:val="18"/>
                <w:szCs w:val="18"/>
                <w:lang w:val="en-US"/>
              </w:rPr>
              <w:t>Apply the National Methodological Reference to designate suitable sites for new nuclear power plants and identify potential areas in the country.</w:t>
            </w:r>
          </w:p>
        </w:tc>
        <w:tc>
          <w:tcPr>
            <w:tcW w:w="1843" w:type="dxa"/>
            <w:vMerge/>
          </w:tcPr>
          <w:p w14:paraId="5146EFAC" w14:textId="77777777" w:rsidR="00334761" w:rsidRPr="00644489" w:rsidRDefault="00334761" w:rsidP="00A33E4C">
            <w:pPr>
              <w:overflowPunct/>
              <w:autoSpaceDE/>
              <w:autoSpaceDN/>
              <w:adjustRightInd/>
              <w:spacing w:line="260" w:lineRule="auto"/>
              <w:jc w:val="center"/>
              <w:textAlignment w:val="auto"/>
              <w:rPr>
                <w:sz w:val="18"/>
                <w:szCs w:val="18"/>
                <w:lang w:val="en-US"/>
              </w:rPr>
            </w:pPr>
          </w:p>
        </w:tc>
      </w:tr>
      <w:tr w:rsidR="00644489" w:rsidRPr="00644489" w14:paraId="6DA73534" w14:textId="77777777" w:rsidTr="00F34DE1">
        <w:tc>
          <w:tcPr>
            <w:tcW w:w="426" w:type="dxa"/>
          </w:tcPr>
          <w:p w14:paraId="4DF2B51E" w14:textId="42B10ABF" w:rsidR="00F02873" w:rsidRPr="00644489" w:rsidRDefault="00F02873" w:rsidP="00A33E4C">
            <w:pPr>
              <w:overflowPunct/>
              <w:autoSpaceDE/>
              <w:autoSpaceDN/>
              <w:adjustRightInd/>
              <w:spacing w:line="260" w:lineRule="auto"/>
              <w:textAlignment w:val="auto"/>
              <w:rPr>
                <w:sz w:val="18"/>
                <w:szCs w:val="18"/>
              </w:rPr>
            </w:pPr>
            <w:r w:rsidRPr="00644489">
              <w:rPr>
                <w:sz w:val="18"/>
                <w:szCs w:val="18"/>
              </w:rPr>
              <w:t>4</w:t>
            </w:r>
          </w:p>
        </w:tc>
        <w:tc>
          <w:tcPr>
            <w:tcW w:w="6662" w:type="dxa"/>
          </w:tcPr>
          <w:p w14:paraId="731B220D" w14:textId="41AF2A35" w:rsidR="00F02873" w:rsidRPr="00644489" w:rsidRDefault="007633DD" w:rsidP="00A33E4C">
            <w:pPr>
              <w:overflowPunct/>
              <w:autoSpaceDE/>
              <w:autoSpaceDN/>
              <w:adjustRightInd/>
              <w:spacing w:line="260" w:lineRule="auto"/>
              <w:jc w:val="center"/>
              <w:textAlignment w:val="auto"/>
              <w:rPr>
                <w:sz w:val="18"/>
                <w:szCs w:val="18"/>
                <w:lang w:val="en-US"/>
              </w:rPr>
            </w:pPr>
            <w:r w:rsidRPr="00644489">
              <w:rPr>
                <w:sz w:val="18"/>
                <w:szCs w:val="18"/>
                <w:lang w:val="en-US"/>
              </w:rPr>
              <w:t>To assess the feasibility and extent of liberalizing the Union's monopoly on the construction and operation of nuclear reactors for the purpose of producing civilian energy.</w:t>
            </w:r>
          </w:p>
        </w:tc>
        <w:tc>
          <w:tcPr>
            <w:tcW w:w="1843" w:type="dxa"/>
          </w:tcPr>
          <w:p w14:paraId="72F64AF9" w14:textId="66AADC47" w:rsidR="00F02873" w:rsidRPr="00644489" w:rsidRDefault="00A96447" w:rsidP="00A33E4C">
            <w:pPr>
              <w:overflowPunct/>
              <w:autoSpaceDE/>
              <w:autoSpaceDN/>
              <w:adjustRightInd/>
              <w:spacing w:line="260" w:lineRule="auto"/>
              <w:jc w:val="center"/>
              <w:textAlignment w:val="auto"/>
              <w:rPr>
                <w:sz w:val="18"/>
                <w:szCs w:val="18"/>
                <w:lang w:val="en-US"/>
              </w:rPr>
            </w:pPr>
            <w:r w:rsidRPr="00644489">
              <w:rPr>
                <w:sz w:val="18"/>
                <w:szCs w:val="18"/>
                <w:lang w:val="en-US"/>
              </w:rPr>
              <w:t>Ministry of Mines and Energy</w:t>
            </w:r>
          </w:p>
        </w:tc>
      </w:tr>
      <w:tr w:rsidR="00644489" w:rsidRPr="00644489" w14:paraId="0D2C2AEB" w14:textId="77777777" w:rsidTr="00F34DE1">
        <w:tc>
          <w:tcPr>
            <w:tcW w:w="426" w:type="dxa"/>
          </w:tcPr>
          <w:p w14:paraId="29BA01DB" w14:textId="72772414" w:rsidR="00A96447" w:rsidRPr="00644489" w:rsidRDefault="00A96447" w:rsidP="00A96447">
            <w:pPr>
              <w:overflowPunct/>
              <w:autoSpaceDE/>
              <w:autoSpaceDN/>
              <w:adjustRightInd/>
              <w:spacing w:line="260" w:lineRule="auto"/>
              <w:textAlignment w:val="auto"/>
              <w:rPr>
                <w:sz w:val="18"/>
                <w:szCs w:val="18"/>
              </w:rPr>
            </w:pPr>
            <w:r w:rsidRPr="00644489">
              <w:rPr>
                <w:sz w:val="18"/>
                <w:szCs w:val="18"/>
              </w:rPr>
              <w:t>5</w:t>
            </w:r>
          </w:p>
        </w:tc>
        <w:tc>
          <w:tcPr>
            <w:tcW w:w="6662" w:type="dxa"/>
          </w:tcPr>
          <w:p w14:paraId="5FE5EA46" w14:textId="1468FE98" w:rsidR="00A96447" w:rsidRPr="00644489" w:rsidRDefault="00A96447" w:rsidP="00A96447">
            <w:pPr>
              <w:overflowPunct/>
              <w:autoSpaceDE/>
              <w:autoSpaceDN/>
              <w:adjustRightInd/>
              <w:spacing w:line="260" w:lineRule="auto"/>
              <w:jc w:val="center"/>
              <w:textAlignment w:val="auto"/>
              <w:rPr>
                <w:sz w:val="18"/>
                <w:szCs w:val="18"/>
                <w:lang w:val="en-US"/>
              </w:rPr>
            </w:pPr>
            <w:r w:rsidRPr="00644489">
              <w:rPr>
                <w:sz w:val="18"/>
                <w:szCs w:val="18"/>
                <w:lang w:val="en-US"/>
              </w:rPr>
              <w:t>Updating and revising the regulatory framework for site identification regarding nuclear safety, radiological protection, and physical protection.</w:t>
            </w:r>
          </w:p>
        </w:tc>
        <w:tc>
          <w:tcPr>
            <w:tcW w:w="1843" w:type="dxa"/>
            <w:vMerge w:val="restart"/>
          </w:tcPr>
          <w:p w14:paraId="3132150A" w14:textId="77777777" w:rsidR="00D90CC7" w:rsidRPr="00644489" w:rsidRDefault="00D90CC7" w:rsidP="00A96447">
            <w:pPr>
              <w:overflowPunct/>
              <w:autoSpaceDE/>
              <w:autoSpaceDN/>
              <w:adjustRightInd/>
              <w:spacing w:line="260" w:lineRule="auto"/>
              <w:jc w:val="center"/>
              <w:textAlignment w:val="auto"/>
              <w:rPr>
                <w:sz w:val="18"/>
                <w:szCs w:val="18"/>
              </w:rPr>
            </w:pPr>
          </w:p>
          <w:p w14:paraId="5817D40D" w14:textId="77777777" w:rsidR="00D90CC7" w:rsidRPr="00644489" w:rsidRDefault="00D90CC7" w:rsidP="00A96447">
            <w:pPr>
              <w:overflowPunct/>
              <w:autoSpaceDE/>
              <w:autoSpaceDN/>
              <w:adjustRightInd/>
              <w:spacing w:line="260" w:lineRule="auto"/>
              <w:jc w:val="center"/>
              <w:textAlignment w:val="auto"/>
              <w:rPr>
                <w:sz w:val="18"/>
                <w:szCs w:val="18"/>
              </w:rPr>
            </w:pPr>
          </w:p>
          <w:p w14:paraId="125976B8" w14:textId="647E3082" w:rsidR="00A96447" w:rsidRPr="00644489" w:rsidRDefault="00A96447" w:rsidP="00A96447">
            <w:pPr>
              <w:overflowPunct/>
              <w:autoSpaceDE/>
              <w:autoSpaceDN/>
              <w:adjustRightInd/>
              <w:spacing w:line="260" w:lineRule="auto"/>
              <w:jc w:val="center"/>
              <w:textAlignment w:val="auto"/>
              <w:rPr>
                <w:sz w:val="18"/>
                <w:szCs w:val="18"/>
                <w:lang w:val="pt-BR"/>
              </w:rPr>
            </w:pPr>
            <w:r w:rsidRPr="00644489">
              <w:rPr>
                <w:sz w:val="18"/>
                <w:szCs w:val="18"/>
              </w:rPr>
              <w:t>National Nuclear Energy Commission</w:t>
            </w:r>
          </w:p>
        </w:tc>
      </w:tr>
      <w:tr w:rsidR="00644489" w:rsidRPr="00644489" w14:paraId="216502DF" w14:textId="77777777" w:rsidTr="00F34DE1">
        <w:tc>
          <w:tcPr>
            <w:tcW w:w="426" w:type="dxa"/>
          </w:tcPr>
          <w:p w14:paraId="732A46AE" w14:textId="48EB4F51" w:rsidR="00A96447" w:rsidRPr="00644489" w:rsidRDefault="00A96447" w:rsidP="00A96447">
            <w:pPr>
              <w:overflowPunct/>
              <w:autoSpaceDE/>
              <w:autoSpaceDN/>
              <w:adjustRightInd/>
              <w:spacing w:line="260" w:lineRule="auto"/>
              <w:textAlignment w:val="auto"/>
              <w:rPr>
                <w:sz w:val="18"/>
                <w:szCs w:val="18"/>
              </w:rPr>
            </w:pPr>
            <w:r w:rsidRPr="00644489">
              <w:rPr>
                <w:sz w:val="18"/>
                <w:szCs w:val="18"/>
              </w:rPr>
              <w:t>6</w:t>
            </w:r>
          </w:p>
        </w:tc>
        <w:tc>
          <w:tcPr>
            <w:tcW w:w="6662" w:type="dxa"/>
          </w:tcPr>
          <w:p w14:paraId="37E673C7" w14:textId="6D09B514" w:rsidR="00A96447" w:rsidRPr="00644489" w:rsidRDefault="00A96447" w:rsidP="00A96447">
            <w:pPr>
              <w:overflowPunct/>
              <w:autoSpaceDE/>
              <w:autoSpaceDN/>
              <w:adjustRightInd/>
              <w:spacing w:line="260" w:lineRule="auto"/>
              <w:jc w:val="center"/>
              <w:textAlignment w:val="auto"/>
              <w:rPr>
                <w:sz w:val="18"/>
                <w:szCs w:val="18"/>
                <w:lang w:val="en-US"/>
              </w:rPr>
            </w:pPr>
            <w:r w:rsidRPr="00644489">
              <w:rPr>
                <w:sz w:val="18"/>
                <w:szCs w:val="18"/>
                <w:lang w:val="en-US"/>
              </w:rPr>
              <w:t>Developing a regulatory framework that considers the potential technological advancements in the upcoming decades. This framework will cover the process of selecting sites for new reactor technologies, including the licensing process for small modular reactors (SMRs) currently underway in several countries.</w:t>
            </w:r>
          </w:p>
        </w:tc>
        <w:tc>
          <w:tcPr>
            <w:tcW w:w="1843" w:type="dxa"/>
            <w:vMerge/>
          </w:tcPr>
          <w:p w14:paraId="1EF468CB" w14:textId="3169FB0C" w:rsidR="00A96447" w:rsidRPr="00644489" w:rsidRDefault="00A96447" w:rsidP="00A96447">
            <w:pPr>
              <w:overflowPunct/>
              <w:autoSpaceDE/>
              <w:autoSpaceDN/>
              <w:adjustRightInd/>
              <w:spacing w:line="260" w:lineRule="auto"/>
              <w:jc w:val="center"/>
              <w:textAlignment w:val="auto"/>
              <w:rPr>
                <w:sz w:val="18"/>
                <w:szCs w:val="18"/>
                <w:lang w:val="en-US"/>
              </w:rPr>
            </w:pPr>
          </w:p>
        </w:tc>
      </w:tr>
      <w:tr w:rsidR="00644489" w:rsidRPr="00644489" w14:paraId="0C0E2568" w14:textId="77777777" w:rsidTr="00F34DE1">
        <w:tc>
          <w:tcPr>
            <w:tcW w:w="426" w:type="dxa"/>
          </w:tcPr>
          <w:p w14:paraId="505FD32B" w14:textId="15BDCD37" w:rsidR="004A3CA5" w:rsidRPr="00644489" w:rsidRDefault="004A3CA5" w:rsidP="00A33E4C">
            <w:pPr>
              <w:overflowPunct/>
              <w:autoSpaceDE/>
              <w:autoSpaceDN/>
              <w:adjustRightInd/>
              <w:spacing w:line="260" w:lineRule="auto"/>
              <w:textAlignment w:val="auto"/>
              <w:rPr>
                <w:sz w:val="18"/>
                <w:szCs w:val="18"/>
              </w:rPr>
            </w:pPr>
            <w:r w:rsidRPr="00644489">
              <w:rPr>
                <w:sz w:val="18"/>
                <w:szCs w:val="18"/>
              </w:rPr>
              <w:t>7</w:t>
            </w:r>
          </w:p>
        </w:tc>
        <w:tc>
          <w:tcPr>
            <w:tcW w:w="6662" w:type="dxa"/>
          </w:tcPr>
          <w:p w14:paraId="07350040" w14:textId="5488FF62" w:rsidR="004A3CA5" w:rsidRPr="00644489" w:rsidRDefault="001160CE" w:rsidP="00A33E4C">
            <w:pPr>
              <w:overflowPunct/>
              <w:autoSpaceDE/>
              <w:autoSpaceDN/>
              <w:adjustRightInd/>
              <w:spacing w:line="260" w:lineRule="auto"/>
              <w:jc w:val="center"/>
              <w:textAlignment w:val="auto"/>
              <w:rPr>
                <w:sz w:val="18"/>
                <w:szCs w:val="18"/>
                <w:lang w:val="en-US"/>
              </w:rPr>
            </w:pPr>
            <w:r w:rsidRPr="00644489">
              <w:rPr>
                <w:sz w:val="18"/>
                <w:szCs w:val="18"/>
                <w:lang w:val="en-US"/>
              </w:rPr>
              <w:t>Updating and revising the regulatory framework to identify sites for building new nuclear power plants, including creating preliminary guidelines for obtaining the Preliminary License as part of the environmental licensing process, within its legal jurisdiction.</w:t>
            </w:r>
          </w:p>
        </w:tc>
        <w:tc>
          <w:tcPr>
            <w:tcW w:w="1843" w:type="dxa"/>
          </w:tcPr>
          <w:p w14:paraId="175752BF" w14:textId="55434980" w:rsidR="004A3CA5" w:rsidRPr="00644489" w:rsidRDefault="00D90CC7" w:rsidP="00A33E4C">
            <w:pPr>
              <w:overflowPunct/>
              <w:autoSpaceDE/>
              <w:autoSpaceDN/>
              <w:adjustRightInd/>
              <w:spacing w:line="260" w:lineRule="auto"/>
              <w:jc w:val="center"/>
              <w:textAlignment w:val="auto"/>
              <w:rPr>
                <w:sz w:val="18"/>
                <w:szCs w:val="18"/>
                <w:lang w:val="en-US"/>
              </w:rPr>
            </w:pPr>
            <w:r w:rsidRPr="00644489">
              <w:rPr>
                <w:sz w:val="18"/>
                <w:szCs w:val="18"/>
                <w:lang w:val="en-US"/>
              </w:rPr>
              <w:t>Brazilian Institute for the Environment and Renewable Natural Resources</w:t>
            </w:r>
          </w:p>
        </w:tc>
      </w:tr>
      <w:tr w:rsidR="00644489" w:rsidRPr="00150499" w14:paraId="6FF7C2BD" w14:textId="77777777" w:rsidTr="00F34DE1">
        <w:tc>
          <w:tcPr>
            <w:tcW w:w="426" w:type="dxa"/>
          </w:tcPr>
          <w:p w14:paraId="3A6F784E" w14:textId="16202975" w:rsidR="00334761" w:rsidRPr="00644489" w:rsidRDefault="00334761" w:rsidP="00A33E4C">
            <w:pPr>
              <w:overflowPunct/>
              <w:autoSpaceDE/>
              <w:autoSpaceDN/>
              <w:adjustRightInd/>
              <w:spacing w:line="260" w:lineRule="auto"/>
              <w:textAlignment w:val="auto"/>
              <w:rPr>
                <w:sz w:val="18"/>
                <w:szCs w:val="18"/>
              </w:rPr>
            </w:pPr>
            <w:r w:rsidRPr="00644489">
              <w:rPr>
                <w:sz w:val="18"/>
                <w:szCs w:val="18"/>
              </w:rPr>
              <w:t>8</w:t>
            </w:r>
          </w:p>
        </w:tc>
        <w:tc>
          <w:tcPr>
            <w:tcW w:w="6662" w:type="dxa"/>
          </w:tcPr>
          <w:p w14:paraId="61672AB7" w14:textId="1372433F" w:rsidR="00334761" w:rsidRPr="00644489" w:rsidRDefault="00C054DE" w:rsidP="00A33E4C">
            <w:pPr>
              <w:overflowPunct/>
              <w:autoSpaceDE/>
              <w:autoSpaceDN/>
              <w:adjustRightInd/>
              <w:spacing w:line="260" w:lineRule="auto"/>
              <w:jc w:val="center"/>
              <w:textAlignment w:val="auto"/>
              <w:rPr>
                <w:sz w:val="18"/>
                <w:szCs w:val="18"/>
                <w:lang w:val="en-US"/>
              </w:rPr>
            </w:pPr>
            <w:r w:rsidRPr="00644489">
              <w:rPr>
                <w:sz w:val="18"/>
                <w:szCs w:val="18"/>
                <w:lang w:val="en-US"/>
              </w:rPr>
              <w:t>Establish the technical and operational criteria and parameters (technological alternatives, safety requirements, operational and design characteristics) for expanding the nuclear matrix.</w:t>
            </w:r>
          </w:p>
        </w:tc>
        <w:tc>
          <w:tcPr>
            <w:tcW w:w="1843" w:type="dxa"/>
            <w:vMerge w:val="restart"/>
            <w:vAlign w:val="center"/>
          </w:tcPr>
          <w:p w14:paraId="4DDE9B47" w14:textId="123E4545" w:rsidR="00334761" w:rsidRPr="00644489" w:rsidRDefault="00334761" w:rsidP="00D90CC7">
            <w:pPr>
              <w:overflowPunct/>
              <w:autoSpaceDE/>
              <w:autoSpaceDN/>
              <w:adjustRightInd/>
              <w:spacing w:line="260" w:lineRule="auto"/>
              <w:jc w:val="center"/>
              <w:textAlignment w:val="auto"/>
              <w:rPr>
                <w:sz w:val="18"/>
                <w:szCs w:val="18"/>
                <w:lang w:val="pt-BR"/>
              </w:rPr>
            </w:pPr>
            <w:r w:rsidRPr="00644489">
              <w:rPr>
                <w:sz w:val="18"/>
                <w:szCs w:val="18"/>
                <w:lang w:val="pt-BR"/>
              </w:rPr>
              <w:t xml:space="preserve">Eletronuclear </w:t>
            </w:r>
            <w:proofErr w:type="spellStart"/>
            <w:r w:rsidR="00D90CC7" w:rsidRPr="00644489">
              <w:rPr>
                <w:sz w:val="18"/>
                <w:szCs w:val="18"/>
                <w:lang w:val="pt-BR"/>
              </w:rPr>
              <w:t>and</w:t>
            </w:r>
            <w:proofErr w:type="spellEnd"/>
            <w:r w:rsidRPr="00644489">
              <w:rPr>
                <w:sz w:val="18"/>
                <w:szCs w:val="18"/>
                <w:lang w:val="pt-BR"/>
              </w:rPr>
              <w:t xml:space="preserve"> Empresa Brasileira de Participações em Energia Nuclear e Binacional</w:t>
            </w:r>
          </w:p>
        </w:tc>
      </w:tr>
      <w:tr w:rsidR="00334761" w:rsidRPr="00644489" w14:paraId="212150A9" w14:textId="77777777" w:rsidTr="00F34DE1">
        <w:tc>
          <w:tcPr>
            <w:tcW w:w="426" w:type="dxa"/>
          </w:tcPr>
          <w:p w14:paraId="43D55408" w14:textId="474F76AA" w:rsidR="00334761" w:rsidRPr="00644489" w:rsidRDefault="00334761" w:rsidP="00A33E4C">
            <w:pPr>
              <w:overflowPunct/>
              <w:autoSpaceDE/>
              <w:autoSpaceDN/>
              <w:adjustRightInd/>
              <w:spacing w:line="260" w:lineRule="auto"/>
              <w:textAlignment w:val="auto"/>
              <w:rPr>
                <w:sz w:val="18"/>
                <w:szCs w:val="18"/>
              </w:rPr>
            </w:pPr>
            <w:r w:rsidRPr="00644489">
              <w:rPr>
                <w:sz w:val="18"/>
                <w:szCs w:val="18"/>
              </w:rPr>
              <w:t>9</w:t>
            </w:r>
          </w:p>
        </w:tc>
        <w:tc>
          <w:tcPr>
            <w:tcW w:w="6662" w:type="dxa"/>
          </w:tcPr>
          <w:p w14:paraId="6A057FBC" w14:textId="15060E94" w:rsidR="00334761" w:rsidRPr="00644489" w:rsidRDefault="00C054DE" w:rsidP="00A33E4C">
            <w:pPr>
              <w:overflowPunct/>
              <w:autoSpaceDE/>
              <w:autoSpaceDN/>
              <w:adjustRightInd/>
              <w:spacing w:line="260" w:lineRule="auto"/>
              <w:jc w:val="center"/>
              <w:textAlignment w:val="auto"/>
              <w:rPr>
                <w:sz w:val="18"/>
                <w:szCs w:val="18"/>
                <w:lang w:val="en-US"/>
              </w:rPr>
            </w:pPr>
            <w:r w:rsidRPr="00644489">
              <w:rPr>
                <w:sz w:val="18"/>
                <w:szCs w:val="18"/>
                <w:lang w:val="en-US"/>
              </w:rPr>
              <w:t>Develop a Complementary Technical Note encompassing the implementation of Generation III+ models as well as SMRs. This should include a series of technical specifications and criteria for identifying potential new sites suitable for the installation of reactors.</w:t>
            </w:r>
          </w:p>
        </w:tc>
        <w:tc>
          <w:tcPr>
            <w:tcW w:w="1843" w:type="dxa"/>
            <w:vMerge/>
          </w:tcPr>
          <w:p w14:paraId="70023E6A" w14:textId="77777777" w:rsidR="00334761" w:rsidRPr="00644489" w:rsidRDefault="00334761" w:rsidP="00A33E4C">
            <w:pPr>
              <w:overflowPunct/>
              <w:autoSpaceDE/>
              <w:autoSpaceDN/>
              <w:adjustRightInd/>
              <w:spacing w:line="260" w:lineRule="auto"/>
              <w:jc w:val="center"/>
              <w:textAlignment w:val="auto"/>
              <w:rPr>
                <w:sz w:val="18"/>
                <w:szCs w:val="18"/>
                <w:lang w:val="en-US"/>
              </w:rPr>
            </w:pPr>
          </w:p>
        </w:tc>
      </w:tr>
    </w:tbl>
    <w:p w14:paraId="1FAB02BA" w14:textId="77777777" w:rsidR="009E7B3C" w:rsidRPr="00644489" w:rsidRDefault="009E7B3C" w:rsidP="00A10815">
      <w:pPr>
        <w:overflowPunct/>
        <w:autoSpaceDE/>
        <w:autoSpaceDN/>
        <w:adjustRightInd/>
        <w:spacing w:line="260" w:lineRule="auto"/>
        <w:ind w:firstLine="567"/>
        <w:jc w:val="both"/>
        <w:textAlignment w:val="auto"/>
        <w:rPr>
          <w:sz w:val="18"/>
          <w:szCs w:val="18"/>
          <w:lang w:val="en-US"/>
        </w:rPr>
      </w:pPr>
    </w:p>
    <w:p w14:paraId="58923662" w14:textId="1CFF2DD7" w:rsidR="001D4237" w:rsidRPr="00644489" w:rsidRDefault="00C054DE" w:rsidP="000864CD">
      <w:pPr>
        <w:spacing w:line="260" w:lineRule="auto"/>
        <w:ind w:firstLine="567"/>
        <w:jc w:val="both"/>
        <w:rPr>
          <w:sz w:val="20"/>
        </w:rPr>
      </w:pPr>
      <w:r w:rsidRPr="00644489">
        <w:rPr>
          <w:sz w:val="20"/>
        </w:rPr>
        <w:t xml:space="preserve">In compliance with </w:t>
      </w:r>
      <w:r w:rsidR="00036A91">
        <w:rPr>
          <w:sz w:val="20"/>
        </w:rPr>
        <w:t>guideline</w:t>
      </w:r>
      <w:r w:rsidRPr="00644489">
        <w:rPr>
          <w:sz w:val="20"/>
        </w:rPr>
        <w:t xml:space="preserve"> 5 and 6, CNEN is studying the development of safety requirements for SMRs to consider their characteristics in the regulatory framework and align with current practices. A three-stage work plan has been established for this purpose.</w:t>
      </w:r>
    </w:p>
    <w:p w14:paraId="1D3E4A47" w14:textId="7923416F" w:rsidR="000864CD" w:rsidRPr="00644489" w:rsidRDefault="000864CD" w:rsidP="000864CD">
      <w:pPr>
        <w:spacing w:line="260" w:lineRule="auto"/>
        <w:ind w:firstLine="567"/>
        <w:jc w:val="both"/>
        <w:rPr>
          <w:sz w:val="20"/>
        </w:rPr>
      </w:pPr>
      <w:r w:rsidRPr="00644489">
        <w:rPr>
          <w:sz w:val="20"/>
        </w:rPr>
        <w:lastRenderedPageBreak/>
        <w:t>Stage 1 has already started and focuses on building knowledge about the technologies and challenges of licensing and implementing SMR and advanced reactors. CNEN is following the knowledge trail presented by the IAEA, participating in international discussions with short and long-term objectives.</w:t>
      </w:r>
    </w:p>
    <w:p w14:paraId="1F8E49D3" w14:textId="4D19EE52" w:rsidR="00D95ED2" w:rsidRPr="00644489" w:rsidRDefault="000864CD" w:rsidP="000864CD">
      <w:pPr>
        <w:spacing w:line="260" w:lineRule="auto"/>
        <w:ind w:firstLine="567"/>
        <w:jc w:val="both"/>
        <w:rPr>
          <w:sz w:val="20"/>
        </w:rPr>
      </w:pPr>
      <w:r w:rsidRPr="00644489">
        <w:rPr>
          <w:sz w:val="20"/>
        </w:rPr>
        <w:t xml:space="preserve">Stage 2, apparently the most extensive, focuses on generating a new licensing model that addresses the new practice and that communicates with the global model of a regulatory review framework that includes </w:t>
      </w:r>
      <w:r w:rsidR="00D62705" w:rsidRPr="00644489">
        <w:rPr>
          <w:sz w:val="20"/>
        </w:rPr>
        <w:t>safety</w:t>
      </w:r>
      <w:r w:rsidRPr="00644489">
        <w:rPr>
          <w:sz w:val="20"/>
        </w:rPr>
        <w:t xml:space="preserve">, </w:t>
      </w:r>
      <w:r w:rsidR="00A57F9B" w:rsidRPr="00644489">
        <w:rPr>
          <w:sz w:val="20"/>
        </w:rPr>
        <w:t>security</w:t>
      </w:r>
      <w:r w:rsidRPr="00644489">
        <w:rPr>
          <w:sz w:val="20"/>
        </w:rPr>
        <w:t xml:space="preserve"> and safeguards</w:t>
      </w:r>
      <w:r w:rsidR="00A57F9B" w:rsidRPr="00644489">
        <w:rPr>
          <w:sz w:val="20"/>
        </w:rPr>
        <w:t xml:space="preserve"> by design</w:t>
      </w:r>
      <w:r w:rsidRPr="00644489">
        <w:rPr>
          <w:sz w:val="20"/>
        </w:rPr>
        <w:t>, in pre-licensing and that this does not conflict with the current bases.</w:t>
      </w:r>
    </w:p>
    <w:p w14:paraId="5A4F0A15" w14:textId="77777777" w:rsidR="000864CD" w:rsidRPr="00644489" w:rsidRDefault="000864CD" w:rsidP="000864CD">
      <w:pPr>
        <w:spacing w:line="260" w:lineRule="auto"/>
        <w:ind w:firstLine="567"/>
        <w:jc w:val="both"/>
        <w:rPr>
          <w:sz w:val="20"/>
        </w:rPr>
      </w:pPr>
      <w:r w:rsidRPr="00644489">
        <w:rPr>
          <w:sz w:val="20"/>
        </w:rPr>
        <w:t>Stage 3 is the implementation through the products of steps 1 and 2 in adapting the regulatory framework to receive new technologies, with the aim of maximizing the effectiveness of the regulatory review of the implementation of new reactor projects.</w:t>
      </w:r>
    </w:p>
    <w:p w14:paraId="25BE289A" w14:textId="77777777" w:rsidR="00A96447" w:rsidRPr="00644489" w:rsidRDefault="00A96447" w:rsidP="00A96447">
      <w:pPr>
        <w:pStyle w:val="Corpodetexto"/>
        <w:rPr>
          <w:lang w:val="en-US"/>
        </w:rPr>
      </w:pPr>
      <w:r w:rsidRPr="00644489">
        <w:rPr>
          <w:lang w:val="en-US"/>
        </w:rPr>
        <w:t xml:space="preserve">During Stage 1 development, the </w:t>
      </w:r>
      <w:proofErr w:type="gramStart"/>
      <w:r w:rsidRPr="00644489">
        <w:rPr>
          <w:lang w:val="en-US"/>
        </w:rPr>
        <w:t>main focus</w:t>
      </w:r>
      <w:proofErr w:type="gramEnd"/>
      <w:r w:rsidRPr="00644489">
        <w:rPr>
          <w:lang w:val="en-US"/>
        </w:rPr>
        <w:t xml:space="preserve"> was on education and training. </w:t>
      </w:r>
    </w:p>
    <w:p w14:paraId="56DB6F05" w14:textId="33DC4E8C" w:rsidR="00C811B6" w:rsidRPr="00644489" w:rsidRDefault="00A96447" w:rsidP="00A96447">
      <w:pPr>
        <w:pStyle w:val="Corpodetexto"/>
        <w:rPr>
          <w:lang w:val="en-US"/>
        </w:rPr>
      </w:pPr>
      <w:r w:rsidRPr="00644489">
        <w:rPr>
          <w:lang w:val="en-US"/>
        </w:rPr>
        <w:t>From 2022 to 2024, CNEN established a focus group in conjunction with the Research and Development Directorate and provided training to approximately 20 technicians. They were divided into specific areas as shown in Table 2.</w:t>
      </w:r>
    </w:p>
    <w:p w14:paraId="056F4044" w14:textId="77777777" w:rsidR="00A96447" w:rsidRPr="00150499" w:rsidRDefault="00A96447" w:rsidP="00C811B6">
      <w:pPr>
        <w:pStyle w:val="Corpodetexto"/>
        <w:ind w:firstLine="0"/>
        <w:rPr>
          <w:lang w:val="en-US"/>
        </w:rPr>
      </w:pPr>
    </w:p>
    <w:p w14:paraId="1FBFC193" w14:textId="09EAADDA" w:rsidR="001B0DCA" w:rsidRPr="00644489" w:rsidRDefault="00C811B6" w:rsidP="00A96447">
      <w:pPr>
        <w:pStyle w:val="Corpodetexto"/>
        <w:ind w:firstLine="0"/>
        <w:rPr>
          <w:lang w:val="pt-BR"/>
        </w:rPr>
      </w:pPr>
      <w:r w:rsidRPr="00644489">
        <w:rPr>
          <w:lang w:val="pt-BR"/>
        </w:rPr>
        <w:t>TABLE 2.</w:t>
      </w:r>
      <w:r w:rsidRPr="00644489">
        <w:rPr>
          <w:lang w:val="pt-BR"/>
        </w:rPr>
        <w:tab/>
      </w:r>
      <w:r w:rsidR="00A96447" w:rsidRPr="00644489">
        <w:rPr>
          <w:lang w:val="pt-BR"/>
        </w:rPr>
        <w:t>COMPETENCE TRAINING ACTIONS</w:t>
      </w: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57"/>
        <w:gridCol w:w="1134"/>
        <w:gridCol w:w="2693"/>
      </w:tblGrid>
      <w:tr w:rsidR="00644489" w:rsidRPr="00644489" w14:paraId="34728680" w14:textId="77777777" w:rsidTr="008013E9">
        <w:tc>
          <w:tcPr>
            <w:tcW w:w="4957" w:type="dxa"/>
            <w:vAlign w:val="center"/>
          </w:tcPr>
          <w:p w14:paraId="77B2AAE3" w14:textId="7355DFCD" w:rsidR="0095419C" w:rsidRPr="00644489" w:rsidRDefault="00770057" w:rsidP="008013E9">
            <w:pPr>
              <w:spacing w:line="260" w:lineRule="auto"/>
              <w:rPr>
                <w:sz w:val="20"/>
                <w:lang w:val="pt-BR"/>
              </w:rPr>
            </w:pPr>
            <w:r w:rsidRPr="00644489">
              <w:rPr>
                <w:sz w:val="20"/>
                <w:lang w:val="pt-BR"/>
              </w:rPr>
              <w:t>A</w:t>
            </w:r>
            <w:r w:rsidR="0095419C" w:rsidRPr="00644489">
              <w:rPr>
                <w:sz w:val="20"/>
                <w:lang w:val="pt-BR"/>
              </w:rPr>
              <w:t xml:space="preserve">rea </w:t>
            </w:r>
          </w:p>
        </w:tc>
        <w:tc>
          <w:tcPr>
            <w:tcW w:w="1134" w:type="dxa"/>
          </w:tcPr>
          <w:p w14:paraId="1C52BDAE" w14:textId="764A6B25" w:rsidR="0095419C" w:rsidRPr="00644489" w:rsidRDefault="00770057" w:rsidP="0095419C">
            <w:pPr>
              <w:spacing w:line="260" w:lineRule="auto"/>
              <w:jc w:val="center"/>
              <w:rPr>
                <w:sz w:val="20"/>
                <w:lang w:val="pt-BR"/>
              </w:rPr>
            </w:pPr>
            <w:proofErr w:type="spellStart"/>
            <w:r w:rsidRPr="00644489">
              <w:rPr>
                <w:sz w:val="20"/>
                <w:lang w:val="pt-BR"/>
              </w:rPr>
              <w:t>Number</w:t>
            </w:r>
            <w:proofErr w:type="spellEnd"/>
            <w:r w:rsidRPr="00644489">
              <w:rPr>
                <w:sz w:val="20"/>
                <w:lang w:val="pt-BR"/>
              </w:rPr>
              <w:t xml:space="preserve"> </w:t>
            </w:r>
            <w:proofErr w:type="spellStart"/>
            <w:r w:rsidRPr="00644489">
              <w:rPr>
                <w:sz w:val="20"/>
                <w:lang w:val="pt-BR"/>
              </w:rPr>
              <w:t>of</w:t>
            </w:r>
            <w:proofErr w:type="spellEnd"/>
            <w:r w:rsidRPr="00644489">
              <w:rPr>
                <w:sz w:val="20"/>
                <w:lang w:val="pt-BR"/>
              </w:rPr>
              <w:t xml:space="preserve"> trainings</w:t>
            </w:r>
          </w:p>
        </w:tc>
        <w:tc>
          <w:tcPr>
            <w:tcW w:w="2693" w:type="dxa"/>
          </w:tcPr>
          <w:p w14:paraId="2D436F63" w14:textId="1643954E" w:rsidR="0095419C" w:rsidRPr="00644489" w:rsidRDefault="00770057" w:rsidP="0095419C">
            <w:pPr>
              <w:spacing w:line="260" w:lineRule="auto"/>
              <w:jc w:val="center"/>
              <w:rPr>
                <w:sz w:val="20"/>
                <w:lang w:val="en-US"/>
              </w:rPr>
            </w:pPr>
            <w:r w:rsidRPr="00644489">
              <w:rPr>
                <w:sz w:val="20"/>
                <w:lang w:val="en-US"/>
              </w:rPr>
              <w:t>Number of personnel undergoing training</w:t>
            </w:r>
          </w:p>
        </w:tc>
      </w:tr>
      <w:tr w:rsidR="00644489" w:rsidRPr="00644489" w14:paraId="3BB0F327" w14:textId="77777777" w:rsidTr="0095419C">
        <w:tc>
          <w:tcPr>
            <w:tcW w:w="4957" w:type="dxa"/>
          </w:tcPr>
          <w:p w14:paraId="289EA93A" w14:textId="2D8DF6E2" w:rsidR="0095419C" w:rsidRPr="00644489" w:rsidRDefault="00770057" w:rsidP="000864CD">
            <w:pPr>
              <w:spacing w:line="260" w:lineRule="auto"/>
              <w:jc w:val="both"/>
              <w:rPr>
                <w:sz w:val="20"/>
                <w:lang w:val="pt-BR"/>
              </w:rPr>
            </w:pPr>
            <w:proofErr w:type="spellStart"/>
            <w:r w:rsidRPr="00644489">
              <w:rPr>
                <w:sz w:val="20"/>
                <w:lang w:val="pt-BR"/>
              </w:rPr>
              <w:t>Safety</w:t>
            </w:r>
            <w:proofErr w:type="spellEnd"/>
            <w:r w:rsidRPr="00644489">
              <w:rPr>
                <w:sz w:val="20"/>
                <w:lang w:val="pt-BR"/>
              </w:rPr>
              <w:t xml:space="preserve"> Assessment </w:t>
            </w:r>
            <w:proofErr w:type="spellStart"/>
            <w:r w:rsidRPr="00644489">
              <w:rPr>
                <w:sz w:val="20"/>
                <w:lang w:val="pt-BR"/>
              </w:rPr>
              <w:t>and</w:t>
            </w:r>
            <w:proofErr w:type="spellEnd"/>
            <w:r w:rsidRPr="00644489">
              <w:rPr>
                <w:sz w:val="20"/>
                <w:lang w:val="pt-BR"/>
              </w:rPr>
              <w:t xml:space="preserve"> </w:t>
            </w:r>
            <w:proofErr w:type="spellStart"/>
            <w:r w:rsidRPr="00644489">
              <w:rPr>
                <w:sz w:val="20"/>
                <w:lang w:val="pt-BR"/>
              </w:rPr>
              <w:t>Licensing</w:t>
            </w:r>
            <w:proofErr w:type="spellEnd"/>
          </w:p>
        </w:tc>
        <w:tc>
          <w:tcPr>
            <w:tcW w:w="1134" w:type="dxa"/>
          </w:tcPr>
          <w:p w14:paraId="69CEEFE8" w14:textId="0EDFF470" w:rsidR="0095419C" w:rsidRPr="00644489" w:rsidRDefault="0095419C" w:rsidP="0095419C">
            <w:pPr>
              <w:spacing w:line="260" w:lineRule="auto"/>
              <w:jc w:val="center"/>
              <w:rPr>
                <w:sz w:val="20"/>
                <w:lang w:val="pt-BR"/>
              </w:rPr>
            </w:pPr>
            <w:r w:rsidRPr="00644489">
              <w:rPr>
                <w:sz w:val="20"/>
                <w:lang w:val="pt-BR"/>
              </w:rPr>
              <w:t>3</w:t>
            </w:r>
          </w:p>
        </w:tc>
        <w:tc>
          <w:tcPr>
            <w:tcW w:w="2693" w:type="dxa"/>
          </w:tcPr>
          <w:p w14:paraId="42D68F51" w14:textId="28DD0EA8" w:rsidR="0095419C" w:rsidRPr="00644489" w:rsidRDefault="0095419C" w:rsidP="0095419C">
            <w:pPr>
              <w:spacing w:line="260" w:lineRule="auto"/>
              <w:jc w:val="center"/>
              <w:rPr>
                <w:sz w:val="20"/>
                <w:lang w:val="pt-BR"/>
              </w:rPr>
            </w:pPr>
            <w:r w:rsidRPr="00644489">
              <w:rPr>
                <w:sz w:val="20"/>
                <w:lang w:val="pt-BR"/>
              </w:rPr>
              <w:t>2</w:t>
            </w:r>
          </w:p>
        </w:tc>
      </w:tr>
      <w:tr w:rsidR="00644489" w:rsidRPr="00644489" w14:paraId="329D3DF6" w14:textId="77777777" w:rsidTr="0095419C">
        <w:tc>
          <w:tcPr>
            <w:tcW w:w="4957" w:type="dxa"/>
          </w:tcPr>
          <w:p w14:paraId="0E6CEAEC" w14:textId="5B0981DB" w:rsidR="0095419C" w:rsidRPr="00644489" w:rsidRDefault="00770057" w:rsidP="000864CD">
            <w:pPr>
              <w:spacing w:line="260" w:lineRule="auto"/>
              <w:jc w:val="both"/>
              <w:rPr>
                <w:sz w:val="20"/>
                <w:lang w:val="pt-BR"/>
              </w:rPr>
            </w:pPr>
            <w:proofErr w:type="spellStart"/>
            <w:r w:rsidRPr="00644489">
              <w:rPr>
                <w:sz w:val="20"/>
                <w:lang w:val="pt-BR"/>
              </w:rPr>
              <w:t>Regulatory</w:t>
            </w:r>
            <w:proofErr w:type="spellEnd"/>
            <w:r w:rsidRPr="00644489">
              <w:rPr>
                <w:sz w:val="20"/>
                <w:lang w:val="pt-BR"/>
              </w:rPr>
              <w:t xml:space="preserve"> </w:t>
            </w:r>
            <w:proofErr w:type="spellStart"/>
            <w:r w:rsidRPr="00644489">
              <w:rPr>
                <w:sz w:val="20"/>
                <w:lang w:val="pt-BR"/>
              </w:rPr>
              <w:t>Challenges</w:t>
            </w:r>
            <w:proofErr w:type="spellEnd"/>
          </w:p>
        </w:tc>
        <w:tc>
          <w:tcPr>
            <w:tcW w:w="1134" w:type="dxa"/>
          </w:tcPr>
          <w:p w14:paraId="037D2BB7" w14:textId="3C34302E" w:rsidR="0095419C" w:rsidRPr="00644489" w:rsidRDefault="0095419C" w:rsidP="0095419C">
            <w:pPr>
              <w:spacing w:line="260" w:lineRule="auto"/>
              <w:jc w:val="center"/>
              <w:rPr>
                <w:sz w:val="20"/>
                <w:lang w:val="pt-BR"/>
              </w:rPr>
            </w:pPr>
            <w:r w:rsidRPr="00644489">
              <w:rPr>
                <w:sz w:val="20"/>
                <w:lang w:val="pt-BR"/>
              </w:rPr>
              <w:t>1</w:t>
            </w:r>
          </w:p>
        </w:tc>
        <w:tc>
          <w:tcPr>
            <w:tcW w:w="2693" w:type="dxa"/>
          </w:tcPr>
          <w:p w14:paraId="7402C5FF" w14:textId="43881634" w:rsidR="0095419C" w:rsidRPr="00644489" w:rsidRDefault="0095419C" w:rsidP="0095419C">
            <w:pPr>
              <w:spacing w:line="260" w:lineRule="auto"/>
              <w:jc w:val="center"/>
              <w:rPr>
                <w:sz w:val="20"/>
                <w:lang w:val="pt-BR"/>
              </w:rPr>
            </w:pPr>
            <w:r w:rsidRPr="00644489">
              <w:rPr>
                <w:sz w:val="20"/>
                <w:lang w:val="pt-BR"/>
              </w:rPr>
              <w:t>1</w:t>
            </w:r>
          </w:p>
        </w:tc>
      </w:tr>
      <w:tr w:rsidR="00644489" w:rsidRPr="00644489" w14:paraId="7E58F146" w14:textId="77777777" w:rsidTr="0095419C">
        <w:tc>
          <w:tcPr>
            <w:tcW w:w="4957" w:type="dxa"/>
          </w:tcPr>
          <w:p w14:paraId="555ED172" w14:textId="2C7494B5" w:rsidR="0095419C" w:rsidRPr="00644489" w:rsidRDefault="00770057" w:rsidP="0095419C">
            <w:pPr>
              <w:spacing w:line="260" w:lineRule="auto"/>
              <w:jc w:val="both"/>
              <w:rPr>
                <w:sz w:val="20"/>
                <w:lang w:val="pt-BR"/>
              </w:rPr>
            </w:pPr>
            <w:proofErr w:type="spellStart"/>
            <w:r w:rsidRPr="00644489">
              <w:rPr>
                <w:sz w:val="20"/>
                <w:lang w:val="pt-BR"/>
              </w:rPr>
              <w:t>Infrastructure</w:t>
            </w:r>
            <w:proofErr w:type="spellEnd"/>
            <w:r w:rsidRPr="00644489">
              <w:rPr>
                <w:sz w:val="20"/>
                <w:lang w:val="pt-BR"/>
              </w:rPr>
              <w:t xml:space="preserve"> </w:t>
            </w:r>
            <w:proofErr w:type="spellStart"/>
            <w:r w:rsidRPr="00644489">
              <w:rPr>
                <w:sz w:val="20"/>
                <w:lang w:val="pt-BR"/>
              </w:rPr>
              <w:t>and</w:t>
            </w:r>
            <w:proofErr w:type="spellEnd"/>
            <w:r w:rsidRPr="00644489">
              <w:rPr>
                <w:sz w:val="20"/>
                <w:lang w:val="pt-BR"/>
              </w:rPr>
              <w:t xml:space="preserve"> skills training</w:t>
            </w:r>
          </w:p>
        </w:tc>
        <w:tc>
          <w:tcPr>
            <w:tcW w:w="1134" w:type="dxa"/>
          </w:tcPr>
          <w:p w14:paraId="3195DC67" w14:textId="39293286" w:rsidR="0095419C" w:rsidRPr="00644489" w:rsidRDefault="0095419C" w:rsidP="0095419C">
            <w:pPr>
              <w:spacing w:line="260" w:lineRule="auto"/>
              <w:jc w:val="center"/>
              <w:rPr>
                <w:sz w:val="20"/>
                <w:lang w:val="pt-BR"/>
              </w:rPr>
            </w:pPr>
            <w:r w:rsidRPr="00644489">
              <w:rPr>
                <w:sz w:val="20"/>
                <w:lang w:val="pt-BR"/>
              </w:rPr>
              <w:t>2</w:t>
            </w:r>
          </w:p>
        </w:tc>
        <w:tc>
          <w:tcPr>
            <w:tcW w:w="2693" w:type="dxa"/>
          </w:tcPr>
          <w:p w14:paraId="5D353B06" w14:textId="56C89431" w:rsidR="0095419C" w:rsidRPr="00644489" w:rsidRDefault="0095419C" w:rsidP="0095419C">
            <w:pPr>
              <w:spacing w:line="260" w:lineRule="auto"/>
              <w:jc w:val="center"/>
              <w:rPr>
                <w:sz w:val="20"/>
                <w:lang w:val="pt-BR"/>
              </w:rPr>
            </w:pPr>
            <w:r w:rsidRPr="00644489">
              <w:rPr>
                <w:sz w:val="20"/>
                <w:lang w:val="pt-BR"/>
              </w:rPr>
              <w:t>2</w:t>
            </w:r>
          </w:p>
        </w:tc>
      </w:tr>
      <w:tr w:rsidR="00644489" w:rsidRPr="00644489" w14:paraId="34C03D2D" w14:textId="77777777" w:rsidTr="0095419C">
        <w:tc>
          <w:tcPr>
            <w:tcW w:w="4957" w:type="dxa"/>
          </w:tcPr>
          <w:p w14:paraId="352CF581" w14:textId="4B069CB3" w:rsidR="0095419C" w:rsidRPr="00644489" w:rsidRDefault="00770057" w:rsidP="0095419C">
            <w:pPr>
              <w:spacing w:line="260" w:lineRule="auto"/>
              <w:jc w:val="both"/>
              <w:rPr>
                <w:sz w:val="20"/>
                <w:lang w:val="pt-BR"/>
              </w:rPr>
            </w:pPr>
            <w:proofErr w:type="spellStart"/>
            <w:r w:rsidRPr="00644489">
              <w:rPr>
                <w:sz w:val="20"/>
                <w:lang w:val="pt-BR"/>
              </w:rPr>
              <w:t>Safety</w:t>
            </w:r>
            <w:proofErr w:type="spellEnd"/>
            <w:r w:rsidRPr="00644489">
              <w:rPr>
                <w:sz w:val="20"/>
                <w:lang w:val="pt-BR"/>
              </w:rPr>
              <w:t xml:space="preserve"> </w:t>
            </w:r>
            <w:proofErr w:type="spellStart"/>
            <w:r w:rsidRPr="00644489">
              <w:rPr>
                <w:sz w:val="20"/>
                <w:lang w:val="pt-BR"/>
              </w:rPr>
              <w:t>aspects</w:t>
            </w:r>
            <w:proofErr w:type="spellEnd"/>
          </w:p>
        </w:tc>
        <w:tc>
          <w:tcPr>
            <w:tcW w:w="1134" w:type="dxa"/>
          </w:tcPr>
          <w:p w14:paraId="18D31F12" w14:textId="4304CB0C" w:rsidR="0095419C" w:rsidRPr="00644489" w:rsidRDefault="0095419C" w:rsidP="0095419C">
            <w:pPr>
              <w:spacing w:line="260" w:lineRule="auto"/>
              <w:jc w:val="center"/>
              <w:rPr>
                <w:sz w:val="20"/>
                <w:lang w:val="pt-BR"/>
              </w:rPr>
            </w:pPr>
            <w:r w:rsidRPr="00644489">
              <w:rPr>
                <w:sz w:val="20"/>
                <w:lang w:val="pt-BR"/>
              </w:rPr>
              <w:t>1</w:t>
            </w:r>
          </w:p>
        </w:tc>
        <w:tc>
          <w:tcPr>
            <w:tcW w:w="2693" w:type="dxa"/>
          </w:tcPr>
          <w:p w14:paraId="765BBAC5" w14:textId="67EA0AB1" w:rsidR="0095419C" w:rsidRPr="00644489" w:rsidRDefault="0095419C" w:rsidP="0095419C">
            <w:pPr>
              <w:spacing w:line="260" w:lineRule="auto"/>
              <w:jc w:val="center"/>
              <w:rPr>
                <w:sz w:val="20"/>
                <w:lang w:val="pt-BR"/>
              </w:rPr>
            </w:pPr>
            <w:r w:rsidRPr="00644489">
              <w:rPr>
                <w:sz w:val="20"/>
                <w:lang w:val="pt-BR"/>
              </w:rPr>
              <w:t>1</w:t>
            </w:r>
          </w:p>
        </w:tc>
      </w:tr>
      <w:tr w:rsidR="00644489" w:rsidRPr="00644489" w14:paraId="4486A06A" w14:textId="77777777" w:rsidTr="0095419C">
        <w:tc>
          <w:tcPr>
            <w:tcW w:w="4957" w:type="dxa"/>
          </w:tcPr>
          <w:p w14:paraId="4DF7C89B" w14:textId="597E3EC4" w:rsidR="0095419C" w:rsidRPr="00644489" w:rsidRDefault="00770057" w:rsidP="0095419C">
            <w:pPr>
              <w:spacing w:line="260" w:lineRule="auto"/>
              <w:jc w:val="both"/>
              <w:rPr>
                <w:sz w:val="20"/>
                <w:lang w:val="pt-BR"/>
              </w:rPr>
            </w:pPr>
            <w:proofErr w:type="spellStart"/>
            <w:r w:rsidRPr="00644489">
              <w:rPr>
                <w:sz w:val="20"/>
                <w:lang w:val="pt-BR"/>
              </w:rPr>
              <w:t>Fuel</w:t>
            </w:r>
            <w:proofErr w:type="spellEnd"/>
            <w:r w:rsidRPr="00644489">
              <w:rPr>
                <w:sz w:val="20"/>
                <w:lang w:val="pt-BR"/>
              </w:rPr>
              <w:t xml:space="preserve"> Manufacturing</w:t>
            </w:r>
          </w:p>
        </w:tc>
        <w:tc>
          <w:tcPr>
            <w:tcW w:w="1134" w:type="dxa"/>
          </w:tcPr>
          <w:p w14:paraId="35D7B34F" w14:textId="29EE6965" w:rsidR="0095419C" w:rsidRPr="00644489" w:rsidRDefault="0095419C" w:rsidP="0095419C">
            <w:pPr>
              <w:spacing w:line="260" w:lineRule="auto"/>
              <w:jc w:val="center"/>
              <w:rPr>
                <w:sz w:val="20"/>
                <w:lang w:val="pt-BR"/>
              </w:rPr>
            </w:pPr>
            <w:r w:rsidRPr="00644489">
              <w:rPr>
                <w:sz w:val="20"/>
                <w:lang w:val="pt-BR"/>
              </w:rPr>
              <w:t>1</w:t>
            </w:r>
          </w:p>
        </w:tc>
        <w:tc>
          <w:tcPr>
            <w:tcW w:w="2693" w:type="dxa"/>
          </w:tcPr>
          <w:p w14:paraId="2F069EBD" w14:textId="18A921EA" w:rsidR="0095419C" w:rsidRPr="00644489" w:rsidRDefault="0095419C" w:rsidP="0095419C">
            <w:pPr>
              <w:spacing w:line="260" w:lineRule="auto"/>
              <w:jc w:val="center"/>
              <w:rPr>
                <w:sz w:val="20"/>
                <w:lang w:val="pt-BR"/>
              </w:rPr>
            </w:pPr>
            <w:r w:rsidRPr="00644489">
              <w:rPr>
                <w:sz w:val="20"/>
                <w:lang w:val="pt-BR"/>
              </w:rPr>
              <w:t>1</w:t>
            </w:r>
          </w:p>
        </w:tc>
      </w:tr>
      <w:tr w:rsidR="00644489" w:rsidRPr="00644489" w14:paraId="38C92473" w14:textId="77777777" w:rsidTr="0095419C">
        <w:tc>
          <w:tcPr>
            <w:tcW w:w="4957" w:type="dxa"/>
          </w:tcPr>
          <w:p w14:paraId="538BA5DA" w14:textId="41F144A1" w:rsidR="0095419C" w:rsidRPr="00644489" w:rsidRDefault="00770057" w:rsidP="0095419C">
            <w:pPr>
              <w:spacing w:line="260" w:lineRule="auto"/>
              <w:jc w:val="both"/>
              <w:rPr>
                <w:sz w:val="20"/>
                <w:lang w:val="pt-BR"/>
              </w:rPr>
            </w:pPr>
            <w:proofErr w:type="spellStart"/>
            <w:r w:rsidRPr="00644489">
              <w:rPr>
                <w:sz w:val="20"/>
                <w:lang w:val="pt-BR"/>
              </w:rPr>
              <w:t>Technical</w:t>
            </w:r>
            <w:proofErr w:type="spellEnd"/>
            <w:r w:rsidRPr="00644489">
              <w:rPr>
                <w:sz w:val="20"/>
                <w:lang w:val="pt-BR"/>
              </w:rPr>
              <w:t xml:space="preserve"> </w:t>
            </w:r>
            <w:proofErr w:type="spellStart"/>
            <w:r w:rsidRPr="00644489">
              <w:rPr>
                <w:sz w:val="20"/>
                <w:lang w:val="pt-BR"/>
              </w:rPr>
              <w:t>and</w:t>
            </w:r>
            <w:proofErr w:type="spellEnd"/>
            <w:r w:rsidRPr="00644489">
              <w:rPr>
                <w:sz w:val="20"/>
                <w:lang w:val="pt-BR"/>
              </w:rPr>
              <w:t xml:space="preserve"> legal </w:t>
            </w:r>
            <w:proofErr w:type="spellStart"/>
            <w:r w:rsidRPr="00644489">
              <w:rPr>
                <w:sz w:val="20"/>
                <w:lang w:val="pt-BR"/>
              </w:rPr>
              <w:t>aspects</w:t>
            </w:r>
            <w:proofErr w:type="spellEnd"/>
          </w:p>
        </w:tc>
        <w:tc>
          <w:tcPr>
            <w:tcW w:w="1134" w:type="dxa"/>
          </w:tcPr>
          <w:p w14:paraId="2F6682D9" w14:textId="3A4E1FF5" w:rsidR="0095419C" w:rsidRPr="00644489" w:rsidRDefault="0095419C" w:rsidP="0095419C">
            <w:pPr>
              <w:spacing w:line="260" w:lineRule="auto"/>
              <w:jc w:val="center"/>
              <w:rPr>
                <w:sz w:val="20"/>
                <w:lang w:val="pt-BR"/>
              </w:rPr>
            </w:pPr>
            <w:r w:rsidRPr="00644489">
              <w:rPr>
                <w:sz w:val="20"/>
                <w:lang w:val="pt-BR"/>
              </w:rPr>
              <w:t>2</w:t>
            </w:r>
          </w:p>
        </w:tc>
        <w:tc>
          <w:tcPr>
            <w:tcW w:w="2693" w:type="dxa"/>
          </w:tcPr>
          <w:p w14:paraId="0AB692D5" w14:textId="2B86B9EB" w:rsidR="0095419C" w:rsidRPr="00644489" w:rsidRDefault="0095419C" w:rsidP="0095419C">
            <w:pPr>
              <w:spacing w:line="260" w:lineRule="auto"/>
              <w:jc w:val="center"/>
              <w:rPr>
                <w:sz w:val="20"/>
                <w:lang w:val="pt-BR"/>
              </w:rPr>
            </w:pPr>
            <w:r w:rsidRPr="00644489">
              <w:rPr>
                <w:sz w:val="20"/>
                <w:lang w:val="pt-BR"/>
              </w:rPr>
              <w:t>2</w:t>
            </w:r>
          </w:p>
        </w:tc>
      </w:tr>
      <w:tr w:rsidR="00644489" w:rsidRPr="00644489" w14:paraId="66A5C44F" w14:textId="77777777" w:rsidTr="0095419C">
        <w:tc>
          <w:tcPr>
            <w:tcW w:w="4957" w:type="dxa"/>
          </w:tcPr>
          <w:p w14:paraId="5BCA872A" w14:textId="58B531F7" w:rsidR="0095419C" w:rsidRPr="00644489" w:rsidRDefault="00770057" w:rsidP="0010354A">
            <w:pPr>
              <w:spacing w:line="260" w:lineRule="auto"/>
              <w:jc w:val="both"/>
              <w:rPr>
                <w:sz w:val="20"/>
                <w:lang w:val="pt-BR"/>
              </w:rPr>
            </w:pPr>
            <w:r w:rsidRPr="00644489">
              <w:rPr>
                <w:sz w:val="20"/>
                <w:lang w:val="pt-BR"/>
              </w:rPr>
              <w:t xml:space="preserve">3 S per </w:t>
            </w:r>
            <w:proofErr w:type="spellStart"/>
            <w:r w:rsidRPr="00644489">
              <w:rPr>
                <w:sz w:val="20"/>
                <w:lang w:val="pt-BR"/>
              </w:rPr>
              <w:t>project</w:t>
            </w:r>
            <w:proofErr w:type="spellEnd"/>
          </w:p>
        </w:tc>
        <w:tc>
          <w:tcPr>
            <w:tcW w:w="1134" w:type="dxa"/>
          </w:tcPr>
          <w:p w14:paraId="03B03618" w14:textId="2EF9DC14" w:rsidR="0095419C" w:rsidRPr="00644489" w:rsidRDefault="0095419C" w:rsidP="0095419C">
            <w:pPr>
              <w:spacing w:line="260" w:lineRule="auto"/>
              <w:jc w:val="center"/>
              <w:rPr>
                <w:sz w:val="20"/>
                <w:lang w:val="pt-BR"/>
              </w:rPr>
            </w:pPr>
            <w:r w:rsidRPr="00644489">
              <w:rPr>
                <w:sz w:val="20"/>
                <w:lang w:val="pt-BR"/>
              </w:rPr>
              <w:t>1</w:t>
            </w:r>
          </w:p>
        </w:tc>
        <w:tc>
          <w:tcPr>
            <w:tcW w:w="2693" w:type="dxa"/>
          </w:tcPr>
          <w:p w14:paraId="1A17F669" w14:textId="427CBD16" w:rsidR="0095419C" w:rsidRPr="00644489" w:rsidRDefault="0095419C" w:rsidP="0095419C">
            <w:pPr>
              <w:spacing w:line="260" w:lineRule="auto"/>
              <w:jc w:val="center"/>
              <w:rPr>
                <w:sz w:val="20"/>
                <w:lang w:val="pt-BR"/>
              </w:rPr>
            </w:pPr>
            <w:r w:rsidRPr="00644489">
              <w:rPr>
                <w:sz w:val="20"/>
                <w:lang w:val="pt-BR"/>
              </w:rPr>
              <w:t>5</w:t>
            </w:r>
          </w:p>
        </w:tc>
      </w:tr>
      <w:tr w:rsidR="0095419C" w:rsidRPr="00644489" w14:paraId="6E6EF4D0" w14:textId="77777777" w:rsidTr="0095419C">
        <w:tc>
          <w:tcPr>
            <w:tcW w:w="4957" w:type="dxa"/>
          </w:tcPr>
          <w:p w14:paraId="69052CC1" w14:textId="486AF62E" w:rsidR="0095419C" w:rsidRPr="00644489" w:rsidRDefault="00770057" w:rsidP="0010354A">
            <w:pPr>
              <w:spacing w:line="260" w:lineRule="auto"/>
              <w:jc w:val="both"/>
              <w:rPr>
                <w:sz w:val="20"/>
                <w:lang w:val="en-US"/>
              </w:rPr>
            </w:pPr>
            <w:r w:rsidRPr="00644489">
              <w:rPr>
                <w:sz w:val="20"/>
                <w:lang w:val="en-US"/>
              </w:rPr>
              <w:t>Instrumentation and Control and Computer Security</w:t>
            </w:r>
          </w:p>
        </w:tc>
        <w:tc>
          <w:tcPr>
            <w:tcW w:w="1134" w:type="dxa"/>
          </w:tcPr>
          <w:p w14:paraId="0692D37D" w14:textId="68B5FEF1" w:rsidR="0095419C" w:rsidRPr="00644489" w:rsidRDefault="0095419C" w:rsidP="0095419C">
            <w:pPr>
              <w:spacing w:line="260" w:lineRule="auto"/>
              <w:jc w:val="center"/>
              <w:rPr>
                <w:sz w:val="20"/>
                <w:lang w:val="pt-BR"/>
              </w:rPr>
            </w:pPr>
            <w:r w:rsidRPr="00644489">
              <w:rPr>
                <w:sz w:val="20"/>
                <w:lang w:val="pt-BR"/>
              </w:rPr>
              <w:t>1</w:t>
            </w:r>
          </w:p>
        </w:tc>
        <w:tc>
          <w:tcPr>
            <w:tcW w:w="2693" w:type="dxa"/>
          </w:tcPr>
          <w:p w14:paraId="49C8210D" w14:textId="29026029" w:rsidR="0095419C" w:rsidRPr="00644489" w:rsidRDefault="0095419C" w:rsidP="0095419C">
            <w:pPr>
              <w:spacing w:line="260" w:lineRule="auto"/>
              <w:jc w:val="center"/>
              <w:rPr>
                <w:sz w:val="20"/>
                <w:lang w:val="pt-BR"/>
              </w:rPr>
            </w:pPr>
            <w:r w:rsidRPr="00644489">
              <w:rPr>
                <w:sz w:val="20"/>
                <w:lang w:val="pt-BR"/>
              </w:rPr>
              <w:t>1</w:t>
            </w:r>
          </w:p>
        </w:tc>
      </w:tr>
    </w:tbl>
    <w:p w14:paraId="016279BC" w14:textId="77777777" w:rsidR="001E76C8" w:rsidRPr="00644489" w:rsidRDefault="001E76C8" w:rsidP="000864CD">
      <w:pPr>
        <w:spacing w:line="260" w:lineRule="auto"/>
        <w:ind w:firstLine="567"/>
        <w:jc w:val="both"/>
        <w:rPr>
          <w:sz w:val="20"/>
          <w:lang w:val="pt-BR"/>
        </w:rPr>
      </w:pPr>
    </w:p>
    <w:p w14:paraId="3EB49321" w14:textId="6C418661" w:rsidR="003B6513" w:rsidRPr="00150499" w:rsidRDefault="003B6513" w:rsidP="00581C77">
      <w:pPr>
        <w:spacing w:line="260" w:lineRule="auto"/>
        <w:ind w:firstLine="567"/>
        <w:jc w:val="both"/>
        <w:rPr>
          <w:sz w:val="20"/>
          <w:lang w:val="en-US"/>
        </w:rPr>
      </w:pPr>
      <w:r w:rsidRPr="00644489">
        <w:rPr>
          <w:sz w:val="20"/>
          <w:lang w:val="en-US"/>
        </w:rPr>
        <w:t>The current licensing process conducted by CNEN does not adequately address certain aspects such as: (</w:t>
      </w:r>
      <w:proofErr w:type="spellStart"/>
      <w:r w:rsidRPr="00644489">
        <w:rPr>
          <w:sz w:val="20"/>
          <w:lang w:val="en-US"/>
        </w:rPr>
        <w:t>i</w:t>
      </w:r>
      <w:proofErr w:type="spellEnd"/>
      <w:r w:rsidRPr="00644489">
        <w:rPr>
          <w:sz w:val="20"/>
          <w:lang w:val="en-US"/>
        </w:rPr>
        <w:t xml:space="preserve">) outsourcing of activities, (ii) modular design approach, (iii) strong decentralization of design and safety analysis activities, (iv) total capacity over time, (v) off-site construction and commissioning, (vi) loading with fuel at the manufacturer, and (vii) transportation of loaded reactors. </w:t>
      </w:r>
      <w:r w:rsidRPr="00150499">
        <w:rPr>
          <w:sz w:val="20"/>
          <w:lang w:val="en-US"/>
        </w:rPr>
        <w:t>These are all integral parts of the potential SMR's life cycle.</w:t>
      </w:r>
    </w:p>
    <w:p w14:paraId="3FD92CB9" w14:textId="27B29888" w:rsidR="003B6513" w:rsidRPr="00644489" w:rsidRDefault="003B6513" w:rsidP="00924FDE">
      <w:pPr>
        <w:spacing w:line="260" w:lineRule="auto"/>
        <w:ind w:firstLine="567"/>
        <w:jc w:val="both"/>
        <w:rPr>
          <w:sz w:val="20"/>
          <w:lang w:val="en-US"/>
        </w:rPr>
      </w:pPr>
      <w:r w:rsidRPr="00644489">
        <w:rPr>
          <w:sz w:val="20"/>
          <w:lang w:val="en-US"/>
        </w:rPr>
        <w:t xml:space="preserve">To address </w:t>
      </w:r>
      <w:proofErr w:type="gramStart"/>
      <w:r w:rsidRPr="00644489">
        <w:rPr>
          <w:sz w:val="20"/>
          <w:lang w:val="en-US"/>
        </w:rPr>
        <w:t>the majority of</w:t>
      </w:r>
      <w:proofErr w:type="gramEnd"/>
      <w:r w:rsidRPr="00644489">
        <w:rPr>
          <w:sz w:val="20"/>
          <w:lang w:val="en-US"/>
        </w:rPr>
        <w:t xml:space="preserve"> these issues in a new licensing process, it will often be necessary to modify the legal framework. These modifications are part of the discussions </w:t>
      </w:r>
      <w:r w:rsidR="00B57AF6" w:rsidRPr="00644489">
        <w:rPr>
          <w:sz w:val="20"/>
          <w:lang w:val="en-US"/>
        </w:rPr>
        <w:t>within the guidelines under the responsibility of</w:t>
      </w:r>
      <w:r w:rsidRPr="00644489">
        <w:rPr>
          <w:sz w:val="20"/>
          <w:lang w:val="en-US"/>
        </w:rPr>
        <w:t xml:space="preserve"> the Ministry of Mines and Energy.</w:t>
      </w:r>
    </w:p>
    <w:p w14:paraId="56BF76E6" w14:textId="6041E167" w:rsidR="003F2CF4" w:rsidRPr="00644489" w:rsidRDefault="00B57AF6" w:rsidP="000864CD">
      <w:pPr>
        <w:spacing w:line="260" w:lineRule="auto"/>
        <w:ind w:firstLine="567"/>
        <w:jc w:val="both"/>
        <w:rPr>
          <w:sz w:val="20"/>
          <w:lang w:val="en-US"/>
        </w:rPr>
      </w:pPr>
      <w:r w:rsidRPr="00644489">
        <w:rPr>
          <w:sz w:val="20"/>
          <w:lang w:val="en-US"/>
        </w:rPr>
        <w:t>Other issues such as the certification of the project in modules, incremental licensing, the licensing approach in terms of safety analysis, and its coupling to the various modules are the scope of the discussions on the CNEN guidelines</w:t>
      </w:r>
      <w:r w:rsidRPr="00E6739C">
        <w:rPr>
          <w:sz w:val="20"/>
          <w:lang w:val="en-US"/>
        </w:rPr>
        <w:t xml:space="preserve">, </w:t>
      </w:r>
      <w:r w:rsidR="003B4AD1" w:rsidRPr="00E6739C">
        <w:rPr>
          <w:sz w:val="20"/>
          <w:lang w:val="en-US"/>
        </w:rPr>
        <w:t xml:space="preserve">more specifically in the </w:t>
      </w:r>
      <w:r w:rsidRPr="00E6739C">
        <w:rPr>
          <w:sz w:val="20"/>
          <w:lang w:val="en-US"/>
        </w:rPr>
        <w:t xml:space="preserve">guidelines </w:t>
      </w:r>
      <w:r w:rsidRPr="00644489">
        <w:rPr>
          <w:sz w:val="20"/>
          <w:lang w:val="en-US"/>
        </w:rPr>
        <w:t>5 and 6, which have been guiding the development of stage 2.</w:t>
      </w:r>
    </w:p>
    <w:p w14:paraId="4828025C" w14:textId="3E9BB86F" w:rsidR="008C2993" w:rsidRPr="00644489" w:rsidRDefault="00B57AF6" w:rsidP="004051C3">
      <w:pPr>
        <w:spacing w:line="260" w:lineRule="auto"/>
        <w:ind w:firstLine="567"/>
        <w:jc w:val="both"/>
        <w:rPr>
          <w:sz w:val="20"/>
          <w:lang w:val="en-US"/>
        </w:rPr>
      </w:pPr>
      <w:r w:rsidRPr="00644489">
        <w:rPr>
          <w:sz w:val="20"/>
          <w:lang w:val="en-US"/>
        </w:rPr>
        <w:t>In compliance with guideline number 5, a new standard for SITE APPROVAL FOR NUCLEOELECTRIC POWER PLANTS, which sets out the criteria and requirements applicable to Site Approval for Nuclear Power Plants and the content of the Site Report, expands the field of application, making it possible to implement advanced SMR-type reactors.</w:t>
      </w:r>
    </w:p>
    <w:p w14:paraId="70754A6A" w14:textId="0763B58A" w:rsidR="0027413C" w:rsidRPr="00644489" w:rsidRDefault="0027413C" w:rsidP="006F62F9">
      <w:pPr>
        <w:spacing w:line="260" w:lineRule="auto"/>
        <w:ind w:firstLine="567"/>
        <w:jc w:val="both"/>
        <w:rPr>
          <w:sz w:val="20"/>
          <w:lang w:val="en-US"/>
        </w:rPr>
      </w:pPr>
      <w:r w:rsidRPr="00644489">
        <w:rPr>
          <w:sz w:val="20"/>
          <w:lang w:val="en-US"/>
        </w:rPr>
        <w:t xml:space="preserve">In accordance with guideline no. 6, the primary focus is on revising Standard 1.04. </w:t>
      </w:r>
      <w:r w:rsidR="003B4AD1" w:rsidRPr="00E6739C">
        <w:rPr>
          <w:sz w:val="20"/>
          <w:lang w:val="en-US"/>
        </w:rPr>
        <w:t>This standard outline</w:t>
      </w:r>
      <w:r w:rsidRPr="00E6739C">
        <w:rPr>
          <w:sz w:val="20"/>
          <w:lang w:val="en-US"/>
        </w:rPr>
        <w:t xml:space="preserve"> </w:t>
      </w:r>
      <w:r w:rsidRPr="00644489">
        <w:rPr>
          <w:sz w:val="20"/>
          <w:lang w:val="en-US"/>
        </w:rPr>
        <w:t>the requirements for the licensing process of nuclear installations and applies to activities related to important regulatory milestones such as site selection (including the criteria for site selection), construction, and operation of these installations. The updated version of Standard 1.04 expands its scope to explicitly cover reactors used for power and heat generation, as well as modular reactors up to 300 MW per module. It also includes requirements for the use of a gradual approach.</w:t>
      </w:r>
    </w:p>
    <w:p w14:paraId="4AB221F2" w14:textId="7D2ADD36" w:rsidR="006F62F9" w:rsidRPr="00644489" w:rsidRDefault="006F62F9" w:rsidP="006F62F9">
      <w:pPr>
        <w:spacing w:line="260" w:lineRule="auto"/>
        <w:ind w:firstLine="567"/>
        <w:jc w:val="both"/>
        <w:rPr>
          <w:sz w:val="20"/>
        </w:rPr>
      </w:pPr>
      <w:r w:rsidRPr="00644489">
        <w:rPr>
          <w:sz w:val="20"/>
        </w:rPr>
        <w:t>CNEN is updating the current requirements and Safety Analysis Standards. During this update process, CNEN maintains open channels with interested parties and meets regularly with them to discuss pertinent issues. The Standards development process offers broad scope for stakeholder participation in addition to public consultation.</w:t>
      </w:r>
    </w:p>
    <w:p w14:paraId="2ECD124A" w14:textId="7D802A87" w:rsidR="006F62F9" w:rsidRPr="00644489" w:rsidRDefault="006F62F9" w:rsidP="006F62F9">
      <w:pPr>
        <w:spacing w:line="260" w:lineRule="auto"/>
        <w:ind w:firstLine="567"/>
        <w:jc w:val="both"/>
        <w:rPr>
          <w:sz w:val="20"/>
        </w:rPr>
      </w:pPr>
      <w:r w:rsidRPr="00644489">
        <w:rPr>
          <w:sz w:val="20"/>
        </w:rPr>
        <w:t xml:space="preserve">The highlights that are being incorporated into the new requirements to consider SMR are, at a minimum, reviewing </w:t>
      </w:r>
      <w:r w:rsidR="008C6802" w:rsidRPr="00644489">
        <w:rPr>
          <w:sz w:val="20"/>
        </w:rPr>
        <w:t>safety</w:t>
      </w:r>
      <w:r w:rsidRPr="00644489">
        <w:rPr>
          <w:sz w:val="20"/>
        </w:rPr>
        <w:t xml:space="preserve"> principles and requirements:</w:t>
      </w:r>
    </w:p>
    <w:p w14:paraId="0C435E67" w14:textId="27CF21A8" w:rsidR="006F62F9" w:rsidRPr="00D156F9" w:rsidRDefault="006F62F9" w:rsidP="006F62F9">
      <w:pPr>
        <w:spacing w:line="260" w:lineRule="auto"/>
        <w:ind w:firstLine="567"/>
        <w:jc w:val="both"/>
        <w:rPr>
          <w:sz w:val="20"/>
        </w:rPr>
      </w:pPr>
      <w:r w:rsidRPr="00D156F9">
        <w:rPr>
          <w:sz w:val="20"/>
        </w:rPr>
        <w:lastRenderedPageBreak/>
        <w:t xml:space="preserve">a) Redundancy and diversity, as practicable, physical separation for </w:t>
      </w:r>
      <w:r w:rsidR="008C6802">
        <w:rPr>
          <w:sz w:val="20"/>
        </w:rPr>
        <w:t>safety</w:t>
      </w:r>
      <w:r w:rsidRPr="00D156F9">
        <w:rPr>
          <w:sz w:val="20"/>
        </w:rPr>
        <w:t xml:space="preserve"> systems to mitigate common cause failures.</w:t>
      </w:r>
    </w:p>
    <w:p w14:paraId="0F894DC4" w14:textId="77777777" w:rsidR="006F62F9" w:rsidRPr="00D156F9" w:rsidRDefault="006F62F9" w:rsidP="006F62F9">
      <w:pPr>
        <w:spacing w:line="260" w:lineRule="auto"/>
        <w:ind w:firstLine="567"/>
        <w:jc w:val="both"/>
        <w:rPr>
          <w:sz w:val="20"/>
        </w:rPr>
      </w:pPr>
      <w:r w:rsidRPr="00D156F9">
        <w:rPr>
          <w:sz w:val="20"/>
        </w:rPr>
        <w:t>b) Accounting for single failure criteria – for passive systems.</w:t>
      </w:r>
    </w:p>
    <w:p w14:paraId="21792276" w14:textId="77777777" w:rsidR="006F62F9" w:rsidRPr="00D156F9" w:rsidRDefault="006F62F9" w:rsidP="006F62F9">
      <w:pPr>
        <w:spacing w:line="260" w:lineRule="auto"/>
        <w:ind w:firstLine="567"/>
        <w:jc w:val="both"/>
        <w:rPr>
          <w:sz w:val="20"/>
        </w:rPr>
      </w:pPr>
      <w:r w:rsidRPr="00D156F9">
        <w:rPr>
          <w:sz w:val="20"/>
        </w:rPr>
        <w:t>c) Define Defence at deep levels - Some levels may not be in line with the IAEA approach (5 levels) for SMRs or - Some levels may be merged with other levels for projects.</w:t>
      </w:r>
    </w:p>
    <w:p w14:paraId="3F2BBC91" w14:textId="77777777" w:rsidR="006F62F9" w:rsidRPr="00D156F9" w:rsidRDefault="006F62F9" w:rsidP="006F62F9">
      <w:pPr>
        <w:spacing w:line="260" w:lineRule="auto"/>
        <w:ind w:firstLine="567"/>
        <w:jc w:val="both"/>
        <w:rPr>
          <w:sz w:val="20"/>
        </w:rPr>
      </w:pPr>
      <w:r w:rsidRPr="00D156F9">
        <w:rPr>
          <w:sz w:val="20"/>
        </w:rPr>
        <w:t>d) Availability and capacity factors, scram frequency, frequency and duration of maintenance interruptions per project.</w:t>
      </w:r>
    </w:p>
    <w:p w14:paraId="0BEDED42" w14:textId="5E3B1E4E" w:rsidR="006F62F9" w:rsidRDefault="00A10815" w:rsidP="006F62F9">
      <w:pPr>
        <w:spacing w:line="260" w:lineRule="auto"/>
        <w:ind w:firstLine="567"/>
        <w:jc w:val="both"/>
        <w:rPr>
          <w:sz w:val="20"/>
        </w:rPr>
      </w:pPr>
      <w:r w:rsidRPr="00464261">
        <w:rPr>
          <w:sz w:val="20"/>
        </w:rPr>
        <w:t>e</w:t>
      </w:r>
      <w:r w:rsidR="006F62F9" w:rsidRPr="00464261">
        <w:rPr>
          <w:sz w:val="20"/>
        </w:rPr>
        <w:t>)</w:t>
      </w:r>
      <w:r w:rsidR="006F62F9" w:rsidRPr="00D156F9">
        <w:rPr>
          <w:sz w:val="20"/>
        </w:rPr>
        <w:t xml:space="preserve"> Postulated Initiation Events (PIE) may differ between different SMR designs and locations (e.g. external hazards).</w:t>
      </w:r>
    </w:p>
    <w:p w14:paraId="4883C7A2" w14:textId="77777777" w:rsidR="00BD5158" w:rsidRDefault="00BD5158" w:rsidP="000864CD">
      <w:pPr>
        <w:spacing w:line="260" w:lineRule="auto"/>
        <w:ind w:firstLine="567"/>
        <w:jc w:val="both"/>
        <w:rPr>
          <w:sz w:val="20"/>
        </w:rPr>
      </w:pPr>
    </w:p>
    <w:p w14:paraId="5F1CF4A0" w14:textId="6FEA0683" w:rsidR="000864CD" w:rsidRPr="00644489" w:rsidRDefault="00BD5158" w:rsidP="000864CD">
      <w:pPr>
        <w:spacing w:line="260" w:lineRule="auto"/>
        <w:ind w:firstLine="567"/>
        <w:jc w:val="both"/>
        <w:rPr>
          <w:sz w:val="20"/>
        </w:rPr>
      </w:pPr>
      <w:r w:rsidRPr="00644489">
        <w:rPr>
          <w:sz w:val="20"/>
        </w:rPr>
        <w:t xml:space="preserve">Amplifying the range of new </w:t>
      </w:r>
      <w:r w:rsidR="000864CD" w:rsidRPr="00644489">
        <w:rPr>
          <w:sz w:val="20"/>
        </w:rPr>
        <w:t>CNEN Standards that are being developed, the following examples can be cited:</w:t>
      </w:r>
    </w:p>
    <w:p w14:paraId="0AF7770F" w14:textId="51F81FB0" w:rsidR="000864CD" w:rsidRPr="00644489" w:rsidRDefault="000864CD" w:rsidP="000864CD">
      <w:pPr>
        <w:numPr>
          <w:ilvl w:val="0"/>
          <w:numId w:val="47"/>
        </w:numPr>
        <w:overflowPunct/>
        <w:autoSpaceDE/>
        <w:autoSpaceDN/>
        <w:adjustRightInd/>
        <w:spacing w:line="260" w:lineRule="auto"/>
        <w:ind w:left="1287" w:hanging="360"/>
        <w:jc w:val="both"/>
        <w:textAlignment w:val="auto"/>
        <w:rPr>
          <w:sz w:val="20"/>
        </w:rPr>
      </w:pPr>
      <w:r w:rsidRPr="00644489">
        <w:rPr>
          <w:sz w:val="20"/>
        </w:rPr>
        <w:t>New Standard about Cyber Security for Nuclear Facilities</w:t>
      </w:r>
      <w:r w:rsidR="00BD5158" w:rsidRPr="00644489">
        <w:rPr>
          <w:sz w:val="20"/>
        </w:rPr>
        <w:t xml:space="preserve"> -</w:t>
      </w:r>
      <w:r w:rsidRPr="00644489">
        <w:rPr>
          <w:sz w:val="20"/>
        </w:rPr>
        <w:t xml:space="preserve"> </w:t>
      </w:r>
      <w:r w:rsidR="00BD5158" w:rsidRPr="00644489">
        <w:rPr>
          <w:sz w:val="20"/>
        </w:rPr>
        <w:t>considering that SMR can be operated remotely, it is essential to establish requirements to prevent cyber threats</w:t>
      </w:r>
      <w:r w:rsidRPr="00644489">
        <w:rPr>
          <w:sz w:val="20"/>
        </w:rPr>
        <w:t xml:space="preserve">. </w:t>
      </w:r>
    </w:p>
    <w:p w14:paraId="529F2B87" w14:textId="77777777" w:rsidR="000864CD" w:rsidRPr="00A51D5C" w:rsidRDefault="000864CD" w:rsidP="000864CD">
      <w:pPr>
        <w:numPr>
          <w:ilvl w:val="0"/>
          <w:numId w:val="47"/>
        </w:numPr>
        <w:overflowPunct/>
        <w:autoSpaceDE/>
        <w:autoSpaceDN/>
        <w:adjustRightInd/>
        <w:spacing w:line="260" w:lineRule="auto"/>
        <w:ind w:left="1287" w:hanging="360"/>
        <w:jc w:val="both"/>
        <w:textAlignment w:val="auto"/>
        <w:rPr>
          <w:sz w:val="20"/>
        </w:rPr>
      </w:pPr>
      <w:r w:rsidRPr="00644489">
        <w:rPr>
          <w:sz w:val="20"/>
        </w:rPr>
        <w:t xml:space="preserve">New Standard about Probabilistic Safety Assessment to establish numerical </w:t>
      </w:r>
      <w:r w:rsidRPr="00A51D5C">
        <w:rPr>
          <w:sz w:val="20"/>
        </w:rPr>
        <w:t>objectives and acceptance criteria for use in the Risk informed decision making.</w:t>
      </w:r>
    </w:p>
    <w:p w14:paraId="3F55B2E9" w14:textId="77777777" w:rsidR="000864CD" w:rsidRPr="00A51D5C" w:rsidRDefault="000864CD" w:rsidP="000864CD">
      <w:pPr>
        <w:numPr>
          <w:ilvl w:val="0"/>
          <w:numId w:val="47"/>
        </w:numPr>
        <w:overflowPunct/>
        <w:autoSpaceDE/>
        <w:autoSpaceDN/>
        <w:adjustRightInd/>
        <w:spacing w:line="260" w:lineRule="auto"/>
        <w:ind w:left="1287" w:hanging="360"/>
        <w:jc w:val="both"/>
        <w:textAlignment w:val="auto"/>
        <w:rPr>
          <w:sz w:val="20"/>
        </w:rPr>
      </w:pPr>
      <w:r w:rsidRPr="00A51D5C">
        <w:rPr>
          <w:sz w:val="20"/>
        </w:rPr>
        <w:t>New Standard about Severe Accident Management Program that considers the SMR modularity and physical separation.</w:t>
      </w:r>
    </w:p>
    <w:p w14:paraId="3427C8A4" w14:textId="77777777" w:rsidR="00B4731D" w:rsidRPr="007511FF" w:rsidRDefault="00B4731D" w:rsidP="007511FF">
      <w:pPr>
        <w:spacing w:line="260" w:lineRule="auto"/>
        <w:ind w:firstLine="567"/>
        <w:jc w:val="both"/>
        <w:rPr>
          <w:sz w:val="20"/>
        </w:rPr>
      </w:pPr>
    </w:p>
    <w:p w14:paraId="1A252CB4" w14:textId="77777777" w:rsidR="00F46EDC" w:rsidRPr="007511FF" w:rsidRDefault="00F46EDC" w:rsidP="00F46EDC">
      <w:pPr>
        <w:pStyle w:val="Ttulo2"/>
        <w:numPr>
          <w:ilvl w:val="1"/>
          <w:numId w:val="10"/>
        </w:numPr>
      </w:pPr>
      <w:r w:rsidRPr="007511FF">
        <w:t>The bases of the regulatory framework in Brazil and the challenges for adaptation</w:t>
      </w:r>
    </w:p>
    <w:p w14:paraId="333EB9E4" w14:textId="76BC16DB" w:rsidR="00182EE2" w:rsidRPr="00FD3FB3" w:rsidRDefault="00A74A70" w:rsidP="00182EE2">
      <w:pPr>
        <w:spacing w:line="260" w:lineRule="auto"/>
        <w:ind w:firstLine="567"/>
        <w:jc w:val="both"/>
        <w:rPr>
          <w:sz w:val="20"/>
          <w:lang w:val="en-US"/>
        </w:rPr>
      </w:pPr>
      <w:r w:rsidRPr="00D11311">
        <w:rPr>
          <w:sz w:val="20"/>
          <w:lang w:val="en-US"/>
        </w:rPr>
        <w:t>Worth mentioning is Brazil's operational experience, with two operating plants and a third one under construction, all of which are pressurized water reactors (PWR).</w:t>
      </w:r>
      <w:r w:rsidR="00BD4A3A">
        <w:rPr>
          <w:sz w:val="20"/>
          <w:lang w:val="en-US"/>
        </w:rPr>
        <w:t xml:space="preserve"> </w:t>
      </w:r>
      <w:r w:rsidR="00176E55" w:rsidRPr="00D11311">
        <w:rPr>
          <w:sz w:val="20"/>
          <w:lang w:val="en-US"/>
        </w:rPr>
        <w:t>While acknowledging that new disruptive technologies have been developed, Brazil is initially more receptive to pressurized water SMRs due to the knowledge developed in the licensing and operation process</w:t>
      </w:r>
      <w:r w:rsidR="007B6B60">
        <w:rPr>
          <w:sz w:val="20"/>
          <w:lang w:val="en-US"/>
        </w:rPr>
        <w:t xml:space="preserve"> </w:t>
      </w:r>
      <w:r w:rsidR="002D4AF4" w:rsidRPr="00FD3FB3">
        <w:rPr>
          <w:sz w:val="20"/>
          <w:lang w:val="en-US"/>
        </w:rPr>
        <w:t>reducing efforts and facilitating the acceptance of new practices by stakeholders including technical experts.</w:t>
      </w:r>
    </w:p>
    <w:p w14:paraId="4DD88E3C" w14:textId="3CCC6F19" w:rsidR="00176E55" w:rsidRPr="00D11311" w:rsidRDefault="00176E55" w:rsidP="0048478E">
      <w:pPr>
        <w:spacing w:line="260" w:lineRule="auto"/>
        <w:ind w:firstLine="567"/>
        <w:jc w:val="both"/>
        <w:rPr>
          <w:sz w:val="20"/>
        </w:rPr>
      </w:pPr>
      <w:r w:rsidRPr="00D11311">
        <w:rPr>
          <w:sz w:val="20"/>
        </w:rPr>
        <w:t>It's important to highlight that advanced WCRs have different features compared to conventional reactors. These differences should be analysed in order to create new and specific requirements, but they could be easily adapted for new and more modern technology."</w:t>
      </w:r>
    </w:p>
    <w:p w14:paraId="2AD0198C" w14:textId="77777777" w:rsidR="00A74A70" w:rsidRPr="00150499" w:rsidRDefault="00A74A70" w:rsidP="003D1FFB">
      <w:pPr>
        <w:spacing w:line="259" w:lineRule="auto"/>
        <w:ind w:firstLine="567"/>
        <w:jc w:val="both"/>
        <w:rPr>
          <w:sz w:val="20"/>
          <w:lang w:val="en-US"/>
        </w:rPr>
      </w:pPr>
      <w:r w:rsidRPr="00D11311">
        <w:rPr>
          <w:sz w:val="20"/>
          <w:lang w:val="en-US"/>
        </w:rPr>
        <w:t xml:space="preserve">Another important consideration is the validation of the tools used in the SMR safety analysis process. Brazil is currently working on establishing technical cooperation with other countries to facilitate a more extensive exchange in this process. </w:t>
      </w:r>
      <w:r w:rsidRPr="00150499">
        <w:rPr>
          <w:sz w:val="20"/>
          <w:lang w:val="en-US"/>
        </w:rPr>
        <w:t>For instance, Brazil's involvement in the second phase of the NHSI has shown CNEN technicians the importance of recommending that the country adopts a licensing process that includes pre-licensing.</w:t>
      </w:r>
    </w:p>
    <w:p w14:paraId="16928656" w14:textId="0FE9F88B" w:rsidR="00A74A70" w:rsidRPr="00D11311" w:rsidRDefault="00A74A70" w:rsidP="00524F1E">
      <w:pPr>
        <w:spacing w:line="260" w:lineRule="auto"/>
        <w:ind w:firstLine="567"/>
        <w:jc w:val="both"/>
        <w:rPr>
          <w:sz w:val="20"/>
          <w:lang w:val="en-US"/>
        </w:rPr>
      </w:pPr>
      <w:r w:rsidRPr="00D11311">
        <w:rPr>
          <w:sz w:val="20"/>
          <w:lang w:val="en-US"/>
        </w:rPr>
        <w:t>In addition to these concerns, it is important to establish specific safety criteria and requirements for cogeneration facilities connected to small modular reactor (SMR) units, such as hydrogen generation and desalination, and others. The discussions held in the Nuclear Safety and Security Infrastructure (NHSI) were particularly significant for Brazil, as the country actively participated in defining the requirements and criteria for general SMR users.</w:t>
      </w:r>
    </w:p>
    <w:p w14:paraId="1FFAD21B" w14:textId="09B7AB78" w:rsidR="00F9136B" w:rsidRPr="00D11311" w:rsidRDefault="00770057" w:rsidP="00524F1E">
      <w:pPr>
        <w:spacing w:line="260" w:lineRule="auto"/>
        <w:ind w:firstLine="567"/>
        <w:jc w:val="both"/>
        <w:rPr>
          <w:sz w:val="20"/>
          <w:lang w:val="en-US"/>
        </w:rPr>
      </w:pPr>
      <w:r w:rsidRPr="00D11311">
        <w:rPr>
          <w:sz w:val="20"/>
          <w:lang w:val="en-US"/>
        </w:rPr>
        <w:t xml:space="preserve">Considering the challenges mentioned above as examples, it is important to highlight Brazil's experience in the facility licensing process. </w:t>
      </w:r>
      <w:r w:rsidR="009E10DE" w:rsidRPr="00D11311">
        <w:rPr>
          <w:sz w:val="20"/>
          <w:lang w:val="en-US"/>
        </w:rPr>
        <w:t>FOAK</w:t>
      </w:r>
      <w:r w:rsidR="007D3C18" w:rsidRPr="00D11311">
        <w:rPr>
          <w:sz w:val="20"/>
          <w:lang w:val="en-US"/>
        </w:rPr>
        <w:t>,</w:t>
      </w:r>
      <w:r w:rsidR="00785DA9" w:rsidRPr="00D11311">
        <w:rPr>
          <w:sz w:val="20"/>
          <w:lang w:val="en-US"/>
        </w:rPr>
        <w:t xml:space="preserve"> </w:t>
      </w:r>
      <w:r w:rsidR="00F9136B" w:rsidRPr="00D11311">
        <w:rPr>
          <w:sz w:val="20"/>
          <w:lang w:val="en-US"/>
        </w:rPr>
        <w:t>Brazil has experience in licensing processes for innovative nuclear installations, as there is a National Reactor Project under development, it is correct to say that CNEN has been working to adapt and improve its standards for considering new nuclear reactor technologies.</w:t>
      </w:r>
      <w:r w:rsidR="00DB357E" w:rsidRPr="00D11311">
        <w:rPr>
          <w:sz w:val="20"/>
          <w:lang w:val="en-US"/>
        </w:rPr>
        <w:t xml:space="preserve"> </w:t>
      </w:r>
    </w:p>
    <w:p w14:paraId="4FA71741" w14:textId="77777777" w:rsidR="00770057" w:rsidRPr="00D11311" w:rsidRDefault="00770057" w:rsidP="00524F1E">
      <w:pPr>
        <w:spacing w:line="260" w:lineRule="auto"/>
        <w:ind w:firstLine="567"/>
        <w:jc w:val="both"/>
        <w:rPr>
          <w:sz w:val="20"/>
          <w:lang w:val="en-US"/>
        </w:rPr>
      </w:pPr>
      <w:r w:rsidRPr="00D11311">
        <w:rPr>
          <w:sz w:val="20"/>
          <w:lang w:val="en-US"/>
        </w:rPr>
        <w:t>Another practice that should be incorporated into the regulatory framework is the certification by other countries. Despite the country's existing experience, a need for standard regulation still exists.</w:t>
      </w:r>
    </w:p>
    <w:p w14:paraId="7EA2D0A5" w14:textId="5E2B630B" w:rsidR="00524F1E" w:rsidRDefault="00524F1E" w:rsidP="00524F1E">
      <w:pPr>
        <w:spacing w:line="260" w:lineRule="auto"/>
        <w:ind w:firstLine="567"/>
        <w:jc w:val="both"/>
        <w:rPr>
          <w:sz w:val="20"/>
        </w:rPr>
      </w:pPr>
      <w:r w:rsidRPr="00D11311">
        <w:rPr>
          <w:sz w:val="20"/>
        </w:rPr>
        <w:t xml:space="preserve">Currently, CNEN is applying the regulation </w:t>
      </w:r>
      <w:r w:rsidRPr="00036A91">
        <w:rPr>
          <w:sz w:val="20"/>
        </w:rPr>
        <w:t xml:space="preserve">to </w:t>
      </w:r>
      <w:r w:rsidR="00BF217D" w:rsidRPr="00036A91">
        <w:rPr>
          <w:sz w:val="20"/>
        </w:rPr>
        <w:t>small reactors</w:t>
      </w:r>
      <w:r w:rsidRPr="00036A91">
        <w:rPr>
          <w:sz w:val="20"/>
        </w:rPr>
        <w:t xml:space="preserve"> </w:t>
      </w:r>
      <w:r w:rsidRPr="00D11311">
        <w:rPr>
          <w:sz w:val="20"/>
        </w:rPr>
        <w:t xml:space="preserve">with the same licensing criteria and approach </w:t>
      </w:r>
      <w:r w:rsidRPr="004A3CB6">
        <w:rPr>
          <w:sz w:val="20"/>
        </w:rPr>
        <w:t>used to conventional nuclear reactors. Is important the development of a graduated approach to the regulation, proportional to the risk and appropriate to SMRs. However, the most of recommendations are difficult to apply to SMR due to a lack of knowledge and operational history.</w:t>
      </w:r>
    </w:p>
    <w:p w14:paraId="7A9ED6DF" w14:textId="048E615C" w:rsidR="00036A91" w:rsidRDefault="00036A91">
      <w:pPr>
        <w:overflowPunct/>
        <w:autoSpaceDE/>
        <w:autoSpaceDN/>
        <w:adjustRightInd/>
        <w:textAlignment w:val="auto"/>
        <w:rPr>
          <w:sz w:val="20"/>
        </w:rPr>
      </w:pPr>
      <w:r>
        <w:rPr>
          <w:sz w:val="20"/>
        </w:rPr>
        <w:br w:type="page"/>
      </w:r>
    </w:p>
    <w:p w14:paraId="6539A823" w14:textId="77777777" w:rsidR="007D40F8" w:rsidRDefault="007D40F8" w:rsidP="00524F1E">
      <w:pPr>
        <w:spacing w:line="260" w:lineRule="auto"/>
        <w:ind w:firstLine="567"/>
        <w:jc w:val="both"/>
        <w:rPr>
          <w:sz w:val="20"/>
        </w:rPr>
      </w:pPr>
    </w:p>
    <w:p w14:paraId="75623F87" w14:textId="37611ABF" w:rsidR="002A0831" w:rsidRPr="002A6BF2" w:rsidRDefault="002073D1" w:rsidP="00DB090A">
      <w:pPr>
        <w:pStyle w:val="Ttulo2"/>
        <w:numPr>
          <w:ilvl w:val="1"/>
          <w:numId w:val="10"/>
        </w:numPr>
      </w:pPr>
      <w:r w:rsidRPr="002A6BF2">
        <w:t>conclusion</w:t>
      </w:r>
    </w:p>
    <w:p w14:paraId="0B98E5A1" w14:textId="3432001E" w:rsidR="00DD2586" w:rsidRPr="008D5FB1" w:rsidRDefault="002A6BF2" w:rsidP="002A6BF2">
      <w:pPr>
        <w:spacing w:line="260" w:lineRule="auto"/>
        <w:ind w:firstLine="567"/>
        <w:jc w:val="both"/>
        <w:rPr>
          <w:sz w:val="20"/>
        </w:rPr>
      </w:pPr>
      <w:r w:rsidRPr="008D5FB1">
        <w:rPr>
          <w:sz w:val="20"/>
        </w:rPr>
        <w:t xml:space="preserve">Whereas the nuclear energy sector has adopted a strong emphasis on safety, and this emphasis on safety has resulted in a conservative decision-making process and a risk-averse </w:t>
      </w:r>
      <w:r w:rsidR="00FD3FB3" w:rsidRPr="008D5FB1">
        <w:rPr>
          <w:sz w:val="20"/>
        </w:rPr>
        <w:t>culture;</w:t>
      </w:r>
      <w:r w:rsidR="00DD2586" w:rsidRPr="008D5FB1">
        <w:rPr>
          <w:sz w:val="20"/>
        </w:rPr>
        <w:t xml:space="preserve"> t</w:t>
      </w:r>
      <w:r w:rsidRPr="008D5FB1">
        <w:rPr>
          <w:sz w:val="20"/>
        </w:rPr>
        <w:t>o deal with new and innovative technologies, the Brazilian regulatory body needs to review the regulatory framework for SMR reception</w:t>
      </w:r>
      <w:r w:rsidR="00DD2586" w:rsidRPr="008D5FB1">
        <w:rPr>
          <w:sz w:val="20"/>
        </w:rPr>
        <w:t>.</w:t>
      </w:r>
    </w:p>
    <w:p w14:paraId="09545ABC" w14:textId="592C5264" w:rsidR="002A6BF2" w:rsidRPr="008D5FB1" w:rsidRDefault="00DD2586" w:rsidP="002A6BF2">
      <w:pPr>
        <w:spacing w:line="260" w:lineRule="auto"/>
        <w:ind w:firstLine="567"/>
        <w:jc w:val="both"/>
        <w:rPr>
          <w:sz w:val="20"/>
        </w:rPr>
      </w:pPr>
      <w:r w:rsidRPr="008D5FB1">
        <w:rPr>
          <w:sz w:val="20"/>
        </w:rPr>
        <w:t>Is essential c</w:t>
      </w:r>
      <w:r w:rsidR="002A6BF2" w:rsidRPr="008D5FB1">
        <w:rPr>
          <w:sz w:val="20"/>
        </w:rPr>
        <w:t>onsidering evolving to simultaneously maintain responsible nuclear and radiological safety regulation, while facilitating advantageous technological innovation</w:t>
      </w:r>
      <w:r w:rsidR="009111FC">
        <w:rPr>
          <w:sz w:val="20"/>
        </w:rPr>
        <w:t>.</w:t>
      </w:r>
    </w:p>
    <w:p w14:paraId="042987D0" w14:textId="77777777" w:rsidR="002A6BF2" w:rsidRPr="008D5FB1" w:rsidRDefault="002A6BF2" w:rsidP="002A6BF2">
      <w:pPr>
        <w:spacing w:line="260" w:lineRule="auto"/>
        <w:ind w:firstLine="567"/>
        <w:jc w:val="both"/>
        <w:rPr>
          <w:sz w:val="20"/>
        </w:rPr>
      </w:pPr>
      <w:r w:rsidRPr="008D5FB1">
        <w:rPr>
          <w:sz w:val="20"/>
        </w:rPr>
        <w:t>The history of large reactor deployment demonstrates that regulatory frameworks and licensing processes impact commercialization costs, project schedules, and budgets.</w:t>
      </w:r>
    </w:p>
    <w:p w14:paraId="6CE762E4" w14:textId="1357B084" w:rsidR="00B37152" w:rsidRPr="008D5FB1" w:rsidRDefault="002A6BF2" w:rsidP="002A6BF2">
      <w:pPr>
        <w:spacing w:line="260" w:lineRule="auto"/>
        <w:ind w:firstLine="567"/>
        <w:jc w:val="both"/>
        <w:rPr>
          <w:sz w:val="20"/>
        </w:rPr>
      </w:pPr>
      <w:r w:rsidRPr="008D5FB1">
        <w:rPr>
          <w:sz w:val="20"/>
        </w:rPr>
        <w:t xml:space="preserve">The development of legal and regulatory frameworks for small modular nuclear reactors is a major challenge, so the regulator must anticipate that the implementation of a future </w:t>
      </w:r>
      <w:r w:rsidR="00B37152" w:rsidRPr="008D5FB1">
        <w:rPr>
          <w:sz w:val="20"/>
        </w:rPr>
        <w:t>SMR in Brazil will not be impacted by the inertia of the regulatory regime adaptation process and efforts are being undertaken to ensure an effective and timely transition.</w:t>
      </w:r>
    </w:p>
    <w:p w14:paraId="35A307CC" w14:textId="77777777" w:rsidR="00A51D5C" w:rsidRPr="00A51D5C" w:rsidRDefault="00A51D5C" w:rsidP="00A51D5C">
      <w:pPr>
        <w:pStyle w:val="Corpodetexto"/>
      </w:pPr>
    </w:p>
    <w:p w14:paraId="32B76F9D" w14:textId="77777777" w:rsidR="00D26ADA" w:rsidRPr="00285755" w:rsidRDefault="00D26ADA" w:rsidP="00537496">
      <w:pPr>
        <w:pStyle w:val="Otherunnumberedheadings"/>
      </w:pPr>
      <w:r>
        <w:t>References</w:t>
      </w:r>
    </w:p>
    <w:p w14:paraId="34DDC94B" w14:textId="6BD301A6" w:rsidR="00015051" w:rsidRPr="003728E6" w:rsidRDefault="00410EDD" w:rsidP="00015051">
      <w:pPr>
        <w:pStyle w:val="Referencelist"/>
      </w:pPr>
      <w:r>
        <w:t>KAMENSKIH</w:t>
      </w:r>
      <w:r w:rsidR="00015051">
        <w:t xml:space="preserve">, </w:t>
      </w:r>
      <w:r>
        <w:t>I</w:t>
      </w:r>
      <w:r w:rsidR="00015051">
        <w:t>., “</w:t>
      </w:r>
      <w:r w:rsidR="00C82199">
        <w:t>Opening Address</w:t>
      </w:r>
      <w:r w:rsidR="00015051">
        <w:t xml:space="preserve">”, </w:t>
      </w:r>
      <w:r w:rsidR="008B2D31">
        <w:t>Effective Nuclear Regulatory Systems Facing Safety and Security Challenges</w:t>
      </w:r>
      <w:r w:rsidR="00F67F61">
        <w:t xml:space="preserve"> </w:t>
      </w:r>
      <w:r w:rsidR="00015051" w:rsidRPr="003728E6">
        <w:t>(</w:t>
      </w:r>
      <w:r w:rsidR="00F67F61">
        <w:t>Moscow</w:t>
      </w:r>
      <w:r w:rsidR="00015051" w:rsidRPr="003728E6">
        <w:t xml:space="preserve">, </w:t>
      </w:r>
      <w:r w:rsidR="00F67F61">
        <w:t>2006</w:t>
      </w:r>
      <w:r w:rsidR="00015051" w:rsidRPr="003728E6">
        <w:t xml:space="preserve">), </w:t>
      </w:r>
      <w:r w:rsidR="00F67F61">
        <w:t>IAEA</w:t>
      </w:r>
      <w:r w:rsidR="00015051" w:rsidRPr="003728E6">
        <w:t xml:space="preserve">, </w:t>
      </w:r>
      <w:r w:rsidR="00AA2CC9">
        <w:t>Vienna</w:t>
      </w:r>
      <w:r w:rsidR="00015051" w:rsidRPr="003728E6">
        <w:t xml:space="preserve"> (</w:t>
      </w:r>
      <w:r w:rsidR="00AA2CC9">
        <w:t>2006</w:t>
      </w:r>
      <w:r w:rsidR="00015051" w:rsidRPr="003728E6">
        <w:t>).</w:t>
      </w:r>
    </w:p>
    <w:p w14:paraId="496B4FB6" w14:textId="34FD623C" w:rsidR="00015051" w:rsidRPr="009F63A9" w:rsidRDefault="000A6D6F" w:rsidP="00537496">
      <w:pPr>
        <w:pStyle w:val="Referencelist"/>
      </w:pPr>
      <w:r w:rsidRPr="009F55D5">
        <w:rPr>
          <w:lang w:val="pt-BR"/>
        </w:rPr>
        <w:t>Empresa de Pesquisa Energética</w:t>
      </w:r>
      <w:r w:rsidR="00CD25C9" w:rsidRPr="009F55D5">
        <w:rPr>
          <w:lang w:val="pt-BR"/>
        </w:rPr>
        <w:t xml:space="preserve"> (EPE</w:t>
      </w:r>
      <w:proofErr w:type="gramStart"/>
      <w:r w:rsidR="00CD25C9" w:rsidRPr="009F55D5">
        <w:rPr>
          <w:lang w:val="pt-BR"/>
        </w:rPr>
        <w:t>)</w:t>
      </w:r>
      <w:r w:rsidR="009F63A9" w:rsidRPr="009F55D5">
        <w:rPr>
          <w:lang w:val="pt-BR"/>
        </w:rPr>
        <w:t>,</w:t>
      </w:r>
      <w:r w:rsidRPr="009F55D5">
        <w:rPr>
          <w:lang w:val="pt-BR"/>
        </w:rPr>
        <w:t>,</w:t>
      </w:r>
      <w:proofErr w:type="gramEnd"/>
      <w:r w:rsidRPr="009F55D5">
        <w:rPr>
          <w:lang w:val="pt-BR"/>
        </w:rPr>
        <w:t xml:space="preserve"> </w:t>
      </w:r>
      <w:proofErr w:type="spellStart"/>
      <w:r w:rsidR="000B677E" w:rsidRPr="009F55D5">
        <w:rPr>
          <w:lang w:val="pt-BR"/>
        </w:rPr>
        <w:t>National</w:t>
      </w:r>
      <w:proofErr w:type="spellEnd"/>
      <w:r w:rsidR="000B677E" w:rsidRPr="009F55D5">
        <w:rPr>
          <w:lang w:val="pt-BR"/>
        </w:rPr>
        <w:t xml:space="preserve"> Energy </w:t>
      </w:r>
      <w:proofErr w:type="spellStart"/>
      <w:r w:rsidR="000B677E" w:rsidRPr="009F55D5">
        <w:rPr>
          <w:lang w:val="pt-BR"/>
        </w:rPr>
        <w:t>Plan</w:t>
      </w:r>
      <w:proofErr w:type="spellEnd"/>
      <w:r w:rsidR="000B677E" w:rsidRPr="009F55D5">
        <w:rPr>
          <w:lang w:val="pt-BR"/>
        </w:rPr>
        <w:t xml:space="preserve"> 2050 / Ministério de Minas e Energia.</w:t>
      </w:r>
      <w:r w:rsidR="009F63A9" w:rsidRPr="009F55D5">
        <w:rPr>
          <w:lang w:val="pt-BR"/>
        </w:rPr>
        <w:t>(</w:t>
      </w:r>
      <w:r w:rsidRPr="009F55D5">
        <w:rPr>
          <w:lang w:val="pt-BR"/>
        </w:rPr>
        <w:t>MME/EPE</w:t>
      </w:r>
      <w:r w:rsidR="009F63A9" w:rsidRPr="009F55D5">
        <w:rPr>
          <w:lang w:val="pt-BR"/>
        </w:rPr>
        <w:t>)</w:t>
      </w:r>
      <w:r w:rsidR="000B677E" w:rsidRPr="009F55D5">
        <w:rPr>
          <w:lang w:val="pt-BR"/>
        </w:rPr>
        <w:t xml:space="preserve">. </w:t>
      </w:r>
      <w:r w:rsidR="0016544A" w:rsidRPr="009F63A9">
        <w:t>Brasília, 2020</w:t>
      </w:r>
    </w:p>
    <w:p w14:paraId="60424388" w14:textId="7345484A" w:rsidR="0007583E" w:rsidRPr="009F55D5" w:rsidRDefault="00AD693E" w:rsidP="00F53D2F">
      <w:pPr>
        <w:pStyle w:val="Referencelist"/>
        <w:rPr>
          <w:lang w:val="pt-BR"/>
        </w:rPr>
      </w:pPr>
      <w:r w:rsidRPr="009F55D5">
        <w:rPr>
          <w:lang w:val="pt-BR"/>
        </w:rPr>
        <w:t xml:space="preserve">“G20 e o </w:t>
      </w:r>
      <w:r w:rsidR="0016544A" w:rsidRPr="009F55D5">
        <w:rPr>
          <w:lang w:val="pt-BR"/>
        </w:rPr>
        <w:t>Clima” [</w:t>
      </w:r>
      <w:r w:rsidR="0007583E" w:rsidRPr="009F55D5">
        <w:rPr>
          <w:lang w:val="pt-BR"/>
        </w:rPr>
        <w:t xml:space="preserve">Online] </w:t>
      </w:r>
      <w:proofErr w:type="spellStart"/>
      <w:r w:rsidR="0007583E" w:rsidRPr="009F55D5">
        <w:rPr>
          <w:lang w:val="pt-BR"/>
        </w:rPr>
        <w:t>Available</w:t>
      </w:r>
      <w:proofErr w:type="spellEnd"/>
      <w:r w:rsidR="0007583E" w:rsidRPr="009F55D5">
        <w:rPr>
          <w:lang w:val="pt-BR"/>
        </w:rPr>
        <w:t>: https://climaesociedade.org/wp-content/uploads/2024/04/G20-REV3-21-3.pdf</w:t>
      </w:r>
    </w:p>
    <w:p w14:paraId="60D4D036" w14:textId="62E2621A" w:rsidR="00977F97" w:rsidRDefault="00451AA3" w:rsidP="00674B3A">
      <w:pPr>
        <w:pStyle w:val="Referencelist"/>
      </w:pPr>
      <w:r w:rsidRPr="00674B3A">
        <w:t>Martinez-Val, J.-M. and Dominguez, M.T. (1995) 'Nuclear regulations - towards requirements harmonization' Int. J. of Global Energy Issues, Vol. 8, Nos 1-3, pp. 152-</w:t>
      </w:r>
      <w:r w:rsidR="0016544A" w:rsidRPr="00674B3A">
        <w:t>168.</w:t>
      </w:r>
    </w:p>
    <w:p w14:paraId="4241B3E0" w14:textId="7AC45DA5" w:rsidR="00285755" w:rsidRPr="009F55D5" w:rsidRDefault="00933776" w:rsidP="00537496">
      <w:pPr>
        <w:pStyle w:val="Referencelist"/>
        <w:rPr>
          <w:lang w:val="pt-BR"/>
        </w:rPr>
      </w:pPr>
      <w:r w:rsidRPr="009F55D5">
        <w:rPr>
          <w:lang w:val="pt-BR"/>
        </w:rPr>
        <w:t>LASURTEGUI</w:t>
      </w:r>
      <w:r w:rsidR="00D26ADA" w:rsidRPr="009F55D5">
        <w:rPr>
          <w:lang w:val="pt-BR"/>
        </w:rPr>
        <w:t xml:space="preserve">, A., </w:t>
      </w:r>
      <w:r w:rsidR="005725CC" w:rsidRPr="009F55D5">
        <w:rPr>
          <w:lang w:val="pt-BR"/>
        </w:rPr>
        <w:t xml:space="preserve">Problemas </w:t>
      </w:r>
      <w:proofErr w:type="spellStart"/>
      <w:r w:rsidR="005725CC" w:rsidRPr="009F55D5">
        <w:rPr>
          <w:lang w:val="pt-BR"/>
        </w:rPr>
        <w:t>Juridicos</w:t>
      </w:r>
      <w:proofErr w:type="spellEnd"/>
      <w:r w:rsidR="005725CC" w:rsidRPr="009F55D5">
        <w:rPr>
          <w:lang w:val="pt-BR"/>
        </w:rPr>
        <w:t xml:space="preserve"> de La Energia Nuclear</w:t>
      </w:r>
      <w:r w:rsidR="00D26ADA" w:rsidRPr="009F55D5">
        <w:rPr>
          <w:lang w:val="pt-BR"/>
        </w:rPr>
        <w:t>,</w:t>
      </w:r>
      <w:r w:rsidR="00662532" w:rsidRPr="009F55D5">
        <w:rPr>
          <w:lang w:val="pt-BR"/>
        </w:rPr>
        <w:t xml:space="preserve"> </w:t>
      </w:r>
      <w:r w:rsidR="00CD6CB9" w:rsidRPr="009F55D5">
        <w:rPr>
          <w:lang w:val="pt-BR"/>
        </w:rPr>
        <w:t>J</w:t>
      </w:r>
      <w:r w:rsidR="004715AB" w:rsidRPr="009F55D5">
        <w:rPr>
          <w:lang w:val="pt-BR"/>
        </w:rPr>
        <w:t>EN</w:t>
      </w:r>
      <w:r w:rsidR="00D26ADA" w:rsidRPr="009F55D5">
        <w:rPr>
          <w:lang w:val="pt-BR"/>
        </w:rPr>
        <w:t xml:space="preserve">, </w:t>
      </w:r>
      <w:r w:rsidR="004715AB" w:rsidRPr="009F55D5">
        <w:rPr>
          <w:lang w:val="pt-BR"/>
        </w:rPr>
        <w:t>Madri</w:t>
      </w:r>
      <w:r w:rsidR="00D26ADA" w:rsidRPr="009F55D5">
        <w:rPr>
          <w:lang w:val="pt-BR"/>
        </w:rPr>
        <w:t xml:space="preserve"> (</w:t>
      </w:r>
      <w:r w:rsidR="004715AB" w:rsidRPr="009F55D5">
        <w:rPr>
          <w:lang w:val="pt-BR"/>
        </w:rPr>
        <w:t>1964</w:t>
      </w:r>
      <w:r w:rsidR="00D26ADA" w:rsidRPr="009F55D5">
        <w:rPr>
          <w:lang w:val="pt-BR"/>
        </w:rPr>
        <w:t>).</w:t>
      </w:r>
    </w:p>
    <w:p w14:paraId="6C633452" w14:textId="06020B21" w:rsidR="00E43595" w:rsidRPr="003728E6" w:rsidRDefault="00E43595" w:rsidP="00E43595">
      <w:pPr>
        <w:pStyle w:val="Referencelist"/>
      </w:pPr>
      <w:r>
        <w:t>OECD., “</w:t>
      </w:r>
      <w:r w:rsidR="00327743">
        <w:t>Workshop Synopsis and Findings</w:t>
      </w:r>
      <w:r>
        <w:t xml:space="preserve">”, </w:t>
      </w:r>
      <w:r w:rsidR="0061512C" w:rsidRPr="0061512C">
        <w:t xml:space="preserve">Multi-Sector Workshop </w:t>
      </w:r>
      <w:proofErr w:type="gramStart"/>
      <w:r w:rsidR="0061512C" w:rsidRPr="0061512C">
        <w:t>On</w:t>
      </w:r>
      <w:proofErr w:type="gramEnd"/>
      <w:r w:rsidR="0061512C" w:rsidRPr="0061512C">
        <w:t xml:space="preserve"> Innovative Regulation: Challenges And Benefits Of Harmonising The Licensing Process For Emerging Technologies</w:t>
      </w:r>
      <w:r w:rsidR="00A3093B">
        <w:t>, OCDE</w:t>
      </w:r>
      <w:r w:rsidRPr="003728E6">
        <w:t>, (</w:t>
      </w:r>
      <w:r>
        <w:t>20</w:t>
      </w:r>
      <w:r w:rsidR="00A3093B">
        <w:t>20</w:t>
      </w:r>
      <w:r w:rsidRPr="003728E6">
        <w:t>).</w:t>
      </w:r>
    </w:p>
    <w:p w14:paraId="3480CFFE" w14:textId="35F2F715" w:rsidR="00990C57" w:rsidRPr="003728E6" w:rsidRDefault="001D5BB5" w:rsidP="00990C57">
      <w:pPr>
        <w:pStyle w:val="Referencelist"/>
      </w:pPr>
      <w:r>
        <w:t>IAEA</w:t>
      </w:r>
      <w:r w:rsidR="00990C57">
        <w:t>., “</w:t>
      </w:r>
      <w:r w:rsidR="00185D5C">
        <w:t>Proceedings of an International Conference</w:t>
      </w:r>
      <w:r w:rsidR="00990C57">
        <w:t xml:space="preserve">”, Effective Nuclear Regulatory Systems Facing Safety and Security Challenges </w:t>
      </w:r>
      <w:r w:rsidR="00990C57" w:rsidRPr="003728E6">
        <w:t>(</w:t>
      </w:r>
      <w:r w:rsidR="00990C57">
        <w:t>Moscow</w:t>
      </w:r>
      <w:r w:rsidR="00990C57" w:rsidRPr="003728E6">
        <w:t xml:space="preserve">, </w:t>
      </w:r>
      <w:r w:rsidR="00990C57">
        <w:t>2006</w:t>
      </w:r>
      <w:r w:rsidR="00990C57" w:rsidRPr="003728E6">
        <w:t xml:space="preserve">), </w:t>
      </w:r>
      <w:r w:rsidR="00990C57">
        <w:t>IAEA</w:t>
      </w:r>
      <w:r w:rsidR="00990C57" w:rsidRPr="003728E6">
        <w:t xml:space="preserve">, </w:t>
      </w:r>
      <w:r w:rsidR="00990C57">
        <w:t>Vienna</w:t>
      </w:r>
      <w:r w:rsidR="00990C57" w:rsidRPr="003728E6">
        <w:t xml:space="preserve"> (</w:t>
      </w:r>
      <w:r w:rsidR="00990C57">
        <w:t>2006</w:t>
      </w:r>
      <w:r w:rsidR="00990C57" w:rsidRPr="003728E6">
        <w:t>).</w:t>
      </w:r>
    </w:p>
    <w:p w14:paraId="6C3F737A" w14:textId="74226C1C" w:rsidR="00123665" w:rsidRPr="003728E6" w:rsidRDefault="005611E7" w:rsidP="00123665">
      <w:pPr>
        <w:pStyle w:val="Referencelist"/>
      </w:pPr>
      <w:r>
        <w:t>MAGUGUMELA</w:t>
      </w:r>
      <w:r w:rsidR="00123665">
        <w:t xml:space="preserve">, </w:t>
      </w:r>
      <w:r w:rsidR="003F266D">
        <w:t>M. T</w:t>
      </w:r>
      <w:r w:rsidR="00123665">
        <w:t>., “</w:t>
      </w:r>
      <w:r w:rsidR="003F266D">
        <w:t>Adaptation of The South African Regulatory Framework to the Licensing of The Pebble Bed Modular Reactor</w:t>
      </w:r>
      <w:r w:rsidR="00C059C7">
        <w:t xml:space="preserve"> – Regulatory Challenges</w:t>
      </w:r>
      <w:r w:rsidR="00123665">
        <w:t xml:space="preserve">”, Effective Nuclear Regulatory Systems Facing Safety and Security Challenges </w:t>
      </w:r>
      <w:r w:rsidR="00123665" w:rsidRPr="003728E6">
        <w:t>(</w:t>
      </w:r>
      <w:r w:rsidR="00123665">
        <w:t>Moscow</w:t>
      </w:r>
      <w:r w:rsidR="00123665" w:rsidRPr="003728E6">
        <w:t xml:space="preserve">, </w:t>
      </w:r>
      <w:r w:rsidR="00123665">
        <w:t>2006</w:t>
      </w:r>
      <w:r w:rsidR="00123665" w:rsidRPr="003728E6">
        <w:t xml:space="preserve">), </w:t>
      </w:r>
      <w:r w:rsidR="00123665">
        <w:t>IAEA</w:t>
      </w:r>
      <w:r w:rsidR="00123665" w:rsidRPr="003728E6">
        <w:t xml:space="preserve">, </w:t>
      </w:r>
      <w:r w:rsidR="00123665">
        <w:t>Vienna</w:t>
      </w:r>
      <w:r w:rsidR="00123665" w:rsidRPr="003728E6">
        <w:t xml:space="preserve"> (</w:t>
      </w:r>
      <w:r w:rsidR="00123665">
        <w:t>2006</w:t>
      </w:r>
      <w:r w:rsidR="00123665" w:rsidRPr="003728E6">
        <w:t>).</w:t>
      </w:r>
    </w:p>
    <w:p w14:paraId="38688D28" w14:textId="599EDE6A" w:rsidR="00123665" w:rsidRPr="003728E6" w:rsidRDefault="00F32AE4" w:rsidP="00123665">
      <w:pPr>
        <w:pStyle w:val="Referencelist"/>
      </w:pPr>
      <w:r>
        <w:t>DIAZ</w:t>
      </w:r>
      <w:r w:rsidR="00123665">
        <w:t xml:space="preserve">, </w:t>
      </w:r>
      <w:r>
        <w:t>N</w:t>
      </w:r>
      <w:r w:rsidR="00123665">
        <w:t>., “</w:t>
      </w:r>
      <w:r w:rsidR="007B633F">
        <w:t>Multinational Design Approval Programme</w:t>
      </w:r>
      <w:r w:rsidR="00123665">
        <w:t xml:space="preserve">”, Effective Nuclear Regulatory Systems Facing Safety and Security Challenges </w:t>
      </w:r>
      <w:r w:rsidR="00123665" w:rsidRPr="003728E6">
        <w:t>(</w:t>
      </w:r>
      <w:r w:rsidR="00123665">
        <w:t>Moscow</w:t>
      </w:r>
      <w:r w:rsidR="00123665" w:rsidRPr="003728E6">
        <w:t xml:space="preserve">, </w:t>
      </w:r>
      <w:r w:rsidR="00123665">
        <w:t>2006</w:t>
      </w:r>
      <w:r w:rsidR="00123665" w:rsidRPr="003728E6">
        <w:t xml:space="preserve">), </w:t>
      </w:r>
      <w:r w:rsidR="00123665">
        <w:t>IAEA</w:t>
      </w:r>
      <w:r w:rsidR="00123665" w:rsidRPr="003728E6">
        <w:t xml:space="preserve">, </w:t>
      </w:r>
      <w:r w:rsidR="00123665">
        <w:t>Vienna</w:t>
      </w:r>
      <w:r w:rsidR="00123665" w:rsidRPr="003728E6">
        <w:t xml:space="preserve"> (</w:t>
      </w:r>
      <w:r w:rsidR="00123665">
        <w:t>2006</w:t>
      </w:r>
      <w:r w:rsidR="00123665" w:rsidRPr="003728E6">
        <w:t>).</w:t>
      </w:r>
    </w:p>
    <w:p w14:paraId="13DAB152" w14:textId="77777777" w:rsidR="00662532" w:rsidRPr="00D26ADA" w:rsidRDefault="00662532" w:rsidP="00537496">
      <w:pPr>
        <w:pStyle w:val="Otherunnumberedheadings"/>
      </w:pPr>
      <w:r>
        <w:t>BIBLIOGRAPHY</w:t>
      </w:r>
    </w:p>
    <w:p w14:paraId="72BC8B43" w14:textId="26CB7195" w:rsidR="00157DE8" w:rsidRPr="00AA0135" w:rsidRDefault="00157DE8" w:rsidP="00AA0135">
      <w:pPr>
        <w:pStyle w:val="Corpodetexto"/>
        <w:ind w:firstLine="0"/>
      </w:pPr>
      <w:r w:rsidRPr="00AA0135">
        <w:t xml:space="preserve">COOK, Helen. </w:t>
      </w:r>
      <w:r w:rsidR="00D50E0A" w:rsidRPr="00AA0135">
        <w:t xml:space="preserve"> - </w:t>
      </w:r>
      <w:r w:rsidRPr="00AA0135">
        <w:t xml:space="preserve">The Law of Nuclear Energy. London, 2022. </w:t>
      </w:r>
      <w:proofErr w:type="gramStart"/>
      <w:r w:rsidRPr="00AA0135">
        <w:t>3nd</w:t>
      </w:r>
      <w:proofErr w:type="gramEnd"/>
      <w:r w:rsidRPr="00AA0135">
        <w:t xml:space="preserve"> edition</w:t>
      </w:r>
    </w:p>
    <w:p w14:paraId="42F7B683" w14:textId="77777777" w:rsidR="00D50E0A" w:rsidRDefault="00D50E0A" w:rsidP="00537496">
      <w:pPr>
        <w:pStyle w:val="Corpodetexto"/>
        <w:ind w:firstLine="0"/>
        <w:jc w:val="left"/>
      </w:pPr>
    </w:p>
    <w:sectPr w:rsidR="00D50E0A" w:rsidSect="00C0407E">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3EA5B" w14:textId="77777777" w:rsidR="00272BB7" w:rsidRDefault="00272BB7">
      <w:r>
        <w:separator/>
      </w:r>
    </w:p>
  </w:endnote>
  <w:endnote w:type="continuationSeparator" w:id="0">
    <w:p w14:paraId="0F060C55" w14:textId="77777777" w:rsidR="00272BB7" w:rsidRDefault="0027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6820118F"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9111FC">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58F39" w14:textId="77777777" w:rsidR="00272BB7" w:rsidRDefault="00272BB7">
      <w:r>
        <w:t>___________________________________________________________________________</w:t>
      </w:r>
    </w:p>
  </w:footnote>
  <w:footnote w:type="continuationSeparator" w:id="0">
    <w:p w14:paraId="7001F688" w14:textId="77777777" w:rsidR="00272BB7" w:rsidRDefault="00272BB7">
      <w:r>
        <w:t>___________________________________________________________________________</w:t>
      </w:r>
    </w:p>
  </w:footnote>
  <w:footnote w:type="continuationNotice" w:id="1">
    <w:p w14:paraId="55A7F9E3" w14:textId="77777777" w:rsidR="00272BB7" w:rsidRDefault="00272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3F8E2BFA" w:rsidR="00E20E70" w:rsidRPr="005F60A4" w:rsidRDefault="005F60A4" w:rsidP="005F60A4">
    <w:pPr>
      <w:pStyle w:val="Runninghead"/>
      <w:ind w:firstLine="567"/>
      <w:rPr>
        <w:lang w:val="pt-BR"/>
      </w:rPr>
    </w:pPr>
    <w:r w:rsidRPr="005F60A4">
      <w:rPr>
        <w:lang w:val="pt-BR"/>
      </w:rPr>
      <w:t xml:space="preserve">Anna Letícia Barbosa </w:t>
    </w:r>
    <w:r w:rsidR="0092091C">
      <w:rPr>
        <w:lang w:val="pt-BR"/>
      </w:rPr>
      <w:t xml:space="preserve">de </w:t>
    </w:r>
    <w:r w:rsidRPr="005F60A4">
      <w:rPr>
        <w:lang w:val="pt-BR"/>
      </w:rPr>
      <w:t xml:space="preserve">Sousa </w:t>
    </w:r>
    <w:proofErr w:type="spellStart"/>
    <w:r w:rsidRPr="005F60A4">
      <w:rPr>
        <w:lang w:val="pt-BR"/>
      </w:rPr>
      <w:t>and</w:t>
    </w:r>
    <w:proofErr w:type="spellEnd"/>
    <w:r w:rsidRPr="005F60A4">
      <w:rPr>
        <w:lang w:val="pt-BR"/>
      </w:rPr>
      <w:t xml:space="preserve"> Nelbia da </w:t>
    </w:r>
    <w:r>
      <w:rPr>
        <w:lang w:val="pt-BR"/>
      </w:rPr>
      <w:t>Silva</w:t>
    </w:r>
    <w:r w:rsidR="007B13B8">
      <w:rPr>
        <w:lang w:val="pt-BR"/>
      </w:rPr>
      <w:t xml:space="preserve"> Lapa</w:t>
    </w:r>
    <w:r>
      <w:rPr>
        <w:lang w:val="pt-B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tulo9"/>
            <w:spacing w:before="0" w:after="10"/>
          </w:pPr>
        </w:p>
      </w:tc>
      <w:tc>
        <w:tcPr>
          <w:tcW w:w="5702" w:type="dxa"/>
          <w:vMerge/>
          <w:vAlign w:val="bottom"/>
        </w:tcPr>
        <w:p w14:paraId="313FA1D9" w14:textId="77777777" w:rsidR="00E20E70" w:rsidRDefault="00E20E70">
          <w:pPr>
            <w:pStyle w:val="Ttulo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44AF"/>
    <w:multiLevelType w:val="hybridMultilevel"/>
    <w:tmpl w:val="4CD26F0E"/>
    <w:lvl w:ilvl="0" w:tplc="493881B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9B3293B"/>
    <w:multiLevelType w:val="hybridMultilevel"/>
    <w:tmpl w:val="125CBFA8"/>
    <w:lvl w:ilvl="0" w:tplc="493881BE">
      <w:start w:val="1"/>
      <w:numFmt w:val="bullet"/>
      <w:lvlText w:val=""/>
      <w:lvlJc w:val="left"/>
      <w:pPr>
        <w:ind w:left="1287" w:hanging="360"/>
      </w:pPr>
      <w:rPr>
        <w:rFonts w:ascii="Symbol" w:hAnsi="Symbol" w:hint="default"/>
        <w:color w:val="FF000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D1196F"/>
    <w:multiLevelType w:val="hybridMultilevel"/>
    <w:tmpl w:val="555E907A"/>
    <w:lvl w:ilvl="0" w:tplc="6500254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23F9A"/>
    <w:multiLevelType w:val="hybridMultilevel"/>
    <w:tmpl w:val="66BCAF04"/>
    <w:lvl w:ilvl="0" w:tplc="E138D6DC">
      <w:start w:val="1"/>
      <w:numFmt w:val="bullet"/>
      <w:lvlText w:val=""/>
      <w:lvlJc w:val="left"/>
      <w:pPr>
        <w:tabs>
          <w:tab w:val="num" w:pos="720"/>
        </w:tabs>
        <w:ind w:left="720" w:hanging="360"/>
      </w:pPr>
      <w:rPr>
        <w:rFonts w:ascii="Wingdings" w:hAnsi="Wingdings" w:hint="default"/>
      </w:rPr>
    </w:lvl>
    <w:lvl w:ilvl="1" w:tplc="63A8B372" w:tentative="1">
      <w:start w:val="1"/>
      <w:numFmt w:val="bullet"/>
      <w:lvlText w:val=""/>
      <w:lvlJc w:val="left"/>
      <w:pPr>
        <w:tabs>
          <w:tab w:val="num" w:pos="1440"/>
        </w:tabs>
        <w:ind w:left="1440" w:hanging="360"/>
      </w:pPr>
      <w:rPr>
        <w:rFonts w:ascii="Wingdings" w:hAnsi="Wingdings" w:hint="default"/>
      </w:rPr>
    </w:lvl>
    <w:lvl w:ilvl="2" w:tplc="C0CE25BE" w:tentative="1">
      <w:start w:val="1"/>
      <w:numFmt w:val="bullet"/>
      <w:lvlText w:val=""/>
      <w:lvlJc w:val="left"/>
      <w:pPr>
        <w:tabs>
          <w:tab w:val="num" w:pos="2160"/>
        </w:tabs>
        <w:ind w:left="2160" w:hanging="360"/>
      </w:pPr>
      <w:rPr>
        <w:rFonts w:ascii="Wingdings" w:hAnsi="Wingdings" w:hint="default"/>
      </w:rPr>
    </w:lvl>
    <w:lvl w:ilvl="3" w:tplc="703AEAE4" w:tentative="1">
      <w:start w:val="1"/>
      <w:numFmt w:val="bullet"/>
      <w:lvlText w:val=""/>
      <w:lvlJc w:val="left"/>
      <w:pPr>
        <w:tabs>
          <w:tab w:val="num" w:pos="2880"/>
        </w:tabs>
        <w:ind w:left="2880" w:hanging="360"/>
      </w:pPr>
      <w:rPr>
        <w:rFonts w:ascii="Wingdings" w:hAnsi="Wingdings" w:hint="default"/>
      </w:rPr>
    </w:lvl>
    <w:lvl w:ilvl="4" w:tplc="ADB0C86E" w:tentative="1">
      <w:start w:val="1"/>
      <w:numFmt w:val="bullet"/>
      <w:lvlText w:val=""/>
      <w:lvlJc w:val="left"/>
      <w:pPr>
        <w:tabs>
          <w:tab w:val="num" w:pos="3600"/>
        </w:tabs>
        <w:ind w:left="3600" w:hanging="360"/>
      </w:pPr>
      <w:rPr>
        <w:rFonts w:ascii="Wingdings" w:hAnsi="Wingdings" w:hint="default"/>
      </w:rPr>
    </w:lvl>
    <w:lvl w:ilvl="5" w:tplc="B4745B72" w:tentative="1">
      <w:start w:val="1"/>
      <w:numFmt w:val="bullet"/>
      <w:lvlText w:val=""/>
      <w:lvlJc w:val="left"/>
      <w:pPr>
        <w:tabs>
          <w:tab w:val="num" w:pos="4320"/>
        </w:tabs>
        <w:ind w:left="4320" w:hanging="360"/>
      </w:pPr>
      <w:rPr>
        <w:rFonts w:ascii="Wingdings" w:hAnsi="Wingdings" w:hint="default"/>
      </w:rPr>
    </w:lvl>
    <w:lvl w:ilvl="6" w:tplc="9A36AF08" w:tentative="1">
      <w:start w:val="1"/>
      <w:numFmt w:val="bullet"/>
      <w:lvlText w:val=""/>
      <w:lvlJc w:val="left"/>
      <w:pPr>
        <w:tabs>
          <w:tab w:val="num" w:pos="5040"/>
        </w:tabs>
        <w:ind w:left="5040" w:hanging="360"/>
      </w:pPr>
      <w:rPr>
        <w:rFonts w:ascii="Wingdings" w:hAnsi="Wingdings" w:hint="default"/>
      </w:rPr>
    </w:lvl>
    <w:lvl w:ilvl="7" w:tplc="446C663E" w:tentative="1">
      <w:start w:val="1"/>
      <w:numFmt w:val="bullet"/>
      <w:lvlText w:val=""/>
      <w:lvlJc w:val="left"/>
      <w:pPr>
        <w:tabs>
          <w:tab w:val="num" w:pos="5760"/>
        </w:tabs>
        <w:ind w:left="5760" w:hanging="360"/>
      </w:pPr>
      <w:rPr>
        <w:rFonts w:ascii="Wingdings" w:hAnsi="Wingdings" w:hint="default"/>
      </w:rPr>
    </w:lvl>
    <w:lvl w:ilvl="8" w:tplc="EF10E1A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13E6134"/>
    <w:multiLevelType w:val="hybridMultilevel"/>
    <w:tmpl w:val="F252E168"/>
    <w:lvl w:ilvl="0" w:tplc="FA9AB03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F02DA3"/>
    <w:multiLevelType w:val="multilevel"/>
    <w:tmpl w:val="18FCC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E320DE"/>
    <w:multiLevelType w:val="hybridMultilevel"/>
    <w:tmpl w:val="CEBA2E86"/>
    <w:lvl w:ilvl="0" w:tplc="08090001">
      <w:start w:val="1"/>
      <w:numFmt w:val="bullet"/>
      <w:lvlText w:val=""/>
      <w:lvlJc w:val="left"/>
      <w:pPr>
        <w:ind w:left="720" w:hanging="360"/>
      </w:pPr>
      <w:rPr>
        <w:rFonts w:ascii="Symbol" w:hAnsi="Symbol" w:hint="default"/>
      </w:rPr>
    </w:lvl>
    <w:lvl w:ilvl="1" w:tplc="4E5A4DE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873453"/>
    <w:multiLevelType w:val="hybridMultilevel"/>
    <w:tmpl w:val="055843E0"/>
    <w:lvl w:ilvl="0" w:tplc="6870FA02">
      <w:start w:val="1"/>
      <w:numFmt w:val="lowerLetter"/>
      <w:lvlText w:val="%1)"/>
      <w:lvlJc w:val="left"/>
      <w:pPr>
        <w:tabs>
          <w:tab w:val="num" w:pos="720"/>
        </w:tabs>
        <w:ind w:left="720" w:hanging="360"/>
      </w:pPr>
    </w:lvl>
    <w:lvl w:ilvl="1" w:tplc="B8C6F2BC" w:tentative="1">
      <w:start w:val="1"/>
      <w:numFmt w:val="lowerLetter"/>
      <w:lvlText w:val="%2)"/>
      <w:lvlJc w:val="left"/>
      <w:pPr>
        <w:tabs>
          <w:tab w:val="num" w:pos="1440"/>
        </w:tabs>
        <w:ind w:left="1440" w:hanging="360"/>
      </w:pPr>
    </w:lvl>
    <w:lvl w:ilvl="2" w:tplc="B07C34EC" w:tentative="1">
      <w:start w:val="1"/>
      <w:numFmt w:val="lowerLetter"/>
      <w:lvlText w:val="%3)"/>
      <w:lvlJc w:val="left"/>
      <w:pPr>
        <w:tabs>
          <w:tab w:val="num" w:pos="2160"/>
        </w:tabs>
        <w:ind w:left="2160" w:hanging="360"/>
      </w:pPr>
    </w:lvl>
    <w:lvl w:ilvl="3" w:tplc="8CC85B82" w:tentative="1">
      <w:start w:val="1"/>
      <w:numFmt w:val="lowerLetter"/>
      <w:lvlText w:val="%4)"/>
      <w:lvlJc w:val="left"/>
      <w:pPr>
        <w:tabs>
          <w:tab w:val="num" w:pos="2880"/>
        </w:tabs>
        <w:ind w:left="2880" w:hanging="360"/>
      </w:pPr>
    </w:lvl>
    <w:lvl w:ilvl="4" w:tplc="0F2EC39E" w:tentative="1">
      <w:start w:val="1"/>
      <w:numFmt w:val="lowerLetter"/>
      <w:lvlText w:val="%5)"/>
      <w:lvlJc w:val="left"/>
      <w:pPr>
        <w:tabs>
          <w:tab w:val="num" w:pos="3600"/>
        </w:tabs>
        <w:ind w:left="3600" w:hanging="360"/>
      </w:pPr>
    </w:lvl>
    <w:lvl w:ilvl="5" w:tplc="1EBEDC52" w:tentative="1">
      <w:start w:val="1"/>
      <w:numFmt w:val="lowerLetter"/>
      <w:lvlText w:val="%6)"/>
      <w:lvlJc w:val="left"/>
      <w:pPr>
        <w:tabs>
          <w:tab w:val="num" w:pos="4320"/>
        </w:tabs>
        <w:ind w:left="4320" w:hanging="360"/>
      </w:pPr>
    </w:lvl>
    <w:lvl w:ilvl="6" w:tplc="B030BDA6" w:tentative="1">
      <w:start w:val="1"/>
      <w:numFmt w:val="lowerLetter"/>
      <w:lvlText w:val="%7)"/>
      <w:lvlJc w:val="left"/>
      <w:pPr>
        <w:tabs>
          <w:tab w:val="num" w:pos="5040"/>
        </w:tabs>
        <w:ind w:left="5040" w:hanging="360"/>
      </w:pPr>
    </w:lvl>
    <w:lvl w:ilvl="7" w:tplc="3586E798" w:tentative="1">
      <w:start w:val="1"/>
      <w:numFmt w:val="lowerLetter"/>
      <w:lvlText w:val="%8)"/>
      <w:lvlJc w:val="left"/>
      <w:pPr>
        <w:tabs>
          <w:tab w:val="num" w:pos="5760"/>
        </w:tabs>
        <w:ind w:left="5760" w:hanging="360"/>
      </w:pPr>
    </w:lvl>
    <w:lvl w:ilvl="8" w:tplc="762E5A98" w:tentative="1">
      <w:start w:val="1"/>
      <w:numFmt w:val="lowerLetter"/>
      <w:lvlText w:val="%9)"/>
      <w:lvlJc w:val="left"/>
      <w:pPr>
        <w:tabs>
          <w:tab w:val="num" w:pos="6480"/>
        </w:tabs>
        <w:ind w:left="6480" w:hanging="360"/>
      </w:pPr>
    </w:lvl>
  </w:abstractNum>
  <w:abstractNum w:abstractNumId="17" w15:restartNumberingAfterBreak="0">
    <w:nsid w:val="657927AD"/>
    <w:multiLevelType w:val="multilevel"/>
    <w:tmpl w:val="80D86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tulo2"/>
      <w:suff w:val="space"/>
      <w:lvlText w:val="%1%2."/>
      <w:lvlJc w:val="left"/>
      <w:pPr>
        <w:ind w:left="0" w:firstLine="0"/>
      </w:pPr>
      <w:rPr>
        <w:rFonts w:hint="default"/>
        <w:color w:val="auto"/>
      </w:rPr>
    </w:lvl>
    <w:lvl w:ilvl="2">
      <w:start w:val="1"/>
      <w:numFmt w:val="decimal"/>
      <w:lvlRestart w:val="0"/>
      <w:pStyle w:val="Ttulo3"/>
      <w:lvlText w:val="%1%2.%3."/>
      <w:lvlJc w:val="left"/>
      <w:pPr>
        <w:ind w:left="0" w:firstLine="0"/>
      </w:pPr>
      <w:rPr>
        <w:rFonts w:hint="default"/>
      </w:rPr>
    </w:lvl>
    <w:lvl w:ilvl="3">
      <w:start w:val="1"/>
      <w:numFmt w:val="decimal"/>
      <w:lvlRestart w:val="0"/>
      <w:pStyle w:val="Ttu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20"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52335768">
    <w:abstractNumId w:val="14"/>
  </w:num>
  <w:num w:numId="2" w16cid:durableId="764764218">
    <w:abstractNumId w:val="7"/>
  </w:num>
  <w:num w:numId="3" w16cid:durableId="368918767">
    <w:abstractNumId w:val="19"/>
  </w:num>
  <w:num w:numId="4" w16cid:durableId="554194541">
    <w:abstractNumId w:val="19"/>
  </w:num>
  <w:num w:numId="5" w16cid:durableId="585000930">
    <w:abstractNumId w:val="19"/>
  </w:num>
  <w:num w:numId="6" w16cid:durableId="1343974838">
    <w:abstractNumId w:val="9"/>
  </w:num>
  <w:num w:numId="7" w16cid:durableId="754474236">
    <w:abstractNumId w:val="15"/>
  </w:num>
  <w:num w:numId="8" w16cid:durableId="2705408">
    <w:abstractNumId w:val="20"/>
  </w:num>
  <w:num w:numId="9" w16cid:durableId="2091465759">
    <w:abstractNumId w:val="2"/>
  </w:num>
  <w:num w:numId="10" w16cid:durableId="1358309045">
    <w:abstractNumId w:val="19"/>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none"/>
        <w:lvlRestart w:val="0"/>
        <w:pStyle w:val="Ttul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915384868">
    <w:abstractNumId w:val="19"/>
  </w:num>
  <w:num w:numId="12" w16cid:durableId="544410208">
    <w:abstractNumId w:val="19"/>
  </w:num>
  <w:num w:numId="13" w16cid:durableId="1974823520">
    <w:abstractNumId w:val="19"/>
  </w:num>
  <w:num w:numId="14" w16cid:durableId="192111247">
    <w:abstractNumId w:val="19"/>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suff w:val="space"/>
        <w:lvlText w:val="%1%2.%3."/>
        <w:lvlJc w:val="left"/>
        <w:pPr>
          <w:ind w:left="0" w:firstLine="0"/>
        </w:pPr>
        <w:rPr>
          <w:rFonts w:hint="default"/>
        </w:rPr>
      </w:lvl>
    </w:lvlOverride>
    <w:lvlOverride w:ilvl="3">
      <w:lvl w:ilvl="3">
        <w:start w:val="1"/>
        <w:numFmt w:val="decimal"/>
        <w:lvlRestart w:val="0"/>
        <w:pStyle w:val="Ttu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156142540">
    <w:abstractNumId w:val="19"/>
  </w:num>
  <w:num w:numId="16" w16cid:durableId="1862546449">
    <w:abstractNumId w:val="19"/>
  </w:num>
  <w:num w:numId="17" w16cid:durableId="1193112314">
    <w:abstractNumId w:val="19"/>
  </w:num>
  <w:num w:numId="18" w16cid:durableId="20100193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186318">
    <w:abstractNumId w:val="19"/>
  </w:num>
  <w:num w:numId="20" w16cid:durableId="186064567">
    <w:abstractNumId w:val="3"/>
  </w:num>
  <w:num w:numId="21" w16cid:durableId="1382905185">
    <w:abstractNumId w:val="19"/>
  </w:num>
  <w:num w:numId="22" w16cid:durableId="1087574954">
    <w:abstractNumId w:val="5"/>
  </w:num>
  <w:num w:numId="23" w16cid:durableId="2031687413">
    <w:abstractNumId w:val="1"/>
  </w:num>
  <w:num w:numId="24" w16cid:durableId="91629544">
    <w:abstractNumId w:val="18"/>
  </w:num>
  <w:num w:numId="25" w16cid:durableId="778526033">
    <w:abstractNumId w:val="19"/>
  </w:num>
  <w:num w:numId="26" w16cid:durableId="454298619">
    <w:abstractNumId w:val="19"/>
  </w:num>
  <w:num w:numId="27" w16cid:durableId="1053965863">
    <w:abstractNumId w:val="19"/>
  </w:num>
  <w:num w:numId="28" w16cid:durableId="1367950893">
    <w:abstractNumId w:val="19"/>
  </w:num>
  <w:num w:numId="29" w16cid:durableId="846678447">
    <w:abstractNumId w:val="19"/>
  </w:num>
  <w:num w:numId="30" w16cid:durableId="2089230177">
    <w:abstractNumId w:val="11"/>
  </w:num>
  <w:num w:numId="31" w16cid:durableId="1455631563">
    <w:abstractNumId w:val="11"/>
  </w:num>
  <w:num w:numId="32" w16cid:durableId="449202790">
    <w:abstractNumId w:val="19"/>
  </w:num>
  <w:num w:numId="33" w16cid:durableId="304166670">
    <w:abstractNumId w:val="19"/>
  </w:num>
  <w:num w:numId="34" w16cid:durableId="2081442782">
    <w:abstractNumId w:val="19"/>
  </w:num>
  <w:num w:numId="35" w16cid:durableId="1812356600">
    <w:abstractNumId w:val="19"/>
  </w:num>
  <w:num w:numId="36" w16cid:durableId="1308823708">
    <w:abstractNumId w:val="11"/>
    <w:lvlOverride w:ilvl="0">
      <w:startOverride w:val="1"/>
    </w:lvlOverride>
  </w:num>
  <w:num w:numId="37" w16cid:durableId="1907302442">
    <w:abstractNumId w:val="11"/>
  </w:num>
  <w:num w:numId="38" w16cid:durableId="1459184453">
    <w:abstractNumId w:val="13"/>
  </w:num>
  <w:num w:numId="39" w16cid:durableId="2118325729">
    <w:abstractNumId w:val="8"/>
  </w:num>
  <w:num w:numId="40" w16cid:durableId="791943848">
    <w:abstractNumId w:val="0"/>
  </w:num>
  <w:num w:numId="41" w16cid:durableId="610818526">
    <w:abstractNumId w:val="4"/>
  </w:num>
  <w:num w:numId="42" w16cid:durableId="1867866472">
    <w:abstractNumId w:val="16"/>
  </w:num>
  <w:num w:numId="43" w16cid:durableId="1458178103">
    <w:abstractNumId w:val="19"/>
  </w:num>
  <w:num w:numId="44" w16cid:durableId="208418864">
    <w:abstractNumId w:val="19"/>
  </w:num>
  <w:num w:numId="45" w16cid:durableId="1969701892">
    <w:abstractNumId w:val="19"/>
  </w:num>
  <w:num w:numId="46" w16cid:durableId="377320241">
    <w:abstractNumId w:val="17"/>
  </w:num>
  <w:num w:numId="47" w16cid:durableId="33964882">
    <w:abstractNumId w:val="12"/>
  </w:num>
  <w:num w:numId="48" w16cid:durableId="18552332">
    <w:abstractNumId w:val="6"/>
  </w:num>
  <w:num w:numId="49" w16cid:durableId="20856409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fr-BE" w:vendorID="64" w:dllVersion="0" w:nlCheck="1" w:checkStyle="0"/>
  <w:activeWritingStyle w:appName="MSWord" w:lang="pt-BR"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060C"/>
    <w:rsid w:val="00013A83"/>
    <w:rsid w:val="00015051"/>
    <w:rsid w:val="000222CB"/>
    <w:rsid w:val="000229AB"/>
    <w:rsid w:val="0002569A"/>
    <w:rsid w:val="00036A91"/>
    <w:rsid w:val="00037321"/>
    <w:rsid w:val="00040A7F"/>
    <w:rsid w:val="000426FC"/>
    <w:rsid w:val="000458FC"/>
    <w:rsid w:val="00047DB5"/>
    <w:rsid w:val="00050B8C"/>
    <w:rsid w:val="000521F2"/>
    <w:rsid w:val="00054E1E"/>
    <w:rsid w:val="00070216"/>
    <w:rsid w:val="000704F1"/>
    <w:rsid w:val="00073A24"/>
    <w:rsid w:val="0007583E"/>
    <w:rsid w:val="00077639"/>
    <w:rsid w:val="00082A9F"/>
    <w:rsid w:val="0008399D"/>
    <w:rsid w:val="00085D9B"/>
    <w:rsid w:val="000864CD"/>
    <w:rsid w:val="00086FBA"/>
    <w:rsid w:val="00092A1E"/>
    <w:rsid w:val="0009464C"/>
    <w:rsid w:val="00094AFE"/>
    <w:rsid w:val="000958AF"/>
    <w:rsid w:val="000A0299"/>
    <w:rsid w:val="000A1489"/>
    <w:rsid w:val="000A6D6F"/>
    <w:rsid w:val="000B0208"/>
    <w:rsid w:val="000B146B"/>
    <w:rsid w:val="000B46BE"/>
    <w:rsid w:val="000B677E"/>
    <w:rsid w:val="000B7EBD"/>
    <w:rsid w:val="000C1588"/>
    <w:rsid w:val="000C185A"/>
    <w:rsid w:val="000C6F25"/>
    <w:rsid w:val="000E1E03"/>
    <w:rsid w:val="000E2E5B"/>
    <w:rsid w:val="000E7798"/>
    <w:rsid w:val="000F1217"/>
    <w:rsid w:val="000F3D0E"/>
    <w:rsid w:val="000F60A1"/>
    <w:rsid w:val="000F6A05"/>
    <w:rsid w:val="000F7E94"/>
    <w:rsid w:val="001027A3"/>
    <w:rsid w:val="0010354A"/>
    <w:rsid w:val="0010592B"/>
    <w:rsid w:val="00106930"/>
    <w:rsid w:val="001070CD"/>
    <w:rsid w:val="001119D6"/>
    <w:rsid w:val="00113829"/>
    <w:rsid w:val="00115DA6"/>
    <w:rsid w:val="001160CE"/>
    <w:rsid w:val="0011659B"/>
    <w:rsid w:val="00123665"/>
    <w:rsid w:val="00123D1E"/>
    <w:rsid w:val="00127FB4"/>
    <w:rsid w:val="001308F2"/>
    <w:rsid w:val="001313E8"/>
    <w:rsid w:val="00133587"/>
    <w:rsid w:val="00150499"/>
    <w:rsid w:val="00151682"/>
    <w:rsid w:val="001564F6"/>
    <w:rsid w:val="00157DE8"/>
    <w:rsid w:val="001612EE"/>
    <w:rsid w:val="0016544A"/>
    <w:rsid w:val="0016740A"/>
    <w:rsid w:val="00173DB0"/>
    <w:rsid w:val="00176E55"/>
    <w:rsid w:val="00181BFB"/>
    <w:rsid w:val="00182EE2"/>
    <w:rsid w:val="00185670"/>
    <w:rsid w:val="0018578E"/>
    <w:rsid w:val="00185D5C"/>
    <w:rsid w:val="00185E30"/>
    <w:rsid w:val="00196988"/>
    <w:rsid w:val="001A2A93"/>
    <w:rsid w:val="001A7068"/>
    <w:rsid w:val="001A7E38"/>
    <w:rsid w:val="001B0DCA"/>
    <w:rsid w:val="001B3904"/>
    <w:rsid w:val="001B4488"/>
    <w:rsid w:val="001C58F5"/>
    <w:rsid w:val="001D051B"/>
    <w:rsid w:val="001D1F67"/>
    <w:rsid w:val="001D4237"/>
    <w:rsid w:val="001D5BB5"/>
    <w:rsid w:val="001D5CEE"/>
    <w:rsid w:val="001E0BCF"/>
    <w:rsid w:val="001E3D18"/>
    <w:rsid w:val="001E76C8"/>
    <w:rsid w:val="001F1F43"/>
    <w:rsid w:val="001F3C66"/>
    <w:rsid w:val="001F5CE8"/>
    <w:rsid w:val="002002E5"/>
    <w:rsid w:val="002019F4"/>
    <w:rsid w:val="00202D94"/>
    <w:rsid w:val="002030C5"/>
    <w:rsid w:val="00205583"/>
    <w:rsid w:val="00205859"/>
    <w:rsid w:val="002071D9"/>
    <w:rsid w:val="002073D1"/>
    <w:rsid w:val="00211611"/>
    <w:rsid w:val="00236191"/>
    <w:rsid w:val="0024168D"/>
    <w:rsid w:val="00241D37"/>
    <w:rsid w:val="00251129"/>
    <w:rsid w:val="00252866"/>
    <w:rsid w:val="00255D05"/>
    <w:rsid w:val="00256822"/>
    <w:rsid w:val="00260D75"/>
    <w:rsid w:val="00261C7F"/>
    <w:rsid w:val="002633BD"/>
    <w:rsid w:val="0026525A"/>
    <w:rsid w:val="00270FEB"/>
    <w:rsid w:val="002715B0"/>
    <w:rsid w:val="00272BB7"/>
    <w:rsid w:val="002737C4"/>
    <w:rsid w:val="0027413C"/>
    <w:rsid w:val="00274790"/>
    <w:rsid w:val="00277D35"/>
    <w:rsid w:val="002809B8"/>
    <w:rsid w:val="00284EFA"/>
    <w:rsid w:val="00285524"/>
    <w:rsid w:val="00285755"/>
    <w:rsid w:val="0029162B"/>
    <w:rsid w:val="002976ED"/>
    <w:rsid w:val="002A0831"/>
    <w:rsid w:val="002A1F27"/>
    <w:rsid w:val="002A1F9C"/>
    <w:rsid w:val="002A302B"/>
    <w:rsid w:val="002A6BF2"/>
    <w:rsid w:val="002B00D7"/>
    <w:rsid w:val="002B19A8"/>
    <w:rsid w:val="002B29C2"/>
    <w:rsid w:val="002B38FE"/>
    <w:rsid w:val="002B4FAB"/>
    <w:rsid w:val="002C19B9"/>
    <w:rsid w:val="002C4208"/>
    <w:rsid w:val="002D0602"/>
    <w:rsid w:val="002D4AF4"/>
    <w:rsid w:val="002D7D29"/>
    <w:rsid w:val="002E167F"/>
    <w:rsid w:val="002F3CD4"/>
    <w:rsid w:val="002F4A19"/>
    <w:rsid w:val="00311137"/>
    <w:rsid w:val="0032061D"/>
    <w:rsid w:val="003221FB"/>
    <w:rsid w:val="00327743"/>
    <w:rsid w:val="00332EBC"/>
    <w:rsid w:val="0033313C"/>
    <w:rsid w:val="00334761"/>
    <w:rsid w:val="00336FCA"/>
    <w:rsid w:val="00340F8A"/>
    <w:rsid w:val="00342000"/>
    <w:rsid w:val="003442B1"/>
    <w:rsid w:val="00352DE1"/>
    <w:rsid w:val="0035313B"/>
    <w:rsid w:val="003621BC"/>
    <w:rsid w:val="003634A7"/>
    <w:rsid w:val="0036360C"/>
    <w:rsid w:val="00364DDD"/>
    <w:rsid w:val="003728E6"/>
    <w:rsid w:val="00377E06"/>
    <w:rsid w:val="003A406B"/>
    <w:rsid w:val="003B4AD1"/>
    <w:rsid w:val="003B5E0E"/>
    <w:rsid w:val="003B6513"/>
    <w:rsid w:val="003C1A72"/>
    <w:rsid w:val="003D1FFB"/>
    <w:rsid w:val="003D255A"/>
    <w:rsid w:val="003D4D84"/>
    <w:rsid w:val="003E0599"/>
    <w:rsid w:val="003F135D"/>
    <w:rsid w:val="003F266D"/>
    <w:rsid w:val="003F2CF4"/>
    <w:rsid w:val="004011F8"/>
    <w:rsid w:val="004015F6"/>
    <w:rsid w:val="004040F6"/>
    <w:rsid w:val="0040419E"/>
    <w:rsid w:val="004051C3"/>
    <w:rsid w:val="00406E92"/>
    <w:rsid w:val="00407CD2"/>
    <w:rsid w:val="00410EDD"/>
    <w:rsid w:val="00411B46"/>
    <w:rsid w:val="00416949"/>
    <w:rsid w:val="004206DF"/>
    <w:rsid w:val="00424EC5"/>
    <w:rsid w:val="00430790"/>
    <w:rsid w:val="004370D8"/>
    <w:rsid w:val="0043728C"/>
    <w:rsid w:val="00440741"/>
    <w:rsid w:val="00443541"/>
    <w:rsid w:val="004442B7"/>
    <w:rsid w:val="004505C4"/>
    <w:rsid w:val="00451AA3"/>
    <w:rsid w:val="00462DE8"/>
    <w:rsid w:val="00464261"/>
    <w:rsid w:val="00464A5C"/>
    <w:rsid w:val="004666A5"/>
    <w:rsid w:val="004670D5"/>
    <w:rsid w:val="00467696"/>
    <w:rsid w:val="00470AE9"/>
    <w:rsid w:val="004715AB"/>
    <w:rsid w:val="00472C43"/>
    <w:rsid w:val="0047364E"/>
    <w:rsid w:val="0047403E"/>
    <w:rsid w:val="00475351"/>
    <w:rsid w:val="004810EA"/>
    <w:rsid w:val="0048478E"/>
    <w:rsid w:val="00496B66"/>
    <w:rsid w:val="004A3CA5"/>
    <w:rsid w:val="004A3CB6"/>
    <w:rsid w:val="004A4B70"/>
    <w:rsid w:val="004A5993"/>
    <w:rsid w:val="004B0BB1"/>
    <w:rsid w:val="004B7863"/>
    <w:rsid w:val="004C1FCD"/>
    <w:rsid w:val="004C4D59"/>
    <w:rsid w:val="004D6AD3"/>
    <w:rsid w:val="004D7B78"/>
    <w:rsid w:val="004E46CD"/>
    <w:rsid w:val="004E4CE0"/>
    <w:rsid w:val="004E5CE3"/>
    <w:rsid w:val="004F293D"/>
    <w:rsid w:val="004F57CD"/>
    <w:rsid w:val="00503B11"/>
    <w:rsid w:val="00505257"/>
    <w:rsid w:val="00512A7C"/>
    <w:rsid w:val="0052160E"/>
    <w:rsid w:val="0052163B"/>
    <w:rsid w:val="00523759"/>
    <w:rsid w:val="00524F1E"/>
    <w:rsid w:val="00534BB8"/>
    <w:rsid w:val="00534DD8"/>
    <w:rsid w:val="00537496"/>
    <w:rsid w:val="00540F9D"/>
    <w:rsid w:val="00544ED3"/>
    <w:rsid w:val="00553987"/>
    <w:rsid w:val="00555CD8"/>
    <w:rsid w:val="005611E7"/>
    <w:rsid w:val="00570867"/>
    <w:rsid w:val="005725CC"/>
    <w:rsid w:val="0057306E"/>
    <w:rsid w:val="0057345B"/>
    <w:rsid w:val="00575A17"/>
    <w:rsid w:val="0057720B"/>
    <w:rsid w:val="00581C77"/>
    <w:rsid w:val="0058477B"/>
    <w:rsid w:val="0058654F"/>
    <w:rsid w:val="005957FB"/>
    <w:rsid w:val="00596ACA"/>
    <w:rsid w:val="005A2BCB"/>
    <w:rsid w:val="005B1836"/>
    <w:rsid w:val="005B51F8"/>
    <w:rsid w:val="005C2484"/>
    <w:rsid w:val="005C2588"/>
    <w:rsid w:val="005E1850"/>
    <w:rsid w:val="005E209F"/>
    <w:rsid w:val="005E39BC"/>
    <w:rsid w:val="005E3C87"/>
    <w:rsid w:val="005F00A0"/>
    <w:rsid w:val="005F5F13"/>
    <w:rsid w:val="005F60A4"/>
    <w:rsid w:val="00603974"/>
    <w:rsid w:val="0061512C"/>
    <w:rsid w:val="00617174"/>
    <w:rsid w:val="00625581"/>
    <w:rsid w:val="00631C35"/>
    <w:rsid w:val="00633A9C"/>
    <w:rsid w:val="00635CDC"/>
    <w:rsid w:val="006431BB"/>
    <w:rsid w:val="00644489"/>
    <w:rsid w:val="0064670A"/>
    <w:rsid w:val="00647F33"/>
    <w:rsid w:val="006502B3"/>
    <w:rsid w:val="0065558C"/>
    <w:rsid w:val="00662532"/>
    <w:rsid w:val="00663F09"/>
    <w:rsid w:val="0066490F"/>
    <w:rsid w:val="00670765"/>
    <w:rsid w:val="006730AF"/>
    <w:rsid w:val="00674B3A"/>
    <w:rsid w:val="00677B4B"/>
    <w:rsid w:val="00682FCE"/>
    <w:rsid w:val="006900FA"/>
    <w:rsid w:val="00690164"/>
    <w:rsid w:val="006930A8"/>
    <w:rsid w:val="00693BAD"/>
    <w:rsid w:val="006B2274"/>
    <w:rsid w:val="006D2EA0"/>
    <w:rsid w:val="006E0B73"/>
    <w:rsid w:val="006E10D5"/>
    <w:rsid w:val="006E3804"/>
    <w:rsid w:val="006F144A"/>
    <w:rsid w:val="006F62F9"/>
    <w:rsid w:val="006F6FAA"/>
    <w:rsid w:val="006F7128"/>
    <w:rsid w:val="00700622"/>
    <w:rsid w:val="007010C5"/>
    <w:rsid w:val="007013D1"/>
    <w:rsid w:val="00707A32"/>
    <w:rsid w:val="00717C6F"/>
    <w:rsid w:val="007232BA"/>
    <w:rsid w:val="00727E14"/>
    <w:rsid w:val="00732375"/>
    <w:rsid w:val="0073362B"/>
    <w:rsid w:val="007340B8"/>
    <w:rsid w:val="007445DA"/>
    <w:rsid w:val="007455D8"/>
    <w:rsid w:val="00747EE4"/>
    <w:rsid w:val="00747F05"/>
    <w:rsid w:val="00750DD7"/>
    <w:rsid w:val="007511FF"/>
    <w:rsid w:val="007513CD"/>
    <w:rsid w:val="00754204"/>
    <w:rsid w:val="0076198B"/>
    <w:rsid w:val="007633DD"/>
    <w:rsid w:val="00764320"/>
    <w:rsid w:val="00766D8A"/>
    <w:rsid w:val="00767013"/>
    <w:rsid w:val="00770057"/>
    <w:rsid w:val="00770E17"/>
    <w:rsid w:val="0077112F"/>
    <w:rsid w:val="00777EE7"/>
    <w:rsid w:val="00785DA9"/>
    <w:rsid w:val="007866A8"/>
    <w:rsid w:val="007873F8"/>
    <w:rsid w:val="00790614"/>
    <w:rsid w:val="007A697D"/>
    <w:rsid w:val="007A72E6"/>
    <w:rsid w:val="007B13B8"/>
    <w:rsid w:val="007B21AD"/>
    <w:rsid w:val="007B4FD1"/>
    <w:rsid w:val="007B633F"/>
    <w:rsid w:val="007B6B60"/>
    <w:rsid w:val="007C0474"/>
    <w:rsid w:val="007C18ED"/>
    <w:rsid w:val="007C3056"/>
    <w:rsid w:val="007C5991"/>
    <w:rsid w:val="007D3C18"/>
    <w:rsid w:val="007D40F8"/>
    <w:rsid w:val="007D5E51"/>
    <w:rsid w:val="007E0383"/>
    <w:rsid w:val="007E14BA"/>
    <w:rsid w:val="007E1F5F"/>
    <w:rsid w:val="007E607C"/>
    <w:rsid w:val="007E67F1"/>
    <w:rsid w:val="007F3A89"/>
    <w:rsid w:val="007F566C"/>
    <w:rsid w:val="008013E9"/>
    <w:rsid w:val="00802381"/>
    <w:rsid w:val="00803682"/>
    <w:rsid w:val="008105FF"/>
    <w:rsid w:val="0081182C"/>
    <w:rsid w:val="00814911"/>
    <w:rsid w:val="00816CE8"/>
    <w:rsid w:val="00825973"/>
    <w:rsid w:val="00826267"/>
    <w:rsid w:val="008279ED"/>
    <w:rsid w:val="00832016"/>
    <w:rsid w:val="00834658"/>
    <w:rsid w:val="00835767"/>
    <w:rsid w:val="00835CEA"/>
    <w:rsid w:val="008366C3"/>
    <w:rsid w:val="00840239"/>
    <w:rsid w:val="0085247E"/>
    <w:rsid w:val="00857F8E"/>
    <w:rsid w:val="00862DE4"/>
    <w:rsid w:val="00863351"/>
    <w:rsid w:val="00864D37"/>
    <w:rsid w:val="00872C9D"/>
    <w:rsid w:val="00883848"/>
    <w:rsid w:val="008854CE"/>
    <w:rsid w:val="0088658F"/>
    <w:rsid w:val="00897ED5"/>
    <w:rsid w:val="008A26B4"/>
    <w:rsid w:val="008A34CF"/>
    <w:rsid w:val="008B2D31"/>
    <w:rsid w:val="008B486B"/>
    <w:rsid w:val="008B6BB9"/>
    <w:rsid w:val="008C1C7B"/>
    <w:rsid w:val="008C2993"/>
    <w:rsid w:val="008C3DDB"/>
    <w:rsid w:val="008C5753"/>
    <w:rsid w:val="008C6802"/>
    <w:rsid w:val="008C78CC"/>
    <w:rsid w:val="008D5090"/>
    <w:rsid w:val="008D5216"/>
    <w:rsid w:val="008D5FB1"/>
    <w:rsid w:val="008E0663"/>
    <w:rsid w:val="008E0830"/>
    <w:rsid w:val="008E3DE0"/>
    <w:rsid w:val="008F00C5"/>
    <w:rsid w:val="008F2659"/>
    <w:rsid w:val="009020B3"/>
    <w:rsid w:val="00910221"/>
    <w:rsid w:val="009111FC"/>
    <w:rsid w:val="00911543"/>
    <w:rsid w:val="00911657"/>
    <w:rsid w:val="0091467B"/>
    <w:rsid w:val="0091495F"/>
    <w:rsid w:val="0092091C"/>
    <w:rsid w:val="00921850"/>
    <w:rsid w:val="009228B7"/>
    <w:rsid w:val="00922FCC"/>
    <w:rsid w:val="00924FDE"/>
    <w:rsid w:val="009318D6"/>
    <w:rsid w:val="009336C4"/>
    <w:rsid w:val="00933776"/>
    <w:rsid w:val="00934225"/>
    <w:rsid w:val="009502F2"/>
    <w:rsid w:val="009519C9"/>
    <w:rsid w:val="00952264"/>
    <w:rsid w:val="0095419C"/>
    <w:rsid w:val="00954A93"/>
    <w:rsid w:val="0095707C"/>
    <w:rsid w:val="00961A36"/>
    <w:rsid w:val="009727CD"/>
    <w:rsid w:val="009740EE"/>
    <w:rsid w:val="00975738"/>
    <w:rsid w:val="00975898"/>
    <w:rsid w:val="00977518"/>
    <w:rsid w:val="00977F97"/>
    <w:rsid w:val="009829BF"/>
    <w:rsid w:val="00990C57"/>
    <w:rsid w:val="009910AB"/>
    <w:rsid w:val="00992D8B"/>
    <w:rsid w:val="00993108"/>
    <w:rsid w:val="00993876"/>
    <w:rsid w:val="00995CFF"/>
    <w:rsid w:val="0099662B"/>
    <w:rsid w:val="009A3E85"/>
    <w:rsid w:val="009B1649"/>
    <w:rsid w:val="009B185B"/>
    <w:rsid w:val="009B5869"/>
    <w:rsid w:val="009B698F"/>
    <w:rsid w:val="009D0B86"/>
    <w:rsid w:val="009D255F"/>
    <w:rsid w:val="009D52E4"/>
    <w:rsid w:val="009E0895"/>
    <w:rsid w:val="009E0D5B"/>
    <w:rsid w:val="009E10DE"/>
    <w:rsid w:val="009E12E8"/>
    <w:rsid w:val="009E1558"/>
    <w:rsid w:val="009E3D46"/>
    <w:rsid w:val="009E60C9"/>
    <w:rsid w:val="009E7B3C"/>
    <w:rsid w:val="009F328F"/>
    <w:rsid w:val="009F3A5A"/>
    <w:rsid w:val="009F55D5"/>
    <w:rsid w:val="009F62C9"/>
    <w:rsid w:val="009F63A9"/>
    <w:rsid w:val="009F68EF"/>
    <w:rsid w:val="009F7B45"/>
    <w:rsid w:val="00A03BFD"/>
    <w:rsid w:val="00A067A9"/>
    <w:rsid w:val="00A10815"/>
    <w:rsid w:val="00A11BF6"/>
    <w:rsid w:val="00A11C33"/>
    <w:rsid w:val="00A13AFC"/>
    <w:rsid w:val="00A163D6"/>
    <w:rsid w:val="00A27B4C"/>
    <w:rsid w:val="00A3093B"/>
    <w:rsid w:val="00A32E96"/>
    <w:rsid w:val="00A33E4C"/>
    <w:rsid w:val="00A42898"/>
    <w:rsid w:val="00A463D2"/>
    <w:rsid w:val="00A50F90"/>
    <w:rsid w:val="00A51CE7"/>
    <w:rsid w:val="00A51D5C"/>
    <w:rsid w:val="00A51E46"/>
    <w:rsid w:val="00A52510"/>
    <w:rsid w:val="00A52D08"/>
    <w:rsid w:val="00A564BE"/>
    <w:rsid w:val="00A57F9B"/>
    <w:rsid w:val="00A607EB"/>
    <w:rsid w:val="00A6088E"/>
    <w:rsid w:val="00A6722E"/>
    <w:rsid w:val="00A74A70"/>
    <w:rsid w:val="00A83401"/>
    <w:rsid w:val="00A859B3"/>
    <w:rsid w:val="00A96447"/>
    <w:rsid w:val="00AA0135"/>
    <w:rsid w:val="00AA16D6"/>
    <w:rsid w:val="00AA2CC9"/>
    <w:rsid w:val="00AA2E78"/>
    <w:rsid w:val="00AA379F"/>
    <w:rsid w:val="00AB045D"/>
    <w:rsid w:val="00AB0FDE"/>
    <w:rsid w:val="00AB6ACE"/>
    <w:rsid w:val="00AC53A8"/>
    <w:rsid w:val="00AC5A3A"/>
    <w:rsid w:val="00AD27F2"/>
    <w:rsid w:val="00AD5B70"/>
    <w:rsid w:val="00AD629F"/>
    <w:rsid w:val="00AD693E"/>
    <w:rsid w:val="00AE1C88"/>
    <w:rsid w:val="00AE57C6"/>
    <w:rsid w:val="00AF3778"/>
    <w:rsid w:val="00AF77F2"/>
    <w:rsid w:val="00B048D1"/>
    <w:rsid w:val="00B17D5F"/>
    <w:rsid w:val="00B25743"/>
    <w:rsid w:val="00B30D33"/>
    <w:rsid w:val="00B311A9"/>
    <w:rsid w:val="00B37152"/>
    <w:rsid w:val="00B4731D"/>
    <w:rsid w:val="00B54670"/>
    <w:rsid w:val="00B54FB3"/>
    <w:rsid w:val="00B57288"/>
    <w:rsid w:val="00B57AF6"/>
    <w:rsid w:val="00B71661"/>
    <w:rsid w:val="00B74EB2"/>
    <w:rsid w:val="00B769F6"/>
    <w:rsid w:val="00B772B1"/>
    <w:rsid w:val="00B82FA5"/>
    <w:rsid w:val="00B92994"/>
    <w:rsid w:val="00B9796B"/>
    <w:rsid w:val="00BA1F75"/>
    <w:rsid w:val="00BA624B"/>
    <w:rsid w:val="00BB2F77"/>
    <w:rsid w:val="00BB684F"/>
    <w:rsid w:val="00BC6AA1"/>
    <w:rsid w:val="00BD1400"/>
    <w:rsid w:val="00BD4A3A"/>
    <w:rsid w:val="00BD5158"/>
    <w:rsid w:val="00BD54BD"/>
    <w:rsid w:val="00BD605C"/>
    <w:rsid w:val="00BE048D"/>
    <w:rsid w:val="00BE2A76"/>
    <w:rsid w:val="00BE404F"/>
    <w:rsid w:val="00BE5C7D"/>
    <w:rsid w:val="00BE5E9E"/>
    <w:rsid w:val="00BE7154"/>
    <w:rsid w:val="00BF217D"/>
    <w:rsid w:val="00BF2E17"/>
    <w:rsid w:val="00C0407E"/>
    <w:rsid w:val="00C041BA"/>
    <w:rsid w:val="00C054DE"/>
    <w:rsid w:val="00C059C7"/>
    <w:rsid w:val="00C100F5"/>
    <w:rsid w:val="00C12A86"/>
    <w:rsid w:val="00C17358"/>
    <w:rsid w:val="00C23F41"/>
    <w:rsid w:val="00C311B1"/>
    <w:rsid w:val="00C31DD9"/>
    <w:rsid w:val="00C32C37"/>
    <w:rsid w:val="00C40744"/>
    <w:rsid w:val="00C64659"/>
    <w:rsid w:val="00C65E60"/>
    <w:rsid w:val="00C717F0"/>
    <w:rsid w:val="00C811B6"/>
    <w:rsid w:val="00C82199"/>
    <w:rsid w:val="00C8610C"/>
    <w:rsid w:val="00C86E80"/>
    <w:rsid w:val="00C977E7"/>
    <w:rsid w:val="00CA160D"/>
    <w:rsid w:val="00CA46DF"/>
    <w:rsid w:val="00CB411B"/>
    <w:rsid w:val="00CB6014"/>
    <w:rsid w:val="00CB69C3"/>
    <w:rsid w:val="00CC19C5"/>
    <w:rsid w:val="00CC1C3C"/>
    <w:rsid w:val="00CC3C42"/>
    <w:rsid w:val="00CC7DF3"/>
    <w:rsid w:val="00CD06E5"/>
    <w:rsid w:val="00CD1BDC"/>
    <w:rsid w:val="00CD25C9"/>
    <w:rsid w:val="00CD2B13"/>
    <w:rsid w:val="00CD6CB9"/>
    <w:rsid w:val="00CE0CC5"/>
    <w:rsid w:val="00CE5A52"/>
    <w:rsid w:val="00CE6A82"/>
    <w:rsid w:val="00CF203B"/>
    <w:rsid w:val="00CF28F7"/>
    <w:rsid w:val="00CF30E1"/>
    <w:rsid w:val="00CF4ECA"/>
    <w:rsid w:val="00CF62F3"/>
    <w:rsid w:val="00CF7AF3"/>
    <w:rsid w:val="00D01363"/>
    <w:rsid w:val="00D11311"/>
    <w:rsid w:val="00D14987"/>
    <w:rsid w:val="00D156F9"/>
    <w:rsid w:val="00D21CAF"/>
    <w:rsid w:val="00D2606D"/>
    <w:rsid w:val="00D2699E"/>
    <w:rsid w:val="00D26ADA"/>
    <w:rsid w:val="00D35A78"/>
    <w:rsid w:val="00D363D0"/>
    <w:rsid w:val="00D36CB6"/>
    <w:rsid w:val="00D46577"/>
    <w:rsid w:val="00D47284"/>
    <w:rsid w:val="00D47631"/>
    <w:rsid w:val="00D50E0A"/>
    <w:rsid w:val="00D51C88"/>
    <w:rsid w:val="00D555A1"/>
    <w:rsid w:val="00D620A7"/>
    <w:rsid w:val="00D62705"/>
    <w:rsid w:val="00D64DC2"/>
    <w:rsid w:val="00D7038F"/>
    <w:rsid w:val="00D71F83"/>
    <w:rsid w:val="00D724DA"/>
    <w:rsid w:val="00D74AB4"/>
    <w:rsid w:val="00D843A8"/>
    <w:rsid w:val="00D84D58"/>
    <w:rsid w:val="00D90CC7"/>
    <w:rsid w:val="00D95ED2"/>
    <w:rsid w:val="00DA46CA"/>
    <w:rsid w:val="00DA6967"/>
    <w:rsid w:val="00DA7E86"/>
    <w:rsid w:val="00DB090A"/>
    <w:rsid w:val="00DB0F63"/>
    <w:rsid w:val="00DB2913"/>
    <w:rsid w:val="00DB357E"/>
    <w:rsid w:val="00DB6449"/>
    <w:rsid w:val="00DB65A3"/>
    <w:rsid w:val="00DC4459"/>
    <w:rsid w:val="00DD100F"/>
    <w:rsid w:val="00DD2586"/>
    <w:rsid w:val="00DD3A8D"/>
    <w:rsid w:val="00DE4248"/>
    <w:rsid w:val="00DF21EB"/>
    <w:rsid w:val="00DF2516"/>
    <w:rsid w:val="00E20E70"/>
    <w:rsid w:val="00E20FE4"/>
    <w:rsid w:val="00E257A0"/>
    <w:rsid w:val="00E25B68"/>
    <w:rsid w:val="00E33688"/>
    <w:rsid w:val="00E43595"/>
    <w:rsid w:val="00E4408E"/>
    <w:rsid w:val="00E50F85"/>
    <w:rsid w:val="00E5367F"/>
    <w:rsid w:val="00E62B7C"/>
    <w:rsid w:val="00E62DF4"/>
    <w:rsid w:val="00E64B6B"/>
    <w:rsid w:val="00E6739C"/>
    <w:rsid w:val="00E84003"/>
    <w:rsid w:val="00E9063E"/>
    <w:rsid w:val="00E9306D"/>
    <w:rsid w:val="00E94DC4"/>
    <w:rsid w:val="00E957C2"/>
    <w:rsid w:val="00E95961"/>
    <w:rsid w:val="00E96A49"/>
    <w:rsid w:val="00EA4255"/>
    <w:rsid w:val="00EB280E"/>
    <w:rsid w:val="00EB465B"/>
    <w:rsid w:val="00EB4693"/>
    <w:rsid w:val="00EB6F4C"/>
    <w:rsid w:val="00EB6F77"/>
    <w:rsid w:val="00EC10F0"/>
    <w:rsid w:val="00EC10FC"/>
    <w:rsid w:val="00EC6321"/>
    <w:rsid w:val="00ED5793"/>
    <w:rsid w:val="00ED63BD"/>
    <w:rsid w:val="00ED6939"/>
    <w:rsid w:val="00ED7700"/>
    <w:rsid w:val="00EE0041"/>
    <w:rsid w:val="00EE298B"/>
    <w:rsid w:val="00EE29B9"/>
    <w:rsid w:val="00EF146C"/>
    <w:rsid w:val="00F004EE"/>
    <w:rsid w:val="00F02873"/>
    <w:rsid w:val="00F053A4"/>
    <w:rsid w:val="00F112D1"/>
    <w:rsid w:val="00F138BB"/>
    <w:rsid w:val="00F13FFC"/>
    <w:rsid w:val="00F1531E"/>
    <w:rsid w:val="00F172FE"/>
    <w:rsid w:val="00F17547"/>
    <w:rsid w:val="00F21126"/>
    <w:rsid w:val="00F2260A"/>
    <w:rsid w:val="00F23581"/>
    <w:rsid w:val="00F27BA1"/>
    <w:rsid w:val="00F27F35"/>
    <w:rsid w:val="00F32922"/>
    <w:rsid w:val="00F32AE4"/>
    <w:rsid w:val="00F34DE1"/>
    <w:rsid w:val="00F42E23"/>
    <w:rsid w:val="00F43347"/>
    <w:rsid w:val="00F45EEE"/>
    <w:rsid w:val="00F46EDC"/>
    <w:rsid w:val="00F51D2A"/>
    <w:rsid w:val="00F51E9C"/>
    <w:rsid w:val="00F523CA"/>
    <w:rsid w:val="00F53D2F"/>
    <w:rsid w:val="00F551A7"/>
    <w:rsid w:val="00F64F7F"/>
    <w:rsid w:val="00F6714D"/>
    <w:rsid w:val="00F67F61"/>
    <w:rsid w:val="00F74A11"/>
    <w:rsid w:val="00F74A9D"/>
    <w:rsid w:val="00F772B7"/>
    <w:rsid w:val="00F77426"/>
    <w:rsid w:val="00F85772"/>
    <w:rsid w:val="00F9136B"/>
    <w:rsid w:val="00F91FD4"/>
    <w:rsid w:val="00F9286F"/>
    <w:rsid w:val="00FA3223"/>
    <w:rsid w:val="00FA7C29"/>
    <w:rsid w:val="00FA7CE3"/>
    <w:rsid w:val="00FB2A06"/>
    <w:rsid w:val="00FB6DC7"/>
    <w:rsid w:val="00FC7C20"/>
    <w:rsid w:val="00FD16D2"/>
    <w:rsid w:val="00FD183B"/>
    <w:rsid w:val="00FD3FB3"/>
    <w:rsid w:val="00FE327F"/>
    <w:rsid w:val="00FE3F07"/>
    <w:rsid w:val="00FE7D57"/>
    <w:rsid w:val="00FF2BF6"/>
    <w:rsid w:val="00FF386F"/>
    <w:rsid w:val="00FF39AE"/>
    <w:rsid w:val="00FF66CA"/>
    <w:rsid w:val="00FF6F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tulo1">
    <w:name w:val="heading 1"/>
    <w:aliases w:val="Paper title"/>
    <w:next w:val="Subttu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tulo2">
    <w:name w:val="heading 2"/>
    <w:aliases w:val="1st level paper heading"/>
    <w:next w:val="Corpodetexto"/>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tulo3">
    <w:name w:val="heading 3"/>
    <w:aliases w:val="2nd level paper heading"/>
    <w:next w:val="Corpodetexto"/>
    <w:uiPriority w:val="4"/>
    <w:qFormat/>
    <w:rsid w:val="00897ED5"/>
    <w:pPr>
      <w:widowControl w:val="0"/>
      <w:numPr>
        <w:ilvl w:val="2"/>
        <w:numId w:val="12"/>
      </w:numPr>
      <w:spacing w:before="240" w:after="240" w:line="240" w:lineRule="exact"/>
      <w:outlineLvl w:val="2"/>
    </w:pPr>
    <w:rPr>
      <w:b/>
      <w:lang w:eastAsia="en-US"/>
    </w:rPr>
  </w:style>
  <w:style w:type="paragraph" w:styleId="Ttulo4">
    <w:name w:val="heading 4"/>
    <w:aliases w:val="3rd level paper heading"/>
    <w:basedOn w:val="Normal"/>
    <w:next w:val="Corpodetexto"/>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tulo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tulo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tulo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tulo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tulo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link w:val="CorpodetextoChar"/>
    <w:qFormat/>
    <w:rsid w:val="00647F33"/>
    <w:pPr>
      <w:spacing w:line="260" w:lineRule="atLeast"/>
      <w:ind w:firstLine="567"/>
      <w:contextualSpacing/>
      <w:jc w:val="both"/>
    </w:pPr>
    <w:rPr>
      <w:lang w:eastAsia="en-US"/>
    </w:rPr>
  </w:style>
  <w:style w:type="paragraph" w:styleId="Recuodecorpodetexto">
    <w:name w:val="Body Text Indent"/>
    <w:basedOn w:val="Corpodetexto"/>
    <w:uiPriority w:val="49"/>
    <w:locked/>
    <w:pPr>
      <w:ind w:left="1134" w:hanging="675"/>
    </w:pPr>
  </w:style>
  <w:style w:type="paragraph" w:customStyle="1" w:styleId="BodyTextMultiline">
    <w:name w:val="Body Text Multiline"/>
    <w:basedOn w:val="Corpodetexto"/>
    <w:locked/>
    <w:pPr>
      <w:numPr>
        <w:numId w:val="1"/>
      </w:numPr>
    </w:pPr>
  </w:style>
  <w:style w:type="paragraph" w:customStyle="1" w:styleId="BodyTextSummary">
    <w:name w:val="Body Text Summary"/>
    <w:uiPriority w:val="49"/>
    <w:locked/>
    <w:pPr>
      <w:numPr>
        <w:numId w:val="2"/>
      </w:numPr>
      <w:tabs>
        <w:tab w:val="clear" w:pos="720"/>
        <w:tab w:val="num" w:pos="360"/>
      </w:tabs>
      <w:spacing w:after="170" w:line="280" w:lineRule="atLeast"/>
      <w:ind w:left="572" w:hanging="459"/>
      <w:jc w:val="both"/>
    </w:pPr>
    <w:rPr>
      <w:sz w:val="22"/>
      <w:szCs w:val="22"/>
      <w:lang w:eastAsia="en-US"/>
    </w:rPr>
  </w:style>
  <w:style w:type="paragraph" w:styleId="Legenda">
    <w:name w:val="caption"/>
    <w:next w:val="Normal"/>
    <w:uiPriority w:val="49"/>
    <w:pPr>
      <w:spacing w:after="85"/>
    </w:pPr>
    <w:rPr>
      <w:bCs/>
      <w:sz w:val="18"/>
      <w:lang w:val="en-US" w:eastAsia="en-US"/>
    </w:rPr>
  </w:style>
  <w:style w:type="paragraph" w:styleId="Rodap">
    <w:name w:val="footer"/>
    <w:basedOn w:val="Normal"/>
    <w:link w:val="RodapChar"/>
    <w:uiPriority w:val="99"/>
    <w:locked/>
    <w:pPr>
      <w:overflowPunct/>
      <w:autoSpaceDE/>
      <w:autoSpaceDN/>
      <w:adjustRightInd/>
      <w:textAlignment w:val="auto"/>
    </w:pPr>
    <w:rPr>
      <w:sz w:val="2"/>
      <w:lang w:val="en-US"/>
    </w:rPr>
  </w:style>
  <w:style w:type="paragraph" w:styleId="Textodenotaderodap">
    <w:name w:val="footnote text"/>
    <w:semiHidden/>
    <w:locked/>
    <w:pPr>
      <w:tabs>
        <w:tab w:val="left" w:pos="459"/>
      </w:tabs>
      <w:spacing w:before="142"/>
      <w:ind w:left="459"/>
      <w:jc w:val="both"/>
    </w:pPr>
    <w:rPr>
      <w:sz w:val="18"/>
      <w:lang w:eastAsia="en-US"/>
    </w:rPr>
  </w:style>
  <w:style w:type="paragraph" w:styleId="Cabealho">
    <w:name w:val="header"/>
    <w:next w:val="Corpodetexto"/>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odetexto"/>
    <w:uiPriority w:val="6"/>
    <w:qFormat/>
    <w:rsid w:val="00717C6F"/>
    <w:pPr>
      <w:numPr>
        <w:numId w:val="20"/>
      </w:numPr>
      <w:ind w:left="709"/>
    </w:pPr>
  </w:style>
  <w:style w:type="paragraph" w:customStyle="1" w:styleId="ListNumbered">
    <w:name w:val="List Numbered"/>
    <w:basedOn w:val="Corpodetexto"/>
    <w:uiPriority w:val="5"/>
    <w:qFormat/>
    <w:locked/>
    <w:rsid w:val="00717C6F"/>
    <w:pPr>
      <w:numPr>
        <w:numId w:val="22"/>
      </w:numPr>
    </w:pPr>
  </w:style>
  <w:style w:type="paragraph" w:styleId="Ttu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Refdenotaderodap">
    <w:name w:val="footnote reference"/>
    <w:basedOn w:val="Fontepargpadro"/>
    <w:semiHidden/>
    <w:locked/>
    <w:rPr>
      <w:vertAlign w:val="superscript"/>
    </w:rPr>
  </w:style>
  <w:style w:type="paragraph" w:styleId="Subttulo">
    <w:name w:val="Subtitle"/>
    <w:next w:val="Corpodetexto"/>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odetexto"/>
    <w:uiPriority w:val="49"/>
    <w:locked/>
    <w:pPr>
      <w:spacing w:line="280" w:lineRule="exact"/>
      <w:jc w:val="right"/>
    </w:pPr>
    <w:rPr>
      <w:rFonts w:ascii="Arial" w:hAnsi="Arial" w:cs="Arial"/>
      <w:b/>
      <w:bCs/>
      <w:caps/>
      <w:sz w:val="24"/>
    </w:rPr>
  </w:style>
  <w:style w:type="paragraph" w:customStyle="1" w:styleId="zyxClassification2">
    <w:name w:val="zyxClassification2"/>
    <w:basedOn w:val="Rodap"/>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RodapChar">
    <w:name w:val="Rodapé Char"/>
    <w:basedOn w:val="Fontepargpadro"/>
    <w:link w:val="Rodap"/>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Fontepargpadro"/>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odetextoChar">
    <w:name w:val="Corpo de texto Char"/>
    <w:basedOn w:val="Fontepargpadro"/>
    <w:link w:val="Corpodetexto"/>
    <w:rsid w:val="00647F33"/>
    <w:rPr>
      <w:lang w:eastAsia="en-US"/>
    </w:rPr>
  </w:style>
  <w:style w:type="character" w:customStyle="1" w:styleId="AuthornameandaffiliationChar">
    <w:name w:val="Author name and affiliation Char"/>
    <w:basedOn w:val="CorpodetextoChar"/>
    <w:link w:val="Authornameandaffiliation"/>
    <w:uiPriority w:val="49"/>
    <w:rsid w:val="00647F33"/>
    <w:rPr>
      <w:lang w:val="en-US" w:eastAsia="en-US"/>
    </w:rPr>
  </w:style>
  <w:style w:type="table" w:styleId="Tabelacomgrade">
    <w:name w:val="Table Grid"/>
    <w:basedOn w:val="Tabela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odebalo">
    <w:name w:val="Balloon Text"/>
    <w:basedOn w:val="Normal"/>
    <w:link w:val="TextodebaloChar"/>
    <w:uiPriority w:val="49"/>
    <w:locked/>
    <w:rsid w:val="005F00A0"/>
    <w:rPr>
      <w:rFonts w:ascii="Tahoma" w:hAnsi="Tahoma" w:cs="Tahoma"/>
      <w:sz w:val="16"/>
      <w:szCs w:val="16"/>
    </w:rPr>
  </w:style>
  <w:style w:type="character" w:customStyle="1" w:styleId="TextodebaloChar">
    <w:name w:val="Texto de balão Char"/>
    <w:basedOn w:val="Fontepargpadro"/>
    <w:link w:val="Textodebalo"/>
    <w:uiPriority w:val="49"/>
    <w:rsid w:val="005F00A0"/>
    <w:rPr>
      <w:rFonts w:ascii="Tahoma" w:hAnsi="Tahoma" w:cs="Tahoma"/>
      <w:sz w:val="16"/>
      <w:szCs w:val="16"/>
      <w:lang w:eastAsia="en-US"/>
    </w:rPr>
  </w:style>
  <w:style w:type="paragraph" w:customStyle="1" w:styleId="Figurecaption">
    <w:name w:val="Figure caption"/>
    <w:basedOn w:val="Corpodetexto"/>
    <w:link w:val="FigurecaptionChar"/>
    <w:uiPriority w:val="49"/>
    <w:qFormat/>
    <w:locked/>
    <w:rsid w:val="00717C6F"/>
    <w:pPr>
      <w:jc w:val="center"/>
    </w:pPr>
    <w:rPr>
      <w:i/>
      <w:sz w:val="18"/>
    </w:rPr>
  </w:style>
  <w:style w:type="paragraph" w:customStyle="1" w:styleId="Otherunnumberedheadings">
    <w:name w:val="Other unnumbered headings"/>
    <w:next w:val="Corpodetexto"/>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odetextoChar"/>
    <w:link w:val="Figurecaption"/>
    <w:uiPriority w:val="49"/>
    <w:rsid w:val="00717C6F"/>
    <w:rPr>
      <w:i/>
      <w:sz w:val="18"/>
      <w:lang w:eastAsia="en-US"/>
    </w:rPr>
  </w:style>
  <w:style w:type="paragraph" w:customStyle="1" w:styleId="Referencelist">
    <w:name w:val="Reference list"/>
    <w:basedOn w:val="Corpodetexto"/>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odetexto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odetextoChar"/>
    <w:link w:val="Referencelist"/>
    <w:uiPriority w:val="49"/>
    <w:rsid w:val="009E0D5B"/>
    <w:rPr>
      <w:sz w:val="18"/>
      <w:szCs w:val="18"/>
      <w:lang w:eastAsia="en-US"/>
    </w:rPr>
  </w:style>
  <w:style w:type="paragraph" w:customStyle="1" w:styleId="Tabletext">
    <w:name w:val="Table text"/>
    <w:basedOn w:val="Corpodetexto"/>
    <w:link w:val="TabletextChar"/>
    <w:uiPriority w:val="49"/>
    <w:qFormat/>
    <w:rsid w:val="00883848"/>
    <w:pPr>
      <w:ind w:firstLine="0"/>
    </w:pPr>
  </w:style>
  <w:style w:type="character" w:customStyle="1" w:styleId="TabletextChar">
    <w:name w:val="Table text Char"/>
    <w:basedOn w:val="CorpodetextoChar"/>
    <w:link w:val="Tabletext"/>
    <w:uiPriority w:val="49"/>
    <w:rsid w:val="00883848"/>
    <w:rPr>
      <w:lang w:eastAsia="en-US"/>
    </w:rPr>
  </w:style>
  <w:style w:type="paragraph" w:customStyle="1" w:styleId="Default">
    <w:name w:val="Default"/>
    <w:rsid w:val="00534DD8"/>
    <w:pPr>
      <w:autoSpaceDE w:val="0"/>
      <w:autoSpaceDN w:val="0"/>
      <w:adjustRightInd w:val="0"/>
    </w:pPr>
    <w:rPr>
      <w:color w:val="000000"/>
      <w:sz w:val="24"/>
      <w:szCs w:val="24"/>
    </w:rPr>
  </w:style>
  <w:style w:type="character" w:customStyle="1" w:styleId="rynqvb">
    <w:name w:val="rynqvb"/>
    <w:basedOn w:val="Fontepargpadro"/>
    <w:rsid w:val="00F64F7F"/>
  </w:style>
  <w:style w:type="character" w:styleId="Hyperlink">
    <w:name w:val="Hyperlink"/>
    <w:basedOn w:val="Fontepargpadro"/>
    <w:uiPriority w:val="99"/>
    <w:unhideWhenUsed/>
    <w:locked/>
    <w:rsid w:val="00F53D2F"/>
    <w:rPr>
      <w:color w:val="0000FF"/>
      <w:u w:val="single"/>
    </w:rPr>
  </w:style>
  <w:style w:type="paragraph" w:styleId="PargrafodaLista">
    <w:name w:val="List Paragraph"/>
    <w:basedOn w:val="Normal"/>
    <w:uiPriority w:val="49"/>
    <w:locked/>
    <w:rsid w:val="009F55D5"/>
    <w:pPr>
      <w:ind w:left="720"/>
      <w:contextualSpacing/>
    </w:pPr>
  </w:style>
  <w:style w:type="character" w:customStyle="1" w:styleId="hgkelc">
    <w:name w:val="hgkelc"/>
    <w:basedOn w:val="Fontepargpadro"/>
    <w:rsid w:val="006930A8"/>
  </w:style>
  <w:style w:type="paragraph" w:customStyle="1" w:styleId="text-center">
    <w:name w:val="text-center"/>
    <w:basedOn w:val="Normal"/>
    <w:rsid w:val="00C041BA"/>
    <w:pPr>
      <w:overflowPunct/>
      <w:autoSpaceDE/>
      <w:autoSpaceDN/>
      <w:adjustRightInd/>
      <w:spacing w:before="100" w:beforeAutospacing="1" w:after="100" w:afterAutospacing="1"/>
      <w:textAlignment w:val="auto"/>
    </w:pPr>
    <w:rPr>
      <w:sz w:val="24"/>
      <w:szCs w:val="24"/>
      <w:lang w:eastAsia="en-GB"/>
    </w:rPr>
  </w:style>
  <w:style w:type="character" w:customStyle="1" w:styleId="publicado-dou">
    <w:name w:val="publicado-dou"/>
    <w:basedOn w:val="Fontepargpadro"/>
    <w:rsid w:val="00C041BA"/>
  </w:style>
  <w:style w:type="character" w:customStyle="1" w:styleId="publicado-dou-data">
    <w:name w:val="publicado-dou-data"/>
    <w:basedOn w:val="Fontepargpadro"/>
    <w:rsid w:val="00C041BA"/>
  </w:style>
  <w:style w:type="character" w:customStyle="1" w:styleId="pipe">
    <w:name w:val="pipe"/>
    <w:basedOn w:val="Fontepargpadro"/>
    <w:rsid w:val="00C041BA"/>
  </w:style>
  <w:style w:type="character" w:customStyle="1" w:styleId="edicao-dou">
    <w:name w:val="edicao-dou"/>
    <w:basedOn w:val="Fontepargpadro"/>
    <w:rsid w:val="00C041BA"/>
  </w:style>
  <w:style w:type="character" w:customStyle="1" w:styleId="edicao-dou-data">
    <w:name w:val="edicao-dou-data"/>
    <w:basedOn w:val="Fontepargpadro"/>
    <w:rsid w:val="00C041BA"/>
  </w:style>
  <w:style w:type="character" w:customStyle="1" w:styleId="secao-dou">
    <w:name w:val="secao-dou"/>
    <w:basedOn w:val="Fontepargpadro"/>
    <w:rsid w:val="00C041BA"/>
  </w:style>
  <w:style w:type="character" w:customStyle="1" w:styleId="secao-dou-data">
    <w:name w:val="secao-dou-data"/>
    <w:basedOn w:val="Fontepargpadro"/>
    <w:rsid w:val="00C041BA"/>
  </w:style>
  <w:style w:type="paragraph" w:customStyle="1" w:styleId="dou-paragraph">
    <w:name w:val="dou-paragraph"/>
    <w:basedOn w:val="Normal"/>
    <w:rsid w:val="0088658F"/>
    <w:pPr>
      <w:overflowPunct/>
      <w:autoSpaceDE/>
      <w:autoSpaceDN/>
      <w:adjustRightInd/>
      <w:spacing w:before="100" w:beforeAutospacing="1" w:after="100" w:afterAutospacing="1"/>
      <w:textAlignment w:val="auto"/>
    </w:pPr>
    <w:rPr>
      <w:sz w:val="24"/>
      <w:szCs w:val="24"/>
      <w:lang w:val="pt-B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758839">
      <w:bodyDiv w:val="1"/>
      <w:marLeft w:val="0"/>
      <w:marRight w:val="0"/>
      <w:marTop w:val="0"/>
      <w:marBottom w:val="0"/>
      <w:divBdr>
        <w:top w:val="none" w:sz="0" w:space="0" w:color="auto"/>
        <w:left w:val="none" w:sz="0" w:space="0" w:color="auto"/>
        <w:bottom w:val="none" w:sz="0" w:space="0" w:color="auto"/>
        <w:right w:val="none" w:sz="0" w:space="0" w:color="auto"/>
      </w:divBdr>
      <w:divsChild>
        <w:div w:id="807824108">
          <w:marLeft w:val="547"/>
          <w:marRight w:val="0"/>
          <w:marTop w:val="0"/>
          <w:marBottom w:val="0"/>
          <w:divBdr>
            <w:top w:val="none" w:sz="0" w:space="0" w:color="auto"/>
            <w:left w:val="none" w:sz="0" w:space="0" w:color="auto"/>
            <w:bottom w:val="none" w:sz="0" w:space="0" w:color="auto"/>
            <w:right w:val="none" w:sz="0" w:space="0" w:color="auto"/>
          </w:divBdr>
        </w:div>
        <w:div w:id="1844735206">
          <w:marLeft w:val="547"/>
          <w:marRight w:val="0"/>
          <w:marTop w:val="0"/>
          <w:marBottom w:val="0"/>
          <w:divBdr>
            <w:top w:val="none" w:sz="0" w:space="0" w:color="auto"/>
            <w:left w:val="none" w:sz="0" w:space="0" w:color="auto"/>
            <w:bottom w:val="none" w:sz="0" w:space="0" w:color="auto"/>
            <w:right w:val="none" w:sz="0" w:space="0" w:color="auto"/>
          </w:divBdr>
        </w:div>
        <w:div w:id="1264336192">
          <w:marLeft w:val="547"/>
          <w:marRight w:val="0"/>
          <w:marTop w:val="0"/>
          <w:marBottom w:val="0"/>
          <w:divBdr>
            <w:top w:val="none" w:sz="0" w:space="0" w:color="auto"/>
            <w:left w:val="none" w:sz="0" w:space="0" w:color="auto"/>
            <w:bottom w:val="none" w:sz="0" w:space="0" w:color="auto"/>
            <w:right w:val="none" w:sz="0" w:space="0" w:color="auto"/>
          </w:divBdr>
        </w:div>
        <w:div w:id="2084595192">
          <w:marLeft w:val="547"/>
          <w:marRight w:val="0"/>
          <w:marTop w:val="0"/>
          <w:marBottom w:val="0"/>
          <w:divBdr>
            <w:top w:val="none" w:sz="0" w:space="0" w:color="auto"/>
            <w:left w:val="none" w:sz="0" w:space="0" w:color="auto"/>
            <w:bottom w:val="none" w:sz="0" w:space="0" w:color="auto"/>
            <w:right w:val="none" w:sz="0" w:space="0" w:color="auto"/>
          </w:divBdr>
        </w:div>
        <w:div w:id="881333494">
          <w:marLeft w:val="547"/>
          <w:marRight w:val="0"/>
          <w:marTop w:val="0"/>
          <w:marBottom w:val="0"/>
          <w:divBdr>
            <w:top w:val="none" w:sz="0" w:space="0" w:color="auto"/>
            <w:left w:val="none" w:sz="0" w:space="0" w:color="auto"/>
            <w:bottom w:val="none" w:sz="0" w:space="0" w:color="auto"/>
            <w:right w:val="none" w:sz="0" w:space="0" w:color="auto"/>
          </w:divBdr>
        </w:div>
        <w:div w:id="585847214">
          <w:marLeft w:val="547"/>
          <w:marRight w:val="0"/>
          <w:marTop w:val="0"/>
          <w:marBottom w:val="0"/>
          <w:divBdr>
            <w:top w:val="none" w:sz="0" w:space="0" w:color="auto"/>
            <w:left w:val="none" w:sz="0" w:space="0" w:color="auto"/>
            <w:bottom w:val="none" w:sz="0" w:space="0" w:color="auto"/>
            <w:right w:val="none" w:sz="0" w:space="0" w:color="auto"/>
          </w:divBdr>
        </w:div>
      </w:divsChild>
    </w:div>
    <w:div w:id="608052135">
      <w:bodyDiv w:val="1"/>
      <w:marLeft w:val="0"/>
      <w:marRight w:val="0"/>
      <w:marTop w:val="0"/>
      <w:marBottom w:val="0"/>
      <w:divBdr>
        <w:top w:val="none" w:sz="0" w:space="0" w:color="auto"/>
        <w:left w:val="none" w:sz="0" w:space="0" w:color="auto"/>
        <w:bottom w:val="none" w:sz="0" w:space="0" w:color="auto"/>
        <w:right w:val="none" w:sz="0" w:space="0" w:color="auto"/>
      </w:divBdr>
    </w:div>
    <w:div w:id="755519565">
      <w:bodyDiv w:val="1"/>
      <w:marLeft w:val="0"/>
      <w:marRight w:val="0"/>
      <w:marTop w:val="0"/>
      <w:marBottom w:val="0"/>
      <w:divBdr>
        <w:top w:val="none" w:sz="0" w:space="0" w:color="auto"/>
        <w:left w:val="none" w:sz="0" w:space="0" w:color="auto"/>
        <w:bottom w:val="none" w:sz="0" w:space="0" w:color="auto"/>
        <w:right w:val="none" w:sz="0" w:space="0" w:color="auto"/>
      </w:divBdr>
    </w:div>
    <w:div w:id="903298899">
      <w:bodyDiv w:val="1"/>
      <w:marLeft w:val="0"/>
      <w:marRight w:val="0"/>
      <w:marTop w:val="0"/>
      <w:marBottom w:val="0"/>
      <w:divBdr>
        <w:top w:val="none" w:sz="0" w:space="0" w:color="auto"/>
        <w:left w:val="none" w:sz="0" w:space="0" w:color="auto"/>
        <w:bottom w:val="none" w:sz="0" w:space="0" w:color="auto"/>
        <w:right w:val="none" w:sz="0" w:space="0" w:color="auto"/>
      </w:divBdr>
    </w:div>
    <w:div w:id="923339785">
      <w:bodyDiv w:val="1"/>
      <w:marLeft w:val="0"/>
      <w:marRight w:val="0"/>
      <w:marTop w:val="0"/>
      <w:marBottom w:val="0"/>
      <w:divBdr>
        <w:top w:val="none" w:sz="0" w:space="0" w:color="auto"/>
        <w:left w:val="none" w:sz="0" w:space="0" w:color="auto"/>
        <w:bottom w:val="none" w:sz="0" w:space="0" w:color="auto"/>
        <w:right w:val="none" w:sz="0" w:space="0" w:color="auto"/>
      </w:divBdr>
    </w:div>
    <w:div w:id="965817153">
      <w:bodyDiv w:val="1"/>
      <w:marLeft w:val="0"/>
      <w:marRight w:val="0"/>
      <w:marTop w:val="0"/>
      <w:marBottom w:val="0"/>
      <w:divBdr>
        <w:top w:val="none" w:sz="0" w:space="0" w:color="auto"/>
        <w:left w:val="none" w:sz="0" w:space="0" w:color="auto"/>
        <w:bottom w:val="none" w:sz="0" w:space="0" w:color="auto"/>
        <w:right w:val="none" w:sz="0" w:space="0" w:color="auto"/>
      </w:divBdr>
    </w:div>
    <w:div w:id="983319906">
      <w:bodyDiv w:val="1"/>
      <w:marLeft w:val="0"/>
      <w:marRight w:val="0"/>
      <w:marTop w:val="0"/>
      <w:marBottom w:val="0"/>
      <w:divBdr>
        <w:top w:val="none" w:sz="0" w:space="0" w:color="auto"/>
        <w:left w:val="none" w:sz="0" w:space="0" w:color="auto"/>
        <w:bottom w:val="none" w:sz="0" w:space="0" w:color="auto"/>
        <w:right w:val="none" w:sz="0" w:space="0" w:color="auto"/>
      </w:divBdr>
      <w:divsChild>
        <w:div w:id="632714293">
          <w:marLeft w:val="360"/>
          <w:marRight w:val="0"/>
          <w:marTop w:val="200"/>
          <w:marBottom w:val="0"/>
          <w:divBdr>
            <w:top w:val="none" w:sz="0" w:space="0" w:color="auto"/>
            <w:left w:val="none" w:sz="0" w:space="0" w:color="auto"/>
            <w:bottom w:val="none" w:sz="0" w:space="0" w:color="auto"/>
            <w:right w:val="none" w:sz="0" w:space="0" w:color="auto"/>
          </w:divBdr>
        </w:div>
      </w:divsChild>
    </w:div>
    <w:div w:id="1049380353">
      <w:bodyDiv w:val="1"/>
      <w:marLeft w:val="0"/>
      <w:marRight w:val="0"/>
      <w:marTop w:val="0"/>
      <w:marBottom w:val="0"/>
      <w:divBdr>
        <w:top w:val="none" w:sz="0" w:space="0" w:color="auto"/>
        <w:left w:val="none" w:sz="0" w:space="0" w:color="auto"/>
        <w:bottom w:val="none" w:sz="0" w:space="0" w:color="auto"/>
        <w:right w:val="none" w:sz="0" w:space="0" w:color="auto"/>
      </w:divBdr>
      <w:divsChild>
        <w:div w:id="982202557">
          <w:marLeft w:val="360"/>
          <w:marRight w:val="0"/>
          <w:marTop w:val="200"/>
          <w:marBottom w:val="0"/>
          <w:divBdr>
            <w:top w:val="none" w:sz="0" w:space="0" w:color="auto"/>
            <w:left w:val="none" w:sz="0" w:space="0" w:color="auto"/>
            <w:bottom w:val="none" w:sz="0" w:space="0" w:color="auto"/>
            <w:right w:val="none" w:sz="0" w:space="0" w:color="auto"/>
          </w:divBdr>
        </w:div>
      </w:divsChild>
    </w:div>
    <w:div w:id="1144665405">
      <w:bodyDiv w:val="1"/>
      <w:marLeft w:val="0"/>
      <w:marRight w:val="0"/>
      <w:marTop w:val="0"/>
      <w:marBottom w:val="0"/>
      <w:divBdr>
        <w:top w:val="none" w:sz="0" w:space="0" w:color="auto"/>
        <w:left w:val="none" w:sz="0" w:space="0" w:color="auto"/>
        <w:bottom w:val="none" w:sz="0" w:space="0" w:color="auto"/>
        <w:right w:val="none" w:sz="0" w:space="0" w:color="auto"/>
      </w:divBdr>
    </w:div>
    <w:div w:id="1198196035">
      <w:bodyDiv w:val="1"/>
      <w:marLeft w:val="0"/>
      <w:marRight w:val="0"/>
      <w:marTop w:val="0"/>
      <w:marBottom w:val="0"/>
      <w:divBdr>
        <w:top w:val="none" w:sz="0" w:space="0" w:color="auto"/>
        <w:left w:val="none" w:sz="0" w:space="0" w:color="auto"/>
        <w:bottom w:val="none" w:sz="0" w:space="0" w:color="auto"/>
        <w:right w:val="none" w:sz="0" w:space="0" w:color="auto"/>
      </w:divBdr>
      <w:divsChild>
        <w:div w:id="2065525382">
          <w:marLeft w:val="0"/>
          <w:marRight w:val="0"/>
          <w:marTop w:val="0"/>
          <w:marBottom w:val="0"/>
          <w:divBdr>
            <w:top w:val="none" w:sz="0" w:space="0" w:color="auto"/>
            <w:left w:val="none" w:sz="0" w:space="0" w:color="auto"/>
            <w:bottom w:val="none" w:sz="0" w:space="0" w:color="auto"/>
            <w:right w:val="none" w:sz="0" w:space="0" w:color="auto"/>
          </w:divBdr>
        </w:div>
      </w:divsChild>
    </w:div>
    <w:div w:id="1490486922">
      <w:bodyDiv w:val="1"/>
      <w:marLeft w:val="0"/>
      <w:marRight w:val="0"/>
      <w:marTop w:val="0"/>
      <w:marBottom w:val="0"/>
      <w:divBdr>
        <w:top w:val="none" w:sz="0" w:space="0" w:color="auto"/>
        <w:left w:val="none" w:sz="0" w:space="0" w:color="auto"/>
        <w:bottom w:val="none" w:sz="0" w:space="0" w:color="auto"/>
        <w:right w:val="none" w:sz="0" w:space="0" w:color="auto"/>
      </w:divBdr>
    </w:div>
    <w:div w:id="1493064630">
      <w:bodyDiv w:val="1"/>
      <w:marLeft w:val="0"/>
      <w:marRight w:val="0"/>
      <w:marTop w:val="0"/>
      <w:marBottom w:val="0"/>
      <w:divBdr>
        <w:top w:val="none" w:sz="0" w:space="0" w:color="auto"/>
        <w:left w:val="none" w:sz="0" w:space="0" w:color="auto"/>
        <w:bottom w:val="none" w:sz="0" w:space="0" w:color="auto"/>
        <w:right w:val="none" w:sz="0" w:space="0" w:color="auto"/>
      </w:divBdr>
    </w:div>
    <w:div w:id="1642148852">
      <w:bodyDiv w:val="1"/>
      <w:marLeft w:val="0"/>
      <w:marRight w:val="0"/>
      <w:marTop w:val="0"/>
      <w:marBottom w:val="0"/>
      <w:divBdr>
        <w:top w:val="none" w:sz="0" w:space="0" w:color="auto"/>
        <w:left w:val="none" w:sz="0" w:space="0" w:color="auto"/>
        <w:bottom w:val="none" w:sz="0" w:space="0" w:color="auto"/>
        <w:right w:val="none" w:sz="0" w:space="0" w:color="auto"/>
      </w:divBdr>
    </w:div>
    <w:div w:id="1711304147">
      <w:bodyDiv w:val="1"/>
      <w:marLeft w:val="0"/>
      <w:marRight w:val="0"/>
      <w:marTop w:val="0"/>
      <w:marBottom w:val="0"/>
      <w:divBdr>
        <w:top w:val="none" w:sz="0" w:space="0" w:color="auto"/>
        <w:left w:val="none" w:sz="0" w:space="0" w:color="auto"/>
        <w:bottom w:val="none" w:sz="0" w:space="0" w:color="auto"/>
        <w:right w:val="none" w:sz="0" w:space="0" w:color="auto"/>
      </w:divBdr>
    </w:div>
    <w:div w:id="1722244612">
      <w:bodyDiv w:val="1"/>
      <w:marLeft w:val="0"/>
      <w:marRight w:val="0"/>
      <w:marTop w:val="0"/>
      <w:marBottom w:val="0"/>
      <w:divBdr>
        <w:top w:val="none" w:sz="0" w:space="0" w:color="auto"/>
        <w:left w:val="none" w:sz="0" w:space="0" w:color="auto"/>
        <w:bottom w:val="none" w:sz="0" w:space="0" w:color="auto"/>
        <w:right w:val="none" w:sz="0" w:space="0" w:color="auto"/>
      </w:divBdr>
      <w:divsChild>
        <w:div w:id="270820265">
          <w:marLeft w:val="0"/>
          <w:marRight w:val="0"/>
          <w:marTop w:val="0"/>
          <w:marBottom w:val="0"/>
          <w:divBdr>
            <w:top w:val="none" w:sz="0" w:space="0" w:color="auto"/>
            <w:left w:val="none" w:sz="0" w:space="0" w:color="auto"/>
            <w:bottom w:val="none" w:sz="0" w:space="0" w:color="auto"/>
            <w:right w:val="none" w:sz="0" w:space="0" w:color="auto"/>
          </w:divBdr>
        </w:div>
      </w:divsChild>
    </w:div>
    <w:div w:id="190965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466769BEE734FBE4E44F783E46973" ma:contentTypeVersion="13" ma:contentTypeDescription="Create a new document." ma:contentTypeScope="" ma:versionID="b48e21fd7de8a6d45a04ab2a19a8d49a">
  <xsd:schema xmlns:xsd="http://www.w3.org/2001/XMLSchema" xmlns:xs="http://www.w3.org/2001/XMLSchema" xmlns:p="http://schemas.microsoft.com/office/2006/metadata/properties" xmlns:ns3="eaea9905-a1d5-45c7-b191-4b8174180b79" targetNamespace="http://schemas.microsoft.com/office/2006/metadata/properties" ma:root="true" ma:fieldsID="2859e3025d43ffc5dd99e7e2941706cc" ns3:_="">
    <xsd:import namespace="eaea9905-a1d5-45c7-b191-4b8174180b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a9905-a1d5-45c7-b191-4b8174180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E8BE1-5A0C-47AA-953A-D865A474B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a9905-a1d5-45c7-b191-4b8174180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DD136-264F-4F17-ADBB-A74228D6BD5B}">
  <ds:schemaRefs>
    <ds:schemaRef ds:uri="http://schemas.openxmlformats.org/officeDocument/2006/bibliography"/>
  </ds:schemaRefs>
</ds:datastoreItem>
</file>

<file path=customXml/itemProps3.xml><?xml version="1.0" encoding="utf-8"?>
<ds:datastoreItem xmlns:ds="http://schemas.openxmlformats.org/officeDocument/2006/customXml" ds:itemID="{7D45533E-DBAA-4D3A-8747-9E421D71BB76}">
  <ds:schemaRefs>
    <ds:schemaRef ds:uri="http://schemas.microsoft.com/sharepoint/v3/contenttype/forms"/>
  </ds:schemaRefs>
</ds:datastoreItem>
</file>

<file path=customXml/itemProps4.xml><?xml version="1.0" encoding="utf-8"?>
<ds:datastoreItem xmlns:ds="http://schemas.openxmlformats.org/officeDocument/2006/customXml" ds:itemID="{A54011B6-C50E-41D1-844A-11E7F3B840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IAEA Blank (r01)</Template>
  <TotalTime>1</TotalTime>
  <Pages>7</Pages>
  <Words>4027</Words>
  <Characters>21750</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Anna Leticia Barbosa Sousa</cp:lastModifiedBy>
  <cp:revision>2</cp:revision>
  <cp:lastPrinted>2024-03-19T13:52:00Z</cp:lastPrinted>
  <dcterms:created xsi:type="dcterms:W3CDTF">2024-09-04T14:40:00Z</dcterms:created>
  <dcterms:modified xsi:type="dcterms:W3CDTF">2024-09-04T14:40:00Z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0x010100C35466769BEE734FBE4E44F783E46973</vt:lpwstr>
  </property>
</Properties>
</file>