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5CB2" w14:textId="00AE05BA" w:rsidR="00BB246F" w:rsidRPr="00252C01" w:rsidRDefault="00BB246F" w:rsidP="00F40736">
      <w:pPr>
        <w:pStyle w:val="Subtitle"/>
        <w:rPr>
          <w:rFonts w:ascii="Times New Roman Bold" w:hAnsi="Times New Roman Bold"/>
          <w:caps/>
        </w:rPr>
      </w:pPr>
      <w:r w:rsidRPr="00252C01">
        <w:rPr>
          <w:rFonts w:ascii="Times New Roman Bold" w:hAnsi="Times New Roman Bold"/>
          <w:caps/>
        </w:rPr>
        <w:t>REGULATION AS AN OBSTACLE OR</w:t>
      </w:r>
      <w:r w:rsidR="00F40736" w:rsidRPr="00252C01">
        <w:rPr>
          <w:rFonts w:ascii="Times New Roman Bold" w:hAnsi="Times New Roman Bold"/>
          <w:caps/>
        </w:rPr>
        <w:t xml:space="preserve"> </w:t>
      </w:r>
      <w:r w:rsidRPr="00252C01">
        <w:rPr>
          <w:rFonts w:ascii="Times New Roman Bold" w:hAnsi="Times New Roman Bold"/>
          <w:caps/>
        </w:rPr>
        <w:t>AN ENABLER OF THE SMR PROMISE?</w:t>
      </w:r>
    </w:p>
    <w:p w14:paraId="4D1B799F" w14:textId="4B312A07" w:rsidR="00802381" w:rsidRDefault="00BB246F" w:rsidP="009B20A8">
      <w:pPr>
        <w:pStyle w:val="Subtitle"/>
        <w:spacing w:after="0" w:afterAutospacing="0" w:line="240" w:lineRule="auto"/>
      </w:pPr>
      <w:r w:rsidRPr="00252C01">
        <w:t>Diverging industry and regulatory views</w:t>
      </w:r>
      <w:r w:rsidR="00F40736" w:rsidRPr="00252C01">
        <w:t xml:space="preserve"> in Canada and Finland</w:t>
      </w:r>
    </w:p>
    <w:p w14:paraId="42B7C9E3" w14:textId="31ECB92B" w:rsidR="001646DD" w:rsidRPr="009B20A8" w:rsidRDefault="001646DD" w:rsidP="009B20A8">
      <w:pPr>
        <w:pStyle w:val="BodyText"/>
        <w:spacing w:line="240" w:lineRule="auto"/>
        <w:rPr>
          <w:lang w:val="en-US"/>
        </w:rPr>
      </w:pPr>
      <w:r>
        <w:rPr>
          <w:lang w:val="en-US"/>
        </w:rPr>
        <w:t xml:space="preserve">Paper </w:t>
      </w:r>
      <w:r w:rsidRPr="00EB64AB">
        <w:t>IAEA-CN-327/363</w:t>
      </w:r>
    </w:p>
    <w:p w14:paraId="6C957E4A" w14:textId="77777777" w:rsidR="001646DD" w:rsidRDefault="001646DD" w:rsidP="00BB246F">
      <w:pPr>
        <w:pStyle w:val="Authornameandaffiliation"/>
      </w:pPr>
    </w:p>
    <w:p w14:paraId="477AC5FF" w14:textId="6CBB6819" w:rsidR="00BB246F" w:rsidRPr="00252C01" w:rsidRDefault="00BB246F" w:rsidP="00BB246F">
      <w:pPr>
        <w:pStyle w:val="Authornameandaffiliation"/>
      </w:pPr>
      <w:r w:rsidRPr="00252C01">
        <w:t>M. LEHTONEN</w:t>
      </w:r>
    </w:p>
    <w:p w14:paraId="4C0AB4CF" w14:textId="77777777" w:rsidR="00BB246F" w:rsidRPr="00252C01" w:rsidRDefault="00BB246F" w:rsidP="00BB246F">
      <w:pPr>
        <w:pStyle w:val="Authornameandaffiliation"/>
      </w:pPr>
      <w:proofErr w:type="spellStart"/>
      <w:r w:rsidRPr="00252C01">
        <w:t>Universitat</w:t>
      </w:r>
      <w:proofErr w:type="spellEnd"/>
      <w:r w:rsidRPr="00252C01">
        <w:t xml:space="preserve"> </w:t>
      </w:r>
      <w:proofErr w:type="spellStart"/>
      <w:r w:rsidRPr="00252C01">
        <w:t>Pompeu</w:t>
      </w:r>
      <w:proofErr w:type="spellEnd"/>
      <w:r w:rsidRPr="00252C01">
        <w:t xml:space="preserve"> </w:t>
      </w:r>
      <w:proofErr w:type="spellStart"/>
      <w:r w:rsidRPr="00252C01">
        <w:t>Fabra</w:t>
      </w:r>
      <w:proofErr w:type="spellEnd"/>
      <w:r w:rsidRPr="00252C01">
        <w:t xml:space="preserve"> </w:t>
      </w:r>
    </w:p>
    <w:p w14:paraId="51C735A0" w14:textId="77777777" w:rsidR="00BB246F" w:rsidRPr="00F9532C" w:rsidRDefault="00BB246F" w:rsidP="00BB246F">
      <w:pPr>
        <w:pStyle w:val="Authornameandaffiliation"/>
      </w:pPr>
      <w:r w:rsidRPr="00252C01">
        <w:t>Barcelona, Spain</w:t>
      </w:r>
    </w:p>
    <w:p w14:paraId="1665EEE8" w14:textId="2F5590A0" w:rsidR="00BB246F" w:rsidRPr="00252C01" w:rsidRDefault="00BB246F" w:rsidP="00BB246F">
      <w:pPr>
        <w:pStyle w:val="Authornameandaffiliation"/>
      </w:pPr>
      <w:r w:rsidRPr="00252C01">
        <w:t>Email: markku.lehtonen@upf.edu.fi</w:t>
      </w:r>
    </w:p>
    <w:p w14:paraId="5E2BDA1F" w14:textId="77777777" w:rsidR="00FF386F" w:rsidRPr="00252C01" w:rsidRDefault="00FF386F" w:rsidP="00537496">
      <w:pPr>
        <w:pStyle w:val="Authornameandaffiliation"/>
      </w:pPr>
    </w:p>
    <w:p w14:paraId="535BB6CC" w14:textId="50E0F650" w:rsidR="00FF386F" w:rsidRPr="00F9532C" w:rsidRDefault="00BB246F" w:rsidP="00537496">
      <w:pPr>
        <w:pStyle w:val="Authornameandaffiliation"/>
        <w:rPr>
          <w:lang w:val="fi-FI"/>
        </w:rPr>
      </w:pPr>
      <w:r w:rsidRPr="00F9532C">
        <w:rPr>
          <w:lang w:val="fi-FI"/>
        </w:rPr>
        <w:t xml:space="preserve">M. KOJO </w:t>
      </w:r>
    </w:p>
    <w:p w14:paraId="008085C2" w14:textId="3235DEBE" w:rsidR="00FF386F" w:rsidRPr="00F9532C" w:rsidRDefault="00BB246F" w:rsidP="00537496">
      <w:pPr>
        <w:pStyle w:val="Authornameandaffiliation"/>
        <w:rPr>
          <w:lang w:val="fi-FI"/>
        </w:rPr>
      </w:pPr>
      <w:r w:rsidRPr="00F9532C">
        <w:rPr>
          <w:lang w:val="fi-FI"/>
        </w:rPr>
        <w:t xml:space="preserve">LUT </w:t>
      </w:r>
      <w:proofErr w:type="spellStart"/>
      <w:r w:rsidRPr="00F9532C">
        <w:rPr>
          <w:lang w:val="fi-FI"/>
        </w:rPr>
        <w:t>University</w:t>
      </w:r>
      <w:proofErr w:type="spellEnd"/>
    </w:p>
    <w:p w14:paraId="5D980831" w14:textId="17C7BD47" w:rsidR="00FF386F" w:rsidRPr="00F9532C" w:rsidRDefault="00BB246F" w:rsidP="00537496">
      <w:pPr>
        <w:pStyle w:val="Authornameandaffiliation"/>
        <w:rPr>
          <w:lang w:val="fi-FI"/>
        </w:rPr>
      </w:pPr>
      <w:r w:rsidRPr="00F9532C">
        <w:rPr>
          <w:lang w:val="fi-FI"/>
        </w:rPr>
        <w:t>Lappeenranta, Finland</w:t>
      </w:r>
    </w:p>
    <w:p w14:paraId="1C641EE5" w14:textId="77777777" w:rsidR="00BB246F" w:rsidRPr="00F9532C" w:rsidRDefault="00BB246F" w:rsidP="00537496">
      <w:pPr>
        <w:pStyle w:val="Authornameandaffiliation"/>
        <w:rPr>
          <w:lang w:val="fi-FI"/>
        </w:rPr>
      </w:pPr>
    </w:p>
    <w:p w14:paraId="59BD5576" w14:textId="77777777" w:rsidR="00BB246F" w:rsidRPr="00F9532C" w:rsidRDefault="00BB246F" w:rsidP="00BB246F">
      <w:pPr>
        <w:pStyle w:val="Authornameandaffiliation"/>
        <w:rPr>
          <w:lang w:val="fi-FI"/>
        </w:rPr>
      </w:pPr>
      <w:r w:rsidRPr="00F9532C">
        <w:rPr>
          <w:lang w:val="fi-FI"/>
        </w:rPr>
        <w:t>M. KARI, S. TORNBERG &amp; T. LITMANEN</w:t>
      </w:r>
      <w:r w:rsidRPr="00F9532C">
        <w:rPr>
          <w:lang w:val="fi-FI"/>
        </w:rPr>
        <w:tab/>
      </w:r>
    </w:p>
    <w:p w14:paraId="4F846B5B" w14:textId="77777777" w:rsidR="00BB246F" w:rsidRPr="00252C01" w:rsidRDefault="00BB246F" w:rsidP="00BB246F">
      <w:pPr>
        <w:pStyle w:val="Authornameandaffiliation"/>
      </w:pPr>
      <w:r w:rsidRPr="00252C01">
        <w:t>University of Jyväskylä</w:t>
      </w:r>
    </w:p>
    <w:p w14:paraId="26175395" w14:textId="77777777" w:rsidR="00BB246F" w:rsidRPr="00252C01" w:rsidRDefault="00BB246F" w:rsidP="00BB246F">
      <w:pPr>
        <w:pStyle w:val="Authornameandaffiliation"/>
      </w:pPr>
      <w:r w:rsidRPr="00252C01">
        <w:t>Jyväskylä, Finland</w:t>
      </w:r>
    </w:p>
    <w:p w14:paraId="2C7F19CB" w14:textId="77777777" w:rsidR="00FF386F" w:rsidRPr="00252C01" w:rsidRDefault="00FF386F" w:rsidP="00252C01">
      <w:pPr>
        <w:pStyle w:val="Authornameandaffiliation"/>
        <w:ind w:left="0"/>
      </w:pPr>
    </w:p>
    <w:p w14:paraId="230D4575" w14:textId="77777777" w:rsidR="00647F33" w:rsidRPr="00252C01" w:rsidRDefault="00647F33" w:rsidP="00537496">
      <w:pPr>
        <w:pStyle w:val="Authornameandaffiliation"/>
        <w:rPr>
          <w:b/>
        </w:rPr>
      </w:pPr>
      <w:r w:rsidRPr="00252C01">
        <w:rPr>
          <w:b/>
        </w:rPr>
        <w:t>Abstract</w:t>
      </w:r>
    </w:p>
    <w:p w14:paraId="4F2E62A2" w14:textId="77777777" w:rsidR="00647F33" w:rsidRPr="00252C01" w:rsidRDefault="00647F33" w:rsidP="00537496">
      <w:pPr>
        <w:pStyle w:val="Authornameandaffiliation"/>
      </w:pPr>
    </w:p>
    <w:p w14:paraId="017902F8" w14:textId="071BA95E" w:rsidR="00BB246F" w:rsidRPr="00252C01" w:rsidRDefault="00BB246F" w:rsidP="00BB246F">
      <w:pPr>
        <w:pBdr>
          <w:top w:val="nil"/>
          <w:left w:val="nil"/>
          <w:bottom w:val="nil"/>
          <w:right w:val="nil"/>
          <w:between w:val="nil"/>
        </w:pBdr>
        <w:spacing w:line="276" w:lineRule="auto"/>
        <w:ind w:firstLine="567"/>
        <w:jc w:val="both"/>
        <w:rPr>
          <w:sz w:val="18"/>
          <w:szCs w:val="18"/>
        </w:rPr>
      </w:pPr>
      <w:r w:rsidRPr="00252C01">
        <w:rPr>
          <w:color w:val="000000"/>
          <w:sz w:val="18"/>
          <w:szCs w:val="18"/>
        </w:rPr>
        <w:t xml:space="preserve">Regulatory </w:t>
      </w:r>
      <w:r w:rsidR="006304E0" w:rsidRPr="00252C01">
        <w:rPr>
          <w:color w:val="000000"/>
          <w:sz w:val="18"/>
          <w:szCs w:val="18"/>
        </w:rPr>
        <w:t>reforms are underway, nationally and internationally, to streamline and harmonise nuclear safety regulation, and thereby enable the materialisation of the techno-scientific promise of SMRs.</w:t>
      </w:r>
      <w:r w:rsidR="006304E0" w:rsidRPr="00252C01">
        <w:rPr>
          <w:sz w:val="18"/>
          <w:szCs w:val="18"/>
        </w:rPr>
        <w:t xml:space="preserve"> These reforms crucially shape the legitimacy and credibility of the SMR promise in the eyes of the key stakeholders. </w:t>
      </w:r>
      <w:r w:rsidR="00551710">
        <w:rPr>
          <w:sz w:val="18"/>
          <w:szCs w:val="18"/>
        </w:rPr>
        <w:t>These actors must perceive the</w:t>
      </w:r>
      <w:r w:rsidR="006304E0" w:rsidRPr="00252C01">
        <w:rPr>
          <w:sz w:val="18"/>
          <w:szCs w:val="18"/>
        </w:rPr>
        <w:t xml:space="preserve"> regulatory framework not only as effective in facilitating the deployment of SMRs, but </w:t>
      </w:r>
      <w:r w:rsidR="00551710">
        <w:rPr>
          <w:sz w:val="18"/>
          <w:szCs w:val="18"/>
        </w:rPr>
        <w:t>also</w:t>
      </w:r>
      <w:r w:rsidR="006304E0" w:rsidRPr="00252C01">
        <w:rPr>
          <w:sz w:val="18"/>
          <w:szCs w:val="18"/>
        </w:rPr>
        <w:t xml:space="preserve"> </w:t>
      </w:r>
      <w:r w:rsidR="00551710">
        <w:rPr>
          <w:sz w:val="18"/>
          <w:szCs w:val="18"/>
        </w:rPr>
        <w:t>in line with</w:t>
      </w:r>
      <w:r w:rsidR="00551710" w:rsidRPr="00252C01">
        <w:rPr>
          <w:sz w:val="18"/>
          <w:szCs w:val="18"/>
        </w:rPr>
        <w:t xml:space="preserve"> </w:t>
      </w:r>
      <w:r w:rsidR="006304E0" w:rsidRPr="00252C01">
        <w:rPr>
          <w:sz w:val="18"/>
          <w:szCs w:val="18"/>
        </w:rPr>
        <w:t xml:space="preserve">criteria such as accountability, inclusiveness, openness, and integrity. </w:t>
      </w:r>
      <w:r w:rsidR="006304E0" w:rsidRPr="00252C01">
        <w:rPr>
          <w:color w:val="000000"/>
          <w:sz w:val="18"/>
          <w:szCs w:val="18"/>
        </w:rPr>
        <w:t xml:space="preserve">The paper explores the views of industry, safety regulators, and politicians on the rationale and the role of the recent and ongoing reforms in Canada and Finland designed to facilitate SMR development and deployment. </w:t>
      </w:r>
      <w:r w:rsidR="00551710">
        <w:rPr>
          <w:sz w:val="18"/>
          <w:szCs w:val="18"/>
        </w:rPr>
        <w:t>It</w:t>
      </w:r>
      <w:r w:rsidR="006304E0" w:rsidRPr="00252C01">
        <w:rPr>
          <w:sz w:val="18"/>
          <w:szCs w:val="18"/>
        </w:rPr>
        <w:t xml:space="preserve"> draws on qualitative analysis of selected key policy documents, media sources, earlier literature, and stakeholder interviews, complemented by observations and material from conferences and seminars, and by an in-depth analysis of reporting on the regulatory reforms in three leading Finnish daily newspapers. The regulatory reforms in Finland are at an early </w:t>
      </w:r>
      <w:proofErr w:type="gramStart"/>
      <w:r w:rsidR="006304E0" w:rsidRPr="00252C01">
        <w:rPr>
          <w:sz w:val="18"/>
          <w:szCs w:val="18"/>
        </w:rPr>
        <w:t>stage, and</w:t>
      </w:r>
      <w:proofErr w:type="gramEnd"/>
      <w:r w:rsidR="006304E0" w:rsidRPr="00252C01">
        <w:rPr>
          <w:sz w:val="18"/>
          <w:szCs w:val="18"/>
        </w:rPr>
        <w:t xml:space="preserve"> have not generated controversy. In Canada, reforms have a longer history, including a revision of the impact assessment legislation and efforts towards more performance-based safety regulation. Stakeholder views in Canada are divided between largely positive industry and government opinions and a minority of critical Indigenous, civil society, and academic voices that suspect regulatory capture. Debates on the appropriate relationships between the political and the regulatory spheres and on the legitimacy of the SMR promise are likely to intensify also in Finland, if plans for exempting individual SMR projects from the crucial Decision-in-</w:t>
      </w:r>
      <w:proofErr w:type="gramStart"/>
      <w:r w:rsidR="006304E0" w:rsidRPr="00252C01">
        <w:rPr>
          <w:sz w:val="18"/>
          <w:szCs w:val="18"/>
        </w:rPr>
        <w:t>Principle</w:t>
      </w:r>
      <w:proofErr w:type="gramEnd"/>
      <w:r w:rsidR="006304E0" w:rsidRPr="00252C01">
        <w:rPr>
          <w:sz w:val="18"/>
          <w:szCs w:val="18"/>
        </w:rPr>
        <w:t xml:space="preserve"> procedure move ahead</w:t>
      </w:r>
      <w:r w:rsidRPr="00252C01">
        <w:rPr>
          <w:sz w:val="18"/>
          <w:szCs w:val="18"/>
        </w:rPr>
        <w:t>.</w:t>
      </w:r>
    </w:p>
    <w:p w14:paraId="03C6D75B" w14:textId="77777777" w:rsidR="00647F33" w:rsidRPr="00252C01" w:rsidRDefault="00F523CA" w:rsidP="00537496">
      <w:pPr>
        <w:pStyle w:val="Heading2"/>
        <w:numPr>
          <w:ilvl w:val="1"/>
          <w:numId w:val="10"/>
        </w:numPr>
      </w:pPr>
      <w:r w:rsidRPr="00252C01">
        <w:t>INTRODUCTION</w:t>
      </w:r>
    </w:p>
    <w:p w14:paraId="72D94835" w14:textId="376207BD" w:rsidR="00211920" w:rsidRPr="008F308D" w:rsidRDefault="00BB246F" w:rsidP="00211920">
      <w:pPr>
        <w:pBdr>
          <w:top w:val="nil"/>
          <w:left w:val="nil"/>
          <w:bottom w:val="nil"/>
          <w:right w:val="nil"/>
          <w:between w:val="nil"/>
        </w:pBdr>
        <w:spacing w:line="276" w:lineRule="auto"/>
        <w:ind w:firstLine="567"/>
        <w:jc w:val="both"/>
        <w:rPr>
          <w:color w:val="000000"/>
          <w:sz w:val="20"/>
        </w:rPr>
      </w:pPr>
      <w:r w:rsidRPr="008F308D">
        <w:rPr>
          <w:color w:val="000000"/>
          <w:sz w:val="20"/>
        </w:rPr>
        <w:t xml:space="preserve">Regulatory </w:t>
      </w:r>
      <w:r w:rsidR="00211920" w:rsidRPr="008F308D">
        <w:rPr>
          <w:color w:val="000000"/>
          <w:sz w:val="20"/>
        </w:rPr>
        <w:t xml:space="preserve">reforms are underway, nationally and internationally, to streamline and harmonise nuclear safety regulation, and thereby facilitate the deployment of SMRs. While some – both within and outside of the nuclear community – consider excessive and “fear-driven” safety regulation as the main obstacle to the commercialisation of SMRs, others in turn regard safety regulation reform as secondary, blaming the nuclear industry for its inability to harmonise industry standards </w:t>
      </w:r>
      <w:r w:rsidR="00211920" w:rsidRPr="008F308D">
        <w:rPr>
          <w:color w:val="000000"/>
          <w:sz w:val="20"/>
        </w:rPr>
        <w:sym w:font="Symbol" w:char="F05B"/>
      </w:r>
      <w:r w:rsidR="00211920" w:rsidRPr="008F308D">
        <w:rPr>
          <w:color w:val="000000"/>
          <w:sz w:val="20"/>
        </w:rPr>
        <w:t>1, 3</w:t>
      </w:r>
      <w:r w:rsidR="00392551">
        <w:rPr>
          <w:color w:val="000000"/>
          <w:sz w:val="20"/>
        </w:rPr>
        <w:t>2</w:t>
      </w:r>
      <w:r w:rsidR="00211920" w:rsidRPr="008F308D">
        <w:rPr>
          <w:color w:val="000000"/>
          <w:sz w:val="20"/>
        </w:rPr>
        <w:sym w:font="Symbol" w:char="F05D"/>
      </w:r>
      <w:r w:rsidR="00211920" w:rsidRPr="008F308D">
        <w:rPr>
          <w:sz w:val="20"/>
        </w:rPr>
        <w:t xml:space="preserve">. As any techno-scientific promise, to be materialised </w:t>
      </w:r>
      <w:r w:rsidR="00211920" w:rsidRPr="008F308D">
        <w:rPr>
          <w:color w:val="000000"/>
          <w:sz w:val="20"/>
        </w:rPr>
        <w:t>in the form</w:t>
      </w:r>
      <w:r w:rsidR="00211920" w:rsidRPr="008F308D">
        <w:rPr>
          <w:sz w:val="20"/>
        </w:rPr>
        <w:t xml:space="preserve"> of R&amp;D, experimental, prototype, and commercial projects</w:t>
      </w:r>
      <w:r w:rsidR="00211920" w:rsidRPr="008F308D">
        <w:rPr>
          <w:color w:val="000000"/>
          <w:sz w:val="20"/>
        </w:rPr>
        <w:t xml:space="preserve"> – </w:t>
      </w:r>
      <w:r w:rsidR="00211920" w:rsidRPr="008F308D">
        <w:rPr>
          <w:sz w:val="20"/>
        </w:rPr>
        <w:t xml:space="preserve">the SMR promise needs to gain </w:t>
      </w:r>
      <w:r w:rsidR="00211920" w:rsidRPr="008F308D">
        <w:rPr>
          <w:i/>
          <w:sz w:val="20"/>
        </w:rPr>
        <w:t>legitimacy</w:t>
      </w:r>
      <w:r w:rsidR="00211920" w:rsidRPr="008F308D">
        <w:rPr>
          <w:sz w:val="20"/>
        </w:rPr>
        <w:t xml:space="preserve"> and </w:t>
      </w:r>
      <w:r w:rsidR="00211920" w:rsidRPr="008F308D">
        <w:rPr>
          <w:i/>
          <w:sz w:val="20"/>
        </w:rPr>
        <w:t>credibility</w:t>
      </w:r>
      <w:r w:rsidR="00211920" w:rsidRPr="008F308D">
        <w:rPr>
          <w:sz w:val="20"/>
        </w:rPr>
        <w:t xml:space="preserve"> among key stakeholders.</w:t>
      </w:r>
      <w:r w:rsidR="00211920" w:rsidRPr="008F308D">
        <w:rPr>
          <w:color w:val="000000"/>
          <w:sz w:val="20"/>
        </w:rPr>
        <w:t xml:space="preserve"> </w:t>
      </w:r>
      <w:r w:rsidR="008F308D" w:rsidRPr="008F308D">
        <w:rPr>
          <w:sz w:val="20"/>
        </w:rPr>
        <w:t>A</w:t>
      </w:r>
      <w:r w:rsidR="00211920" w:rsidRPr="008F308D">
        <w:rPr>
          <w:sz w:val="20"/>
        </w:rPr>
        <w:t xml:space="preserve"> promise </w:t>
      </w:r>
      <w:r w:rsidR="008F308D" w:rsidRPr="008F308D">
        <w:rPr>
          <w:sz w:val="20"/>
        </w:rPr>
        <w:t xml:space="preserve">is constructed through </w:t>
      </w:r>
      <w:r w:rsidR="00211920" w:rsidRPr="008F308D">
        <w:rPr>
          <w:sz w:val="20"/>
        </w:rPr>
        <w:t>battles between</w:t>
      </w:r>
      <w:r w:rsidR="00211920" w:rsidRPr="008F308D">
        <w:rPr>
          <w:color w:val="000000"/>
          <w:sz w:val="20"/>
        </w:rPr>
        <w:t xml:space="preserve"> </w:t>
      </w:r>
      <w:r w:rsidR="008F308D" w:rsidRPr="008F308D">
        <w:rPr>
          <w:sz w:val="20"/>
        </w:rPr>
        <w:t>various groups in society</w:t>
      </w:r>
      <w:r w:rsidR="00211920" w:rsidRPr="008F308D">
        <w:rPr>
          <w:sz w:val="20"/>
        </w:rPr>
        <w:t xml:space="preserve"> over </w:t>
      </w:r>
      <w:r w:rsidR="008F308D" w:rsidRPr="008F308D">
        <w:rPr>
          <w:sz w:val="20"/>
        </w:rPr>
        <w:t xml:space="preserve">its </w:t>
      </w:r>
      <w:r w:rsidR="00211920" w:rsidRPr="008F308D">
        <w:rPr>
          <w:sz w:val="20"/>
        </w:rPr>
        <w:t xml:space="preserve">legitimacy and credibility. </w:t>
      </w:r>
      <w:r w:rsidR="00551710" w:rsidRPr="008F308D">
        <w:rPr>
          <w:sz w:val="20"/>
        </w:rPr>
        <w:t>To be l</w:t>
      </w:r>
      <w:r w:rsidR="00211920" w:rsidRPr="008F308D">
        <w:rPr>
          <w:sz w:val="20"/>
        </w:rPr>
        <w:t>egitima</w:t>
      </w:r>
      <w:r w:rsidR="00551710" w:rsidRPr="008F308D">
        <w:rPr>
          <w:sz w:val="20"/>
        </w:rPr>
        <w:t xml:space="preserve">te, the </w:t>
      </w:r>
      <w:r w:rsidR="00AD15A4" w:rsidRPr="008F308D">
        <w:rPr>
          <w:sz w:val="20"/>
        </w:rPr>
        <w:t>technology</w:t>
      </w:r>
      <w:r w:rsidR="008F308D" w:rsidRPr="008F308D">
        <w:rPr>
          <w:sz w:val="20"/>
        </w:rPr>
        <w:t xml:space="preserve"> </w:t>
      </w:r>
      <w:r w:rsidR="00AD15A4" w:rsidRPr="008F308D">
        <w:rPr>
          <w:sz w:val="20"/>
        </w:rPr>
        <w:t>must</w:t>
      </w:r>
      <w:r w:rsidR="00551710" w:rsidRPr="008F308D">
        <w:rPr>
          <w:sz w:val="20"/>
        </w:rPr>
        <w:t xml:space="preserve"> </w:t>
      </w:r>
      <w:r w:rsidR="008F308D" w:rsidRPr="008F308D">
        <w:rPr>
          <w:sz w:val="20"/>
        </w:rPr>
        <w:t xml:space="preserve">be </w:t>
      </w:r>
      <w:r w:rsidR="00551710" w:rsidRPr="008F308D">
        <w:rPr>
          <w:sz w:val="20"/>
        </w:rPr>
        <w:t>seen as an indispensable solution to a widely recognised and urgent problem</w:t>
      </w:r>
      <w:r w:rsidR="00211920" w:rsidRPr="008F308D">
        <w:rPr>
          <w:sz w:val="20"/>
        </w:rPr>
        <w:t xml:space="preserve"> (such as climate change and energy security)</w:t>
      </w:r>
      <w:r w:rsidR="008F308D" w:rsidRPr="008F308D">
        <w:rPr>
          <w:sz w:val="20"/>
        </w:rPr>
        <w:t xml:space="preserve">, whereas credibility derives from its perceived technical, political, and societal feasibility. However, </w:t>
      </w:r>
      <w:r w:rsidR="00211920" w:rsidRPr="008F308D">
        <w:rPr>
          <w:sz w:val="20"/>
        </w:rPr>
        <w:t xml:space="preserve">also </w:t>
      </w:r>
      <w:r w:rsidR="00AD15A4" w:rsidRPr="008F308D">
        <w:rPr>
          <w:sz w:val="20"/>
        </w:rPr>
        <w:t xml:space="preserve">the </w:t>
      </w:r>
      <w:r w:rsidR="00211920" w:rsidRPr="008F308D">
        <w:rPr>
          <w:sz w:val="20"/>
        </w:rPr>
        <w:t xml:space="preserve">processes and procedures </w:t>
      </w:r>
      <w:r w:rsidR="008F308D" w:rsidRPr="008F308D">
        <w:rPr>
          <w:sz w:val="20"/>
        </w:rPr>
        <w:t>for</w:t>
      </w:r>
      <w:r w:rsidR="00211920" w:rsidRPr="008F308D">
        <w:rPr>
          <w:sz w:val="20"/>
        </w:rPr>
        <w:t xml:space="preserve"> </w:t>
      </w:r>
      <w:r w:rsidR="008F308D" w:rsidRPr="008F308D">
        <w:rPr>
          <w:sz w:val="20"/>
        </w:rPr>
        <w:t xml:space="preserve">tackling </w:t>
      </w:r>
      <w:r w:rsidR="00211920" w:rsidRPr="008F308D">
        <w:rPr>
          <w:sz w:val="20"/>
        </w:rPr>
        <w:t>the problem</w:t>
      </w:r>
      <w:r w:rsidR="00AD15A4" w:rsidRPr="008F308D">
        <w:rPr>
          <w:sz w:val="20"/>
        </w:rPr>
        <w:t xml:space="preserve"> must </w:t>
      </w:r>
      <w:r w:rsidR="008F308D" w:rsidRPr="008F308D">
        <w:rPr>
          <w:sz w:val="20"/>
        </w:rPr>
        <w:t xml:space="preserve">respect </w:t>
      </w:r>
      <w:r w:rsidR="00AD15A4" w:rsidRPr="008F308D">
        <w:rPr>
          <w:sz w:val="20"/>
        </w:rPr>
        <w:t xml:space="preserve">quality criteria such as </w:t>
      </w:r>
      <w:r w:rsidR="00AD15A4" w:rsidRPr="00592390">
        <w:rPr>
          <w:sz w:val="20"/>
        </w:rPr>
        <w:t>accountability, inclusiveness, openness, and integrity</w:t>
      </w:r>
      <w:r w:rsidR="00211920" w:rsidRPr="008F308D">
        <w:rPr>
          <w:sz w:val="20"/>
        </w:rPr>
        <w:t xml:space="preserve">. </w:t>
      </w:r>
      <w:r w:rsidR="008F308D" w:rsidRPr="008F308D">
        <w:rPr>
          <w:sz w:val="20"/>
        </w:rPr>
        <w:t>T</w:t>
      </w:r>
      <w:r w:rsidR="00211920" w:rsidRPr="008F308D">
        <w:rPr>
          <w:sz w:val="20"/>
        </w:rPr>
        <w:t xml:space="preserve">he </w:t>
      </w:r>
      <w:r w:rsidR="008F308D" w:rsidRPr="008F308D">
        <w:rPr>
          <w:sz w:val="20"/>
        </w:rPr>
        <w:t xml:space="preserve">quality of the </w:t>
      </w:r>
      <w:r w:rsidR="00211920" w:rsidRPr="008F308D">
        <w:rPr>
          <w:sz w:val="20"/>
        </w:rPr>
        <w:t xml:space="preserve">regulatory framework shapes this “throughput legitimacy” </w:t>
      </w:r>
      <w:r w:rsidR="00211920" w:rsidRPr="008F308D">
        <w:rPr>
          <w:color w:val="000000"/>
          <w:sz w:val="20"/>
        </w:rPr>
        <w:sym w:font="Symbol" w:char="F05B"/>
      </w:r>
      <w:r w:rsidR="00211920" w:rsidRPr="008F308D">
        <w:rPr>
          <w:color w:val="000000"/>
          <w:sz w:val="20"/>
        </w:rPr>
        <w:t>2</w:t>
      </w:r>
      <w:r w:rsidR="00211920" w:rsidRPr="008F308D">
        <w:rPr>
          <w:color w:val="000000"/>
          <w:sz w:val="20"/>
        </w:rPr>
        <w:sym w:font="Symbol" w:char="F05D"/>
      </w:r>
      <w:r w:rsidR="00211920" w:rsidRPr="008F308D">
        <w:rPr>
          <w:sz w:val="20"/>
        </w:rPr>
        <w:t xml:space="preserve">, while </w:t>
      </w:r>
      <w:r w:rsidR="008F308D" w:rsidRPr="008F308D">
        <w:rPr>
          <w:sz w:val="20"/>
        </w:rPr>
        <w:t xml:space="preserve">its </w:t>
      </w:r>
      <w:r w:rsidR="008F308D">
        <w:rPr>
          <w:sz w:val="20"/>
        </w:rPr>
        <w:t xml:space="preserve">perceived </w:t>
      </w:r>
      <w:r w:rsidR="00211920" w:rsidRPr="008F308D">
        <w:rPr>
          <w:sz w:val="20"/>
        </w:rPr>
        <w:t xml:space="preserve">ability to facilitate </w:t>
      </w:r>
      <w:r w:rsidR="008F308D">
        <w:rPr>
          <w:sz w:val="20"/>
        </w:rPr>
        <w:t>SMR</w:t>
      </w:r>
      <w:r w:rsidR="008F308D" w:rsidRPr="008F308D">
        <w:rPr>
          <w:sz w:val="20"/>
        </w:rPr>
        <w:t xml:space="preserve"> </w:t>
      </w:r>
      <w:r w:rsidR="00211920" w:rsidRPr="008F308D">
        <w:rPr>
          <w:sz w:val="20"/>
        </w:rPr>
        <w:t>deployment condition</w:t>
      </w:r>
      <w:r w:rsidR="008F308D">
        <w:rPr>
          <w:sz w:val="20"/>
        </w:rPr>
        <w:t>s</w:t>
      </w:r>
      <w:r w:rsidR="00211920" w:rsidRPr="008F308D">
        <w:rPr>
          <w:sz w:val="20"/>
        </w:rPr>
        <w:t xml:space="preserve"> the credibility of the promise.</w:t>
      </w:r>
    </w:p>
    <w:p w14:paraId="45AF3548" w14:textId="6B258801" w:rsidR="00BB246F" w:rsidRPr="00252C01" w:rsidRDefault="00211920" w:rsidP="00211920">
      <w:pPr>
        <w:pBdr>
          <w:top w:val="nil"/>
          <w:left w:val="nil"/>
          <w:bottom w:val="nil"/>
          <w:right w:val="nil"/>
          <w:between w:val="nil"/>
        </w:pBdr>
        <w:spacing w:line="276" w:lineRule="auto"/>
        <w:ind w:firstLine="567"/>
        <w:jc w:val="both"/>
        <w:rPr>
          <w:sz w:val="20"/>
        </w:rPr>
      </w:pPr>
      <w:r w:rsidRPr="00252C01">
        <w:rPr>
          <w:color w:val="000000"/>
          <w:sz w:val="20"/>
        </w:rPr>
        <w:t>To explore the role of regulatory reforms in the construction of the SMR promise, this paper analyses the views of industry, safety regulators, and poli</w:t>
      </w:r>
      <w:r w:rsidR="008F308D">
        <w:rPr>
          <w:color w:val="000000"/>
          <w:sz w:val="20"/>
        </w:rPr>
        <w:t>cy actors</w:t>
      </w:r>
      <w:r w:rsidRPr="00252C01">
        <w:rPr>
          <w:color w:val="000000"/>
          <w:sz w:val="20"/>
        </w:rPr>
        <w:t xml:space="preserve"> on the rationale and the role of the regulatory reforms in facilitating SMR development and deployment in Canada and Finland.</w:t>
      </w:r>
      <w:r w:rsidRPr="00252C01">
        <w:rPr>
          <w:sz w:val="20"/>
        </w:rPr>
        <w:t xml:space="preserve"> The regulatory reforms in Finland are still at an early stage, whereas in Canada, reforms have been underway for a long time. Stakeholder views in Canada are divided between the largely positive industry and government views and doubts among Indigenous, civil </w:t>
      </w:r>
      <w:r w:rsidRPr="00252C01">
        <w:rPr>
          <w:sz w:val="20"/>
        </w:rPr>
        <w:lastRenderedPageBreak/>
        <w:t>society, and academic critics about regulatory capture</w:t>
      </w:r>
      <w:sdt>
        <w:sdtPr>
          <w:tag w:val="goog_rdk_1"/>
          <w:id w:val="-801997332"/>
        </w:sdtPr>
        <w:sdtContent/>
      </w:sdt>
      <w:r w:rsidRPr="00252C01">
        <w:rPr>
          <w:sz w:val="20"/>
        </w:rPr>
        <w:t>. The paper draws on qualitative analysis of selected key policy documents, media sources, earlier literature, stakeholder interviews</w:t>
      </w:r>
      <w:r w:rsidR="008F308D">
        <w:rPr>
          <w:sz w:val="20"/>
        </w:rPr>
        <w:t xml:space="preserve"> relating to SMR regulatory reforms</w:t>
      </w:r>
      <w:r w:rsidRPr="00252C01">
        <w:rPr>
          <w:sz w:val="20"/>
        </w:rPr>
        <w:t xml:space="preserve">, as well as observations and material from conferences and seminars, for both countries. </w:t>
      </w:r>
      <w:sdt>
        <w:sdtPr>
          <w:tag w:val="goog_rdk_2"/>
          <w:id w:val="861393783"/>
        </w:sdtPr>
        <w:sdtContent/>
      </w:sdt>
      <w:r w:rsidRPr="00252C01">
        <w:rPr>
          <w:sz w:val="20"/>
        </w:rPr>
        <w:t xml:space="preserve">For Finland, an in-depth analysis was conducted on reporting in the two leading Finnish-language newspapers, Helsingin Sanomat (HS) and </w:t>
      </w:r>
      <w:proofErr w:type="spellStart"/>
      <w:r w:rsidRPr="00252C01">
        <w:rPr>
          <w:sz w:val="20"/>
        </w:rPr>
        <w:t>Aamulehti</w:t>
      </w:r>
      <w:proofErr w:type="spellEnd"/>
      <w:r w:rsidRPr="00252C01">
        <w:rPr>
          <w:sz w:val="20"/>
        </w:rPr>
        <w:t xml:space="preserve"> (AL), as well as the country’s largest Swedish-language daily, </w:t>
      </w:r>
      <w:proofErr w:type="spellStart"/>
      <w:r w:rsidRPr="00252C01">
        <w:rPr>
          <w:sz w:val="20"/>
        </w:rPr>
        <w:t>Hufvudstadsbladet</w:t>
      </w:r>
      <w:proofErr w:type="spellEnd"/>
      <w:r w:rsidRPr="00252C01">
        <w:rPr>
          <w:sz w:val="20"/>
        </w:rPr>
        <w:t xml:space="preserve"> (HBL). The review period was 2000-2023 for HS and HBL, and 2015-2023 for AL. For Canada, similar analysis is underway.</w:t>
      </w:r>
    </w:p>
    <w:p w14:paraId="74CD1556" w14:textId="57BB6560" w:rsidR="00E25B68" w:rsidRPr="00252C01" w:rsidRDefault="00356605" w:rsidP="0026525A">
      <w:pPr>
        <w:pStyle w:val="Heading2"/>
        <w:numPr>
          <w:ilvl w:val="1"/>
          <w:numId w:val="10"/>
        </w:numPr>
      </w:pPr>
      <w:r w:rsidRPr="00252C01">
        <w:t>R</w:t>
      </w:r>
      <w:r w:rsidR="00BB246F" w:rsidRPr="00252C01">
        <w:t>egulatory reforms</w:t>
      </w:r>
      <w:r w:rsidR="00211920" w:rsidRPr="00252C01">
        <w:t>,</w:t>
      </w:r>
      <w:r w:rsidR="00BB246F" w:rsidRPr="00252C01">
        <w:t xml:space="preserve"> </w:t>
      </w:r>
      <w:r w:rsidR="00211920" w:rsidRPr="00252C01">
        <w:t xml:space="preserve">to </w:t>
      </w:r>
      <w:r w:rsidR="00BB246F" w:rsidRPr="00252C01">
        <w:t>materialis</w:t>
      </w:r>
      <w:r w:rsidR="00211920" w:rsidRPr="00252C01">
        <w:t xml:space="preserve">e </w:t>
      </w:r>
      <w:r w:rsidR="00BB246F" w:rsidRPr="00252C01">
        <w:t xml:space="preserve">the promise? </w:t>
      </w:r>
    </w:p>
    <w:p w14:paraId="71EAFE3A" w14:textId="28B3FCA3" w:rsidR="00BB246F" w:rsidRPr="00252C01" w:rsidRDefault="00BB246F" w:rsidP="00290F41">
      <w:pPr>
        <w:pBdr>
          <w:top w:val="nil"/>
          <w:left w:val="nil"/>
          <w:bottom w:val="nil"/>
          <w:right w:val="nil"/>
          <w:between w:val="nil"/>
        </w:pBdr>
        <w:spacing w:line="276" w:lineRule="auto"/>
        <w:ind w:firstLine="567"/>
        <w:jc w:val="both"/>
        <w:rPr>
          <w:sz w:val="20"/>
        </w:rPr>
      </w:pPr>
      <w:r w:rsidRPr="00252C01">
        <w:rPr>
          <w:sz w:val="20"/>
        </w:rPr>
        <w:t>The “output legitimacy”</w:t>
      </w:r>
      <w:r w:rsidR="00D37D55">
        <w:rPr>
          <w:sz w:val="20"/>
        </w:rPr>
        <w:t xml:space="preserve"> of the SMR promise hinges </w:t>
      </w:r>
      <w:r w:rsidRPr="00252C01">
        <w:rPr>
          <w:sz w:val="20"/>
        </w:rPr>
        <w:t xml:space="preserve">on beliefs concerning the urgency of the problems that these reactors are </w:t>
      </w:r>
      <w:r w:rsidR="00D37D55">
        <w:rPr>
          <w:sz w:val="20"/>
        </w:rPr>
        <w:t>expected</w:t>
      </w:r>
      <w:r w:rsidR="00D37D55" w:rsidRPr="00252C01">
        <w:rPr>
          <w:sz w:val="20"/>
        </w:rPr>
        <w:t xml:space="preserve"> </w:t>
      </w:r>
      <w:r w:rsidRPr="00252C01">
        <w:rPr>
          <w:sz w:val="20"/>
        </w:rPr>
        <w:t xml:space="preserve">to solve - primarily climate change and lack of energy security. The “throughput” legitimacy </w:t>
      </w:r>
      <w:r w:rsidR="00C13147" w:rsidRPr="00252C01">
        <w:rPr>
          <w:sz w:val="20"/>
        </w:rPr>
        <w:t>[2]</w:t>
      </w:r>
      <w:r w:rsidRPr="00252C01">
        <w:rPr>
          <w:sz w:val="20"/>
        </w:rPr>
        <w:t xml:space="preserve"> is determined by the </w:t>
      </w:r>
      <w:r w:rsidR="00D37D55">
        <w:rPr>
          <w:sz w:val="20"/>
        </w:rPr>
        <w:t xml:space="preserve">perceived </w:t>
      </w:r>
      <w:r w:rsidRPr="00252C01">
        <w:rPr>
          <w:sz w:val="20"/>
        </w:rPr>
        <w:t xml:space="preserve">quality of the policymaking processes – notably their efficacy, accountability, inclusiveness, and openness. Regulatory reforms are </w:t>
      </w:r>
      <w:r w:rsidR="009E3815">
        <w:rPr>
          <w:sz w:val="20"/>
        </w:rPr>
        <w:t>central</w:t>
      </w:r>
      <w:r w:rsidRPr="00252C01">
        <w:rPr>
          <w:sz w:val="20"/>
        </w:rPr>
        <w:t xml:space="preserve"> in such policy processes, </w:t>
      </w:r>
      <w:r w:rsidR="00D37D55">
        <w:rPr>
          <w:sz w:val="20"/>
        </w:rPr>
        <w:t xml:space="preserve">often </w:t>
      </w:r>
      <w:r w:rsidRPr="00252C01">
        <w:rPr>
          <w:sz w:val="20"/>
        </w:rPr>
        <w:t>portrayed as essential for SMR deployment.</w:t>
      </w:r>
    </w:p>
    <w:p w14:paraId="2F03C217" w14:textId="1F21B8E3" w:rsidR="00BB246F" w:rsidRPr="00252C01" w:rsidRDefault="00BB246F" w:rsidP="00BB246F">
      <w:pPr>
        <w:pStyle w:val="Heading3"/>
      </w:pPr>
      <w:r w:rsidRPr="00252C01">
        <w:t>The multiple dimensions and definitions of regulation</w:t>
      </w:r>
    </w:p>
    <w:p w14:paraId="75893627" w14:textId="2EABF66B" w:rsidR="00BB246F" w:rsidRPr="00252C01" w:rsidRDefault="00BB246F" w:rsidP="00BB246F">
      <w:pPr>
        <w:pBdr>
          <w:top w:val="nil"/>
          <w:left w:val="nil"/>
          <w:bottom w:val="nil"/>
          <w:right w:val="nil"/>
          <w:between w:val="nil"/>
        </w:pBdr>
        <w:spacing w:line="276" w:lineRule="auto"/>
        <w:ind w:firstLine="567"/>
        <w:jc w:val="both"/>
        <w:rPr>
          <w:sz w:val="20"/>
        </w:rPr>
      </w:pPr>
      <w:r w:rsidRPr="00252C01">
        <w:rPr>
          <w:color w:val="000000"/>
          <w:sz w:val="20"/>
        </w:rPr>
        <w:t>Howlett and Newman</w:t>
      </w:r>
      <w:r w:rsidR="00C13147" w:rsidRPr="00252C01">
        <w:rPr>
          <w:sz w:val="20"/>
        </w:rPr>
        <w:t xml:space="preserve"> </w:t>
      </w:r>
      <w:r w:rsidR="00D37D55" w:rsidRPr="00252C01">
        <w:rPr>
          <w:color w:val="000000"/>
          <w:sz w:val="20"/>
        </w:rPr>
        <w:t>[3]</w:t>
      </w:r>
      <w:r w:rsidRPr="00252C01">
        <w:rPr>
          <w:sz w:val="20"/>
        </w:rPr>
        <w:t xml:space="preserve"> have defined a regulatory regime as</w:t>
      </w:r>
      <w:r w:rsidRPr="00252C01">
        <w:rPr>
          <w:color w:val="000000"/>
          <w:sz w:val="20"/>
        </w:rPr>
        <w:t xml:space="preserve"> “an institutionalized (though not necessarily codified) set of behaviours on the part of regulators and industry in which actors understand the rules and abide by them”. However, this narrow definition </w:t>
      </w:r>
      <w:r w:rsidRPr="00252C01">
        <w:rPr>
          <w:sz w:val="20"/>
        </w:rPr>
        <w:t xml:space="preserve">overlooks industry self-regulation </w:t>
      </w:r>
      <w:r w:rsidR="00211920" w:rsidRPr="00252C01">
        <w:rPr>
          <w:sz w:val="20"/>
        </w:rPr>
        <w:t>and</w:t>
      </w:r>
      <w:r w:rsidRPr="00252C01">
        <w:rPr>
          <w:sz w:val="20"/>
        </w:rPr>
        <w:t xml:space="preserve"> </w:t>
      </w:r>
      <w:r w:rsidR="00211920" w:rsidRPr="00252C01">
        <w:rPr>
          <w:sz w:val="20"/>
        </w:rPr>
        <w:t xml:space="preserve">collaborative </w:t>
      </w:r>
      <w:r w:rsidRPr="00252C01">
        <w:rPr>
          <w:sz w:val="20"/>
        </w:rPr>
        <w:t xml:space="preserve">regulation between the authorities, industry, and the civil society. </w:t>
      </w:r>
      <w:r w:rsidR="00211920" w:rsidRPr="00252C01">
        <w:rPr>
          <w:sz w:val="20"/>
        </w:rPr>
        <w:t xml:space="preserve">Approaches </w:t>
      </w:r>
      <w:r w:rsidRPr="00252C01">
        <w:rPr>
          <w:sz w:val="20"/>
        </w:rPr>
        <w:t xml:space="preserve">stressing the role of counter-expertise and civic vigilance, as part of a modern-day “monitory democracy” </w:t>
      </w:r>
      <w:r w:rsidR="00C13147" w:rsidRPr="00252C01">
        <w:rPr>
          <w:sz w:val="20"/>
        </w:rPr>
        <w:t xml:space="preserve">[4] </w:t>
      </w:r>
      <w:r w:rsidRPr="00252C01">
        <w:rPr>
          <w:sz w:val="20"/>
        </w:rPr>
        <w:t xml:space="preserve">are </w:t>
      </w:r>
      <w:r w:rsidR="00211920" w:rsidRPr="00252C01">
        <w:rPr>
          <w:sz w:val="20"/>
        </w:rPr>
        <w:t xml:space="preserve">often suggested to enhance the quality and the democratic legitimacy of policymaking by expanding the range of types of knowledge involved </w:t>
      </w:r>
      <w:r w:rsidRPr="00252C01">
        <w:rPr>
          <w:sz w:val="20"/>
        </w:rPr>
        <w:t xml:space="preserve">(e.g. </w:t>
      </w:r>
      <w:r w:rsidR="00C13147" w:rsidRPr="00252C01">
        <w:rPr>
          <w:sz w:val="20"/>
        </w:rPr>
        <w:t>[5]</w:t>
      </w:r>
      <w:r w:rsidRPr="00252C01">
        <w:rPr>
          <w:sz w:val="20"/>
        </w:rPr>
        <w:t xml:space="preserve">). </w:t>
      </w:r>
      <w:r w:rsidR="00211920" w:rsidRPr="00252C01">
        <w:rPr>
          <w:sz w:val="20"/>
        </w:rPr>
        <w:t xml:space="preserve">Such collaborative modes underline the fluid boundaries between “the political” and “the regulatory”: although formally separate, these spheres are in constant interaction </w:t>
      </w:r>
      <w:r w:rsidRPr="00252C01">
        <w:rPr>
          <w:sz w:val="20"/>
        </w:rPr>
        <w:t xml:space="preserve">(cf. </w:t>
      </w:r>
      <w:r w:rsidR="00C13147" w:rsidRPr="00252C01">
        <w:rPr>
          <w:sz w:val="20"/>
        </w:rPr>
        <w:t>[6]</w:t>
      </w:r>
      <w:r w:rsidRPr="00252C01">
        <w:rPr>
          <w:sz w:val="20"/>
        </w:rPr>
        <w:t xml:space="preserve">). </w:t>
      </w:r>
      <w:r w:rsidR="00211920" w:rsidRPr="00252C01">
        <w:rPr>
          <w:sz w:val="20"/>
        </w:rPr>
        <w:t>The regulatory mode adopted defines the degree of interaction between politics and regulation.</w:t>
      </w:r>
    </w:p>
    <w:p w14:paraId="6E32AB92" w14:textId="4EE2F3C5" w:rsidR="00BB246F" w:rsidRPr="00252C01" w:rsidRDefault="00211920" w:rsidP="00831780">
      <w:pPr>
        <w:pBdr>
          <w:top w:val="nil"/>
          <w:left w:val="nil"/>
          <w:bottom w:val="nil"/>
          <w:right w:val="nil"/>
          <w:between w:val="nil"/>
        </w:pBdr>
        <w:spacing w:line="276" w:lineRule="auto"/>
        <w:ind w:firstLine="567"/>
        <w:jc w:val="both"/>
        <w:rPr>
          <w:color w:val="000000"/>
          <w:sz w:val="20"/>
        </w:rPr>
      </w:pPr>
      <w:r w:rsidRPr="00252C01">
        <w:rPr>
          <w:color w:val="000000"/>
          <w:sz w:val="20"/>
        </w:rPr>
        <w:t xml:space="preserve">When calling for regulatory reforms, SMR advocates </w:t>
      </w:r>
      <w:r w:rsidRPr="00252C01">
        <w:rPr>
          <w:sz w:val="20"/>
        </w:rPr>
        <w:t>usually</w:t>
      </w:r>
      <w:r w:rsidRPr="00252C01">
        <w:rPr>
          <w:color w:val="000000"/>
          <w:sz w:val="20"/>
        </w:rPr>
        <w:t xml:space="preserve"> refer to nuclear safety regulation</w:t>
      </w:r>
      <w:r w:rsidR="00E510F0">
        <w:rPr>
          <w:color w:val="000000"/>
          <w:sz w:val="20"/>
        </w:rPr>
        <w:t>, arguing for</w:t>
      </w:r>
      <w:r w:rsidRPr="00252C01">
        <w:rPr>
          <w:sz w:val="20"/>
        </w:rPr>
        <w:t xml:space="preserve"> </w:t>
      </w:r>
      <w:r w:rsidR="00E510F0">
        <w:rPr>
          <w:sz w:val="20"/>
        </w:rPr>
        <w:t>s</w:t>
      </w:r>
      <w:r w:rsidRPr="00252C01">
        <w:rPr>
          <w:sz w:val="20"/>
        </w:rPr>
        <w:t>treamlining and international</w:t>
      </w:r>
      <w:r w:rsidR="00E510F0">
        <w:rPr>
          <w:sz w:val="20"/>
        </w:rPr>
        <w:t>ly</w:t>
      </w:r>
      <w:r w:rsidRPr="00252C01">
        <w:rPr>
          <w:sz w:val="20"/>
        </w:rPr>
        <w:t xml:space="preserve"> harmonisin</w:t>
      </w:r>
      <w:r w:rsidR="00E510F0">
        <w:rPr>
          <w:sz w:val="20"/>
        </w:rPr>
        <w:t>g</w:t>
      </w:r>
      <w:r w:rsidRPr="00252C01">
        <w:rPr>
          <w:sz w:val="20"/>
        </w:rPr>
        <w:t xml:space="preserve"> the existing regulatory frameworks designed for large NPPs </w:t>
      </w:r>
      <w:r w:rsidRPr="00252C01">
        <w:rPr>
          <w:color w:val="000000"/>
          <w:sz w:val="20"/>
        </w:rPr>
        <w:t>to render SMRs economically viable. However, planning regulations, impact assessments, and energy market regulation are increasingly highlighted as a key obstacle, as safety regulator</w:t>
      </w:r>
      <w:r w:rsidR="00E510F0">
        <w:rPr>
          <w:color w:val="000000"/>
          <w:sz w:val="20"/>
        </w:rPr>
        <w:t>y reforms</w:t>
      </w:r>
      <w:r w:rsidRPr="00252C01">
        <w:rPr>
          <w:color w:val="000000"/>
          <w:sz w:val="20"/>
        </w:rPr>
        <w:t xml:space="preserve"> </w:t>
      </w:r>
      <w:r w:rsidR="00E510F0">
        <w:rPr>
          <w:color w:val="000000"/>
          <w:sz w:val="20"/>
        </w:rPr>
        <w:t>advance</w:t>
      </w:r>
      <w:r w:rsidR="00BB246F" w:rsidRPr="00252C01">
        <w:rPr>
          <w:color w:val="000000"/>
          <w:sz w:val="20"/>
        </w:rPr>
        <w:t xml:space="preserve"> </w:t>
      </w:r>
      <w:r w:rsidR="006E4775" w:rsidRPr="00252C01">
        <w:rPr>
          <w:color w:val="000000"/>
          <w:sz w:val="20"/>
        </w:rPr>
        <w:t>[1]</w:t>
      </w:r>
      <w:r w:rsidR="00BB246F" w:rsidRPr="00252C01">
        <w:rPr>
          <w:color w:val="000000"/>
          <w:sz w:val="20"/>
        </w:rPr>
        <w:t>.</w:t>
      </w:r>
      <w:r w:rsidR="00BB246F" w:rsidRPr="00252C01">
        <w:rPr>
          <w:color w:val="000000"/>
          <w:sz w:val="20"/>
          <w:vertAlign w:val="superscript"/>
        </w:rPr>
        <w:footnoteReference w:id="2"/>
      </w:r>
      <w:r w:rsidR="00BB246F" w:rsidRPr="00252C01">
        <w:rPr>
          <w:color w:val="000000"/>
          <w:sz w:val="20"/>
        </w:rPr>
        <w:t xml:space="preserve">  </w:t>
      </w:r>
    </w:p>
    <w:p w14:paraId="4784BD3C" w14:textId="3B2B7F4C" w:rsidR="00831780" w:rsidRPr="00252C01" w:rsidRDefault="00831780" w:rsidP="005D09AC">
      <w:pPr>
        <w:pStyle w:val="Heading3"/>
      </w:pPr>
      <w:r w:rsidRPr="00252C01">
        <w:t>From prescriptive to performance-based regulation?</w:t>
      </w:r>
    </w:p>
    <w:p w14:paraId="6FBE86D8" w14:textId="4AF7E5FE" w:rsidR="00831780" w:rsidRPr="00252C01" w:rsidRDefault="00831780" w:rsidP="005D09AC">
      <w:pPr>
        <w:pBdr>
          <w:top w:val="nil"/>
          <w:left w:val="nil"/>
          <w:bottom w:val="nil"/>
          <w:right w:val="nil"/>
          <w:between w:val="nil"/>
        </w:pBdr>
        <w:spacing w:line="276" w:lineRule="auto"/>
        <w:ind w:firstLine="567"/>
        <w:jc w:val="both"/>
        <w:rPr>
          <w:sz w:val="20"/>
        </w:rPr>
      </w:pPr>
      <w:r w:rsidRPr="00252C01">
        <w:rPr>
          <w:sz w:val="20"/>
        </w:rPr>
        <w:t xml:space="preserve">Two </w:t>
      </w:r>
      <w:sdt>
        <w:sdtPr>
          <w:tag w:val="goog_rdk_7"/>
          <w:id w:val="-1659754464"/>
        </w:sdtPr>
        <w:sdtContent/>
      </w:sdt>
      <w:r w:rsidRPr="00252C01">
        <w:rPr>
          <w:sz w:val="20"/>
        </w:rPr>
        <w:t xml:space="preserve">generic approaches to safety regulation are often distinguished: the prescriptive approach, whereby the regulator defines in detail the </w:t>
      </w:r>
      <w:r w:rsidR="00E510F0">
        <w:rPr>
          <w:sz w:val="20"/>
        </w:rPr>
        <w:t xml:space="preserve">required </w:t>
      </w:r>
      <w:r w:rsidRPr="00252C01">
        <w:rPr>
          <w:sz w:val="20"/>
        </w:rPr>
        <w:t>safety measures, and the performance-based approach, which only specifies the safety objectives, but allows the licensee to define the measures for reaching th</w:t>
      </w:r>
      <w:r w:rsidR="00E510F0">
        <w:rPr>
          <w:sz w:val="20"/>
        </w:rPr>
        <w:t xml:space="preserve">em </w:t>
      </w:r>
      <w:r w:rsidR="00BB420E" w:rsidRPr="00252C01">
        <w:rPr>
          <w:sz w:val="20"/>
        </w:rPr>
        <w:sym w:font="Symbol" w:char="F05B"/>
      </w:r>
      <w:r w:rsidR="00BB420E">
        <w:rPr>
          <w:sz w:val="20"/>
        </w:rPr>
        <w:t>4</w:t>
      </w:r>
      <w:r w:rsidR="001479F5">
        <w:rPr>
          <w:sz w:val="20"/>
        </w:rPr>
        <w:t>8</w:t>
      </w:r>
      <w:r w:rsidR="00BB420E" w:rsidRPr="00252C01">
        <w:rPr>
          <w:sz w:val="20"/>
        </w:rPr>
        <w:sym w:font="Symbol" w:char="F05D"/>
      </w:r>
      <w:r w:rsidRPr="00252C01">
        <w:rPr>
          <w:sz w:val="20"/>
        </w:rPr>
        <w:t>. Prescriptive regulation typically applies deterministic approaches to risk analysis, as opposed to the “risk-based”</w:t>
      </w:r>
      <w:r w:rsidR="008E1A9F" w:rsidRPr="00252C01">
        <w:rPr>
          <w:sz w:val="20"/>
        </w:rPr>
        <w:t xml:space="preserve"> </w:t>
      </w:r>
      <w:r w:rsidRPr="00252C01">
        <w:rPr>
          <w:sz w:val="20"/>
        </w:rPr>
        <w:t xml:space="preserve">and probabilistic analysis involved in performance-based regulation </w:t>
      </w:r>
      <w:r w:rsidR="008E1A9F" w:rsidRPr="00252C01">
        <w:rPr>
          <w:sz w:val="20"/>
        </w:rPr>
        <w:sym w:font="Symbol" w:char="F05B"/>
      </w:r>
      <w:r w:rsidR="008E1A9F" w:rsidRPr="00252C01">
        <w:rPr>
          <w:sz w:val="20"/>
        </w:rPr>
        <w:t>2</w:t>
      </w:r>
      <w:r w:rsidR="00392551">
        <w:rPr>
          <w:sz w:val="20"/>
        </w:rPr>
        <w:t>0</w:t>
      </w:r>
      <w:r w:rsidR="008E1A9F" w:rsidRPr="00252C01">
        <w:rPr>
          <w:sz w:val="20"/>
        </w:rPr>
        <w:sym w:font="Symbol" w:char="F05D"/>
      </w:r>
      <w:r w:rsidRPr="00252C01">
        <w:rPr>
          <w:sz w:val="20"/>
        </w:rPr>
        <w:t>.</w:t>
      </w:r>
    </w:p>
    <w:p w14:paraId="3531F94D" w14:textId="4A64B0B4" w:rsidR="00831780" w:rsidRPr="00252C01" w:rsidRDefault="00831780" w:rsidP="00831780">
      <w:pPr>
        <w:pBdr>
          <w:top w:val="nil"/>
          <w:left w:val="nil"/>
          <w:bottom w:val="nil"/>
          <w:right w:val="nil"/>
          <w:between w:val="nil"/>
        </w:pBdr>
        <w:spacing w:line="276" w:lineRule="auto"/>
        <w:ind w:firstLine="567"/>
        <w:jc w:val="both"/>
        <w:rPr>
          <w:color w:val="000000"/>
          <w:sz w:val="20"/>
        </w:rPr>
      </w:pPr>
      <w:r w:rsidRPr="00252C01">
        <w:rPr>
          <w:sz w:val="20"/>
        </w:rPr>
        <w:t xml:space="preserve">SMR advocates </w:t>
      </w:r>
      <w:r w:rsidR="00E510F0">
        <w:rPr>
          <w:sz w:val="20"/>
        </w:rPr>
        <w:t>often</w:t>
      </w:r>
      <w:r w:rsidR="00E510F0" w:rsidRPr="00252C01">
        <w:rPr>
          <w:sz w:val="20"/>
        </w:rPr>
        <w:t xml:space="preserve"> </w:t>
      </w:r>
      <w:r w:rsidR="00E510F0">
        <w:rPr>
          <w:sz w:val="20"/>
        </w:rPr>
        <w:t>criticise</w:t>
      </w:r>
      <w:r w:rsidR="00E510F0" w:rsidRPr="00252C01">
        <w:rPr>
          <w:sz w:val="20"/>
        </w:rPr>
        <w:t xml:space="preserve"> </w:t>
      </w:r>
      <w:r w:rsidRPr="00252C01">
        <w:rPr>
          <w:sz w:val="20"/>
        </w:rPr>
        <w:t xml:space="preserve">prescriptive regulation </w:t>
      </w:r>
      <w:r w:rsidR="00E510F0">
        <w:rPr>
          <w:sz w:val="20"/>
        </w:rPr>
        <w:t xml:space="preserve">for being </w:t>
      </w:r>
      <w:r w:rsidRPr="00252C01">
        <w:rPr>
          <w:sz w:val="20"/>
        </w:rPr>
        <w:t xml:space="preserve">as a hindrance to innovation. However, performance-oriented regulation places the burden of demonstrating safety upon the applicant, who cannot be sure in advance that the regulator will approve of the chosen safety solution. </w:t>
      </w:r>
      <w:r w:rsidR="00E510F0">
        <w:rPr>
          <w:sz w:val="20"/>
        </w:rPr>
        <w:t>P</w:t>
      </w:r>
      <w:r w:rsidRPr="00252C01">
        <w:rPr>
          <w:sz w:val="20"/>
        </w:rPr>
        <w:t xml:space="preserve">rescriptive regulation also </w:t>
      </w:r>
      <w:r w:rsidR="00E510F0">
        <w:rPr>
          <w:sz w:val="20"/>
        </w:rPr>
        <w:t xml:space="preserve">can </w:t>
      </w:r>
      <w:r w:rsidRPr="00252C01">
        <w:rPr>
          <w:sz w:val="20"/>
        </w:rPr>
        <w:t xml:space="preserve">help reassure the publics, </w:t>
      </w:r>
      <w:r w:rsidR="009E3815">
        <w:rPr>
          <w:sz w:val="20"/>
        </w:rPr>
        <w:t xml:space="preserve">by </w:t>
      </w:r>
      <w:r w:rsidRPr="00252C01">
        <w:rPr>
          <w:sz w:val="20"/>
        </w:rPr>
        <w:t xml:space="preserve">enhancing transparency, and thereby mitigating </w:t>
      </w:r>
      <w:r w:rsidRPr="00252C01">
        <w:rPr>
          <w:color w:val="000000"/>
          <w:sz w:val="20"/>
        </w:rPr>
        <w:t>doubts of industry-regulator collusion.</w:t>
      </w:r>
    </w:p>
    <w:p w14:paraId="60FB623B" w14:textId="6C464EFD" w:rsidR="00BB246F" w:rsidRPr="00252C01" w:rsidRDefault="00BB246F" w:rsidP="00BB246F">
      <w:pPr>
        <w:pStyle w:val="Heading3"/>
      </w:pPr>
      <w:r w:rsidRPr="00252C01">
        <w:t xml:space="preserve">The risk of regulatory capture </w:t>
      </w:r>
    </w:p>
    <w:p w14:paraId="0F8ED5DA" w14:textId="578CDB1E" w:rsidR="00BB246F" w:rsidRPr="00252C01" w:rsidRDefault="00BB246F" w:rsidP="00BB246F">
      <w:pPr>
        <w:spacing w:line="276" w:lineRule="auto"/>
        <w:ind w:firstLine="567"/>
        <w:jc w:val="both"/>
        <w:rPr>
          <w:sz w:val="20"/>
        </w:rPr>
      </w:pPr>
      <w:r w:rsidRPr="00252C01">
        <w:rPr>
          <w:sz w:val="20"/>
        </w:rPr>
        <w:t>The concept of regulatory capture describe</w:t>
      </w:r>
      <w:r w:rsidR="00E510F0">
        <w:rPr>
          <w:sz w:val="20"/>
        </w:rPr>
        <w:t>s</w:t>
      </w:r>
      <w:r w:rsidRPr="00252C01">
        <w:rPr>
          <w:sz w:val="20"/>
        </w:rPr>
        <w:t xml:space="preserve"> situations in which the regulatory authority has lost its independence and falls under the influence of the industry it is supposed to regulate and control. According to Bird </w:t>
      </w:r>
      <w:r w:rsidR="00E510F0" w:rsidRPr="00252C01">
        <w:rPr>
          <w:sz w:val="20"/>
        </w:rPr>
        <w:t>[</w:t>
      </w:r>
      <w:r w:rsidR="0078715E">
        <w:rPr>
          <w:sz w:val="20"/>
        </w:rPr>
        <w:t>6</w:t>
      </w:r>
      <w:r w:rsidR="00E510F0" w:rsidRPr="00252C01">
        <w:rPr>
          <w:sz w:val="20"/>
        </w:rPr>
        <w:t>]</w:t>
      </w:r>
      <w:r w:rsidRPr="00252C01">
        <w:rPr>
          <w:sz w:val="20"/>
        </w:rPr>
        <w:t xml:space="preserve">, </w:t>
      </w:r>
      <w:r w:rsidRPr="00252C01">
        <w:rPr>
          <w:i/>
          <w:sz w:val="20"/>
        </w:rPr>
        <w:t>“when a regulatory agency that is supposed to act in the public interest instead advocates for the commercial interests of the group it oversees, it is said to be ‘captured’. A regulator could be captured by other powerful interests, though this occurs less often.”</w:t>
      </w:r>
      <w:r w:rsidRPr="00252C01">
        <w:rPr>
          <w:sz w:val="20"/>
        </w:rPr>
        <w:t xml:space="preserve"> </w:t>
      </w:r>
    </w:p>
    <w:p w14:paraId="70DAA8E9" w14:textId="186ED531" w:rsidR="00BB246F" w:rsidRPr="00252C01" w:rsidRDefault="00BB246F" w:rsidP="005D09AC">
      <w:pPr>
        <w:spacing w:line="276" w:lineRule="auto"/>
        <w:ind w:firstLine="567"/>
        <w:jc w:val="both"/>
      </w:pPr>
      <w:r w:rsidRPr="00252C01">
        <w:rPr>
          <w:sz w:val="20"/>
        </w:rPr>
        <w:lastRenderedPageBreak/>
        <w:t xml:space="preserve">“Weak regulatory capture” arises from the need of the regulator to work with the </w:t>
      </w:r>
      <w:proofErr w:type="gramStart"/>
      <w:r w:rsidRPr="00252C01">
        <w:rPr>
          <w:sz w:val="20"/>
        </w:rPr>
        <w:t>industry,</w:t>
      </w:r>
      <w:proofErr w:type="gramEnd"/>
      <w:r w:rsidRPr="00252C01">
        <w:rPr>
          <w:sz w:val="20"/>
        </w:rPr>
        <w:t xml:space="preserve"> to </w:t>
      </w:r>
      <w:r w:rsidR="00E510F0">
        <w:rPr>
          <w:sz w:val="20"/>
        </w:rPr>
        <w:t>obtain</w:t>
      </w:r>
      <w:r w:rsidRPr="00252C01">
        <w:rPr>
          <w:sz w:val="20"/>
        </w:rPr>
        <w:t xml:space="preserve"> the technical knowledge and expertise it needs to competently regulate the technology in question </w:t>
      </w:r>
      <w:r w:rsidR="006E4775" w:rsidRPr="00252C01">
        <w:rPr>
          <w:sz w:val="20"/>
        </w:rPr>
        <w:t xml:space="preserve">[7]. </w:t>
      </w:r>
      <w:r w:rsidR="00E510F0">
        <w:rPr>
          <w:sz w:val="20"/>
        </w:rPr>
        <w:t>R</w:t>
      </w:r>
      <w:r w:rsidRPr="00252C01">
        <w:rPr>
          <w:sz w:val="20"/>
        </w:rPr>
        <w:t xml:space="preserve">egulation </w:t>
      </w:r>
      <w:r w:rsidR="00E510F0">
        <w:rPr>
          <w:sz w:val="20"/>
        </w:rPr>
        <w:t xml:space="preserve">then </w:t>
      </w:r>
      <w:r w:rsidRPr="00252C01">
        <w:rPr>
          <w:sz w:val="20"/>
        </w:rPr>
        <w:t xml:space="preserve">continues to serve the public interest, although to a lesser degree than in the absence of influence from </w:t>
      </w:r>
      <w:r w:rsidR="007F69BB">
        <w:rPr>
          <w:sz w:val="20"/>
        </w:rPr>
        <w:t>the industry</w:t>
      </w:r>
      <w:r w:rsidRPr="00252C01">
        <w:rPr>
          <w:sz w:val="20"/>
        </w:rPr>
        <w:t>.</w:t>
      </w:r>
      <w:r w:rsidR="00367136" w:rsidRPr="00252C01">
        <w:rPr>
          <w:sz w:val="20"/>
        </w:rPr>
        <w:t xml:space="preserve"> </w:t>
      </w:r>
      <w:r w:rsidR="007F69BB">
        <w:rPr>
          <w:sz w:val="20"/>
        </w:rPr>
        <w:t>T</w:t>
      </w:r>
      <w:r w:rsidR="00367136" w:rsidRPr="00252C01">
        <w:rPr>
          <w:sz w:val="20"/>
        </w:rPr>
        <w:t xml:space="preserve">he more technical and novel the area to be regulated, the greater </w:t>
      </w:r>
      <w:r w:rsidR="007F69BB">
        <w:rPr>
          <w:sz w:val="20"/>
        </w:rPr>
        <w:t xml:space="preserve">tends to be </w:t>
      </w:r>
      <w:r w:rsidR="00367136" w:rsidRPr="00252C01">
        <w:rPr>
          <w:sz w:val="20"/>
        </w:rPr>
        <w:t xml:space="preserve">the dependence of the authorities on the regulated </w:t>
      </w:r>
      <w:r w:rsidR="007F69BB">
        <w:rPr>
          <w:sz w:val="20"/>
        </w:rPr>
        <w:t>entity</w:t>
      </w:r>
      <w:r w:rsidR="00367136" w:rsidRPr="00252C01">
        <w:rPr>
          <w:sz w:val="20"/>
        </w:rPr>
        <w:t xml:space="preserve"> and the risk that industry-regulator collaboration undermines the quality of regulation and/or public trust in it. For SMRs, the regulators’ unfamiliarity with and lack of expertise of these technologies accentuates the risk. </w:t>
      </w:r>
      <w:sdt>
        <w:sdtPr>
          <w:tag w:val="goog_rdk_10"/>
          <w:id w:val="1052891008"/>
        </w:sdtPr>
        <w:sdtContent/>
      </w:sdt>
      <w:r w:rsidR="00367136" w:rsidRPr="00252C01">
        <w:rPr>
          <w:sz w:val="20"/>
        </w:rPr>
        <w:t xml:space="preserve">Sufficient resourcing of the regulatory authorities is therefore essential for ensuring these have the requisite competences to minimise their reliance on the industry </w:t>
      </w:r>
      <w:r w:rsidR="006E4775" w:rsidRPr="00252C01">
        <w:rPr>
          <w:sz w:val="20"/>
        </w:rPr>
        <w:t>[</w:t>
      </w:r>
      <w:r w:rsidR="00367136" w:rsidRPr="00252C01">
        <w:rPr>
          <w:sz w:val="20"/>
        </w:rPr>
        <w:t xml:space="preserve">7, </w:t>
      </w:r>
      <w:r w:rsidR="006E4775" w:rsidRPr="00252C01">
        <w:rPr>
          <w:sz w:val="20"/>
        </w:rPr>
        <w:t>8]</w:t>
      </w:r>
      <w:r w:rsidRPr="00252C01">
        <w:rPr>
          <w:sz w:val="20"/>
        </w:rPr>
        <w:t>.</w:t>
      </w:r>
    </w:p>
    <w:p w14:paraId="07849252" w14:textId="74E0FF33" w:rsidR="00BB246F" w:rsidRPr="00252C01" w:rsidRDefault="00356605" w:rsidP="00252C01">
      <w:pPr>
        <w:pStyle w:val="Heading2"/>
      </w:pPr>
      <w:r w:rsidRPr="00252C01">
        <w:t>SMR</w:t>
      </w:r>
      <w:r w:rsidR="00BB246F" w:rsidRPr="00252C01">
        <w:t xml:space="preserve"> policies in </w:t>
      </w:r>
      <w:r w:rsidRPr="00252C01">
        <w:t>C</w:t>
      </w:r>
      <w:r w:rsidR="00BB246F" w:rsidRPr="00252C01">
        <w:t xml:space="preserve">anada and </w:t>
      </w:r>
      <w:r w:rsidRPr="00252C01">
        <w:t>F</w:t>
      </w:r>
      <w:r w:rsidR="00BB246F" w:rsidRPr="00252C01">
        <w:t>inland: the current state of play</w:t>
      </w:r>
    </w:p>
    <w:p w14:paraId="07C52D31" w14:textId="1207A951" w:rsidR="00BB246F" w:rsidRPr="00307CF4" w:rsidRDefault="00BB246F" w:rsidP="009B20A8">
      <w:pPr>
        <w:pBdr>
          <w:top w:val="nil"/>
          <w:left w:val="nil"/>
          <w:bottom w:val="nil"/>
          <w:right w:val="nil"/>
          <w:between w:val="nil"/>
        </w:pBdr>
        <w:spacing w:line="276" w:lineRule="auto"/>
        <w:ind w:firstLine="567"/>
        <w:jc w:val="both"/>
      </w:pPr>
      <w:r w:rsidRPr="00307CF4">
        <w:rPr>
          <w:sz w:val="20"/>
        </w:rPr>
        <w:t xml:space="preserve">The </w:t>
      </w:r>
      <w:r w:rsidRPr="00307CF4">
        <w:rPr>
          <w:b/>
          <w:bCs/>
          <w:sz w:val="20"/>
        </w:rPr>
        <w:t>Canadian</w:t>
      </w:r>
      <w:r w:rsidRPr="00307CF4">
        <w:rPr>
          <w:sz w:val="20"/>
        </w:rPr>
        <w:t xml:space="preserve"> government and nuclear sector </w:t>
      </w:r>
      <w:r w:rsidR="00FF134E" w:rsidRPr="00307CF4">
        <w:rPr>
          <w:sz w:val="20"/>
        </w:rPr>
        <w:t>seek</w:t>
      </w:r>
      <w:r w:rsidRPr="00307CF4">
        <w:rPr>
          <w:sz w:val="20"/>
        </w:rPr>
        <w:t xml:space="preserve"> to </w:t>
      </w:r>
      <w:r w:rsidR="00F63D24">
        <w:rPr>
          <w:sz w:val="20"/>
        </w:rPr>
        <w:t>turn</w:t>
      </w:r>
      <w:r w:rsidR="00F63D24" w:rsidRPr="00307CF4">
        <w:rPr>
          <w:sz w:val="20"/>
        </w:rPr>
        <w:t xml:space="preserve"> </w:t>
      </w:r>
      <w:r w:rsidRPr="00307CF4">
        <w:rPr>
          <w:sz w:val="20"/>
        </w:rPr>
        <w:t>the country</w:t>
      </w:r>
      <w:r w:rsidR="00F63D24">
        <w:rPr>
          <w:sz w:val="20"/>
        </w:rPr>
        <w:t xml:space="preserve"> into</w:t>
      </w:r>
      <w:r w:rsidRPr="00307CF4">
        <w:rPr>
          <w:sz w:val="20"/>
        </w:rPr>
        <w:t xml:space="preserve"> a leader in SMR-led global nuclear renaissance. Canada has implemented an </w:t>
      </w:r>
      <w:r w:rsidR="00FF134E" w:rsidRPr="00307CF4">
        <w:rPr>
          <w:sz w:val="20"/>
        </w:rPr>
        <w:t xml:space="preserve">elaborate SMR </w:t>
      </w:r>
      <w:r w:rsidRPr="00307CF4">
        <w:rPr>
          <w:sz w:val="20"/>
        </w:rPr>
        <w:t>policy framework, through a multistakeholder and cross-province process,</w:t>
      </w:r>
      <w:r w:rsidR="00FF134E" w:rsidRPr="00307CF4">
        <w:rPr>
          <w:sz w:val="20"/>
        </w:rPr>
        <w:t xml:space="preserve"> including</w:t>
      </w:r>
      <w:r w:rsidRPr="00307CF4">
        <w:rPr>
          <w:sz w:val="20"/>
        </w:rPr>
        <w:t xml:space="preserve"> </w:t>
      </w:r>
      <w:r w:rsidR="00FF134E" w:rsidRPr="00307CF4">
        <w:rPr>
          <w:sz w:val="20"/>
        </w:rPr>
        <w:t>t</w:t>
      </w:r>
      <w:r w:rsidRPr="00307CF4">
        <w:rPr>
          <w:sz w:val="20"/>
        </w:rPr>
        <w:t>he SMR Roadmap adopted in 2018, the Action Plan (2020), and the Strategic Plan (2022)</w:t>
      </w:r>
      <w:r w:rsidR="00FF134E" w:rsidRPr="00307CF4">
        <w:rPr>
          <w:sz w:val="20"/>
        </w:rPr>
        <w:t>.</w:t>
      </w:r>
      <w:r w:rsidRPr="00307CF4">
        <w:rPr>
          <w:sz w:val="20"/>
        </w:rPr>
        <w:t xml:space="preserve"> </w:t>
      </w:r>
      <w:r w:rsidR="00FF134E" w:rsidRPr="00307CF4">
        <w:rPr>
          <w:sz w:val="20"/>
        </w:rPr>
        <w:t xml:space="preserve">These </w:t>
      </w:r>
      <w:r w:rsidRPr="00307CF4">
        <w:rPr>
          <w:sz w:val="20"/>
        </w:rPr>
        <w:t xml:space="preserve">foresee the deployment of SMRs under three “streams”: 1) grid-level SMRs relying on current light-water technologies; 2) advanced SMRs for industrial heat, technological innovation, and competence-building; and 3) micro-SMRs for decarbonising remote communities and </w:t>
      </w:r>
      <w:r w:rsidR="00FF134E" w:rsidRPr="00307CF4">
        <w:rPr>
          <w:sz w:val="20"/>
        </w:rPr>
        <w:t xml:space="preserve">heavy </w:t>
      </w:r>
      <w:r w:rsidRPr="00307CF4">
        <w:rPr>
          <w:sz w:val="20"/>
        </w:rPr>
        <w:t>industries.</w:t>
      </w:r>
      <w:r w:rsidR="00307CF4" w:rsidRPr="00307CF4">
        <w:rPr>
          <w:sz w:val="20"/>
        </w:rPr>
        <w:t xml:space="preserve"> </w:t>
      </w:r>
      <w:r w:rsidRPr="00307CF4">
        <w:rPr>
          <w:sz w:val="20"/>
        </w:rPr>
        <w:t xml:space="preserve">Global First Power has proposed building a high-temperature gas-cooled demonstration Micro Modular Reactor at Chalk River </w:t>
      </w:r>
      <w:r w:rsidR="006E4775" w:rsidRPr="00307CF4">
        <w:rPr>
          <w:sz w:val="20"/>
        </w:rPr>
        <w:t>and</w:t>
      </w:r>
      <w:r w:rsidRPr="00307CF4">
        <w:rPr>
          <w:sz w:val="20"/>
        </w:rPr>
        <w:t xml:space="preserve"> has submitted a site preparation licence application to the CNSC </w:t>
      </w:r>
      <w:r w:rsidR="006E4775" w:rsidRPr="00307CF4">
        <w:rPr>
          <w:sz w:val="20"/>
        </w:rPr>
        <w:t>[9].</w:t>
      </w:r>
      <w:r w:rsidRPr="00307CF4">
        <w:rPr>
          <w:sz w:val="20"/>
        </w:rPr>
        <w:t xml:space="preserve"> Ontario Power Generation applied in October 2022 for a licence to build a 300 MW GE Hitachi boiling-water reactor, BWRX-300, at the Darlington site, Ontario </w:t>
      </w:r>
      <w:r w:rsidR="006E4775" w:rsidRPr="00307CF4">
        <w:rPr>
          <w:sz w:val="20"/>
        </w:rPr>
        <w:t>[10]</w:t>
      </w:r>
      <w:r w:rsidRPr="00307CF4">
        <w:rPr>
          <w:sz w:val="20"/>
        </w:rPr>
        <w:t xml:space="preserve">, and expects to build three more on the same site. New Brunswick Power applied in June 2023 for a site preparation licence for an ARC-100 SMR, a sodium-cooled fast-neutron reactor, at the Point </w:t>
      </w:r>
      <w:proofErr w:type="spellStart"/>
      <w:r w:rsidRPr="00307CF4">
        <w:rPr>
          <w:sz w:val="20"/>
        </w:rPr>
        <w:t>Lepreau</w:t>
      </w:r>
      <w:proofErr w:type="spellEnd"/>
      <w:r w:rsidRPr="00307CF4">
        <w:rPr>
          <w:sz w:val="20"/>
        </w:rPr>
        <w:t xml:space="preserve"> nuclear site </w:t>
      </w:r>
      <w:r w:rsidR="00012CAA" w:rsidRPr="00307CF4">
        <w:rPr>
          <w:sz w:val="20"/>
        </w:rPr>
        <w:t>[11]</w:t>
      </w:r>
      <w:r w:rsidRPr="00307CF4">
        <w:rPr>
          <w:sz w:val="20"/>
        </w:rPr>
        <w:t>. Several other designs have been pre-reviewed by the CNSC or are going through the voluntary process of pre-licencing vendor design review.</w:t>
      </w:r>
    </w:p>
    <w:p w14:paraId="307BA427" w14:textId="45D226C9" w:rsidR="00E520E2" w:rsidRPr="00AB747C" w:rsidRDefault="00BB246F" w:rsidP="00307CF4">
      <w:pPr>
        <w:pBdr>
          <w:top w:val="nil"/>
          <w:left w:val="nil"/>
          <w:bottom w:val="nil"/>
          <w:right w:val="nil"/>
          <w:between w:val="nil"/>
        </w:pBdr>
        <w:spacing w:line="276" w:lineRule="auto"/>
        <w:ind w:firstLine="567"/>
        <w:jc w:val="both"/>
        <w:rPr>
          <w:sz w:val="20"/>
        </w:rPr>
      </w:pPr>
      <w:r w:rsidRPr="00307CF4">
        <w:rPr>
          <w:sz w:val="20"/>
        </w:rPr>
        <w:t xml:space="preserve">In </w:t>
      </w:r>
      <w:r w:rsidRPr="00307CF4">
        <w:rPr>
          <w:b/>
          <w:bCs/>
          <w:sz w:val="20"/>
        </w:rPr>
        <w:t>Fin</w:t>
      </w:r>
      <w:r w:rsidRPr="00252C01">
        <w:rPr>
          <w:b/>
          <w:bCs/>
          <w:sz w:val="20"/>
        </w:rPr>
        <w:t>land</w:t>
      </w:r>
      <w:r w:rsidRPr="00252C01">
        <w:rPr>
          <w:sz w:val="20"/>
        </w:rPr>
        <w:t xml:space="preserve">, </w:t>
      </w:r>
      <w:r w:rsidR="005C4BA9">
        <w:rPr>
          <w:sz w:val="20"/>
        </w:rPr>
        <w:t xml:space="preserve">the construction of </w:t>
      </w:r>
      <w:r w:rsidR="00E520E2">
        <w:rPr>
          <w:sz w:val="20"/>
        </w:rPr>
        <w:t xml:space="preserve">10-20 </w:t>
      </w:r>
      <w:r w:rsidR="00CA4C17">
        <w:rPr>
          <w:sz w:val="20"/>
        </w:rPr>
        <w:t xml:space="preserve">light-water </w:t>
      </w:r>
      <w:r w:rsidR="00E520E2">
        <w:rPr>
          <w:sz w:val="20"/>
        </w:rPr>
        <w:t xml:space="preserve">SMRs </w:t>
      </w:r>
      <w:r w:rsidR="005C4BA9">
        <w:rPr>
          <w:sz w:val="20"/>
        </w:rPr>
        <w:t>is</w:t>
      </w:r>
      <w:r w:rsidR="00E520E2">
        <w:rPr>
          <w:sz w:val="20"/>
        </w:rPr>
        <w:t xml:space="preserve"> being investigated</w:t>
      </w:r>
      <w:r w:rsidR="007B631F">
        <w:rPr>
          <w:sz w:val="20"/>
        </w:rPr>
        <w:t>, for an</w:t>
      </w:r>
      <w:r w:rsidR="00E520E2">
        <w:rPr>
          <w:sz w:val="20"/>
        </w:rPr>
        <w:t xml:space="preserve"> estimated total thermal output of 1000-3000 MW</w:t>
      </w:r>
      <w:r w:rsidR="00F63D24">
        <w:rPr>
          <w:sz w:val="20"/>
        </w:rPr>
        <w:t>,</w:t>
      </w:r>
      <w:r w:rsidR="00E520E2">
        <w:rPr>
          <w:sz w:val="20"/>
        </w:rPr>
        <w:t xml:space="preserve"> </w:t>
      </w:r>
      <w:r w:rsidRPr="00252C01">
        <w:rPr>
          <w:sz w:val="20"/>
        </w:rPr>
        <w:t>primarily for district heating</w:t>
      </w:r>
      <w:r w:rsidR="00CA4C17">
        <w:rPr>
          <w:sz w:val="20"/>
        </w:rPr>
        <w:t xml:space="preserve"> in large cities, as a means of</w:t>
      </w:r>
      <w:r w:rsidRPr="00252C01">
        <w:rPr>
          <w:sz w:val="20"/>
        </w:rPr>
        <w:t xml:space="preserve"> meet</w:t>
      </w:r>
      <w:r w:rsidR="00CA4C17">
        <w:rPr>
          <w:sz w:val="20"/>
        </w:rPr>
        <w:t>ing</w:t>
      </w:r>
      <w:r w:rsidRPr="00252C01">
        <w:rPr>
          <w:sz w:val="20"/>
        </w:rPr>
        <w:t xml:space="preserve"> the ambitious carbon-neutrality targets by 2030 </w:t>
      </w:r>
      <w:r w:rsidR="00012CAA" w:rsidRPr="00252C01">
        <w:rPr>
          <w:sz w:val="20"/>
        </w:rPr>
        <w:t>[12</w:t>
      </w:r>
      <w:r w:rsidR="0075264D">
        <w:rPr>
          <w:sz w:val="20"/>
        </w:rPr>
        <w:t>, 13</w:t>
      </w:r>
      <w:r w:rsidR="00012CAA" w:rsidRPr="00252C01">
        <w:rPr>
          <w:sz w:val="20"/>
        </w:rPr>
        <w:t xml:space="preserve">]. </w:t>
      </w:r>
      <w:r w:rsidRPr="00252C01">
        <w:rPr>
          <w:sz w:val="20"/>
        </w:rPr>
        <w:t xml:space="preserve">The designs include the low-temperature, low-pressure reactor developed by the technical LUT university </w:t>
      </w:r>
      <w:r w:rsidR="00012CAA" w:rsidRPr="00252C01">
        <w:rPr>
          <w:sz w:val="20"/>
        </w:rPr>
        <w:t>[1</w:t>
      </w:r>
      <w:r w:rsidR="0075264D">
        <w:rPr>
          <w:sz w:val="20"/>
        </w:rPr>
        <w:t>4</w:t>
      </w:r>
      <w:r w:rsidR="00012CAA" w:rsidRPr="00252C01">
        <w:rPr>
          <w:sz w:val="20"/>
        </w:rPr>
        <w:t>]</w:t>
      </w:r>
      <w:r w:rsidRPr="00252C01">
        <w:rPr>
          <w:sz w:val="20"/>
        </w:rPr>
        <w:t xml:space="preserve"> and the </w:t>
      </w:r>
      <w:r w:rsidR="005C4BA9">
        <w:rPr>
          <w:sz w:val="20"/>
        </w:rPr>
        <w:t xml:space="preserve">50 </w:t>
      </w:r>
      <w:proofErr w:type="spellStart"/>
      <w:r w:rsidR="005C4BA9">
        <w:rPr>
          <w:sz w:val="20"/>
        </w:rPr>
        <w:t>MWth</w:t>
      </w:r>
      <w:proofErr w:type="spellEnd"/>
      <w:r w:rsidR="005C4BA9">
        <w:rPr>
          <w:sz w:val="20"/>
        </w:rPr>
        <w:t xml:space="preserve"> reactor </w:t>
      </w:r>
      <w:sdt>
        <w:sdtPr>
          <w:tag w:val="goog_rdk_17"/>
          <w:id w:val="245854849"/>
        </w:sdtPr>
        <w:sdtContent/>
      </w:sdt>
      <w:r w:rsidRPr="00252C01">
        <w:rPr>
          <w:sz w:val="20"/>
        </w:rPr>
        <w:t xml:space="preserve">LDR-50 developed </w:t>
      </w:r>
      <w:r w:rsidR="00CA4C17">
        <w:rPr>
          <w:sz w:val="20"/>
        </w:rPr>
        <w:t xml:space="preserve">first </w:t>
      </w:r>
      <w:r w:rsidRPr="00252C01">
        <w:rPr>
          <w:sz w:val="20"/>
        </w:rPr>
        <w:t xml:space="preserve">by VTT and </w:t>
      </w:r>
      <w:r w:rsidR="00CA4C17">
        <w:rPr>
          <w:sz w:val="20"/>
        </w:rPr>
        <w:t>then</w:t>
      </w:r>
      <w:r w:rsidR="00CA4C17" w:rsidRPr="00252C01">
        <w:rPr>
          <w:sz w:val="20"/>
        </w:rPr>
        <w:t xml:space="preserve"> </w:t>
      </w:r>
      <w:r w:rsidRPr="00252C01">
        <w:rPr>
          <w:sz w:val="20"/>
        </w:rPr>
        <w:t>by the Steady Energy start-up</w:t>
      </w:r>
      <w:r w:rsidR="0075264D">
        <w:rPr>
          <w:sz w:val="20"/>
        </w:rPr>
        <w:t xml:space="preserve"> </w:t>
      </w:r>
      <w:r w:rsidR="0075264D" w:rsidRPr="00252C01">
        <w:rPr>
          <w:sz w:val="20"/>
        </w:rPr>
        <w:t>[</w:t>
      </w:r>
      <w:r w:rsidR="0075264D">
        <w:rPr>
          <w:sz w:val="20"/>
        </w:rPr>
        <w:t>50</w:t>
      </w:r>
      <w:r w:rsidR="0075264D" w:rsidRPr="00252C01">
        <w:rPr>
          <w:sz w:val="20"/>
        </w:rPr>
        <w:t>]</w:t>
      </w:r>
      <w:r w:rsidRPr="00252C01">
        <w:rPr>
          <w:sz w:val="20"/>
        </w:rPr>
        <w:t xml:space="preserve">. SMRs are also foreseen </w:t>
      </w:r>
      <w:r w:rsidR="005C4BA9">
        <w:rPr>
          <w:sz w:val="20"/>
        </w:rPr>
        <w:t>as source</w:t>
      </w:r>
      <w:r w:rsidRPr="00252C01">
        <w:rPr>
          <w:sz w:val="20"/>
        </w:rPr>
        <w:t xml:space="preserve"> of </w:t>
      </w:r>
      <w:r w:rsidR="005C4BA9">
        <w:rPr>
          <w:sz w:val="20"/>
        </w:rPr>
        <w:t xml:space="preserve">process </w:t>
      </w:r>
      <w:r w:rsidRPr="00252C01">
        <w:rPr>
          <w:sz w:val="20"/>
        </w:rPr>
        <w:t>heat for the heavy</w:t>
      </w:r>
      <w:r w:rsidR="00CA4C17">
        <w:rPr>
          <w:sz w:val="20"/>
        </w:rPr>
        <w:t xml:space="preserve"> industry</w:t>
      </w:r>
      <w:r w:rsidRPr="00252C01">
        <w:rPr>
          <w:sz w:val="20"/>
        </w:rPr>
        <w:t xml:space="preserve">. </w:t>
      </w:r>
      <w:r w:rsidR="005C4BA9">
        <w:rPr>
          <w:sz w:val="20"/>
        </w:rPr>
        <w:t>T</w:t>
      </w:r>
      <w:r w:rsidRPr="00252C01">
        <w:rPr>
          <w:sz w:val="20"/>
        </w:rPr>
        <w:t xml:space="preserve">he </w:t>
      </w:r>
      <w:proofErr w:type="spellStart"/>
      <w:r w:rsidRPr="00252C01">
        <w:rPr>
          <w:sz w:val="20"/>
        </w:rPr>
        <w:t>Outokumpu</w:t>
      </w:r>
      <w:proofErr w:type="spellEnd"/>
      <w:r w:rsidRPr="00252C01">
        <w:rPr>
          <w:sz w:val="20"/>
        </w:rPr>
        <w:t xml:space="preserve"> </w:t>
      </w:r>
      <w:r w:rsidR="00CA4C17">
        <w:rPr>
          <w:sz w:val="20"/>
        </w:rPr>
        <w:t>steel producer</w:t>
      </w:r>
      <w:r w:rsidR="00CA4C17" w:rsidRPr="00252C01">
        <w:rPr>
          <w:sz w:val="20"/>
        </w:rPr>
        <w:t xml:space="preserve"> </w:t>
      </w:r>
      <w:r w:rsidRPr="00252C01">
        <w:rPr>
          <w:sz w:val="20"/>
        </w:rPr>
        <w:t xml:space="preserve">signed in March 2023 a Memorandum of Understanding with Fortum to explore business opportunities offered by SMRs in helping to decarbonise steel manufacturing </w:t>
      </w:r>
      <w:r w:rsidR="00012CAA" w:rsidRPr="00252C01">
        <w:rPr>
          <w:sz w:val="20"/>
        </w:rPr>
        <w:t>[1</w:t>
      </w:r>
      <w:r w:rsidR="0075264D">
        <w:rPr>
          <w:sz w:val="20"/>
        </w:rPr>
        <w:t>5</w:t>
      </w:r>
      <w:r w:rsidR="00012CAA" w:rsidRPr="00252C01">
        <w:rPr>
          <w:sz w:val="20"/>
        </w:rPr>
        <w:t>]</w:t>
      </w:r>
      <w:r w:rsidRPr="00252C01">
        <w:rPr>
          <w:sz w:val="20"/>
        </w:rPr>
        <w:t>.</w:t>
      </w:r>
      <w:r w:rsidR="00307CF4">
        <w:rPr>
          <w:sz w:val="20"/>
        </w:rPr>
        <w:t xml:space="preserve"> </w:t>
      </w:r>
      <w:bookmarkStart w:id="0" w:name="_Hlk168047284"/>
      <w:r w:rsidR="005C4BA9">
        <w:rPr>
          <w:sz w:val="20"/>
        </w:rPr>
        <w:t>T</w:t>
      </w:r>
      <w:r w:rsidRPr="00252C01">
        <w:rPr>
          <w:sz w:val="20"/>
        </w:rPr>
        <w:t xml:space="preserve">o establish a national “SMR ecosystem” </w:t>
      </w:r>
      <w:r w:rsidR="00012CAA" w:rsidRPr="00252C01">
        <w:rPr>
          <w:sz w:val="20"/>
        </w:rPr>
        <w:t>[1</w:t>
      </w:r>
      <w:r w:rsidR="0075264D">
        <w:rPr>
          <w:sz w:val="20"/>
        </w:rPr>
        <w:t>6</w:t>
      </w:r>
      <w:r w:rsidR="00012CAA" w:rsidRPr="00252C01">
        <w:rPr>
          <w:sz w:val="20"/>
        </w:rPr>
        <w:t>]</w:t>
      </w:r>
      <w:r w:rsidRPr="00252C01">
        <w:rPr>
          <w:sz w:val="20"/>
        </w:rPr>
        <w:t xml:space="preserve"> and adapt the regulat</w:t>
      </w:r>
      <w:r w:rsidR="005C4BA9">
        <w:rPr>
          <w:sz w:val="20"/>
        </w:rPr>
        <w:t>ion</w:t>
      </w:r>
      <w:r w:rsidRPr="00252C01">
        <w:rPr>
          <w:sz w:val="20"/>
        </w:rPr>
        <w:t xml:space="preserve"> to the needs of possible SMRs, the Nuclear Energy Act is being reformed. The </w:t>
      </w:r>
      <w:r w:rsidR="005C4BA9">
        <w:rPr>
          <w:sz w:val="20"/>
        </w:rPr>
        <w:t>aim of</w:t>
      </w:r>
      <w:r w:rsidR="005C4BA9" w:rsidRPr="00252C01">
        <w:rPr>
          <w:sz w:val="20"/>
        </w:rPr>
        <w:t xml:space="preserve"> </w:t>
      </w:r>
      <w:r w:rsidRPr="00252C01">
        <w:rPr>
          <w:sz w:val="20"/>
        </w:rPr>
        <w:t>remov</w:t>
      </w:r>
      <w:r w:rsidR="005C4BA9">
        <w:rPr>
          <w:sz w:val="20"/>
        </w:rPr>
        <w:t>ing</w:t>
      </w:r>
      <w:r w:rsidRPr="00252C01">
        <w:rPr>
          <w:sz w:val="20"/>
        </w:rPr>
        <w:t xml:space="preserve"> “regulatory and licensing barriers” </w:t>
      </w:r>
      <w:r w:rsidR="005C4BA9">
        <w:rPr>
          <w:sz w:val="20"/>
        </w:rPr>
        <w:t xml:space="preserve">to enable </w:t>
      </w:r>
      <w:r w:rsidRPr="00252C01">
        <w:rPr>
          <w:sz w:val="20"/>
        </w:rPr>
        <w:t xml:space="preserve">the </w:t>
      </w:r>
      <w:r w:rsidR="005C4BA9">
        <w:rPr>
          <w:sz w:val="20"/>
        </w:rPr>
        <w:t xml:space="preserve">series-production of </w:t>
      </w:r>
      <w:r w:rsidRPr="00252C01">
        <w:rPr>
          <w:sz w:val="20"/>
        </w:rPr>
        <w:t xml:space="preserve">SMRs </w:t>
      </w:r>
      <w:r w:rsidR="005C4BA9">
        <w:rPr>
          <w:sz w:val="20"/>
        </w:rPr>
        <w:t>for</w:t>
      </w:r>
      <w:r w:rsidRPr="00252C01">
        <w:rPr>
          <w:sz w:val="20"/>
        </w:rPr>
        <w:t xml:space="preserve"> climate </w:t>
      </w:r>
      <w:r w:rsidR="005C4BA9">
        <w:rPr>
          <w:sz w:val="20"/>
        </w:rPr>
        <w:t>protection</w:t>
      </w:r>
      <w:r w:rsidR="005C4BA9" w:rsidRPr="00252C01">
        <w:rPr>
          <w:sz w:val="20"/>
        </w:rPr>
        <w:t xml:space="preserve"> </w:t>
      </w:r>
      <w:r w:rsidRPr="00252C01">
        <w:rPr>
          <w:sz w:val="20"/>
        </w:rPr>
        <w:t xml:space="preserve">enjoys broad political and business support </w:t>
      </w:r>
      <w:r w:rsidR="000D7892" w:rsidRPr="00252C01">
        <w:rPr>
          <w:sz w:val="20"/>
        </w:rPr>
        <w:t>[1</w:t>
      </w:r>
      <w:r w:rsidR="0075264D">
        <w:rPr>
          <w:sz w:val="20"/>
        </w:rPr>
        <w:t>7</w:t>
      </w:r>
      <w:r w:rsidR="000D7892" w:rsidRPr="00252C01">
        <w:rPr>
          <w:sz w:val="20"/>
        </w:rPr>
        <w:t xml:space="preserve">]. </w:t>
      </w:r>
      <w:r w:rsidRPr="00252C01">
        <w:rPr>
          <w:sz w:val="20"/>
        </w:rPr>
        <w:t xml:space="preserve">The </w:t>
      </w:r>
      <w:r w:rsidR="00F13913">
        <w:rPr>
          <w:sz w:val="20"/>
        </w:rPr>
        <w:t xml:space="preserve">Conservative-populist </w:t>
      </w:r>
      <w:r w:rsidRPr="00252C01">
        <w:rPr>
          <w:sz w:val="20"/>
        </w:rPr>
        <w:t>government</w:t>
      </w:r>
      <w:r w:rsidRPr="00252C01">
        <w:t xml:space="preserve"> </w:t>
      </w:r>
      <w:r w:rsidRPr="00252C01">
        <w:rPr>
          <w:sz w:val="20"/>
        </w:rPr>
        <w:t xml:space="preserve">that </w:t>
      </w:r>
      <w:r w:rsidR="005C4BA9">
        <w:rPr>
          <w:sz w:val="20"/>
        </w:rPr>
        <w:t>took</w:t>
      </w:r>
      <w:r w:rsidRPr="00252C01">
        <w:rPr>
          <w:sz w:val="20"/>
        </w:rPr>
        <w:t xml:space="preserve"> power in summer 2023 has the promotion of SMRs among its energy policy </w:t>
      </w:r>
      <w:r w:rsidRPr="00AB747C">
        <w:rPr>
          <w:sz w:val="20"/>
        </w:rPr>
        <w:t>priorities</w:t>
      </w:r>
      <w:r w:rsidR="00D0123F" w:rsidRPr="00AB747C">
        <w:rPr>
          <w:sz w:val="20"/>
        </w:rPr>
        <w:t xml:space="preserve"> </w:t>
      </w:r>
      <w:r w:rsidR="003A5A52" w:rsidRPr="00AB747C">
        <w:rPr>
          <w:color w:val="000000"/>
          <w:sz w:val="20"/>
        </w:rPr>
        <w:t>[5</w:t>
      </w:r>
      <w:r w:rsidR="001479F5">
        <w:rPr>
          <w:color w:val="000000"/>
          <w:sz w:val="20"/>
        </w:rPr>
        <w:t>0</w:t>
      </w:r>
      <w:r w:rsidR="003A5A52" w:rsidRPr="00AB747C">
        <w:rPr>
          <w:color w:val="000000"/>
          <w:sz w:val="20"/>
        </w:rPr>
        <w:t>]</w:t>
      </w:r>
      <w:r w:rsidRPr="00AB747C">
        <w:rPr>
          <w:sz w:val="20"/>
        </w:rPr>
        <w:t>.</w:t>
      </w:r>
      <w:bookmarkEnd w:id="0"/>
    </w:p>
    <w:p w14:paraId="1052BEE9" w14:textId="125468BA" w:rsidR="00356605" w:rsidRPr="00252C01" w:rsidRDefault="00BB246F" w:rsidP="00252C01">
      <w:pPr>
        <w:pStyle w:val="Heading2"/>
      </w:pPr>
      <w:r w:rsidRPr="00252C01">
        <w:t xml:space="preserve"> Nuclear safety regulation in Canada and Finland</w:t>
      </w:r>
    </w:p>
    <w:p w14:paraId="6302F5A1" w14:textId="7C320288" w:rsidR="00356605" w:rsidRPr="00252C01" w:rsidRDefault="006E0CFE" w:rsidP="00356605">
      <w:pPr>
        <w:spacing w:line="276" w:lineRule="auto"/>
        <w:ind w:firstLine="567"/>
        <w:jc w:val="both"/>
        <w:rPr>
          <w:b/>
          <w:sz w:val="20"/>
        </w:rPr>
      </w:pPr>
      <w:r w:rsidRPr="00252C01">
        <w:rPr>
          <w:sz w:val="20"/>
        </w:rPr>
        <w:t xml:space="preserve">In </w:t>
      </w:r>
      <w:r w:rsidRPr="00252C01">
        <w:rPr>
          <w:b/>
          <w:bCs/>
          <w:sz w:val="20"/>
        </w:rPr>
        <w:t>Canada</w:t>
      </w:r>
      <w:r w:rsidRPr="00252C01">
        <w:rPr>
          <w:sz w:val="20"/>
        </w:rPr>
        <w:t>, t</w:t>
      </w:r>
      <w:r w:rsidR="00356605" w:rsidRPr="00252C01">
        <w:rPr>
          <w:sz w:val="20"/>
        </w:rPr>
        <w:t>he Canadian Nuclear Safety Commission, CNSC, established in 2000 under the Nuclear Safety Control Act (1997), regulat</w:t>
      </w:r>
      <w:r w:rsidR="00E02E00">
        <w:rPr>
          <w:sz w:val="20"/>
        </w:rPr>
        <w:t>es</w:t>
      </w:r>
      <w:r w:rsidR="00356605" w:rsidRPr="00252C01">
        <w:rPr>
          <w:sz w:val="20"/>
        </w:rPr>
        <w:t xml:space="preserve"> all nuclear-related activities. It replaced the former Atomic Energy Control Board (AECB), thus institutionally separating regulation from the development of nuclear power. The CNSC reports to Parliament through the Minister of Natural Resources </w:t>
      </w:r>
      <w:r w:rsidR="000D7892" w:rsidRPr="00252C01">
        <w:rPr>
          <w:sz w:val="20"/>
        </w:rPr>
        <w:t>[</w:t>
      </w:r>
      <w:r w:rsidR="00FE7912">
        <w:rPr>
          <w:sz w:val="20"/>
        </w:rPr>
        <w:t xml:space="preserve">7, </w:t>
      </w:r>
      <w:r w:rsidR="000D7892" w:rsidRPr="00252C01">
        <w:rPr>
          <w:sz w:val="20"/>
        </w:rPr>
        <w:t>8]</w:t>
      </w:r>
      <w:r w:rsidR="00356605" w:rsidRPr="00252C01">
        <w:rPr>
          <w:sz w:val="20"/>
        </w:rPr>
        <w:t xml:space="preserve">. </w:t>
      </w:r>
      <w:r w:rsidR="00E02E00">
        <w:rPr>
          <w:sz w:val="20"/>
        </w:rPr>
        <w:t>The</w:t>
      </w:r>
      <w:r w:rsidR="00356605" w:rsidRPr="00252C01">
        <w:rPr>
          <w:sz w:val="20"/>
        </w:rPr>
        <w:t xml:space="preserve"> ultimate</w:t>
      </w:r>
      <w:r w:rsidR="00E02E00">
        <w:rPr>
          <w:sz w:val="20"/>
        </w:rPr>
        <w:t xml:space="preserve"> decision-making body</w:t>
      </w:r>
      <w:r w:rsidR="00E074C3">
        <w:rPr>
          <w:sz w:val="20"/>
        </w:rPr>
        <w:t xml:space="preserve"> consists</w:t>
      </w:r>
      <w:r w:rsidR="00356605" w:rsidRPr="00252C01">
        <w:rPr>
          <w:sz w:val="20"/>
        </w:rPr>
        <w:t xml:space="preserve"> </w:t>
      </w:r>
      <w:r w:rsidR="00E074C3">
        <w:rPr>
          <w:sz w:val="20"/>
        </w:rPr>
        <w:t>of</w:t>
      </w:r>
      <w:r w:rsidR="00356605" w:rsidRPr="00252C01">
        <w:rPr>
          <w:sz w:val="20"/>
        </w:rPr>
        <w:t xml:space="preserve"> </w:t>
      </w:r>
      <w:r w:rsidR="00E074C3">
        <w:rPr>
          <w:sz w:val="20"/>
        </w:rPr>
        <w:t>a</w:t>
      </w:r>
      <w:r w:rsidR="00E074C3" w:rsidRPr="00252C01">
        <w:rPr>
          <w:sz w:val="20"/>
        </w:rPr>
        <w:t xml:space="preserve"> </w:t>
      </w:r>
      <w:r w:rsidR="00356605" w:rsidRPr="00252C01">
        <w:rPr>
          <w:sz w:val="20"/>
        </w:rPr>
        <w:t xml:space="preserve">quasi-judicial independent tribunal of commissioners, “appointed by the Governor in Council (representative of the Queen in Canada acting on advice of the Cabinet)” </w:t>
      </w:r>
      <w:r w:rsidR="000D7892" w:rsidRPr="00252C01">
        <w:rPr>
          <w:sz w:val="20"/>
        </w:rPr>
        <w:t>[</w:t>
      </w:r>
      <w:r w:rsidR="00C54516">
        <w:rPr>
          <w:sz w:val="20"/>
        </w:rPr>
        <w:t>8</w:t>
      </w:r>
      <w:r w:rsidR="000D7892" w:rsidRPr="00252C01">
        <w:rPr>
          <w:sz w:val="20"/>
        </w:rPr>
        <w:t>]</w:t>
      </w:r>
      <w:r w:rsidR="00356605" w:rsidRPr="00252C01">
        <w:rPr>
          <w:sz w:val="20"/>
        </w:rPr>
        <w:t xml:space="preserve">. The IAEA review on Canada’s nuclear safety </w:t>
      </w:r>
      <w:r w:rsidR="00E02E00">
        <w:rPr>
          <w:sz w:val="20"/>
        </w:rPr>
        <w:t>regime</w:t>
      </w:r>
      <w:r w:rsidR="00E02E00" w:rsidRPr="00252C01">
        <w:rPr>
          <w:sz w:val="20"/>
        </w:rPr>
        <w:t xml:space="preserve"> </w:t>
      </w:r>
      <w:r w:rsidR="00356605" w:rsidRPr="00252C01">
        <w:rPr>
          <w:sz w:val="20"/>
        </w:rPr>
        <w:t>found no reason to doubt CNSC’s independence but highlight</w:t>
      </w:r>
      <w:r w:rsidR="00E074C3">
        <w:rPr>
          <w:sz w:val="20"/>
        </w:rPr>
        <w:t>ed</w:t>
      </w:r>
      <w:r w:rsidR="00356605" w:rsidRPr="00252C01">
        <w:rPr>
          <w:sz w:val="20"/>
        </w:rPr>
        <w:t xml:space="preserve"> staff competences as a potential bottleneck in licensing new reactor technologies </w:t>
      </w:r>
      <w:r w:rsidR="000D7892" w:rsidRPr="00252C01">
        <w:rPr>
          <w:sz w:val="20"/>
        </w:rPr>
        <w:t>[</w:t>
      </w:r>
      <w:r w:rsidR="00C54516">
        <w:rPr>
          <w:sz w:val="20"/>
        </w:rPr>
        <w:t>8</w:t>
      </w:r>
      <w:r w:rsidR="000D7892" w:rsidRPr="00252C01">
        <w:rPr>
          <w:sz w:val="20"/>
        </w:rPr>
        <w:t>]</w:t>
      </w:r>
      <w:r w:rsidR="00356605" w:rsidRPr="00252C01">
        <w:rPr>
          <w:sz w:val="20"/>
        </w:rPr>
        <w:t xml:space="preserve">. SMR-regulation challenge is compounded by the fact that CNSC’s regulations and core competences are crucially shaped by its experience of regulating the CANDU </w:t>
      </w:r>
      <w:r w:rsidR="00E02E00">
        <w:rPr>
          <w:sz w:val="20"/>
        </w:rPr>
        <w:t xml:space="preserve">heavy-water </w:t>
      </w:r>
      <w:r w:rsidR="00356605" w:rsidRPr="00252C01">
        <w:rPr>
          <w:sz w:val="20"/>
        </w:rPr>
        <w:t xml:space="preserve">technologies </w:t>
      </w:r>
      <w:r w:rsidR="001B5903" w:rsidRPr="00252C01">
        <w:rPr>
          <w:color w:val="000000"/>
          <w:sz w:val="20"/>
        </w:rPr>
        <w:t xml:space="preserve">[7, 8]. </w:t>
      </w:r>
      <w:r w:rsidR="00356605" w:rsidRPr="00252C01">
        <w:rPr>
          <w:color w:val="000000"/>
          <w:sz w:val="20"/>
        </w:rPr>
        <w:t xml:space="preserve">CNSC </w:t>
      </w:r>
      <w:r w:rsidR="00E074C3">
        <w:rPr>
          <w:color w:val="000000"/>
          <w:sz w:val="20"/>
        </w:rPr>
        <w:t>officials</w:t>
      </w:r>
      <w:r w:rsidR="00E074C3" w:rsidRPr="00252C01">
        <w:rPr>
          <w:color w:val="000000"/>
          <w:sz w:val="20"/>
        </w:rPr>
        <w:t xml:space="preserve"> </w:t>
      </w:r>
      <w:r w:rsidR="00356605" w:rsidRPr="00252C01">
        <w:rPr>
          <w:color w:val="000000"/>
          <w:sz w:val="20"/>
        </w:rPr>
        <w:t>define the Commission</w:t>
      </w:r>
      <w:r w:rsidR="00356605" w:rsidRPr="00252C01">
        <w:rPr>
          <w:sz w:val="20"/>
        </w:rPr>
        <w:t xml:space="preserve">’s </w:t>
      </w:r>
      <w:r w:rsidR="00356605" w:rsidRPr="00252C01">
        <w:rPr>
          <w:color w:val="000000"/>
          <w:sz w:val="20"/>
        </w:rPr>
        <w:t xml:space="preserve">regulatory </w:t>
      </w:r>
      <w:r w:rsidR="00356605" w:rsidRPr="00252C01">
        <w:rPr>
          <w:sz w:val="20"/>
        </w:rPr>
        <w:t xml:space="preserve">approach as a </w:t>
      </w:r>
      <w:r w:rsidR="00356605" w:rsidRPr="00252C01">
        <w:rPr>
          <w:color w:val="000000"/>
          <w:sz w:val="20"/>
        </w:rPr>
        <w:t>mix of performance and prescriptive-based regulation</w:t>
      </w:r>
      <w:r w:rsidR="00356605" w:rsidRPr="00252C01">
        <w:rPr>
          <w:sz w:val="20"/>
        </w:rPr>
        <w:t xml:space="preserve"> </w:t>
      </w:r>
      <w:r w:rsidR="001B5903" w:rsidRPr="00252C01">
        <w:rPr>
          <w:color w:val="000000"/>
          <w:sz w:val="20"/>
        </w:rPr>
        <w:t>[7]</w:t>
      </w:r>
      <w:r w:rsidR="00356605" w:rsidRPr="00252C01">
        <w:rPr>
          <w:sz w:val="20"/>
        </w:rPr>
        <w:t xml:space="preserve">, with </w:t>
      </w:r>
      <w:r w:rsidR="001B5903" w:rsidRPr="00252C01">
        <w:rPr>
          <w:sz w:val="20"/>
        </w:rPr>
        <w:t xml:space="preserve">a </w:t>
      </w:r>
      <w:r w:rsidR="00E074C3">
        <w:rPr>
          <w:sz w:val="20"/>
        </w:rPr>
        <w:t>grow</w:t>
      </w:r>
      <w:r w:rsidR="001B5903" w:rsidRPr="00252C01">
        <w:rPr>
          <w:sz w:val="20"/>
        </w:rPr>
        <w:t>ing</w:t>
      </w:r>
      <w:r w:rsidR="00356605" w:rsidRPr="00252C01">
        <w:rPr>
          <w:sz w:val="20"/>
        </w:rPr>
        <w:t xml:space="preserve"> tendency towards performance-orientation </w:t>
      </w:r>
      <w:r w:rsidR="001B5903" w:rsidRPr="00252C01">
        <w:rPr>
          <w:sz w:val="20"/>
        </w:rPr>
        <w:t>[19]</w:t>
      </w:r>
      <w:r w:rsidR="00356605" w:rsidRPr="00252C01">
        <w:rPr>
          <w:sz w:val="20"/>
        </w:rPr>
        <w:t>.</w:t>
      </w:r>
    </w:p>
    <w:p w14:paraId="2E8C8E92" w14:textId="5E64D426" w:rsidR="006E0CFE" w:rsidRPr="00252C01" w:rsidRDefault="00356605" w:rsidP="00CA4C17">
      <w:pPr>
        <w:pBdr>
          <w:top w:val="nil"/>
          <w:left w:val="nil"/>
          <w:bottom w:val="nil"/>
          <w:right w:val="nil"/>
          <w:between w:val="nil"/>
        </w:pBdr>
        <w:spacing w:line="276" w:lineRule="auto"/>
        <w:ind w:firstLine="567"/>
        <w:jc w:val="both"/>
        <w:rPr>
          <w:color w:val="000000"/>
          <w:sz w:val="20"/>
        </w:rPr>
      </w:pPr>
      <w:r w:rsidRPr="00252C01">
        <w:rPr>
          <w:color w:val="000000"/>
          <w:sz w:val="20"/>
        </w:rPr>
        <w:t xml:space="preserve">Until the introduction of the new Impact Assessment Act </w:t>
      </w:r>
      <w:r w:rsidR="00AE472C">
        <w:rPr>
          <w:color w:val="000000"/>
          <w:sz w:val="20"/>
        </w:rPr>
        <w:t xml:space="preserve">(IAA) </w:t>
      </w:r>
      <w:r w:rsidRPr="00252C01">
        <w:rPr>
          <w:color w:val="000000"/>
          <w:sz w:val="20"/>
        </w:rPr>
        <w:t>in 2019</w:t>
      </w:r>
      <w:r w:rsidR="00E074C3">
        <w:rPr>
          <w:color w:val="000000"/>
          <w:sz w:val="20"/>
        </w:rPr>
        <w:t>,</w:t>
      </w:r>
      <w:r w:rsidRPr="00252C01">
        <w:rPr>
          <w:color w:val="000000"/>
          <w:sz w:val="20"/>
        </w:rPr>
        <w:t xml:space="preserve"> the CNSC was responsible for conducting an environmental assessment for nuclear activities, but the new act transferred</w:t>
      </w:r>
      <w:r w:rsidRPr="00252C01">
        <w:rPr>
          <w:sz w:val="20"/>
        </w:rPr>
        <w:t xml:space="preserve"> the</w:t>
      </w:r>
      <w:r w:rsidRPr="00252C01">
        <w:rPr>
          <w:color w:val="000000"/>
          <w:sz w:val="20"/>
        </w:rPr>
        <w:t xml:space="preserve"> responsibility</w:t>
      </w:r>
      <w:r w:rsidR="00B171D4">
        <w:rPr>
          <w:color w:val="000000"/>
          <w:sz w:val="20"/>
        </w:rPr>
        <w:t xml:space="preserve"> for </w:t>
      </w:r>
      <w:r w:rsidR="00B171D4">
        <w:rPr>
          <w:color w:val="000000"/>
          <w:sz w:val="20"/>
        </w:rPr>
        <w:lastRenderedPageBreak/>
        <w:t>major nuclear projects</w:t>
      </w:r>
      <w:r w:rsidR="00B171D4">
        <w:rPr>
          <w:rStyle w:val="FootnoteReference"/>
          <w:color w:val="000000"/>
          <w:sz w:val="20"/>
        </w:rPr>
        <w:footnoteReference w:id="3"/>
      </w:r>
      <w:r w:rsidR="00B171D4">
        <w:rPr>
          <w:color w:val="000000"/>
          <w:sz w:val="20"/>
        </w:rPr>
        <w:t xml:space="preserve"> </w:t>
      </w:r>
      <w:r w:rsidRPr="00252C01">
        <w:rPr>
          <w:color w:val="000000"/>
          <w:sz w:val="20"/>
        </w:rPr>
        <w:t xml:space="preserve">to a joint review panel </w:t>
      </w:r>
      <w:r w:rsidRPr="00252C01">
        <w:rPr>
          <w:sz w:val="20"/>
        </w:rPr>
        <w:t>made up</w:t>
      </w:r>
      <w:r w:rsidRPr="00252C01">
        <w:rPr>
          <w:color w:val="000000"/>
          <w:sz w:val="20"/>
        </w:rPr>
        <w:t xml:space="preserve"> of members appointed by the </w:t>
      </w:r>
      <w:r w:rsidR="00CA4C17">
        <w:rPr>
          <w:color w:val="000000"/>
          <w:sz w:val="20"/>
        </w:rPr>
        <w:t>environment m</w:t>
      </w:r>
      <w:r w:rsidRPr="00252C01">
        <w:rPr>
          <w:color w:val="000000"/>
          <w:sz w:val="20"/>
        </w:rPr>
        <w:t xml:space="preserve">inister </w:t>
      </w:r>
      <w:r w:rsidR="001B5903" w:rsidRPr="00252C01">
        <w:rPr>
          <w:color w:val="000000"/>
          <w:sz w:val="20"/>
        </w:rPr>
        <w:t>[7]</w:t>
      </w:r>
      <w:r w:rsidRPr="00252C01">
        <w:rPr>
          <w:color w:val="000000"/>
          <w:sz w:val="20"/>
        </w:rPr>
        <w:t>.</w:t>
      </w:r>
      <w:r w:rsidRPr="00252C01">
        <w:rPr>
          <w:sz w:val="20"/>
        </w:rPr>
        <w:t xml:space="preserve"> </w:t>
      </w:r>
      <w:r w:rsidR="00CA4C17">
        <w:rPr>
          <w:sz w:val="20"/>
        </w:rPr>
        <w:t>T</w:t>
      </w:r>
      <w:r w:rsidRPr="00252C01">
        <w:rPr>
          <w:sz w:val="20"/>
        </w:rPr>
        <w:t xml:space="preserve">he CNSC holds </w:t>
      </w:r>
      <w:r w:rsidRPr="00252C01">
        <w:rPr>
          <w:color w:val="000000"/>
          <w:sz w:val="20"/>
        </w:rPr>
        <w:t xml:space="preserve">public hearings </w:t>
      </w:r>
      <w:r w:rsidRPr="00252C01">
        <w:rPr>
          <w:sz w:val="20"/>
        </w:rPr>
        <w:t xml:space="preserve">as part of the </w:t>
      </w:r>
      <w:sdt>
        <w:sdtPr>
          <w:tag w:val="goog_rdk_23"/>
          <w:id w:val="-1678031787"/>
        </w:sdtPr>
        <w:sdtContent/>
      </w:sdt>
      <w:r w:rsidRPr="00252C01">
        <w:rPr>
          <w:sz w:val="20"/>
        </w:rPr>
        <w:t xml:space="preserve">licensing </w:t>
      </w:r>
      <w:r w:rsidR="001B5903" w:rsidRPr="00252C01">
        <w:rPr>
          <w:sz w:val="20"/>
        </w:rPr>
        <w:t>processes and</w:t>
      </w:r>
      <w:r w:rsidRPr="00252C01">
        <w:rPr>
          <w:sz w:val="20"/>
        </w:rPr>
        <w:t xml:space="preserve"> </w:t>
      </w:r>
      <w:r w:rsidRPr="00252C01">
        <w:rPr>
          <w:color w:val="000000"/>
          <w:sz w:val="20"/>
        </w:rPr>
        <w:t xml:space="preserve">requires </w:t>
      </w:r>
      <w:r w:rsidRPr="00252C01">
        <w:rPr>
          <w:sz w:val="20"/>
        </w:rPr>
        <w:t>the</w:t>
      </w:r>
      <w:r w:rsidRPr="00252C01">
        <w:rPr>
          <w:color w:val="000000"/>
          <w:sz w:val="20"/>
        </w:rPr>
        <w:t xml:space="preserve"> proponents </w:t>
      </w:r>
      <w:r w:rsidRPr="00252C01">
        <w:rPr>
          <w:sz w:val="20"/>
        </w:rPr>
        <w:t xml:space="preserve">to </w:t>
      </w:r>
      <w:r w:rsidR="00CA4C17">
        <w:rPr>
          <w:sz w:val="20"/>
        </w:rPr>
        <w:t>ensure</w:t>
      </w:r>
      <w:r w:rsidRPr="00252C01">
        <w:rPr>
          <w:color w:val="000000"/>
          <w:sz w:val="20"/>
        </w:rPr>
        <w:t xml:space="preserve"> </w:t>
      </w:r>
      <w:r w:rsidRPr="00252C01">
        <w:rPr>
          <w:sz w:val="20"/>
        </w:rPr>
        <w:t>“</w:t>
      </w:r>
      <w:r w:rsidRPr="00252C01">
        <w:rPr>
          <w:color w:val="000000"/>
          <w:sz w:val="20"/>
        </w:rPr>
        <w:t xml:space="preserve">public engagement commensurate with the complexity of the project and public perspective” </w:t>
      </w:r>
      <w:r w:rsidR="001B5903" w:rsidRPr="00252C01">
        <w:rPr>
          <w:color w:val="000000"/>
          <w:sz w:val="20"/>
        </w:rPr>
        <w:t>[7, 19]</w:t>
      </w:r>
      <w:r w:rsidRPr="00252C01">
        <w:rPr>
          <w:color w:val="000000"/>
          <w:sz w:val="20"/>
        </w:rPr>
        <w:t xml:space="preserve">. The CNSC also </w:t>
      </w:r>
      <w:r w:rsidRPr="00252C01">
        <w:rPr>
          <w:sz w:val="20"/>
        </w:rPr>
        <w:t>has the</w:t>
      </w:r>
      <w:r w:rsidRPr="00252C01">
        <w:rPr>
          <w:color w:val="000000"/>
          <w:sz w:val="20"/>
        </w:rPr>
        <w:t xml:space="preserve"> mandate to disseminate scientific information to the public and consult with </w:t>
      </w:r>
      <w:r w:rsidR="00CA4C17">
        <w:rPr>
          <w:color w:val="000000"/>
          <w:sz w:val="20"/>
        </w:rPr>
        <w:t xml:space="preserve">the </w:t>
      </w:r>
      <w:r w:rsidRPr="00252C01">
        <w:rPr>
          <w:color w:val="000000"/>
          <w:sz w:val="20"/>
        </w:rPr>
        <w:t>Indigenous communities</w:t>
      </w:r>
      <w:r w:rsidRPr="00252C01">
        <w:rPr>
          <w:sz w:val="20"/>
        </w:rPr>
        <w:t>.</w:t>
      </w:r>
      <w:r w:rsidR="00CA4C17">
        <w:rPr>
          <w:sz w:val="20"/>
        </w:rPr>
        <w:t xml:space="preserve"> </w:t>
      </w:r>
      <w:r w:rsidRPr="00252C01">
        <w:rPr>
          <w:sz w:val="20"/>
        </w:rPr>
        <w:t xml:space="preserve">The CNSC plays an active and leading role in international arenas, including IAEA initiatives </w:t>
      </w:r>
      <w:r w:rsidR="00CA4C17">
        <w:rPr>
          <w:sz w:val="20"/>
        </w:rPr>
        <w:t>for</w:t>
      </w:r>
      <w:r w:rsidR="00CA4C17" w:rsidRPr="00252C01">
        <w:rPr>
          <w:sz w:val="20"/>
        </w:rPr>
        <w:t xml:space="preserve"> </w:t>
      </w:r>
      <w:r w:rsidRPr="00252C01">
        <w:rPr>
          <w:sz w:val="20"/>
        </w:rPr>
        <w:t xml:space="preserve">the harmonisation of international </w:t>
      </w:r>
      <w:r w:rsidR="00CA4C17">
        <w:rPr>
          <w:sz w:val="20"/>
        </w:rPr>
        <w:t xml:space="preserve">SMR </w:t>
      </w:r>
      <w:r w:rsidRPr="00252C01">
        <w:rPr>
          <w:sz w:val="20"/>
        </w:rPr>
        <w:t xml:space="preserve">regulation. Since </w:t>
      </w:r>
      <w:r w:rsidRPr="00252C01">
        <w:rPr>
          <w:color w:val="000000"/>
          <w:sz w:val="20"/>
        </w:rPr>
        <w:t xml:space="preserve">2019, the CNSC </w:t>
      </w:r>
      <w:r w:rsidR="001B5903" w:rsidRPr="00252C01">
        <w:rPr>
          <w:color w:val="000000"/>
          <w:sz w:val="20"/>
        </w:rPr>
        <w:t>and the</w:t>
      </w:r>
      <w:r w:rsidRPr="00252C01">
        <w:rPr>
          <w:color w:val="000000"/>
          <w:sz w:val="20"/>
        </w:rPr>
        <w:t xml:space="preserve"> US NRC </w:t>
      </w:r>
      <w:r w:rsidRPr="00252C01">
        <w:rPr>
          <w:sz w:val="20"/>
        </w:rPr>
        <w:t xml:space="preserve">have collaborated on developing shared approaches to the regulation of SMRs and </w:t>
      </w:r>
      <w:r w:rsidRPr="00252C01">
        <w:rPr>
          <w:color w:val="000000"/>
          <w:sz w:val="20"/>
        </w:rPr>
        <w:t xml:space="preserve">advanced reactor technologies, </w:t>
      </w:r>
      <w:r w:rsidRPr="00252C01">
        <w:rPr>
          <w:sz w:val="20"/>
        </w:rPr>
        <w:t xml:space="preserve">to reduce regulatory burdens on </w:t>
      </w:r>
      <w:r w:rsidRPr="00252C01">
        <w:rPr>
          <w:color w:val="000000"/>
          <w:sz w:val="20"/>
        </w:rPr>
        <w:t>SMR</w:t>
      </w:r>
      <w:r w:rsidRPr="00252C01">
        <w:rPr>
          <w:sz w:val="20"/>
        </w:rPr>
        <w:t xml:space="preserve"> applicants </w:t>
      </w:r>
      <w:r w:rsidR="001B5903" w:rsidRPr="00252C01">
        <w:rPr>
          <w:sz w:val="20"/>
        </w:rPr>
        <w:t>[2</w:t>
      </w:r>
      <w:r w:rsidR="00FF7AB4">
        <w:rPr>
          <w:sz w:val="20"/>
        </w:rPr>
        <w:t>0</w:t>
      </w:r>
      <w:r w:rsidR="001B5903" w:rsidRPr="00252C01">
        <w:rPr>
          <w:sz w:val="20"/>
        </w:rPr>
        <w:t>].</w:t>
      </w:r>
    </w:p>
    <w:p w14:paraId="6140DB80" w14:textId="78FA8D2C" w:rsidR="00356605" w:rsidRPr="00252C01" w:rsidRDefault="006E0CFE" w:rsidP="00252C01">
      <w:pPr>
        <w:pBdr>
          <w:top w:val="nil"/>
          <w:left w:val="nil"/>
          <w:bottom w:val="nil"/>
          <w:right w:val="nil"/>
          <w:between w:val="nil"/>
        </w:pBdr>
        <w:spacing w:line="276" w:lineRule="auto"/>
        <w:ind w:firstLine="567"/>
        <w:jc w:val="both"/>
      </w:pPr>
      <w:r w:rsidRPr="00252C01">
        <w:rPr>
          <w:sz w:val="20"/>
        </w:rPr>
        <w:t xml:space="preserve">In </w:t>
      </w:r>
      <w:r w:rsidRPr="00252C01">
        <w:rPr>
          <w:b/>
          <w:bCs/>
          <w:sz w:val="20"/>
        </w:rPr>
        <w:t>Finland</w:t>
      </w:r>
      <w:r w:rsidRPr="00252C01">
        <w:rPr>
          <w:sz w:val="20"/>
        </w:rPr>
        <w:t>, t</w:t>
      </w:r>
      <w:r w:rsidR="00356605" w:rsidRPr="00252C01">
        <w:rPr>
          <w:sz w:val="20"/>
        </w:rPr>
        <w:t>he siting and licensing of nuclear installations according to the Nuclear Energy Act consist of four main steps. First, the applicant must organise an Environmental Impact Assessment (EIA), which is only advisory, but constitutes a major arena for local and national-level direct public engagement. Unlike in other major projects in which the Ministry of the Environment serves as the coordinating authority, nuclear-sector EIAs are coordinated by the Ministry of Economic Affairs and Employment (MEAE), responsible for energy policy. The licensing of a nuclear installation starts with a Decision-in-Principle</w:t>
      </w:r>
      <w:r w:rsidR="00BB1BE5">
        <w:rPr>
          <w:sz w:val="20"/>
        </w:rPr>
        <w:t xml:space="preserve"> (</w:t>
      </w:r>
      <w:proofErr w:type="spellStart"/>
      <w:r w:rsidR="00BB1BE5">
        <w:rPr>
          <w:sz w:val="20"/>
        </w:rPr>
        <w:t>DiP</w:t>
      </w:r>
      <w:proofErr w:type="spellEnd"/>
      <w:r w:rsidR="00BB1BE5">
        <w:rPr>
          <w:sz w:val="20"/>
        </w:rPr>
        <w:t>)</w:t>
      </w:r>
      <w:r w:rsidR="00356605" w:rsidRPr="00252C01">
        <w:rPr>
          <w:sz w:val="20"/>
        </w:rPr>
        <w:t>, prepared by the government for Parliament ratification</w:t>
      </w:r>
      <w:r w:rsidR="00BB1BE5">
        <w:rPr>
          <w:sz w:val="20"/>
        </w:rPr>
        <w:t>, after safety analysis by t</w:t>
      </w:r>
      <w:r w:rsidR="00356605" w:rsidRPr="00252C01">
        <w:rPr>
          <w:sz w:val="20"/>
        </w:rPr>
        <w:t xml:space="preserve">he Finnish Radiation and Nuclear Safety Authority, </w:t>
      </w:r>
      <w:sdt>
        <w:sdtPr>
          <w:tag w:val="goog_rdk_27"/>
          <w:id w:val="2065764252"/>
        </w:sdtPr>
        <w:sdtContent/>
      </w:sdt>
      <w:r w:rsidR="00356605" w:rsidRPr="00252C01">
        <w:rPr>
          <w:sz w:val="20"/>
        </w:rPr>
        <w:t xml:space="preserve">STUK. </w:t>
      </w:r>
      <w:r w:rsidR="00BB1BE5">
        <w:rPr>
          <w:sz w:val="20"/>
        </w:rPr>
        <w:t xml:space="preserve">The </w:t>
      </w:r>
      <w:proofErr w:type="spellStart"/>
      <w:r w:rsidR="00356605" w:rsidRPr="00252C01">
        <w:rPr>
          <w:sz w:val="20"/>
        </w:rPr>
        <w:t>D</w:t>
      </w:r>
      <w:r w:rsidR="00BB1BE5">
        <w:rPr>
          <w:sz w:val="20"/>
        </w:rPr>
        <w:t>i</w:t>
      </w:r>
      <w:r w:rsidR="00356605" w:rsidRPr="00252C01">
        <w:rPr>
          <w:sz w:val="20"/>
        </w:rPr>
        <w:t>P</w:t>
      </w:r>
      <w:proofErr w:type="spellEnd"/>
      <w:r w:rsidR="00BB1BE5">
        <w:rPr>
          <w:sz w:val="20"/>
        </w:rPr>
        <w:t xml:space="preserve"> </w:t>
      </w:r>
      <w:r w:rsidR="00356605" w:rsidRPr="00252C01">
        <w:rPr>
          <w:sz w:val="20"/>
        </w:rPr>
        <w:t>is the main stage for the political deliberation on whether the project is in line with the “overall good of society”. The subsequent construction and operation licences are in principle administrative steps, but when making its decision, the government again considers “the overall good of society”</w:t>
      </w:r>
      <w:r w:rsidR="00BB1BE5">
        <w:rPr>
          <w:sz w:val="20"/>
        </w:rPr>
        <w:t>,</w:t>
      </w:r>
      <w:r w:rsidR="00356605" w:rsidRPr="00252C01">
        <w:rPr>
          <w:sz w:val="20"/>
        </w:rPr>
        <w:t xml:space="preserve"> with STUK safety assessments as the key information basis. STUK also collects statements from the Advisory Commission on Nuclear Safety and from the Ministry of the Interior. The </w:t>
      </w:r>
      <w:r w:rsidR="00BB1BE5">
        <w:rPr>
          <w:sz w:val="20"/>
        </w:rPr>
        <w:t xml:space="preserve">five operating </w:t>
      </w:r>
      <w:r w:rsidR="00356605" w:rsidRPr="00252C01">
        <w:rPr>
          <w:sz w:val="20"/>
        </w:rPr>
        <w:t xml:space="preserve">Finnish NPP units are operated by the private </w:t>
      </w:r>
      <w:proofErr w:type="spellStart"/>
      <w:r w:rsidR="00356605" w:rsidRPr="00252C01">
        <w:rPr>
          <w:sz w:val="20"/>
        </w:rPr>
        <w:t>Teollisuuden</w:t>
      </w:r>
      <w:proofErr w:type="spellEnd"/>
      <w:r w:rsidR="00356605" w:rsidRPr="00252C01">
        <w:rPr>
          <w:sz w:val="20"/>
        </w:rPr>
        <w:t xml:space="preserve"> </w:t>
      </w:r>
      <w:proofErr w:type="spellStart"/>
      <w:r w:rsidR="00356605" w:rsidRPr="00252C01">
        <w:rPr>
          <w:sz w:val="20"/>
        </w:rPr>
        <w:t>Voima</w:t>
      </w:r>
      <w:proofErr w:type="spellEnd"/>
      <w:r w:rsidR="00356605" w:rsidRPr="00252C01">
        <w:rPr>
          <w:sz w:val="20"/>
        </w:rPr>
        <w:t xml:space="preserve"> (TVO) and the 51% state-owned Fortum.</w:t>
      </w:r>
      <w:r w:rsidR="008E1A9F" w:rsidRPr="00252C01">
        <w:rPr>
          <w:sz w:val="20"/>
        </w:rPr>
        <w:t xml:space="preserve"> </w:t>
      </w:r>
      <w:r w:rsidR="00356605" w:rsidRPr="00252C01">
        <w:rPr>
          <w:sz w:val="20"/>
        </w:rPr>
        <w:t xml:space="preserve">The Finnish regulatory approach evolved according to the American NRC </w:t>
      </w:r>
      <w:proofErr w:type="gramStart"/>
      <w:r w:rsidR="00356605" w:rsidRPr="00252C01">
        <w:rPr>
          <w:sz w:val="20"/>
        </w:rPr>
        <w:t>model, and</w:t>
      </w:r>
      <w:proofErr w:type="gramEnd"/>
      <w:r w:rsidR="00356605" w:rsidRPr="00252C01">
        <w:rPr>
          <w:sz w:val="20"/>
        </w:rPr>
        <w:t xml:space="preserve"> has been described as more prescriptive than the Canadian regulatory approach.</w:t>
      </w:r>
    </w:p>
    <w:p w14:paraId="515629D9" w14:textId="0FE092B0" w:rsidR="00356605" w:rsidRPr="00252C01" w:rsidRDefault="00356605" w:rsidP="00252C01">
      <w:pPr>
        <w:pStyle w:val="Heading2"/>
      </w:pPr>
      <w:r w:rsidRPr="00252C01">
        <w:t xml:space="preserve"> SMR regulation reforms in canada and finland</w:t>
      </w:r>
    </w:p>
    <w:p w14:paraId="68400518" w14:textId="18413F8F" w:rsidR="00356605" w:rsidRPr="00252C01" w:rsidRDefault="00356605" w:rsidP="00356605">
      <w:pPr>
        <w:pBdr>
          <w:top w:val="nil"/>
          <w:left w:val="nil"/>
          <w:bottom w:val="nil"/>
          <w:right w:val="nil"/>
          <w:between w:val="nil"/>
        </w:pBdr>
        <w:spacing w:line="276" w:lineRule="auto"/>
        <w:ind w:firstLine="567"/>
        <w:jc w:val="both"/>
        <w:rPr>
          <w:sz w:val="20"/>
        </w:rPr>
      </w:pPr>
      <w:r w:rsidRPr="00252C01">
        <w:rPr>
          <w:color w:val="000000"/>
          <w:sz w:val="20"/>
        </w:rPr>
        <w:t xml:space="preserve">The recent and ongoing efforts to reform </w:t>
      </w:r>
      <w:r w:rsidRPr="00252C01">
        <w:rPr>
          <w:b/>
          <w:bCs/>
          <w:color w:val="000000"/>
          <w:sz w:val="20"/>
        </w:rPr>
        <w:t>Canada</w:t>
      </w:r>
      <w:r w:rsidRPr="00252C01">
        <w:rPr>
          <w:color w:val="000000"/>
          <w:sz w:val="20"/>
        </w:rPr>
        <w:t xml:space="preserve">’s nuclear regulatory regime </w:t>
      </w:r>
      <w:r w:rsidR="00BB1BE5">
        <w:rPr>
          <w:color w:val="000000"/>
          <w:sz w:val="20"/>
        </w:rPr>
        <w:t>follow</w:t>
      </w:r>
      <w:r w:rsidRPr="00252C01">
        <w:rPr>
          <w:color w:val="000000"/>
          <w:sz w:val="20"/>
        </w:rPr>
        <w:t xml:space="preserve"> the regulatory reforms in the Canadian politico-administrative system </w:t>
      </w:r>
      <w:r w:rsidR="001B5903" w:rsidRPr="00252C01">
        <w:rPr>
          <w:color w:val="000000"/>
          <w:sz w:val="20"/>
        </w:rPr>
        <w:t>[2</w:t>
      </w:r>
      <w:r w:rsidR="00FF7AB4">
        <w:rPr>
          <w:color w:val="000000"/>
          <w:sz w:val="20"/>
        </w:rPr>
        <w:t>1</w:t>
      </w:r>
      <w:r w:rsidR="001B5903" w:rsidRPr="00252C01">
        <w:rPr>
          <w:color w:val="000000"/>
          <w:sz w:val="20"/>
        </w:rPr>
        <w:t>]</w:t>
      </w:r>
      <w:r w:rsidRPr="00252C01">
        <w:rPr>
          <w:color w:val="000000"/>
          <w:sz w:val="20"/>
        </w:rPr>
        <w:t>, in</w:t>
      </w:r>
      <w:r w:rsidR="00BB1BE5">
        <w:rPr>
          <w:color w:val="000000"/>
          <w:sz w:val="20"/>
        </w:rPr>
        <w:t>itia</w:t>
      </w:r>
      <w:r w:rsidRPr="00252C01">
        <w:rPr>
          <w:color w:val="000000"/>
          <w:sz w:val="20"/>
        </w:rPr>
        <w:t>ted by</w:t>
      </w:r>
      <w:r w:rsidRPr="00252C01">
        <w:rPr>
          <w:sz w:val="20"/>
        </w:rPr>
        <w:t xml:space="preserve"> the </w:t>
      </w:r>
      <w:r w:rsidRPr="00252C01">
        <w:rPr>
          <w:color w:val="000000"/>
          <w:sz w:val="20"/>
        </w:rPr>
        <w:t>Conservative Harper government that took power in 2008.</w:t>
      </w:r>
      <w:r w:rsidRPr="00252C01">
        <w:rPr>
          <w:sz w:val="20"/>
        </w:rPr>
        <w:t xml:space="preserve"> </w:t>
      </w:r>
      <w:r w:rsidR="00BB1BE5">
        <w:rPr>
          <w:sz w:val="20"/>
        </w:rPr>
        <w:t>Harper government’s</w:t>
      </w:r>
      <w:r w:rsidR="00BB1BE5" w:rsidRPr="00252C01">
        <w:rPr>
          <w:sz w:val="20"/>
        </w:rPr>
        <w:t xml:space="preserve"> </w:t>
      </w:r>
      <w:r w:rsidRPr="00252C01">
        <w:rPr>
          <w:sz w:val="20"/>
        </w:rPr>
        <w:t>reforms, described by Kinney as</w:t>
      </w:r>
      <w:r w:rsidRPr="00252C01">
        <w:rPr>
          <w:color w:val="000000"/>
          <w:sz w:val="20"/>
        </w:rPr>
        <w:t xml:space="preserve"> </w:t>
      </w:r>
      <w:r w:rsidRPr="00252C01">
        <w:rPr>
          <w:sz w:val="20"/>
        </w:rPr>
        <w:t>“</w:t>
      </w:r>
      <w:r w:rsidRPr="00252C01">
        <w:rPr>
          <w:color w:val="000000"/>
          <w:sz w:val="20"/>
        </w:rPr>
        <w:t>policy dismantling</w:t>
      </w:r>
      <w:r w:rsidRPr="00252C01">
        <w:rPr>
          <w:sz w:val="20"/>
        </w:rPr>
        <w:t>”</w:t>
      </w:r>
      <w:r w:rsidRPr="00252C01">
        <w:rPr>
          <w:color w:val="000000"/>
          <w:sz w:val="20"/>
        </w:rPr>
        <w:t>,</w:t>
      </w:r>
      <w:r w:rsidRPr="00252C01">
        <w:rPr>
          <w:color w:val="000000"/>
          <w:sz w:val="20"/>
          <w:vertAlign w:val="superscript"/>
        </w:rPr>
        <w:footnoteReference w:id="4"/>
      </w:r>
      <w:r w:rsidRPr="00252C01">
        <w:rPr>
          <w:sz w:val="20"/>
        </w:rPr>
        <w:t xml:space="preserve"> fuelled accusations of regulatory capture</w:t>
      </w:r>
      <w:r w:rsidR="00A0764A" w:rsidRPr="00252C01">
        <w:rPr>
          <w:sz w:val="20"/>
        </w:rPr>
        <w:t xml:space="preserve"> [2</w:t>
      </w:r>
      <w:r w:rsidR="00FF7AB4">
        <w:rPr>
          <w:sz w:val="20"/>
        </w:rPr>
        <w:t>2</w:t>
      </w:r>
      <w:r w:rsidR="00A0764A" w:rsidRPr="00252C01">
        <w:rPr>
          <w:sz w:val="20"/>
        </w:rPr>
        <w:t>]</w:t>
      </w:r>
      <w:r w:rsidRPr="00252C01">
        <w:rPr>
          <w:sz w:val="20"/>
        </w:rPr>
        <w:t xml:space="preserve">. Demands for nuclear regulation reforms, e.g. to facilitate the licensing of new technologies, were voiced already during the previous wave of interest in SMRs, in the late ‘00s. In 2008, the CNSC introduced pre-licensing vendor design review (VDR) as an optional step helping the vendor to prepare for the actual licensing process by providing a preliminary assessment of the design. </w:t>
      </w:r>
    </w:p>
    <w:p w14:paraId="01127B93" w14:textId="218D6CDC" w:rsidR="00AA5335" w:rsidRPr="00252C01" w:rsidRDefault="00356605" w:rsidP="00356605">
      <w:pPr>
        <w:pBdr>
          <w:top w:val="nil"/>
          <w:left w:val="nil"/>
          <w:bottom w:val="nil"/>
          <w:right w:val="nil"/>
          <w:between w:val="nil"/>
        </w:pBdr>
        <w:spacing w:line="276" w:lineRule="auto"/>
        <w:ind w:firstLine="567"/>
        <w:jc w:val="both"/>
        <w:rPr>
          <w:sz w:val="20"/>
        </w:rPr>
      </w:pPr>
      <w:r w:rsidRPr="00252C01">
        <w:rPr>
          <w:sz w:val="20"/>
        </w:rPr>
        <w:t xml:space="preserve">By </w:t>
      </w:r>
      <w:r w:rsidRPr="00252C01">
        <w:rPr>
          <w:color w:val="000000"/>
          <w:sz w:val="20"/>
        </w:rPr>
        <w:t>the early 2010s</w:t>
      </w:r>
      <w:r w:rsidRPr="00252C01">
        <w:rPr>
          <w:sz w:val="20"/>
        </w:rPr>
        <w:t>,</w:t>
      </w:r>
      <w:r w:rsidRPr="00252C01">
        <w:rPr>
          <w:color w:val="000000"/>
          <w:sz w:val="20"/>
        </w:rPr>
        <w:t xml:space="preserve"> the CNSC had already made significant progress in identifying key challenges </w:t>
      </w:r>
      <w:r w:rsidR="00BB1BE5">
        <w:rPr>
          <w:color w:val="000000"/>
          <w:sz w:val="20"/>
        </w:rPr>
        <w:t xml:space="preserve">for </w:t>
      </w:r>
      <w:r w:rsidRPr="00252C01">
        <w:rPr>
          <w:sz w:val="20"/>
        </w:rPr>
        <w:t xml:space="preserve">SMR regulation </w:t>
      </w:r>
      <w:r w:rsidR="00A0764A" w:rsidRPr="00252C01">
        <w:rPr>
          <w:sz w:val="20"/>
        </w:rPr>
        <w:t>[2</w:t>
      </w:r>
      <w:r w:rsidR="00FF7AB4">
        <w:rPr>
          <w:sz w:val="20"/>
        </w:rPr>
        <w:t>3</w:t>
      </w:r>
      <w:r w:rsidR="00A0764A" w:rsidRPr="00252C01">
        <w:rPr>
          <w:sz w:val="20"/>
        </w:rPr>
        <w:t>]</w:t>
      </w:r>
      <w:r w:rsidRPr="00252C01">
        <w:rPr>
          <w:sz w:val="20"/>
        </w:rPr>
        <w:t>.</w:t>
      </w:r>
      <w:r w:rsidRPr="00252C01">
        <w:rPr>
          <w:color w:val="000000"/>
          <w:sz w:val="20"/>
        </w:rPr>
        <w:t xml:space="preserve"> </w:t>
      </w:r>
      <w:r w:rsidRPr="00252C01">
        <w:rPr>
          <w:sz w:val="20"/>
        </w:rPr>
        <w:t xml:space="preserve">The subsequent reforms, undertaken in consultation with industry and stakeholders since 2016, have closely followed industry demands </w:t>
      </w:r>
      <w:r w:rsidRPr="00252C01">
        <w:rPr>
          <w:color w:val="000000"/>
          <w:sz w:val="20"/>
        </w:rPr>
        <w:t>to expedite and facilitate the possible deployment of SMRs and m</w:t>
      </w:r>
      <w:r w:rsidR="00AE472C">
        <w:rPr>
          <w:color w:val="000000"/>
          <w:sz w:val="20"/>
        </w:rPr>
        <w:t>ake regulation</w:t>
      </w:r>
      <w:r w:rsidRPr="00252C01">
        <w:rPr>
          <w:color w:val="000000"/>
          <w:sz w:val="20"/>
        </w:rPr>
        <w:t xml:space="preserve"> more technology-neutral and performance-oriented </w:t>
      </w:r>
      <w:r w:rsidR="00A0764A" w:rsidRPr="00252C01">
        <w:rPr>
          <w:color w:val="000000"/>
          <w:sz w:val="20"/>
        </w:rPr>
        <w:t>[7</w:t>
      </w:r>
      <w:r w:rsidRPr="00252C01">
        <w:rPr>
          <w:color w:val="000000"/>
          <w:sz w:val="20"/>
        </w:rPr>
        <w:t>,</w:t>
      </w:r>
      <w:r w:rsidR="00A0764A" w:rsidRPr="00252C01">
        <w:rPr>
          <w:color w:val="000000"/>
          <w:sz w:val="20"/>
        </w:rPr>
        <w:t xml:space="preserve"> 1</w:t>
      </w:r>
      <w:r w:rsidR="00FF7AB4">
        <w:rPr>
          <w:color w:val="000000"/>
          <w:sz w:val="20"/>
        </w:rPr>
        <w:t>9</w:t>
      </w:r>
      <w:r w:rsidR="00A0764A" w:rsidRPr="00252C01">
        <w:rPr>
          <w:color w:val="000000"/>
          <w:sz w:val="20"/>
        </w:rPr>
        <w:t>]</w:t>
      </w:r>
      <w:r w:rsidRPr="00252C01">
        <w:rPr>
          <w:sz w:val="20"/>
        </w:rPr>
        <w:t>. Th</w:t>
      </w:r>
      <w:r w:rsidR="00AE472C">
        <w:rPr>
          <w:sz w:val="20"/>
        </w:rPr>
        <w:t>e</w:t>
      </w:r>
      <w:r w:rsidRPr="00252C01">
        <w:rPr>
          <w:sz w:val="20"/>
        </w:rPr>
        <w:t xml:space="preserve"> adopt</w:t>
      </w:r>
      <w:r w:rsidR="00AE472C">
        <w:rPr>
          <w:sz w:val="20"/>
        </w:rPr>
        <w:t>ed</w:t>
      </w:r>
      <w:r w:rsidRPr="00252C01">
        <w:rPr>
          <w:sz w:val="20"/>
        </w:rPr>
        <w:t xml:space="preserve"> “</w:t>
      </w:r>
      <w:r w:rsidRPr="00252C01">
        <w:rPr>
          <w:color w:val="000000"/>
          <w:sz w:val="20"/>
        </w:rPr>
        <w:t>graded approach</w:t>
      </w:r>
      <w:r w:rsidRPr="00252C01">
        <w:rPr>
          <w:sz w:val="20"/>
        </w:rPr>
        <w:t>”</w:t>
      </w:r>
      <w:r w:rsidR="00F13913">
        <w:rPr>
          <w:sz w:val="20"/>
        </w:rPr>
        <w:t xml:space="preserve">, </w:t>
      </w:r>
      <w:r w:rsidR="00F13913">
        <w:rPr>
          <w:color w:val="000000"/>
          <w:sz w:val="20"/>
        </w:rPr>
        <w:t xml:space="preserve">commensurate with risk is used for the application of rules and regulations, </w:t>
      </w:r>
      <w:r w:rsidRPr="00252C01">
        <w:rPr>
          <w:sz w:val="20"/>
        </w:rPr>
        <w:t>allow</w:t>
      </w:r>
      <w:r w:rsidR="00AE472C">
        <w:rPr>
          <w:sz w:val="20"/>
        </w:rPr>
        <w:t>s</w:t>
      </w:r>
      <w:r w:rsidRPr="00252C01">
        <w:rPr>
          <w:color w:val="000000"/>
          <w:sz w:val="20"/>
        </w:rPr>
        <w:t xml:space="preserve"> the applicants to propose alternative methods for meeting regulatory requirements, provided they ensure an ‘equivalent or superior level of safety</w:t>
      </w:r>
      <w:r w:rsidRPr="00252C01">
        <w:rPr>
          <w:sz w:val="20"/>
        </w:rPr>
        <w:t>’</w:t>
      </w:r>
      <w:r w:rsidRPr="00252C01">
        <w:rPr>
          <w:color w:val="000000"/>
          <w:sz w:val="20"/>
        </w:rPr>
        <w:t xml:space="preserve"> </w:t>
      </w:r>
      <w:r w:rsidR="00A0764A" w:rsidRPr="00252C01">
        <w:rPr>
          <w:color w:val="000000"/>
          <w:sz w:val="20"/>
        </w:rPr>
        <w:t>[2</w:t>
      </w:r>
      <w:r w:rsidR="00FF7AB4">
        <w:rPr>
          <w:color w:val="000000"/>
          <w:sz w:val="20"/>
        </w:rPr>
        <w:t>0</w:t>
      </w:r>
      <w:r w:rsidR="00A0764A" w:rsidRPr="00252C01">
        <w:rPr>
          <w:color w:val="000000"/>
          <w:sz w:val="20"/>
        </w:rPr>
        <w:t>]</w:t>
      </w:r>
      <w:r w:rsidRPr="00252C01">
        <w:rPr>
          <w:color w:val="000000"/>
          <w:sz w:val="20"/>
        </w:rPr>
        <w:t>.</w:t>
      </w:r>
      <w:r w:rsidRPr="00252C01">
        <w:rPr>
          <w:sz w:val="20"/>
        </w:rPr>
        <w:t xml:space="preserve"> </w:t>
      </w:r>
      <w:r w:rsidRPr="00252C01">
        <w:rPr>
          <w:color w:val="000000"/>
          <w:sz w:val="20"/>
        </w:rPr>
        <w:t>The 2018 Roadmap recommended restricting the application of federal environmental impact assessment legislation, incorporat</w:t>
      </w:r>
      <w:r w:rsidRPr="00252C01">
        <w:rPr>
          <w:sz w:val="20"/>
        </w:rPr>
        <w:t>ing</w:t>
      </w:r>
      <w:r w:rsidRPr="00252C01">
        <w:rPr>
          <w:color w:val="000000"/>
          <w:sz w:val="20"/>
        </w:rPr>
        <w:t xml:space="preserve"> new waste streams into existing radioactive waste management plans, and revising the accident liability </w:t>
      </w:r>
      <w:r w:rsidRPr="00252C01">
        <w:rPr>
          <w:sz w:val="20"/>
        </w:rPr>
        <w:t>schemes to provide certainty for</w:t>
      </w:r>
      <w:r w:rsidRPr="00252C01">
        <w:rPr>
          <w:color w:val="000000"/>
          <w:sz w:val="20"/>
        </w:rPr>
        <w:t xml:space="preserve"> operators and suppliers </w:t>
      </w:r>
      <w:r w:rsidR="00A0764A" w:rsidRPr="00252C01">
        <w:rPr>
          <w:color w:val="000000"/>
          <w:sz w:val="20"/>
        </w:rPr>
        <w:t>[18]</w:t>
      </w:r>
      <w:r w:rsidRPr="00252C01">
        <w:rPr>
          <w:color w:val="000000"/>
          <w:sz w:val="20"/>
        </w:rPr>
        <w:t>.</w:t>
      </w:r>
      <w:r w:rsidRPr="00252C01">
        <w:rPr>
          <w:sz w:val="20"/>
        </w:rPr>
        <w:t xml:space="preserve"> The</w:t>
      </w:r>
      <w:r w:rsidRPr="00252C01">
        <w:rPr>
          <w:color w:val="000000"/>
          <w:sz w:val="20"/>
        </w:rPr>
        <w:t xml:space="preserve"> new IAA</w:t>
      </w:r>
      <w:r w:rsidRPr="00252C01">
        <w:rPr>
          <w:sz w:val="20"/>
        </w:rPr>
        <w:t xml:space="preserve"> exempted from federal impact assessment nuclear </w:t>
      </w:r>
      <w:r w:rsidRPr="00252C01">
        <w:rPr>
          <w:color w:val="000000"/>
          <w:sz w:val="20"/>
        </w:rPr>
        <w:t xml:space="preserve">reactors </w:t>
      </w:r>
      <w:r w:rsidRPr="00252C01">
        <w:rPr>
          <w:sz w:val="20"/>
        </w:rPr>
        <w:t xml:space="preserve">of less than 200 </w:t>
      </w:r>
      <w:proofErr w:type="spellStart"/>
      <w:r w:rsidRPr="00252C01">
        <w:rPr>
          <w:sz w:val="20"/>
        </w:rPr>
        <w:t>MWth</w:t>
      </w:r>
      <w:proofErr w:type="spellEnd"/>
      <w:r w:rsidRPr="00252C01">
        <w:rPr>
          <w:sz w:val="20"/>
        </w:rPr>
        <w:t xml:space="preserve"> capacity on a greenfield site, and 900 </w:t>
      </w:r>
      <w:proofErr w:type="spellStart"/>
      <w:r w:rsidRPr="00252C01">
        <w:rPr>
          <w:sz w:val="20"/>
        </w:rPr>
        <w:t>MWth</w:t>
      </w:r>
      <w:proofErr w:type="spellEnd"/>
      <w:r w:rsidRPr="00252C01">
        <w:rPr>
          <w:sz w:val="20"/>
        </w:rPr>
        <w:t xml:space="preserve"> on an existing nuclear site </w:t>
      </w:r>
      <w:r w:rsidR="00A0764A" w:rsidRPr="00252C01">
        <w:rPr>
          <w:color w:val="000000"/>
          <w:sz w:val="20"/>
        </w:rPr>
        <w:t>[</w:t>
      </w:r>
      <w:r w:rsidR="001479F5">
        <w:rPr>
          <w:color w:val="000000"/>
          <w:sz w:val="20"/>
        </w:rPr>
        <w:t xml:space="preserve">18, </w:t>
      </w:r>
      <w:r w:rsidR="00A0764A" w:rsidRPr="00252C01">
        <w:rPr>
          <w:color w:val="000000"/>
          <w:sz w:val="20"/>
        </w:rPr>
        <w:t>2</w:t>
      </w:r>
      <w:r w:rsidR="00C6117E">
        <w:rPr>
          <w:color w:val="000000"/>
          <w:sz w:val="20"/>
        </w:rPr>
        <w:t>4</w:t>
      </w:r>
      <w:r w:rsidR="00A0764A" w:rsidRPr="00252C01">
        <w:rPr>
          <w:color w:val="000000"/>
          <w:sz w:val="20"/>
        </w:rPr>
        <w:t>]</w:t>
      </w:r>
      <w:r w:rsidRPr="00252C01">
        <w:rPr>
          <w:sz w:val="20"/>
        </w:rPr>
        <w:t>.</w:t>
      </w:r>
    </w:p>
    <w:p w14:paraId="2FB97F41" w14:textId="0A36CDE2" w:rsidR="00356605" w:rsidRPr="00252C01" w:rsidRDefault="00356605" w:rsidP="00252C01">
      <w:pPr>
        <w:pBdr>
          <w:top w:val="nil"/>
          <w:left w:val="nil"/>
          <w:bottom w:val="nil"/>
          <w:right w:val="nil"/>
          <w:between w:val="nil"/>
        </w:pBdr>
        <w:spacing w:line="276" w:lineRule="auto"/>
        <w:ind w:firstLine="567"/>
        <w:jc w:val="both"/>
        <w:rPr>
          <w:color w:val="000000"/>
          <w:sz w:val="20"/>
        </w:rPr>
      </w:pPr>
      <w:r w:rsidRPr="00252C01">
        <w:rPr>
          <w:sz w:val="20"/>
        </w:rPr>
        <w:t xml:space="preserve">In </w:t>
      </w:r>
      <w:r w:rsidRPr="00252C01">
        <w:rPr>
          <w:b/>
          <w:bCs/>
          <w:sz w:val="20"/>
        </w:rPr>
        <w:t>Finland</w:t>
      </w:r>
      <w:r w:rsidRPr="00252C01">
        <w:rPr>
          <w:sz w:val="20"/>
        </w:rPr>
        <w:t xml:space="preserve">, the regulatory reforms are still at an early stage. Already before the latest reform of the </w:t>
      </w:r>
      <w:r w:rsidRPr="00252C01">
        <w:rPr>
          <w:color w:val="000000"/>
          <w:sz w:val="20"/>
        </w:rPr>
        <w:t xml:space="preserve">Nuclear Energy Act was finalised </w:t>
      </w:r>
      <w:r w:rsidRPr="00252C01">
        <w:rPr>
          <w:sz w:val="20"/>
        </w:rPr>
        <w:t>in 2018</w:t>
      </w:r>
      <w:r w:rsidR="00A0764A" w:rsidRPr="00252C01">
        <w:rPr>
          <w:color w:val="000000"/>
          <w:sz w:val="20"/>
        </w:rPr>
        <w:t xml:space="preserve"> [1</w:t>
      </w:r>
      <w:r w:rsidR="00FF7AB4">
        <w:rPr>
          <w:color w:val="000000"/>
          <w:sz w:val="20"/>
        </w:rPr>
        <w:t>7</w:t>
      </w:r>
      <w:r w:rsidR="00A0764A" w:rsidRPr="00252C01">
        <w:rPr>
          <w:color w:val="000000"/>
          <w:sz w:val="20"/>
        </w:rPr>
        <w:t>]</w:t>
      </w:r>
      <w:r w:rsidRPr="00252C01">
        <w:rPr>
          <w:sz w:val="20"/>
        </w:rPr>
        <w:t xml:space="preserve">, </w:t>
      </w:r>
      <w:proofErr w:type="spellStart"/>
      <w:r w:rsidRPr="00252C01">
        <w:rPr>
          <w:color w:val="000000"/>
          <w:sz w:val="20"/>
        </w:rPr>
        <w:t>Skön</w:t>
      </w:r>
      <w:proofErr w:type="spellEnd"/>
      <w:r w:rsidRPr="00252C01">
        <w:rPr>
          <w:color w:val="000000"/>
          <w:sz w:val="20"/>
        </w:rPr>
        <w:t xml:space="preserve"> and </w:t>
      </w:r>
      <w:proofErr w:type="spellStart"/>
      <w:r w:rsidRPr="00252C01">
        <w:rPr>
          <w:color w:val="000000"/>
          <w:sz w:val="20"/>
        </w:rPr>
        <w:t>Alm-Lytz</w:t>
      </w:r>
      <w:proofErr w:type="spellEnd"/>
      <w:r w:rsidRPr="00252C01">
        <w:rPr>
          <w:color w:val="000000"/>
          <w:sz w:val="20"/>
        </w:rPr>
        <w:t xml:space="preserve"> </w:t>
      </w:r>
      <w:r w:rsidR="00C6117E" w:rsidRPr="00252C01">
        <w:rPr>
          <w:color w:val="000000"/>
          <w:sz w:val="20"/>
        </w:rPr>
        <w:t>[2</w:t>
      </w:r>
      <w:r w:rsidR="00FF7AB4">
        <w:rPr>
          <w:color w:val="000000"/>
          <w:sz w:val="20"/>
        </w:rPr>
        <w:t>5</w:t>
      </w:r>
      <w:r w:rsidR="00C6117E" w:rsidRPr="00252C01">
        <w:rPr>
          <w:color w:val="000000"/>
          <w:sz w:val="20"/>
        </w:rPr>
        <w:t>]</w:t>
      </w:r>
      <w:r w:rsidRPr="00252C01">
        <w:rPr>
          <w:color w:val="000000"/>
          <w:sz w:val="20"/>
        </w:rPr>
        <w:t xml:space="preserve"> anticipated that </w:t>
      </w:r>
      <w:r w:rsidRPr="00252C01">
        <w:rPr>
          <w:sz w:val="20"/>
        </w:rPr>
        <w:t xml:space="preserve">a new reform would soon be needed, </w:t>
      </w:r>
      <w:r w:rsidR="00961CB2">
        <w:rPr>
          <w:sz w:val="20"/>
        </w:rPr>
        <w:t xml:space="preserve">for </w:t>
      </w:r>
      <w:r w:rsidR="00961CB2" w:rsidRPr="009E3815">
        <w:rPr>
          <w:sz w:val="20"/>
        </w:rPr>
        <w:t>instance</w:t>
      </w:r>
      <w:r w:rsidR="00F80E9C" w:rsidRPr="009E3815">
        <w:rPr>
          <w:sz w:val="20"/>
        </w:rPr>
        <w:t xml:space="preserve"> for </w:t>
      </w:r>
      <w:r w:rsidRPr="009E3815">
        <w:rPr>
          <w:sz w:val="20"/>
        </w:rPr>
        <w:t>the licensing of new nuclear technologies</w:t>
      </w:r>
      <w:r w:rsidRPr="009E3815">
        <w:rPr>
          <w:color w:val="000000"/>
          <w:sz w:val="20"/>
        </w:rPr>
        <w:t>.</w:t>
      </w:r>
      <w:r w:rsidRPr="009E3815">
        <w:rPr>
          <w:sz w:val="20"/>
        </w:rPr>
        <w:t xml:space="preserve"> </w:t>
      </w:r>
      <w:r w:rsidR="00F80E9C" w:rsidRPr="009E3815">
        <w:rPr>
          <w:sz w:val="20"/>
        </w:rPr>
        <w:t xml:space="preserve">Already in 2016, </w:t>
      </w:r>
      <w:r w:rsidRPr="009E3815">
        <w:rPr>
          <w:sz w:val="20"/>
        </w:rPr>
        <w:t>SMR advocates such as t</w:t>
      </w:r>
      <w:r w:rsidRPr="009E3815">
        <w:rPr>
          <w:color w:val="000000"/>
          <w:sz w:val="20"/>
        </w:rPr>
        <w:t xml:space="preserve">he </w:t>
      </w:r>
      <w:r w:rsidRPr="009B20A8">
        <w:rPr>
          <w:color w:val="000000"/>
          <w:sz w:val="20"/>
        </w:rPr>
        <w:t xml:space="preserve">Ecomodernist Society of Finland </w:t>
      </w:r>
      <w:r w:rsidR="009E3815" w:rsidRPr="009E3815">
        <w:rPr>
          <w:color w:val="000000"/>
          <w:sz w:val="20"/>
        </w:rPr>
        <w:t>[</w:t>
      </w:r>
      <w:r w:rsidR="009E3815">
        <w:rPr>
          <w:color w:val="000000"/>
          <w:sz w:val="20"/>
        </w:rPr>
        <w:t>4</w:t>
      </w:r>
      <w:r w:rsidR="00707355">
        <w:rPr>
          <w:color w:val="000000"/>
          <w:sz w:val="20"/>
        </w:rPr>
        <w:t>5</w:t>
      </w:r>
      <w:r w:rsidR="009E3815" w:rsidRPr="00252C01">
        <w:rPr>
          <w:color w:val="000000"/>
          <w:sz w:val="20"/>
        </w:rPr>
        <w:t>]</w:t>
      </w:r>
      <w:r w:rsidR="009E3815" w:rsidRPr="00252C01">
        <w:rPr>
          <w:sz w:val="20"/>
        </w:rPr>
        <w:t xml:space="preserve">, </w:t>
      </w:r>
      <w:r w:rsidRPr="00252C01">
        <w:rPr>
          <w:sz w:val="20"/>
        </w:rPr>
        <w:t xml:space="preserve">had called </w:t>
      </w:r>
      <w:r w:rsidR="00F80E9C">
        <w:rPr>
          <w:sz w:val="20"/>
        </w:rPr>
        <w:t xml:space="preserve">for </w:t>
      </w:r>
      <w:r w:rsidRPr="00252C01">
        <w:rPr>
          <w:sz w:val="20"/>
        </w:rPr>
        <w:t>reform</w:t>
      </w:r>
      <w:r w:rsidR="00F80E9C">
        <w:rPr>
          <w:sz w:val="20"/>
        </w:rPr>
        <w:t>s</w:t>
      </w:r>
      <w:r w:rsidRPr="00252C01">
        <w:rPr>
          <w:sz w:val="20"/>
        </w:rPr>
        <w:t xml:space="preserve"> to render licensing “</w:t>
      </w:r>
      <w:r w:rsidRPr="00252C01">
        <w:rPr>
          <w:color w:val="000000"/>
          <w:sz w:val="20"/>
        </w:rPr>
        <w:t>much more efficient, much lighter and faster than today</w:t>
      </w:r>
      <w:r w:rsidRPr="00252C01">
        <w:rPr>
          <w:sz w:val="20"/>
        </w:rPr>
        <w:t>”</w:t>
      </w:r>
      <w:r w:rsidRPr="00252C01">
        <w:rPr>
          <w:color w:val="000000"/>
          <w:sz w:val="20"/>
        </w:rPr>
        <w:t xml:space="preserve">. </w:t>
      </w:r>
      <w:r w:rsidR="00F80E9C">
        <w:rPr>
          <w:sz w:val="20"/>
        </w:rPr>
        <w:t>S</w:t>
      </w:r>
      <w:r w:rsidRPr="00252C01">
        <w:rPr>
          <w:sz w:val="20"/>
        </w:rPr>
        <w:t xml:space="preserve">enior MEAE officials </w:t>
      </w:r>
      <w:r w:rsidR="009E3815" w:rsidRPr="009E3815">
        <w:rPr>
          <w:color w:val="000000"/>
          <w:sz w:val="20"/>
        </w:rPr>
        <w:t>[</w:t>
      </w:r>
      <w:r w:rsidR="009E3815">
        <w:rPr>
          <w:color w:val="000000"/>
          <w:sz w:val="20"/>
        </w:rPr>
        <w:t>4</w:t>
      </w:r>
      <w:r w:rsidR="00707355">
        <w:rPr>
          <w:color w:val="000000"/>
          <w:sz w:val="20"/>
        </w:rPr>
        <w:t>6</w:t>
      </w:r>
      <w:r w:rsidR="009E3815" w:rsidRPr="00252C01">
        <w:rPr>
          <w:color w:val="000000"/>
          <w:sz w:val="20"/>
        </w:rPr>
        <w:t>]</w:t>
      </w:r>
      <w:r w:rsidR="009E3815" w:rsidRPr="00252C01">
        <w:rPr>
          <w:sz w:val="20"/>
        </w:rPr>
        <w:t xml:space="preserve"> </w:t>
      </w:r>
      <w:r w:rsidRPr="00252C01">
        <w:rPr>
          <w:sz w:val="20"/>
        </w:rPr>
        <w:t>also called for analysis o</w:t>
      </w:r>
      <w:r w:rsidR="00F80E9C">
        <w:rPr>
          <w:sz w:val="20"/>
        </w:rPr>
        <w:t>n</w:t>
      </w:r>
      <w:r w:rsidRPr="00252C01">
        <w:rPr>
          <w:sz w:val="20"/>
        </w:rPr>
        <w:t xml:space="preserve"> </w:t>
      </w:r>
      <w:r w:rsidR="00F80E9C">
        <w:rPr>
          <w:sz w:val="20"/>
        </w:rPr>
        <w:t xml:space="preserve">whether </w:t>
      </w:r>
      <w:r w:rsidRPr="00252C01">
        <w:rPr>
          <w:sz w:val="20"/>
        </w:rPr>
        <w:t>the emergency planning zones</w:t>
      </w:r>
      <w:r w:rsidR="00F80E9C">
        <w:rPr>
          <w:sz w:val="20"/>
        </w:rPr>
        <w:t xml:space="preserve"> might have to be revised</w:t>
      </w:r>
      <w:r w:rsidRPr="00252C01">
        <w:rPr>
          <w:sz w:val="20"/>
        </w:rPr>
        <w:t>, if SMRs</w:t>
      </w:r>
      <w:r w:rsidRPr="00252C01">
        <w:rPr>
          <w:color w:val="000000"/>
          <w:sz w:val="20"/>
        </w:rPr>
        <w:t xml:space="preserve"> for district heating</w:t>
      </w:r>
      <w:r w:rsidRPr="00252C01">
        <w:rPr>
          <w:sz w:val="20"/>
        </w:rPr>
        <w:t xml:space="preserve"> were to be sited </w:t>
      </w:r>
      <w:r w:rsidRPr="00252C01">
        <w:rPr>
          <w:color w:val="000000"/>
          <w:sz w:val="20"/>
        </w:rPr>
        <w:t xml:space="preserve">close to </w:t>
      </w:r>
      <w:r w:rsidR="00C81819" w:rsidRPr="00252C01">
        <w:rPr>
          <w:color w:val="000000"/>
          <w:sz w:val="20"/>
        </w:rPr>
        <w:t>dense</w:t>
      </w:r>
      <w:r w:rsidR="00C81819" w:rsidRPr="00252C01">
        <w:rPr>
          <w:sz w:val="20"/>
        </w:rPr>
        <w:t>ly populated</w:t>
      </w:r>
      <w:r w:rsidRPr="00252C01">
        <w:rPr>
          <w:color w:val="000000"/>
          <w:sz w:val="20"/>
        </w:rPr>
        <w:t xml:space="preserve"> </w:t>
      </w:r>
      <w:r w:rsidRPr="00252C01">
        <w:rPr>
          <w:color w:val="000000"/>
          <w:sz w:val="20"/>
        </w:rPr>
        <w:lastRenderedPageBreak/>
        <w:t xml:space="preserve">areas </w:t>
      </w:r>
      <w:r w:rsidR="00C81819" w:rsidRPr="00252C01">
        <w:rPr>
          <w:color w:val="000000"/>
          <w:sz w:val="20"/>
        </w:rPr>
        <w:t>[2</w:t>
      </w:r>
      <w:r w:rsidR="00707355">
        <w:rPr>
          <w:color w:val="000000"/>
          <w:sz w:val="20"/>
        </w:rPr>
        <w:t>6</w:t>
      </w:r>
      <w:r w:rsidR="00C81819" w:rsidRPr="00252C01">
        <w:rPr>
          <w:color w:val="000000"/>
          <w:sz w:val="20"/>
        </w:rPr>
        <w:t>]</w:t>
      </w:r>
      <w:r w:rsidRPr="00252C01">
        <w:rPr>
          <w:color w:val="000000"/>
          <w:sz w:val="20"/>
        </w:rPr>
        <w:t>.</w:t>
      </w:r>
      <w:r w:rsidRPr="00252C01">
        <w:rPr>
          <w:sz w:val="20"/>
        </w:rPr>
        <w:t xml:space="preserve"> Utility representatives, such as </w:t>
      </w:r>
      <w:r w:rsidRPr="00252C01">
        <w:rPr>
          <w:color w:val="000000"/>
          <w:sz w:val="20"/>
        </w:rPr>
        <w:t xml:space="preserve">Peter </w:t>
      </w:r>
      <w:proofErr w:type="spellStart"/>
      <w:r w:rsidRPr="00252C01">
        <w:rPr>
          <w:color w:val="000000"/>
          <w:sz w:val="20"/>
        </w:rPr>
        <w:t>Tuomisto</w:t>
      </w:r>
      <w:proofErr w:type="spellEnd"/>
      <w:r w:rsidRPr="00252C01">
        <w:rPr>
          <w:color w:val="000000"/>
          <w:sz w:val="20"/>
        </w:rPr>
        <w:t xml:space="preserve">, the </w:t>
      </w:r>
      <w:r w:rsidRPr="00252C01">
        <w:rPr>
          <w:sz w:val="20"/>
        </w:rPr>
        <w:t>d</w:t>
      </w:r>
      <w:r w:rsidRPr="00252C01">
        <w:rPr>
          <w:color w:val="000000"/>
          <w:sz w:val="20"/>
        </w:rPr>
        <w:t xml:space="preserve">irector of Fortum, </w:t>
      </w:r>
      <w:r w:rsidRPr="00252C01">
        <w:rPr>
          <w:sz w:val="20"/>
        </w:rPr>
        <w:t xml:space="preserve">blamed </w:t>
      </w:r>
      <w:r w:rsidRPr="00252C01">
        <w:rPr>
          <w:color w:val="000000"/>
          <w:sz w:val="20"/>
        </w:rPr>
        <w:t xml:space="preserve">the increasingly </w:t>
      </w:r>
      <w:r w:rsidRPr="00252C01">
        <w:rPr>
          <w:sz w:val="20"/>
        </w:rPr>
        <w:t>strict and detailed</w:t>
      </w:r>
      <w:r w:rsidRPr="00252C01">
        <w:rPr>
          <w:color w:val="000000"/>
          <w:sz w:val="20"/>
        </w:rPr>
        <w:t xml:space="preserve"> regulations, tailored to the Finnish conditions, </w:t>
      </w:r>
      <w:r w:rsidRPr="00252C01">
        <w:rPr>
          <w:sz w:val="20"/>
        </w:rPr>
        <w:t xml:space="preserve">for </w:t>
      </w:r>
      <w:r w:rsidR="00F80E9C">
        <w:rPr>
          <w:sz w:val="20"/>
        </w:rPr>
        <w:t>possibly hindering</w:t>
      </w:r>
      <w:r w:rsidRPr="00252C01">
        <w:rPr>
          <w:sz w:val="20"/>
        </w:rPr>
        <w:t xml:space="preserve"> the introduction of SMRs</w:t>
      </w:r>
      <w:r w:rsidRPr="00252C01">
        <w:rPr>
          <w:color w:val="000000"/>
          <w:sz w:val="20"/>
        </w:rPr>
        <w:t xml:space="preserve"> </w:t>
      </w:r>
      <w:r w:rsidR="00C81819" w:rsidRPr="00252C01">
        <w:rPr>
          <w:color w:val="000000"/>
          <w:sz w:val="20"/>
        </w:rPr>
        <w:t>[2</w:t>
      </w:r>
      <w:r w:rsidR="005B63D8">
        <w:rPr>
          <w:color w:val="000000"/>
          <w:sz w:val="20"/>
        </w:rPr>
        <w:t>7</w:t>
      </w:r>
      <w:r w:rsidR="00C81819" w:rsidRPr="00252C01">
        <w:rPr>
          <w:color w:val="000000"/>
          <w:sz w:val="20"/>
        </w:rPr>
        <w:t>].</w:t>
      </w:r>
    </w:p>
    <w:p w14:paraId="772DBC71" w14:textId="731B6CEE" w:rsidR="00356605" w:rsidRPr="00252C01" w:rsidRDefault="00356605" w:rsidP="005F4B78">
      <w:pPr>
        <w:pBdr>
          <w:top w:val="nil"/>
          <w:left w:val="nil"/>
          <w:bottom w:val="nil"/>
          <w:right w:val="nil"/>
          <w:between w:val="nil"/>
        </w:pBdr>
        <w:spacing w:line="276" w:lineRule="auto"/>
        <w:ind w:firstLine="567"/>
        <w:jc w:val="both"/>
        <w:rPr>
          <w:color w:val="000000"/>
          <w:sz w:val="20"/>
        </w:rPr>
      </w:pPr>
      <w:r w:rsidRPr="00252C01">
        <w:rPr>
          <w:sz w:val="20"/>
        </w:rPr>
        <w:t>On</w:t>
      </w:r>
      <w:r w:rsidRPr="00252C01">
        <w:rPr>
          <w:color w:val="000000"/>
          <w:sz w:val="20"/>
        </w:rPr>
        <w:t xml:space="preserve"> 9 October 2019, the Advisory Board on Nuclear Safety issue</w:t>
      </w:r>
      <w:r w:rsidR="00F80E9C">
        <w:rPr>
          <w:color w:val="000000"/>
          <w:sz w:val="20"/>
        </w:rPr>
        <w:t>d</w:t>
      </w:r>
      <w:r w:rsidRPr="00252C01">
        <w:rPr>
          <w:color w:val="000000"/>
          <w:sz w:val="20"/>
        </w:rPr>
        <w:t xml:space="preserve"> a statement on the development needs of SMRs in Finland</w:t>
      </w:r>
      <w:r w:rsidRPr="00252C01">
        <w:rPr>
          <w:sz w:val="20"/>
        </w:rPr>
        <w:t xml:space="preserve">, arguing that </w:t>
      </w:r>
      <w:r w:rsidRPr="00252C01">
        <w:rPr>
          <w:color w:val="000000"/>
          <w:sz w:val="20"/>
        </w:rPr>
        <w:t xml:space="preserve">"several countries see small modular reactors (SMRs) as a promising technology of the future", </w:t>
      </w:r>
      <w:r w:rsidR="000A6218">
        <w:rPr>
          <w:color w:val="000000"/>
          <w:sz w:val="20"/>
        </w:rPr>
        <w:t xml:space="preserve">with a potential to </w:t>
      </w:r>
      <w:r w:rsidRPr="00252C01">
        <w:rPr>
          <w:color w:val="000000"/>
          <w:sz w:val="20"/>
        </w:rPr>
        <w:t>help avoid the pro</w:t>
      </w:r>
      <w:r w:rsidRPr="00252C01">
        <w:rPr>
          <w:sz w:val="20"/>
        </w:rPr>
        <w:t xml:space="preserve">blems that have </w:t>
      </w:r>
      <w:r w:rsidR="000A6218">
        <w:rPr>
          <w:sz w:val="20"/>
        </w:rPr>
        <w:t xml:space="preserve">in recent decades </w:t>
      </w:r>
      <w:r w:rsidRPr="00252C01">
        <w:rPr>
          <w:sz w:val="20"/>
        </w:rPr>
        <w:t xml:space="preserve">plagued Western nuclear projects, improve the </w:t>
      </w:r>
      <w:r w:rsidR="000A6218">
        <w:rPr>
          <w:sz w:val="20"/>
        </w:rPr>
        <w:t>competitiveness</w:t>
      </w:r>
      <w:r w:rsidR="000A6218" w:rsidRPr="00252C01">
        <w:rPr>
          <w:sz w:val="20"/>
        </w:rPr>
        <w:t xml:space="preserve"> </w:t>
      </w:r>
      <w:r w:rsidRPr="00252C01">
        <w:rPr>
          <w:sz w:val="20"/>
        </w:rPr>
        <w:t>of the industry, and “change the risk profile of nuclear energy”</w:t>
      </w:r>
      <w:r w:rsidRPr="00252C01">
        <w:rPr>
          <w:color w:val="000000"/>
          <w:sz w:val="20"/>
        </w:rPr>
        <w:t xml:space="preserve"> </w:t>
      </w:r>
      <w:r w:rsidR="00C81819" w:rsidRPr="00252C01">
        <w:rPr>
          <w:color w:val="000000"/>
          <w:sz w:val="20"/>
        </w:rPr>
        <w:t>[2</w:t>
      </w:r>
      <w:r w:rsidR="00707355">
        <w:rPr>
          <w:color w:val="000000"/>
          <w:sz w:val="20"/>
        </w:rPr>
        <w:t>7</w:t>
      </w:r>
      <w:r w:rsidR="00C81819" w:rsidRPr="00252C01">
        <w:rPr>
          <w:color w:val="000000"/>
          <w:sz w:val="20"/>
        </w:rPr>
        <w:t xml:space="preserve">]. </w:t>
      </w:r>
      <w:r w:rsidRPr="00252C01">
        <w:rPr>
          <w:sz w:val="20"/>
        </w:rPr>
        <w:t>The board considered that although possible in theory, l</w:t>
      </w:r>
      <w:r w:rsidRPr="00252C01">
        <w:rPr>
          <w:color w:val="000000"/>
          <w:sz w:val="20"/>
        </w:rPr>
        <w:t xml:space="preserve">icensing and construction of SMRs - especially for district heating - would in Finland </w:t>
      </w:r>
      <w:r w:rsidRPr="00252C01">
        <w:rPr>
          <w:sz w:val="20"/>
        </w:rPr>
        <w:t xml:space="preserve">be very difficult </w:t>
      </w:r>
      <w:r w:rsidRPr="00252C01">
        <w:rPr>
          <w:color w:val="000000"/>
          <w:sz w:val="20"/>
        </w:rPr>
        <w:t>under the current legislation</w:t>
      </w:r>
      <w:r w:rsidRPr="00252C01">
        <w:rPr>
          <w:sz w:val="20"/>
        </w:rPr>
        <w:t xml:space="preserve"> </w:t>
      </w:r>
      <w:r w:rsidR="000A6218" w:rsidRPr="00252C01">
        <w:rPr>
          <w:color w:val="000000"/>
          <w:sz w:val="20"/>
        </w:rPr>
        <w:t>[2</w:t>
      </w:r>
      <w:r w:rsidR="00707355">
        <w:rPr>
          <w:color w:val="000000"/>
          <w:sz w:val="20"/>
        </w:rPr>
        <w:t>7</w:t>
      </w:r>
      <w:r w:rsidR="000A6218" w:rsidRPr="00252C01">
        <w:rPr>
          <w:color w:val="000000"/>
          <w:sz w:val="20"/>
        </w:rPr>
        <w:t>]</w:t>
      </w:r>
      <w:r w:rsidRPr="00252C01">
        <w:rPr>
          <w:color w:val="000000"/>
          <w:sz w:val="20"/>
        </w:rPr>
        <w:t>. The Board urged</w:t>
      </w:r>
      <w:r w:rsidRPr="00252C01">
        <w:rPr>
          <w:sz w:val="20"/>
        </w:rPr>
        <w:t xml:space="preserve"> the </w:t>
      </w:r>
      <w:r w:rsidRPr="00252C01">
        <w:rPr>
          <w:color w:val="000000"/>
          <w:sz w:val="20"/>
        </w:rPr>
        <w:t>MEAE to</w:t>
      </w:r>
      <w:r w:rsidRPr="00252C01">
        <w:rPr>
          <w:sz w:val="20"/>
        </w:rPr>
        <w:t xml:space="preserve"> prepare a </w:t>
      </w:r>
      <w:r w:rsidR="005F4B78">
        <w:rPr>
          <w:sz w:val="20"/>
        </w:rPr>
        <w:t xml:space="preserve">licensing </w:t>
      </w:r>
      <w:r w:rsidRPr="00252C01">
        <w:rPr>
          <w:sz w:val="20"/>
        </w:rPr>
        <w:t xml:space="preserve">reform, with </w:t>
      </w:r>
      <w:r w:rsidR="005F4B78">
        <w:rPr>
          <w:sz w:val="20"/>
        </w:rPr>
        <w:t>the</w:t>
      </w:r>
      <w:r w:rsidR="005F4B78" w:rsidRPr="00252C01">
        <w:rPr>
          <w:sz w:val="20"/>
        </w:rPr>
        <w:t xml:space="preserve"> </w:t>
      </w:r>
      <w:r w:rsidRPr="00252C01">
        <w:rPr>
          <w:sz w:val="20"/>
        </w:rPr>
        <w:t xml:space="preserve">aim to introduce </w:t>
      </w:r>
      <w:r w:rsidR="005F4B78">
        <w:rPr>
          <w:sz w:val="20"/>
        </w:rPr>
        <w:t xml:space="preserve">a </w:t>
      </w:r>
      <w:r w:rsidRPr="00252C01">
        <w:rPr>
          <w:color w:val="000000"/>
          <w:sz w:val="20"/>
        </w:rPr>
        <w:t>site licence</w:t>
      </w:r>
      <w:r w:rsidRPr="00252C01">
        <w:rPr>
          <w:color w:val="000000"/>
          <w:sz w:val="20"/>
          <w:vertAlign w:val="superscript"/>
        </w:rPr>
        <w:footnoteReference w:id="5"/>
      </w:r>
      <w:r w:rsidRPr="00252C01">
        <w:rPr>
          <w:color w:val="000000"/>
          <w:sz w:val="20"/>
        </w:rPr>
        <w:t xml:space="preserve"> and type approval of plant design,</w:t>
      </w:r>
      <w:r w:rsidRPr="00252C01">
        <w:rPr>
          <w:sz w:val="20"/>
        </w:rPr>
        <w:t xml:space="preserve"> </w:t>
      </w:r>
      <w:r w:rsidRPr="00252C01">
        <w:rPr>
          <w:color w:val="000000"/>
          <w:sz w:val="20"/>
        </w:rPr>
        <w:t>and to ensure</w:t>
      </w:r>
      <w:r w:rsidRPr="00252C01">
        <w:rPr>
          <w:sz w:val="20"/>
        </w:rPr>
        <w:t xml:space="preserve"> </w:t>
      </w:r>
      <w:r w:rsidRPr="00252C01">
        <w:rPr>
          <w:color w:val="000000"/>
          <w:sz w:val="20"/>
        </w:rPr>
        <w:t>domestic expertise for the deployment of SMRs</w:t>
      </w:r>
      <w:r w:rsidR="00AC27AE" w:rsidRPr="00252C01">
        <w:rPr>
          <w:color w:val="000000"/>
          <w:sz w:val="20"/>
        </w:rPr>
        <w:t xml:space="preserve"> [2</w:t>
      </w:r>
      <w:r w:rsidR="00707355">
        <w:rPr>
          <w:color w:val="000000"/>
          <w:sz w:val="20"/>
        </w:rPr>
        <w:t>7</w:t>
      </w:r>
      <w:r w:rsidR="00AC27AE" w:rsidRPr="00252C01">
        <w:rPr>
          <w:color w:val="000000"/>
          <w:sz w:val="20"/>
        </w:rPr>
        <w:t>]</w:t>
      </w:r>
      <w:r w:rsidRPr="00252C01">
        <w:rPr>
          <w:color w:val="000000"/>
          <w:sz w:val="20"/>
        </w:rPr>
        <w:t>.</w:t>
      </w:r>
      <w:r w:rsidRPr="00252C01">
        <w:rPr>
          <w:sz w:val="20"/>
        </w:rPr>
        <w:t xml:space="preserve"> It recommended that STUK examin</w:t>
      </w:r>
      <w:r w:rsidR="005F4B78">
        <w:rPr>
          <w:sz w:val="20"/>
        </w:rPr>
        <w:t>e, jointly with</w:t>
      </w:r>
      <w:r w:rsidRPr="00252C01">
        <w:rPr>
          <w:color w:val="000000"/>
          <w:sz w:val="20"/>
        </w:rPr>
        <w:t xml:space="preserve"> </w:t>
      </w:r>
      <w:r w:rsidR="005F4B78">
        <w:rPr>
          <w:color w:val="000000"/>
          <w:sz w:val="20"/>
        </w:rPr>
        <w:t xml:space="preserve">stakeholders, </w:t>
      </w:r>
      <w:r w:rsidRPr="00252C01">
        <w:rPr>
          <w:color w:val="000000"/>
          <w:sz w:val="20"/>
        </w:rPr>
        <w:t>the safety features of light-water SMRs;</w:t>
      </w:r>
      <w:r w:rsidRPr="00252C01">
        <w:rPr>
          <w:sz w:val="20"/>
        </w:rPr>
        <w:t xml:space="preserve"> prepar</w:t>
      </w:r>
      <w:r w:rsidR="005F4B78">
        <w:rPr>
          <w:sz w:val="20"/>
        </w:rPr>
        <w:t>e</w:t>
      </w:r>
      <w:r w:rsidRPr="00252C01">
        <w:rPr>
          <w:sz w:val="20"/>
        </w:rPr>
        <w:t xml:space="preserve"> to</w:t>
      </w:r>
      <w:r w:rsidRPr="00252C01">
        <w:rPr>
          <w:color w:val="000000"/>
          <w:sz w:val="20"/>
        </w:rPr>
        <w:t xml:space="preserve"> regulate the manufacturing of key plant components, structures and equipment</w:t>
      </w:r>
      <w:r w:rsidRPr="00252C01">
        <w:rPr>
          <w:sz w:val="20"/>
        </w:rPr>
        <w:t xml:space="preserve">; and draft regulations for SMRs concerning </w:t>
      </w:r>
      <w:r w:rsidR="005F4B78">
        <w:rPr>
          <w:sz w:val="20"/>
        </w:rPr>
        <w:t xml:space="preserve">the </w:t>
      </w:r>
      <w:r w:rsidRPr="00252C01">
        <w:rPr>
          <w:color w:val="000000"/>
          <w:sz w:val="20"/>
        </w:rPr>
        <w:t>defence in depth</w:t>
      </w:r>
      <w:r w:rsidRPr="00252C01">
        <w:rPr>
          <w:sz w:val="20"/>
        </w:rPr>
        <w:t>,</w:t>
      </w:r>
      <w:r w:rsidRPr="00252C01">
        <w:rPr>
          <w:color w:val="000000"/>
          <w:sz w:val="20"/>
        </w:rPr>
        <w:t xml:space="preserve"> </w:t>
      </w:r>
      <w:sdt>
        <w:sdtPr>
          <w:tag w:val="goog_rdk_32"/>
          <w:id w:val="-1556072181"/>
        </w:sdtPr>
        <w:sdtContent/>
      </w:sdt>
      <w:r w:rsidRPr="00252C01">
        <w:rPr>
          <w:color w:val="000000"/>
          <w:sz w:val="20"/>
        </w:rPr>
        <w:t>passive operati</w:t>
      </w:r>
      <w:r w:rsidRPr="00252C01">
        <w:rPr>
          <w:sz w:val="20"/>
        </w:rPr>
        <w:t>on of reactors</w:t>
      </w:r>
      <w:r w:rsidRPr="00252C01">
        <w:rPr>
          <w:color w:val="000000"/>
          <w:sz w:val="20"/>
        </w:rPr>
        <w:t>, and redefin</w:t>
      </w:r>
      <w:r w:rsidRPr="00252C01">
        <w:rPr>
          <w:sz w:val="20"/>
        </w:rPr>
        <w:t>ed</w:t>
      </w:r>
      <w:r w:rsidRPr="00252C01">
        <w:rPr>
          <w:color w:val="000000"/>
          <w:sz w:val="20"/>
        </w:rPr>
        <w:t xml:space="preserve"> </w:t>
      </w:r>
      <w:sdt>
        <w:sdtPr>
          <w:tag w:val="goog_rdk_33"/>
          <w:id w:val="-616064003"/>
        </w:sdtPr>
        <w:sdtContent/>
      </w:sdt>
      <w:r w:rsidR="00354395" w:rsidRPr="00252C01">
        <w:rPr>
          <w:color w:val="000000"/>
          <w:sz w:val="20"/>
        </w:rPr>
        <w:t xml:space="preserve">emergency </w:t>
      </w:r>
      <w:r w:rsidRPr="00252C01">
        <w:rPr>
          <w:color w:val="000000"/>
          <w:sz w:val="20"/>
        </w:rPr>
        <w:t xml:space="preserve">zones </w:t>
      </w:r>
      <w:r w:rsidR="00AC27AE" w:rsidRPr="00252C01">
        <w:rPr>
          <w:color w:val="000000"/>
          <w:sz w:val="20"/>
        </w:rPr>
        <w:t>[2</w:t>
      </w:r>
      <w:r w:rsidR="00707355">
        <w:rPr>
          <w:color w:val="000000"/>
          <w:sz w:val="20"/>
        </w:rPr>
        <w:t>7</w:t>
      </w:r>
      <w:r w:rsidR="00AC27AE" w:rsidRPr="00252C01">
        <w:rPr>
          <w:color w:val="000000"/>
          <w:sz w:val="20"/>
        </w:rPr>
        <w:t>]</w:t>
      </w:r>
      <w:r w:rsidRPr="00252C01">
        <w:rPr>
          <w:color w:val="000000"/>
          <w:sz w:val="20"/>
        </w:rPr>
        <w:t xml:space="preserve">. </w:t>
      </w:r>
      <w:r w:rsidR="005F4B78">
        <w:rPr>
          <w:color w:val="000000"/>
          <w:sz w:val="20"/>
        </w:rPr>
        <w:t xml:space="preserve">Soon after, </w:t>
      </w:r>
      <w:r w:rsidRPr="00252C01">
        <w:rPr>
          <w:sz w:val="20"/>
        </w:rPr>
        <w:t>29</w:t>
      </w:r>
      <w:r w:rsidRPr="00252C01">
        <w:rPr>
          <w:color w:val="000000"/>
          <w:sz w:val="20"/>
        </w:rPr>
        <w:t xml:space="preserve"> </w:t>
      </w:r>
      <w:r w:rsidRPr="00252C01">
        <w:rPr>
          <w:sz w:val="20"/>
        </w:rPr>
        <w:t>parliamentarians</w:t>
      </w:r>
      <w:r w:rsidRPr="00252C01">
        <w:rPr>
          <w:color w:val="000000"/>
          <w:sz w:val="20"/>
        </w:rPr>
        <w:t xml:space="preserve"> </w:t>
      </w:r>
      <w:r w:rsidR="005F4B78">
        <w:rPr>
          <w:color w:val="000000"/>
          <w:sz w:val="20"/>
        </w:rPr>
        <w:t xml:space="preserve">issued a motion </w:t>
      </w:r>
      <w:r w:rsidRPr="00252C01">
        <w:rPr>
          <w:color w:val="000000"/>
          <w:sz w:val="20"/>
        </w:rPr>
        <w:t>to promote the introduction of SMRs</w:t>
      </w:r>
      <w:r w:rsidR="005F4B78">
        <w:rPr>
          <w:color w:val="000000"/>
          <w:sz w:val="20"/>
        </w:rPr>
        <w:t>,</w:t>
      </w:r>
      <w:r w:rsidRPr="00252C01">
        <w:rPr>
          <w:color w:val="000000"/>
          <w:sz w:val="20"/>
        </w:rPr>
        <w:t xml:space="preserve"> </w:t>
      </w:r>
      <w:r w:rsidRPr="00252C01">
        <w:rPr>
          <w:sz w:val="20"/>
        </w:rPr>
        <w:t>call</w:t>
      </w:r>
      <w:r w:rsidR="005F4B78">
        <w:rPr>
          <w:sz w:val="20"/>
        </w:rPr>
        <w:t>ing</w:t>
      </w:r>
      <w:r w:rsidRPr="00252C01">
        <w:rPr>
          <w:sz w:val="20"/>
        </w:rPr>
        <w:t xml:space="preserve"> for </w:t>
      </w:r>
      <w:r w:rsidR="005F4B78">
        <w:rPr>
          <w:sz w:val="20"/>
        </w:rPr>
        <w:t>a</w:t>
      </w:r>
      <w:r w:rsidRPr="00252C01">
        <w:rPr>
          <w:color w:val="000000"/>
          <w:sz w:val="20"/>
        </w:rPr>
        <w:t xml:space="preserve"> </w:t>
      </w:r>
      <w:proofErr w:type="gramStart"/>
      <w:r w:rsidRPr="00252C01">
        <w:rPr>
          <w:color w:val="000000"/>
          <w:sz w:val="20"/>
        </w:rPr>
        <w:t>type</w:t>
      </w:r>
      <w:proofErr w:type="gramEnd"/>
      <w:r w:rsidRPr="00252C01">
        <w:rPr>
          <w:color w:val="000000"/>
          <w:sz w:val="20"/>
        </w:rPr>
        <w:t xml:space="preserve"> approval similar to the one applied </w:t>
      </w:r>
      <w:r w:rsidR="005F4B78">
        <w:rPr>
          <w:color w:val="000000"/>
          <w:sz w:val="20"/>
        </w:rPr>
        <w:t>for</w:t>
      </w:r>
      <w:r w:rsidR="005F4B78" w:rsidRPr="00252C01">
        <w:rPr>
          <w:color w:val="000000"/>
          <w:sz w:val="20"/>
        </w:rPr>
        <w:t xml:space="preserve"> </w:t>
      </w:r>
      <w:r w:rsidRPr="00252C01">
        <w:rPr>
          <w:color w:val="000000"/>
          <w:sz w:val="20"/>
        </w:rPr>
        <w:t>aircraft, licensing of reactors produced in series and for new applications</w:t>
      </w:r>
      <w:r w:rsidRPr="00252C01">
        <w:rPr>
          <w:sz w:val="20"/>
        </w:rPr>
        <w:t xml:space="preserve"> such as </w:t>
      </w:r>
      <w:r w:rsidRPr="00252C01">
        <w:rPr>
          <w:color w:val="000000"/>
          <w:sz w:val="20"/>
        </w:rPr>
        <w:t>district and industrial process heat production</w:t>
      </w:r>
      <w:r w:rsidR="00592390">
        <w:rPr>
          <w:color w:val="000000"/>
          <w:sz w:val="20"/>
        </w:rPr>
        <w:t xml:space="preserve"> </w:t>
      </w:r>
      <w:r w:rsidR="00592390" w:rsidRPr="00252C01">
        <w:rPr>
          <w:color w:val="000000"/>
          <w:sz w:val="20"/>
        </w:rPr>
        <w:t>[2</w:t>
      </w:r>
      <w:r w:rsidR="00707355">
        <w:rPr>
          <w:color w:val="000000"/>
          <w:sz w:val="20"/>
        </w:rPr>
        <w:t>8</w:t>
      </w:r>
      <w:r w:rsidR="00592390" w:rsidRPr="00252C01">
        <w:rPr>
          <w:color w:val="000000"/>
          <w:sz w:val="20"/>
        </w:rPr>
        <w:t>]</w:t>
      </w:r>
      <w:r w:rsidRPr="00252C01">
        <w:rPr>
          <w:color w:val="000000"/>
          <w:sz w:val="20"/>
        </w:rPr>
        <w:t>.</w:t>
      </w:r>
    </w:p>
    <w:p w14:paraId="26915BC4" w14:textId="02152F9A" w:rsidR="00356605" w:rsidRPr="00252C01" w:rsidRDefault="00356605" w:rsidP="00AA5335">
      <w:pPr>
        <w:pStyle w:val="BodyText"/>
      </w:pPr>
      <w:r w:rsidRPr="00252C01">
        <w:rPr>
          <w:color w:val="000000"/>
        </w:rPr>
        <w:t>The energy industry</w:t>
      </w:r>
      <w:r w:rsidR="00AC27AE" w:rsidRPr="00252C01">
        <w:rPr>
          <w:color w:val="000000"/>
        </w:rPr>
        <w:t xml:space="preserve"> [</w:t>
      </w:r>
      <w:r w:rsidR="00592390">
        <w:rPr>
          <w:color w:val="000000"/>
        </w:rPr>
        <w:t>3</w:t>
      </w:r>
      <w:r w:rsidR="00A37F07">
        <w:rPr>
          <w:color w:val="000000"/>
        </w:rPr>
        <w:t>1</w:t>
      </w:r>
      <w:r w:rsidR="00AC27AE" w:rsidRPr="00252C01">
        <w:rPr>
          <w:color w:val="000000"/>
        </w:rPr>
        <w:t>]</w:t>
      </w:r>
      <w:r w:rsidRPr="00252C01">
        <w:rPr>
          <w:color w:val="000000"/>
        </w:rPr>
        <w:t xml:space="preserve"> </w:t>
      </w:r>
      <w:r w:rsidR="00780AE9">
        <w:rPr>
          <w:color w:val="000000"/>
        </w:rPr>
        <w:t>asked</w:t>
      </w:r>
      <w:r w:rsidR="00780AE9" w:rsidRPr="00252C01">
        <w:rPr>
          <w:color w:val="000000"/>
        </w:rPr>
        <w:t xml:space="preserve"> </w:t>
      </w:r>
      <w:r w:rsidRPr="00252C01">
        <w:rPr>
          <w:color w:val="000000"/>
        </w:rPr>
        <w:t xml:space="preserve">for </w:t>
      </w:r>
      <w:r w:rsidR="00780AE9">
        <w:rPr>
          <w:color w:val="000000"/>
        </w:rPr>
        <w:t>revised</w:t>
      </w:r>
      <w:r w:rsidRPr="00252C01">
        <w:rPr>
          <w:color w:val="000000"/>
        </w:rPr>
        <w:t xml:space="preserve"> emergency safety </w:t>
      </w:r>
      <w:r w:rsidR="00AC27AE" w:rsidRPr="00252C01">
        <w:rPr>
          <w:color w:val="000000"/>
        </w:rPr>
        <w:t>zones but</w:t>
      </w:r>
      <w:r w:rsidRPr="00252C01">
        <w:rPr>
          <w:color w:val="000000"/>
        </w:rPr>
        <w:t xml:space="preserve"> </w:t>
      </w:r>
      <w:r w:rsidR="00780AE9">
        <w:rPr>
          <w:color w:val="000000"/>
        </w:rPr>
        <w:t>considered</w:t>
      </w:r>
      <w:r w:rsidRPr="00252C01">
        <w:rPr>
          <w:color w:val="000000"/>
        </w:rPr>
        <w:t xml:space="preserve"> a generic </w:t>
      </w:r>
      <w:proofErr w:type="spellStart"/>
      <w:r w:rsidRPr="00252C01">
        <w:rPr>
          <w:color w:val="000000"/>
        </w:rPr>
        <w:t>DiP</w:t>
      </w:r>
      <w:proofErr w:type="spellEnd"/>
      <w:r w:rsidRPr="00252C01">
        <w:rPr>
          <w:color w:val="000000"/>
        </w:rPr>
        <w:t xml:space="preserve"> for small reactor</w:t>
      </w:r>
      <w:r w:rsidR="00780AE9">
        <w:rPr>
          <w:color w:val="000000"/>
        </w:rPr>
        <w:t>s as the priority</w:t>
      </w:r>
      <w:r w:rsidRPr="00252C01">
        <w:rPr>
          <w:color w:val="000000"/>
        </w:rPr>
        <w:t xml:space="preserve">. </w:t>
      </w:r>
      <w:r w:rsidR="00780AE9">
        <w:rPr>
          <w:color w:val="000000"/>
        </w:rPr>
        <w:t>It</w:t>
      </w:r>
      <w:r w:rsidRPr="00252C01">
        <w:rPr>
          <w:color w:val="000000"/>
        </w:rPr>
        <w:t xml:space="preserve"> stressed that the </w:t>
      </w:r>
      <w:r w:rsidR="008D1EA6">
        <w:rPr>
          <w:color w:val="000000"/>
        </w:rPr>
        <w:t>aim</w:t>
      </w:r>
      <w:r w:rsidR="008D1EA6" w:rsidRPr="00252C01">
        <w:rPr>
          <w:color w:val="000000"/>
        </w:rPr>
        <w:t xml:space="preserve"> </w:t>
      </w:r>
      <w:r w:rsidRPr="00252C01">
        <w:rPr>
          <w:color w:val="000000"/>
        </w:rPr>
        <w:t xml:space="preserve">of the </w:t>
      </w:r>
      <w:proofErr w:type="spellStart"/>
      <w:r w:rsidRPr="00252C01">
        <w:rPr>
          <w:color w:val="000000"/>
        </w:rPr>
        <w:t>DiP</w:t>
      </w:r>
      <w:proofErr w:type="spellEnd"/>
      <w:r w:rsidRPr="00252C01">
        <w:rPr>
          <w:color w:val="000000"/>
        </w:rPr>
        <w:t xml:space="preserve"> was not to conduct a technical assessment of </w:t>
      </w:r>
      <w:r w:rsidR="00780AE9">
        <w:rPr>
          <w:color w:val="000000"/>
        </w:rPr>
        <w:t>reactor</w:t>
      </w:r>
      <w:r w:rsidR="00780AE9" w:rsidRPr="00252C01">
        <w:rPr>
          <w:color w:val="000000"/>
        </w:rPr>
        <w:t xml:space="preserve"> </w:t>
      </w:r>
      <w:r w:rsidRPr="00252C01">
        <w:rPr>
          <w:color w:val="000000"/>
        </w:rPr>
        <w:t>designs</w:t>
      </w:r>
      <w:r w:rsidR="00780AE9">
        <w:rPr>
          <w:color w:val="000000"/>
        </w:rPr>
        <w:t>, but that</w:t>
      </w:r>
      <w:r w:rsidRPr="00252C01">
        <w:rPr>
          <w:color w:val="000000"/>
        </w:rPr>
        <w:t xml:space="preserve"> </w:t>
      </w:r>
      <w:r w:rsidR="00780AE9">
        <w:rPr>
          <w:color w:val="000000"/>
        </w:rPr>
        <w:t>this could be done through</w:t>
      </w:r>
      <w:r w:rsidRPr="00252C01">
        <w:rPr>
          <w:color w:val="000000"/>
        </w:rPr>
        <w:t xml:space="preserve"> design approval or certification. </w:t>
      </w:r>
      <w:r w:rsidR="00780AE9">
        <w:rPr>
          <w:color w:val="000000"/>
        </w:rPr>
        <w:t>Revised</w:t>
      </w:r>
      <w:r w:rsidRPr="00252C01">
        <w:rPr>
          <w:color w:val="000000"/>
        </w:rPr>
        <w:t xml:space="preserve"> emergency planning zone</w:t>
      </w:r>
      <w:r w:rsidR="00780AE9">
        <w:rPr>
          <w:color w:val="000000"/>
        </w:rPr>
        <w:t xml:space="preserve"> </w:t>
      </w:r>
      <w:r w:rsidRPr="00252C01">
        <w:rPr>
          <w:color w:val="000000"/>
        </w:rPr>
        <w:t>s</w:t>
      </w:r>
      <w:r w:rsidR="00780AE9">
        <w:rPr>
          <w:color w:val="000000"/>
        </w:rPr>
        <w:t>tipulations</w:t>
      </w:r>
      <w:r w:rsidRPr="00252C01">
        <w:rPr>
          <w:color w:val="000000"/>
        </w:rPr>
        <w:t xml:space="preserve"> w</w:t>
      </w:r>
      <w:r w:rsidR="00780AE9">
        <w:rPr>
          <w:color w:val="000000"/>
        </w:rPr>
        <w:t>ere</w:t>
      </w:r>
      <w:r w:rsidRPr="00252C01">
        <w:rPr>
          <w:color w:val="000000"/>
        </w:rPr>
        <w:t xml:space="preserve"> indeed introduced in 2024 </w:t>
      </w:r>
      <w:r w:rsidR="00E520E2">
        <w:rPr>
          <w:color w:val="000000"/>
        </w:rPr>
        <w:t>[</w:t>
      </w:r>
      <w:r w:rsidR="00A37F07">
        <w:rPr>
          <w:color w:val="000000"/>
        </w:rPr>
        <w:t>29</w:t>
      </w:r>
      <w:r w:rsidR="00E520E2">
        <w:rPr>
          <w:color w:val="000000"/>
        </w:rPr>
        <w:t xml:space="preserve">] </w:t>
      </w:r>
      <w:r w:rsidRPr="00252C01">
        <w:rPr>
          <w:color w:val="000000"/>
        </w:rPr>
        <w:t>through an expedited process, prior to the remaining elements of the Nuclear Energy Act reform Bill, which the government expects to submit for comments in 2025</w:t>
      </w:r>
      <w:r w:rsidR="00E74145">
        <w:rPr>
          <w:color w:val="000000"/>
        </w:rPr>
        <w:t xml:space="preserve"> [</w:t>
      </w:r>
      <w:r w:rsidR="00AF3D5A">
        <w:rPr>
          <w:color w:val="000000"/>
        </w:rPr>
        <w:t>3</w:t>
      </w:r>
      <w:r w:rsidR="00A37F07">
        <w:rPr>
          <w:color w:val="000000"/>
        </w:rPr>
        <w:t>0</w:t>
      </w:r>
      <w:r w:rsidR="00AF3D5A">
        <w:rPr>
          <w:color w:val="000000"/>
        </w:rPr>
        <w:t>]</w:t>
      </w:r>
      <w:r w:rsidR="00AA5335" w:rsidRPr="00252C01">
        <w:rPr>
          <w:color w:val="000000"/>
        </w:rPr>
        <w:t>.</w:t>
      </w:r>
    </w:p>
    <w:p w14:paraId="37A12868" w14:textId="6E3DCCFA" w:rsidR="00356605" w:rsidRPr="00252C01" w:rsidRDefault="00356605" w:rsidP="00356605">
      <w:pPr>
        <w:pStyle w:val="Heading2"/>
        <w:rPr>
          <w:lang w:val="en-US" w:eastAsia="en-GB"/>
        </w:rPr>
      </w:pPr>
      <w:r w:rsidRPr="00252C01">
        <w:rPr>
          <w:lang w:val="en-US" w:eastAsia="en-GB"/>
        </w:rPr>
        <w:t xml:space="preserve"> SMR regulation reforms in the Finnish and Canadian politics and media </w:t>
      </w:r>
    </w:p>
    <w:p w14:paraId="1149CD70" w14:textId="1E976E20" w:rsidR="00356605" w:rsidRPr="001E1251" w:rsidRDefault="00356605" w:rsidP="001E1251">
      <w:pPr>
        <w:pStyle w:val="Heading3"/>
        <w:numPr>
          <w:ilvl w:val="2"/>
          <w:numId w:val="36"/>
        </w:numPr>
        <w:rPr>
          <w:lang w:val="en-US" w:eastAsia="en-GB"/>
        </w:rPr>
      </w:pPr>
      <w:r w:rsidRPr="001E1251">
        <w:rPr>
          <w:lang w:val="en-US" w:eastAsia="en-GB"/>
        </w:rPr>
        <w:t xml:space="preserve">Canada </w:t>
      </w:r>
    </w:p>
    <w:p w14:paraId="002D3C15" w14:textId="17E88D67" w:rsidR="00356605" w:rsidRPr="00252C01" w:rsidRDefault="00356605" w:rsidP="00356605">
      <w:pPr>
        <w:pBdr>
          <w:top w:val="nil"/>
          <w:left w:val="nil"/>
          <w:bottom w:val="nil"/>
          <w:right w:val="nil"/>
          <w:between w:val="nil"/>
        </w:pBdr>
        <w:spacing w:line="276" w:lineRule="auto"/>
        <w:ind w:firstLine="567"/>
        <w:jc w:val="both"/>
        <w:rPr>
          <w:sz w:val="20"/>
        </w:rPr>
      </w:pPr>
      <w:r w:rsidRPr="00252C01">
        <w:rPr>
          <w:sz w:val="20"/>
        </w:rPr>
        <w:t xml:space="preserve">Industry views on </w:t>
      </w:r>
      <w:r w:rsidR="001E1251">
        <w:rPr>
          <w:sz w:val="20"/>
        </w:rPr>
        <w:t>Canada’s</w:t>
      </w:r>
      <w:r w:rsidRPr="00252C01">
        <w:rPr>
          <w:sz w:val="20"/>
        </w:rPr>
        <w:t xml:space="preserve"> efforts to facilitate SMR regulation have been largely positive. </w:t>
      </w:r>
      <w:r w:rsidR="001E1251" w:rsidRPr="001E1251">
        <w:rPr>
          <w:sz w:val="20"/>
        </w:rPr>
        <w:t>Many SMR advocates have portrayed CNCS regulation as good practice, a model for other countries, not least for the US NRC, whose regulatory approach is often portrayed as the “gold standard”</w:t>
      </w:r>
      <w:r w:rsidR="00C153C7">
        <w:rPr>
          <w:sz w:val="20"/>
        </w:rPr>
        <w:t xml:space="preserve"> </w:t>
      </w:r>
      <w:r w:rsidR="00C153C7" w:rsidRPr="00252C01">
        <w:rPr>
          <w:sz w:val="20"/>
        </w:rPr>
        <w:t>[</w:t>
      </w:r>
      <w:r w:rsidR="00C153C7">
        <w:rPr>
          <w:sz w:val="20"/>
        </w:rPr>
        <w:t>5</w:t>
      </w:r>
      <w:r w:rsidR="00C153C7">
        <w:rPr>
          <w:sz w:val="20"/>
        </w:rPr>
        <w:t>3</w:t>
      </w:r>
      <w:r w:rsidR="00C153C7" w:rsidRPr="00252C01">
        <w:rPr>
          <w:sz w:val="20"/>
        </w:rPr>
        <w:t>]</w:t>
      </w:r>
      <w:r w:rsidR="001E1251" w:rsidRPr="001E1251">
        <w:rPr>
          <w:sz w:val="20"/>
        </w:rPr>
        <w:t xml:space="preserve"> but </w:t>
      </w:r>
      <w:r w:rsidR="00C153C7">
        <w:rPr>
          <w:sz w:val="20"/>
        </w:rPr>
        <w:t>also</w:t>
      </w:r>
      <w:r w:rsidR="001E1251" w:rsidRPr="001E1251">
        <w:rPr>
          <w:sz w:val="20"/>
        </w:rPr>
        <w:t xml:space="preserve"> criticised for </w:t>
      </w:r>
      <w:r w:rsidR="00C153C7">
        <w:rPr>
          <w:sz w:val="20"/>
        </w:rPr>
        <w:t xml:space="preserve">being excessively deterministic and prescriptive, thus </w:t>
      </w:r>
      <w:r w:rsidR="00CA1BCE">
        <w:rPr>
          <w:sz w:val="20"/>
        </w:rPr>
        <w:t xml:space="preserve">needlessly slowing down SMR deployment </w:t>
      </w:r>
      <w:r w:rsidR="00AC27AE" w:rsidRPr="00252C01">
        <w:rPr>
          <w:sz w:val="20"/>
        </w:rPr>
        <w:t>[2</w:t>
      </w:r>
      <w:r w:rsidR="00A37F07">
        <w:rPr>
          <w:sz w:val="20"/>
        </w:rPr>
        <w:t>0</w:t>
      </w:r>
      <w:r w:rsidR="00DB6E23">
        <w:rPr>
          <w:sz w:val="20"/>
        </w:rPr>
        <w:t>, 51, 52</w:t>
      </w:r>
      <w:r w:rsidR="00AC27AE" w:rsidRPr="00252C01">
        <w:rPr>
          <w:sz w:val="20"/>
        </w:rPr>
        <w:t>]</w:t>
      </w:r>
      <w:r w:rsidRPr="00252C01">
        <w:rPr>
          <w:sz w:val="20"/>
        </w:rPr>
        <w:t xml:space="preserve">. </w:t>
      </w:r>
      <w:r w:rsidR="009062B5">
        <w:rPr>
          <w:sz w:val="20"/>
        </w:rPr>
        <w:t>A</w:t>
      </w:r>
      <w:r w:rsidRPr="00252C01">
        <w:rPr>
          <w:sz w:val="20"/>
        </w:rPr>
        <w:t xml:space="preserve">lthough largely aligning with industry demands, the regulatory reforms have not </w:t>
      </w:r>
      <w:r w:rsidR="009062B5">
        <w:rPr>
          <w:sz w:val="20"/>
        </w:rPr>
        <w:t>fully</w:t>
      </w:r>
      <w:r w:rsidR="009062B5" w:rsidRPr="00252C01">
        <w:rPr>
          <w:sz w:val="20"/>
        </w:rPr>
        <w:t xml:space="preserve"> </w:t>
      </w:r>
      <w:r w:rsidRPr="00252C01">
        <w:rPr>
          <w:sz w:val="20"/>
        </w:rPr>
        <w:t xml:space="preserve">satisfied SMR advocates, who often still describe regulation as </w:t>
      </w:r>
      <w:r w:rsidR="009062B5">
        <w:rPr>
          <w:sz w:val="20"/>
        </w:rPr>
        <w:t>a</w:t>
      </w:r>
      <w:r w:rsidRPr="00252C01">
        <w:rPr>
          <w:sz w:val="20"/>
        </w:rPr>
        <w:t xml:space="preserve"> key obstacle to SMR deployment</w:t>
      </w:r>
      <w:r w:rsidR="00A42AF3">
        <w:rPr>
          <w:sz w:val="20"/>
        </w:rPr>
        <w:t xml:space="preserve"> (e.g. </w:t>
      </w:r>
      <w:r w:rsidR="00A42AF3" w:rsidRPr="00252C01">
        <w:rPr>
          <w:sz w:val="20"/>
        </w:rPr>
        <w:t>[</w:t>
      </w:r>
      <w:r w:rsidR="00A42AF3">
        <w:rPr>
          <w:sz w:val="20"/>
        </w:rPr>
        <w:t>4</w:t>
      </w:r>
      <w:r w:rsidR="00A37F07">
        <w:rPr>
          <w:sz w:val="20"/>
        </w:rPr>
        <w:t>7</w:t>
      </w:r>
      <w:r w:rsidR="00A42AF3" w:rsidRPr="00252C01">
        <w:rPr>
          <w:sz w:val="20"/>
        </w:rPr>
        <w:t>]</w:t>
      </w:r>
      <w:r w:rsidR="00A42AF3">
        <w:rPr>
          <w:sz w:val="20"/>
        </w:rPr>
        <w:t>)</w:t>
      </w:r>
      <w:r w:rsidRPr="00252C01">
        <w:rPr>
          <w:sz w:val="20"/>
        </w:rPr>
        <w:t xml:space="preserve">. </w:t>
      </w:r>
    </w:p>
    <w:p w14:paraId="6266ACAC" w14:textId="7C6A6954" w:rsidR="00356605" w:rsidRPr="00252C01" w:rsidRDefault="00356605" w:rsidP="00356605">
      <w:pPr>
        <w:pBdr>
          <w:top w:val="nil"/>
          <w:left w:val="nil"/>
          <w:bottom w:val="nil"/>
          <w:right w:val="nil"/>
          <w:between w:val="nil"/>
        </w:pBdr>
        <w:spacing w:line="276" w:lineRule="auto"/>
        <w:ind w:firstLine="567"/>
        <w:jc w:val="both"/>
        <w:rPr>
          <w:sz w:val="20"/>
          <w:vertAlign w:val="superscript"/>
        </w:rPr>
      </w:pPr>
      <w:r w:rsidRPr="00252C01">
        <w:rPr>
          <w:sz w:val="20"/>
        </w:rPr>
        <w:t xml:space="preserve">The CNSC has stressed the work it has already undertaken, including efforts towards international harmonisation, pointing instead the finger at the industry. At the 2023 Atlanta SMR conference, </w:t>
      </w:r>
      <w:r w:rsidR="00257B76">
        <w:rPr>
          <w:sz w:val="20"/>
        </w:rPr>
        <w:t xml:space="preserve">then CNSC </w:t>
      </w:r>
      <w:r w:rsidRPr="00252C01">
        <w:rPr>
          <w:sz w:val="20"/>
        </w:rPr>
        <w:t>Chief Regulatory Operations Officer</w:t>
      </w:r>
      <w:r w:rsidR="00592D48">
        <w:rPr>
          <w:sz w:val="20"/>
        </w:rPr>
        <w:t xml:space="preserve"> </w:t>
      </w:r>
      <w:r w:rsidR="00592D48" w:rsidRPr="00252C01">
        <w:rPr>
          <w:sz w:val="20"/>
        </w:rPr>
        <w:t xml:space="preserve">Ramzi </w:t>
      </w:r>
      <w:proofErr w:type="spellStart"/>
      <w:r w:rsidR="00592D48" w:rsidRPr="00252C01">
        <w:rPr>
          <w:sz w:val="20"/>
        </w:rPr>
        <w:t>Jammal</w:t>
      </w:r>
      <w:proofErr w:type="spellEnd"/>
      <w:r w:rsidRPr="00252C01">
        <w:rPr>
          <w:sz w:val="20"/>
        </w:rPr>
        <w:t xml:space="preserve">, </w:t>
      </w:r>
      <w:r w:rsidR="00A2435C">
        <w:rPr>
          <w:sz w:val="20"/>
        </w:rPr>
        <w:t xml:space="preserve">like many other speakers, </w:t>
      </w:r>
      <w:r w:rsidR="00592D48">
        <w:rPr>
          <w:sz w:val="20"/>
        </w:rPr>
        <w:t xml:space="preserve">stressed the importance of industry code standardisation, arguing this </w:t>
      </w:r>
      <w:proofErr w:type="gramStart"/>
      <w:r w:rsidR="00592D48">
        <w:rPr>
          <w:sz w:val="20"/>
        </w:rPr>
        <w:t>lagged behind</w:t>
      </w:r>
      <w:proofErr w:type="gramEnd"/>
      <w:r w:rsidR="00592D48">
        <w:rPr>
          <w:sz w:val="20"/>
        </w:rPr>
        <w:t xml:space="preserve"> </w:t>
      </w:r>
      <w:r w:rsidR="002E20D9">
        <w:rPr>
          <w:sz w:val="20"/>
        </w:rPr>
        <w:t xml:space="preserve">the </w:t>
      </w:r>
      <w:r w:rsidR="00592D48">
        <w:rPr>
          <w:sz w:val="20"/>
        </w:rPr>
        <w:t xml:space="preserve">well-advancing </w:t>
      </w:r>
      <w:r w:rsidR="002E20D9">
        <w:rPr>
          <w:sz w:val="20"/>
        </w:rPr>
        <w:t xml:space="preserve">regulatory harmonisation </w:t>
      </w:r>
      <w:r w:rsidR="00AC27AE" w:rsidRPr="00252C01">
        <w:rPr>
          <w:sz w:val="20"/>
        </w:rPr>
        <w:t>[</w:t>
      </w:r>
      <w:r w:rsidR="005275DE">
        <w:rPr>
          <w:sz w:val="20"/>
        </w:rPr>
        <w:t>1</w:t>
      </w:r>
      <w:r w:rsidR="00AC27AE" w:rsidRPr="00252C01">
        <w:rPr>
          <w:sz w:val="20"/>
        </w:rPr>
        <w:t>]</w:t>
      </w:r>
      <w:r w:rsidRPr="00252C01">
        <w:rPr>
          <w:sz w:val="20"/>
        </w:rPr>
        <w:t xml:space="preserve">. The CNSC has marketed itself as an SMR-friendly regulator </w:t>
      </w:r>
      <w:r w:rsidR="00C834CF" w:rsidRPr="00252C01">
        <w:rPr>
          <w:sz w:val="20"/>
        </w:rPr>
        <w:t xml:space="preserve">[7], </w:t>
      </w:r>
      <w:r w:rsidRPr="00252C01">
        <w:rPr>
          <w:sz w:val="20"/>
        </w:rPr>
        <w:t>its recent presidents, Michael Binder (</w:t>
      </w:r>
      <w:sdt>
        <w:sdtPr>
          <w:tag w:val="goog_rdk_48"/>
          <w:id w:val="-2091077741"/>
        </w:sdtPr>
        <w:sdtContent/>
      </w:sdt>
      <w:r w:rsidRPr="00252C01">
        <w:rPr>
          <w:sz w:val="20"/>
        </w:rPr>
        <w:t xml:space="preserve">2008-2018) and Rumina Velshi (2018-2023), repeatedly </w:t>
      </w:r>
      <w:r w:rsidR="0062629B">
        <w:rPr>
          <w:sz w:val="20"/>
        </w:rPr>
        <w:t>stress</w:t>
      </w:r>
      <w:r w:rsidR="009062B5">
        <w:rPr>
          <w:sz w:val="20"/>
        </w:rPr>
        <w:t>ing</w:t>
      </w:r>
      <w:r w:rsidR="009062B5" w:rsidRPr="00252C01">
        <w:rPr>
          <w:sz w:val="20"/>
        </w:rPr>
        <w:t xml:space="preserve"> </w:t>
      </w:r>
      <w:r w:rsidRPr="00252C01">
        <w:rPr>
          <w:sz w:val="20"/>
        </w:rPr>
        <w:t xml:space="preserve">the CNSC’s ambition towards more efficient and performance-based regulation. </w:t>
      </w:r>
      <w:proofErr w:type="gramStart"/>
      <w:r w:rsidR="00C834CF" w:rsidRPr="00252C01">
        <w:rPr>
          <w:sz w:val="20"/>
        </w:rPr>
        <w:t>Also</w:t>
      </w:r>
      <w:proofErr w:type="gramEnd"/>
      <w:r w:rsidRPr="00252C01">
        <w:rPr>
          <w:sz w:val="20"/>
        </w:rPr>
        <w:t xml:space="preserve"> the media not</w:t>
      </w:r>
      <w:r w:rsidR="0062629B">
        <w:rPr>
          <w:sz w:val="20"/>
        </w:rPr>
        <w:t>ic</w:t>
      </w:r>
      <w:r w:rsidRPr="00252C01">
        <w:rPr>
          <w:sz w:val="20"/>
        </w:rPr>
        <w:t>e</w:t>
      </w:r>
      <w:r w:rsidR="0062629B">
        <w:rPr>
          <w:sz w:val="20"/>
        </w:rPr>
        <w:t>d</w:t>
      </w:r>
      <w:r w:rsidRPr="00252C01">
        <w:rPr>
          <w:sz w:val="20"/>
        </w:rPr>
        <w:t xml:space="preserve"> Binder’s and Velshi’s SMR advocacy. The Globe and Mail (17/07/2021) cited </w:t>
      </w:r>
      <w:r w:rsidR="009062B5">
        <w:rPr>
          <w:sz w:val="20"/>
        </w:rPr>
        <w:t>Velshi</w:t>
      </w:r>
      <w:r w:rsidR="009B7FC1">
        <w:rPr>
          <w:sz w:val="20"/>
        </w:rPr>
        <w:t>’s speech</w:t>
      </w:r>
      <w:r w:rsidRPr="00252C01">
        <w:rPr>
          <w:sz w:val="20"/>
        </w:rPr>
        <w:t xml:space="preserve"> </w:t>
      </w:r>
      <w:r w:rsidR="00257B76">
        <w:rPr>
          <w:sz w:val="20"/>
        </w:rPr>
        <w:t>touting</w:t>
      </w:r>
      <w:r w:rsidRPr="00252C01">
        <w:rPr>
          <w:sz w:val="20"/>
        </w:rPr>
        <w:t xml:space="preserve"> SMRs</w:t>
      </w:r>
      <w:r w:rsidR="00257B76">
        <w:rPr>
          <w:sz w:val="20"/>
        </w:rPr>
        <w:t xml:space="preserve"> as</w:t>
      </w:r>
      <w:r w:rsidRPr="00252C01">
        <w:rPr>
          <w:sz w:val="20"/>
        </w:rPr>
        <w:t xml:space="preserve"> "potentially</w:t>
      </w:r>
      <w:r w:rsidR="00257B76">
        <w:rPr>
          <w:sz w:val="20"/>
        </w:rPr>
        <w:t>…</w:t>
      </w:r>
      <w:r w:rsidRPr="00252C01">
        <w:rPr>
          <w:sz w:val="20"/>
        </w:rPr>
        <w:t>the next chapter in the evolution of Canada's nuclear industry." At the Atlanta</w:t>
      </w:r>
      <w:r w:rsidR="009062B5">
        <w:rPr>
          <w:sz w:val="20"/>
        </w:rPr>
        <w:t xml:space="preserve"> SMR conference</w:t>
      </w:r>
      <w:r w:rsidRPr="00252C01">
        <w:rPr>
          <w:sz w:val="20"/>
        </w:rPr>
        <w:t xml:space="preserve"> in May 2022, Velshi </w:t>
      </w:r>
      <w:r w:rsidR="009062B5">
        <w:rPr>
          <w:sz w:val="20"/>
        </w:rPr>
        <w:t xml:space="preserve">underlined </w:t>
      </w:r>
      <w:r w:rsidRPr="00252C01">
        <w:rPr>
          <w:sz w:val="20"/>
        </w:rPr>
        <w:t>the importance of “regulatory efficiency and regulatory readiness,” and the CNSC’s objectives</w:t>
      </w:r>
      <w:r w:rsidR="00257B76">
        <w:rPr>
          <w:sz w:val="20"/>
        </w:rPr>
        <w:t xml:space="preserve"> of</w:t>
      </w:r>
      <w:r w:rsidRPr="00252C01">
        <w:rPr>
          <w:sz w:val="20"/>
        </w:rPr>
        <w:t xml:space="preserve"> “regulatory certainty, predictability, [and] efficiency” </w:t>
      </w:r>
      <w:r w:rsidR="005275DE" w:rsidRPr="00252C01">
        <w:rPr>
          <w:sz w:val="20"/>
        </w:rPr>
        <w:t>[</w:t>
      </w:r>
      <w:r w:rsidR="005275DE">
        <w:rPr>
          <w:sz w:val="20"/>
        </w:rPr>
        <w:t>3</w:t>
      </w:r>
      <w:r w:rsidR="003535B0">
        <w:rPr>
          <w:sz w:val="20"/>
        </w:rPr>
        <w:t>2</w:t>
      </w:r>
      <w:r w:rsidR="005275DE" w:rsidRPr="00252C01">
        <w:rPr>
          <w:sz w:val="20"/>
        </w:rPr>
        <w:t xml:space="preserve">]. </w:t>
      </w:r>
      <w:r w:rsidRPr="00252C01">
        <w:rPr>
          <w:sz w:val="20"/>
        </w:rPr>
        <w:t xml:space="preserve">A CNSC official interviewed for this research compared CNSC’s work with </w:t>
      </w:r>
      <w:r w:rsidR="00C834CF" w:rsidRPr="00252C01">
        <w:rPr>
          <w:sz w:val="20"/>
        </w:rPr>
        <w:t>the “</w:t>
      </w:r>
      <w:r w:rsidRPr="00252C01">
        <w:rPr>
          <w:sz w:val="20"/>
        </w:rPr>
        <w:t xml:space="preserve">rather heavy-handed approach” in the ongoing collaboration between the Czech, Finnish, and French regulators. “World-leading regulator” is a recurrent </w:t>
      </w:r>
      <w:r w:rsidR="009E5228">
        <w:rPr>
          <w:sz w:val="20"/>
        </w:rPr>
        <w:t>expression</w:t>
      </w:r>
      <w:r w:rsidR="009E5228" w:rsidRPr="00252C01">
        <w:rPr>
          <w:sz w:val="20"/>
        </w:rPr>
        <w:t xml:space="preserve"> </w:t>
      </w:r>
      <w:r w:rsidRPr="00252C01">
        <w:rPr>
          <w:sz w:val="20"/>
        </w:rPr>
        <w:t xml:space="preserve">in the Canadian </w:t>
      </w:r>
      <w:proofErr w:type="gramStart"/>
      <w:r w:rsidRPr="00252C01">
        <w:rPr>
          <w:sz w:val="20"/>
        </w:rPr>
        <w:t>government’s</w:t>
      </w:r>
      <w:proofErr w:type="gramEnd"/>
      <w:r w:rsidRPr="00252C01">
        <w:rPr>
          <w:sz w:val="20"/>
        </w:rPr>
        <w:t xml:space="preserve"> and industry’s international SMR promotion.</w:t>
      </w:r>
      <w:r w:rsidRPr="00252C01">
        <w:rPr>
          <w:sz w:val="20"/>
          <w:vertAlign w:val="superscript"/>
        </w:rPr>
        <w:footnoteReference w:id="6"/>
      </w:r>
    </w:p>
    <w:p w14:paraId="17FB216C" w14:textId="4FC8F007" w:rsidR="00356605" w:rsidRPr="00252C01" w:rsidRDefault="00356605" w:rsidP="00356605">
      <w:pPr>
        <w:spacing w:line="276" w:lineRule="auto"/>
        <w:ind w:firstLine="567"/>
        <w:jc w:val="both"/>
        <w:rPr>
          <w:sz w:val="20"/>
        </w:rPr>
      </w:pPr>
      <w:r w:rsidRPr="00252C01">
        <w:rPr>
          <w:sz w:val="20"/>
        </w:rPr>
        <w:t xml:space="preserve">Among civil society actors and the Indigenous communities, CNSC’s promotion of SMRs and the alignment of the reforms with industry demands have fuelled doubts. </w:t>
      </w:r>
      <w:r w:rsidR="009062B5">
        <w:rPr>
          <w:sz w:val="20"/>
        </w:rPr>
        <w:t>Many</w:t>
      </w:r>
      <w:r w:rsidR="009062B5" w:rsidRPr="00252C01">
        <w:rPr>
          <w:sz w:val="20"/>
        </w:rPr>
        <w:t xml:space="preserve"> </w:t>
      </w:r>
      <w:r w:rsidRPr="00252C01">
        <w:rPr>
          <w:sz w:val="20"/>
        </w:rPr>
        <w:t xml:space="preserve">environmental organisations (e.g., Greenpeace, Ecojustice, Mining Watch, the Sierra Club, and the Canadian Environmental Law Association) denounced regulatory capture in the early 2010s, in reaction to Harper government’s regulatory reforms and allegedly questionable leadership appointments at the CNSC </w:t>
      </w:r>
      <w:r w:rsidR="000E1D36" w:rsidRPr="00252C01">
        <w:rPr>
          <w:sz w:val="20"/>
        </w:rPr>
        <w:t>[3</w:t>
      </w:r>
      <w:r w:rsidR="005B63D8">
        <w:rPr>
          <w:sz w:val="20"/>
        </w:rPr>
        <w:t>4</w:t>
      </w:r>
      <w:r w:rsidR="000E1D36" w:rsidRPr="00252C01">
        <w:rPr>
          <w:sz w:val="20"/>
        </w:rPr>
        <w:t>]</w:t>
      </w:r>
      <w:r w:rsidRPr="00252C01">
        <w:rPr>
          <w:sz w:val="20"/>
        </w:rPr>
        <w:t xml:space="preserve">. Similar complaints by many civil society </w:t>
      </w:r>
      <w:r w:rsidRPr="00252C01">
        <w:rPr>
          <w:sz w:val="20"/>
        </w:rPr>
        <w:lastRenderedPageBreak/>
        <w:t>organisations have continued since, through petitions and open letters, among others (</w:t>
      </w:r>
      <w:r w:rsidR="000E1D36" w:rsidRPr="00252C01">
        <w:rPr>
          <w:sz w:val="20"/>
        </w:rPr>
        <w:t>e.g. [3</w:t>
      </w:r>
      <w:r w:rsidR="00133C74">
        <w:rPr>
          <w:sz w:val="20"/>
        </w:rPr>
        <w:t>4</w:t>
      </w:r>
      <w:r w:rsidR="000E1D36" w:rsidRPr="00252C01">
        <w:rPr>
          <w:sz w:val="20"/>
        </w:rPr>
        <w:t>, 3</w:t>
      </w:r>
      <w:r w:rsidR="00133C74">
        <w:rPr>
          <w:sz w:val="20"/>
        </w:rPr>
        <w:t>5</w:t>
      </w:r>
      <w:r w:rsidR="000E1D36" w:rsidRPr="00252C01">
        <w:rPr>
          <w:sz w:val="20"/>
        </w:rPr>
        <w:t>]</w:t>
      </w:r>
      <w:r w:rsidRPr="00252C01">
        <w:rPr>
          <w:sz w:val="20"/>
        </w:rPr>
        <w:t xml:space="preserve">). The suspicion has deep roots especially among the Indigenous communities. </w:t>
      </w:r>
      <w:r w:rsidR="009062B5">
        <w:rPr>
          <w:sz w:val="20"/>
        </w:rPr>
        <w:t>Although s</w:t>
      </w:r>
      <w:r w:rsidRPr="00252C01">
        <w:rPr>
          <w:sz w:val="20"/>
        </w:rPr>
        <w:t xml:space="preserve">ome community chiefs advocate for SMRs as a development opportunity, </w:t>
      </w:r>
      <w:r w:rsidR="009062B5">
        <w:rPr>
          <w:sz w:val="20"/>
        </w:rPr>
        <w:t>many</w:t>
      </w:r>
      <w:r w:rsidRPr="00252C01">
        <w:rPr>
          <w:sz w:val="20"/>
        </w:rPr>
        <w:t xml:space="preserve"> communities </w:t>
      </w:r>
      <w:r w:rsidR="00F74A8A">
        <w:rPr>
          <w:sz w:val="20"/>
        </w:rPr>
        <w:t>strongly mistrust</w:t>
      </w:r>
      <w:r w:rsidRPr="00252C01">
        <w:rPr>
          <w:sz w:val="20"/>
        </w:rPr>
        <w:t xml:space="preserve"> the nuclear industry and authorities. </w:t>
      </w:r>
    </w:p>
    <w:p w14:paraId="183DF36B" w14:textId="78AACDA0" w:rsidR="00356605" w:rsidRPr="00252C01" w:rsidRDefault="00356605" w:rsidP="00356605">
      <w:pPr>
        <w:spacing w:line="276" w:lineRule="auto"/>
        <w:ind w:firstLine="567"/>
        <w:jc w:val="both"/>
        <w:rPr>
          <w:color w:val="000000"/>
          <w:sz w:val="20"/>
        </w:rPr>
      </w:pPr>
      <w:r w:rsidRPr="00252C01">
        <w:rPr>
          <w:sz w:val="20"/>
        </w:rPr>
        <w:t>Ramana and Blaise evoke several reasons for such doubts</w:t>
      </w:r>
      <w:r w:rsidR="009B7FC1">
        <w:rPr>
          <w:sz w:val="20"/>
        </w:rPr>
        <w:t xml:space="preserve"> </w:t>
      </w:r>
      <w:r w:rsidR="009B7FC1" w:rsidRPr="00252C01">
        <w:rPr>
          <w:color w:val="000000"/>
          <w:sz w:val="20"/>
        </w:rPr>
        <w:t>[18]</w:t>
      </w:r>
      <w:r w:rsidRPr="00252C01">
        <w:rPr>
          <w:sz w:val="20"/>
        </w:rPr>
        <w:t xml:space="preserve">. </w:t>
      </w:r>
      <w:r w:rsidR="009A73C7">
        <w:rPr>
          <w:sz w:val="20"/>
        </w:rPr>
        <w:t>These include</w:t>
      </w:r>
      <w:r w:rsidRPr="00252C01">
        <w:rPr>
          <w:sz w:val="20"/>
        </w:rPr>
        <w:t xml:space="preserve"> the CNSC</w:t>
      </w:r>
      <w:r w:rsidR="00D569EE">
        <w:rPr>
          <w:sz w:val="20"/>
        </w:rPr>
        <w:t>’s</w:t>
      </w:r>
      <w:r w:rsidRPr="00252C01">
        <w:rPr>
          <w:sz w:val="20"/>
        </w:rPr>
        <w:t xml:space="preserve"> and its President Michael Binder’s open lobbying for exempting the SMRs from impact assessment </w:t>
      </w:r>
      <w:r w:rsidR="000E1D36" w:rsidRPr="00252C01">
        <w:rPr>
          <w:sz w:val="20"/>
        </w:rPr>
        <w:t>[3</w:t>
      </w:r>
      <w:r w:rsidR="00133C74">
        <w:rPr>
          <w:sz w:val="20"/>
        </w:rPr>
        <w:t>6</w:t>
      </w:r>
      <w:r w:rsidR="000E1D36" w:rsidRPr="00252C01">
        <w:rPr>
          <w:sz w:val="20"/>
        </w:rPr>
        <w:t>, 3</w:t>
      </w:r>
      <w:r w:rsidR="00133C74">
        <w:rPr>
          <w:sz w:val="20"/>
        </w:rPr>
        <w:t>7</w:t>
      </w:r>
      <w:r w:rsidR="000E1D36" w:rsidRPr="00252C01">
        <w:rPr>
          <w:sz w:val="20"/>
        </w:rPr>
        <w:t>]</w:t>
      </w:r>
      <w:r w:rsidRPr="00252C01">
        <w:rPr>
          <w:sz w:val="20"/>
        </w:rPr>
        <w:t>, CNSC-Presidents’ open SMR advocacy and eagerness to ensure that the CNSC is not an impediment to SMR deployment, the rotation of personnel between the CNSC and the nuclear industry</w:t>
      </w:r>
      <w:r w:rsidR="009A73C7">
        <w:rPr>
          <w:sz w:val="20"/>
        </w:rPr>
        <w:t>,</w:t>
      </w:r>
      <w:r w:rsidRPr="00252C01">
        <w:rPr>
          <w:sz w:val="20"/>
        </w:rPr>
        <w:t xml:space="preserve"> </w:t>
      </w:r>
      <w:r w:rsidR="009A73C7">
        <w:rPr>
          <w:sz w:val="20"/>
        </w:rPr>
        <w:t>and</w:t>
      </w:r>
      <w:r w:rsidRPr="00252C01">
        <w:rPr>
          <w:sz w:val="20"/>
        </w:rPr>
        <w:t xml:space="preserve"> the CNSC’s move towards performance-based regulation, see</w:t>
      </w:r>
      <w:r w:rsidR="00D569EE">
        <w:rPr>
          <w:sz w:val="20"/>
        </w:rPr>
        <w:t>n</w:t>
      </w:r>
      <w:r w:rsidRPr="00252C01">
        <w:rPr>
          <w:sz w:val="20"/>
        </w:rPr>
        <w:t xml:space="preserve"> as a concession to the industry </w:t>
      </w:r>
      <w:r w:rsidR="009F4E94" w:rsidRPr="00252C01">
        <w:rPr>
          <w:sz w:val="20"/>
        </w:rPr>
        <w:t>[3</w:t>
      </w:r>
      <w:r w:rsidR="00D04685">
        <w:rPr>
          <w:sz w:val="20"/>
        </w:rPr>
        <w:t>8</w:t>
      </w:r>
      <w:r w:rsidR="009A73C7" w:rsidRPr="00252C01">
        <w:rPr>
          <w:sz w:val="20"/>
        </w:rPr>
        <w:t>]</w:t>
      </w:r>
      <w:r w:rsidRPr="00252C01">
        <w:rPr>
          <w:sz w:val="20"/>
        </w:rPr>
        <w:t xml:space="preserve">. </w:t>
      </w:r>
      <w:r w:rsidR="009A73C7">
        <w:rPr>
          <w:sz w:val="20"/>
        </w:rPr>
        <w:t>C</w:t>
      </w:r>
      <w:r w:rsidRPr="00252C01">
        <w:rPr>
          <w:sz w:val="20"/>
        </w:rPr>
        <w:t xml:space="preserve">ritics </w:t>
      </w:r>
      <w:r w:rsidR="009A73C7">
        <w:rPr>
          <w:sz w:val="20"/>
        </w:rPr>
        <w:t xml:space="preserve">also </w:t>
      </w:r>
      <w:r w:rsidRPr="00252C01">
        <w:rPr>
          <w:sz w:val="20"/>
        </w:rPr>
        <w:t xml:space="preserve">find it problematic that the regulator reports to the government department responsible for energy policy </w:t>
      </w:r>
      <w:r w:rsidR="00D569EE">
        <w:rPr>
          <w:sz w:val="20"/>
        </w:rPr>
        <w:t xml:space="preserve">– </w:t>
      </w:r>
      <w:r w:rsidRPr="00252C01">
        <w:rPr>
          <w:sz w:val="20"/>
        </w:rPr>
        <w:t xml:space="preserve">the main federal governmental body advocating for SMRs. Ramana and Blaise </w:t>
      </w:r>
      <w:r w:rsidR="009A73C7">
        <w:rPr>
          <w:sz w:val="20"/>
        </w:rPr>
        <w:t>further</w:t>
      </w:r>
      <w:r w:rsidR="009A73C7" w:rsidRPr="00252C01">
        <w:rPr>
          <w:sz w:val="20"/>
        </w:rPr>
        <w:t xml:space="preserve"> </w:t>
      </w:r>
      <w:r w:rsidRPr="00252C01">
        <w:rPr>
          <w:sz w:val="20"/>
        </w:rPr>
        <w:t xml:space="preserve">point out that the pre-vendor review reports are not accessible to the public, thus indirectly contesting the IAEA’s praise for openness and transparency as key virtues of the CNSC </w:t>
      </w:r>
      <w:r w:rsidR="009F4E94" w:rsidRPr="00252C01">
        <w:rPr>
          <w:sz w:val="20"/>
        </w:rPr>
        <w:t>[8]</w:t>
      </w:r>
      <w:r w:rsidRPr="00252C01">
        <w:rPr>
          <w:sz w:val="20"/>
        </w:rPr>
        <w:t>.</w:t>
      </w:r>
    </w:p>
    <w:p w14:paraId="6DF685E1" w14:textId="4B9F659D" w:rsidR="00356605" w:rsidRPr="00252C01" w:rsidRDefault="006B3E71" w:rsidP="00252C01">
      <w:pPr>
        <w:spacing w:line="276" w:lineRule="auto"/>
        <w:ind w:firstLine="567"/>
        <w:jc w:val="both"/>
        <w:rPr>
          <w:lang w:eastAsia="en-GB"/>
        </w:rPr>
      </w:pPr>
      <w:r>
        <w:rPr>
          <w:sz w:val="20"/>
        </w:rPr>
        <w:t>Despite t</w:t>
      </w:r>
      <w:r w:rsidR="00356605" w:rsidRPr="00252C01">
        <w:rPr>
          <w:sz w:val="20"/>
        </w:rPr>
        <w:t xml:space="preserve">he reform of the environmental assessment regulation, many industry voices </w:t>
      </w:r>
      <w:r w:rsidR="007E3C70">
        <w:rPr>
          <w:sz w:val="20"/>
        </w:rPr>
        <w:t>still consider</w:t>
      </w:r>
      <w:r w:rsidR="00356605" w:rsidRPr="00252C01">
        <w:rPr>
          <w:sz w:val="20"/>
        </w:rPr>
        <w:t xml:space="preserve"> the lengthy and complicated siting and impact assessment procedures, instead of safety regulation, as the real bottleneck.</w:t>
      </w:r>
      <w:r w:rsidR="00356605" w:rsidRPr="00252C01">
        <w:rPr>
          <w:sz w:val="20"/>
          <w:vertAlign w:val="superscript"/>
        </w:rPr>
        <w:footnoteReference w:id="7"/>
      </w:r>
      <w:r w:rsidR="00356605" w:rsidRPr="00252C01">
        <w:rPr>
          <w:sz w:val="20"/>
        </w:rPr>
        <w:t xml:space="preserve"> Although civil society and Indigenous communities have criticised impact assessment</w:t>
      </w:r>
      <w:r w:rsidR="007E3C70">
        <w:rPr>
          <w:sz w:val="20"/>
        </w:rPr>
        <w:t>s</w:t>
      </w:r>
      <w:r w:rsidR="00356605" w:rsidRPr="00252C01">
        <w:rPr>
          <w:sz w:val="20"/>
        </w:rPr>
        <w:t xml:space="preserve"> for lacking policy influence, </w:t>
      </w:r>
      <w:r w:rsidR="00356605" w:rsidRPr="00252C01">
        <w:rPr>
          <w:color w:val="000000"/>
          <w:sz w:val="20"/>
        </w:rPr>
        <w:t xml:space="preserve">Ramana and Blaise </w:t>
      </w:r>
      <w:r w:rsidR="00356605" w:rsidRPr="00252C01">
        <w:rPr>
          <w:sz w:val="20"/>
        </w:rPr>
        <w:t>hold</w:t>
      </w:r>
      <w:r w:rsidR="00356605" w:rsidRPr="00252C01">
        <w:rPr>
          <w:color w:val="000000"/>
          <w:sz w:val="20"/>
        </w:rPr>
        <w:t xml:space="preserve"> the new IAA as another reason for civil society apprehension towards the regulatory system</w:t>
      </w:r>
      <w:r w:rsidR="009F4E94" w:rsidRPr="00252C01">
        <w:rPr>
          <w:color w:val="000000"/>
          <w:sz w:val="20"/>
        </w:rPr>
        <w:t xml:space="preserve"> [18]</w:t>
      </w:r>
      <w:r w:rsidR="00356605" w:rsidRPr="00252C01">
        <w:rPr>
          <w:color w:val="000000"/>
          <w:sz w:val="20"/>
        </w:rPr>
        <w:t xml:space="preserve">. </w:t>
      </w:r>
      <w:r w:rsidR="007E3C70">
        <w:rPr>
          <w:sz w:val="20"/>
        </w:rPr>
        <w:t>They argue that</w:t>
      </w:r>
      <w:r w:rsidR="00356605" w:rsidRPr="00252C01">
        <w:rPr>
          <w:sz w:val="20"/>
        </w:rPr>
        <w:t xml:space="preserve"> exempting SMRs from a federal impact assessment removes a key opportunity to consider the compatibility of the project with the “good of the society</w:t>
      </w:r>
      <w:proofErr w:type="gramStart"/>
      <w:r w:rsidR="00356605" w:rsidRPr="00252C01">
        <w:rPr>
          <w:sz w:val="20"/>
        </w:rPr>
        <w:t xml:space="preserve">”, </w:t>
      </w:r>
      <w:r w:rsidR="007E3C70">
        <w:rPr>
          <w:sz w:val="20"/>
        </w:rPr>
        <w:t>and</w:t>
      </w:r>
      <w:proofErr w:type="gramEnd"/>
      <w:r w:rsidR="007E3C70" w:rsidRPr="00252C01">
        <w:rPr>
          <w:sz w:val="20"/>
        </w:rPr>
        <w:t xml:space="preserve"> </w:t>
      </w:r>
      <w:r w:rsidR="00356605" w:rsidRPr="00252C01">
        <w:rPr>
          <w:sz w:val="20"/>
        </w:rPr>
        <w:t xml:space="preserve">compare </w:t>
      </w:r>
      <w:r w:rsidR="007E3C70">
        <w:rPr>
          <w:sz w:val="20"/>
        </w:rPr>
        <w:t>its</w:t>
      </w:r>
      <w:r w:rsidR="007E3C70" w:rsidRPr="00252C01">
        <w:rPr>
          <w:sz w:val="20"/>
        </w:rPr>
        <w:t xml:space="preserve"> </w:t>
      </w:r>
      <w:r w:rsidR="00356605" w:rsidRPr="00252C01">
        <w:rPr>
          <w:sz w:val="20"/>
        </w:rPr>
        <w:t>economic and environmental costs</w:t>
      </w:r>
      <w:r w:rsidR="007E3C70">
        <w:rPr>
          <w:sz w:val="20"/>
        </w:rPr>
        <w:t xml:space="preserve"> and</w:t>
      </w:r>
      <w:r w:rsidR="00356605" w:rsidRPr="00252C01">
        <w:rPr>
          <w:sz w:val="20"/>
        </w:rPr>
        <w:t xml:space="preserve"> benefits</w:t>
      </w:r>
      <w:r w:rsidR="007E3C70">
        <w:rPr>
          <w:sz w:val="20"/>
        </w:rPr>
        <w:t xml:space="preserve"> with</w:t>
      </w:r>
      <w:r w:rsidR="00356605" w:rsidRPr="00252C01">
        <w:rPr>
          <w:sz w:val="20"/>
        </w:rPr>
        <w:t xml:space="preserve"> alternatives - topics outside of the scope of the CNSC licensing process. CNSC officials have </w:t>
      </w:r>
      <w:r w:rsidR="007E3C70">
        <w:rPr>
          <w:sz w:val="20"/>
        </w:rPr>
        <w:t>remarked</w:t>
      </w:r>
      <w:r w:rsidR="00356605" w:rsidRPr="00252C01">
        <w:rPr>
          <w:sz w:val="20"/>
        </w:rPr>
        <w:t xml:space="preserve"> </w:t>
      </w:r>
      <w:r w:rsidR="009F4E94" w:rsidRPr="00252C01">
        <w:rPr>
          <w:sz w:val="20"/>
        </w:rPr>
        <w:t>[</w:t>
      </w:r>
      <w:r w:rsidR="00133C74">
        <w:rPr>
          <w:sz w:val="20"/>
        </w:rPr>
        <w:t>39</w:t>
      </w:r>
      <w:r w:rsidR="009F4E94" w:rsidRPr="00252C01">
        <w:rPr>
          <w:sz w:val="20"/>
        </w:rPr>
        <w:t>]</w:t>
      </w:r>
      <w:r w:rsidR="00356605" w:rsidRPr="00252C01">
        <w:rPr>
          <w:sz w:val="20"/>
        </w:rPr>
        <w:t xml:space="preserve"> that projects </w:t>
      </w:r>
      <w:r w:rsidR="007E3C70">
        <w:rPr>
          <w:sz w:val="20"/>
        </w:rPr>
        <w:t>exempt from an</w:t>
      </w:r>
      <w:r w:rsidR="00356605" w:rsidRPr="00252C01">
        <w:rPr>
          <w:sz w:val="20"/>
        </w:rPr>
        <w:t xml:space="preserve"> IA undergo an environmental protection review required by the </w:t>
      </w:r>
      <w:r w:rsidR="00356605" w:rsidRPr="00252C01">
        <w:rPr>
          <w:i/>
          <w:sz w:val="20"/>
        </w:rPr>
        <w:t>Nuclear Safety and Control Act</w:t>
      </w:r>
      <w:r w:rsidR="00356605" w:rsidRPr="00252C01">
        <w:rPr>
          <w:sz w:val="20"/>
        </w:rPr>
        <w:t>. However, this “is a science-based technical assessment conducted by CNSC staff”,</w:t>
      </w:r>
      <w:r w:rsidR="00356605" w:rsidRPr="00252C01">
        <w:rPr>
          <w:sz w:val="20"/>
          <w:vertAlign w:val="superscript"/>
        </w:rPr>
        <w:footnoteReference w:id="8"/>
      </w:r>
      <w:r w:rsidR="00356605" w:rsidRPr="00252C01">
        <w:rPr>
          <w:sz w:val="20"/>
        </w:rPr>
        <w:t xml:space="preserve"> and lack</w:t>
      </w:r>
      <w:r w:rsidR="006043AA" w:rsidRPr="00252C01">
        <w:rPr>
          <w:sz w:val="20"/>
        </w:rPr>
        <w:t>s</w:t>
      </w:r>
      <w:r w:rsidR="00356605" w:rsidRPr="00252C01">
        <w:rPr>
          <w:sz w:val="20"/>
        </w:rPr>
        <w:t xml:space="preserve"> the broad scope and citizen engagement characteristic of federal impact assessments.</w:t>
      </w:r>
    </w:p>
    <w:p w14:paraId="20908D67" w14:textId="14132492" w:rsidR="00356605" w:rsidRPr="00252C01" w:rsidRDefault="00356605" w:rsidP="00356605">
      <w:pPr>
        <w:pStyle w:val="Heading3"/>
      </w:pPr>
      <w:r w:rsidRPr="00252C01">
        <w:t>SMR reform in the Finnish media</w:t>
      </w:r>
    </w:p>
    <w:p w14:paraId="7494EDA5" w14:textId="31DDB145" w:rsidR="00356605" w:rsidRPr="00252C01" w:rsidRDefault="00356605" w:rsidP="00356605">
      <w:pPr>
        <w:spacing w:line="276" w:lineRule="auto"/>
        <w:ind w:firstLine="567"/>
        <w:jc w:val="both"/>
        <w:rPr>
          <w:sz w:val="20"/>
        </w:rPr>
      </w:pPr>
      <w:r w:rsidRPr="00252C01">
        <w:rPr>
          <w:sz w:val="20"/>
        </w:rPr>
        <w:t xml:space="preserve">The Swedish-language HBL mentioned SMR-regulation in December 2017, when the vice president of the Ecomodernist Society of Finland stated that international licensing and type approval would be </w:t>
      </w:r>
      <w:r w:rsidR="009F4E94" w:rsidRPr="00252C01">
        <w:rPr>
          <w:sz w:val="20"/>
        </w:rPr>
        <w:t>beneficial but</w:t>
      </w:r>
      <w:r w:rsidRPr="00252C01">
        <w:rPr>
          <w:sz w:val="20"/>
        </w:rPr>
        <w:t xml:space="preserve"> did not have concrete suggestions for the needed changes in the Nuclear Energy Act or the </w:t>
      </w:r>
      <w:proofErr w:type="spellStart"/>
      <w:r w:rsidR="00531A96">
        <w:rPr>
          <w:sz w:val="20"/>
        </w:rPr>
        <w:t>D</w:t>
      </w:r>
      <w:r w:rsidR="00961CB2">
        <w:rPr>
          <w:sz w:val="20"/>
        </w:rPr>
        <w:t>iP</w:t>
      </w:r>
      <w:proofErr w:type="spellEnd"/>
      <w:r w:rsidR="00961CB2">
        <w:rPr>
          <w:sz w:val="20"/>
        </w:rPr>
        <w:t xml:space="preserve"> </w:t>
      </w:r>
      <w:r w:rsidRPr="00252C01">
        <w:rPr>
          <w:sz w:val="20"/>
        </w:rPr>
        <w:t xml:space="preserve">procedures (HBL 18.12.2017). </w:t>
      </w:r>
      <w:r w:rsidR="00961CB2">
        <w:rPr>
          <w:sz w:val="20"/>
        </w:rPr>
        <w:t>A year later, t</w:t>
      </w:r>
      <w:r w:rsidRPr="00252C01">
        <w:rPr>
          <w:sz w:val="20"/>
        </w:rPr>
        <w:t xml:space="preserve">he first </w:t>
      </w:r>
      <w:r w:rsidR="00961CB2">
        <w:rPr>
          <w:sz w:val="20"/>
        </w:rPr>
        <w:t xml:space="preserve">HS </w:t>
      </w:r>
      <w:r w:rsidRPr="00252C01">
        <w:rPr>
          <w:sz w:val="20"/>
        </w:rPr>
        <w:t xml:space="preserve">article evoking SMR regulation (HS 13.02.2018) </w:t>
      </w:r>
      <w:r w:rsidR="00961CB2">
        <w:rPr>
          <w:sz w:val="20"/>
        </w:rPr>
        <w:t>mentioned</w:t>
      </w:r>
      <w:r w:rsidRPr="00252C01">
        <w:rPr>
          <w:sz w:val="20"/>
        </w:rPr>
        <w:t xml:space="preserve"> an expert assessment</w:t>
      </w:r>
      <w:r w:rsidR="00961CB2">
        <w:rPr>
          <w:sz w:val="20"/>
        </w:rPr>
        <w:t>,</w:t>
      </w:r>
      <w:r w:rsidRPr="00252C01">
        <w:rPr>
          <w:sz w:val="20"/>
        </w:rPr>
        <w:t xml:space="preserve"> which </w:t>
      </w:r>
      <w:r w:rsidR="00961CB2">
        <w:rPr>
          <w:sz w:val="20"/>
        </w:rPr>
        <w:t xml:space="preserve">considered SMR </w:t>
      </w:r>
      <w:r w:rsidRPr="00252C01">
        <w:rPr>
          <w:sz w:val="20"/>
        </w:rPr>
        <w:t>constructi</w:t>
      </w:r>
      <w:r w:rsidR="00961CB2">
        <w:rPr>
          <w:sz w:val="20"/>
        </w:rPr>
        <w:t>o</w:t>
      </w:r>
      <w:r w:rsidRPr="00252C01">
        <w:rPr>
          <w:sz w:val="20"/>
        </w:rPr>
        <w:t xml:space="preserve">n technically feasible </w:t>
      </w:r>
      <w:r w:rsidR="00961CB2">
        <w:rPr>
          <w:sz w:val="20"/>
        </w:rPr>
        <w:t>but</w:t>
      </w:r>
      <w:r w:rsidR="00961CB2" w:rsidRPr="00252C01">
        <w:rPr>
          <w:sz w:val="20"/>
        </w:rPr>
        <w:t xml:space="preserve"> </w:t>
      </w:r>
      <w:r w:rsidRPr="00252C01">
        <w:rPr>
          <w:sz w:val="20"/>
        </w:rPr>
        <w:t xml:space="preserve">impossible within the prevailing legislative framework. An expert from Finnish Energy, </w:t>
      </w:r>
      <w:r w:rsidR="00961CB2" w:rsidRPr="00252C01">
        <w:rPr>
          <w:sz w:val="20"/>
        </w:rPr>
        <w:t>the organisation representing electricity and district heating companies</w:t>
      </w:r>
      <w:r w:rsidR="00961CB2">
        <w:rPr>
          <w:sz w:val="20"/>
        </w:rPr>
        <w:t>,</w:t>
      </w:r>
      <w:r w:rsidR="00961CB2" w:rsidRPr="00252C01" w:rsidDel="00961CB2">
        <w:rPr>
          <w:sz w:val="20"/>
        </w:rPr>
        <w:t xml:space="preserve"> </w:t>
      </w:r>
      <w:r w:rsidRPr="00252C01">
        <w:rPr>
          <w:sz w:val="20"/>
        </w:rPr>
        <w:t xml:space="preserve">called for a legislative reform to enable the licensing of series-produced reactors. Later that year (HS 22.04.2018), the Helsinki municipal power company Helen </w:t>
      </w:r>
      <w:r w:rsidR="00961CB2">
        <w:rPr>
          <w:sz w:val="20"/>
        </w:rPr>
        <w:t>suggested</w:t>
      </w:r>
      <w:r w:rsidRPr="00252C01">
        <w:rPr>
          <w:sz w:val="20"/>
        </w:rPr>
        <w:t xml:space="preserve"> the size of the safety zones should be reduced to enable the siting of district heating SMRs near densely populated areas. Representatives of the power companies Fortum and </w:t>
      </w:r>
      <w:proofErr w:type="spellStart"/>
      <w:r w:rsidRPr="00252C01">
        <w:rPr>
          <w:sz w:val="20"/>
        </w:rPr>
        <w:t>Fennovoima</w:t>
      </w:r>
      <w:proofErr w:type="spellEnd"/>
      <w:r w:rsidRPr="00252C01">
        <w:rPr>
          <w:sz w:val="20"/>
        </w:rPr>
        <w:t xml:space="preserve"> pointed to the need for international standardisation and series production as key </w:t>
      </w:r>
      <w:r w:rsidR="00961CB2">
        <w:rPr>
          <w:sz w:val="20"/>
        </w:rPr>
        <w:t xml:space="preserve">regulatory </w:t>
      </w:r>
      <w:r w:rsidRPr="00252C01">
        <w:rPr>
          <w:sz w:val="20"/>
        </w:rPr>
        <w:t xml:space="preserve">challenges (HS 27.08.2019; HS 12.04.2021). A </w:t>
      </w:r>
      <w:r w:rsidR="00961CB2">
        <w:rPr>
          <w:sz w:val="20"/>
        </w:rPr>
        <w:t>recurrent</w:t>
      </w:r>
      <w:r w:rsidR="00961CB2" w:rsidRPr="00252C01">
        <w:rPr>
          <w:sz w:val="20"/>
        </w:rPr>
        <w:t xml:space="preserve"> </w:t>
      </w:r>
      <w:r w:rsidRPr="00252C01">
        <w:rPr>
          <w:sz w:val="20"/>
        </w:rPr>
        <w:t xml:space="preserve">theme was the need to harmonise regulation, licensing, and supervision at the EU-level (AL 05.02.2019; AL 29.09.2020; HBL 22.1.2021; HS 13.01.2023). This would also help keep costs </w:t>
      </w:r>
      <w:sdt>
        <w:sdtPr>
          <w:tag w:val="goog_rdk_50"/>
          <w:id w:val="-1742710054"/>
        </w:sdtPr>
        <w:sdtContent/>
      </w:sdt>
      <w:r w:rsidR="00961CB2">
        <w:rPr>
          <w:sz w:val="20"/>
        </w:rPr>
        <w:t>down</w:t>
      </w:r>
      <w:r w:rsidRPr="00252C01">
        <w:rPr>
          <w:sz w:val="20"/>
        </w:rPr>
        <w:t xml:space="preserve">, the CEO of Fortum argued (HBL 22.1.2021). A Green Party parliamentarian, among the active early proponents of SMRs in Finland, Atte </w:t>
      </w:r>
      <w:proofErr w:type="spellStart"/>
      <w:r w:rsidRPr="00252C01">
        <w:rPr>
          <w:sz w:val="20"/>
        </w:rPr>
        <w:t>Harjanne</w:t>
      </w:r>
      <w:proofErr w:type="spellEnd"/>
      <w:r w:rsidRPr="00252C01">
        <w:rPr>
          <w:sz w:val="20"/>
        </w:rPr>
        <w:t>, demanded rapid action to reform the “inflexible legislation” that slows down the introduction of SMRs (HS 20/07/2020).</w:t>
      </w:r>
    </w:p>
    <w:p w14:paraId="106DD89E" w14:textId="52ABFDD8" w:rsidR="00356605" w:rsidRPr="00252C01" w:rsidRDefault="00356605" w:rsidP="00356605">
      <w:pPr>
        <w:spacing w:line="276" w:lineRule="auto"/>
        <w:ind w:firstLine="567"/>
        <w:jc w:val="both"/>
        <w:rPr>
          <w:sz w:val="20"/>
        </w:rPr>
      </w:pPr>
      <w:r w:rsidRPr="00252C01">
        <w:rPr>
          <w:sz w:val="20"/>
        </w:rPr>
        <w:t>A Director-General of the M</w:t>
      </w:r>
      <w:r w:rsidR="00EC1B90">
        <w:rPr>
          <w:sz w:val="20"/>
        </w:rPr>
        <w:t xml:space="preserve">EAE </w:t>
      </w:r>
      <w:r w:rsidRPr="00252C01">
        <w:rPr>
          <w:sz w:val="20"/>
        </w:rPr>
        <w:t xml:space="preserve">mentioned “economically sustainable use of nuclear energy” as a key objective of </w:t>
      </w:r>
      <w:r w:rsidR="00EC1B90">
        <w:rPr>
          <w:sz w:val="20"/>
        </w:rPr>
        <w:t>the</w:t>
      </w:r>
      <w:r w:rsidRPr="00252C01">
        <w:rPr>
          <w:sz w:val="20"/>
        </w:rPr>
        <w:t xml:space="preserve"> legislative reform, alongside safety, consistency, clarity, and comprehensibility (HS 03.12.2021)</w:t>
      </w:r>
      <w:r w:rsidR="00EC1B90">
        <w:rPr>
          <w:sz w:val="20"/>
        </w:rPr>
        <w:t>.</w:t>
      </w:r>
      <w:r w:rsidRPr="00252C01">
        <w:rPr>
          <w:sz w:val="20"/>
        </w:rPr>
        <w:t xml:space="preserve"> </w:t>
      </w:r>
      <w:r w:rsidR="00EC1B90">
        <w:rPr>
          <w:sz w:val="20"/>
        </w:rPr>
        <w:t>T</w:t>
      </w:r>
      <w:r w:rsidRPr="00252C01">
        <w:rPr>
          <w:sz w:val="20"/>
        </w:rPr>
        <w:t xml:space="preserve">he head of SMR technology at </w:t>
      </w:r>
      <w:r w:rsidR="009F4E94" w:rsidRPr="00252C01">
        <w:rPr>
          <w:sz w:val="20"/>
        </w:rPr>
        <w:t xml:space="preserve">Helen </w:t>
      </w:r>
      <w:r w:rsidR="00EC1B90">
        <w:rPr>
          <w:sz w:val="20"/>
        </w:rPr>
        <w:t>evok</w:t>
      </w:r>
      <w:r w:rsidR="009F4E94" w:rsidRPr="00252C01">
        <w:rPr>
          <w:sz w:val="20"/>
        </w:rPr>
        <w:t>ed</w:t>
      </w:r>
      <w:r w:rsidRPr="00252C01">
        <w:rPr>
          <w:sz w:val="20"/>
        </w:rPr>
        <w:t xml:space="preserve"> the </w:t>
      </w:r>
      <w:r w:rsidR="00EC1B90">
        <w:rPr>
          <w:sz w:val="20"/>
        </w:rPr>
        <w:t>difficulty</w:t>
      </w:r>
      <w:r w:rsidR="00EC1B90" w:rsidRPr="00252C01">
        <w:rPr>
          <w:sz w:val="20"/>
        </w:rPr>
        <w:t xml:space="preserve"> </w:t>
      </w:r>
      <w:r w:rsidRPr="00252C01">
        <w:rPr>
          <w:sz w:val="20"/>
        </w:rPr>
        <w:t xml:space="preserve">of reforming the regulatory framework when no Western-country SMRs exist (HBL 9.12.2021). In January 2022, HS observed that a will to remove legislative barriers to the construction of SMRs was there, but that scale of the needed reform was unprecedented (HS 29.01.2022). Both STUK and a report from </w:t>
      </w:r>
      <w:r w:rsidR="00EC1B90">
        <w:rPr>
          <w:sz w:val="20"/>
        </w:rPr>
        <w:t xml:space="preserve">the </w:t>
      </w:r>
      <w:r w:rsidRPr="00252C01">
        <w:rPr>
          <w:sz w:val="20"/>
        </w:rPr>
        <w:t xml:space="preserve">LUT university repeated the earlier </w:t>
      </w:r>
      <w:r w:rsidR="00EC1B90">
        <w:rPr>
          <w:sz w:val="20"/>
        </w:rPr>
        <w:t>claim</w:t>
      </w:r>
      <w:r w:rsidR="00EC1B90" w:rsidRPr="00252C01">
        <w:rPr>
          <w:sz w:val="20"/>
        </w:rPr>
        <w:t xml:space="preserve"> </w:t>
      </w:r>
      <w:r w:rsidRPr="00252C01">
        <w:rPr>
          <w:sz w:val="20"/>
        </w:rPr>
        <w:t xml:space="preserve">that </w:t>
      </w:r>
      <w:r w:rsidR="00EC1B90">
        <w:rPr>
          <w:sz w:val="20"/>
        </w:rPr>
        <w:t xml:space="preserve">even the current legislation would enable the construction of </w:t>
      </w:r>
      <w:r w:rsidRPr="00252C01">
        <w:rPr>
          <w:sz w:val="20"/>
        </w:rPr>
        <w:t xml:space="preserve">SMRs, but </w:t>
      </w:r>
      <w:r w:rsidR="00EC1B90">
        <w:rPr>
          <w:sz w:val="20"/>
        </w:rPr>
        <w:t>that</w:t>
      </w:r>
      <w:r w:rsidR="00EC1B90" w:rsidRPr="00252C01">
        <w:rPr>
          <w:sz w:val="20"/>
        </w:rPr>
        <w:t xml:space="preserve"> </w:t>
      </w:r>
      <w:r w:rsidRPr="00252C01">
        <w:rPr>
          <w:sz w:val="20"/>
        </w:rPr>
        <w:t>harness</w:t>
      </w:r>
      <w:r w:rsidR="00EC1B90">
        <w:rPr>
          <w:sz w:val="20"/>
        </w:rPr>
        <w:t>ing</w:t>
      </w:r>
      <w:r w:rsidRPr="00252C01">
        <w:rPr>
          <w:sz w:val="20"/>
        </w:rPr>
        <w:t xml:space="preserve"> their full potential</w:t>
      </w:r>
      <w:r w:rsidR="00EC1B90">
        <w:rPr>
          <w:sz w:val="20"/>
        </w:rPr>
        <w:t xml:space="preserve"> would require</w:t>
      </w:r>
      <w:r w:rsidRPr="00252C01">
        <w:rPr>
          <w:sz w:val="20"/>
        </w:rPr>
        <w:t xml:space="preserve"> a regulatory reform (HS 29.01.2022, HBL 28.5.2022, HS 30.05.2022, HBL 30.5.2022). MEAE officials reminded</w:t>
      </w:r>
      <w:r w:rsidR="00EC1B90">
        <w:rPr>
          <w:sz w:val="20"/>
        </w:rPr>
        <w:t xml:space="preserve"> </w:t>
      </w:r>
      <w:r w:rsidRPr="00252C01">
        <w:rPr>
          <w:sz w:val="20"/>
        </w:rPr>
        <w:t xml:space="preserve">of the need to address </w:t>
      </w:r>
      <w:r w:rsidR="00EC1B90">
        <w:rPr>
          <w:sz w:val="20"/>
        </w:rPr>
        <w:t xml:space="preserve">the SMR waste issue </w:t>
      </w:r>
      <w:r w:rsidRPr="00252C01">
        <w:rPr>
          <w:sz w:val="20"/>
        </w:rPr>
        <w:t>in the regulatory reform (AL 02.09.2019; HBL 4.5.2022).</w:t>
      </w:r>
    </w:p>
    <w:p w14:paraId="611BDAAC" w14:textId="4628631E" w:rsidR="00356605" w:rsidRPr="00252C01" w:rsidRDefault="00356605" w:rsidP="00356605">
      <w:pPr>
        <w:spacing w:line="276" w:lineRule="auto"/>
        <w:ind w:firstLine="567"/>
        <w:jc w:val="both"/>
        <w:rPr>
          <w:sz w:val="20"/>
        </w:rPr>
      </w:pPr>
      <w:r w:rsidRPr="00252C01">
        <w:rPr>
          <w:sz w:val="20"/>
        </w:rPr>
        <w:t xml:space="preserve">In an interview in HS in January 2022, the Director-General of STUK, Petteri </w:t>
      </w:r>
      <w:proofErr w:type="spellStart"/>
      <w:r w:rsidRPr="00252C01">
        <w:rPr>
          <w:sz w:val="20"/>
        </w:rPr>
        <w:t>Tiippana</w:t>
      </w:r>
      <w:proofErr w:type="spellEnd"/>
      <w:r w:rsidRPr="00252C01">
        <w:rPr>
          <w:sz w:val="20"/>
        </w:rPr>
        <w:t xml:space="preserve">, recommended that the </w:t>
      </w:r>
      <w:proofErr w:type="spellStart"/>
      <w:r w:rsidRPr="00252C01">
        <w:rPr>
          <w:sz w:val="20"/>
        </w:rPr>
        <w:t>DiP</w:t>
      </w:r>
      <w:proofErr w:type="spellEnd"/>
      <w:r w:rsidRPr="00252C01">
        <w:rPr>
          <w:sz w:val="20"/>
        </w:rPr>
        <w:t xml:space="preserve"> process would be reserved for judging the desirability of nuclear energy in general </w:t>
      </w:r>
      <w:r w:rsidR="00EC1B90">
        <w:rPr>
          <w:sz w:val="20"/>
        </w:rPr>
        <w:t xml:space="preserve">– a </w:t>
      </w:r>
      <w:r w:rsidRPr="00252C01">
        <w:rPr>
          <w:sz w:val="20"/>
        </w:rPr>
        <w:t xml:space="preserve">political </w:t>
      </w:r>
      <w:r w:rsidRPr="00252C01">
        <w:rPr>
          <w:sz w:val="20"/>
        </w:rPr>
        <w:lastRenderedPageBreak/>
        <w:t xml:space="preserve">consideration not </w:t>
      </w:r>
      <w:r w:rsidR="00EC1B90">
        <w:rPr>
          <w:sz w:val="20"/>
        </w:rPr>
        <w:t>repeated</w:t>
      </w:r>
      <w:r w:rsidR="00EC1B90" w:rsidRPr="00252C01">
        <w:rPr>
          <w:sz w:val="20"/>
        </w:rPr>
        <w:t xml:space="preserve"> </w:t>
      </w:r>
      <w:r w:rsidR="00EC1B90">
        <w:rPr>
          <w:sz w:val="20"/>
        </w:rPr>
        <w:t>for</w:t>
      </w:r>
      <w:r w:rsidRPr="00252C01">
        <w:rPr>
          <w:sz w:val="20"/>
        </w:rPr>
        <w:t xml:space="preserve"> each individual SMR project (HS 29.01.2022). He further </w:t>
      </w:r>
      <w:r w:rsidR="00EC1B90">
        <w:rPr>
          <w:sz w:val="20"/>
        </w:rPr>
        <w:t>recommended separating</w:t>
      </w:r>
      <w:r w:rsidR="00EC1B90" w:rsidRPr="00252C01">
        <w:rPr>
          <w:sz w:val="20"/>
        </w:rPr>
        <w:t xml:space="preserve"> </w:t>
      </w:r>
      <w:r w:rsidRPr="00252C01">
        <w:rPr>
          <w:sz w:val="20"/>
        </w:rPr>
        <w:t xml:space="preserve">the choice of the reactor design from the </w:t>
      </w:r>
      <w:proofErr w:type="spellStart"/>
      <w:r w:rsidRPr="00252C01">
        <w:rPr>
          <w:sz w:val="20"/>
        </w:rPr>
        <w:t>DiP</w:t>
      </w:r>
      <w:proofErr w:type="spellEnd"/>
      <w:r w:rsidRPr="00252C01">
        <w:rPr>
          <w:sz w:val="20"/>
        </w:rPr>
        <w:t xml:space="preserve"> (ibid.).</w:t>
      </w:r>
    </w:p>
    <w:p w14:paraId="04A0D7F2" w14:textId="4B566A35" w:rsidR="00356605" w:rsidRPr="00252C01" w:rsidRDefault="00356605" w:rsidP="00356605">
      <w:pPr>
        <w:spacing w:line="276" w:lineRule="auto"/>
        <w:ind w:firstLine="567"/>
        <w:jc w:val="both"/>
        <w:rPr>
          <w:sz w:val="20"/>
        </w:rPr>
      </w:pPr>
      <w:r w:rsidRPr="00252C01">
        <w:rPr>
          <w:sz w:val="20"/>
        </w:rPr>
        <w:t>The allegedly slow speed of the reform generated dissatisfaction</w:t>
      </w:r>
      <w:r w:rsidR="006F0C79">
        <w:rPr>
          <w:sz w:val="20"/>
        </w:rPr>
        <w:t xml:space="preserve"> among business representatives</w:t>
      </w:r>
      <w:r w:rsidRPr="00252C01">
        <w:rPr>
          <w:sz w:val="20"/>
        </w:rPr>
        <w:t xml:space="preserve"> (</w:t>
      </w:r>
      <w:r w:rsidR="006F0C79">
        <w:rPr>
          <w:sz w:val="20"/>
        </w:rPr>
        <w:t>HS</w:t>
      </w:r>
      <w:r w:rsidR="00531A96">
        <w:rPr>
          <w:sz w:val="20"/>
        </w:rPr>
        <w:t xml:space="preserve"> </w:t>
      </w:r>
      <w:r w:rsidRPr="00252C01">
        <w:rPr>
          <w:sz w:val="20"/>
        </w:rPr>
        <w:t>09.02.2022)</w:t>
      </w:r>
      <w:r w:rsidR="006F0C79">
        <w:rPr>
          <w:sz w:val="20"/>
        </w:rPr>
        <w:t>.</w:t>
      </w:r>
      <w:r w:rsidRPr="00252C01">
        <w:rPr>
          <w:sz w:val="20"/>
        </w:rPr>
        <w:t xml:space="preserve"> </w:t>
      </w:r>
      <w:r w:rsidR="006F0C79">
        <w:rPr>
          <w:sz w:val="20"/>
        </w:rPr>
        <w:t>T</w:t>
      </w:r>
      <w:r w:rsidRPr="00252C01">
        <w:rPr>
          <w:sz w:val="20"/>
        </w:rPr>
        <w:t xml:space="preserve">he need to expedite the process became a prominent topic in 2022, following the energy crisis and in </w:t>
      </w:r>
      <w:r w:rsidR="006F0C79">
        <w:rPr>
          <w:sz w:val="20"/>
        </w:rPr>
        <w:t xml:space="preserve">the run-up for </w:t>
      </w:r>
      <w:r w:rsidRPr="00252C01">
        <w:rPr>
          <w:sz w:val="20"/>
        </w:rPr>
        <w:t>the parliamentary elections (e.g., HBL 29.6.2022a, HS 10.09.2022, HBL 27.9.2022 HS 17.10.2022, 20.10.2022, 24.11.2022), and remained central in 2023 (HS 06.03.2023, 25.03.2023, 20.04.2023, AL 17.03.2023, HBL 7.12.2023). To speed up the process, a leading Centre Party parliamentarian called for collaboration between industry, authorities, and researchers (AL 12.10.2022)</w:t>
      </w:r>
      <w:r w:rsidR="006F0C79">
        <w:rPr>
          <w:sz w:val="20"/>
        </w:rPr>
        <w:t>.</w:t>
      </w:r>
      <w:r w:rsidRPr="00252C01">
        <w:rPr>
          <w:sz w:val="20"/>
        </w:rPr>
        <w:t xml:space="preserve"> </w:t>
      </w:r>
      <w:r w:rsidR="006F0C79">
        <w:rPr>
          <w:sz w:val="20"/>
        </w:rPr>
        <w:t>T</w:t>
      </w:r>
      <w:r w:rsidRPr="00252C01">
        <w:rPr>
          <w:sz w:val="20"/>
        </w:rPr>
        <w:t xml:space="preserve">he </w:t>
      </w:r>
      <w:r w:rsidR="006F0C79">
        <w:rPr>
          <w:sz w:val="20"/>
        </w:rPr>
        <w:t xml:space="preserve">director of </w:t>
      </w:r>
      <w:r w:rsidRPr="00252C01">
        <w:rPr>
          <w:sz w:val="20"/>
        </w:rPr>
        <w:t>Fortum</w:t>
      </w:r>
      <w:r w:rsidR="00B466D3" w:rsidRPr="00252C01">
        <w:rPr>
          <w:sz w:val="20"/>
        </w:rPr>
        <w:t xml:space="preserve"> </w:t>
      </w:r>
      <w:r w:rsidRPr="00252C01">
        <w:rPr>
          <w:sz w:val="20"/>
        </w:rPr>
        <w:t xml:space="preserve">suggested fast-tracking SMR regulation reform by separating it from the Nuclear Energy </w:t>
      </w:r>
      <w:sdt>
        <w:sdtPr>
          <w:tag w:val="goog_rdk_51"/>
          <w:id w:val="1397784335"/>
        </w:sdtPr>
        <w:sdtContent/>
      </w:sdt>
      <w:r w:rsidRPr="00252C01">
        <w:rPr>
          <w:sz w:val="20"/>
        </w:rPr>
        <w:t xml:space="preserve">Act </w:t>
      </w:r>
      <w:r w:rsidR="006F0C79">
        <w:rPr>
          <w:sz w:val="20"/>
        </w:rPr>
        <w:t xml:space="preserve">reform </w:t>
      </w:r>
      <w:r w:rsidRPr="00252C01">
        <w:rPr>
          <w:sz w:val="20"/>
        </w:rPr>
        <w:t xml:space="preserve">(HS 17.10.2022). AL (18.01.2023) noted the lengthy zoning process and the associated uncertainties as a bottleneck for SMRs. </w:t>
      </w:r>
    </w:p>
    <w:p w14:paraId="006B783B" w14:textId="20EC3B32" w:rsidR="00356605" w:rsidRPr="00252C01" w:rsidRDefault="00356605" w:rsidP="005D09AC">
      <w:pPr>
        <w:spacing w:line="276" w:lineRule="auto"/>
        <w:ind w:firstLine="567"/>
        <w:jc w:val="both"/>
      </w:pPr>
      <w:r w:rsidRPr="00252C01">
        <w:rPr>
          <w:sz w:val="20"/>
        </w:rPr>
        <w:t>During the latter half of 2023, the new government</w:t>
      </w:r>
      <w:r w:rsidR="006F0C79">
        <w:rPr>
          <w:sz w:val="20"/>
        </w:rPr>
        <w:t>’s</w:t>
      </w:r>
      <w:r w:rsidRPr="00252C01">
        <w:rPr>
          <w:sz w:val="20"/>
        </w:rPr>
        <w:t xml:space="preserve"> programme and </w:t>
      </w:r>
      <w:r w:rsidR="006F0C79">
        <w:rPr>
          <w:sz w:val="20"/>
        </w:rPr>
        <w:t>its</w:t>
      </w:r>
      <w:r w:rsidRPr="00252C01">
        <w:rPr>
          <w:sz w:val="20"/>
        </w:rPr>
        <w:t xml:space="preserve"> approach to regulatory change</w:t>
      </w:r>
      <w:r w:rsidR="006F0C79">
        <w:rPr>
          <w:sz w:val="20"/>
        </w:rPr>
        <w:t xml:space="preserve"> generated debate</w:t>
      </w:r>
      <w:r w:rsidRPr="00252C01">
        <w:rPr>
          <w:sz w:val="20"/>
        </w:rPr>
        <w:t xml:space="preserve">. In June, HS (16.06.2023) repeated the possibility evoked by the STUK director </w:t>
      </w:r>
      <w:proofErr w:type="spellStart"/>
      <w:r w:rsidRPr="00252C01">
        <w:rPr>
          <w:sz w:val="20"/>
        </w:rPr>
        <w:t>Tiippana</w:t>
      </w:r>
      <w:proofErr w:type="spellEnd"/>
      <w:r w:rsidRPr="00252C01">
        <w:rPr>
          <w:sz w:val="20"/>
        </w:rPr>
        <w:t xml:space="preserve"> in the previous year, that is, the exemption of SMRs from the </w:t>
      </w:r>
      <w:proofErr w:type="spellStart"/>
      <w:r w:rsidRPr="00252C01">
        <w:rPr>
          <w:sz w:val="20"/>
        </w:rPr>
        <w:t>DiP</w:t>
      </w:r>
      <w:proofErr w:type="spellEnd"/>
      <w:r w:rsidRPr="00252C01">
        <w:rPr>
          <w:sz w:val="20"/>
        </w:rPr>
        <w:t xml:space="preserve">. HS </w:t>
      </w:r>
      <w:r w:rsidR="00454A0D" w:rsidRPr="00252C01">
        <w:rPr>
          <w:sz w:val="20"/>
        </w:rPr>
        <w:t>note</w:t>
      </w:r>
      <w:r w:rsidR="006F0C79">
        <w:rPr>
          <w:sz w:val="20"/>
        </w:rPr>
        <w:t>d</w:t>
      </w:r>
      <w:r w:rsidRPr="00252C01">
        <w:rPr>
          <w:sz w:val="20"/>
        </w:rPr>
        <w:t xml:space="preserve"> that the government programme explicitly mentioned nuclear power for district heating (HS 29.11.2023) and that the director of STUK and the environment minister </w:t>
      </w:r>
      <w:r w:rsidR="006F0C79">
        <w:rPr>
          <w:sz w:val="20"/>
        </w:rPr>
        <w:t xml:space="preserve">foresaw the removal of </w:t>
      </w:r>
      <w:r w:rsidRPr="00252C01">
        <w:rPr>
          <w:sz w:val="20"/>
        </w:rPr>
        <w:t xml:space="preserve">the safety zone requirements for SMRs (HS 22.06.2023, 29.11.2023; 20.06.2023). HBL </w:t>
      </w:r>
      <w:r w:rsidR="006F0C79">
        <w:rPr>
          <w:sz w:val="20"/>
        </w:rPr>
        <w:t>stress</w:t>
      </w:r>
      <w:r w:rsidRPr="00252C01">
        <w:rPr>
          <w:sz w:val="20"/>
        </w:rPr>
        <w:t>ed that SMR developers considered type approval as particularly important (06.02.2023, 27.06.2023).</w:t>
      </w:r>
    </w:p>
    <w:p w14:paraId="22ED5809" w14:textId="5F59AB16" w:rsidR="00356605" w:rsidRPr="00252C01" w:rsidRDefault="00356605" w:rsidP="00356605">
      <w:pPr>
        <w:pStyle w:val="Heading2"/>
      </w:pPr>
      <w:r w:rsidRPr="00252C01">
        <w:t xml:space="preserve"> Conclusions</w:t>
      </w:r>
    </w:p>
    <w:p w14:paraId="00A99107" w14:textId="21DA8905" w:rsidR="00356605" w:rsidRPr="00252C01" w:rsidRDefault="00356605" w:rsidP="00356605">
      <w:pPr>
        <w:spacing w:line="276" w:lineRule="auto"/>
        <w:ind w:firstLine="567"/>
        <w:jc w:val="both"/>
        <w:rPr>
          <w:sz w:val="20"/>
        </w:rPr>
      </w:pPr>
      <w:r w:rsidRPr="00252C01">
        <w:rPr>
          <w:sz w:val="20"/>
        </w:rPr>
        <w:t xml:space="preserve">The construction of the SMR promise is relatively advanced both in Canada and in Finland, yet in terms of institutionalisation of that promise through regulatory reforms, Canada is clearly ahead. </w:t>
      </w:r>
      <w:r w:rsidR="007873D9">
        <w:rPr>
          <w:sz w:val="20"/>
        </w:rPr>
        <w:t>Over the years, the country has implemented s</w:t>
      </w:r>
      <w:r w:rsidRPr="00252C01">
        <w:rPr>
          <w:sz w:val="20"/>
        </w:rPr>
        <w:t xml:space="preserve">ignificant reforms designed to facilitate the introduction of SMRs, and further reforms are underway, whereas the Finnish reforms are </w:t>
      </w:r>
      <w:r w:rsidR="00EC720D" w:rsidRPr="00252C01">
        <w:rPr>
          <w:sz w:val="20"/>
        </w:rPr>
        <w:t>still at an early phase</w:t>
      </w:r>
      <w:r w:rsidRPr="00252C01">
        <w:rPr>
          <w:sz w:val="20"/>
        </w:rPr>
        <w:t>. Debates concerning the pros and cons of regulatory reforms in Canada date back to the ‘00s, and controversies continue until today, including persistent suspicion</w:t>
      </w:r>
      <w:r w:rsidR="007873D9">
        <w:rPr>
          <w:sz w:val="20"/>
        </w:rPr>
        <w:t>s</w:t>
      </w:r>
      <w:r w:rsidRPr="00252C01">
        <w:rPr>
          <w:sz w:val="20"/>
        </w:rPr>
        <w:t xml:space="preserve"> of regulatory capture. In Finland, such debates are yet to begin. Industry players and other SMR advocates in Canada but also abroad use CNSC as a good practice example for other countries’ safety authorities, most notably the US NRC, criticised for </w:t>
      </w:r>
      <w:r w:rsidR="007873D9">
        <w:rPr>
          <w:sz w:val="20"/>
        </w:rPr>
        <w:t>hamper</w:t>
      </w:r>
      <w:r w:rsidR="00EC720D" w:rsidRPr="00252C01">
        <w:rPr>
          <w:sz w:val="20"/>
        </w:rPr>
        <w:t xml:space="preserve">ing SMR deployment by </w:t>
      </w:r>
      <w:r w:rsidRPr="00252C01">
        <w:rPr>
          <w:sz w:val="20"/>
        </w:rPr>
        <w:t xml:space="preserve">excessively prescriptive regulation. Canadian </w:t>
      </w:r>
      <w:r w:rsidR="00EC720D" w:rsidRPr="00252C01">
        <w:rPr>
          <w:sz w:val="20"/>
        </w:rPr>
        <w:t>SMR proponents</w:t>
      </w:r>
      <w:r w:rsidRPr="00252C01">
        <w:rPr>
          <w:sz w:val="20"/>
        </w:rPr>
        <w:t xml:space="preserve"> use CNSC as a tool in marketing a Canadian-led global SMR “renaissance”, and CNSC directors have openly campaigned for SMRs. The </w:t>
      </w:r>
      <w:r w:rsidR="00EC720D" w:rsidRPr="00252C01">
        <w:rPr>
          <w:sz w:val="20"/>
        </w:rPr>
        <w:t xml:space="preserve">country’s </w:t>
      </w:r>
      <w:r w:rsidRPr="00252C01">
        <w:rPr>
          <w:sz w:val="20"/>
        </w:rPr>
        <w:t xml:space="preserve">regulatory reforms have largely followed </w:t>
      </w:r>
      <w:r w:rsidR="00EC720D" w:rsidRPr="00252C01">
        <w:rPr>
          <w:sz w:val="20"/>
        </w:rPr>
        <w:t xml:space="preserve">industry </w:t>
      </w:r>
      <w:r w:rsidRPr="00252C01">
        <w:rPr>
          <w:sz w:val="20"/>
        </w:rPr>
        <w:t xml:space="preserve">demands. </w:t>
      </w:r>
      <w:r w:rsidR="00EC720D" w:rsidRPr="00252C01">
        <w:rPr>
          <w:sz w:val="20"/>
        </w:rPr>
        <w:t>The experience of controversial</w:t>
      </w:r>
      <w:r w:rsidRPr="00252C01">
        <w:rPr>
          <w:sz w:val="20"/>
        </w:rPr>
        <w:t xml:space="preserve"> regulatory reforms in other industry sectors in Canada</w:t>
      </w:r>
      <w:r w:rsidR="00EC720D" w:rsidRPr="00252C01">
        <w:rPr>
          <w:sz w:val="20"/>
        </w:rPr>
        <w:t>,</w:t>
      </w:r>
      <w:r w:rsidRPr="00252C01">
        <w:rPr>
          <w:sz w:val="20"/>
        </w:rPr>
        <w:t xml:space="preserve"> and the problematic </w:t>
      </w:r>
      <w:r w:rsidR="00EC720D" w:rsidRPr="00252C01">
        <w:rPr>
          <w:sz w:val="20"/>
        </w:rPr>
        <w:t xml:space="preserve">legacy </w:t>
      </w:r>
      <w:r w:rsidRPr="00252C01">
        <w:rPr>
          <w:sz w:val="20"/>
        </w:rPr>
        <w:t xml:space="preserve">of </w:t>
      </w:r>
      <w:r w:rsidR="00EC720D" w:rsidRPr="00252C01">
        <w:rPr>
          <w:sz w:val="20"/>
        </w:rPr>
        <w:t xml:space="preserve">megaprojects in </w:t>
      </w:r>
      <w:r w:rsidRPr="00252C01">
        <w:rPr>
          <w:sz w:val="20"/>
        </w:rPr>
        <w:t xml:space="preserve">Indigenous communities, </w:t>
      </w:r>
      <w:r w:rsidR="00EC720D" w:rsidRPr="00252C01">
        <w:rPr>
          <w:sz w:val="20"/>
        </w:rPr>
        <w:t>further</w:t>
      </w:r>
      <w:r w:rsidRPr="00252C01">
        <w:rPr>
          <w:sz w:val="20"/>
        </w:rPr>
        <w:t xml:space="preserve"> help to explain the doubts among civil society, Indigenous, and academic</w:t>
      </w:r>
      <w:r w:rsidR="00215455" w:rsidRPr="00252C01">
        <w:rPr>
          <w:sz w:val="20"/>
        </w:rPr>
        <w:t xml:space="preserve"> communities</w:t>
      </w:r>
      <w:r w:rsidRPr="00252C01">
        <w:rPr>
          <w:sz w:val="20"/>
        </w:rPr>
        <w:t xml:space="preserve"> concerning the independence of the regulator. </w:t>
      </w:r>
    </w:p>
    <w:p w14:paraId="042D5FFC" w14:textId="4AD16852" w:rsidR="00356605" w:rsidRPr="00252C01" w:rsidRDefault="00356605" w:rsidP="00356605">
      <w:pPr>
        <w:spacing w:line="276" w:lineRule="auto"/>
        <w:ind w:firstLine="567"/>
        <w:jc w:val="both"/>
        <w:rPr>
          <w:sz w:val="20"/>
        </w:rPr>
      </w:pPr>
      <w:r w:rsidRPr="00252C01">
        <w:rPr>
          <w:sz w:val="20"/>
        </w:rPr>
        <w:t xml:space="preserve">The Canadian example highlights the risks involved in regulatory reforms. </w:t>
      </w:r>
      <w:r w:rsidR="00215455" w:rsidRPr="00252C01">
        <w:rPr>
          <w:sz w:val="20"/>
        </w:rPr>
        <w:t>Unlike in Canada, c</w:t>
      </w:r>
      <w:r w:rsidRPr="00252C01">
        <w:rPr>
          <w:sz w:val="20"/>
        </w:rPr>
        <w:t xml:space="preserve">laims of regulatory capture have thus far been absent from the Finnish SMR regulation debate, </w:t>
      </w:r>
      <w:r w:rsidR="00215455" w:rsidRPr="00252C01">
        <w:rPr>
          <w:sz w:val="20"/>
        </w:rPr>
        <w:t xml:space="preserve">in the context of exceptionally high public trust in the national </w:t>
      </w:r>
      <w:r w:rsidRPr="00252C01">
        <w:rPr>
          <w:sz w:val="20"/>
        </w:rPr>
        <w:t xml:space="preserve">nuclear safety regulator, and the </w:t>
      </w:r>
      <w:r w:rsidR="00215455" w:rsidRPr="00252C01">
        <w:rPr>
          <w:sz w:val="20"/>
        </w:rPr>
        <w:t>absence of a</w:t>
      </w:r>
      <w:r w:rsidR="00F13913">
        <w:rPr>
          <w:sz w:val="20"/>
        </w:rPr>
        <w:t>n</w:t>
      </w:r>
      <w:r w:rsidR="00215455" w:rsidRPr="00252C01">
        <w:rPr>
          <w:sz w:val="20"/>
        </w:rPr>
        <w:t xml:space="preserve"> </w:t>
      </w:r>
      <w:r w:rsidRPr="00252C01">
        <w:rPr>
          <w:sz w:val="20"/>
        </w:rPr>
        <w:t>“Indigenous issue</w:t>
      </w:r>
      <w:r w:rsidR="00215455" w:rsidRPr="00252C01">
        <w:rPr>
          <w:sz w:val="20"/>
        </w:rPr>
        <w:t>”</w:t>
      </w:r>
      <w:r w:rsidR="00F13913">
        <w:rPr>
          <w:sz w:val="20"/>
        </w:rPr>
        <w:t xml:space="preserve"> of the kind that shapes policymaking in Canada</w:t>
      </w:r>
      <w:r w:rsidRPr="00252C01">
        <w:rPr>
          <w:sz w:val="20"/>
        </w:rPr>
        <w:t xml:space="preserve">. Moreover, the more political set-up of the regulatory system in Canada (with appointed commissioners) as opposed to the civil-servant-driven system in Finland may reduce the risk of the regulator being perceived as “captured” by industry. </w:t>
      </w:r>
      <w:r w:rsidR="00215455" w:rsidRPr="00252C01">
        <w:rPr>
          <w:sz w:val="20"/>
        </w:rPr>
        <w:t>Yet</w:t>
      </w:r>
      <w:r w:rsidRPr="00252C01">
        <w:rPr>
          <w:sz w:val="20"/>
        </w:rPr>
        <w:t>,</w:t>
      </w:r>
      <w:r w:rsidR="00B01573">
        <w:rPr>
          <w:sz w:val="20"/>
        </w:rPr>
        <w:t xml:space="preserve"> c</w:t>
      </w:r>
      <w:r w:rsidRPr="00252C01">
        <w:rPr>
          <w:sz w:val="20"/>
        </w:rPr>
        <w:t xml:space="preserve">aution </w:t>
      </w:r>
      <w:r w:rsidR="00215455" w:rsidRPr="00252C01">
        <w:rPr>
          <w:sz w:val="20"/>
        </w:rPr>
        <w:t xml:space="preserve">is warranted even in Finland </w:t>
      </w:r>
      <w:r w:rsidRPr="00252C01">
        <w:rPr>
          <w:sz w:val="20"/>
        </w:rPr>
        <w:t xml:space="preserve">against reforms that might be perceived </w:t>
      </w:r>
      <w:r w:rsidR="00A964F2">
        <w:rPr>
          <w:sz w:val="20"/>
        </w:rPr>
        <w:t>as</w:t>
      </w:r>
      <w:r w:rsidR="00A964F2" w:rsidRPr="00252C01">
        <w:rPr>
          <w:sz w:val="20"/>
        </w:rPr>
        <w:t xml:space="preserve"> </w:t>
      </w:r>
      <w:r w:rsidRPr="00252C01">
        <w:rPr>
          <w:sz w:val="20"/>
        </w:rPr>
        <w:t>compromis</w:t>
      </w:r>
      <w:r w:rsidR="00A964F2">
        <w:rPr>
          <w:sz w:val="20"/>
        </w:rPr>
        <w:t>ing</w:t>
      </w:r>
      <w:r w:rsidRPr="00252C01">
        <w:rPr>
          <w:sz w:val="20"/>
        </w:rPr>
        <w:t xml:space="preserve"> the integrity of the regulatory system. T</w:t>
      </w:r>
      <w:r w:rsidRPr="00252C01">
        <w:rPr>
          <w:color w:val="000000"/>
          <w:sz w:val="20"/>
        </w:rPr>
        <w:t>he extremely high public trust in the regulator</w:t>
      </w:r>
      <w:r w:rsidR="00215455" w:rsidRPr="00252C01">
        <w:rPr>
          <w:color w:val="000000"/>
          <w:sz w:val="20"/>
        </w:rPr>
        <w:t>,</w:t>
      </w:r>
      <w:r w:rsidRPr="00252C01">
        <w:rPr>
          <w:color w:val="000000"/>
          <w:sz w:val="20"/>
        </w:rPr>
        <w:t xml:space="preserve"> the culture of consensus, </w:t>
      </w:r>
      <w:r w:rsidR="00215455" w:rsidRPr="00252C01">
        <w:rPr>
          <w:color w:val="000000"/>
          <w:sz w:val="20"/>
        </w:rPr>
        <w:t xml:space="preserve">the </w:t>
      </w:r>
      <w:r w:rsidRPr="00252C01">
        <w:rPr>
          <w:color w:val="000000"/>
          <w:sz w:val="20"/>
        </w:rPr>
        <w:t xml:space="preserve">strong mutual trust between </w:t>
      </w:r>
      <w:r w:rsidR="00A964F2">
        <w:rPr>
          <w:color w:val="000000"/>
          <w:sz w:val="20"/>
        </w:rPr>
        <w:t>the</w:t>
      </w:r>
      <w:r w:rsidR="00A964F2" w:rsidRPr="00252C01">
        <w:rPr>
          <w:color w:val="000000"/>
          <w:sz w:val="20"/>
        </w:rPr>
        <w:t xml:space="preserve"> </w:t>
      </w:r>
      <w:r w:rsidRPr="00252C01">
        <w:rPr>
          <w:color w:val="000000"/>
          <w:sz w:val="20"/>
        </w:rPr>
        <w:t xml:space="preserve">involved actors, and the power of “inner circles” have been highlighted as potential weaknesses in the Finnish regulatory system </w:t>
      </w:r>
      <w:r w:rsidR="00454A0D" w:rsidRPr="00252C01">
        <w:rPr>
          <w:color w:val="000000"/>
          <w:sz w:val="20"/>
        </w:rPr>
        <w:t>[</w:t>
      </w:r>
      <w:r w:rsidR="00454A0D" w:rsidRPr="00252C01">
        <w:rPr>
          <w:sz w:val="20"/>
        </w:rPr>
        <w:t>4</w:t>
      </w:r>
      <w:r w:rsidR="00D04685">
        <w:rPr>
          <w:sz w:val="20"/>
        </w:rPr>
        <w:t>0</w:t>
      </w:r>
      <w:r w:rsidR="005B63D8">
        <w:rPr>
          <w:sz w:val="20"/>
        </w:rPr>
        <w:t>-4</w:t>
      </w:r>
      <w:r w:rsidR="00D04685">
        <w:rPr>
          <w:sz w:val="20"/>
        </w:rPr>
        <w:t>4</w:t>
      </w:r>
      <w:r w:rsidR="00454A0D" w:rsidRPr="00252C01">
        <w:rPr>
          <w:sz w:val="20"/>
        </w:rPr>
        <w:t>].</w:t>
      </w:r>
      <w:r w:rsidRPr="00252C01">
        <w:rPr>
          <w:sz w:val="20"/>
        </w:rPr>
        <w:t xml:space="preserve"> </w:t>
      </w:r>
    </w:p>
    <w:p w14:paraId="5BC800FE" w14:textId="4059BA84" w:rsidR="00356605" w:rsidRPr="00252C01" w:rsidRDefault="00356605" w:rsidP="00356605">
      <w:pPr>
        <w:spacing w:line="276" w:lineRule="auto"/>
        <w:ind w:firstLine="567"/>
        <w:jc w:val="both"/>
        <w:rPr>
          <w:sz w:val="20"/>
        </w:rPr>
      </w:pPr>
      <w:r w:rsidRPr="00252C01">
        <w:rPr>
          <w:sz w:val="20"/>
        </w:rPr>
        <w:t xml:space="preserve">In </w:t>
      </w:r>
      <w:r w:rsidR="009B7FC1">
        <w:rPr>
          <w:sz w:val="20"/>
        </w:rPr>
        <w:t>light</w:t>
      </w:r>
      <w:r w:rsidR="009B7FC1" w:rsidRPr="00252C01">
        <w:rPr>
          <w:sz w:val="20"/>
        </w:rPr>
        <w:t xml:space="preserve"> </w:t>
      </w:r>
      <w:r w:rsidRPr="00252C01">
        <w:rPr>
          <w:sz w:val="20"/>
        </w:rPr>
        <w:t xml:space="preserve">of the </w:t>
      </w:r>
      <w:r w:rsidR="00F05B3C">
        <w:rPr>
          <w:sz w:val="20"/>
        </w:rPr>
        <w:t xml:space="preserve">Canadian </w:t>
      </w:r>
      <w:r w:rsidR="00CE512D" w:rsidRPr="00252C01">
        <w:rPr>
          <w:sz w:val="20"/>
        </w:rPr>
        <w:t xml:space="preserve">concerns over </w:t>
      </w:r>
      <w:r w:rsidRPr="00252C01">
        <w:rPr>
          <w:sz w:val="20"/>
        </w:rPr>
        <w:t xml:space="preserve">the </w:t>
      </w:r>
      <w:r w:rsidR="00CE512D" w:rsidRPr="00252C01">
        <w:rPr>
          <w:sz w:val="20"/>
        </w:rPr>
        <w:t xml:space="preserve">consequences of the </w:t>
      </w:r>
      <w:r w:rsidRPr="00252C01">
        <w:rPr>
          <w:sz w:val="20"/>
        </w:rPr>
        <w:t xml:space="preserve">impact assessment reform </w:t>
      </w:r>
      <w:r w:rsidR="00CE512D" w:rsidRPr="00252C01">
        <w:rPr>
          <w:sz w:val="20"/>
        </w:rPr>
        <w:t xml:space="preserve">for </w:t>
      </w:r>
      <w:r w:rsidRPr="00252C01">
        <w:rPr>
          <w:sz w:val="20"/>
        </w:rPr>
        <w:t>democratic decision-making, the suggestions to exempt individual SMR projects in Finland from the Decision-in-</w:t>
      </w:r>
      <w:proofErr w:type="gramStart"/>
      <w:r w:rsidRPr="00252C01">
        <w:rPr>
          <w:sz w:val="20"/>
        </w:rPr>
        <w:t>Principle</w:t>
      </w:r>
      <w:proofErr w:type="gramEnd"/>
      <w:r w:rsidRPr="00252C01">
        <w:rPr>
          <w:sz w:val="20"/>
        </w:rPr>
        <w:t xml:space="preserve"> procedure a</w:t>
      </w:r>
      <w:r w:rsidR="009B7FC1">
        <w:rPr>
          <w:sz w:val="20"/>
        </w:rPr>
        <w:t>re</w:t>
      </w:r>
      <w:r w:rsidRPr="00252C01">
        <w:rPr>
          <w:sz w:val="20"/>
        </w:rPr>
        <w:t xml:space="preserve"> critical. The</w:t>
      </w:r>
      <w:r w:rsidR="009B7FC1">
        <w:rPr>
          <w:sz w:val="20"/>
        </w:rPr>
        <w:t>y</w:t>
      </w:r>
      <w:r w:rsidRPr="00252C01">
        <w:rPr>
          <w:sz w:val="20"/>
        </w:rPr>
        <w:t xml:space="preserve"> also </w:t>
      </w:r>
      <w:r w:rsidR="00F05B3C">
        <w:rPr>
          <w:sz w:val="20"/>
        </w:rPr>
        <w:t>remind us of the</w:t>
      </w:r>
      <w:r w:rsidRPr="00252C01">
        <w:rPr>
          <w:sz w:val="20"/>
        </w:rPr>
        <w:t xml:space="preserve"> fluid boundaries between “the political” and “the regulatory”. </w:t>
      </w:r>
      <w:r w:rsidR="00F05B3C">
        <w:rPr>
          <w:sz w:val="20"/>
        </w:rPr>
        <w:t>For</w:t>
      </w:r>
      <w:r w:rsidR="00F05B3C" w:rsidRPr="00252C01">
        <w:rPr>
          <w:sz w:val="20"/>
        </w:rPr>
        <w:t xml:space="preserve"> </w:t>
      </w:r>
      <w:r w:rsidRPr="00252C01">
        <w:rPr>
          <w:sz w:val="20"/>
        </w:rPr>
        <w:t>the SMR promise to earn “throughput legitimacy”</w:t>
      </w:r>
      <w:r w:rsidR="00CE512D" w:rsidRPr="00252C01">
        <w:rPr>
          <w:sz w:val="20"/>
        </w:rPr>
        <w:t>,</w:t>
      </w:r>
      <w:r w:rsidRPr="00252C01">
        <w:rPr>
          <w:sz w:val="20"/>
        </w:rPr>
        <w:t xml:space="preserve"> the</w:t>
      </w:r>
      <w:r w:rsidR="009B7FC1">
        <w:rPr>
          <w:sz w:val="20"/>
        </w:rPr>
        <w:t xml:space="preserve"> system </w:t>
      </w:r>
      <w:r w:rsidR="00CE512D" w:rsidRPr="00252C01">
        <w:rPr>
          <w:sz w:val="20"/>
        </w:rPr>
        <w:t>must</w:t>
      </w:r>
      <w:r w:rsidRPr="00252C01">
        <w:rPr>
          <w:sz w:val="20"/>
        </w:rPr>
        <w:t xml:space="preserve"> </w:t>
      </w:r>
      <w:r w:rsidR="009B7FC1">
        <w:rPr>
          <w:sz w:val="20"/>
        </w:rPr>
        <w:t>provide</w:t>
      </w:r>
      <w:r w:rsidR="00F05B3C" w:rsidRPr="00252C01">
        <w:rPr>
          <w:sz w:val="20"/>
        </w:rPr>
        <w:t xml:space="preserve"> </w:t>
      </w:r>
      <w:r w:rsidRPr="00252C01">
        <w:rPr>
          <w:sz w:val="20"/>
        </w:rPr>
        <w:t xml:space="preserve">venues for </w:t>
      </w:r>
      <w:r w:rsidR="00F05B3C">
        <w:rPr>
          <w:sz w:val="20"/>
        </w:rPr>
        <w:t>public</w:t>
      </w:r>
      <w:r w:rsidR="00F05B3C" w:rsidRPr="00252C01">
        <w:rPr>
          <w:sz w:val="20"/>
        </w:rPr>
        <w:t xml:space="preserve"> </w:t>
      </w:r>
      <w:r w:rsidRPr="00252C01">
        <w:rPr>
          <w:sz w:val="20"/>
        </w:rPr>
        <w:t>de</w:t>
      </w:r>
      <w:r w:rsidR="00F05B3C">
        <w:rPr>
          <w:sz w:val="20"/>
        </w:rPr>
        <w:t xml:space="preserve">liberation </w:t>
      </w:r>
      <w:r w:rsidRPr="00252C01">
        <w:rPr>
          <w:sz w:val="20"/>
        </w:rPr>
        <w:t xml:space="preserve">on the desirability of SMR technologies and clarity </w:t>
      </w:r>
      <w:r w:rsidR="009B7FC1">
        <w:rPr>
          <w:sz w:val="20"/>
        </w:rPr>
        <w:t>on</w:t>
      </w:r>
      <w:r w:rsidR="009B7FC1" w:rsidRPr="00252C01">
        <w:rPr>
          <w:sz w:val="20"/>
        </w:rPr>
        <w:t xml:space="preserve"> </w:t>
      </w:r>
      <w:r w:rsidRPr="00252C01">
        <w:rPr>
          <w:sz w:val="20"/>
        </w:rPr>
        <w:t>the boundaries between the political and regulatory systems.</w:t>
      </w:r>
    </w:p>
    <w:p w14:paraId="088B0364" w14:textId="125899F5" w:rsidR="00BB246F" w:rsidRPr="00252C01" w:rsidRDefault="009B7FC1" w:rsidP="00252C01">
      <w:pPr>
        <w:spacing w:line="276" w:lineRule="auto"/>
        <w:ind w:firstLine="567"/>
        <w:jc w:val="both"/>
      </w:pPr>
      <w:r>
        <w:rPr>
          <w:sz w:val="20"/>
        </w:rPr>
        <w:t>F</w:t>
      </w:r>
      <w:r w:rsidR="00356605" w:rsidRPr="00252C01">
        <w:rPr>
          <w:sz w:val="20"/>
        </w:rPr>
        <w:t xml:space="preserve">urther research </w:t>
      </w:r>
      <w:r>
        <w:rPr>
          <w:sz w:val="20"/>
        </w:rPr>
        <w:t>could examine</w:t>
      </w:r>
      <w:r w:rsidRPr="00252C01">
        <w:rPr>
          <w:sz w:val="20"/>
        </w:rPr>
        <w:t xml:space="preserve"> </w:t>
      </w:r>
      <w:r w:rsidR="00356605" w:rsidRPr="00252C01">
        <w:rPr>
          <w:sz w:val="20"/>
        </w:rPr>
        <w:t xml:space="preserve">the historically shaped country-specific institutional, political, and cultural factors </w:t>
      </w:r>
      <w:r>
        <w:rPr>
          <w:sz w:val="20"/>
        </w:rPr>
        <w:t>explaining</w:t>
      </w:r>
      <w:r w:rsidRPr="00252C01">
        <w:rPr>
          <w:sz w:val="20"/>
        </w:rPr>
        <w:t xml:space="preserve"> </w:t>
      </w:r>
      <w:r w:rsidR="00356605" w:rsidRPr="00252C01">
        <w:rPr>
          <w:sz w:val="20"/>
        </w:rPr>
        <w:t xml:space="preserve">differences in regulatory reforms and the debates they generate. </w:t>
      </w:r>
      <w:r>
        <w:rPr>
          <w:sz w:val="20"/>
        </w:rPr>
        <w:t>Such analysis</w:t>
      </w:r>
      <w:r w:rsidR="00356605" w:rsidRPr="00252C01">
        <w:rPr>
          <w:sz w:val="20"/>
        </w:rPr>
        <w:t xml:space="preserve"> could </w:t>
      </w:r>
      <w:r w:rsidR="00244780" w:rsidRPr="00252C01">
        <w:rPr>
          <w:sz w:val="20"/>
        </w:rPr>
        <w:t xml:space="preserve">draw </w:t>
      </w:r>
      <w:r w:rsidR="00356605" w:rsidRPr="00252C01">
        <w:rPr>
          <w:sz w:val="20"/>
        </w:rPr>
        <w:t xml:space="preserve">on earlier social science </w:t>
      </w:r>
      <w:r>
        <w:rPr>
          <w:sz w:val="20"/>
        </w:rPr>
        <w:t>research</w:t>
      </w:r>
      <w:r w:rsidR="00A2435C">
        <w:rPr>
          <w:sz w:val="20"/>
        </w:rPr>
        <w:t xml:space="preserve"> on</w:t>
      </w:r>
      <w:r>
        <w:rPr>
          <w:sz w:val="20"/>
        </w:rPr>
        <w:t xml:space="preserve"> </w:t>
      </w:r>
      <w:r w:rsidR="00356605" w:rsidRPr="00252C01">
        <w:rPr>
          <w:sz w:val="20"/>
        </w:rPr>
        <w:t>di</w:t>
      </w:r>
      <w:r>
        <w:rPr>
          <w:sz w:val="20"/>
        </w:rPr>
        <w:t>stinct</w:t>
      </w:r>
      <w:r w:rsidR="00356605" w:rsidRPr="00252C01">
        <w:rPr>
          <w:sz w:val="20"/>
        </w:rPr>
        <w:t xml:space="preserve"> regulatory regimes, styles, and cultures</w:t>
      </w:r>
      <w:r>
        <w:rPr>
          <w:sz w:val="20"/>
        </w:rPr>
        <w:t>, in nuclear sector and elsewhere</w:t>
      </w:r>
      <w:r w:rsidR="00356605" w:rsidRPr="00252C01">
        <w:rPr>
          <w:sz w:val="20"/>
        </w:rPr>
        <w:t xml:space="preserve">. </w:t>
      </w:r>
      <w:r>
        <w:rPr>
          <w:sz w:val="20"/>
        </w:rPr>
        <w:t>Future</w:t>
      </w:r>
      <w:r w:rsidRPr="00252C01">
        <w:rPr>
          <w:sz w:val="20"/>
        </w:rPr>
        <w:t xml:space="preserve"> </w:t>
      </w:r>
      <w:r>
        <w:rPr>
          <w:sz w:val="20"/>
        </w:rPr>
        <w:t>research</w:t>
      </w:r>
      <w:r w:rsidRPr="00252C01">
        <w:rPr>
          <w:sz w:val="20"/>
        </w:rPr>
        <w:t xml:space="preserve"> </w:t>
      </w:r>
      <w:r w:rsidR="00244780" w:rsidRPr="00252C01">
        <w:rPr>
          <w:sz w:val="20"/>
        </w:rPr>
        <w:t>could explore</w:t>
      </w:r>
      <w:r w:rsidR="00356605" w:rsidRPr="00252C01">
        <w:rPr>
          <w:sz w:val="20"/>
        </w:rPr>
        <w:t xml:space="preserve"> the multiple and ambiguous roles of trust, mistrust, and distrust, </w:t>
      </w:r>
      <w:r w:rsidR="00A2435C">
        <w:rPr>
          <w:sz w:val="20"/>
        </w:rPr>
        <w:t>given</w:t>
      </w:r>
      <w:r w:rsidR="00356605" w:rsidRPr="00252C01">
        <w:rPr>
          <w:sz w:val="20"/>
        </w:rPr>
        <w:t xml:space="preserve"> Canada</w:t>
      </w:r>
      <w:r w:rsidR="00A2435C">
        <w:rPr>
          <w:sz w:val="20"/>
        </w:rPr>
        <w:t>’s</w:t>
      </w:r>
      <w:r w:rsidR="00356605" w:rsidRPr="00252C01">
        <w:rPr>
          <w:sz w:val="20"/>
        </w:rPr>
        <w:t xml:space="preserve"> and Finland</w:t>
      </w:r>
      <w:r w:rsidR="00A2435C">
        <w:rPr>
          <w:sz w:val="20"/>
        </w:rPr>
        <w:t>’s similarity as</w:t>
      </w:r>
      <w:r w:rsidR="00356605" w:rsidRPr="00252C01">
        <w:rPr>
          <w:sz w:val="20"/>
        </w:rPr>
        <w:t xml:space="preserve"> relatively similar high-trust societies</w:t>
      </w:r>
      <w:r w:rsidR="00244780" w:rsidRPr="00252C01">
        <w:rPr>
          <w:sz w:val="20"/>
        </w:rPr>
        <w:t xml:space="preserve">, yet mistrust and controversies </w:t>
      </w:r>
      <w:r w:rsidR="00A2435C">
        <w:rPr>
          <w:sz w:val="20"/>
        </w:rPr>
        <w:t>being</w:t>
      </w:r>
      <w:r w:rsidR="00244780" w:rsidRPr="00252C01">
        <w:rPr>
          <w:sz w:val="20"/>
        </w:rPr>
        <w:t xml:space="preserve"> </w:t>
      </w:r>
      <w:r w:rsidR="00F40736" w:rsidRPr="00252C01">
        <w:rPr>
          <w:sz w:val="20"/>
        </w:rPr>
        <w:t xml:space="preserve">omnipresent in </w:t>
      </w:r>
      <w:r w:rsidR="00356605" w:rsidRPr="00252C01">
        <w:rPr>
          <w:sz w:val="20"/>
        </w:rPr>
        <w:t xml:space="preserve">the Canadian SMR landscape </w:t>
      </w:r>
      <w:r w:rsidR="00F40736" w:rsidRPr="00252C01">
        <w:rPr>
          <w:sz w:val="20"/>
        </w:rPr>
        <w:t xml:space="preserve">but </w:t>
      </w:r>
      <w:r w:rsidR="00356605" w:rsidRPr="00252C01">
        <w:rPr>
          <w:sz w:val="20"/>
        </w:rPr>
        <w:t>hitherto largely absent from the Finnish debates.</w:t>
      </w:r>
    </w:p>
    <w:p w14:paraId="32B76F9D" w14:textId="77777777" w:rsidR="00D26ADA" w:rsidRPr="00252C01" w:rsidRDefault="00D26ADA" w:rsidP="00537496">
      <w:pPr>
        <w:pStyle w:val="Otherunnumberedheadings"/>
      </w:pPr>
      <w:r w:rsidRPr="00252C01">
        <w:lastRenderedPageBreak/>
        <w:t>References</w:t>
      </w:r>
    </w:p>
    <w:p w14:paraId="4AF4AA46" w14:textId="4F49CB6C" w:rsidR="00D82CA6" w:rsidRPr="00252C01" w:rsidRDefault="00D82CA6" w:rsidP="00D82CA6">
      <w:pPr>
        <w:pStyle w:val="Referencelist"/>
        <w:rPr>
          <w:color w:val="000000"/>
          <w:lang w:val="sv-SE"/>
        </w:rPr>
      </w:pPr>
      <w:r w:rsidRPr="00252C01">
        <w:t xml:space="preserve">LEHTONEN, M. Taking stock of the SMR promise. </w:t>
      </w:r>
      <w:r w:rsidRPr="00252C01">
        <w:rPr>
          <w:rStyle w:val="Emphasis"/>
        </w:rPr>
        <w:t>Nuclear Engineering International</w:t>
      </w:r>
      <w:r w:rsidRPr="00252C01">
        <w:t xml:space="preserve">. January (2024). </w:t>
      </w:r>
      <w:r w:rsidRPr="00252C01">
        <w:rPr>
          <w:lang w:val="sv-SE"/>
        </w:rPr>
        <w:t xml:space="preserve">18–21. </w:t>
      </w:r>
      <w:hyperlink r:id="rId10" w:history="1">
        <w:r w:rsidRPr="00252C01">
          <w:rPr>
            <w:rStyle w:val="Hyperlink"/>
            <w:color w:val="auto"/>
            <w:u w:val="none"/>
            <w:lang w:val="sv-SE"/>
          </w:rPr>
          <w:t>https://content.yudu.com/web/442ay/0A444i1/NEI0124-Pros/html/index.html?page=18&amp;origin=reader</w:t>
        </w:r>
      </w:hyperlink>
    </w:p>
    <w:p w14:paraId="1C451670" w14:textId="122CDA37" w:rsidR="00D82CA6" w:rsidRPr="00252C01" w:rsidRDefault="00D82CA6" w:rsidP="00D82CA6">
      <w:pPr>
        <w:pStyle w:val="Referencelist"/>
      </w:pPr>
      <w:r w:rsidRPr="00252C01">
        <w:t xml:space="preserve">SCHMIDT, V. Democracy and Legitimacy in the European Union Revisited: Input, Output and Throughput. </w:t>
      </w:r>
      <w:r w:rsidRPr="00252C01">
        <w:rPr>
          <w:i/>
        </w:rPr>
        <w:t>Political Studies</w:t>
      </w:r>
      <w:r w:rsidRPr="00252C01">
        <w:t xml:space="preserve"> </w:t>
      </w:r>
      <w:r w:rsidR="00C13147" w:rsidRPr="00252C01">
        <w:rPr>
          <w:b/>
          <w:bCs/>
          <w:lang w:val="fi-FI"/>
        </w:rPr>
        <w:t xml:space="preserve">61 </w:t>
      </w:r>
      <w:r w:rsidR="00C13147" w:rsidRPr="00252C01">
        <w:rPr>
          <w:lang w:val="fi-FI"/>
        </w:rPr>
        <w:t xml:space="preserve">1 (2013) </w:t>
      </w:r>
      <w:r w:rsidRPr="00252C01">
        <w:t>2-22.</w:t>
      </w:r>
      <w:r w:rsidRPr="00252C01">
        <w:tab/>
      </w:r>
      <w:r w:rsidRPr="00252C01">
        <w:tab/>
      </w:r>
      <w:r w:rsidRPr="00252C01">
        <w:tab/>
      </w:r>
      <w:r w:rsidRPr="00252C01">
        <w:tab/>
      </w:r>
    </w:p>
    <w:p w14:paraId="02ADF40F" w14:textId="1E071239" w:rsidR="00C13147" w:rsidRPr="00252C01" w:rsidRDefault="006E4775" w:rsidP="000D7892">
      <w:pPr>
        <w:pStyle w:val="Referencelist"/>
        <w:rPr>
          <w:color w:val="000000"/>
        </w:rPr>
      </w:pPr>
      <w:r w:rsidRPr="00252C01">
        <w:rPr>
          <w:color w:val="000000"/>
          <w:lang w:val="en-US"/>
        </w:rPr>
        <w:t>HOWLETT</w:t>
      </w:r>
      <w:r w:rsidR="000D7892" w:rsidRPr="00252C01">
        <w:rPr>
          <w:color w:val="000000"/>
          <w:lang w:val="en-US"/>
        </w:rPr>
        <w:t>, M.,</w:t>
      </w:r>
      <w:r w:rsidRPr="00252C01">
        <w:rPr>
          <w:color w:val="000000"/>
          <w:lang w:val="en-US"/>
        </w:rPr>
        <w:t xml:space="preserve"> NEWMAN</w:t>
      </w:r>
      <w:r w:rsidR="000D7892" w:rsidRPr="00252C01">
        <w:rPr>
          <w:color w:val="000000"/>
          <w:lang w:val="en-US"/>
        </w:rPr>
        <w:t>, J</w:t>
      </w:r>
      <w:r w:rsidR="000D7892" w:rsidRPr="00252C01">
        <w:rPr>
          <w:color w:val="000000"/>
        </w:rPr>
        <w:t xml:space="preserve">. After “the Regulatory Moment” in Comparative Regulatory Studies: </w:t>
      </w:r>
      <w:proofErr w:type="spellStart"/>
      <w:r w:rsidR="000D7892" w:rsidRPr="00252C01">
        <w:rPr>
          <w:color w:val="000000"/>
        </w:rPr>
        <w:t>Modeling</w:t>
      </w:r>
      <w:proofErr w:type="spellEnd"/>
      <w:r w:rsidR="000D7892" w:rsidRPr="00252C01">
        <w:rPr>
          <w:color w:val="000000"/>
        </w:rPr>
        <w:t xml:space="preserve"> the Early Stages of Regulatory Life Cycles, Journal of Comparative Policy Analysis: Research and Practice, </w:t>
      </w:r>
      <w:r w:rsidR="000D7892" w:rsidRPr="00252C01">
        <w:rPr>
          <w:b/>
          <w:bCs/>
          <w:color w:val="000000"/>
        </w:rPr>
        <w:t>15</w:t>
      </w:r>
      <w:r w:rsidR="000D7892" w:rsidRPr="00252C01">
        <w:rPr>
          <w:color w:val="000000"/>
          <w:lang w:val="en-US"/>
        </w:rPr>
        <w:t xml:space="preserve"> </w:t>
      </w:r>
      <w:r w:rsidR="000D7892" w:rsidRPr="00252C01">
        <w:rPr>
          <w:color w:val="000000"/>
        </w:rPr>
        <w:t>2</w:t>
      </w:r>
      <w:r w:rsidR="000D7892" w:rsidRPr="00252C01">
        <w:rPr>
          <w:color w:val="000000"/>
          <w:lang w:val="en-US"/>
        </w:rPr>
        <w:t xml:space="preserve"> (2013)</w:t>
      </w:r>
      <w:r w:rsidR="000D7892" w:rsidRPr="00252C01">
        <w:rPr>
          <w:color w:val="000000"/>
        </w:rPr>
        <w:t>, 107-121</w:t>
      </w:r>
      <w:r w:rsidR="001B5903" w:rsidRPr="00252C01">
        <w:rPr>
          <w:color w:val="000000"/>
          <w:lang w:val="en-US"/>
        </w:rPr>
        <w:t>.</w:t>
      </w:r>
      <w:r w:rsidR="000D7892" w:rsidRPr="00252C01">
        <w:rPr>
          <w:color w:val="000000"/>
        </w:rPr>
        <w:t xml:space="preserve"> DOI: 10.1080/13876988.2013.765618</w:t>
      </w:r>
    </w:p>
    <w:p w14:paraId="454ED419" w14:textId="00AC1F54" w:rsidR="00C13147" w:rsidRPr="00252C01" w:rsidRDefault="00C13147" w:rsidP="00537496">
      <w:pPr>
        <w:pStyle w:val="Referencelist"/>
      </w:pPr>
      <w:r w:rsidRPr="00252C01">
        <w:t>KEANE, J. Power and Humility: The Future of Monitoring Democracy. Cambridge University Press. (2018).</w:t>
      </w:r>
    </w:p>
    <w:p w14:paraId="6910A727" w14:textId="12DE994F" w:rsidR="00C13147" w:rsidRPr="00252C01" w:rsidRDefault="00C13147" w:rsidP="00C13147">
      <w:pPr>
        <w:pStyle w:val="Referencelist"/>
      </w:pPr>
      <w:r w:rsidRPr="00252C01">
        <w:t>JASANOFF, S. States of Knowledge: The Co-Production of Science and the Social Order. Routledge: London and New York. (2005).</w:t>
      </w:r>
    </w:p>
    <w:p w14:paraId="1DD3A5A5" w14:textId="43F6FA7E" w:rsidR="00C13147" w:rsidRPr="00252C01" w:rsidRDefault="00C13147" w:rsidP="00C13147">
      <w:pPr>
        <w:pStyle w:val="Referencelist"/>
        <w:rPr>
          <w:color w:val="000000"/>
        </w:rPr>
      </w:pPr>
      <w:r w:rsidRPr="00252C01">
        <w:rPr>
          <w:rStyle w:val="dont-break-out"/>
        </w:rPr>
        <w:t>BIRD, S. The Policy-Regulatory Nexus in Canada's Energy Decision-Making. From Best Practices to Next Practices. System under stress. Interim report # 2</w:t>
      </w:r>
      <w:r w:rsidR="006E4775" w:rsidRPr="00252C01">
        <w:rPr>
          <w:rStyle w:val="dont-break-out"/>
        </w:rPr>
        <w:t>,</w:t>
      </w:r>
      <w:r w:rsidRPr="00252C01">
        <w:rPr>
          <w:rStyle w:val="dont-break-out"/>
        </w:rPr>
        <w:t xml:space="preserve"> University of Ottawa</w:t>
      </w:r>
      <w:r w:rsidR="006E4775" w:rsidRPr="00252C01">
        <w:t>, Ottawa, 2018.</w:t>
      </w:r>
      <w:r w:rsidRPr="00252C01">
        <w:t xml:space="preserve"> </w:t>
      </w:r>
      <w:hyperlink r:id="rId11" w:history="1">
        <w:r w:rsidRPr="00252C01">
          <w:rPr>
            <w:rStyle w:val="Hyperlink"/>
          </w:rPr>
          <w:t>https://doi.org/10.20381/ruor-26682</w:t>
        </w:r>
      </w:hyperlink>
    </w:p>
    <w:p w14:paraId="509DCCCE" w14:textId="68433099" w:rsidR="007C1543" w:rsidRPr="00252C01" w:rsidRDefault="007C1543" w:rsidP="007C1543">
      <w:pPr>
        <w:pStyle w:val="Referencelist"/>
      </w:pPr>
      <w:r w:rsidRPr="00252C01">
        <w:t xml:space="preserve">DUSEVIC, A. Risk-informed decision making and the regulation of small modular reactors. </w:t>
      </w:r>
      <w:proofErr w:type="spellStart"/>
      <w:proofErr w:type="gramStart"/>
      <w:r w:rsidRPr="00252C01">
        <w:rPr>
          <w:lang w:eastAsia="en-GB"/>
        </w:rPr>
        <w:t>Masters</w:t>
      </w:r>
      <w:proofErr w:type="spellEnd"/>
      <w:proofErr w:type="gramEnd"/>
      <w:r w:rsidRPr="00252C01">
        <w:rPr>
          <w:lang w:eastAsia="en-GB"/>
        </w:rPr>
        <w:t xml:space="preserve"> Thesis. University of Saskatchewan, Saskatoon, </w:t>
      </w:r>
      <w:r w:rsidR="00B01573">
        <w:rPr>
          <w:lang w:eastAsia="en-GB"/>
        </w:rPr>
        <w:t>(</w:t>
      </w:r>
      <w:r w:rsidRPr="00252C01">
        <w:rPr>
          <w:lang w:eastAsia="en-GB"/>
        </w:rPr>
        <w:t>2019</w:t>
      </w:r>
      <w:r w:rsidR="00B01573">
        <w:rPr>
          <w:lang w:eastAsia="en-GB"/>
        </w:rPr>
        <w:t>)</w:t>
      </w:r>
      <w:r w:rsidRPr="00252C01">
        <w:rPr>
          <w:lang w:eastAsia="en-GB"/>
        </w:rPr>
        <w:t>. https://harvest.usask.ca/server/api/core/bitstreams/d67af868-2e1f-4374-b208-63aa035957e5/content</w:t>
      </w:r>
    </w:p>
    <w:p w14:paraId="461E43CE" w14:textId="4DCB6459" w:rsidR="006E4775" w:rsidRPr="00252C01" w:rsidRDefault="006E4775" w:rsidP="006E4775">
      <w:pPr>
        <w:pStyle w:val="Referencelist"/>
        <w:rPr>
          <w:u w:val="single"/>
        </w:rPr>
      </w:pPr>
      <w:r w:rsidRPr="00252C01">
        <w:t>IAEA. Report of the Integrated Regulatory Review</w:t>
      </w:r>
      <w:r w:rsidRPr="00252C01">
        <w:rPr>
          <w:lang w:val="en-US"/>
        </w:rPr>
        <w:t xml:space="preserve"> </w:t>
      </w:r>
      <w:r w:rsidRPr="00252C01">
        <w:t>Service (IRRS) Mission to Canada. IAEA, Vienna, 2019. IAEA-NS-IRRS-2019/05.</w:t>
      </w:r>
    </w:p>
    <w:p w14:paraId="6620BDDF" w14:textId="3EFF55E5" w:rsidR="00AB747C" w:rsidRPr="00AB747C" w:rsidRDefault="007C1543" w:rsidP="000A3CC7">
      <w:pPr>
        <w:pStyle w:val="Referencelist"/>
        <w:rPr>
          <w:color w:val="000000"/>
        </w:rPr>
      </w:pPr>
      <w:r w:rsidRPr="00252C01">
        <w:t>Global first power,</w:t>
      </w:r>
      <w:r w:rsidRPr="00AB747C">
        <w:t xml:space="preserve"> </w:t>
      </w:r>
      <w:r w:rsidR="00AB747C" w:rsidRPr="00AB747C">
        <w:t>Project Update Newsletter</w:t>
      </w:r>
      <w:r w:rsidR="00AB747C">
        <w:t xml:space="preserve">, </w:t>
      </w:r>
      <w:r w:rsidR="00AB747C" w:rsidRPr="00AB747C">
        <w:t>February 2024</w:t>
      </w:r>
      <w:r w:rsidR="00AB747C">
        <w:t xml:space="preserve">. </w:t>
      </w:r>
      <w:r w:rsidR="00AB747C" w:rsidRPr="00AB747C">
        <w:t>https://globalfirstpower.com/documents/gfp-project-update-newsletter_february-2024/</w:t>
      </w:r>
    </w:p>
    <w:p w14:paraId="77BF36A7" w14:textId="4D703EA9" w:rsidR="00012CAA" w:rsidRPr="00AB747C" w:rsidRDefault="00012CAA" w:rsidP="000A3CC7">
      <w:pPr>
        <w:pStyle w:val="Referencelist"/>
        <w:rPr>
          <w:color w:val="000000"/>
        </w:rPr>
      </w:pPr>
      <w:r w:rsidRPr="00AB747C">
        <w:rPr>
          <w:rFonts w:eastAsiaTheme="minorHAnsi"/>
        </w:rPr>
        <w:t>CNSC. New Reactor Facility Projects (2024). Canadian Nuclear Safety</w:t>
      </w:r>
      <w:r w:rsidRPr="00AB747C">
        <w:rPr>
          <w:color w:val="000000"/>
        </w:rPr>
        <w:t xml:space="preserve"> </w:t>
      </w:r>
      <w:r w:rsidRPr="00AB747C">
        <w:rPr>
          <w:rFonts w:eastAsiaTheme="minorHAnsi"/>
        </w:rPr>
        <w:t xml:space="preserve">Commission. </w:t>
      </w:r>
      <w:hyperlink r:id="rId12" w:history="1">
        <w:r w:rsidRPr="00AB747C">
          <w:rPr>
            <w:rStyle w:val="Hyperlink"/>
            <w:rFonts w:eastAsiaTheme="minorHAnsi"/>
            <w14:ligatures w14:val="standardContextual"/>
          </w:rPr>
          <w:t>https://www.cnsc-ccsn.gc.ca/eng/reactors/power-plants/new-reactor-facilities/</w:t>
        </w:r>
      </w:hyperlink>
      <w:r w:rsidRPr="00AB747C">
        <w:rPr>
          <w:rFonts w:eastAsiaTheme="minorHAnsi"/>
        </w:rPr>
        <w:t xml:space="preserve"> </w:t>
      </w:r>
    </w:p>
    <w:p w14:paraId="7904E2B8" w14:textId="70F52B02" w:rsidR="00012CAA" w:rsidRPr="00592390" w:rsidRDefault="00012CAA" w:rsidP="00012CAA">
      <w:pPr>
        <w:pStyle w:val="Referencelist"/>
        <w:rPr>
          <w:color w:val="000000"/>
        </w:rPr>
      </w:pPr>
      <w:r w:rsidRPr="00252C01">
        <w:rPr>
          <w:color w:val="000000"/>
        </w:rPr>
        <w:t xml:space="preserve">CNSC. </w:t>
      </w:r>
      <w:r w:rsidRPr="00252C01">
        <w:rPr>
          <w:kern w:val="36"/>
        </w:rPr>
        <w:t xml:space="preserve">Proposed Nuclear Facility – NB Power's ARC-100 Project at the Point </w:t>
      </w:r>
      <w:proofErr w:type="spellStart"/>
      <w:r w:rsidRPr="00252C01">
        <w:rPr>
          <w:kern w:val="36"/>
        </w:rPr>
        <w:t>Lepreau</w:t>
      </w:r>
      <w:proofErr w:type="spellEnd"/>
      <w:r w:rsidRPr="00252C01">
        <w:rPr>
          <w:kern w:val="36"/>
        </w:rPr>
        <w:t xml:space="preserve"> Nuclear Generating Station Site (2023</w:t>
      </w:r>
      <w:r w:rsidRPr="001F103E">
        <w:rPr>
          <w:kern w:val="36"/>
        </w:rPr>
        <w:t>).</w:t>
      </w:r>
      <w:r w:rsidRPr="001F103E">
        <w:rPr>
          <w:b/>
          <w:bCs/>
          <w:kern w:val="36"/>
        </w:rPr>
        <w:t xml:space="preserve"> </w:t>
      </w:r>
      <w:r w:rsidRPr="001F103E">
        <w:rPr>
          <w:rFonts w:eastAsiaTheme="minorHAnsi"/>
          <w14:ligatures w14:val="standardContextual"/>
        </w:rPr>
        <w:t>Canadian Nuclear Safety</w:t>
      </w:r>
      <w:r w:rsidRPr="001F103E">
        <w:rPr>
          <w:color w:val="000000"/>
        </w:rPr>
        <w:t xml:space="preserve"> </w:t>
      </w:r>
      <w:r w:rsidRPr="001F103E">
        <w:rPr>
          <w:rFonts w:eastAsiaTheme="minorHAnsi"/>
          <w14:ligatures w14:val="standardContextual"/>
        </w:rPr>
        <w:t xml:space="preserve">Commission. </w:t>
      </w:r>
      <w:hyperlink r:id="rId13" w:history="1">
        <w:r w:rsidR="001F103E" w:rsidRPr="001F103E">
          <w:rPr>
            <w:rStyle w:val="Hyperlink"/>
            <w:rFonts w:eastAsiaTheme="minorHAnsi"/>
            <w14:ligatures w14:val="standardContextual"/>
          </w:rPr>
          <w:t>https://www.cnsc-ccsn.gc.ca/eng/resources/status-of-new-nuclear-projects/nbpower/</w:t>
        </w:r>
      </w:hyperlink>
    </w:p>
    <w:p w14:paraId="2A295DA5" w14:textId="7411656D" w:rsidR="001F103E" w:rsidRPr="00592390" w:rsidRDefault="001F103E" w:rsidP="00592390">
      <w:pPr>
        <w:pStyle w:val="Referencelist"/>
        <w:rPr>
          <w:color w:val="000000"/>
        </w:rPr>
      </w:pPr>
      <w:r w:rsidRPr="00592390">
        <w:rPr>
          <w:color w:val="000000"/>
          <w:lang w:eastAsia="en-GB"/>
        </w:rPr>
        <w:t xml:space="preserve">Ministry of Economic Affairs and Employment. </w:t>
      </w:r>
      <w:r w:rsidRPr="001F103E">
        <w:rPr>
          <w:color w:val="000000"/>
          <w:lang w:eastAsia="en-GB"/>
        </w:rPr>
        <w:t>Finland’s integrated</w:t>
      </w:r>
      <w:r w:rsidRPr="00592390">
        <w:rPr>
          <w:color w:val="000000"/>
          <w:lang w:eastAsia="en-GB"/>
        </w:rPr>
        <w:t xml:space="preserve"> </w:t>
      </w:r>
      <w:r w:rsidRPr="001F103E">
        <w:rPr>
          <w:color w:val="000000"/>
          <w:lang w:eastAsia="en-GB"/>
        </w:rPr>
        <w:t>national energy and climate plan</w:t>
      </w:r>
      <w:r w:rsidRPr="00592390">
        <w:rPr>
          <w:color w:val="000000"/>
          <w:lang w:eastAsia="en-GB"/>
        </w:rPr>
        <w:t xml:space="preserve">. Draft update May 2024. MEAE EU/80/2024-TEM-37. </w:t>
      </w:r>
      <w:hyperlink r:id="rId14" w:history="1">
        <w:r w:rsidRPr="00592390">
          <w:rPr>
            <w:color w:val="094FD1"/>
            <w:u w:val="single" w:color="094FD1"/>
            <w:lang w:eastAsia="en-GB"/>
          </w:rPr>
          <w:t>https://www.lausuntopalvelu.fi/FI/Proposal/Participation?proposalId=3ff6cd6d-7df6-415f-ad5a-e33c377ce075</w:t>
        </w:r>
      </w:hyperlink>
    </w:p>
    <w:p w14:paraId="38B0F332" w14:textId="2B0508A6" w:rsidR="006E4775" w:rsidRPr="00592390" w:rsidRDefault="0001600B" w:rsidP="00537496">
      <w:pPr>
        <w:pStyle w:val="Referencelist"/>
        <w:rPr>
          <w:lang w:val="en-US"/>
        </w:rPr>
      </w:pPr>
      <w:r w:rsidRPr="00592390">
        <w:rPr>
          <w:color w:val="000000"/>
          <w:lang w:val="fi-FI"/>
        </w:rPr>
        <w:t xml:space="preserve">TULKKI, V., ARNOLD, M., LEPPÄNEN, J., SOPPELA, O., HYVÄRINEN, J. 2022. </w:t>
      </w:r>
      <w:proofErr w:type="spellStart"/>
      <w:r w:rsidRPr="00252C01">
        <w:rPr>
          <w:color w:val="000000"/>
        </w:rPr>
        <w:t>Ydinkaukolämpöselvitys</w:t>
      </w:r>
      <w:proofErr w:type="spellEnd"/>
      <w:r w:rsidRPr="00252C01">
        <w:rPr>
          <w:color w:val="000000"/>
        </w:rPr>
        <w:t>. Research report VTT-CR-01059-22. https://www.vttresearch.com/sites/default/files/2023-01/VTT-CR- 01059-22.pdf</w:t>
      </w:r>
    </w:p>
    <w:p w14:paraId="125DEC72" w14:textId="1D7BF999" w:rsidR="00012CAA" w:rsidRPr="00252C01" w:rsidRDefault="00012CAA" w:rsidP="00012CAA">
      <w:pPr>
        <w:pStyle w:val="Referencelist"/>
        <w:rPr>
          <w:color w:val="000000"/>
        </w:rPr>
      </w:pPr>
      <w:r w:rsidRPr="00252C01">
        <w:rPr>
          <w:rFonts w:eastAsiaTheme="minorHAnsi"/>
          <w:lang w:val="en-US"/>
        </w:rPr>
        <w:t xml:space="preserve">TRUONG, T., SUIKKANEN, H., HYVÄRINEN, J. </w:t>
      </w:r>
      <w:r w:rsidRPr="00252C01">
        <w:rPr>
          <w:rFonts w:eastAsiaTheme="minorHAnsi"/>
        </w:rPr>
        <w:t xml:space="preserve">Reactor Core Conceptual Design for a Scalable Heating Experimental Reactor, LUTHER. Journal of Nuclear Engineering, </w:t>
      </w:r>
      <w:r w:rsidRPr="00252C01">
        <w:rPr>
          <w:rFonts w:eastAsiaTheme="minorHAnsi"/>
          <w:b/>
          <w:bCs/>
        </w:rPr>
        <w:t>2</w:t>
      </w:r>
      <w:r w:rsidRPr="00252C01">
        <w:rPr>
          <w:rFonts w:eastAsiaTheme="minorHAnsi"/>
        </w:rPr>
        <w:t xml:space="preserve"> 2 </w:t>
      </w:r>
      <w:r w:rsidRPr="00252C01">
        <w:rPr>
          <w:rFonts w:eastAsiaTheme="minorHAnsi"/>
          <w:lang w:val="fi-FI"/>
        </w:rPr>
        <w:t>(2021)</w:t>
      </w:r>
      <w:r w:rsidRPr="00252C01">
        <w:rPr>
          <w:rFonts w:eastAsiaTheme="minorHAnsi"/>
        </w:rPr>
        <w:t xml:space="preserve"> 207–214. doi:10.3390/jne2020019</w:t>
      </w:r>
    </w:p>
    <w:p w14:paraId="05C1A41C" w14:textId="34391E65" w:rsidR="00012CAA" w:rsidRPr="00252C01" w:rsidRDefault="00012CAA" w:rsidP="00012CAA">
      <w:pPr>
        <w:pStyle w:val="Referencelist"/>
        <w:rPr>
          <w:u w:val="single"/>
        </w:rPr>
      </w:pPr>
      <w:r w:rsidRPr="00252C01">
        <w:rPr>
          <w:lang w:val="en-US"/>
        </w:rPr>
        <w:t xml:space="preserve">FORTUM. </w:t>
      </w:r>
      <w:r w:rsidRPr="00252C01">
        <w:t xml:space="preserve">Fortum and </w:t>
      </w:r>
      <w:proofErr w:type="spellStart"/>
      <w:r w:rsidRPr="00252C01">
        <w:t>Outokumpu</w:t>
      </w:r>
      <w:proofErr w:type="spellEnd"/>
      <w:r w:rsidRPr="00252C01">
        <w:t xml:space="preserve"> partner to accel</w:t>
      </w:r>
      <w:r w:rsidRPr="00252C01">
        <w:softHyphen/>
        <w:t>erate indus</w:t>
      </w:r>
      <w:r w:rsidRPr="00252C01">
        <w:softHyphen/>
        <w:t>trial decar</w:t>
      </w:r>
      <w:r w:rsidRPr="00252C01">
        <w:softHyphen/>
        <w:t>bon</w:t>
      </w:r>
      <w:r w:rsidRPr="00252C01">
        <w:softHyphen/>
        <w:t>i</w:t>
      </w:r>
      <w:r w:rsidRPr="00252C01">
        <w:softHyphen/>
        <w:t xml:space="preserve">sation in stainless steel production. Fortum </w:t>
      </w:r>
      <w:r w:rsidRPr="00252C01">
        <w:rPr>
          <w:lang w:val="en-US"/>
        </w:rPr>
        <w:t>P</w:t>
      </w:r>
      <w:proofErr w:type="spellStart"/>
      <w:r w:rsidRPr="00252C01">
        <w:t>ress</w:t>
      </w:r>
      <w:proofErr w:type="spellEnd"/>
      <w:r w:rsidRPr="00252C01">
        <w:t xml:space="preserve"> </w:t>
      </w:r>
      <w:r w:rsidRPr="00252C01">
        <w:rPr>
          <w:lang w:val="en-US"/>
        </w:rPr>
        <w:t>R</w:t>
      </w:r>
      <w:proofErr w:type="spellStart"/>
      <w:r w:rsidRPr="00252C01">
        <w:t>elease</w:t>
      </w:r>
      <w:proofErr w:type="spellEnd"/>
      <w:r w:rsidRPr="00252C01">
        <w:rPr>
          <w:lang w:val="en-US"/>
        </w:rPr>
        <w:t xml:space="preserve"> (</w:t>
      </w:r>
      <w:r w:rsidRPr="00252C01">
        <w:t>2023</w:t>
      </w:r>
      <w:r w:rsidRPr="00252C01">
        <w:rPr>
          <w:lang w:val="en-US"/>
        </w:rPr>
        <w:t>),</w:t>
      </w:r>
      <w:r w:rsidRPr="00252C01">
        <w:t xml:space="preserve"> https://www.fortum.com/media/2023/03/fortum-and-outokumpu-partner-accelerate-industrial-decarbonisation-stainless-steel-production</w:t>
      </w:r>
    </w:p>
    <w:p w14:paraId="1B442B32" w14:textId="051EEF8F" w:rsidR="00012CAA" w:rsidRPr="00252C01" w:rsidRDefault="008E1A9F" w:rsidP="00537496">
      <w:pPr>
        <w:pStyle w:val="Referencelist"/>
        <w:rPr>
          <w:lang w:val="fi-FI"/>
        </w:rPr>
      </w:pPr>
      <w:r w:rsidRPr="00252C01">
        <w:rPr>
          <w:color w:val="000000"/>
        </w:rPr>
        <w:t xml:space="preserve">HÄKKINEN, S. et al. </w:t>
      </w:r>
      <w:proofErr w:type="spellStart"/>
      <w:r w:rsidRPr="00252C01">
        <w:rPr>
          <w:color w:val="000000"/>
        </w:rPr>
        <w:t>EcoSMR</w:t>
      </w:r>
      <w:proofErr w:type="spellEnd"/>
      <w:r w:rsidRPr="00252C01">
        <w:rPr>
          <w:color w:val="000000"/>
        </w:rPr>
        <w:t xml:space="preserve">, Finnish ecosystem for small modular reactors. Final report, </w:t>
      </w:r>
      <w:proofErr w:type="spellStart"/>
      <w:r w:rsidRPr="00252C01">
        <w:rPr>
          <w:color w:val="000000"/>
        </w:rPr>
        <w:t>n.p.</w:t>
      </w:r>
      <w:proofErr w:type="spellEnd"/>
      <w:r w:rsidRPr="00252C01">
        <w:rPr>
          <w:color w:val="000000"/>
        </w:rPr>
        <w:t xml:space="preserve"> Lappeenranta: LUT University, 2023. https://www.ecosmr.fi/wp-content/uploads/2023/04/EcoSMR_Final_report.pdf, last accessed on 30. 10. 2023</w:t>
      </w:r>
    </w:p>
    <w:p w14:paraId="28BC5131" w14:textId="566E15B8" w:rsidR="000D7892" w:rsidRPr="00252C01" w:rsidRDefault="000D7892" w:rsidP="0062557C">
      <w:pPr>
        <w:pStyle w:val="Referencelist"/>
      </w:pPr>
      <w:r w:rsidRPr="00252C01">
        <w:rPr>
          <w:lang w:val="en-US"/>
        </w:rPr>
        <w:t>KOJO, M.</w:t>
      </w:r>
      <w:r w:rsidR="0062557C" w:rsidRPr="00252C01">
        <w:rPr>
          <w:lang w:val="en-US"/>
        </w:rPr>
        <w:t xml:space="preserve">, LEHTONEN, M., KARI, M., LITMANEN, </w:t>
      </w:r>
      <w:proofErr w:type="gramStart"/>
      <w:r w:rsidR="00AC27AE" w:rsidRPr="00252C01">
        <w:rPr>
          <w:lang w:val="en-US"/>
        </w:rPr>
        <w:t>T. ”Institutionalizing</w:t>
      </w:r>
      <w:proofErr w:type="gramEnd"/>
      <w:r w:rsidR="0062557C" w:rsidRPr="00252C01">
        <w:rPr>
          <w:lang w:val="en-US"/>
        </w:rPr>
        <w:t xml:space="preserve"> a promise: The case of small modular reactor regulation in Finland</w:t>
      </w:r>
      <w:r w:rsidR="00AC27AE" w:rsidRPr="00252C01">
        <w:rPr>
          <w:lang w:val="en-US"/>
        </w:rPr>
        <w:t>”</w:t>
      </w:r>
      <w:r w:rsidR="0062557C" w:rsidRPr="00252C01">
        <w:rPr>
          <w:lang w:val="en-US"/>
        </w:rPr>
        <w:t>.</w:t>
      </w:r>
      <w:r w:rsidR="0062557C" w:rsidRPr="00252C01">
        <w:t xml:space="preserve"> </w:t>
      </w:r>
      <w:r w:rsidR="0062557C" w:rsidRPr="00252C01">
        <w:rPr>
          <w:iCs/>
        </w:rPr>
        <w:t>19th International Conference on the European Energy Market (EEM</w:t>
      </w:r>
      <w:r w:rsidR="0062557C" w:rsidRPr="00252C01">
        <w:rPr>
          <w:i/>
        </w:rPr>
        <w:t>)</w:t>
      </w:r>
      <w:r w:rsidR="0062557C" w:rsidRPr="00252C01">
        <w:t xml:space="preserve">, Lappeenranta, Finland, </w:t>
      </w:r>
      <w:r w:rsidR="00AC27AE" w:rsidRPr="00252C01">
        <w:rPr>
          <w:lang w:val="en-US"/>
        </w:rPr>
        <w:t>2023</w:t>
      </w:r>
      <w:r w:rsidR="0062557C" w:rsidRPr="00252C01">
        <w:t>.</w:t>
      </w:r>
      <w:r w:rsidR="001771DA">
        <w:t xml:space="preserve"> </w:t>
      </w:r>
      <w:hyperlink r:id="rId15" w:history="1">
        <w:r w:rsidR="001771DA">
          <w:rPr>
            <w:rStyle w:val="Hyperlink"/>
          </w:rPr>
          <w:t>https://urn.fi/URN:NBN:fi-fe20231016140280</w:t>
        </w:r>
      </w:hyperlink>
    </w:p>
    <w:p w14:paraId="52D1AC90" w14:textId="0E27E57F" w:rsidR="001B5903" w:rsidRPr="00252C01" w:rsidRDefault="00FF7AB4" w:rsidP="00FF7AB4">
      <w:pPr>
        <w:pStyle w:val="Referencelist"/>
      </w:pPr>
      <w:r w:rsidRPr="00252C01">
        <w:t>RAMANA, M. V., BLAISE, K. Regulation vs Promotion: Small Modular Reactors in Canada. Energy Policy</w:t>
      </w:r>
      <w:r>
        <w:t xml:space="preserve">, </w:t>
      </w:r>
      <w:r w:rsidRPr="00C011E9">
        <w:rPr>
          <w:b/>
          <w:bCs/>
        </w:rPr>
        <w:t>192</w:t>
      </w:r>
      <w:r>
        <w:t xml:space="preserve"> September (2024), 114228, https://doi.org/10.1016/j.enpol.2024.114228</w:t>
      </w:r>
    </w:p>
    <w:p w14:paraId="232A2FA6" w14:textId="301FF3AD" w:rsidR="001B5903" w:rsidRPr="00252C01" w:rsidRDefault="001B5903" w:rsidP="001B5903">
      <w:pPr>
        <w:pStyle w:val="Referencelist"/>
        <w:rPr>
          <w:color w:val="000000"/>
        </w:rPr>
      </w:pPr>
      <w:r w:rsidRPr="00252C01">
        <w:t xml:space="preserve">BELYEA, S. Presentation by Sean </w:t>
      </w:r>
      <w:proofErr w:type="spellStart"/>
      <w:r w:rsidRPr="00252C01">
        <w:t>Belyea</w:t>
      </w:r>
      <w:proofErr w:type="spellEnd"/>
      <w:r w:rsidRPr="00252C01">
        <w:t>, presented at a webinar “Canadian Developments in Small Modular Reactors”, organised by the Canadian Trade Commissioner Service, 15 March 2023.</w:t>
      </w:r>
    </w:p>
    <w:p w14:paraId="4FAA2F7B" w14:textId="16A30697" w:rsidR="001B5903" w:rsidRPr="00252C01" w:rsidRDefault="001B5903" w:rsidP="001B5903">
      <w:pPr>
        <w:pStyle w:val="Referencelist"/>
      </w:pPr>
      <w:r w:rsidRPr="00252C01">
        <w:t xml:space="preserve">REOTT, M. Escaping the nuclear ice age: the nuclear regulatory commission's race to regulate small modular reactors. </w:t>
      </w:r>
      <w:r w:rsidRPr="00252C01">
        <w:rPr>
          <w:iCs/>
        </w:rPr>
        <w:t>Penn State Law Review</w:t>
      </w:r>
      <w:r w:rsidRPr="00252C01">
        <w:t xml:space="preserve">, </w:t>
      </w:r>
      <w:r w:rsidRPr="00252C01">
        <w:rPr>
          <w:b/>
          <w:bCs/>
        </w:rPr>
        <w:t>128</w:t>
      </w:r>
      <w:r w:rsidRPr="00252C01">
        <w:t xml:space="preserve"> 1 (2023) 225-256.</w:t>
      </w:r>
    </w:p>
    <w:p w14:paraId="2AAF6845" w14:textId="59673535" w:rsidR="00A0764A" w:rsidRPr="00252C01" w:rsidRDefault="00FC6909" w:rsidP="00FC6909">
      <w:pPr>
        <w:pStyle w:val="Referencelist"/>
      </w:pPr>
      <w:r w:rsidRPr="00252C01">
        <w:t xml:space="preserve">DITCHBURN, J., FOX, G. </w:t>
      </w:r>
      <w:r w:rsidRPr="00252C01">
        <w:rPr>
          <w:i/>
          <w:iCs/>
        </w:rPr>
        <w:t>The Harper Factor: Assessing a Prime Minister's Policy Legacy</w:t>
      </w:r>
      <w:r w:rsidRPr="00252C01">
        <w:t xml:space="preserve">, Montreal: McGill-Queen's University Press, 2016. </w:t>
      </w:r>
      <w:hyperlink r:id="rId16" w:history="1">
        <w:r w:rsidRPr="00252C01">
          <w:rPr>
            <w:rStyle w:val="Hyperlink"/>
          </w:rPr>
          <w:t>https://doi.org/10.1515/9780773548718</w:t>
        </w:r>
      </w:hyperlink>
    </w:p>
    <w:p w14:paraId="2E351DA8" w14:textId="7AE9D2F8" w:rsidR="00A0764A" w:rsidRPr="00252C01" w:rsidRDefault="00A0764A" w:rsidP="00A0764A">
      <w:pPr>
        <w:pStyle w:val="Referencelist"/>
      </w:pPr>
      <w:r w:rsidRPr="00252C01">
        <w:t xml:space="preserve">KINNEY, N. “Burning down the house,” In Teresa Healy and Stuart </w:t>
      </w:r>
      <w:proofErr w:type="spellStart"/>
      <w:r w:rsidRPr="00252C01">
        <w:t>Trew</w:t>
      </w:r>
      <w:proofErr w:type="spellEnd"/>
      <w:r w:rsidRPr="00252C01">
        <w:t xml:space="preserve"> (eds.) </w:t>
      </w:r>
      <w:r w:rsidRPr="00252C01">
        <w:rPr>
          <w:i/>
          <w:iCs/>
        </w:rPr>
        <w:t>The Harper Record 2008-2015</w:t>
      </w:r>
      <w:r w:rsidRPr="00252C01">
        <w:t>, Ottawa: Canadian Centre for Policy Alternatives (2015) 337-347.</w:t>
      </w:r>
    </w:p>
    <w:p w14:paraId="4E6B4CF6" w14:textId="15E0F7AA" w:rsidR="00A0764A" w:rsidRPr="00252C01" w:rsidRDefault="00A0764A" w:rsidP="00A0764A">
      <w:pPr>
        <w:pStyle w:val="Referencelist"/>
      </w:pPr>
      <w:r w:rsidRPr="00252C01">
        <w:rPr>
          <w:lang w:val="en-US"/>
        </w:rPr>
        <w:lastRenderedPageBreak/>
        <w:t xml:space="preserve">DE VOS, M., LEE, K. </w:t>
      </w:r>
      <w:r w:rsidRPr="00252C01">
        <w:t xml:space="preserve">Update on CNSC's readiness to regulate projects proposing the use of Small Modular Reactors (SMR). 3rd International technical meeting on small reactors. Canada: Canadian Nuclear Society. (2014). </w:t>
      </w:r>
    </w:p>
    <w:p w14:paraId="6D6CC2CD" w14:textId="517807A1" w:rsidR="00FC6909" w:rsidRPr="00252C01" w:rsidRDefault="00FC6909" w:rsidP="00252C01">
      <w:pPr>
        <w:pStyle w:val="Referencelist"/>
      </w:pPr>
      <w:r w:rsidRPr="00252C01">
        <w:rPr>
          <w:lang w:eastAsia="en-GB"/>
        </w:rPr>
        <w:t>HAZELL, S., 2021. Project Impact Assessments: Triggering and Coverage, in: DOELLE, M., SINCLAIR,</w:t>
      </w:r>
      <w:r w:rsidRPr="00252C01">
        <w:t xml:space="preserve"> </w:t>
      </w:r>
      <w:r w:rsidRPr="00252C01">
        <w:rPr>
          <w:lang w:eastAsia="en-GB"/>
        </w:rPr>
        <w:t>A.J. (eds.), The Next Generation of Impact Assessment. Irwin Law, p. 156.</w:t>
      </w:r>
    </w:p>
    <w:p w14:paraId="7C609F18" w14:textId="7E8EED48" w:rsidR="00A0764A" w:rsidRPr="00252C01" w:rsidRDefault="00A0764A" w:rsidP="00A0764A">
      <w:pPr>
        <w:pStyle w:val="Referencelist"/>
      </w:pPr>
      <w:r w:rsidRPr="00252C01">
        <w:t>SKÖN, N., ALM-LYTZ, K.</w:t>
      </w:r>
      <w:r w:rsidR="00C81819" w:rsidRPr="00252C01">
        <w:t xml:space="preserve"> </w:t>
      </w:r>
      <w:r w:rsidRPr="00252C01">
        <w:t xml:space="preserve">Amendment of the Nuclear Energy Act, </w:t>
      </w:r>
      <w:proofErr w:type="spellStart"/>
      <w:r w:rsidRPr="00252C01">
        <w:t>Ydinenergialain</w:t>
      </w:r>
      <w:proofErr w:type="spellEnd"/>
      <w:r w:rsidRPr="00252C01">
        <w:t xml:space="preserve"> </w:t>
      </w:r>
      <w:proofErr w:type="spellStart"/>
      <w:r w:rsidRPr="00252C01">
        <w:t>muuttaminen</w:t>
      </w:r>
      <w:proofErr w:type="spellEnd"/>
      <w:r w:rsidRPr="00252C01">
        <w:t xml:space="preserve">, ATS </w:t>
      </w:r>
      <w:proofErr w:type="spellStart"/>
      <w:r w:rsidRPr="00252C01">
        <w:t>Ydintekniikka</w:t>
      </w:r>
      <w:proofErr w:type="spellEnd"/>
      <w:r w:rsidRPr="00252C01">
        <w:t xml:space="preserve"> </w:t>
      </w:r>
      <w:r w:rsidRPr="00252C01">
        <w:rPr>
          <w:b/>
          <w:bCs/>
        </w:rPr>
        <w:t>46</w:t>
      </w:r>
      <w:r w:rsidR="00C81819" w:rsidRPr="00252C01">
        <w:t xml:space="preserve"> </w:t>
      </w:r>
      <w:r w:rsidRPr="00252C01">
        <w:t>3</w:t>
      </w:r>
      <w:r w:rsidR="00C81819" w:rsidRPr="00252C01">
        <w:t xml:space="preserve"> (2017)</w:t>
      </w:r>
      <w:r w:rsidRPr="00252C01">
        <w:t xml:space="preserve"> 14</w:t>
      </w:r>
      <w:r w:rsidR="00C81819" w:rsidRPr="00252C01">
        <w:t>–</w:t>
      </w:r>
      <w:r w:rsidRPr="00252C01">
        <w:t xml:space="preserve">15. </w:t>
      </w:r>
      <w:hyperlink r:id="rId17" w:history="1">
        <w:r w:rsidR="0062557C" w:rsidRPr="00252C01">
          <w:rPr>
            <w:rStyle w:val="Hyperlink"/>
          </w:rPr>
          <w:t>https://ats-fns.fi/images/files/ydintekniikka/atsyt_2017_3.pdf</w:t>
        </w:r>
      </w:hyperlink>
      <w:r w:rsidRPr="00252C01">
        <w:t>  </w:t>
      </w:r>
    </w:p>
    <w:p w14:paraId="7A5D8F32" w14:textId="2239C322" w:rsidR="00C81819" w:rsidRPr="00592390" w:rsidRDefault="00C81819" w:rsidP="00C81819">
      <w:pPr>
        <w:pStyle w:val="Referencelist"/>
        <w:rPr>
          <w:u w:val="single"/>
          <w:lang w:val="fi-FI"/>
        </w:rPr>
      </w:pPr>
      <w:r w:rsidRPr="00252C01">
        <w:rPr>
          <w:lang w:val="fi-FI"/>
        </w:rPr>
        <w:t xml:space="preserve">HUTTUNEN, T. </w:t>
      </w:r>
      <w:proofErr w:type="spellStart"/>
      <w:r w:rsidRPr="00592390">
        <w:rPr>
          <w:lang w:val="fi-FI"/>
        </w:rPr>
        <w:t>SMR:t</w:t>
      </w:r>
      <w:proofErr w:type="spellEnd"/>
      <w:r w:rsidRPr="00592390">
        <w:rPr>
          <w:lang w:val="fi-FI"/>
        </w:rPr>
        <w:t xml:space="preserve"> ydinvoiman tulevaisuus? ATS Ydintekniikka </w:t>
      </w:r>
      <w:r w:rsidRPr="00252C01">
        <w:rPr>
          <w:b/>
          <w:bCs/>
          <w:lang w:val="fi-FI"/>
        </w:rPr>
        <w:t xml:space="preserve">1 </w:t>
      </w:r>
      <w:r w:rsidRPr="00252C01">
        <w:rPr>
          <w:lang w:val="fi-FI"/>
        </w:rPr>
        <w:t xml:space="preserve">48 (2018) </w:t>
      </w:r>
      <w:proofErr w:type="gramStart"/>
      <w:r w:rsidRPr="00252C01">
        <w:rPr>
          <w:lang w:val="fi-FI"/>
        </w:rPr>
        <w:t>8-9</w:t>
      </w:r>
      <w:proofErr w:type="gramEnd"/>
      <w:r w:rsidRPr="00252C01">
        <w:rPr>
          <w:lang w:val="fi-FI"/>
        </w:rPr>
        <w:t xml:space="preserve"> </w:t>
      </w:r>
      <w:hyperlink r:id="rId18" w:history="1">
        <w:r w:rsidRPr="00592390">
          <w:rPr>
            <w:rStyle w:val="Hyperlink"/>
            <w:color w:val="auto"/>
            <w:u w:val="none"/>
            <w:lang w:val="fi-FI"/>
          </w:rPr>
          <w:t>https://bin.yhdistysavain.fi/1608821/dSuhNaUcs1gH0RW4EU0D0ZSYvh/atsyt_2018_1.pdf</w:t>
        </w:r>
      </w:hyperlink>
    </w:p>
    <w:p w14:paraId="7ECCE481" w14:textId="28558141" w:rsidR="0062557C" w:rsidRPr="001771DA" w:rsidRDefault="0062557C" w:rsidP="0062557C">
      <w:pPr>
        <w:pStyle w:val="Referencelist"/>
        <w:rPr>
          <w:lang w:val="en-US"/>
        </w:rPr>
      </w:pPr>
      <w:r w:rsidRPr="00252C01">
        <w:rPr>
          <w:lang w:val="fi-FI"/>
        </w:rPr>
        <w:t xml:space="preserve"> </w:t>
      </w:r>
      <w:r w:rsidRPr="00252C01">
        <w:rPr>
          <w:lang w:val="en-US"/>
        </w:rPr>
        <w:t xml:space="preserve">THE ADVISORY BOARD ON NUCLEAR SAFETY. </w:t>
      </w:r>
      <w:r w:rsidRPr="001771DA">
        <w:rPr>
          <w:lang w:val="fi-FI"/>
        </w:rPr>
        <w:t xml:space="preserve">Ydinturvallisuusneuvottelukunnan näkemys pieniin modulaarisiin reaktoreihin (SMR) liittyvistä kehitystarpeista Suomessa. </w:t>
      </w:r>
      <w:proofErr w:type="spellStart"/>
      <w:r w:rsidRPr="00252C01">
        <w:t>Aloite</w:t>
      </w:r>
      <w:proofErr w:type="spellEnd"/>
      <w:r w:rsidRPr="00252C01">
        <w:t xml:space="preserve"> 9.10.2019. </w:t>
      </w:r>
      <w:r w:rsidRPr="001771DA">
        <w:rPr>
          <w:lang w:val="en-US"/>
        </w:rPr>
        <w:t>(</w:t>
      </w:r>
      <w:r w:rsidRPr="00252C01">
        <w:t>2019</w:t>
      </w:r>
      <w:r w:rsidRPr="001771DA">
        <w:rPr>
          <w:lang w:val="en-US"/>
        </w:rPr>
        <w:t>)</w:t>
      </w:r>
      <w:r w:rsidRPr="00252C01">
        <w:t xml:space="preserve">. </w:t>
      </w:r>
      <w:r w:rsidRPr="001771DA">
        <w:rPr>
          <w:lang w:val="en-US"/>
        </w:rPr>
        <w:t xml:space="preserve">Available at:  </w:t>
      </w:r>
      <w:hyperlink r:id="rId19">
        <w:r w:rsidRPr="001771DA">
          <w:rPr>
            <w:rStyle w:val="Hyperlink"/>
            <w:color w:val="auto"/>
            <w:u w:val="none"/>
            <w:lang w:val="en-US"/>
          </w:rPr>
          <w:t>https://stuk.fi/documents/150192312/160270490/YTNn_nakemys_pieniin_modulaarisiin_reaktoreihin_liittyvista_kehitystarpeista_Suomessa.pdf/62011c5a-d301-bab7-1100-7cc4f3f648dc/YTNn_nakemys_pieniin_modulaarisiin_reaktoreihin_liittyvista_kehitystarpeista_Suomessa.pdf?t=1706004047098</w:t>
        </w:r>
      </w:hyperlink>
      <w:r w:rsidRPr="001771DA">
        <w:rPr>
          <w:lang w:val="en-US"/>
        </w:rPr>
        <w:t> </w:t>
      </w:r>
    </w:p>
    <w:p w14:paraId="6B270663" w14:textId="420337DF" w:rsidR="00AC27AE" w:rsidRPr="00592390" w:rsidRDefault="00AC27AE" w:rsidP="00AC27AE">
      <w:pPr>
        <w:pStyle w:val="Referencelist"/>
        <w:rPr>
          <w:lang w:val="fi-FI"/>
        </w:rPr>
      </w:pPr>
      <w:r w:rsidRPr="00592390">
        <w:rPr>
          <w:lang w:val="fi-FI"/>
        </w:rPr>
        <w:t xml:space="preserve">VESTMAN H. et al. Toimenpidealoite TPA 19/2019. vp Heikki Vestman </w:t>
      </w:r>
      <w:proofErr w:type="spellStart"/>
      <w:proofErr w:type="gramStart"/>
      <w:r w:rsidRPr="00592390">
        <w:rPr>
          <w:lang w:val="fi-FI"/>
        </w:rPr>
        <w:t>kok</w:t>
      </w:r>
      <w:proofErr w:type="spellEnd"/>
      <w:proofErr w:type="gramEnd"/>
      <w:r w:rsidRPr="00592390">
        <w:rPr>
          <w:lang w:val="fi-FI"/>
        </w:rPr>
        <w:t xml:space="preserve"> ym.  Toimenpidealoite pienten ydinreaktoreiden hyödyntämisen edistämisestä. (2019). </w:t>
      </w:r>
      <w:proofErr w:type="spellStart"/>
      <w:r w:rsidRPr="00592390">
        <w:rPr>
          <w:lang w:val="fi-FI"/>
        </w:rPr>
        <w:t>Available</w:t>
      </w:r>
      <w:proofErr w:type="spellEnd"/>
      <w:r w:rsidRPr="00592390">
        <w:rPr>
          <w:lang w:val="fi-FI"/>
        </w:rPr>
        <w:t xml:space="preserve"> at: </w:t>
      </w:r>
      <w:hyperlink r:id="rId20">
        <w:r w:rsidRPr="00592390">
          <w:rPr>
            <w:rStyle w:val="Hyperlink"/>
            <w:color w:val="auto"/>
            <w:u w:val="none"/>
            <w:lang w:val="fi-FI"/>
          </w:rPr>
          <w:t>https://www.eduskunta.fi/FI/vaski/EduskuntaAloite/Sivut/TPA_19+2019.aspx</w:t>
        </w:r>
      </w:hyperlink>
      <w:r w:rsidRPr="00592390">
        <w:rPr>
          <w:lang w:val="fi-FI"/>
        </w:rPr>
        <w:t xml:space="preserve"> (</w:t>
      </w:r>
      <w:proofErr w:type="spellStart"/>
      <w:r w:rsidRPr="00592390">
        <w:rPr>
          <w:lang w:val="fi-FI"/>
        </w:rPr>
        <w:t>Accessed</w:t>
      </w:r>
      <w:proofErr w:type="spellEnd"/>
      <w:r w:rsidRPr="00592390">
        <w:rPr>
          <w:lang w:val="fi-FI"/>
        </w:rPr>
        <w:t xml:space="preserve"> on 18 </w:t>
      </w:r>
      <w:proofErr w:type="spellStart"/>
      <w:r w:rsidRPr="00592390">
        <w:rPr>
          <w:lang w:val="fi-FI"/>
        </w:rPr>
        <w:t>May</w:t>
      </w:r>
      <w:proofErr w:type="spellEnd"/>
      <w:r w:rsidRPr="00592390">
        <w:rPr>
          <w:lang w:val="fi-FI"/>
        </w:rPr>
        <w:t xml:space="preserve"> 2024.)</w:t>
      </w:r>
    </w:p>
    <w:p w14:paraId="3D440739" w14:textId="2B9BE1F9" w:rsidR="00343FD6" w:rsidRPr="00343FD6" w:rsidRDefault="00AF3D5A" w:rsidP="00AC27AE">
      <w:pPr>
        <w:pStyle w:val="Referencelist"/>
        <w:rPr>
          <w:lang w:val="fi-FI"/>
        </w:rPr>
      </w:pPr>
      <w:r w:rsidRPr="00592390">
        <w:rPr>
          <w:color w:val="000000"/>
          <w:lang w:eastAsia="en-GB"/>
        </w:rPr>
        <w:t xml:space="preserve">STUK. 2024. According to STUK's new regulation, nuclear power plant's precautionary action zone and emergency planning zone are defined on </w:t>
      </w:r>
      <w:r w:rsidRPr="00343FD6">
        <w:rPr>
          <w:color w:val="000000"/>
          <w:lang w:eastAsia="en-GB"/>
        </w:rPr>
        <w:t>a case-by-case basis. Press release on 26 January 2024.</w:t>
      </w:r>
      <w:r w:rsidRPr="00343FD6">
        <w:rPr>
          <w:b/>
          <w:bCs/>
          <w:color w:val="000000"/>
          <w:lang w:eastAsia="en-GB"/>
        </w:rPr>
        <w:t xml:space="preserve"> </w:t>
      </w:r>
      <w:r w:rsidRPr="00343FD6">
        <w:rPr>
          <w:color w:val="000000"/>
          <w:lang w:eastAsia="en-GB"/>
        </w:rPr>
        <w:t xml:space="preserve">Available at: </w:t>
      </w:r>
      <w:hyperlink r:id="rId21" w:history="1">
        <w:r w:rsidRPr="00343FD6">
          <w:rPr>
            <w:color w:val="094FD1"/>
            <w:u w:val="single" w:color="094FD1"/>
            <w:lang w:eastAsia="en-GB"/>
          </w:rPr>
          <w:t>https://stuk.fi/en/-/according-to-stuk-s-new-regulation-nuclear-power-plant-s-precautionary-action-zone-and-emergency-planning-zone-are-defined-on-a-case-by-case-basis</w:t>
        </w:r>
      </w:hyperlink>
    </w:p>
    <w:p w14:paraId="78E176F6" w14:textId="0436725A" w:rsidR="00AF3D5A" w:rsidRPr="009B20A8" w:rsidRDefault="00343FD6" w:rsidP="00343FD6">
      <w:pPr>
        <w:pStyle w:val="Referencelist"/>
        <w:rPr>
          <w:lang w:eastAsia="en-GB"/>
        </w:rPr>
      </w:pPr>
      <w:r w:rsidRPr="00343FD6">
        <w:t>Renewal of the nuclear safety regulation</w:t>
      </w:r>
      <w:r w:rsidRPr="009B20A8">
        <w:rPr>
          <w:lang w:eastAsia="en-GB"/>
        </w:rPr>
        <w:t>.</w:t>
      </w:r>
      <w:r>
        <w:rPr>
          <w:lang w:eastAsia="en-GB"/>
        </w:rPr>
        <w:t xml:space="preserve"> STUK website.</w:t>
      </w:r>
      <w:r w:rsidRPr="009B20A8">
        <w:rPr>
          <w:lang w:eastAsia="en-GB"/>
        </w:rPr>
        <w:t xml:space="preserve"> </w:t>
      </w:r>
      <w:hyperlink r:id="rId22" w:history="1">
        <w:r w:rsidRPr="00E01003">
          <w:rPr>
            <w:rStyle w:val="Hyperlink"/>
            <w:lang w:eastAsia="en-GB"/>
          </w:rPr>
          <w:t>https://stuk.fi/en/renewal-of-the-nuclear-safety-regulation</w:t>
        </w:r>
      </w:hyperlink>
      <w:r>
        <w:rPr>
          <w:color w:val="094FD1"/>
          <w:u w:val="single" w:color="094FD1"/>
          <w:lang w:eastAsia="en-GB"/>
        </w:rPr>
        <w:t xml:space="preserve"> </w:t>
      </w:r>
    </w:p>
    <w:p w14:paraId="413D7136" w14:textId="4112A470" w:rsidR="00AC27AE" w:rsidRPr="00252C01" w:rsidRDefault="008E23FB" w:rsidP="008E23FB">
      <w:pPr>
        <w:pStyle w:val="Referencelist"/>
      </w:pPr>
      <w:r w:rsidRPr="00343FD6">
        <w:rPr>
          <w:lang w:val="fi-FI"/>
        </w:rPr>
        <w:t xml:space="preserve">ENERGIATEOLLISUUS ry. Selvitys pienydinreaktoreiden kaavoituksesta ja </w:t>
      </w:r>
      <w:proofErr w:type="spellStart"/>
      <w:r w:rsidRPr="00343FD6">
        <w:rPr>
          <w:lang w:val="fi-FI"/>
        </w:rPr>
        <w:t>luvituksesta</w:t>
      </w:r>
      <w:proofErr w:type="spellEnd"/>
      <w:r w:rsidRPr="00343FD6">
        <w:rPr>
          <w:lang w:val="fi-FI"/>
        </w:rPr>
        <w:t xml:space="preserve">. </w:t>
      </w:r>
      <w:r w:rsidRPr="00343FD6">
        <w:t>26 February 2021. https://energia.fi/wp-</w:t>
      </w:r>
      <w:r w:rsidRPr="00252C01">
        <w:t>content/uploads/2023/08/ET_selvitys_pienydinreaktoreiden_kaavoituksesta_ja_luvituksesta_FINAL_24022021.pdf</w:t>
      </w:r>
    </w:p>
    <w:p w14:paraId="135A757A" w14:textId="45FC4DC3" w:rsidR="00AC27AE" w:rsidRPr="00252C01" w:rsidRDefault="00AC27AE" w:rsidP="00AC27AE">
      <w:pPr>
        <w:pStyle w:val="Referencelist"/>
      </w:pPr>
      <w:r w:rsidRPr="00252C01">
        <w:t>LEHTONEN, M.</w:t>
      </w:r>
      <w:r w:rsidRPr="00252C01">
        <w:rPr>
          <w:lang w:val="en-US"/>
        </w:rPr>
        <w:t xml:space="preserve"> </w:t>
      </w:r>
      <w:r w:rsidRPr="00252C01">
        <w:t xml:space="preserve">Building promises of small modular reactors – one conference at a time. The Bulletin of the Atomic Scientists, December 22, 2022. </w:t>
      </w:r>
      <w:hyperlink r:id="rId23" w:history="1">
        <w:r w:rsidRPr="00252C01">
          <w:rPr>
            <w:rStyle w:val="Hyperlink"/>
            <w:color w:val="auto"/>
            <w:u w:val="none"/>
          </w:rPr>
          <w:t>https://thebulletin.org/2022/12/building-promises-of-small-modular-reactors-one-conference-at-a-time/</w:t>
        </w:r>
      </w:hyperlink>
      <w:r w:rsidRPr="00252C01">
        <w:t xml:space="preserve"> </w:t>
      </w:r>
    </w:p>
    <w:p w14:paraId="4607695C" w14:textId="69A022AA" w:rsidR="000E1D36" w:rsidRPr="00252C01" w:rsidRDefault="000E1D36" w:rsidP="000E1D36">
      <w:pPr>
        <w:pStyle w:val="Referencelist"/>
      </w:pPr>
      <w:r w:rsidRPr="00252C01">
        <w:t xml:space="preserve">BERNAUER, W. “Regulatory capture” and “extractive hegemony”: the relevance of </w:t>
      </w:r>
      <w:proofErr w:type="spellStart"/>
      <w:r w:rsidRPr="00252C01">
        <w:t>Nicos</w:t>
      </w:r>
      <w:proofErr w:type="spellEnd"/>
      <w:r w:rsidRPr="00252C01">
        <w:t xml:space="preserve"> </w:t>
      </w:r>
      <w:proofErr w:type="spellStart"/>
      <w:r w:rsidRPr="00252C01">
        <w:t>Poulantzas</w:t>
      </w:r>
      <w:proofErr w:type="spellEnd"/>
      <w:r w:rsidRPr="00252C01">
        <w:t xml:space="preserve">’ theory of the state to contemporary environmental politics in Canada. Human Geography, </w:t>
      </w:r>
      <w:r w:rsidRPr="00252C01">
        <w:rPr>
          <w:b/>
          <w:bCs/>
        </w:rPr>
        <w:t>13</w:t>
      </w:r>
      <w:r w:rsidRPr="00252C01">
        <w:rPr>
          <w:lang w:val="fi-FI"/>
        </w:rPr>
        <w:t xml:space="preserve"> </w:t>
      </w:r>
      <w:r w:rsidRPr="00252C01">
        <w:t>2</w:t>
      </w:r>
      <w:r w:rsidRPr="00252C01">
        <w:rPr>
          <w:lang w:val="fi-FI"/>
        </w:rPr>
        <w:t xml:space="preserve"> </w:t>
      </w:r>
      <w:r w:rsidRPr="00252C01">
        <w:t xml:space="preserve">(2020) 160-173. </w:t>
      </w:r>
      <w:hyperlink r:id="rId24">
        <w:r w:rsidRPr="00252C01">
          <w:rPr>
            <w:rStyle w:val="Hyperlink"/>
            <w:color w:val="auto"/>
            <w:u w:val="none"/>
          </w:rPr>
          <w:t>https://doi.org/10.1177/1942778620944573</w:t>
        </w:r>
      </w:hyperlink>
      <w:r w:rsidRPr="00252C01">
        <w:t> </w:t>
      </w:r>
    </w:p>
    <w:p w14:paraId="5B290035" w14:textId="033B4358" w:rsidR="006043AA" w:rsidRPr="00252C01" w:rsidRDefault="000E1D36" w:rsidP="000E1D36">
      <w:pPr>
        <w:pStyle w:val="Referencelist"/>
      </w:pPr>
      <w:r w:rsidRPr="00252C01">
        <w:t xml:space="preserve">CANADIAN ORGANIZATIONS. Reporting relationship of the Canadian Nuclear Safety Commission. Office of the Auditor General of Canada (2020), </w:t>
      </w:r>
      <w:hyperlink r:id="rId25" w:history="1">
        <w:r w:rsidR="006043AA" w:rsidRPr="00252C01">
          <w:rPr>
            <w:rStyle w:val="Hyperlink"/>
          </w:rPr>
          <w:t>https://www.oag-bvg.gc.ca/internet/English/pet_443_e_43602.html</w:t>
        </w:r>
      </w:hyperlink>
    </w:p>
    <w:p w14:paraId="3F70E898" w14:textId="786978DC" w:rsidR="006043AA" w:rsidRPr="00252C01" w:rsidRDefault="006043AA" w:rsidP="006043AA">
      <w:pPr>
        <w:pStyle w:val="Referencelist"/>
        <w:rPr>
          <w:lang w:eastAsia="en-GB"/>
        </w:rPr>
      </w:pPr>
      <w:r w:rsidRPr="00252C01">
        <w:rPr>
          <w:lang w:eastAsia="en-GB"/>
        </w:rPr>
        <w:t>BUI, V., 2024. Chalk River nuclear waste dumps approved without free, prior, informed consent. The Council of Canadians. URL https://canadians.org/analysis/chalk-river-nuclear-wastedumps-approved-without-free-prior-informed-consent/</w:t>
      </w:r>
    </w:p>
    <w:p w14:paraId="10BD07E8" w14:textId="7DFF73F9" w:rsidR="000E1D36" w:rsidRPr="00252C01" w:rsidRDefault="000E1D36" w:rsidP="000E1D36">
      <w:pPr>
        <w:pStyle w:val="Referencelist"/>
      </w:pPr>
      <w:r w:rsidRPr="00252C01">
        <w:t>BLAISE, K. Erroneous message from Canada’s nuclear regulator could allow nuclear energy projects to escape federal environmental assessment. Canadian Environmental Law Association (2018), https://www.cela.ca/blog/2018-12-07/erroneous-CNSC-messagecould-allow-nuke-projects-escape-EA</w:t>
      </w:r>
    </w:p>
    <w:p w14:paraId="0D5A2E0C" w14:textId="222D6DEA" w:rsidR="000E1D36" w:rsidRPr="00252C01" w:rsidRDefault="000E1D36" w:rsidP="000E1D36">
      <w:pPr>
        <w:pStyle w:val="Referencelist"/>
      </w:pPr>
      <w:r w:rsidRPr="00252C01">
        <w:rPr>
          <w:lang w:val="en-US"/>
        </w:rPr>
        <w:t xml:space="preserve">BLAISE K., STENSIL, S.P. </w:t>
      </w:r>
      <w:r w:rsidRPr="00252C01">
        <w:t>Small Modular Reactors in Canada: Eroding Public Oversight and Canada’s Transition to Sustainable Development, in: Black-Branch, J.L., Fleck, D. (Eds.), Nuclear Non-Proliferation in International Law - Volume V: Legal Challenges for Nuclear Security and Deterrence. T.M.C. Asser Press, The Hague, The Netherlands</w:t>
      </w:r>
      <w:r w:rsidR="009F4E94" w:rsidRPr="00252C01">
        <w:t xml:space="preserve"> (2020)</w:t>
      </w:r>
      <w:r w:rsidRPr="00252C01">
        <w:t>. 209–234. https://doi.org/10.1007/978-94-6265-347-4</w:t>
      </w:r>
    </w:p>
    <w:p w14:paraId="5860CE6C" w14:textId="3771908E" w:rsidR="009F4E94" w:rsidRPr="00252C01" w:rsidRDefault="009F4E94" w:rsidP="009F4E94">
      <w:pPr>
        <w:pStyle w:val="Referencelist"/>
      </w:pPr>
      <w:r w:rsidRPr="00252C01">
        <w:t xml:space="preserve">CAMPBELL, B. Breaking through regulatory corporate capture in Canada. CCPA Monitor, </w:t>
      </w:r>
      <w:r w:rsidRPr="00252C01">
        <w:rPr>
          <w:b/>
          <w:bCs/>
        </w:rPr>
        <w:t>29</w:t>
      </w:r>
      <w:r w:rsidRPr="00252C01">
        <w:t xml:space="preserve"> 4</w:t>
      </w:r>
      <w:r w:rsidRPr="00252C01">
        <w:rPr>
          <w:lang w:val="fi-FI"/>
        </w:rPr>
        <w:t xml:space="preserve"> (2022)</w:t>
      </w:r>
      <w:r w:rsidRPr="00252C01">
        <w:t>,</w:t>
      </w:r>
      <w:r w:rsidRPr="00252C01">
        <w:rPr>
          <w:lang w:val="fi-FI"/>
        </w:rPr>
        <w:t xml:space="preserve"> </w:t>
      </w:r>
      <w:r w:rsidRPr="00252C01">
        <w:t>36.</w:t>
      </w:r>
    </w:p>
    <w:p w14:paraId="519174F4" w14:textId="2AB3663E" w:rsidR="009F4E94" w:rsidRPr="00252C01" w:rsidRDefault="009F4E94" w:rsidP="009F4E94">
      <w:pPr>
        <w:pStyle w:val="Referencelist"/>
      </w:pPr>
      <w:r w:rsidRPr="00252C01">
        <w:t xml:space="preserve">DUCROS, C. The House of Commons, Standing Committee on Science and Research (SRSR) study on SMRs, Evidence, 26 September 2022, 1925.  </w:t>
      </w:r>
    </w:p>
    <w:p w14:paraId="47DDA6F5" w14:textId="3A044078" w:rsidR="00454A0D" w:rsidRPr="00252C01" w:rsidRDefault="00454A0D" w:rsidP="00454A0D">
      <w:pPr>
        <w:pStyle w:val="Referencelist"/>
      </w:pPr>
      <w:r w:rsidRPr="00252C01">
        <w:t xml:space="preserve">NEA. </w:t>
      </w:r>
      <w:r w:rsidRPr="00252C01">
        <w:rPr>
          <w:rFonts w:eastAsiaTheme="minorHAnsi"/>
        </w:rPr>
        <w:t>Country-Specific</w:t>
      </w:r>
      <w:r w:rsidRPr="00252C01">
        <w:t xml:space="preserve"> </w:t>
      </w:r>
      <w:r w:rsidRPr="00252C01">
        <w:rPr>
          <w:rFonts w:eastAsiaTheme="minorHAnsi"/>
        </w:rPr>
        <w:t>Safety Culture Forum</w:t>
      </w:r>
      <w:r w:rsidRPr="00252C01">
        <w:t xml:space="preserve">: </w:t>
      </w:r>
      <w:r w:rsidRPr="00252C01">
        <w:rPr>
          <w:rFonts w:eastAsiaTheme="minorHAnsi"/>
        </w:rPr>
        <w:t>Finland. OECD Nuclear Energy Agency, Boulogne-Billancourt, 2019.</w:t>
      </w:r>
    </w:p>
    <w:p w14:paraId="52E1C5C2" w14:textId="6D3A502B" w:rsidR="00454A0D" w:rsidRPr="00252C01" w:rsidRDefault="00454A0D" w:rsidP="00454A0D">
      <w:pPr>
        <w:pStyle w:val="Referencelist"/>
        <w:rPr>
          <w:rStyle w:val="Hyperlink"/>
          <w:color w:val="000000"/>
        </w:rPr>
      </w:pPr>
      <w:r w:rsidRPr="00252C01">
        <w:rPr>
          <w:rFonts w:eastAsia="Calibri"/>
          <w:bCs/>
          <w:lang w:val="en-US"/>
        </w:rPr>
        <w:t>LEHTONEN, M., KOJO, M., KARI, M., LITMANEN, T.</w:t>
      </w:r>
      <w:r w:rsidRPr="00252C01">
        <w:rPr>
          <w:lang w:val="en-US"/>
        </w:rPr>
        <w:t xml:space="preserve"> </w:t>
      </w:r>
      <w:r w:rsidRPr="00252C01">
        <w:t xml:space="preserve">Healthy mistrust or complacent confidence? Civic vigilance in the reporting by leading newspapers on nuclear waste disposal in Finland and France. Risk, Hazards, &amp; Crisis in Public Policy </w:t>
      </w:r>
      <w:r w:rsidRPr="00252C01">
        <w:rPr>
          <w:b/>
          <w:bCs/>
        </w:rPr>
        <w:t>12</w:t>
      </w:r>
      <w:r w:rsidRPr="00252C01">
        <w:t xml:space="preserve"> 2 (2021) 130-157. </w:t>
      </w:r>
      <w:hyperlink r:id="rId26" w:history="1">
        <w:r w:rsidRPr="00252C01">
          <w:rPr>
            <w:rStyle w:val="Hyperlink"/>
            <w:color w:val="auto"/>
            <w:u w:val="none"/>
          </w:rPr>
          <w:t>https://doi.org/10.1002/rhc3.12210</w:t>
        </w:r>
      </w:hyperlink>
    </w:p>
    <w:p w14:paraId="3247227A" w14:textId="6BCD73F6" w:rsidR="00454A0D" w:rsidRPr="00B01573" w:rsidRDefault="00454A0D" w:rsidP="00454A0D">
      <w:pPr>
        <w:pStyle w:val="Referencelist"/>
        <w:rPr>
          <w:color w:val="000000"/>
        </w:rPr>
      </w:pPr>
      <w:r w:rsidRPr="00252C01">
        <w:rPr>
          <w:lang w:val="en-US"/>
        </w:rPr>
        <w:lastRenderedPageBreak/>
        <w:t xml:space="preserve">LEHTONEN, M., PRADES, A., ESPLUGA, J., KONRAD, W. </w:t>
      </w:r>
      <w:r w:rsidRPr="00252C01">
        <w:t xml:space="preserve">The emergence of mistrustful civic vigilance in Finnish, French, German and Spanish nuclear policies: ideological trust and (de)politicization. Journal of Risk Research </w:t>
      </w:r>
      <w:r w:rsidRPr="00B01573">
        <w:rPr>
          <w:b/>
          <w:bCs/>
        </w:rPr>
        <w:t xml:space="preserve">25 </w:t>
      </w:r>
      <w:r w:rsidRPr="00B01573">
        <w:t xml:space="preserve">5 (2022) 613-631. </w:t>
      </w:r>
      <w:hyperlink r:id="rId27" w:history="1">
        <w:r w:rsidRPr="00B01573">
          <w:rPr>
            <w:rStyle w:val="Hyperlink"/>
            <w:color w:val="auto"/>
            <w:u w:val="none"/>
          </w:rPr>
          <w:t>https://doi.org/10.1080/13669877.2021.1957986</w:t>
        </w:r>
      </w:hyperlink>
    </w:p>
    <w:p w14:paraId="7E08979D" w14:textId="302EC652" w:rsidR="00454A0D" w:rsidRPr="00B01573" w:rsidRDefault="00454A0D" w:rsidP="00454A0D">
      <w:pPr>
        <w:pStyle w:val="Referencelist"/>
      </w:pPr>
      <w:r w:rsidRPr="00B01573">
        <w:t xml:space="preserve">LOUNASMERI, L. 2022. Building New Nuclear in Finland: Crises Challenging Core Beliefs around Nuclear Energy. </w:t>
      </w:r>
      <w:r w:rsidRPr="00B01573">
        <w:rPr>
          <w:iCs/>
        </w:rPr>
        <w:t>Journal of Energy and Power Technology</w:t>
      </w:r>
      <w:r w:rsidRPr="00B01573">
        <w:t xml:space="preserve"> </w:t>
      </w:r>
      <w:r w:rsidRPr="00B01573">
        <w:rPr>
          <w:b/>
          <w:bCs/>
        </w:rPr>
        <w:t xml:space="preserve">4 </w:t>
      </w:r>
      <w:r w:rsidRPr="00B01573">
        <w:t>2 (2022). doi:10.21926/jept.2202012</w:t>
      </w:r>
    </w:p>
    <w:p w14:paraId="2E105B88" w14:textId="4FDF2A05" w:rsidR="00B01573" w:rsidRPr="009B20A8" w:rsidRDefault="00B01573" w:rsidP="00454A0D">
      <w:pPr>
        <w:pStyle w:val="Referencelist"/>
      </w:pPr>
      <w:r w:rsidRPr="00592390">
        <w:rPr>
          <w:color w:val="000000"/>
          <w:lang w:eastAsia="en-GB"/>
        </w:rPr>
        <w:t>LITMANEN, T., KOJO, M., KARI, M., VESALAINEN, J. Does technical risk dialogue entail socioeconomic valuation? The case of scientific dispute over copper corrosion in a spent nuclear fuel disposal project. In: LEHTONEN, M</w:t>
      </w:r>
      <w:r w:rsidRPr="00BB420E">
        <w:rPr>
          <w:color w:val="000000"/>
          <w:lang w:eastAsia="en-GB"/>
        </w:rPr>
        <w:t>., JOLY, P.-B., APARICIO, L. (eds.), Socioeconomic evaluation of megaprojects: dealing with uncertainties. Routledge, 2017, pp. 134-158.</w:t>
      </w:r>
    </w:p>
    <w:p w14:paraId="361D2A43" w14:textId="0726F27B" w:rsidR="009E3815" w:rsidRPr="00BB420E" w:rsidRDefault="009E3815" w:rsidP="00454A0D">
      <w:pPr>
        <w:pStyle w:val="Referencelist"/>
      </w:pPr>
      <w:r w:rsidRPr="00BB420E">
        <w:t xml:space="preserve">The Ecomodernist Society of Finland’s Comment on the Update to Finnish Nuclear Law). English translation of the Finnish-language statement, published on-line 10 April 2016, </w:t>
      </w:r>
      <w:hyperlink r:id="rId28" w:history="1">
        <w:r w:rsidRPr="00BB420E">
          <w:rPr>
            <w:rStyle w:val="Hyperlink"/>
          </w:rPr>
          <w:t>https://drive.google.com/file/d/1SvN91BVG61AcTpHzC4h6NGBylvigKZS_/view</w:t>
        </w:r>
      </w:hyperlink>
    </w:p>
    <w:p w14:paraId="5C604577" w14:textId="6A59D20F" w:rsidR="009E3815" w:rsidRPr="00BB420E" w:rsidRDefault="009E3815" w:rsidP="00454A0D">
      <w:pPr>
        <w:pStyle w:val="Referencelist"/>
      </w:pPr>
      <w:r w:rsidRPr="00BB420E">
        <w:t xml:space="preserve">E.g. Senior Engineer </w:t>
      </w:r>
      <w:proofErr w:type="spellStart"/>
      <w:r w:rsidRPr="00BB420E">
        <w:t>Jorma</w:t>
      </w:r>
      <w:proofErr w:type="spellEnd"/>
      <w:r w:rsidRPr="00BB420E">
        <w:t xml:space="preserve"> </w:t>
      </w:r>
      <w:proofErr w:type="spellStart"/>
      <w:r w:rsidRPr="00BB420E">
        <w:t>Aurela</w:t>
      </w:r>
      <w:proofErr w:type="spellEnd"/>
      <w:r w:rsidRPr="00BB420E">
        <w:t>, MEAE, at the Finnish Nuclear Society young generation seminar in April 2018.</w:t>
      </w:r>
    </w:p>
    <w:p w14:paraId="1D2E93CD" w14:textId="77777777" w:rsidR="00BB420E" w:rsidRPr="009B20A8" w:rsidRDefault="00A42AF3" w:rsidP="00BB420E">
      <w:pPr>
        <w:pStyle w:val="Referencelist"/>
      </w:pPr>
      <w:r w:rsidRPr="00BB420E">
        <w:rPr>
          <w:color w:val="000000"/>
        </w:rPr>
        <w:t xml:space="preserve">E.g., Brian </w:t>
      </w:r>
      <w:proofErr w:type="spellStart"/>
      <w:r w:rsidRPr="00BB420E">
        <w:rPr>
          <w:color w:val="000000"/>
        </w:rPr>
        <w:t>Fehrenbach</w:t>
      </w:r>
      <w:proofErr w:type="spellEnd"/>
      <w:r w:rsidRPr="00BB420E">
        <w:rPr>
          <w:color w:val="000000"/>
        </w:rPr>
        <w:t xml:space="preserve">, the head of the Organisation of Canadian Nuclear Industries (OCNI), in his opening </w:t>
      </w:r>
      <w:r w:rsidRPr="00BB420E">
        <w:t>speech at the</w:t>
      </w:r>
      <w:r w:rsidRPr="00BB420E">
        <w:rPr>
          <w:color w:val="000000"/>
        </w:rPr>
        <w:t xml:space="preserve"> Atlanta SMR conference on 1 May 2024.</w:t>
      </w:r>
    </w:p>
    <w:p w14:paraId="573A6068" w14:textId="4C407205" w:rsidR="00BB420E" w:rsidRDefault="00BB420E" w:rsidP="00BB420E">
      <w:pPr>
        <w:pStyle w:val="Referencelist"/>
      </w:pPr>
      <w:r w:rsidRPr="00BB420E">
        <w:rPr>
          <w:lang w:eastAsia="en-GB"/>
        </w:rPr>
        <w:t>National Academies of Sciences, Engineering, and Medicine. 2018. Designing</w:t>
      </w:r>
      <w:r w:rsidRPr="009B20A8">
        <w:rPr>
          <w:lang w:eastAsia="en-GB"/>
        </w:rPr>
        <w:t xml:space="preserve"> </w:t>
      </w:r>
      <w:r w:rsidRPr="00BB420E">
        <w:rPr>
          <w:lang w:eastAsia="en-GB"/>
        </w:rPr>
        <w:t>Safety Regulations for High-Hazard Industries. Washington, DC: The National</w:t>
      </w:r>
      <w:r w:rsidRPr="00BB420E">
        <w:t xml:space="preserve"> </w:t>
      </w:r>
      <w:r w:rsidRPr="009B20A8">
        <w:rPr>
          <w:lang w:eastAsia="en-GB"/>
        </w:rPr>
        <w:t xml:space="preserve">Academies Press. </w:t>
      </w:r>
      <w:hyperlink r:id="rId29" w:history="1">
        <w:r w:rsidR="0075264D" w:rsidRPr="009B20A8">
          <w:rPr>
            <w:rStyle w:val="Hyperlink"/>
            <w:lang w:eastAsia="en-GB"/>
          </w:rPr>
          <w:t>https://doi.org/10.17226/24907</w:t>
        </w:r>
      </w:hyperlink>
      <w:r w:rsidRPr="009B20A8">
        <w:rPr>
          <w:lang w:eastAsia="en-GB"/>
        </w:rPr>
        <w:t>.</w:t>
      </w:r>
    </w:p>
    <w:p w14:paraId="28626305" w14:textId="77777777" w:rsidR="00D0123F" w:rsidRDefault="0075264D" w:rsidP="00D0123F">
      <w:pPr>
        <w:pStyle w:val="Referencelist"/>
      </w:pPr>
      <w:r>
        <w:rPr>
          <w:lang w:eastAsia="en-GB"/>
        </w:rPr>
        <w:t xml:space="preserve">LDR-50 reactor website: </w:t>
      </w:r>
      <w:hyperlink r:id="rId30" w:history="1">
        <w:r w:rsidR="00D0123F" w:rsidRPr="00E01003">
          <w:rPr>
            <w:rStyle w:val="Hyperlink"/>
            <w:lang w:eastAsia="en-GB"/>
          </w:rPr>
          <w:t>https://www.ldr-reactor.fi/en/1099-2/</w:t>
        </w:r>
      </w:hyperlink>
    </w:p>
    <w:p w14:paraId="238E8807" w14:textId="08CA1E73" w:rsidR="00D0123F" w:rsidRDefault="00D0123F" w:rsidP="009B20A8">
      <w:pPr>
        <w:pStyle w:val="Referencelist"/>
      </w:pPr>
      <w:r>
        <w:t xml:space="preserve">A strong and committed Finland: Programme of Prime Minister Petteri </w:t>
      </w:r>
      <w:proofErr w:type="spellStart"/>
      <w:r>
        <w:t>Orpo's</w:t>
      </w:r>
      <w:proofErr w:type="spellEnd"/>
      <w:r>
        <w:t xml:space="preserve"> Government. </w:t>
      </w:r>
      <w:hyperlink r:id="rId31" w:history="1">
        <w:r w:rsidR="00D06E48" w:rsidRPr="0076520C">
          <w:rPr>
            <w:rStyle w:val="Hyperlink"/>
          </w:rPr>
          <w:t>https://valtioneuvosto.fi/en/governments/government-programme#/</w:t>
        </w:r>
      </w:hyperlink>
    </w:p>
    <w:p w14:paraId="0AD7A1AE" w14:textId="21EEAF4E" w:rsidR="00D06E48" w:rsidRPr="00D06E48" w:rsidRDefault="00D06E48" w:rsidP="00D06E48">
      <w:pPr>
        <w:pStyle w:val="Referencelist"/>
        <w:rPr>
          <w:lang w:val="en-ES" w:eastAsia="en-GB"/>
        </w:rPr>
      </w:pPr>
      <w:r>
        <w:rPr>
          <w:lang w:val="en-ES" w:eastAsia="en-GB"/>
        </w:rPr>
        <w:t xml:space="preserve">NORDHAUS, T. &amp; STEIN, A. 2023. </w:t>
      </w:r>
      <w:r w:rsidRPr="00D06E48">
        <w:rPr>
          <w:lang w:val="en-ES" w:eastAsia="en-GB"/>
        </w:rPr>
        <w:t>Will Washington Halt the Global Renaissance of Nuclear Power?</w:t>
      </w:r>
      <w:r>
        <w:rPr>
          <w:lang w:val="en-ES" w:eastAsia="en-GB"/>
        </w:rPr>
        <w:t xml:space="preserve"> Foregin Policy, </w:t>
      </w:r>
      <w:r w:rsidRPr="00D06E48">
        <w:rPr>
          <w:lang w:eastAsia="en-GB"/>
        </w:rPr>
        <w:t>April 8, 2023</w:t>
      </w:r>
      <w:r>
        <w:rPr>
          <w:lang w:eastAsia="en-GB"/>
        </w:rPr>
        <w:t xml:space="preserve">. </w:t>
      </w:r>
      <w:hyperlink r:id="rId32" w:history="1">
        <w:r w:rsidRPr="0076520C">
          <w:rPr>
            <w:rStyle w:val="Hyperlink"/>
            <w:lang w:eastAsia="en-GB"/>
          </w:rPr>
          <w:t>https://foreignpolicy.com/2023/04/08/nuclear-power-energy-net-zero-emissions-nrc-regulation-climate-change/</w:t>
        </w:r>
      </w:hyperlink>
    </w:p>
    <w:p w14:paraId="02DEE5A9" w14:textId="7C74877D" w:rsidR="00D06E48" w:rsidRPr="00C153C7" w:rsidRDefault="00D06E48" w:rsidP="00D06E48">
      <w:pPr>
        <w:pStyle w:val="Referencelist"/>
        <w:rPr>
          <w:lang w:val="en-ES" w:eastAsia="en-GB"/>
        </w:rPr>
      </w:pPr>
      <w:r w:rsidRPr="00D06E48">
        <w:t>Developing a new regulatory framework for advanced reactors: Update on Part 53</w:t>
      </w:r>
      <w:r w:rsidR="00DB6E23">
        <w:t>. American Nuclear Soci</w:t>
      </w:r>
      <w:r w:rsidR="00C153C7">
        <w:t>e</w:t>
      </w:r>
      <w:r w:rsidR="00DB6E23">
        <w:t xml:space="preserve">ty </w:t>
      </w:r>
      <w:r w:rsidR="00DB6E23" w:rsidRPr="00C153C7">
        <w:t xml:space="preserve">Nuclear Newswire, </w:t>
      </w:r>
      <w:r w:rsidR="00DB6E23" w:rsidRPr="00C153C7">
        <w:t>May 3, 2024</w:t>
      </w:r>
      <w:r w:rsidR="00DB6E23" w:rsidRPr="00C153C7">
        <w:t xml:space="preserve">. </w:t>
      </w:r>
      <w:hyperlink r:id="rId33" w:history="1">
        <w:r w:rsidR="00DB6E23" w:rsidRPr="00C153C7">
          <w:rPr>
            <w:rStyle w:val="Hyperlink"/>
          </w:rPr>
          <w:t>https://www.ans.org/news/article-6003/developing-a-new-regulatory-framework-for-advanced-reactors-update-on-part-53/</w:t>
        </w:r>
      </w:hyperlink>
      <w:r w:rsidR="00DB6E23" w:rsidRPr="00C153C7">
        <w:t xml:space="preserve"> </w:t>
      </w:r>
    </w:p>
    <w:p w14:paraId="61F19B6F" w14:textId="1B322302" w:rsidR="00C153C7" w:rsidRPr="00C153C7" w:rsidRDefault="00C153C7" w:rsidP="00C153C7">
      <w:pPr>
        <w:pStyle w:val="Referencelist"/>
        <w:rPr>
          <w:lang w:val="en-ES"/>
        </w:rPr>
      </w:pPr>
      <w:r w:rsidRPr="00C153C7">
        <w:t xml:space="preserve">ARNDT, S. The “gold standard” of regulation. </w:t>
      </w:r>
      <w:r w:rsidRPr="00C153C7">
        <w:t>American Nuclear Society Nuclear Newswire,</w:t>
      </w:r>
      <w:r w:rsidRPr="00C153C7">
        <w:t xml:space="preserve"> </w:t>
      </w:r>
      <w:r>
        <w:t xml:space="preserve">September 12, 2022. </w:t>
      </w:r>
      <w:hyperlink r:id="rId34" w:history="1">
        <w:r w:rsidRPr="0076520C">
          <w:rPr>
            <w:rStyle w:val="Hyperlink"/>
          </w:rPr>
          <w:t>https://www.ans.org/news/article-4251/the-gold-standard-of-regulation/</w:t>
        </w:r>
      </w:hyperlink>
      <w:r>
        <w:t xml:space="preserve"> </w:t>
      </w:r>
    </w:p>
    <w:p w14:paraId="774DB455" w14:textId="0CE4E8FD" w:rsidR="00C153C7" w:rsidRPr="00C153C7" w:rsidRDefault="00C153C7" w:rsidP="00C153C7">
      <w:pPr>
        <w:pStyle w:val="Referencelist"/>
        <w:numPr>
          <w:ilvl w:val="0"/>
          <w:numId w:val="0"/>
        </w:numPr>
        <w:ind w:left="360"/>
        <w:rPr>
          <w:lang w:val="en-ES" w:eastAsia="en-GB"/>
        </w:rPr>
      </w:pPr>
    </w:p>
    <w:p w14:paraId="191C8411" w14:textId="77777777" w:rsidR="00D06E48" w:rsidRPr="00BB420E" w:rsidRDefault="00D06E48" w:rsidP="00DB6E23">
      <w:pPr>
        <w:pStyle w:val="Referencelist"/>
        <w:numPr>
          <w:ilvl w:val="0"/>
          <w:numId w:val="0"/>
        </w:numPr>
        <w:ind w:left="720" w:hanging="360"/>
      </w:pPr>
    </w:p>
    <w:p w14:paraId="3BA56E06" w14:textId="77777777" w:rsidR="00F45EEE" w:rsidRPr="00BB420E" w:rsidRDefault="00F45EEE" w:rsidP="009B20A8">
      <w:pPr>
        <w:pStyle w:val="Referencelist"/>
        <w:numPr>
          <w:ilvl w:val="0"/>
          <w:numId w:val="0"/>
        </w:numPr>
      </w:pPr>
    </w:p>
    <w:sectPr w:rsidR="00F45EEE" w:rsidRPr="00BB420E" w:rsidSect="0026525A">
      <w:headerReference w:type="even" r:id="rId35"/>
      <w:headerReference w:type="default" r:id="rId36"/>
      <w:footerReference w:type="even" r:id="rId37"/>
      <w:footerReference w:type="default" r:id="rId38"/>
      <w:headerReference w:type="first" r:id="rId39"/>
      <w:footerReference w:type="first" r:id="rId40"/>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7BA75" w14:textId="77777777" w:rsidR="008869A5" w:rsidRDefault="008869A5">
      <w:r>
        <w:separator/>
      </w:r>
    </w:p>
  </w:endnote>
  <w:endnote w:type="continuationSeparator" w:id="0">
    <w:p w14:paraId="140FB0F8" w14:textId="77777777" w:rsidR="008869A5" w:rsidRDefault="0088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E3A61" w14:textId="77777777" w:rsidR="008869A5" w:rsidRDefault="008869A5">
      <w:r>
        <w:t>___________________________________________________________________________</w:t>
      </w:r>
    </w:p>
  </w:footnote>
  <w:footnote w:type="continuationSeparator" w:id="0">
    <w:p w14:paraId="1E2A0959" w14:textId="77777777" w:rsidR="008869A5" w:rsidRDefault="008869A5">
      <w:r>
        <w:t>___________________________________________________________________________</w:t>
      </w:r>
    </w:p>
  </w:footnote>
  <w:footnote w:type="continuationNotice" w:id="1">
    <w:p w14:paraId="4218704A" w14:textId="77777777" w:rsidR="008869A5" w:rsidRDefault="008869A5"/>
  </w:footnote>
  <w:footnote w:id="2">
    <w:p w14:paraId="1DE77D77" w14:textId="001F00A5" w:rsidR="00BB246F" w:rsidRPr="00580687" w:rsidRDefault="00BB246F" w:rsidP="00EC720D">
      <w:pPr>
        <w:ind w:left="459"/>
        <w:jc w:val="both"/>
        <w:rPr>
          <w:sz w:val="18"/>
          <w:szCs w:val="18"/>
        </w:rPr>
      </w:pPr>
      <w:r w:rsidRPr="00580687">
        <w:rPr>
          <w:rStyle w:val="FootnoteReference"/>
          <w:sz w:val="18"/>
          <w:szCs w:val="18"/>
        </w:rPr>
        <w:footnoteRef/>
      </w:r>
      <w:r w:rsidRPr="00580687">
        <w:rPr>
          <w:sz w:val="18"/>
          <w:szCs w:val="18"/>
        </w:rPr>
        <w:t xml:space="preserve"> </w:t>
      </w:r>
      <w:r w:rsidR="00D2469D" w:rsidRPr="00580687">
        <w:rPr>
          <w:sz w:val="18"/>
          <w:szCs w:val="18"/>
        </w:rPr>
        <w:t>“</w:t>
      </w:r>
      <w:r w:rsidR="00D2469D">
        <w:rPr>
          <w:sz w:val="18"/>
          <w:szCs w:val="18"/>
        </w:rPr>
        <w:t>H</w:t>
      </w:r>
      <w:r w:rsidR="00D2469D" w:rsidRPr="00580687">
        <w:rPr>
          <w:sz w:val="18"/>
          <w:szCs w:val="18"/>
        </w:rPr>
        <w:t>istorically, what has held back nuclear projects has not been safety regulation but environmental assessments”</w:t>
      </w:r>
      <w:r w:rsidR="00D2469D">
        <w:rPr>
          <w:sz w:val="18"/>
          <w:szCs w:val="18"/>
        </w:rPr>
        <w:t xml:space="preserve"> (</w:t>
      </w:r>
      <w:r w:rsidR="00D2469D" w:rsidRPr="00580687">
        <w:rPr>
          <w:sz w:val="18"/>
          <w:szCs w:val="18"/>
        </w:rPr>
        <w:t>Doug True</w:t>
      </w:r>
      <w:r w:rsidR="00D2469D">
        <w:rPr>
          <w:sz w:val="18"/>
          <w:szCs w:val="18"/>
        </w:rPr>
        <w:t xml:space="preserve">, </w:t>
      </w:r>
      <w:r w:rsidR="00D2469D" w:rsidRPr="00580687">
        <w:rPr>
          <w:sz w:val="18"/>
          <w:szCs w:val="18"/>
        </w:rPr>
        <w:t xml:space="preserve">Nuclear Energy Institute, </w:t>
      </w:r>
      <w:r w:rsidR="00D2469D">
        <w:rPr>
          <w:sz w:val="18"/>
          <w:szCs w:val="18"/>
        </w:rPr>
        <w:t xml:space="preserve">Reuters </w:t>
      </w:r>
      <w:r w:rsidR="00D2469D" w:rsidRPr="00580687">
        <w:rPr>
          <w:sz w:val="18"/>
          <w:szCs w:val="18"/>
        </w:rPr>
        <w:t>SMR and advanced reactor conference</w:t>
      </w:r>
      <w:r w:rsidR="00D2469D">
        <w:rPr>
          <w:sz w:val="18"/>
          <w:szCs w:val="18"/>
        </w:rPr>
        <w:t>, Atlanta,</w:t>
      </w:r>
      <w:r w:rsidR="00D2469D" w:rsidRPr="00580687">
        <w:rPr>
          <w:sz w:val="18"/>
          <w:szCs w:val="18"/>
        </w:rPr>
        <w:t xml:space="preserve"> May 2024</w:t>
      </w:r>
      <w:r w:rsidR="00D2469D">
        <w:rPr>
          <w:sz w:val="18"/>
          <w:szCs w:val="18"/>
        </w:rPr>
        <w:t>)</w:t>
      </w:r>
      <w:r w:rsidR="00D2469D" w:rsidRPr="00580687">
        <w:rPr>
          <w:sz w:val="18"/>
          <w:szCs w:val="18"/>
        </w:rPr>
        <w:t>.</w:t>
      </w:r>
    </w:p>
  </w:footnote>
  <w:footnote w:id="3">
    <w:p w14:paraId="0CBDAB3E" w14:textId="622A1CAA" w:rsidR="00B171D4" w:rsidRPr="009B20A8" w:rsidRDefault="00B171D4">
      <w:pPr>
        <w:pStyle w:val="FootnoteText"/>
        <w:rPr>
          <w:szCs w:val="18"/>
          <w:lang w:val="fr-FR"/>
        </w:rPr>
      </w:pPr>
      <w:r w:rsidRPr="00B171D4">
        <w:rPr>
          <w:rStyle w:val="FootnoteReference"/>
          <w:szCs w:val="18"/>
        </w:rPr>
        <w:footnoteRef/>
      </w:r>
      <w:r w:rsidRPr="00B171D4">
        <w:rPr>
          <w:szCs w:val="18"/>
        </w:rPr>
        <w:t xml:space="preserve"> </w:t>
      </w:r>
      <w:r w:rsidRPr="009B20A8">
        <w:rPr>
          <w:szCs w:val="18"/>
        </w:rPr>
        <w:t xml:space="preserve">Above 200 </w:t>
      </w:r>
      <w:proofErr w:type="spellStart"/>
      <w:r w:rsidRPr="009B20A8">
        <w:rPr>
          <w:szCs w:val="18"/>
        </w:rPr>
        <w:t>MWth</w:t>
      </w:r>
      <w:proofErr w:type="spellEnd"/>
      <w:r w:rsidRPr="009B20A8">
        <w:rPr>
          <w:szCs w:val="18"/>
        </w:rPr>
        <w:t xml:space="preserve"> capacity on a greenfield site, and 900 </w:t>
      </w:r>
      <w:proofErr w:type="spellStart"/>
      <w:r w:rsidRPr="009B20A8">
        <w:rPr>
          <w:szCs w:val="18"/>
        </w:rPr>
        <w:t>MWth</w:t>
      </w:r>
      <w:proofErr w:type="spellEnd"/>
      <w:r w:rsidRPr="009B20A8">
        <w:rPr>
          <w:szCs w:val="18"/>
        </w:rPr>
        <w:t xml:space="preserve"> on an existing nuclear site.</w:t>
      </w:r>
    </w:p>
  </w:footnote>
  <w:footnote w:id="4">
    <w:p w14:paraId="3ACE6D2E" w14:textId="63BC2F79" w:rsidR="00356605" w:rsidRPr="00580687" w:rsidRDefault="00356605" w:rsidP="00EC720D">
      <w:pPr>
        <w:ind w:left="459"/>
        <w:jc w:val="both"/>
        <w:rPr>
          <w:sz w:val="18"/>
          <w:szCs w:val="18"/>
        </w:rPr>
      </w:pPr>
      <w:r w:rsidRPr="00580687">
        <w:rPr>
          <w:rStyle w:val="FootnoteReference"/>
          <w:sz w:val="18"/>
          <w:szCs w:val="18"/>
        </w:rPr>
        <w:footnoteRef/>
      </w:r>
      <w:r w:rsidRPr="00580687">
        <w:rPr>
          <w:sz w:val="18"/>
          <w:szCs w:val="18"/>
        </w:rPr>
        <w:t xml:space="preserve"> </w:t>
      </w:r>
      <w:r w:rsidR="00354395">
        <w:rPr>
          <w:sz w:val="18"/>
          <w:szCs w:val="18"/>
        </w:rPr>
        <w:t>E.g.</w:t>
      </w:r>
      <w:r w:rsidRPr="00580687">
        <w:rPr>
          <w:sz w:val="18"/>
          <w:szCs w:val="18"/>
        </w:rPr>
        <w:t xml:space="preserve"> the repeal and replacement of the Canadian Environmental Assessment Act (</w:t>
      </w:r>
      <w:proofErr w:type="spellStart"/>
      <w:r w:rsidRPr="00580687">
        <w:rPr>
          <w:sz w:val="18"/>
          <w:szCs w:val="18"/>
        </w:rPr>
        <w:t>CeAA</w:t>
      </w:r>
      <w:proofErr w:type="spellEnd"/>
      <w:r w:rsidRPr="00580687">
        <w:rPr>
          <w:sz w:val="18"/>
          <w:szCs w:val="18"/>
        </w:rPr>
        <w:t xml:space="preserve">) </w:t>
      </w:r>
      <w:r w:rsidR="00307CF4" w:rsidRPr="00252C01">
        <w:rPr>
          <w:color w:val="000000"/>
          <w:sz w:val="20"/>
        </w:rPr>
        <w:t>[</w:t>
      </w:r>
      <w:r w:rsidR="00307CF4">
        <w:rPr>
          <w:color w:val="000000"/>
          <w:sz w:val="20"/>
        </w:rPr>
        <w:t>2</w:t>
      </w:r>
      <w:r w:rsidR="00FF7AB4">
        <w:rPr>
          <w:color w:val="000000"/>
          <w:sz w:val="20"/>
        </w:rPr>
        <w:t>2</w:t>
      </w:r>
      <w:r w:rsidR="00307CF4" w:rsidRPr="00252C01">
        <w:rPr>
          <w:color w:val="000000"/>
          <w:sz w:val="20"/>
        </w:rPr>
        <w:t>]</w:t>
      </w:r>
      <w:r w:rsidRPr="00580687">
        <w:rPr>
          <w:sz w:val="18"/>
          <w:szCs w:val="18"/>
        </w:rPr>
        <w:t>.</w:t>
      </w:r>
    </w:p>
  </w:footnote>
  <w:footnote w:id="5">
    <w:p w14:paraId="7131DE1D" w14:textId="3BE78C6C" w:rsidR="00356605" w:rsidRPr="00580687" w:rsidRDefault="00356605" w:rsidP="00EC720D">
      <w:pPr>
        <w:ind w:left="459"/>
        <w:jc w:val="both"/>
        <w:rPr>
          <w:sz w:val="18"/>
          <w:szCs w:val="18"/>
        </w:rPr>
      </w:pPr>
      <w:r w:rsidRPr="00580687">
        <w:rPr>
          <w:rStyle w:val="FootnoteReference"/>
          <w:sz w:val="18"/>
          <w:szCs w:val="18"/>
        </w:rPr>
        <w:footnoteRef/>
      </w:r>
      <w:r w:rsidRPr="00580687">
        <w:rPr>
          <w:sz w:val="18"/>
          <w:szCs w:val="18"/>
        </w:rPr>
        <w:t xml:space="preserve"> </w:t>
      </w:r>
      <w:r w:rsidR="00354395">
        <w:rPr>
          <w:sz w:val="18"/>
          <w:szCs w:val="18"/>
        </w:rPr>
        <w:t xml:space="preserve">A </w:t>
      </w:r>
      <w:r w:rsidRPr="00580687">
        <w:rPr>
          <w:sz w:val="18"/>
          <w:szCs w:val="18"/>
        </w:rPr>
        <w:t>separate site licence was among the recommendations from the IAEA in its IRRS review of Finland</w:t>
      </w:r>
      <w:r w:rsidR="00354395">
        <w:rPr>
          <w:sz w:val="18"/>
          <w:szCs w:val="18"/>
        </w:rPr>
        <w:t>,</w:t>
      </w:r>
      <w:r w:rsidRPr="00580687">
        <w:rPr>
          <w:sz w:val="18"/>
          <w:szCs w:val="18"/>
        </w:rPr>
        <w:t xml:space="preserve"> 2022.</w:t>
      </w:r>
    </w:p>
  </w:footnote>
  <w:footnote w:id="6">
    <w:p w14:paraId="00D76E55" w14:textId="77777777" w:rsidR="00356605" w:rsidRPr="00580687" w:rsidRDefault="00356605" w:rsidP="00EC720D">
      <w:pPr>
        <w:ind w:left="459"/>
        <w:jc w:val="both"/>
        <w:rPr>
          <w:sz w:val="18"/>
          <w:szCs w:val="18"/>
        </w:rPr>
      </w:pPr>
      <w:r w:rsidRPr="00580687">
        <w:rPr>
          <w:rStyle w:val="FootnoteReference"/>
          <w:sz w:val="18"/>
          <w:szCs w:val="18"/>
        </w:rPr>
        <w:footnoteRef/>
      </w:r>
      <w:r w:rsidRPr="00580687">
        <w:rPr>
          <w:sz w:val="18"/>
          <w:szCs w:val="18"/>
        </w:rPr>
        <w:t xml:space="preserve"> For instance, the SMR webinar, 15-16 March 2023, organised by the Canadian Trade Commissioner Service.</w:t>
      </w:r>
    </w:p>
  </w:footnote>
  <w:footnote w:id="7">
    <w:p w14:paraId="63B0750A" w14:textId="77777777" w:rsidR="00356605" w:rsidRPr="00580687" w:rsidRDefault="00356605" w:rsidP="00EC720D">
      <w:pPr>
        <w:ind w:left="459"/>
        <w:jc w:val="both"/>
        <w:rPr>
          <w:sz w:val="18"/>
          <w:szCs w:val="18"/>
        </w:rPr>
      </w:pPr>
      <w:r w:rsidRPr="00580687">
        <w:rPr>
          <w:rStyle w:val="FootnoteReference"/>
          <w:sz w:val="18"/>
          <w:szCs w:val="18"/>
        </w:rPr>
        <w:footnoteRef/>
      </w:r>
      <w:r w:rsidRPr="00580687">
        <w:rPr>
          <w:sz w:val="18"/>
          <w:szCs w:val="18"/>
        </w:rPr>
        <w:t xml:space="preserve"> At the Atlanta SMR conference, May 2023, simplifying and shortening the siting procedures was a prominent theme. </w:t>
      </w:r>
    </w:p>
  </w:footnote>
  <w:footnote w:id="8">
    <w:p w14:paraId="0386E963" w14:textId="77777777" w:rsidR="00356605" w:rsidRPr="00580687" w:rsidRDefault="00356605" w:rsidP="00EC720D">
      <w:pPr>
        <w:ind w:left="459"/>
        <w:jc w:val="both"/>
        <w:rPr>
          <w:sz w:val="18"/>
          <w:szCs w:val="18"/>
        </w:rPr>
      </w:pPr>
      <w:r w:rsidRPr="00580687">
        <w:rPr>
          <w:rStyle w:val="FootnoteReference"/>
          <w:sz w:val="18"/>
          <w:szCs w:val="18"/>
        </w:rPr>
        <w:footnoteRef/>
      </w:r>
      <w:r w:rsidRPr="00580687">
        <w:rPr>
          <w:sz w:val="18"/>
          <w:szCs w:val="18"/>
        </w:rPr>
        <w:t xml:space="preserve"> </w:t>
      </w:r>
      <w:hyperlink r:id="rId1">
        <w:r w:rsidRPr="00580687">
          <w:rPr>
            <w:color w:val="1155CC"/>
            <w:sz w:val="18"/>
            <w:szCs w:val="18"/>
            <w:u w:val="single"/>
          </w:rPr>
          <w:t>https://www.cnsc-ccsn.gc.ca/eng/resources/environmental-protection/reviews/</w:t>
        </w:r>
      </w:hyperlink>
      <w:r w:rsidRPr="00580687">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616323AB" w:rsidR="00E20E70" w:rsidRDefault="00BB246F" w:rsidP="00B82FA5">
    <w:pPr>
      <w:pStyle w:val="Runninghead"/>
    </w:pPr>
    <w:r>
      <w:t>M. LEHTONEN et al.</w:t>
    </w:r>
  </w:p>
  <w:p w14:paraId="2762EF17" w14:textId="551BA108"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FFCCBF22"/>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 w:numId="33" w16cid:durableId="659508214">
    <w:abstractNumId w:val="6"/>
    <w:lvlOverride w:ilvl="0">
      <w:startOverride w:val="1"/>
    </w:lvlOverride>
  </w:num>
  <w:num w:numId="34" w16cid:durableId="159004184">
    <w:abstractNumId w:val="6"/>
    <w:lvlOverride w:ilvl="0">
      <w:startOverride w:val="1"/>
    </w:lvlOverride>
  </w:num>
  <w:num w:numId="35" w16cid:durableId="731123578">
    <w:abstractNumId w:val="6"/>
    <w:lvlOverride w:ilvl="0">
      <w:startOverride w:val="1"/>
    </w:lvlOverride>
  </w:num>
  <w:num w:numId="36" w16cid:durableId="748163156">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fr-FR"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2333"/>
    <w:rsid w:val="00012CAA"/>
    <w:rsid w:val="00013B94"/>
    <w:rsid w:val="0001600B"/>
    <w:rsid w:val="0002263C"/>
    <w:rsid w:val="000229AB"/>
    <w:rsid w:val="0002569A"/>
    <w:rsid w:val="00037321"/>
    <w:rsid w:val="000A0299"/>
    <w:rsid w:val="000A6218"/>
    <w:rsid w:val="000C6F25"/>
    <w:rsid w:val="000D7732"/>
    <w:rsid w:val="000D7892"/>
    <w:rsid w:val="000E1D36"/>
    <w:rsid w:val="000F7E94"/>
    <w:rsid w:val="001119D6"/>
    <w:rsid w:val="001168B6"/>
    <w:rsid w:val="001308F2"/>
    <w:rsid w:val="001313E8"/>
    <w:rsid w:val="00133C74"/>
    <w:rsid w:val="001479F5"/>
    <w:rsid w:val="001646DD"/>
    <w:rsid w:val="001771DA"/>
    <w:rsid w:val="001959A0"/>
    <w:rsid w:val="001B5903"/>
    <w:rsid w:val="001C58F5"/>
    <w:rsid w:val="001D28FF"/>
    <w:rsid w:val="001D5CEE"/>
    <w:rsid w:val="001E1251"/>
    <w:rsid w:val="001F103E"/>
    <w:rsid w:val="002071D9"/>
    <w:rsid w:val="00211920"/>
    <w:rsid w:val="00215455"/>
    <w:rsid w:val="00244780"/>
    <w:rsid w:val="00252C01"/>
    <w:rsid w:val="00256822"/>
    <w:rsid w:val="00257B76"/>
    <w:rsid w:val="0026525A"/>
    <w:rsid w:val="00274790"/>
    <w:rsid w:val="00285755"/>
    <w:rsid w:val="00290F41"/>
    <w:rsid w:val="002A1F9C"/>
    <w:rsid w:val="002B29C2"/>
    <w:rsid w:val="002B301F"/>
    <w:rsid w:val="002C4208"/>
    <w:rsid w:val="002E20D9"/>
    <w:rsid w:val="00307CF4"/>
    <w:rsid w:val="00343FD6"/>
    <w:rsid w:val="00352DE1"/>
    <w:rsid w:val="003535B0"/>
    <w:rsid w:val="00354395"/>
    <w:rsid w:val="00356605"/>
    <w:rsid w:val="00367136"/>
    <w:rsid w:val="003728E6"/>
    <w:rsid w:val="00392551"/>
    <w:rsid w:val="003A5A52"/>
    <w:rsid w:val="003B5E0E"/>
    <w:rsid w:val="003D255A"/>
    <w:rsid w:val="003F1E40"/>
    <w:rsid w:val="00406D27"/>
    <w:rsid w:val="00416949"/>
    <w:rsid w:val="004370D8"/>
    <w:rsid w:val="00454A0D"/>
    <w:rsid w:val="004622E6"/>
    <w:rsid w:val="00472C43"/>
    <w:rsid w:val="004B18FA"/>
    <w:rsid w:val="004D6CD4"/>
    <w:rsid w:val="004E6E98"/>
    <w:rsid w:val="00525A87"/>
    <w:rsid w:val="005275DE"/>
    <w:rsid w:val="00531A96"/>
    <w:rsid w:val="00537496"/>
    <w:rsid w:val="00544ED3"/>
    <w:rsid w:val="00551710"/>
    <w:rsid w:val="00553A40"/>
    <w:rsid w:val="0058477B"/>
    <w:rsid w:val="0058654F"/>
    <w:rsid w:val="00592390"/>
    <w:rsid w:val="00592D48"/>
    <w:rsid w:val="00596ACA"/>
    <w:rsid w:val="005B63D8"/>
    <w:rsid w:val="005C4BA9"/>
    <w:rsid w:val="005D09AC"/>
    <w:rsid w:val="005E26BA"/>
    <w:rsid w:val="005E39BC"/>
    <w:rsid w:val="005F00A0"/>
    <w:rsid w:val="005F4B78"/>
    <w:rsid w:val="006043AA"/>
    <w:rsid w:val="0062557C"/>
    <w:rsid w:val="0062629B"/>
    <w:rsid w:val="006304E0"/>
    <w:rsid w:val="00647F33"/>
    <w:rsid w:val="00662532"/>
    <w:rsid w:val="006B2274"/>
    <w:rsid w:val="006B3CE7"/>
    <w:rsid w:val="006B3E71"/>
    <w:rsid w:val="006C214A"/>
    <w:rsid w:val="006C7C18"/>
    <w:rsid w:val="006E0CFE"/>
    <w:rsid w:val="006E4775"/>
    <w:rsid w:val="006F0C79"/>
    <w:rsid w:val="00707355"/>
    <w:rsid w:val="00717C6F"/>
    <w:rsid w:val="007445DA"/>
    <w:rsid w:val="0075264D"/>
    <w:rsid w:val="00754204"/>
    <w:rsid w:val="00776C90"/>
    <w:rsid w:val="00780AE9"/>
    <w:rsid w:val="0078715E"/>
    <w:rsid w:val="007873D9"/>
    <w:rsid w:val="007B4FD1"/>
    <w:rsid w:val="007B631F"/>
    <w:rsid w:val="007C1543"/>
    <w:rsid w:val="007E3C70"/>
    <w:rsid w:val="007F69BB"/>
    <w:rsid w:val="00802381"/>
    <w:rsid w:val="00822434"/>
    <w:rsid w:val="00831780"/>
    <w:rsid w:val="00842E36"/>
    <w:rsid w:val="00876952"/>
    <w:rsid w:val="00877C03"/>
    <w:rsid w:val="00883848"/>
    <w:rsid w:val="008869A5"/>
    <w:rsid w:val="00897ED5"/>
    <w:rsid w:val="008B6BB9"/>
    <w:rsid w:val="008C4623"/>
    <w:rsid w:val="008D1EA6"/>
    <w:rsid w:val="008E1A9F"/>
    <w:rsid w:val="008E23FB"/>
    <w:rsid w:val="008F1C71"/>
    <w:rsid w:val="008F308D"/>
    <w:rsid w:val="009062B5"/>
    <w:rsid w:val="0090710D"/>
    <w:rsid w:val="00911543"/>
    <w:rsid w:val="009519C9"/>
    <w:rsid w:val="00961CB2"/>
    <w:rsid w:val="00981D47"/>
    <w:rsid w:val="00982470"/>
    <w:rsid w:val="009A73C7"/>
    <w:rsid w:val="009B20A8"/>
    <w:rsid w:val="009B7FC1"/>
    <w:rsid w:val="009D0B86"/>
    <w:rsid w:val="009E0D5B"/>
    <w:rsid w:val="009E1558"/>
    <w:rsid w:val="009E3815"/>
    <w:rsid w:val="009E4989"/>
    <w:rsid w:val="009E5228"/>
    <w:rsid w:val="009F4E94"/>
    <w:rsid w:val="00A0764A"/>
    <w:rsid w:val="00A2435C"/>
    <w:rsid w:val="00A37F07"/>
    <w:rsid w:val="00A42898"/>
    <w:rsid w:val="00A42AF3"/>
    <w:rsid w:val="00A964F2"/>
    <w:rsid w:val="00AA5335"/>
    <w:rsid w:val="00AB6ACE"/>
    <w:rsid w:val="00AB747C"/>
    <w:rsid w:val="00AC27AE"/>
    <w:rsid w:val="00AC5A3A"/>
    <w:rsid w:val="00AD15A4"/>
    <w:rsid w:val="00AE472C"/>
    <w:rsid w:val="00AF3D5A"/>
    <w:rsid w:val="00B01573"/>
    <w:rsid w:val="00B171D4"/>
    <w:rsid w:val="00B261AB"/>
    <w:rsid w:val="00B466D3"/>
    <w:rsid w:val="00B80C2F"/>
    <w:rsid w:val="00B82FA5"/>
    <w:rsid w:val="00BB1BE5"/>
    <w:rsid w:val="00BB246F"/>
    <w:rsid w:val="00BB420E"/>
    <w:rsid w:val="00BD1400"/>
    <w:rsid w:val="00BD605C"/>
    <w:rsid w:val="00BE2A76"/>
    <w:rsid w:val="00BF544A"/>
    <w:rsid w:val="00C13147"/>
    <w:rsid w:val="00C153C7"/>
    <w:rsid w:val="00C54516"/>
    <w:rsid w:val="00C6117E"/>
    <w:rsid w:val="00C65E60"/>
    <w:rsid w:val="00C81819"/>
    <w:rsid w:val="00C81A6D"/>
    <w:rsid w:val="00C834CF"/>
    <w:rsid w:val="00CA1BCE"/>
    <w:rsid w:val="00CA4C17"/>
    <w:rsid w:val="00CD2675"/>
    <w:rsid w:val="00CE512D"/>
    <w:rsid w:val="00CE5A52"/>
    <w:rsid w:val="00CF7AF3"/>
    <w:rsid w:val="00D0123F"/>
    <w:rsid w:val="00D04685"/>
    <w:rsid w:val="00D06E48"/>
    <w:rsid w:val="00D2469D"/>
    <w:rsid w:val="00D26ADA"/>
    <w:rsid w:val="00D35A78"/>
    <w:rsid w:val="00D37D55"/>
    <w:rsid w:val="00D50CCB"/>
    <w:rsid w:val="00D555A1"/>
    <w:rsid w:val="00D569EE"/>
    <w:rsid w:val="00D64523"/>
    <w:rsid w:val="00D64DC2"/>
    <w:rsid w:val="00D73BE1"/>
    <w:rsid w:val="00D82CA6"/>
    <w:rsid w:val="00DA46CA"/>
    <w:rsid w:val="00DB6E23"/>
    <w:rsid w:val="00DC1856"/>
    <w:rsid w:val="00DF1FB0"/>
    <w:rsid w:val="00DF21EB"/>
    <w:rsid w:val="00E00904"/>
    <w:rsid w:val="00E02E00"/>
    <w:rsid w:val="00E074C3"/>
    <w:rsid w:val="00E20E70"/>
    <w:rsid w:val="00E25B68"/>
    <w:rsid w:val="00E279C6"/>
    <w:rsid w:val="00E31B45"/>
    <w:rsid w:val="00E510F0"/>
    <w:rsid w:val="00E520E2"/>
    <w:rsid w:val="00E74145"/>
    <w:rsid w:val="00E8274C"/>
    <w:rsid w:val="00E84003"/>
    <w:rsid w:val="00EB571B"/>
    <w:rsid w:val="00EC10FC"/>
    <w:rsid w:val="00EC1B90"/>
    <w:rsid w:val="00EC720D"/>
    <w:rsid w:val="00EE0041"/>
    <w:rsid w:val="00EE29B9"/>
    <w:rsid w:val="00F004EE"/>
    <w:rsid w:val="00F02CC2"/>
    <w:rsid w:val="00F05B3C"/>
    <w:rsid w:val="00F13913"/>
    <w:rsid w:val="00F27414"/>
    <w:rsid w:val="00F40736"/>
    <w:rsid w:val="00F42E23"/>
    <w:rsid w:val="00F43E65"/>
    <w:rsid w:val="00F45EEE"/>
    <w:rsid w:val="00F51E9C"/>
    <w:rsid w:val="00F523CA"/>
    <w:rsid w:val="00F63D24"/>
    <w:rsid w:val="00F74A8A"/>
    <w:rsid w:val="00F74A9D"/>
    <w:rsid w:val="00F80E9C"/>
    <w:rsid w:val="00F9213A"/>
    <w:rsid w:val="00F9532C"/>
    <w:rsid w:val="00FC5EB0"/>
    <w:rsid w:val="00FC6909"/>
    <w:rsid w:val="00FE7912"/>
    <w:rsid w:val="00FF134E"/>
    <w:rsid w:val="00FF371A"/>
    <w:rsid w:val="00FF386F"/>
    <w:rsid w:val="00FF6362"/>
    <w:rsid w:val="00FF6F19"/>
    <w:rsid w:val="00FF7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9"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annotation reference" w:uiPriority="99"/>
    <w:lsdException w:name="List Bullet" w:locked="0"/>
    <w:lsdException w:name="Title" w:locked="0" w:uiPriority="10" w:qFormat="1"/>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Emphasis" w:uiPriority="2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uiPriority w:val="9"/>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10"/>
    <w:qFormat/>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99"/>
    <w:locked/>
    <w:rsid w:val="00356605"/>
    <w:rPr>
      <w:color w:val="0000FF" w:themeColor="hyperlink"/>
      <w:u w:val="single"/>
    </w:rPr>
  </w:style>
  <w:style w:type="character" w:styleId="CommentReference">
    <w:name w:val="annotation reference"/>
    <w:basedOn w:val="DefaultParagraphFont"/>
    <w:uiPriority w:val="99"/>
    <w:unhideWhenUsed/>
    <w:locked/>
    <w:rsid w:val="00356605"/>
    <w:rPr>
      <w:sz w:val="16"/>
      <w:szCs w:val="16"/>
    </w:rPr>
  </w:style>
  <w:style w:type="character" w:styleId="Emphasis">
    <w:name w:val="Emphasis"/>
    <w:uiPriority w:val="20"/>
    <w:qFormat/>
    <w:locked/>
    <w:rsid w:val="00D82CA6"/>
    <w:rPr>
      <w:i/>
      <w:iCs/>
    </w:rPr>
  </w:style>
  <w:style w:type="character" w:styleId="FollowedHyperlink">
    <w:name w:val="FollowedHyperlink"/>
    <w:basedOn w:val="DefaultParagraphFont"/>
    <w:uiPriority w:val="49"/>
    <w:locked/>
    <w:rsid w:val="00D82CA6"/>
    <w:rPr>
      <w:color w:val="800080" w:themeColor="followedHyperlink"/>
      <w:u w:val="single"/>
    </w:rPr>
  </w:style>
  <w:style w:type="character" w:styleId="UnresolvedMention">
    <w:name w:val="Unresolved Mention"/>
    <w:basedOn w:val="DefaultParagraphFont"/>
    <w:uiPriority w:val="99"/>
    <w:semiHidden/>
    <w:unhideWhenUsed/>
    <w:rsid w:val="00D82CA6"/>
    <w:rPr>
      <w:color w:val="605E5C"/>
      <w:shd w:val="clear" w:color="auto" w:fill="E1DFDD"/>
    </w:rPr>
  </w:style>
  <w:style w:type="paragraph" w:styleId="CommentText">
    <w:name w:val="annotation text"/>
    <w:basedOn w:val="Normal"/>
    <w:link w:val="CommentTextChar"/>
    <w:uiPriority w:val="49"/>
    <w:locked/>
    <w:rsid w:val="00D82CA6"/>
    <w:rPr>
      <w:sz w:val="20"/>
    </w:rPr>
  </w:style>
  <w:style w:type="character" w:customStyle="1" w:styleId="CommentTextChar">
    <w:name w:val="Comment Text Char"/>
    <w:basedOn w:val="DefaultParagraphFont"/>
    <w:link w:val="CommentText"/>
    <w:uiPriority w:val="49"/>
    <w:rsid w:val="00D82CA6"/>
    <w:rPr>
      <w:lang w:eastAsia="en-US"/>
    </w:rPr>
  </w:style>
  <w:style w:type="paragraph" w:styleId="CommentSubject">
    <w:name w:val="annotation subject"/>
    <w:basedOn w:val="CommentText"/>
    <w:next w:val="CommentText"/>
    <w:link w:val="CommentSubjectChar"/>
    <w:uiPriority w:val="49"/>
    <w:locked/>
    <w:rsid w:val="00D82CA6"/>
    <w:rPr>
      <w:b/>
      <w:bCs/>
    </w:rPr>
  </w:style>
  <w:style w:type="character" w:customStyle="1" w:styleId="CommentSubjectChar">
    <w:name w:val="Comment Subject Char"/>
    <w:basedOn w:val="CommentTextChar"/>
    <w:link w:val="CommentSubject"/>
    <w:uiPriority w:val="49"/>
    <w:rsid w:val="00D82CA6"/>
    <w:rPr>
      <w:b/>
      <w:bCs/>
      <w:lang w:eastAsia="en-US"/>
    </w:rPr>
  </w:style>
  <w:style w:type="character" w:customStyle="1" w:styleId="dont-break-out">
    <w:name w:val="dont-break-out"/>
    <w:basedOn w:val="DefaultParagraphFont"/>
    <w:rsid w:val="00C13147"/>
  </w:style>
  <w:style w:type="paragraph" w:styleId="Revision">
    <w:name w:val="Revision"/>
    <w:hidden/>
    <w:uiPriority w:val="99"/>
    <w:semiHidden/>
    <w:rsid w:val="00EC720D"/>
    <w:rPr>
      <w:sz w:val="22"/>
      <w:lang w:eastAsia="en-US"/>
    </w:rPr>
  </w:style>
  <w:style w:type="character" w:customStyle="1" w:styleId="Heading1Char">
    <w:name w:val="Heading 1 Char"/>
    <w:basedOn w:val="DefaultParagraphFont"/>
    <w:link w:val="Heading1"/>
    <w:uiPriority w:val="9"/>
    <w:rsid w:val="00D06E48"/>
    <w:rPr>
      <w:rFonts w:ascii="Times New Roman Bold" w:hAnsi="Times New Roman Bold"/>
      <w:b/>
      <w:cap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7804">
      <w:bodyDiv w:val="1"/>
      <w:marLeft w:val="0"/>
      <w:marRight w:val="0"/>
      <w:marTop w:val="0"/>
      <w:marBottom w:val="0"/>
      <w:divBdr>
        <w:top w:val="none" w:sz="0" w:space="0" w:color="auto"/>
        <w:left w:val="none" w:sz="0" w:space="0" w:color="auto"/>
        <w:bottom w:val="none" w:sz="0" w:space="0" w:color="auto"/>
        <w:right w:val="none" w:sz="0" w:space="0" w:color="auto"/>
      </w:divBdr>
    </w:div>
    <w:div w:id="47461462">
      <w:bodyDiv w:val="1"/>
      <w:marLeft w:val="0"/>
      <w:marRight w:val="0"/>
      <w:marTop w:val="0"/>
      <w:marBottom w:val="0"/>
      <w:divBdr>
        <w:top w:val="none" w:sz="0" w:space="0" w:color="auto"/>
        <w:left w:val="none" w:sz="0" w:space="0" w:color="auto"/>
        <w:bottom w:val="none" w:sz="0" w:space="0" w:color="auto"/>
        <w:right w:val="none" w:sz="0" w:space="0" w:color="auto"/>
      </w:divBdr>
    </w:div>
    <w:div w:id="276640739">
      <w:bodyDiv w:val="1"/>
      <w:marLeft w:val="0"/>
      <w:marRight w:val="0"/>
      <w:marTop w:val="0"/>
      <w:marBottom w:val="0"/>
      <w:divBdr>
        <w:top w:val="none" w:sz="0" w:space="0" w:color="auto"/>
        <w:left w:val="none" w:sz="0" w:space="0" w:color="auto"/>
        <w:bottom w:val="none" w:sz="0" w:space="0" w:color="auto"/>
        <w:right w:val="none" w:sz="0" w:space="0" w:color="auto"/>
      </w:divBdr>
    </w:div>
    <w:div w:id="290668559">
      <w:bodyDiv w:val="1"/>
      <w:marLeft w:val="0"/>
      <w:marRight w:val="0"/>
      <w:marTop w:val="0"/>
      <w:marBottom w:val="0"/>
      <w:divBdr>
        <w:top w:val="none" w:sz="0" w:space="0" w:color="auto"/>
        <w:left w:val="none" w:sz="0" w:space="0" w:color="auto"/>
        <w:bottom w:val="none" w:sz="0" w:space="0" w:color="auto"/>
        <w:right w:val="none" w:sz="0" w:space="0" w:color="auto"/>
      </w:divBdr>
    </w:div>
    <w:div w:id="780148381">
      <w:bodyDiv w:val="1"/>
      <w:marLeft w:val="0"/>
      <w:marRight w:val="0"/>
      <w:marTop w:val="0"/>
      <w:marBottom w:val="0"/>
      <w:divBdr>
        <w:top w:val="none" w:sz="0" w:space="0" w:color="auto"/>
        <w:left w:val="none" w:sz="0" w:space="0" w:color="auto"/>
        <w:bottom w:val="none" w:sz="0" w:space="0" w:color="auto"/>
        <w:right w:val="none" w:sz="0" w:space="0" w:color="auto"/>
      </w:divBdr>
    </w:div>
    <w:div w:id="884485425">
      <w:bodyDiv w:val="1"/>
      <w:marLeft w:val="0"/>
      <w:marRight w:val="0"/>
      <w:marTop w:val="0"/>
      <w:marBottom w:val="0"/>
      <w:divBdr>
        <w:top w:val="none" w:sz="0" w:space="0" w:color="auto"/>
        <w:left w:val="none" w:sz="0" w:space="0" w:color="auto"/>
        <w:bottom w:val="none" w:sz="0" w:space="0" w:color="auto"/>
        <w:right w:val="none" w:sz="0" w:space="0" w:color="auto"/>
      </w:divBdr>
    </w:div>
    <w:div w:id="1349330888">
      <w:bodyDiv w:val="1"/>
      <w:marLeft w:val="0"/>
      <w:marRight w:val="0"/>
      <w:marTop w:val="0"/>
      <w:marBottom w:val="0"/>
      <w:divBdr>
        <w:top w:val="none" w:sz="0" w:space="0" w:color="auto"/>
        <w:left w:val="none" w:sz="0" w:space="0" w:color="auto"/>
        <w:bottom w:val="none" w:sz="0" w:space="0" w:color="auto"/>
        <w:right w:val="none" w:sz="0" w:space="0" w:color="auto"/>
      </w:divBdr>
    </w:div>
    <w:div w:id="17749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nsc-ccsn.gc.ca/eng/resources/status-of-new-nuclear-projects/nbpower/" TargetMode="External"/><Relationship Id="rId18" Type="http://schemas.openxmlformats.org/officeDocument/2006/relationships/hyperlink" Target="https://bin.yhdistysavain.fi/1608821/dSuhNaUcs1gH0RW4EU0D0ZSYvh/atsyt_2018_1.pdf" TargetMode="External"/><Relationship Id="rId26" Type="http://schemas.openxmlformats.org/officeDocument/2006/relationships/hyperlink" Target="https://doi.org/10.1002/rhc3.12210" TargetMode="External"/><Relationship Id="rId39" Type="http://schemas.openxmlformats.org/officeDocument/2006/relationships/header" Target="header3.xml"/><Relationship Id="rId21" Type="http://schemas.openxmlformats.org/officeDocument/2006/relationships/hyperlink" Target="https://stuk.fi/en/-/according-to-stuk-s-new-regulation-nuclear-power-plant-s-precautionary-action-zone-and-emergency-planning-zone-are-defined-on-a-case-by-case-basis" TargetMode="External"/><Relationship Id="rId34" Type="http://schemas.openxmlformats.org/officeDocument/2006/relationships/hyperlink" Target="https://www.ans.org/news/article-4251/the-gold-standard-of-regulation/"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i.org/10.1515/9780773548718" TargetMode="External"/><Relationship Id="rId20" Type="http://schemas.openxmlformats.org/officeDocument/2006/relationships/hyperlink" Target="https://www.eduskunta.fi/FI/vaski/EduskuntaAloite/Sivut/TPA_19+2019.aspx" TargetMode="External"/><Relationship Id="rId29" Type="http://schemas.openxmlformats.org/officeDocument/2006/relationships/hyperlink" Target="https://doi.org/10.17226/2490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20381/ruor-26682" TargetMode="External"/><Relationship Id="rId24" Type="http://schemas.openxmlformats.org/officeDocument/2006/relationships/hyperlink" Target="https://doi.org/10.1177/1942778620944573" TargetMode="External"/><Relationship Id="rId32" Type="http://schemas.openxmlformats.org/officeDocument/2006/relationships/hyperlink" Target="https://foreignpolicy.com/2023/04/08/nuclear-power-energy-net-zero-emissions-nrc-regulation-climate-chang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urn.fi/URN:NBN:fi-fe20231016140280" TargetMode="External"/><Relationship Id="rId23" Type="http://schemas.openxmlformats.org/officeDocument/2006/relationships/hyperlink" Target="https://thebulletin.org/2022/12/building-promises-of-small-modular-reactors-one-conference-at-a-time/" TargetMode="External"/><Relationship Id="rId28" Type="http://schemas.openxmlformats.org/officeDocument/2006/relationships/hyperlink" Target="https://drive.google.com/file/d/1SvN91BVG61AcTpHzC4h6NGBylvigKZS_/view" TargetMode="External"/><Relationship Id="rId36" Type="http://schemas.openxmlformats.org/officeDocument/2006/relationships/header" Target="header2.xml"/><Relationship Id="rId10" Type="http://schemas.openxmlformats.org/officeDocument/2006/relationships/hyperlink" Target="https://content.yudu.com/web/442ay/0A444i1/NEI0124-Pros/html/index.html?page=18&amp;origin=reader" TargetMode="External"/><Relationship Id="rId19" Type="http://schemas.openxmlformats.org/officeDocument/2006/relationships/hyperlink" Target="https://stuk.fi/documents/150192312/160270490/YTNn_nakemys_pieniin_modulaarisiin_reaktoreihin_liittyvista_kehitystarpeista_Suomessa.pdf/62011c5a-d301-bab7-1100-7cc4f3f648dc/YTNn_nakemys_pieniin_modulaarisiin_reaktoreihin_liittyvista_kehitystarpeista_Suomessa.pdf?t=1706004047098" TargetMode="External"/><Relationship Id="rId31" Type="http://schemas.openxmlformats.org/officeDocument/2006/relationships/hyperlink" Target="https://valtioneuvosto.fi/en/governments/government-program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usuntopalvelu.fi/FI/Proposal/Participation?proposalId=3ff6cd6d-7df6-415f-ad5a-e33c377ce075" TargetMode="External"/><Relationship Id="rId22" Type="http://schemas.openxmlformats.org/officeDocument/2006/relationships/hyperlink" Target="https://stuk.fi/en/renewal-of-the-nuclear-safety-regulation" TargetMode="External"/><Relationship Id="rId27" Type="http://schemas.openxmlformats.org/officeDocument/2006/relationships/hyperlink" Target="https://doi.org/10.1080/13669877.2021.1957986" TargetMode="External"/><Relationship Id="rId30" Type="http://schemas.openxmlformats.org/officeDocument/2006/relationships/hyperlink" Target="https://www.ldr-reactor.fi/en/1099-2/"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cnsc-ccsn.gc.ca/eng/reactors/power-plants/new-reactor-facilities/" TargetMode="External"/><Relationship Id="rId17" Type="http://schemas.openxmlformats.org/officeDocument/2006/relationships/hyperlink" Target="https://ats-fns.fi/images/files/ydintekniikka/atsyt_2017_3.pdf" TargetMode="External"/><Relationship Id="rId25" Type="http://schemas.openxmlformats.org/officeDocument/2006/relationships/hyperlink" Target="https://www.oag-bvg.gc.ca/internet/English/pet_443_e_43602.html" TargetMode="External"/><Relationship Id="rId33" Type="http://schemas.openxmlformats.org/officeDocument/2006/relationships/hyperlink" Target="https://www.ans.org/news/article-6003/developing-a-new-regulatory-framework-for-advanced-reactors-update-on-part-53/"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nsc-ccsn.gc.ca/eng/resources/environmental-protection/revi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3.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C:\WINDOWS\IAEA\Templates\O365\IAEA Blank (r01).dotx</Template>
  <TotalTime>24</TotalTime>
  <Pages>10</Pages>
  <Words>6987</Words>
  <Characters>39827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MARKKU JUHANI LEHTONEN</cp:lastModifiedBy>
  <cp:revision>4</cp:revision>
  <cp:lastPrinted>2024-03-19T13:52:00Z</cp:lastPrinted>
  <dcterms:created xsi:type="dcterms:W3CDTF">2024-09-09T13:01:00Z</dcterms:created>
  <dcterms:modified xsi:type="dcterms:W3CDTF">2024-09-09T16:24:00Z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