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B0BE2" w14:textId="77777777" w:rsidR="0091482A" w:rsidRDefault="0091482A" w:rsidP="00537496">
      <w:pPr>
        <w:pStyle w:val="Subttulo"/>
        <w:rPr>
          <w:rFonts w:ascii="Times New Roman Bold" w:hAnsi="Times New Roman Bold" w:cs="Times New Roman"/>
          <w:i w:val="0"/>
          <w:caps/>
          <w:szCs w:val="20"/>
        </w:rPr>
      </w:pPr>
      <w:r w:rsidRPr="0091482A">
        <w:rPr>
          <w:rFonts w:ascii="Times New Roman Bold" w:hAnsi="Times New Roman Bold" w:cs="Times New Roman"/>
          <w:i w:val="0"/>
          <w:caps/>
          <w:szCs w:val="20"/>
        </w:rPr>
        <w:t>Analysis of DEC-A sequences in a NuScale-like SMR considering ATF fuel performance using the system code TRACE</w:t>
      </w:r>
    </w:p>
    <w:p w14:paraId="4D1B799F" w14:textId="77777777" w:rsidR="00802381" w:rsidRDefault="00802381" w:rsidP="00537496">
      <w:pPr>
        <w:pStyle w:val="Authornameandaffiliation"/>
      </w:pPr>
    </w:p>
    <w:p w14:paraId="32159D0F" w14:textId="64D09AEC" w:rsidR="003B5E0E" w:rsidRPr="00A430DD" w:rsidRDefault="0091482A" w:rsidP="00537496">
      <w:pPr>
        <w:pStyle w:val="Authornameandaffiliation"/>
        <w:rPr>
          <w:lang w:val="es-ES"/>
        </w:rPr>
      </w:pPr>
      <w:r w:rsidRPr="00A430DD">
        <w:rPr>
          <w:lang w:val="es-ES"/>
        </w:rPr>
        <w:t>JORGE SANCHEZ-TORRIJOS</w:t>
      </w:r>
    </w:p>
    <w:p w14:paraId="02370931" w14:textId="46EAE132" w:rsidR="00FF386F" w:rsidRPr="001835AF" w:rsidRDefault="0091482A" w:rsidP="00537496">
      <w:pPr>
        <w:pStyle w:val="Authornameandaffiliation"/>
        <w:rPr>
          <w:lang w:val="en-GB"/>
        </w:rPr>
      </w:pPr>
      <w:r w:rsidRPr="001835AF">
        <w:rPr>
          <w:lang w:val="en-GB"/>
        </w:rPr>
        <w:t>NFQ Advisory Services S.L.</w:t>
      </w:r>
    </w:p>
    <w:p w14:paraId="14684DE2" w14:textId="4C32716D" w:rsidR="00FF386F" w:rsidRPr="00A430DD" w:rsidRDefault="0091482A" w:rsidP="00537496">
      <w:pPr>
        <w:pStyle w:val="Authornameandaffiliation"/>
        <w:rPr>
          <w:lang w:val="es-ES"/>
        </w:rPr>
      </w:pPr>
      <w:r w:rsidRPr="00A430DD">
        <w:rPr>
          <w:lang w:val="es-ES"/>
        </w:rPr>
        <w:t>Madrid</w:t>
      </w:r>
      <w:r w:rsidR="00FF386F" w:rsidRPr="00A430DD">
        <w:rPr>
          <w:lang w:val="es-ES"/>
        </w:rPr>
        <w:t xml:space="preserve">, </w:t>
      </w:r>
      <w:r w:rsidRPr="00A430DD">
        <w:rPr>
          <w:lang w:val="es-ES"/>
        </w:rPr>
        <w:t>Spain</w:t>
      </w:r>
    </w:p>
    <w:p w14:paraId="5E2BDA1F" w14:textId="6135E6A5" w:rsidR="00FF386F" w:rsidRPr="00A430DD" w:rsidRDefault="00000000" w:rsidP="00537496">
      <w:pPr>
        <w:pStyle w:val="Authornameandaffiliation"/>
        <w:rPr>
          <w:lang w:val="es-ES"/>
        </w:rPr>
      </w:pPr>
      <w:hyperlink r:id="rId10" w:history="1">
        <w:r w:rsidR="0091482A" w:rsidRPr="00A430DD">
          <w:rPr>
            <w:rStyle w:val="Hipervnculo"/>
            <w:lang w:val="es-ES"/>
          </w:rPr>
          <w:t>jorge.sanchez@nfq.es</w:t>
        </w:r>
      </w:hyperlink>
      <w:r w:rsidR="0091482A" w:rsidRPr="00A430DD">
        <w:rPr>
          <w:lang w:val="es-ES"/>
        </w:rPr>
        <w:t xml:space="preserve"> </w:t>
      </w:r>
    </w:p>
    <w:p w14:paraId="5A9F404D" w14:textId="77777777" w:rsidR="0091482A" w:rsidRPr="00A430DD" w:rsidRDefault="0091482A" w:rsidP="00537496">
      <w:pPr>
        <w:pStyle w:val="Authornameandaffiliation"/>
        <w:rPr>
          <w:lang w:val="es-ES"/>
        </w:rPr>
      </w:pPr>
    </w:p>
    <w:p w14:paraId="535BB6CC" w14:textId="1B98A30B" w:rsidR="00FF386F" w:rsidRPr="00A430DD" w:rsidRDefault="0091482A" w:rsidP="00537496">
      <w:pPr>
        <w:pStyle w:val="Authornameandaffiliation"/>
        <w:rPr>
          <w:lang w:val="es-ES"/>
        </w:rPr>
      </w:pPr>
      <w:r w:rsidRPr="00A430DD">
        <w:rPr>
          <w:lang w:val="es-ES"/>
        </w:rPr>
        <w:t>YAGO MARTINEZ</w:t>
      </w:r>
    </w:p>
    <w:p w14:paraId="008085C2" w14:textId="0B4B224B" w:rsidR="00FF386F" w:rsidRPr="00A430DD" w:rsidRDefault="0091482A" w:rsidP="00537496">
      <w:pPr>
        <w:pStyle w:val="Authornameandaffiliation"/>
        <w:rPr>
          <w:lang w:val="es-ES"/>
        </w:rPr>
      </w:pPr>
      <w:r w:rsidRPr="00A430DD">
        <w:rPr>
          <w:lang w:val="es-ES"/>
        </w:rPr>
        <w:t>Universidad Politécnica de Madrid</w:t>
      </w:r>
    </w:p>
    <w:p w14:paraId="5D980831" w14:textId="7A11B9E2" w:rsidR="00FF386F" w:rsidRPr="000E4BE2" w:rsidRDefault="0091482A" w:rsidP="00537496">
      <w:pPr>
        <w:pStyle w:val="Authornameandaffiliation"/>
        <w:rPr>
          <w:lang w:val="en-GB"/>
        </w:rPr>
      </w:pPr>
      <w:r w:rsidRPr="000E4BE2">
        <w:rPr>
          <w:lang w:val="en-GB"/>
        </w:rPr>
        <w:t>Madrid</w:t>
      </w:r>
      <w:r w:rsidR="00FF386F" w:rsidRPr="000E4BE2">
        <w:rPr>
          <w:lang w:val="en-GB"/>
        </w:rPr>
        <w:t xml:space="preserve">, </w:t>
      </w:r>
      <w:r w:rsidRPr="000E4BE2">
        <w:rPr>
          <w:lang w:val="en-GB"/>
        </w:rPr>
        <w:t>Spain</w:t>
      </w:r>
    </w:p>
    <w:p w14:paraId="2C7F19CB" w14:textId="77777777" w:rsidR="00FF386F" w:rsidRPr="000E4BE2" w:rsidRDefault="00FF386F" w:rsidP="00537496">
      <w:pPr>
        <w:pStyle w:val="Authornameandaffiliation"/>
        <w:rPr>
          <w:lang w:val="en-GB"/>
        </w:rPr>
      </w:pPr>
    </w:p>
    <w:p w14:paraId="664C9CD1" w14:textId="293D0A67" w:rsidR="0091482A" w:rsidRPr="000E4BE2" w:rsidRDefault="0091482A" w:rsidP="0091482A">
      <w:pPr>
        <w:pStyle w:val="Authornameandaffiliation"/>
        <w:rPr>
          <w:lang w:val="en-GB"/>
        </w:rPr>
      </w:pPr>
      <w:r w:rsidRPr="000E4BE2">
        <w:rPr>
          <w:lang w:val="en-GB"/>
        </w:rPr>
        <w:t>AMPARO SOLER</w:t>
      </w:r>
    </w:p>
    <w:p w14:paraId="0DFF0E23" w14:textId="77777777" w:rsidR="0091482A" w:rsidRPr="000E4BE2" w:rsidRDefault="0091482A" w:rsidP="0091482A">
      <w:pPr>
        <w:pStyle w:val="Authornameandaffiliation"/>
        <w:rPr>
          <w:lang w:val="en-GB"/>
        </w:rPr>
      </w:pPr>
      <w:r w:rsidRPr="000E4BE2">
        <w:rPr>
          <w:lang w:val="en-GB"/>
        </w:rPr>
        <w:t>NFQ Advisory Services S.L.</w:t>
      </w:r>
    </w:p>
    <w:p w14:paraId="0CCE044C" w14:textId="77777777" w:rsidR="0091482A" w:rsidRPr="00A430DD" w:rsidRDefault="0091482A" w:rsidP="0091482A">
      <w:pPr>
        <w:pStyle w:val="Authornameandaffiliation"/>
        <w:rPr>
          <w:lang w:val="es-ES"/>
        </w:rPr>
      </w:pPr>
      <w:r w:rsidRPr="00A430DD">
        <w:rPr>
          <w:lang w:val="es-ES"/>
        </w:rPr>
        <w:t>Madrid, Spain</w:t>
      </w:r>
    </w:p>
    <w:p w14:paraId="42EB7813" w14:textId="77777777" w:rsidR="0091482A" w:rsidRPr="00A430DD" w:rsidRDefault="0091482A" w:rsidP="00537496">
      <w:pPr>
        <w:pStyle w:val="Authornameandaffiliation"/>
        <w:rPr>
          <w:lang w:val="es-ES"/>
        </w:rPr>
      </w:pPr>
    </w:p>
    <w:p w14:paraId="254B3688" w14:textId="54A028C4" w:rsidR="0091482A" w:rsidRPr="00A430DD" w:rsidRDefault="0091482A" w:rsidP="0091482A">
      <w:pPr>
        <w:pStyle w:val="Authornameandaffiliation"/>
        <w:rPr>
          <w:lang w:val="es-ES"/>
        </w:rPr>
      </w:pPr>
      <w:r w:rsidRPr="00A430DD">
        <w:rPr>
          <w:lang w:val="es-ES"/>
        </w:rPr>
        <w:t>EMILIO CASTRO</w:t>
      </w:r>
    </w:p>
    <w:p w14:paraId="5A437BC5" w14:textId="77777777" w:rsidR="0091482A" w:rsidRPr="00A430DD" w:rsidRDefault="0091482A" w:rsidP="0091482A">
      <w:pPr>
        <w:pStyle w:val="Authornameandaffiliation"/>
        <w:rPr>
          <w:lang w:val="es-ES"/>
        </w:rPr>
      </w:pPr>
      <w:r w:rsidRPr="00A430DD">
        <w:rPr>
          <w:lang w:val="es-ES"/>
        </w:rPr>
        <w:t>Universidad Politécnica de Madrid</w:t>
      </w:r>
    </w:p>
    <w:p w14:paraId="69F02CD3" w14:textId="77777777" w:rsidR="0091482A" w:rsidRPr="00A430DD" w:rsidRDefault="0091482A" w:rsidP="0091482A">
      <w:pPr>
        <w:pStyle w:val="Authornameandaffiliation"/>
        <w:rPr>
          <w:lang w:val="es-ES"/>
        </w:rPr>
      </w:pPr>
      <w:r w:rsidRPr="00A430DD">
        <w:rPr>
          <w:lang w:val="es-ES"/>
        </w:rPr>
        <w:t>Madrid, Spain</w:t>
      </w:r>
    </w:p>
    <w:p w14:paraId="2EAE0D9A" w14:textId="77777777" w:rsidR="0091482A" w:rsidRPr="00A430DD" w:rsidRDefault="0091482A" w:rsidP="00537496">
      <w:pPr>
        <w:pStyle w:val="Authornameandaffiliation"/>
        <w:rPr>
          <w:lang w:val="es-ES"/>
        </w:rPr>
      </w:pPr>
    </w:p>
    <w:p w14:paraId="1F48C4B7" w14:textId="2BDCFD77" w:rsidR="0091482A" w:rsidRPr="00A430DD" w:rsidRDefault="0091482A" w:rsidP="0091482A">
      <w:pPr>
        <w:pStyle w:val="Authornameandaffiliation"/>
        <w:rPr>
          <w:lang w:val="es-ES"/>
        </w:rPr>
      </w:pPr>
      <w:r w:rsidRPr="00A430DD">
        <w:rPr>
          <w:lang w:val="es-ES"/>
        </w:rPr>
        <w:t>CESAR QUERAL</w:t>
      </w:r>
    </w:p>
    <w:p w14:paraId="3DF488F2" w14:textId="77777777" w:rsidR="0091482A" w:rsidRPr="00A430DD" w:rsidRDefault="0091482A" w:rsidP="0091482A">
      <w:pPr>
        <w:pStyle w:val="Authornameandaffiliation"/>
        <w:rPr>
          <w:lang w:val="es-ES"/>
        </w:rPr>
      </w:pPr>
      <w:r w:rsidRPr="00A430DD">
        <w:rPr>
          <w:lang w:val="es-ES"/>
        </w:rPr>
        <w:t>Universidad Politécnica de Madrid</w:t>
      </w:r>
    </w:p>
    <w:p w14:paraId="69369423" w14:textId="77777777" w:rsidR="0091482A" w:rsidRPr="000E4BE2" w:rsidRDefault="0091482A" w:rsidP="0091482A">
      <w:pPr>
        <w:pStyle w:val="Authornameandaffiliation"/>
        <w:rPr>
          <w:lang w:val="en-GB"/>
        </w:rPr>
      </w:pPr>
      <w:r w:rsidRPr="000E4BE2">
        <w:rPr>
          <w:lang w:val="en-GB"/>
        </w:rPr>
        <w:t>Madrid, Spain</w:t>
      </w:r>
    </w:p>
    <w:p w14:paraId="201373B9" w14:textId="77777777" w:rsidR="0091482A" w:rsidRDefault="0091482A"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3C7B7DD" w14:textId="5373A6E8" w:rsidR="0091482A" w:rsidRDefault="0091482A" w:rsidP="0091482A">
      <w:pPr>
        <w:pStyle w:val="Abstracttext"/>
      </w:pPr>
      <w:r>
        <w:t xml:space="preserve">This analysis assesses the benefits derived from implementing FeCrAl cladding material under DEC-A sequence conditions in a NuScale-like Small Modular Reactor, utilizing the TRACE system code, in comparison to the conventional Zr alloy fuel rod case. In </w:t>
      </w:r>
      <w:r w:rsidR="00E96EFA">
        <w:t xml:space="preserve">a </w:t>
      </w:r>
      <w:r>
        <w:t xml:space="preserve">collaboration between NFQ ADVISORY SERVICES S.L. (NFQ) and the research group from the </w:t>
      </w:r>
      <w:r w:rsidR="00305F69">
        <w:t>Universidad Politécnica de Madrid</w:t>
      </w:r>
      <w:r>
        <w:t xml:space="preserve"> (UPM), an in-house version of the TRACE code </w:t>
      </w:r>
      <w:r w:rsidR="00305F69">
        <w:t xml:space="preserve">is developed </w:t>
      </w:r>
      <w:r>
        <w:t xml:space="preserve">in which FeCrAl material properties and behavioral models code has been implemented allowing to </w:t>
      </w:r>
      <w:r w:rsidR="00305F69">
        <w:t>analyse the</w:t>
      </w:r>
      <w:r>
        <w:t xml:space="preserve"> FeCrAl cladding performance </w:t>
      </w:r>
      <w:r w:rsidR="00305F69">
        <w:t>under</w:t>
      </w:r>
      <w:r>
        <w:t xml:space="preserve"> the </w:t>
      </w:r>
      <w:r w:rsidR="00305F69">
        <w:t xml:space="preserve">selected scenario for the </w:t>
      </w:r>
      <w:r>
        <w:t>simulations. The chosen accidental scenarios involve LOCA sequences combined with various failures in the Reactor Recirculation Valves, Reactor Vent Valves, and the Control Volume and Chemical System. The results demonstrate an increase in the available times and a general improvement in the behavior of fuel rods within the selected ATF concept, as opposed to the case where conventional Zr-alloy fuel rods are considered.</w:t>
      </w:r>
    </w:p>
    <w:p w14:paraId="03C6D75B" w14:textId="77777777" w:rsidR="00647F33" w:rsidRDefault="00F523CA" w:rsidP="00537496">
      <w:pPr>
        <w:pStyle w:val="Ttulo2"/>
        <w:numPr>
          <w:ilvl w:val="1"/>
          <w:numId w:val="10"/>
        </w:numPr>
      </w:pPr>
      <w:r>
        <w:t>INTRODUCTION</w:t>
      </w:r>
    </w:p>
    <w:p w14:paraId="5D86035B" w14:textId="2E99D686" w:rsidR="00F73B5E" w:rsidRDefault="005B7700" w:rsidP="00537496">
      <w:pPr>
        <w:pStyle w:val="Textoindependiente"/>
      </w:pPr>
      <w:r>
        <w:t>Giv</w:t>
      </w:r>
      <w:r w:rsidR="00F73B5E">
        <w:t>en</w:t>
      </w:r>
      <w:r>
        <w:t xml:space="preserve"> the growing interest in the Smal</w:t>
      </w:r>
      <w:r w:rsidR="00D300C4">
        <w:t>l</w:t>
      </w:r>
      <w:r>
        <w:t xml:space="preserve"> Modular Reactors (SMR) along with the </w:t>
      </w:r>
      <w:r w:rsidR="00F73B5E">
        <w:t>assessment of the performance of the Advanced Technology Fuels (ATFs) concepts, the simulation of a LOCA sequence in</w:t>
      </w:r>
      <w:r w:rsidR="00D300C4">
        <w:t xml:space="preserve"> a</w:t>
      </w:r>
      <w:r w:rsidR="00F73B5E">
        <w:t xml:space="preserve"> NuScale</w:t>
      </w:r>
      <w:r w:rsidR="00D300C4">
        <w:t>-like SMR</w:t>
      </w:r>
      <w:r w:rsidR="00F73B5E">
        <w:t xml:space="preserve"> leading to core damage and based on the rupture of the discharge line of the Chemical Volume Control System</w:t>
      </w:r>
      <w:r w:rsidR="00E95231">
        <w:t xml:space="preserve"> (CVCS)</w:t>
      </w:r>
      <w:r w:rsidR="00F73B5E">
        <w:t xml:space="preserve"> and </w:t>
      </w:r>
      <w:r w:rsidR="00495450">
        <w:t>o</w:t>
      </w:r>
      <w:r w:rsidR="00F73B5E">
        <w:t>n the fail to open of the Reactor Recirculation Valves</w:t>
      </w:r>
      <w:r w:rsidR="00E95231">
        <w:t xml:space="preserve"> (RRVs)</w:t>
      </w:r>
      <w:r w:rsidR="00F73B5E">
        <w:t xml:space="preserve"> is addressed. By doing so and in combination with the consideration of the evolutionary ATF cladding material known as FeCrAl, it has been possible to preliminary assess the increase in the coping time caused by the presence of the commented advance material under the postulated scenario. To do so, it was needed to implement the FeCrAl material properties and behavioural models in the TRACE code by means of the modification of the source code. At this point, it should be mentioned that this work has been developed as a result of a closed collaboration between the NFQ Advisory Services S.L. company and the Universidad Politécnica de Madrid (UPM).</w:t>
      </w:r>
    </w:p>
    <w:p w14:paraId="068D4642" w14:textId="5C1EB216" w:rsidR="00EE0041" w:rsidRDefault="00F73B5E" w:rsidP="00305F69">
      <w:pPr>
        <w:pStyle w:val="Textoindependiente"/>
      </w:pPr>
      <w:r>
        <w:t xml:space="preserve">Additionally, </w:t>
      </w:r>
      <w:r w:rsidR="00305F69">
        <w:t xml:space="preserve">the same LOCA case but considering the availability of the different configurations of RRVs have been also investigated and the results show that the opening of two out of three </w:t>
      </w:r>
      <w:r w:rsidR="00E95231">
        <w:t>R</w:t>
      </w:r>
      <w:r w:rsidR="00305F69">
        <w:t xml:space="preserve">eactor </w:t>
      </w:r>
      <w:r w:rsidR="00E95231">
        <w:t>V</w:t>
      </w:r>
      <w:r w:rsidR="00305F69">
        <w:t xml:space="preserve">ent </w:t>
      </w:r>
      <w:r w:rsidR="00E95231">
        <w:t>V</w:t>
      </w:r>
      <w:r w:rsidR="00305F69">
        <w:t>alves</w:t>
      </w:r>
      <w:r w:rsidR="00E95231">
        <w:t xml:space="preserve"> (RVVs)</w:t>
      </w:r>
      <w:r w:rsidR="00305F69">
        <w:t xml:space="preserve"> along with one out of two </w:t>
      </w:r>
      <w:r w:rsidR="00E95231">
        <w:t>RRVs</w:t>
      </w:r>
      <w:r w:rsidR="00305F69">
        <w:t xml:space="preserve"> of the emergency </w:t>
      </w:r>
      <w:r w:rsidR="00EF7F9D">
        <w:t xml:space="preserve">core </w:t>
      </w:r>
      <w:r w:rsidR="00305F69">
        <w:t>cooling system is enough to deal with the postulated scenario.</w:t>
      </w:r>
    </w:p>
    <w:p w14:paraId="28DFD557" w14:textId="77777777" w:rsidR="00305F69" w:rsidRDefault="00305F69" w:rsidP="00305F69">
      <w:pPr>
        <w:pStyle w:val="Textoindependiente"/>
      </w:pPr>
    </w:p>
    <w:p w14:paraId="74CD1556" w14:textId="31A97B17" w:rsidR="00E25B68" w:rsidRDefault="00C24598" w:rsidP="0026525A">
      <w:pPr>
        <w:pStyle w:val="Ttulo2"/>
        <w:numPr>
          <w:ilvl w:val="1"/>
          <w:numId w:val="10"/>
        </w:numPr>
      </w:pPr>
      <w:r>
        <w:lastRenderedPageBreak/>
        <w:t>nUSCALE POWER MODULE DESCRIPTION</w:t>
      </w:r>
    </w:p>
    <w:p w14:paraId="5CED028F" w14:textId="44EDA524" w:rsidR="00CE7F09" w:rsidRDefault="00CE7F09" w:rsidP="00537496">
      <w:pPr>
        <w:pStyle w:val="Textoindependiente"/>
      </w:pPr>
      <w:r w:rsidRPr="00CE7F09">
        <w:t>NuScale is a</w:t>
      </w:r>
      <w:r w:rsidR="005F63C1">
        <w:t xml:space="preserve"> GEN</w:t>
      </w:r>
      <w:r w:rsidR="00CF26ED">
        <w:t xml:space="preserve"> </w:t>
      </w:r>
      <w:r w:rsidR="005F63C1">
        <w:t>III+</w:t>
      </w:r>
      <w:r w:rsidRPr="00CE7F09">
        <w:t xml:space="preserve"> </w:t>
      </w:r>
      <w:r w:rsidR="00EF7F9D">
        <w:t>L</w:t>
      </w:r>
      <w:r w:rsidRPr="00CE7F09">
        <w:t xml:space="preserve">ight </w:t>
      </w:r>
      <w:r w:rsidR="00EF7F9D">
        <w:t>W</w:t>
      </w:r>
      <w:r w:rsidRPr="00CE7F09">
        <w:t>ater</w:t>
      </w:r>
      <w:r w:rsidR="00EF7F9D">
        <w:t>-cooled</w:t>
      </w:r>
      <w:r w:rsidRPr="00CE7F09">
        <w:t xml:space="preserve"> </w:t>
      </w:r>
      <w:r w:rsidR="00EF7F9D">
        <w:t>SMR</w:t>
      </w:r>
      <w:r w:rsidRPr="00CE7F09">
        <w:t xml:space="preserve"> (LW</w:t>
      </w:r>
      <w:r w:rsidR="00E95231">
        <w:t>-SMR</w:t>
      </w:r>
      <w:r w:rsidRPr="00CE7F09">
        <w:t xml:space="preserve">) in which highly distinctive features have been introduced, such as natural circulation and fully passive safety systems. In this sense, it can be said that it is a completely disruptive design when compared to currently operating </w:t>
      </w:r>
      <w:r w:rsidR="00D300C4">
        <w:t>P</w:t>
      </w:r>
      <w:r w:rsidRPr="00CE7F09">
        <w:t xml:space="preserve">ressurized </w:t>
      </w:r>
      <w:r w:rsidR="00D300C4">
        <w:t>W</w:t>
      </w:r>
      <w:r w:rsidRPr="00CE7F09">
        <w:t xml:space="preserve">ater </w:t>
      </w:r>
      <w:r w:rsidR="00D300C4">
        <w:t>R</w:t>
      </w:r>
      <w:r w:rsidRPr="00CE7F09">
        <w:t>eactor</w:t>
      </w:r>
      <w:r w:rsidR="00BE4645">
        <w:t>s</w:t>
      </w:r>
      <w:r w:rsidRPr="00CE7F09">
        <w:t xml:space="preserve"> (PWR</w:t>
      </w:r>
      <w:r w:rsidR="00BE4645">
        <w:t>s</w:t>
      </w:r>
      <w:r w:rsidRPr="00CE7F09">
        <w:t xml:space="preserve">). Furthermore, NuScale remains the only design to have obtained </w:t>
      </w:r>
      <w:r w:rsidR="00BE4645">
        <w:t xml:space="preserve">the </w:t>
      </w:r>
      <w:r w:rsidRPr="00CE7F09">
        <w:t>official approval from the U.S. NRC and is intended to operate in plants where multiple units coexist simultaneously, with a maximum of twelve units in its most powerful version</w:t>
      </w:r>
      <w:r>
        <w:t xml:space="preserve"> </w:t>
      </w:r>
      <w:r>
        <w:fldChar w:fldCharType="begin"/>
      </w:r>
      <w:r>
        <w:instrText xml:space="preserve"> REF _Ref169837804 \n \h </w:instrText>
      </w:r>
      <w:r>
        <w:fldChar w:fldCharType="separate"/>
      </w:r>
      <w:r w:rsidR="006A588A">
        <w:t>[1]</w:t>
      </w:r>
      <w:r>
        <w:fldChar w:fldCharType="end"/>
      </w:r>
      <w:r w:rsidRPr="00CE7F09">
        <w:t>.</w:t>
      </w:r>
    </w:p>
    <w:p w14:paraId="2AF9E69C" w14:textId="7BDCF721" w:rsidR="00BF371B" w:rsidRPr="00BF371B" w:rsidRDefault="00BF371B" w:rsidP="00537496">
      <w:pPr>
        <w:pStyle w:val="Textoindependiente"/>
      </w:pPr>
      <w:r w:rsidRPr="00BF371B">
        <w:t xml:space="preserve">The smallest </w:t>
      </w:r>
      <w:r w:rsidR="00F80A53">
        <w:t xml:space="preserve">independent </w:t>
      </w:r>
      <w:r w:rsidRPr="00BF371B">
        <w:t xml:space="preserve">unit in a NuScale power plant capable of producing </w:t>
      </w:r>
      <w:r w:rsidR="00F80A53">
        <w:t xml:space="preserve">electrical </w:t>
      </w:r>
      <w:r w:rsidRPr="00BF371B">
        <w:t>power is called the NuScale Power Module (NPM).  In th</w:t>
      </w:r>
      <w:r>
        <w:t>at sense</w:t>
      </w:r>
      <w:r w:rsidRPr="00BF371B">
        <w:t>, it should be noted that each NPM has its own</w:t>
      </w:r>
      <w:r w:rsidR="00D300C4">
        <w:t xml:space="preserve"> </w:t>
      </w:r>
      <w:r w:rsidR="003C1514">
        <w:t>CVCS</w:t>
      </w:r>
      <w:r w:rsidR="00EB46AB">
        <w:t xml:space="preserve"> responsible for </w:t>
      </w:r>
      <w:r w:rsidR="00F80A53" w:rsidRPr="00F80A53">
        <w:t>controlling the boron concentration in the</w:t>
      </w:r>
      <w:r w:rsidR="00F80A53">
        <w:t xml:space="preserve"> </w:t>
      </w:r>
      <w:r w:rsidR="00D300C4">
        <w:t>Reactor Coolant System</w:t>
      </w:r>
      <w:r w:rsidR="00F80A53" w:rsidRPr="00F80A53">
        <w:t xml:space="preserve"> </w:t>
      </w:r>
      <w:r w:rsidR="00F80A53">
        <w:t>(</w:t>
      </w:r>
      <w:r w:rsidR="00F80A53" w:rsidRPr="00F80A53">
        <w:t>RCS</w:t>
      </w:r>
      <w:r w:rsidR="00F80A53">
        <w:t>)</w:t>
      </w:r>
      <w:r w:rsidR="00F80A53" w:rsidRPr="00F80A53">
        <w:t xml:space="preserve">, the RCS water inventory, the RCS pressure by means of the </w:t>
      </w:r>
      <w:r w:rsidR="00D300C4">
        <w:t>Pressurizer (</w:t>
      </w:r>
      <w:r w:rsidR="00F80A53" w:rsidRPr="00F80A53">
        <w:t>PZR</w:t>
      </w:r>
      <w:r w:rsidR="00D300C4">
        <w:t>)</w:t>
      </w:r>
      <w:r w:rsidR="00F80A53" w:rsidRPr="00F80A53">
        <w:t xml:space="preserve"> spray and the amount of non-condensable gases accumulated in the PZR steam bubble during normal operation</w:t>
      </w:r>
      <w:r w:rsidR="006178C9">
        <w:t xml:space="preserve"> </w:t>
      </w:r>
      <w:r w:rsidR="006178C9">
        <w:fldChar w:fldCharType="begin"/>
      </w:r>
      <w:r w:rsidR="006178C9">
        <w:instrText xml:space="preserve"> REF _Ref169842654 \n \h </w:instrText>
      </w:r>
      <w:r w:rsidR="006178C9">
        <w:fldChar w:fldCharType="separate"/>
      </w:r>
      <w:r w:rsidR="006A588A">
        <w:t>[4]</w:t>
      </w:r>
      <w:r w:rsidR="006178C9">
        <w:fldChar w:fldCharType="end"/>
      </w:r>
      <w:r w:rsidR="003C1514">
        <w:t xml:space="preserve">, </w:t>
      </w:r>
      <w:r w:rsidRPr="00BF371B">
        <w:t xml:space="preserve">steam </w:t>
      </w:r>
      <w:r w:rsidR="003C1514">
        <w:t>supply</w:t>
      </w:r>
      <w:r w:rsidRPr="00BF371B">
        <w:t xml:space="preserve"> </w:t>
      </w:r>
      <w:r w:rsidR="00EB46AB">
        <w:t xml:space="preserve">system including the dedicated turbine </w:t>
      </w:r>
      <w:r w:rsidRPr="00BF371B">
        <w:t>and</w:t>
      </w:r>
      <w:r w:rsidR="00EB46AB">
        <w:t>,</w:t>
      </w:r>
      <w:r w:rsidRPr="00BF371B">
        <w:t xml:space="preserve"> </w:t>
      </w:r>
      <w:r w:rsidR="00EB46AB">
        <w:t xml:space="preserve">the passive </w:t>
      </w:r>
      <w:r w:rsidRPr="00BF371B">
        <w:t xml:space="preserve">safety systems, except for the reactor pool, which is common to all the units </w:t>
      </w:r>
      <w:r>
        <w:t xml:space="preserve">forming </w:t>
      </w:r>
      <w:r w:rsidRPr="00BF371B">
        <w:t>the plant.</w:t>
      </w:r>
    </w:p>
    <w:p w14:paraId="62291468" w14:textId="4B898337" w:rsidR="00EB46AB" w:rsidRDefault="00F02F0E" w:rsidP="00FC2036">
      <w:pPr>
        <w:pStyle w:val="Textoindependiente"/>
      </w:pPr>
      <w:r>
        <w:t xml:space="preserve">Regarding the physics involved in the functioning </w:t>
      </w:r>
      <w:r w:rsidRPr="00F02F0E">
        <w:t>of each NPM, the idea is terribly simple and very elegant. Each NPM consists of an integral</w:t>
      </w:r>
      <w:r>
        <w:t>-</w:t>
      </w:r>
      <w:r w:rsidRPr="00F02F0E">
        <w:t xml:space="preserve">PWR </w:t>
      </w:r>
      <w:r w:rsidR="00BF371B">
        <w:t xml:space="preserve">with a small core </w:t>
      </w:r>
      <w:r w:rsidR="00A661A6">
        <w:t>formed by 37 17x17 fuel assemblies (</w:t>
      </w:r>
      <w:r w:rsidR="00513522">
        <w:t>PWR-like but only two meters long)</w:t>
      </w:r>
      <w:r w:rsidR="00A661A6">
        <w:t xml:space="preserve"> with a total rate</w:t>
      </w:r>
      <w:r w:rsidR="00513522">
        <w:t>d</w:t>
      </w:r>
      <w:r w:rsidR="00A661A6">
        <w:t xml:space="preserve"> power of</w:t>
      </w:r>
      <w:r w:rsidR="00BF371B">
        <w:t xml:space="preserve"> 160 MW</w:t>
      </w:r>
      <w:r w:rsidR="00A661A6">
        <w:t>th</w:t>
      </w:r>
      <w:r w:rsidR="00BF371B">
        <w:t xml:space="preserve"> </w:t>
      </w:r>
      <w:r w:rsidR="00D300C4">
        <w:fldChar w:fldCharType="begin"/>
      </w:r>
      <w:r w:rsidR="00D300C4">
        <w:instrText xml:space="preserve"> REF _Ref169841203 \n \h </w:instrText>
      </w:r>
      <w:r w:rsidR="00D300C4">
        <w:fldChar w:fldCharType="separate"/>
      </w:r>
      <w:r w:rsidR="00D300C4">
        <w:t>[2]</w:t>
      </w:r>
      <w:r w:rsidR="00D300C4">
        <w:fldChar w:fldCharType="end"/>
      </w:r>
      <w:r w:rsidR="00D300C4">
        <w:t xml:space="preserve"> </w:t>
      </w:r>
      <w:r w:rsidR="00BF371B">
        <w:t>(currently uprated to</w:t>
      </w:r>
      <w:r w:rsidR="00EF7F9D">
        <w:t xml:space="preserve"> 200</w:t>
      </w:r>
      <w:r w:rsidR="00BF371B">
        <w:t xml:space="preserve"> MWt)</w:t>
      </w:r>
      <w:r w:rsidR="00513522">
        <w:t xml:space="preserve"> </w:t>
      </w:r>
      <w:r w:rsidRPr="00F02F0E">
        <w:t xml:space="preserve">that relies on the natural circulation phenomenon to establish the </w:t>
      </w:r>
      <w:r>
        <w:t>mass-</w:t>
      </w:r>
      <w:r w:rsidRPr="00F02F0E">
        <w:t xml:space="preserve">flow rate that cools the core, </w:t>
      </w:r>
      <w:r w:rsidR="00BF371B">
        <w:t>in other words,</w:t>
      </w:r>
      <w:r w:rsidRPr="00F02F0E">
        <w:t xml:space="preserve"> the entire RCS</w:t>
      </w:r>
      <w:r w:rsidR="00BF371B">
        <w:t>, including the PZR,</w:t>
      </w:r>
      <w:r w:rsidRPr="00F02F0E">
        <w:t xml:space="preserve"> is integrated into the </w:t>
      </w:r>
      <w:r w:rsidR="00E95231">
        <w:t>R</w:t>
      </w:r>
      <w:r w:rsidRPr="00F02F0E">
        <w:t xml:space="preserve">eactor </w:t>
      </w:r>
      <w:r w:rsidR="00E95231">
        <w:t>P</w:t>
      </w:r>
      <w:r w:rsidRPr="00F02F0E">
        <w:t xml:space="preserve">ressure </w:t>
      </w:r>
      <w:r w:rsidR="00E95231">
        <w:t>V</w:t>
      </w:r>
      <w:r w:rsidRPr="00F02F0E">
        <w:t xml:space="preserve">essel (RPV) and that the </w:t>
      </w:r>
      <w:r>
        <w:t xml:space="preserve">RCS </w:t>
      </w:r>
      <w:r w:rsidRPr="00F02F0E">
        <w:t xml:space="preserve">pumps of the </w:t>
      </w:r>
      <w:r w:rsidR="00513522">
        <w:t xml:space="preserve">current </w:t>
      </w:r>
      <w:r w:rsidRPr="00F02F0E">
        <w:t xml:space="preserve">Generation II PWR designs have been </w:t>
      </w:r>
      <w:r>
        <w:t>remov</w:t>
      </w:r>
      <w:r w:rsidRPr="00F02F0E">
        <w:t>ed</w:t>
      </w:r>
      <w:r w:rsidR="00513522">
        <w:t xml:space="preserve"> </w:t>
      </w:r>
      <w:r w:rsidR="00513522">
        <w:fldChar w:fldCharType="begin"/>
      </w:r>
      <w:r w:rsidR="00513522">
        <w:instrText xml:space="preserve"> REF _Ref169837804 \n \h </w:instrText>
      </w:r>
      <w:r w:rsidR="00513522">
        <w:fldChar w:fldCharType="separate"/>
      </w:r>
      <w:r w:rsidR="006A588A">
        <w:t>[1]</w:t>
      </w:r>
      <w:r w:rsidR="00513522">
        <w:fldChar w:fldCharType="end"/>
      </w:r>
      <w:r w:rsidRPr="00F02F0E">
        <w:t>. Th</w:t>
      </w:r>
      <w:r>
        <w:t>erefore</w:t>
      </w:r>
      <w:r w:rsidRPr="00F02F0E">
        <w:t>,</w:t>
      </w:r>
      <w:r>
        <w:t xml:space="preserve"> the </w:t>
      </w:r>
      <w:r w:rsidR="00BF371B">
        <w:t xml:space="preserve">gravity-driven </w:t>
      </w:r>
      <w:r>
        <w:t xml:space="preserve">mass-flow rate through the RCS is </w:t>
      </w:r>
      <w:r w:rsidR="00BF371B">
        <w:t>established by means of the density gradients and the differences in the heights at which the core and the steam generators are located</w:t>
      </w:r>
      <w:r w:rsidR="00E95231">
        <w:t xml:space="preserve"> </w:t>
      </w:r>
      <w:r w:rsidR="00513522">
        <w:fldChar w:fldCharType="begin"/>
      </w:r>
      <w:r w:rsidR="00513522">
        <w:instrText xml:space="preserve"> REF _Ref169841295 \n \h </w:instrText>
      </w:r>
      <w:r w:rsidR="00513522">
        <w:fldChar w:fldCharType="separate"/>
      </w:r>
      <w:r w:rsidR="006A588A">
        <w:t>[3]</w:t>
      </w:r>
      <w:r w:rsidR="00513522">
        <w:fldChar w:fldCharType="end"/>
      </w:r>
      <w:r w:rsidR="00BF371B">
        <w:t xml:space="preserve">. </w:t>
      </w:r>
      <w:r w:rsidR="00DF2A9C">
        <w:t>To do so, the water inventory in the small core located at the bottom of the RPV is heated up and</w:t>
      </w:r>
      <w:r w:rsidR="00EB46AB">
        <w:t>, consequently, forced to</w:t>
      </w:r>
      <w:r w:rsidR="00DF2A9C">
        <w:t xml:space="preserve"> flow upwards through the central section called ‘riser’ or ‘hot leg’. Once the fluid reaches the top of the riser, it is radially redirected to the annular region formed by the outer surface of the riser structure and the inner surface of the RPV where the helically coiled steam generators (HCSGs) are located</w:t>
      </w:r>
      <w:r w:rsidR="00513522">
        <w:t xml:space="preserve"> (the HCSGs are mounted surrounding the riser and the tube bundles of the two SGs are intertwined avoiding any potential asymmetrical effects in the flow path within the RCS </w:t>
      </w:r>
      <w:r w:rsidR="00513522">
        <w:fldChar w:fldCharType="begin"/>
      </w:r>
      <w:r w:rsidR="00513522">
        <w:instrText xml:space="preserve"> REF _Ref169841295 \n \h </w:instrText>
      </w:r>
      <w:r w:rsidR="00513522">
        <w:fldChar w:fldCharType="separate"/>
      </w:r>
      <w:r w:rsidR="006A588A">
        <w:t>[3]</w:t>
      </w:r>
      <w:r w:rsidR="00513522">
        <w:fldChar w:fldCharType="end"/>
      </w:r>
      <w:r w:rsidR="00513522">
        <w:t xml:space="preserve">). </w:t>
      </w:r>
      <w:r w:rsidR="00DF2A9C">
        <w:t xml:space="preserve">By the action of the HCSGs, the fluid </w:t>
      </w:r>
      <w:r w:rsidR="00EB46AB">
        <w:t xml:space="preserve">in the RCS side (outer region of the HCSGs tubes) </w:t>
      </w:r>
      <w:r w:rsidR="00DF2A9C">
        <w:t xml:space="preserve">is efficiently cooled becoming denser and flowing downwards through the downcomer region reaching the lower plenum where it is redirected to the core inlet plate and the natural circulation loop results eventually closed, further details can be found in </w:t>
      </w:r>
      <w:r w:rsidR="00513522">
        <w:fldChar w:fldCharType="begin"/>
      </w:r>
      <w:r w:rsidR="00513522">
        <w:instrText xml:space="preserve"> REF _Ref169841295 \n \h </w:instrText>
      </w:r>
      <w:r w:rsidR="00513522">
        <w:fldChar w:fldCharType="separate"/>
      </w:r>
      <w:r w:rsidR="006A588A">
        <w:t>[3]</w:t>
      </w:r>
      <w:r w:rsidR="00513522">
        <w:fldChar w:fldCharType="end"/>
      </w:r>
      <w:r w:rsidR="00DF2A9C">
        <w:t>. Finally, t</w:t>
      </w:r>
      <w:r w:rsidR="00BF371B">
        <w:t xml:space="preserve">he flow path within the RCS </w:t>
      </w:r>
      <w:r w:rsidR="003C1514">
        <w:t xml:space="preserve">can be seen </w:t>
      </w:r>
      <w:r w:rsidR="00DF2A9C">
        <w:t xml:space="preserve">in </w:t>
      </w:r>
      <w:r w:rsidR="00DF2A9C">
        <w:fldChar w:fldCharType="begin"/>
      </w:r>
      <w:r w:rsidR="00DF2A9C">
        <w:instrText xml:space="preserve"> REF _Ref169839325 \h </w:instrText>
      </w:r>
      <w:r w:rsidR="00DF2A9C">
        <w:fldChar w:fldCharType="separate"/>
      </w:r>
      <w:r w:rsidR="006A588A" w:rsidRPr="006A588A">
        <w:rPr>
          <w:i/>
        </w:rPr>
        <w:t xml:space="preserve">FIG. </w:t>
      </w:r>
      <w:r w:rsidR="006A588A">
        <w:rPr>
          <w:i/>
          <w:noProof/>
        </w:rPr>
        <w:t>1</w:t>
      </w:r>
      <w:r w:rsidR="00DF2A9C">
        <w:fldChar w:fldCharType="end"/>
      </w:r>
      <w:r w:rsidR="00A661A6">
        <w:t>.</w:t>
      </w:r>
    </w:p>
    <w:p w14:paraId="5A9A495F" w14:textId="77777777" w:rsidR="00FC2036" w:rsidRDefault="00FC2036" w:rsidP="00FC2036">
      <w:pPr>
        <w:pStyle w:val="Textoindependiente"/>
      </w:pPr>
    </w:p>
    <w:p w14:paraId="072F7FFE" w14:textId="47A6E92C" w:rsidR="00BC6BA1" w:rsidRDefault="00EF052D" w:rsidP="00BC6BA1">
      <w:pPr>
        <w:pStyle w:val="Textoindependiente"/>
        <w:keepNext/>
        <w:ind w:firstLine="0"/>
        <w:jc w:val="center"/>
      </w:pPr>
      <w:r w:rsidRPr="00F02F0E">
        <w:tab/>
      </w:r>
      <w:r>
        <w:rPr>
          <w:noProof/>
        </w:rPr>
        <w:drawing>
          <wp:inline distT="0" distB="0" distL="0" distR="0" wp14:anchorId="511CB18F" wp14:editId="28240696">
            <wp:extent cx="1778072" cy="3240000"/>
            <wp:effectExtent l="0" t="0" r="0" b="0"/>
            <wp:docPr id="4030596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72" cy="3240000"/>
                    </a:xfrm>
                    <a:prstGeom prst="rect">
                      <a:avLst/>
                    </a:prstGeom>
                    <a:noFill/>
                  </pic:spPr>
                </pic:pic>
              </a:graphicData>
            </a:graphic>
          </wp:inline>
        </w:drawing>
      </w:r>
    </w:p>
    <w:p w14:paraId="05FF8ECB" w14:textId="4FE403B0" w:rsidR="00EB46AB" w:rsidRPr="006A588A" w:rsidRDefault="00BC6BA1" w:rsidP="00EB46AB">
      <w:pPr>
        <w:pStyle w:val="Descripcin"/>
        <w:jc w:val="center"/>
        <w:rPr>
          <w:i/>
        </w:rPr>
      </w:pPr>
      <w:bookmarkStart w:id="0" w:name="_Ref169839325"/>
      <w:r w:rsidRPr="006A588A">
        <w:rPr>
          <w:i/>
        </w:rPr>
        <w:t xml:space="preserve">FIG. </w:t>
      </w:r>
      <w:r w:rsidRPr="006A588A">
        <w:rPr>
          <w:i/>
        </w:rPr>
        <w:fldChar w:fldCharType="begin"/>
      </w:r>
      <w:r w:rsidRPr="006A588A">
        <w:rPr>
          <w:i/>
        </w:rPr>
        <w:instrText xml:space="preserve"> SEQ FIG. \* ARABIC </w:instrText>
      </w:r>
      <w:r w:rsidRPr="006A588A">
        <w:rPr>
          <w:i/>
        </w:rPr>
        <w:fldChar w:fldCharType="separate"/>
      </w:r>
      <w:r w:rsidR="006A588A">
        <w:rPr>
          <w:i/>
          <w:noProof/>
        </w:rPr>
        <w:t>1</w:t>
      </w:r>
      <w:r w:rsidRPr="006A588A">
        <w:rPr>
          <w:i/>
        </w:rPr>
        <w:fldChar w:fldCharType="end"/>
      </w:r>
      <w:bookmarkEnd w:id="0"/>
      <w:r w:rsidRPr="006A588A">
        <w:rPr>
          <w:i/>
        </w:rPr>
        <w:t xml:space="preserve">. General arrangement of a NPM including the CNV vessel </w:t>
      </w:r>
      <w:r w:rsidR="00BF371B" w:rsidRPr="006A588A">
        <w:rPr>
          <w:i/>
        </w:rPr>
        <w:t>(figure</w:t>
      </w:r>
      <w:r w:rsidR="00254A65" w:rsidRPr="006A588A">
        <w:rPr>
          <w:i/>
        </w:rPr>
        <w:t xml:space="preserve"> modified from</w:t>
      </w:r>
      <w:r w:rsidR="00BF371B" w:rsidRPr="006A588A">
        <w:rPr>
          <w:i/>
        </w:rPr>
        <w:t xml:space="preserve"> </w:t>
      </w:r>
      <w:r w:rsidR="00855B28">
        <w:rPr>
          <w:i/>
        </w:rPr>
        <w:fldChar w:fldCharType="begin"/>
      </w:r>
      <w:r w:rsidR="00855B28">
        <w:rPr>
          <w:i/>
        </w:rPr>
        <w:instrText xml:space="preserve"> REF _Ref169837804 \n \h </w:instrText>
      </w:r>
      <w:r w:rsidR="00855B28">
        <w:rPr>
          <w:i/>
        </w:rPr>
      </w:r>
      <w:r w:rsidR="00855B28">
        <w:rPr>
          <w:i/>
        </w:rPr>
        <w:fldChar w:fldCharType="separate"/>
      </w:r>
      <w:r w:rsidR="00855B28">
        <w:rPr>
          <w:i/>
        </w:rPr>
        <w:t>[1]</w:t>
      </w:r>
      <w:r w:rsidR="00855B28">
        <w:rPr>
          <w:i/>
        </w:rPr>
        <w:fldChar w:fldCharType="end"/>
      </w:r>
      <w:r w:rsidR="00BF371B" w:rsidRPr="006A588A">
        <w:rPr>
          <w:i/>
        </w:rPr>
        <w:t>)</w:t>
      </w:r>
    </w:p>
    <w:p w14:paraId="69960554" w14:textId="17DFE0BA" w:rsidR="00FC2036" w:rsidRDefault="00FC2036" w:rsidP="00FC2036">
      <w:pPr>
        <w:pStyle w:val="Textoindependiente"/>
      </w:pPr>
      <w:r>
        <w:lastRenderedPageBreak/>
        <w:t>Additionally, the reader should keep in mind that the RPV is located within the interior volume of a steel Containment Vessel (CNV) partially submerged in the reactor pool</w:t>
      </w:r>
      <w:r w:rsidR="00003E49">
        <w:t xml:space="preserve"> which </w:t>
      </w:r>
      <w:r w:rsidR="006178C9">
        <w:t>is designed to remove</w:t>
      </w:r>
      <w:r w:rsidR="006178C9" w:rsidRPr="006178C9">
        <w:t xml:space="preserve"> the heat from the core under accidental conditions acting as the </w:t>
      </w:r>
      <w:r w:rsidR="006178C9">
        <w:t>u</w:t>
      </w:r>
      <w:r w:rsidR="006178C9" w:rsidRPr="006178C9">
        <w:t xml:space="preserve">ltimate </w:t>
      </w:r>
      <w:r w:rsidR="006178C9">
        <w:t>h</w:t>
      </w:r>
      <w:r w:rsidR="006178C9" w:rsidRPr="006178C9">
        <w:t xml:space="preserve">eat </w:t>
      </w:r>
      <w:r w:rsidR="006178C9">
        <w:t>s</w:t>
      </w:r>
      <w:r w:rsidR="006178C9" w:rsidRPr="006178C9">
        <w:t xml:space="preserve">ink </w:t>
      </w:r>
      <w:r w:rsidR="006178C9">
        <w:fldChar w:fldCharType="begin"/>
      </w:r>
      <w:r w:rsidR="006178C9">
        <w:instrText xml:space="preserve"> REF _Ref169842665 \n \h </w:instrText>
      </w:r>
      <w:r w:rsidR="006178C9">
        <w:fldChar w:fldCharType="separate"/>
      </w:r>
      <w:r w:rsidR="006A588A">
        <w:t>[5]</w:t>
      </w:r>
      <w:r w:rsidR="006178C9">
        <w:fldChar w:fldCharType="end"/>
      </w:r>
      <w:r w:rsidR="00721497">
        <w:t xml:space="preserve">, see </w:t>
      </w:r>
      <w:r w:rsidR="00721497">
        <w:fldChar w:fldCharType="begin"/>
      </w:r>
      <w:r w:rsidR="00721497">
        <w:instrText xml:space="preserve"> REF _Ref169839325 \h </w:instrText>
      </w:r>
      <w:r w:rsidR="00721497">
        <w:fldChar w:fldCharType="separate"/>
      </w:r>
      <w:r w:rsidR="006A588A" w:rsidRPr="006A588A">
        <w:rPr>
          <w:i/>
        </w:rPr>
        <w:t xml:space="preserve">FIG. </w:t>
      </w:r>
      <w:r w:rsidR="006A588A">
        <w:rPr>
          <w:i/>
          <w:noProof/>
        </w:rPr>
        <w:t>1</w:t>
      </w:r>
      <w:r w:rsidR="00721497">
        <w:fldChar w:fldCharType="end"/>
      </w:r>
      <w:r>
        <w:t xml:space="preserve">. </w:t>
      </w:r>
      <w:r w:rsidR="00721497">
        <w:t xml:space="preserve">Furthermore, </w:t>
      </w:r>
      <w:r>
        <w:t xml:space="preserve">CNV works under vacuum condition during the normal operation of the NPM to minimize the heat losses and it is used as an additional safety system able to provide </w:t>
      </w:r>
      <w:r w:rsidRPr="00F80A53">
        <w:t>an enhanced protection against overpressure transients</w:t>
      </w:r>
      <w:r>
        <w:t xml:space="preserve"> and a heat transfer</w:t>
      </w:r>
      <w:r w:rsidRPr="00F80A53">
        <w:t xml:space="preserve"> </w:t>
      </w:r>
      <w:r>
        <w:t xml:space="preserve">path between the RPV and the reactor pool </w:t>
      </w:r>
      <w:r w:rsidR="006178C9">
        <w:fldChar w:fldCharType="begin"/>
      </w:r>
      <w:r w:rsidR="006178C9">
        <w:instrText xml:space="preserve"> REF _Ref169842665 \n \h </w:instrText>
      </w:r>
      <w:r w:rsidR="006178C9">
        <w:fldChar w:fldCharType="separate"/>
      </w:r>
      <w:r w:rsidR="006A588A">
        <w:t>[5]</w:t>
      </w:r>
      <w:r w:rsidR="006178C9">
        <w:fldChar w:fldCharType="end"/>
      </w:r>
      <w:r>
        <w:t>.</w:t>
      </w:r>
    </w:p>
    <w:p w14:paraId="3A657F0A" w14:textId="793E31C8" w:rsidR="00DB2A7B" w:rsidRPr="00FD3F0D" w:rsidRDefault="006178C9" w:rsidP="000B2517">
      <w:pPr>
        <w:pStyle w:val="Textoindependiente"/>
      </w:pPr>
      <w:r w:rsidRPr="00FD3F0D">
        <w:t>W</w:t>
      </w:r>
      <w:r w:rsidR="00FC2036" w:rsidRPr="00FD3F0D">
        <w:t xml:space="preserve">ith regard to the </w:t>
      </w:r>
      <w:r w:rsidRPr="00FD3F0D">
        <w:t xml:space="preserve">passive </w:t>
      </w:r>
      <w:r w:rsidR="00FC2036" w:rsidRPr="00FD3F0D">
        <w:t>safety systems</w:t>
      </w:r>
      <w:r w:rsidR="00721497" w:rsidRPr="00FD3F0D">
        <w:t>, two dedicated systems can be found at each NPM</w:t>
      </w:r>
      <w:r w:rsidR="00B67883">
        <w:t xml:space="preserve">, the </w:t>
      </w:r>
      <w:r w:rsidR="00B67883" w:rsidRPr="00B67883">
        <w:t>Decay Heat Removal System (DHRS)</w:t>
      </w:r>
      <w:r w:rsidR="00C0521F" w:rsidRPr="00FD3F0D">
        <w:t xml:space="preserve"> and</w:t>
      </w:r>
      <w:r w:rsidR="00721497" w:rsidRPr="00FD3F0D">
        <w:t xml:space="preserve"> </w:t>
      </w:r>
      <w:r w:rsidR="00B67883">
        <w:t xml:space="preserve">the </w:t>
      </w:r>
      <w:r w:rsidR="00B67883" w:rsidRPr="00B67883">
        <w:t>Emergency Core Cooling System (ECCS)</w:t>
      </w:r>
      <w:r w:rsidR="000B2517">
        <w:t xml:space="preserve">: </w:t>
      </w:r>
      <w:r w:rsidR="00B67883">
        <w:t>On one hand, t</w:t>
      </w:r>
      <w:r w:rsidR="00B67883" w:rsidRPr="00B67883">
        <w:t xml:space="preserve">he </w:t>
      </w:r>
      <w:r w:rsidR="00DB2A7B" w:rsidRPr="00B67883">
        <w:t>DHRS i</w:t>
      </w:r>
      <w:r w:rsidR="00DB2A7B" w:rsidRPr="00FD3F0D">
        <w:t>s devoted to removing the decay heat generated w</w:t>
      </w:r>
      <w:r w:rsidR="00C0521F" w:rsidRPr="00FD3F0D">
        <w:t>hen the reactor is tripped</w:t>
      </w:r>
      <w:r w:rsidR="00DB2A7B" w:rsidRPr="00FD3F0D">
        <w:t xml:space="preserve"> </w:t>
      </w:r>
      <w:r w:rsidR="00C0521F" w:rsidRPr="00FD3F0D">
        <w:t xml:space="preserve">along with </w:t>
      </w:r>
      <w:r w:rsidR="00DB2A7B" w:rsidRPr="00FD3F0D">
        <w:t xml:space="preserve">the </w:t>
      </w:r>
      <w:r w:rsidR="00C0521F" w:rsidRPr="00FD3F0D">
        <w:t xml:space="preserve">unavailability of the </w:t>
      </w:r>
      <w:r w:rsidR="00DB2A7B" w:rsidRPr="00FD3F0D">
        <w:t>normal core cooling system</w:t>
      </w:r>
      <w:r w:rsidR="00C0521F" w:rsidRPr="00FD3F0D">
        <w:t xml:space="preserve"> through the secondary side</w:t>
      </w:r>
      <w:r w:rsidR="00DB2A7B" w:rsidRPr="00FD3F0D">
        <w:t>, see [3]. DHRS is composed by two independent trains with a heat exchanger</w:t>
      </w:r>
      <w:r w:rsidR="00C0521F" w:rsidRPr="00FD3F0D">
        <w:t xml:space="preserve"> each</w:t>
      </w:r>
      <w:r w:rsidR="00DB2A7B" w:rsidRPr="00FD3F0D">
        <w:t xml:space="preserve"> connected to the steam and feedwater lines, respectively, </w:t>
      </w:r>
      <w:r w:rsidR="008A4A58" w:rsidRPr="00FD3F0D">
        <w:t xml:space="preserve">mounted in the outer surface of the CNV </w:t>
      </w:r>
      <w:r w:rsidR="00DB2A7B" w:rsidRPr="00FD3F0D">
        <w:t xml:space="preserve">and immersed within the reactor pool, see </w:t>
      </w:r>
      <w:r w:rsidR="008A4A58" w:rsidRPr="006A588A">
        <w:rPr>
          <w:i/>
        </w:rPr>
        <w:fldChar w:fldCharType="begin"/>
      </w:r>
      <w:r w:rsidR="008A4A58" w:rsidRPr="006A588A">
        <w:rPr>
          <w:i/>
        </w:rPr>
        <w:instrText xml:space="preserve"> REF _Ref169856030 \h </w:instrText>
      </w:r>
      <w:r w:rsidR="00B67883" w:rsidRPr="006A588A">
        <w:rPr>
          <w:i/>
        </w:rPr>
        <w:instrText xml:space="preserve"> \* MERGEFORMAT </w:instrText>
      </w:r>
      <w:r w:rsidR="008A4A58" w:rsidRPr="006A588A">
        <w:rPr>
          <w:i/>
        </w:rPr>
      </w:r>
      <w:r w:rsidR="008A4A58" w:rsidRPr="006A588A">
        <w:rPr>
          <w:i/>
        </w:rPr>
        <w:fldChar w:fldCharType="separate"/>
      </w:r>
      <w:r w:rsidR="006A588A" w:rsidRPr="006A588A">
        <w:rPr>
          <w:i/>
        </w:rPr>
        <w:t>FIG. 2</w:t>
      </w:r>
      <w:r w:rsidR="008A4A58" w:rsidRPr="006A588A">
        <w:rPr>
          <w:i/>
        </w:rPr>
        <w:fldChar w:fldCharType="end"/>
      </w:r>
      <w:r w:rsidR="00DB2A7B" w:rsidRPr="00FD3F0D">
        <w:t xml:space="preserve">. During normal operation, </w:t>
      </w:r>
      <w:r w:rsidR="00C0521F" w:rsidRPr="00FD3F0D">
        <w:t>the DHRS system</w:t>
      </w:r>
      <w:r w:rsidR="00DB2A7B" w:rsidRPr="00FD3F0D">
        <w:t xml:space="preserve"> is isolated</w:t>
      </w:r>
      <w:r w:rsidR="008A4A58" w:rsidRPr="00FD3F0D">
        <w:t xml:space="preserve"> from the lines of the secondary side by means of the DHRS actuation valves</w:t>
      </w:r>
      <w:r w:rsidR="00DB2A7B" w:rsidRPr="00FD3F0D">
        <w:t xml:space="preserve">. When the DHRS actuation is demanded, the Main Steam and FeedWater Isolation Valves (MSIVs and FWIVs) </w:t>
      </w:r>
      <w:r w:rsidR="008A4A58" w:rsidRPr="00FD3F0D">
        <w:t xml:space="preserve">should close </w:t>
      </w:r>
      <w:r w:rsidR="00DB2A7B" w:rsidRPr="00FD3F0D">
        <w:t>and the DHRS actuation valves open</w:t>
      </w:r>
      <w:r w:rsidR="008A4A58" w:rsidRPr="00FD3F0D">
        <w:t xml:space="preserve"> allowing a</w:t>
      </w:r>
      <w:r w:rsidR="00DB2A7B" w:rsidRPr="00FD3F0D">
        <w:t xml:space="preserve"> natural circulation </w:t>
      </w:r>
      <w:r w:rsidR="008A4A58" w:rsidRPr="00FD3F0D">
        <w:t>mass-flow rate</w:t>
      </w:r>
      <w:r w:rsidR="00DB2A7B" w:rsidRPr="00FD3F0D">
        <w:t xml:space="preserve"> </w:t>
      </w:r>
      <w:r w:rsidR="008A4A58" w:rsidRPr="00FD3F0D">
        <w:t>to be establish</w:t>
      </w:r>
      <w:r w:rsidR="00DB2A7B" w:rsidRPr="00FD3F0D">
        <w:t xml:space="preserve">ed for the steam leaving the top of the HCSGs </w:t>
      </w:r>
      <w:r w:rsidR="008A4A58" w:rsidRPr="00FD3F0D">
        <w:t xml:space="preserve">and </w:t>
      </w:r>
      <w:r w:rsidR="00DB2A7B" w:rsidRPr="00FD3F0D">
        <w:t>driven by the density gradient</w:t>
      </w:r>
      <w:r w:rsidR="0032219F" w:rsidRPr="00FD3F0D">
        <w:t xml:space="preserve"> (caused by the cooling capability of the DHRS heat exchangers)</w:t>
      </w:r>
      <w:r w:rsidR="00DB2A7B" w:rsidRPr="00FD3F0D">
        <w:t xml:space="preserve"> and the difference in height between the bottom of DHRS heat exchangers and the inlet of the SGs. </w:t>
      </w:r>
      <w:r w:rsidR="0032219F" w:rsidRPr="00FD3F0D">
        <w:t>Finally, t</w:t>
      </w:r>
      <w:r w:rsidR="00DB2A7B" w:rsidRPr="00FD3F0D">
        <w:t xml:space="preserve">he condensate </w:t>
      </w:r>
      <w:r w:rsidR="0032219F" w:rsidRPr="00FD3F0D">
        <w:t xml:space="preserve">from the </w:t>
      </w:r>
      <w:r w:rsidR="00DB2A7B" w:rsidRPr="00FD3F0D">
        <w:t xml:space="preserve">DHRS heat exchangers is </w:t>
      </w:r>
      <w:r w:rsidR="0032219F" w:rsidRPr="00FD3F0D">
        <w:t>re-</w:t>
      </w:r>
      <w:r w:rsidR="00DB2A7B" w:rsidRPr="00FD3F0D">
        <w:t>injected to the feedwater line</w:t>
      </w:r>
      <w:r w:rsidR="0032219F" w:rsidRPr="00FD3F0D">
        <w:t>s</w:t>
      </w:r>
      <w:r w:rsidR="00DB2A7B" w:rsidRPr="00FD3F0D">
        <w:t xml:space="preserve"> of </w:t>
      </w:r>
      <w:r w:rsidR="0032219F" w:rsidRPr="00FD3F0D">
        <w:t xml:space="preserve">the </w:t>
      </w:r>
      <w:r w:rsidR="00DB2A7B" w:rsidRPr="00FD3F0D">
        <w:t>HCSG</w:t>
      </w:r>
      <w:r w:rsidR="0032219F" w:rsidRPr="00FD3F0D">
        <w:t>s</w:t>
      </w:r>
      <w:r w:rsidR="00DB2A7B" w:rsidRPr="00FD3F0D">
        <w:t>, see</w:t>
      </w:r>
      <w:r w:rsidR="008A4A58" w:rsidRPr="00FD3F0D">
        <w:t xml:space="preserve"> </w:t>
      </w:r>
      <w:r w:rsidR="008A4A58" w:rsidRPr="00FD3F0D">
        <w:fldChar w:fldCharType="begin"/>
      </w:r>
      <w:r w:rsidR="008A4A58" w:rsidRPr="00FD3F0D">
        <w:instrText xml:space="preserve"> REF _Ref169841295 \n \h </w:instrText>
      </w:r>
      <w:r w:rsidR="00B67883">
        <w:instrText xml:space="preserve"> \* MERGEFORMAT </w:instrText>
      </w:r>
      <w:r w:rsidR="008A4A58" w:rsidRPr="00FD3F0D">
        <w:fldChar w:fldCharType="separate"/>
      </w:r>
      <w:r w:rsidR="006A588A">
        <w:t>[3]</w:t>
      </w:r>
      <w:r w:rsidR="008A4A58" w:rsidRPr="00FD3F0D">
        <w:fldChar w:fldCharType="end"/>
      </w:r>
      <w:r w:rsidR="00DB2A7B" w:rsidRPr="00FD3F0D">
        <w:t>.</w:t>
      </w:r>
    </w:p>
    <w:p w14:paraId="2C670CDE" w14:textId="01A3BF1D" w:rsidR="001835AF" w:rsidRDefault="00B67883" w:rsidP="00B67883">
      <w:pPr>
        <w:pStyle w:val="Textoindependiente"/>
      </w:pPr>
      <w:r>
        <w:t xml:space="preserve">On the other hand, the </w:t>
      </w:r>
      <w:r w:rsidR="00DB2A7B" w:rsidRPr="00B67883">
        <w:t>ECCS has been specifically designed to deal with failure</w:t>
      </w:r>
      <w:r w:rsidR="003655F8">
        <w:t>s</w:t>
      </w:r>
      <w:r w:rsidR="00DB2A7B" w:rsidRPr="00B67883">
        <w:t xml:space="preserve"> of the normal core cooling system</w:t>
      </w:r>
      <w:r w:rsidR="00342086">
        <w:t xml:space="preserve"> and</w:t>
      </w:r>
      <w:r w:rsidR="00DB2A7B" w:rsidRPr="00B67883">
        <w:t>, specially, with LOCA or low temperature overpressure transient</w:t>
      </w:r>
      <w:r w:rsidR="00342086">
        <w:t>s</w:t>
      </w:r>
      <w:r w:rsidR="00DB2A7B" w:rsidRPr="00B67883">
        <w:t xml:space="preserve">, see </w:t>
      </w:r>
      <w:r w:rsidR="008A4A58" w:rsidRPr="00B67883">
        <w:fldChar w:fldCharType="begin"/>
      </w:r>
      <w:r w:rsidR="008A4A58" w:rsidRPr="00B67883">
        <w:instrText xml:space="preserve"> REF _Ref169842665 \n \h </w:instrText>
      </w:r>
      <w:r>
        <w:instrText xml:space="preserve"> \* MERGEFORMAT </w:instrText>
      </w:r>
      <w:r w:rsidR="008A4A58" w:rsidRPr="00B67883">
        <w:fldChar w:fldCharType="separate"/>
      </w:r>
      <w:r w:rsidR="006A588A">
        <w:t>[5]</w:t>
      </w:r>
      <w:r w:rsidR="008A4A58" w:rsidRPr="00B67883">
        <w:fldChar w:fldCharType="end"/>
      </w:r>
      <w:r w:rsidR="00DB2A7B" w:rsidRPr="00B67883">
        <w:t xml:space="preserve">. </w:t>
      </w:r>
      <w:r w:rsidR="001555D3">
        <w:t>This system</w:t>
      </w:r>
      <w:r w:rsidR="00DB2A7B" w:rsidRPr="00B67883">
        <w:t xml:space="preserve"> </w:t>
      </w:r>
      <w:r w:rsidR="00F30A4C">
        <w:t>is formed by three Recirculation Vent Valves (RVVs) and two Reactor Recirculation Valves (RRVs) located at the top head of the RPV and around 1.8 meters above the Top of the Active Fuel (TAF) height in the RPV outer surface</w:t>
      </w:r>
      <w:r w:rsidR="00362382">
        <w:t xml:space="preserve"> </w:t>
      </w:r>
      <w:r w:rsidR="00BE4645">
        <w:fldChar w:fldCharType="begin"/>
      </w:r>
      <w:r w:rsidR="00BE4645">
        <w:instrText xml:space="preserve"> REF _Ref169842665 \n \h </w:instrText>
      </w:r>
      <w:r w:rsidR="00BE4645">
        <w:fldChar w:fldCharType="separate"/>
      </w:r>
      <w:r w:rsidR="006A588A">
        <w:t>[5]</w:t>
      </w:r>
      <w:r w:rsidR="00BE4645">
        <w:fldChar w:fldCharType="end"/>
      </w:r>
      <w:r w:rsidR="00E432C6">
        <w:t xml:space="preserve"> respectively. An additional Inadvertent Actuation Block (IAB) feature is mounted in each ECCS valve to prevent its potential spurious opening under normal operating conditions </w:t>
      </w:r>
      <w:r w:rsidR="00E432C6">
        <w:fldChar w:fldCharType="begin"/>
      </w:r>
      <w:r w:rsidR="00E432C6">
        <w:instrText xml:space="preserve"> REF _Ref169842665 \n \h </w:instrText>
      </w:r>
      <w:r w:rsidR="00E432C6">
        <w:fldChar w:fldCharType="separate"/>
      </w:r>
      <w:r w:rsidR="006A588A">
        <w:t>[5]</w:t>
      </w:r>
      <w:r w:rsidR="00E432C6">
        <w:fldChar w:fldCharType="end"/>
      </w:r>
      <w:r w:rsidR="00F30A4C">
        <w:t xml:space="preserve">. </w:t>
      </w:r>
      <w:r w:rsidR="001835AF">
        <w:t xml:space="preserve">In accordance with </w:t>
      </w:r>
      <w:r w:rsidR="000B2517">
        <w:fldChar w:fldCharType="begin"/>
      </w:r>
      <w:r w:rsidR="000B2517">
        <w:instrText xml:space="preserve"> REF _Ref169883688 \n \h </w:instrText>
      </w:r>
      <w:r w:rsidR="000B2517">
        <w:fldChar w:fldCharType="separate"/>
      </w:r>
      <w:r w:rsidR="006A588A">
        <w:t>[6]</w:t>
      </w:r>
      <w:r w:rsidR="000B2517">
        <w:fldChar w:fldCharType="end"/>
      </w:r>
      <w:r w:rsidR="001835AF">
        <w:t>, the success criteria of the ECCS system consists of t</w:t>
      </w:r>
      <w:r w:rsidR="00F30A4C">
        <w:t xml:space="preserve">he opening of </w:t>
      </w:r>
      <w:r w:rsidR="001835AF">
        <w:t xml:space="preserve">two out of the three RVVs and one out of the two RRVs. Once the ECCS valves open, the depressurization of the RCS is achieved by means of the discharge of part of the RCS inventory into the CNV volume where it is condensed </w:t>
      </w:r>
      <w:r w:rsidR="002F444F">
        <w:t>by the contact with the CNV walls and collected at lower CNV region. For that reason, the liquid level in the CNV is increased and when the proper height is reached, a mass-flow rate from the CNV to the RPV and, more in particular, to the downcomer ring through the RRVs is established allowing to refill the core and riser regions</w:t>
      </w:r>
      <w:r w:rsidR="000B2517">
        <w:t xml:space="preserve">, see </w:t>
      </w:r>
      <w:r w:rsidR="000B2517" w:rsidRPr="006A588A">
        <w:rPr>
          <w:i/>
        </w:rPr>
        <w:fldChar w:fldCharType="begin"/>
      </w:r>
      <w:r w:rsidR="000B2517" w:rsidRPr="006A588A">
        <w:rPr>
          <w:i/>
        </w:rPr>
        <w:instrText xml:space="preserve"> REF _Ref169856030 \h  \* MERGEFORMAT </w:instrText>
      </w:r>
      <w:r w:rsidR="000B2517" w:rsidRPr="006A588A">
        <w:rPr>
          <w:i/>
        </w:rPr>
      </w:r>
      <w:r w:rsidR="000B2517" w:rsidRPr="006A588A">
        <w:rPr>
          <w:i/>
        </w:rPr>
        <w:fldChar w:fldCharType="separate"/>
      </w:r>
      <w:r w:rsidR="006A588A" w:rsidRPr="006A588A">
        <w:rPr>
          <w:i/>
        </w:rPr>
        <w:t>FIG. 2</w:t>
      </w:r>
      <w:r w:rsidR="000B2517" w:rsidRPr="006A588A">
        <w:rPr>
          <w:i/>
        </w:rPr>
        <w:fldChar w:fldCharType="end"/>
      </w:r>
      <w:r w:rsidR="002F444F">
        <w:t xml:space="preserve">.     </w:t>
      </w:r>
    </w:p>
    <w:p w14:paraId="38386AEC" w14:textId="77777777" w:rsidR="008A4A58" w:rsidRDefault="008A4A58" w:rsidP="008A4A58">
      <w:pPr>
        <w:pStyle w:val="Textoindependiente"/>
        <w:ind w:firstLine="0"/>
        <w:rPr>
          <w:color w:val="FF0000"/>
        </w:rPr>
      </w:pPr>
    </w:p>
    <w:tbl>
      <w:tblPr>
        <w:tblStyle w:val="Tablaconcuadrcula"/>
        <w:tblW w:w="6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106"/>
      </w:tblGrid>
      <w:tr w:rsidR="00E432C6" w14:paraId="7F3C29A7" w14:textId="77777777" w:rsidTr="000B2517">
        <w:trPr>
          <w:jc w:val="center"/>
        </w:trPr>
        <w:tc>
          <w:tcPr>
            <w:tcW w:w="2846" w:type="dxa"/>
            <w:vAlign w:val="center"/>
          </w:tcPr>
          <w:p w14:paraId="786DC989" w14:textId="5D247791" w:rsidR="008A4A58" w:rsidRDefault="000B2517" w:rsidP="008A4A58">
            <w:pPr>
              <w:pStyle w:val="Textoindependiente3"/>
              <w:jc w:val="right"/>
              <w:rPr>
                <w:sz w:val="22"/>
                <w:szCs w:val="22"/>
              </w:rPr>
            </w:pPr>
            <w:r>
              <w:rPr>
                <w:noProof/>
              </w:rPr>
              <w:drawing>
                <wp:inline distT="0" distB="0" distL="0" distR="0" wp14:anchorId="5B0BD429" wp14:editId="301735A7">
                  <wp:extent cx="1746854" cy="3240000"/>
                  <wp:effectExtent l="0" t="0" r="6350" b="0"/>
                  <wp:docPr id="857778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78397" name=""/>
                          <pic:cNvPicPr/>
                        </pic:nvPicPr>
                        <pic:blipFill rotWithShape="1">
                          <a:blip r:embed="rId12"/>
                          <a:srcRect r="7270"/>
                          <a:stretch/>
                        </pic:blipFill>
                        <pic:spPr bwMode="auto">
                          <a:xfrm>
                            <a:off x="0" y="0"/>
                            <a:ext cx="1746854" cy="32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36" w:type="dxa"/>
            <w:vAlign w:val="center"/>
          </w:tcPr>
          <w:p w14:paraId="26D973CC" w14:textId="238AFEAF" w:rsidR="008A4A58" w:rsidRDefault="000B2517" w:rsidP="008A4A58">
            <w:pPr>
              <w:pStyle w:val="Textoindependiente3"/>
              <w:keepNext/>
              <w:rPr>
                <w:sz w:val="22"/>
                <w:szCs w:val="22"/>
              </w:rPr>
            </w:pPr>
            <w:r>
              <w:rPr>
                <w:noProof/>
              </w:rPr>
              <w:drawing>
                <wp:inline distT="0" distB="0" distL="0" distR="0" wp14:anchorId="26594961" wp14:editId="08635AFE">
                  <wp:extent cx="1751805" cy="3240000"/>
                  <wp:effectExtent l="0" t="0" r="1270" b="0"/>
                  <wp:docPr id="14852262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26295"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805" cy="3240000"/>
                          </a:xfrm>
                          <a:prstGeom prst="rect">
                            <a:avLst/>
                          </a:prstGeom>
                          <a:noFill/>
                          <a:ln>
                            <a:noFill/>
                          </a:ln>
                        </pic:spPr>
                      </pic:pic>
                    </a:graphicData>
                  </a:graphic>
                </wp:inline>
              </w:drawing>
            </w:r>
          </w:p>
        </w:tc>
      </w:tr>
    </w:tbl>
    <w:p w14:paraId="35B2B35F" w14:textId="3A9340B2" w:rsidR="00D640D3" w:rsidRPr="006A588A" w:rsidRDefault="008A4A58" w:rsidP="00D640D3">
      <w:pPr>
        <w:pStyle w:val="Descripcin"/>
        <w:jc w:val="center"/>
        <w:rPr>
          <w:i/>
        </w:rPr>
      </w:pPr>
      <w:bookmarkStart w:id="1" w:name="_Ref169856030"/>
      <w:r w:rsidRPr="006A588A">
        <w:rPr>
          <w:i/>
        </w:rPr>
        <w:t xml:space="preserve">FIG. </w:t>
      </w:r>
      <w:r w:rsidRPr="006A588A">
        <w:rPr>
          <w:i/>
        </w:rPr>
        <w:fldChar w:fldCharType="begin"/>
      </w:r>
      <w:r w:rsidRPr="006A588A">
        <w:rPr>
          <w:i/>
        </w:rPr>
        <w:instrText xml:space="preserve"> SEQ FIG. \* ARABIC </w:instrText>
      </w:r>
      <w:r w:rsidRPr="006A588A">
        <w:rPr>
          <w:i/>
        </w:rPr>
        <w:fldChar w:fldCharType="separate"/>
      </w:r>
      <w:r w:rsidR="006A588A">
        <w:rPr>
          <w:i/>
          <w:noProof/>
        </w:rPr>
        <w:t>2</w:t>
      </w:r>
      <w:r w:rsidRPr="006A588A">
        <w:rPr>
          <w:i/>
        </w:rPr>
        <w:fldChar w:fldCharType="end"/>
      </w:r>
      <w:bookmarkEnd w:id="1"/>
      <w:r w:rsidRPr="006A588A">
        <w:rPr>
          <w:i/>
        </w:rPr>
        <w:t>. ECCS (left) and DHRS (right) performances</w:t>
      </w:r>
      <w:r w:rsidR="00254A65" w:rsidRPr="006A588A">
        <w:rPr>
          <w:i/>
        </w:rPr>
        <w:t xml:space="preserve"> </w:t>
      </w:r>
      <w:r w:rsidR="006A588A">
        <w:rPr>
          <w:i/>
        </w:rPr>
        <w:fldChar w:fldCharType="begin"/>
      </w:r>
      <w:r w:rsidR="006A588A">
        <w:rPr>
          <w:i/>
        </w:rPr>
        <w:instrText xml:space="preserve"> REF _Ref169837804 \n \h </w:instrText>
      </w:r>
      <w:r w:rsidR="006A588A">
        <w:rPr>
          <w:i/>
        </w:rPr>
      </w:r>
      <w:r w:rsidR="006A588A">
        <w:rPr>
          <w:i/>
        </w:rPr>
        <w:fldChar w:fldCharType="separate"/>
      </w:r>
      <w:r w:rsidR="006A588A">
        <w:rPr>
          <w:i/>
        </w:rPr>
        <w:t>[1]</w:t>
      </w:r>
      <w:r w:rsidR="006A588A">
        <w:rPr>
          <w:i/>
        </w:rPr>
        <w:fldChar w:fldCharType="end"/>
      </w:r>
    </w:p>
    <w:p w14:paraId="1B297C48" w14:textId="1B33A835" w:rsidR="00EE0041" w:rsidRDefault="00C47089" w:rsidP="0026525A">
      <w:pPr>
        <w:pStyle w:val="Ttulo2"/>
        <w:numPr>
          <w:ilvl w:val="1"/>
          <w:numId w:val="10"/>
        </w:numPr>
      </w:pPr>
      <w:r>
        <w:lastRenderedPageBreak/>
        <w:t>DESCRIPTION OF THE</w:t>
      </w:r>
      <w:r w:rsidR="008B22F1">
        <w:t xml:space="preserve"> </w:t>
      </w:r>
      <w:r>
        <w:t>LOCA SECUENCE</w:t>
      </w:r>
      <w:r w:rsidR="000B2517">
        <w:t>S</w:t>
      </w:r>
      <w:r>
        <w:t xml:space="preserve"> IN NUSCALE</w:t>
      </w:r>
    </w:p>
    <w:p w14:paraId="1573EE1D" w14:textId="72BEE790" w:rsidR="003655F8" w:rsidRDefault="004C17DD" w:rsidP="00537496">
      <w:pPr>
        <w:pStyle w:val="Textoindependiente"/>
      </w:pPr>
      <w:r>
        <w:t xml:space="preserve">In </w:t>
      </w:r>
      <w:r w:rsidR="00855B28">
        <w:t xml:space="preserve">a </w:t>
      </w:r>
      <w:r>
        <w:t>NuScale</w:t>
      </w:r>
      <w:r w:rsidR="00855B28">
        <w:t>-like SMR</w:t>
      </w:r>
      <w:r>
        <w:t xml:space="preserve">, the Large-Break LOCA is </w:t>
      </w:r>
      <w:r w:rsidR="00E432C6">
        <w:t>fully avoided</w:t>
      </w:r>
      <w:r>
        <w:t xml:space="preserve"> by the integral design of the RPV and the most relevant are the ones involving ruptures of lines inside the CNV</w:t>
      </w:r>
      <w:r w:rsidR="001B0378">
        <w:t xml:space="preserve"> since they cannot be isolated through the actuation of the module protection system</w:t>
      </w:r>
      <w:r>
        <w:t>. In that sense, there are only pipes with small diameters within the RCS going through the CNV such as the CVCS makeup and letdown lines, the RPV high point vent line, or the pressurizer spray supply line</w:t>
      </w:r>
      <w:r w:rsidR="00210D86">
        <w:t xml:space="preserve"> </w:t>
      </w:r>
      <w:r w:rsidR="00D640D3">
        <w:fldChar w:fldCharType="begin"/>
      </w:r>
      <w:r w:rsidR="00D640D3">
        <w:instrText xml:space="preserve"> REF _Ref169886594 \n \h </w:instrText>
      </w:r>
      <w:r w:rsidR="00D640D3">
        <w:fldChar w:fldCharType="separate"/>
      </w:r>
      <w:r w:rsidR="006A588A">
        <w:t>[7]</w:t>
      </w:r>
      <w:r w:rsidR="00D640D3">
        <w:fldChar w:fldCharType="end"/>
      </w:r>
      <w:r>
        <w:t>. For th</w:t>
      </w:r>
      <w:r w:rsidR="00210D86">
        <w:t>ose</w:t>
      </w:r>
      <w:r>
        <w:t xml:space="preserve"> reasons, </w:t>
      </w:r>
      <w:r w:rsidR="00210D86">
        <w:t xml:space="preserve">in addition to the break size, </w:t>
      </w:r>
      <w:r>
        <w:t xml:space="preserve">the LOCA accidents in NuScale can be classified </w:t>
      </w:r>
      <w:r w:rsidR="00210D86">
        <w:t xml:space="preserve">in terms of the fluid condition, steam or liquid, in direct contact with the rupture. </w:t>
      </w:r>
      <w:r>
        <w:t xml:space="preserve">  </w:t>
      </w:r>
    </w:p>
    <w:p w14:paraId="48BBC9BC" w14:textId="4FF96078" w:rsidR="00E432C6" w:rsidRDefault="00820A5E" w:rsidP="00E432C6">
      <w:pPr>
        <w:pStyle w:val="Textoindependiente"/>
      </w:pPr>
      <w:r>
        <w:t>T</w:t>
      </w:r>
      <w:r w:rsidR="003655F8">
        <w:t xml:space="preserve">he </w:t>
      </w:r>
      <w:r w:rsidR="00210D86">
        <w:t xml:space="preserve">evolution and </w:t>
      </w:r>
      <w:r w:rsidR="003655F8">
        <w:t xml:space="preserve">consequences of the LOCA accidents in </w:t>
      </w:r>
      <w:r w:rsidR="00855B28">
        <w:t xml:space="preserve">a </w:t>
      </w:r>
      <w:r w:rsidR="003655F8">
        <w:t>NuScale</w:t>
      </w:r>
      <w:r w:rsidR="00855B28">
        <w:t>-like SMR</w:t>
      </w:r>
      <w:r w:rsidR="003655F8">
        <w:t xml:space="preserve"> </w:t>
      </w:r>
      <w:r w:rsidR="00210D86">
        <w:t>are</w:t>
      </w:r>
      <w:r w:rsidR="003655F8">
        <w:t xml:space="preserve"> </w:t>
      </w:r>
      <w:r w:rsidR="00D640D3">
        <w:t xml:space="preserve">similar, only slight </w:t>
      </w:r>
      <w:r w:rsidR="003655F8">
        <w:t>differen</w:t>
      </w:r>
      <w:r w:rsidR="00D640D3">
        <w:t>ces</w:t>
      </w:r>
      <w:r w:rsidR="003655F8">
        <w:t xml:space="preserve"> depending on the location of the </w:t>
      </w:r>
      <w:r w:rsidR="00210D86">
        <w:t>break</w:t>
      </w:r>
      <w:r w:rsidR="00D640D3">
        <w:t xml:space="preserve"> are found</w:t>
      </w:r>
      <w:r w:rsidR="003655F8">
        <w:t xml:space="preserve">, more in particular, if </w:t>
      </w:r>
      <w:r w:rsidR="00210D86">
        <w:t>it</w:t>
      </w:r>
      <w:r w:rsidR="003655F8">
        <w:t xml:space="preserve"> took place in a steam space such as in the case of the </w:t>
      </w:r>
      <w:r w:rsidR="00210D86">
        <w:t>RPV high point vent or the pressurizer spray supply lines</w:t>
      </w:r>
      <w:r w:rsidR="003655F8">
        <w:t>, the</w:t>
      </w:r>
      <w:r w:rsidR="00210D86">
        <w:t xml:space="preserve"> ECCS actuation is </w:t>
      </w:r>
      <w:r w:rsidR="00D640D3">
        <w:t xml:space="preserve">commonly </w:t>
      </w:r>
      <w:r w:rsidR="00210D86">
        <w:t>demanded by ‘low PZR pressure’ signal</w:t>
      </w:r>
      <w:r w:rsidR="003655F8">
        <w:t>. On the other hand, if a liquid space is in direct contact with the break, as in the case of the</w:t>
      </w:r>
      <w:r w:rsidR="00210D86">
        <w:t xml:space="preserve"> rupture of the</w:t>
      </w:r>
      <w:r w:rsidR="003655F8">
        <w:t xml:space="preserve"> CVCS makeup or discharge lines, the most likely </w:t>
      </w:r>
      <w:r w:rsidR="00210D86">
        <w:t xml:space="preserve">ECCS signal </w:t>
      </w:r>
      <w:r w:rsidR="003655F8">
        <w:t xml:space="preserve">to </w:t>
      </w:r>
      <w:r w:rsidR="00210D86">
        <w:t xml:space="preserve">be triggered the first is </w:t>
      </w:r>
      <w:r w:rsidR="003655F8">
        <w:t>‘High CNV level’</w:t>
      </w:r>
      <w:r w:rsidR="00D640D3">
        <w:t xml:space="preserve">, further details can be found in </w:t>
      </w:r>
      <w:r w:rsidR="00D640D3">
        <w:fldChar w:fldCharType="begin"/>
      </w:r>
      <w:r w:rsidR="00D640D3">
        <w:instrText xml:space="preserve"> REF _Ref169886594 \n \h </w:instrText>
      </w:r>
      <w:r w:rsidR="00D640D3">
        <w:fldChar w:fldCharType="separate"/>
      </w:r>
      <w:r w:rsidR="006A588A">
        <w:t>[7]</w:t>
      </w:r>
      <w:r w:rsidR="00D640D3">
        <w:fldChar w:fldCharType="end"/>
      </w:r>
      <w:r w:rsidR="003655F8">
        <w:t>.</w:t>
      </w:r>
    </w:p>
    <w:p w14:paraId="7AF5E569" w14:textId="06664B85" w:rsidR="003655F8" w:rsidRDefault="00E432C6" w:rsidP="002D0D72">
      <w:pPr>
        <w:pStyle w:val="Textoindependiente"/>
      </w:pPr>
      <w:r>
        <w:t>A LOCA accident in NuScale</w:t>
      </w:r>
      <w:r w:rsidR="00855B28">
        <w:t>-like SMR</w:t>
      </w:r>
      <w:r>
        <w:t xml:space="preserve"> starts with the rupture of one of the previously commented lines causing a discharge of the RCS inventory into the CNV</w:t>
      </w:r>
      <w:r w:rsidR="001B0378">
        <w:t xml:space="preserve">. For that reason, the pressure along with the liquid level within the CNV </w:t>
      </w:r>
      <w:r w:rsidR="002D0D72">
        <w:t xml:space="preserve">internal </w:t>
      </w:r>
      <w:r w:rsidR="001B0378">
        <w:t>volume is increased</w:t>
      </w:r>
      <w:r w:rsidR="00C67406">
        <w:t xml:space="preserve"> and </w:t>
      </w:r>
      <w:r w:rsidR="001B0378">
        <w:t xml:space="preserve">the ECCS </w:t>
      </w:r>
      <w:r w:rsidR="00C67406">
        <w:t>actuation is demanded. Once the IAB differential pressure threshold is reached, the ECCS valves will open allowing the pressure within the RPV and CNV to be equalized. As the RRVs are now open, the inventory within the CNV can be re-injected in the RCS and a natural circulation loop is established between the RPV and the CNV driven by the decay heat produced within the core and the cooling capability of the CNV walls in contact with the reactor pool. In addition, the DHRS actuation is not credited in the analysis of this kind</w:t>
      </w:r>
      <w:r w:rsidR="001B0378">
        <w:t xml:space="preserve"> </w:t>
      </w:r>
      <w:r w:rsidR="00C67406">
        <w:t>of accidents</w:t>
      </w:r>
      <w:r w:rsidR="002D0D72">
        <w:t xml:space="preserve"> in </w:t>
      </w:r>
      <w:r w:rsidR="00855B28">
        <w:t xml:space="preserve">a </w:t>
      </w:r>
      <w:r w:rsidR="002D0D72">
        <w:t>NuScale</w:t>
      </w:r>
      <w:r w:rsidR="00855B28">
        <w:t>-like SMR</w:t>
      </w:r>
      <w:r w:rsidR="00C67406">
        <w:t xml:space="preserve"> demonstrating that the pos</w:t>
      </w:r>
      <w:r w:rsidR="002D0D72">
        <w:t>t</w:t>
      </w:r>
      <w:r w:rsidR="00C67406">
        <w:t xml:space="preserve">-LOCA long-term </w:t>
      </w:r>
      <w:r w:rsidR="002D0D72">
        <w:t xml:space="preserve">core </w:t>
      </w:r>
      <w:r w:rsidR="00C67406">
        <w:t xml:space="preserve">cooling can be completely accomplished by the actuation of </w:t>
      </w:r>
      <w:r w:rsidR="00855B28">
        <w:t xml:space="preserve">only </w:t>
      </w:r>
      <w:r w:rsidR="00C67406">
        <w:t>the ECCS</w:t>
      </w:r>
      <w:r w:rsidR="002D0D72">
        <w:t xml:space="preserve"> performance</w:t>
      </w:r>
      <w:r w:rsidR="00C67406">
        <w:t>.</w:t>
      </w:r>
    </w:p>
    <w:p w14:paraId="7B29C0F0" w14:textId="43B9B6D1" w:rsidR="00F004EE" w:rsidRDefault="00C47089" w:rsidP="00537496">
      <w:pPr>
        <w:pStyle w:val="Ttulo2"/>
      </w:pPr>
      <w:r>
        <w:t>MODELLING</w:t>
      </w:r>
      <w:r w:rsidR="000E4BE2">
        <w:t xml:space="preserve"> OF </w:t>
      </w:r>
      <w:r w:rsidR="003349C3">
        <w:t xml:space="preserve">the </w:t>
      </w:r>
      <w:r w:rsidR="000E4BE2">
        <w:t xml:space="preserve">NUSCALE </w:t>
      </w:r>
      <w:r w:rsidR="00BE4645">
        <w:t>POWER MODULE USING</w:t>
      </w:r>
      <w:r w:rsidR="000E4BE2">
        <w:t xml:space="preserve"> TRACE</w:t>
      </w:r>
    </w:p>
    <w:p w14:paraId="131C9F82" w14:textId="467B7395" w:rsidR="004A394E" w:rsidRDefault="002D0D72" w:rsidP="00537496">
      <w:pPr>
        <w:pStyle w:val="Textoindependiente"/>
      </w:pPr>
      <w:r>
        <w:t>A full-plant model</w:t>
      </w:r>
      <w:r w:rsidR="003349C3">
        <w:t xml:space="preserve"> of </w:t>
      </w:r>
      <w:r w:rsidR="00855B28">
        <w:t>a</w:t>
      </w:r>
      <w:r w:rsidR="003349C3">
        <w:t xml:space="preserve"> NuScale</w:t>
      </w:r>
      <w:r w:rsidR="00855B28">
        <w:t>-like</w:t>
      </w:r>
      <w:r w:rsidR="003349C3">
        <w:t xml:space="preserve"> SMR</w:t>
      </w:r>
      <w:r>
        <w:t xml:space="preserve"> has been </w:t>
      </w:r>
      <w:r w:rsidR="003349C3">
        <w:t>built for the system code TRACE using a combination of 1D and 3D hydraulic components</w:t>
      </w:r>
      <w:r w:rsidR="00EC2B26">
        <w:t xml:space="preserve"> and HEAT STRUCTURE components to model the heat transfer and the thermomechanical features</w:t>
      </w:r>
      <w:r w:rsidR="00217933">
        <w:t xml:space="preserve"> of the fuel rods with Zr-4 and FeCrAl claddings</w:t>
      </w:r>
      <w:r w:rsidR="003349C3">
        <w:t>. In th</w:t>
      </w:r>
      <w:r w:rsidR="0016399F">
        <w:t>is</w:t>
      </w:r>
      <w:r w:rsidR="003349C3">
        <w:t xml:space="preserve"> model, the RCS is simulated by means of three </w:t>
      </w:r>
      <w:r w:rsidR="0016399F">
        <w:t xml:space="preserve">3D </w:t>
      </w:r>
      <w:r w:rsidR="003349C3">
        <w:t>VESSEL components</w:t>
      </w:r>
      <w:r w:rsidR="004A394E">
        <w:t>, two for the RCS</w:t>
      </w:r>
      <w:r w:rsidR="0016399F">
        <w:t xml:space="preserve"> regions</w:t>
      </w:r>
      <w:r w:rsidR="004A394E">
        <w:t xml:space="preserve"> and one for the core,</w:t>
      </w:r>
      <w:r w:rsidR="003349C3">
        <w:t xml:space="preserve"> with the following features</w:t>
      </w:r>
      <w:r w:rsidR="00EC2B26">
        <w:t xml:space="preserve">, see </w:t>
      </w:r>
      <w:r w:rsidR="00EC2B26">
        <w:fldChar w:fldCharType="begin"/>
      </w:r>
      <w:r w:rsidR="00EC2B26">
        <w:instrText xml:space="preserve"> REF _Ref169892509 \h </w:instrText>
      </w:r>
      <w:r w:rsidR="00EC2B26">
        <w:fldChar w:fldCharType="separate"/>
      </w:r>
      <w:r w:rsidR="006A588A" w:rsidRPr="006A588A">
        <w:rPr>
          <w:i/>
        </w:rPr>
        <w:t xml:space="preserve">FIG. </w:t>
      </w:r>
      <w:r w:rsidR="006A588A">
        <w:rPr>
          <w:i/>
          <w:noProof/>
        </w:rPr>
        <w:t>3</w:t>
      </w:r>
      <w:r w:rsidR="00EC2B26">
        <w:fldChar w:fldCharType="end"/>
      </w:r>
      <w:r w:rsidR="003349C3">
        <w:t>:</w:t>
      </w:r>
    </w:p>
    <w:p w14:paraId="22BC8F1F" w14:textId="6E73C531" w:rsidR="00FF5AD7" w:rsidRDefault="00C4157B" w:rsidP="00E70C93">
      <w:pPr>
        <w:pStyle w:val="ListEmdash"/>
        <w:numPr>
          <w:ilvl w:val="0"/>
          <w:numId w:val="44"/>
        </w:numPr>
        <w:ind w:left="709"/>
      </w:pPr>
      <w:r>
        <w:t>The c</w:t>
      </w:r>
      <w:r w:rsidR="004A394E">
        <w:t xml:space="preserve">ore region is modelled using a </w:t>
      </w:r>
      <w:r w:rsidR="004A394E" w:rsidRPr="004A394E">
        <w:t>3D Cartesian VESSEL with</w:t>
      </w:r>
      <w:r w:rsidR="004A394E">
        <w:t xml:space="preserve"> 20 axial levels</w:t>
      </w:r>
      <w:r w:rsidR="004A394E" w:rsidRPr="004A394E">
        <w:t xml:space="preserve"> a</w:t>
      </w:r>
      <w:r w:rsidR="004A394E">
        <w:t>nd a square matrix of 7x7 allowing to achieve a</w:t>
      </w:r>
      <w:r w:rsidR="004A394E" w:rsidRPr="004A394E">
        <w:t xml:space="preserve"> 1:1 ratio </w:t>
      </w:r>
      <w:r w:rsidR="004A394E">
        <w:t>between the</w:t>
      </w:r>
      <w:r w:rsidR="004A394E" w:rsidRPr="004A394E">
        <w:t xml:space="preserve"> thermal</w:t>
      </w:r>
      <w:r w:rsidR="004A394E">
        <w:t>-</w:t>
      </w:r>
      <w:r w:rsidR="004A394E" w:rsidRPr="004A394E">
        <w:t xml:space="preserve">hydraulic channels in the VESSEL </w:t>
      </w:r>
      <w:r w:rsidR="004A394E">
        <w:t xml:space="preserve">and </w:t>
      </w:r>
      <w:r w:rsidR="00EC2B26">
        <w:t xml:space="preserve">the number of </w:t>
      </w:r>
      <w:r w:rsidR="004A394E">
        <w:t>f</w:t>
      </w:r>
      <w:r w:rsidR="004A394E" w:rsidRPr="004A394E">
        <w:t xml:space="preserve">uel </w:t>
      </w:r>
      <w:r w:rsidR="004A394E">
        <w:t>a</w:t>
      </w:r>
      <w:r w:rsidR="004A394E" w:rsidRPr="004A394E">
        <w:t>ssemblies</w:t>
      </w:r>
      <w:r w:rsidR="004A394E">
        <w:t>.</w:t>
      </w:r>
      <w:r w:rsidR="00EC2B26">
        <w:t xml:space="preserve"> In that sense, each fuel assembly has been implemented in the model using the corresponding HEAT STRUCTURE components in which the thermomechanical parameters related to the pre-transient fuel rod geometry, internal pressure and materials are implemented. </w:t>
      </w:r>
      <w:r>
        <w:t>T</w:t>
      </w:r>
      <w:r w:rsidR="00CF642C">
        <w:t>hree cases are simulated: UO</w:t>
      </w:r>
      <w:r w:rsidR="00CF642C" w:rsidRPr="00E70C93">
        <w:t>2</w:t>
      </w:r>
      <w:r>
        <w:t>/Zr-4; UO</w:t>
      </w:r>
      <w:r w:rsidRPr="00E70C93">
        <w:t>2</w:t>
      </w:r>
      <w:r>
        <w:t>/</w:t>
      </w:r>
      <w:r w:rsidR="00EC2B26">
        <w:t>FeCrAl</w:t>
      </w:r>
      <w:r w:rsidR="00CF642C">
        <w:t xml:space="preserve"> (same geometry) and </w:t>
      </w:r>
      <w:r>
        <w:t>UO</w:t>
      </w:r>
      <w:r w:rsidRPr="00E70C93">
        <w:t>2</w:t>
      </w:r>
      <w:r>
        <w:t>/</w:t>
      </w:r>
      <w:r w:rsidR="00CF642C">
        <w:t>FeCrAl with a reduced cladding thickness (to compensate the</w:t>
      </w:r>
      <w:r w:rsidR="00FF5AD7">
        <w:t xml:space="preserve"> impact of the</w:t>
      </w:r>
      <w:r w:rsidR="00CF642C">
        <w:t xml:space="preserve"> higher cross-section of neutron capture </w:t>
      </w:r>
      <w:r w:rsidR="00FF5AD7">
        <w:t>of FeCrAl)</w:t>
      </w:r>
      <w:r w:rsidR="00217933">
        <w:t>.</w:t>
      </w:r>
      <w:r w:rsidR="0035186E">
        <w:t xml:space="preserve"> </w:t>
      </w:r>
      <w:r w:rsidR="00FF5AD7">
        <w:t xml:space="preserve">To </w:t>
      </w:r>
      <w:r w:rsidR="00EF7F9D">
        <w:t>perform</w:t>
      </w:r>
      <w:r w:rsidR="00FF5AD7">
        <w:t xml:space="preserve"> the FeCrAl </w:t>
      </w:r>
      <w:r>
        <w:t>calculations, the material</w:t>
      </w:r>
      <w:r w:rsidR="00FF5AD7">
        <w:t xml:space="preserve"> properties found in the literature </w:t>
      </w:r>
      <w:r>
        <w:t>were</w:t>
      </w:r>
      <w:r w:rsidR="00FF5AD7">
        <w:t xml:space="preserve"> implemented in the </w:t>
      </w:r>
      <w:r w:rsidR="00EF7F9D">
        <w:t xml:space="preserve">TRACE </w:t>
      </w:r>
      <w:r w:rsidR="00FF5AD7">
        <w:t>source code [</w:t>
      </w:r>
      <w:r>
        <w:t>9-14</w:t>
      </w:r>
      <w:r w:rsidR="00FF5AD7">
        <w:t>]</w:t>
      </w:r>
      <w:r w:rsidR="00E70C93">
        <w:t>;</w:t>
      </w:r>
    </w:p>
    <w:p w14:paraId="60370FCA" w14:textId="48F30E99" w:rsidR="0035186E" w:rsidRDefault="0035186E" w:rsidP="00E70C93">
      <w:pPr>
        <w:pStyle w:val="ListEmdash"/>
        <w:numPr>
          <w:ilvl w:val="0"/>
          <w:numId w:val="44"/>
        </w:numPr>
        <w:ind w:left="709"/>
      </w:pPr>
      <w:r>
        <w:t>The respective data regarding the fuel rod geometry of the different cases simulated can be seen in TABLE 1</w:t>
      </w:r>
      <w:r w:rsidR="00E70C93">
        <w:t>;</w:t>
      </w:r>
    </w:p>
    <w:p w14:paraId="11F99726" w14:textId="77777777" w:rsidR="00CF642C" w:rsidRDefault="00CF642C" w:rsidP="00CF642C">
      <w:pPr>
        <w:pStyle w:val="Textoindependiente"/>
        <w:ind w:left="1287" w:firstLine="0"/>
      </w:pPr>
    </w:p>
    <w:p w14:paraId="6563BB63" w14:textId="0C5B00F3" w:rsidR="0035186E" w:rsidRDefault="0035186E" w:rsidP="00CF642C">
      <w:pPr>
        <w:pStyle w:val="Textoindependiente"/>
        <w:ind w:firstLine="0"/>
      </w:pPr>
      <w:r>
        <w:t>TABLE 1.</w:t>
      </w:r>
      <w:r>
        <w:tab/>
      </w:r>
      <w:r w:rsidR="00CF642C">
        <w:t>Fuel rod data for the different cases</w:t>
      </w:r>
      <w:r>
        <w:t>.</w:t>
      </w:r>
    </w:p>
    <w:p w14:paraId="1308A193" w14:textId="77777777" w:rsidR="00CF642C" w:rsidRDefault="00CF642C" w:rsidP="00CF642C">
      <w:pPr>
        <w:pStyle w:val="Textoindependiente"/>
        <w:ind w:firstLine="0"/>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741"/>
        <w:gridCol w:w="3003"/>
      </w:tblGrid>
      <w:tr w:rsidR="0035186E" w14:paraId="3774ABB5" w14:textId="77777777" w:rsidTr="00D5795C">
        <w:trPr>
          <w:jc w:val="center"/>
        </w:trPr>
        <w:tc>
          <w:tcPr>
            <w:tcW w:w="2960" w:type="dxa"/>
            <w:tcBorders>
              <w:top w:val="single" w:sz="4" w:space="0" w:color="auto"/>
              <w:bottom w:val="single" w:sz="4" w:space="0" w:color="auto"/>
            </w:tcBorders>
            <w:vAlign w:val="center"/>
          </w:tcPr>
          <w:p w14:paraId="3E18A10D" w14:textId="77777777" w:rsidR="0035186E" w:rsidRDefault="0035186E" w:rsidP="00D5795C">
            <w:pPr>
              <w:pStyle w:val="Textoindependiente"/>
              <w:ind w:firstLine="0"/>
              <w:jc w:val="left"/>
            </w:pPr>
            <w:r>
              <w:t>Parameter (SI units)</w:t>
            </w:r>
          </w:p>
        </w:tc>
        <w:tc>
          <w:tcPr>
            <w:tcW w:w="1741" w:type="dxa"/>
            <w:tcBorders>
              <w:top w:val="single" w:sz="4" w:space="0" w:color="auto"/>
              <w:bottom w:val="single" w:sz="4" w:space="0" w:color="auto"/>
            </w:tcBorders>
            <w:vAlign w:val="center"/>
          </w:tcPr>
          <w:p w14:paraId="51E752A1" w14:textId="05498F68" w:rsidR="0035186E" w:rsidRDefault="00D5795C" w:rsidP="00D5795C">
            <w:pPr>
              <w:pStyle w:val="Textoindependiente"/>
              <w:ind w:firstLine="0"/>
              <w:jc w:val="center"/>
            </w:pPr>
            <w:r>
              <w:t>UO</w:t>
            </w:r>
            <w:r w:rsidRPr="00D5795C">
              <w:rPr>
                <w:vertAlign w:val="subscript"/>
              </w:rPr>
              <w:t>2</w:t>
            </w:r>
            <w:r>
              <w:t>/</w:t>
            </w:r>
            <w:r w:rsidR="0035186E">
              <w:t>Zr-4|FeCrAl</w:t>
            </w:r>
          </w:p>
        </w:tc>
        <w:tc>
          <w:tcPr>
            <w:tcW w:w="3003" w:type="dxa"/>
            <w:tcBorders>
              <w:top w:val="single" w:sz="4" w:space="0" w:color="auto"/>
              <w:bottom w:val="single" w:sz="4" w:space="0" w:color="auto"/>
            </w:tcBorders>
            <w:vAlign w:val="center"/>
          </w:tcPr>
          <w:p w14:paraId="1A60B5BF" w14:textId="22E8C152" w:rsidR="00D5795C" w:rsidRDefault="00D5795C" w:rsidP="00D5795C">
            <w:pPr>
              <w:pStyle w:val="Textoindependiente"/>
              <w:ind w:firstLine="0"/>
              <w:jc w:val="center"/>
            </w:pPr>
            <w:r>
              <w:t>UO</w:t>
            </w:r>
            <w:r w:rsidRPr="00D5795C">
              <w:rPr>
                <w:vertAlign w:val="subscript"/>
              </w:rPr>
              <w:t>2</w:t>
            </w:r>
            <w:r w:rsidRPr="00D5795C">
              <w:t>/</w:t>
            </w:r>
            <w:r w:rsidR="0035186E">
              <w:t>FeCrAl</w:t>
            </w:r>
          </w:p>
          <w:p w14:paraId="3259BB56" w14:textId="7BEEFCAF" w:rsidR="0035186E" w:rsidRDefault="0035186E" w:rsidP="00D5795C">
            <w:pPr>
              <w:pStyle w:val="Textoindependiente"/>
              <w:ind w:firstLine="0"/>
              <w:jc w:val="center"/>
            </w:pPr>
            <w:r>
              <w:t>(Reduced thickness)</w:t>
            </w:r>
          </w:p>
        </w:tc>
      </w:tr>
      <w:tr w:rsidR="0035186E" w14:paraId="3BCD09FF" w14:textId="77777777" w:rsidTr="00D5795C">
        <w:trPr>
          <w:jc w:val="center"/>
        </w:trPr>
        <w:tc>
          <w:tcPr>
            <w:tcW w:w="2960" w:type="dxa"/>
            <w:tcBorders>
              <w:top w:val="single" w:sz="4" w:space="0" w:color="auto"/>
            </w:tcBorders>
          </w:tcPr>
          <w:p w14:paraId="11EC13F3" w14:textId="5E518472" w:rsidR="0035186E" w:rsidRDefault="0035186E" w:rsidP="005A5978">
            <w:pPr>
              <w:pStyle w:val="Textoindependiente"/>
              <w:ind w:firstLine="0"/>
            </w:pPr>
            <w:r>
              <w:rPr>
                <w:rStyle w:val="TabletextChar"/>
              </w:rPr>
              <w:t>Fuel pellet Outer Diameter (mm)</w:t>
            </w:r>
          </w:p>
        </w:tc>
        <w:tc>
          <w:tcPr>
            <w:tcW w:w="1741" w:type="dxa"/>
            <w:tcBorders>
              <w:top w:val="single" w:sz="4" w:space="0" w:color="auto"/>
            </w:tcBorders>
          </w:tcPr>
          <w:p w14:paraId="28C618E9" w14:textId="32FC9403" w:rsidR="0035186E" w:rsidRDefault="00CF642C" w:rsidP="005A5978">
            <w:pPr>
              <w:pStyle w:val="Textoindependiente"/>
              <w:ind w:firstLine="0"/>
              <w:jc w:val="center"/>
            </w:pPr>
            <w:r w:rsidRPr="00CF642C">
              <w:t>8.1</w:t>
            </w:r>
            <w:r>
              <w:t>15</w:t>
            </w:r>
          </w:p>
        </w:tc>
        <w:tc>
          <w:tcPr>
            <w:tcW w:w="3003" w:type="dxa"/>
            <w:tcBorders>
              <w:top w:val="single" w:sz="4" w:space="0" w:color="auto"/>
            </w:tcBorders>
          </w:tcPr>
          <w:p w14:paraId="52B66EFF" w14:textId="685A6626" w:rsidR="0035186E" w:rsidRDefault="00CF642C" w:rsidP="005A5978">
            <w:pPr>
              <w:pStyle w:val="Textoindependiente"/>
              <w:ind w:firstLine="0"/>
              <w:jc w:val="center"/>
            </w:pPr>
            <w:r w:rsidRPr="00CF642C">
              <w:t>8.1</w:t>
            </w:r>
            <w:r>
              <w:t>15</w:t>
            </w:r>
          </w:p>
        </w:tc>
      </w:tr>
      <w:tr w:rsidR="00CF642C" w14:paraId="2D78F15E" w14:textId="77777777" w:rsidTr="00D5795C">
        <w:trPr>
          <w:jc w:val="center"/>
        </w:trPr>
        <w:tc>
          <w:tcPr>
            <w:tcW w:w="2960" w:type="dxa"/>
          </w:tcPr>
          <w:p w14:paraId="18DD4DAD" w14:textId="25CE246F" w:rsidR="00CF642C" w:rsidRDefault="00CF642C" w:rsidP="005A5978">
            <w:pPr>
              <w:pStyle w:val="Textoindependiente"/>
              <w:ind w:firstLine="0"/>
            </w:pPr>
            <w:r>
              <w:t>Cladding Inner Diameter (mm)</w:t>
            </w:r>
          </w:p>
        </w:tc>
        <w:tc>
          <w:tcPr>
            <w:tcW w:w="1741" w:type="dxa"/>
          </w:tcPr>
          <w:p w14:paraId="7CF9B69E" w14:textId="7C02101D" w:rsidR="00CF642C" w:rsidRPr="00CF642C" w:rsidRDefault="00CF642C" w:rsidP="005A5978">
            <w:pPr>
              <w:pStyle w:val="Textoindependiente"/>
              <w:ind w:firstLine="0"/>
              <w:jc w:val="center"/>
            </w:pPr>
            <w:r w:rsidRPr="00CF642C">
              <w:t>8.28</w:t>
            </w:r>
            <w:r>
              <w:t>0</w:t>
            </w:r>
          </w:p>
        </w:tc>
        <w:tc>
          <w:tcPr>
            <w:tcW w:w="3003" w:type="dxa"/>
          </w:tcPr>
          <w:p w14:paraId="12DFC443" w14:textId="6F0DB5BD" w:rsidR="00CF642C" w:rsidRDefault="00CF642C" w:rsidP="005A5978">
            <w:pPr>
              <w:pStyle w:val="Textoindependiente"/>
              <w:ind w:firstLine="0"/>
              <w:jc w:val="center"/>
            </w:pPr>
            <w:r w:rsidRPr="00CF642C">
              <w:t>8.28</w:t>
            </w:r>
            <w:r>
              <w:t>0</w:t>
            </w:r>
          </w:p>
        </w:tc>
      </w:tr>
      <w:tr w:rsidR="0035186E" w14:paraId="241938A5" w14:textId="77777777" w:rsidTr="00D5795C">
        <w:trPr>
          <w:jc w:val="center"/>
        </w:trPr>
        <w:tc>
          <w:tcPr>
            <w:tcW w:w="2960" w:type="dxa"/>
          </w:tcPr>
          <w:p w14:paraId="440561EA" w14:textId="5EB804F9" w:rsidR="0035186E" w:rsidRDefault="0035186E" w:rsidP="005A5978">
            <w:pPr>
              <w:pStyle w:val="Textoindependiente"/>
              <w:ind w:firstLine="0"/>
            </w:pPr>
            <w:r>
              <w:t>Cladding Outer Diameter (mm)</w:t>
            </w:r>
          </w:p>
        </w:tc>
        <w:tc>
          <w:tcPr>
            <w:tcW w:w="1741" w:type="dxa"/>
          </w:tcPr>
          <w:p w14:paraId="1D8A2587" w14:textId="234F24BF" w:rsidR="0035186E" w:rsidRDefault="00CF642C" w:rsidP="005A5978">
            <w:pPr>
              <w:pStyle w:val="Textoindependiente"/>
              <w:ind w:firstLine="0"/>
              <w:jc w:val="center"/>
            </w:pPr>
            <w:r w:rsidRPr="00CF642C">
              <w:t>9.</w:t>
            </w:r>
            <w:r>
              <w:t>499</w:t>
            </w:r>
          </w:p>
        </w:tc>
        <w:tc>
          <w:tcPr>
            <w:tcW w:w="3003" w:type="dxa"/>
          </w:tcPr>
          <w:p w14:paraId="57CE6583" w14:textId="3E55F81C" w:rsidR="0035186E" w:rsidRDefault="00CF642C" w:rsidP="005A5978">
            <w:pPr>
              <w:pStyle w:val="Textoindependiente"/>
              <w:ind w:firstLine="0"/>
              <w:jc w:val="center"/>
            </w:pPr>
            <w:r>
              <w:t>9.05</w:t>
            </w:r>
          </w:p>
        </w:tc>
      </w:tr>
      <w:tr w:rsidR="0035186E" w14:paraId="06EAF7A7" w14:textId="77777777" w:rsidTr="00D5795C">
        <w:trPr>
          <w:jc w:val="center"/>
        </w:trPr>
        <w:tc>
          <w:tcPr>
            <w:tcW w:w="2960" w:type="dxa"/>
          </w:tcPr>
          <w:p w14:paraId="769ED48D" w14:textId="402F4F4A" w:rsidR="0035186E" w:rsidRDefault="0035186E" w:rsidP="005A5978">
            <w:pPr>
              <w:pStyle w:val="Textoindependiente"/>
              <w:ind w:firstLine="0"/>
            </w:pPr>
            <w:r>
              <w:t>Cladding thickness (mm)</w:t>
            </w:r>
          </w:p>
        </w:tc>
        <w:tc>
          <w:tcPr>
            <w:tcW w:w="1741" w:type="dxa"/>
          </w:tcPr>
          <w:p w14:paraId="464D116B" w14:textId="0D9802A4" w:rsidR="0035186E" w:rsidRDefault="00CF642C" w:rsidP="005A5978">
            <w:pPr>
              <w:pStyle w:val="Textoindependiente"/>
              <w:ind w:firstLine="0"/>
              <w:jc w:val="center"/>
            </w:pPr>
            <w:r>
              <w:t>0.61</w:t>
            </w:r>
            <w:r w:rsidR="00971A16">
              <w:t>0</w:t>
            </w:r>
          </w:p>
        </w:tc>
        <w:tc>
          <w:tcPr>
            <w:tcW w:w="3003" w:type="dxa"/>
          </w:tcPr>
          <w:p w14:paraId="15A21ACD" w14:textId="54EDCC51" w:rsidR="0035186E" w:rsidRDefault="00CF642C" w:rsidP="005A5978">
            <w:pPr>
              <w:pStyle w:val="Textoindependiente"/>
              <w:ind w:firstLine="0"/>
              <w:jc w:val="center"/>
            </w:pPr>
            <w:r>
              <w:t>0.385</w:t>
            </w:r>
          </w:p>
        </w:tc>
      </w:tr>
      <w:tr w:rsidR="0035186E" w14:paraId="2DF846E8" w14:textId="77777777" w:rsidTr="00D5795C">
        <w:trPr>
          <w:jc w:val="center"/>
        </w:trPr>
        <w:tc>
          <w:tcPr>
            <w:tcW w:w="2960" w:type="dxa"/>
          </w:tcPr>
          <w:p w14:paraId="4EF787E1" w14:textId="26D5A0BB" w:rsidR="0035186E" w:rsidRDefault="00CF642C" w:rsidP="005A5978">
            <w:pPr>
              <w:pStyle w:val="Textoindependiente"/>
              <w:ind w:firstLine="0"/>
            </w:pPr>
            <w:r>
              <w:t>Fill Gas</w:t>
            </w:r>
          </w:p>
        </w:tc>
        <w:tc>
          <w:tcPr>
            <w:tcW w:w="1741" w:type="dxa"/>
          </w:tcPr>
          <w:p w14:paraId="092499F5" w14:textId="08C698FE" w:rsidR="0035186E" w:rsidRDefault="00CF642C" w:rsidP="005A5978">
            <w:pPr>
              <w:pStyle w:val="Textoindependiente"/>
              <w:ind w:firstLine="0"/>
              <w:jc w:val="center"/>
            </w:pPr>
            <w:r>
              <w:t>He</w:t>
            </w:r>
          </w:p>
        </w:tc>
        <w:tc>
          <w:tcPr>
            <w:tcW w:w="3003" w:type="dxa"/>
          </w:tcPr>
          <w:p w14:paraId="5C330FF6" w14:textId="1602DBDD" w:rsidR="0035186E" w:rsidRDefault="00CF642C" w:rsidP="005A5978">
            <w:pPr>
              <w:pStyle w:val="Textoindependiente"/>
              <w:ind w:firstLine="0"/>
              <w:jc w:val="center"/>
            </w:pPr>
            <w:r>
              <w:t>He</w:t>
            </w:r>
          </w:p>
        </w:tc>
      </w:tr>
      <w:tr w:rsidR="0035186E" w14:paraId="44AC4D4B" w14:textId="77777777" w:rsidTr="00D5795C">
        <w:trPr>
          <w:jc w:val="center"/>
        </w:trPr>
        <w:tc>
          <w:tcPr>
            <w:tcW w:w="2960" w:type="dxa"/>
          </w:tcPr>
          <w:p w14:paraId="28C4F365" w14:textId="2E416BA9" w:rsidR="0035186E" w:rsidRDefault="0035186E" w:rsidP="005A5978">
            <w:pPr>
              <w:pStyle w:val="Textoindependiente"/>
              <w:ind w:firstLine="0"/>
            </w:pPr>
            <w:r>
              <w:t>Fill Gas Pressure (MPa)</w:t>
            </w:r>
          </w:p>
        </w:tc>
        <w:tc>
          <w:tcPr>
            <w:tcW w:w="1741" w:type="dxa"/>
          </w:tcPr>
          <w:p w14:paraId="26BA3D9D" w14:textId="5EAF82D7" w:rsidR="0035186E" w:rsidRDefault="00CF642C" w:rsidP="005A5978">
            <w:pPr>
              <w:pStyle w:val="Textoindependiente"/>
              <w:ind w:firstLine="0"/>
              <w:jc w:val="center"/>
            </w:pPr>
            <w:r>
              <w:t>1.482</w:t>
            </w:r>
          </w:p>
        </w:tc>
        <w:tc>
          <w:tcPr>
            <w:tcW w:w="3003" w:type="dxa"/>
          </w:tcPr>
          <w:p w14:paraId="51DA744B" w14:textId="7C259978" w:rsidR="0035186E" w:rsidRDefault="00CF642C" w:rsidP="005A5978">
            <w:pPr>
              <w:pStyle w:val="Textoindependiente"/>
              <w:ind w:firstLine="0"/>
              <w:jc w:val="center"/>
            </w:pPr>
            <w:r>
              <w:t>1.482</w:t>
            </w:r>
          </w:p>
        </w:tc>
      </w:tr>
    </w:tbl>
    <w:p w14:paraId="6BB48275" w14:textId="16BA9C17" w:rsidR="002D0D72" w:rsidRDefault="002D0D72" w:rsidP="0035186E">
      <w:pPr>
        <w:pStyle w:val="Textoindependiente"/>
        <w:ind w:firstLine="0"/>
      </w:pPr>
    </w:p>
    <w:p w14:paraId="286DFA4E" w14:textId="2F04EA94" w:rsidR="004A394E" w:rsidRDefault="004A394E" w:rsidP="00E70C93">
      <w:pPr>
        <w:pStyle w:val="ListEmdash"/>
        <w:numPr>
          <w:ilvl w:val="0"/>
          <w:numId w:val="44"/>
        </w:numPr>
        <w:ind w:left="709"/>
      </w:pPr>
      <w:r>
        <w:t>Upper RPV region</w:t>
      </w:r>
      <w:r w:rsidR="0016399F">
        <w:t xml:space="preserve"> includes the regions associated with the upper riser, the annular region with the </w:t>
      </w:r>
      <w:r w:rsidR="00C4157B">
        <w:t xml:space="preserve">primary side of the </w:t>
      </w:r>
      <w:r w:rsidR="0016399F">
        <w:t>HCSGs and the upper downcomer section</w:t>
      </w:r>
      <w:r w:rsidR="00C4157B">
        <w:t>.</w:t>
      </w:r>
      <w:r w:rsidR="0016399F">
        <w:t xml:space="preserve"> </w:t>
      </w:r>
      <w:r w:rsidR="00C4157B">
        <w:t>I</w:t>
      </w:r>
      <w:r w:rsidR="0016399F">
        <w:t xml:space="preserve">t </w:t>
      </w:r>
      <w:r>
        <w:t xml:space="preserve">is </w:t>
      </w:r>
      <w:r w:rsidR="0016399F">
        <w:t xml:space="preserve">simulated </w:t>
      </w:r>
      <w:r>
        <w:t xml:space="preserve">using </w:t>
      </w:r>
      <w:r w:rsidR="0016399F">
        <w:t>the</w:t>
      </w:r>
      <w:r>
        <w:t xml:space="preserve"> ‘Tube Bank Crossflow’ 3D cylindrical VESSEL component</w:t>
      </w:r>
      <w:r w:rsidR="00C4157B">
        <w:t xml:space="preserve"> and it is</w:t>
      </w:r>
      <w:r>
        <w:t xml:space="preserve"> built with</w:t>
      </w:r>
      <w:r w:rsidR="00EC2B26">
        <w:t xml:space="preserve"> </w:t>
      </w:r>
      <w:r w:rsidR="00423C98">
        <w:t xml:space="preserve">45 axial levels, </w:t>
      </w:r>
      <w:r>
        <w:t>2 radial rings (1 for the downcomer and 1 for the riser region) and 4 azimuthal sectors</w:t>
      </w:r>
      <w:r w:rsidR="00E70C93">
        <w:t>;</w:t>
      </w:r>
    </w:p>
    <w:p w14:paraId="1E28440E" w14:textId="1B9F0C6F" w:rsidR="004A394E" w:rsidRDefault="004A394E" w:rsidP="00E70C93">
      <w:pPr>
        <w:pStyle w:val="ListEmdash"/>
        <w:numPr>
          <w:ilvl w:val="0"/>
          <w:numId w:val="44"/>
        </w:numPr>
        <w:ind w:left="709"/>
      </w:pPr>
      <w:r>
        <w:t xml:space="preserve">Lower RPV region </w:t>
      </w:r>
      <w:r w:rsidR="0016399F">
        <w:t>simulates</w:t>
      </w:r>
      <w:r>
        <w:t xml:space="preserve"> the annular region with the lower part of the downcomer, the lower plenum, the core and the lower and transition riser regions. </w:t>
      </w:r>
      <w:r w:rsidR="00C4157B">
        <w:t>T</w:t>
      </w:r>
      <w:r>
        <w:t>his VESSEL is built with</w:t>
      </w:r>
      <w:r w:rsidR="00423C98">
        <w:t xml:space="preserve"> 18 </w:t>
      </w:r>
      <w:r w:rsidR="00EC2B26">
        <w:t>axial</w:t>
      </w:r>
      <w:r w:rsidR="00423C98">
        <w:t xml:space="preserve"> </w:t>
      </w:r>
      <w:r w:rsidR="00EC2B26">
        <w:t>levels</w:t>
      </w:r>
      <w:r w:rsidR="00423C98">
        <w:t xml:space="preserve">, </w:t>
      </w:r>
      <w:r>
        <w:t>2 radial rings (1 for the downcomer and 1 for the core) and 4 azimuthal sectors</w:t>
      </w:r>
      <w:r w:rsidR="00E70C93">
        <w:t>;</w:t>
      </w:r>
    </w:p>
    <w:p w14:paraId="4319432D" w14:textId="317405F7" w:rsidR="003349C3" w:rsidRDefault="00C4157B" w:rsidP="00E70C93">
      <w:pPr>
        <w:pStyle w:val="ListEmdash"/>
        <w:numPr>
          <w:ilvl w:val="0"/>
          <w:numId w:val="44"/>
        </w:numPr>
        <w:ind w:left="709"/>
      </w:pPr>
      <w:r>
        <w:t>T</w:t>
      </w:r>
      <w:r w:rsidR="004A394E">
        <w:t>he PZR is implemented in the TRACE model using a 1D ‘Pressurizer’ kind of PIPE component.</w:t>
      </w:r>
    </w:p>
    <w:p w14:paraId="0785EE97" w14:textId="5B5F47BB" w:rsidR="0016399F" w:rsidRDefault="00423C98" w:rsidP="00537496">
      <w:pPr>
        <w:pStyle w:val="Textoindependiente"/>
      </w:pPr>
      <w:r>
        <w:t xml:space="preserve">As it can be seen in </w:t>
      </w:r>
      <w:r w:rsidR="00EC2B26">
        <w:fldChar w:fldCharType="begin"/>
      </w:r>
      <w:r w:rsidR="00EC2B26">
        <w:instrText xml:space="preserve"> REF _Ref169892509 \h </w:instrText>
      </w:r>
      <w:r w:rsidR="006A588A">
        <w:instrText xml:space="preserve"> \* MERGEFORMAT </w:instrText>
      </w:r>
      <w:r w:rsidR="00EC2B26">
        <w:fldChar w:fldCharType="separate"/>
      </w:r>
      <w:r w:rsidR="006A588A" w:rsidRPr="006A588A">
        <w:rPr>
          <w:i/>
        </w:rPr>
        <w:t xml:space="preserve">FIG. </w:t>
      </w:r>
      <w:r w:rsidR="006A588A" w:rsidRPr="006A588A">
        <w:rPr>
          <w:i/>
          <w:noProof/>
        </w:rPr>
        <w:t>3</w:t>
      </w:r>
      <w:r w:rsidR="00EC2B26">
        <w:fldChar w:fldCharType="end"/>
      </w:r>
      <w:r>
        <w:t>, t</w:t>
      </w:r>
      <w:r w:rsidR="0016399F">
        <w:t xml:space="preserve">he secondary side </w:t>
      </w:r>
      <w:r w:rsidR="0016399F" w:rsidRPr="0016399F">
        <w:t xml:space="preserve">is </w:t>
      </w:r>
      <w:r w:rsidR="0016399F">
        <w:t xml:space="preserve">explicitly </w:t>
      </w:r>
      <w:r w:rsidR="0016399F" w:rsidRPr="0016399F">
        <w:t xml:space="preserve">modelled up to the </w:t>
      </w:r>
      <w:r w:rsidR="0016399F">
        <w:t>turbine stop valve</w:t>
      </w:r>
      <w:r w:rsidR="0016399F" w:rsidRPr="0016399F">
        <w:t xml:space="preserve">. The interior of the HCSGs has been modelled using </w:t>
      </w:r>
      <w:r>
        <w:t>the</w:t>
      </w:r>
      <w:r w:rsidR="0016399F" w:rsidRPr="0016399F">
        <w:t xml:space="preserve"> ‘curved pipe’ PIPE components to </w:t>
      </w:r>
      <w:r>
        <w:t>model</w:t>
      </w:r>
      <w:r w:rsidR="0016399F" w:rsidRPr="0016399F">
        <w:t xml:space="preserve"> the special geometry of those tubes</w:t>
      </w:r>
      <w:r>
        <w:t xml:space="preserve"> and,</w:t>
      </w:r>
      <w:r w:rsidR="0016399F">
        <w:t xml:space="preserve"> t</w:t>
      </w:r>
      <w:r w:rsidR="0016399F" w:rsidRPr="0016399F">
        <w:t xml:space="preserve">he </w:t>
      </w:r>
      <w:r w:rsidR="0016399F">
        <w:t>CNV is simulated using a 3D cylindrical VESSEL with</w:t>
      </w:r>
      <w:r>
        <w:t xml:space="preserve"> 24 axial levels,</w:t>
      </w:r>
      <w:r w:rsidR="0016399F">
        <w:t xml:space="preserve"> 3 radial rings</w:t>
      </w:r>
      <w:r>
        <w:t xml:space="preserve"> and 1 azimuthal sector</w:t>
      </w:r>
      <w:r w:rsidR="0016399F">
        <w:t xml:space="preserve"> to allow the flow patterns after the rupture to be developed. </w:t>
      </w:r>
      <w:r>
        <w:t>Finally, the</w:t>
      </w:r>
      <w:r w:rsidR="0016399F" w:rsidRPr="0016399F">
        <w:t xml:space="preserve"> </w:t>
      </w:r>
      <w:r w:rsidR="00EC2B26">
        <w:t>p</w:t>
      </w:r>
      <w:r w:rsidR="00EC2B26" w:rsidRPr="0016399F">
        <w:t>iping</w:t>
      </w:r>
      <w:r w:rsidR="00EC2B26">
        <w:t xml:space="preserve"> </w:t>
      </w:r>
      <w:r w:rsidR="0016399F" w:rsidRPr="0016399F">
        <w:t xml:space="preserve">and </w:t>
      </w:r>
      <w:r w:rsidR="00EC2B26">
        <w:t>h</w:t>
      </w:r>
      <w:r w:rsidR="0016399F" w:rsidRPr="0016399F">
        <w:t>eat exchanger</w:t>
      </w:r>
      <w:r w:rsidR="00EC2B26">
        <w:t>s</w:t>
      </w:r>
      <w:r w:rsidR="0016399F" w:rsidRPr="0016399F">
        <w:t xml:space="preserve"> </w:t>
      </w:r>
      <w:r w:rsidR="00EC2B26">
        <w:t xml:space="preserve">of the DHRS </w:t>
      </w:r>
      <w:r w:rsidR="0016399F" w:rsidRPr="0016399F">
        <w:t>ha</w:t>
      </w:r>
      <w:r w:rsidR="00EC2B26">
        <w:t>ve</w:t>
      </w:r>
      <w:r w:rsidR="0016399F" w:rsidRPr="0016399F">
        <w:t xml:space="preserve"> been explicitly modelled along with the reactor pool using 1D PIPEs components.</w:t>
      </w:r>
    </w:p>
    <w:p w14:paraId="4605CB66" w14:textId="77777777" w:rsidR="0035186E" w:rsidRDefault="0035186E" w:rsidP="00537496">
      <w:pPr>
        <w:pStyle w:val="Textoindependiente"/>
      </w:pPr>
    </w:p>
    <w:p w14:paraId="05DAD8E3" w14:textId="381E4F91" w:rsidR="00423C98" w:rsidRDefault="00EC2B26" w:rsidP="00423C98">
      <w:pPr>
        <w:pStyle w:val="Textoindependiente"/>
        <w:keepNext/>
        <w:ind w:firstLine="0"/>
        <w:jc w:val="center"/>
      </w:pPr>
      <w:r>
        <w:rPr>
          <w:noProof/>
        </w:rPr>
        <w:drawing>
          <wp:inline distT="0" distB="0" distL="0" distR="0" wp14:anchorId="7DDF517A" wp14:editId="38652FB5">
            <wp:extent cx="5760000" cy="2112232"/>
            <wp:effectExtent l="0" t="0" r="0" b="2540"/>
            <wp:docPr id="1573347988" name="Imagen 10"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47988" name="Imagen 10" descr="Captura de pantalla de computadora&#10;&#10;Descripción generada automáticamente"/>
                    <pic:cNvPicPr/>
                  </pic:nvPicPr>
                  <pic:blipFill rotWithShape="1">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r="6925"/>
                    <a:stretch/>
                  </pic:blipFill>
                  <pic:spPr bwMode="auto">
                    <a:xfrm>
                      <a:off x="0" y="0"/>
                      <a:ext cx="5760000" cy="2112232"/>
                    </a:xfrm>
                    <a:prstGeom prst="rect">
                      <a:avLst/>
                    </a:prstGeom>
                    <a:ln>
                      <a:noFill/>
                    </a:ln>
                    <a:extLst>
                      <a:ext uri="{53640926-AAD7-44D8-BBD7-CCE9431645EC}">
                        <a14:shadowObscured xmlns:a14="http://schemas.microsoft.com/office/drawing/2010/main"/>
                      </a:ext>
                    </a:extLst>
                  </pic:spPr>
                </pic:pic>
              </a:graphicData>
            </a:graphic>
          </wp:inline>
        </w:drawing>
      </w:r>
    </w:p>
    <w:p w14:paraId="5361A713" w14:textId="21FA7E39" w:rsidR="00423C98" w:rsidRDefault="00423C98" w:rsidP="00217933">
      <w:pPr>
        <w:pStyle w:val="Descripcin"/>
        <w:jc w:val="center"/>
      </w:pPr>
      <w:bookmarkStart w:id="2" w:name="_Ref169892509"/>
      <w:r w:rsidRPr="006A588A">
        <w:rPr>
          <w:i/>
        </w:rPr>
        <w:t xml:space="preserve">FIG. </w:t>
      </w:r>
      <w:r w:rsidRPr="006A588A">
        <w:rPr>
          <w:i/>
        </w:rPr>
        <w:fldChar w:fldCharType="begin"/>
      </w:r>
      <w:r w:rsidRPr="006A588A">
        <w:rPr>
          <w:i/>
        </w:rPr>
        <w:instrText xml:space="preserve"> SEQ FIG. \* ARABIC </w:instrText>
      </w:r>
      <w:r w:rsidRPr="006A588A">
        <w:rPr>
          <w:i/>
        </w:rPr>
        <w:fldChar w:fldCharType="separate"/>
      </w:r>
      <w:r w:rsidR="006A588A">
        <w:rPr>
          <w:i/>
          <w:noProof/>
        </w:rPr>
        <w:t>3</w:t>
      </w:r>
      <w:r w:rsidRPr="006A588A">
        <w:rPr>
          <w:i/>
        </w:rPr>
        <w:fldChar w:fldCharType="end"/>
      </w:r>
      <w:bookmarkEnd w:id="2"/>
      <w:r w:rsidRPr="006A588A">
        <w:rPr>
          <w:i/>
        </w:rPr>
        <w:t>.</w:t>
      </w:r>
      <w:r w:rsidR="00EC2B26" w:rsidRPr="006A588A">
        <w:rPr>
          <w:i/>
        </w:rPr>
        <w:t xml:space="preserve"> Nodalization scheme of the full-plant TRACE model</w:t>
      </w:r>
    </w:p>
    <w:p w14:paraId="17ECC67C" w14:textId="0BE097C0" w:rsidR="00EC2B26" w:rsidRDefault="00820A5E" w:rsidP="00217933">
      <w:pPr>
        <w:pStyle w:val="Ttulo3"/>
        <w:numPr>
          <w:ilvl w:val="2"/>
          <w:numId w:val="18"/>
        </w:numPr>
      </w:pPr>
      <w:r>
        <w:t>Steady-State calculation</w:t>
      </w:r>
    </w:p>
    <w:p w14:paraId="0B3D4834" w14:textId="40705EB2" w:rsidR="00820A5E" w:rsidRDefault="00971A16" w:rsidP="00820A5E">
      <w:pPr>
        <w:pStyle w:val="Textoindependiente"/>
        <w:ind w:firstLine="0"/>
      </w:pPr>
      <w:r>
        <w:t>A</w:t>
      </w:r>
      <w:r w:rsidR="00217933">
        <w:t xml:space="preserve"> </w:t>
      </w:r>
      <w:r w:rsidR="003349C3">
        <w:t>null-transient calculation</w:t>
      </w:r>
      <w:r w:rsidR="00EC2B26">
        <w:t xml:space="preserve"> of 6000 seconds</w:t>
      </w:r>
      <w:r>
        <w:t xml:space="preserve"> is </w:t>
      </w:r>
      <w:r w:rsidR="00CA79B5">
        <w:t>simulated</w:t>
      </w:r>
      <w:r>
        <w:t xml:space="preserve"> considering</w:t>
      </w:r>
      <w:r w:rsidR="00EC2B26">
        <w:t xml:space="preserve"> </w:t>
      </w:r>
      <w:r w:rsidR="00217933">
        <w:t xml:space="preserve">the following assumptions:  </w:t>
      </w:r>
      <w:r w:rsidR="003349C3">
        <w:t xml:space="preserve"> </w:t>
      </w:r>
    </w:p>
    <w:p w14:paraId="25DA1257" w14:textId="6A6EDC7C" w:rsidR="00217933" w:rsidRDefault="00217933" w:rsidP="00E70C93">
      <w:pPr>
        <w:pStyle w:val="ListEmdash"/>
        <w:numPr>
          <w:ilvl w:val="0"/>
          <w:numId w:val="44"/>
        </w:numPr>
        <w:ind w:left="709"/>
      </w:pPr>
      <w:r>
        <w:t>The initial status of the reactor is Hot Full Power (100% of the nominal power) at the Beginning of Cycle (BOC) condition determining the radial and axial power profiles</w:t>
      </w:r>
      <w:r w:rsidR="00FF5AD7">
        <w:t xml:space="preserve">, see </w:t>
      </w:r>
      <w:r w:rsidR="00FF5AD7">
        <w:fldChar w:fldCharType="begin"/>
      </w:r>
      <w:r w:rsidR="00FF5AD7">
        <w:instrText xml:space="preserve"> REF _Ref169841203 \n \h </w:instrText>
      </w:r>
      <w:r w:rsidR="00E70C93">
        <w:instrText xml:space="preserve"> \* MERGEFORMAT </w:instrText>
      </w:r>
      <w:r w:rsidR="00FF5AD7">
        <w:fldChar w:fldCharType="separate"/>
      </w:r>
      <w:r w:rsidR="006A588A">
        <w:t>[2]</w:t>
      </w:r>
      <w:r w:rsidR="00FF5AD7">
        <w:fldChar w:fldCharType="end"/>
      </w:r>
      <w:r w:rsidR="00E70C93">
        <w:t>;</w:t>
      </w:r>
      <w:r>
        <w:t xml:space="preserve">  </w:t>
      </w:r>
    </w:p>
    <w:p w14:paraId="1160EFF3" w14:textId="1EB83EA3" w:rsidR="00217933" w:rsidRDefault="00217933" w:rsidP="00E70C93">
      <w:pPr>
        <w:pStyle w:val="ListEmdash"/>
        <w:numPr>
          <w:ilvl w:val="0"/>
          <w:numId w:val="44"/>
        </w:numPr>
        <w:ind w:left="709"/>
      </w:pPr>
      <w:r>
        <w:t>Nominal values are assumed for the plant parameters except for the RCS mass flow rate which is restrained to its minimum value (535.24 kg/s)</w:t>
      </w:r>
      <w:r w:rsidR="00E70C93">
        <w:t>;</w:t>
      </w:r>
    </w:p>
    <w:p w14:paraId="4F62A02F" w14:textId="045B05DD" w:rsidR="00AF7659" w:rsidRDefault="00217933" w:rsidP="00E70C93">
      <w:pPr>
        <w:pStyle w:val="ListEmdash"/>
        <w:numPr>
          <w:ilvl w:val="0"/>
          <w:numId w:val="44"/>
        </w:numPr>
        <w:ind w:left="709"/>
      </w:pPr>
      <w:r>
        <w:t>The CVCS letdown mass flow rate is assumed to be equal to the CVCS makeup mass flow rate which is restrained to its maximum value (3.15 kg/s)</w:t>
      </w:r>
      <w:r w:rsidR="00E70C93">
        <w:t>;</w:t>
      </w:r>
    </w:p>
    <w:p w14:paraId="18119F55" w14:textId="53603846" w:rsidR="00C4157B" w:rsidRDefault="00C4157B" w:rsidP="00E70C93">
      <w:pPr>
        <w:pStyle w:val="ListEmdash"/>
        <w:numPr>
          <w:ilvl w:val="0"/>
          <w:numId w:val="44"/>
        </w:numPr>
        <w:ind w:left="709"/>
      </w:pPr>
      <w:r>
        <w:t xml:space="preserve">The CNV pressure under normal operation condition remains at 0.21 bar. </w:t>
      </w:r>
    </w:p>
    <w:p w14:paraId="107A0089" w14:textId="0DA26928" w:rsidR="00AF7659" w:rsidRDefault="00CA79B5" w:rsidP="00AF7659">
      <w:pPr>
        <w:pStyle w:val="Textoindependiente"/>
        <w:ind w:firstLine="0"/>
      </w:pPr>
      <w:r>
        <w:t>A summarizing table with the comparison of the</w:t>
      </w:r>
      <w:r w:rsidR="00971A16">
        <w:t xml:space="preserve"> results </w:t>
      </w:r>
      <w:r>
        <w:t>and the</w:t>
      </w:r>
      <w:r w:rsidR="00971A16">
        <w:t xml:space="preserve"> reference </w:t>
      </w:r>
      <w:r>
        <w:t>values is included below</w:t>
      </w:r>
      <w:r w:rsidR="00971A16">
        <w:t>.</w:t>
      </w:r>
    </w:p>
    <w:p w14:paraId="5E2A6C42" w14:textId="77777777" w:rsidR="00971A16" w:rsidRDefault="00971A16" w:rsidP="00AF7659">
      <w:pPr>
        <w:pStyle w:val="Textoindependiente"/>
        <w:ind w:firstLine="0"/>
      </w:pPr>
    </w:p>
    <w:p w14:paraId="0636E4D3" w14:textId="002DEDE4" w:rsidR="00AF7659" w:rsidRDefault="00AF7659" w:rsidP="00AF7659">
      <w:pPr>
        <w:pStyle w:val="Textoindependiente"/>
        <w:ind w:firstLine="0"/>
      </w:pPr>
      <w:r>
        <w:t>TABLE 1.</w:t>
      </w:r>
      <w:r>
        <w:tab/>
        <w:t>Comparison of steady-state calculation parameters with the reference values from the DCA.</w:t>
      </w:r>
    </w:p>
    <w:p w14:paraId="524F4689" w14:textId="77777777" w:rsidR="00AF7659" w:rsidRDefault="00AF7659" w:rsidP="00217933">
      <w:pPr>
        <w:pStyle w:val="Textoindependiente"/>
        <w:ind w:firstLine="0"/>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1741"/>
        <w:gridCol w:w="1742"/>
      </w:tblGrid>
      <w:tr w:rsidR="00AF7659" w14:paraId="3F63E097" w14:textId="77777777" w:rsidTr="00AF7659">
        <w:trPr>
          <w:jc w:val="center"/>
        </w:trPr>
        <w:tc>
          <w:tcPr>
            <w:tcW w:w="2466" w:type="dxa"/>
            <w:tcBorders>
              <w:top w:val="single" w:sz="4" w:space="0" w:color="auto"/>
              <w:bottom w:val="single" w:sz="4" w:space="0" w:color="auto"/>
            </w:tcBorders>
          </w:tcPr>
          <w:p w14:paraId="62D90B32" w14:textId="5A319564" w:rsidR="00AF7659" w:rsidRDefault="00AF7659" w:rsidP="005A5978">
            <w:pPr>
              <w:pStyle w:val="Textoindependiente"/>
              <w:ind w:firstLine="0"/>
            </w:pPr>
            <w:r>
              <w:t>Parameter (SI units)</w:t>
            </w:r>
          </w:p>
        </w:tc>
        <w:tc>
          <w:tcPr>
            <w:tcW w:w="1741" w:type="dxa"/>
            <w:tcBorders>
              <w:top w:val="single" w:sz="4" w:space="0" w:color="auto"/>
              <w:bottom w:val="single" w:sz="4" w:space="0" w:color="auto"/>
            </w:tcBorders>
          </w:tcPr>
          <w:p w14:paraId="3B8F66D0" w14:textId="1C75687E" w:rsidR="00AF7659" w:rsidRDefault="00AF7659" w:rsidP="005A5978">
            <w:pPr>
              <w:pStyle w:val="Textoindependiente"/>
              <w:ind w:firstLine="0"/>
              <w:jc w:val="center"/>
            </w:pPr>
            <w:r>
              <w:t>DCA</w:t>
            </w:r>
          </w:p>
        </w:tc>
        <w:tc>
          <w:tcPr>
            <w:tcW w:w="1742" w:type="dxa"/>
            <w:tcBorders>
              <w:top w:val="single" w:sz="4" w:space="0" w:color="auto"/>
              <w:bottom w:val="single" w:sz="4" w:space="0" w:color="auto"/>
            </w:tcBorders>
          </w:tcPr>
          <w:p w14:paraId="076817C0" w14:textId="374B8022" w:rsidR="00AF7659" w:rsidRDefault="00AF7659" w:rsidP="005A5978">
            <w:pPr>
              <w:pStyle w:val="Textoindependiente"/>
              <w:ind w:firstLine="0"/>
              <w:jc w:val="center"/>
            </w:pPr>
            <w:r>
              <w:t>TRACE (Error %)</w:t>
            </w:r>
          </w:p>
        </w:tc>
      </w:tr>
      <w:tr w:rsidR="00AF7659" w14:paraId="652877AC" w14:textId="77777777" w:rsidTr="00AF7659">
        <w:trPr>
          <w:jc w:val="center"/>
        </w:trPr>
        <w:tc>
          <w:tcPr>
            <w:tcW w:w="2466" w:type="dxa"/>
            <w:tcBorders>
              <w:top w:val="single" w:sz="4" w:space="0" w:color="auto"/>
            </w:tcBorders>
          </w:tcPr>
          <w:p w14:paraId="75ABD167" w14:textId="7B8F98A0" w:rsidR="00AF7659" w:rsidRDefault="00AF7659" w:rsidP="00AF7659">
            <w:pPr>
              <w:pStyle w:val="Textoindependiente"/>
              <w:ind w:firstLine="0"/>
            </w:pPr>
            <w:r>
              <w:rPr>
                <w:rStyle w:val="TabletextChar"/>
              </w:rPr>
              <w:t>RCS pressure (MPa)</w:t>
            </w:r>
          </w:p>
        </w:tc>
        <w:tc>
          <w:tcPr>
            <w:tcW w:w="1741" w:type="dxa"/>
            <w:tcBorders>
              <w:top w:val="single" w:sz="4" w:space="0" w:color="auto"/>
            </w:tcBorders>
          </w:tcPr>
          <w:p w14:paraId="5B8D405F" w14:textId="272BB294" w:rsidR="00AF7659" w:rsidRDefault="00AF7659" w:rsidP="00AF7659">
            <w:pPr>
              <w:pStyle w:val="Textoindependiente"/>
              <w:ind w:firstLine="0"/>
              <w:jc w:val="center"/>
            </w:pPr>
            <w:r w:rsidRPr="002F3A9E">
              <w:t>12.755</w:t>
            </w:r>
          </w:p>
        </w:tc>
        <w:tc>
          <w:tcPr>
            <w:tcW w:w="1742" w:type="dxa"/>
            <w:tcBorders>
              <w:top w:val="single" w:sz="4" w:space="0" w:color="auto"/>
            </w:tcBorders>
          </w:tcPr>
          <w:p w14:paraId="54EB6257" w14:textId="02B38B30" w:rsidR="00AF7659" w:rsidRDefault="00AF7659" w:rsidP="00AF7659">
            <w:pPr>
              <w:pStyle w:val="Textoindependiente"/>
              <w:ind w:firstLine="0"/>
              <w:jc w:val="center"/>
            </w:pPr>
            <w:r>
              <w:t>12.732 (-0.18)</w:t>
            </w:r>
          </w:p>
        </w:tc>
      </w:tr>
      <w:tr w:rsidR="00AF7659" w14:paraId="19BACF5C" w14:textId="77777777" w:rsidTr="00AF7659">
        <w:trPr>
          <w:jc w:val="center"/>
        </w:trPr>
        <w:tc>
          <w:tcPr>
            <w:tcW w:w="2466" w:type="dxa"/>
          </w:tcPr>
          <w:p w14:paraId="5C83FA0B" w14:textId="33833723" w:rsidR="00AF7659" w:rsidRDefault="00AF7659" w:rsidP="00AF7659">
            <w:pPr>
              <w:pStyle w:val="Textoindependiente"/>
              <w:ind w:firstLine="0"/>
            </w:pPr>
            <w:r>
              <w:t>RCS mass-flow rate (kg/s)</w:t>
            </w:r>
          </w:p>
        </w:tc>
        <w:tc>
          <w:tcPr>
            <w:tcW w:w="1741" w:type="dxa"/>
          </w:tcPr>
          <w:p w14:paraId="4E1C5BCD" w14:textId="781401D8" w:rsidR="00AF7659" w:rsidRDefault="00AF7659" w:rsidP="00AF7659">
            <w:pPr>
              <w:pStyle w:val="Textoindependiente"/>
              <w:ind w:firstLine="0"/>
              <w:jc w:val="center"/>
            </w:pPr>
            <w:r w:rsidRPr="002F3A9E">
              <w:t>535.24</w:t>
            </w:r>
          </w:p>
        </w:tc>
        <w:tc>
          <w:tcPr>
            <w:tcW w:w="1742" w:type="dxa"/>
          </w:tcPr>
          <w:p w14:paraId="30FA9F37" w14:textId="59208ED8" w:rsidR="00AF7659" w:rsidRDefault="00AF7659" w:rsidP="00AF7659">
            <w:pPr>
              <w:pStyle w:val="Textoindependiente"/>
              <w:ind w:firstLine="0"/>
              <w:jc w:val="center"/>
            </w:pPr>
            <w:r>
              <w:t>536.98 (0.32)</w:t>
            </w:r>
          </w:p>
        </w:tc>
      </w:tr>
      <w:tr w:rsidR="00AF7659" w14:paraId="2C1599CF" w14:textId="77777777" w:rsidTr="00AF7659">
        <w:trPr>
          <w:jc w:val="center"/>
        </w:trPr>
        <w:tc>
          <w:tcPr>
            <w:tcW w:w="2466" w:type="dxa"/>
          </w:tcPr>
          <w:p w14:paraId="4ED4F0E9" w14:textId="6C608D92" w:rsidR="00AF7659" w:rsidRDefault="00AF7659" w:rsidP="00AF7659">
            <w:pPr>
              <w:pStyle w:val="Textoindependiente"/>
              <w:ind w:firstLine="0"/>
            </w:pPr>
            <w:r>
              <w:t>Core mass-flow rate (kg/s)</w:t>
            </w:r>
          </w:p>
        </w:tc>
        <w:tc>
          <w:tcPr>
            <w:tcW w:w="1741" w:type="dxa"/>
          </w:tcPr>
          <w:p w14:paraId="5A2B07F7" w14:textId="3297B920" w:rsidR="00AF7659" w:rsidRDefault="00AF7659" w:rsidP="00AF7659">
            <w:pPr>
              <w:pStyle w:val="Textoindependiente"/>
              <w:ind w:firstLine="0"/>
              <w:jc w:val="center"/>
            </w:pPr>
            <w:r w:rsidRPr="002F3A9E">
              <w:t>496.17</w:t>
            </w:r>
          </w:p>
        </w:tc>
        <w:tc>
          <w:tcPr>
            <w:tcW w:w="1742" w:type="dxa"/>
          </w:tcPr>
          <w:p w14:paraId="3FDD6918" w14:textId="56B6C3D3" w:rsidR="00AF7659" w:rsidRDefault="00AF7659" w:rsidP="00AF7659">
            <w:pPr>
              <w:pStyle w:val="Textoindependiente"/>
              <w:ind w:firstLine="0"/>
              <w:jc w:val="center"/>
            </w:pPr>
            <w:r>
              <w:t>501.52 (1.08)</w:t>
            </w:r>
          </w:p>
        </w:tc>
      </w:tr>
      <w:tr w:rsidR="00AF7659" w14:paraId="1BD100D5" w14:textId="77777777" w:rsidTr="00AF7659">
        <w:trPr>
          <w:jc w:val="center"/>
        </w:trPr>
        <w:tc>
          <w:tcPr>
            <w:tcW w:w="2466" w:type="dxa"/>
          </w:tcPr>
          <w:p w14:paraId="3628D084" w14:textId="1963613F" w:rsidR="00AF7659" w:rsidRDefault="00AF7659" w:rsidP="00AF7659">
            <w:pPr>
              <w:pStyle w:val="Textoindependiente"/>
              <w:ind w:firstLine="0"/>
            </w:pPr>
            <w:r>
              <w:t>Core inlet temperature</w:t>
            </w:r>
          </w:p>
        </w:tc>
        <w:tc>
          <w:tcPr>
            <w:tcW w:w="1741" w:type="dxa"/>
          </w:tcPr>
          <w:p w14:paraId="56D41F95" w14:textId="01A5CBA2" w:rsidR="00AF7659" w:rsidRDefault="00AF7659" w:rsidP="00AF7659">
            <w:pPr>
              <w:pStyle w:val="Textoindependiente"/>
              <w:ind w:firstLine="0"/>
              <w:jc w:val="center"/>
            </w:pPr>
            <w:r w:rsidRPr="002F3A9E">
              <w:t>531.48</w:t>
            </w:r>
          </w:p>
        </w:tc>
        <w:tc>
          <w:tcPr>
            <w:tcW w:w="1742" w:type="dxa"/>
          </w:tcPr>
          <w:p w14:paraId="22CC89D9" w14:textId="2E958F5A" w:rsidR="00AF7659" w:rsidRDefault="00AF7659" w:rsidP="00AF7659">
            <w:pPr>
              <w:pStyle w:val="Textoindependiente"/>
              <w:ind w:firstLine="0"/>
              <w:jc w:val="center"/>
            </w:pPr>
            <w:r>
              <w:t>531.59 (0.02)</w:t>
            </w:r>
          </w:p>
        </w:tc>
      </w:tr>
      <w:tr w:rsidR="00AF7659" w14:paraId="5CB9EB9B" w14:textId="77777777" w:rsidTr="00AF7659">
        <w:trPr>
          <w:jc w:val="center"/>
        </w:trPr>
        <w:tc>
          <w:tcPr>
            <w:tcW w:w="2466" w:type="dxa"/>
          </w:tcPr>
          <w:p w14:paraId="1D54C3BF" w14:textId="171ED3E0" w:rsidR="00AF7659" w:rsidRDefault="00AF7659" w:rsidP="00AF7659">
            <w:pPr>
              <w:pStyle w:val="Textoindependiente"/>
              <w:ind w:firstLine="0"/>
            </w:pPr>
            <w:r>
              <w:t>Steam temperature (K)</w:t>
            </w:r>
          </w:p>
        </w:tc>
        <w:tc>
          <w:tcPr>
            <w:tcW w:w="1741" w:type="dxa"/>
          </w:tcPr>
          <w:p w14:paraId="57E63C38" w14:textId="1AAA08F6" w:rsidR="00AF7659" w:rsidRDefault="00AF7659" w:rsidP="00AF7659">
            <w:pPr>
              <w:pStyle w:val="Textoindependiente"/>
              <w:ind w:firstLine="0"/>
              <w:jc w:val="center"/>
            </w:pPr>
            <w:r w:rsidRPr="002F3A9E">
              <w:t>580.04</w:t>
            </w:r>
          </w:p>
        </w:tc>
        <w:tc>
          <w:tcPr>
            <w:tcW w:w="1742" w:type="dxa"/>
          </w:tcPr>
          <w:p w14:paraId="36A11546" w14:textId="6769BF41" w:rsidR="00AF7659" w:rsidRDefault="00AF7659" w:rsidP="00AF7659">
            <w:pPr>
              <w:pStyle w:val="Textoindependiente"/>
              <w:ind w:firstLine="0"/>
              <w:jc w:val="center"/>
            </w:pPr>
            <w:r>
              <w:t>585.45 (0.93)</w:t>
            </w:r>
          </w:p>
        </w:tc>
      </w:tr>
      <w:tr w:rsidR="00AF7659" w14:paraId="7DE27F34" w14:textId="77777777" w:rsidTr="00AF7659">
        <w:trPr>
          <w:jc w:val="center"/>
        </w:trPr>
        <w:tc>
          <w:tcPr>
            <w:tcW w:w="2466" w:type="dxa"/>
          </w:tcPr>
          <w:p w14:paraId="5BEDEA1F" w14:textId="34003869" w:rsidR="00AF7659" w:rsidRDefault="00AF7659" w:rsidP="00AF7659">
            <w:pPr>
              <w:pStyle w:val="Textoindependiente"/>
              <w:ind w:firstLine="0"/>
            </w:pPr>
            <w:r>
              <w:t>SG pressure (MPa)</w:t>
            </w:r>
          </w:p>
        </w:tc>
        <w:tc>
          <w:tcPr>
            <w:tcW w:w="1741" w:type="dxa"/>
          </w:tcPr>
          <w:p w14:paraId="513B7DBA" w14:textId="08267B3F" w:rsidR="00AF7659" w:rsidRDefault="00AF7659" w:rsidP="00AF7659">
            <w:pPr>
              <w:pStyle w:val="Textoindependiente"/>
              <w:ind w:firstLine="0"/>
              <w:jc w:val="center"/>
            </w:pPr>
            <w:r w:rsidRPr="002F3A9E">
              <w:t>3.447</w:t>
            </w:r>
          </w:p>
        </w:tc>
        <w:tc>
          <w:tcPr>
            <w:tcW w:w="1742" w:type="dxa"/>
          </w:tcPr>
          <w:p w14:paraId="725339EF" w14:textId="64853484" w:rsidR="00AF7659" w:rsidRDefault="00AF7659" w:rsidP="00AF7659">
            <w:pPr>
              <w:pStyle w:val="Textoindependiente"/>
              <w:ind w:firstLine="0"/>
              <w:jc w:val="center"/>
            </w:pPr>
            <w:r>
              <w:t>3.443 (-0.11)</w:t>
            </w:r>
          </w:p>
        </w:tc>
      </w:tr>
    </w:tbl>
    <w:p w14:paraId="560A733B" w14:textId="77777777" w:rsidR="00305F69" w:rsidRDefault="00305F69" w:rsidP="00305F69">
      <w:pPr>
        <w:pStyle w:val="Ttulo2"/>
        <w:numPr>
          <w:ilvl w:val="0"/>
          <w:numId w:val="0"/>
        </w:numPr>
      </w:pPr>
    </w:p>
    <w:p w14:paraId="03881226" w14:textId="5C463C38" w:rsidR="00E20E70" w:rsidRDefault="00820A5E" w:rsidP="00537496">
      <w:pPr>
        <w:pStyle w:val="Ttulo2"/>
      </w:pPr>
      <w:r>
        <w:lastRenderedPageBreak/>
        <w:t xml:space="preserve">modelling of a LOCA SEQUENCE in the cvcs discharge line of </w:t>
      </w:r>
      <w:r w:rsidR="00855B28">
        <w:t xml:space="preserve">A </w:t>
      </w:r>
      <w:r>
        <w:t>NUSCALE</w:t>
      </w:r>
      <w:r w:rsidR="00855B28">
        <w:t>-LIKE SMR</w:t>
      </w:r>
    </w:p>
    <w:p w14:paraId="62F012E1" w14:textId="6BBA0241" w:rsidR="00D54BBC" w:rsidRDefault="00820A5E" w:rsidP="00D54BBC">
      <w:pPr>
        <w:pStyle w:val="Textoindependiente"/>
      </w:pPr>
      <w:r>
        <w:t>In this work, the</w:t>
      </w:r>
      <w:r w:rsidR="002D0D72">
        <w:t xml:space="preserve"> scenario</w:t>
      </w:r>
      <w:r w:rsidR="00CA79B5">
        <w:t xml:space="preserve"> to be simulated</w:t>
      </w:r>
      <w:r>
        <w:t xml:space="preserve"> </w:t>
      </w:r>
      <w:r w:rsidR="002D0D72">
        <w:t xml:space="preserve">consists </w:t>
      </w:r>
      <w:r w:rsidR="00855B28">
        <w:t>in</w:t>
      </w:r>
      <w:r w:rsidR="002D0D72">
        <w:t xml:space="preserve"> a </w:t>
      </w:r>
      <w:r>
        <w:t>LOCA sequence caused by the rupture of the CVCS discharge line within the CNV</w:t>
      </w:r>
      <w:r w:rsidR="00E96EFA">
        <w:t xml:space="preserve"> in which </w:t>
      </w:r>
      <w:r w:rsidR="00C4157B">
        <w:t xml:space="preserve">the opening of </w:t>
      </w:r>
      <w:r w:rsidR="00E96EFA">
        <w:t xml:space="preserve">two out of three RVVs </w:t>
      </w:r>
      <w:r w:rsidR="00C4157B">
        <w:t>is accomplished</w:t>
      </w:r>
      <w:r w:rsidR="00E96EFA">
        <w:t xml:space="preserve">, however, the </w:t>
      </w:r>
      <w:r w:rsidR="00CC314D">
        <w:t xml:space="preserve">failure of the </w:t>
      </w:r>
      <w:r w:rsidR="00E96EFA">
        <w:t>opening of both RRVs</w:t>
      </w:r>
      <w:r w:rsidR="00CC314D">
        <w:t xml:space="preserve"> is assumed.</w:t>
      </w:r>
      <w:r w:rsidR="00C4157B">
        <w:t xml:space="preserve"> The LOCA transient begins 50 s after </w:t>
      </w:r>
      <w:r w:rsidR="00855B28">
        <w:t>a</w:t>
      </w:r>
      <w:r w:rsidR="00C4157B">
        <w:t xml:space="preserve"> steady-state calculation</w:t>
      </w:r>
      <w:r w:rsidR="00855B28">
        <w:t xml:space="preserve"> of 6000 s</w:t>
      </w:r>
      <w:r w:rsidR="00C4157B">
        <w:t xml:space="preserve"> with the discharge of the RCS liquid inventory into the CNV due to the break of the CVCS discharge line. For that reason, the collapsed water level along with the pressure </w:t>
      </w:r>
      <w:r w:rsidR="00CA79B5">
        <w:t xml:space="preserve">is rapidly increased, as it is depicted in </w:t>
      </w:r>
      <w:r w:rsidR="00CA79B5">
        <w:fldChar w:fldCharType="begin"/>
      </w:r>
      <w:r w:rsidR="00CA79B5">
        <w:instrText xml:space="preserve"> REF _Ref169899789 \h </w:instrText>
      </w:r>
      <w:r w:rsidR="00CA79B5">
        <w:fldChar w:fldCharType="separate"/>
      </w:r>
      <w:r w:rsidR="006A588A" w:rsidRPr="006A588A">
        <w:rPr>
          <w:i/>
        </w:rPr>
        <w:t xml:space="preserve">FIG. </w:t>
      </w:r>
      <w:r w:rsidR="006A588A">
        <w:rPr>
          <w:i/>
          <w:noProof/>
        </w:rPr>
        <w:t>4</w:t>
      </w:r>
      <w:r w:rsidR="00CA79B5">
        <w:fldChar w:fldCharType="end"/>
      </w:r>
      <w:r w:rsidR="00CA79B5">
        <w:t xml:space="preserve">. After of approximately another 50 s of simulation the reactor is tripped because </w:t>
      </w:r>
      <w:r w:rsidR="00626100">
        <w:t>t</w:t>
      </w:r>
      <w:r w:rsidR="00CA79B5">
        <w:t>he ‘High CNV Pressure’ setpoint (~0.65 bar) is reached</w:t>
      </w:r>
      <w:r w:rsidR="00626100">
        <w:t xml:space="preserve"> and, 400 seconds later, the ‘High CNV Level’ signal is triggered and the ECCS actuation is demanded and when the IAB pressure threshold is below 62 </w:t>
      </w:r>
      <w:r w:rsidR="00D300C4">
        <w:t>bars</w:t>
      </w:r>
      <w:r w:rsidR="00626100">
        <w:t xml:space="preserve">, the ECCS valves are allowed to open. As the opening of the RRVs is not considered in the base case, only the opening of two RVVs is achieved and, for that reason, the pressure within the RPV and CNV are equilibrated. Finally, as there is no possibility to re-inject the </w:t>
      </w:r>
      <w:r w:rsidR="00EF7F9D">
        <w:t xml:space="preserve">liquid </w:t>
      </w:r>
      <w:r w:rsidR="00626100">
        <w:t>water</w:t>
      </w:r>
      <w:r w:rsidR="00EF7F9D">
        <w:t xml:space="preserve"> in</w:t>
      </w:r>
      <w:r w:rsidR="00626100">
        <w:t xml:space="preserve"> the CNV to the RPV by means of the RRVs, the core is eventually uncovered and the cladding temperature is increased up to reaching the acceptance criterion of 1477 K</w:t>
      </w:r>
      <w:r w:rsidR="00D54BBC">
        <w:t xml:space="preserve"> around 5450 s after the beginning of the LOCA transient</w:t>
      </w:r>
      <w:r w:rsidR="00626100">
        <w:t xml:space="preserve"> leading to a core damage condition</w:t>
      </w:r>
      <w:r w:rsidR="00D54BBC">
        <w:t xml:space="preserve">, see </w:t>
      </w:r>
      <w:r w:rsidR="00D54BBC">
        <w:fldChar w:fldCharType="begin"/>
      </w:r>
      <w:r w:rsidR="00D54BBC">
        <w:instrText xml:space="preserve"> REF _Ref169901043 \h </w:instrText>
      </w:r>
      <w:r w:rsidR="00D54BBC">
        <w:fldChar w:fldCharType="separate"/>
      </w:r>
      <w:r w:rsidR="006A588A" w:rsidRPr="006A588A">
        <w:rPr>
          <w:i/>
        </w:rPr>
        <w:t xml:space="preserve">FIG. </w:t>
      </w:r>
      <w:r w:rsidR="006A588A">
        <w:rPr>
          <w:i/>
          <w:noProof/>
        </w:rPr>
        <w:t>5</w:t>
      </w:r>
      <w:r w:rsidR="00D54BBC">
        <w:fldChar w:fldCharType="end"/>
      </w:r>
      <w:r w:rsidR="00626100">
        <w:t>.</w:t>
      </w:r>
    </w:p>
    <w:p w14:paraId="33BEE262" w14:textId="20258B57" w:rsidR="00820A5E" w:rsidRDefault="00D54BBC" w:rsidP="00D54BBC">
      <w:pPr>
        <w:pStyle w:val="Textoindependiente"/>
      </w:pPr>
      <w:r>
        <w:t xml:space="preserve">A very similar performance regarding the evolution of the CNV level and cladding temperatures have been obtained in the cases in which one/two RVVs are available. According to the results, the opening of two RVVs and one RRV is enough to </w:t>
      </w:r>
      <w:r w:rsidR="00EF7F9D">
        <w:t xml:space="preserve">cope with </w:t>
      </w:r>
      <w:r>
        <w:t xml:space="preserve">the postulated LOCA scenario. On the other hand, the increase in the coping time due to the presence of the FeCrAl cladding is demonstrated in the results, as it can be seen in </w:t>
      </w:r>
      <w:r>
        <w:fldChar w:fldCharType="begin"/>
      </w:r>
      <w:r>
        <w:instrText xml:space="preserve"> REF _Ref169901043 \h </w:instrText>
      </w:r>
      <w:r>
        <w:fldChar w:fldCharType="separate"/>
      </w:r>
      <w:r w:rsidR="006A588A" w:rsidRPr="006A588A">
        <w:rPr>
          <w:i/>
        </w:rPr>
        <w:t xml:space="preserve">FIG. </w:t>
      </w:r>
      <w:r w:rsidR="006A588A">
        <w:rPr>
          <w:i/>
          <w:noProof/>
        </w:rPr>
        <w:t>5</w:t>
      </w:r>
      <w:r>
        <w:fldChar w:fldCharType="end"/>
      </w:r>
      <w:r>
        <w:t xml:space="preserve">. In fact, the case of </w:t>
      </w:r>
      <w:r w:rsidR="00D5795C">
        <w:t>UO</w:t>
      </w:r>
      <w:r w:rsidR="00D5795C" w:rsidRPr="00D5795C">
        <w:rPr>
          <w:vertAlign w:val="subscript"/>
        </w:rPr>
        <w:t>2</w:t>
      </w:r>
      <w:r w:rsidR="00D5795C" w:rsidRPr="00D5795C">
        <w:t>/</w:t>
      </w:r>
      <w:r>
        <w:t xml:space="preserve">FeCrAl </w:t>
      </w:r>
      <w:r w:rsidR="00D5795C">
        <w:t xml:space="preserve">cladding </w:t>
      </w:r>
      <w:r>
        <w:t xml:space="preserve">with the reduced thickness generates a delay in </w:t>
      </w:r>
      <w:r w:rsidR="00D5795C">
        <w:t>the time to reach the core damage condition of ~8 min while in the case of UO</w:t>
      </w:r>
      <w:r w:rsidR="00D5795C" w:rsidRPr="00D5795C">
        <w:rPr>
          <w:vertAlign w:val="subscript"/>
        </w:rPr>
        <w:t>2</w:t>
      </w:r>
      <w:r w:rsidR="00D5795C" w:rsidRPr="00D5795C">
        <w:t>/</w:t>
      </w:r>
      <w:r w:rsidR="00D5795C">
        <w:t>FeCrAl in which the same geometry as in the UO</w:t>
      </w:r>
      <w:r w:rsidR="00D5795C" w:rsidRPr="00D5795C">
        <w:rPr>
          <w:vertAlign w:val="subscript"/>
        </w:rPr>
        <w:t>2</w:t>
      </w:r>
      <w:r w:rsidR="00D5795C" w:rsidRPr="00D5795C">
        <w:t>/</w:t>
      </w:r>
      <w:r w:rsidR="00D5795C">
        <w:t>Zr-4 case is maintained, an extension in the coping time of ~11 min is obtained.</w:t>
      </w:r>
    </w:p>
    <w:p w14:paraId="757883C1" w14:textId="6B611673" w:rsidR="003349C3" w:rsidRDefault="003349C3" w:rsidP="00537496">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4"/>
      </w:tblGrid>
      <w:tr w:rsidR="00971A16" w14:paraId="4D541E76" w14:textId="77777777" w:rsidTr="00AC0CAF">
        <w:tc>
          <w:tcPr>
            <w:tcW w:w="4513" w:type="dxa"/>
            <w:vAlign w:val="center"/>
          </w:tcPr>
          <w:p w14:paraId="23CC2B88" w14:textId="72A150F1" w:rsidR="00971A16" w:rsidRDefault="00AC0CAF" w:rsidP="00971A16">
            <w:pPr>
              <w:pStyle w:val="Textoindependiente"/>
              <w:ind w:firstLine="0"/>
              <w:jc w:val="left"/>
            </w:pPr>
            <w:r>
              <w:rPr>
                <w:noProof/>
              </w:rPr>
              <mc:AlternateContent>
                <mc:Choice Requires="wps">
                  <w:drawing>
                    <wp:anchor distT="0" distB="0" distL="114300" distR="114300" simplePos="0" relativeHeight="251670528" behindDoc="0" locked="0" layoutInCell="1" allowOverlap="1" wp14:anchorId="31AB2F7A" wp14:editId="4BA61975">
                      <wp:simplePos x="0" y="0"/>
                      <wp:positionH relativeFrom="column">
                        <wp:posOffset>2633241</wp:posOffset>
                      </wp:positionH>
                      <wp:positionV relativeFrom="paragraph">
                        <wp:posOffset>259787</wp:posOffset>
                      </wp:positionV>
                      <wp:extent cx="0" cy="324091"/>
                      <wp:effectExtent l="76200" t="0" r="76200" b="57150"/>
                      <wp:wrapNone/>
                      <wp:docPr id="1381976830" name="Conector recto de flecha 18"/>
                      <wp:cNvGraphicFramePr/>
                      <a:graphic xmlns:a="http://schemas.openxmlformats.org/drawingml/2006/main">
                        <a:graphicData uri="http://schemas.microsoft.com/office/word/2010/wordprocessingShape">
                          <wps:wsp>
                            <wps:cNvCnPr/>
                            <wps:spPr>
                              <a:xfrm>
                                <a:off x="0" y="0"/>
                                <a:ext cx="0" cy="324091"/>
                              </a:xfrm>
                              <a:prstGeom prst="straightConnector1">
                                <a:avLst/>
                              </a:prstGeom>
                              <a:ln>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219324" id="_x0000_t32" coordsize="21600,21600" o:spt="32" o:oned="t" path="m,l21600,21600e" filled="f">
                      <v:path arrowok="t" fillok="f" o:connecttype="none"/>
                      <o:lock v:ext="edit" shapetype="t"/>
                    </v:shapetype>
                    <v:shape id="Conector recto de flecha 18" o:spid="_x0000_s1026" type="#_x0000_t32" style="position:absolute;margin-left:207.35pt;margin-top:20.45pt;width:0;height:2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" strokecolor="#8064a2 [3207]">
                      <v:stroke endarrow="block"/>
                    </v:shape>
                  </w:pict>
                </mc:Fallback>
              </mc:AlternateContent>
            </w:r>
            <w:r w:rsidR="000819F4">
              <w:rPr>
                <w:noProof/>
              </w:rPr>
              <mc:AlternateContent>
                <mc:Choice Requires="wps">
                  <w:drawing>
                    <wp:anchor distT="45720" distB="45720" distL="114300" distR="114300" simplePos="0" relativeHeight="251659264" behindDoc="0" locked="0" layoutInCell="1" allowOverlap="1" wp14:anchorId="5E8ADFFB" wp14:editId="7841BED9">
                      <wp:simplePos x="0" y="0"/>
                      <wp:positionH relativeFrom="column">
                        <wp:posOffset>945515</wp:posOffset>
                      </wp:positionH>
                      <wp:positionV relativeFrom="paragraph">
                        <wp:posOffset>19685</wp:posOffset>
                      </wp:positionV>
                      <wp:extent cx="2003425" cy="301625"/>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01625"/>
                              </a:xfrm>
                              <a:prstGeom prst="rect">
                                <a:avLst/>
                              </a:prstGeom>
                              <a:noFill/>
                              <a:ln w="9525">
                                <a:noFill/>
                                <a:miter lim="800000"/>
                                <a:headEnd/>
                                <a:tailEnd/>
                              </a:ln>
                            </wps:spPr>
                            <wps:txbx>
                              <w:txbxContent>
                                <w:p w14:paraId="64799CF3" w14:textId="4FD68AB8" w:rsidR="000819F4" w:rsidRPr="000819F4" w:rsidRDefault="000819F4">
                                  <w:pPr>
                                    <w:rPr>
                                      <w:sz w:val="20"/>
                                      <w:szCs w:val="18"/>
                                    </w:rPr>
                                  </w:pPr>
                                  <w:r w:rsidRPr="000819F4">
                                    <w:rPr>
                                      <w:sz w:val="20"/>
                                      <w:szCs w:val="18"/>
                                    </w:rPr>
                                    <w:t>High CNV Level Signal</w:t>
                                  </w:r>
                                  <w:r>
                                    <w:rPr>
                                      <w:sz w:val="20"/>
                                      <w:szCs w:val="18"/>
                                    </w:rPr>
                                    <w:t xml:space="preserve"> (ECCS)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ADFFB" id="_x0000_t202" coordsize="21600,21600" o:spt="202" path="m,l,21600r21600,l21600,xe">
                      <v:stroke joinstyle="miter"/>
                      <v:path gradientshapeok="t" o:connecttype="rect"/>
                    </v:shapetype>
                    <v:shape id="Cuadro de texto 2" o:spid="_x0000_s1026" type="#_x0000_t202" style="position:absolute;margin-left:74.45pt;margin-top:1.55pt;width:157.75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" filled="f" stroked="f">
                      <v:textbox>
                        <w:txbxContent>
                          <w:p w14:paraId="64799CF3" w14:textId="4FD68AB8" w:rsidR="000819F4" w:rsidRPr="000819F4" w:rsidRDefault="000819F4">
                            <w:pPr>
                              <w:rPr>
                                <w:sz w:val="20"/>
                                <w:szCs w:val="18"/>
                              </w:rPr>
                            </w:pPr>
                            <w:r w:rsidRPr="000819F4">
                              <w:rPr>
                                <w:sz w:val="20"/>
                                <w:szCs w:val="18"/>
                              </w:rPr>
                              <w:t>High CNV Level Signal</w:t>
                            </w:r>
                            <w:r>
                              <w:rPr>
                                <w:sz w:val="20"/>
                                <w:szCs w:val="18"/>
                              </w:rPr>
                              <w:t xml:space="preserve"> (ECCS)</w:t>
                            </w:r>
                          </w:p>
                        </w:txbxContent>
                      </v:textbox>
                    </v:shape>
                  </w:pict>
                </mc:Fallback>
              </mc:AlternateContent>
            </w:r>
            <w:r w:rsidR="00971A16">
              <w:rPr>
                <w:noProof/>
              </w:rPr>
              <w:drawing>
                <wp:inline distT="0" distB="0" distL="0" distR="0" wp14:anchorId="32A39AF8" wp14:editId="3004A020">
                  <wp:extent cx="2879054" cy="1905981"/>
                  <wp:effectExtent l="0" t="0" r="0" b="0"/>
                  <wp:docPr id="70374135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00" b="1"/>
                          <a:stretch/>
                        </pic:blipFill>
                        <pic:spPr bwMode="auto">
                          <a:xfrm>
                            <a:off x="0" y="0"/>
                            <a:ext cx="2880000" cy="1906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4" w:type="dxa"/>
            <w:vAlign w:val="center"/>
          </w:tcPr>
          <w:p w14:paraId="6AAEC1F7" w14:textId="0BD610D5" w:rsidR="00971A16" w:rsidRDefault="000819F4" w:rsidP="00971A16">
            <w:pPr>
              <w:pStyle w:val="Textoindependiente"/>
              <w:keepNext/>
              <w:ind w:firstLine="0"/>
              <w:jc w:val="right"/>
            </w:pPr>
            <w:r>
              <w:rPr>
                <w:noProof/>
              </w:rPr>
              <mc:AlternateContent>
                <mc:Choice Requires="wps">
                  <w:drawing>
                    <wp:anchor distT="45720" distB="45720" distL="114300" distR="114300" simplePos="0" relativeHeight="251665408" behindDoc="0" locked="0" layoutInCell="1" allowOverlap="1" wp14:anchorId="4268A159" wp14:editId="79C205AF">
                      <wp:simplePos x="0" y="0"/>
                      <wp:positionH relativeFrom="column">
                        <wp:posOffset>500380</wp:posOffset>
                      </wp:positionH>
                      <wp:positionV relativeFrom="paragraph">
                        <wp:posOffset>1176655</wp:posOffset>
                      </wp:positionV>
                      <wp:extent cx="2273300" cy="278130"/>
                      <wp:effectExtent l="0" t="0" r="0" b="0"/>
                      <wp:wrapNone/>
                      <wp:docPr id="15268525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78130"/>
                              </a:xfrm>
                              <a:prstGeom prst="rect">
                                <a:avLst/>
                              </a:prstGeom>
                              <a:noFill/>
                              <a:ln w="9525">
                                <a:noFill/>
                                <a:miter lim="800000"/>
                                <a:headEnd/>
                                <a:tailEnd/>
                              </a:ln>
                            </wps:spPr>
                            <wps:txbx>
                              <w:txbxContent>
                                <w:p w14:paraId="4970E7DF" w14:textId="6773239C" w:rsidR="000819F4" w:rsidRPr="000819F4" w:rsidRDefault="000819F4" w:rsidP="000819F4">
                                  <w:pPr>
                                    <w:rPr>
                                      <w:sz w:val="20"/>
                                      <w:szCs w:val="18"/>
                                    </w:rPr>
                                  </w:pPr>
                                  <w:r>
                                    <w:rPr>
                                      <w:sz w:val="20"/>
                                      <w:szCs w:val="18"/>
                                    </w:rPr>
                                    <w:t>High CNV Pressure (SCRAM)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8A159" id="_x0000_s1027" type="#_x0000_t202" style="position:absolute;left:0;text-align:left;margin-left:39.4pt;margin-top:92.65pt;width:179pt;height:2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" filled="f" stroked="f">
                      <v:textbox>
                        <w:txbxContent>
                          <w:p w14:paraId="4970E7DF" w14:textId="6773239C" w:rsidR="000819F4" w:rsidRPr="000819F4" w:rsidRDefault="000819F4" w:rsidP="000819F4">
                            <w:pPr>
                              <w:rPr>
                                <w:sz w:val="20"/>
                                <w:szCs w:val="18"/>
                              </w:rPr>
                            </w:pPr>
                            <w:r>
                              <w:rPr>
                                <w:sz w:val="20"/>
                                <w:szCs w:val="18"/>
                              </w:rPr>
                              <w:t>High CNV Pressure (SCRAM)</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2AE833E9" wp14:editId="74849E2D">
                      <wp:simplePos x="0" y="0"/>
                      <wp:positionH relativeFrom="column">
                        <wp:posOffset>563880</wp:posOffset>
                      </wp:positionH>
                      <wp:positionV relativeFrom="paragraph">
                        <wp:posOffset>819150</wp:posOffset>
                      </wp:positionV>
                      <wp:extent cx="2273300" cy="278130"/>
                      <wp:effectExtent l="0" t="0" r="0" b="0"/>
                      <wp:wrapNone/>
                      <wp:docPr id="18522682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78130"/>
                              </a:xfrm>
                              <a:prstGeom prst="rect">
                                <a:avLst/>
                              </a:prstGeom>
                              <a:noFill/>
                              <a:ln w="9525">
                                <a:noFill/>
                                <a:miter lim="800000"/>
                                <a:headEnd/>
                                <a:tailEnd/>
                              </a:ln>
                            </wps:spPr>
                            <wps:txbx>
                              <w:txbxContent>
                                <w:p w14:paraId="7C204392" w14:textId="3411509D" w:rsidR="000819F4" w:rsidRPr="000819F4" w:rsidRDefault="000819F4" w:rsidP="000819F4">
                                  <w:pPr>
                                    <w:rPr>
                                      <w:sz w:val="20"/>
                                      <w:szCs w:val="18"/>
                                    </w:rPr>
                                  </w:pPr>
                                  <w:r>
                                    <w:rPr>
                                      <w:sz w:val="20"/>
                                      <w:szCs w:val="18"/>
                                    </w:rPr>
                                    <w:t>Low wide range pressure signal (ECCS)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833E9" id="_x0000_s1028" type="#_x0000_t202" style="position:absolute;left:0;text-align:left;margin-left:44.4pt;margin-top:64.5pt;width:179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" filled="f" stroked="f">
                      <v:textbox>
                        <w:txbxContent>
                          <w:p w14:paraId="7C204392" w14:textId="3411509D" w:rsidR="000819F4" w:rsidRPr="000819F4" w:rsidRDefault="000819F4" w:rsidP="000819F4">
                            <w:pPr>
                              <w:rPr>
                                <w:sz w:val="20"/>
                                <w:szCs w:val="18"/>
                              </w:rPr>
                            </w:pPr>
                            <w:r>
                              <w:rPr>
                                <w:sz w:val="20"/>
                                <w:szCs w:val="18"/>
                              </w:rPr>
                              <w:t>Low wide range pressure signal (ECCS)</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313EC3D1" wp14:editId="237266AC">
                      <wp:simplePos x="0" y="0"/>
                      <wp:positionH relativeFrom="column">
                        <wp:posOffset>492760</wp:posOffset>
                      </wp:positionH>
                      <wp:positionV relativeFrom="paragraph">
                        <wp:posOffset>79375</wp:posOffset>
                      </wp:positionV>
                      <wp:extent cx="2146300" cy="333375"/>
                      <wp:effectExtent l="0" t="0" r="0" b="0"/>
                      <wp:wrapNone/>
                      <wp:docPr id="11064023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3375"/>
                              </a:xfrm>
                              <a:prstGeom prst="rect">
                                <a:avLst/>
                              </a:prstGeom>
                              <a:noFill/>
                              <a:ln w="9525">
                                <a:noFill/>
                                <a:miter lim="800000"/>
                                <a:headEnd/>
                                <a:tailEnd/>
                              </a:ln>
                            </wps:spPr>
                            <wps:txbx>
                              <w:txbxContent>
                                <w:p w14:paraId="0B4F8E83" w14:textId="76D9A867" w:rsidR="000819F4" w:rsidRPr="000819F4" w:rsidRDefault="000819F4" w:rsidP="000819F4">
                                  <w:pPr>
                                    <w:rPr>
                                      <w:sz w:val="20"/>
                                      <w:szCs w:val="18"/>
                                    </w:rPr>
                                  </w:pPr>
                                  <w:r>
                                    <w:rPr>
                                      <w:sz w:val="20"/>
                                      <w:szCs w:val="18"/>
                                    </w:rPr>
                                    <w:t>Low PZR Pressure signal (SCRAM)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C3D1" id="_x0000_s1029" type="#_x0000_t202" style="position:absolute;left:0;text-align:left;margin-left:38.8pt;margin-top:6.25pt;width:169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" filled="f" stroked="f">
                      <v:textbox>
                        <w:txbxContent>
                          <w:p w14:paraId="0B4F8E83" w14:textId="76D9A867" w:rsidR="000819F4" w:rsidRPr="000819F4" w:rsidRDefault="000819F4" w:rsidP="000819F4">
                            <w:pPr>
                              <w:rPr>
                                <w:sz w:val="20"/>
                                <w:szCs w:val="18"/>
                              </w:rPr>
                            </w:pPr>
                            <w:r>
                              <w:rPr>
                                <w:sz w:val="20"/>
                                <w:szCs w:val="18"/>
                              </w:rPr>
                              <w:t>Low PZR Pressure signal (SCRAM)</w:t>
                            </w:r>
                          </w:p>
                        </w:txbxContent>
                      </v:textbox>
                    </v:shape>
                  </w:pict>
                </mc:Fallback>
              </mc:AlternateContent>
            </w:r>
            <w:r w:rsidR="00971A16">
              <w:rPr>
                <w:noProof/>
              </w:rPr>
              <w:drawing>
                <wp:inline distT="0" distB="0" distL="0" distR="0" wp14:anchorId="66C93B54" wp14:editId="382EDF4A">
                  <wp:extent cx="2880000" cy="1931347"/>
                  <wp:effectExtent l="0" t="0" r="0" b="0"/>
                  <wp:docPr id="27322398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931347"/>
                          </a:xfrm>
                          <a:prstGeom prst="rect">
                            <a:avLst/>
                          </a:prstGeom>
                          <a:noFill/>
                        </pic:spPr>
                      </pic:pic>
                    </a:graphicData>
                  </a:graphic>
                </wp:inline>
              </w:drawing>
            </w:r>
          </w:p>
        </w:tc>
      </w:tr>
    </w:tbl>
    <w:p w14:paraId="64E4E14F" w14:textId="36785E5D" w:rsidR="00971A16" w:rsidRDefault="00971A16" w:rsidP="00971A16">
      <w:pPr>
        <w:pStyle w:val="Descripcin"/>
        <w:jc w:val="center"/>
        <w:rPr>
          <w:i/>
        </w:rPr>
      </w:pPr>
      <w:bookmarkStart w:id="3" w:name="_Ref169899789"/>
      <w:r w:rsidRPr="006A588A">
        <w:rPr>
          <w:i/>
        </w:rPr>
        <w:t xml:space="preserve">FIG. </w:t>
      </w:r>
      <w:r w:rsidRPr="006A588A">
        <w:rPr>
          <w:i/>
        </w:rPr>
        <w:fldChar w:fldCharType="begin"/>
      </w:r>
      <w:r w:rsidRPr="006A588A">
        <w:rPr>
          <w:i/>
        </w:rPr>
        <w:instrText xml:space="preserve"> SEQ FIG. \* ARABIC </w:instrText>
      </w:r>
      <w:r w:rsidRPr="006A588A">
        <w:rPr>
          <w:i/>
        </w:rPr>
        <w:fldChar w:fldCharType="separate"/>
      </w:r>
      <w:r w:rsidR="006A588A">
        <w:rPr>
          <w:i/>
          <w:noProof/>
        </w:rPr>
        <w:t>4</w:t>
      </w:r>
      <w:r w:rsidRPr="006A588A">
        <w:rPr>
          <w:i/>
        </w:rPr>
        <w:fldChar w:fldCharType="end"/>
      </w:r>
      <w:bookmarkEnd w:id="3"/>
      <w:r w:rsidRPr="006A588A">
        <w:rPr>
          <w:i/>
        </w:rPr>
        <w:t>. Collapsed water level within the CNV (left) and system/CNV pressure evolution (right)</w:t>
      </w:r>
    </w:p>
    <w:p w14:paraId="1A98368F" w14:textId="77777777" w:rsidR="006A588A" w:rsidRPr="006A588A" w:rsidRDefault="006A588A" w:rsidP="006A588A">
      <w:pP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4"/>
      </w:tblGrid>
      <w:tr w:rsidR="00971A16" w14:paraId="14AD256C" w14:textId="77777777" w:rsidTr="00AC0CAF">
        <w:tc>
          <w:tcPr>
            <w:tcW w:w="4513" w:type="dxa"/>
            <w:vAlign w:val="center"/>
          </w:tcPr>
          <w:p w14:paraId="1A2B31EA" w14:textId="25C260FC" w:rsidR="00971A16" w:rsidRDefault="000819F4" w:rsidP="00971A16">
            <w:pPr>
              <w:rPr>
                <w:lang w:val="en-US"/>
              </w:rPr>
            </w:pPr>
            <w:r>
              <w:rPr>
                <w:noProof/>
              </w:rPr>
              <mc:AlternateContent>
                <mc:Choice Requires="wps">
                  <w:drawing>
                    <wp:anchor distT="45720" distB="45720" distL="114300" distR="114300" simplePos="0" relativeHeight="251667456" behindDoc="0" locked="0" layoutInCell="1" allowOverlap="1" wp14:anchorId="27B34856" wp14:editId="6FCCA6D5">
                      <wp:simplePos x="0" y="0"/>
                      <wp:positionH relativeFrom="column">
                        <wp:posOffset>450215</wp:posOffset>
                      </wp:positionH>
                      <wp:positionV relativeFrom="paragraph">
                        <wp:posOffset>67310</wp:posOffset>
                      </wp:positionV>
                      <wp:extent cx="2273300" cy="278130"/>
                      <wp:effectExtent l="0" t="0" r="0" b="0"/>
                      <wp:wrapNone/>
                      <wp:docPr id="2365174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78130"/>
                              </a:xfrm>
                              <a:prstGeom prst="rect">
                                <a:avLst/>
                              </a:prstGeom>
                              <a:noFill/>
                              <a:ln w="9525">
                                <a:noFill/>
                                <a:miter lim="800000"/>
                                <a:headEnd/>
                                <a:tailEnd/>
                              </a:ln>
                            </wps:spPr>
                            <wps:txbx>
                              <w:txbxContent>
                                <w:p w14:paraId="28A72D6A" w14:textId="295E2B7C" w:rsidR="000819F4" w:rsidRPr="000819F4" w:rsidRDefault="000819F4" w:rsidP="000819F4">
                                  <w:pPr>
                                    <w:rPr>
                                      <w:color w:val="FF0000"/>
                                      <w:sz w:val="20"/>
                                      <w:szCs w:val="18"/>
                                    </w:rPr>
                                  </w:pPr>
                                  <w:r w:rsidRPr="000819F4">
                                    <w:rPr>
                                      <w:color w:val="FF0000"/>
                                      <w:sz w:val="20"/>
                                      <w:szCs w:val="18"/>
                                    </w:rPr>
                                    <w:t>Acceptance criterion (PCT = 1477 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4856" id="_x0000_s1030" type="#_x0000_t202" style="position:absolute;margin-left:35.45pt;margin-top:5.3pt;width:179pt;height:2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fx/AEAANQDAAAOAAAAZHJzL2Uyb0RvYy54bWysU11v2yAUfZ+0/4B4X+w4yZJaIVXXrtOk&#10;7kNq9wMIxjEacBmQ2Nmv3wWnabS9VfMD4nJ9D/ece1hfD0aTg/RBgWV0OikpkVZAo+yO0R9P9+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" filled="f" stroked="f">
                      <v:textbox>
                        <w:txbxContent>
                          <w:p w14:paraId="28A72D6A" w14:textId="295E2B7C" w:rsidR="000819F4" w:rsidRPr="000819F4" w:rsidRDefault="000819F4" w:rsidP="000819F4">
                            <w:pPr>
                              <w:rPr>
                                <w:color w:val="FF0000"/>
                                <w:sz w:val="20"/>
                                <w:szCs w:val="18"/>
                              </w:rPr>
                            </w:pPr>
                            <w:r w:rsidRPr="000819F4">
                              <w:rPr>
                                <w:color w:val="FF0000"/>
                                <w:sz w:val="20"/>
                                <w:szCs w:val="18"/>
                              </w:rPr>
                              <w:t>Acceptance criterion (PCT = 1477 K)</w:t>
                            </w:r>
                          </w:p>
                        </w:txbxContent>
                      </v:textbox>
                    </v:shape>
                  </w:pict>
                </mc:Fallback>
              </mc:AlternateContent>
            </w:r>
            <w:r w:rsidR="00971A16">
              <w:rPr>
                <w:noProof/>
              </w:rPr>
              <w:drawing>
                <wp:inline distT="0" distB="0" distL="0" distR="0" wp14:anchorId="1DD5F1DF" wp14:editId="075B5021">
                  <wp:extent cx="2879392" cy="1928249"/>
                  <wp:effectExtent l="0" t="0" r="0" b="0"/>
                  <wp:docPr id="169653877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59"/>
                          <a:stretch/>
                        </pic:blipFill>
                        <pic:spPr bwMode="auto">
                          <a:xfrm>
                            <a:off x="0" y="0"/>
                            <a:ext cx="2880000" cy="1928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4" w:type="dxa"/>
            <w:vAlign w:val="center"/>
          </w:tcPr>
          <w:p w14:paraId="0626AC50" w14:textId="465B75FD" w:rsidR="00971A16" w:rsidRDefault="00AC0CAF" w:rsidP="00971A16">
            <w:pPr>
              <w:keepNext/>
              <w:jc w:val="right"/>
              <w:rPr>
                <w:lang w:val="en-US"/>
              </w:rPr>
            </w:pPr>
            <w:r>
              <w:rPr>
                <w:noProof/>
              </w:rPr>
              <mc:AlternateContent>
                <mc:Choice Requires="wps">
                  <w:drawing>
                    <wp:anchor distT="45720" distB="45720" distL="114300" distR="114300" simplePos="0" relativeHeight="251669504" behindDoc="0" locked="0" layoutInCell="1" allowOverlap="1" wp14:anchorId="6AD89C3E" wp14:editId="196AAE29">
                      <wp:simplePos x="0" y="0"/>
                      <wp:positionH relativeFrom="column">
                        <wp:posOffset>497840</wp:posOffset>
                      </wp:positionH>
                      <wp:positionV relativeFrom="paragraph">
                        <wp:posOffset>45085</wp:posOffset>
                      </wp:positionV>
                      <wp:extent cx="2273300" cy="278130"/>
                      <wp:effectExtent l="0" t="0" r="0" b="0"/>
                      <wp:wrapNone/>
                      <wp:docPr id="13545676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78130"/>
                              </a:xfrm>
                              <a:prstGeom prst="rect">
                                <a:avLst/>
                              </a:prstGeom>
                              <a:noFill/>
                              <a:ln w="9525">
                                <a:noFill/>
                                <a:miter lim="800000"/>
                                <a:headEnd/>
                                <a:tailEnd/>
                              </a:ln>
                            </wps:spPr>
                            <wps:txbx>
                              <w:txbxContent>
                                <w:p w14:paraId="1A6FDCCE" w14:textId="77777777" w:rsidR="00AC0CAF" w:rsidRPr="000819F4" w:rsidRDefault="00AC0CAF" w:rsidP="00AC0CAF">
                                  <w:pPr>
                                    <w:rPr>
                                      <w:color w:val="FF0000"/>
                                      <w:sz w:val="20"/>
                                      <w:szCs w:val="18"/>
                                    </w:rPr>
                                  </w:pPr>
                                  <w:r w:rsidRPr="000819F4">
                                    <w:rPr>
                                      <w:color w:val="FF0000"/>
                                      <w:sz w:val="20"/>
                                      <w:szCs w:val="18"/>
                                    </w:rPr>
                                    <w:t>Acceptance criterion (PCT = 1477 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9C3E" id="_x0000_s1031" type="#_x0000_t202" style="position:absolute;left:0;text-align:left;margin-left:39.2pt;margin-top:3.55pt;width:179pt;height:21.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kH/AEAANQDAAAOAAAAZHJzL2Uyb0RvYy54bWysU11v2yAUfZ+0/4B4X+w4yZJaIVXXrtOk&#10;7kNq9wMIxjEacBmQ2Nmv3wWnabS9VfMD4nJ9D/ece1hfD0aTg/RBgWV0OikpkVZAo+yO0R9P9+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" filled="f" stroked="f">
                      <v:textbox>
                        <w:txbxContent>
                          <w:p w14:paraId="1A6FDCCE" w14:textId="77777777" w:rsidR="00AC0CAF" w:rsidRPr="000819F4" w:rsidRDefault="00AC0CAF" w:rsidP="00AC0CAF">
                            <w:pPr>
                              <w:rPr>
                                <w:color w:val="FF0000"/>
                                <w:sz w:val="20"/>
                                <w:szCs w:val="18"/>
                              </w:rPr>
                            </w:pPr>
                            <w:r w:rsidRPr="000819F4">
                              <w:rPr>
                                <w:color w:val="FF0000"/>
                                <w:sz w:val="20"/>
                                <w:szCs w:val="18"/>
                              </w:rPr>
                              <w:t>Acceptance criterion (PCT = 1477 K)</w:t>
                            </w:r>
                          </w:p>
                        </w:txbxContent>
                      </v:textbox>
                    </v:shape>
                  </w:pict>
                </mc:Fallback>
              </mc:AlternateContent>
            </w:r>
            <w:r w:rsidR="00971A16">
              <w:rPr>
                <w:noProof/>
                <w:lang w:val="en-US"/>
              </w:rPr>
              <w:drawing>
                <wp:inline distT="0" distB="0" distL="0" distR="0" wp14:anchorId="2521F317" wp14:editId="25CEBDFD">
                  <wp:extent cx="2879392" cy="1935714"/>
                  <wp:effectExtent l="0" t="0" r="0" b="7620"/>
                  <wp:docPr id="486366345" name="Imagen 16"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66345" name="Imagen 16" descr="Gráfico&#10;&#10;Descripción generada automáticamente con confianza baja"/>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75"/>
                          <a:stretch/>
                        </pic:blipFill>
                        <pic:spPr bwMode="auto">
                          <a:xfrm>
                            <a:off x="0" y="0"/>
                            <a:ext cx="2880000" cy="19361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6E3DC21" w14:textId="1BA07A2F" w:rsidR="00971A16" w:rsidRPr="006A588A" w:rsidRDefault="00971A16" w:rsidP="00971A16">
      <w:pPr>
        <w:pStyle w:val="Descripcin"/>
        <w:jc w:val="center"/>
        <w:rPr>
          <w:i/>
        </w:rPr>
      </w:pPr>
      <w:bookmarkStart w:id="4" w:name="_Ref169901043"/>
      <w:r w:rsidRPr="006A588A">
        <w:rPr>
          <w:i/>
        </w:rPr>
        <w:t xml:space="preserve">FIG. </w:t>
      </w:r>
      <w:r w:rsidRPr="006A588A">
        <w:rPr>
          <w:i/>
        </w:rPr>
        <w:fldChar w:fldCharType="begin"/>
      </w:r>
      <w:r w:rsidRPr="006A588A">
        <w:rPr>
          <w:i/>
        </w:rPr>
        <w:instrText xml:space="preserve"> SEQ FIG. \* ARABIC </w:instrText>
      </w:r>
      <w:r w:rsidRPr="006A588A">
        <w:rPr>
          <w:i/>
        </w:rPr>
        <w:fldChar w:fldCharType="separate"/>
      </w:r>
      <w:r w:rsidR="006A588A">
        <w:rPr>
          <w:i/>
          <w:noProof/>
        </w:rPr>
        <w:t>5</w:t>
      </w:r>
      <w:r w:rsidRPr="006A588A">
        <w:rPr>
          <w:i/>
        </w:rPr>
        <w:fldChar w:fldCharType="end"/>
      </w:r>
      <w:bookmarkEnd w:id="4"/>
      <w:r w:rsidRPr="006A588A">
        <w:rPr>
          <w:i/>
        </w:rPr>
        <w:t>. Peak Cladding Temperature (PCT) varying the number of RRVs available (left) and cladding materials (right)</w:t>
      </w:r>
    </w:p>
    <w:p w14:paraId="3CFADFDC" w14:textId="77777777" w:rsidR="00305F69" w:rsidRDefault="00305F69" w:rsidP="00305F69">
      <w:pPr>
        <w:rPr>
          <w:lang w:val="en-US"/>
        </w:rPr>
      </w:pPr>
    </w:p>
    <w:p w14:paraId="4048D053" w14:textId="77777777" w:rsidR="00305F69" w:rsidRDefault="00305F69" w:rsidP="00305F69">
      <w:pPr>
        <w:rPr>
          <w:lang w:val="en-US"/>
        </w:rPr>
      </w:pPr>
    </w:p>
    <w:p w14:paraId="1C085893" w14:textId="77777777" w:rsidR="00305F69" w:rsidRPr="00305F69" w:rsidRDefault="00305F69" w:rsidP="00305F69">
      <w:pPr>
        <w:rPr>
          <w:lang w:val="en-US"/>
        </w:rPr>
      </w:pPr>
    </w:p>
    <w:p w14:paraId="3968DACC" w14:textId="72EAF550" w:rsidR="00D5795C" w:rsidRDefault="00D5795C" w:rsidP="00D5795C">
      <w:pPr>
        <w:pStyle w:val="Ttulo2"/>
      </w:pPr>
      <w:r>
        <w:lastRenderedPageBreak/>
        <w:t>Conclusions</w:t>
      </w:r>
    </w:p>
    <w:p w14:paraId="4ABE1C71" w14:textId="1A47C7E6" w:rsidR="00D5795C" w:rsidRDefault="00D5795C" w:rsidP="00D5795C">
      <w:pPr>
        <w:pStyle w:val="Textoindependiente"/>
      </w:pPr>
      <w:r>
        <w:t>The main conclusions drawn from this preliminary analysis are listed below:</w:t>
      </w:r>
    </w:p>
    <w:p w14:paraId="5DF70BFE" w14:textId="12559F5F" w:rsidR="005B7700" w:rsidRDefault="005B7700" w:rsidP="00E70C93">
      <w:pPr>
        <w:pStyle w:val="ListEmdash"/>
        <w:numPr>
          <w:ilvl w:val="0"/>
          <w:numId w:val="44"/>
        </w:numPr>
        <w:ind w:left="709"/>
      </w:pPr>
      <w:r>
        <w:t>In this study, a</w:t>
      </w:r>
      <w:r w:rsidR="00D5795C">
        <w:t xml:space="preserve"> LOCA accident in </w:t>
      </w:r>
      <w:r w:rsidR="00495450">
        <w:t>a</w:t>
      </w:r>
      <w:r w:rsidR="00D5795C">
        <w:t xml:space="preserve"> NuScale</w:t>
      </w:r>
      <w:r w:rsidR="00495450">
        <w:t>-like</w:t>
      </w:r>
      <w:r w:rsidR="00D5795C">
        <w:t xml:space="preserve"> SMR based on the rupture of the CVCS discharge line has been simulated </w:t>
      </w:r>
      <w:r>
        <w:t>with a</w:t>
      </w:r>
      <w:r w:rsidR="00D5795C">
        <w:t xml:space="preserve"> full-plant TRACE model</w:t>
      </w:r>
      <w:r>
        <w:t xml:space="preserve"> in which the fail to open of the R</w:t>
      </w:r>
      <w:r w:rsidR="00495450">
        <w:t>R</w:t>
      </w:r>
      <w:r>
        <w:t>Vs leads directly to core damage after around 5500 s</w:t>
      </w:r>
      <w:r w:rsidR="00E70C93">
        <w:t>;</w:t>
      </w:r>
    </w:p>
    <w:p w14:paraId="5144E6AD" w14:textId="2E6850BB" w:rsidR="005B7700" w:rsidRDefault="005B7700" w:rsidP="00E70C93">
      <w:pPr>
        <w:pStyle w:val="ListEmdash"/>
        <w:numPr>
          <w:ilvl w:val="0"/>
          <w:numId w:val="44"/>
        </w:numPr>
        <w:ind w:left="709"/>
      </w:pPr>
      <w:r>
        <w:t>T</w:t>
      </w:r>
      <w:r w:rsidR="00D5795C">
        <w:t xml:space="preserve">he </w:t>
      </w:r>
      <w:r>
        <w:t xml:space="preserve">simulation of the cases in which </w:t>
      </w:r>
      <w:r w:rsidR="00D5795C">
        <w:t>Zr-4 and FeCrAl materials</w:t>
      </w:r>
      <w:r>
        <w:t xml:space="preserve"> are considered for the cladding have demonstrated a slight improvement in the coping time due to the presence of FeCrAl. In that sense, an improvement of only several minutes is achieved</w:t>
      </w:r>
      <w:r w:rsidR="00E70C93">
        <w:t>;</w:t>
      </w:r>
      <w:r w:rsidR="00D5795C">
        <w:t xml:space="preserve"> </w:t>
      </w:r>
    </w:p>
    <w:p w14:paraId="38140A4C" w14:textId="76FC9616" w:rsidR="00D5795C" w:rsidRDefault="005B7700" w:rsidP="00E70C93">
      <w:pPr>
        <w:pStyle w:val="ListEmdash"/>
        <w:numPr>
          <w:ilvl w:val="0"/>
          <w:numId w:val="44"/>
        </w:numPr>
        <w:ind w:left="709"/>
      </w:pPr>
      <w:r>
        <w:t>Two additional cases have been simulated considering the opening of the different configurations of the RRVs and, it has been demonstrated that with only one RRV available, the NuScale</w:t>
      </w:r>
      <w:r w:rsidR="00495450">
        <w:t>-like</w:t>
      </w:r>
      <w:r>
        <w:t xml:space="preserve"> SMR is able to deal with the postulated scenario conditions.</w:t>
      </w:r>
    </w:p>
    <w:p w14:paraId="15F4F300" w14:textId="47B2F955" w:rsidR="00285755" w:rsidRDefault="00285755" w:rsidP="00537496">
      <w:pPr>
        <w:pStyle w:val="Otherunnumberedheadings"/>
      </w:pPr>
      <w:r w:rsidRPr="00285755">
        <w:t>ACKNOWLEDGEMENTS</w:t>
      </w:r>
    </w:p>
    <w:p w14:paraId="5CC097B7" w14:textId="6C72658C" w:rsidR="00B92244" w:rsidRDefault="00B92244" w:rsidP="00B92244">
      <w:pPr>
        <w:pStyle w:val="Textoindependiente"/>
      </w:pPr>
      <w:r>
        <w:t>The authors would like to express their gratitude to the Spanish Nuclear Safety Council</w:t>
      </w:r>
      <w:r w:rsidR="00A41C1B">
        <w:t xml:space="preserve"> (CSN)</w:t>
      </w:r>
      <w:r>
        <w:t xml:space="preserve"> for the technical support and fundings received to perform this work within the </w:t>
      </w:r>
      <w:r w:rsidR="0045027F">
        <w:t xml:space="preserve">NFQ-CSN </w:t>
      </w:r>
      <w:r>
        <w:t>collaboration agreement</w:t>
      </w:r>
      <w:r w:rsidR="000807ED">
        <w:t xml:space="preserve"> ‘</w:t>
      </w:r>
      <w:r w:rsidR="000807ED" w:rsidRPr="000807ED">
        <w:t>Development of methodologies for the thermomechanical analysis under AOO and DEC-A conditions in LWR considering ATF performance</w:t>
      </w:r>
      <w:r>
        <w:t xml:space="preserve"> </w:t>
      </w:r>
      <w:r w:rsidR="000807ED">
        <w:t>(</w:t>
      </w:r>
      <w:r>
        <w:t>METATF</w:t>
      </w:r>
      <w:r w:rsidR="000807ED">
        <w:t>)’</w:t>
      </w:r>
      <w:r>
        <w:t>.</w:t>
      </w:r>
    </w:p>
    <w:p w14:paraId="2A0157DC" w14:textId="77777777" w:rsidR="00B92244" w:rsidRDefault="00B92244" w:rsidP="00B92244">
      <w:pPr>
        <w:pStyle w:val="Textoindependiente"/>
      </w:pPr>
    </w:p>
    <w:p w14:paraId="360C500F" w14:textId="75C33476" w:rsidR="00B92244" w:rsidRDefault="00305F69" w:rsidP="00B92244">
      <w:pPr>
        <w:pStyle w:val="Textoindependiente"/>
      </w:pPr>
      <w:r w:rsidRPr="00305F69">
        <w:t xml:space="preserve">This work </w:t>
      </w:r>
      <w:r>
        <w:t xml:space="preserve">has been partially </w:t>
      </w:r>
      <w:r w:rsidRPr="00305F69">
        <w:t>performed within the framework of the IAEA Coordinated Research Project T12032 on Testing and Simulations for Accident Tolerant and Advanced Technology Fuels (ATF-TS).</w:t>
      </w:r>
    </w:p>
    <w:p w14:paraId="32B76F9D" w14:textId="77777777" w:rsidR="00D26ADA" w:rsidRPr="00285755" w:rsidRDefault="00D26ADA" w:rsidP="00537496">
      <w:pPr>
        <w:pStyle w:val="Otherunnumberedheadings"/>
      </w:pPr>
      <w:r>
        <w:t>References</w:t>
      </w:r>
    </w:p>
    <w:p w14:paraId="0890CA5D" w14:textId="77777777" w:rsidR="00CE7F09" w:rsidRDefault="00CE7F09" w:rsidP="00537496">
      <w:pPr>
        <w:pStyle w:val="Referencelist"/>
      </w:pPr>
      <w:bookmarkStart w:id="5" w:name="_Ref169837804"/>
      <w:r w:rsidRPr="00CE7F09">
        <w:t>NuScale Power, LLC, “NuScale Standard Plant: Design Certification Application: Chapter 1: Introduction and General Description of the Plant,” Rev.5, (2020).</w:t>
      </w:r>
      <w:bookmarkEnd w:id="5"/>
    </w:p>
    <w:p w14:paraId="30582302" w14:textId="77777777" w:rsidR="00513522" w:rsidRPr="00513522" w:rsidRDefault="00513522" w:rsidP="00513522">
      <w:pPr>
        <w:pStyle w:val="Referencelist"/>
      </w:pPr>
      <w:bookmarkStart w:id="6" w:name="_Ref169841203"/>
      <w:r w:rsidRPr="00513522">
        <w:t>NuScale Power, LLC, “NuScale Standard Plant: Design Certification Application: Chapter 4: Reactor,” Rev.5, (2020).</w:t>
      </w:r>
      <w:bookmarkEnd w:id="6"/>
    </w:p>
    <w:p w14:paraId="12C387F9" w14:textId="32630B92" w:rsidR="006178C9" w:rsidRDefault="00513522" w:rsidP="006178C9">
      <w:pPr>
        <w:pStyle w:val="Referencelist"/>
      </w:pPr>
      <w:bookmarkStart w:id="7" w:name="_Ref169841295"/>
      <w:r w:rsidRPr="00513522">
        <w:t>NuScale Power, LLC, “NuScale Standard Plant: Design Certification Application: Chapter 5: Reactor Coolant System and Connection systems,” Rev.5, (2020).</w:t>
      </w:r>
      <w:bookmarkEnd w:id="7"/>
    </w:p>
    <w:p w14:paraId="3700F575" w14:textId="77777777" w:rsidR="006178C9" w:rsidRPr="006178C9" w:rsidRDefault="006178C9" w:rsidP="006178C9">
      <w:pPr>
        <w:pStyle w:val="Referencelist"/>
      </w:pPr>
      <w:bookmarkStart w:id="8" w:name="_Ref169842654"/>
      <w:r w:rsidRPr="006178C9">
        <w:t>NuScale Power, LLC, “NuScale Standard Plant: Design Certification Application: Chapter 9: Auxiliary Systems” Rev.5, 2020).</w:t>
      </w:r>
      <w:bookmarkEnd w:id="8"/>
    </w:p>
    <w:p w14:paraId="78A7D747" w14:textId="77777777" w:rsidR="006178C9" w:rsidRPr="006178C9" w:rsidRDefault="006178C9" w:rsidP="006178C9">
      <w:pPr>
        <w:pStyle w:val="Referencelist"/>
      </w:pPr>
      <w:bookmarkStart w:id="9" w:name="_Ref169842665"/>
      <w:r w:rsidRPr="006178C9">
        <w:t>NuScale Power, LLC, “NuScale Standard Plant: Design Certification Application: Chapter 6: Engineered Safety Features” Rev.5, (2020).</w:t>
      </w:r>
      <w:bookmarkEnd w:id="9"/>
    </w:p>
    <w:p w14:paraId="2BE152E7" w14:textId="674F9621" w:rsidR="000B2517" w:rsidRPr="000B2517" w:rsidRDefault="000B2517" w:rsidP="000B2517">
      <w:pPr>
        <w:pStyle w:val="Referencelist"/>
      </w:pPr>
      <w:bookmarkStart w:id="10" w:name="_Ref169883688"/>
      <w:r w:rsidRPr="000B2517">
        <w:t xml:space="preserve">NuScale Power, LLC, “NuScale Standard Plant: Design Certification Application: Chapter </w:t>
      </w:r>
      <w:r>
        <w:t>19</w:t>
      </w:r>
      <w:r w:rsidRPr="000B2517">
        <w:t xml:space="preserve">: </w:t>
      </w:r>
      <w:r>
        <w:t>Probabilistic Risk Assessment and Severe Accident Evaluation</w:t>
      </w:r>
      <w:r w:rsidRPr="000B2517">
        <w:t>” Rev.5, (2020).</w:t>
      </w:r>
      <w:bookmarkEnd w:id="10"/>
    </w:p>
    <w:p w14:paraId="0FAC7661" w14:textId="25FF3906" w:rsidR="00D640D3" w:rsidRPr="00D640D3" w:rsidRDefault="00D640D3" w:rsidP="00D640D3">
      <w:pPr>
        <w:pStyle w:val="Referencelist"/>
      </w:pPr>
      <w:bookmarkStart w:id="11" w:name="_Ref169886594"/>
      <w:r w:rsidRPr="00D640D3">
        <w:t>NuScale Power, LLC, “NuScale Standard Plant: Design Certification Application: Chapter 1</w:t>
      </w:r>
      <w:r>
        <w:t>5</w:t>
      </w:r>
      <w:r w:rsidRPr="00D640D3">
        <w:t xml:space="preserve">: </w:t>
      </w:r>
      <w:r>
        <w:t>Transient and Accident Analyses</w:t>
      </w:r>
      <w:r w:rsidRPr="00D640D3">
        <w:t>” Rev.5, (2020).</w:t>
      </w:r>
      <w:bookmarkEnd w:id="11"/>
    </w:p>
    <w:p w14:paraId="74AD7CBB" w14:textId="2AE9B956" w:rsidR="00FF5AD7" w:rsidRPr="00FF5AD7" w:rsidRDefault="00FF5AD7" w:rsidP="00FF5AD7">
      <w:pPr>
        <w:pStyle w:val="Referencelist"/>
      </w:pPr>
      <w:r w:rsidRPr="00FF5AD7">
        <w:t xml:space="preserve">IAEA. </w:t>
      </w:r>
      <w:r>
        <w:t>“</w:t>
      </w:r>
      <w:r w:rsidRPr="00FF5AD7">
        <w:t>Analysis of Options and Experimental Examination of Fuels for Water Cooled Reactors with Increased Accident Tolerance (ACTOF)</w:t>
      </w:r>
      <w:r>
        <w:t>”</w:t>
      </w:r>
      <w:r w:rsidRPr="00FF5AD7">
        <w:t>. IAEA-TECDOC-1921</w:t>
      </w:r>
      <w:r>
        <w:t xml:space="preserve"> (2020)</w:t>
      </w:r>
      <w:r w:rsidRPr="00FF5AD7">
        <w:t>.</w:t>
      </w:r>
    </w:p>
    <w:p w14:paraId="5550AC68" w14:textId="584A6129" w:rsidR="006178C9" w:rsidRDefault="00FF5AD7" w:rsidP="00537496">
      <w:pPr>
        <w:pStyle w:val="Referencelist"/>
      </w:pPr>
      <w:r w:rsidRPr="00FF5AD7">
        <w:t>Pastore, G., Gamble, K.A., Hales, J.D.</w:t>
      </w:r>
      <w:r w:rsidR="00971A16">
        <w:t>,</w:t>
      </w:r>
      <w:r w:rsidRPr="00FF5AD7">
        <w:t xml:space="preserve"> </w:t>
      </w:r>
      <w:r>
        <w:t>“</w:t>
      </w:r>
      <w:r w:rsidRPr="00FF5AD7">
        <w:t>Modeling Benchmark for FeCrAl Cladding in the IAEA CRP ACTOF</w:t>
      </w:r>
      <w:r>
        <w:t>”</w:t>
      </w:r>
      <w:r w:rsidRPr="00FF5AD7">
        <w:t>. INL-EXT-17-43695</w:t>
      </w:r>
      <w:r>
        <w:t xml:space="preserve"> (2017).</w:t>
      </w:r>
    </w:p>
    <w:p w14:paraId="75BB872C" w14:textId="3A8F8496" w:rsidR="00FF5AD7" w:rsidRPr="00FF5AD7" w:rsidRDefault="00FF5AD7" w:rsidP="00FF5AD7">
      <w:pPr>
        <w:pStyle w:val="Referencelist"/>
      </w:pPr>
      <w:r w:rsidRPr="00FF5AD7">
        <w:t xml:space="preserve">Humrickhouse, P.W., Merril, B.J. </w:t>
      </w:r>
      <w:r>
        <w:t>“</w:t>
      </w:r>
      <w:r w:rsidRPr="00FF5AD7">
        <w:t>Status Report on modifications to MELCOR for modeling of ATF</w:t>
      </w:r>
      <w:r>
        <w:t>” (2017)</w:t>
      </w:r>
      <w:r w:rsidRPr="00FF5AD7">
        <w:t>.</w:t>
      </w:r>
    </w:p>
    <w:p w14:paraId="0DCFB68D" w14:textId="7ACAFC9F" w:rsidR="00FF5AD7" w:rsidRPr="00FF5AD7" w:rsidRDefault="00FF5AD7" w:rsidP="00FF5AD7">
      <w:pPr>
        <w:pStyle w:val="Referencelist"/>
      </w:pPr>
      <w:r w:rsidRPr="00FF5AD7">
        <w:t>Field,</w:t>
      </w:r>
      <w:r w:rsidR="00971A16">
        <w:t xml:space="preserve"> K.G.,</w:t>
      </w:r>
      <w:r w:rsidRPr="00FF5AD7">
        <w:t xml:space="preserve"> Snead,</w:t>
      </w:r>
      <w:r w:rsidR="00971A16">
        <w:t xml:space="preserve"> M.A., </w:t>
      </w:r>
      <w:r w:rsidRPr="00FF5AD7">
        <w:t>Yamamoto,</w:t>
      </w:r>
      <w:r w:rsidR="00971A16">
        <w:t xml:space="preserve"> Y.,</w:t>
      </w:r>
      <w:r w:rsidRPr="00FF5AD7">
        <w:t xml:space="preserve"> Terrani,</w:t>
      </w:r>
      <w:r w:rsidR="00971A16">
        <w:t xml:space="preserve"> K.A.,</w:t>
      </w:r>
      <w:r w:rsidRPr="00FF5AD7">
        <w:t xml:space="preserve"> </w:t>
      </w:r>
      <w:r>
        <w:t>“</w:t>
      </w:r>
      <w:r w:rsidRPr="00FF5AD7">
        <w:t>Handbook on the Material Properties of FeCrAl Alloys for Nuclear Power Production Applications</w:t>
      </w:r>
      <w:r>
        <w:t>”</w:t>
      </w:r>
      <w:r w:rsidRPr="00FF5AD7">
        <w:t xml:space="preserve"> </w:t>
      </w:r>
      <w:r>
        <w:t>(</w:t>
      </w:r>
      <w:r w:rsidRPr="00FF5AD7">
        <w:t>2018</w:t>
      </w:r>
      <w:r>
        <w:t>)</w:t>
      </w:r>
      <w:r w:rsidRPr="00FF5AD7">
        <w:t>.</w:t>
      </w:r>
    </w:p>
    <w:p w14:paraId="12F83247" w14:textId="5F413E1A" w:rsidR="00FF5AD7" w:rsidRPr="00FF5AD7" w:rsidRDefault="00FF5AD7" w:rsidP="00FF5AD7">
      <w:pPr>
        <w:pStyle w:val="Referencelist"/>
      </w:pPr>
      <w:r w:rsidRPr="00FF5AD7">
        <w:t xml:space="preserve">Wu, X., Shirvan, K.  </w:t>
      </w:r>
      <w:r>
        <w:t>“</w:t>
      </w:r>
      <w:r w:rsidRPr="00FF5AD7">
        <w:t>System code evaluation of near-term accident tolerant claddings during boiling water reactor short-term and long-term station blackout accidents</w:t>
      </w:r>
      <w:r>
        <w:t>”</w:t>
      </w:r>
      <w:r w:rsidRPr="00FF5AD7">
        <w:t>, Nuclear Engineering and Design 356.</w:t>
      </w:r>
      <w:r>
        <w:t xml:space="preserve"> (2020).</w:t>
      </w:r>
      <w:r w:rsidRPr="00FF5AD7">
        <w:t xml:space="preserve"> </w:t>
      </w:r>
      <w:hyperlink r:id="rId20" w:history="1">
        <w:r w:rsidRPr="00A604F8">
          <w:rPr>
            <w:rStyle w:val="Hipervnculo"/>
          </w:rPr>
          <w:t>https://doi.org/10.1016/j.nucengdes.2019.110362</w:t>
        </w:r>
      </w:hyperlink>
      <w:r w:rsidRPr="00FF5AD7">
        <w:t>.</w:t>
      </w:r>
      <w:r>
        <w:t xml:space="preserve"> </w:t>
      </w:r>
    </w:p>
    <w:p w14:paraId="3BA56E06" w14:textId="7727C87B" w:rsidR="00F45EEE" w:rsidRPr="00662532" w:rsidRDefault="00FF5AD7" w:rsidP="00971A16">
      <w:pPr>
        <w:pStyle w:val="Referencelist"/>
      </w:pPr>
      <w:r w:rsidRPr="00FF5AD7">
        <w:t>Robb,</w:t>
      </w:r>
      <w:r w:rsidR="00971A16">
        <w:t xml:space="preserve"> K.R.,</w:t>
      </w:r>
      <w:r w:rsidRPr="00FF5AD7">
        <w:t xml:space="preserve"> Howell,</w:t>
      </w:r>
      <w:r w:rsidR="00971A16">
        <w:t xml:space="preserve"> M.,</w:t>
      </w:r>
      <w:r w:rsidRPr="00FF5AD7">
        <w:t xml:space="preserve"> Ott,</w:t>
      </w:r>
      <w:r w:rsidR="00971A16">
        <w:t xml:space="preserve"> L.J.,</w:t>
      </w:r>
      <w:r w:rsidRPr="00FF5AD7">
        <w:t xml:space="preserve"> </w:t>
      </w:r>
      <w:r w:rsidR="00971A16">
        <w:t>“</w:t>
      </w:r>
      <w:r w:rsidRPr="00FF5AD7">
        <w:t>Parametric and Experimentally Informed BWR Severe Accident Analysis Using FeCrAl</w:t>
      </w:r>
      <w:r w:rsidR="00971A16">
        <w:t>”</w:t>
      </w:r>
      <w:r w:rsidRPr="00FF5AD7">
        <w:t xml:space="preserve">, </w:t>
      </w:r>
      <w:r>
        <w:t>(</w:t>
      </w:r>
      <w:r w:rsidRPr="00FF5AD7">
        <w:t>2017</w:t>
      </w:r>
      <w:r>
        <w:t>)</w:t>
      </w:r>
      <w:r w:rsidRPr="00FF5AD7">
        <w:t>. http://www.osti.gov/scitech/.</w:t>
      </w:r>
    </w:p>
    <w:sectPr w:rsidR="00F45EEE" w:rsidRPr="00662532" w:rsidSect="0026525A">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AFCC" w14:textId="77777777" w:rsidR="007A54BF" w:rsidRDefault="007A54BF">
      <w:r>
        <w:separator/>
      </w:r>
    </w:p>
  </w:endnote>
  <w:endnote w:type="continuationSeparator" w:id="0">
    <w:p w14:paraId="4D4699EA" w14:textId="77777777" w:rsidR="007A54BF" w:rsidRDefault="007A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54AA092C" w:rsidR="00E20E70" w:rsidRDefault="00E20E70">
    <w:pPr>
      <w:pStyle w:val="zyxClassification1"/>
    </w:pPr>
    <w:r>
      <w:fldChar w:fldCharType="begin"/>
    </w:r>
    <w:r>
      <w:instrText xml:space="preserve"> DOCPROPERTY "IaeaClassification"  \* MERGEFORMAT </w:instrText>
    </w:r>
    <w:r>
      <w:fldChar w:fldCharType="end"/>
    </w:r>
  </w:p>
  <w:p w14:paraId="1FDEB1B7" w14:textId="1110E152"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6791AC48" w:rsidR="00E20E70" w:rsidRDefault="00E20E70">
    <w:pPr>
      <w:pStyle w:val="zyxClassification1"/>
    </w:pPr>
    <w:r>
      <w:fldChar w:fldCharType="begin"/>
    </w:r>
    <w:r>
      <w:instrText xml:space="preserve"> DOCPROPERTY "IaeaClassification"  \* MERGEFORMAT </w:instrText>
    </w:r>
    <w:r>
      <w:fldChar w:fldCharType="end"/>
    </w:r>
  </w:p>
  <w:p w14:paraId="7E32AC2C" w14:textId="2A4B1DCA"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3E14D99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425E8C7F"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3" w:name="DOC_bkmClassification2"/>
      <w:tc>
        <w:tcPr>
          <w:tcW w:w="5670" w:type="dxa"/>
          <w:tcMar>
            <w:right w:w="249" w:type="dxa"/>
          </w:tcMar>
        </w:tcPr>
        <w:p w14:paraId="6BE850AD" w14:textId="0C2A0F8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A6BF5C8" w14:textId="38133DD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4" w:name="DOC_bkmFileName"/>
  <w:p w14:paraId="437B756E" w14:textId="5E1987BF" w:rsidR="00E20E70" w:rsidRDefault="00E20E70">
    <w:r>
      <w:rPr>
        <w:sz w:val="16"/>
      </w:rPr>
      <w:fldChar w:fldCharType="begin"/>
    </w:r>
    <w:r>
      <w:rPr>
        <w:sz w:val="16"/>
      </w:rPr>
      <w:instrText xml:space="preserve"> FILENAME \* MERGEFORMAT </w:instrText>
    </w:r>
    <w:r>
      <w:rPr>
        <w:sz w:val="16"/>
      </w:rPr>
      <w:fldChar w:fldCharType="separate"/>
    </w:r>
    <w:r w:rsidR="006A588A">
      <w:rPr>
        <w:noProof/>
        <w:sz w:val="16"/>
      </w:rPr>
      <w:t>ANALYSIS OF DEC-A SEQUENCES IN A NUSCALE-LIKE SMR CONSIDERING ATF FUEL PERFORMANCE USING THE SYSTEM CODE TRACE_Reviewed</w:t>
    </w:r>
    <w:r>
      <w:rPr>
        <w:sz w:val="16"/>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C717" w14:textId="77777777" w:rsidR="007A54BF" w:rsidRDefault="007A54BF">
      <w:r>
        <w:t>___________________________________________________________________________</w:t>
      </w:r>
    </w:p>
  </w:footnote>
  <w:footnote w:type="continuationSeparator" w:id="0">
    <w:p w14:paraId="709760EF" w14:textId="77777777" w:rsidR="007A54BF" w:rsidRDefault="007A54BF">
      <w:r>
        <w:t>___________________________________________________________________________</w:t>
      </w:r>
    </w:p>
  </w:footnote>
  <w:footnote w:type="continuationNotice" w:id="1">
    <w:p w14:paraId="01F4DD9B" w14:textId="77777777" w:rsidR="007A54BF" w:rsidRDefault="007A5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3461EE2F" w:rsidR="00E20E70" w:rsidRDefault="00CF7AF3" w:rsidP="00C24598">
    <w:pPr>
      <w:pStyle w:val="Runninghead"/>
    </w:pPr>
    <w:r>
      <w:tab/>
      <w:t>IAEA-CN-</w:t>
    </w:r>
    <w:r w:rsidR="00C24598">
      <w:t>327</w:t>
    </w:r>
    <w:r>
      <w:t>/</w:t>
    </w:r>
    <w:r w:rsidR="00C24598">
      <w:t>25</w:t>
    </w:r>
    <w:r>
      <w:t>5</w:t>
    </w:r>
    <w:r>
      <w:tab/>
    </w:r>
    <w:r w:rsidR="00E20E70">
      <w:fldChar w:fldCharType="begin"/>
    </w:r>
    <w:r w:rsidR="00E20E70">
      <w:instrText xml:space="preserve"> DOCPROPERTY "IaeaClassification"  \* MERGEFORMAT </w:instrText>
    </w:r>
    <w:r w:rsidR="00E20E70">
      <w:fldChar w:fldCharType="end"/>
    </w:r>
  </w:p>
  <w:p w14:paraId="09E92CEF" w14:textId="60D0C33C"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6D51C189" w:rsidR="00037321" w:rsidRPr="00BC6BA1" w:rsidRDefault="000D314B" w:rsidP="000D314B">
    <w:pPr>
      <w:pStyle w:val="Runninghead"/>
      <w:rPr>
        <w:color w:val="BFBFBF" w:themeColor="background1" w:themeShade="BF"/>
        <w:lang w:val="fr-FR"/>
      </w:rPr>
    </w:pPr>
    <w:r w:rsidRPr="000D314B">
      <w:rPr>
        <w:lang w:val="fr-FR"/>
      </w:rPr>
      <w:t>SANCHEZ-TORRIJOS</w:t>
    </w:r>
    <w:r w:rsidR="00C24598">
      <w:rPr>
        <w:lang w:val="fr-FR"/>
      </w:rPr>
      <w:t>, J.</w:t>
    </w:r>
    <w:r w:rsidRPr="000D314B">
      <w:rPr>
        <w:lang w:val="fr-FR"/>
      </w:rPr>
      <w:t xml:space="preserv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2" w:name="DOC_bkmClassification1"/>
      <w:tc>
        <w:tcPr>
          <w:tcW w:w="5702" w:type="dxa"/>
          <w:vMerge w:val="restart"/>
          <w:tcMar>
            <w:right w:w="193" w:type="dxa"/>
          </w:tcMar>
        </w:tcPr>
        <w:p w14:paraId="48D5842E" w14:textId="27FF5AF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2"/>
        <w:p w14:paraId="423CAA9C" w14:textId="42EC04A2"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62B"/>
    <w:multiLevelType w:val="hybridMultilevel"/>
    <w:tmpl w:val="CFD6E0B0"/>
    <w:lvl w:ilvl="0" w:tplc="EDCE82DC">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54E30E6"/>
    <w:multiLevelType w:val="hybridMultilevel"/>
    <w:tmpl w:val="2842B276"/>
    <w:lvl w:ilvl="0" w:tplc="0C0A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5021FF8"/>
    <w:multiLevelType w:val="hybridMultilevel"/>
    <w:tmpl w:val="5B2AC59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74190"/>
    <w:multiLevelType w:val="hybridMultilevel"/>
    <w:tmpl w:val="55F29A9E"/>
    <w:lvl w:ilvl="0" w:tplc="EDCE82DC">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37B2DA7"/>
    <w:multiLevelType w:val="hybridMultilevel"/>
    <w:tmpl w:val="38684F1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743CB"/>
    <w:multiLevelType w:val="hybridMultilevel"/>
    <w:tmpl w:val="01B4A94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D715D"/>
    <w:multiLevelType w:val="hybridMultilevel"/>
    <w:tmpl w:val="A25043E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7"/>
  </w:num>
  <w:num w:numId="3" w16cid:durableId="731540123">
    <w:abstractNumId w:val="17"/>
  </w:num>
  <w:num w:numId="4" w16cid:durableId="744034000">
    <w:abstractNumId w:val="17"/>
  </w:num>
  <w:num w:numId="5" w16cid:durableId="1474641089">
    <w:abstractNumId w:val="17"/>
  </w:num>
  <w:num w:numId="6" w16cid:durableId="528497540">
    <w:abstractNumId w:val="9"/>
  </w:num>
  <w:num w:numId="7" w16cid:durableId="176696273">
    <w:abstractNumId w:val="14"/>
  </w:num>
  <w:num w:numId="8" w16cid:durableId="1131169468">
    <w:abstractNumId w:val="18"/>
  </w:num>
  <w:num w:numId="9" w16cid:durableId="1007632637">
    <w:abstractNumId w:val="3"/>
  </w:num>
  <w:num w:numId="10" w16cid:durableId="42291724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5"/>
  </w:num>
  <w:num w:numId="21" w16cid:durableId="1417746791">
    <w:abstractNumId w:val="17"/>
  </w:num>
  <w:num w:numId="22" w16cid:durableId="1720975952">
    <w:abstractNumId w:val="6"/>
  </w:num>
  <w:num w:numId="23" w16cid:durableId="983584939">
    <w:abstractNumId w:val="2"/>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11"/>
  </w:num>
  <w:num w:numId="31" w16cid:durableId="1695614948">
    <w:abstractNumId w:val="11"/>
  </w:num>
  <w:num w:numId="32" w16cid:durableId="195823161">
    <w:abstractNumId w:val="17"/>
  </w:num>
  <w:num w:numId="33" w16cid:durableId="1009137053">
    <w:abstractNumId w:val="17"/>
  </w:num>
  <w:num w:numId="34" w16cid:durableId="2058234926">
    <w:abstractNumId w:val="17"/>
  </w:num>
  <w:num w:numId="35" w16cid:durableId="1826238844">
    <w:abstractNumId w:val="17"/>
  </w:num>
  <w:num w:numId="36" w16cid:durableId="210121469">
    <w:abstractNumId w:val="15"/>
  </w:num>
  <w:num w:numId="37" w16cid:durableId="721713317">
    <w:abstractNumId w:val="1"/>
  </w:num>
  <w:num w:numId="38" w16cid:durableId="916204942">
    <w:abstractNumId w:val="19"/>
  </w:num>
  <w:num w:numId="39" w16cid:durableId="604733112">
    <w:abstractNumId w:val="10"/>
  </w:num>
  <w:num w:numId="40" w16cid:durableId="1148009808">
    <w:abstractNumId w:val="17"/>
  </w:num>
  <w:num w:numId="41" w16cid:durableId="1176699464">
    <w:abstractNumId w:val="12"/>
  </w:num>
  <w:num w:numId="42" w16cid:durableId="743332883">
    <w:abstractNumId w:val="4"/>
  </w:num>
  <w:num w:numId="43" w16cid:durableId="572661497">
    <w:abstractNumId w:val="0"/>
  </w:num>
  <w:num w:numId="44" w16cid:durableId="1874993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C42"/>
    <w:rsid w:val="00003E49"/>
    <w:rsid w:val="00005F42"/>
    <w:rsid w:val="000229AB"/>
    <w:rsid w:val="0002569A"/>
    <w:rsid w:val="00037321"/>
    <w:rsid w:val="00070297"/>
    <w:rsid w:val="000807ED"/>
    <w:rsid w:val="000819F4"/>
    <w:rsid w:val="000A0299"/>
    <w:rsid w:val="000B2517"/>
    <w:rsid w:val="000C6F25"/>
    <w:rsid w:val="000D314B"/>
    <w:rsid w:val="000E4BE2"/>
    <w:rsid w:val="000E6102"/>
    <w:rsid w:val="000F7E94"/>
    <w:rsid w:val="001119D6"/>
    <w:rsid w:val="00121E2D"/>
    <w:rsid w:val="001308F2"/>
    <w:rsid w:val="001313E8"/>
    <w:rsid w:val="00142735"/>
    <w:rsid w:val="001555D3"/>
    <w:rsid w:val="0016399F"/>
    <w:rsid w:val="001835AF"/>
    <w:rsid w:val="001A3803"/>
    <w:rsid w:val="001B0378"/>
    <w:rsid w:val="001C58F5"/>
    <w:rsid w:val="001D5CEE"/>
    <w:rsid w:val="001E1BA6"/>
    <w:rsid w:val="001E6800"/>
    <w:rsid w:val="002071D9"/>
    <w:rsid w:val="00210D86"/>
    <w:rsid w:val="00217933"/>
    <w:rsid w:val="0025221F"/>
    <w:rsid w:val="00254A65"/>
    <w:rsid w:val="00256822"/>
    <w:rsid w:val="0026525A"/>
    <w:rsid w:val="002704E1"/>
    <w:rsid w:val="00274790"/>
    <w:rsid w:val="00285755"/>
    <w:rsid w:val="002915CB"/>
    <w:rsid w:val="0029664F"/>
    <w:rsid w:val="002A1F9C"/>
    <w:rsid w:val="002A496E"/>
    <w:rsid w:val="002B29C2"/>
    <w:rsid w:val="002C4208"/>
    <w:rsid w:val="002C5DC9"/>
    <w:rsid w:val="002D0D72"/>
    <w:rsid w:val="002D545D"/>
    <w:rsid w:val="002E0A1E"/>
    <w:rsid w:val="002F444F"/>
    <w:rsid w:val="00305F69"/>
    <w:rsid w:val="0032219F"/>
    <w:rsid w:val="003349C3"/>
    <w:rsid w:val="00342086"/>
    <w:rsid w:val="0035186E"/>
    <w:rsid w:val="00352DE1"/>
    <w:rsid w:val="00362382"/>
    <w:rsid w:val="003655F8"/>
    <w:rsid w:val="003728E6"/>
    <w:rsid w:val="003735ED"/>
    <w:rsid w:val="003B5E0E"/>
    <w:rsid w:val="003C1514"/>
    <w:rsid w:val="003D255A"/>
    <w:rsid w:val="00406D27"/>
    <w:rsid w:val="00416949"/>
    <w:rsid w:val="00423C98"/>
    <w:rsid w:val="004370D8"/>
    <w:rsid w:val="0045027F"/>
    <w:rsid w:val="00472C43"/>
    <w:rsid w:val="00491C81"/>
    <w:rsid w:val="00495450"/>
    <w:rsid w:val="004A394E"/>
    <w:rsid w:val="004C17DD"/>
    <w:rsid w:val="004D1323"/>
    <w:rsid w:val="004E430A"/>
    <w:rsid w:val="004E6F01"/>
    <w:rsid w:val="004F371B"/>
    <w:rsid w:val="00513522"/>
    <w:rsid w:val="005274B7"/>
    <w:rsid w:val="00537496"/>
    <w:rsid w:val="00544ED3"/>
    <w:rsid w:val="0055500F"/>
    <w:rsid w:val="0057655D"/>
    <w:rsid w:val="0057679E"/>
    <w:rsid w:val="0058477B"/>
    <w:rsid w:val="00584DD8"/>
    <w:rsid w:val="0058654F"/>
    <w:rsid w:val="00596379"/>
    <w:rsid w:val="00596ACA"/>
    <w:rsid w:val="005A6585"/>
    <w:rsid w:val="005B7700"/>
    <w:rsid w:val="005E0892"/>
    <w:rsid w:val="005E39BC"/>
    <w:rsid w:val="005E4E8B"/>
    <w:rsid w:val="005F00A0"/>
    <w:rsid w:val="005F63C1"/>
    <w:rsid w:val="006178C9"/>
    <w:rsid w:val="00617C2F"/>
    <w:rsid w:val="00626100"/>
    <w:rsid w:val="00647F33"/>
    <w:rsid w:val="006574D5"/>
    <w:rsid w:val="00662532"/>
    <w:rsid w:val="00670B14"/>
    <w:rsid w:val="006A588A"/>
    <w:rsid w:val="006B2274"/>
    <w:rsid w:val="00717C6F"/>
    <w:rsid w:val="00721497"/>
    <w:rsid w:val="007445DA"/>
    <w:rsid w:val="00754204"/>
    <w:rsid w:val="007A54BF"/>
    <w:rsid w:val="007B4FD1"/>
    <w:rsid w:val="007F276B"/>
    <w:rsid w:val="00802381"/>
    <w:rsid w:val="00820A5E"/>
    <w:rsid w:val="00855B28"/>
    <w:rsid w:val="00883848"/>
    <w:rsid w:val="00897ED5"/>
    <w:rsid w:val="008A4A58"/>
    <w:rsid w:val="008B145A"/>
    <w:rsid w:val="008B22F1"/>
    <w:rsid w:val="008B6BB9"/>
    <w:rsid w:val="008F4685"/>
    <w:rsid w:val="00911543"/>
    <w:rsid w:val="0091482A"/>
    <w:rsid w:val="00920AA3"/>
    <w:rsid w:val="009519C9"/>
    <w:rsid w:val="00965584"/>
    <w:rsid w:val="00971A16"/>
    <w:rsid w:val="009D0B86"/>
    <w:rsid w:val="009E0D5B"/>
    <w:rsid w:val="009E1558"/>
    <w:rsid w:val="00A41C1B"/>
    <w:rsid w:val="00A42898"/>
    <w:rsid w:val="00A430DD"/>
    <w:rsid w:val="00A661A6"/>
    <w:rsid w:val="00AB54F3"/>
    <w:rsid w:val="00AB6ACE"/>
    <w:rsid w:val="00AC0CAF"/>
    <w:rsid w:val="00AC5A3A"/>
    <w:rsid w:val="00AF7659"/>
    <w:rsid w:val="00B67883"/>
    <w:rsid w:val="00B82FA5"/>
    <w:rsid w:val="00B92244"/>
    <w:rsid w:val="00BC6BA1"/>
    <w:rsid w:val="00BD1400"/>
    <w:rsid w:val="00BD605C"/>
    <w:rsid w:val="00BE2A76"/>
    <w:rsid w:val="00BE4645"/>
    <w:rsid w:val="00BF371B"/>
    <w:rsid w:val="00C0521F"/>
    <w:rsid w:val="00C24598"/>
    <w:rsid w:val="00C4157B"/>
    <w:rsid w:val="00C47089"/>
    <w:rsid w:val="00C65E60"/>
    <w:rsid w:val="00C67406"/>
    <w:rsid w:val="00CA79B5"/>
    <w:rsid w:val="00CC314D"/>
    <w:rsid w:val="00CE5A52"/>
    <w:rsid w:val="00CE7F09"/>
    <w:rsid w:val="00CF26ED"/>
    <w:rsid w:val="00CF642C"/>
    <w:rsid w:val="00CF7AF3"/>
    <w:rsid w:val="00D151DA"/>
    <w:rsid w:val="00D26ADA"/>
    <w:rsid w:val="00D300C4"/>
    <w:rsid w:val="00D327D8"/>
    <w:rsid w:val="00D35A78"/>
    <w:rsid w:val="00D54BBC"/>
    <w:rsid w:val="00D555A1"/>
    <w:rsid w:val="00D5795C"/>
    <w:rsid w:val="00D640D3"/>
    <w:rsid w:val="00D64DC2"/>
    <w:rsid w:val="00D668CA"/>
    <w:rsid w:val="00DA46CA"/>
    <w:rsid w:val="00DB2A7B"/>
    <w:rsid w:val="00DB3B91"/>
    <w:rsid w:val="00DF21EB"/>
    <w:rsid w:val="00DF2A9C"/>
    <w:rsid w:val="00E20E70"/>
    <w:rsid w:val="00E25B68"/>
    <w:rsid w:val="00E432C6"/>
    <w:rsid w:val="00E70C93"/>
    <w:rsid w:val="00E84003"/>
    <w:rsid w:val="00E95231"/>
    <w:rsid w:val="00E96EFA"/>
    <w:rsid w:val="00EB46AB"/>
    <w:rsid w:val="00EC09B2"/>
    <w:rsid w:val="00EC10FC"/>
    <w:rsid w:val="00EC2B26"/>
    <w:rsid w:val="00EE0041"/>
    <w:rsid w:val="00EE29B9"/>
    <w:rsid w:val="00EF052D"/>
    <w:rsid w:val="00EF7F9D"/>
    <w:rsid w:val="00F004EE"/>
    <w:rsid w:val="00F02F0E"/>
    <w:rsid w:val="00F30A4C"/>
    <w:rsid w:val="00F42E23"/>
    <w:rsid w:val="00F45EEE"/>
    <w:rsid w:val="00F51E9C"/>
    <w:rsid w:val="00F523CA"/>
    <w:rsid w:val="00F72468"/>
    <w:rsid w:val="00F73B5E"/>
    <w:rsid w:val="00F74A9D"/>
    <w:rsid w:val="00F80A53"/>
    <w:rsid w:val="00FC2036"/>
    <w:rsid w:val="00FD3F0D"/>
    <w:rsid w:val="00FF192F"/>
    <w:rsid w:val="00FF386F"/>
    <w:rsid w:val="00FF5AD7"/>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ind w:firstLine="0"/>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character" w:styleId="Hipervnculo">
    <w:name w:val="Hyperlink"/>
    <w:basedOn w:val="Fuentedeprrafopredeter"/>
    <w:uiPriority w:val="49"/>
    <w:locked/>
    <w:rsid w:val="0091482A"/>
    <w:rPr>
      <w:color w:val="0000FF" w:themeColor="hyperlink"/>
      <w:u w:val="single"/>
    </w:rPr>
  </w:style>
  <w:style w:type="character" w:styleId="Mencinsinresolver">
    <w:name w:val="Unresolved Mention"/>
    <w:basedOn w:val="Fuentedeprrafopredeter"/>
    <w:uiPriority w:val="99"/>
    <w:semiHidden/>
    <w:unhideWhenUsed/>
    <w:rsid w:val="0091482A"/>
    <w:rPr>
      <w:color w:val="605E5C"/>
      <w:shd w:val="clear" w:color="auto" w:fill="E1DFDD"/>
    </w:rPr>
  </w:style>
  <w:style w:type="paragraph" w:styleId="Textoindependiente3">
    <w:name w:val="Body Text 3"/>
    <w:basedOn w:val="Normal"/>
    <w:link w:val="Textoindependiente3Car"/>
    <w:uiPriority w:val="49"/>
    <w:locked/>
    <w:rsid w:val="008A4A58"/>
    <w:pPr>
      <w:spacing w:after="120"/>
    </w:pPr>
    <w:rPr>
      <w:sz w:val="16"/>
      <w:szCs w:val="16"/>
    </w:rPr>
  </w:style>
  <w:style w:type="character" w:customStyle="1" w:styleId="Textoindependiente3Car">
    <w:name w:val="Texto independiente 3 Car"/>
    <w:basedOn w:val="Fuentedeprrafopredeter"/>
    <w:link w:val="Textoindependiente3"/>
    <w:uiPriority w:val="49"/>
    <w:rsid w:val="008A4A5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016/j.nucengdes.2019.1103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microsoft.com/office/2007/relationships/hdphoto" Target="media/hdphoto1.wd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orge.sanchez@nfq.es"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17</TotalTime>
  <Pages>7</Pages>
  <Words>3498</Words>
  <Characters>19242</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ANALYSIS OF DEC-A SEQUENCES IN A NUSCALE-LIKE SMR CONSIDERING ATF FUEL PERFORMANCE USING THE SYSTEM CODE TRACE</vt:lpstr>
      <vt:lpstr>IAEA</vt:lpstr>
    </vt:vector>
  </TitlesOfParts>
  <Company>IAEA</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DEC-A SEQUENCES IN A NUSCALE-LIKE SMR CONSIDERING ATF FUEL PERFORMANCE USING THE SYSTEM CODE TRACE</dc:title>
  <dc:creator>Jorge Sanchez</dc:creator>
  <cp:lastModifiedBy>Jorge Sanchez Torrijos</cp:lastModifiedBy>
  <cp:revision>6</cp:revision>
  <cp:lastPrinted>2024-03-19T13:52:00Z</cp:lastPrinted>
  <dcterms:created xsi:type="dcterms:W3CDTF">2024-08-22T15:51:00Z</dcterms:created>
  <dcterms:modified xsi:type="dcterms:W3CDTF">2024-08-27T08:36:00Z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