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501F0" w14:textId="19D312BF" w:rsidR="00E20E70" w:rsidRPr="00EE29B9" w:rsidRDefault="00EB6CE7" w:rsidP="00EB6CE7">
      <w:pPr>
        <w:pStyle w:val="Heading1"/>
      </w:pPr>
      <w:r>
        <w:t>Assessment of the Safety Design Features of Small Modular Reactors with existing demonstration plants using Reactor Technology Assessment (RTA)</w:t>
      </w:r>
    </w:p>
    <w:p w14:paraId="4D1B799F" w14:textId="77777777" w:rsidR="00802381" w:rsidRDefault="00802381" w:rsidP="00537496">
      <w:pPr>
        <w:pStyle w:val="Authornameandaffiliation"/>
      </w:pPr>
    </w:p>
    <w:p w14:paraId="32159D0F" w14:textId="009D79A7" w:rsidR="003B5E0E" w:rsidRDefault="009C0D72" w:rsidP="00537496">
      <w:pPr>
        <w:pStyle w:val="Authornameandaffiliation"/>
      </w:pPr>
      <w:r w:rsidRPr="009C0D72">
        <w:t>UNICO A. BAUTISTA</w:t>
      </w:r>
    </w:p>
    <w:p w14:paraId="0E9583E5" w14:textId="77777777" w:rsidR="009C0D72" w:rsidRDefault="009C0D72" w:rsidP="009C0D72">
      <w:pPr>
        <w:pStyle w:val="Authornameandaffiliation"/>
      </w:pPr>
      <w:r>
        <w:t>Department of Science and Technology-Philippine Nuclear Research Institute</w:t>
      </w:r>
    </w:p>
    <w:p w14:paraId="18F1A0B1" w14:textId="77777777" w:rsidR="009C0D72" w:rsidRDefault="009C0D72" w:rsidP="009C0D72">
      <w:pPr>
        <w:pStyle w:val="Authornameandaffiliation"/>
      </w:pPr>
      <w:r>
        <w:t>Quezon City, Philippines</w:t>
      </w:r>
    </w:p>
    <w:p w14:paraId="5E2BDA1F" w14:textId="17E00B0B" w:rsidR="00FF386F" w:rsidRDefault="009C0D72" w:rsidP="009C0D72">
      <w:pPr>
        <w:pStyle w:val="Authornameandaffiliation"/>
      </w:pPr>
      <w:r w:rsidRPr="009C0D72">
        <w:t>uabautista@pnri.dost.gov.ph</w:t>
      </w:r>
    </w:p>
    <w:p w14:paraId="436CDB87" w14:textId="77777777" w:rsidR="009C0D72" w:rsidRDefault="009C0D72" w:rsidP="009C0D72">
      <w:pPr>
        <w:pStyle w:val="Authornameandaffiliation"/>
      </w:pPr>
    </w:p>
    <w:p w14:paraId="425BB4E0" w14:textId="6CC852EF" w:rsidR="009C0D72" w:rsidRDefault="009C0D72" w:rsidP="009C0D72">
      <w:pPr>
        <w:pStyle w:val="Authornameandaffiliation"/>
      </w:pPr>
      <w:r>
        <w:t>MARK GINO E. ALIPERIO</w:t>
      </w:r>
    </w:p>
    <w:p w14:paraId="5336C16D" w14:textId="77777777" w:rsidR="009C0D72" w:rsidRDefault="009C0D72" w:rsidP="009C0D72">
      <w:pPr>
        <w:pStyle w:val="Authornameandaffiliation"/>
      </w:pPr>
      <w:r>
        <w:t>Department of Science and Technology-Philippine Nuclear Research Institute</w:t>
      </w:r>
    </w:p>
    <w:p w14:paraId="76A75A72" w14:textId="77777777" w:rsidR="009C0D72" w:rsidRDefault="009C0D72" w:rsidP="009C0D72">
      <w:pPr>
        <w:pStyle w:val="Authornameandaffiliation"/>
      </w:pPr>
      <w:r>
        <w:t>Quezon City, Philippines</w:t>
      </w:r>
    </w:p>
    <w:p w14:paraId="153DB370" w14:textId="77777777" w:rsidR="009C0D72" w:rsidRDefault="009C0D72" w:rsidP="009C0D72">
      <w:pPr>
        <w:pStyle w:val="Authornameandaffiliation"/>
        <w:ind w:left="0"/>
      </w:pPr>
    </w:p>
    <w:p w14:paraId="7B19961E" w14:textId="77777777" w:rsidR="009C0D72" w:rsidRDefault="009C0D72" w:rsidP="009C0D72">
      <w:pPr>
        <w:pStyle w:val="Authornameandaffiliation"/>
      </w:pPr>
      <w:r>
        <w:t>RINLEE BUTCH M. CERVERA</w:t>
      </w:r>
    </w:p>
    <w:p w14:paraId="1FA0F336" w14:textId="77777777" w:rsidR="009C0D72" w:rsidRDefault="009C0D72" w:rsidP="009C0D72">
      <w:pPr>
        <w:pStyle w:val="Authornameandaffiliation"/>
      </w:pPr>
      <w:r>
        <w:t>Energy Engineering Program, University of the Philippines-Diliman</w:t>
      </w:r>
    </w:p>
    <w:p w14:paraId="7C9F3142" w14:textId="5742B4E3" w:rsidR="009C0D72" w:rsidRDefault="009C0D72" w:rsidP="009C0D72">
      <w:pPr>
        <w:pStyle w:val="Authornameandaffiliation"/>
      </w:pPr>
      <w:r>
        <w:t>Quezon City</w:t>
      </w:r>
      <w:r w:rsidR="009509B7">
        <w:t>,</w:t>
      </w:r>
      <w:r>
        <w:t xml:space="preserve"> Philippines</w:t>
      </w:r>
    </w:p>
    <w:p w14:paraId="0231BE98" w14:textId="77777777" w:rsidR="009C0D72" w:rsidRDefault="009C0D72" w:rsidP="009C0D72">
      <w:pPr>
        <w:pStyle w:val="Authornameandaffiliation"/>
      </w:pPr>
    </w:p>
    <w:p w14:paraId="73C28883" w14:textId="113E09DE" w:rsidR="006966CB" w:rsidRDefault="006966CB" w:rsidP="009C0D72">
      <w:pPr>
        <w:pStyle w:val="Authornameandaffiliation"/>
      </w:pPr>
      <w:r>
        <w:t>JULIUS FEDERICO M. JECONG</w:t>
      </w:r>
    </w:p>
    <w:p w14:paraId="0EAE4F7A" w14:textId="77777777" w:rsidR="006966CB" w:rsidRDefault="006966CB" w:rsidP="006966CB">
      <w:pPr>
        <w:pStyle w:val="Authornameandaffiliation"/>
      </w:pPr>
      <w:r>
        <w:t>Department of Science and Technology-Philippine Nuclear Research Institute</w:t>
      </w:r>
    </w:p>
    <w:p w14:paraId="5CE5CFAA" w14:textId="35DDC54B" w:rsidR="006966CB" w:rsidRDefault="006966CB" w:rsidP="009C0D72">
      <w:pPr>
        <w:pStyle w:val="Authornameandaffiliation"/>
      </w:pPr>
      <w:r>
        <w:t>Quezon City, Philippines</w:t>
      </w:r>
    </w:p>
    <w:p w14:paraId="4447CE27" w14:textId="77777777" w:rsidR="006966CB" w:rsidRDefault="006966CB" w:rsidP="009C0D72">
      <w:pPr>
        <w:pStyle w:val="Authornameandaffiliation"/>
      </w:pPr>
    </w:p>
    <w:p w14:paraId="49698C62" w14:textId="08FBF08C" w:rsidR="009C0D72" w:rsidRDefault="009C0D72" w:rsidP="009C0D72">
      <w:pPr>
        <w:pStyle w:val="Authornameandaffiliation"/>
      </w:pPr>
      <w:r>
        <w:t>NEIL RAYMUND D. GUILLERMO</w:t>
      </w:r>
    </w:p>
    <w:p w14:paraId="713B6A29" w14:textId="77777777" w:rsidR="009C0D72" w:rsidRDefault="009C0D72" w:rsidP="009C0D72">
      <w:pPr>
        <w:pStyle w:val="Authornameandaffiliation"/>
      </w:pPr>
      <w:r>
        <w:t>Department of Science and Technology-Philippine Nuclear Research Institute</w:t>
      </w:r>
    </w:p>
    <w:p w14:paraId="535BB6CC" w14:textId="0F64A095" w:rsidR="00FF386F" w:rsidRPr="00FF386F" w:rsidRDefault="009C0D72" w:rsidP="009C0D72">
      <w:pPr>
        <w:pStyle w:val="Authornameandaffiliation"/>
      </w:pPr>
      <w:r>
        <w:t>Quezon City, Philippines</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418AC57B" w14:textId="0397DD66" w:rsidR="00647F33" w:rsidRPr="00BD605C" w:rsidRDefault="00EC6547" w:rsidP="00043699">
      <w:pPr>
        <w:pStyle w:val="Abstracttext"/>
        <w:jc w:val="both"/>
      </w:pPr>
      <w:r w:rsidRPr="00EC6547">
        <w:t xml:space="preserve">Small Modular Reactors (SMRs) </w:t>
      </w:r>
      <w:r w:rsidR="00082570">
        <w:t>are</w:t>
      </w:r>
      <w:r w:rsidRPr="00EC6547">
        <w:t xml:space="preserve"> a promising solution for nuclear power generation, offering compactness and flexibility with capacities ranging from 10 to 300 MWe. </w:t>
      </w:r>
      <w:r w:rsidR="00043699" w:rsidRPr="00043699">
        <w:t>Building on previous technical analyses</w:t>
      </w:r>
      <w:r w:rsidR="00043699">
        <w:t xml:space="preserve"> </w:t>
      </w:r>
      <w:sdt>
        <w:sdtPr>
          <w:id w:val="-39984539"/>
          <w:citation/>
        </w:sdtPr>
        <w:sdtContent>
          <w:r w:rsidR="00043699">
            <w:fldChar w:fldCharType="begin"/>
          </w:r>
          <w:r w:rsidR="00043699">
            <w:rPr>
              <w:lang w:val="en-PH"/>
            </w:rPr>
            <w:instrText xml:space="preserve"> CITATION Bau24 \l 13321 </w:instrText>
          </w:r>
          <w:r w:rsidR="00043699">
            <w:fldChar w:fldCharType="separate"/>
          </w:r>
          <w:r w:rsidR="00043699" w:rsidRPr="00082570">
            <w:rPr>
              <w:noProof/>
              <w:lang w:val="en-PH"/>
            </w:rPr>
            <w:t>[1]</w:t>
          </w:r>
          <w:r w:rsidR="00043699">
            <w:fldChar w:fldCharType="end"/>
          </w:r>
        </w:sdtContent>
      </w:sdt>
      <w:r w:rsidR="00043699" w:rsidRPr="00043699">
        <w:t xml:space="preserve">, which examined SMRs </w:t>
      </w:r>
      <w:r w:rsidR="00043699">
        <w:t xml:space="preserve">with </w:t>
      </w:r>
      <w:r w:rsidR="00043699" w:rsidRPr="00043699">
        <w:t>operational demonstration plants, this study focuses on evaluating their safety design features to address the existing knowledge gap in SMR safety.</w:t>
      </w:r>
      <w:r w:rsidRPr="00EC6547">
        <w:t xml:space="preserve"> </w:t>
      </w:r>
      <w:r w:rsidR="00043699">
        <w:t>A Reactor Technology Assessment (RTA) was conducted to analyze the active, passive, and inherent safety systems of SMR designs, as documented in various publications by the International Atomic Energy Agency (IAEA)</w:t>
      </w:r>
      <w:r w:rsidRPr="00EC6547">
        <w:t>.</w:t>
      </w:r>
      <w:r w:rsidR="00430D40" w:rsidRPr="00430D40">
        <w:t xml:space="preserve"> </w:t>
      </w:r>
      <w:r w:rsidR="00043699">
        <w:t>The findings highlight the nuclear safety strengths of the KLT-40s and HTR-PM reactors. Specifically, the KLT-40s demonstrates robust active safety systems and hazard protection, whereas the HTR-PM is distinguished by its inherent safety features, including the use of TRISO fuel, which earned it the highest safety score.</w:t>
      </w:r>
      <w:r w:rsidRPr="00EC6547">
        <w:t xml:space="preserve"> </w:t>
      </w:r>
      <w:r w:rsidR="007F4E5B">
        <w:t>T</w:t>
      </w:r>
      <w:r w:rsidRPr="00EC6547">
        <w:t>his study will provide valuable insights for decision-makers in</w:t>
      </w:r>
      <w:r w:rsidR="00430D40">
        <w:t>volved in the development of</w:t>
      </w:r>
      <w:r w:rsidRPr="00EC6547">
        <w:t xml:space="preserve"> the Philippines' nuclear power </w:t>
      </w:r>
      <w:r w:rsidR="00430D40">
        <w:t>p</w:t>
      </w:r>
      <w:r w:rsidRPr="00EC6547">
        <w:t>rogram.</w:t>
      </w:r>
      <w:r w:rsidR="00327B48">
        <w:t xml:space="preserve"> </w:t>
      </w:r>
    </w:p>
    <w:p w14:paraId="59EFC5B6" w14:textId="471ED74F" w:rsidR="00F518AF" w:rsidRDefault="00F523CA" w:rsidP="00D44EEC">
      <w:pPr>
        <w:pStyle w:val="Heading2"/>
        <w:numPr>
          <w:ilvl w:val="1"/>
          <w:numId w:val="10"/>
        </w:numPr>
      </w:pPr>
      <w:r>
        <w:t>INTRODUCTION</w:t>
      </w:r>
    </w:p>
    <w:p w14:paraId="67BA899D" w14:textId="353BD661" w:rsidR="00F518AF" w:rsidRDefault="00F518AF" w:rsidP="00F518AF">
      <w:pPr>
        <w:pStyle w:val="BodyText"/>
      </w:pPr>
      <w:r>
        <w:t>SMRs are increasingly becoming a focal point in the Philippines and are a subject of national discussion. Known for their scalability and inherent safety features, they present a potential energy source for the country. When considering nuclear power generation, SMRs are viewed as one of the potential options alongside the possible rehabilitation of the Bataan Nuclear Power Plant (BNPP) or the adoption of more established technologies like conventional large nuclear reactors</w:t>
      </w:r>
      <w:r w:rsidR="00535851">
        <w:t xml:space="preserve"> </w:t>
      </w:r>
      <w:sdt>
        <w:sdtPr>
          <w:id w:val="-234710840"/>
          <w:citation/>
        </w:sdtPr>
        <w:sdtContent>
          <w:r w:rsidR="00535851">
            <w:fldChar w:fldCharType="begin"/>
          </w:r>
          <w:r w:rsidR="00535851">
            <w:rPr>
              <w:lang w:val="en-PH"/>
            </w:rPr>
            <w:instrText xml:space="preserve"> CITATION DOE21 \l 13321 </w:instrText>
          </w:r>
          <w:r w:rsidR="00535851">
            <w:fldChar w:fldCharType="separate"/>
          </w:r>
          <w:r w:rsidR="00082570" w:rsidRPr="00082570">
            <w:rPr>
              <w:noProof/>
              <w:lang w:val="en-PH"/>
            </w:rPr>
            <w:t>[2]</w:t>
          </w:r>
          <w:r w:rsidR="00535851">
            <w:fldChar w:fldCharType="end"/>
          </w:r>
        </w:sdtContent>
      </w:sdt>
      <w:r>
        <w:t>. However, the existing literature on evaluating and comparing the various aspects of SMR technologies, particularly in terms of nuclear safety, remains limited. This gap highlights the need for more research and analysis to inform policy decisions in this field.</w:t>
      </w:r>
    </w:p>
    <w:p w14:paraId="7A3E4591" w14:textId="77777777" w:rsidR="00F518AF" w:rsidRDefault="00F518AF" w:rsidP="00F518AF">
      <w:pPr>
        <w:pStyle w:val="BodyText"/>
      </w:pPr>
    </w:p>
    <w:p w14:paraId="41FFBD58" w14:textId="7D372DA9" w:rsidR="00F518AF" w:rsidRDefault="00F518AF" w:rsidP="00F518AF">
      <w:pPr>
        <w:pStyle w:val="BodyText"/>
      </w:pPr>
      <w:r>
        <w:t>Most SMR designs are first-of-a-kind (FOAK) technologies, posing challenges to decision-makers</w:t>
      </w:r>
      <w:r w:rsidR="00535851">
        <w:t xml:space="preserve"> </w:t>
      </w:r>
      <w:sdt>
        <w:sdtPr>
          <w:id w:val="-1718583798"/>
          <w:citation/>
        </w:sdtPr>
        <w:sdtContent>
          <w:r w:rsidR="00535851">
            <w:fldChar w:fldCharType="begin"/>
          </w:r>
          <w:r w:rsidR="00535851">
            <w:rPr>
              <w:lang w:val="en-PH"/>
            </w:rPr>
            <w:instrText xml:space="preserve"> CITATION IAE20 \l 13321 </w:instrText>
          </w:r>
          <w:r w:rsidR="001432FF">
            <w:rPr>
              <w:lang w:val="en-PH"/>
            </w:rPr>
            <w:instrText xml:space="preserve"> \m Mur21</w:instrText>
          </w:r>
          <w:r w:rsidR="00535851">
            <w:fldChar w:fldCharType="separate"/>
          </w:r>
          <w:r w:rsidR="00082570" w:rsidRPr="00082570">
            <w:rPr>
              <w:noProof/>
              <w:lang w:val="en-PH"/>
            </w:rPr>
            <w:t>[3, 4]</w:t>
          </w:r>
          <w:r w:rsidR="00535851">
            <w:fldChar w:fldCharType="end"/>
          </w:r>
        </w:sdtContent>
      </w:sdt>
      <w:r>
        <w:t>. Although SMRs are marketed as the safest nuclear power technology available today, those currently in operation have limited operational experience, complicating their adoption and regulation. Unlike traditional large reactors that rely on active mechanical components, the general safety features of SMRs often depend on passive systems that use natural phenomena to maintain safe operating conditions. Understanding these safety features is critically important for all stakeholders, particularly those involved in policy and decision-making.</w:t>
      </w:r>
    </w:p>
    <w:p w14:paraId="0B0FA194" w14:textId="77777777" w:rsidR="00F518AF" w:rsidRDefault="00F518AF" w:rsidP="00F518AF">
      <w:pPr>
        <w:pStyle w:val="BodyText"/>
      </w:pPr>
    </w:p>
    <w:p w14:paraId="71B65E9D" w14:textId="0776E98B" w:rsidR="00F518AF" w:rsidRDefault="00F518AF" w:rsidP="00F518AF">
      <w:pPr>
        <w:pStyle w:val="BodyText"/>
      </w:pPr>
      <w:r>
        <w:t>The International Atomic Energy Agency (IAEA) has developed the Reactor Technology Assessment (RTA) to aid member states in planning and decision-making and in evaluating various reactor technologies</w:t>
      </w:r>
      <w:r w:rsidR="009E0F0F">
        <w:t xml:space="preserve"> </w:t>
      </w:r>
      <w:sdt>
        <w:sdtPr>
          <w:id w:val="-2074260938"/>
          <w:citation/>
        </w:sdtPr>
        <w:sdtContent>
          <w:r w:rsidR="00455A6D">
            <w:fldChar w:fldCharType="begin"/>
          </w:r>
          <w:r w:rsidR="00455A6D">
            <w:rPr>
              <w:lang w:val="en-PH"/>
            </w:rPr>
            <w:instrText xml:space="preserve"> CITATION IAE221 \l 13321 </w:instrText>
          </w:r>
          <w:r w:rsidR="00455A6D">
            <w:fldChar w:fldCharType="separate"/>
          </w:r>
          <w:r w:rsidR="00082570" w:rsidRPr="00082570">
            <w:rPr>
              <w:noProof/>
              <w:lang w:val="en-PH"/>
            </w:rPr>
            <w:t>[5]</w:t>
          </w:r>
          <w:r w:rsidR="00455A6D">
            <w:fldChar w:fldCharType="end"/>
          </w:r>
        </w:sdtContent>
      </w:sdt>
      <w:r w:rsidR="00535851">
        <w:t xml:space="preserve"> </w:t>
      </w:r>
      <w:r>
        <w:t xml:space="preserve">. </w:t>
      </w:r>
      <w:r>
        <w:lastRenderedPageBreak/>
        <w:t>The use of the RTA is flexible, as it can be applied at different stages of the IAEA's Milestones Approach</w:t>
      </w:r>
      <w:r w:rsidR="00E036E8">
        <w:t xml:space="preserve"> </w:t>
      </w:r>
      <w:sdt>
        <w:sdtPr>
          <w:id w:val="-2094384929"/>
          <w:citation/>
        </w:sdtPr>
        <w:sdtContent>
          <w:r w:rsidR="00E036E8">
            <w:fldChar w:fldCharType="begin"/>
          </w:r>
          <w:r w:rsidR="00E036E8">
            <w:rPr>
              <w:lang w:val="en-PH"/>
            </w:rPr>
            <w:instrText xml:space="preserve"> CITATION IAE15 \l 13321 </w:instrText>
          </w:r>
          <w:r w:rsidR="00E036E8">
            <w:fldChar w:fldCharType="separate"/>
          </w:r>
          <w:r w:rsidR="00082570" w:rsidRPr="00082570">
            <w:rPr>
              <w:noProof/>
              <w:lang w:val="en-PH"/>
            </w:rPr>
            <w:t>[6]</w:t>
          </w:r>
          <w:r w:rsidR="00E036E8">
            <w:fldChar w:fldCharType="end"/>
          </w:r>
        </w:sdtContent>
      </w:sdt>
      <w:r>
        <w:t xml:space="preserve">. It can also serve as a guide in the development and implementation of a nuclear power program to ensure that all relevant and critical aspects of a technology are thoroughly considered and addressed. The RTA is used in this research to select the most appropriate reactor technology </w:t>
      </w:r>
      <w:r w:rsidR="00036687">
        <w:t xml:space="preserve">in the Philippines </w:t>
      </w:r>
      <w:r>
        <w:t>as perceived by local nuclear energy experts, with a specific focus on the nuclear safety design of SMRs.</w:t>
      </w:r>
    </w:p>
    <w:p w14:paraId="7C58A18C" w14:textId="77777777" w:rsidR="00F518AF" w:rsidRDefault="00F518AF" w:rsidP="00F518AF">
      <w:pPr>
        <w:pStyle w:val="BodyText"/>
      </w:pPr>
    </w:p>
    <w:p w14:paraId="4364F38B" w14:textId="3C365967" w:rsidR="00F518AF" w:rsidRDefault="00F518AF" w:rsidP="005E3BAB">
      <w:pPr>
        <w:pStyle w:val="BodyText"/>
      </w:pPr>
      <w:r>
        <w:t>This paper concentrates on specific SMR designs that have achieved significant milestones in their construction and operation. It aims to provide a general overview of these designs, focusing particularly on the aspects of nuclear safety integrated within their design. The SMR technologies discussed here are limited to those for which information and intellectual property are publicly accessible.</w:t>
      </w:r>
    </w:p>
    <w:p w14:paraId="74CD1556" w14:textId="7F3A09B3" w:rsidR="00E25B68" w:rsidRDefault="007302B7" w:rsidP="0026525A">
      <w:pPr>
        <w:pStyle w:val="Heading2"/>
        <w:numPr>
          <w:ilvl w:val="1"/>
          <w:numId w:val="10"/>
        </w:numPr>
      </w:pPr>
      <w:r>
        <w:t>SELECTED SMR DESIGNS WITH OPERATING DEMONST</w:t>
      </w:r>
      <w:r w:rsidR="0085280A">
        <w:t>r</w:t>
      </w:r>
      <w:r>
        <w:t>ATION PLAN</w:t>
      </w:r>
      <w:r w:rsidR="0085280A">
        <w:t>t</w:t>
      </w:r>
      <w:r>
        <w:t>S</w:t>
      </w:r>
    </w:p>
    <w:p w14:paraId="0CD53D2C" w14:textId="219B96A0" w:rsidR="0018122C" w:rsidRDefault="007102E0" w:rsidP="0018122C">
      <w:pPr>
        <w:pStyle w:val="BodyText"/>
        <w:ind w:firstLine="0"/>
      </w:pPr>
      <w:r>
        <w:tab/>
      </w:r>
      <w:r w:rsidRPr="007102E0">
        <w:t>The IAEA extensively documents various SMR designs across its publications, serving as a foundation for this research</w:t>
      </w:r>
      <w:r w:rsidR="009E0F0F">
        <w:t xml:space="preserve"> </w:t>
      </w:r>
      <w:sdt>
        <w:sdtPr>
          <w:id w:val="-1820953703"/>
          <w:citation/>
        </w:sdtPr>
        <w:sdtContent>
          <w:r w:rsidR="009E0F0F">
            <w:fldChar w:fldCharType="begin"/>
          </w:r>
          <w:r w:rsidR="009E0F0F">
            <w:rPr>
              <w:lang w:val="en-PH"/>
            </w:rPr>
            <w:instrText xml:space="preserve"> CITATION IAE20 \l 13321  \m IAE22 \m IAE11 \m IAE13</w:instrText>
          </w:r>
          <w:r w:rsidR="009E0F0F">
            <w:fldChar w:fldCharType="separate"/>
          </w:r>
          <w:r w:rsidR="00082570" w:rsidRPr="00082570">
            <w:rPr>
              <w:noProof/>
              <w:lang w:val="en-PH"/>
            </w:rPr>
            <w:t>[3, 7, 8, 9]</w:t>
          </w:r>
          <w:r w:rsidR="009E0F0F">
            <w:fldChar w:fldCharType="end"/>
          </w:r>
        </w:sdtContent>
      </w:sdt>
      <w:r w:rsidRPr="007102E0">
        <w:t xml:space="preserve">. However, due to rapid advancements in SMR technology, the IAEA's publications may not always provide the latest information. Therefore, it is advisable to consult government websites, vendor publications, and independent nuclear engineering news platforms for timely updates on SMR activities in various countries. This study specifically focuses on designs that have been </w:t>
      </w:r>
      <w:r w:rsidR="00327B48">
        <w:t xml:space="preserve">proven records that are </w:t>
      </w:r>
      <w:r w:rsidRPr="007102E0">
        <w:t>completed and are currently operational worldwide. Notably, China's HTR-PM, a high-temperature gas-cooled reactor, has recently commenced commercial operations. Additionally, Russia's KLT-40S, a floating nuclear power plant, has been successfully connected to the grid and is now in commercial operation.</w:t>
      </w:r>
      <w:r w:rsidR="00F8048E">
        <w:t xml:space="preserve"> Table 1 show the selected parameters of the two SMRs. </w:t>
      </w:r>
    </w:p>
    <w:p w14:paraId="602C87CD" w14:textId="46EC7C35" w:rsidR="0018122C" w:rsidRPr="00EE0041" w:rsidRDefault="005E118E" w:rsidP="0018122C">
      <w:pPr>
        <w:pStyle w:val="Heading3"/>
      </w:pPr>
      <w:r>
        <w:t>KLT-40s</w:t>
      </w:r>
    </w:p>
    <w:p w14:paraId="6FE62241" w14:textId="61E6CF9E" w:rsidR="00327B48" w:rsidRPr="00327B48" w:rsidRDefault="00327B48" w:rsidP="00BB5869">
      <w:pPr>
        <w:pStyle w:val="Authornameandaffiliation"/>
        <w:ind w:left="0" w:firstLine="567"/>
        <w:jc w:val="both"/>
        <w:rPr>
          <w:lang w:val="en-GB"/>
        </w:rPr>
      </w:pPr>
      <w:r w:rsidRPr="00327B48">
        <w:rPr>
          <w:lang w:val="en-GB"/>
        </w:rPr>
        <w:t>The KLT-40S reactor, developed by JSC “</w:t>
      </w:r>
      <w:proofErr w:type="spellStart"/>
      <w:r w:rsidRPr="00327B48">
        <w:rPr>
          <w:lang w:val="en-GB"/>
        </w:rPr>
        <w:t>Afrikantov</w:t>
      </w:r>
      <w:proofErr w:type="spellEnd"/>
      <w:r w:rsidRPr="00327B48">
        <w:rPr>
          <w:lang w:val="en-GB"/>
        </w:rPr>
        <w:t xml:space="preserve"> OKB Mechanical Engineering” (OKBM), is a compact pressurized water reactor (PWR) with a thermal capacity of 300 </w:t>
      </w:r>
      <w:proofErr w:type="spellStart"/>
      <w:r w:rsidRPr="00327B48">
        <w:rPr>
          <w:lang w:val="en-GB"/>
        </w:rPr>
        <w:t>MWth</w:t>
      </w:r>
      <w:proofErr w:type="spellEnd"/>
      <w:r w:rsidRPr="00327B48">
        <w:rPr>
          <w:lang w:val="en-GB"/>
        </w:rPr>
        <w:t xml:space="preserve"> and an electrical capacity of 70 MWe. Designed for use in floating nuclear power plants (FNPPs), the primary purpose of its development is to provide reliable and safe nuclear energy for remote regions and developing countries, including applications in district heating and seawater desalination. The KLT-40S builds on Russia's extensive experience with nuclear propulsion systems used in icebreakers and submarines, leveraging proven technologies to create a versatile and mobile energy solution</w:t>
      </w:r>
      <w:r w:rsidR="009E0F0F">
        <w:rPr>
          <w:lang w:val="en-GB"/>
        </w:rPr>
        <w:t xml:space="preserve"> </w:t>
      </w:r>
      <w:sdt>
        <w:sdtPr>
          <w:rPr>
            <w:lang w:val="en-GB"/>
          </w:rPr>
          <w:id w:val="-1447239242"/>
          <w:citation/>
        </w:sdtPr>
        <w:sdtContent>
          <w:r w:rsidR="009E0F0F">
            <w:rPr>
              <w:lang w:val="en-GB"/>
            </w:rPr>
            <w:fldChar w:fldCharType="begin"/>
          </w:r>
          <w:r w:rsidR="009E0F0F">
            <w:rPr>
              <w:lang w:val="en-PH"/>
            </w:rPr>
            <w:instrText xml:space="preserve"> CITATION IAE13 \l 13321 </w:instrText>
          </w:r>
          <w:r w:rsidR="009E0F0F">
            <w:rPr>
              <w:lang w:val="en-GB"/>
            </w:rPr>
            <w:fldChar w:fldCharType="separate"/>
          </w:r>
          <w:r w:rsidR="00082570" w:rsidRPr="00082570">
            <w:rPr>
              <w:noProof/>
              <w:lang w:val="en-PH"/>
            </w:rPr>
            <w:t>[9]</w:t>
          </w:r>
          <w:r w:rsidR="009E0F0F">
            <w:rPr>
              <w:lang w:val="en-GB"/>
            </w:rPr>
            <w:fldChar w:fldCharType="end"/>
          </w:r>
        </w:sdtContent>
      </w:sdt>
      <w:r w:rsidRPr="00327B48">
        <w:rPr>
          <w:lang w:val="en-GB"/>
        </w:rPr>
        <w:t>.</w:t>
      </w:r>
    </w:p>
    <w:p w14:paraId="6ABD0DC6" w14:textId="77777777" w:rsidR="00327B48" w:rsidRPr="00327B48" w:rsidRDefault="00327B48" w:rsidP="00BB5869">
      <w:pPr>
        <w:pStyle w:val="Authornameandaffiliation"/>
        <w:jc w:val="both"/>
        <w:rPr>
          <w:lang w:val="en-GB"/>
        </w:rPr>
      </w:pPr>
    </w:p>
    <w:p w14:paraId="3888B04E" w14:textId="571BA0DC" w:rsidR="0091426E" w:rsidRDefault="00327B48" w:rsidP="00BB5869">
      <w:pPr>
        <w:pStyle w:val="Authornameandaffiliation"/>
        <w:ind w:left="0" w:firstLine="567"/>
        <w:jc w:val="both"/>
        <w:rPr>
          <w:lang w:val="en-GB"/>
        </w:rPr>
      </w:pPr>
      <w:r w:rsidRPr="00327B48">
        <w:rPr>
          <w:lang w:val="en-GB"/>
        </w:rPr>
        <w:t xml:space="preserve">The historical development of the KLT-40S reactor is rooted in the successful long-term operation of nuclear icebreakers and other marine vessels, which demonstrated the high performance and safety of OKBM's reactor designs. Key features of the KLT-40S include its modular layout, pressurized primary circuit, four-loop system with forced and natural coolant circulation, and passive safety systems. The safety design philosophy emphasizes inherent safety features, such as negative reactivity coefficients, high thermal conductivity of the fuel, and natural circulation flow, alongside a </w:t>
      </w:r>
      <w:r w:rsidR="009E0F0F" w:rsidRPr="00327B48">
        <w:rPr>
          <w:lang w:val="en-GB"/>
        </w:rPr>
        <w:t>defence</w:t>
      </w:r>
      <w:r w:rsidRPr="00327B48">
        <w:rPr>
          <w:lang w:val="en-GB"/>
        </w:rPr>
        <w:t>-in-depth strategy that includes both active and passive safety measures to prevent and mitigate accidents. The reactor's design ensures high reliability and a strong focus on minimizing environmental impact and enhancing proliferation resistance</w:t>
      </w:r>
      <w:r w:rsidR="009E0F0F">
        <w:rPr>
          <w:lang w:val="en-GB"/>
        </w:rPr>
        <w:t xml:space="preserve"> </w:t>
      </w:r>
      <w:sdt>
        <w:sdtPr>
          <w:rPr>
            <w:lang w:val="en-GB"/>
          </w:rPr>
          <w:id w:val="557364652"/>
          <w:citation/>
        </w:sdtPr>
        <w:sdtContent>
          <w:r w:rsidR="009E0F0F">
            <w:rPr>
              <w:lang w:val="en-GB"/>
            </w:rPr>
            <w:fldChar w:fldCharType="begin"/>
          </w:r>
          <w:r w:rsidR="009E0F0F">
            <w:rPr>
              <w:lang w:val="en-PH"/>
            </w:rPr>
            <w:instrText xml:space="preserve"> CITATION IAE13 \l 13321 </w:instrText>
          </w:r>
          <w:r w:rsidR="009E0F0F">
            <w:rPr>
              <w:lang w:val="en-GB"/>
            </w:rPr>
            <w:fldChar w:fldCharType="separate"/>
          </w:r>
          <w:r w:rsidR="00082570" w:rsidRPr="00082570">
            <w:rPr>
              <w:noProof/>
              <w:lang w:val="en-PH"/>
            </w:rPr>
            <w:t>[9]</w:t>
          </w:r>
          <w:r w:rsidR="009E0F0F">
            <w:rPr>
              <w:lang w:val="en-GB"/>
            </w:rPr>
            <w:fldChar w:fldCharType="end"/>
          </w:r>
        </w:sdtContent>
      </w:sdt>
      <w:r w:rsidRPr="00327B48">
        <w:rPr>
          <w:lang w:val="en-GB"/>
        </w:rPr>
        <w:t>.</w:t>
      </w:r>
    </w:p>
    <w:p w14:paraId="71E651A8" w14:textId="3EDA96C2" w:rsidR="0091426E" w:rsidRPr="005E3BAB" w:rsidRDefault="005E118E" w:rsidP="005E3BAB">
      <w:pPr>
        <w:pStyle w:val="Heading3"/>
      </w:pPr>
      <w:r>
        <w:t>Hight Temperature Gas-cooled Reactor Pebbled-bed Module (HTR-PM)</w:t>
      </w:r>
    </w:p>
    <w:p w14:paraId="32BB308E" w14:textId="7F149F5D" w:rsidR="005E3BAB" w:rsidRPr="005E3BAB" w:rsidRDefault="005E3BAB" w:rsidP="00BB5869">
      <w:pPr>
        <w:pStyle w:val="Authornameandaffiliation"/>
        <w:ind w:left="0" w:firstLine="567"/>
        <w:jc w:val="both"/>
        <w:rPr>
          <w:lang w:val="en-GB"/>
        </w:rPr>
      </w:pPr>
      <w:r w:rsidRPr="005E3BAB">
        <w:rPr>
          <w:lang w:val="en-GB"/>
        </w:rPr>
        <w:t xml:space="preserve">HTR-PM was developed by the Institute of Nuclear and New Energy Technology (INET) at Tsinghua University in China. This modular reactor </w:t>
      </w:r>
      <w:r w:rsidR="009E0F0F">
        <w:rPr>
          <w:lang w:val="en-GB"/>
        </w:rPr>
        <w:t>has</w:t>
      </w:r>
      <w:r w:rsidRPr="005E3BAB">
        <w:rPr>
          <w:lang w:val="en-GB"/>
        </w:rPr>
        <w:t xml:space="preserve"> a thermal capacity of 500 </w:t>
      </w:r>
      <w:proofErr w:type="spellStart"/>
      <w:r w:rsidRPr="005E3BAB">
        <w:rPr>
          <w:lang w:val="en-GB"/>
        </w:rPr>
        <w:t>MWth</w:t>
      </w:r>
      <w:proofErr w:type="spellEnd"/>
      <w:r w:rsidRPr="005E3BAB">
        <w:rPr>
          <w:lang w:val="en-GB"/>
        </w:rPr>
        <w:t xml:space="preserve"> and a gross electrical capacity of 211 MWe, derived from two reactor modules. Its main purpose of development is to serve as a demonstration power plant that showcases innovative small-sized reactor technology, aiming to enhance the efficiency, safety, and economic viability of nuclear power generation</w:t>
      </w:r>
      <w:r w:rsidR="009E0F0F">
        <w:rPr>
          <w:lang w:val="en-GB"/>
        </w:rPr>
        <w:t xml:space="preserve"> </w:t>
      </w:r>
      <w:sdt>
        <w:sdtPr>
          <w:rPr>
            <w:lang w:val="en-GB"/>
          </w:rPr>
          <w:id w:val="1720701931"/>
          <w:citation/>
        </w:sdtPr>
        <w:sdtContent>
          <w:r w:rsidR="009E0F0F">
            <w:rPr>
              <w:lang w:val="en-GB"/>
            </w:rPr>
            <w:fldChar w:fldCharType="begin"/>
          </w:r>
          <w:r w:rsidR="009E0F0F">
            <w:rPr>
              <w:lang w:val="en-PH"/>
            </w:rPr>
            <w:instrText xml:space="preserve"> CITATION IAE11 \l 13321 </w:instrText>
          </w:r>
          <w:r w:rsidR="009E0F0F">
            <w:rPr>
              <w:lang w:val="en-GB"/>
            </w:rPr>
            <w:fldChar w:fldCharType="separate"/>
          </w:r>
          <w:r w:rsidR="00082570" w:rsidRPr="00082570">
            <w:rPr>
              <w:noProof/>
              <w:lang w:val="en-PH"/>
            </w:rPr>
            <w:t>[8]</w:t>
          </w:r>
          <w:r w:rsidR="009E0F0F">
            <w:rPr>
              <w:lang w:val="en-GB"/>
            </w:rPr>
            <w:fldChar w:fldCharType="end"/>
          </w:r>
        </w:sdtContent>
      </w:sdt>
      <w:r w:rsidR="009E0F0F">
        <w:rPr>
          <w:lang w:val="en-GB"/>
        </w:rPr>
        <w:t xml:space="preserve"> </w:t>
      </w:r>
      <w:r w:rsidRPr="005E3BAB">
        <w:rPr>
          <w:lang w:val="en-GB"/>
        </w:rPr>
        <w:t>.</w:t>
      </w:r>
    </w:p>
    <w:p w14:paraId="52427A45" w14:textId="77777777" w:rsidR="005E3BAB" w:rsidRPr="005E3BAB" w:rsidRDefault="005E3BAB" w:rsidP="00BB5869">
      <w:pPr>
        <w:pStyle w:val="Authornameandaffiliation"/>
        <w:jc w:val="both"/>
        <w:rPr>
          <w:lang w:val="en-GB"/>
        </w:rPr>
      </w:pPr>
    </w:p>
    <w:p w14:paraId="70D16C12" w14:textId="0A51013C" w:rsidR="005E3BAB" w:rsidRDefault="005E3BAB" w:rsidP="00BB5869">
      <w:pPr>
        <w:pStyle w:val="Authornameandaffiliation"/>
        <w:ind w:left="0" w:firstLine="567"/>
        <w:jc w:val="both"/>
        <w:rPr>
          <w:lang w:val="en-GB"/>
        </w:rPr>
      </w:pPr>
      <w:r w:rsidRPr="005E3BAB">
        <w:rPr>
          <w:lang w:val="en-GB"/>
        </w:rPr>
        <w:t>The historical development of HTR-PM began in the 1970s with research on gas-cooled reactors in China, progressing through decades of R&amp;D, international cooperation, and the establishment of the HTR-10 test reactor. Key features of HTR-PM include its use of helium coolant and graphite moderator, spherical low-enriched uranium fuel elements, and modular design for scalability. The safety design philosophy heavily emphasizes inherent safety features and passive safety systems, ensuring that maximum fuel temperatures remain within safe limits during accidents, thus preventing significant radioactive releases and eliminating the need for extensive emergency measures</w:t>
      </w:r>
      <w:r w:rsidR="009E0F0F">
        <w:rPr>
          <w:lang w:val="en-GB"/>
        </w:rPr>
        <w:t xml:space="preserve"> </w:t>
      </w:r>
      <w:sdt>
        <w:sdtPr>
          <w:rPr>
            <w:lang w:val="en-GB"/>
          </w:rPr>
          <w:id w:val="1151338418"/>
          <w:citation/>
        </w:sdtPr>
        <w:sdtContent>
          <w:r w:rsidR="009E0F0F">
            <w:rPr>
              <w:lang w:val="en-GB"/>
            </w:rPr>
            <w:fldChar w:fldCharType="begin"/>
          </w:r>
          <w:r w:rsidR="009E0F0F">
            <w:rPr>
              <w:lang w:val="en-PH"/>
            </w:rPr>
            <w:instrText xml:space="preserve"> CITATION IAE11 \l 13321 </w:instrText>
          </w:r>
          <w:r w:rsidR="009E0F0F">
            <w:rPr>
              <w:lang w:val="en-GB"/>
            </w:rPr>
            <w:fldChar w:fldCharType="separate"/>
          </w:r>
          <w:r w:rsidR="00082570" w:rsidRPr="00082570">
            <w:rPr>
              <w:noProof/>
              <w:lang w:val="en-PH"/>
            </w:rPr>
            <w:t>[8]</w:t>
          </w:r>
          <w:r w:rsidR="009E0F0F">
            <w:rPr>
              <w:lang w:val="en-GB"/>
            </w:rPr>
            <w:fldChar w:fldCharType="end"/>
          </w:r>
        </w:sdtContent>
      </w:sdt>
      <w:r w:rsidRPr="005E3BAB">
        <w:rPr>
          <w:lang w:val="en-GB"/>
        </w:rPr>
        <w:t>.</w:t>
      </w:r>
    </w:p>
    <w:p w14:paraId="098D7270" w14:textId="77777777" w:rsidR="00B51C6F" w:rsidRDefault="00B51C6F" w:rsidP="00B51C6F">
      <w:pPr>
        <w:pStyle w:val="Authornameandaffiliation"/>
        <w:ind w:left="0"/>
        <w:rPr>
          <w:lang w:val="en-GB"/>
        </w:rPr>
      </w:pPr>
    </w:p>
    <w:p w14:paraId="70C2693D" w14:textId="18FD97B5" w:rsidR="005E3BAB" w:rsidRDefault="005E3BAB" w:rsidP="005E3BAB">
      <w:pPr>
        <w:pStyle w:val="Caption"/>
        <w:keepNext/>
      </w:pPr>
      <w:r>
        <w:t>T</w:t>
      </w:r>
      <w:r w:rsidR="00523F5A">
        <w:t>ABLE</w:t>
      </w:r>
      <w:r>
        <w:t xml:space="preserve"> </w:t>
      </w:r>
      <w:r>
        <w:fldChar w:fldCharType="begin"/>
      </w:r>
      <w:r>
        <w:instrText xml:space="preserve"> SEQ Table \* ARABIC </w:instrText>
      </w:r>
      <w:r>
        <w:fldChar w:fldCharType="separate"/>
      </w:r>
      <w:r w:rsidR="009C21DD">
        <w:rPr>
          <w:noProof/>
        </w:rPr>
        <w:t>1</w:t>
      </w:r>
      <w:r>
        <w:fldChar w:fldCharType="end"/>
      </w:r>
      <w:r w:rsidR="00880F6B">
        <w:t>.</w:t>
      </w:r>
      <w:r>
        <w:t xml:space="preserve"> </w:t>
      </w:r>
      <w:r w:rsidR="00880F6B">
        <w:tab/>
      </w:r>
      <w:r w:rsidR="00523F5A">
        <w:t xml:space="preserve">SELECTED TECHNICAL PARAMETERS OF KLT-40S AND HTR-PM </w:t>
      </w:r>
      <w:sdt>
        <w:sdtPr>
          <w:id w:val="110089106"/>
          <w:citation/>
        </w:sdtPr>
        <w:sdtContent>
          <w:r w:rsidR="008D20F8" w:rsidRPr="008D20F8">
            <w:fldChar w:fldCharType="begin"/>
          </w:r>
          <w:r w:rsidR="008D20F8" w:rsidRPr="008D20F8">
            <w:rPr>
              <w:lang w:val="en-PH"/>
            </w:rPr>
            <w:instrText xml:space="preserve"> CITATION IAE22 \l 13321 </w:instrText>
          </w:r>
          <w:r w:rsidR="008D20F8" w:rsidRPr="008D20F8">
            <w:fldChar w:fldCharType="separate"/>
          </w:r>
          <w:r w:rsidR="00082570" w:rsidRPr="00082570">
            <w:rPr>
              <w:noProof/>
              <w:lang w:val="en-PH"/>
            </w:rPr>
            <w:t>[7]</w:t>
          </w:r>
          <w:r w:rsidR="008D20F8" w:rsidRPr="008D20F8">
            <w:fldChar w:fldCharType="end"/>
          </w:r>
        </w:sdtContent>
      </w:sdt>
      <w:r w:rsidR="00601EB3" w:rsidRPr="008D20F8">
        <w:t>.</w:t>
      </w:r>
    </w:p>
    <w:p w14:paraId="1F077A1F" w14:textId="77777777" w:rsidR="00523F5A" w:rsidRPr="00523F5A" w:rsidRDefault="00523F5A" w:rsidP="00523F5A">
      <w:pPr>
        <w:rPr>
          <w:lang w:val="en-US"/>
        </w:rPr>
      </w:pPr>
    </w:p>
    <w:tbl>
      <w:tblPr>
        <w:tblStyle w:val="TableGrid"/>
        <w:tblW w:w="661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2015"/>
        <w:gridCol w:w="2388"/>
      </w:tblGrid>
      <w:tr w:rsidR="00B51C6F" w:rsidRPr="00E745BC" w14:paraId="2A4E9E99" w14:textId="77777777" w:rsidTr="00B51C6F">
        <w:trPr>
          <w:jc w:val="center"/>
        </w:trPr>
        <w:tc>
          <w:tcPr>
            <w:tcW w:w="2207" w:type="dxa"/>
            <w:tcBorders>
              <w:top w:val="single" w:sz="4" w:space="0" w:color="auto"/>
              <w:bottom w:val="single" w:sz="4" w:space="0" w:color="auto"/>
            </w:tcBorders>
          </w:tcPr>
          <w:p w14:paraId="2833352B" w14:textId="77777777" w:rsidR="00B51C6F" w:rsidRPr="00E745BC" w:rsidRDefault="00B51C6F" w:rsidP="00CE378C">
            <w:pPr>
              <w:rPr>
                <w:b/>
                <w:bCs/>
                <w:sz w:val="20"/>
              </w:rPr>
            </w:pPr>
            <w:bookmarkStart w:id="0" w:name="_Hlk168150115"/>
            <w:r w:rsidRPr="00E745BC">
              <w:rPr>
                <w:b/>
                <w:bCs/>
                <w:sz w:val="20"/>
              </w:rPr>
              <w:t>Design Parameter</w:t>
            </w:r>
          </w:p>
        </w:tc>
        <w:tc>
          <w:tcPr>
            <w:tcW w:w="2015" w:type="dxa"/>
            <w:tcBorders>
              <w:top w:val="single" w:sz="4" w:space="0" w:color="auto"/>
              <w:bottom w:val="single" w:sz="4" w:space="0" w:color="auto"/>
            </w:tcBorders>
          </w:tcPr>
          <w:p w14:paraId="4F8B863E" w14:textId="77777777" w:rsidR="00B51C6F" w:rsidRPr="00E745BC" w:rsidRDefault="00B51C6F" w:rsidP="00CE378C">
            <w:pPr>
              <w:rPr>
                <w:b/>
                <w:bCs/>
                <w:sz w:val="20"/>
              </w:rPr>
            </w:pPr>
            <w:r w:rsidRPr="00E745BC">
              <w:rPr>
                <w:b/>
                <w:bCs/>
                <w:sz w:val="20"/>
              </w:rPr>
              <w:t>KLT-40S</w:t>
            </w:r>
          </w:p>
        </w:tc>
        <w:tc>
          <w:tcPr>
            <w:tcW w:w="2388" w:type="dxa"/>
            <w:tcBorders>
              <w:top w:val="single" w:sz="4" w:space="0" w:color="auto"/>
              <w:bottom w:val="single" w:sz="4" w:space="0" w:color="auto"/>
            </w:tcBorders>
          </w:tcPr>
          <w:p w14:paraId="36A9C746" w14:textId="77777777" w:rsidR="00B51C6F" w:rsidRPr="00E745BC" w:rsidRDefault="00B51C6F" w:rsidP="00CE378C">
            <w:pPr>
              <w:rPr>
                <w:b/>
                <w:bCs/>
                <w:sz w:val="20"/>
              </w:rPr>
            </w:pPr>
            <w:r w:rsidRPr="00E745BC">
              <w:rPr>
                <w:b/>
                <w:bCs/>
                <w:sz w:val="20"/>
              </w:rPr>
              <w:t>HTR-PM</w:t>
            </w:r>
          </w:p>
        </w:tc>
      </w:tr>
      <w:tr w:rsidR="00B51C6F" w:rsidRPr="00E745BC" w14:paraId="6C2752F2" w14:textId="77777777" w:rsidTr="00B51C6F">
        <w:trPr>
          <w:jc w:val="center"/>
        </w:trPr>
        <w:tc>
          <w:tcPr>
            <w:tcW w:w="2207" w:type="dxa"/>
            <w:tcBorders>
              <w:top w:val="single" w:sz="4" w:space="0" w:color="auto"/>
            </w:tcBorders>
          </w:tcPr>
          <w:p w14:paraId="25272914" w14:textId="77777777" w:rsidR="00B51C6F" w:rsidRPr="00E745BC" w:rsidRDefault="00B51C6F" w:rsidP="00CE378C">
            <w:pPr>
              <w:rPr>
                <w:sz w:val="20"/>
              </w:rPr>
            </w:pPr>
            <w:r w:rsidRPr="00E745BC">
              <w:rPr>
                <w:sz w:val="20"/>
              </w:rPr>
              <w:t>Reactor Type</w:t>
            </w:r>
          </w:p>
        </w:tc>
        <w:tc>
          <w:tcPr>
            <w:tcW w:w="2015" w:type="dxa"/>
            <w:tcBorders>
              <w:top w:val="single" w:sz="4" w:space="0" w:color="auto"/>
            </w:tcBorders>
          </w:tcPr>
          <w:p w14:paraId="6A5FA168" w14:textId="77777777" w:rsidR="00B51C6F" w:rsidRPr="00E745BC" w:rsidRDefault="00B51C6F" w:rsidP="00CE378C">
            <w:pPr>
              <w:rPr>
                <w:sz w:val="20"/>
              </w:rPr>
            </w:pPr>
            <w:r w:rsidRPr="00E745BC">
              <w:rPr>
                <w:sz w:val="20"/>
              </w:rPr>
              <w:t>Pressurized Water Reactor (PWR)</w:t>
            </w:r>
          </w:p>
        </w:tc>
        <w:tc>
          <w:tcPr>
            <w:tcW w:w="2388" w:type="dxa"/>
            <w:tcBorders>
              <w:top w:val="single" w:sz="4" w:space="0" w:color="auto"/>
            </w:tcBorders>
          </w:tcPr>
          <w:p w14:paraId="71BFF502" w14:textId="77777777" w:rsidR="00B51C6F" w:rsidRPr="00E745BC" w:rsidRDefault="00B51C6F" w:rsidP="00CE378C">
            <w:pPr>
              <w:rPr>
                <w:sz w:val="20"/>
              </w:rPr>
            </w:pPr>
            <w:r w:rsidRPr="00E745BC">
              <w:rPr>
                <w:sz w:val="20"/>
              </w:rPr>
              <w:t xml:space="preserve">Modular pebble bed HTGR </w:t>
            </w:r>
          </w:p>
        </w:tc>
      </w:tr>
      <w:tr w:rsidR="00B51C6F" w:rsidRPr="00E745BC" w14:paraId="727D182B" w14:textId="77777777" w:rsidTr="00B51C6F">
        <w:trPr>
          <w:jc w:val="center"/>
        </w:trPr>
        <w:tc>
          <w:tcPr>
            <w:tcW w:w="2207" w:type="dxa"/>
          </w:tcPr>
          <w:p w14:paraId="3BA60C9E" w14:textId="77777777" w:rsidR="00B51C6F" w:rsidRPr="00E745BC" w:rsidRDefault="00B51C6F" w:rsidP="00CE378C">
            <w:pPr>
              <w:rPr>
                <w:sz w:val="20"/>
              </w:rPr>
            </w:pPr>
            <w:r w:rsidRPr="00E745BC">
              <w:rPr>
                <w:sz w:val="20"/>
              </w:rPr>
              <w:t>Fuel Type</w:t>
            </w:r>
          </w:p>
        </w:tc>
        <w:tc>
          <w:tcPr>
            <w:tcW w:w="2015" w:type="dxa"/>
          </w:tcPr>
          <w:p w14:paraId="6C3EE93B" w14:textId="77777777" w:rsidR="00B51C6F" w:rsidRPr="00E745BC" w:rsidRDefault="00B51C6F" w:rsidP="00CE378C">
            <w:pPr>
              <w:rPr>
                <w:sz w:val="20"/>
              </w:rPr>
            </w:pPr>
            <w:r w:rsidRPr="00E745BC">
              <w:rPr>
                <w:sz w:val="20"/>
              </w:rPr>
              <w:t>Low-Enriched Uranium (LEU)</w:t>
            </w:r>
          </w:p>
        </w:tc>
        <w:tc>
          <w:tcPr>
            <w:tcW w:w="2388" w:type="dxa"/>
          </w:tcPr>
          <w:p w14:paraId="4486627C" w14:textId="77777777" w:rsidR="00B51C6F" w:rsidRPr="00E745BC" w:rsidRDefault="00B51C6F" w:rsidP="00CE378C">
            <w:pPr>
              <w:rPr>
                <w:sz w:val="20"/>
              </w:rPr>
            </w:pPr>
            <w:r w:rsidRPr="00E745BC">
              <w:rPr>
                <w:sz w:val="20"/>
              </w:rPr>
              <w:t>TRISO-coated particle fuel</w:t>
            </w:r>
          </w:p>
        </w:tc>
      </w:tr>
      <w:tr w:rsidR="00B51C6F" w:rsidRPr="00E745BC" w14:paraId="6194583A" w14:textId="77777777" w:rsidTr="00B51C6F">
        <w:trPr>
          <w:jc w:val="center"/>
        </w:trPr>
        <w:tc>
          <w:tcPr>
            <w:tcW w:w="2207" w:type="dxa"/>
          </w:tcPr>
          <w:p w14:paraId="441523C1" w14:textId="77777777" w:rsidR="00B51C6F" w:rsidRPr="00E745BC" w:rsidRDefault="00B51C6F" w:rsidP="00CE378C">
            <w:pPr>
              <w:rPr>
                <w:sz w:val="20"/>
              </w:rPr>
            </w:pPr>
            <w:r w:rsidRPr="00E745BC">
              <w:rPr>
                <w:sz w:val="20"/>
              </w:rPr>
              <w:t>Fuel Form</w:t>
            </w:r>
          </w:p>
        </w:tc>
        <w:tc>
          <w:tcPr>
            <w:tcW w:w="2015" w:type="dxa"/>
          </w:tcPr>
          <w:p w14:paraId="7A097FF2" w14:textId="77777777" w:rsidR="00B51C6F" w:rsidRPr="00E745BC" w:rsidRDefault="00B51C6F" w:rsidP="00CE378C">
            <w:pPr>
              <w:rPr>
                <w:sz w:val="20"/>
              </w:rPr>
            </w:pPr>
            <w:r w:rsidRPr="00E745BC">
              <w:rPr>
                <w:sz w:val="20"/>
              </w:rPr>
              <w:t>Fuel Assemblies</w:t>
            </w:r>
          </w:p>
        </w:tc>
        <w:tc>
          <w:tcPr>
            <w:tcW w:w="2388" w:type="dxa"/>
          </w:tcPr>
          <w:p w14:paraId="597E6923" w14:textId="77777777" w:rsidR="00B51C6F" w:rsidRPr="00E745BC" w:rsidRDefault="00B51C6F" w:rsidP="00CE378C">
            <w:pPr>
              <w:rPr>
                <w:sz w:val="20"/>
              </w:rPr>
            </w:pPr>
            <w:r w:rsidRPr="00E745BC">
              <w:rPr>
                <w:sz w:val="20"/>
              </w:rPr>
              <w:t>Spherical Pebbles</w:t>
            </w:r>
          </w:p>
        </w:tc>
      </w:tr>
      <w:tr w:rsidR="00B51C6F" w:rsidRPr="00E745BC" w14:paraId="6F8A30FD" w14:textId="77777777" w:rsidTr="00B51C6F">
        <w:trPr>
          <w:jc w:val="center"/>
        </w:trPr>
        <w:tc>
          <w:tcPr>
            <w:tcW w:w="2207" w:type="dxa"/>
          </w:tcPr>
          <w:p w14:paraId="13099439" w14:textId="77777777" w:rsidR="00B51C6F" w:rsidRPr="00E745BC" w:rsidRDefault="00B51C6F" w:rsidP="00CE378C">
            <w:pPr>
              <w:rPr>
                <w:sz w:val="20"/>
              </w:rPr>
            </w:pPr>
            <w:r w:rsidRPr="00E745BC">
              <w:rPr>
                <w:sz w:val="20"/>
              </w:rPr>
              <w:t>Coolant / Moderator</w:t>
            </w:r>
          </w:p>
        </w:tc>
        <w:tc>
          <w:tcPr>
            <w:tcW w:w="2015" w:type="dxa"/>
          </w:tcPr>
          <w:p w14:paraId="7187F870" w14:textId="77777777" w:rsidR="00B51C6F" w:rsidRPr="00E745BC" w:rsidRDefault="00B51C6F" w:rsidP="00CE378C">
            <w:pPr>
              <w:rPr>
                <w:sz w:val="20"/>
              </w:rPr>
            </w:pPr>
            <w:r w:rsidRPr="00E745BC">
              <w:rPr>
                <w:sz w:val="20"/>
              </w:rPr>
              <w:t>Light water / Light water</w:t>
            </w:r>
          </w:p>
        </w:tc>
        <w:tc>
          <w:tcPr>
            <w:tcW w:w="2388" w:type="dxa"/>
          </w:tcPr>
          <w:p w14:paraId="0852E790" w14:textId="77777777" w:rsidR="00B51C6F" w:rsidRPr="00E745BC" w:rsidRDefault="00B51C6F" w:rsidP="00CE378C">
            <w:pPr>
              <w:rPr>
                <w:sz w:val="20"/>
              </w:rPr>
            </w:pPr>
            <w:r w:rsidRPr="00E745BC">
              <w:rPr>
                <w:sz w:val="20"/>
              </w:rPr>
              <w:t>Helium Gas / Graphite</w:t>
            </w:r>
          </w:p>
        </w:tc>
      </w:tr>
      <w:tr w:rsidR="00B51C6F" w:rsidRPr="00E745BC" w14:paraId="364FAEB0" w14:textId="77777777" w:rsidTr="00B51C6F">
        <w:trPr>
          <w:jc w:val="center"/>
        </w:trPr>
        <w:tc>
          <w:tcPr>
            <w:tcW w:w="2207" w:type="dxa"/>
          </w:tcPr>
          <w:p w14:paraId="23864429" w14:textId="77777777" w:rsidR="00B51C6F" w:rsidRPr="00E745BC" w:rsidRDefault="00B51C6F" w:rsidP="00CE378C">
            <w:pPr>
              <w:rPr>
                <w:sz w:val="20"/>
              </w:rPr>
            </w:pPr>
            <w:r w:rsidRPr="00E745BC">
              <w:rPr>
                <w:sz w:val="20"/>
              </w:rPr>
              <w:t>Thermal Power Output</w:t>
            </w:r>
          </w:p>
        </w:tc>
        <w:tc>
          <w:tcPr>
            <w:tcW w:w="2015" w:type="dxa"/>
          </w:tcPr>
          <w:p w14:paraId="70F1A23F" w14:textId="77777777" w:rsidR="00B51C6F" w:rsidRPr="00E745BC" w:rsidRDefault="00B51C6F" w:rsidP="00CE378C">
            <w:pPr>
              <w:rPr>
                <w:sz w:val="20"/>
              </w:rPr>
            </w:pPr>
            <w:r w:rsidRPr="00E745BC">
              <w:rPr>
                <w:sz w:val="20"/>
              </w:rPr>
              <w:t xml:space="preserve">150 </w:t>
            </w:r>
            <w:proofErr w:type="spellStart"/>
            <w:r w:rsidRPr="00E745BC">
              <w:rPr>
                <w:sz w:val="20"/>
              </w:rPr>
              <w:t>MWth</w:t>
            </w:r>
            <w:proofErr w:type="spellEnd"/>
          </w:p>
        </w:tc>
        <w:tc>
          <w:tcPr>
            <w:tcW w:w="2388" w:type="dxa"/>
          </w:tcPr>
          <w:p w14:paraId="00EA446D" w14:textId="77777777" w:rsidR="00B51C6F" w:rsidRPr="00E745BC" w:rsidRDefault="00B51C6F" w:rsidP="00CE378C">
            <w:pPr>
              <w:rPr>
                <w:sz w:val="20"/>
              </w:rPr>
            </w:pPr>
            <w:r w:rsidRPr="00E745BC">
              <w:rPr>
                <w:sz w:val="20"/>
              </w:rPr>
              <w:t xml:space="preserve">2 × 250 </w:t>
            </w:r>
            <w:proofErr w:type="spellStart"/>
            <w:r w:rsidRPr="00E745BC">
              <w:rPr>
                <w:sz w:val="20"/>
              </w:rPr>
              <w:t>MWth</w:t>
            </w:r>
            <w:proofErr w:type="spellEnd"/>
          </w:p>
        </w:tc>
      </w:tr>
      <w:tr w:rsidR="00B51C6F" w:rsidRPr="00E745BC" w14:paraId="6FD412A2" w14:textId="77777777" w:rsidTr="00B51C6F">
        <w:trPr>
          <w:jc w:val="center"/>
        </w:trPr>
        <w:tc>
          <w:tcPr>
            <w:tcW w:w="2207" w:type="dxa"/>
          </w:tcPr>
          <w:p w14:paraId="29ED6C68" w14:textId="77777777" w:rsidR="00B51C6F" w:rsidRPr="00E745BC" w:rsidRDefault="00B51C6F" w:rsidP="00CE378C">
            <w:pPr>
              <w:rPr>
                <w:sz w:val="20"/>
              </w:rPr>
            </w:pPr>
            <w:r w:rsidRPr="00E745BC">
              <w:rPr>
                <w:sz w:val="20"/>
              </w:rPr>
              <w:t>Electric Power Output</w:t>
            </w:r>
          </w:p>
        </w:tc>
        <w:tc>
          <w:tcPr>
            <w:tcW w:w="2015" w:type="dxa"/>
          </w:tcPr>
          <w:p w14:paraId="1464A840" w14:textId="77777777" w:rsidR="00B51C6F" w:rsidRPr="00E745BC" w:rsidRDefault="00B51C6F" w:rsidP="00CE378C">
            <w:pPr>
              <w:rPr>
                <w:sz w:val="20"/>
              </w:rPr>
            </w:pPr>
            <w:r w:rsidRPr="00E745BC">
              <w:rPr>
                <w:sz w:val="20"/>
              </w:rPr>
              <w:t>35 MWe</w:t>
            </w:r>
          </w:p>
        </w:tc>
        <w:tc>
          <w:tcPr>
            <w:tcW w:w="2388" w:type="dxa"/>
          </w:tcPr>
          <w:p w14:paraId="74976A40" w14:textId="77777777" w:rsidR="00B51C6F" w:rsidRPr="00E745BC" w:rsidRDefault="00B51C6F" w:rsidP="00CE378C">
            <w:pPr>
              <w:rPr>
                <w:sz w:val="20"/>
              </w:rPr>
            </w:pPr>
            <w:r w:rsidRPr="00E745BC">
              <w:rPr>
                <w:sz w:val="20"/>
              </w:rPr>
              <w:t>210 MWe</w:t>
            </w:r>
          </w:p>
        </w:tc>
      </w:tr>
      <w:tr w:rsidR="00B51C6F" w:rsidRPr="00E745BC" w14:paraId="1E549DB7" w14:textId="77777777" w:rsidTr="00B51C6F">
        <w:trPr>
          <w:jc w:val="center"/>
        </w:trPr>
        <w:tc>
          <w:tcPr>
            <w:tcW w:w="2207" w:type="dxa"/>
          </w:tcPr>
          <w:p w14:paraId="35DBB495" w14:textId="77777777" w:rsidR="00B51C6F" w:rsidRPr="00E745BC" w:rsidRDefault="00B51C6F" w:rsidP="00CE378C">
            <w:pPr>
              <w:rPr>
                <w:sz w:val="20"/>
              </w:rPr>
            </w:pPr>
            <w:r w:rsidRPr="00E745BC">
              <w:rPr>
                <w:sz w:val="20"/>
              </w:rPr>
              <w:t>Core inlet temperature</w:t>
            </w:r>
          </w:p>
        </w:tc>
        <w:tc>
          <w:tcPr>
            <w:tcW w:w="2015" w:type="dxa"/>
          </w:tcPr>
          <w:p w14:paraId="48AB88FA" w14:textId="77777777" w:rsidR="00B51C6F" w:rsidRPr="00E745BC" w:rsidRDefault="00B51C6F" w:rsidP="00CE378C">
            <w:pPr>
              <w:rPr>
                <w:sz w:val="20"/>
              </w:rPr>
            </w:pPr>
            <w:r w:rsidRPr="00E745BC">
              <w:rPr>
                <w:sz w:val="20"/>
              </w:rPr>
              <w:t>280°C</w:t>
            </w:r>
          </w:p>
        </w:tc>
        <w:tc>
          <w:tcPr>
            <w:tcW w:w="2388" w:type="dxa"/>
          </w:tcPr>
          <w:p w14:paraId="77B2B848" w14:textId="77777777" w:rsidR="00B51C6F" w:rsidRPr="00E745BC" w:rsidRDefault="00B51C6F" w:rsidP="00CE378C">
            <w:pPr>
              <w:rPr>
                <w:sz w:val="20"/>
              </w:rPr>
            </w:pPr>
            <w:r w:rsidRPr="00E745BC">
              <w:rPr>
                <w:sz w:val="20"/>
              </w:rPr>
              <w:t>250°C</w:t>
            </w:r>
          </w:p>
        </w:tc>
      </w:tr>
      <w:tr w:rsidR="00B51C6F" w:rsidRPr="00E745BC" w14:paraId="72980721" w14:textId="77777777" w:rsidTr="00B51C6F">
        <w:trPr>
          <w:jc w:val="center"/>
        </w:trPr>
        <w:tc>
          <w:tcPr>
            <w:tcW w:w="2207" w:type="dxa"/>
          </w:tcPr>
          <w:p w14:paraId="2F333D30" w14:textId="77777777" w:rsidR="00B51C6F" w:rsidRPr="00E745BC" w:rsidRDefault="00B51C6F" w:rsidP="00CE378C">
            <w:pPr>
              <w:rPr>
                <w:sz w:val="20"/>
              </w:rPr>
            </w:pPr>
            <w:r w:rsidRPr="00E745BC">
              <w:rPr>
                <w:sz w:val="20"/>
              </w:rPr>
              <w:t>Core Outlet Temperature</w:t>
            </w:r>
          </w:p>
        </w:tc>
        <w:tc>
          <w:tcPr>
            <w:tcW w:w="2015" w:type="dxa"/>
          </w:tcPr>
          <w:p w14:paraId="5BBF2DC2" w14:textId="77777777" w:rsidR="00B51C6F" w:rsidRPr="00E745BC" w:rsidRDefault="00B51C6F" w:rsidP="00CE378C">
            <w:pPr>
              <w:rPr>
                <w:sz w:val="20"/>
              </w:rPr>
            </w:pPr>
            <w:r w:rsidRPr="00E745BC">
              <w:rPr>
                <w:sz w:val="20"/>
              </w:rPr>
              <w:t>316°C</w:t>
            </w:r>
          </w:p>
        </w:tc>
        <w:tc>
          <w:tcPr>
            <w:tcW w:w="2388" w:type="dxa"/>
          </w:tcPr>
          <w:p w14:paraId="504B44B7" w14:textId="77777777" w:rsidR="00B51C6F" w:rsidRPr="00E745BC" w:rsidRDefault="00B51C6F" w:rsidP="00CE378C">
            <w:pPr>
              <w:rPr>
                <w:sz w:val="20"/>
              </w:rPr>
            </w:pPr>
            <w:r w:rsidRPr="00E745BC">
              <w:rPr>
                <w:sz w:val="20"/>
              </w:rPr>
              <w:t>750°C</w:t>
            </w:r>
          </w:p>
        </w:tc>
      </w:tr>
      <w:tr w:rsidR="00B51C6F" w:rsidRPr="00E745BC" w14:paraId="5314EFA2" w14:textId="77777777" w:rsidTr="00B51C6F">
        <w:trPr>
          <w:jc w:val="center"/>
        </w:trPr>
        <w:tc>
          <w:tcPr>
            <w:tcW w:w="2207" w:type="dxa"/>
          </w:tcPr>
          <w:p w14:paraId="4D567758" w14:textId="77777777" w:rsidR="00B51C6F" w:rsidRPr="00E745BC" w:rsidRDefault="00B51C6F" w:rsidP="00CE378C">
            <w:pPr>
              <w:rPr>
                <w:sz w:val="20"/>
              </w:rPr>
            </w:pPr>
            <w:proofErr w:type="spellStart"/>
            <w:r w:rsidRPr="00E745BC">
              <w:rPr>
                <w:sz w:val="20"/>
              </w:rPr>
              <w:t>Refueling</w:t>
            </w:r>
            <w:proofErr w:type="spellEnd"/>
            <w:r w:rsidRPr="00E745BC">
              <w:rPr>
                <w:sz w:val="20"/>
              </w:rPr>
              <w:t xml:space="preserve"> cycle (months)</w:t>
            </w:r>
          </w:p>
        </w:tc>
        <w:tc>
          <w:tcPr>
            <w:tcW w:w="2015" w:type="dxa"/>
          </w:tcPr>
          <w:p w14:paraId="092D5CA3" w14:textId="77777777" w:rsidR="00B51C6F" w:rsidRPr="00E745BC" w:rsidRDefault="00B51C6F" w:rsidP="00CE378C">
            <w:pPr>
              <w:rPr>
                <w:sz w:val="20"/>
              </w:rPr>
            </w:pPr>
            <w:r w:rsidRPr="00E745BC">
              <w:rPr>
                <w:sz w:val="20"/>
              </w:rPr>
              <w:t>30-36</w:t>
            </w:r>
          </w:p>
        </w:tc>
        <w:tc>
          <w:tcPr>
            <w:tcW w:w="2388" w:type="dxa"/>
          </w:tcPr>
          <w:p w14:paraId="2C47A1BF" w14:textId="77777777" w:rsidR="00B51C6F" w:rsidRPr="00E745BC" w:rsidRDefault="00B51C6F" w:rsidP="00CE378C">
            <w:pPr>
              <w:rPr>
                <w:sz w:val="20"/>
              </w:rPr>
            </w:pPr>
            <w:r w:rsidRPr="00E745BC">
              <w:rPr>
                <w:sz w:val="20"/>
              </w:rPr>
              <w:t xml:space="preserve">On-line </w:t>
            </w:r>
            <w:proofErr w:type="spellStart"/>
            <w:r w:rsidRPr="00E745BC">
              <w:rPr>
                <w:sz w:val="20"/>
              </w:rPr>
              <w:t>Refueling</w:t>
            </w:r>
            <w:proofErr w:type="spellEnd"/>
          </w:p>
        </w:tc>
      </w:tr>
      <w:tr w:rsidR="00B51C6F" w:rsidRPr="00E745BC" w14:paraId="7078A193" w14:textId="77777777" w:rsidTr="00B51C6F">
        <w:trPr>
          <w:jc w:val="center"/>
        </w:trPr>
        <w:tc>
          <w:tcPr>
            <w:tcW w:w="2207" w:type="dxa"/>
          </w:tcPr>
          <w:p w14:paraId="6539EC1F" w14:textId="77777777" w:rsidR="00B51C6F" w:rsidRPr="00E745BC" w:rsidRDefault="00B51C6F" w:rsidP="00CE378C">
            <w:pPr>
              <w:rPr>
                <w:sz w:val="20"/>
              </w:rPr>
            </w:pPr>
            <w:r w:rsidRPr="00E745BC">
              <w:rPr>
                <w:sz w:val="20"/>
              </w:rPr>
              <w:t>Seismic Design</w:t>
            </w:r>
          </w:p>
        </w:tc>
        <w:tc>
          <w:tcPr>
            <w:tcW w:w="2015" w:type="dxa"/>
          </w:tcPr>
          <w:p w14:paraId="7A244C08" w14:textId="77777777" w:rsidR="00B51C6F" w:rsidRPr="00E745BC" w:rsidRDefault="00B51C6F" w:rsidP="00CE378C">
            <w:pPr>
              <w:rPr>
                <w:sz w:val="20"/>
              </w:rPr>
            </w:pPr>
            <w:r w:rsidRPr="00E745BC">
              <w:rPr>
                <w:sz w:val="20"/>
              </w:rPr>
              <w:t xml:space="preserve">9 </w:t>
            </w:r>
            <w:proofErr w:type="gramStart"/>
            <w:r w:rsidRPr="00E745BC">
              <w:rPr>
                <w:sz w:val="20"/>
              </w:rPr>
              <w:t>point</w:t>
            </w:r>
            <w:proofErr w:type="gramEnd"/>
            <w:r w:rsidRPr="00E745BC">
              <w:rPr>
                <w:sz w:val="20"/>
              </w:rPr>
              <w:t xml:space="preserve"> on the MSK scale</w:t>
            </w:r>
          </w:p>
        </w:tc>
        <w:tc>
          <w:tcPr>
            <w:tcW w:w="2388" w:type="dxa"/>
          </w:tcPr>
          <w:p w14:paraId="5D85C8E3" w14:textId="77777777" w:rsidR="00B51C6F" w:rsidRPr="00E745BC" w:rsidRDefault="00B51C6F" w:rsidP="00CE378C">
            <w:pPr>
              <w:rPr>
                <w:sz w:val="20"/>
              </w:rPr>
            </w:pPr>
            <w:r w:rsidRPr="00E745BC">
              <w:rPr>
                <w:sz w:val="20"/>
              </w:rPr>
              <w:t>0.2 g</w:t>
            </w:r>
          </w:p>
        </w:tc>
      </w:tr>
      <w:tr w:rsidR="00B51C6F" w:rsidRPr="00E745BC" w14:paraId="7AC26478" w14:textId="77777777" w:rsidTr="00B51C6F">
        <w:trPr>
          <w:jc w:val="center"/>
        </w:trPr>
        <w:tc>
          <w:tcPr>
            <w:tcW w:w="2207" w:type="dxa"/>
          </w:tcPr>
          <w:p w14:paraId="5EDB80EE" w14:textId="77777777" w:rsidR="00B51C6F" w:rsidRPr="00E745BC" w:rsidRDefault="00B51C6F" w:rsidP="00CE378C">
            <w:pPr>
              <w:rPr>
                <w:sz w:val="20"/>
              </w:rPr>
            </w:pPr>
            <w:r w:rsidRPr="00E745BC">
              <w:rPr>
                <w:sz w:val="20"/>
              </w:rPr>
              <w:t>Deployment</w:t>
            </w:r>
          </w:p>
        </w:tc>
        <w:tc>
          <w:tcPr>
            <w:tcW w:w="2015" w:type="dxa"/>
          </w:tcPr>
          <w:p w14:paraId="25EE2678" w14:textId="77777777" w:rsidR="00B51C6F" w:rsidRPr="00E745BC" w:rsidRDefault="00B51C6F" w:rsidP="00CE378C">
            <w:pPr>
              <w:rPr>
                <w:sz w:val="20"/>
              </w:rPr>
            </w:pPr>
            <w:r w:rsidRPr="00E745BC">
              <w:rPr>
                <w:sz w:val="20"/>
              </w:rPr>
              <w:t>Floating/Marine-Based</w:t>
            </w:r>
          </w:p>
        </w:tc>
        <w:tc>
          <w:tcPr>
            <w:tcW w:w="2388" w:type="dxa"/>
          </w:tcPr>
          <w:p w14:paraId="3C4694AC" w14:textId="77777777" w:rsidR="00B51C6F" w:rsidRPr="00E745BC" w:rsidRDefault="00B51C6F" w:rsidP="00CE378C">
            <w:pPr>
              <w:rPr>
                <w:sz w:val="20"/>
              </w:rPr>
            </w:pPr>
            <w:r w:rsidRPr="00E745BC">
              <w:rPr>
                <w:sz w:val="20"/>
              </w:rPr>
              <w:t>Land-based</w:t>
            </w:r>
          </w:p>
        </w:tc>
      </w:tr>
    </w:tbl>
    <w:bookmarkEnd w:id="0"/>
    <w:p w14:paraId="1B297C48" w14:textId="41FF8648" w:rsidR="00EE0041" w:rsidRDefault="007302B7" w:rsidP="0026525A">
      <w:pPr>
        <w:pStyle w:val="Heading2"/>
        <w:numPr>
          <w:ilvl w:val="1"/>
          <w:numId w:val="10"/>
        </w:numPr>
      </w:pPr>
      <w:r>
        <w:t>NUCLEAR SAFETY AND DESIGN SAFETY FEATURES</w:t>
      </w:r>
    </w:p>
    <w:p w14:paraId="65FE8F00" w14:textId="5A7D22D3" w:rsidR="00B51C6F" w:rsidRDefault="006025DF" w:rsidP="002B45DD">
      <w:pPr>
        <w:pStyle w:val="BodyText"/>
      </w:pPr>
      <w:r w:rsidRPr="006025DF">
        <w:t xml:space="preserve">Nuclear safety is </w:t>
      </w:r>
      <w:r w:rsidR="00D40A99">
        <w:t>an important</w:t>
      </w:r>
      <w:r w:rsidRPr="006025DF">
        <w:t xml:space="preserve"> aspect of nuclear power plants</w:t>
      </w:r>
      <w:r w:rsidR="00D40A99">
        <w:t xml:space="preserve"> because it ensures</w:t>
      </w:r>
      <w:r w:rsidRPr="006025DF">
        <w:t xml:space="preserve"> the protection of workers, the public, and the environment. The design </w:t>
      </w:r>
      <w:r w:rsidR="005776A9">
        <w:t xml:space="preserve">of </w:t>
      </w:r>
      <w:r w:rsidR="00D40A99">
        <w:t>SMRs</w:t>
      </w:r>
      <w:r w:rsidRPr="006025DF">
        <w:t xml:space="preserve"> incorporates multiple safety features based on the principle of 'defence in depth', which includes layers of physical barriers to prevent the release of radioactivity, and safety systems designed to maintain these barriers. The IAEA sets global safety standards</w:t>
      </w:r>
      <w:r w:rsidR="00D40A99">
        <w:t xml:space="preserve"> that</w:t>
      </w:r>
      <w:r w:rsidRPr="006025DF">
        <w:t xml:space="preserve"> requir</w:t>
      </w:r>
      <w:r w:rsidR="00D40A99">
        <w:t>es</w:t>
      </w:r>
      <w:r w:rsidRPr="006025DF">
        <w:t xml:space="preserve"> a comprehensive safety assessment and the application of proven engineering practices to achieve high safety margins</w:t>
      </w:r>
      <w:r w:rsidR="003E2E60">
        <w:t xml:space="preserve"> </w:t>
      </w:r>
      <w:sdt>
        <w:sdtPr>
          <w:id w:val="1993517455"/>
          <w:citation/>
        </w:sdtPr>
        <w:sdtContent>
          <w:r w:rsidR="003E2E60">
            <w:fldChar w:fldCharType="begin"/>
          </w:r>
          <w:r w:rsidR="003E2E60">
            <w:rPr>
              <w:lang w:val="en-PH"/>
            </w:rPr>
            <w:instrText xml:space="preserve"> CITATION IAE16 \l 13321 </w:instrText>
          </w:r>
          <w:r w:rsidR="003E2E60">
            <w:fldChar w:fldCharType="separate"/>
          </w:r>
          <w:r w:rsidR="00082570" w:rsidRPr="00082570">
            <w:rPr>
              <w:noProof/>
              <w:lang w:val="en-PH"/>
            </w:rPr>
            <w:t>[10]</w:t>
          </w:r>
          <w:r w:rsidR="003E2E60">
            <w:fldChar w:fldCharType="end"/>
          </w:r>
        </w:sdtContent>
      </w:sdt>
      <w:r w:rsidRPr="006025DF">
        <w:t xml:space="preserve">. These standards </w:t>
      </w:r>
      <w:r w:rsidR="00D40A99">
        <w:t>are</w:t>
      </w:r>
      <w:r w:rsidRPr="006025DF">
        <w:t xml:space="preserve"> refined over time, especially following significant nuclear events</w:t>
      </w:r>
      <w:r w:rsidR="00D40A99">
        <w:t xml:space="preserve"> such as the Fukushima accident</w:t>
      </w:r>
      <w:r w:rsidRPr="006025DF">
        <w:t xml:space="preserve">, to enhance </w:t>
      </w:r>
      <w:r w:rsidR="00D40A99">
        <w:t xml:space="preserve">safety and </w:t>
      </w:r>
      <w:r w:rsidRPr="006025DF">
        <w:t xml:space="preserve">robustness of nuclear </w:t>
      </w:r>
      <w:r w:rsidR="00D40A99">
        <w:t>power plants.</w:t>
      </w:r>
    </w:p>
    <w:p w14:paraId="1EACB8D1" w14:textId="77777777" w:rsidR="00D40A99" w:rsidRDefault="00D40A99" w:rsidP="00B51C6F">
      <w:pPr>
        <w:pStyle w:val="BodyText"/>
        <w:ind w:firstLine="0"/>
      </w:pPr>
    </w:p>
    <w:p w14:paraId="18DE85F9" w14:textId="01D28A6B" w:rsidR="00302627" w:rsidRDefault="00E23016" w:rsidP="00E23016">
      <w:pPr>
        <w:pStyle w:val="BodyText"/>
        <w:ind w:firstLine="360"/>
      </w:pPr>
      <w:r w:rsidRPr="00E23016">
        <w:t>The safety systems in a nuclear power plant can be categorized into active, passive, and inherent safety systems</w:t>
      </w:r>
      <w:r w:rsidR="00D40A99">
        <w:t xml:space="preserve">. </w:t>
      </w:r>
      <w:r w:rsidR="00BF6964" w:rsidRPr="00BF6964">
        <w:t>Active safety systems depend on external power and control, using components like pumps, valves, and motors to execute safety functions. Examples include emergency core cooling systems (ECCS) that use pumps to inject coolant during accidents, reactor scram systems for rapid shutdowns, and backup power systems like diesel generators. In contrast, passive safety systems operate without external power, relying on natural forces such as gravity and natural circulation. These include gravity-driven coolant injection systems and passive heat removal systems that dissipate heat without active pumps. Inherent safety systems are built-in features that use physical laws like gravity and natural convection to ensure safety without active controls or human intervention, incorporating barriers for radioactive materials, redundant systems for critical functions, and passive safety features that automatically respond to specific conditions, thus enhancing the plant's overall safety and resilience.</w:t>
      </w:r>
      <w:r w:rsidR="00BF6964">
        <w:t xml:space="preserve"> </w:t>
      </w:r>
      <w:r>
        <w:t>The design of SMRs may incorporate variations of these systems.</w:t>
      </w:r>
    </w:p>
    <w:p w14:paraId="07DFC48D" w14:textId="0AF162EE" w:rsidR="00955B2E" w:rsidRDefault="007302B7" w:rsidP="005077D0">
      <w:pPr>
        <w:pStyle w:val="Heading2"/>
        <w:numPr>
          <w:ilvl w:val="0"/>
          <w:numId w:val="49"/>
        </w:numPr>
      </w:pPr>
      <w:r>
        <w:t>SAFETY FEATURES OF KLT-40S AND HTR-PM</w:t>
      </w:r>
    </w:p>
    <w:p w14:paraId="29BCEB8C" w14:textId="251CDF77" w:rsidR="008E3871" w:rsidRDefault="008E3871" w:rsidP="00B51C6F">
      <w:pPr>
        <w:pStyle w:val="BodyText"/>
        <w:ind w:firstLine="0"/>
      </w:pPr>
      <w:r>
        <w:tab/>
      </w:r>
      <w:r w:rsidRPr="008E3871">
        <w:t xml:space="preserve">The KLT-40S reactor employs a comprehensive array of safety systems that include active, passive, and inherent mechanisms to ensure its safe operation. The active safety systems encompass reactor shutdown, emergency cooldown, emergency water supply, and filtration systems. Passive safety features include reactor shutdown, emergency cooldown, water supply, containment cooling, reactor vessel cooling, self-actuating devices, and containment. Inherent safety is ensured through negative reactivity coefficients, robust fuel composition, natural circulation, significant heat storage capacity, compact design, flow restrictors, the "leak before break" concept, and once-through steam generators. Together, these systems provide multiple layers of </w:t>
      </w:r>
      <w:r w:rsidRPr="008E3871">
        <w:lastRenderedPageBreak/>
        <w:t>protection to maintain the reactor's stability and integrity under various operating conditions and potential accident scenarios.</w:t>
      </w:r>
    </w:p>
    <w:p w14:paraId="40D64972" w14:textId="0C03B229" w:rsidR="008E3871" w:rsidRDefault="008E3871" w:rsidP="005077D0">
      <w:pPr>
        <w:pStyle w:val="BodyText"/>
      </w:pPr>
      <w:r>
        <w:t>The HTR-PM reactor integrates a blend of active, passive, and inherent safety systems to achieve high safety standards. Its active safety systems include a helium purification system, a reactor protection system, and the main helium blower. Passive safety features are engineered safety systems, heat removal systems, and a water discharge system. The inherent safety characteristics of HTR-PM focus on the retention of radioactive materials, efficient decay heat removal, and negative temperature reactivity feedback. These inherent safety features minimize the need for complex engineered safety systems, simplify safety management, and ensure that the reactor remains safe even under extreme conditions, thus significantly reducing the risk of significant radioactive releases.</w:t>
      </w:r>
      <w:r w:rsidR="005077D0">
        <w:t xml:space="preserve"> Table 2 summarises the safety features of KLT-40s and HTR-PM. The information was taken from the IAEA Advanced Reactor Information System (ARIS) </w:t>
      </w:r>
      <w:sdt>
        <w:sdtPr>
          <w:id w:val="1123426697"/>
          <w:citation/>
        </w:sdtPr>
        <w:sdtContent>
          <w:r w:rsidR="005077D0">
            <w:fldChar w:fldCharType="begin"/>
          </w:r>
          <w:r w:rsidR="005077D0">
            <w:rPr>
              <w:lang w:val="en-PH"/>
            </w:rPr>
            <w:instrText xml:space="preserve"> CITATION IAE13 \l 13321  \m IAE11</w:instrText>
          </w:r>
          <w:r w:rsidR="005077D0">
            <w:fldChar w:fldCharType="separate"/>
          </w:r>
          <w:r w:rsidR="00082570" w:rsidRPr="00082570">
            <w:rPr>
              <w:noProof/>
              <w:lang w:val="en-PH"/>
            </w:rPr>
            <w:t>[9, 8]</w:t>
          </w:r>
          <w:r w:rsidR="005077D0">
            <w:fldChar w:fldCharType="end"/>
          </w:r>
        </w:sdtContent>
      </w:sdt>
      <w:r w:rsidR="005077D0">
        <w:t xml:space="preserve">. </w:t>
      </w:r>
    </w:p>
    <w:p w14:paraId="79D42875" w14:textId="77777777" w:rsidR="008E3871" w:rsidRDefault="008E3871" w:rsidP="00B51C6F">
      <w:pPr>
        <w:pStyle w:val="BodyText"/>
        <w:ind w:firstLine="0"/>
      </w:pPr>
    </w:p>
    <w:p w14:paraId="55DE9E47" w14:textId="53B1BC04" w:rsidR="00BF6964" w:rsidRDefault="00523F5A" w:rsidP="00BF6964">
      <w:pPr>
        <w:pStyle w:val="Caption"/>
        <w:keepNext/>
      </w:pPr>
      <w:r>
        <w:t>TABLE</w:t>
      </w:r>
      <w:r w:rsidR="00BF6964">
        <w:t xml:space="preserve"> </w:t>
      </w:r>
      <w:r w:rsidR="00BF6964">
        <w:fldChar w:fldCharType="begin"/>
      </w:r>
      <w:r w:rsidR="00BF6964">
        <w:instrText xml:space="preserve"> SEQ Table \* ARABIC </w:instrText>
      </w:r>
      <w:r w:rsidR="00BF6964">
        <w:fldChar w:fldCharType="separate"/>
      </w:r>
      <w:r w:rsidR="009C21DD">
        <w:rPr>
          <w:noProof/>
        </w:rPr>
        <w:t>2</w:t>
      </w:r>
      <w:r w:rsidR="00BF6964">
        <w:fldChar w:fldCharType="end"/>
      </w:r>
      <w:r w:rsidR="00880F6B">
        <w:t>.</w:t>
      </w:r>
      <w:r w:rsidR="00BF6964">
        <w:t xml:space="preserve"> </w:t>
      </w:r>
      <w:r w:rsidR="00880F6B">
        <w:tab/>
      </w:r>
      <w:r>
        <w:t xml:space="preserve">SUMMARY OF SAFETY FEATURES OF KLT-40S AND HTR-PM. </w:t>
      </w:r>
    </w:p>
    <w:p w14:paraId="323C005D" w14:textId="77777777" w:rsidR="00880F6B" w:rsidRPr="00880F6B" w:rsidRDefault="00880F6B" w:rsidP="00880F6B">
      <w:pPr>
        <w:rPr>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
        <w:gridCol w:w="3433"/>
        <w:gridCol w:w="3048"/>
      </w:tblGrid>
      <w:tr w:rsidR="00955B2E" w14:paraId="67943000" w14:textId="77777777" w:rsidTr="00BF6964">
        <w:trPr>
          <w:trHeight w:val="812"/>
          <w:jc w:val="center"/>
        </w:trPr>
        <w:tc>
          <w:tcPr>
            <w:tcW w:w="962" w:type="dxa"/>
            <w:tcBorders>
              <w:top w:val="single" w:sz="4" w:space="0" w:color="auto"/>
              <w:bottom w:val="single" w:sz="4" w:space="0" w:color="auto"/>
            </w:tcBorders>
          </w:tcPr>
          <w:p w14:paraId="2618A254" w14:textId="77777777" w:rsidR="00955B2E" w:rsidRPr="009B2C93" w:rsidRDefault="00955B2E" w:rsidP="005C544F">
            <w:pPr>
              <w:pStyle w:val="BodyText"/>
              <w:ind w:firstLine="0"/>
              <w:jc w:val="left"/>
              <w:rPr>
                <w:b/>
                <w:bCs/>
              </w:rPr>
            </w:pPr>
            <w:r w:rsidRPr="009B2C93">
              <w:rPr>
                <w:b/>
                <w:bCs/>
              </w:rPr>
              <w:t>Type of safety systems</w:t>
            </w:r>
          </w:p>
        </w:tc>
        <w:tc>
          <w:tcPr>
            <w:tcW w:w="3433" w:type="dxa"/>
            <w:tcBorders>
              <w:top w:val="single" w:sz="4" w:space="0" w:color="auto"/>
              <w:bottom w:val="single" w:sz="4" w:space="0" w:color="auto"/>
            </w:tcBorders>
          </w:tcPr>
          <w:p w14:paraId="1A183813" w14:textId="77777777" w:rsidR="00955B2E" w:rsidRPr="009B2C93" w:rsidRDefault="00955B2E" w:rsidP="005C544F">
            <w:pPr>
              <w:pStyle w:val="BodyText"/>
              <w:ind w:firstLine="0"/>
              <w:jc w:val="left"/>
              <w:rPr>
                <w:b/>
                <w:bCs/>
              </w:rPr>
            </w:pPr>
            <w:r w:rsidRPr="009B2C93">
              <w:rPr>
                <w:b/>
                <w:bCs/>
              </w:rPr>
              <w:t>KLT-40s</w:t>
            </w:r>
          </w:p>
        </w:tc>
        <w:tc>
          <w:tcPr>
            <w:tcW w:w="3048" w:type="dxa"/>
            <w:tcBorders>
              <w:top w:val="single" w:sz="4" w:space="0" w:color="auto"/>
              <w:bottom w:val="single" w:sz="4" w:space="0" w:color="auto"/>
            </w:tcBorders>
          </w:tcPr>
          <w:p w14:paraId="2E2BF64A" w14:textId="77777777" w:rsidR="00955B2E" w:rsidRPr="009B2C93" w:rsidRDefault="00955B2E" w:rsidP="005C544F">
            <w:pPr>
              <w:pStyle w:val="BodyText"/>
              <w:ind w:firstLine="0"/>
              <w:jc w:val="left"/>
              <w:rPr>
                <w:b/>
                <w:bCs/>
              </w:rPr>
            </w:pPr>
            <w:r w:rsidRPr="009B2C93">
              <w:rPr>
                <w:b/>
                <w:bCs/>
              </w:rPr>
              <w:t>HTR-PM</w:t>
            </w:r>
          </w:p>
        </w:tc>
      </w:tr>
      <w:tr w:rsidR="00955B2E" w14:paraId="064AB451" w14:textId="77777777" w:rsidTr="00BF6964">
        <w:trPr>
          <w:trHeight w:val="1271"/>
          <w:jc w:val="center"/>
        </w:trPr>
        <w:tc>
          <w:tcPr>
            <w:tcW w:w="962" w:type="dxa"/>
            <w:tcBorders>
              <w:top w:val="single" w:sz="4" w:space="0" w:color="auto"/>
            </w:tcBorders>
          </w:tcPr>
          <w:p w14:paraId="3B0255E7" w14:textId="77777777" w:rsidR="00955B2E" w:rsidRDefault="00955B2E" w:rsidP="005C544F">
            <w:pPr>
              <w:pStyle w:val="BodyText"/>
              <w:spacing w:line="240" w:lineRule="auto"/>
              <w:ind w:firstLine="0"/>
            </w:pPr>
            <w:r>
              <w:t>Active</w:t>
            </w:r>
          </w:p>
        </w:tc>
        <w:tc>
          <w:tcPr>
            <w:tcW w:w="3433" w:type="dxa"/>
            <w:tcBorders>
              <w:top w:val="single" w:sz="4" w:space="0" w:color="auto"/>
            </w:tcBorders>
          </w:tcPr>
          <w:p w14:paraId="4A1C1572" w14:textId="00CD5DB9" w:rsidR="00955B2E" w:rsidRDefault="00955B2E" w:rsidP="00BF6964">
            <w:pPr>
              <w:pStyle w:val="BodyText"/>
              <w:numPr>
                <w:ilvl w:val="0"/>
                <w:numId w:val="48"/>
              </w:numPr>
              <w:spacing w:line="240" w:lineRule="auto"/>
              <w:jc w:val="left"/>
            </w:pPr>
            <w:r>
              <w:t xml:space="preserve">Reactor Shutdown </w:t>
            </w:r>
          </w:p>
          <w:p w14:paraId="7891A5F0" w14:textId="5F32CA07" w:rsidR="00955B2E" w:rsidRDefault="00955B2E" w:rsidP="00BF6964">
            <w:pPr>
              <w:pStyle w:val="BodyText"/>
              <w:numPr>
                <w:ilvl w:val="0"/>
                <w:numId w:val="48"/>
              </w:numPr>
              <w:spacing w:line="240" w:lineRule="auto"/>
              <w:jc w:val="left"/>
            </w:pPr>
            <w:r>
              <w:t>Emergency Cooldown</w:t>
            </w:r>
          </w:p>
          <w:p w14:paraId="24C0C095" w14:textId="6D8AB22C" w:rsidR="00955B2E" w:rsidRDefault="00955B2E" w:rsidP="00BF6964">
            <w:pPr>
              <w:pStyle w:val="BodyText"/>
              <w:numPr>
                <w:ilvl w:val="0"/>
                <w:numId w:val="48"/>
              </w:numPr>
              <w:spacing w:line="240" w:lineRule="auto"/>
              <w:jc w:val="left"/>
            </w:pPr>
            <w:r>
              <w:t>Emergency Water Supply</w:t>
            </w:r>
          </w:p>
          <w:p w14:paraId="13999000" w14:textId="093D96F1" w:rsidR="00955B2E" w:rsidRDefault="00955B2E" w:rsidP="00601EB3">
            <w:pPr>
              <w:pStyle w:val="BodyText"/>
              <w:numPr>
                <w:ilvl w:val="0"/>
                <w:numId w:val="48"/>
              </w:numPr>
              <w:spacing w:line="240" w:lineRule="auto"/>
              <w:jc w:val="left"/>
            </w:pPr>
            <w:r>
              <w:t>Filtration System</w:t>
            </w:r>
          </w:p>
        </w:tc>
        <w:tc>
          <w:tcPr>
            <w:tcW w:w="3048" w:type="dxa"/>
            <w:tcBorders>
              <w:top w:val="single" w:sz="4" w:space="0" w:color="auto"/>
            </w:tcBorders>
          </w:tcPr>
          <w:p w14:paraId="5EAF48C8" w14:textId="77777777" w:rsidR="00955B2E" w:rsidRDefault="00955B2E" w:rsidP="00BF6964">
            <w:pPr>
              <w:pStyle w:val="BodyText"/>
              <w:numPr>
                <w:ilvl w:val="0"/>
                <w:numId w:val="47"/>
              </w:numPr>
              <w:spacing w:line="240" w:lineRule="auto"/>
              <w:jc w:val="left"/>
            </w:pPr>
            <w:r>
              <w:t>Helium Purification System</w:t>
            </w:r>
          </w:p>
          <w:p w14:paraId="05880C42" w14:textId="77777777" w:rsidR="00955B2E" w:rsidRDefault="00955B2E" w:rsidP="00BF6964">
            <w:pPr>
              <w:pStyle w:val="BodyText"/>
              <w:numPr>
                <w:ilvl w:val="0"/>
                <w:numId w:val="47"/>
              </w:numPr>
              <w:spacing w:line="240" w:lineRule="auto"/>
              <w:jc w:val="left"/>
            </w:pPr>
            <w:r>
              <w:t>Reactor Protection System</w:t>
            </w:r>
          </w:p>
          <w:p w14:paraId="4F4AED28" w14:textId="77777777" w:rsidR="00955B2E" w:rsidRDefault="00955B2E" w:rsidP="00BF6964">
            <w:pPr>
              <w:pStyle w:val="BodyText"/>
              <w:numPr>
                <w:ilvl w:val="0"/>
                <w:numId w:val="47"/>
              </w:numPr>
              <w:spacing w:line="240" w:lineRule="auto"/>
              <w:jc w:val="left"/>
            </w:pPr>
            <w:r>
              <w:t>Main Helium Blower</w:t>
            </w:r>
          </w:p>
          <w:p w14:paraId="37530099" w14:textId="77777777" w:rsidR="00955B2E" w:rsidRDefault="00955B2E" w:rsidP="00BF6964">
            <w:pPr>
              <w:pStyle w:val="BodyText"/>
              <w:spacing w:line="240" w:lineRule="auto"/>
              <w:ind w:firstLine="0"/>
              <w:jc w:val="left"/>
            </w:pPr>
          </w:p>
        </w:tc>
      </w:tr>
      <w:tr w:rsidR="00955B2E" w14:paraId="3FB7B517" w14:textId="77777777" w:rsidTr="00BF6964">
        <w:trPr>
          <w:trHeight w:val="2045"/>
          <w:jc w:val="center"/>
        </w:trPr>
        <w:tc>
          <w:tcPr>
            <w:tcW w:w="962" w:type="dxa"/>
          </w:tcPr>
          <w:p w14:paraId="7AF44CE2" w14:textId="77777777" w:rsidR="00955B2E" w:rsidRDefault="00955B2E" w:rsidP="005C544F">
            <w:pPr>
              <w:pStyle w:val="BodyText"/>
              <w:spacing w:line="240" w:lineRule="auto"/>
              <w:ind w:firstLine="0"/>
            </w:pPr>
            <w:r>
              <w:t>Passive</w:t>
            </w:r>
          </w:p>
        </w:tc>
        <w:tc>
          <w:tcPr>
            <w:tcW w:w="3433" w:type="dxa"/>
          </w:tcPr>
          <w:p w14:paraId="02ECCA85" w14:textId="3D8EFA8D" w:rsidR="00955B2E" w:rsidRDefault="00955B2E" w:rsidP="00BF6964">
            <w:pPr>
              <w:pStyle w:val="BodyText"/>
              <w:numPr>
                <w:ilvl w:val="0"/>
                <w:numId w:val="47"/>
              </w:numPr>
              <w:spacing w:line="240" w:lineRule="auto"/>
              <w:jc w:val="left"/>
            </w:pPr>
            <w:r>
              <w:t>Reactor Shutdown</w:t>
            </w:r>
          </w:p>
          <w:p w14:paraId="3C41639E" w14:textId="0C4645D2" w:rsidR="00955B2E" w:rsidRDefault="00955B2E" w:rsidP="00BF6964">
            <w:pPr>
              <w:pStyle w:val="BodyText"/>
              <w:numPr>
                <w:ilvl w:val="0"/>
                <w:numId w:val="47"/>
              </w:numPr>
              <w:spacing w:line="240" w:lineRule="auto"/>
              <w:jc w:val="left"/>
            </w:pPr>
            <w:r>
              <w:t>Emergency Cooldown</w:t>
            </w:r>
          </w:p>
          <w:p w14:paraId="073879AB" w14:textId="19E997A3" w:rsidR="00955B2E" w:rsidRDefault="00955B2E" w:rsidP="00BF6964">
            <w:pPr>
              <w:pStyle w:val="BodyText"/>
              <w:numPr>
                <w:ilvl w:val="0"/>
                <w:numId w:val="47"/>
              </w:numPr>
              <w:spacing w:line="240" w:lineRule="auto"/>
              <w:jc w:val="left"/>
            </w:pPr>
            <w:r>
              <w:t>Water Supply</w:t>
            </w:r>
          </w:p>
          <w:p w14:paraId="7FF19A7A" w14:textId="01D37A5B" w:rsidR="00955B2E" w:rsidRDefault="00955B2E" w:rsidP="00BF6964">
            <w:pPr>
              <w:pStyle w:val="BodyText"/>
              <w:numPr>
                <w:ilvl w:val="0"/>
                <w:numId w:val="47"/>
              </w:numPr>
              <w:spacing w:line="240" w:lineRule="auto"/>
              <w:jc w:val="left"/>
            </w:pPr>
            <w:r>
              <w:t>Containment Cooling</w:t>
            </w:r>
          </w:p>
          <w:p w14:paraId="788E3B67" w14:textId="5D5A93A0" w:rsidR="00955B2E" w:rsidRDefault="00955B2E" w:rsidP="00BF6964">
            <w:pPr>
              <w:pStyle w:val="BodyText"/>
              <w:numPr>
                <w:ilvl w:val="0"/>
                <w:numId w:val="47"/>
              </w:numPr>
              <w:spacing w:line="240" w:lineRule="auto"/>
              <w:jc w:val="left"/>
            </w:pPr>
            <w:r>
              <w:t>Reactor Vessel Cooling</w:t>
            </w:r>
          </w:p>
          <w:p w14:paraId="64E9B820" w14:textId="6482CDCC" w:rsidR="00955B2E" w:rsidRDefault="00955B2E" w:rsidP="00BF6964">
            <w:pPr>
              <w:pStyle w:val="BodyText"/>
              <w:numPr>
                <w:ilvl w:val="0"/>
                <w:numId w:val="47"/>
              </w:numPr>
              <w:spacing w:line="240" w:lineRule="auto"/>
              <w:jc w:val="left"/>
            </w:pPr>
            <w:r>
              <w:t>Self-Actuating Devices</w:t>
            </w:r>
          </w:p>
          <w:p w14:paraId="10203A34" w14:textId="14971927" w:rsidR="00955B2E" w:rsidRDefault="00955B2E" w:rsidP="00BF6964">
            <w:pPr>
              <w:pStyle w:val="BodyText"/>
              <w:numPr>
                <w:ilvl w:val="0"/>
                <w:numId w:val="47"/>
              </w:numPr>
              <w:spacing w:line="240" w:lineRule="auto"/>
              <w:jc w:val="left"/>
            </w:pPr>
            <w:r>
              <w:t>Containment</w:t>
            </w:r>
          </w:p>
          <w:p w14:paraId="790249A8" w14:textId="419EEA48" w:rsidR="00955B2E" w:rsidRDefault="00955B2E" w:rsidP="00BF6964">
            <w:pPr>
              <w:pStyle w:val="BodyText"/>
              <w:spacing w:line="240" w:lineRule="auto"/>
              <w:ind w:firstLine="0"/>
              <w:jc w:val="left"/>
            </w:pPr>
          </w:p>
        </w:tc>
        <w:tc>
          <w:tcPr>
            <w:tcW w:w="3048" w:type="dxa"/>
          </w:tcPr>
          <w:p w14:paraId="2C8D751E" w14:textId="714030B4" w:rsidR="00955B2E" w:rsidRDefault="00955B2E" w:rsidP="00BF6964">
            <w:pPr>
              <w:pStyle w:val="BodyText"/>
              <w:numPr>
                <w:ilvl w:val="0"/>
                <w:numId w:val="47"/>
              </w:numPr>
              <w:spacing w:line="240" w:lineRule="auto"/>
              <w:jc w:val="left"/>
            </w:pPr>
            <w:r>
              <w:t>Engineered Safety Systems</w:t>
            </w:r>
          </w:p>
          <w:p w14:paraId="57554656" w14:textId="02390ECD" w:rsidR="00955B2E" w:rsidRDefault="00955B2E" w:rsidP="00BF6964">
            <w:pPr>
              <w:pStyle w:val="BodyText"/>
              <w:numPr>
                <w:ilvl w:val="0"/>
                <w:numId w:val="47"/>
              </w:numPr>
              <w:spacing w:line="240" w:lineRule="auto"/>
              <w:jc w:val="left"/>
            </w:pPr>
            <w:r>
              <w:t>Heat Removal</w:t>
            </w:r>
          </w:p>
          <w:p w14:paraId="7D783BB6" w14:textId="358BE58D" w:rsidR="00955B2E" w:rsidRDefault="00955B2E" w:rsidP="00BF6964">
            <w:pPr>
              <w:pStyle w:val="BodyText"/>
              <w:numPr>
                <w:ilvl w:val="0"/>
                <w:numId w:val="47"/>
              </w:numPr>
              <w:spacing w:line="240" w:lineRule="auto"/>
              <w:jc w:val="left"/>
            </w:pPr>
            <w:r>
              <w:t>Water Discharge System</w:t>
            </w:r>
          </w:p>
          <w:p w14:paraId="2C7AB70D" w14:textId="77777777" w:rsidR="00955B2E" w:rsidRDefault="00955B2E" w:rsidP="00BF6964">
            <w:pPr>
              <w:pStyle w:val="BodyText"/>
              <w:spacing w:line="240" w:lineRule="auto"/>
              <w:ind w:left="360" w:firstLine="0"/>
              <w:jc w:val="left"/>
            </w:pPr>
          </w:p>
          <w:p w14:paraId="0897B998" w14:textId="61F97C2D" w:rsidR="00955B2E" w:rsidRDefault="00955B2E" w:rsidP="00BF6964">
            <w:pPr>
              <w:pStyle w:val="BodyText"/>
              <w:spacing w:line="240" w:lineRule="auto"/>
              <w:ind w:firstLine="0"/>
              <w:jc w:val="left"/>
            </w:pPr>
          </w:p>
        </w:tc>
      </w:tr>
      <w:tr w:rsidR="00955B2E" w14:paraId="12A15BD8" w14:textId="77777777" w:rsidTr="00BF6964">
        <w:trPr>
          <w:trHeight w:val="2045"/>
          <w:jc w:val="center"/>
        </w:trPr>
        <w:tc>
          <w:tcPr>
            <w:tcW w:w="962" w:type="dxa"/>
          </w:tcPr>
          <w:p w14:paraId="05AB0807" w14:textId="77777777" w:rsidR="00955B2E" w:rsidRDefault="00955B2E" w:rsidP="005C544F">
            <w:pPr>
              <w:pStyle w:val="BodyText"/>
              <w:spacing w:line="240" w:lineRule="auto"/>
              <w:ind w:firstLine="0"/>
            </w:pPr>
            <w:r>
              <w:t>Inherent</w:t>
            </w:r>
          </w:p>
        </w:tc>
        <w:tc>
          <w:tcPr>
            <w:tcW w:w="3433" w:type="dxa"/>
          </w:tcPr>
          <w:p w14:paraId="6977EF95" w14:textId="726EDE0C" w:rsidR="00955B2E" w:rsidRDefault="00955B2E" w:rsidP="00BF6964">
            <w:pPr>
              <w:pStyle w:val="BodyText"/>
              <w:numPr>
                <w:ilvl w:val="0"/>
                <w:numId w:val="47"/>
              </w:numPr>
              <w:spacing w:line="240" w:lineRule="auto"/>
              <w:jc w:val="left"/>
            </w:pPr>
            <w:r>
              <w:t>Negative Reactivity Coefficients</w:t>
            </w:r>
          </w:p>
          <w:p w14:paraId="3AA22779" w14:textId="3BF2EA07" w:rsidR="00955B2E" w:rsidRDefault="00955B2E" w:rsidP="00BF6964">
            <w:pPr>
              <w:pStyle w:val="BodyText"/>
              <w:numPr>
                <w:ilvl w:val="0"/>
                <w:numId w:val="47"/>
              </w:numPr>
              <w:spacing w:line="240" w:lineRule="auto"/>
              <w:jc w:val="left"/>
            </w:pPr>
            <w:r>
              <w:t>Fuel Composition</w:t>
            </w:r>
          </w:p>
          <w:p w14:paraId="70E1596F" w14:textId="0415EB78" w:rsidR="00955B2E" w:rsidRDefault="00955B2E" w:rsidP="00BF6964">
            <w:pPr>
              <w:pStyle w:val="BodyText"/>
              <w:numPr>
                <w:ilvl w:val="0"/>
                <w:numId w:val="47"/>
              </w:numPr>
              <w:spacing w:line="240" w:lineRule="auto"/>
              <w:jc w:val="left"/>
            </w:pPr>
            <w:r>
              <w:t>Natural Circulation</w:t>
            </w:r>
          </w:p>
          <w:p w14:paraId="0DE25678" w14:textId="3A232C7F" w:rsidR="00955B2E" w:rsidRDefault="00955B2E" w:rsidP="00BF6964">
            <w:pPr>
              <w:pStyle w:val="BodyText"/>
              <w:numPr>
                <w:ilvl w:val="0"/>
                <w:numId w:val="47"/>
              </w:numPr>
              <w:spacing w:line="240" w:lineRule="auto"/>
              <w:jc w:val="left"/>
            </w:pPr>
            <w:r>
              <w:t>Heat Storage Capacity</w:t>
            </w:r>
          </w:p>
          <w:p w14:paraId="60900A4A" w14:textId="6756A0BC" w:rsidR="00955B2E" w:rsidRDefault="00955B2E" w:rsidP="00BF6964">
            <w:pPr>
              <w:pStyle w:val="BodyText"/>
              <w:numPr>
                <w:ilvl w:val="0"/>
                <w:numId w:val="47"/>
              </w:numPr>
              <w:spacing w:line="240" w:lineRule="auto"/>
              <w:jc w:val="left"/>
            </w:pPr>
            <w:r>
              <w:t>Compact Design</w:t>
            </w:r>
          </w:p>
          <w:p w14:paraId="1E20897D" w14:textId="0B452D3F" w:rsidR="00955B2E" w:rsidRDefault="00955B2E" w:rsidP="00BF6964">
            <w:pPr>
              <w:pStyle w:val="BodyText"/>
              <w:numPr>
                <w:ilvl w:val="0"/>
                <w:numId w:val="47"/>
              </w:numPr>
              <w:spacing w:line="240" w:lineRule="auto"/>
              <w:jc w:val="left"/>
            </w:pPr>
            <w:r>
              <w:t>Flow Restrictors</w:t>
            </w:r>
          </w:p>
          <w:p w14:paraId="043A91E0" w14:textId="278D8234" w:rsidR="00955B2E" w:rsidRDefault="00955B2E" w:rsidP="00BF6964">
            <w:pPr>
              <w:pStyle w:val="BodyText"/>
              <w:numPr>
                <w:ilvl w:val="0"/>
                <w:numId w:val="47"/>
              </w:numPr>
              <w:spacing w:line="240" w:lineRule="auto"/>
              <w:jc w:val="left"/>
            </w:pPr>
            <w:r>
              <w:t>Leak Before Break Concept</w:t>
            </w:r>
          </w:p>
          <w:p w14:paraId="16A16F6E" w14:textId="041BBFE1" w:rsidR="00955B2E" w:rsidRDefault="00955B2E" w:rsidP="00BF6964">
            <w:pPr>
              <w:pStyle w:val="BodyText"/>
              <w:numPr>
                <w:ilvl w:val="0"/>
                <w:numId w:val="47"/>
              </w:numPr>
              <w:spacing w:line="240" w:lineRule="auto"/>
              <w:jc w:val="left"/>
            </w:pPr>
            <w:r>
              <w:t>Once-Through Steam Generators</w:t>
            </w:r>
          </w:p>
        </w:tc>
        <w:tc>
          <w:tcPr>
            <w:tcW w:w="3048" w:type="dxa"/>
          </w:tcPr>
          <w:p w14:paraId="13863E99" w14:textId="312ED515" w:rsidR="00955B2E" w:rsidRDefault="00955B2E" w:rsidP="00BF6964">
            <w:pPr>
              <w:pStyle w:val="BodyText"/>
              <w:numPr>
                <w:ilvl w:val="0"/>
                <w:numId w:val="47"/>
              </w:numPr>
              <w:spacing w:line="240" w:lineRule="auto"/>
              <w:jc w:val="left"/>
            </w:pPr>
            <w:r>
              <w:t>Retention of Radioactive Materials</w:t>
            </w:r>
          </w:p>
          <w:p w14:paraId="49F1ED5E" w14:textId="62A19B64" w:rsidR="00955B2E" w:rsidRDefault="00955B2E" w:rsidP="00BF6964">
            <w:pPr>
              <w:pStyle w:val="BodyText"/>
              <w:numPr>
                <w:ilvl w:val="0"/>
                <w:numId w:val="47"/>
              </w:numPr>
              <w:spacing w:line="240" w:lineRule="auto"/>
              <w:jc w:val="left"/>
            </w:pPr>
            <w:r>
              <w:t>Decay Heat Removal</w:t>
            </w:r>
          </w:p>
          <w:p w14:paraId="612BFB6C" w14:textId="1E05E151" w:rsidR="00955B2E" w:rsidRDefault="00955B2E" w:rsidP="00BF6964">
            <w:pPr>
              <w:pStyle w:val="BodyText"/>
              <w:numPr>
                <w:ilvl w:val="0"/>
                <w:numId w:val="47"/>
              </w:numPr>
              <w:spacing w:line="240" w:lineRule="auto"/>
              <w:jc w:val="left"/>
            </w:pPr>
            <w:r>
              <w:t>Negative Temperature Reactivity Feedback</w:t>
            </w:r>
          </w:p>
          <w:p w14:paraId="5204864F" w14:textId="3EDED13F" w:rsidR="00955B2E" w:rsidRDefault="00955B2E" w:rsidP="00BF6964">
            <w:pPr>
              <w:pStyle w:val="BodyText"/>
              <w:spacing w:line="240" w:lineRule="auto"/>
              <w:ind w:firstLine="0"/>
              <w:jc w:val="left"/>
            </w:pPr>
          </w:p>
        </w:tc>
      </w:tr>
    </w:tbl>
    <w:p w14:paraId="71C0DFA5" w14:textId="5665DD8F" w:rsidR="00B51C6F" w:rsidRDefault="007302B7" w:rsidP="00BC2907">
      <w:pPr>
        <w:pStyle w:val="Heading2"/>
        <w:numPr>
          <w:ilvl w:val="0"/>
          <w:numId w:val="49"/>
        </w:numPr>
      </w:pPr>
      <w:r>
        <w:t>REACTOR TECHNOLOGY ASSESSMENT (RTA) METHO</w:t>
      </w:r>
      <w:r w:rsidR="0085280A">
        <w:t>do</w:t>
      </w:r>
      <w:r>
        <w:t xml:space="preserve">LOGY </w:t>
      </w:r>
    </w:p>
    <w:p w14:paraId="2871CC0A" w14:textId="3A20A490" w:rsidR="006025DF" w:rsidRDefault="006025DF" w:rsidP="005077D0">
      <w:pPr>
        <w:pStyle w:val="BodyText"/>
        <w:ind w:firstLine="360"/>
      </w:pPr>
      <w:r>
        <w:t>The evaluation of the two SMR technologies was conducted using the Reactor Technology Assessment (RTA) methodology. RTA, developed by the IAEA, serves as a comprehensive guide for member states in identifying, evaluating, and selecting the most suitable nuclear technology options to meet their national energy requirements and nuclear policy objectives. The RTA framework includes ten Key Elements (KE), each defined by specific user and technical criteria, or Key Topics (KT</w:t>
      </w:r>
      <w:r w:rsidR="00926513">
        <w:t xml:space="preserve">). </w:t>
      </w:r>
      <w:r>
        <w:t>Each KE is defined by a varying number of KTs, and their importance is not uniformly distributed. The relative weights of each KE are determined by the specific priorities and needs of each country</w:t>
      </w:r>
      <w:r w:rsidR="00324179">
        <w:t xml:space="preserve"> </w:t>
      </w:r>
      <w:sdt>
        <w:sdtPr>
          <w:id w:val="-2080893949"/>
          <w:citation/>
        </w:sdtPr>
        <w:sdtContent>
          <w:r w:rsidR="00324179">
            <w:fldChar w:fldCharType="begin"/>
          </w:r>
          <w:r w:rsidR="00324179">
            <w:rPr>
              <w:lang w:val="en-PH"/>
            </w:rPr>
            <w:instrText xml:space="preserve"> CITATION IAE221 \l 13321 </w:instrText>
          </w:r>
          <w:r w:rsidR="00324179">
            <w:fldChar w:fldCharType="separate"/>
          </w:r>
          <w:r w:rsidR="00082570" w:rsidRPr="00082570">
            <w:rPr>
              <w:noProof/>
              <w:lang w:val="en-PH"/>
            </w:rPr>
            <w:t>[5]</w:t>
          </w:r>
          <w:r w:rsidR="00324179">
            <w:fldChar w:fldCharType="end"/>
          </w:r>
        </w:sdtContent>
      </w:sdt>
      <w:r>
        <w:t>.</w:t>
      </w:r>
      <w:r w:rsidR="007D22E4">
        <w:t xml:space="preserve"> In this study, the rationale and weights were inputted by local nuclear engineers that ha</w:t>
      </w:r>
      <w:r w:rsidR="005776A9">
        <w:t>ve</w:t>
      </w:r>
      <w:r w:rsidR="007D22E4">
        <w:t xml:space="preserve"> relatively strong background knowledge on nuclear power plants. </w:t>
      </w:r>
    </w:p>
    <w:p w14:paraId="5A8AA2E1" w14:textId="77777777" w:rsidR="00430D40" w:rsidRDefault="00430D40" w:rsidP="005077D0">
      <w:pPr>
        <w:pStyle w:val="BodyText"/>
        <w:ind w:firstLine="360"/>
      </w:pPr>
    </w:p>
    <w:p w14:paraId="793181FD" w14:textId="5FB5AEC5" w:rsidR="005077D0" w:rsidRDefault="006025DF" w:rsidP="007302B7">
      <w:pPr>
        <w:pStyle w:val="BodyText"/>
        <w:ind w:firstLine="360"/>
      </w:pPr>
      <w:r>
        <w:t xml:space="preserve">This </w:t>
      </w:r>
      <w:r w:rsidR="00167693">
        <w:t xml:space="preserve">study </w:t>
      </w:r>
      <w:r>
        <w:t xml:space="preserve">employs the RTA on the </w:t>
      </w:r>
      <w:r w:rsidR="00167693">
        <w:t>n</w:t>
      </w:r>
      <w:r>
        <w:t xml:space="preserve">uclear </w:t>
      </w:r>
      <w:r w:rsidR="00167693">
        <w:t>s</w:t>
      </w:r>
      <w:r>
        <w:t>afe</w:t>
      </w:r>
      <w:r w:rsidR="007D22E4">
        <w:t>ty</w:t>
      </w:r>
      <w:r w:rsidR="00167693">
        <w:t xml:space="preserve"> only</w:t>
      </w:r>
      <w:r w:rsidR="007D22E4">
        <w:t>, which is the</w:t>
      </w:r>
      <w:r>
        <w:t xml:space="preserve"> key element </w:t>
      </w:r>
      <w:r w:rsidR="0017069B">
        <w:t xml:space="preserve">3 </w:t>
      </w:r>
      <w:r>
        <w:t>(KE3)</w:t>
      </w:r>
      <w:r w:rsidR="007D22E4">
        <w:t xml:space="preserve">. </w:t>
      </w:r>
      <w:r w:rsidR="00167693" w:rsidRPr="00167693">
        <w:t xml:space="preserve">Nuclear safety, as determined by local experts, is a critical factor in SMR technology selection. It encompasses considerations of nuclear power plant (NPP) operating conditions, accident prevention, and the mitigation of accident consequences, </w:t>
      </w:r>
      <w:r w:rsidR="00167693" w:rsidRPr="00167693">
        <w:lastRenderedPageBreak/>
        <w:t>ultimately protecting workers, the public, and the environment from undue radiation hazards.</w:t>
      </w:r>
      <w:r>
        <w:t xml:space="preserve"> KE3 is defined and described by twelve (12) user/technical criteria or key topics</w:t>
      </w:r>
      <w:r w:rsidR="007D22E4">
        <w:t xml:space="preserve">. Complete details and description of these key topics are </w:t>
      </w:r>
      <w:r w:rsidR="00324179">
        <w:t xml:space="preserve">found in this reference </w:t>
      </w:r>
      <w:sdt>
        <w:sdtPr>
          <w:id w:val="1077483970"/>
          <w:citation/>
        </w:sdtPr>
        <w:sdtContent>
          <w:r w:rsidR="00324179">
            <w:fldChar w:fldCharType="begin"/>
          </w:r>
          <w:r w:rsidR="00324179">
            <w:rPr>
              <w:lang w:val="en-PH"/>
            </w:rPr>
            <w:instrText xml:space="preserve"> CITATION IAE221 \l 13321 </w:instrText>
          </w:r>
          <w:r w:rsidR="00324179">
            <w:fldChar w:fldCharType="separate"/>
          </w:r>
          <w:r w:rsidR="00082570" w:rsidRPr="00082570">
            <w:rPr>
              <w:noProof/>
              <w:lang w:val="en-PH"/>
            </w:rPr>
            <w:t>[5]</w:t>
          </w:r>
          <w:r w:rsidR="00324179">
            <w:fldChar w:fldCharType="end"/>
          </w:r>
        </w:sdtContent>
      </w:sdt>
      <w:r w:rsidR="00324179">
        <w:t>.</w:t>
      </w:r>
    </w:p>
    <w:p w14:paraId="48622F6F" w14:textId="3052F298" w:rsidR="00324179" w:rsidRDefault="00324179" w:rsidP="005077D0">
      <w:pPr>
        <w:pStyle w:val="BodyText"/>
        <w:ind w:firstLine="360"/>
      </w:pPr>
      <w:r>
        <w:t>To quantify the weight values and scores for each Key Topic, a comprehensive review of the status reports for KLT-40s and HTR-PM was conducted. Local nuclear energy experts discussed and provided input for the rationale behind the weight values and scores. The importance values of the 12 Key Topics within the Nuclear Safety Key Element (KE3) were assigned by these experts, with corresponding justifications or rationales developed simultaneously. The total importance values for all Key Topics in KE3 sum up to 100%.</w:t>
      </w:r>
    </w:p>
    <w:p w14:paraId="79C28B44" w14:textId="77777777" w:rsidR="00324179" w:rsidRDefault="00324179" w:rsidP="00324179">
      <w:pPr>
        <w:pStyle w:val="BodyText"/>
      </w:pPr>
    </w:p>
    <w:p w14:paraId="640CFF90" w14:textId="376596A8" w:rsidR="006025DF" w:rsidRDefault="00324179" w:rsidP="009C21DD">
      <w:pPr>
        <w:pStyle w:val="BodyText"/>
        <w:ind w:firstLine="360"/>
      </w:pPr>
      <w:r>
        <w:t>Each reactor technology is then evaluated on a scale from 1 to 5, where 1 indicates that the design least meets the rationale for scoring, and 5 indicates the best fit. The reactor technology that achieves the highest scores after evaluating all Key Topics is considered the most suitable in terms of Nuclear Safety.</w:t>
      </w:r>
    </w:p>
    <w:p w14:paraId="64250F3D" w14:textId="1C2EBDA4" w:rsidR="006025DF" w:rsidRDefault="007302B7" w:rsidP="00BC2907">
      <w:pPr>
        <w:pStyle w:val="Heading2"/>
        <w:numPr>
          <w:ilvl w:val="0"/>
          <w:numId w:val="49"/>
        </w:numPr>
      </w:pPr>
      <w:r>
        <w:t>RESULTS AND DISCUSSION</w:t>
      </w:r>
    </w:p>
    <w:p w14:paraId="4A46BB7B" w14:textId="682AF0FF" w:rsidR="00156C9B" w:rsidRDefault="00997A95" w:rsidP="0017069B">
      <w:pPr>
        <w:pStyle w:val="BodyText"/>
      </w:pPr>
      <w:r w:rsidRPr="00997A95">
        <w:t>Table 3 presents the results of the</w:t>
      </w:r>
      <w:r>
        <w:t xml:space="preserve"> </w:t>
      </w:r>
      <w:r w:rsidRPr="00997A95">
        <w:t>RTA applied SMRs with a focus on nuclear safety. The table includes the weight percentages assigned to 12 key topics, the scores for each SMR technology, and the weight percentages provided by local experts.</w:t>
      </w:r>
      <w:r w:rsidR="0017069B">
        <w:t xml:space="preserve"> </w:t>
      </w:r>
      <w:r w:rsidR="00156C9B">
        <w:t>The implementation of the defence-in-depth (</w:t>
      </w:r>
      <w:proofErr w:type="spellStart"/>
      <w:r w:rsidR="00156C9B">
        <w:t>DiD</w:t>
      </w:r>
      <w:proofErr w:type="spellEnd"/>
      <w:r w:rsidR="00156C9B">
        <w:t>) philosophy received the highest weight percentage (20%) among other key topics. Following this, the completeness of operational limits and conditions (OLCs), safety analysis report (SAR), probabilistic safety assessment (PSA), operating and emergency procedures (O&amp;EPs), and severe accident management guidelines (SAMGs) received a weight of 15%. Protection against internal and external hazards, results of deterministic safety analysis, and results of probabilistic safety assessment each received 10%. Other key topics not mentioned here received only 5%.</w:t>
      </w:r>
    </w:p>
    <w:p w14:paraId="25B72B0F" w14:textId="77777777" w:rsidR="0048173A" w:rsidRDefault="0048173A" w:rsidP="0048173A">
      <w:pPr>
        <w:pStyle w:val="BodyText"/>
        <w:ind w:firstLine="0"/>
      </w:pPr>
    </w:p>
    <w:p w14:paraId="7D25C550" w14:textId="61DE0883" w:rsidR="0048173A" w:rsidRDefault="00880F6B" w:rsidP="00880F6B">
      <w:pPr>
        <w:pStyle w:val="Caption"/>
        <w:keepNext/>
        <w:ind w:left="1134" w:hanging="1134"/>
      </w:pPr>
      <w:r>
        <w:t>TABLE</w:t>
      </w:r>
      <w:r w:rsidR="0048173A">
        <w:t xml:space="preserve"> </w:t>
      </w:r>
      <w:r w:rsidR="0048173A">
        <w:fldChar w:fldCharType="begin"/>
      </w:r>
      <w:r w:rsidR="0048173A">
        <w:instrText xml:space="preserve"> SEQ Table \* ARABIC </w:instrText>
      </w:r>
      <w:r w:rsidR="0048173A">
        <w:fldChar w:fldCharType="separate"/>
      </w:r>
      <w:r w:rsidR="0048173A">
        <w:rPr>
          <w:noProof/>
        </w:rPr>
        <w:t>3</w:t>
      </w:r>
      <w:r w:rsidR="0048173A">
        <w:fldChar w:fldCharType="end"/>
      </w:r>
      <w:r>
        <w:t>.</w:t>
      </w:r>
      <w:r w:rsidR="0048173A">
        <w:t xml:space="preserve"> </w:t>
      </w:r>
      <w:r>
        <w:tab/>
      </w:r>
      <w:r w:rsidR="0048173A">
        <w:t xml:space="preserve">RTA </w:t>
      </w:r>
      <w:r>
        <w:t xml:space="preserve">WEIGHT PERCENTAGE SCORE, SMR DESIGN SCORE, AND WEIGHTED SCORES OF THE KLT-40S AND HTR-PM. </w:t>
      </w:r>
    </w:p>
    <w:p w14:paraId="69BE2E34" w14:textId="77777777" w:rsidR="00880F6B" w:rsidRPr="00880F6B" w:rsidRDefault="00880F6B" w:rsidP="00880F6B">
      <w:pPr>
        <w:rPr>
          <w:lang w:val="en-US"/>
        </w:rPr>
      </w:pPr>
    </w:p>
    <w:tbl>
      <w:tblPr>
        <w:tblW w:w="9080" w:type="dxa"/>
        <w:tblBorders>
          <w:top w:val="single" w:sz="4" w:space="0" w:color="auto"/>
          <w:bottom w:val="single" w:sz="4" w:space="0" w:color="auto"/>
          <w:insideV w:val="single" w:sz="4" w:space="0" w:color="auto"/>
        </w:tblBorders>
        <w:tblLook w:val="04A0" w:firstRow="1" w:lastRow="0" w:firstColumn="1" w:lastColumn="0" w:noHBand="0" w:noVBand="1"/>
      </w:tblPr>
      <w:tblGrid>
        <w:gridCol w:w="416"/>
        <w:gridCol w:w="3904"/>
        <w:gridCol w:w="640"/>
        <w:gridCol w:w="895"/>
        <w:gridCol w:w="905"/>
        <w:gridCol w:w="1080"/>
        <w:gridCol w:w="1240"/>
      </w:tblGrid>
      <w:tr w:rsidR="0048173A" w:rsidRPr="0077338B" w14:paraId="7F7E8F94" w14:textId="77777777" w:rsidTr="00997A95">
        <w:trPr>
          <w:trHeight w:val="300"/>
        </w:trPr>
        <w:tc>
          <w:tcPr>
            <w:tcW w:w="4320" w:type="dxa"/>
            <w:gridSpan w:val="2"/>
            <w:tcBorders>
              <w:top w:val="single" w:sz="4" w:space="0" w:color="auto"/>
              <w:bottom w:val="nil"/>
              <w:right w:val="nil"/>
            </w:tcBorders>
            <w:shd w:val="clear" w:color="000000" w:fill="FFFFFF"/>
            <w:noWrap/>
            <w:vAlign w:val="bottom"/>
            <w:hideMark/>
          </w:tcPr>
          <w:p w14:paraId="70B447AD"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NUCLEAR SAFETY</w:t>
            </w:r>
          </w:p>
        </w:tc>
        <w:tc>
          <w:tcPr>
            <w:tcW w:w="640" w:type="dxa"/>
            <w:vMerge w:val="restart"/>
            <w:tcBorders>
              <w:top w:val="single" w:sz="4" w:space="0" w:color="auto"/>
              <w:left w:val="nil"/>
              <w:bottom w:val="nil"/>
              <w:right w:val="nil"/>
            </w:tcBorders>
            <w:shd w:val="clear" w:color="000000" w:fill="FFFFFF"/>
            <w:noWrap/>
            <w:vAlign w:val="center"/>
            <w:hideMark/>
          </w:tcPr>
          <w:p w14:paraId="4F2EA64B"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w:t>
            </w:r>
          </w:p>
        </w:tc>
        <w:tc>
          <w:tcPr>
            <w:tcW w:w="1800" w:type="dxa"/>
            <w:gridSpan w:val="2"/>
            <w:tcBorders>
              <w:top w:val="single" w:sz="4" w:space="0" w:color="auto"/>
              <w:left w:val="nil"/>
              <w:bottom w:val="nil"/>
              <w:right w:val="nil"/>
            </w:tcBorders>
            <w:shd w:val="clear" w:color="000000" w:fill="FFFFFF"/>
            <w:noWrap/>
            <w:vAlign w:val="center"/>
            <w:hideMark/>
          </w:tcPr>
          <w:p w14:paraId="4BAE5B32"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Scores</w:t>
            </w:r>
          </w:p>
        </w:tc>
        <w:tc>
          <w:tcPr>
            <w:tcW w:w="2320" w:type="dxa"/>
            <w:gridSpan w:val="2"/>
            <w:tcBorders>
              <w:top w:val="single" w:sz="4" w:space="0" w:color="auto"/>
              <w:left w:val="nil"/>
              <w:bottom w:val="nil"/>
            </w:tcBorders>
            <w:shd w:val="clear" w:color="000000" w:fill="FFFFFF"/>
            <w:noWrap/>
            <w:vAlign w:val="center"/>
            <w:hideMark/>
          </w:tcPr>
          <w:p w14:paraId="7AED5FBB"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Weighted Score</w:t>
            </w:r>
          </w:p>
        </w:tc>
      </w:tr>
      <w:tr w:rsidR="0048173A" w:rsidRPr="0077338B" w14:paraId="02E254BB" w14:textId="77777777" w:rsidTr="00997A95">
        <w:trPr>
          <w:trHeight w:val="300"/>
        </w:trPr>
        <w:tc>
          <w:tcPr>
            <w:tcW w:w="4320" w:type="dxa"/>
            <w:gridSpan w:val="2"/>
            <w:tcBorders>
              <w:top w:val="nil"/>
              <w:bottom w:val="single" w:sz="4" w:space="0" w:color="auto"/>
              <w:right w:val="nil"/>
            </w:tcBorders>
            <w:shd w:val="clear" w:color="000000" w:fill="FFFFFF"/>
            <w:noWrap/>
            <w:vAlign w:val="center"/>
            <w:hideMark/>
          </w:tcPr>
          <w:p w14:paraId="35570A57"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Key Topics</w:t>
            </w:r>
          </w:p>
        </w:tc>
        <w:tc>
          <w:tcPr>
            <w:tcW w:w="640" w:type="dxa"/>
            <w:vMerge/>
            <w:tcBorders>
              <w:top w:val="nil"/>
              <w:left w:val="nil"/>
              <w:bottom w:val="single" w:sz="4" w:space="0" w:color="auto"/>
              <w:right w:val="nil"/>
            </w:tcBorders>
            <w:vAlign w:val="center"/>
            <w:hideMark/>
          </w:tcPr>
          <w:p w14:paraId="673482E5" w14:textId="77777777" w:rsidR="0048173A" w:rsidRPr="0077338B" w:rsidRDefault="0048173A" w:rsidP="00F4372F">
            <w:pPr>
              <w:overflowPunct/>
              <w:autoSpaceDE/>
              <w:autoSpaceDN/>
              <w:adjustRightInd/>
              <w:textAlignment w:val="auto"/>
              <w:rPr>
                <w:b/>
                <w:bCs/>
                <w:color w:val="000000"/>
                <w:sz w:val="20"/>
                <w:lang w:val="en-PH" w:eastAsia="en-PH"/>
              </w:rPr>
            </w:pPr>
          </w:p>
        </w:tc>
        <w:tc>
          <w:tcPr>
            <w:tcW w:w="895" w:type="dxa"/>
            <w:tcBorders>
              <w:top w:val="nil"/>
              <w:left w:val="nil"/>
              <w:bottom w:val="single" w:sz="4" w:space="0" w:color="auto"/>
              <w:right w:val="nil"/>
            </w:tcBorders>
            <w:shd w:val="clear" w:color="000000" w:fill="FFFFFF"/>
            <w:noWrap/>
            <w:vAlign w:val="center"/>
            <w:hideMark/>
          </w:tcPr>
          <w:p w14:paraId="648E7C7B"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KLT-40S</w:t>
            </w:r>
          </w:p>
        </w:tc>
        <w:tc>
          <w:tcPr>
            <w:tcW w:w="905" w:type="dxa"/>
            <w:tcBorders>
              <w:top w:val="nil"/>
              <w:left w:val="nil"/>
              <w:bottom w:val="single" w:sz="4" w:space="0" w:color="auto"/>
              <w:right w:val="nil"/>
            </w:tcBorders>
            <w:shd w:val="clear" w:color="000000" w:fill="FFFFFF"/>
            <w:noWrap/>
            <w:vAlign w:val="center"/>
            <w:hideMark/>
          </w:tcPr>
          <w:p w14:paraId="494A6D19"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HTR-PM</w:t>
            </w:r>
          </w:p>
        </w:tc>
        <w:tc>
          <w:tcPr>
            <w:tcW w:w="1080" w:type="dxa"/>
            <w:tcBorders>
              <w:top w:val="nil"/>
              <w:left w:val="nil"/>
              <w:bottom w:val="single" w:sz="4" w:space="0" w:color="auto"/>
              <w:right w:val="nil"/>
            </w:tcBorders>
            <w:shd w:val="clear" w:color="000000" w:fill="FFFFFF"/>
            <w:noWrap/>
            <w:vAlign w:val="center"/>
            <w:hideMark/>
          </w:tcPr>
          <w:p w14:paraId="47483FEF"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KLT-40s</w:t>
            </w:r>
          </w:p>
        </w:tc>
        <w:tc>
          <w:tcPr>
            <w:tcW w:w="1240" w:type="dxa"/>
            <w:tcBorders>
              <w:top w:val="nil"/>
              <w:left w:val="nil"/>
              <w:bottom w:val="single" w:sz="4" w:space="0" w:color="auto"/>
            </w:tcBorders>
            <w:shd w:val="clear" w:color="000000" w:fill="FFFFFF"/>
            <w:noWrap/>
            <w:vAlign w:val="center"/>
            <w:hideMark/>
          </w:tcPr>
          <w:p w14:paraId="39C98439"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HTR-PM</w:t>
            </w:r>
          </w:p>
        </w:tc>
      </w:tr>
      <w:tr w:rsidR="0048173A" w:rsidRPr="0077338B" w14:paraId="6DE7090F" w14:textId="77777777" w:rsidTr="00997A95">
        <w:trPr>
          <w:trHeight w:val="585"/>
        </w:trPr>
        <w:tc>
          <w:tcPr>
            <w:tcW w:w="416" w:type="dxa"/>
            <w:tcBorders>
              <w:top w:val="single" w:sz="4" w:space="0" w:color="auto"/>
              <w:right w:val="nil"/>
            </w:tcBorders>
            <w:shd w:val="clear" w:color="000000" w:fill="FFFFFF"/>
            <w:noWrap/>
            <w:vAlign w:val="center"/>
            <w:hideMark/>
          </w:tcPr>
          <w:p w14:paraId="3FD92B21"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1</w:t>
            </w:r>
          </w:p>
        </w:tc>
        <w:tc>
          <w:tcPr>
            <w:tcW w:w="3904" w:type="dxa"/>
            <w:tcBorders>
              <w:top w:val="single" w:sz="4" w:space="0" w:color="auto"/>
              <w:left w:val="nil"/>
              <w:right w:val="nil"/>
            </w:tcBorders>
            <w:shd w:val="clear" w:color="000000" w:fill="FFFFFF"/>
            <w:vAlign w:val="center"/>
            <w:hideMark/>
          </w:tcPr>
          <w:p w14:paraId="09585661" w14:textId="77777777" w:rsidR="0048173A" w:rsidRPr="0077338B" w:rsidRDefault="0048173A" w:rsidP="00F4372F">
            <w:pPr>
              <w:overflowPunct/>
              <w:autoSpaceDE/>
              <w:autoSpaceDN/>
              <w:adjustRightInd/>
              <w:textAlignment w:val="auto"/>
              <w:rPr>
                <w:color w:val="000000"/>
                <w:sz w:val="20"/>
                <w:lang w:val="en-PH" w:eastAsia="en-PH"/>
              </w:rPr>
            </w:pPr>
            <w:r w:rsidRPr="0077338B">
              <w:rPr>
                <w:color w:val="000000"/>
                <w:sz w:val="20"/>
                <w:lang w:val="en-PH" w:eastAsia="en-PH"/>
              </w:rPr>
              <w:t xml:space="preserve">Implementation of </w:t>
            </w:r>
            <w:proofErr w:type="spellStart"/>
            <w:r w:rsidRPr="0077338B">
              <w:rPr>
                <w:color w:val="000000"/>
                <w:sz w:val="20"/>
                <w:lang w:val="en-PH" w:eastAsia="en-PH"/>
              </w:rPr>
              <w:t>defence</w:t>
            </w:r>
            <w:proofErr w:type="spellEnd"/>
            <w:r>
              <w:rPr>
                <w:color w:val="000000"/>
                <w:sz w:val="20"/>
                <w:lang w:val="en-PH" w:eastAsia="en-PH"/>
              </w:rPr>
              <w:t>-</w:t>
            </w:r>
            <w:r w:rsidRPr="0077338B">
              <w:rPr>
                <w:color w:val="000000"/>
                <w:sz w:val="20"/>
                <w:lang w:val="en-PH" w:eastAsia="en-PH"/>
              </w:rPr>
              <w:t>in</w:t>
            </w:r>
            <w:r>
              <w:rPr>
                <w:color w:val="000000"/>
                <w:sz w:val="20"/>
                <w:lang w:val="en-PH" w:eastAsia="en-PH"/>
              </w:rPr>
              <w:t>-</w:t>
            </w:r>
            <w:r w:rsidRPr="0077338B">
              <w:rPr>
                <w:color w:val="000000"/>
                <w:sz w:val="20"/>
                <w:lang w:val="en-PH" w:eastAsia="en-PH"/>
              </w:rPr>
              <w:t>depth (</w:t>
            </w:r>
            <w:proofErr w:type="spellStart"/>
            <w:r w:rsidRPr="0077338B">
              <w:rPr>
                <w:color w:val="000000"/>
                <w:sz w:val="20"/>
                <w:lang w:val="en-PH" w:eastAsia="en-PH"/>
              </w:rPr>
              <w:t>DiD</w:t>
            </w:r>
            <w:proofErr w:type="spellEnd"/>
            <w:r w:rsidRPr="0077338B">
              <w:rPr>
                <w:color w:val="000000"/>
                <w:sz w:val="20"/>
                <w:lang w:val="en-PH" w:eastAsia="en-PH"/>
              </w:rPr>
              <w:t>) philosophy</w:t>
            </w:r>
          </w:p>
        </w:tc>
        <w:tc>
          <w:tcPr>
            <w:tcW w:w="640" w:type="dxa"/>
            <w:tcBorders>
              <w:top w:val="single" w:sz="4" w:space="0" w:color="auto"/>
              <w:left w:val="nil"/>
              <w:right w:val="nil"/>
            </w:tcBorders>
            <w:shd w:val="clear" w:color="000000" w:fill="FFFFFF"/>
            <w:noWrap/>
            <w:vAlign w:val="center"/>
            <w:hideMark/>
          </w:tcPr>
          <w:p w14:paraId="1CF67300"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20</w:t>
            </w:r>
          </w:p>
        </w:tc>
        <w:tc>
          <w:tcPr>
            <w:tcW w:w="895" w:type="dxa"/>
            <w:tcBorders>
              <w:top w:val="single" w:sz="4" w:space="0" w:color="auto"/>
              <w:left w:val="nil"/>
              <w:right w:val="nil"/>
            </w:tcBorders>
            <w:shd w:val="clear" w:color="000000" w:fill="FFFFFF"/>
            <w:noWrap/>
            <w:vAlign w:val="center"/>
            <w:hideMark/>
          </w:tcPr>
          <w:p w14:paraId="35A67D79"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4</w:t>
            </w:r>
          </w:p>
        </w:tc>
        <w:tc>
          <w:tcPr>
            <w:tcW w:w="905" w:type="dxa"/>
            <w:tcBorders>
              <w:top w:val="single" w:sz="4" w:space="0" w:color="auto"/>
              <w:left w:val="nil"/>
              <w:right w:val="nil"/>
            </w:tcBorders>
            <w:shd w:val="clear" w:color="000000" w:fill="FFFFFF"/>
            <w:noWrap/>
            <w:vAlign w:val="center"/>
            <w:hideMark/>
          </w:tcPr>
          <w:p w14:paraId="4F2866D2"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5</w:t>
            </w:r>
          </w:p>
        </w:tc>
        <w:tc>
          <w:tcPr>
            <w:tcW w:w="1080" w:type="dxa"/>
            <w:tcBorders>
              <w:top w:val="single" w:sz="4" w:space="0" w:color="auto"/>
              <w:left w:val="nil"/>
              <w:right w:val="nil"/>
            </w:tcBorders>
            <w:shd w:val="clear" w:color="000000" w:fill="FFFFFF"/>
            <w:vAlign w:val="center"/>
            <w:hideMark/>
          </w:tcPr>
          <w:p w14:paraId="5BFD544A"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0.8</w:t>
            </w:r>
          </w:p>
        </w:tc>
        <w:tc>
          <w:tcPr>
            <w:tcW w:w="1240" w:type="dxa"/>
            <w:tcBorders>
              <w:top w:val="single" w:sz="4" w:space="0" w:color="auto"/>
              <w:left w:val="nil"/>
            </w:tcBorders>
            <w:shd w:val="clear" w:color="000000" w:fill="FFFFFF"/>
            <w:vAlign w:val="center"/>
            <w:hideMark/>
          </w:tcPr>
          <w:p w14:paraId="20977819"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1</w:t>
            </w:r>
          </w:p>
        </w:tc>
      </w:tr>
      <w:tr w:rsidR="0048173A" w:rsidRPr="0077338B" w14:paraId="08DF9CDD" w14:textId="77777777" w:rsidTr="00997A95">
        <w:trPr>
          <w:trHeight w:val="330"/>
        </w:trPr>
        <w:tc>
          <w:tcPr>
            <w:tcW w:w="416" w:type="dxa"/>
            <w:tcBorders>
              <w:right w:val="nil"/>
            </w:tcBorders>
            <w:shd w:val="clear" w:color="000000" w:fill="FFFFFF"/>
            <w:noWrap/>
            <w:vAlign w:val="center"/>
            <w:hideMark/>
          </w:tcPr>
          <w:p w14:paraId="53536435"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2</w:t>
            </w:r>
          </w:p>
        </w:tc>
        <w:tc>
          <w:tcPr>
            <w:tcW w:w="3904" w:type="dxa"/>
            <w:tcBorders>
              <w:left w:val="nil"/>
              <w:right w:val="nil"/>
            </w:tcBorders>
            <w:shd w:val="clear" w:color="000000" w:fill="FFFFFF"/>
            <w:vAlign w:val="center"/>
            <w:hideMark/>
          </w:tcPr>
          <w:p w14:paraId="4138247D" w14:textId="77777777" w:rsidR="0048173A" w:rsidRPr="0077338B" w:rsidRDefault="0048173A" w:rsidP="00F4372F">
            <w:pPr>
              <w:overflowPunct/>
              <w:autoSpaceDE/>
              <w:autoSpaceDN/>
              <w:adjustRightInd/>
              <w:textAlignment w:val="auto"/>
              <w:rPr>
                <w:color w:val="000000"/>
                <w:sz w:val="20"/>
                <w:lang w:val="en-PH" w:eastAsia="en-PH"/>
              </w:rPr>
            </w:pPr>
            <w:r w:rsidRPr="0077338B">
              <w:rPr>
                <w:color w:val="000000"/>
                <w:sz w:val="20"/>
                <w:lang w:val="en-PH" w:eastAsia="en-PH"/>
              </w:rPr>
              <w:t>Safety design philosophy</w:t>
            </w:r>
          </w:p>
        </w:tc>
        <w:tc>
          <w:tcPr>
            <w:tcW w:w="640" w:type="dxa"/>
            <w:tcBorders>
              <w:left w:val="nil"/>
              <w:right w:val="nil"/>
            </w:tcBorders>
            <w:shd w:val="clear" w:color="000000" w:fill="FFFFFF"/>
            <w:noWrap/>
            <w:vAlign w:val="center"/>
            <w:hideMark/>
          </w:tcPr>
          <w:p w14:paraId="21DCA415"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5</w:t>
            </w:r>
          </w:p>
        </w:tc>
        <w:tc>
          <w:tcPr>
            <w:tcW w:w="895" w:type="dxa"/>
            <w:tcBorders>
              <w:left w:val="nil"/>
              <w:right w:val="nil"/>
            </w:tcBorders>
            <w:shd w:val="clear" w:color="000000" w:fill="FFFFFF"/>
            <w:noWrap/>
            <w:vAlign w:val="center"/>
            <w:hideMark/>
          </w:tcPr>
          <w:p w14:paraId="288F76D9"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3</w:t>
            </w:r>
          </w:p>
        </w:tc>
        <w:tc>
          <w:tcPr>
            <w:tcW w:w="905" w:type="dxa"/>
            <w:tcBorders>
              <w:left w:val="nil"/>
              <w:right w:val="nil"/>
            </w:tcBorders>
            <w:shd w:val="clear" w:color="000000" w:fill="FFFFFF"/>
            <w:noWrap/>
            <w:vAlign w:val="center"/>
            <w:hideMark/>
          </w:tcPr>
          <w:p w14:paraId="22CF25AC"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5</w:t>
            </w:r>
          </w:p>
        </w:tc>
        <w:tc>
          <w:tcPr>
            <w:tcW w:w="1080" w:type="dxa"/>
            <w:tcBorders>
              <w:left w:val="nil"/>
              <w:right w:val="nil"/>
            </w:tcBorders>
            <w:shd w:val="clear" w:color="000000" w:fill="FFFFFF"/>
            <w:vAlign w:val="center"/>
            <w:hideMark/>
          </w:tcPr>
          <w:p w14:paraId="7FE4EBDB"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0.15</w:t>
            </w:r>
          </w:p>
        </w:tc>
        <w:tc>
          <w:tcPr>
            <w:tcW w:w="1240" w:type="dxa"/>
            <w:tcBorders>
              <w:left w:val="nil"/>
            </w:tcBorders>
            <w:shd w:val="clear" w:color="000000" w:fill="FFFFFF"/>
            <w:vAlign w:val="center"/>
            <w:hideMark/>
          </w:tcPr>
          <w:p w14:paraId="0C392F7E"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0.25</w:t>
            </w:r>
          </w:p>
        </w:tc>
      </w:tr>
      <w:tr w:rsidR="0048173A" w:rsidRPr="0077338B" w14:paraId="0313335A" w14:textId="77777777" w:rsidTr="00997A95">
        <w:trPr>
          <w:trHeight w:val="321"/>
        </w:trPr>
        <w:tc>
          <w:tcPr>
            <w:tcW w:w="416" w:type="dxa"/>
            <w:tcBorders>
              <w:right w:val="nil"/>
            </w:tcBorders>
            <w:shd w:val="clear" w:color="000000" w:fill="FFFFFF"/>
            <w:noWrap/>
            <w:vAlign w:val="center"/>
            <w:hideMark/>
          </w:tcPr>
          <w:p w14:paraId="05918495"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3</w:t>
            </w:r>
          </w:p>
        </w:tc>
        <w:tc>
          <w:tcPr>
            <w:tcW w:w="3904" w:type="dxa"/>
            <w:tcBorders>
              <w:left w:val="nil"/>
              <w:right w:val="nil"/>
            </w:tcBorders>
            <w:shd w:val="clear" w:color="000000" w:fill="FFFFFF"/>
            <w:vAlign w:val="center"/>
            <w:hideMark/>
          </w:tcPr>
          <w:p w14:paraId="3A9807BE" w14:textId="77777777" w:rsidR="0048173A" w:rsidRPr="0077338B" w:rsidRDefault="0048173A" w:rsidP="00F4372F">
            <w:pPr>
              <w:overflowPunct/>
              <w:autoSpaceDE/>
              <w:autoSpaceDN/>
              <w:adjustRightInd/>
              <w:textAlignment w:val="auto"/>
              <w:rPr>
                <w:color w:val="000000"/>
                <w:sz w:val="20"/>
                <w:lang w:val="en-PH" w:eastAsia="en-PH"/>
              </w:rPr>
            </w:pPr>
            <w:r w:rsidRPr="0077338B">
              <w:rPr>
                <w:color w:val="000000"/>
                <w:sz w:val="20"/>
                <w:lang w:val="en-PH" w:eastAsia="en-PH"/>
              </w:rPr>
              <w:t>Degree of diversity and redundancy</w:t>
            </w:r>
          </w:p>
        </w:tc>
        <w:tc>
          <w:tcPr>
            <w:tcW w:w="640" w:type="dxa"/>
            <w:tcBorders>
              <w:left w:val="nil"/>
              <w:right w:val="nil"/>
            </w:tcBorders>
            <w:shd w:val="clear" w:color="000000" w:fill="FFFFFF"/>
            <w:noWrap/>
            <w:vAlign w:val="center"/>
            <w:hideMark/>
          </w:tcPr>
          <w:p w14:paraId="756DE607"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5</w:t>
            </w:r>
          </w:p>
        </w:tc>
        <w:tc>
          <w:tcPr>
            <w:tcW w:w="895" w:type="dxa"/>
            <w:tcBorders>
              <w:left w:val="nil"/>
              <w:right w:val="nil"/>
            </w:tcBorders>
            <w:shd w:val="clear" w:color="000000" w:fill="FFFFFF"/>
            <w:noWrap/>
            <w:vAlign w:val="center"/>
            <w:hideMark/>
          </w:tcPr>
          <w:p w14:paraId="141E8ADD"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5</w:t>
            </w:r>
          </w:p>
        </w:tc>
        <w:tc>
          <w:tcPr>
            <w:tcW w:w="905" w:type="dxa"/>
            <w:tcBorders>
              <w:left w:val="nil"/>
              <w:right w:val="nil"/>
            </w:tcBorders>
            <w:shd w:val="clear" w:color="000000" w:fill="FFFFFF"/>
            <w:noWrap/>
            <w:vAlign w:val="center"/>
            <w:hideMark/>
          </w:tcPr>
          <w:p w14:paraId="72C1FE8C"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5</w:t>
            </w:r>
          </w:p>
        </w:tc>
        <w:tc>
          <w:tcPr>
            <w:tcW w:w="1080" w:type="dxa"/>
            <w:tcBorders>
              <w:left w:val="nil"/>
              <w:right w:val="nil"/>
            </w:tcBorders>
            <w:shd w:val="clear" w:color="000000" w:fill="FFFFFF"/>
            <w:vAlign w:val="center"/>
            <w:hideMark/>
          </w:tcPr>
          <w:p w14:paraId="174F3EE4"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0.25</w:t>
            </w:r>
          </w:p>
        </w:tc>
        <w:tc>
          <w:tcPr>
            <w:tcW w:w="1240" w:type="dxa"/>
            <w:tcBorders>
              <w:left w:val="nil"/>
            </w:tcBorders>
            <w:shd w:val="clear" w:color="000000" w:fill="FFFFFF"/>
            <w:vAlign w:val="center"/>
            <w:hideMark/>
          </w:tcPr>
          <w:p w14:paraId="562C7862"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0.25</w:t>
            </w:r>
          </w:p>
        </w:tc>
      </w:tr>
      <w:tr w:rsidR="0048173A" w:rsidRPr="0077338B" w14:paraId="6F31992F" w14:textId="77777777" w:rsidTr="00997A95">
        <w:trPr>
          <w:trHeight w:val="343"/>
        </w:trPr>
        <w:tc>
          <w:tcPr>
            <w:tcW w:w="416" w:type="dxa"/>
            <w:tcBorders>
              <w:right w:val="nil"/>
            </w:tcBorders>
            <w:shd w:val="clear" w:color="000000" w:fill="FFFFFF"/>
            <w:noWrap/>
            <w:vAlign w:val="center"/>
            <w:hideMark/>
          </w:tcPr>
          <w:p w14:paraId="12A5BED1"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4</w:t>
            </w:r>
          </w:p>
        </w:tc>
        <w:tc>
          <w:tcPr>
            <w:tcW w:w="3904" w:type="dxa"/>
            <w:tcBorders>
              <w:left w:val="nil"/>
              <w:right w:val="nil"/>
            </w:tcBorders>
            <w:shd w:val="clear" w:color="000000" w:fill="FFFFFF"/>
            <w:vAlign w:val="center"/>
            <w:hideMark/>
          </w:tcPr>
          <w:p w14:paraId="7B961777" w14:textId="77777777" w:rsidR="0048173A" w:rsidRPr="0077338B" w:rsidRDefault="0048173A" w:rsidP="00F4372F">
            <w:pPr>
              <w:overflowPunct/>
              <w:autoSpaceDE/>
              <w:autoSpaceDN/>
              <w:adjustRightInd/>
              <w:textAlignment w:val="auto"/>
              <w:rPr>
                <w:color w:val="000000"/>
                <w:sz w:val="20"/>
                <w:lang w:val="en-PH" w:eastAsia="en-PH"/>
              </w:rPr>
            </w:pPr>
            <w:r w:rsidRPr="0077338B">
              <w:rPr>
                <w:color w:val="000000"/>
                <w:sz w:val="20"/>
                <w:lang w:val="en-PH" w:eastAsia="en-PH"/>
              </w:rPr>
              <w:t>Protection against internal and external hazards</w:t>
            </w:r>
          </w:p>
        </w:tc>
        <w:tc>
          <w:tcPr>
            <w:tcW w:w="640" w:type="dxa"/>
            <w:tcBorders>
              <w:left w:val="nil"/>
              <w:right w:val="nil"/>
            </w:tcBorders>
            <w:shd w:val="clear" w:color="000000" w:fill="FFFFFF"/>
            <w:noWrap/>
            <w:vAlign w:val="center"/>
            <w:hideMark/>
          </w:tcPr>
          <w:p w14:paraId="480F2245"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10</w:t>
            </w:r>
          </w:p>
        </w:tc>
        <w:tc>
          <w:tcPr>
            <w:tcW w:w="895" w:type="dxa"/>
            <w:tcBorders>
              <w:left w:val="nil"/>
              <w:right w:val="nil"/>
            </w:tcBorders>
            <w:shd w:val="clear" w:color="000000" w:fill="FFFFFF"/>
            <w:noWrap/>
            <w:vAlign w:val="center"/>
            <w:hideMark/>
          </w:tcPr>
          <w:p w14:paraId="07A29C98"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4</w:t>
            </w:r>
          </w:p>
        </w:tc>
        <w:tc>
          <w:tcPr>
            <w:tcW w:w="905" w:type="dxa"/>
            <w:tcBorders>
              <w:left w:val="nil"/>
              <w:right w:val="nil"/>
            </w:tcBorders>
            <w:shd w:val="clear" w:color="000000" w:fill="FFFFFF"/>
            <w:noWrap/>
            <w:vAlign w:val="center"/>
            <w:hideMark/>
          </w:tcPr>
          <w:p w14:paraId="045E1970"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5</w:t>
            </w:r>
          </w:p>
        </w:tc>
        <w:tc>
          <w:tcPr>
            <w:tcW w:w="1080" w:type="dxa"/>
            <w:tcBorders>
              <w:left w:val="nil"/>
              <w:right w:val="nil"/>
            </w:tcBorders>
            <w:shd w:val="clear" w:color="000000" w:fill="FFFFFF"/>
            <w:vAlign w:val="center"/>
            <w:hideMark/>
          </w:tcPr>
          <w:p w14:paraId="2902833A"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0.4</w:t>
            </w:r>
          </w:p>
        </w:tc>
        <w:tc>
          <w:tcPr>
            <w:tcW w:w="1240" w:type="dxa"/>
            <w:tcBorders>
              <w:left w:val="nil"/>
            </w:tcBorders>
            <w:shd w:val="clear" w:color="000000" w:fill="FFFFFF"/>
            <w:vAlign w:val="center"/>
            <w:hideMark/>
          </w:tcPr>
          <w:p w14:paraId="607121FC"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0.5</w:t>
            </w:r>
          </w:p>
        </w:tc>
      </w:tr>
      <w:tr w:rsidR="0048173A" w:rsidRPr="0077338B" w14:paraId="60D4872B" w14:textId="77777777" w:rsidTr="00997A95">
        <w:trPr>
          <w:trHeight w:val="233"/>
        </w:trPr>
        <w:tc>
          <w:tcPr>
            <w:tcW w:w="416" w:type="dxa"/>
            <w:tcBorders>
              <w:right w:val="nil"/>
            </w:tcBorders>
            <w:shd w:val="clear" w:color="000000" w:fill="FFFFFF"/>
            <w:noWrap/>
            <w:vAlign w:val="center"/>
            <w:hideMark/>
          </w:tcPr>
          <w:p w14:paraId="5CCE9BB4"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5</w:t>
            </w:r>
          </w:p>
        </w:tc>
        <w:tc>
          <w:tcPr>
            <w:tcW w:w="3904" w:type="dxa"/>
            <w:tcBorders>
              <w:left w:val="nil"/>
              <w:right w:val="nil"/>
            </w:tcBorders>
            <w:shd w:val="clear" w:color="000000" w:fill="FFFFFF"/>
            <w:vAlign w:val="center"/>
            <w:hideMark/>
          </w:tcPr>
          <w:p w14:paraId="7D383D80" w14:textId="77777777" w:rsidR="0048173A" w:rsidRPr="0077338B" w:rsidRDefault="0048173A" w:rsidP="00F4372F">
            <w:pPr>
              <w:overflowPunct/>
              <w:autoSpaceDE/>
              <w:autoSpaceDN/>
              <w:adjustRightInd/>
              <w:textAlignment w:val="auto"/>
              <w:rPr>
                <w:color w:val="000000"/>
                <w:sz w:val="20"/>
                <w:lang w:val="en-PH" w:eastAsia="en-PH"/>
              </w:rPr>
            </w:pPr>
            <w:r w:rsidRPr="0077338B">
              <w:rPr>
                <w:color w:val="000000"/>
                <w:sz w:val="20"/>
                <w:lang w:val="en-PH" w:eastAsia="en-PH"/>
              </w:rPr>
              <w:t>Response to off-site power loss</w:t>
            </w:r>
          </w:p>
        </w:tc>
        <w:tc>
          <w:tcPr>
            <w:tcW w:w="640" w:type="dxa"/>
            <w:tcBorders>
              <w:left w:val="nil"/>
              <w:right w:val="nil"/>
            </w:tcBorders>
            <w:shd w:val="clear" w:color="000000" w:fill="FFFFFF"/>
            <w:noWrap/>
            <w:vAlign w:val="center"/>
            <w:hideMark/>
          </w:tcPr>
          <w:p w14:paraId="719C5407"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5</w:t>
            </w:r>
          </w:p>
        </w:tc>
        <w:tc>
          <w:tcPr>
            <w:tcW w:w="895" w:type="dxa"/>
            <w:tcBorders>
              <w:left w:val="nil"/>
              <w:right w:val="nil"/>
            </w:tcBorders>
            <w:shd w:val="clear" w:color="000000" w:fill="FFFFFF"/>
            <w:noWrap/>
            <w:vAlign w:val="center"/>
            <w:hideMark/>
          </w:tcPr>
          <w:p w14:paraId="15508C8D"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5</w:t>
            </w:r>
          </w:p>
        </w:tc>
        <w:tc>
          <w:tcPr>
            <w:tcW w:w="905" w:type="dxa"/>
            <w:tcBorders>
              <w:left w:val="nil"/>
              <w:right w:val="nil"/>
            </w:tcBorders>
            <w:shd w:val="clear" w:color="000000" w:fill="FFFFFF"/>
            <w:noWrap/>
            <w:vAlign w:val="center"/>
            <w:hideMark/>
          </w:tcPr>
          <w:p w14:paraId="4E2CC860"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3</w:t>
            </w:r>
          </w:p>
        </w:tc>
        <w:tc>
          <w:tcPr>
            <w:tcW w:w="1080" w:type="dxa"/>
            <w:tcBorders>
              <w:left w:val="nil"/>
              <w:right w:val="nil"/>
            </w:tcBorders>
            <w:shd w:val="clear" w:color="000000" w:fill="FFFFFF"/>
            <w:vAlign w:val="center"/>
            <w:hideMark/>
          </w:tcPr>
          <w:p w14:paraId="270FEBD6"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0.25</w:t>
            </w:r>
          </w:p>
        </w:tc>
        <w:tc>
          <w:tcPr>
            <w:tcW w:w="1240" w:type="dxa"/>
            <w:tcBorders>
              <w:left w:val="nil"/>
            </w:tcBorders>
            <w:shd w:val="clear" w:color="000000" w:fill="FFFFFF"/>
            <w:vAlign w:val="center"/>
            <w:hideMark/>
          </w:tcPr>
          <w:p w14:paraId="28D725DE"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0.15</w:t>
            </w:r>
          </w:p>
        </w:tc>
      </w:tr>
      <w:tr w:rsidR="0048173A" w:rsidRPr="0077338B" w14:paraId="2BE4FE0D" w14:textId="77777777" w:rsidTr="00997A95">
        <w:trPr>
          <w:trHeight w:val="1560"/>
        </w:trPr>
        <w:tc>
          <w:tcPr>
            <w:tcW w:w="416" w:type="dxa"/>
            <w:tcBorders>
              <w:right w:val="nil"/>
            </w:tcBorders>
            <w:shd w:val="clear" w:color="000000" w:fill="FFFFFF"/>
            <w:noWrap/>
            <w:vAlign w:val="center"/>
            <w:hideMark/>
          </w:tcPr>
          <w:p w14:paraId="54526E70"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6</w:t>
            </w:r>
          </w:p>
        </w:tc>
        <w:tc>
          <w:tcPr>
            <w:tcW w:w="3904" w:type="dxa"/>
            <w:tcBorders>
              <w:left w:val="nil"/>
              <w:right w:val="nil"/>
            </w:tcBorders>
            <w:shd w:val="clear" w:color="000000" w:fill="FFFFFF"/>
            <w:vAlign w:val="center"/>
            <w:hideMark/>
          </w:tcPr>
          <w:p w14:paraId="79639527" w14:textId="77777777" w:rsidR="0048173A" w:rsidRPr="0077338B" w:rsidRDefault="0048173A" w:rsidP="00F4372F">
            <w:pPr>
              <w:overflowPunct/>
              <w:autoSpaceDE/>
              <w:autoSpaceDN/>
              <w:adjustRightInd/>
              <w:textAlignment w:val="auto"/>
              <w:rPr>
                <w:color w:val="000000"/>
                <w:sz w:val="20"/>
                <w:lang w:val="en-PH" w:eastAsia="en-PH"/>
              </w:rPr>
            </w:pPr>
            <w:bookmarkStart w:id="1" w:name="_Hlk168931525"/>
            <w:r w:rsidRPr="0077338B">
              <w:rPr>
                <w:color w:val="000000"/>
                <w:sz w:val="20"/>
                <w:lang w:val="en-PH" w:eastAsia="en-PH"/>
              </w:rPr>
              <w:t xml:space="preserve">Completeness of OLCs (operational limits and conditions), SAR (safety analysis report), PSA (probabilistic safety assessment), </w:t>
            </w:r>
            <w:proofErr w:type="spellStart"/>
            <w:r w:rsidRPr="0077338B">
              <w:rPr>
                <w:color w:val="000000"/>
                <w:sz w:val="20"/>
                <w:lang w:val="en-PH" w:eastAsia="en-PH"/>
              </w:rPr>
              <w:t>O&amp;Eps</w:t>
            </w:r>
            <w:proofErr w:type="spellEnd"/>
            <w:r w:rsidRPr="0077338B">
              <w:rPr>
                <w:color w:val="000000"/>
                <w:sz w:val="20"/>
                <w:lang w:val="en-PH" w:eastAsia="en-PH"/>
              </w:rPr>
              <w:t xml:space="preserve"> (operating and emergency procedures), SAMGs (severe accident management guidelines)</w:t>
            </w:r>
            <w:bookmarkEnd w:id="1"/>
          </w:p>
        </w:tc>
        <w:tc>
          <w:tcPr>
            <w:tcW w:w="640" w:type="dxa"/>
            <w:tcBorders>
              <w:left w:val="nil"/>
              <w:right w:val="nil"/>
            </w:tcBorders>
            <w:shd w:val="clear" w:color="000000" w:fill="FFFFFF"/>
            <w:noWrap/>
            <w:vAlign w:val="center"/>
            <w:hideMark/>
          </w:tcPr>
          <w:p w14:paraId="7C5DEA88"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15</w:t>
            </w:r>
          </w:p>
        </w:tc>
        <w:tc>
          <w:tcPr>
            <w:tcW w:w="895" w:type="dxa"/>
            <w:tcBorders>
              <w:left w:val="nil"/>
              <w:right w:val="nil"/>
            </w:tcBorders>
            <w:shd w:val="clear" w:color="000000" w:fill="FFFFFF"/>
            <w:noWrap/>
            <w:vAlign w:val="center"/>
            <w:hideMark/>
          </w:tcPr>
          <w:p w14:paraId="39FB5CDE"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2</w:t>
            </w:r>
          </w:p>
        </w:tc>
        <w:tc>
          <w:tcPr>
            <w:tcW w:w="905" w:type="dxa"/>
            <w:tcBorders>
              <w:left w:val="nil"/>
              <w:right w:val="nil"/>
            </w:tcBorders>
            <w:shd w:val="clear" w:color="000000" w:fill="FFFFFF"/>
            <w:noWrap/>
            <w:vAlign w:val="center"/>
            <w:hideMark/>
          </w:tcPr>
          <w:p w14:paraId="7B26750E"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3</w:t>
            </w:r>
          </w:p>
        </w:tc>
        <w:tc>
          <w:tcPr>
            <w:tcW w:w="1080" w:type="dxa"/>
            <w:tcBorders>
              <w:left w:val="nil"/>
              <w:right w:val="nil"/>
            </w:tcBorders>
            <w:shd w:val="clear" w:color="000000" w:fill="FFFFFF"/>
            <w:vAlign w:val="center"/>
            <w:hideMark/>
          </w:tcPr>
          <w:p w14:paraId="0D659413"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0.3</w:t>
            </w:r>
          </w:p>
        </w:tc>
        <w:tc>
          <w:tcPr>
            <w:tcW w:w="1240" w:type="dxa"/>
            <w:tcBorders>
              <w:left w:val="nil"/>
            </w:tcBorders>
            <w:shd w:val="clear" w:color="000000" w:fill="FFFFFF"/>
            <w:vAlign w:val="center"/>
            <w:hideMark/>
          </w:tcPr>
          <w:p w14:paraId="0CEE454B"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0.45</w:t>
            </w:r>
          </w:p>
        </w:tc>
      </w:tr>
      <w:tr w:rsidR="0048173A" w:rsidRPr="0077338B" w14:paraId="190DF5AE" w14:textId="77777777" w:rsidTr="00997A95">
        <w:trPr>
          <w:trHeight w:val="259"/>
        </w:trPr>
        <w:tc>
          <w:tcPr>
            <w:tcW w:w="416" w:type="dxa"/>
            <w:tcBorders>
              <w:right w:val="nil"/>
            </w:tcBorders>
            <w:shd w:val="clear" w:color="000000" w:fill="FFFFFF"/>
            <w:noWrap/>
            <w:vAlign w:val="center"/>
            <w:hideMark/>
          </w:tcPr>
          <w:p w14:paraId="0AF30E38"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7</w:t>
            </w:r>
          </w:p>
        </w:tc>
        <w:tc>
          <w:tcPr>
            <w:tcW w:w="3904" w:type="dxa"/>
            <w:tcBorders>
              <w:left w:val="nil"/>
              <w:right w:val="nil"/>
            </w:tcBorders>
            <w:shd w:val="clear" w:color="000000" w:fill="FFFFFF"/>
            <w:vAlign w:val="center"/>
            <w:hideMark/>
          </w:tcPr>
          <w:p w14:paraId="2975377D" w14:textId="77777777" w:rsidR="0048173A" w:rsidRPr="0077338B" w:rsidRDefault="0048173A" w:rsidP="00F4372F">
            <w:pPr>
              <w:overflowPunct/>
              <w:autoSpaceDE/>
              <w:autoSpaceDN/>
              <w:adjustRightInd/>
              <w:textAlignment w:val="auto"/>
              <w:rPr>
                <w:color w:val="000000"/>
                <w:sz w:val="20"/>
                <w:lang w:val="en-PH" w:eastAsia="en-PH"/>
              </w:rPr>
            </w:pPr>
            <w:r w:rsidRPr="0077338B">
              <w:rPr>
                <w:color w:val="000000"/>
                <w:sz w:val="20"/>
                <w:lang w:val="en-PH" w:eastAsia="en-PH"/>
              </w:rPr>
              <w:t>Results of deterministic safety analysis</w:t>
            </w:r>
          </w:p>
        </w:tc>
        <w:tc>
          <w:tcPr>
            <w:tcW w:w="640" w:type="dxa"/>
            <w:tcBorders>
              <w:left w:val="nil"/>
              <w:right w:val="nil"/>
            </w:tcBorders>
            <w:shd w:val="clear" w:color="000000" w:fill="FFFFFF"/>
            <w:noWrap/>
            <w:vAlign w:val="center"/>
            <w:hideMark/>
          </w:tcPr>
          <w:p w14:paraId="10DE7248"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10</w:t>
            </w:r>
          </w:p>
        </w:tc>
        <w:tc>
          <w:tcPr>
            <w:tcW w:w="895" w:type="dxa"/>
            <w:tcBorders>
              <w:left w:val="nil"/>
              <w:right w:val="nil"/>
            </w:tcBorders>
            <w:shd w:val="clear" w:color="000000" w:fill="FFFFFF"/>
            <w:noWrap/>
            <w:vAlign w:val="center"/>
            <w:hideMark/>
          </w:tcPr>
          <w:p w14:paraId="40D2ECA7"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1</w:t>
            </w:r>
          </w:p>
        </w:tc>
        <w:tc>
          <w:tcPr>
            <w:tcW w:w="905" w:type="dxa"/>
            <w:tcBorders>
              <w:left w:val="nil"/>
              <w:right w:val="nil"/>
            </w:tcBorders>
            <w:shd w:val="clear" w:color="000000" w:fill="FFFFFF"/>
            <w:noWrap/>
            <w:vAlign w:val="center"/>
            <w:hideMark/>
          </w:tcPr>
          <w:p w14:paraId="76CD9ADB"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1</w:t>
            </w:r>
          </w:p>
        </w:tc>
        <w:tc>
          <w:tcPr>
            <w:tcW w:w="1080" w:type="dxa"/>
            <w:tcBorders>
              <w:left w:val="nil"/>
              <w:right w:val="nil"/>
            </w:tcBorders>
            <w:shd w:val="clear" w:color="000000" w:fill="FFFFFF"/>
            <w:vAlign w:val="center"/>
            <w:hideMark/>
          </w:tcPr>
          <w:p w14:paraId="48BABBBE"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0.1</w:t>
            </w:r>
          </w:p>
        </w:tc>
        <w:tc>
          <w:tcPr>
            <w:tcW w:w="1240" w:type="dxa"/>
            <w:tcBorders>
              <w:left w:val="nil"/>
            </w:tcBorders>
            <w:shd w:val="clear" w:color="000000" w:fill="FFFFFF"/>
            <w:vAlign w:val="center"/>
            <w:hideMark/>
          </w:tcPr>
          <w:p w14:paraId="3EC14F5A"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0.1</w:t>
            </w:r>
          </w:p>
        </w:tc>
      </w:tr>
      <w:tr w:rsidR="0048173A" w:rsidRPr="0077338B" w14:paraId="2BE5A969" w14:textId="77777777" w:rsidTr="00997A95">
        <w:trPr>
          <w:trHeight w:val="185"/>
        </w:trPr>
        <w:tc>
          <w:tcPr>
            <w:tcW w:w="416" w:type="dxa"/>
            <w:tcBorders>
              <w:right w:val="nil"/>
            </w:tcBorders>
            <w:shd w:val="clear" w:color="000000" w:fill="FFFFFF"/>
            <w:noWrap/>
            <w:vAlign w:val="center"/>
            <w:hideMark/>
          </w:tcPr>
          <w:p w14:paraId="4796E0B6"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8</w:t>
            </w:r>
          </w:p>
        </w:tc>
        <w:tc>
          <w:tcPr>
            <w:tcW w:w="3904" w:type="dxa"/>
            <w:tcBorders>
              <w:left w:val="nil"/>
              <w:right w:val="nil"/>
            </w:tcBorders>
            <w:shd w:val="clear" w:color="000000" w:fill="FFFFFF"/>
            <w:vAlign w:val="center"/>
            <w:hideMark/>
          </w:tcPr>
          <w:p w14:paraId="0237916B" w14:textId="77777777" w:rsidR="0048173A" w:rsidRPr="0077338B" w:rsidRDefault="0048173A" w:rsidP="00F4372F">
            <w:pPr>
              <w:overflowPunct/>
              <w:autoSpaceDE/>
              <w:autoSpaceDN/>
              <w:adjustRightInd/>
              <w:textAlignment w:val="auto"/>
              <w:rPr>
                <w:color w:val="000000"/>
                <w:sz w:val="20"/>
                <w:lang w:val="en-PH" w:eastAsia="en-PH"/>
              </w:rPr>
            </w:pPr>
            <w:r w:rsidRPr="0077338B">
              <w:rPr>
                <w:color w:val="000000"/>
                <w:sz w:val="20"/>
                <w:lang w:val="en-PH" w:eastAsia="en-PH"/>
              </w:rPr>
              <w:t>Results of probabilistic safety assessment</w:t>
            </w:r>
          </w:p>
        </w:tc>
        <w:tc>
          <w:tcPr>
            <w:tcW w:w="640" w:type="dxa"/>
            <w:tcBorders>
              <w:left w:val="nil"/>
              <w:right w:val="nil"/>
            </w:tcBorders>
            <w:shd w:val="clear" w:color="000000" w:fill="FFFFFF"/>
            <w:noWrap/>
            <w:vAlign w:val="center"/>
            <w:hideMark/>
          </w:tcPr>
          <w:p w14:paraId="28D26D8B"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10</w:t>
            </w:r>
          </w:p>
        </w:tc>
        <w:tc>
          <w:tcPr>
            <w:tcW w:w="895" w:type="dxa"/>
            <w:tcBorders>
              <w:left w:val="nil"/>
              <w:right w:val="nil"/>
            </w:tcBorders>
            <w:shd w:val="clear" w:color="000000" w:fill="FFFFFF"/>
            <w:noWrap/>
            <w:vAlign w:val="center"/>
            <w:hideMark/>
          </w:tcPr>
          <w:p w14:paraId="2BC145C4"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1</w:t>
            </w:r>
          </w:p>
        </w:tc>
        <w:tc>
          <w:tcPr>
            <w:tcW w:w="905" w:type="dxa"/>
            <w:tcBorders>
              <w:left w:val="nil"/>
              <w:right w:val="nil"/>
            </w:tcBorders>
            <w:shd w:val="clear" w:color="000000" w:fill="FFFFFF"/>
            <w:noWrap/>
            <w:vAlign w:val="center"/>
            <w:hideMark/>
          </w:tcPr>
          <w:p w14:paraId="309E39A2"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1</w:t>
            </w:r>
          </w:p>
        </w:tc>
        <w:tc>
          <w:tcPr>
            <w:tcW w:w="1080" w:type="dxa"/>
            <w:tcBorders>
              <w:left w:val="nil"/>
              <w:right w:val="nil"/>
            </w:tcBorders>
            <w:shd w:val="clear" w:color="000000" w:fill="FFFFFF"/>
            <w:vAlign w:val="center"/>
            <w:hideMark/>
          </w:tcPr>
          <w:p w14:paraId="4115D5FE"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0.1</w:t>
            </w:r>
          </w:p>
        </w:tc>
        <w:tc>
          <w:tcPr>
            <w:tcW w:w="1240" w:type="dxa"/>
            <w:tcBorders>
              <w:left w:val="nil"/>
            </w:tcBorders>
            <w:shd w:val="clear" w:color="000000" w:fill="FFFFFF"/>
            <w:vAlign w:val="center"/>
            <w:hideMark/>
          </w:tcPr>
          <w:p w14:paraId="7DBF3874"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0.1</w:t>
            </w:r>
          </w:p>
        </w:tc>
      </w:tr>
      <w:tr w:rsidR="0048173A" w:rsidRPr="0077338B" w14:paraId="18640462" w14:textId="77777777" w:rsidTr="00997A95">
        <w:trPr>
          <w:trHeight w:val="231"/>
        </w:trPr>
        <w:tc>
          <w:tcPr>
            <w:tcW w:w="416" w:type="dxa"/>
            <w:tcBorders>
              <w:right w:val="nil"/>
            </w:tcBorders>
            <w:shd w:val="clear" w:color="000000" w:fill="FFFFFF"/>
            <w:noWrap/>
            <w:vAlign w:val="center"/>
            <w:hideMark/>
          </w:tcPr>
          <w:p w14:paraId="24A0F0F2"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9</w:t>
            </w:r>
          </w:p>
        </w:tc>
        <w:tc>
          <w:tcPr>
            <w:tcW w:w="3904" w:type="dxa"/>
            <w:tcBorders>
              <w:left w:val="nil"/>
              <w:right w:val="nil"/>
            </w:tcBorders>
            <w:shd w:val="clear" w:color="000000" w:fill="FFFFFF"/>
            <w:vAlign w:val="center"/>
            <w:hideMark/>
          </w:tcPr>
          <w:p w14:paraId="4D48388C" w14:textId="77777777" w:rsidR="0048173A" w:rsidRPr="0077338B" w:rsidRDefault="0048173A" w:rsidP="00F4372F">
            <w:pPr>
              <w:overflowPunct/>
              <w:autoSpaceDE/>
              <w:autoSpaceDN/>
              <w:adjustRightInd/>
              <w:textAlignment w:val="auto"/>
              <w:rPr>
                <w:color w:val="000000"/>
                <w:sz w:val="20"/>
                <w:lang w:val="en-PH" w:eastAsia="en-PH"/>
              </w:rPr>
            </w:pPr>
            <w:r w:rsidRPr="0077338B">
              <w:rPr>
                <w:color w:val="000000"/>
                <w:sz w:val="20"/>
                <w:lang w:val="en-PH" w:eastAsia="en-PH"/>
              </w:rPr>
              <w:t>Mitigation of severe accidents</w:t>
            </w:r>
          </w:p>
        </w:tc>
        <w:tc>
          <w:tcPr>
            <w:tcW w:w="640" w:type="dxa"/>
            <w:tcBorders>
              <w:left w:val="nil"/>
              <w:right w:val="nil"/>
            </w:tcBorders>
            <w:shd w:val="clear" w:color="000000" w:fill="FFFFFF"/>
            <w:noWrap/>
            <w:vAlign w:val="center"/>
            <w:hideMark/>
          </w:tcPr>
          <w:p w14:paraId="66AE3B62"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5</w:t>
            </w:r>
          </w:p>
        </w:tc>
        <w:tc>
          <w:tcPr>
            <w:tcW w:w="895" w:type="dxa"/>
            <w:tcBorders>
              <w:left w:val="nil"/>
              <w:right w:val="nil"/>
            </w:tcBorders>
            <w:shd w:val="clear" w:color="000000" w:fill="FFFFFF"/>
            <w:noWrap/>
            <w:vAlign w:val="center"/>
            <w:hideMark/>
          </w:tcPr>
          <w:p w14:paraId="4529075A"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3</w:t>
            </w:r>
          </w:p>
        </w:tc>
        <w:tc>
          <w:tcPr>
            <w:tcW w:w="905" w:type="dxa"/>
            <w:tcBorders>
              <w:left w:val="nil"/>
              <w:right w:val="nil"/>
            </w:tcBorders>
            <w:shd w:val="clear" w:color="000000" w:fill="FFFFFF"/>
            <w:noWrap/>
            <w:vAlign w:val="center"/>
            <w:hideMark/>
          </w:tcPr>
          <w:p w14:paraId="520BDEFC"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5</w:t>
            </w:r>
          </w:p>
        </w:tc>
        <w:tc>
          <w:tcPr>
            <w:tcW w:w="1080" w:type="dxa"/>
            <w:tcBorders>
              <w:left w:val="nil"/>
              <w:right w:val="nil"/>
            </w:tcBorders>
            <w:shd w:val="clear" w:color="000000" w:fill="FFFFFF"/>
            <w:vAlign w:val="center"/>
            <w:hideMark/>
          </w:tcPr>
          <w:p w14:paraId="2C765AD7"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0.15</w:t>
            </w:r>
          </w:p>
        </w:tc>
        <w:tc>
          <w:tcPr>
            <w:tcW w:w="1240" w:type="dxa"/>
            <w:tcBorders>
              <w:left w:val="nil"/>
            </w:tcBorders>
            <w:shd w:val="clear" w:color="000000" w:fill="FFFFFF"/>
            <w:vAlign w:val="center"/>
            <w:hideMark/>
          </w:tcPr>
          <w:p w14:paraId="5387B628"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0.25</w:t>
            </w:r>
          </w:p>
        </w:tc>
      </w:tr>
      <w:tr w:rsidR="0048173A" w:rsidRPr="0077338B" w14:paraId="052FE89E" w14:textId="77777777" w:rsidTr="00997A95">
        <w:trPr>
          <w:trHeight w:val="219"/>
        </w:trPr>
        <w:tc>
          <w:tcPr>
            <w:tcW w:w="416" w:type="dxa"/>
            <w:tcBorders>
              <w:right w:val="nil"/>
            </w:tcBorders>
            <w:shd w:val="clear" w:color="000000" w:fill="FFFFFF"/>
            <w:noWrap/>
            <w:vAlign w:val="center"/>
            <w:hideMark/>
          </w:tcPr>
          <w:p w14:paraId="5008F400"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10</w:t>
            </w:r>
          </w:p>
        </w:tc>
        <w:tc>
          <w:tcPr>
            <w:tcW w:w="3904" w:type="dxa"/>
            <w:tcBorders>
              <w:left w:val="nil"/>
              <w:right w:val="nil"/>
            </w:tcBorders>
            <w:shd w:val="clear" w:color="000000" w:fill="FFFFFF"/>
            <w:vAlign w:val="center"/>
            <w:hideMark/>
          </w:tcPr>
          <w:p w14:paraId="02857A06" w14:textId="77777777" w:rsidR="0048173A" w:rsidRPr="0077338B" w:rsidRDefault="0048173A" w:rsidP="00F4372F">
            <w:pPr>
              <w:overflowPunct/>
              <w:autoSpaceDE/>
              <w:autoSpaceDN/>
              <w:adjustRightInd/>
              <w:textAlignment w:val="auto"/>
              <w:rPr>
                <w:color w:val="000000"/>
                <w:sz w:val="20"/>
                <w:lang w:val="en-PH" w:eastAsia="en-PH"/>
              </w:rPr>
            </w:pPr>
            <w:r w:rsidRPr="0077338B">
              <w:rPr>
                <w:color w:val="000000"/>
                <w:sz w:val="20"/>
                <w:lang w:val="en-PH" w:eastAsia="en-PH"/>
              </w:rPr>
              <w:t>Operational expectations affecting safety</w:t>
            </w:r>
          </w:p>
        </w:tc>
        <w:tc>
          <w:tcPr>
            <w:tcW w:w="640" w:type="dxa"/>
            <w:tcBorders>
              <w:left w:val="nil"/>
              <w:right w:val="nil"/>
            </w:tcBorders>
            <w:shd w:val="clear" w:color="000000" w:fill="FFFFFF"/>
            <w:noWrap/>
            <w:vAlign w:val="center"/>
            <w:hideMark/>
          </w:tcPr>
          <w:p w14:paraId="55A6D95F"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5</w:t>
            </w:r>
          </w:p>
        </w:tc>
        <w:tc>
          <w:tcPr>
            <w:tcW w:w="895" w:type="dxa"/>
            <w:tcBorders>
              <w:left w:val="nil"/>
              <w:right w:val="nil"/>
            </w:tcBorders>
            <w:shd w:val="clear" w:color="000000" w:fill="FFFFFF"/>
            <w:noWrap/>
            <w:vAlign w:val="center"/>
            <w:hideMark/>
          </w:tcPr>
          <w:p w14:paraId="7CEDFD42"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4</w:t>
            </w:r>
          </w:p>
        </w:tc>
        <w:tc>
          <w:tcPr>
            <w:tcW w:w="905" w:type="dxa"/>
            <w:tcBorders>
              <w:left w:val="nil"/>
              <w:right w:val="nil"/>
            </w:tcBorders>
            <w:shd w:val="clear" w:color="000000" w:fill="FFFFFF"/>
            <w:noWrap/>
            <w:vAlign w:val="center"/>
            <w:hideMark/>
          </w:tcPr>
          <w:p w14:paraId="5119C576"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3</w:t>
            </w:r>
          </w:p>
        </w:tc>
        <w:tc>
          <w:tcPr>
            <w:tcW w:w="1080" w:type="dxa"/>
            <w:tcBorders>
              <w:left w:val="nil"/>
              <w:right w:val="nil"/>
            </w:tcBorders>
            <w:shd w:val="clear" w:color="000000" w:fill="FFFFFF"/>
            <w:vAlign w:val="center"/>
            <w:hideMark/>
          </w:tcPr>
          <w:p w14:paraId="64B91CB4"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0.2</w:t>
            </w:r>
          </w:p>
        </w:tc>
        <w:tc>
          <w:tcPr>
            <w:tcW w:w="1240" w:type="dxa"/>
            <w:tcBorders>
              <w:left w:val="nil"/>
            </w:tcBorders>
            <w:shd w:val="clear" w:color="000000" w:fill="FFFFFF"/>
            <w:vAlign w:val="center"/>
            <w:hideMark/>
          </w:tcPr>
          <w:p w14:paraId="2C8F0141"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0.15</w:t>
            </w:r>
          </w:p>
        </w:tc>
      </w:tr>
      <w:tr w:rsidR="0048173A" w:rsidRPr="0077338B" w14:paraId="26738D53" w14:textId="77777777" w:rsidTr="00997A95">
        <w:trPr>
          <w:trHeight w:val="420"/>
        </w:trPr>
        <w:tc>
          <w:tcPr>
            <w:tcW w:w="416" w:type="dxa"/>
            <w:tcBorders>
              <w:right w:val="nil"/>
            </w:tcBorders>
            <w:shd w:val="clear" w:color="000000" w:fill="FFFFFF"/>
            <w:noWrap/>
            <w:vAlign w:val="center"/>
            <w:hideMark/>
          </w:tcPr>
          <w:p w14:paraId="19FBAC40"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11</w:t>
            </w:r>
          </w:p>
        </w:tc>
        <w:tc>
          <w:tcPr>
            <w:tcW w:w="3904" w:type="dxa"/>
            <w:tcBorders>
              <w:left w:val="nil"/>
              <w:right w:val="nil"/>
            </w:tcBorders>
            <w:shd w:val="clear" w:color="000000" w:fill="FFFFFF"/>
            <w:vAlign w:val="center"/>
            <w:hideMark/>
          </w:tcPr>
          <w:p w14:paraId="670BC53A" w14:textId="77777777" w:rsidR="0048173A" w:rsidRPr="0077338B" w:rsidRDefault="0048173A" w:rsidP="00F4372F">
            <w:pPr>
              <w:overflowPunct/>
              <w:autoSpaceDE/>
              <w:autoSpaceDN/>
              <w:adjustRightInd/>
              <w:textAlignment w:val="auto"/>
              <w:rPr>
                <w:color w:val="000000"/>
                <w:sz w:val="20"/>
                <w:lang w:val="en-PH" w:eastAsia="en-PH"/>
              </w:rPr>
            </w:pPr>
            <w:r w:rsidRPr="0077338B">
              <w:rPr>
                <w:color w:val="000000"/>
                <w:sz w:val="20"/>
                <w:lang w:val="en-PH" w:eastAsia="en-PH"/>
              </w:rPr>
              <w:t>Fuel storage facility safety</w:t>
            </w:r>
          </w:p>
        </w:tc>
        <w:tc>
          <w:tcPr>
            <w:tcW w:w="640" w:type="dxa"/>
            <w:tcBorders>
              <w:left w:val="nil"/>
              <w:right w:val="nil"/>
            </w:tcBorders>
            <w:shd w:val="clear" w:color="000000" w:fill="FFFFFF"/>
            <w:noWrap/>
            <w:vAlign w:val="center"/>
            <w:hideMark/>
          </w:tcPr>
          <w:p w14:paraId="499A21D4"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5</w:t>
            </w:r>
          </w:p>
        </w:tc>
        <w:tc>
          <w:tcPr>
            <w:tcW w:w="895" w:type="dxa"/>
            <w:tcBorders>
              <w:left w:val="nil"/>
              <w:right w:val="nil"/>
            </w:tcBorders>
            <w:shd w:val="clear" w:color="000000" w:fill="FFFFFF"/>
            <w:noWrap/>
            <w:vAlign w:val="center"/>
            <w:hideMark/>
          </w:tcPr>
          <w:p w14:paraId="3910A11A"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5</w:t>
            </w:r>
          </w:p>
        </w:tc>
        <w:tc>
          <w:tcPr>
            <w:tcW w:w="905" w:type="dxa"/>
            <w:tcBorders>
              <w:left w:val="nil"/>
              <w:right w:val="nil"/>
            </w:tcBorders>
            <w:shd w:val="clear" w:color="000000" w:fill="FFFFFF"/>
            <w:noWrap/>
            <w:vAlign w:val="center"/>
            <w:hideMark/>
          </w:tcPr>
          <w:p w14:paraId="4E01292D"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3</w:t>
            </w:r>
          </w:p>
        </w:tc>
        <w:tc>
          <w:tcPr>
            <w:tcW w:w="1080" w:type="dxa"/>
            <w:tcBorders>
              <w:left w:val="nil"/>
              <w:right w:val="nil"/>
            </w:tcBorders>
            <w:shd w:val="clear" w:color="000000" w:fill="FFFFFF"/>
            <w:vAlign w:val="center"/>
            <w:hideMark/>
          </w:tcPr>
          <w:p w14:paraId="1D958F2C"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0.25</w:t>
            </w:r>
          </w:p>
        </w:tc>
        <w:tc>
          <w:tcPr>
            <w:tcW w:w="1240" w:type="dxa"/>
            <w:tcBorders>
              <w:left w:val="nil"/>
            </w:tcBorders>
            <w:shd w:val="clear" w:color="000000" w:fill="FFFFFF"/>
            <w:vAlign w:val="center"/>
            <w:hideMark/>
          </w:tcPr>
          <w:p w14:paraId="0DA24D13"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0.15</w:t>
            </w:r>
          </w:p>
        </w:tc>
      </w:tr>
      <w:tr w:rsidR="0048173A" w:rsidRPr="0077338B" w14:paraId="496BA4FF" w14:textId="77777777" w:rsidTr="00997A95">
        <w:trPr>
          <w:trHeight w:val="435"/>
        </w:trPr>
        <w:tc>
          <w:tcPr>
            <w:tcW w:w="416" w:type="dxa"/>
            <w:tcBorders>
              <w:right w:val="nil"/>
            </w:tcBorders>
            <w:shd w:val="clear" w:color="000000" w:fill="FFFFFF"/>
            <w:noWrap/>
            <w:vAlign w:val="center"/>
            <w:hideMark/>
          </w:tcPr>
          <w:p w14:paraId="3A015E34"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12</w:t>
            </w:r>
          </w:p>
        </w:tc>
        <w:tc>
          <w:tcPr>
            <w:tcW w:w="3904" w:type="dxa"/>
            <w:tcBorders>
              <w:left w:val="nil"/>
              <w:right w:val="nil"/>
            </w:tcBorders>
            <w:shd w:val="clear" w:color="000000" w:fill="FFFFFF"/>
            <w:vAlign w:val="center"/>
            <w:hideMark/>
          </w:tcPr>
          <w:p w14:paraId="6187BB71" w14:textId="77777777" w:rsidR="0048173A" w:rsidRPr="0077338B" w:rsidRDefault="0048173A" w:rsidP="00F4372F">
            <w:pPr>
              <w:overflowPunct/>
              <w:autoSpaceDE/>
              <w:autoSpaceDN/>
              <w:adjustRightInd/>
              <w:textAlignment w:val="auto"/>
              <w:rPr>
                <w:color w:val="000000"/>
                <w:sz w:val="20"/>
                <w:lang w:val="en-PH" w:eastAsia="en-PH"/>
              </w:rPr>
            </w:pPr>
            <w:r w:rsidRPr="0077338B">
              <w:rPr>
                <w:color w:val="000000"/>
                <w:sz w:val="20"/>
                <w:lang w:val="en-PH" w:eastAsia="en-PH"/>
              </w:rPr>
              <w:t>Management system</w:t>
            </w:r>
          </w:p>
        </w:tc>
        <w:tc>
          <w:tcPr>
            <w:tcW w:w="640" w:type="dxa"/>
            <w:tcBorders>
              <w:left w:val="nil"/>
              <w:right w:val="nil"/>
            </w:tcBorders>
            <w:shd w:val="clear" w:color="000000" w:fill="FFFFFF"/>
            <w:noWrap/>
            <w:vAlign w:val="center"/>
            <w:hideMark/>
          </w:tcPr>
          <w:p w14:paraId="2F2ED3FD"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5</w:t>
            </w:r>
          </w:p>
        </w:tc>
        <w:tc>
          <w:tcPr>
            <w:tcW w:w="895" w:type="dxa"/>
            <w:tcBorders>
              <w:left w:val="nil"/>
              <w:right w:val="nil"/>
            </w:tcBorders>
            <w:shd w:val="clear" w:color="000000" w:fill="FFFFFF"/>
            <w:noWrap/>
            <w:vAlign w:val="center"/>
            <w:hideMark/>
          </w:tcPr>
          <w:p w14:paraId="32876701"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4</w:t>
            </w:r>
          </w:p>
        </w:tc>
        <w:tc>
          <w:tcPr>
            <w:tcW w:w="905" w:type="dxa"/>
            <w:tcBorders>
              <w:left w:val="nil"/>
              <w:right w:val="nil"/>
            </w:tcBorders>
            <w:shd w:val="clear" w:color="000000" w:fill="FFFFFF"/>
            <w:noWrap/>
            <w:vAlign w:val="center"/>
            <w:hideMark/>
          </w:tcPr>
          <w:p w14:paraId="0F875FE4"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3</w:t>
            </w:r>
          </w:p>
        </w:tc>
        <w:tc>
          <w:tcPr>
            <w:tcW w:w="1080" w:type="dxa"/>
            <w:tcBorders>
              <w:left w:val="nil"/>
              <w:right w:val="nil"/>
            </w:tcBorders>
            <w:shd w:val="clear" w:color="000000" w:fill="FFFFFF"/>
            <w:vAlign w:val="center"/>
            <w:hideMark/>
          </w:tcPr>
          <w:p w14:paraId="57766F17"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0.2</w:t>
            </w:r>
          </w:p>
        </w:tc>
        <w:tc>
          <w:tcPr>
            <w:tcW w:w="1240" w:type="dxa"/>
            <w:tcBorders>
              <w:left w:val="nil"/>
            </w:tcBorders>
            <w:shd w:val="clear" w:color="000000" w:fill="FFFFFF"/>
            <w:vAlign w:val="center"/>
            <w:hideMark/>
          </w:tcPr>
          <w:p w14:paraId="7590A735" w14:textId="77777777" w:rsidR="0048173A" w:rsidRPr="0077338B" w:rsidRDefault="0048173A" w:rsidP="00F4372F">
            <w:pPr>
              <w:overflowPunct/>
              <w:autoSpaceDE/>
              <w:autoSpaceDN/>
              <w:adjustRightInd/>
              <w:jc w:val="center"/>
              <w:textAlignment w:val="auto"/>
              <w:rPr>
                <w:color w:val="000000"/>
                <w:sz w:val="20"/>
                <w:lang w:val="en-PH" w:eastAsia="en-PH"/>
              </w:rPr>
            </w:pPr>
            <w:r w:rsidRPr="0077338B">
              <w:rPr>
                <w:color w:val="000000"/>
                <w:sz w:val="20"/>
                <w:lang w:val="en-PH" w:eastAsia="en-PH"/>
              </w:rPr>
              <w:t>0.15</w:t>
            </w:r>
          </w:p>
        </w:tc>
      </w:tr>
      <w:tr w:rsidR="0048173A" w:rsidRPr="0077338B" w14:paraId="62E1342F" w14:textId="77777777" w:rsidTr="00997A95">
        <w:trPr>
          <w:trHeight w:val="416"/>
        </w:trPr>
        <w:tc>
          <w:tcPr>
            <w:tcW w:w="4320" w:type="dxa"/>
            <w:gridSpan w:val="2"/>
            <w:tcBorders>
              <w:bottom w:val="single" w:sz="4" w:space="0" w:color="auto"/>
              <w:right w:val="nil"/>
            </w:tcBorders>
            <w:shd w:val="clear" w:color="000000" w:fill="FFFFFF"/>
            <w:noWrap/>
            <w:vAlign w:val="center"/>
            <w:hideMark/>
          </w:tcPr>
          <w:p w14:paraId="41A5B782" w14:textId="77777777" w:rsidR="0048173A" w:rsidRPr="0077338B" w:rsidRDefault="0048173A" w:rsidP="00F4372F">
            <w:pPr>
              <w:overflowPunct/>
              <w:autoSpaceDE/>
              <w:autoSpaceDN/>
              <w:adjustRightInd/>
              <w:jc w:val="right"/>
              <w:textAlignment w:val="auto"/>
              <w:rPr>
                <w:b/>
                <w:bCs/>
                <w:color w:val="000000"/>
                <w:sz w:val="20"/>
                <w:lang w:val="en-PH" w:eastAsia="en-PH"/>
              </w:rPr>
            </w:pPr>
            <w:r w:rsidRPr="0077338B">
              <w:rPr>
                <w:b/>
                <w:bCs/>
                <w:color w:val="000000"/>
                <w:sz w:val="20"/>
                <w:lang w:val="en-PH" w:eastAsia="en-PH"/>
              </w:rPr>
              <w:t>TOTAL PERCENTAGE:</w:t>
            </w:r>
          </w:p>
        </w:tc>
        <w:tc>
          <w:tcPr>
            <w:tcW w:w="640" w:type="dxa"/>
            <w:tcBorders>
              <w:left w:val="nil"/>
              <w:bottom w:val="single" w:sz="4" w:space="0" w:color="auto"/>
              <w:right w:val="nil"/>
            </w:tcBorders>
            <w:shd w:val="clear" w:color="000000" w:fill="FFFFFF"/>
            <w:noWrap/>
            <w:vAlign w:val="center"/>
            <w:hideMark/>
          </w:tcPr>
          <w:p w14:paraId="0D7DCD26"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100</w:t>
            </w:r>
          </w:p>
        </w:tc>
        <w:tc>
          <w:tcPr>
            <w:tcW w:w="1800" w:type="dxa"/>
            <w:gridSpan w:val="2"/>
            <w:tcBorders>
              <w:left w:val="nil"/>
              <w:bottom w:val="single" w:sz="4" w:space="0" w:color="auto"/>
              <w:right w:val="nil"/>
            </w:tcBorders>
            <w:shd w:val="clear" w:color="000000" w:fill="FFFFFF"/>
            <w:noWrap/>
            <w:vAlign w:val="center"/>
            <w:hideMark/>
          </w:tcPr>
          <w:p w14:paraId="2E33D2E5"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TOTAL SCORE:</w:t>
            </w:r>
          </w:p>
        </w:tc>
        <w:tc>
          <w:tcPr>
            <w:tcW w:w="1080" w:type="dxa"/>
            <w:tcBorders>
              <w:left w:val="nil"/>
              <w:bottom w:val="single" w:sz="4" w:space="0" w:color="auto"/>
              <w:right w:val="nil"/>
            </w:tcBorders>
            <w:shd w:val="clear" w:color="000000" w:fill="FFFFFF"/>
            <w:noWrap/>
            <w:vAlign w:val="center"/>
            <w:hideMark/>
          </w:tcPr>
          <w:p w14:paraId="152E557D"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3.15</w:t>
            </w:r>
          </w:p>
        </w:tc>
        <w:tc>
          <w:tcPr>
            <w:tcW w:w="1240" w:type="dxa"/>
            <w:tcBorders>
              <w:left w:val="nil"/>
              <w:bottom w:val="single" w:sz="4" w:space="0" w:color="auto"/>
            </w:tcBorders>
            <w:shd w:val="clear" w:color="000000" w:fill="FFFFFF"/>
            <w:noWrap/>
            <w:vAlign w:val="center"/>
            <w:hideMark/>
          </w:tcPr>
          <w:p w14:paraId="2D925C07" w14:textId="77777777" w:rsidR="0048173A" w:rsidRPr="0077338B" w:rsidRDefault="0048173A" w:rsidP="00F4372F">
            <w:pPr>
              <w:overflowPunct/>
              <w:autoSpaceDE/>
              <w:autoSpaceDN/>
              <w:adjustRightInd/>
              <w:jc w:val="center"/>
              <w:textAlignment w:val="auto"/>
              <w:rPr>
                <w:b/>
                <w:bCs/>
                <w:color w:val="000000"/>
                <w:sz w:val="20"/>
                <w:lang w:val="en-PH" w:eastAsia="en-PH"/>
              </w:rPr>
            </w:pPr>
            <w:r w:rsidRPr="0077338B">
              <w:rPr>
                <w:b/>
                <w:bCs/>
                <w:color w:val="000000"/>
                <w:sz w:val="20"/>
                <w:lang w:val="en-PH" w:eastAsia="en-PH"/>
              </w:rPr>
              <w:t>3.5</w:t>
            </w:r>
          </w:p>
        </w:tc>
      </w:tr>
    </w:tbl>
    <w:p w14:paraId="2D0D4246" w14:textId="77777777" w:rsidR="0048173A" w:rsidRDefault="0048173A" w:rsidP="00F4372F">
      <w:pPr>
        <w:pStyle w:val="BodyText"/>
        <w:ind w:firstLine="0"/>
      </w:pPr>
    </w:p>
    <w:p w14:paraId="2655E3C1" w14:textId="2B1046F8" w:rsidR="005614BE" w:rsidRDefault="00156C9B" w:rsidP="00156C9B">
      <w:pPr>
        <w:pStyle w:val="BodyText"/>
      </w:pPr>
      <w:r>
        <w:lastRenderedPageBreak/>
        <w:t xml:space="preserve">The rationale for the </w:t>
      </w:r>
      <w:proofErr w:type="spellStart"/>
      <w:r>
        <w:t>DiD</w:t>
      </w:r>
      <w:proofErr w:type="spellEnd"/>
      <w:r>
        <w:t xml:space="preserve"> philosophy receiving the highest percentage is that local experts believe </w:t>
      </w:r>
      <w:proofErr w:type="spellStart"/>
      <w:r>
        <w:t>DiD</w:t>
      </w:r>
      <w:proofErr w:type="spellEnd"/>
      <w:r>
        <w:t xml:space="preserve"> is of paramount importance and must be emphasized in the safety design and safety-related activities of small modular reactors (SMRs). The topics weighted at 15% and 10% are critical in the licensing process and are typically required to license a technology. The items receiving 5% are generally incorporated into SMR designs, making them manageable.</w:t>
      </w:r>
    </w:p>
    <w:p w14:paraId="76AFEA94" w14:textId="77777777" w:rsidR="00156C9B" w:rsidRDefault="00156C9B" w:rsidP="00156C9B">
      <w:pPr>
        <w:pStyle w:val="BodyText"/>
      </w:pPr>
    </w:p>
    <w:p w14:paraId="1FE7444B" w14:textId="73D48851" w:rsidR="0008053A" w:rsidRDefault="008C0CC7" w:rsidP="00CD2526">
      <w:pPr>
        <w:pStyle w:val="BodyText"/>
      </w:pPr>
      <w:r w:rsidRPr="008C0CC7">
        <w:t>Since KLT-40S and HTR-PM are two different technologies, the scores they received are heavily based on the identified safety systems presented in Table 2 and the availability of publicly disclosed information.</w:t>
      </w:r>
      <w:r w:rsidR="00CD2526">
        <w:t xml:space="preserve"> </w:t>
      </w:r>
      <w:r w:rsidR="0008053A">
        <w:t xml:space="preserve">The strongest safety features of KLT-40S are its comprehensive implementation of </w:t>
      </w:r>
      <w:proofErr w:type="spellStart"/>
      <w:r w:rsidR="0008053A">
        <w:t>defense</w:t>
      </w:r>
      <w:proofErr w:type="spellEnd"/>
      <w:r w:rsidR="0008053A">
        <w:t>-in-depth (</w:t>
      </w:r>
      <w:proofErr w:type="spellStart"/>
      <w:r w:rsidR="0008053A">
        <w:t>DiD</w:t>
      </w:r>
      <w:proofErr w:type="spellEnd"/>
      <w:r w:rsidR="0008053A">
        <w:t xml:space="preserve">) philosophy and its robust design against internal and external hazards. Scoring 0.8 in </w:t>
      </w:r>
      <w:proofErr w:type="spellStart"/>
      <w:r w:rsidR="0008053A">
        <w:t>DiD</w:t>
      </w:r>
      <w:proofErr w:type="spellEnd"/>
      <w:r w:rsidR="0008053A">
        <w:t xml:space="preserve"> implementation and 0.4 in hazard protection, KLT-40S demonstrates significant capability in ensuring layered safety measures and resilience against potential threats. The reactor also performs well in terms of diversity and redundancy, with a score of 0.25, which indicates a strong presence of multiple, independent safety mechanisms to handle emergencies. Additionally, KLT-40S scores highly in response to off-site power loss (0.25), showing its ability to maintain essential safety functions during power outages. The reactor's fuel storage facility safety score of 0.25 reflects robust measures in place for managing spent fuel, further contributing to its safety profile. The overall management system score of 0.2 underscores a solid organizational framework supporting its safety operations.</w:t>
      </w:r>
    </w:p>
    <w:p w14:paraId="0633C5C5" w14:textId="77777777" w:rsidR="0008053A" w:rsidRDefault="0008053A" w:rsidP="0008053A">
      <w:pPr>
        <w:pStyle w:val="BodyText"/>
      </w:pPr>
    </w:p>
    <w:p w14:paraId="09046C73" w14:textId="0B36C5DA" w:rsidR="005614BE" w:rsidRDefault="0008053A" w:rsidP="0008053A">
      <w:pPr>
        <w:pStyle w:val="BodyText"/>
      </w:pPr>
      <w:r>
        <w:t xml:space="preserve">Conversely, HTR-PM's most notable safety features include its high inherent safety design and emphasis on passive safety systems. It scores the highest in the implementation of the </w:t>
      </w:r>
      <w:proofErr w:type="spellStart"/>
      <w:r>
        <w:t>defense</w:t>
      </w:r>
      <w:proofErr w:type="spellEnd"/>
      <w:r>
        <w:t>-in-depth (</w:t>
      </w:r>
      <w:proofErr w:type="spellStart"/>
      <w:r>
        <w:t>DiD</w:t>
      </w:r>
      <w:proofErr w:type="spellEnd"/>
      <w:r>
        <w:t>) philosophy (1.0) and protection against internal and external hazards (0.5), showcasing its advanced safety architecture. The inherent safety features, such as effective decay heat removal and negative temperature reactivity feedback, are pivotal in maintaining safe conditions without relying heavily on active systems. HTR-PM also excels in the completeness of operational limits and conditions (OLCs), safety analysis report (SAR), probabilistic safety assessment (PSA), operating and emergency procedures (</w:t>
      </w:r>
      <w:proofErr w:type="spellStart"/>
      <w:r>
        <w:t>O&amp;Eps</w:t>
      </w:r>
      <w:proofErr w:type="spellEnd"/>
      <w:r>
        <w:t>), and severe accident management guidelines (SAMGs) with a score of 0.45, indicating thorough preparation and robust safety documentation. While it scores lower in fuel storage facility safety (0.15) and management system (0.15), its overall safety design philosophy and mitigation of severe accidents (0.25) reflect a well-rounded and resilient safety framework.</w:t>
      </w:r>
    </w:p>
    <w:p w14:paraId="185D74B2" w14:textId="77777777" w:rsidR="00171852" w:rsidRDefault="00171852" w:rsidP="00171852">
      <w:pPr>
        <w:pStyle w:val="BodyText"/>
        <w:ind w:firstLine="0"/>
      </w:pPr>
    </w:p>
    <w:p w14:paraId="6E8A504F" w14:textId="49F5EC58" w:rsidR="0048173A" w:rsidRDefault="00171852" w:rsidP="00CD2526">
      <w:pPr>
        <w:pStyle w:val="BodyText"/>
      </w:pPr>
      <w:r>
        <w:t>Both reactors have strengths in nuclear safety, but the KLT-40S excels in active safety systems and hazard protection, while the HTR-PM shines in inherent safety features and detailed safety documentation. The HTR-PM scores slightly higher overall, with 3.5 compared to the KLT-40S's 3.15</w:t>
      </w:r>
      <w:r w:rsidR="005D43F5">
        <w:t xml:space="preserve">. </w:t>
      </w:r>
      <w:bookmarkStart w:id="2" w:name="_Hlk168995220"/>
      <w:r w:rsidR="005D43F5">
        <w:t xml:space="preserve">This result may be expected because </w:t>
      </w:r>
      <w:r w:rsidR="005D43F5" w:rsidRPr="005D43F5">
        <w:t xml:space="preserve">the HTR-PM's design incorporates </w:t>
      </w:r>
      <w:r w:rsidR="003B3192">
        <w:t>lesser number</w:t>
      </w:r>
      <w:r w:rsidR="005077D0">
        <w:t xml:space="preserve"> of</w:t>
      </w:r>
      <w:r w:rsidR="003B3192">
        <w:t xml:space="preserve"> </w:t>
      </w:r>
      <w:r w:rsidR="005D43F5" w:rsidRPr="005D43F5">
        <w:t xml:space="preserve">passive safety features that operate without </w:t>
      </w:r>
      <w:r w:rsidR="008C0CC7">
        <w:t>operator</w:t>
      </w:r>
      <w:r w:rsidR="005D43F5" w:rsidRPr="005D43F5">
        <w:t xml:space="preserve"> intervention, which can be crucial in preventing accidents before they escalate</w:t>
      </w:r>
      <w:r w:rsidR="003B3192">
        <w:t xml:space="preserve">, as well as TRISO-fuel that is inherently safe.  </w:t>
      </w:r>
      <w:bookmarkEnd w:id="2"/>
    </w:p>
    <w:p w14:paraId="5B6B3C27" w14:textId="77777777" w:rsidR="00D64453" w:rsidRDefault="00D64453" w:rsidP="00D64453">
      <w:pPr>
        <w:pStyle w:val="BodyText"/>
        <w:ind w:firstLine="0"/>
      </w:pPr>
    </w:p>
    <w:p w14:paraId="6DFE41AE" w14:textId="1CD88CB7" w:rsidR="00D64453" w:rsidRPr="001D3F43" w:rsidRDefault="00D64453" w:rsidP="00D64453">
      <w:pPr>
        <w:pStyle w:val="BodyText"/>
        <w:ind w:firstLine="360"/>
      </w:pPr>
      <w:r>
        <w:t>However, the recent exclusion of non-water-cooled reactors, like the HTR-PM, from the list of proposed approved technologies in the Philippines poses a significant challenge. Despite its higher safety score, the HTR-PM cannot be deployed under the current proposed law</w:t>
      </w:r>
      <w:r w:rsidRPr="001F2C3F">
        <w:t xml:space="preserve"> </w:t>
      </w:r>
      <w:sdt>
        <w:sdtPr>
          <w:id w:val="-1745088101"/>
          <w:citation/>
        </w:sdtPr>
        <w:sdtContent>
          <w:r>
            <w:fldChar w:fldCharType="begin"/>
          </w:r>
          <w:r>
            <w:rPr>
              <w:lang w:val="en-PH"/>
            </w:rPr>
            <w:instrText xml:space="preserve"> CITATION SNo23 \l 13321 </w:instrText>
          </w:r>
          <w:r>
            <w:fldChar w:fldCharType="separate"/>
          </w:r>
          <w:r w:rsidR="00082570" w:rsidRPr="00082570">
            <w:rPr>
              <w:noProof/>
              <w:lang w:val="en-PH"/>
            </w:rPr>
            <w:t>[11]</w:t>
          </w:r>
          <w:r>
            <w:fldChar w:fldCharType="end"/>
          </w:r>
        </w:sdtContent>
      </w:sdt>
      <w:r>
        <w:t>. This decision requires further review and should be supplemented with comprehensive data analysis to ensure that the opportunities offered by advanced SMR technologies are not overlooked.</w:t>
      </w:r>
    </w:p>
    <w:p w14:paraId="3157AF16" w14:textId="35EAE929" w:rsidR="0089397F" w:rsidRDefault="001D3F43" w:rsidP="00BC2907">
      <w:pPr>
        <w:pStyle w:val="Heading2"/>
        <w:numPr>
          <w:ilvl w:val="0"/>
          <w:numId w:val="49"/>
        </w:numPr>
      </w:pPr>
      <w:r>
        <w:t>CONCLUSION</w:t>
      </w:r>
      <w:r w:rsidR="007302B7">
        <w:t>S</w:t>
      </w:r>
    </w:p>
    <w:p w14:paraId="226E3B43" w14:textId="44CE5B76" w:rsidR="001F2C3F" w:rsidRDefault="001F2C3F" w:rsidP="001F2C3F">
      <w:pPr>
        <w:pStyle w:val="BodyText"/>
        <w:ind w:firstLine="360"/>
      </w:pPr>
      <w:r>
        <w:t>In this study, the nuclear safety systems of Small Modular Reactors (SMRs) with operating demonstration plants, specifically the KLT-40S and HTR-PM, were assessed. A literature review of the safety systems of these SMRs was conducted using the IAEA Advanced Reactor Information System. Local experts with extensive backgrounds and experience in nuclear engineering processed the information to formulate rationales and provide scores for the two SMR technologies as part of the Reactor Technology Assessment (RTA).</w:t>
      </w:r>
    </w:p>
    <w:p w14:paraId="6F8D1EA3" w14:textId="77777777" w:rsidR="00515F25" w:rsidRDefault="00515F25" w:rsidP="00013312">
      <w:pPr>
        <w:pStyle w:val="BodyText"/>
        <w:ind w:firstLine="360"/>
      </w:pPr>
    </w:p>
    <w:p w14:paraId="1F59692A" w14:textId="4A245992" w:rsidR="00013312" w:rsidRPr="006966CB" w:rsidRDefault="00515F25" w:rsidP="00013312">
      <w:pPr>
        <w:pStyle w:val="BodyText"/>
        <w:ind w:firstLine="360"/>
        <w:rPr>
          <w:color w:val="FF0000"/>
        </w:rPr>
      </w:pPr>
      <w:proofErr w:type="gramStart"/>
      <w:r w:rsidRPr="00515F25">
        <w:t>Both SMR</w:t>
      </w:r>
      <w:proofErr w:type="gramEnd"/>
      <w:r w:rsidRPr="00515F25">
        <w:t xml:space="preserve"> technologies demonstrate notable strengths in nuclear safety. The KLT-40S excels in its comprehensive implementation of the </w:t>
      </w:r>
      <w:proofErr w:type="spellStart"/>
      <w:r w:rsidRPr="00515F25">
        <w:t>defense</w:t>
      </w:r>
      <w:proofErr w:type="spellEnd"/>
      <w:r w:rsidRPr="00515F25">
        <w:t>-in-depth (</w:t>
      </w:r>
      <w:proofErr w:type="spellStart"/>
      <w:r w:rsidRPr="00515F25">
        <w:t>DiD</w:t>
      </w:r>
      <w:proofErr w:type="spellEnd"/>
      <w:r w:rsidRPr="00515F25">
        <w:t xml:space="preserve">) philosophy and its robust design to withstand internal and external hazards. In contrast, the HTR-PM stands out for its high inherent safety design and extensive </w:t>
      </w:r>
      <w:r w:rsidRPr="00515F25">
        <w:lastRenderedPageBreak/>
        <w:t>use of passive safety systems. Among the two, the HTR-PM received the highest score of 3.5, primarily due to its more advanced passive safety features that function without operator intervention, which is crucial for preventing accidents from escalating, as well as its strong inherent safety characteristics. While both SMRs exhibit substantial safety performance based on their reactor designs, another crucial aspect of nuclear safety, namely technology maturity, must also be considered. However, the maturity levels of these SMRs cannot be adequately evaluated due to the limited availability of publicly accessible information on this aspect, and this limitation will influence the final score.</w:t>
      </w:r>
    </w:p>
    <w:p w14:paraId="3D474942" w14:textId="77777777" w:rsidR="00013312" w:rsidRDefault="00013312" w:rsidP="00D64453">
      <w:pPr>
        <w:pStyle w:val="BodyText"/>
        <w:ind w:firstLine="0"/>
      </w:pPr>
    </w:p>
    <w:p w14:paraId="5166075E" w14:textId="0F79CC1D" w:rsidR="001F2C3F" w:rsidRDefault="00836BC8" w:rsidP="001F2C3F">
      <w:pPr>
        <w:pStyle w:val="BodyText"/>
        <w:ind w:firstLine="360"/>
      </w:pPr>
      <w:r w:rsidRPr="00836BC8">
        <w:t xml:space="preserve">The findings from this study, though derived from a limited pool of local experts and public sources, offer a preliminary basis for further discussion on evaluating SMR safety. </w:t>
      </w:r>
      <w:r w:rsidR="001F2C3F">
        <w:t xml:space="preserve">It is also important to note that the RTA includes nine other key elements that need to be assessed, which may affect the overall evaluation and </w:t>
      </w:r>
      <w:r w:rsidR="00215724">
        <w:t>assessment</w:t>
      </w:r>
      <w:r w:rsidR="001F2C3F">
        <w:t xml:space="preserve"> process.</w:t>
      </w:r>
    </w:p>
    <w:p w14:paraId="12E68F4E" w14:textId="77777777" w:rsidR="00AC0E99" w:rsidRDefault="00AC0E99" w:rsidP="00AC0E99">
      <w:pPr>
        <w:pStyle w:val="Otherunnumberedheadings"/>
      </w:pPr>
      <w:r w:rsidRPr="00285755">
        <w:t>ACKNOWLEDGEMENTS</w:t>
      </w:r>
    </w:p>
    <w:p w14:paraId="32145743" w14:textId="5E76E5FC" w:rsidR="00AC0E99" w:rsidRDefault="00D46820" w:rsidP="00AC0E99">
      <w:pPr>
        <w:pStyle w:val="BodyText"/>
      </w:pPr>
      <w:r>
        <w:t xml:space="preserve">This work was supported by Department of Science and Technology-Philippine Nuclear Research Institute General Appropriations Act (GAA) fund. </w:t>
      </w:r>
    </w:p>
    <w:p w14:paraId="51647A75" w14:textId="476AB2AE" w:rsidR="00067E05" w:rsidRPr="005077D0" w:rsidRDefault="00AC0E99" w:rsidP="00067E05">
      <w:pPr>
        <w:pStyle w:val="Otherunnumberedheadings"/>
      </w:pPr>
      <w:r>
        <w:t>References</w:t>
      </w:r>
    </w:p>
    <w:p w14:paraId="6886A445" w14:textId="34AA9ACC" w:rsidR="00067E05" w:rsidRDefault="00067E05" w:rsidP="00067E05">
      <w:pPr>
        <w:ind w:left="567" w:hanging="567"/>
      </w:pPr>
      <w:r>
        <w:t xml:space="preserve">[1] </w:t>
      </w:r>
      <w:r>
        <w:tab/>
        <w:t xml:space="preserve">BAUTISTA, U. and Cervera, R. B., “Technical Review of Small Modular Reactor Technologies for Possible Deployment and Prospects of Nuclear Infrastructure Development in the Philippines,” </w:t>
      </w:r>
      <w:r w:rsidR="00BD3D96">
        <w:t xml:space="preserve">Manuscript submitted for publication, </w:t>
      </w:r>
      <w:r w:rsidR="00BD3D96" w:rsidRPr="00BD3D96">
        <w:rPr>
          <w:i/>
          <w:iCs/>
        </w:rPr>
        <w:t>under review</w:t>
      </w:r>
      <w:r>
        <w:t xml:space="preserve"> (2024). </w:t>
      </w:r>
    </w:p>
    <w:p w14:paraId="1058E9C6" w14:textId="16BD0A3F" w:rsidR="00067E05" w:rsidRDefault="00067E05" w:rsidP="00067E05">
      <w:pPr>
        <w:ind w:left="567" w:hanging="567"/>
      </w:pPr>
      <w:r>
        <w:t xml:space="preserve">[2] </w:t>
      </w:r>
      <w:r>
        <w:tab/>
        <w:t>DEPARTMENT OF ENERGY, “Philippine Energy Plan 2020-2040,” Department of Energy, Taguig City, (2021).</w:t>
      </w:r>
    </w:p>
    <w:p w14:paraId="3E0D0A53" w14:textId="76835A03" w:rsidR="00067E05" w:rsidRDefault="00067E05" w:rsidP="00067E05">
      <w:pPr>
        <w:ind w:left="567" w:hanging="567"/>
      </w:pPr>
      <w:r>
        <w:t xml:space="preserve">[3] </w:t>
      </w:r>
      <w:r>
        <w:tab/>
        <w:t xml:space="preserve">INTERNATIONAL ATOMIC ENERGY AGENCY, “Advances in small modular reactor technology developments”, Vienna, Austria, (2020). </w:t>
      </w:r>
    </w:p>
    <w:p w14:paraId="1551F13D" w14:textId="614E1D9D" w:rsidR="00067E05" w:rsidRDefault="00067E05" w:rsidP="00067E05">
      <w:pPr>
        <w:ind w:left="567" w:hanging="567"/>
      </w:pPr>
      <w:r>
        <w:t xml:space="preserve">[4] </w:t>
      </w:r>
      <w:r>
        <w:tab/>
        <w:t>MURAKAMI, T. and Venkatachalam, A., “Global Situation of Small Modular Reactor Development and Deployment,” Economic Research Institute for ASEAN and East Asia (ERIA), Indonesia, (2021).</w:t>
      </w:r>
    </w:p>
    <w:p w14:paraId="03A077E5" w14:textId="6288546E" w:rsidR="00067E05" w:rsidRDefault="00067E05" w:rsidP="00067E05">
      <w:pPr>
        <w:ind w:left="567" w:hanging="567"/>
      </w:pPr>
      <w:r>
        <w:t xml:space="preserve">[5] </w:t>
      </w:r>
      <w:r>
        <w:tab/>
        <w:t xml:space="preserve">INTERNATIONAL ATOMIC ENERGY AGENCY,” Nuclear Reactor Technology Assessment for Near Term Deployment”, Vienna: IAEA, (2022). </w:t>
      </w:r>
    </w:p>
    <w:p w14:paraId="3E2451A6" w14:textId="63415CE1" w:rsidR="00067E05" w:rsidRDefault="00067E05" w:rsidP="00067E05">
      <w:pPr>
        <w:ind w:left="567" w:hanging="567"/>
      </w:pPr>
      <w:r>
        <w:t xml:space="preserve">[6] </w:t>
      </w:r>
      <w:r>
        <w:tab/>
        <w:t xml:space="preserve">INTERNATIONAL ATOMIC ENERGY AGENCY, “Milestones in the Development of a National Infrastructure for Nuclear Power,” pp. 1-79, (2015). </w:t>
      </w:r>
    </w:p>
    <w:p w14:paraId="125D35C2" w14:textId="37C7C418" w:rsidR="00067E05" w:rsidRDefault="00067E05" w:rsidP="00067E05">
      <w:pPr>
        <w:ind w:left="567" w:hanging="567"/>
      </w:pPr>
      <w:r>
        <w:t xml:space="preserve">[7] </w:t>
      </w:r>
      <w:r>
        <w:tab/>
        <w:t xml:space="preserve">INTERNATIONAL ATOMIC ENERGY AGENCY, “Advances in small modular reactor technology developments”, Vienna, Austria, (2022). </w:t>
      </w:r>
    </w:p>
    <w:p w14:paraId="1CE40EE6" w14:textId="5A6B1705" w:rsidR="00067E05" w:rsidRDefault="00067E05" w:rsidP="003D5C82">
      <w:pPr>
        <w:ind w:left="567" w:hanging="567"/>
      </w:pPr>
      <w:r>
        <w:t xml:space="preserve">[8] </w:t>
      </w:r>
      <w:r>
        <w:tab/>
        <w:t xml:space="preserve">INTERNATIONAL ATOMIC ENERGY AGENCY, </w:t>
      </w:r>
      <w:r w:rsidR="003D5C82">
        <w:t>“Status report 96 – High Temperature Gas Cooled Reactor-Pebble-Bed Module (</w:t>
      </w:r>
      <w:r>
        <w:t>HTR-PM</w:t>
      </w:r>
      <w:r w:rsidR="003D5C82">
        <w:t>)”</w:t>
      </w:r>
      <w:r>
        <w:t xml:space="preserve">, Vienna: IAEA, (2011). </w:t>
      </w:r>
      <w:r w:rsidR="003D5C82" w:rsidRPr="003D5C82">
        <w:t>https://aris.iaea.org/PDF/HTR-PM.pdf</w:t>
      </w:r>
    </w:p>
    <w:p w14:paraId="741C429A" w14:textId="26D1B1A3" w:rsidR="00067E05" w:rsidRDefault="00067E05" w:rsidP="003D5C82">
      <w:pPr>
        <w:ind w:left="567" w:hanging="567"/>
      </w:pPr>
      <w:r>
        <w:t xml:space="preserve">[9] </w:t>
      </w:r>
      <w:r>
        <w:tab/>
      </w:r>
      <w:r w:rsidR="003D5C82">
        <w:t>INTERNATIONAL ATOMIC ENERGY AGENCY</w:t>
      </w:r>
      <w:r>
        <w:t xml:space="preserve">, KLT-40s, Vienna: IAEA, </w:t>
      </w:r>
      <w:r w:rsidR="003D5C82">
        <w:t>(</w:t>
      </w:r>
      <w:r>
        <w:t>2013</w:t>
      </w:r>
      <w:r w:rsidR="003D5C82">
        <w:t>)</w:t>
      </w:r>
      <w:r>
        <w:t xml:space="preserve">. </w:t>
      </w:r>
      <w:r w:rsidR="003D5C82" w:rsidRPr="003D5C82">
        <w:t>https://aris.iaea.org/PDF/KLT-40S.pdf</w:t>
      </w:r>
    </w:p>
    <w:p w14:paraId="7B33FEDC" w14:textId="03450B9E" w:rsidR="00067E05" w:rsidRDefault="00067E05" w:rsidP="00067E05">
      <w:pPr>
        <w:ind w:left="567" w:hanging="567"/>
      </w:pPr>
      <w:r>
        <w:t xml:space="preserve">[10] </w:t>
      </w:r>
      <w:r>
        <w:tab/>
      </w:r>
      <w:r w:rsidR="003D5C82">
        <w:t>INTERNATIONAL ATOMIC ENERGY AGENCY</w:t>
      </w:r>
      <w:r>
        <w:t xml:space="preserve">, “Safety of Nuclear Power Plants: Design, Specific Safety Requirements No. SSR-2/1 (Rev.1),” IAEA, Vienna, </w:t>
      </w:r>
      <w:r w:rsidR="003D5C82">
        <w:t>(</w:t>
      </w:r>
      <w:r>
        <w:t>2016</w:t>
      </w:r>
      <w:r w:rsidR="003D5C82">
        <w:t>)</w:t>
      </w:r>
      <w:r>
        <w:t>.</w:t>
      </w:r>
    </w:p>
    <w:p w14:paraId="14C533F0" w14:textId="6EB087CC" w:rsidR="00067E05" w:rsidRDefault="00067E05" w:rsidP="00067E05">
      <w:pPr>
        <w:ind w:left="567" w:hanging="567"/>
      </w:pPr>
      <w:r>
        <w:t xml:space="preserve">[11] </w:t>
      </w:r>
      <w:r>
        <w:tab/>
        <w:t>S</w:t>
      </w:r>
      <w:r w:rsidR="003D5C82">
        <w:t>ENATE OF THE PHILIPPINES</w:t>
      </w:r>
      <w:r>
        <w:t xml:space="preserve">. </w:t>
      </w:r>
      <w:r w:rsidR="003D5C82">
        <w:t xml:space="preserve">Senate Bill </w:t>
      </w:r>
      <w:r>
        <w:t xml:space="preserve">No. 2498, “An act establishing the Philippine Atomic Energy Authority </w:t>
      </w:r>
      <w:proofErr w:type="gramStart"/>
      <w:r>
        <w:t>an</w:t>
      </w:r>
      <w:proofErr w:type="gramEnd"/>
      <w:r>
        <w:t xml:space="preserve"> providing for a comprehensive legal framework for nuclear safety, security, and safeguards in the peaceful utilization of nuclear energy in the Philippines, and appropriating funds therefor,” Manila, Philippines, </w:t>
      </w:r>
      <w:r w:rsidR="003D5C82">
        <w:t>(</w:t>
      </w:r>
      <w:r>
        <w:t>2023</w:t>
      </w:r>
      <w:r w:rsidR="003D5C82">
        <w:t>)</w:t>
      </w:r>
      <w:r>
        <w:t>.</w:t>
      </w:r>
      <w:r w:rsidR="001631FE">
        <w:t xml:space="preserve"> </w:t>
      </w:r>
      <w:r w:rsidR="001631FE" w:rsidRPr="001631FE">
        <w:t>https://legacy.senate.gov.ph/lis/bill_res.aspx?congress=19&amp;q=SBN-2498</w:t>
      </w:r>
    </w:p>
    <w:p w14:paraId="05411D18" w14:textId="5B4400F5" w:rsidR="002B45DD" w:rsidRPr="005077D0" w:rsidRDefault="00067E05" w:rsidP="00067E05">
      <w:pPr>
        <w:ind w:left="567" w:hanging="567"/>
      </w:pPr>
      <w:r>
        <w:t xml:space="preserve">[12] </w:t>
      </w:r>
      <w:r>
        <w:tab/>
      </w:r>
      <w:r w:rsidR="003D5C82">
        <w:t>INTERNATIONAL ATOMIC ENERGY AGENCY</w:t>
      </w:r>
      <w:r>
        <w:t xml:space="preserve">, Advances in Small Modular Reactor Technology Developments A Supplement to: IAEA Advanced Reactors Information System (ARIS) 2020 Edition, </w:t>
      </w:r>
      <w:r w:rsidR="003D5C82">
        <w:t>(</w:t>
      </w:r>
      <w:r>
        <w:t>2020</w:t>
      </w:r>
      <w:r w:rsidR="003D5C82">
        <w:t>)</w:t>
      </w:r>
      <w:r>
        <w:t>.</w:t>
      </w:r>
    </w:p>
    <w:sectPr w:rsidR="002B45DD" w:rsidRPr="005077D0"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4E539" w14:textId="77777777" w:rsidR="000967D2" w:rsidRDefault="000967D2">
      <w:r>
        <w:separator/>
      </w:r>
    </w:p>
  </w:endnote>
  <w:endnote w:type="continuationSeparator" w:id="0">
    <w:p w14:paraId="2EF4F2B5" w14:textId="77777777" w:rsidR="000967D2" w:rsidRDefault="0009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4"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4"/>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5"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3B287" w14:textId="77777777" w:rsidR="000967D2" w:rsidRDefault="000967D2">
      <w:r>
        <w:t>___________________________________________________________________________</w:t>
      </w:r>
    </w:p>
  </w:footnote>
  <w:footnote w:type="continuationSeparator" w:id="0">
    <w:p w14:paraId="4188A624" w14:textId="77777777" w:rsidR="000967D2" w:rsidRDefault="000967D2">
      <w:r>
        <w:t>___________________________________________________________________________</w:t>
      </w:r>
    </w:p>
  </w:footnote>
  <w:footnote w:type="continuationNotice" w:id="1">
    <w:p w14:paraId="57CE5A2E" w14:textId="77777777" w:rsidR="000967D2" w:rsidRDefault="00096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6218A64A" w:rsidR="00CF7AF3" w:rsidRDefault="00B51C6F" w:rsidP="00CF7AF3">
    <w:pPr>
      <w:pStyle w:val="Runninghead"/>
    </w:pPr>
    <w:r>
      <w:t>BAUTISTA et.al</w:t>
    </w:r>
  </w:p>
  <w:p w14:paraId="4D70767E" w14:textId="1F407E86" w:rsidR="00CF7AF3" w:rsidRPr="009E1558" w:rsidRDefault="00CF7AF3" w:rsidP="00AC0E99">
    <w:pPr>
      <w:rPr>
        <w:color w:val="BFBFBF" w:themeColor="background1" w:themeShade="BF"/>
        <w:sz w:val="16"/>
        <w:szCs w:val="16"/>
      </w:rPr>
    </w:pP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EF17" w14:textId="14407B0F" w:rsidR="00037321" w:rsidRPr="00AD0417" w:rsidRDefault="00AD0417" w:rsidP="00AD0417">
    <w:pPr>
      <w:pStyle w:val="Runninghead"/>
    </w:pPr>
    <w:r>
      <w:t xml:space="preserve">BAUTISTA et.al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3"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00C"/>
    <w:multiLevelType w:val="hybridMultilevel"/>
    <w:tmpl w:val="C5807828"/>
    <w:lvl w:ilvl="0" w:tplc="FFFFFFFF">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8F0EC7"/>
    <w:multiLevelType w:val="hybridMultilevel"/>
    <w:tmpl w:val="BD34F7FC"/>
    <w:lvl w:ilvl="0" w:tplc="0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5400D17"/>
    <w:multiLevelType w:val="hybridMultilevel"/>
    <w:tmpl w:val="9A2ABBAC"/>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5" w15:restartNumberingAfterBreak="0">
    <w:nsid w:val="17013A64"/>
    <w:multiLevelType w:val="hybridMultilevel"/>
    <w:tmpl w:val="3796FCB2"/>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6"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52438"/>
    <w:multiLevelType w:val="hybridMultilevel"/>
    <w:tmpl w:val="C5807828"/>
    <w:lvl w:ilvl="0" w:tplc="3409000F">
      <w:start w:val="4"/>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9"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C1164A"/>
    <w:multiLevelType w:val="hybridMultilevel"/>
    <w:tmpl w:val="387EC5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2" w15:restartNumberingAfterBreak="0">
    <w:nsid w:val="38E157DC"/>
    <w:multiLevelType w:val="hybridMultilevel"/>
    <w:tmpl w:val="BA40CF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1D3181"/>
    <w:multiLevelType w:val="hybridMultilevel"/>
    <w:tmpl w:val="A87C467E"/>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5" w15:restartNumberingAfterBreak="0">
    <w:nsid w:val="4B122977"/>
    <w:multiLevelType w:val="hybridMultilevel"/>
    <w:tmpl w:val="E1EEF874"/>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6" w15:restartNumberingAfterBreak="0">
    <w:nsid w:val="4B7E6FDB"/>
    <w:multiLevelType w:val="hybridMultilevel"/>
    <w:tmpl w:val="6742D46A"/>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15:restartNumberingAfterBreak="0">
    <w:nsid w:val="56CA58AB"/>
    <w:multiLevelType w:val="hybridMultilevel"/>
    <w:tmpl w:val="6588A760"/>
    <w:lvl w:ilvl="0" w:tplc="3409000F">
      <w:start w:val="4"/>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0C3A90"/>
    <w:multiLevelType w:val="hybridMultilevel"/>
    <w:tmpl w:val="A5F406F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6304644D"/>
    <w:multiLevelType w:val="hybridMultilevel"/>
    <w:tmpl w:val="3A80BA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690F2ABC"/>
    <w:multiLevelType w:val="hybridMultilevel"/>
    <w:tmpl w:val="10806A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6E1D1470"/>
    <w:multiLevelType w:val="hybridMultilevel"/>
    <w:tmpl w:val="C5807828"/>
    <w:lvl w:ilvl="0" w:tplc="FFFFFFFF">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26" w15:restartNumberingAfterBreak="0">
    <w:nsid w:val="7198321D"/>
    <w:multiLevelType w:val="hybridMultilevel"/>
    <w:tmpl w:val="4B1E3FAE"/>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7"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76961E84"/>
    <w:multiLevelType w:val="hybridMultilevel"/>
    <w:tmpl w:val="C5807828"/>
    <w:lvl w:ilvl="0" w:tplc="FFFFFFFF">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85078158">
    <w:abstractNumId w:val="17"/>
  </w:num>
  <w:num w:numId="2" w16cid:durableId="59716700">
    <w:abstractNumId w:val="9"/>
  </w:num>
  <w:num w:numId="3" w16cid:durableId="731540123">
    <w:abstractNumId w:val="25"/>
  </w:num>
  <w:num w:numId="4" w16cid:durableId="744034000">
    <w:abstractNumId w:val="25"/>
  </w:num>
  <w:num w:numId="5" w16cid:durableId="1474641089">
    <w:abstractNumId w:val="25"/>
  </w:num>
  <w:num w:numId="6" w16cid:durableId="528497540">
    <w:abstractNumId w:val="11"/>
  </w:num>
  <w:num w:numId="7" w16cid:durableId="176696273">
    <w:abstractNumId w:val="19"/>
  </w:num>
  <w:num w:numId="8" w16cid:durableId="1131169468">
    <w:abstractNumId w:val="27"/>
  </w:num>
  <w:num w:numId="9" w16cid:durableId="1007632637">
    <w:abstractNumId w:val="4"/>
  </w:num>
  <w:num w:numId="10" w16cid:durableId="422917246">
    <w:abstractNumId w:val="2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25"/>
  </w:num>
  <w:num w:numId="12" w16cid:durableId="468400009">
    <w:abstractNumId w:val="25"/>
  </w:num>
  <w:num w:numId="13" w16cid:durableId="1927378143">
    <w:abstractNumId w:val="25"/>
  </w:num>
  <w:num w:numId="14" w16cid:durableId="1289622783">
    <w:abstractNumId w:val="2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25"/>
  </w:num>
  <w:num w:numId="16" w16cid:durableId="656224632">
    <w:abstractNumId w:val="25"/>
  </w:num>
  <w:num w:numId="17" w16cid:durableId="784034295">
    <w:abstractNumId w:val="25"/>
  </w:num>
  <w:num w:numId="18" w16cid:durableId="1293555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25"/>
  </w:num>
  <w:num w:numId="20" w16cid:durableId="2113888906">
    <w:abstractNumId w:val="6"/>
  </w:num>
  <w:num w:numId="21" w16cid:durableId="1417746791">
    <w:abstractNumId w:val="25"/>
  </w:num>
  <w:num w:numId="22" w16cid:durableId="1720975952">
    <w:abstractNumId w:val="7"/>
  </w:num>
  <w:num w:numId="23" w16cid:durableId="983584939">
    <w:abstractNumId w:val="3"/>
  </w:num>
  <w:num w:numId="24" w16cid:durableId="76482875">
    <w:abstractNumId w:val="24"/>
  </w:num>
  <w:num w:numId="25" w16cid:durableId="1024988134">
    <w:abstractNumId w:val="25"/>
  </w:num>
  <w:num w:numId="26" w16cid:durableId="2000382986">
    <w:abstractNumId w:val="25"/>
  </w:num>
  <w:num w:numId="27" w16cid:durableId="1390575348">
    <w:abstractNumId w:val="25"/>
  </w:num>
  <w:num w:numId="28" w16cid:durableId="621231405">
    <w:abstractNumId w:val="25"/>
  </w:num>
  <w:num w:numId="29" w16cid:durableId="995762299">
    <w:abstractNumId w:val="25"/>
  </w:num>
  <w:num w:numId="30" w16cid:durableId="320278723">
    <w:abstractNumId w:val="13"/>
  </w:num>
  <w:num w:numId="31" w16cid:durableId="1695614948">
    <w:abstractNumId w:val="13"/>
  </w:num>
  <w:num w:numId="32" w16cid:durableId="195823161">
    <w:abstractNumId w:val="25"/>
  </w:num>
  <w:num w:numId="33" w16cid:durableId="229000962">
    <w:abstractNumId w:val="8"/>
  </w:num>
  <w:num w:numId="34" w16cid:durableId="1328050152">
    <w:abstractNumId w:val="23"/>
  </w:num>
  <w:num w:numId="35" w16cid:durableId="1505441448">
    <w:abstractNumId w:val="28"/>
  </w:num>
  <w:num w:numId="36" w16cid:durableId="383795419">
    <w:abstractNumId w:val="0"/>
  </w:num>
  <w:num w:numId="37" w16cid:durableId="1267152221">
    <w:abstractNumId w:val="1"/>
  </w:num>
  <w:num w:numId="38" w16cid:durableId="342168869">
    <w:abstractNumId w:val="21"/>
  </w:num>
  <w:num w:numId="39" w16cid:durableId="592059">
    <w:abstractNumId w:val="5"/>
  </w:num>
  <w:num w:numId="40" w16cid:durableId="1261451110">
    <w:abstractNumId w:val="26"/>
  </w:num>
  <w:num w:numId="41" w16cid:durableId="1125466579">
    <w:abstractNumId w:val="2"/>
  </w:num>
  <w:num w:numId="42" w16cid:durableId="1309284757">
    <w:abstractNumId w:val="10"/>
  </w:num>
  <w:num w:numId="43" w16cid:durableId="1278873601">
    <w:abstractNumId w:val="12"/>
  </w:num>
  <w:num w:numId="44" w16cid:durableId="1355769631">
    <w:abstractNumId w:val="15"/>
  </w:num>
  <w:num w:numId="45" w16cid:durableId="1017391238">
    <w:abstractNumId w:val="20"/>
  </w:num>
  <w:num w:numId="46" w16cid:durableId="1732540796">
    <w:abstractNumId w:val="22"/>
  </w:num>
  <w:num w:numId="47" w16cid:durableId="1505558656">
    <w:abstractNumId w:val="16"/>
  </w:num>
  <w:num w:numId="48" w16cid:durableId="246185240">
    <w:abstractNumId w:val="14"/>
  </w:num>
  <w:num w:numId="49" w16cid:durableId="14040636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26E8"/>
    <w:rsid w:val="00013312"/>
    <w:rsid w:val="00014A3D"/>
    <w:rsid w:val="000229AB"/>
    <w:rsid w:val="0002569A"/>
    <w:rsid w:val="00036687"/>
    <w:rsid w:val="00037321"/>
    <w:rsid w:val="00037F79"/>
    <w:rsid w:val="00043699"/>
    <w:rsid w:val="00062F14"/>
    <w:rsid w:val="00067E05"/>
    <w:rsid w:val="0008053A"/>
    <w:rsid w:val="00082570"/>
    <w:rsid w:val="00086C96"/>
    <w:rsid w:val="00087B05"/>
    <w:rsid w:val="00091CF8"/>
    <w:rsid w:val="000967D2"/>
    <w:rsid w:val="0009762A"/>
    <w:rsid w:val="000A0299"/>
    <w:rsid w:val="000A61C6"/>
    <w:rsid w:val="000B6E41"/>
    <w:rsid w:val="000B6F36"/>
    <w:rsid w:val="000C29FF"/>
    <w:rsid w:val="000C6F25"/>
    <w:rsid w:val="000C7CE2"/>
    <w:rsid w:val="000E6E0B"/>
    <w:rsid w:val="000F5894"/>
    <w:rsid w:val="000F7E94"/>
    <w:rsid w:val="00103830"/>
    <w:rsid w:val="001119D6"/>
    <w:rsid w:val="001308F2"/>
    <w:rsid w:val="001313E8"/>
    <w:rsid w:val="001432FF"/>
    <w:rsid w:val="001462AC"/>
    <w:rsid w:val="00156C9B"/>
    <w:rsid w:val="00160AA9"/>
    <w:rsid w:val="00161BD9"/>
    <w:rsid w:val="001631FE"/>
    <w:rsid w:val="00163DB2"/>
    <w:rsid w:val="0016662A"/>
    <w:rsid w:val="00167693"/>
    <w:rsid w:val="0017069B"/>
    <w:rsid w:val="00171852"/>
    <w:rsid w:val="0018122C"/>
    <w:rsid w:val="001943A2"/>
    <w:rsid w:val="001B2AEA"/>
    <w:rsid w:val="001C58F5"/>
    <w:rsid w:val="001D3F43"/>
    <w:rsid w:val="001D5CEE"/>
    <w:rsid w:val="001D7846"/>
    <w:rsid w:val="001F2C3F"/>
    <w:rsid w:val="001F6450"/>
    <w:rsid w:val="002071D9"/>
    <w:rsid w:val="00210AB8"/>
    <w:rsid w:val="00211471"/>
    <w:rsid w:val="00215724"/>
    <w:rsid w:val="002241CC"/>
    <w:rsid w:val="00256822"/>
    <w:rsid w:val="0026525A"/>
    <w:rsid w:val="0026657F"/>
    <w:rsid w:val="00274790"/>
    <w:rsid w:val="00285755"/>
    <w:rsid w:val="002A1F9C"/>
    <w:rsid w:val="002B29C2"/>
    <w:rsid w:val="002B45DD"/>
    <w:rsid w:val="002B5B97"/>
    <w:rsid w:val="002B6338"/>
    <w:rsid w:val="002C4208"/>
    <w:rsid w:val="002D07F9"/>
    <w:rsid w:val="002D58E8"/>
    <w:rsid w:val="002E16D8"/>
    <w:rsid w:val="002F2ABC"/>
    <w:rsid w:val="003016B4"/>
    <w:rsid w:val="00302627"/>
    <w:rsid w:val="00324179"/>
    <w:rsid w:val="00327B48"/>
    <w:rsid w:val="00347EA0"/>
    <w:rsid w:val="00352DE1"/>
    <w:rsid w:val="003728E6"/>
    <w:rsid w:val="003B3192"/>
    <w:rsid w:val="003B5E0E"/>
    <w:rsid w:val="003C3BC2"/>
    <w:rsid w:val="003C673E"/>
    <w:rsid w:val="003D255A"/>
    <w:rsid w:val="003D5C82"/>
    <w:rsid w:val="003E2E60"/>
    <w:rsid w:val="00416949"/>
    <w:rsid w:val="0042609A"/>
    <w:rsid w:val="00430D40"/>
    <w:rsid w:val="004343A4"/>
    <w:rsid w:val="004370D8"/>
    <w:rsid w:val="00455988"/>
    <w:rsid w:val="00455A6D"/>
    <w:rsid w:val="0046071D"/>
    <w:rsid w:val="004701CC"/>
    <w:rsid w:val="00472C43"/>
    <w:rsid w:val="004761E2"/>
    <w:rsid w:val="0048173A"/>
    <w:rsid w:val="00482FAA"/>
    <w:rsid w:val="004A358C"/>
    <w:rsid w:val="004B052F"/>
    <w:rsid w:val="004D3ACA"/>
    <w:rsid w:val="004E3937"/>
    <w:rsid w:val="005077D0"/>
    <w:rsid w:val="00515F25"/>
    <w:rsid w:val="00523F5A"/>
    <w:rsid w:val="00535851"/>
    <w:rsid w:val="00537496"/>
    <w:rsid w:val="005423E2"/>
    <w:rsid w:val="00544ED3"/>
    <w:rsid w:val="005466C9"/>
    <w:rsid w:val="005614BE"/>
    <w:rsid w:val="005776A9"/>
    <w:rsid w:val="0058477B"/>
    <w:rsid w:val="0058654F"/>
    <w:rsid w:val="00596ACA"/>
    <w:rsid w:val="005A171B"/>
    <w:rsid w:val="005C0A7C"/>
    <w:rsid w:val="005C3303"/>
    <w:rsid w:val="005D43F5"/>
    <w:rsid w:val="005E118E"/>
    <w:rsid w:val="005E39BC"/>
    <w:rsid w:val="005E3BAB"/>
    <w:rsid w:val="005E4D7B"/>
    <w:rsid w:val="005E66A0"/>
    <w:rsid w:val="005F00A0"/>
    <w:rsid w:val="005F10C0"/>
    <w:rsid w:val="00601EB3"/>
    <w:rsid w:val="006025DF"/>
    <w:rsid w:val="0061477C"/>
    <w:rsid w:val="00645949"/>
    <w:rsid w:val="00647F33"/>
    <w:rsid w:val="00662532"/>
    <w:rsid w:val="006966CB"/>
    <w:rsid w:val="00696EFB"/>
    <w:rsid w:val="006B2274"/>
    <w:rsid w:val="006F2BB9"/>
    <w:rsid w:val="007102E0"/>
    <w:rsid w:val="00717C6F"/>
    <w:rsid w:val="007302B7"/>
    <w:rsid w:val="007445DA"/>
    <w:rsid w:val="00754204"/>
    <w:rsid w:val="00763598"/>
    <w:rsid w:val="0077338B"/>
    <w:rsid w:val="00784422"/>
    <w:rsid w:val="007B4FD1"/>
    <w:rsid w:val="007B77C5"/>
    <w:rsid w:val="007D22E4"/>
    <w:rsid w:val="007D3BF5"/>
    <w:rsid w:val="007D7B7D"/>
    <w:rsid w:val="007F4E5B"/>
    <w:rsid w:val="00802208"/>
    <w:rsid w:val="00802381"/>
    <w:rsid w:val="00830061"/>
    <w:rsid w:val="00836BC8"/>
    <w:rsid w:val="0085280A"/>
    <w:rsid w:val="00860705"/>
    <w:rsid w:val="00880F6B"/>
    <w:rsid w:val="00883848"/>
    <w:rsid w:val="0089397F"/>
    <w:rsid w:val="00897ED5"/>
    <w:rsid w:val="008B4508"/>
    <w:rsid w:val="008B6BB9"/>
    <w:rsid w:val="008C0CC7"/>
    <w:rsid w:val="008D20F8"/>
    <w:rsid w:val="008E3871"/>
    <w:rsid w:val="00911543"/>
    <w:rsid w:val="0091426E"/>
    <w:rsid w:val="00923C37"/>
    <w:rsid w:val="00926513"/>
    <w:rsid w:val="00943712"/>
    <w:rsid w:val="00947E4E"/>
    <w:rsid w:val="009509B7"/>
    <w:rsid w:val="009519C9"/>
    <w:rsid w:val="00955B2E"/>
    <w:rsid w:val="00964B01"/>
    <w:rsid w:val="00997A95"/>
    <w:rsid w:val="009A3024"/>
    <w:rsid w:val="009A7FF5"/>
    <w:rsid w:val="009B2C93"/>
    <w:rsid w:val="009C0D72"/>
    <w:rsid w:val="009C21DD"/>
    <w:rsid w:val="009C2F8B"/>
    <w:rsid w:val="009C6896"/>
    <w:rsid w:val="009D0B86"/>
    <w:rsid w:val="009D5B40"/>
    <w:rsid w:val="009E037F"/>
    <w:rsid w:val="009E0D5B"/>
    <w:rsid w:val="009E0F0F"/>
    <w:rsid w:val="009E1558"/>
    <w:rsid w:val="009F14FB"/>
    <w:rsid w:val="009F3244"/>
    <w:rsid w:val="009F37AD"/>
    <w:rsid w:val="00A0256A"/>
    <w:rsid w:val="00A07345"/>
    <w:rsid w:val="00A177F9"/>
    <w:rsid w:val="00A42898"/>
    <w:rsid w:val="00A5470D"/>
    <w:rsid w:val="00A6527D"/>
    <w:rsid w:val="00A82F0B"/>
    <w:rsid w:val="00A94670"/>
    <w:rsid w:val="00AB6ACE"/>
    <w:rsid w:val="00AC0E99"/>
    <w:rsid w:val="00AC5A3A"/>
    <w:rsid w:val="00AD0417"/>
    <w:rsid w:val="00AD4A1F"/>
    <w:rsid w:val="00B02667"/>
    <w:rsid w:val="00B07BDF"/>
    <w:rsid w:val="00B205C5"/>
    <w:rsid w:val="00B453FC"/>
    <w:rsid w:val="00B51C6F"/>
    <w:rsid w:val="00B82FA5"/>
    <w:rsid w:val="00B935D4"/>
    <w:rsid w:val="00BA7EB7"/>
    <w:rsid w:val="00BB5869"/>
    <w:rsid w:val="00BC2907"/>
    <w:rsid w:val="00BD1400"/>
    <w:rsid w:val="00BD3D96"/>
    <w:rsid w:val="00BD605C"/>
    <w:rsid w:val="00BE2A76"/>
    <w:rsid w:val="00BF6964"/>
    <w:rsid w:val="00C10EDC"/>
    <w:rsid w:val="00C21D65"/>
    <w:rsid w:val="00C22FBF"/>
    <w:rsid w:val="00C65E60"/>
    <w:rsid w:val="00C72B6A"/>
    <w:rsid w:val="00C82259"/>
    <w:rsid w:val="00CD2526"/>
    <w:rsid w:val="00CE0BF7"/>
    <w:rsid w:val="00CE5A52"/>
    <w:rsid w:val="00CF7AF3"/>
    <w:rsid w:val="00D02A06"/>
    <w:rsid w:val="00D12143"/>
    <w:rsid w:val="00D26ADA"/>
    <w:rsid w:val="00D35A78"/>
    <w:rsid w:val="00D40A99"/>
    <w:rsid w:val="00D436D8"/>
    <w:rsid w:val="00D44EEC"/>
    <w:rsid w:val="00D46820"/>
    <w:rsid w:val="00D555A1"/>
    <w:rsid w:val="00D64453"/>
    <w:rsid w:val="00D64DC2"/>
    <w:rsid w:val="00D70A7A"/>
    <w:rsid w:val="00DA46CA"/>
    <w:rsid w:val="00DF21A9"/>
    <w:rsid w:val="00DF21EB"/>
    <w:rsid w:val="00E036E8"/>
    <w:rsid w:val="00E077CE"/>
    <w:rsid w:val="00E20E70"/>
    <w:rsid w:val="00E2201B"/>
    <w:rsid w:val="00E23016"/>
    <w:rsid w:val="00E2454A"/>
    <w:rsid w:val="00E25B68"/>
    <w:rsid w:val="00E379B6"/>
    <w:rsid w:val="00E61300"/>
    <w:rsid w:val="00E84003"/>
    <w:rsid w:val="00EB6CE7"/>
    <w:rsid w:val="00EC10FC"/>
    <w:rsid w:val="00EC46B2"/>
    <w:rsid w:val="00EC492D"/>
    <w:rsid w:val="00EC6547"/>
    <w:rsid w:val="00ED1C3C"/>
    <w:rsid w:val="00EE0041"/>
    <w:rsid w:val="00EE29B9"/>
    <w:rsid w:val="00EE2B6B"/>
    <w:rsid w:val="00EF1CA6"/>
    <w:rsid w:val="00F004EE"/>
    <w:rsid w:val="00F060B7"/>
    <w:rsid w:val="00F12216"/>
    <w:rsid w:val="00F42E23"/>
    <w:rsid w:val="00F4372F"/>
    <w:rsid w:val="00F45EEE"/>
    <w:rsid w:val="00F518AF"/>
    <w:rsid w:val="00F51E9C"/>
    <w:rsid w:val="00F523CA"/>
    <w:rsid w:val="00F74A9D"/>
    <w:rsid w:val="00F77630"/>
    <w:rsid w:val="00F8048E"/>
    <w:rsid w:val="00F87E72"/>
    <w:rsid w:val="00F95D1C"/>
    <w:rsid w:val="00FA4C62"/>
    <w:rsid w:val="00FB1A53"/>
    <w:rsid w:val="00FC09FE"/>
    <w:rsid w:val="00FC4BC9"/>
    <w:rsid w:val="00FD34EA"/>
    <w:rsid w:val="00FE6337"/>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9"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955B2E"/>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uiPriority w:val="9"/>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link w:val="Heading3Char"/>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uiPriority w:val="3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49"/>
    <w:locked/>
    <w:rsid w:val="009C0D72"/>
    <w:rPr>
      <w:color w:val="0000FF" w:themeColor="hyperlink"/>
      <w:u w:val="single"/>
    </w:rPr>
  </w:style>
  <w:style w:type="character" w:styleId="UnresolvedMention">
    <w:name w:val="Unresolved Mention"/>
    <w:basedOn w:val="DefaultParagraphFont"/>
    <w:uiPriority w:val="99"/>
    <w:semiHidden/>
    <w:unhideWhenUsed/>
    <w:rsid w:val="009C0D72"/>
    <w:rPr>
      <w:color w:val="605E5C"/>
      <w:shd w:val="clear" w:color="auto" w:fill="E1DFDD"/>
    </w:rPr>
  </w:style>
  <w:style w:type="character" w:customStyle="1" w:styleId="Heading3Char">
    <w:name w:val="Heading 3 Char"/>
    <w:aliases w:val="2nd level paper heading Char"/>
    <w:basedOn w:val="DefaultParagraphFont"/>
    <w:link w:val="Heading3"/>
    <w:uiPriority w:val="4"/>
    <w:rsid w:val="0018122C"/>
    <w:rPr>
      <w:b/>
      <w:lang w:eastAsia="en-US"/>
    </w:rPr>
  </w:style>
  <w:style w:type="character" w:customStyle="1" w:styleId="Heading2Char">
    <w:name w:val="Heading 2 Char"/>
    <w:aliases w:val="1st level paper heading Char"/>
    <w:basedOn w:val="DefaultParagraphFont"/>
    <w:link w:val="Heading2"/>
    <w:uiPriority w:val="4"/>
    <w:rsid w:val="00B51C6F"/>
    <w:rPr>
      <w:caps/>
      <w:lang w:eastAsia="en-US"/>
    </w:rPr>
  </w:style>
  <w:style w:type="character" w:customStyle="1" w:styleId="Heading1Char">
    <w:name w:val="Heading 1 Char"/>
    <w:aliases w:val="Paper title Char"/>
    <w:basedOn w:val="DefaultParagraphFont"/>
    <w:link w:val="Heading1"/>
    <w:uiPriority w:val="9"/>
    <w:rsid w:val="00535851"/>
    <w:rPr>
      <w:rFonts w:ascii="Times New Roman Bold" w:hAnsi="Times New Roman Bold"/>
      <w:b/>
      <w:caps/>
      <w:sz w:val="24"/>
      <w:lang w:val="en-US" w:eastAsia="en-US"/>
    </w:rPr>
  </w:style>
  <w:style w:type="paragraph" w:styleId="Bibliography">
    <w:name w:val="Bibliography"/>
    <w:basedOn w:val="Normal"/>
    <w:next w:val="Normal"/>
    <w:uiPriority w:val="37"/>
    <w:unhideWhenUsed/>
    <w:locked/>
    <w:rsid w:val="00535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204">
      <w:bodyDiv w:val="1"/>
      <w:marLeft w:val="0"/>
      <w:marRight w:val="0"/>
      <w:marTop w:val="0"/>
      <w:marBottom w:val="0"/>
      <w:divBdr>
        <w:top w:val="none" w:sz="0" w:space="0" w:color="auto"/>
        <w:left w:val="none" w:sz="0" w:space="0" w:color="auto"/>
        <w:bottom w:val="none" w:sz="0" w:space="0" w:color="auto"/>
        <w:right w:val="none" w:sz="0" w:space="0" w:color="auto"/>
      </w:divBdr>
    </w:div>
    <w:div w:id="34700767">
      <w:bodyDiv w:val="1"/>
      <w:marLeft w:val="0"/>
      <w:marRight w:val="0"/>
      <w:marTop w:val="0"/>
      <w:marBottom w:val="0"/>
      <w:divBdr>
        <w:top w:val="none" w:sz="0" w:space="0" w:color="auto"/>
        <w:left w:val="none" w:sz="0" w:space="0" w:color="auto"/>
        <w:bottom w:val="none" w:sz="0" w:space="0" w:color="auto"/>
        <w:right w:val="none" w:sz="0" w:space="0" w:color="auto"/>
      </w:divBdr>
    </w:div>
    <w:div w:id="39478922">
      <w:bodyDiv w:val="1"/>
      <w:marLeft w:val="0"/>
      <w:marRight w:val="0"/>
      <w:marTop w:val="0"/>
      <w:marBottom w:val="0"/>
      <w:divBdr>
        <w:top w:val="none" w:sz="0" w:space="0" w:color="auto"/>
        <w:left w:val="none" w:sz="0" w:space="0" w:color="auto"/>
        <w:bottom w:val="none" w:sz="0" w:space="0" w:color="auto"/>
        <w:right w:val="none" w:sz="0" w:space="0" w:color="auto"/>
      </w:divBdr>
    </w:div>
    <w:div w:id="46686069">
      <w:bodyDiv w:val="1"/>
      <w:marLeft w:val="0"/>
      <w:marRight w:val="0"/>
      <w:marTop w:val="0"/>
      <w:marBottom w:val="0"/>
      <w:divBdr>
        <w:top w:val="none" w:sz="0" w:space="0" w:color="auto"/>
        <w:left w:val="none" w:sz="0" w:space="0" w:color="auto"/>
        <w:bottom w:val="none" w:sz="0" w:space="0" w:color="auto"/>
        <w:right w:val="none" w:sz="0" w:space="0" w:color="auto"/>
      </w:divBdr>
    </w:div>
    <w:div w:id="60832238">
      <w:bodyDiv w:val="1"/>
      <w:marLeft w:val="0"/>
      <w:marRight w:val="0"/>
      <w:marTop w:val="0"/>
      <w:marBottom w:val="0"/>
      <w:divBdr>
        <w:top w:val="none" w:sz="0" w:space="0" w:color="auto"/>
        <w:left w:val="none" w:sz="0" w:space="0" w:color="auto"/>
        <w:bottom w:val="none" w:sz="0" w:space="0" w:color="auto"/>
        <w:right w:val="none" w:sz="0" w:space="0" w:color="auto"/>
      </w:divBdr>
    </w:div>
    <w:div w:id="74014360">
      <w:bodyDiv w:val="1"/>
      <w:marLeft w:val="0"/>
      <w:marRight w:val="0"/>
      <w:marTop w:val="0"/>
      <w:marBottom w:val="0"/>
      <w:divBdr>
        <w:top w:val="none" w:sz="0" w:space="0" w:color="auto"/>
        <w:left w:val="none" w:sz="0" w:space="0" w:color="auto"/>
        <w:bottom w:val="none" w:sz="0" w:space="0" w:color="auto"/>
        <w:right w:val="none" w:sz="0" w:space="0" w:color="auto"/>
      </w:divBdr>
    </w:div>
    <w:div w:id="80025748">
      <w:bodyDiv w:val="1"/>
      <w:marLeft w:val="0"/>
      <w:marRight w:val="0"/>
      <w:marTop w:val="0"/>
      <w:marBottom w:val="0"/>
      <w:divBdr>
        <w:top w:val="none" w:sz="0" w:space="0" w:color="auto"/>
        <w:left w:val="none" w:sz="0" w:space="0" w:color="auto"/>
        <w:bottom w:val="none" w:sz="0" w:space="0" w:color="auto"/>
        <w:right w:val="none" w:sz="0" w:space="0" w:color="auto"/>
      </w:divBdr>
    </w:div>
    <w:div w:id="84693705">
      <w:bodyDiv w:val="1"/>
      <w:marLeft w:val="0"/>
      <w:marRight w:val="0"/>
      <w:marTop w:val="0"/>
      <w:marBottom w:val="0"/>
      <w:divBdr>
        <w:top w:val="none" w:sz="0" w:space="0" w:color="auto"/>
        <w:left w:val="none" w:sz="0" w:space="0" w:color="auto"/>
        <w:bottom w:val="none" w:sz="0" w:space="0" w:color="auto"/>
        <w:right w:val="none" w:sz="0" w:space="0" w:color="auto"/>
      </w:divBdr>
    </w:div>
    <w:div w:id="89547440">
      <w:bodyDiv w:val="1"/>
      <w:marLeft w:val="0"/>
      <w:marRight w:val="0"/>
      <w:marTop w:val="0"/>
      <w:marBottom w:val="0"/>
      <w:divBdr>
        <w:top w:val="none" w:sz="0" w:space="0" w:color="auto"/>
        <w:left w:val="none" w:sz="0" w:space="0" w:color="auto"/>
        <w:bottom w:val="none" w:sz="0" w:space="0" w:color="auto"/>
        <w:right w:val="none" w:sz="0" w:space="0" w:color="auto"/>
      </w:divBdr>
    </w:div>
    <w:div w:id="95950965">
      <w:bodyDiv w:val="1"/>
      <w:marLeft w:val="0"/>
      <w:marRight w:val="0"/>
      <w:marTop w:val="0"/>
      <w:marBottom w:val="0"/>
      <w:divBdr>
        <w:top w:val="none" w:sz="0" w:space="0" w:color="auto"/>
        <w:left w:val="none" w:sz="0" w:space="0" w:color="auto"/>
        <w:bottom w:val="none" w:sz="0" w:space="0" w:color="auto"/>
        <w:right w:val="none" w:sz="0" w:space="0" w:color="auto"/>
      </w:divBdr>
    </w:div>
    <w:div w:id="103429920">
      <w:bodyDiv w:val="1"/>
      <w:marLeft w:val="0"/>
      <w:marRight w:val="0"/>
      <w:marTop w:val="0"/>
      <w:marBottom w:val="0"/>
      <w:divBdr>
        <w:top w:val="none" w:sz="0" w:space="0" w:color="auto"/>
        <w:left w:val="none" w:sz="0" w:space="0" w:color="auto"/>
        <w:bottom w:val="none" w:sz="0" w:space="0" w:color="auto"/>
        <w:right w:val="none" w:sz="0" w:space="0" w:color="auto"/>
      </w:divBdr>
    </w:div>
    <w:div w:id="106124218">
      <w:bodyDiv w:val="1"/>
      <w:marLeft w:val="0"/>
      <w:marRight w:val="0"/>
      <w:marTop w:val="0"/>
      <w:marBottom w:val="0"/>
      <w:divBdr>
        <w:top w:val="none" w:sz="0" w:space="0" w:color="auto"/>
        <w:left w:val="none" w:sz="0" w:space="0" w:color="auto"/>
        <w:bottom w:val="none" w:sz="0" w:space="0" w:color="auto"/>
        <w:right w:val="none" w:sz="0" w:space="0" w:color="auto"/>
      </w:divBdr>
    </w:div>
    <w:div w:id="109203633">
      <w:bodyDiv w:val="1"/>
      <w:marLeft w:val="0"/>
      <w:marRight w:val="0"/>
      <w:marTop w:val="0"/>
      <w:marBottom w:val="0"/>
      <w:divBdr>
        <w:top w:val="none" w:sz="0" w:space="0" w:color="auto"/>
        <w:left w:val="none" w:sz="0" w:space="0" w:color="auto"/>
        <w:bottom w:val="none" w:sz="0" w:space="0" w:color="auto"/>
        <w:right w:val="none" w:sz="0" w:space="0" w:color="auto"/>
      </w:divBdr>
    </w:div>
    <w:div w:id="113212804">
      <w:bodyDiv w:val="1"/>
      <w:marLeft w:val="0"/>
      <w:marRight w:val="0"/>
      <w:marTop w:val="0"/>
      <w:marBottom w:val="0"/>
      <w:divBdr>
        <w:top w:val="none" w:sz="0" w:space="0" w:color="auto"/>
        <w:left w:val="none" w:sz="0" w:space="0" w:color="auto"/>
        <w:bottom w:val="none" w:sz="0" w:space="0" w:color="auto"/>
        <w:right w:val="none" w:sz="0" w:space="0" w:color="auto"/>
      </w:divBdr>
    </w:div>
    <w:div w:id="116072683">
      <w:bodyDiv w:val="1"/>
      <w:marLeft w:val="0"/>
      <w:marRight w:val="0"/>
      <w:marTop w:val="0"/>
      <w:marBottom w:val="0"/>
      <w:divBdr>
        <w:top w:val="none" w:sz="0" w:space="0" w:color="auto"/>
        <w:left w:val="none" w:sz="0" w:space="0" w:color="auto"/>
        <w:bottom w:val="none" w:sz="0" w:space="0" w:color="auto"/>
        <w:right w:val="none" w:sz="0" w:space="0" w:color="auto"/>
      </w:divBdr>
    </w:div>
    <w:div w:id="117114143">
      <w:bodyDiv w:val="1"/>
      <w:marLeft w:val="0"/>
      <w:marRight w:val="0"/>
      <w:marTop w:val="0"/>
      <w:marBottom w:val="0"/>
      <w:divBdr>
        <w:top w:val="none" w:sz="0" w:space="0" w:color="auto"/>
        <w:left w:val="none" w:sz="0" w:space="0" w:color="auto"/>
        <w:bottom w:val="none" w:sz="0" w:space="0" w:color="auto"/>
        <w:right w:val="none" w:sz="0" w:space="0" w:color="auto"/>
      </w:divBdr>
    </w:div>
    <w:div w:id="125242148">
      <w:bodyDiv w:val="1"/>
      <w:marLeft w:val="0"/>
      <w:marRight w:val="0"/>
      <w:marTop w:val="0"/>
      <w:marBottom w:val="0"/>
      <w:divBdr>
        <w:top w:val="none" w:sz="0" w:space="0" w:color="auto"/>
        <w:left w:val="none" w:sz="0" w:space="0" w:color="auto"/>
        <w:bottom w:val="none" w:sz="0" w:space="0" w:color="auto"/>
        <w:right w:val="none" w:sz="0" w:space="0" w:color="auto"/>
      </w:divBdr>
    </w:div>
    <w:div w:id="132871426">
      <w:bodyDiv w:val="1"/>
      <w:marLeft w:val="0"/>
      <w:marRight w:val="0"/>
      <w:marTop w:val="0"/>
      <w:marBottom w:val="0"/>
      <w:divBdr>
        <w:top w:val="none" w:sz="0" w:space="0" w:color="auto"/>
        <w:left w:val="none" w:sz="0" w:space="0" w:color="auto"/>
        <w:bottom w:val="none" w:sz="0" w:space="0" w:color="auto"/>
        <w:right w:val="none" w:sz="0" w:space="0" w:color="auto"/>
      </w:divBdr>
    </w:div>
    <w:div w:id="139811262">
      <w:bodyDiv w:val="1"/>
      <w:marLeft w:val="0"/>
      <w:marRight w:val="0"/>
      <w:marTop w:val="0"/>
      <w:marBottom w:val="0"/>
      <w:divBdr>
        <w:top w:val="none" w:sz="0" w:space="0" w:color="auto"/>
        <w:left w:val="none" w:sz="0" w:space="0" w:color="auto"/>
        <w:bottom w:val="none" w:sz="0" w:space="0" w:color="auto"/>
        <w:right w:val="none" w:sz="0" w:space="0" w:color="auto"/>
      </w:divBdr>
    </w:div>
    <w:div w:id="141778309">
      <w:bodyDiv w:val="1"/>
      <w:marLeft w:val="0"/>
      <w:marRight w:val="0"/>
      <w:marTop w:val="0"/>
      <w:marBottom w:val="0"/>
      <w:divBdr>
        <w:top w:val="none" w:sz="0" w:space="0" w:color="auto"/>
        <w:left w:val="none" w:sz="0" w:space="0" w:color="auto"/>
        <w:bottom w:val="none" w:sz="0" w:space="0" w:color="auto"/>
        <w:right w:val="none" w:sz="0" w:space="0" w:color="auto"/>
      </w:divBdr>
    </w:div>
    <w:div w:id="150758605">
      <w:bodyDiv w:val="1"/>
      <w:marLeft w:val="0"/>
      <w:marRight w:val="0"/>
      <w:marTop w:val="0"/>
      <w:marBottom w:val="0"/>
      <w:divBdr>
        <w:top w:val="none" w:sz="0" w:space="0" w:color="auto"/>
        <w:left w:val="none" w:sz="0" w:space="0" w:color="auto"/>
        <w:bottom w:val="none" w:sz="0" w:space="0" w:color="auto"/>
        <w:right w:val="none" w:sz="0" w:space="0" w:color="auto"/>
      </w:divBdr>
    </w:div>
    <w:div w:id="163204065">
      <w:bodyDiv w:val="1"/>
      <w:marLeft w:val="0"/>
      <w:marRight w:val="0"/>
      <w:marTop w:val="0"/>
      <w:marBottom w:val="0"/>
      <w:divBdr>
        <w:top w:val="none" w:sz="0" w:space="0" w:color="auto"/>
        <w:left w:val="none" w:sz="0" w:space="0" w:color="auto"/>
        <w:bottom w:val="none" w:sz="0" w:space="0" w:color="auto"/>
        <w:right w:val="none" w:sz="0" w:space="0" w:color="auto"/>
      </w:divBdr>
    </w:div>
    <w:div w:id="164173223">
      <w:bodyDiv w:val="1"/>
      <w:marLeft w:val="0"/>
      <w:marRight w:val="0"/>
      <w:marTop w:val="0"/>
      <w:marBottom w:val="0"/>
      <w:divBdr>
        <w:top w:val="none" w:sz="0" w:space="0" w:color="auto"/>
        <w:left w:val="none" w:sz="0" w:space="0" w:color="auto"/>
        <w:bottom w:val="none" w:sz="0" w:space="0" w:color="auto"/>
        <w:right w:val="none" w:sz="0" w:space="0" w:color="auto"/>
      </w:divBdr>
    </w:div>
    <w:div w:id="174542664">
      <w:bodyDiv w:val="1"/>
      <w:marLeft w:val="0"/>
      <w:marRight w:val="0"/>
      <w:marTop w:val="0"/>
      <w:marBottom w:val="0"/>
      <w:divBdr>
        <w:top w:val="none" w:sz="0" w:space="0" w:color="auto"/>
        <w:left w:val="none" w:sz="0" w:space="0" w:color="auto"/>
        <w:bottom w:val="none" w:sz="0" w:space="0" w:color="auto"/>
        <w:right w:val="none" w:sz="0" w:space="0" w:color="auto"/>
      </w:divBdr>
    </w:div>
    <w:div w:id="183326729">
      <w:bodyDiv w:val="1"/>
      <w:marLeft w:val="0"/>
      <w:marRight w:val="0"/>
      <w:marTop w:val="0"/>
      <w:marBottom w:val="0"/>
      <w:divBdr>
        <w:top w:val="none" w:sz="0" w:space="0" w:color="auto"/>
        <w:left w:val="none" w:sz="0" w:space="0" w:color="auto"/>
        <w:bottom w:val="none" w:sz="0" w:space="0" w:color="auto"/>
        <w:right w:val="none" w:sz="0" w:space="0" w:color="auto"/>
      </w:divBdr>
    </w:div>
    <w:div w:id="194272031">
      <w:bodyDiv w:val="1"/>
      <w:marLeft w:val="0"/>
      <w:marRight w:val="0"/>
      <w:marTop w:val="0"/>
      <w:marBottom w:val="0"/>
      <w:divBdr>
        <w:top w:val="none" w:sz="0" w:space="0" w:color="auto"/>
        <w:left w:val="none" w:sz="0" w:space="0" w:color="auto"/>
        <w:bottom w:val="none" w:sz="0" w:space="0" w:color="auto"/>
        <w:right w:val="none" w:sz="0" w:space="0" w:color="auto"/>
      </w:divBdr>
    </w:div>
    <w:div w:id="203759512">
      <w:bodyDiv w:val="1"/>
      <w:marLeft w:val="0"/>
      <w:marRight w:val="0"/>
      <w:marTop w:val="0"/>
      <w:marBottom w:val="0"/>
      <w:divBdr>
        <w:top w:val="none" w:sz="0" w:space="0" w:color="auto"/>
        <w:left w:val="none" w:sz="0" w:space="0" w:color="auto"/>
        <w:bottom w:val="none" w:sz="0" w:space="0" w:color="auto"/>
        <w:right w:val="none" w:sz="0" w:space="0" w:color="auto"/>
      </w:divBdr>
    </w:div>
    <w:div w:id="208035902">
      <w:bodyDiv w:val="1"/>
      <w:marLeft w:val="0"/>
      <w:marRight w:val="0"/>
      <w:marTop w:val="0"/>
      <w:marBottom w:val="0"/>
      <w:divBdr>
        <w:top w:val="none" w:sz="0" w:space="0" w:color="auto"/>
        <w:left w:val="none" w:sz="0" w:space="0" w:color="auto"/>
        <w:bottom w:val="none" w:sz="0" w:space="0" w:color="auto"/>
        <w:right w:val="none" w:sz="0" w:space="0" w:color="auto"/>
      </w:divBdr>
    </w:div>
    <w:div w:id="210460032">
      <w:bodyDiv w:val="1"/>
      <w:marLeft w:val="0"/>
      <w:marRight w:val="0"/>
      <w:marTop w:val="0"/>
      <w:marBottom w:val="0"/>
      <w:divBdr>
        <w:top w:val="none" w:sz="0" w:space="0" w:color="auto"/>
        <w:left w:val="none" w:sz="0" w:space="0" w:color="auto"/>
        <w:bottom w:val="none" w:sz="0" w:space="0" w:color="auto"/>
        <w:right w:val="none" w:sz="0" w:space="0" w:color="auto"/>
      </w:divBdr>
    </w:div>
    <w:div w:id="211843615">
      <w:bodyDiv w:val="1"/>
      <w:marLeft w:val="0"/>
      <w:marRight w:val="0"/>
      <w:marTop w:val="0"/>
      <w:marBottom w:val="0"/>
      <w:divBdr>
        <w:top w:val="none" w:sz="0" w:space="0" w:color="auto"/>
        <w:left w:val="none" w:sz="0" w:space="0" w:color="auto"/>
        <w:bottom w:val="none" w:sz="0" w:space="0" w:color="auto"/>
        <w:right w:val="none" w:sz="0" w:space="0" w:color="auto"/>
      </w:divBdr>
    </w:div>
    <w:div w:id="214313453">
      <w:bodyDiv w:val="1"/>
      <w:marLeft w:val="0"/>
      <w:marRight w:val="0"/>
      <w:marTop w:val="0"/>
      <w:marBottom w:val="0"/>
      <w:divBdr>
        <w:top w:val="none" w:sz="0" w:space="0" w:color="auto"/>
        <w:left w:val="none" w:sz="0" w:space="0" w:color="auto"/>
        <w:bottom w:val="none" w:sz="0" w:space="0" w:color="auto"/>
        <w:right w:val="none" w:sz="0" w:space="0" w:color="auto"/>
      </w:divBdr>
    </w:div>
    <w:div w:id="228001181">
      <w:bodyDiv w:val="1"/>
      <w:marLeft w:val="0"/>
      <w:marRight w:val="0"/>
      <w:marTop w:val="0"/>
      <w:marBottom w:val="0"/>
      <w:divBdr>
        <w:top w:val="none" w:sz="0" w:space="0" w:color="auto"/>
        <w:left w:val="none" w:sz="0" w:space="0" w:color="auto"/>
        <w:bottom w:val="none" w:sz="0" w:space="0" w:color="auto"/>
        <w:right w:val="none" w:sz="0" w:space="0" w:color="auto"/>
      </w:divBdr>
    </w:div>
    <w:div w:id="231893324">
      <w:bodyDiv w:val="1"/>
      <w:marLeft w:val="0"/>
      <w:marRight w:val="0"/>
      <w:marTop w:val="0"/>
      <w:marBottom w:val="0"/>
      <w:divBdr>
        <w:top w:val="none" w:sz="0" w:space="0" w:color="auto"/>
        <w:left w:val="none" w:sz="0" w:space="0" w:color="auto"/>
        <w:bottom w:val="none" w:sz="0" w:space="0" w:color="auto"/>
        <w:right w:val="none" w:sz="0" w:space="0" w:color="auto"/>
      </w:divBdr>
    </w:div>
    <w:div w:id="282924082">
      <w:bodyDiv w:val="1"/>
      <w:marLeft w:val="0"/>
      <w:marRight w:val="0"/>
      <w:marTop w:val="0"/>
      <w:marBottom w:val="0"/>
      <w:divBdr>
        <w:top w:val="none" w:sz="0" w:space="0" w:color="auto"/>
        <w:left w:val="none" w:sz="0" w:space="0" w:color="auto"/>
        <w:bottom w:val="none" w:sz="0" w:space="0" w:color="auto"/>
        <w:right w:val="none" w:sz="0" w:space="0" w:color="auto"/>
      </w:divBdr>
    </w:div>
    <w:div w:id="296419624">
      <w:bodyDiv w:val="1"/>
      <w:marLeft w:val="0"/>
      <w:marRight w:val="0"/>
      <w:marTop w:val="0"/>
      <w:marBottom w:val="0"/>
      <w:divBdr>
        <w:top w:val="none" w:sz="0" w:space="0" w:color="auto"/>
        <w:left w:val="none" w:sz="0" w:space="0" w:color="auto"/>
        <w:bottom w:val="none" w:sz="0" w:space="0" w:color="auto"/>
        <w:right w:val="none" w:sz="0" w:space="0" w:color="auto"/>
      </w:divBdr>
    </w:div>
    <w:div w:id="317656422">
      <w:bodyDiv w:val="1"/>
      <w:marLeft w:val="0"/>
      <w:marRight w:val="0"/>
      <w:marTop w:val="0"/>
      <w:marBottom w:val="0"/>
      <w:divBdr>
        <w:top w:val="none" w:sz="0" w:space="0" w:color="auto"/>
        <w:left w:val="none" w:sz="0" w:space="0" w:color="auto"/>
        <w:bottom w:val="none" w:sz="0" w:space="0" w:color="auto"/>
        <w:right w:val="none" w:sz="0" w:space="0" w:color="auto"/>
      </w:divBdr>
    </w:div>
    <w:div w:id="322048377">
      <w:bodyDiv w:val="1"/>
      <w:marLeft w:val="0"/>
      <w:marRight w:val="0"/>
      <w:marTop w:val="0"/>
      <w:marBottom w:val="0"/>
      <w:divBdr>
        <w:top w:val="none" w:sz="0" w:space="0" w:color="auto"/>
        <w:left w:val="none" w:sz="0" w:space="0" w:color="auto"/>
        <w:bottom w:val="none" w:sz="0" w:space="0" w:color="auto"/>
        <w:right w:val="none" w:sz="0" w:space="0" w:color="auto"/>
      </w:divBdr>
    </w:div>
    <w:div w:id="325977940">
      <w:bodyDiv w:val="1"/>
      <w:marLeft w:val="0"/>
      <w:marRight w:val="0"/>
      <w:marTop w:val="0"/>
      <w:marBottom w:val="0"/>
      <w:divBdr>
        <w:top w:val="none" w:sz="0" w:space="0" w:color="auto"/>
        <w:left w:val="none" w:sz="0" w:space="0" w:color="auto"/>
        <w:bottom w:val="none" w:sz="0" w:space="0" w:color="auto"/>
        <w:right w:val="none" w:sz="0" w:space="0" w:color="auto"/>
      </w:divBdr>
    </w:div>
    <w:div w:id="326136323">
      <w:bodyDiv w:val="1"/>
      <w:marLeft w:val="0"/>
      <w:marRight w:val="0"/>
      <w:marTop w:val="0"/>
      <w:marBottom w:val="0"/>
      <w:divBdr>
        <w:top w:val="none" w:sz="0" w:space="0" w:color="auto"/>
        <w:left w:val="none" w:sz="0" w:space="0" w:color="auto"/>
        <w:bottom w:val="none" w:sz="0" w:space="0" w:color="auto"/>
        <w:right w:val="none" w:sz="0" w:space="0" w:color="auto"/>
      </w:divBdr>
    </w:div>
    <w:div w:id="326322664">
      <w:bodyDiv w:val="1"/>
      <w:marLeft w:val="0"/>
      <w:marRight w:val="0"/>
      <w:marTop w:val="0"/>
      <w:marBottom w:val="0"/>
      <w:divBdr>
        <w:top w:val="none" w:sz="0" w:space="0" w:color="auto"/>
        <w:left w:val="none" w:sz="0" w:space="0" w:color="auto"/>
        <w:bottom w:val="none" w:sz="0" w:space="0" w:color="auto"/>
        <w:right w:val="none" w:sz="0" w:space="0" w:color="auto"/>
      </w:divBdr>
    </w:div>
    <w:div w:id="326401302">
      <w:bodyDiv w:val="1"/>
      <w:marLeft w:val="0"/>
      <w:marRight w:val="0"/>
      <w:marTop w:val="0"/>
      <w:marBottom w:val="0"/>
      <w:divBdr>
        <w:top w:val="none" w:sz="0" w:space="0" w:color="auto"/>
        <w:left w:val="none" w:sz="0" w:space="0" w:color="auto"/>
        <w:bottom w:val="none" w:sz="0" w:space="0" w:color="auto"/>
        <w:right w:val="none" w:sz="0" w:space="0" w:color="auto"/>
      </w:divBdr>
    </w:div>
    <w:div w:id="333919933">
      <w:bodyDiv w:val="1"/>
      <w:marLeft w:val="0"/>
      <w:marRight w:val="0"/>
      <w:marTop w:val="0"/>
      <w:marBottom w:val="0"/>
      <w:divBdr>
        <w:top w:val="none" w:sz="0" w:space="0" w:color="auto"/>
        <w:left w:val="none" w:sz="0" w:space="0" w:color="auto"/>
        <w:bottom w:val="none" w:sz="0" w:space="0" w:color="auto"/>
        <w:right w:val="none" w:sz="0" w:space="0" w:color="auto"/>
      </w:divBdr>
    </w:div>
    <w:div w:id="346568382">
      <w:bodyDiv w:val="1"/>
      <w:marLeft w:val="0"/>
      <w:marRight w:val="0"/>
      <w:marTop w:val="0"/>
      <w:marBottom w:val="0"/>
      <w:divBdr>
        <w:top w:val="none" w:sz="0" w:space="0" w:color="auto"/>
        <w:left w:val="none" w:sz="0" w:space="0" w:color="auto"/>
        <w:bottom w:val="none" w:sz="0" w:space="0" w:color="auto"/>
        <w:right w:val="none" w:sz="0" w:space="0" w:color="auto"/>
      </w:divBdr>
    </w:div>
    <w:div w:id="377974926">
      <w:bodyDiv w:val="1"/>
      <w:marLeft w:val="0"/>
      <w:marRight w:val="0"/>
      <w:marTop w:val="0"/>
      <w:marBottom w:val="0"/>
      <w:divBdr>
        <w:top w:val="none" w:sz="0" w:space="0" w:color="auto"/>
        <w:left w:val="none" w:sz="0" w:space="0" w:color="auto"/>
        <w:bottom w:val="none" w:sz="0" w:space="0" w:color="auto"/>
        <w:right w:val="none" w:sz="0" w:space="0" w:color="auto"/>
      </w:divBdr>
    </w:div>
    <w:div w:id="391539690">
      <w:bodyDiv w:val="1"/>
      <w:marLeft w:val="0"/>
      <w:marRight w:val="0"/>
      <w:marTop w:val="0"/>
      <w:marBottom w:val="0"/>
      <w:divBdr>
        <w:top w:val="none" w:sz="0" w:space="0" w:color="auto"/>
        <w:left w:val="none" w:sz="0" w:space="0" w:color="auto"/>
        <w:bottom w:val="none" w:sz="0" w:space="0" w:color="auto"/>
        <w:right w:val="none" w:sz="0" w:space="0" w:color="auto"/>
      </w:divBdr>
    </w:div>
    <w:div w:id="392780597">
      <w:bodyDiv w:val="1"/>
      <w:marLeft w:val="0"/>
      <w:marRight w:val="0"/>
      <w:marTop w:val="0"/>
      <w:marBottom w:val="0"/>
      <w:divBdr>
        <w:top w:val="none" w:sz="0" w:space="0" w:color="auto"/>
        <w:left w:val="none" w:sz="0" w:space="0" w:color="auto"/>
        <w:bottom w:val="none" w:sz="0" w:space="0" w:color="auto"/>
        <w:right w:val="none" w:sz="0" w:space="0" w:color="auto"/>
      </w:divBdr>
    </w:div>
    <w:div w:id="405540396">
      <w:bodyDiv w:val="1"/>
      <w:marLeft w:val="0"/>
      <w:marRight w:val="0"/>
      <w:marTop w:val="0"/>
      <w:marBottom w:val="0"/>
      <w:divBdr>
        <w:top w:val="none" w:sz="0" w:space="0" w:color="auto"/>
        <w:left w:val="none" w:sz="0" w:space="0" w:color="auto"/>
        <w:bottom w:val="none" w:sz="0" w:space="0" w:color="auto"/>
        <w:right w:val="none" w:sz="0" w:space="0" w:color="auto"/>
      </w:divBdr>
    </w:div>
    <w:div w:id="407390211">
      <w:bodyDiv w:val="1"/>
      <w:marLeft w:val="0"/>
      <w:marRight w:val="0"/>
      <w:marTop w:val="0"/>
      <w:marBottom w:val="0"/>
      <w:divBdr>
        <w:top w:val="none" w:sz="0" w:space="0" w:color="auto"/>
        <w:left w:val="none" w:sz="0" w:space="0" w:color="auto"/>
        <w:bottom w:val="none" w:sz="0" w:space="0" w:color="auto"/>
        <w:right w:val="none" w:sz="0" w:space="0" w:color="auto"/>
      </w:divBdr>
    </w:div>
    <w:div w:id="414209591">
      <w:bodyDiv w:val="1"/>
      <w:marLeft w:val="0"/>
      <w:marRight w:val="0"/>
      <w:marTop w:val="0"/>
      <w:marBottom w:val="0"/>
      <w:divBdr>
        <w:top w:val="none" w:sz="0" w:space="0" w:color="auto"/>
        <w:left w:val="none" w:sz="0" w:space="0" w:color="auto"/>
        <w:bottom w:val="none" w:sz="0" w:space="0" w:color="auto"/>
        <w:right w:val="none" w:sz="0" w:space="0" w:color="auto"/>
      </w:divBdr>
    </w:div>
    <w:div w:id="417099199">
      <w:bodyDiv w:val="1"/>
      <w:marLeft w:val="0"/>
      <w:marRight w:val="0"/>
      <w:marTop w:val="0"/>
      <w:marBottom w:val="0"/>
      <w:divBdr>
        <w:top w:val="none" w:sz="0" w:space="0" w:color="auto"/>
        <w:left w:val="none" w:sz="0" w:space="0" w:color="auto"/>
        <w:bottom w:val="none" w:sz="0" w:space="0" w:color="auto"/>
        <w:right w:val="none" w:sz="0" w:space="0" w:color="auto"/>
      </w:divBdr>
    </w:div>
    <w:div w:id="424695471">
      <w:bodyDiv w:val="1"/>
      <w:marLeft w:val="0"/>
      <w:marRight w:val="0"/>
      <w:marTop w:val="0"/>
      <w:marBottom w:val="0"/>
      <w:divBdr>
        <w:top w:val="none" w:sz="0" w:space="0" w:color="auto"/>
        <w:left w:val="none" w:sz="0" w:space="0" w:color="auto"/>
        <w:bottom w:val="none" w:sz="0" w:space="0" w:color="auto"/>
        <w:right w:val="none" w:sz="0" w:space="0" w:color="auto"/>
      </w:divBdr>
    </w:div>
    <w:div w:id="445202980">
      <w:bodyDiv w:val="1"/>
      <w:marLeft w:val="0"/>
      <w:marRight w:val="0"/>
      <w:marTop w:val="0"/>
      <w:marBottom w:val="0"/>
      <w:divBdr>
        <w:top w:val="none" w:sz="0" w:space="0" w:color="auto"/>
        <w:left w:val="none" w:sz="0" w:space="0" w:color="auto"/>
        <w:bottom w:val="none" w:sz="0" w:space="0" w:color="auto"/>
        <w:right w:val="none" w:sz="0" w:space="0" w:color="auto"/>
      </w:divBdr>
    </w:div>
    <w:div w:id="452094262">
      <w:bodyDiv w:val="1"/>
      <w:marLeft w:val="0"/>
      <w:marRight w:val="0"/>
      <w:marTop w:val="0"/>
      <w:marBottom w:val="0"/>
      <w:divBdr>
        <w:top w:val="none" w:sz="0" w:space="0" w:color="auto"/>
        <w:left w:val="none" w:sz="0" w:space="0" w:color="auto"/>
        <w:bottom w:val="none" w:sz="0" w:space="0" w:color="auto"/>
        <w:right w:val="none" w:sz="0" w:space="0" w:color="auto"/>
      </w:divBdr>
    </w:div>
    <w:div w:id="454981547">
      <w:bodyDiv w:val="1"/>
      <w:marLeft w:val="0"/>
      <w:marRight w:val="0"/>
      <w:marTop w:val="0"/>
      <w:marBottom w:val="0"/>
      <w:divBdr>
        <w:top w:val="none" w:sz="0" w:space="0" w:color="auto"/>
        <w:left w:val="none" w:sz="0" w:space="0" w:color="auto"/>
        <w:bottom w:val="none" w:sz="0" w:space="0" w:color="auto"/>
        <w:right w:val="none" w:sz="0" w:space="0" w:color="auto"/>
      </w:divBdr>
    </w:div>
    <w:div w:id="469177622">
      <w:bodyDiv w:val="1"/>
      <w:marLeft w:val="0"/>
      <w:marRight w:val="0"/>
      <w:marTop w:val="0"/>
      <w:marBottom w:val="0"/>
      <w:divBdr>
        <w:top w:val="none" w:sz="0" w:space="0" w:color="auto"/>
        <w:left w:val="none" w:sz="0" w:space="0" w:color="auto"/>
        <w:bottom w:val="none" w:sz="0" w:space="0" w:color="auto"/>
        <w:right w:val="none" w:sz="0" w:space="0" w:color="auto"/>
      </w:divBdr>
    </w:div>
    <w:div w:id="471100344">
      <w:bodyDiv w:val="1"/>
      <w:marLeft w:val="0"/>
      <w:marRight w:val="0"/>
      <w:marTop w:val="0"/>
      <w:marBottom w:val="0"/>
      <w:divBdr>
        <w:top w:val="none" w:sz="0" w:space="0" w:color="auto"/>
        <w:left w:val="none" w:sz="0" w:space="0" w:color="auto"/>
        <w:bottom w:val="none" w:sz="0" w:space="0" w:color="auto"/>
        <w:right w:val="none" w:sz="0" w:space="0" w:color="auto"/>
      </w:divBdr>
    </w:div>
    <w:div w:id="472452377">
      <w:bodyDiv w:val="1"/>
      <w:marLeft w:val="0"/>
      <w:marRight w:val="0"/>
      <w:marTop w:val="0"/>
      <w:marBottom w:val="0"/>
      <w:divBdr>
        <w:top w:val="none" w:sz="0" w:space="0" w:color="auto"/>
        <w:left w:val="none" w:sz="0" w:space="0" w:color="auto"/>
        <w:bottom w:val="none" w:sz="0" w:space="0" w:color="auto"/>
        <w:right w:val="none" w:sz="0" w:space="0" w:color="auto"/>
      </w:divBdr>
    </w:div>
    <w:div w:id="474030096">
      <w:bodyDiv w:val="1"/>
      <w:marLeft w:val="0"/>
      <w:marRight w:val="0"/>
      <w:marTop w:val="0"/>
      <w:marBottom w:val="0"/>
      <w:divBdr>
        <w:top w:val="none" w:sz="0" w:space="0" w:color="auto"/>
        <w:left w:val="none" w:sz="0" w:space="0" w:color="auto"/>
        <w:bottom w:val="none" w:sz="0" w:space="0" w:color="auto"/>
        <w:right w:val="none" w:sz="0" w:space="0" w:color="auto"/>
      </w:divBdr>
    </w:div>
    <w:div w:id="486672231">
      <w:bodyDiv w:val="1"/>
      <w:marLeft w:val="0"/>
      <w:marRight w:val="0"/>
      <w:marTop w:val="0"/>
      <w:marBottom w:val="0"/>
      <w:divBdr>
        <w:top w:val="none" w:sz="0" w:space="0" w:color="auto"/>
        <w:left w:val="none" w:sz="0" w:space="0" w:color="auto"/>
        <w:bottom w:val="none" w:sz="0" w:space="0" w:color="auto"/>
        <w:right w:val="none" w:sz="0" w:space="0" w:color="auto"/>
      </w:divBdr>
    </w:div>
    <w:div w:id="492456380">
      <w:bodyDiv w:val="1"/>
      <w:marLeft w:val="0"/>
      <w:marRight w:val="0"/>
      <w:marTop w:val="0"/>
      <w:marBottom w:val="0"/>
      <w:divBdr>
        <w:top w:val="none" w:sz="0" w:space="0" w:color="auto"/>
        <w:left w:val="none" w:sz="0" w:space="0" w:color="auto"/>
        <w:bottom w:val="none" w:sz="0" w:space="0" w:color="auto"/>
        <w:right w:val="none" w:sz="0" w:space="0" w:color="auto"/>
      </w:divBdr>
    </w:div>
    <w:div w:id="499856304">
      <w:bodyDiv w:val="1"/>
      <w:marLeft w:val="0"/>
      <w:marRight w:val="0"/>
      <w:marTop w:val="0"/>
      <w:marBottom w:val="0"/>
      <w:divBdr>
        <w:top w:val="none" w:sz="0" w:space="0" w:color="auto"/>
        <w:left w:val="none" w:sz="0" w:space="0" w:color="auto"/>
        <w:bottom w:val="none" w:sz="0" w:space="0" w:color="auto"/>
        <w:right w:val="none" w:sz="0" w:space="0" w:color="auto"/>
      </w:divBdr>
    </w:div>
    <w:div w:id="512257667">
      <w:bodyDiv w:val="1"/>
      <w:marLeft w:val="0"/>
      <w:marRight w:val="0"/>
      <w:marTop w:val="0"/>
      <w:marBottom w:val="0"/>
      <w:divBdr>
        <w:top w:val="none" w:sz="0" w:space="0" w:color="auto"/>
        <w:left w:val="none" w:sz="0" w:space="0" w:color="auto"/>
        <w:bottom w:val="none" w:sz="0" w:space="0" w:color="auto"/>
        <w:right w:val="none" w:sz="0" w:space="0" w:color="auto"/>
      </w:divBdr>
    </w:div>
    <w:div w:id="513959256">
      <w:bodyDiv w:val="1"/>
      <w:marLeft w:val="0"/>
      <w:marRight w:val="0"/>
      <w:marTop w:val="0"/>
      <w:marBottom w:val="0"/>
      <w:divBdr>
        <w:top w:val="none" w:sz="0" w:space="0" w:color="auto"/>
        <w:left w:val="none" w:sz="0" w:space="0" w:color="auto"/>
        <w:bottom w:val="none" w:sz="0" w:space="0" w:color="auto"/>
        <w:right w:val="none" w:sz="0" w:space="0" w:color="auto"/>
      </w:divBdr>
    </w:div>
    <w:div w:id="515198767">
      <w:bodyDiv w:val="1"/>
      <w:marLeft w:val="0"/>
      <w:marRight w:val="0"/>
      <w:marTop w:val="0"/>
      <w:marBottom w:val="0"/>
      <w:divBdr>
        <w:top w:val="none" w:sz="0" w:space="0" w:color="auto"/>
        <w:left w:val="none" w:sz="0" w:space="0" w:color="auto"/>
        <w:bottom w:val="none" w:sz="0" w:space="0" w:color="auto"/>
        <w:right w:val="none" w:sz="0" w:space="0" w:color="auto"/>
      </w:divBdr>
    </w:div>
    <w:div w:id="516966621">
      <w:bodyDiv w:val="1"/>
      <w:marLeft w:val="0"/>
      <w:marRight w:val="0"/>
      <w:marTop w:val="0"/>
      <w:marBottom w:val="0"/>
      <w:divBdr>
        <w:top w:val="none" w:sz="0" w:space="0" w:color="auto"/>
        <w:left w:val="none" w:sz="0" w:space="0" w:color="auto"/>
        <w:bottom w:val="none" w:sz="0" w:space="0" w:color="auto"/>
        <w:right w:val="none" w:sz="0" w:space="0" w:color="auto"/>
      </w:divBdr>
    </w:div>
    <w:div w:id="524172320">
      <w:bodyDiv w:val="1"/>
      <w:marLeft w:val="0"/>
      <w:marRight w:val="0"/>
      <w:marTop w:val="0"/>
      <w:marBottom w:val="0"/>
      <w:divBdr>
        <w:top w:val="none" w:sz="0" w:space="0" w:color="auto"/>
        <w:left w:val="none" w:sz="0" w:space="0" w:color="auto"/>
        <w:bottom w:val="none" w:sz="0" w:space="0" w:color="auto"/>
        <w:right w:val="none" w:sz="0" w:space="0" w:color="auto"/>
      </w:divBdr>
    </w:div>
    <w:div w:id="525213942">
      <w:bodyDiv w:val="1"/>
      <w:marLeft w:val="0"/>
      <w:marRight w:val="0"/>
      <w:marTop w:val="0"/>
      <w:marBottom w:val="0"/>
      <w:divBdr>
        <w:top w:val="none" w:sz="0" w:space="0" w:color="auto"/>
        <w:left w:val="none" w:sz="0" w:space="0" w:color="auto"/>
        <w:bottom w:val="none" w:sz="0" w:space="0" w:color="auto"/>
        <w:right w:val="none" w:sz="0" w:space="0" w:color="auto"/>
      </w:divBdr>
    </w:div>
    <w:div w:id="548538275">
      <w:bodyDiv w:val="1"/>
      <w:marLeft w:val="0"/>
      <w:marRight w:val="0"/>
      <w:marTop w:val="0"/>
      <w:marBottom w:val="0"/>
      <w:divBdr>
        <w:top w:val="none" w:sz="0" w:space="0" w:color="auto"/>
        <w:left w:val="none" w:sz="0" w:space="0" w:color="auto"/>
        <w:bottom w:val="none" w:sz="0" w:space="0" w:color="auto"/>
        <w:right w:val="none" w:sz="0" w:space="0" w:color="auto"/>
      </w:divBdr>
    </w:div>
    <w:div w:id="555507254">
      <w:bodyDiv w:val="1"/>
      <w:marLeft w:val="0"/>
      <w:marRight w:val="0"/>
      <w:marTop w:val="0"/>
      <w:marBottom w:val="0"/>
      <w:divBdr>
        <w:top w:val="none" w:sz="0" w:space="0" w:color="auto"/>
        <w:left w:val="none" w:sz="0" w:space="0" w:color="auto"/>
        <w:bottom w:val="none" w:sz="0" w:space="0" w:color="auto"/>
        <w:right w:val="none" w:sz="0" w:space="0" w:color="auto"/>
      </w:divBdr>
    </w:div>
    <w:div w:id="558983150">
      <w:bodyDiv w:val="1"/>
      <w:marLeft w:val="0"/>
      <w:marRight w:val="0"/>
      <w:marTop w:val="0"/>
      <w:marBottom w:val="0"/>
      <w:divBdr>
        <w:top w:val="none" w:sz="0" w:space="0" w:color="auto"/>
        <w:left w:val="none" w:sz="0" w:space="0" w:color="auto"/>
        <w:bottom w:val="none" w:sz="0" w:space="0" w:color="auto"/>
        <w:right w:val="none" w:sz="0" w:space="0" w:color="auto"/>
      </w:divBdr>
    </w:div>
    <w:div w:id="561060555">
      <w:bodyDiv w:val="1"/>
      <w:marLeft w:val="0"/>
      <w:marRight w:val="0"/>
      <w:marTop w:val="0"/>
      <w:marBottom w:val="0"/>
      <w:divBdr>
        <w:top w:val="none" w:sz="0" w:space="0" w:color="auto"/>
        <w:left w:val="none" w:sz="0" w:space="0" w:color="auto"/>
        <w:bottom w:val="none" w:sz="0" w:space="0" w:color="auto"/>
        <w:right w:val="none" w:sz="0" w:space="0" w:color="auto"/>
      </w:divBdr>
    </w:div>
    <w:div w:id="568156493">
      <w:bodyDiv w:val="1"/>
      <w:marLeft w:val="0"/>
      <w:marRight w:val="0"/>
      <w:marTop w:val="0"/>
      <w:marBottom w:val="0"/>
      <w:divBdr>
        <w:top w:val="none" w:sz="0" w:space="0" w:color="auto"/>
        <w:left w:val="none" w:sz="0" w:space="0" w:color="auto"/>
        <w:bottom w:val="none" w:sz="0" w:space="0" w:color="auto"/>
        <w:right w:val="none" w:sz="0" w:space="0" w:color="auto"/>
      </w:divBdr>
    </w:div>
    <w:div w:id="572201758">
      <w:bodyDiv w:val="1"/>
      <w:marLeft w:val="0"/>
      <w:marRight w:val="0"/>
      <w:marTop w:val="0"/>
      <w:marBottom w:val="0"/>
      <w:divBdr>
        <w:top w:val="none" w:sz="0" w:space="0" w:color="auto"/>
        <w:left w:val="none" w:sz="0" w:space="0" w:color="auto"/>
        <w:bottom w:val="none" w:sz="0" w:space="0" w:color="auto"/>
        <w:right w:val="none" w:sz="0" w:space="0" w:color="auto"/>
      </w:divBdr>
    </w:div>
    <w:div w:id="574434298">
      <w:bodyDiv w:val="1"/>
      <w:marLeft w:val="0"/>
      <w:marRight w:val="0"/>
      <w:marTop w:val="0"/>
      <w:marBottom w:val="0"/>
      <w:divBdr>
        <w:top w:val="none" w:sz="0" w:space="0" w:color="auto"/>
        <w:left w:val="none" w:sz="0" w:space="0" w:color="auto"/>
        <w:bottom w:val="none" w:sz="0" w:space="0" w:color="auto"/>
        <w:right w:val="none" w:sz="0" w:space="0" w:color="auto"/>
      </w:divBdr>
    </w:div>
    <w:div w:id="579605448">
      <w:bodyDiv w:val="1"/>
      <w:marLeft w:val="0"/>
      <w:marRight w:val="0"/>
      <w:marTop w:val="0"/>
      <w:marBottom w:val="0"/>
      <w:divBdr>
        <w:top w:val="none" w:sz="0" w:space="0" w:color="auto"/>
        <w:left w:val="none" w:sz="0" w:space="0" w:color="auto"/>
        <w:bottom w:val="none" w:sz="0" w:space="0" w:color="auto"/>
        <w:right w:val="none" w:sz="0" w:space="0" w:color="auto"/>
      </w:divBdr>
    </w:div>
    <w:div w:id="583421403">
      <w:bodyDiv w:val="1"/>
      <w:marLeft w:val="0"/>
      <w:marRight w:val="0"/>
      <w:marTop w:val="0"/>
      <w:marBottom w:val="0"/>
      <w:divBdr>
        <w:top w:val="none" w:sz="0" w:space="0" w:color="auto"/>
        <w:left w:val="none" w:sz="0" w:space="0" w:color="auto"/>
        <w:bottom w:val="none" w:sz="0" w:space="0" w:color="auto"/>
        <w:right w:val="none" w:sz="0" w:space="0" w:color="auto"/>
      </w:divBdr>
    </w:div>
    <w:div w:id="583881610">
      <w:bodyDiv w:val="1"/>
      <w:marLeft w:val="0"/>
      <w:marRight w:val="0"/>
      <w:marTop w:val="0"/>
      <w:marBottom w:val="0"/>
      <w:divBdr>
        <w:top w:val="none" w:sz="0" w:space="0" w:color="auto"/>
        <w:left w:val="none" w:sz="0" w:space="0" w:color="auto"/>
        <w:bottom w:val="none" w:sz="0" w:space="0" w:color="auto"/>
        <w:right w:val="none" w:sz="0" w:space="0" w:color="auto"/>
      </w:divBdr>
    </w:div>
    <w:div w:id="595091759">
      <w:bodyDiv w:val="1"/>
      <w:marLeft w:val="0"/>
      <w:marRight w:val="0"/>
      <w:marTop w:val="0"/>
      <w:marBottom w:val="0"/>
      <w:divBdr>
        <w:top w:val="none" w:sz="0" w:space="0" w:color="auto"/>
        <w:left w:val="none" w:sz="0" w:space="0" w:color="auto"/>
        <w:bottom w:val="none" w:sz="0" w:space="0" w:color="auto"/>
        <w:right w:val="none" w:sz="0" w:space="0" w:color="auto"/>
      </w:divBdr>
    </w:div>
    <w:div w:id="611328664">
      <w:bodyDiv w:val="1"/>
      <w:marLeft w:val="0"/>
      <w:marRight w:val="0"/>
      <w:marTop w:val="0"/>
      <w:marBottom w:val="0"/>
      <w:divBdr>
        <w:top w:val="none" w:sz="0" w:space="0" w:color="auto"/>
        <w:left w:val="none" w:sz="0" w:space="0" w:color="auto"/>
        <w:bottom w:val="none" w:sz="0" w:space="0" w:color="auto"/>
        <w:right w:val="none" w:sz="0" w:space="0" w:color="auto"/>
      </w:divBdr>
    </w:div>
    <w:div w:id="626547517">
      <w:bodyDiv w:val="1"/>
      <w:marLeft w:val="0"/>
      <w:marRight w:val="0"/>
      <w:marTop w:val="0"/>
      <w:marBottom w:val="0"/>
      <w:divBdr>
        <w:top w:val="none" w:sz="0" w:space="0" w:color="auto"/>
        <w:left w:val="none" w:sz="0" w:space="0" w:color="auto"/>
        <w:bottom w:val="none" w:sz="0" w:space="0" w:color="auto"/>
        <w:right w:val="none" w:sz="0" w:space="0" w:color="auto"/>
      </w:divBdr>
    </w:div>
    <w:div w:id="643194379">
      <w:bodyDiv w:val="1"/>
      <w:marLeft w:val="0"/>
      <w:marRight w:val="0"/>
      <w:marTop w:val="0"/>
      <w:marBottom w:val="0"/>
      <w:divBdr>
        <w:top w:val="none" w:sz="0" w:space="0" w:color="auto"/>
        <w:left w:val="none" w:sz="0" w:space="0" w:color="auto"/>
        <w:bottom w:val="none" w:sz="0" w:space="0" w:color="auto"/>
        <w:right w:val="none" w:sz="0" w:space="0" w:color="auto"/>
      </w:divBdr>
    </w:div>
    <w:div w:id="651375416">
      <w:bodyDiv w:val="1"/>
      <w:marLeft w:val="0"/>
      <w:marRight w:val="0"/>
      <w:marTop w:val="0"/>
      <w:marBottom w:val="0"/>
      <w:divBdr>
        <w:top w:val="none" w:sz="0" w:space="0" w:color="auto"/>
        <w:left w:val="none" w:sz="0" w:space="0" w:color="auto"/>
        <w:bottom w:val="none" w:sz="0" w:space="0" w:color="auto"/>
        <w:right w:val="none" w:sz="0" w:space="0" w:color="auto"/>
      </w:divBdr>
    </w:div>
    <w:div w:id="658584276">
      <w:bodyDiv w:val="1"/>
      <w:marLeft w:val="0"/>
      <w:marRight w:val="0"/>
      <w:marTop w:val="0"/>
      <w:marBottom w:val="0"/>
      <w:divBdr>
        <w:top w:val="none" w:sz="0" w:space="0" w:color="auto"/>
        <w:left w:val="none" w:sz="0" w:space="0" w:color="auto"/>
        <w:bottom w:val="none" w:sz="0" w:space="0" w:color="auto"/>
        <w:right w:val="none" w:sz="0" w:space="0" w:color="auto"/>
      </w:divBdr>
    </w:div>
    <w:div w:id="661815251">
      <w:bodyDiv w:val="1"/>
      <w:marLeft w:val="0"/>
      <w:marRight w:val="0"/>
      <w:marTop w:val="0"/>
      <w:marBottom w:val="0"/>
      <w:divBdr>
        <w:top w:val="none" w:sz="0" w:space="0" w:color="auto"/>
        <w:left w:val="none" w:sz="0" w:space="0" w:color="auto"/>
        <w:bottom w:val="none" w:sz="0" w:space="0" w:color="auto"/>
        <w:right w:val="none" w:sz="0" w:space="0" w:color="auto"/>
      </w:divBdr>
    </w:div>
    <w:div w:id="674185950">
      <w:bodyDiv w:val="1"/>
      <w:marLeft w:val="0"/>
      <w:marRight w:val="0"/>
      <w:marTop w:val="0"/>
      <w:marBottom w:val="0"/>
      <w:divBdr>
        <w:top w:val="none" w:sz="0" w:space="0" w:color="auto"/>
        <w:left w:val="none" w:sz="0" w:space="0" w:color="auto"/>
        <w:bottom w:val="none" w:sz="0" w:space="0" w:color="auto"/>
        <w:right w:val="none" w:sz="0" w:space="0" w:color="auto"/>
      </w:divBdr>
    </w:div>
    <w:div w:id="674570824">
      <w:bodyDiv w:val="1"/>
      <w:marLeft w:val="0"/>
      <w:marRight w:val="0"/>
      <w:marTop w:val="0"/>
      <w:marBottom w:val="0"/>
      <w:divBdr>
        <w:top w:val="none" w:sz="0" w:space="0" w:color="auto"/>
        <w:left w:val="none" w:sz="0" w:space="0" w:color="auto"/>
        <w:bottom w:val="none" w:sz="0" w:space="0" w:color="auto"/>
        <w:right w:val="none" w:sz="0" w:space="0" w:color="auto"/>
      </w:divBdr>
    </w:div>
    <w:div w:id="676543503">
      <w:bodyDiv w:val="1"/>
      <w:marLeft w:val="0"/>
      <w:marRight w:val="0"/>
      <w:marTop w:val="0"/>
      <w:marBottom w:val="0"/>
      <w:divBdr>
        <w:top w:val="none" w:sz="0" w:space="0" w:color="auto"/>
        <w:left w:val="none" w:sz="0" w:space="0" w:color="auto"/>
        <w:bottom w:val="none" w:sz="0" w:space="0" w:color="auto"/>
        <w:right w:val="none" w:sz="0" w:space="0" w:color="auto"/>
      </w:divBdr>
    </w:div>
    <w:div w:id="685863540">
      <w:bodyDiv w:val="1"/>
      <w:marLeft w:val="0"/>
      <w:marRight w:val="0"/>
      <w:marTop w:val="0"/>
      <w:marBottom w:val="0"/>
      <w:divBdr>
        <w:top w:val="none" w:sz="0" w:space="0" w:color="auto"/>
        <w:left w:val="none" w:sz="0" w:space="0" w:color="auto"/>
        <w:bottom w:val="none" w:sz="0" w:space="0" w:color="auto"/>
        <w:right w:val="none" w:sz="0" w:space="0" w:color="auto"/>
      </w:divBdr>
    </w:div>
    <w:div w:id="692413535">
      <w:bodyDiv w:val="1"/>
      <w:marLeft w:val="0"/>
      <w:marRight w:val="0"/>
      <w:marTop w:val="0"/>
      <w:marBottom w:val="0"/>
      <w:divBdr>
        <w:top w:val="none" w:sz="0" w:space="0" w:color="auto"/>
        <w:left w:val="none" w:sz="0" w:space="0" w:color="auto"/>
        <w:bottom w:val="none" w:sz="0" w:space="0" w:color="auto"/>
        <w:right w:val="none" w:sz="0" w:space="0" w:color="auto"/>
      </w:divBdr>
    </w:div>
    <w:div w:id="702096904">
      <w:bodyDiv w:val="1"/>
      <w:marLeft w:val="0"/>
      <w:marRight w:val="0"/>
      <w:marTop w:val="0"/>
      <w:marBottom w:val="0"/>
      <w:divBdr>
        <w:top w:val="none" w:sz="0" w:space="0" w:color="auto"/>
        <w:left w:val="none" w:sz="0" w:space="0" w:color="auto"/>
        <w:bottom w:val="none" w:sz="0" w:space="0" w:color="auto"/>
        <w:right w:val="none" w:sz="0" w:space="0" w:color="auto"/>
      </w:divBdr>
    </w:div>
    <w:div w:id="702484196">
      <w:bodyDiv w:val="1"/>
      <w:marLeft w:val="0"/>
      <w:marRight w:val="0"/>
      <w:marTop w:val="0"/>
      <w:marBottom w:val="0"/>
      <w:divBdr>
        <w:top w:val="none" w:sz="0" w:space="0" w:color="auto"/>
        <w:left w:val="none" w:sz="0" w:space="0" w:color="auto"/>
        <w:bottom w:val="none" w:sz="0" w:space="0" w:color="auto"/>
        <w:right w:val="none" w:sz="0" w:space="0" w:color="auto"/>
      </w:divBdr>
    </w:div>
    <w:div w:id="724528326">
      <w:bodyDiv w:val="1"/>
      <w:marLeft w:val="0"/>
      <w:marRight w:val="0"/>
      <w:marTop w:val="0"/>
      <w:marBottom w:val="0"/>
      <w:divBdr>
        <w:top w:val="none" w:sz="0" w:space="0" w:color="auto"/>
        <w:left w:val="none" w:sz="0" w:space="0" w:color="auto"/>
        <w:bottom w:val="none" w:sz="0" w:space="0" w:color="auto"/>
        <w:right w:val="none" w:sz="0" w:space="0" w:color="auto"/>
      </w:divBdr>
    </w:div>
    <w:div w:id="725450265">
      <w:bodyDiv w:val="1"/>
      <w:marLeft w:val="0"/>
      <w:marRight w:val="0"/>
      <w:marTop w:val="0"/>
      <w:marBottom w:val="0"/>
      <w:divBdr>
        <w:top w:val="none" w:sz="0" w:space="0" w:color="auto"/>
        <w:left w:val="none" w:sz="0" w:space="0" w:color="auto"/>
        <w:bottom w:val="none" w:sz="0" w:space="0" w:color="auto"/>
        <w:right w:val="none" w:sz="0" w:space="0" w:color="auto"/>
      </w:divBdr>
    </w:div>
    <w:div w:id="729423450">
      <w:bodyDiv w:val="1"/>
      <w:marLeft w:val="0"/>
      <w:marRight w:val="0"/>
      <w:marTop w:val="0"/>
      <w:marBottom w:val="0"/>
      <w:divBdr>
        <w:top w:val="none" w:sz="0" w:space="0" w:color="auto"/>
        <w:left w:val="none" w:sz="0" w:space="0" w:color="auto"/>
        <w:bottom w:val="none" w:sz="0" w:space="0" w:color="auto"/>
        <w:right w:val="none" w:sz="0" w:space="0" w:color="auto"/>
      </w:divBdr>
    </w:div>
    <w:div w:id="741216894">
      <w:bodyDiv w:val="1"/>
      <w:marLeft w:val="0"/>
      <w:marRight w:val="0"/>
      <w:marTop w:val="0"/>
      <w:marBottom w:val="0"/>
      <w:divBdr>
        <w:top w:val="none" w:sz="0" w:space="0" w:color="auto"/>
        <w:left w:val="none" w:sz="0" w:space="0" w:color="auto"/>
        <w:bottom w:val="none" w:sz="0" w:space="0" w:color="auto"/>
        <w:right w:val="none" w:sz="0" w:space="0" w:color="auto"/>
      </w:divBdr>
    </w:div>
    <w:div w:id="749545911">
      <w:bodyDiv w:val="1"/>
      <w:marLeft w:val="0"/>
      <w:marRight w:val="0"/>
      <w:marTop w:val="0"/>
      <w:marBottom w:val="0"/>
      <w:divBdr>
        <w:top w:val="none" w:sz="0" w:space="0" w:color="auto"/>
        <w:left w:val="none" w:sz="0" w:space="0" w:color="auto"/>
        <w:bottom w:val="none" w:sz="0" w:space="0" w:color="auto"/>
        <w:right w:val="none" w:sz="0" w:space="0" w:color="auto"/>
      </w:divBdr>
    </w:div>
    <w:div w:id="751009577">
      <w:bodyDiv w:val="1"/>
      <w:marLeft w:val="0"/>
      <w:marRight w:val="0"/>
      <w:marTop w:val="0"/>
      <w:marBottom w:val="0"/>
      <w:divBdr>
        <w:top w:val="none" w:sz="0" w:space="0" w:color="auto"/>
        <w:left w:val="none" w:sz="0" w:space="0" w:color="auto"/>
        <w:bottom w:val="none" w:sz="0" w:space="0" w:color="auto"/>
        <w:right w:val="none" w:sz="0" w:space="0" w:color="auto"/>
      </w:divBdr>
    </w:div>
    <w:div w:id="751463668">
      <w:bodyDiv w:val="1"/>
      <w:marLeft w:val="0"/>
      <w:marRight w:val="0"/>
      <w:marTop w:val="0"/>
      <w:marBottom w:val="0"/>
      <w:divBdr>
        <w:top w:val="none" w:sz="0" w:space="0" w:color="auto"/>
        <w:left w:val="none" w:sz="0" w:space="0" w:color="auto"/>
        <w:bottom w:val="none" w:sz="0" w:space="0" w:color="auto"/>
        <w:right w:val="none" w:sz="0" w:space="0" w:color="auto"/>
      </w:divBdr>
    </w:div>
    <w:div w:id="754089013">
      <w:bodyDiv w:val="1"/>
      <w:marLeft w:val="0"/>
      <w:marRight w:val="0"/>
      <w:marTop w:val="0"/>
      <w:marBottom w:val="0"/>
      <w:divBdr>
        <w:top w:val="none" w:sz="0" w:space="0" w:color="auto"/>
        <w:left w:val="none" w:sz="0" w:space="0" w:color="auto"/>
        <w:bottom w:val="none" w:sz="0" w:space="0" w:color="auto"/>
        <w:right w:val="none" w:sz="0" w:space="0" w:color="auto"/>
      </w:divBdr>
    </w:div>
    <w:div w:id="754517550">
      <w:bodyDiv w:val="1"/>
      <w:marLeft w:val="0"/>
      <w:marRight w:val="0"/>
      <w:marTop w:val="0"/>
      <w:marBottom w:val="0"/>
      <w:divBdr>
        <w:top w:val="none" w:sz="0" w:space="0" w:color="auto"/>
        <w:left w:val="none" w:sz="0" w:space="0" w:color="auto"/>
        <w:bottom w:val="none" w:sz="0" w:space="0" w:color="auto"/>
        <w:right w:val="none" w:sz="0" w:space="0" w:color="auto"/>
      </w:divBdr>
    </w:div>
    <w:div w:id="761029167">
      <w:bodyDiv w:val="1"/>
      <w:marLeft w:val="0"/>
      <w:marRight w:val="0"/>
      <w:marTop w:val="0"/>
      <w:marBottom w:val="0"/>
      <w:divBdr>
        <w:top w:val="none" w:sz="0" w:space="0" w:color="auto"/>
        <w:left w:val="none" w:sz="0" w:space="0" w:color="auto"/>
        <w:bottom w:val="none" w:sz="0" w:space="0" w:color="auto"/>
        <w:right w:val="none" w:sz="0" w:space="0" w:color="auto"/>
      </w:divBdr>
    </w:div>
    <w:div w:id="770397855">
      <w:bodyDiv w:val="1"/>
      <w:marLeft w:val="0"/>
      <w:marRight w:val="0"/>
      <w:marTop w:val="0"/>
      <w:marBottom w:val="0"/>
      <w:divBdr>
        <w:top w:val="none" w:sz="0" w:space="0" w:color="auto"/>
        <w:left w:val="none" w:sz="0" w:space="0" w:color="auto"/>
        <w:bottom w:val="none" w:sz="0" w:space="0" w:color="auto"/>
        <w:right w:val="none" w:sz="0" w:space="0" w:color="auto"/>
      </w:divBdr>
    </w:div>
    <w:div w:id="774982244">
      <w:bodyDiv w:val="1"/>
      <w:marLeft w:val="0"/>
      <w:marRight w:val="0"/>
      <w:marTop w:val="0"/>
      <w:marBottom w:val="0"/>
      <w:divBdr>
        <w:top w:val="none" w:sz="0" w:space="0" w:color="auto"/>
        <w:left w:val="none" w:sz="0" w:space="0" w:color="auto"/>
        <w:bottom w:val="none" w:sz="0" w:space="0" w:color="auto"/>
        <w:right w:val="none" w:sz="0" w:space="0" w:color="auto"/>
      </w:divBdr>
    </w:div>
    <w:div w:id="784077772">
      <w:bodyDiv w:val="1"/>
      <w:marLeft w:val="0"/>
      <w:marRight w:val="0"/>
      <w:marTop w:val="0"/>
      <w:marBottom w:val="0"/>
      <w:divBdr>
        <w:top w:val="none" w:sz="0" w:space="0" w:color="auto"/>
        <w:left w:val="none" w:sz="0" w:space="0" w:color="auto"/>
        <w:bottom w:val="none" w:sz="0" w:space="0" w:color="auto"/>
        <w:right w:val="none" w:sz="0" w:space="0" w:color="auto"/>
      </w:divBdr>
    </w:div>
    <w:div w:id="788009082">
      <w:bodyDiv w:val="1"/>
      <w:marLeft w:val="0"/>
      <w:marRight w:val="0"/>
      <w:marTop w:val="0"/>
      <w:marBottom w:val="0"/>
      <w:divBdr>
        <w:top w:val="none" w:sz="0" w:space="0" w:color="auto"/>
        <w:left w:val="none" w:sz="0" w:space="0" w:color="auto"/>
        <w:bottom w:val="none" w:sz="0" w:space="0" w:color="auto"/>
        <w:right w:val="none" w:sz="0" w:space="0" w:color="auto"/>
      </w:divBdr>
    </w:div>
    <w:div w:id="813063733">
      <w:bodyDiv w:val="1"/>
      <w:marLeft w:val="0"/>
      <w:marRight w:val="0"/>
      <w:marTop w:val="0"/>
      <w:marBottom w:val="0"/>
      <w:divBdr>
        <w:top w:val="none" w:sz="0" w:space="0" w:color="auto"/>
        <w:left w:val="none" w:sz="0" w:space="0" w:color="auto"/>
        <w:bottom w:val="none" w:sz="0" w:space="0" w:color="auto"/>
        <w:right w:val="none" w:sz="0" w:space="0" w:color="auto"/>
      </w:divBdr>
    </w:div>
    <w:div w:id="820074609">
      <w:bodyDiv w:val="1"/>
      <w:marLeft w:val="0"/>
      <w:marRight w:val="0"/>
      <w:marTop w:val="0"/>
      <w:marBottom w:val="0"/>
      <w:divBdr>
        <w:top w:val="none" w:sz="0" w:space="0" w:color="auto"/>
        <w:left w:val="none" w:sz="0" w:space="0" w:color="auto"/>
        <w:bottom w:val="none" w:sz="0" w:space="0" w:color="auto"/>
        <w:right w:val="none" w:sz="0" w:space="0" w:color="auto"/>
      </w:divBdr>
    </w:div>
    <w:div w:id="823274814">
      <w:bodyDiv w:val="1"/>
      <w:marLeft w:val="0"/>
      <w:marRight w:val="0"/>
      <w:marTop w:val="0"/>
      <w:marBottom w:val="0"/>
      <w:divBdr>
        <w:top w:val="none" w:sz="0" w:space="0" w:color="auto"/>
        <w:left w:val="none" w:sz="0" w:space="0" w:color="auto"/>
        <w:bottom w:val="none" w:sz="0" w:space="0" w:color="auto"/>
        <w:right w:val="none" w:sz="0" w:space="0" w:color="auto"/>
      </w:divBdr>
    </w:div>
    <w:div w:id="825128568">
      <w:bodyDiv w:val="1"/>
      <w:marLeft w:val="0"/>
      <w:marRight w:val="0"/>
      <w:marTop w:val="0"/>
      <w:marBottom w:val="0"/>
      <w:divBdr>
        <w:top w:val="none" w:sz="0" w:space="0" w:color="auto"/>
        <w:left w:val="none" w:sz="0" w:space="0" w:color="auto"/>
        <w:bottom w:val="none" w:sz="0" w:space="0" w:color="auto"/>
        <w:right w:val="none" w:sz="0" w:space="0" w:color="auto"/>
      </w:divBdr>
    </w:div>
    <w:div w:id="839733165">
      <w:bodyDiv w:val="1"/>
      <w:marLeft w:val="0"/>
      <w:marRight w:val="0"/>
      <w:marTop w:val="0"/>
      <w:marBottom w:val="0"/>
      <w:divBdr>
        <w:top w:val="none" w:sz="0" w:space="0" w:color="auto"/>
        <w:left w:val="none" w:sz="0" w:space="0" w:color="auto"/>
        <w:bottom w:val="none" w:sz="0" w:space="0" w:color="auto"/>
        <w:right w:val="none" w:sz="0" w:space="0" w:color="auto"/>
      </w:divBdr>
    </w:div>
    <w:div w:id="850414553">
      <w:bodyDiv w:val="1"/>
      <w:marLeft w:val="0"/>
      <w:marRight w:val="0"/>
      <w:marTop w:val="0"/>
      <w:marBottom w:val="0"/>
      <w:divBdr>
        <w:top w:val="none" w:sz="0" w:space="0" w:color="auto"/>
        <w:left w:val="none" w:sz="0" w:space="0" w:color="auto"/>
        <w:bottom w:val="none" w:sz="0" w:space="0" w:color="auto"/>
        <w:right w:val="none" w:sz="0" w:space="0" w:color="auto"/>
      </w:divBdr>
    </w:div>
    <w:div w:id="856584166">
      <w:bodyDiv w:val="1"/>
      <w:marLeft w:val="0"/>
      <w:marRight w:val="0"/>
      <w:marTop w:val="0"/>
      <w:marBottom w:val="0"/>
      <w:divBdr>
        <w:top w:val="none" w:sz="0" w:space="0" w:color="auto"/>
        <w:left w:val="none" w:sz="0" w:space="0" w:color="auto"/>
        <w:bottom w:val="none" w:sz="0" w:space="0" w:color="auto"/>
        <w:right w:val="none" w:sz="0" w:space="0" w:color="auto"/>
      </w:divBdr>
    </w:div>
    <w:div w:id="865020892">
      <w:bodyDiv w:val="1"/>
      <w:marLeft w:val="0"/>
      <w:marRight w:val="0"/>
      <w:marTop w:val="0"/>
      <w:marBottom w:val="0"/>
      <w:divBdr>
        <w:top w:val="none" w:sz="0" w:space="0" w:color="auto"/>
        <w:left w:val="none" w:sz="0" w:space="0" w:color="auto"/>
        <w:bottom w:val="none" w:sz="0" w:space="0" w:color="auto"/>
        <w:right w:val="none" w:sz="0" w:space="0" w:color="auto"/>
      </w:divBdr>
    </w:div>
    <w:div w:id="870267230">
      <w:bodyDiv w:val="1"/>
      <w:marLeft w:val="0"/>
      <w:marRight w:val="0"/>
      <w:marTop w:val="0"/>
      <w:marBottom w:val="0"/>
      <w:divBdr>
        <w:top w:val="none" w:sz="0" w:space="0" w:color="auto"/>
        <w:left w:val="none" w:sz="0" w:space="0" w:color="auto"/>
        <w:bottom w:val="none" w:sz="0" w:space="0" w:color="auto"/>
        <w:right w:val="none" w:sz="0" w:space="0" w:color="auto"/>
      </w:divBdr>
    </w:div>
    <w:div w:id="880746062">
      <w:bodyDiv w:val="1"/>
      <w:marLeft w:val="0"/>
      <w:marRight w:val="0"/>
      <w:marTop w:val="0"/>
      <w:marBottom w:val="0"/>
      <w:divBdr>
        <w:top w:val="none" w:sz="0" w:space="0" w:color="auto"/>
        <w:left w:val="none" w:sz="0" w:space="0" w:color="auto"/>
        <w:bottom w:val="none" w:sz="0" w:space="0" w:color="auto"/>
        <w:right w:val="none" w:sz="0" w:space="0" w:color="auto"/>
      </w:divBdr>
    </w:div>
    <w:div w:id="886331370">
      <w:bodyDiv w:val="1"/>
      <w:marLeft w:val="0"/>
      <w:marRight w:val="0"/>
      <w:marTop w:val="0"/>
      <w:marBottom w:val="0"/>
      <w:divBdr>
        <w:top w:val="none" w:sz="0" w:space="0" w:color="auto"/>
        <w:left w:val="none" w:sz="0" w:space="0" w:color="auto"/>
        <w:bottom w:val="none" w:sz="0" w:space="0" w:color="auto"/>
        <w:right w:val="none" w:sz="0" w:space="0" w:color="auto"/>
      </w:divBdr>
    </w:div>
    <w:div w:id="886989641">
      <w:bodyDiv w:val="1"/>
      <w:marLeft w:val="0"/>
      <w:marRight w:val="0"/>
      <w:marTop w:val="0"/>
      <w:marBottom w:val="0"/>
      <w:divBdr>
        <w:top w:val="none" w:sz="0" w:space="0" w:color="auto"/>
        <w:left w:val="none" w:sz="0" w:space="0" w:color="auto"/>
        <w:bottom w:val="none" w:sz="0" w:space="0" w:color="auto"/>
        <w:right w:val="none" w:sz="0" w:space="0" w:color="auto"/>
      </w:divBdr>
    </w:div>
    <w:div w:id="893780700">
      <w:bodyDiv w:val="1"/>
      <w:marLeft w:val="0"/>
      <w:marRight w:val="0"/>
      <w:marTop w:val="0"/>
      <w:marBottom w:val="0"/>
      <w:divBdr>
        <w:top w:val="none" w:sz="0" w:space="0" w:color="auto"/>
        <w:left w:val="none" w:sz="0" w:space="0" w:color="auto"/>
        <w:bottom w:val="none" w:sz="0" w:space="0" w:color="auto"/>
        <w:right w:val="none" w:sz="0" w:space="0" w:color="auto"/>
      </w:divBdr>
    </w:div>
    <w:div w:id="895315053">
      <w:bodyDiv w:val="1"/>
      <w:marLeft w:val="0"/>
      <w:marRight w:val="0"/>
      <w:marTop w:val="0"/>
      <w:marBottom w:val="0"/>
      <w:divBdr>
        <w:top w:val="none" w:sz="0" w:space="0" w:color="auto"/>
        <w:left w:val="none" w:sz="0" w:space="0" w:color="auto"/>
        <w:bottom w:val="none" w:sz="0" w:space="0" w:color="auto"/>
        <w:right w:val="none" w:sz="0" w:space="0" w:color="auto"/>
      </w:divBdr>
    </w:div>
    <w:div w:id="901136813">
      <w:bodyDiv w:val="1"/>
      <w:marLeft w:val="0"/>
      <w:marRight w:val="0"/>
      <w:marTop w:val="0"/>
      <w:marBottom w:val="0"/>
      <w:divBdr>
        <w:top w:val="none" w:sz="0" w:space="0" w:color="auto"/>
        <w:left w:val="none" w:sz="0" w:space="0" w:color="auto"/>
        <w:bottom w:val="none" w:sz="0" w:space="0" w:color="auto"/>
        <w:right w:val="none" w:sz="0" w:space="0" w:color="auto"/>
      </w:divBdr>
    </w:div>
    <w:div w:id="905803712">
      <w:bodyDiv w:val="1"/>
      <w:marLeft w:val="0"/>
      <w:marRight w:val="0"/>
      <w:marTop w:val="0"/>
      <w:marBottom w:val="0"/>
      <w:divBdr>
        <w:top w:val="none" w:sz="0" w:space="0" w:color="auto"/>
        <w:left w:val="none" w:sz="0" w:space="0" w:color="auto"/>
        <w:bottom w:val="none" w:sz="0" w:space="0" w:color="auto"/>
        <w:right w:val="none" w:sz="0" w:space="0" w:color="auto"/>
      </w:divBdr>
    </w:div>
    <w:div w:id="912395330">
      <w:bodyDiv w:val="1"/>
      <w:marLeft w:val="0"/>
      <w:marRight w:val="0"/>
      <w:marTop w:val="0"/>
      <w:marBottom w:val="0"/>
      <w:divBdr>
        <w:top w:val="none" w:sz="0" w:space="0" w:color="auto"/>
        <w:left w:val="none" w:sz="0" w:space="0" w:color="auto"/>
        <w:bottom w:val="none" w:sz="0" w:space="0" w:color="auto"/>
        <w:right w:val="none" w:sz="0" w:space="0" w:color="auto"/>
      </w:divBdr>
    </w:div>
    <w:div w:id="922034315">
      <w:bodyDiv w:val="1"/>
      <w:marLeft w:val="0"/>
      <w:marRight w:val="0"/>
      <w:marTop w:val="0"/>
      <w:marBottom w:val="0"/>
      <w:divBdr>
        <w:top w:val="none" w:sz="0" w:space="0" w:color="auto"/>
        <w:left w:val="none" w:sz="0" w:space="0" w:color="auto"/>
        <w:bottom w:val="none" w:sz="0" w:space="0" w:color="auto"/>
        <w:right w:val="none" w:sz="0" w:space="0" w:color="auto"/>
      </w:divBdr>
    </w:div>
    <w:div w:id="923029655">
      <w:bodyDiv w:val="1"/>
      <w:marLeft w:val="0"/>
      <w:marRight w:val="0"/>
      <w:marTop w:val="0"/>
      <w:marBottom w:val="0"/>
      <w:divBdr>
        <w:top w:val="none" w:sz="0" w:space="0" w:color="auto"/>
        <w:left w:val="none" w:sz="0" w:space="0" w:color="auto"/>
        <w:bottom w:val="none" w:sz="0" w:space="0" w:color="auto"/>
        <w:right w:val="none" w:sz="0" w:space="0" w:color="auto"/>
      </w:divBdr>
    </w:div>
    <w:div w:id="931159577">
      <w:bodyDiv w:val="1"/>
      <w:marLeft w:val="0"/>
      <w:marRight w:val="0"/>
      <w:marTop w:val="0"/>
      <w:marBottom w:val="0"/>
      <w:divBdr>
        <w:top w:val="none" w:sz="0" w:space="0" w:color="auto"/>
        <w:left w:val="none" w:sz="0" w:space="0" w:color="auto"/>
        <w:bottom w:val="none" w:sz="0" w:space="0" w:color="auto"/>
        <w:right w:val="none" w:sz="0" w:space="0" w:color="auto"/>
      </w:divBdr>
    </w:div>
    <w:div w:id="932325931">
      <w:bodyDiv w:val="1"/>
      <w:marLeft w:val="0"/>
      <w:marRight w:val="0"/>
      <w:marTop w:val="0"/>
      <w:marBottom w:val="0"/>
      <w:divBdr>
        <w:top w:val="none" w:sz="0" w:space="0" w:color="auto"/>
        <w:left w:val="none" w:sz="0" w:space="0" w:color="auto"/>
        <w:bottom w:val="none" w:sz="0" w:space="0" w:color="auto"/>
        <w:right w:val="none" w:sz="0" w:space="0" w:color="auto"/>
      </w:divBdr>
    </w:div>
    <w:div w:id="939220695">
      <w:bodyDiv w:val="1"/>
      <w:marLeft w:val="0"/>
      <w:marRight w:val="0"/>
      <w:marTop w:val="0"/>
      <w:marBottom w:val="0"/>
      <w:divBdr>
        <w:top w:val="none" w:sz="0" w:space="0" w:color="auto"/>
        <w:left w:val="none" w:sz="0" w:space="0" w:color="auto"/>
        <w:bottom w:val="none" w:sz="0" w:space="0" w:color="auto"/>
        <w:right w:val="none" w:sz="0" w:space="0" w:color="auto"/>
      </w:divBdr>
    </w:div>
    <w:div w:id="949121146">
      <w:bodyDiv w:val="1"/>
      <w:marLeft w:val="0"/>
      <w:marRight w:val="0"/>
      <w:marTop w:val="0"/>
      <w:marBottom w:val="0"/>
      <w:divBdr>
        <w:top w:val="none" w:sz="0" w:space="0" w:color="auto"/>
        <w:left w:val="none" w:sz="0" w:space="0" w:color="auto"/>
        <w:bottom w:val="none" w:sz="0" w:space="0" w:color="auto"/>
        <w:right w:val="none" w:sz="0" w:space="0" w:color="auto"/>
      </w:divBdr>
    </w:div>
    <w:div w:id="954673703">
      <w:bodyDiv w:val="1"/>
      <w:marLeft w:val="0"/>
      <w:marRight w:val="0"/>
      <w:marTop w:val="0"/>
      <w:marBottom w:val="0"/>
      <w:divBdr>
        <w:top w:val="none" w:sz="0" w:space="0" w:color="auto"/>
        <w:left w:val="none" w:sz="0" w:space="0" w:color="auto"/>
        <w:bottom w:val="none" w:sz="0" w:space="0" w:color="auto"/>
        <w:right w:val="none" w:sz="0" w:space="0" w:color="auto"/>
      </w:divBdr>
    </w:div>
    <w:div w:id="959797479">
      <w:bodyDiv w:val="1"/>
      <w:marLeft w:val="0"/>
      <w:marRight w:val="0"/>
      <w:marTop w:val="0"/>
      <w:marBottom w:val="0"/>
      <w:divBdr>
        <w:top w:val="none" w:sz="0" w:space="0" w:color="auto"/>
        <w:left w:val="none" w:sz="0" w:space="0" w:color="auto"/>
        <w:bottom w:val="none" w:sz="0" w:space="0" w:color="auto"/>
        <w:right w:val="none" w:sz="0" w:space="0" w:color="auto"/>
      </w:divBdr>
    </w:div>
    <w:div w:id="965113606">
      <w:bodyDiv w:val="1"/>
      <w:marLeft w:val="0"/>
      <w:marRight w:val="0"/>
      <w:marTop w:val="0"/>
      <w:marBottom w:val="0"/>
      <w:divBdr>
        <w:top w:val="none" w:sz="0" w:space="0" w:color="auto"/>
        <w:left w:val="none" w:sz="0" w:space="0" w:color="auto"/>
        <w:bottom w:val="none" w:sz="0" w:space="0" w:color="auto"/>
        <w:right w:val="none" w:sz="0" w:space="0" w:color="auto"/>
      </w:divBdr>
    </w:div>
    <w:div w:id="970943376">
      <w:bodyDiv w:val="1"/>
      <w:marLeft w:val="0"/>
      <w:marRight w:val="0"/>
      <w:marTop w:val="0"/>
      <w:marBottom w:val="0"/>
      <w:divBdr>
        <w:top w:val="none" w:sz="0" w:space="0" w:color="auto"/>
        <w:left w:val="none" w:sz="0" w:space="0" w:color="auto"/>
        <w:bottom w:val="none" w:sz="0" w:space="0" w:color="auto"/>
        <w:right w:val="none" w:sz="0" w:space="0" w:color="auto"/>
      </w:divBdr>
    </w:div>
    <w:div w:id="977076748">
      <w:bodyDiv w:val="1"/>
      <w:marLeft w:val="0"/>
      <w:marRight w:val="0"/>
      <w:marTop w:val="0"/>
      <w:marBottom w:val="0"/>
      <w:divBdr>
        <w:top w:val="none" w:sz="0" w:space="0" w:color="auto"/>
        <w:left w:val="none" w:sz="0" w:space="0" w:color="auto"/>
        <w:bottom w:val="none" w:sz="0" w:space="0" w:color="auto"/>
        <w:right w:val="none" w:sz="0" w:space="0" w:color="auto"/>
      </w:divBdr>
    </w:div>
    <w:div w:id="978607991">
      <w:bodyDiv w:val="1"/>
      <w:marLeft w:val="0"/>
      <w:marRight w:val="0"/>
      <w:marTop w:val="0"/>
      <w:marBottom w:val="0"/>
      <w:divBdr>
        <w:top w:val="none" w:sz="0" w:space="0" w:color="auto"/>
        <w:left w:val="none" w:sz="0" w:space="0" w:color="auto"/>
        <w:bottom w:val="none" w:sz="0" w:space="0" w:color="auto"/>
        <w:right w:val="none" w:sz="0" w:space="0" w:color="auto"/>
      </w:divBdr>
    </w:div>
    <w:div w:id="987397126">
      <w:bodyDiv w:val="1"/>
      <w:marLeft w:val="0"/>
      <w:marRight w:val="0"/>
      <w:marTop w:val="0"/>
      <w:marBottom w:val="0"/>
      <w:divBdr>
        <w:top w:val="none" w:sz="0" w:space="0" w:color="auto"/>
        <w:left w:val="none" w:sz="0" w:space="0" w:color="auto"/>
        <w:bottom w:val="none" w:sz="0" w:space="0" w:color="auto"/>
        <w:right w:val="none" w:sz="0" w:space="0" w:color="auto"/>
      </w:divBdr>
    </w:div>
    <w:div w:id="989292097">
      <w:bodyDiv w:val="1"/>
      <w:marLeft w:val="0"/>
      <w:marRight w:val="0"/>
      <w:marTop w:val="0"/>
      <w:marBottom w:val="0"/>
      <w:divBdr>
        <w:top w:val="none" w:sz="0" w:space="0" w:color="auto"/>
        <w:left w:val="none" w:sz="0" w:space="0" w:color="auto"/>
        <w:bottom w:val="none" w:sz="0" w:space="0" w:color="auto"/>
        <w:right w:val="none" w:sz="0" w:space="0" w:color="auto"/>
      </w:divBdr>
    </w:div>
    <w:div w:id="992563964">
      <w:bodyDiv w:val="1"/>
      <w:marLeft w:val="0"/>
      <w:marRight w:val="0"/>
      <w:marTop w:val="0"/>
      <w:marBottom w:val="0"/>
      <w:divBdr>
        <w:top w:val="none" w:sz="0" w:space="0" w:color="auto"/>
        <w:left w:val="none" w:sz="0" w:space="0" w:color="auto"/>
        <w:bottom w:val="none" w:sz="0" w:space="0" w:color="auto"/>
        <w:right w:val="none" w:sz="0" w:space="0" w:color="auto"/>
      </w:divBdr>
    </w:div>
    <w:div w:id="1016808112">
      <w:bodyDiv w:val="1"/>
      <w:marLeft w:val="0"/>
      <w:marRight w:val="0"/>
      <w:marTop w:val="0"/>
      <w:marBottom w:val="0"/>
      <w:divBdr>
        <w:top w:val="none" w:sz="0" w:space="0" w:color="auto"/>
        <w:left w:val="none" w:sz="0" w:space="0" w:color="auto"/>
        <w:bottom w:val="none" w:sz="0" w:space="0" w:color="auto"/>
        <w:right w:val="none" w:sz="0" w:space="0" w:color="auto"/>
      </w:divBdr>
    </w:div>
    <w:div w:id="1026056467">
      <w:bodyDiv w:val="1"/>
      <w:marLeft w:val="0"/>
      <w:marRight w:val="0"/>
      <w:marTop w:val="0"/>
      <w:marBottom w:val="0"/>
      <w:divBdr>
        <w:top w:val="none" w:sz="0" w:space="0" w:color="auto"/>
        <w:left w:val="none" w:sz="0" w:space="0" w:color="auto"/>
        <w:bottom w:val="none" w:sz="0" w:space="0" w:color="auto"/>
        <w:right w:val="none" w:sz="0" w:space="0" w:color="auto"/>
      </w:divBdr>
    </w:div>
    <w:div w:id="1067344163">
      <w:bodyDiv w:val="1"/>
      <w:marLeft w:val="0"/>
      <w:marRight w:val="0"/>
      <w:marTop w:val="0"/>
      <w:marBottom w:val="0"/>
      <w:divBdr>
        <w:top w:val="none" w:sz="0" w:space="0" w:color="auto"/>
        <w:left w:val="none" w:sz="0" w:space="0" w:color="auto"/>
        <w:bottom w:val="none" w:sz="0" w:space="0" w:color="auto"/>
        <w:right w:val="none" w:sz="0" w:space="0" w:color="auto"/>
      </w:divBdr>
    </w:div>
    <w:div w:id="1083332660">
      <w:bodyDiv w:val="1"/>
      <w:marLeft w:val="0"/>
      <w:marRight w:val="0"/>
      <w:marTop w:val="0"/>
      <w:marBottom w:val="0"/>
      <w:divBdr>
        <w:top w:val="none" w:sz="0" w:space="0" w:color="auto"/>
        <w:left w:val="none" w:sz="0" w:space="0" w:color="auto"/>
        <w:bottom w:val="none" w:sz="0" w:space="0" w:color="auto"/>
        <w:right w:val="none" w:sz="0" w:space="0" w:color="auto"/>
      </w:divBdr>
    </w:div>
    <w:div w:id="1132138252">
      <w:bodyDiv w:val="1"/>
      <w:marLeft w:val="0"/>
      <w:marRight w:val="0"/>
      <w:marTop w:val="0"/>
      <w:marBottom w:val="0"/>
      <w:divBdr>
        <w:top w:val="none" w:sz="0" w:space="0" w:color="auto"/>
        <w:left w:val="none" w:sz="0" w:space="0" w:color="auto"/>
        <w:bottom w:val="none" w:sz="0" w:space="0" w:color="auto"/>
        <w:right w:val="none" w:sz="0" w:space="0" w:color="auto"/>
      </w:divBdr>
    </w:div>
    <w:div w:id="1178695707">
      <w:bodyDiv w:val="1"/>
      <w:marLeft w:val="0"/>
      <w:marRight w:val="0"/>
      <w:marTop w:val="0"/>
      <w:marBottom w:val="0"/>
      <w:divBdr>
        <w:top w:val="none" w:sz="0" w:space="0" w:color="auto"/>
        <w:left w:val="none" w:sz="0" w:space="0" w:color="auto"/>
        <w:bottom w:val="none" w:sz="0" w:space="0" w:color="auto"/>
        <w:right w:val="none" w:sz="0" w:space="0" w:color="auto"/>
      </w:divBdr>
    </w:div>
    <w:div w:id="1179006336">
      <w:bodyDiv w:val="1"/>
      <w:marLeft w:val="0"/>
      <w:marRight w:val="0"/>
      <w:marTop w:val="0"/>
      <w:marBottom w:val="0"/>
      <w:divBdr>
        <w:top w:val="none" w:sz="0" w:space="0" w:color="auto"/>
        <w:left w:val="none" w:sz="0" w:space="0" w:color="auto"/>
        <w:bottom w:val="none" w:sz="0" w:space="0" w:color="auto"/>
        <w:right w:val="none" w:sz="0" w:space="0" w:color="auto"/>
      </w:divBdr>
    </w:div>
    <w:div w:id="1181237247">
      <w:bodyDiv w:val="1"/>
      <w:marLeft w:val="0"/>
      <w:marRight w:val="0"/>
      <w:marTop w:val="0"/>
      <w:marBottom w:val="0"/>
      <w:divBdr>
        <w:top w:val="none" w:sz="0" w:space="0" w:color="auto"/>
        <w:left w:val="none" w:sz="0" w:space="0" w:color="auto"/>
        <w:bottom w:val="none" w:sz="0" w:space="0" w:color="auto"/>
        <w:right w:val="none" w:sz="0" w:space="0" w:color="auto"/>
      </w:divBdr>
    </w:div>
    <w:div w:id="1182088536">
      <w:bodyDiv w:val="1"/>
      <w:marLeft w:val="0"/>
      <w:marRight w:val="0"/>
      <w:marTop w:val="0"/>
      <w:marBottom w:val="0"/>
      <w:divBdr>
        <w:top w:val="none" w:sz="0" w:space="0" w:color="auto"/>
        <w:left w:val="none" w:sz="0" w:space="0" w:color="auto"/>
        <w:bottom w:val="none" w:sz="0" w:space="0" w:color="auto"/>
        <w:right w:val="none" w:sz="0" w:space="0" w:color="auto"/>
      </w:divBdr>
    </w:div>
    <w:div w:id="1184441487">
      <w:bodyDiv w:val="1"/>
      <w:marLeft w:val="0"/>
      <w:marRight w:val="0"/>
      <w:marTop w:val="0"/>
      <w:marBottom w:val="0"/>
      <w:divBdr>
        <w:top w:val="none" w:sz="0" w:space="0" w:color="auto"/>
        <w:left w:val="none" w:sz="0" w:space="0" w:color="auto"/>
        <w:bottom w:val="none" w:sz="0" w:space="0" w:color="auto"/>
        <w:right w:val="none" w:sz="0" w:space="0" w:color="auto"/>
      </w:divBdr>
    </w:div>
    <w:div w:id="1187524830">
      <w:bodyDiv w:val="1"/>
      <w:marLeft w:val="0"/>
      <w:marRight w:val="0"/>
      <w:marTop w:val="0"/>
      <w:marBottom w:val="0"/>
      <w:divBdr>
        <w:top w:val="none" w:sz="0" w:space="0" w:color="auto"/>
        <w:left w:val="none" w:sz="0" w:space="0" w:color="auto"/>
        <w:bottom w:val="none" w:sz="0" w:space="0" w:color="auto"/>
        <w:right w:val="none" w:sz="0" w:space="0" w:color="auto"/>
      </w:divBdr>
    </w:div>
    <w:div w:id="1189562130">
      <w:bodyDiv w:val="1"/>
      <w:marLeft w:val="0"/>
      <w:marRight w:val="0"/>
      <w:marTop w:val="0"/>
      <w:marBottom w:val="0"/>
      <w:divBdr>
        <w:top w:val="none" w:sz="0" w:space="0" w:color="auto"/>
        <w:left w:val="none" w:sz="0" w:space="0" w:color="auto"/>
        <w:bottom w:val="none" w:sz="0" w:space="0" w:color="auto"/>
        <w:right w:val="none" w:sz="0" w:space="0" w:color="auto"/>
      </w:divBdr>
    </w:div>
    <w:div w:id="1195776417">
      <w:bodyDiv w:val="1"/>
      <w:marLeft w:val="0"/>
      <w:marRight w:val="0"/>
      <w:marTop w:val="0"/>
      <w:marBottom w:val="0"/>
      <w:divBdr>
        <w:top w:val="none" w:sz="0" w:space="0" w:color="auto"/>
        <w:left w:val="none" w:sz="0" w:space="0" w:color="auto"/>
        <w:bottom w:val="none" w:sz="0" w:space="0" w:color="auto"/>
        <w:right w:val="none" w:sz="0" w:space="0" w:color="auto"/>
      </w:divBdr>
    </w:div>
    <w:div w:id="1206675549">
      <w:bodyDiv w:val="1"/>
      <w:marLeft w:val="0"/>
      <w:marRight w:val="0"/>
      <w:marTop w:val="0"/>
      <w:marBottom w:val="0"/>
      <w:divBdr>
        <w:top w:val="none" w:sz="0" w:space="0" w:color="auto"/>
        <w:left w:val="none" w:sz="0" w:space="0" w:color="auto"/>
        <w:bottom w:val="none" w:sz="0" w:space="0" w:color="auto"/>
        <w:right w:val="none" w:sz="0" w:space="0" w:color="auto"/>
      </w:divBdr>
    </w:div>
    <w:div w:id="1213034239">
      <w:bodyDiv w:val="1"/>
      <w:marLeft w:val="0"/>
      <w:marRight w:val="0"/>
      <w:marTop w:val="0"/>
      <w:marBottom w:val="0"/>
      <w:divBdr>
        <w:top w:val="none" w:sz="0" w:space="0" w:color="auto"/>
        <w:left w:val="none" w:sz="0" w:space="0" w:color="auto"/>
        <w:bottom w:val="none" w:sz="0" w:space="0" w:color="auto"/>
        <w:right w:val="none" w:sz="0" w:space="0" w:color="auto"/>
      </w:divBdr>
    </w:div>
    <w:div w:id="1214805769">
      <w:bodyDiv w:val="1"/>
      <w:marLeft w:val="0"/>
      <w:marRight w:val="0"/>
      <w:marTop w:val="0"/>
      <w:marBottom w:val="0"/>
      <w:divBdr>
        <w:top w:val="none" w:sz="0" w:space="0" w:color="auto"/>
        <w:left w:val="none" w:sz="0" w:space="0" w:color="auto"/>
        <w:bottom w:val="none" w:sz="0" w:space="0" w:color="auto"/>
        <w:right w:val="none" w:sz="0" w:space="0" w:color="auto"/>
      </w:divBdr>
    </w:div>
    <w:div w:id="1214998576">
      <w:bodyDiv w:val="1"/>
      <w:marLeft w:val="0"/>
      <w:marRight w:val="0"/>
      <w:marTop w:val="0"/>
      <w:marBottom w:val="0"/>
      <w:divBdr>
        <w:top w:val="none" w:sz="0" w:space="0" w:color="auto"/>
        <w:left w:val="none" w:sz="0" w:space="0" w:color="auto"/>
        <w:bottom w:val="none" w:sz="0" w:space="0" w:color="auto"/>
        <w:right w:val="none" w:sz="0" w:space="0" w:color="auto"/>
      </w:divBdr>
    </w:div>
    <w:div w:id="1221213741">
      <w:bodyDiv w:val="1"/>
      <w:marLeft w:val="0"/>
      <w:marRight w:val="0"/>
      <w:marTop w:val="0"/>
      <w:marBottom w:val="0"/>
      <w:divBdr>
        <w:top w:val="none" w:sz="0" w:space="0" w:color="auto"/>
        <w:left w:val="none" w:sz="0" w:space="0" w:color="auto"/>
        <w:bottom w:val="none" w:sz="0" w:space="0" w:color="auto"/>
        <w:right w:val="none" w:sz="0" w:space="0" w:color="auto"/>
      </w:divBdr>
    </w:div>
    <w:div w:id="1230072874">
      <w:bodyDiv w:val="1"/>
      <w:marLeft w:val="0"/>
      <w:marRight w:val="0"/>
      <w:marTop w:val="0"/>
      <w:marBottom w:val="0"/>
      <w:divBdr>
        <w:top w:val="none" w:sz="0" w:space="0" w:color="auto"/>
        <w:left w:val="none" w:sz="0" w:space="0" w:color="auto"/>
        <w:bottom w:val="none" w:sz="0" w:space="0" w:color="auto"/>
        <w:right w:val="none" w:sz="0" w:space="0" w:color="auto"/>
      </w:divBdr>
    </w:div>
    <w:div w:id="1241065799">
      <w:bodyDiv w:val="1"/>
      <w:marLeft w:val="0"/>
      <w:marRight w:val="0"/>
      <w:marTop w:val="0"/>
      <w:marBottom w:val="0"/>
      <w:divBdr>
        <w:top w:val="none" w:sz="0" w:space="0" w:color="auto"/>
        <w:left w:val="none" w:sz="0" w:space="0" w:color="auto"/>
        <w:bottom w:val="none" w:sz="0" w:space="0" w:color="auto"/>
        <w:right w:val="none" w:sz="0" w:space="0" w:color="auto"/>
      </w:divBdr>
    </w:div>
    <w:div w:id="1245141635">
      <w:bodyDiv w:val="1"/>
      <w:marLeft w:val="0"/>
      <w:marRight w:val="0"/>
      <w:marTop w:val="0"/>
      <w:marBottom w:val="0"/>
      <w:divBdr>
        <w:top w:val="none" w:sz="0" w:space="0" w:color="auto"/>
        <w:left w:val="none" w:sz="0" w:space="0" w:color="auto"/>
        <w:bottom w:val="none" w:sz="0" w:space="0" w:color="auto"/>
        <w:right w:val="none" w:sz="0" w:space="0" w:color="auto"/>
      </w:divBdr>
    </w:div>
    <w:div w:id="1246379942">
      <w:bodyDiv w:val="1"/>
      <w:marLeft w:val="0"/>
      <w:marRight w:val="0"/>
      <w:marTop w:val="0"/>
      <w:marBottom w:val="0"/>
      <w:divBdr>
        <w:top w:val="none" w:sz="0" w:space="0" w:color="auto"/>
        <w:left w:val="none" w:sz="0" w:space="0" w:color="auto"/>
        <w:bottom w:val="none" w:sz="0" w:space="0" w:color="auto"/>
        <w:right w:val="none" w:sz="0" w:space="0" w:color="auto"/>
      </w:divBdr>
    </w:div>
    <w:div w:id="1257595907">
      <w:bodyDiv w:val="1"/>
      <w:marLeft w:val="0"/>
      <w:marRight w:val="0"/>
      <w:marTop w:val="0"/>
      <w:marBottom w:val="0"/>
      <w:divBdr>
        <w:top w:val="none" w:sz="0" w:space="0" w:color="auto"/>
        <w:left w:val="none" w:sz="0" w:space="0" w:color="auto"/>
        <w:bottom w:val="none" w:sz="0" w:space="0" w:color="auto"/>
        <w:right w:val="none" w:sz="0" w:space="0" w:color="auto"/>
      </w:divBdr>
    </w:div>
    <w:div w:id="1276908154">
      <w:bodyDiv w:val="1"/>
      <w:marLeft w:val="0"/>
      <w:marRight w:val="0"/>
      <w:marTop w:val="0"/>
      <w:marBottom w:val="0"/>
      <w:divBdr>
        <w:top w:val="none" w:sz="0" w:space="0" w:color="auto"/>
        <w:left w:val="none" w:sz="0" w:space="0" w:color="auto"/>
        <w:bottom w:val="none" w:sz="0" w:space="0" w:color="auto"/>
        <w:right w:val="none" w:sz="0" w:space="0" w:color="auto"/>
      </w:divBdr>
    </w:div>
    <w:div w:id="1280187790">
      <w:bodyDiv w:val="1"/>
      <w:marLeft w:val="0"/>
      <w:marRight w:val="0"/>
      <w:marTop w:val="0"/>
      <w:marBottom w:val="0"/>
      <w:divBdr>
        <w:top w:val="none" w:sz="0" w:space="0" w:color="auto"/>
        <w:left w:val="none" w:sz="0" w:space="0" w:color="auto"/>
        <w:bottom w:val="none" w:sz="0" w:space="0" w:color="auto"/>
        <w:right w:val="none" w:sz="0" w:space="0" w:color="auto"/>
      </w:divBdr>
    </w:div>
    <w:div w:id="1285235223">
      <w:bodyDiv w:val="1"/>
      <w:marLeft w:val="0"/>
      <w:marRight w:val="0"/>
      <w:marTop w:val="0"/>
      <w:marBottom w:val="0"/>
      <w:divBdr>
        <w:top w:val="none" w:sz="0" w:space="0" w:color="auto"/>
        <w:left w:val="none" w:sz="0" w:space="0" w:color="auto"/>
        <w:bottom w:val="none" w:sz="0" w:space="0" w:color="auto"/>
        <w:right w:val="none" w:sz="0" w:space="0" w:color="auto"/>
      </w:divBdr>
    </w:div>
    <w:div w:id="1288005240">
      <w:bodyDiv w:val="1"/>
      <w:marLeft w:val="0"/>
      <w:marRight w:val="0"/>
      <w:marTop w:val="0"/>
      <w:marBottom w:val="0"/>
      <w:divBdr>
        <w:top w:val="none" w:sz="0" w:space="0" w:color="auto"/>
        <w:left w:val="none" w:sz="0" w:space="0" w:color="auto"/>
        <w:bottom w:val="none" w:sz="0" w:space="0" w:color="auto"/>
        <w:right w:val="none" w:sz="0" w:space="0" w:color="auto"/>
      </w:divBdr>
    </w:div>
    <w:div w:id="1292634561">
      <w:bodyDiv w:val="1"/>
      <w:marLeft w:val="0"/>
      <w:marRight w:val="0"/>
      <w:marTop w:val="0"/>
      <w:marBottom w:val="0"/>
      <w:divBdr>
        <w:top w:val="none" w:sz="0" w:space="0" w:color="auto"/>
        <w:left w:val="none" w:sz="0" w:space="0" w:color="auto"/>
        <w:bottom w:val="none" w:sz="0" w:space="0" w:color="auto"/>
        <w:right w:val="none" w:sz="0" w:space="0" w:color="auto"/>
      </w:divBdr>
    </w:div>
    <w:div w:id="1296373921">
      <w:bodyDiv w:val="1"/>
      <w:marLeft w:val="0"/>
      <w:marRight w:val="0"/>
      <w:marTop w:val="0"/>
      <w:marBottom w:val="0"/>
      <w:divBdr>
        <w:top w:val="none" w:sz="0" w:space="0" w:color="auto"/>
        <w:left w:val="none" w:sz="0" w:space="0" w:color="auto"/>
        <w:bottom w:val="none" w:sz="0" w:space="0" w:color="auto"/>
        <w:right w:val="none" w:sz="0" w:space="0" w:color="auto"/>
      </w:divBdr>
    </w:div>
    <w:div w:id="1307468893">
      <w:bodyDiv w:val="1"/>
      <w:marLeft w:val="0"/>
      <w:marRight w:val="0"/>
      <w:marTop w:val="0"/>
      <w:marBottom w:val="0"/>
      <w:divBdr>
        <w:top w:val="none" w:sz="0" w:space="0" w:color="auto"/>
        <w:left w:val="none" w:sz="0" w:space="0" w:color="auto"/>
        <w:bottom w:val="none" w:sz="0" w:space="0" w:color="auto"/>
        <w:right w:val="none" w:sz="0" w:space="0" w:color="auto"/>
      </w:divBdr>
    </w:div>
    <w:div w:id="1321887509">
      <w:bodyDiv w:val="1"/>
      <w:marLeft w:val="0"/>
      <w:marRight w:val="0"/>
      <w:marTop w:val="0"/>
      <w:marBottom w:val="0"/>
      <w:divBdr>
        <w:top w:val="none" w:sz="0" w:space="0" w:color="auto"/>
        <w:left w:val="none" w:sz="0" w:space="0" w:color="auto"/>
        <w:bottom w:val="none" w:sz="0" w:space="0" w:color="auto"/>
        <w:right w:val="none" w:sz="0" w:space="0" w:color="auto"/>
      </w:divBdr>
    </w:div>
    <w:div w:id="1324552272">
      <w:bodyDiv w:val="1"/>
      <w:marLeft w:val="0"/>
      <w:marRight w:val="0"/>
      <w:marTop w:val="0"/>
      <w:marBottom w:val="0"/>
      <w:divBdr>
        <w:top w:val="none" w:sz="0" w:space="0" w:color="auto"/>
        <w:left w:val="none" w:sz="0" w:space="0" w:color="auto"/>
        <w:bottom w:val="none" w:sz="0" w:space="0" w:color="auto"/>
        <w:right w:val="none" w:sz="0" w:space="0" w:color="auto"/>
      </w:divBdr>
    </w:div>
    <w:div w:id="1328288196">
      <w:bodyDiv w:val="1"/>
      <w:marLeft w:val="0"/>
      <w:marRight w:val="0"/>
      <w:marTop w:val="0"/>
      <w:marBottom w:val="0"/>
      <w:divBdr>
        <w:top w:val="none" w:sz="0" w:space="0" w:color="auto"/>
        <w:left w:val="none" w:sz="0" w:space="0" w:color="auto"/>
        <w:bottom w:val="none" w:sz="0" w:space="0" w:color="auto"/>
        <w:right w:val="none" w:sz="0" w:space="0" w:color="auto"/>
      </w:divBdr>
    </w:div>
    <w:div w:id="1329477312">
      <w:bodyDiv w:val="1"/>
      <w:marLeft w:val="0"/>
      <w:marRight w:val="0"/>
      <w:marTop w:val="0"/>
      <w:marBottom w:val="0"/>
      <w:divBdr>
        <w:top w:val="none" w:sz="0" w:space="0" w:color="auto"/>
        <w:left w:val="none" w:sz="0" w:space="0" w:color="auto"/>
        <w:bottom w:val="none" w:sz="0" w:space="0" w:color="auto"/>
        <w:right w:val="none" w:sz="0" w:space="0" w:color="auto"/>
      </w:divBdr>
    </w:div>
    <w:div w:id="1331055216">
      <w:bodyDiv w:val="1"/>
      <w:marLeft w:val="0"/>
      <w:marRight w:val="0"/>
      <w:marTop w:val="0"/>
      <w:marBottom w:val="0"/>
      <w:divBdr>
        <w:top w:val="none" w:sz="0" w:space="0" w:color="auto"/>
        <w:left w:val="none" w:sz="0" w:space="0" w:color="auto"/>
        <w:bottom w:val="none" w:sz="0" w:space="0" w:color="auto"/>
        <w:right w:val="none" w:sz="0" w:space="0" w:color="auto"/>
      </w:divBdr>
    </w:div>
    <w:div w:id="1337270559">
      <w:bodyDiv w:val="1"/>
      <w:marLeft w:val="0"/>
      <w:marRight w:val="0"/>
      <w:marTop w:val="0"/>
      <w:marBottom w:val="0"/>
      <w:divBdr>
        <w:top w:val="none" w:sz="0" w:space="0" w:color="auto"/>
        <w:left w:val="none" w:sz="0" w:space="0" w:color="auto"/>
        <w:bottom w:val="none" w:sz="0" w:space="0" w:color="auto"/>
        <w:right w:val="none" w:sz="0" w:space="0" w:color="auto"/>
      </w:divBdr>
    </w:div>
    <w:div w:id="1351108077">
      <w:bodyDiv w:val="1"/>
      <w:marLeft w:val="0"/>
      <w:marRight w:val="0"/>
      <w:marTop w:val="0"/>
      <w:marBottom w:val="0"/>
      <w:divBdr>
        <w:top w:val="none" w:sz="0" w:space="0" w:color="auto"/>
        <w:left w:val="none" w:sz="0" w:space="0" w:color="auto"/>
        <w:bottom w:val="none" w:sz="0" w:space="0" w:color="auto"/>
        <w:right w:val="none" w:sz="0" w:space="0" w:color="auto"/>
      </w:divBdr>
    </w:div>
    <w:div w:id="1354265538">
      <w:bodyDiv w:val="1"/>
      <w:marLeft w:val="0"/>
      <w:marRight w:val="0"/>
      <w:marTop w:val="0"/>
      <w:marBottom w:val="0"/>
      <w:divBdr>
        <w:top w:val="none" w:sz="0" w:space="0" w:color="auto"/>
        <w:left w:val="none" w:sz="0" w:space="0" w:color="auto"/>
        <w:bottom w:val="none" w:sz="0" w:space="0" w:color="auto"/>
        <w:right w:val="none" w:sz="0" w:space="0" w:color="auto"/>
      </w:divBdr>
    </w:div>
    <w:div w:id="1361585289">
      <w:bodyDiv w:val="1"/>
      <w:marLeft w:val="0"/>
      <w:marRight w:val="0"/>
      <w:marTop w:val="0"/>
      <w:marBottom w:val="0"/>
      <w:divBdr>
        <w:top w:val="none" w:sz="0" w:space="0" w:color="auto"/>
        <w:left w:val="none" w:sz="0" w:space="0" w:color="auto"/>
        <w:bottom w:val="none" w:sz="0" w:space="0" w:color="auto"/>
        <w:right w:val="none" w:sz="0" w:space="0" w:color="auto"/>
      </w:divBdr>
    </w:div>
    <w:div w:id="1374497957">
      <w:bodyDiv w:val="1"/>
      <w:marLeft w:val="0"/>
      <w:marRight w:val="0"/>
      <w:marTop w:val="0"/>
      <w:marBottom w:val="0"/>
      <w:divBdr>
        <w:top w:val="none" w:sz="0" w:space="0" w:color="auto"/>
        <w:left w:val="none" w:sz="0" w:space="0" w:color="auto"/>
        <w:bottom w:val="none" w:sz="0" w:space="0" w:color="auto"/>
        <w:right w:val="none" w:sz="0" w:space="0" w:color="auto"/>
      </w:divBdr>
    </w:div>
    <w:div w:id="1375302934">
      <w:bodyDiv w:val="1"/>
      <w:marLeft w:val="0"/>
      <w:marRight w:val="0"/>
      <w:marTop w:val="0"/>
      <w:marBottom w:val="0"/>
      <w:divBdr>
        <w:top w:val="none" w:sz="0" w:space="0" w:color="auto"/>
        <w:left w:val="none" w:sz="0" w:space="0" w:color="auto"/>
        <w:bottom w:val="none" w:sz="0" w:space="0" w:color="auto"/>
        <w:right w:val="none" w:sz="0" w:space="0" w:color="auto"/>
      </w:divBdr>
    </w:div>
    <w:div w:id="1394814634">
      <w:bodyDiv w:val="1"/>
      <w:marLeft w:val="0"/>
      <w:marRight w:val="0"/>
      <w:marTop w:val="0"/>
      <w:marBottom w:val="0"/>
      <w:divBdr>
        <w:top w:val="none" w:sz="0" w:space="0" w:color="auto"/>
        <w:left w:val="none" w:sz="0" w:space="0" w:color="auto"/>
        <w:bottom w:val="none" w:sz="0" w:space="0" w:color="auto"/>
        <w:right w:val="none" w:sz="0" w:space="0" w:color="auto"/>
      </w:divBdr>
    </w:div>
    <w:div w:id="1418208959">
      <w:bodyDiv w:val="1"/>
      <w:marLeft w:val="0"/>
      <w:marRight w:val="0"/>
      <w:marTop w:val="0"/>
      <w:marBottom w:val="0"/>
      <w:divBdr>
        <w:top w:val="none" w:sz="0" w:space="0" w:color="auto"/>
        <w:left w:val="none" w:sz="0" w:space="0" w:color="auto"/>
        <w:bottom w:val="none" w:sz="0" w:space="0" w:color="auto"/>
        <w:right w:val="none" w:sz="0" w:space="0" w:color="auto"/>
      </w:divBdr>
    </w:div>
    <w:div w:id="1432317366">
      <w:bodyDiv w:val="1"/>
      <w:marLeft w:val="0"/>
      <w:marRight w:val="0"/>
      <w:marTop w:val="0"/>
      <w:marBottom w:val="0"/>
      <w:divBdr>
        <w:top w:val="none" w:sz="0" w:space="0" w:color="auto"/>
        <w:left w:val="none" w:sz="0" w:space="0" w:color="auto"/>
        <w:bottom w:val="none" w:sz="0" w:space="0" w:color="auto"/>
        <w:right w:val="none" w:sz="0" w:space="0" w:color="auto"/>
      </w:divBdr>
    </w:div>
    <w:div w:id="1436561193">
      <w:bodyDiv w:val="1"/>
      <w:marLeft w:val="0"/>
      <w:marRight w:val="0"/>
      <w:marTop w:val="0"/>
      <w:marBottom w:val="0"/>
      <w:divBdr>
        <w:top w:val="none" w:sz="0" w:space="0" w:color="auto"/>
        <w:left w:val="none" w:sz="0" w:space="0" w:color="auto"/>
        <w:bottom w:val="none" w:sz="0" w:space="0" w:color="auto"/>
        <w:right w:val="none" w:sz="0" w:space="0" w:color="auto"/>
      </w:divBdr>
    </w:div>
    <w:div w:id="1440759962">
      <w:bodyDiv w:val="1"/>
      <w:marLeft w:val="0"/>
      <w:marRight w:val="0"/>
      <w:marTop w:val="0"/>
      <w:marBottom w:val="0"/>
      <w:divBdr>
        <w:top w:val="none" w:sz="0" w:space="0" w:color="auto"/>
        <w:left w:val="none" w:sz="0" w:space="0" w:color="auto"/>
        <w:bottom w:val="none" w:sz="0" w:space="0" w:color="auto"/>
        <w:right w:val="none" w:sz="0" w:space="0" w:color="auto"/>
      </w:divBdr>
    </w:div>
    <w:div w:id="1441414091">
      <w:bodyDiv w:val="1"/>
      <w:marLeft w:val="0"/>
      <w:marRight w:val="0"/>
      <w:marTop w:val="0"/>
      <w:marBottom w:val="0"/>
      <w:divBdr>
        <w:top w:val="none" w:sz="0" w:space="0" w:color="auto"/>
        <w:left w:val="none" w:sz="0" w:space="0" w:color="auto"/>
        <w:bottom w:val="none" w:sz="0" w:space="0" w:color="auto"/>
        <w:right w:val="none" w:sz="0" w:space="0" w:color="auto"/>
      </w:divBdr>
    </w:div>
    <w:div w:id="1447965521">
      <w:bodyDiv w:val="1"/>
      <w:marLeft w:val="0"/>
      <w:marRight w:val="0"/>
      <w:marTop w:val="0"/>
      <w:marBottom w:val="0"/>
      <w:divBdr>
        <w:top w:val="none" w:sz="0" w:space="0" w:color="auto"/>
        <w:left w:val="none" w:sz="0" w:space="0" w:color="auto"/>
        <w:bottom w:val="none" w:sz="0" w:space="0" w:color="auto"/>
        <w:right w:val="none" w:sz="0" w:space="0" w:color="auto"/>
      </w:divBdr>
    </w:div>
    <w:div w:id="1466780461">
      <w:bodyDiv w:val="1"/>
      <w:marLeft w:val="0"/>
      <w:marRight w:val="0"/>
      <w:marTop w:val="0"/>
      <w:marBottom w:val="0"/>
      <w:divBdr>
        <w:top w:val="none" w:sz="0" w:space="0" w:color="auto"/>
        <w:left w:val="none" w:sz="0" w:space="0" w:color="auto"/>
        <w:bottom w:val="none" w:sz="0" w:space="0" w:color="auto"/>
        <w:right w:val="none" w:sz="0" w:space="0" w:color="auto"/>
      </w:divBdr>
    </w:div>
    <w:div w:id="1469929610">
      <w:bodyDiv w:val="1"/>
      <w:marLeft w:val="0"/>
      <w:marRight w:val="0"/>
      <w:marTop w:val="0"/>
      <w:marBottom w:val="0"/>
      <w:divBdr>
        <w:top w:val="none" w:sz="0" w:space="0" w:color="auto"/>
        <w:left w:val="none" w:sz="0" w:space="0" w:color="auto"/>
        <w:bottom w:val="none" w:sz="0" w:space="0" w:color="auto"/>
        <w:right w:val="none" w:sz="0" w:space="0" w:color="auto"/>
      </w:divBdr>
    </w:div>
    <w:div w:id="1496187009">
      <w:bodyDiv w:val="1"/>
      <w:marLeft w:val="0"/>
      <w:marRight w:val="0"/>
      <w:marTop w:val="0"/>
      <w:marBottom w:val="0"/>
      <w:divBdr>
        <w:top w:val="none" w:sz="0" w:space="0" w:color="auto"/>
        <w:left w:val="none" w:sz="0" w:space="0" w:color="auto"/>
        <w:bottom w:val="none" w:sz="0" w:space="0" w:color="auto"/>
        <w:right w:val="none" w:sz="0" w:space="0" w:color="auto"/>
      </w:divBdr>
    </w:div>
    <w:div w:id="1500804476">
      <w:bodyDiv w:val="1"/>
      <w:marLeft w:val="0"/>
      <w:marRight w:val="0"/>
      <w:marTop w:val="0"/>
      <w:marBottom w:val="0"/>
      <w:divBdr>
        <w:top w:val="none" w:sz="0" w:space="0" w:color="auto"/>
        <w:left w:val="none" w:sz="0" w:space="0" w:color="auto"/>
        <w:bottom w:val="none" w:sz="0" w:space="0" w:color="auto"/>
        <w:right w:val="none" w:sz="0" w:space="0" w:color="auto"/>
      </w:divBdr>
    </w:div>
    <w:div w:id="1505709685">
      <w:bodyDiv w:val="1"/>
      <w:marLeft w:val="0"/>
      <w:marRight w:val="0"/>
      <w:marTop w:val="0"/>
      <w:marBottom w:val="0"/>
      <w:divBdr>
        <w:top w:val="none" w:sz="0" w:space="0" w:color="auto"/>
        <w:left w:val="none" w:sz="0" w:space="0" w:color="auto"/>
        <w:bottom w:val="none" w:sz="0" w:space="0" w:color="auto"/>
        <w:right w:val="none" w:sz="0" w:space="0" w:color="auto"/>
      </w:divBdr>
    </w:div>
    <w:div w:id="1530217298">
      <w:bodyDiv w:val="1"/>
      <w:marLeft w:val="0"/>
      <w:marRight w:val="0"/>
      <w:marTop w:val="0"/>
      <w:marBottom w:val="0"/>
      <w:divBdr>
        <w:top w:val="none" w:sz="0" w:space="0" w:color="auto"/>
        <w:left w:val="none" w:sz="0" w:space="0" w:color="auto"/>
        <w:bottom w:val="none" w:sz="0" w:space="0" w:color="auto"/>
        <w:right w:val="none" w:sz="0" w:space="0" w:color="auto"/>
      </w:divBdr>
    </w:div>
    <w:div w:id="1540698839">
      <w:bodyDiv w:val="1"/>
      <w:marLeft w:val="0"/>
      <w:marRight w:val="0"/>
      <w:marTop w:val="0"/>
      <w:marBottom w:val="0"/>
      <w:divBdr>
        <w:top w:val="none" w:sz="0" w:space="0" w:color="auto"/>
        <w:left w:val="none" w:sz="0" w:space="0" w:color="auto"/>
        <w:bottom w:val="none" w:sz="0" w:space="0" w:color="auto"/>
        <w:right w:val="none" w:sz="0" w:space="0" w:color="auto"/>
      </w:divBdr>
    </w:div>
    <w:div w:id="1542861552">
      <w:bodyDiv w:val="1"/>
      <w:marLeft w:val="0"/>
      <w:marRight w:val="0"/>
      <w:marTop w:val="0"/>
      <w:marBottom w:val="0"/>
      <w:divBdr>
        <w:top w:val="none" w:sz="0" w:space="0" w:color="auto"/>
        <w:left w:val="none" w:sz="0" w:space="0" w:color="auto"/>
        <w:bottom w:val="none" w:sz="0" w:space="0" w:color="auto"/>
        <w:right w:val="none" w:sz="0" w:space="0" w:color="auto"/>
      </w:divBdr>
    </w:div>
    <w:div w:id="1544563193">
      <w:bodyDiv w:val="1"/>
      <w:marLeft w:val="0"/>
      <w:marRight w:val="0"/>
      <w:marTop w:val="0"/>
      <w:marBottom w:val="0"/>
      <w:divBdr>
        <w:top w:val="none" w:sz="0" w:space="0" w:color="auto"/>
        <w:left w:val="none" w:sz="0" w:space="0" w:color="auto"/>
        <w:bottom w:val="none" w:sz="0" w:space="0" w:color="auto"/>
        <w:right w:val="none" w:sz="0" w:space="0" w:color="auto"/>
      </w:divBdr>
    </w:div>
    <w:div w:id="1563710651">
      <w:bodyDiv w:val="1"/>
      <w:marLeft w:val="0"/>
      <w:marRight w:val="0"/>
      <w:marTop w:val="0"/>
      <w:marBottom w:val="0"/>
      <w:divBdr>
        <w:top w:val="none" w:sz="0" w:space="0" w:color="auto"/>
        <w:left w:val="none" w:sz="0" w:space="0" w:color="auto"/>
        <w:bottom w:val="none" w:sz="0" w:space="0" w:color="auto"/>
        <w:right w:val="none" w:sz="0" w:space="0" w:color="auto"/>
      </w:divBdr>
    </w:div>
    <w:div w:id="1563831913">
      <w:bodyDiv w:val="1"/>
      <w:marLeft w:val="0"/>
      <w:marRight w:val="0"/>
      <w:marTop w:val="0"/>
      <w:marBottom w:val="0"/>
      <w:divBdr>
        <w:top w:val="none" w:sz="0" w:space="0" w:color="auto"/>
        <w:left w:val="none" w:sz="0" w:space="0" w:color="auto"/>
        <w:bottom w:val="none" w:sz="0" w:space="0" w:color="auto"/>
        <w:right w:val="none" w:sz="0" w:space="0" w:color="auto"/>
      </w:divBdr>
    </w:div>
    <w:div w:id="1567494113">
      <w:bodyDiv w:val="1"/>
      <w:marLeft w:val="0"/>
      <w:marRight w:val="0"/>
      <w:marTop w:val="0"/>
      <w:marBottom w:val="0"/>
      <w:divBdr>
        <w:top w:val="none" w:sz="0" w:space="0" w:color="auto"/>
        <w:left w:val="none" w:sz="0" w:space="0" w:color="auto"/>
        <w:bottom w:val="none" w:sz="0" w:space="0" w:color="auto"/>
        <w:right w:val="none" w:sz="0" w:space="0" w:color="auto"/>
      </w:divBdr>
    </w:div>
    <w:div w:id="1576427489">
      <w:bodyDiv w:val="1"/>
      <w:marLeft w:val="0"/>
      <w:marRight w:val="0"/>
      <w:marTop w:val="0"/>
      <w:marBottom w:val="0"/>
      <w:divBdr>
        <w:top w:val="none" w:sz="0" w:space="0" w:color="auto"/>
        <w:left w:val="none" w:sz="0" w:space="0" w:color="auto"/>
        <w:bottom w:val="none" w:sz="0" w:space="0" w:color="auto"/>
        <w:right w:val="none" w:sz="0" w:space="0" w:color="auto"/>
      </w:divBdr>
    </w:div>
    <w:div w:id="1583028787">
      <w:bodyDiv w:val="1"/>
      <w:marLeft w:val="0"/>
      <w:marRight w:val="0"/>
      <w:marTop w:val="0"/>
      <w:marBottom w:val="0"/>
      <w:divBdr>
        <w:top w:val="none" w:sz="0" w:space="0" w:color="auto"/>
        <w:left w:val="none" w:sz="0" w:space="0" w:color="auto"/>
        <w:bottom w:val="none" w:sz="0" w:space="0" w:color="auto"/>
        <w:right w:val="none" w:sz="0" w:space="0" w:color="auto"/>
      </w:divBdr>
    </w:div>
    <w:div w:id="1586572166">
      <w:bodyDiv w:val="1"/>
      <w:marLeft w:val="0"/>
      <w:marRight w:val="0"/>
      <w:marTop w:val="0"/>
      <w:marBottom w:val="0"/>
      <w:divBdr>
        <w:top w:val="none" w:sz="0" w:space="0" w:color="auto"/>
        <w:left w:val="none" w:sz="0" w:space="0" w:color="auto"/>
        <w:bottom w:val="none" w:sz="0" w:space="0" w:color="auto"/>
        <w:right w:val="none" w:sz="0" w:space="0" w:color="auto"/>
      </w:divBdr>
    </w:div>
    <w:div w:id="1609121097">
      <w:bodyDiv w:val="1"/>
      <w:marLeft w:val="0"/>
      <w:marRight w:val="0"/>
      <w:marTop w:val="0"/>
      <w:marBottom w:val="0"/>
      <w:divBdr>
        <w:top w:val="none" w:sz="0" w:space="0" w:color="auto"/>
        <w:left w:val="none" w:sz="0" w:space="0" w:color="auto"/>
        <w:bottom w:val="none" w:sz="0" w:space="0" w:color="auto"/>
        <w:right w:val="none" w:sz="0" w:space="0" w:color="auto"/>
      </w:divBdr>
    </w:div>
    <w:div w:id="1620919099">
      <w:bodyDiv w:val="1"/>
      <w:marLeft w:val="0"/>
      <w:marRight w:val="0"/>
      <w:marTop w:val="0"/>
      <w:marBottom w:val="0"/>
      <w:divBdr>
        <w:top w:val="none" w:sz="0" w:space="0" w:color="auto"/>
        <w:left w:val="none" w:sz="0" w:space="0" w:color="auto"/>
        <w:bottom w:val="none" w:sz="0" w:space="0" w:color="auto"/>
        <w:right w:val="none" w:sz="0" w:space="0" w:color="auto"/>
      </w:divBdr>
    </w:div>
    <w:div w:id="1623419332">
      <w:bodyDiv w:val="1"/>
      <w:marLeft w:val="0"/>
      <w:marRight w:val="0"/>
      <w:marTop w:val="0"/>
      <w:marBottom w:val="0"/>
      <w:divBdr>
        <w:top w:val="none" w:sz="0" w:space="0" w:color="auto"/>
        <w:left w:val="none" w:sz="0" w:space="0" w:color="auto"/>
        <w:bottom w:val="none" w:sz="0" w:space="0" w:color="auto"/>
        <w:right w:val="none" w:sz="0" w:space="0" w:color="auto"/>
      </w:divBdr>
    </w:div>
    <w:div w:id="1634942877">
      <w:bodyDiv w:val="1"/>
      <w:marLeft w:val="0"/>
      <w:marRight w:val="0"/>
      <w:marTop w:val="0"/>
      <w:marBottom w:val="0"/>
      <w:divBdr>
        <w:top w:val="none" w:sz="0" w:space="0" w:color="auto"/>
        <w:left w:val="none" w:sz="0" w:space="0" w:color="auto"/>
        <w:bottom w:val="none" w:sz="0" w:space="0" w:color="auto"/>
        <w:right w:val="none" w:sz="0" w:space="0" w:color="auto"/>
      </w:divBdr>
    </w:div>
    <w:div w:id="1637946976">
      <w:bodyDiv w:val="1"/>
      <w:marLeft w:val="0"/>
      <w:marRight w:val="0"/>
      <w:marTop w:val="0"/>
      <w:marBottom w:val="0"/>
      <w:divBdr>
        <w:top w:val="none" w:sz="0" w:space="0" w:color="auto"/>
        <w:left w:val="none" w:sz="0" w:space="0" w:color="auto"/>
        <w:bottom w:val="none" w:sz="0" w:space="0" w:color="auto"/>
        <w:right w:val="none" w:sz="0" w:space="0" w:color="auto"/>
      </w:divBdr>
    </w:div>
    <w:div w:id="1641809665">
      <w:bodyDiv w:val="1"/>
      <w:marLeft w:val="0"/>
      <w:marRight w:val="0"/>
      <w:marTop w:val="0"/>
      <w:marBottom w:val="0"/>
      <w:divBdr>
        <w:top w:val="none" w:sz="0" w:space="0" w:color="auto"/>
        <w:left w:val="none" w:sz="0" w:space="0" w:color="auto"/>
        <w:bottom w:val="none" w:sz="0" w:space="0" w:color="auto"/>
        <w:right w:val="none" w:sz="0" w:space="0" w:color="auto"/>
      </w:divBdr>
    </w:div>
    <w:div w:id="1651523209">
      <w:bodyDiv w:val="1"/>
      <w:marLeft w:val="0"/>
      <w:marRight w:val="0"/>
      <w:marTop w:val="0"/>
      <w:marBottom w:val="0"/>
      <w:divBdr>
        <w:top w:val="none" w:sz="0" w:space="0" w:color="auto"/>
        <w:left w:val="none" w:sz="0" w:space="0" w:color="auto"/>
        <w:bottom w:val="none" w:sz="0" w:space="0" w:color="auto"/>
        <w:right w:val="none" w:sz="0" w:space="0" w:color="auto"/>
      </w:divBdr>
    </w:div>
    <w:div w:id="1651590447">
      <w:bodyDiv w:val="1"/>
      <w:marLeft w:val="0"/>
      <w:marRight w:val="0"/>
      <w:marTop w:val="0"/>
      <w:marBottom w:val="0"/>
      <w:divBdr>
        <w:top w:val="none" w:sz="0" w:space="0" w:color="auto"/>
        <w:left w:val="none" w:sz="0" w:space="0" w:color="auto"/>
        <w:bottom w:val="none" w:sz="0" w:space="0" w:color="auto"/>
        <w:right w:val="none" w:sz="0" w:space="0" w:color="auto"/>
      </w:divBdr>
    </w:div>
    <w:div w:id="1655335651">
      <w:bodyDiv w:val="1"/>
      <w:marLeft w:val="0"/>
      <w:marRight w:val="0"/>
      <w:marTop w:val="0"/>
      <w:marBottom w:val="0"/>
      <w:divBdr>
        <w:top w:val="none" w:sz="0" w:space="0" w:color="auto"/>
        <w:left w:val="none" w:sz="0" w:space="0" w:color="auto"/>
        <w:bottom w:val="none" w:sz="0" w:space="0" w:color="auto"/>
        <w:right w:val="none" w:sz="0" w:space="0" w:color="auto"/>
      </w:divBdr>
    </w:div>
    <w:div w:id="1659531532">
      <w:bodyDiv w:val="1"/>
      <w:marLeft w:val="0"/>
      <w:marRight w:val="0"/>
      <w:marTop w:val="0"/>
      <w:marBottom w:val="0"/>
      <w:divBdr>
        <w:top w:val="none" w:sz="0" w:space="0" w:color="auto"/>
        <w:left w:val="none" w:sz="0" w:space="0" w:color="auto"/>
        <w:bottom w:val="none" w:sz="0" w:space="0" w:color="auto"/>
        <w:right w:val="none" w:sz="0" w:space="0" w:color="auto"/>
      </w:divBdr>
    </w:div>
    <w:div w:id="1662611585">
      <w:bodyDiv w:val="1"/>
      <w:marLeft w:val="0"/>
      <w:marRight w:val="0"/>
      <w:marTop w:val="0"/>
      <w:marBottom w:val="0"/>
      <w:divBdr>
        <w:top w:val="none" w:sz="0" w:space="0" w:color="auto"/>
        <w:left w:val="none" w:sz="0" w:space="0" w:color="auto"/>
        <w:bottom w:val="none" w:sz="0" w:space="0" w:color="auto"/>
        <w:right w:val="none" w:sz="0" w:space="0" w:color="auto"/>
      </w:divBdr>
    </w:div>
    <w:div w:id="1665276328">
      <w:bodyDiv w:val="1"/>
      <w:marLeft w:val="0"/>
      <w:marRight w:val="0"/>
      <w:marTop w:val="0"/>
      <w:marBottom w:val="0"/>
      <w:divBdr>
        <w:top w:val="none" w:sz="0" w:space="0" w:color="auto"/>
        <w:left w:val="none" w:sz="0" w:space="0" w:color="auto"/>
        <w:bottom w:val="none" w:sz="0" w:space="0" w:color="auto"/>
        <w:right w:val="none" w:sz="0" w:space="0" w:color="auto"/>
      </w:divBdr>
    </w:div>
    <w:div w:id="1668168805">
      <w:bodyDiv w:val="1"/>
      <w:marLeft w:val="0"/>
      <w:marRight w:val="0"/>
      <w:marTop w:val="0"/>
      <w:marBottom w:val="0"/>
      <w:divBdr>
        <w:top w:val="none" w:sz="0" w:space="0" w:color="auto"/>
        <w:left w:val="none" w:sz="0" w:space="0" w:color="auto"/>
        <w:bottom w:val="none" w:sz="0" w:space="0" w:color="auto"/>
        <w:right w:val="none" w:sz="0" w:space="0" w:color="auto"/>
      </w:divBdr>
    </w:div>
    <w:div w:id="1672633811">
      <w:bodyDiv w:val="1"/>
      <w:marLeft w:val="0"/>
      <w:marRight w:val="0"/>
      <w:marTop w:val="0"/>
      <w:marBottom w:val="0"/>
      <w:divBdr>
        <w:top w:val="none" w:sz="0" w:space="0" w:color="auto"/>
        <w:left w:val="none" w:sz="0" w:space="0" w:color="auto"/>
        <w:bottom w:val="none" w:sz="0" w:space="0" w:color="auto"/>
        <w:right w:val="none" w:sz="0" w:space="0" w:color="auto"/>
      </w:divBdr>
    </w:div>
    <w:div w:id="1675761973">
      <w:bodyDiv w:val="1"/>
      <w:marLeft w:val="0"/>
      <w:marRight w:val="0"/>
      <w:marTop w:val="0"/>
      <w:marBottom w:val="0"/>
      <w:divBdr>
        <w:top w:val="none" w:sz="0" w:space="0" w:color="auto"/>
        <w:left w:val="none" w:sz="0" w:space="0" w:color="auto"/>
        <w:bottom w:val="none" w:sz="0" w:space="0" w:color="auto"/>
        <w:right w:val="none" w:sz="0" w:space="0" w:color="auto"/>
      </w:divBdr>
    </w:div>
    <w:div w:id="1681005690">
      <w:bodyDiv w:val="1"/>
      <w:marLeft w:val="0"/>
      <w:marRight w:val="0"/>
      <w:marTop w:val="0"/>
      <w:marBottom w:val="0"/>
      <w:divBdr>
        <w:top w:val="none" w:sz="0" w:space="0" w:color="auto"/>
        <w:left w:val="none" w:sz="0" w:space="0" w:color="auto"/>
        <w:bottom w:val="none" w:sz="0" w:space="0" w:color="auto"/>
        <w:right w:val="none" w:sz="0" w:space="0" w:color="auto"/>
      </w:divBdr>
    </w:div>
    <w:div w:id="1687559900">
      <w:bodyDiv w:val="1"/>
      <w:marLeft w:val="0"/>
      <w:marRight w:val="0"/>
      <w:marTop w:val="0"/>
      <w:marBottom w:val="0"/>
      <w:divBdr>
        <w:top w:val="none" w:sz="0" w:space="0" w:color="auto"/>
        <w:left w:val="none" w:sz="0" w:space="0" w:color="auto"/>
        <w:bottom w:val="none" w:sz="0" w:space="0" w:color="auto"/>
        <w:right w:val="none" w:sz="0" w:space="0" w:color="auto"/>
      </w:divBdr>
    </w:div>
    <w:div w:id="1691561686">
      <w:bodyDiv w:val="1"/>
      <w:marLeft w:val="0"/>
      <w:marRight w:val="0"/>
      <w:marTop w:val="0"/>
      <w:marBottom w:val="0"/>
      <w:divBdr>
        <w:top w:val="none" w:sz="0" w:space="0" w:color="auto"/>
        <w:left w:val="none" w:sz="0" w:space="0" w:color="auto"/>
        <w:bottom w:val="none" w:sz="0" w:space="0" w:color="auto"/>
        <w:right w:val="none" w:sz="0" w:space="0" w:color="auto"/>
      </w:divBdr>
    </w:div>
    <w:div w:id="1712724755">
      <w:bodyDiv w:val="1"/>
      <w:marLeft w:val="0"/>
      <w:marRight w:val="0"/>
      <w:marTop w:val="0"/>
      <w:marBottom w:val="0"/>
      <w:divBdr>
        <w:top w:val="none" w:sz="0" w:space="0" w:color="auto"/>
        <w:left w:val="none" w:sz="0" w:space="0" w:color="auto"/>
        <w:bottom w:val="none" w:sz="0" w:space="0" w:color="auto"/>
        <w:right w:val="none" w:sz="0" w:space="0" w:color="auto"/>
      </w:divBdr>
    </w:div>
    <w:div w:id="1722827580">
      <w:bodyDiv w:val="1"/>
      <w:marLeft w:val="0"/>
      <w:marRight w:val="0"/>
      <w:marTop w:val="0"/>
      <w:marBottom w:val="0"/>
      <w:divBdr>
        <w:top w:val="none" w:sz="0" w:space="0" w:color="auto"/>
        <w:left w:val="none" w:sz="0" w:space="0" w:color="auto"/>
        <w:bottom w:val="none" w:sz="0" w:space="0" w:color="auto"/>
        <w:right w:val="none" w:sz="0" w:space="0" w:color="auto"/>
      </w:divBdr>
    </w:div>
    <w:div w:id="1727021967">
      <w:bodyDiv w:val="1"/>
      <w:marLeft w:val="0"/>
      <w:marRight w:val="0"/>
      <w:marTop w:val="0"/>
      <w:marBottom w:val="0"/>
      <w:divBdr>
        <w:top w:val="none" w:sz="0" w:space="0" w:color="auto"/>
        <w:left w:val="none" w:sz="0" w:space="0" w:color="auto"/>
        <w:bottom w:val="none" w:sz="0" w:space="0" w:color="auto"/>
        <w:right w:val="none" w:sz="0" w:space="0" w:color="auto"/>
      </w:divBdr>
    </w:div>
    <w:div w:id="1729298722">
      <w:bodyDiv w:val="1"/>
      <w:marLeft w:val="0"/>
      <w:marRight w:val="0"/>
      <w:marTop w:val="0"/>
      <w:marBottom w:val="0"/>
      <w:divBdr>
        <w:top w:val="none" w:sz="0" w:space="0" w:color="auto"/>
        <w:left w:val="none" w:sz="0" w:space="0" w:color="auto"/>
        <w:bottom w:val="none" w:sz="0" w:space="0" w:color="auto"/>
        <w:right w:val="none" w:sz="0" w:space="0" w:color="auto"/>
      </w:divBdr>
    </w:div>
    <w:div w:id="1732845184">
      <w:bodyDiv w:val="1"/>
      <w:marLeft w:val="0"/>
      <w:marRight w:val="0"/>
      <w:marTop w:val="0"/>
      <w:marBottom w:val="0"/>
      <w:divBdr>
        <w:top w:val="none" w:sz="0" w:space="0" w:color="auto"/>
        <w:left w:val="none" w:sz="0" w:space="0" w:color="auto"/>
        <w:bottom w:val="none" w:sz="0" w:space="0" w:color="auto"/>
        <w:right w:val="none" w:sz="0" w:space="0" w:color="auto"/>
      </w:divBdr>
    </w:div>
    <w:div w:id="1751274667">
      <w:bodyDiv w:val="1"/>
      <w:marLeft w:val="0"/>
      <w:marRight w:val="0"/>
      <w:marTop w:val="0"/>
      <w:marBottom w:val="0"/>
      <w:divBdr>
        <w:top w:val="none" w:sz="0" w:space="0" w:color="auto"/>
        <w:left w:val="none" w:sz="0" w:space="0" w:color="auto"/>
        <w:bottom w:val="none" w:sz="0" w:space="0" w:color="auto"/>
        <w:right w:val="none" w:sz="0" w:space="0" w:color="auto"/>
      </w:divBdr>
    </w:div>
    <w:div w:id="1756393152">
      <w:bodyDiv w:val="1"/>
      <w:marLeft w:val="0"/>
      <w:marRight w:val="0"/>
      <w:marTop w:val="0"/>
      <w:marBottom w:val="0"/>
      <w:divBdr>
        <w:top w:val="none" w:sz="0" w:space="0" w:color="auto"/>
        <w:left w:val="none" w:sz="0" w:space="0" w:color="auto"/>
        <w:bottom w:val="none" w:sz="0" w:space="0" w:color="auto"/>
        <w:right w:val="none" w:sz="0" w:space="0" w:color="auto"/>
      </w:divBdr>
    </w:div>
    <w:div w:id="1760373618">
      <w:bodyDiv w:val="1"/>
      <w:marLeft w:val="0"/>
      <w:marRight w:val="0"/>
      <w:marTop w:val="0"/>
      <w:marBottom w:val="0"/>
      <w:divBdr>
        <w:top w:val="none" w:sz="0" w:space="0" w:color="auto"/>
        <w:left w:val="none" w:sz="0" w:space="0" w:color="auto"/>
        <w:bottom w:val="none" w:sz="0" w:space="0" w:color="auto"/>
        <w:right w:val="none" w:sz="0" w:space="0" w:color="auto"/>
      </w:divBdr>
    </w:div>
    <w:div w:id="1762793443">
      <w:bodyDiv w:val="1"/>
      <w:marLeft w:val="0"/>
      <w:marRight w:val="0"/>
      <w:marTop w:val="0"/>
      <w:marBottom w:val="0"/>
      <w:divBdr>
        <w:top w:val="none" w:sz="0" w:space="0" w:color="auto"/>
        <w:left w:val="none" w:sz="0" w:space="0" w:color="auto"/>
        <w:bottom w:val="none" w:sz="0" w:space="0" w:color="auto"/>
        <w:right w:val="none" w:sz="0" w:space="0" w:color="auto"/>
      </w:divBdr>
    </w:div>
    <w:div w:id="1777629755">
      <w:bodyDiv w:val="1"/>
      <w:marLeft w:val="0"/>
      <w:marRight w:val="0"/>
      <w:marTop w:val="0"/>
      <w:marBottom w:val="0"/>
      <w:divBdr>
        <w:top w:val="none" w:sz="0" w:space="0" w:color="auto"/>
        <w:left w:val="none" w:sz="0" w:space="0" w:color="auto"/>
        <w:bottom w:val="none" w:sz="0" w:space="0" w:color="auto"/>
        <w:right w:val="none" w:sz="0" w:space="0" w:color="auto"/>
      </w:divBdr>
    </w:div>
    <w:div w:id="1789667694">
      <w:bodyDiv w:val="1"/>
      <w:marLeft w:val="0"/>
      <w:marRight w:val="0"/>
      <w:marTop w:val="0"/>
      <w:marBottom w:val="0"/>
      <w:divBdr>
        <w:top w:val="none" w:sz="0" w:space="0" w:color="auto"/>
        <w:left w:val="none" w:sz="0" w:space="0" w:color="auto"/>
        <w:bottom w:val="none" w:sz="0" w:space="0" w:color="auto"/>
        <w:right w:val="none" w:sz="0" w:space="0" w:color="auto"/>
      </w:divBdr>
    </w:div>
    <w:div w:id="1792438664">
      <w:bodyDiv w:val="1"/>
      <w:marLeft w:val="0"/>
      <w:marRight w:val="0"/>
      <w:marTop w:val="0"/>
      <w:marBottom w:val="0"/>
      <w:divBdr>
        <w:top w:val="none" w:sz="0" w:space="0" w:color="auto"/>
        <w:left w:val="none" w:sz="0" w:space="0" w:color="auto"/>
        <w:bottom w:val="none" w:sz="0" w:space="0" w:color="auto"/>
        <w:right w:val="none" w:sz="0" w:space="0" w:color="auto"/>
      </w:divBdr>
    </w:div>
    <w:div w:id="1810055880">
      <w:bodyDiv w:val="1"/>
      <w:marLeft w:val="0"/>
      <w:marRight w:val="0"/>
      <w:marTop w:val="0"/>
      <w:marBottom w:val="0"/>
      <w:divBdr>
        <w:top w:val="none" w:sz="0" w:space="0" w:color="auto"/>
        <w:left w:val="none" w:sz="0" w:space="0" w:color="auto"/>
        <w:bottom w:val="none" w:sz="0" w:space="0" w:color="auto"/>
        <w:right w:val="none" w:sz="0" w:space="0" w:color="auto"/>
      </w:divBdr>
    </w:div>
    <w:div w:id="1817798862">
      <w:bodyDiv w:val="1"/>
      <w:marLeft w:val="0"/>
      <w:marRight w:val="0"/>
      <w:marTop w:val="0"/>
      <w:marBottom w:val="0"/>
      <w:divBdr>
        <w:top w:val="none" w:sz="0" w:space="0" w:color="auto"/>
        <w:left w:val="none" w:sz="0" w:space="0" w:color="auto"/>
        <w:bottom w:val="none" w:sz="0" w:space="0" w:color="auto"/>
        <w:right w:val="none" w:sz="0" w:space="0" w:color="auto"/>
      </w:divBdr>
    </w:div>
    <w:div w:id="1829907635">
      <w:bodyDiv w:val="1"/>
      <w:marLeft w:val="0"/>
      <w:marRight w:val="0"/>
      <w:marTop w:val="0"/>
      <w:marBottom w:val="0"/>
      <w:divBdr>
        <w:top w:val="none" w:sz="0" w:space="0" w:color="auto"/>
        <w:left w:val="none" w:sz="0" w:space="0" w:color="auto"/>
        <w:bottom w:val="none" w:sz="0" w:space="0" w:color="auto"/>
        <w:right w:val="none" w:sz="0" w:space="0" w:color="auto"/>
      </w:divBdr>
    </w:div>
    <w:div w:id="1831168234">
      <w:bodyDiv w:val="1"/>
      <w:marLeft w:val="0"/>
      <w:marRight w:val="0"/>
      <w:marTop w:val="0"/>
      <w:marBottom w:val="0"/>
      <w:divBdr>
        <w:top w:val="none" w:sz="0" w:space="0" w:color="auto"/>
        <w:left w:val="none" w:sz="0" w:space="0" w:color="auto"/>
        <w:bottom w:val="none" w:sz="0" w:space="0" w:color="auto"/>
        <w:right w:val="none" w:sz="0" w:space="0" w:color="auto"/>
      </w:divBdr>
    </w:div>
    <w:div w:id="1832520377">
      <w:bodyDiv w:val="1"/>
      <w:marLeft w:val="0"/>
      <w:marRight w:val="0"/>
      <w:marTop w:val="0"/>
      <w:marBottom w:val="0"/>
      <w:divBdr>
        <w:top w:val="none" w:sz="0" w:space="0" w:color="auto"/>
        <w:left w:val="none" w:sz="0" w:space="0" w:color="auto"/>
        <w:bottom w:val="none" w:sz="0" w:space="0" w:color="auto"/>
        <w:right w:val="none" w:sz="0" w:space="0" w:color="auto"/>
      </w:divBdr>
    </w:div>
    <w:div w:id="1834223629">
      <w:bodyDiv w:val="1"/>
      <w:marLeft w:val="0"/>
      <w:marRight w:val="0"/>
      <w:marTop w:val="0"/>
      <w:marBottom w:val="0"/>
      <w:divBdr>
        <w:top w:val="none" w:sz="0" w:space="0" w:color="auto"/>
        <w:left w:val="none" w:sz="0" w:space="0" w:color="auto"/>
        <w:bottom w:val="none" w:sz="0" w:space="0" w:color="auto"/>
        <w:right w:val="none" w:sz="0" w:space="0" w:color="auto"/>
      </w:divBdr>
    </w:div>
    <w:div w:id="1851677767">
      <w:bodyDiv w:val="1"/>
      <w:marLeft w:val="0"/>
      <w:marRight w:val="0"/>
      <w:marTop w:val="0"/>
      <w:marBottom w:val="0"/>
      <w:divBdr>
        <w:top w:val="none" w:sz="0" w:space="0" w:color="auto"/>
        <w:left w:val="none" w:sz="0" w:space="0" w:color="auto"/>
        <w:bottom w:val="none" w:sz="0" w:space="0" w:color="auto"/>
        <w:right w:val="none" w:sz="0" w:space="0" w:color="auto"/>
      </w:divBdr>
    </w:div>
    <w:div w:id="1853298666">
      <w:bodyDiv w:val="1"/>
      <w:marLeft w:val="0"/>
      <w:marRight w:val="0"/>
      <w:marTop w:val="0"/>
      <w:marBottom w:val="0"/>
      <w:divBdr>
        <w:top w:val="none" w:sz="0" w:space="0" w:color="auto"/>
        <w:left w:val="none" w:sz="0" w:space="0" w:color="auto"/>
        <w:bottom w:val="none" w:sz="0" w:space="0" w:color="auto"/>
        <w:right w:val="none" w:sz="0" w:space="0" w:color="auto"/>
      </w:divBdr>
    </w:div>
    <w:div w:id="1863975734">
      <w:bodyDiv w:val="1"/>
      <w:marLeft w:val="0"/>
      <w:marRight w:val="0"/>
      <w:marTop w:val="0"/>
      <w:marBottom w:val="0"/>
      <w:divBdr>
        <w:top w:val="none" w:sz="0" w:space="0" w:color="auto"/>
        <w:left w:val="none" w:sz="0" w:space="0" w:color="auto"/>
        <w:bottom w:val="none" w:sz="0" w:space="0" w:color="auto"/>
        <w:right w:val="none" w:sz="0" w:space="0" w:color="auto"/>
      </w:divBdr>
    </w:div>
    <w:div w:id="1891456616">
      <w:bodyDiv w:val="1"/>
      <w:marLeft w:val="0"/>
      <w:marRight w:val="0"/>
      <w:marTop w:val="0"/>
      <w:marBottom w:val="0"/>
      <w:divBdr>
        <w:top w:val="none" w:sz="0" w:space="0" w:color="auto"/>
        <w:left w:val="none" w:sz="0" w:space="0" w:color="auto"/>
        <w:bottom w:val="none" w:sz="0" w:space="0" w:color="auto"/>
        <w:right w:val="none" w:sz="0" w:space="0" w:color="auto"/>
      </w:divBdr>
    </w:div>
    <w:div w:id="1899003062">
      <w:bodyDiv w:val="1"/>
      <w:marLeft w:val="0"/>
      <w:marRight w:val="0"/>
      <w:marTop w:val="0"/>
      <w:marBottom w:val="0"/>
      <w:divBdr>
        <w:top w:val="none" w:sz="0" w:space="0" w:color="auto"/>
        <w:left w:val="none" w:sz="0" w:space="0" w:color="auto"/>
        <w:bottom w:val="none" w:sz="0" w:space="0" w:color="auto"/>
        <w:right w:val="none" w:sz="0" w:space="0" w:color="auto"/>
      </w:divBdr>
    </w:div>
    <w:div w:id="1901404715">
      <w:bodyDiv w:val="1"/>
      <w:marLeft w:val="0"/>
      <w:marRight w:val="0"/>
      <w:marTop w:val="0"/>
      <w:marBottom w:val="0"/>
      <w:divBdr>
        <w:top w:val="none" w:sz="0" w:space="0" w:color="auto"/>
        <w:left w:val="none" w:sz="0" w:space="0" w:color="auto"/>
        <w:bottom w:val="none" w:sz="0" w:space="0" w:color="auto"/>
        <w:right w:val="none" w:sz="0" w:space="0" w:color="auto"/>
      </w:divBdr>
    </w:div>
    <w:div w:id="1903977019">
      <w:bodyDiv w:val="1"/>
      <w:marLeft w:val="0"/>
      <w:marRight w:val="0"/>
      <w:marTop w:val="0"/>
      <w:marBottom w:val="0"/>
      <w:divBdr>
        <w:top w:val="none" w:sz="0" w:space="0" w:color="auto"/>
        <w:left w:val="none" w:sz="0" w:space="0" w:color="auto"/>
        <w:bottom w:val="none" w:sz="0" w:space="0" w:color="auto"/>
        <w:right w:val="none" w:sz="0" w:space="0" w:color="auto"/>
      </w:divBdr>
    </w:div>
    <w:div w:id="1919712459">
      <w:bodyDiv w:val="1"/>
      <w:marLeft w:val="0"/>
      <w:marRight w:val="0"/>
      <w:marTop w:val="0"/>
      <w:marBottom w:val="0"/>
      <w:divBdr>
        <w:top w:val="none" w:sz="0" w:space="0" w:color="auto"/>
        <w:left w:val="none" w:sz="0" w:space="0" w:color="auto"/>
        <w:bottom w:val="none" w:sz="0" w:space="0" w:color="auto"/>
        <w:right w:val="none" w:sz="0" w:space="0" w:color="auto"/>
      </w:divBdr>
    </w:div>
    <w:div w:id="1936012877">
      <w:bodyDiv w:val="1"/>
      <w:marLeft w:val="0"/>
      <w:marRight w:val="0"/>
      <w:marTop w:val="0"/>
      <w:marBottom w:val="0"/>
      <w:divBdr>
        <w:top w:val="none" w:sz="0" w:space="0" w:color="auto"/>
        <w:left w:val="none" w:sz="0" w:space="0" w:color="auto"/>
        <w:bottom w:val="none" w:sz="0" w:space="0" w:color="auto"/>
        <w:right w:val="none" w:sz="0" w:space="0" w:color="auto"/>
      </w:divBdr>
    </w:div>
    <w:div w:id="1944461973">
      <w:bodyDiv w:val="1"/>
      <w:marLeft w:val="0"/>
      <w:marRight w:val="0"/>
      <w:marTop w:val="0"/>
      <w:marBottom w:val="0"/>
      <w:divBdr>
        <w:top w:val="none" w:sz="0" w:space="0" w:color="auto"/>
        <w:left w:val="none" w:sz="0" w:space="0" w:color="auto"/>
        <w:bottom w:val="none" w:sz="0" w:space="0" w:color="auto"/>
        <w:right w:val="none" w:sz="0" w:space="0" w:color="auto"/>
      </w:divBdr>
    </w:div>
    <w:div w:id="1944804577">
      <w:bodyDiv w:val="1"/>
      <w:marLeft w:val="0"/>
      <w:marRight w:val="0"/>
      <w:marTop w:val="0"/>
      <w:marBottom w:val="0"/>
      <w:divBdr>
        <w:top w:val="none" w:sz="0" w:space="0" w:color="auto"/>
        <w:left w:val="none" w:sz="0" w:space="0" w:color="auto"/>
        <w:bottom w:val="none" w:sz="0" w:space="0" w:color="auto"/>
        <w:right w:val="none" w:sz="0" w:space="0" w:color="auto"/>
      </w:divBdr>
    </w:div>
    <w:div w:id="1951205157">
      <w:bodyDiv w:val="1"/>
      <w:marLeft w:val="0"/>
      <w:marRight w:val="0"/>
      <w:marTop w:val="0"/>
      <w:marBottom w:val="0"/>
      <w:divBdr>
        <w:top w:val="none" w:sz="0" w:space="0" w:color="auto"/>
        <w:left w:val="none" w:sz="0" w:space="0" w:color="auto"/>
        <w:bottom w:val="none" w:sz="0" w:space="0" w:color="auto"/>
        <w:right w:val="none" w:sz="0" w:space="0" w:color="auto"/>
      </w:divBdr>
    </w:div>
    <w:div w:id="1956474563">
      <w:bodyDiv w:val="1"/>
      <w:marLeft w:val="0"/>
      <w:marRight w:val="0"/>
      <w:marTop w:val="0"/>
      <w:marBottom w:val="0"/>
      <w:divBdr>
        <w:top w:val="none" w:sz="0" w:space="0" w:color="auto"/>
        <w:left w:val="none" w:sz="0" w:space="0" w:color="auto"/>
        <w:bottom w:val="none" w:sz="0" w:space="0" w:color="auto"/>
        <w:right w:val="none" w:sz="0" w:space="0" w:color="auto"/>
      </w:divBdr>
    </w:div>
    <w:div w:id="1971126888">
      <w:bodyDiv w:val="1"/>
      <w:marLeft w:val="0"/>
      <w:marRight w:val="0"/>
      <w:marTop w:val="0"/>
      <w:marBottom w:val="0"/>
      <w:divBdr>
        <w:top w:val="none" w:sz="0" w:space="0" w:color="auto"/>
        <w:left w:val="none" w:sz="0" w:space="0" w:color="auto"/>
        <w:bottom w:val="none" w:sz="0" w:space="0" w:color="auto"/>
        <w:right w:val="none" w:sz="0" w:space="0" w:color="auto"/>
      </w:divBdr>
    </w:div>
    <w:div w:id="2010131676">
      <w:bodyDiv w:val="1"/>
      <w:marLeft w:val="0"/>
      <w:marRight w:val="0"/>
      <w:marTop w:val="0"/>
      <w:marBottom w:val="0"/>
      <w:divBdr>
        <w:top w:val="none" w:sz="0" w:space="0" w:color="auto"/>
        <w:left w:val="none" w:sz="0" w:space="0" w:color="auto"/>
        <w:bottom w:val="none" w:sz="0" w:space="0" w:color="auto"/>
        <w:right w:val="none" w:sz="0" w:space="0" w:color="auto"/>
      </w:divBdr>
    </w:div>
    <w:div w:id="2019304192">
      <w:bodyDiv w:val="1"/>
      <w:marLeft w:val="0"/>
      <w:marRight w:val="0"/>
      <w:marTop w:val="0"/>
      <w:marBottom w:val="0"/>
      <w:divBdr>
        <w:top w:val="none" w:sz="0" w:space="0" w:color="auto"/>
        <w:left w:val="none" w:sz="0" w:space="0" w:color="auto"/>
        <w:bottom w:val="none" w:sz="0" w:space="0" w:color="auto"/>
        <w:right w:val="none" w:sz="0" w:space="0" w:color="auto"/>
      </w:divBdr>
    </w:div>
    <w:div w:id="2021470700">
      <w:bodyDiv w:val="1"/>
      <w:marLeft w:val="0"/>
      <w:marRight w:val="0"/>
      <w:marTop w:val="0"/>
      <w:marBottom w:val="0"/>
      <w:divBdr>
        <w:top w:val="none" w:sz="0" w:space="0" w:color="auto"/>
        <w:left w:val="none" w:sz="0" w:space="0" w:color="auto"/>
        <w:bottom w:val="none" w:sz="0" w:space="0" w:color="auto"/>
        <w:right w:val="none" w:sz="0" w:space="0" w:color="auto"/>
      </w:divBdr>
    </w:div>
    <w:div w:id="2028215182">
      <w:bodyDiv w:val="1"/>
      <w:marLeft w:val="0"/>
      <w:marRight w:val="0"/>
      <w:marTop w:val="0"/>
      <w:marBottom w:val="0"/>
      <w:divBdr>
        <w:top w:val="none" w:sz="0" w:space="0" w:color="auto"/>
        <w:left w:val="none" w:sz="0" w:space="0" w:color="auto"/>
        <w:bottom w:val="none" w:sz="0" w:space="0" w:color="auto"/>
        <w:right w:val="none" w:sz="0" w:space="0" w:color="auto"/>
      </w:divBdr>
    </w:div>
    <w:div w:id="2032101446">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61395736">
      <w:bodyDiv w:val="1"/>
      <w:marLeft w:val="0"/>
      <w:marRight w:val="0"/>
      <w:marTop w:val="0"/>
      <w:marBottom w:val="0"/>
      <w:divBdr>
        <w:top w:val="none" w:sz="0" w:space="0" w:color="auto"/>
        <w:left w:val="none" w:sz="0" w:space="0" w:color="auto"/>
        <w:bottom w:val="none" w:sz="0" w:space="0" w:color="auto"/>
        <w:right w:val="none" w:sz="0" w:space="0" w:color="auto"/>
      </w:divBdr>
    </w:div>
    <w:div w:id="2064792022">
      <w:bodyDiv w:val="1"/>
      <w:marLeft w:val="0"/>
      <w:marRight w:val="0"/>
      <w:marTop w:val="0"/>
      <w:marBottom w:val="0"/>
      <w:divBdr>
        <w:top w:val="none" w:sz="0" w:space="0" w:color="auto"/>
        <w:left w:val="none" w:sz="0" w:space="0" w:color="auto"/>
        <w:bottom w:val="none" w:sz="0" w:space="0" w:color="auto"/>
        <w:right w:val="none" w:sz="0" w:space="0" w:color="auto"/>
      </w:divBdr>
    </w:div>
    <w:div w:id="2071147410">
      <w:bodyDiv w:val="1"/>
      <w:marLeft w:val="0"/>
      <w:marRight w:val="0"/>
      <w:marTop w:val="0"/>
      <w:marBottom w:val="0"/>
      <w:divBdr>
        <w:top w:val="none" w:sz="0" w:space="0" w:color="auto"/>
        <w:left w:val="none" w:sz="0" w:space="0" w:color="auto"/>
        <w:bottom w:val="none" w:sz="0" w:space="0" w:color="auto"/>
        <w:right w:val="none" w:sz="0" w:space="0" w:color="auto"/>
      </w:divBdr>
    </w:div>
    <w:div w:id="2077243241">
      <w:bodyDiv w:val="1"/>
      <w:marLeft w:val="0"/>
      <w:marRight w:val="0"/>
      <w:marTop w:val="0"/>
      <w:marBottom w:val="0"/>
      <w:divBdr>
        <w:top w:val="none" w:sz="0" w:space="0" w:color="auto"/>
        <w:left w:val="none" w:sz="0" w:space="0" w:color="auto"/>
        <w:bottom w:val="none" w:sz="0" w:space="0" w:color="auto"/>
        <w:right w:val="none" w:sz="0" w:space="0" w:color="auto"/>
      </w:divBdr>
    </w:div>
    <w:div w:id="2078480883">
      <w:bodyDiv w:val="1"/>
      <w:marLeft w:val="0"/>
      <w:marRight w:val="0"/>
      <w:marTop w:val="0"/>
      <w:marBottom w:val="0"/>
      <w:divBdr>
        <w:top w:val="none" w:sz="0" w:space="0" w:color="auto"/>
        <w:left w:val="none" w:sz="0" w:space="0" w:color="auto"/>
        <w:bottom w:val="none" w:sz="0" w:space="0" w:color="auto"/>
        <w:right w:val="none" w:sz="0" w:space="0" w:color="auto"/>
      </w:divBdr>
    </w:div>
    <w:div w:id="2083093909">
      <w:bodyDiv w:val="1"/>
      <w:marLeft w:val="0"/>
      <w:marRight w:val="0"/>
      <w:marTop w:val="0"/>
      <w:marBottom w:val="0"/>
      <w:divBdr>
        <w:top w:val="none" w:sz="0" w:space="0" w:color="auto"/>
        <w:left w:val="none" w:sz="0" w:space="0" w:color="auto"/>
        <w:bottom w:val="none" w:sz="0" w:space="0" w:color="auto"/>
        <w:right w:val="none" w:sz="0" w:space="0" w:color="auto"/>
      </w:divBdr>
    </w:div>
    <w:div w:id="2122454262">
      <w:bodyDiv w:val="1"/>
      <w:marLeft w:val="0"/>
      <w:marRight w:val="0"/>
      <w:marTop w:val="0"/>
      <w:marBottom w:val="0"/>
      <w:divBdr>
        <w:top w:val="none" w:sz="0" w:space="0" w:color="auto"/>
        <w:left w:val="none" w:sz="0" w:space="0" w:color="auto"/>
        <w:bottom w:val="none" w:sz="0" w:space="0" w:color="auto"/>
        <w:right w:val="none" w:sz="0" w:space="0" w:color="auto"/>
      </w:divBdr>
    </w:div>
    <w:div w:id="2133788582">
      <w:bodyDiv w:val="1"/>
      <w:marLeft w:val="0"/>
      <w:marRight w:val="0"/>
      <w:marTop w:val="0"/>
      <w:marBottom w:val="0"/>
      <w:divBdr>
        <w:top w:val="none" w:sz="0" w:space="0" w:color="auto"/>
        <w:left w:val="none" w:sz="0" w:space="0" w:color="auto"/>
        <w:bottom w:val="none" w:sz="0" w:space="0" w:color="auto"/>
        <w:right w:val="none" w:sz="0" w:space="0" w:color="auto"/>
      </w:divBdr>
    </w:div>
    <w:div w:id="213597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IAE20</b:Tag>
    <b:SourceType>Book</b:SourceType>
    <b:Guid>{96F1AFD9-E079-469E-A02F-F780EB80D202}</b:Guid>
    <b:Author>
      <b:Author>
        <b:Corporate>[IAEA] International Atomic Energy Agency</b:Corporate>
      </b:Author>
    </b:Author>
    <b:Title>Advances in small modular reactor technology developments</b:Title>
    <b:Year>2020</b:Year>
    <b:Publisher>International Atomic Energy Agency</b:Publisher>
    <b:City>Vienna, Austria</b:City>
    <b:URL>https://inis.iaea.org/search/search.aspx?orig_q=RN:51105613</b:URL>
    <b:RefOrder>3</b:RefOrder>
  </b:Source>
  <b:Source>
    <b:Tag>DOE21</b:Tag>
    <b:SourceType>Report</b:SourceType>
    <b:Guid>{117B9165-1D07-4EB1-BA69-8E4223C8E0D6}</b:Guid>
    <b:Author>
      <b:Author>
        <b:Corporate>[DOE] Department of Energy</b:Corporate>
      </b:Author>
    </b:Author>
    <b:Title>Philippine Energy Plan 2020-2040</b:Title>
    <b:Year>2021</b:Year>
    <b:Publisher>Department of Energy</b:Publisher>
    <b:City>Taguig City</b:City>
    <b:URL>http://www.doe.gov.ph/policy-and-planning/philippine-energy-plan</b:URL>
    <b:RefOrder>2</b:RefOrder>
  </b:Source>
  <b:Source>
    <b:Tag>IAE13</b:Tag>
    <b:SourceType>Misc</b:SourceType>
    <b:Guid>{8BCDE9B6-FE6F-4696-89A9-A6C92E133EFD}</b:Guid>
    <b:Title>KLT-40s</b:Title>
    <b:Year>2013</b:Year>
    <b:Author>
      <b:Author>
        <b:Corporate>IAEA [International Atomic Energy Agency]</b:Corporate>
      </b:Author>
    </b:Author>
    <b:URL>https://aris.iaea.org/PDF/KLT-40S.pdf</b:URL>
    <b:Publisher>IAEA</b:Publisher>
    <b:City>Vienna</b:City>
    <b:RefOrder>9</b:RefOrder>
  </b:Source>
  <b:Source>
    <b:Tag>IAE11</b:Tag>
    <b:SourceType>Misc</b:SourceType>
    <b:Guid>{6F6C9BE2-7F8B-49D2-A964-1CFBD4D11716}</b:Guid>
    <b:Author>
      <b:Author>
        <b:Corporate>IAEA [International Atomic Energy Agency]</b:Corporate>
      </b:Author>
    </b:Author>
    <b:Title>HTR-PM</b:Title>
    <b:Year>2011</b:Year>
    <b:City>Vienna</b:City>
    <b:Publisher>IAEA</b:Publisher>
    <b:URL>https://aris.iaea.org/PDF/HTR-PM.pdf</b:URL>
    <b:RefOrder>8</b:RefOrder>
  </b:Source>
  <b:Source>
    <b:Tag>IAE202</b:Tag>
    <b:SourceType>Book</b:SourceType>
    <b:Guid>{9E8054AA-37E3-4D42-AB25-27598EDE99AB}</b:Guid>
    <b:Title>Advances in Small Modular Reactor Technology Developments A Supplement to: IAEA Advanced Reactors Information System (ARIS) 2020 Edition</b:Title>
    <b:Year>2020</b:Year>
    <b:Author>
      <b:Author>
        <b:Corporate>[IAEA] International Atomic Energy Agency</b:Corporate>
      </b:Author>
    </b:Author>
    <b:City>Vienna, Austria</b:City>
    <b:Publisher>[IAEA] International Atomic Energy Agency</b:Publisher>
    <b:RefOrder>12</b:RefOrder>
  </b:Source>
  <b:Source>
    <b:Tag>IAE22</b:Tag>
    <b:SourceType>Book</b:SourceType>
    <b:Guid>{38BC600B-36DE-4D59-B6C7-3B6FD08EAA9E}</b:Guid>
    <b:Title>Advances in small modular reactor technology developments</b:Title>
    <b:Year>2022</b:Year>
    <b:City>Vienna, Austria</b:City>
    <b:Publisher>International Atomic Energy Agency</b:Publisher>
    <b:Author>
      <b:Author>
        <b:Corporate>[IAEA] International Atomic Energy Agency</b:Corporate>
      </b:Author>
    </b:Author>
    <b:URL>https://www.nuclearenergy.polimi.it/wp-content/uploads/2022/07/2.-IAEA_Subki_ELSMOR-2022-Summer-School_05July.pdf</b:URL>
    <b:RefOrder>7</b:RefOrder>
  </b:Source>
  <b:Source>
    <b:Tag>IAE221</b:Tag>
    <b:SourceType>Book</b:SourceType>
    <b:Guid>{DCCB3068-4529-4C2A-BC94-01AF5DB31BA2}</b:Guid>
    <b:Title>Nuclear Reactor Technology Assessment for Near Term Deployment</b:Title>
    <b:Year>2022</b:Year>
    <b:City>Vienna</b:City>
    <b:Publisher>IAEA</b:Publisher>
    <b:Author>
      <b:Author>
        <b:Corporate>IAEA [International Atomic Energy Agency]</b:Corporate>
      </b:Author>
    </b:Author>
    <b:RefOrder>5</b:RefOrder>
  </b:Source>
  <b:Source>
    <b:Tag>IAE15</b:Tag>
    <b:SourceType>JournalArticle</b:SourceType>
    <b:Guid>{8B3995FA-6DA0-4933-A746-7CFFACE9FC42}</b:Guid>
    <b:Author>
      <b:Author>
        <b:Corporate>[IAEA] International Atomic Energy Agency</b:Corporate>
      </b:Author>
    </b:Author>
    <b:Title>Milestones in the Development of a National Infrastructure for Nuclear Power</b:Title>
    <b:Year>2015</b:Year>
    <b:Pages>1-79</b:Pages>
    <b:Publisher>[IAEA] International Atomic Energy Agency</b:Publisher>
    <b:URL>https://www.iaea.org/publications/10873/milestones-in-the-development-of-a-national-infrastructure-for-nuclear-power</b:URL>
    <b:RefOrder>6</b:RefOrder>
  </b:Source>
  <b:Source>
    <b:Tag>Mur21</b:Tag>
    <b:SourceType>Report</b:SourceType>
    <b:Guid>{45A15638-F6F5-4BA9-923D-D1CD631768C8}</b:Guid>
    <b:Title>Global Situation of Small Modular Reactor Development and Deployment</b:Title>
    <b:Year>2021</b:Year>
    <b:City>Indonesia</b:City>
    <b:Publisher>Economic Research Institute for ASEAN and East Asia (ERIA)</b:Publisher>
    <b:Author>
      <b:Author>
        <b:NameList>
          <b:Person>
            <b:Last>Murakami</b:Last>
            <b:First>Tomoko</b:First>
          </b:Person>
          <b:Person>
            <b:Last>Venkatachalam</b:Last>
            <b:First>Anbumozhi</b:First>
          </b:Person>
        </b:NameList>
      </b:Author>
    </b:Author>
    <b:URL>https://www.eria.org/uploads/media/Research-Project-Report/2021-07-Small-Modular-Reactor-/Global-Situation-Small-Modular-Reactor-Development-Deployment.pdf</b:URL>
    <b:RefOrder>4</b:RefOrder>
  </b:Source>
  <b:Source>
    <b:Tag>IAE16</b:Tag>
    <b:SourceType>Report</b:SourceType>
    <b:Guid>{339628AF-64E0-494A-B05C-9E45775B6789}</b:Guid>
    <b:Author>
      <b:Author>
        <b:Corporate>[IAEA] International Atomic Energy Agency</b:Corporate>
      </b:Author>
    </b:Author>
    <b:Title>Safety of Nuclear Power Plants: Design, Specific Safety Requirements No. SSR-2/1 (Rev.1)</b:Title>
    <b:Year>2016</b:Year>
    <b:Publisher>IAEA</b:Publisher>
    <b:City>Vienna</b:City>
    <b:URL>https://www-pub.iaea.org/MTCD/publications/PDF/Pub1715web-46541668.pdf</b:URL>
    <b:RefOrder>10</b:RefOrder>
  </b:Source>
  <b:Source>
    <b:Tag>SNo23</b:Tag>
    <b:SourceType>Report</b:SourceType>
    <b:Guid>{91860A55-665B-4B3C-844A-CAED7A6FA986}</b:Guid>
    <b:Author>
      <b:Author>
        <b:Corporate>S. No. 2498</b:Corporate>
      </b:Author>
    </b:Author>
    <b:Title>An act establishing the Philippine Atomic Energy Authority an providing for a comprehensive legal framework for nuclear safety, security, and safeguards in the peaceful utilization of nuclear energy in the Philippines, and appropriating funds therefor</b:Title>
    <b:Year>2023</b:Year>
    <b:City>Manila, Philippines</b:City>
    <b:URL>https://legacy.senate.gov.ph/lisdata/4308339180!.pdf</b:URL>
    <b:RefOrder>11</b:RefOrder>
  </b:Source>
  <b:Source>
    <b:Tag>Bau24</b:Tag>
    <b:SourceType>JournalArticle</b:SourceType>
    <b:Guid>{0E1FCDB3-D45A-4AEA-97D7-6E63C466774B}</b:Guid>
    <b:Title>Technical Review of Small Modular Reactor Technologies for Possible Deployment and Prospects of Nuclear Infrastructure Development in the Philippines</b:Title>
    <b:Year>2024</b:Year>
    <b:Author>
      <b:Author>
        <b:NameList>
          <b:Person>
            <b:Last>Bautista</b:Last>
            <b:First>Unico</b:First>
          </b:Person>
          <b:Person>
            <b:Last>Cervera</b:Last>
            <b:First>Rinlee</b:First>
            <b:Middle>Butch</b:Middle>
          </b:Person>
        </b:NameList>
      </b:Author>
    </b:Author>
    <b:JournalName>Philillippine Journal of Science (Pre-print for submission)</b:JournalName>
    <b:RefOrder>1</b:RefOrder>
  </b:Source>
</b:Sources>
</file>

<file path=customXml/itemProps1.xml><?xml version="1.0" encoding="utf-8"?>
<ds:datastoreItem xmlns:ds="http://schemas.openxmlformats.org/officeDocument/2006/customXml" ds:itemID="{95E8FD2E-D0CD-4F8D-A2F0-7A24C508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C:\WINDOWS\IAEA\Templates\O365\IAEA Blank (r01).dotx</Template>
  <TotalTime>2042</TotalTime>
  <Pages>7</Pages>
  <Words>3897</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Unico A. Bautista</cp:lastModifiedBy>
  <cp:revision>102</cp:revision>
  <cp:lastPrinted>2024-03-19T13:52:00Z</cp:lastPrinted>
  <dcterms:created xsi:type="dcterms:W3CDTF">2024-03-19T07:55:00Z</dcterms:created>
  <dcterms:modified xsi:type="dcterms:W3CDTF">2024-09-06T08:33:00Z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