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25E7DA4A" w:rsidR="00E20E70" w:rsidRPr="002B468F" w:rsidRDefault="000045A7" w:rsidP="00537496">
      <w:pPr>
        <w:pStyle w:val="Heading1"/>
        <w:rPr>
          <w:lang w:val="en-GB"/>
        </w:rPr>
      </w:pPr>
      <w:r w:rsidRPr="002B468F">
        <w:rPr>
          <w:lang w:val="en-GB"/>
        </w:rPr>
        <w:t>Small Modular Reactor Multi-Module PSA</w:t>
      </w:r>
    </w:p>
    <w:p w14:paraId="7A489224" w14:textId="461DD0D3" w:rsidR="003B5E0E" w:rsidRPr="002B468F" w:rsidRDefault="003B5E0E" w:rsidP="00537496">
      <w:pPr>
        <w:pStyle w:val="Subtitle"/>
        <w:rPr>
          <w:lang w:val="en-GB"/>
        </w:rPr>
      </w:pPr>
    </w:p>
    <w:p w14:paraId="4D1B799F" w14:textId="77777777" w:rsidR="00802381" w:rsidRPr="002B468F" w:rsidRDefault="00802381" w:rsidP="00537496">
      <w:pPr>
        <w:pStyle w:val="Authornameandaffiliation"/>
        <w:rPr>
          <w:lang w:val="en-GB"/>
        </w:rPr>
      </w:pPr>
    </w:p>
    <w:p w14:paraId="32159D0F" w14:textId="2C020B4B" w:rsidR="003B5E0E" w:rsidRPr="00A64305" w:rsidRDefault="000045A7" w:rsidP="00537496">
      <w:pPr>
        <w:pStyle w:val="Authornameandaffiliation"/>
        <w:rPr>
          <w:lang w:val="de-DE"/>
        </w:rPr>
      </w:pPr>
      <w:r w:rsidRPr="00A64305">
        <w:rPr>
          <w:lang w:val="de-DE"/>
        </w:rPr>
        <w:t>M. OBERGFELL</w:t>
      </w:r>
    </w:p>
    <w:p w14:paraId="02370931" w14:textId="2E535ADC" w:rsidR="00FF386F" w:rsidRPr="00A64305" w:rsidRDefault="000045A7" w:rsidP="00537496">
      <w:pPr>
        <w:pStyle w:val="Authornameandaffiliation"/>
        <w:rPr>
          <w:lang w:val="de-DE"/>
        </w:rPr>
      </w:pPr>
      <w:r w:rsidRPr="00A64305">
        <w:rPr>
          <w:lang w:val="de-DE"/>
        </w:rPr>
        <w:t>Gesellschaft für Anlagen- und Reaktorsicherheit (GRS) gGmb</w:t>
      </w:r>
      <w:r w:rsidR="00BB5DDD" w:rsidRPr="00A64305">
        <w:rPr>
          <w:lang w:val="de-DE"/>
        </w:rPr>
        <w:t>H</w:t>
      </w:r>
    </w:p>
    <w:p w14:paraId="14684DE2" w14:textId="1B597F4C" w:rsidR="00FF386F" w:rsidRPr="002B468F" w:rsidRDefault="000045A7" w:rsidP="00537496">
      <w:pPr>
        <w:pStyle w:val="Authornameandaffiliation"/>
        <w:rPr>
          <w:lang w:val="en-GB"/>
        </w:rPr>
      </w:pPr>
      <w:r w:rsidRPr="002B468F">
        <w:rPr>
          <w:lang w:val="en-GB"/>
        </w:rPr>
        <w:t>Köln</w:t>
      </w:r>
      <w:r w:rsidR="00FF386F" w:rsidRPr="002B468F">
        <w:rPr>
          <w:lang w:val="en-GB"/>
        </w:rPr>
        <w:t xml:space="preserve">, </w:t>
      </w:r>
      <w:r w:rsidRPr="002B468F">
        <w:rPr>
          <w:lang w:val="en-GB"/>
        </w:rPr>
        <w:t>Germany</w:t>
      </w:r>
    </w:p>
    <w:p w14:paraId="0080899C" w14:textId="4DF8F448" w:rsidR="00FF386F" w:rsidRPr="002B468F" w:rsidRDefault="00FF386F" w:rsidP="00537496">
      <w:pPr>
        <w:pStyle w:val="Authornameandaffiliation"/>
        <w:rPr>
          <w:lang w:val="en-GB"/>
        </w:rPr>
      </w:pPr>
      <w:r w:rsidRPr="002B468F">
        <w:rPr>
          <w:lang w:val="en-GB"/>
        </w:rPr>
        <w:t xml:space="preserve">Email: </w:t>
      </w:r>
      <w:r w:rsidR="00D629B6" w:rsidRPr="002B468F">
        <w:rPr>
          <w:lang w:val="en-GB"/>
        </w:rPr>
        <w:t>manuel.obergfell</w:t>
      </w:r>
      <w:r w:rsidRPr="002B468F">
        <w:rPr>
          <w:lang w:val="en-GB"/>
        </w:rPr>
        <w:t>@</w:t>
      </w:r>
      <w:r w:rsidR="00D629B6" w:rsidRPr="002B468F">
        <w:rPr>
          <w:lang w:val="en-GB"/>
        </w:rPr>
        <w:t>grs.de</w:t>
      </w:r>
    </w:p>
    <w:p w14:paraId="5E2BDA1F" w14:textId="77777777" w:rsidR="00FF386F" w:rsidRPr="002B468F" w:rsidRDefault="00FF386F" w:rsidP="00537496">
      <w:pPr>
        <w:pStyle w:val="Authornameandaffiliation"/>
        <w:rPr>
          <w:lang w:val="en-GB"/>
        </w:rPr>
      </w:pPr>
    </w:p>
    <w:p w14:paraId="535BB6CC" w14:textId="456E9A49" w:rsidR="00FF386F" w:rsidRPr="00A64305" w:rsidRDefault="000045A7" w:rsidP="00537496">
      <w:pPr>
        <w:pStyle w:val="Authornameandaffiliation"/>
        <w:rPr>
          <w:lang w:val="de-DE"/>
        </w:rPr>
      </w:pPr>
      <w:r w:rsidRPr="00A64305">
        <w:rPr>
          <w:lang w:val="de-DE"/>
        </w:rPr>
        <w:t>F</w:t>
      </w:r>
      <w:r w:rsidR="00FF386F" w:rsidRPr="00A64305">
        <w:rPr>
          <w:lang w:val="de-DE"/>
        </w:rPr>
        <w:t xml:space="preserve">. </w:t>
      </w:r>
      <w:r w:rsidRPr="00A64305">
        <w:rPr>
          <w:lang w:val="de-DE"/>
        </w:rPr>
        <w:t>BERCHTOLD</w:t>
      </w:r>
    </w:p>
    <w:p w14:paraId="0D9717D6" w14:textId="53B9240A" w:rsidR="000045A7" w:rsidRPr="00A64305" w:rsidRDefault="000045A7" w:rsidP="000045A7">
      <w:pPr>
        <w:pStyle w:val="Authornameandaffiliation"/>
        <w:rPr>
          <w:lang w:val="de-DE"/>
        </w:rPr>
      </w:pPr>
      <w:r w:rsidRPr="00A64305">
        <w:rPr>
          <w:lang w:val="de-DE"/>
        </w:rPr>
        <w:t>Gesellschaft für Anlagen- und Reaktorsicherheit (GRS) gGmb</w:t>
      </w:r>
      <w:r w:rsidR="00BB5DDD" w:rsidRPr="00A64305">
        <w:rPr>
          <w:lang w:val="de-DE"/>
        </w:rPr>
        <w:t>H</w:t>
      </w:r>
    </w:p>
    <w:p w14:paraId="5D980831" w14:textId="463233AF" w:rsidR="00FF386F" w:rsidRPr="002B468F" w:rsidRDefault="000045A7" w:rsidP="00537496">
      <w:pPr>
        <w:pStyle w:val="Authornameandaffiliation"/>
        <w:rPr>
          <w:lang w:val="en-GB"/>
        </w:rPr>
      </w:pPr>
      <w:r w:rsidRPr="002B468F">
        <w:rPr>
          <w:lang w:val="en-GB"/>
        </w:rPr>
        <w:t>Garching</w:t>
      </w:r>
      <w:r w:rsidR="00FF386F" w:rsidRPr="002B468F">
        <w:rPr>
          <w:lang w:val="en-GB"/>
        </w:rPr>
        <w:t xml:space="preserve">, </w:t>
      </w:r>
      <w:r w:rsidRPr="002B468F">
        <w:rPr>
          <w:lang w:val="en-GB"/>
        </w:rPr>
        <w:t>Germany</w:t>
      </w:r>
    </w:p>
    <w:p w14:paraId="2C7F19CB" w14:textId="77777777" w:rsidR="00FF386F" w:rsidRPr="002B468F" w:rsidRDefault="00FF386F" w:rsidP="00537496">
      <w:pPr>
        <w:pStyle w:val="Authornameandaffiliation"/>
        <w:rPr>
          <w:lang w:val="en-GB"/>
        </w:rPr>
      </w:pPr>
    </w:p>
    <w:p w14:paraId="230D4575" w14:textId="77777777" w:rsidR="00647F33" w:rsidRPr="002B468F" w:rsidRDefault="00647F33" w:rsidP="00537496">
      <w:pPr>
        <w:pStyle w:val="Authornameandaffiliation"/>
        <w:rPr>
          <w:b/>
          <w:lang w:val="en-GB"/>
        </w:rPr>
      </w:pPr>
      <w:r w:rsidRPr="002B468F">
        <w:rPr>
          <w:b/>
          <w:lang w:val="en-GB"/>
        </w:rPr>
        <w:t>Abstract</w:t>
      </w:r>
    </w:p>
    <w:p w14:paraId="4F2E62A2" w14:textId="77777777" w:rsidR="00647F33" w:rsidRPr="002B468F" w:rsidRDefault="00647F33" w:rsidP="00537496">
      <w:pPr>
        <w:pStyle w:val="Authornameandaffiliation"/>
        <w:rPr>
          <w:lang w:val="en-GB"/>
        </w:rPr>
      </w:pPr>
    </w:p>
    <w:p w14:paraId="47DD9F7A" w14:textId="46FD0F42" w:rsidR="000045A7" w:rsidRPr="002B468F" w:rsidRDefault="000045A7" w:rsidP="00DF214B">
      <w:pPr>
        <w:pStyle w:val="Abstracttext"/>
        <w:jc w:val="both"/>
        <w:rPr>
          <w:lang w:val="en-GB"/>
        </w:rPr>
      </w:pPr>
      <w:r w:rsidRPr="002B468F">
        <w:rPr>
          <w:lang w:val="en-GB"/>
        </w:rPr>
        <w:t>Nuclear power plants (NPPs) with advanced reactor technologies, particularly small modular reactors (SMRs)</w:t>
      </w:r>
      <w:r w:rsidR="00E94E7B" w:rsidRPr="002B468F">
        <w:rPr>
          <w:lang w:val="en-GB"/>
        </w:rPr>
        <w:t>,</w:t>
      </w:r>
      <w:r w:rsidRPr="002B468F">
        <w:rPr>
          <w:lang w:val="en-GB"/>
        </w:rPr>
        <w:t xml:space="preserve"> are planned to be built in various countries worldwide. Due to the much lower power output of these reactor types in comparison to operating NPP units, the plants with SMRs are intended to be realized by multiple modules of the same type at a given site. Based on the type of the multi-module concept, the different SMR modules may share </w:t>
      </w:r>
      <w:r w:rsidR="00E94E7B" w:rsidRPr="002B468F">
        <w:rPr>
          <w:lang w:val="en-GB"/>
        </w:rPr>
        <w:t xml:space="preserve">several </w:t>
      </w:r>
      <w:r w:rsidRPr="002B468F">
        <w:rPr>
          <w:lang w:val="en-GB"/>
        </w:rPr>
        <w:t>systems, structures</w:t>
      </w:r>
      <w:r w:rsidR="00B03784" w:rsidRPr="002B468F">
        <w:rPr>
          <w:lang w:val="en-GB"/>
        </w:rPr>
        <w:t>,</w:t>
      </w:r>
      <w:r w:rsidRPr="002B468F">
        <w:rPr>
          <w:lang w:val="en-GB"/>
        </w:rPr>
        <w:t xml:space="preserve"> and components (SSC</w:t>
      </w:r>
      <w:r w:rsidR="00E94E7B" w:rsidRPr="002B468F">
        <w:rPr>
          <w:lang w:val="en-GB"/>
        </w:rPr>
        <w:t>)</w:t>
      </w:r>
      <w:r w:rsidRPr="002B468F">
        <w:rPr>
          <w:lang w:val="en-GB"/>
        </w:rPr>
        <w:t xml:space="preserve">, e.g., a joint building, or </w:t>
      </w:r>
      <w:r w:rsidR="00E94E7B" w:rsidRPr="002B468F">
        <w:rPr>
          <w:lang w:val="en-GB"/>
        </w:rPr>
        <w:t xml:space="preserve">the electrical power </w:t>
      </w:r>
      <w:r w:rsidRPr="002B468F">
        <w:rPr>
          <w:lang w:val="en-GB"/>
        </w:rPr>
        <w:t>supply</w:t>
      </w:r>
      <w:r w:rsidR="00C20F63" w:rsidRPr="002B468F">
        <w:rPr>
          <w:lang w:val="en-GB"/>
        </w:rPr>
        <w:t>,</w:t>
      </w:r>
      <w:r w:rsidRPr="002B468F">
        <w:rPr>
          <w:lang w:val="en-GB"/>
        </w:rPr>
        <w:t xml:space="preserve"> and/or a common team of operators. As an example, the </w:t>
      </w:r>
      <w:proofErr w:type="spellStart"/>
      <w:r w:rsidRPr="002B468F">
        <w:rPr>
          <w:lang w:val="en-GB"/>
        </w:rPr>
        <w:t>NuScale</w:t>
      </w:r>
      <w:proofErr w:type="spellEnd"/>
      <w:r w:rsidRPr="002B468F">
        <w:rPr>
          <w:lang w:val="en-GB"/>
        </w:rPr>
        <w:t xml:space="preserve"> VOYGR™-type SMR is </w:t>
      </w:r>
      <w:r w:rsidR="00E94E7B" w:rsidRPr="002B468F">
        <w:rPr>
          <w:lang w:val="en-GB"/>
        </w:rPr>
        <w:t xml:space="preserve">being </w:t>
      </w:r>
      <w:r w:rsidRPr="002B468F">
        <w:rPr>
          <w:lang w:val="en-GB"/>
        </w:rPr>
        <w:t xml:space="preserve">developed to share SSC for up to twelve modules. </w:t>
      </w:r>
    </w:p>
    <w:p w14:paraId="418AC57B" w14:textId="66C8AF72" w:rsidR="00647F33" w:rsidRPr="002B468F" w:rsidRDefault="000045A7" w:rsidP="00E94E7B">
      <w:pPr>
        <w:pStyle w:val="Abstracttext"/>
        <w:jc w:val="both"/>
        <w:rPr>
          <w:lang w:val="en-GB"/>
        </w:rPr>
      </w:pPr>
      <w:r w:rsidRPr="002B468F">
        <w:rPr>
          <w:lang w:val="en-GB"/>
        </w:rPr>
        <w:t xml:space="preserve">For </w:t>
      </w:r>
      <w:r w:rsidR="00B75DC3" w:rsidRPr="002B468F">
        <w:rPr>
          <w:lang w:val="en-GB"/>
        </w:rPr>
        <w:t>analysing</w:t>
      </w:r>
      <w:r w:rsidRPr="002B468F">
        <w:rPr>
          <w:lang w:val="en-GB"/>
        </w:rPr>
        <w:t xml:space="preserve"> the risk of multiple modules at a common </w:t>
      </w:r>
      <w:r w:rsidR="00E94E7B" w:rsidRPr="002B468F">
        <w:rPr>
          <w:lang w:val="en-GB"/>
        </w:rPr>
        <w:t xml:space="preserve">nuclear </w:t>
      </w:r>
      <w:r w:rsidRPr="002B468F">
        <w:rPr>
          <w:lang w:val="en-GB"/>
        </w:rPr>
        <w:t>site, GRS has developed a multi-module Level</w:t>
      </w:r>
      <w:r w:rsidR="00E94E7B" w:rsidRPr="002B468F">
        <w:rPr>
          <w:lang w:val="en-GB"/>
        </w:rPr>
        <w:t> </w:t>
      </w:r>
      <w:r w:rsidRPr="002B468F">
        <w:rPr>
          <w:lang w:val="en-GB"/>
        </w:rPr>
        <w:t>1 PSA for a VOYGR™ SMR plant applying the commercially available PSA code RiskSpectrum</w:t>
      </w:r>
      <w:r w:rsidRPr="002B468F">
        <w:rPr>
          <w:vertAlign w:val="superscript"/>
          <w:lang w:val="en-GB"/>
        </w:rPr>
        <w:t>®</w:t>
      </w:r>
      <w:r w:rsidRPr="002B468F">
        <w:rPr>
          <w:lang w:val="en-GB"/>
        </w:rPr>
        <w:t>. The model enables the analyst</w:t>
      </w:r>
      <w:r w:rsidR="00E94E7B" w:rsidRPr="002B468F">
        <w:rPr>
          <w:lang w:val="en-GB"/>
        </w:rPr>
        <w:t>s</w:t>
      </w:r>
      <w:r w:rsidRPr="002B468F">
        <w:rPr>
          <w:lang w:val="en-GB"/>
        </w:rPr>
        <w:t xml:space="preserve"> to compare the risk from a single module to that of multiple, up to twelve identical modules located in the same building, sharing several SSC and the operator</w:t>
      </w:r>
      <w:r w:rsidR="00E94E7B" w:rsidRPr="002B468F">
        <w:rPr>
          <w:lang w:val="en-GB"/>
        </w:rPr>
        <w:t>´</w:t>
      </w:r>
      <w:r w:rsidRPr="002B468F">
        <w:rPr>
          <w:lang w:val="en-GB"/>
        </w:rPr>
        <w:t xml:space="preserve">s team. The manufacturer´s PSA of </w:t>
      </w:r>
      <w:proofErr w:type="spellStart"/>
      <w:r w:rsidRPr="002B468F">
        <w:rPr>
          <w:lang w:val="en-GB"/>
        </w:rPr>
        <w:t>NuScale</w:t>
      </w:r>
      <w:proofErr w:type="spellEnd"/>
      <w:r w:rsidRPr="002B468F">
        <w:rPr>
          <w:lang w:val="en-GB"/>
        </w:rPr>
        <w:t xml:space="preserve"> has been modified by an own analysis of initiating events (i.e., common cause initiators (CCIs) affecting multiple modules) and applying reliability data for systems and components from the German operating experience regarding single and/or common cause failures (CCFs). As a result, the core damage frequencies (CDFs) for a hypothetic </w:t>
      </w:r>
      <w:r w:rsidR="00E94E7B" w:rsidRPr="002B468F">
        <w:rPr>
          <w:lang w:val="en-GB"/>
        </w:rPr>
        <w:t xml:space="preserve">nuclear </w:t>
      </w:r>
      <w:r w:rsidRPr="002B468F">
        <w:rPr>
          <w:lang w:val="en-GB"/>
        </w:rPr>
        <w:t xml:space="preserve">site with only a single SMR module site and with twelve modules have been determined and compared. Multi-module cut sets with an important contribution to the overall risk </w:t>
      </w:r>
      <w:r w:rsidR="00E94E7B" w:rsidRPr="002B468F">
        <w:rPr>
          <w:lang w:val="en-GB"/>
        </w:rPr>
        <w:t xml:space="preserve">have been </w:t>
      </w:r>
      <w:r w:rsidRPr="002B468F">
        <w:rPr>
          <w:lang w:val="en-GB"/>
        </w:rPr>
        <w:t>identified</w:t>
      </w:r>
      <w:r w:rsidR="005B749B" w:rsidRPr="002B468F">
        <w:rPr>
          <w:lang w:val="en-GB"/>
        </w:rPr>
        <w:t xml:space="preserve">, such as </w:t>
      </w:r>
      <w:r w:rsidR="007A73C1" w:rsidRPr="002B468F">
        <w:rPr>
          <w:lang w:val="en-GB"/>
        </w:rPr>
        <w:t>internal fire with inadvertent activation of the emergency core cooling system (ECCS) in all modules, CCF of all reactor recirculation valves (RRV) inadvertent activation block (IAB) valves in four modules, CCF of all the passive RRV</w:t>
      </w:r>
      <w:r w:rsidR="00F001C3">
        <w:rPr>
          <w:lang w:val="en-GB"/>
        </w:rPr>
        <w:t xml:space="preserve"> </w:t>
      </w:r>
      <w:r w:rsidR="007A73C1" w:rsidRPr="002B468F">
        <w:rPr>
          <w:lang w:val="en-GB"/>
        </w:rPr>
        <w:t>opening function in all modules and an operator failure to initiate a necessary system in 1</w:t>
      </w:r>
      <w:r w:rsidR="00A64305">
        <w:rPr>
          <w:lang w:val="en-GB"/>
        </w:rPr>
        <w:t xml:space="preserve"> </w:t>
      </w:r>
      <w:r w:rsidR="007A73C1" w:rsidRPr="002B468F">
        <w:rPr>
          <w:lang w:val="en-GB"/>
        </w:rPr>
        <w:t>o</w:t>
      </w:r>
      <w:r w:rsidR="00B45D47">
        <w:rPr>
          <w:lang w:val="en-GB"/>
        </w:rPr>
        <w:t xml:space="preserve">ut </w:t>
      </w:r>
      <w:r w:rsidR="007A73C1" w:rsidRPr="002B468F">
        <w:rPr>
          <w:lang w:val="en-GB"/>
        </w:rPr>
        <w:t>o</w:t>
      </w:r>
      <w:r w:rsidR="00B45D47">
        <w:rPr>
          <w:lang w:val="en-GB"/>
        </w:rPr>
        <w:t xml:space="preserve">f </w:t>
      </w:r>
      <w:r w:rsidR="007A73C1" w:rsidRPr="002B468F">
        <w:rPr>
          <w:lang w:val="en-GB"/>
        </w:rPr>
        <w:t>4 affected modules</w:t>
      </w:r>
      <w:r w:rsidRPr="002B468F">
        <w:rPr>
          <w:lang w:val="en-GB"/>
        </w:rPr>
        <w:t>. Inter-module CCFs and human failures have been observed to be important risk contributors</w:t>
      </w:r>
      <w:r w:rsidR="001C61B0" w:rsidRPr="002B468F">
        <w:rPr>
          <w:lang w:val="en-GB"/>
        </w:rPr>
        <w:t xml:space="preserve">. </w:t>
      </w:r>
      <w:r w:rsidR="007A73C1" w:rsidRPr="002B468F">
        <w:rPr>
          <w:lang w:val="en-GB"/>
        </w:rPr>
        <w:t>Very important are, e.g.,</w:t>
      </w:r>
      <w:r w:rsidR="001C61B0" w:rsidRPr="002B468F">
        <w:rPr>
          <w:lang w:val="en-GB"/>
        </w:rPr>
        <w:t xml:space="preserve"> </w:t>
      </w:r>
      <w:r w:rsidR="007A73C1" w:rsidRPr="002B468F">
        <w:rPr>
          <w:lang w:val="en-GB"/>
        </w:rPr>
        <w:t>the CCF of</w:t>
      </w:r>
      <w:r w:rsidR="001C61B0" w:rsidRPr="002B468F">
        <w:rPr>
          <w:lang w:val="en-GB"/>
        </w:rPr>
        <w:t xml:space="preserve"> </w:t>
      </w:r>
      <w:r w:rsidR="005D7CB6" w:rsidRPr="002B468F">
        <w:rPr>
          <w:lang w:val="en-GB"/>
        </w:rPr>
        <w:t xml:space="preserve">main </w:t>
      </w:r>
      <w:proofErr w:type="spellStart"/>
      <w:r w:rsidR="005D7CB6" w:rsidRPr="002B468F">
        <w:rPr>
          <w:lang w:val="en-GB"/>
        </w:rPr>
        <w:t>steam</w:t>
      </w:r>
      <w:proofErr w:type="spellEnd"/>
      <w:r w:rsidR="005D7CB6" w:rsidRPr="002B468F">
        <w:rPr>
          <w:lang w:val="en-GB"/>
        </w:rPr>
        <w:t xml:space="preserve"> isolation and backup valves in four </w:t>
      </w:r>
      <w:r w:rsidR="001B7D3F" w:rsidRPr="002B468F">
        <w:rPr>
          <w:lang w:val="en-GB"/>
        </w:rPr>
        <w:t xml:space="preserve">affected </w:t>
      </w:r>
      <w:r w:rsidR="005D7CB6" w:rsidRPr="002B468F">
        <w:rPr>
          <w:lang w:val="en-GB"/>
        </w:rPr>
        <w:t xml:space="preserve">modules, human failure serving one out of two affected modules and </w:t>
      </w:r>
      <w:r w:rsidR="001B7D3F" w:rsidRPr="002B468F">
        <w:rPr>
          <w:lang w:val="en-GB"/>
        </w:rPr>
        <w:t xml:space="preserve">the </w:t>
      </w:r>
      <w:r w:rsidR="007A73C1" w:rsidRPr="002B468F">
        <w:rPr>
          <w:lang w:val="en-GB"/>
        </w:rPr>
        <w:t xml:space="preserve">CCF of RRV </w:t>
      </w:r>
      <w:r w:rsidR="001B7D3F" w:rsidRPr="002B468F">
        <w:rPr>
          <w:lang w:val="en-GB"/>
        </w:rPr>
        <w:t>IAB</w:t>
      </w:r>
      <w:r w:rsidR="007A73C1" w:rsidRPr="002B468F">
        <w:rPr>
          <w:lang w:val="en-GB"/>
        </w:rPr>
        <w:t xml:space="preserve"> valves in </w:t>
      </w:r>
      <w:r w:rsidR="001B7D3F" w:rsidRPr="002B468F">
        <w:rPr>
          <w:lang w:val="en-GB"/>
        </w:rPr>
        <w:t>four affected</w:t>
      </w:r>
      <w:r w:rsidR="007A73C1" w:rsidRPr="002B468F">
        <w:rPr>
          <w:lang w:val="en-GB"/>
        </w:rPr>
        <w:t xml:space="preserve"> modules</w:t>
      </w:r>
      <w:r w:rsidR="001C61B0" w:rsidRPr="002B468F">
        <w:rPr>
          <w:lang w:val="en-GB"/>
        </w:rPr>
        <w:t>.</w:t>
      </w:r>
      <w:r w:rsidRPr="002B468F">
        <w:rPr>
          <w:lang w:val="en-GB"/>
        </w:rPr>
        <w:t xml:space="preserve"> The analysis of significant contributors to the </w:t>
      </w:r>
      <w:r w:rsidR="00696A0D" w:rsidRPr="002B468F">
        <w:rPr>
          <w:lang w:val="en-GB"/>
        </w:rPr>
        <w:t>overall multi</w:t>
      </w:r>
      <w:r w:rsidRPr="002B468F">
        <w:rPr>
          <w:lang w:val="en-GB"/>
        </w:rPr>
        <w:t>-module risk appears to be beneficial for quantifying the main cut sets and the safety balance of the reactor concept.</w:t>
      </w:r>
    </w:p>
    <w:p w14:paraId="03C6D75B" w14:textId="77777777" w:rsidR="00647F33" w:rsidRPr="002B468F" w:rsidRDefault="00F523CA" w:rsidP="00A16223">
      <w:pPr>
        <w:pStyle w:val="Heading2"/>
        <w:keepNext/>
        <w:numPr>
          <w:ilvl w:val="1"/>
          <w:numId w:val="5"/>
        </w:numPr>
      </w:pPr>
      <w:r w:rsidRPr="002B468F">
        <w:t>INTRODUCTION</w:t>
      </w:r>
    </w:p>
    <w:p w14:paraId="16E9EBB2" w14:textId="1B87C331" w:rsidR="00463199" w:rsidRPr="002B468F" w:rsidRDefault="00C966E8" w:rsidP="00537496">
      <w:pPr>
        <w:pStyle w:val="BodyText"/>
      </w:pPr>
      <w:r w:rsidRPr="002B468F">
        <w:t>Germany</w:t>
      </w:r>
      <w:r w:rsidR="00A7765D">
        <w:t>’</w:t>
      </w:r>
      <w:r w:rsidRPr="002B468F">
        <w:t xml:space="preserve">s technical experience on NPPs </w:t>
      </w:r>
      <w:r w:rsidR="00A16223">
        <w:t>meanwhile covers</w:t>
      </w:r>
      <w:r w:rsidRPr="002B468F">
        <w:t xml:space="preserve"> more than 40 years.</w:t>
      </w:r>
      <w:r w:rsidR="00CD6A3C" w:rsidRPr="002B468F">
        <w:t xml:space="preserve"> In the past PSA analyses </w:t>
      </w:r>
      <w:r w:rsidR="00E40685" w:rsidRPr="002B468F">
        <w:t xml:space="preserve">resulted in </w:t>
      </w:r>
      <w:r w:rsidR="00CD6A3C" w:rsidRPr="002B468F">
        <w:t>significant improvements in reactor safety and</w:t>
      </w:r>
      <w:r w:rsidR="006A738C" w:rsidRPr="002B468F">
        <w:t xml:space="preserve"> </w:t>
      </w:r>
      <w:r w:rsidR="00BA6D2D" w:rsidRPr="002B468F">
        <w:t>high</w:t>
      </w:r>
      <w:r w:rsidR="00A16223">
        <w:t xml:space="preserve"> </w:t>
      </w:r>
      <w:r w:rsidR="00BA6D2D" w:rsidRPr="002B468F">
        <w:t>level</w:t>
      </w:r>
      <w:r w:rsidR="006A738C" w:rsidRPr="002B468F">
        <w:t xml:space="preserve"> s</w:t>
      </w:r>
      <w:r w:rsidR="00CD6A3C" w:rsidRPr="002B468F">
        <w:t xml:space="preserve">afety standards </w:t>
      </w:r>
      <w:r w:rsidR="00A16223">
        <w:t>for</w:t>
      </w:r>
      <w:r w:rsidR="00CD6A3C" w:rsidRPr="002B468F">
        <w:t xml:space="preserve"> German </w:t>
      </w:r>
      <w:r w:rsidR="00E2632A" w:rsidRPr="002B468F">
        <w:t>NPPs</w:t>
      </w:r>
      <w:r w:rsidR="00CD6A3C" w:rsidRPr="002B468F">
        <w:t>.</w:t>
      </w:r>
      <w:r w:rsidR="006A738C" w:rsidRPr="002B468F">
        <w:t xml:space="preserve"> </w:t>
      </w:r>
      <w:r w:rsidRPr="002B468F">
        <w:t xml:space="preserve">The </w:t>
      </w:r>
      <w:r w:rsidR="0064023B" w:rsidRPr="002B468F">
        <w:t xml:space="preserve">operating </w:t>
      </w:r>
      <w:r w:rsidRPr="002B468F">
        <w:t xml:space="preserve">experience </w:t>
      </w:r>
      <w:r w:rsidR="00E40685" w:rsidRPr="002B468F">
        <w:t xml:space="preserve">allows </w:t>
      </w:r>
      <w:r w:rsidRPr="002B468F">
        <w:t>to deduce parameter values on the reliability of SSC</w:t>
      </w:r>
      <w:r w:rsidR="00C20F63" w:rsidRPr="002B468F">
        <w:t xml:space="preserve"> </w:t>
      </w:r>
      <w:r w:rsidR="006A738C" w:rsidRPr="002B468F">
        <w:t>for the corresponding</w:t>
      </w:r>
      <w:r w:rsidRPr="002B468F">
        <w:t xml:space="preserve"> reactor design.</w:t>
      </w:r>
      <w:r w:rsidR="00614776" w:rsidRPr="002B468F">
        <w:t xml:space="preserve"> In </w:t>
      </w:r>
      <w:r w:rsidR="00A16223">
        <w:t>this</w:t>
      </w:r>
      <w:r w:rsidR="00764D4E">
        <w:t xml:space="preserve"> research and development activity</w:t>
      </w:r>
      <w:r w:rsidR="00614776" w:rsidRPr="002B468F">
        <w:t xml:space="preserve"> the focus </w:t>
      </w:r>
      <w:r w:rsidR="00E40685" w:rsidRPr="002B468F">
        <w:t xml:space="preserve">is </w:t>
      </w:r>
      <w:r w:rsidR="00614776" w:rsidRPr="002B468F">
        <w:t xml:space="preserve">on newly developed </w:t>
      </w:r>
      <w:r w:rsidR="00AA217D" w:rsidRPr="002B468F">
        <w:t>small modular reactor (SMR)</w:t>
      </w:r>
      <w:r w:rsidR="00E40685" w:rsidRPr="002B468F">
        <w:t xml:space="preserve"> designs</w:t>
      </w:r>
      <w:r w:rsidR="00614776" w:rsidRPr="002B468F">
        <w:t>.</w:t>
      </w:r>
      <w:r w:rsidR="002B6F0B" w:rsidRPr="002B468F">
        <w:t xml:space="preserve"> Th</w:t>
      </w:r>
      <w:r w:rsidR="00764D4E">
        <w:t>e PSA for SMR is different to the German NPP PSA</w:t>
      </w:r>
      <w:r w:rsidR="002B6F0B" w:rsidRPr="002B468F">
        <w:t xml:space="preserve"> as the PSA is not applied to reactor units </w:t>
      </w:r>
      <w:r w:rsidR="00A16223">
        <w:t xml:space="preserve">in operation </w:t>
      </w:r>
      <w:r w:rsidR="002B6F0B" w:rsidRPr="002B468F">
        <w:t>but to reactors in the</w:t>
      </w:r>
      <w:r w:rsidR="00E17E02" w:rsidRPr="002B468F">
        <w:t xml:space="preserve"> design </w:t>
      </w:r>
      <w:r w:rsidR="00E40685" w:rsidRPr="002B468F">
        <w:t>and/</w:t>
      </w:r>
      <w:r w:rsidR="00E17E02" w:rsidRPr="002B468F">
        <w:t>or</w:t>
      </w:r>
      <w:r w:rsidR="002B6F0B" w:rsidRPr="002B468F">
        <w:t xml:space="preserve"> licensing </w:t>
      </w:r>
      <w:r w:rsidR="00E40685" w:rsidRPr="002B468F">
        <w:t xml:space="preserve">and construction </w:t>
      </w:r>
      <w:r w:rsidR="002B6F0B" w:rsidRPr="002B468F">
        <w:t>phase.</w:t>
      </w:r>
      <w:r w:rsidR="00E17E02" w:rsidRPr="002B468F">
        <w:t xml:space="preserve"> Therefore, the parameter values for </w:t>
      </w:r>
      <w:r w:rsidR="00E40685" w:rsidRPr="002B468F">
        <w:t xml:space="preserve">the </w:t>
      </w:r>
      <w:r w:rsidR="00E17E02" w:rsidRPr="002B468F">
        <w:t xml:space="preserve">reliability of SSC are </w:t>
      </w:r>
      <w:r w:rsidR="00E40685" w:rsidRPr="002B468F">
        <w:t xml:space="preserve">so far </w:t>
      </w:r>
      <w:r w:rsidR="00950719" w:rsidRPr="002B468F">
        <w:t xml:space="preserve">unknown. A common </w:t>
      </w:r>
      <w:r w:rsidR="00E40685" w:rsidRPr="002B468F">
        <w:t>re</w:t>
      </w:r>
      <w:r w:rsidR="00950719" w:rsidRPr="002B468F">
        <w:t xml:space="preserve">solution </w:t>
      </w:r>
      <w:r w:rsidR="00E40685" w:rsidRPr="002B468F">
        <w:t>of this issue</w:t>
      </w:r>
      <w:r w:rsidR="00950719" w:rsidRPr="002B468F">
        <w:t xml:space="preserve"> is the use of parameter values for </w:t>
      </w:r>
      <w:r w:rsidR="00E40685" w:rsidRPr="002B468F">
        <w:t xml:space="preserve">the </w:t>
      </w:r>
      <w:r w:rsidR="00950719" w:rsidRPr="002B468F">
        <w:t xml:space="preserve">reliability of comparable SSC in </w:t>
      </w:r>
      <w:r w:rsidR="00E40685" w:rsidRPr="002B468F">
        <w:t xml:space="preserve">traditional </w:t>
      </w:r>
      <w:r w:rsidR="00050E57" w:rsidRPr="002B468F">
        <w:t xml:space="preserve">NPPs. It is expected that these parameter values reproduce the correct order of magnitude for the reliability and, what is even more important, the correct proportion between the different components, e.g., a pump may fail 10 or 100 times more often compared to a valve. Unfortunately, </w:t>
      </w:r>
      <w:r w:rsidR="001F426A" w:rsidRPr="002B468F">
        <w:t>the method does not allow to credit design modifications intended to improve the components. However, the PSA can help to improve system designs, e.g., it credits the design of multiple and diverse accident core cooling options.</w:t>
      </w:r>
    </w:p>
    <w:p w14:paraId="4596EF7E" w14:textId="42F7B3CA" w:rsidR="000F1B63" w:rsidRPr="002B468F" w:rsidRDefault="00463199" w:rsidP="00537496">
      <w:pPr>
        <w:pStyle w:val="BodyText"/>
      </w:pPr>
      <w:r w:rsidRPr="002B468F">
        <w:t xml:space="preserve">Multiple modules or units of SMRs are expected to be </w:t>
      </w:r>
      <w:r w:rsidR="00A16223">
        <w:t xml:space="preserve">installed </w:t>
      </w:r>
      <w:r w:rsidRPr="002B468F">
        <w:t>at a</w:t>
      </w:r>
      <w:r w:rsidR="00E40685" w:rsidRPr="002B468F">
        <w:t>n individual nuclear</w:t>
      </w:r>
      <w:r w:rsidRPr="002B468F">
        <w:t xml:space="preserve"> site to reduce </w:t>
      </w:r>
      <w:r w:rsidR="00E40685" w:rsidRPr="002B468F">
        <w:t xml:space="preserve">the </w:t>
      </w:r>
      <w:r w:rsidRPr="002B468F">
        <w:t>costs of construction</w:t>
      </w:r>
      <w:r w:rsidR="00501347" w:rsidRPr="002B468F">
        <w:t xml:space="preserve"> </w:t>
      </w:r>
      <w:r w:rsidR="004746EB" w:rsidRPr="002B468F">
        <w:t>[</w:t>
      </w:r>
      <w:r w:rsidR="008600BE">
        <w:t>1</w:t>
      </w:r>
      <w:r w:rsidR="004746EB" w:rsidRPr="002B468F">
        <w:t>]</w:t>
      </w:r>
      <w:r w:rsidR="008C5327" w:rsidRPr="002B468F">
        <w:t>, maintenance, and operation</w:t>
      </w:r>
      <w:r w:rsidR="00710D3E" w:rsidRPr="002B468F">
        <w:t>. The</w:t>
      </w:r>
      <w:r w:rsidR="00501347" w:rsidRPr="002B468F">
        <w:t xml:space="preserve"> </w:t>
      </w:r>
      <w:proofErr w:type="spellStart"/>
      <w:r w:rsidR="00501347" w:rsidRPr="002B468F">
        <w:t>NuScale</w:t>
      </w:r>
      <w:proofErr w:type="spellEnd"/>
      <w:r w:rsidR="00501347" w:rsidRPr="002B468F">
        <w:t xml:space="preserve"> SMR was intended to be built at least with four modules and with the possibility to </w:t>
      </w:r>
      <w:r w:rsidR="0064023B" w:rsidRPr="002B468F">
        <w:t xml:space="preserve">implement </w:t>
      </w:r>
      <w:r w:rsidR="00501347" w:rsidRPr="002B468F">
        <w:t xml:space="preserve">up to twelve modules within the same building </w:t>
      </w:r>
      <w:r w:rsidR="00710D3E" w:rsidRPr="002B468F">
        <w:t>[</w:t>
      </w:r>
      <w:r w:rsidR="008600BE">
        <w:t>2</w:t>
      </w:r>
      <w:r w:rsidR="00710D3E" w:rsidRPr="002B468F">
        <w:t>]</w:t>
      </w:r>
      <w:r w:rsidR="00501347" w:rsidRPr="002B468F">
        <w:t xml:space="preserve">. </w:t>
      </w:r>
      <w:r w:rsidR="00391A31" w:rsidRPr="002B468F">
        <w:t xml:space="preserve">The modules are </w:t>
      </w:r>
      <w:r w:rsidR="00841ADB">
        <w:t xml:space="preserve">identical </w:t>
      </w:r>
      <w:r w:rsidR="00391A31" w:rsidRPr="002B468F">
        <w:t>in design</w:t>
      </w:r>
      <w:r w:rsidR="0064023B" w:rsidRPr="002B468F">
        <w:t>,</w:t>
      </w:r>
      <w:r w:rsidR="00391A31" w:rsidRPr="002B468F">
        <w:t xml:space="preserve"> and the operating team is </w:t>
      </w:r>
      <w:r w:rsidR="00DF214B" w:rsidRPr="002B468F">
        <w:t xml:space="preserve">assumed to be </w:t>
      </w:r>
      <w:r w:rsidR="00391A31" w:rsidRPr="002B468F">
        <w:t xml:space="preserve">in charge for all modules </w:t>
      </w:r>
      <w:r w:rsidR="00A16223">
        <w:t>in parallel</w:t>
      </w:r>
      <w:r w:rsidR="00391A31" w:rsidRPr="002B468F">
        <w:t xml:space="preserve">. These two aspects are of major importance for the design of the multi-module PSA </w:t>
      </w:r>
      <w:r w:rsidR="0064023B" w:rsidRPr="002B468F">
        <w:t xml:space="preserve">as </w:t>
      </w:r>
      <w:r w:rsidR="000F1B63" w:rsidRPr="002B468F">
        <w:t>CCI</w:t>
      </w:r>
      <w:r w:rsidR="00E473FE" w:rsidRPr="002B468F">
        <w:t>s</w:t>
      </w:r>
      <w:r w:rsidR="00391A31" w:rsidRPr="002B468F">
        <w:t xml:space="preserve">, </w:t>
      </w:r>
      <w:r w:rsidR="00BA2EB1" w:rsidRPr="002B468F">
        <w:t>CCFs</w:t>
      </w:r>
      <w:r w:rsidR="00391A31" w:rsidRPr="002B468F">
        <w:t xml:space="preserve"> and </w:t>
      </w:r>
      <w:r w:rsidR="00A16223">
        <w:t xml:space="preserve">human </w:t>
      </w:r>
      <w:r w:rsidR="00391A31" w:rsidRPr="002B468F">
        <w:lastRenderedPageBreak/>
        <w:t xml:space="preserve">errors of the operating </w:t>
      </w:r>
      <w:r w:rsidR="00A16223">
        <w:t xml:space="preserve">personnel </w:t>
      </w:r>
      <w:r w:rsidR="0064023B" w:rsidRPr="002B468F">
        <w:t xml:space="preserve">will be </w:t>
      </w:r>
      <w:r w:rsidR="00391A31" w:rsidRPr="002B468F">
        <w:t xml:space="preserve">more likely and/or may have </w:t>
      </w:r>
      <w:r w:rsidR="00A16223">
        <w:t xml:space="preserve">a </w:t>
      </w:r>
      <w:r w:rsidR="00391A31" w:rsidRPr="002B468F">
        <w:t xml:space="preserve">higher impact on the </w:t>
      </w:r>
      <w:r w:rsidR="00BA2EB1" w:rsidRPr="002B468F">
        <w:t>site</w:t>
      </w:r>
      <w:r w:rsidR="00A16223">
        <w:t xml:space="preserve"> CDF</w:t>
      </w:r>
      <w:r w:rsidR="00BA2EB1" w:rsidRPr="002B468F">
        <w:t xml:space="preserve"> (SCDF</w:t>
      </w:r>
      <w:r w:rsidR="00A16223">
        <w:t>) representing the</w:t>
      </w:r>
      <w:r w:rsidR="00BA2EB1" w:rsidRPr="002B468F">
        <w:t xml:space="preserve"> risk metric of </w:t>
      </w:r>
      <w:r w:rsidR="0064023B" w:rsidRPr="002B468F">
        <w:t xml:space="preserve">the GRS </w:t>
      </w:r>
      <w:r w:rsidR="00BA2EB1" w:rsidRPr="002B468F">
        <w:t>multi-module PSA.</w:t>
      </w:r>
      <w:r w:rsidR="000F1B63" w:rsidRPr="002B468F">
        <w:t xml:space="preserve"> A comparison of the SCDF with the CDF of any (hypothetic) </w:t>
      </w:r>
      <w:r w:rsidR="00666EF5" w:rsidRPr="002B468F">
        <w:t xml:space="preserve">plant using one </w:t>
      </w:r>
      <w:r w:rsidR="00E73C6E" w:rsidRPr="002B468F">
        <w:t xml:space="preserve">SMR </w:t>
      </w:r>
      <w:r w:rsidR="0064023B" w:rsidRPr="002B468F">
        <w:t>unit</w:t>
      </w:r>
      <w:r w:rsidR="00A16223">
        <w:t>/module</w:t>
      </w:r>
      <w:r w:rsidR="0064023B" w:rsidRPr="002B468F">
        <w:t xml:space="preserve"> </w:t>
      </w:r>
      <w:r w:rsidR="00E73C6E" w:rsidRPr="002B468F">
        <w:t>can help</w:t>
      </w:r>
      <w:r w:rsidR="00666EF5" w:rsidRPr="002B468F">
        <w:t xml:space="preserve"> quantif</w:t>
      </w:r>
      <w:r w:rsidR="00E73C6E" w:rsidRPr="002B468F">
        <w:t>ying</w:t>
      </w:r>
      <w:r w:rsidR="00666EF5" w:rsidRPr="002B468F">
        <w:t xml:space="preserve"> the quality</w:t>
      </w:r>
      <w:r w:rsidR="00E73C6E" w:rsidRPr="002B468F">
        <w:t xml:space="preserve"> or balance</w:t>
      </w:r>
      <w:r w:rsidR="00666EF5" w:rsidRPr="002B468F">
        <w:t xml:space="preserve"> of the </w:t>
      </w:r>
      <w:r w:rsidR="0064023B" w:rsidRPr="002B468F">
        <w:t xml:space="preserve">installation </w:t>
      </w:r>
      <w:r w:rsidR="00666EF5" w:rsidRPr="002B468F">
        <w:t>or site</w:t>
      </w:r>
      <w:r w:rsidR="00E73C6E" w:rsidRPr="002B468F">
        <w:t xml:space="preserve"> safety</w:t>
      </w:r>
      <w:r w:rsidR="00666EF5" w:rsidRPr="002B468F">
        <w:t xml:space="preserve"> concept to arrange multiple </w:t>
      </w:r>
      <w:r w:rsidR="00E73C6E" w:rsidRPr="002B468F">
        <w:t>SMR</w:t>
      </w:r>
      <w:r w:rsidR="00A16223">
        <w:t xml:space="preserve"> module</w:t>
      </w:r>
      <w:r w:rsidR="0064023B" w:rsidRPr="002B468F">
        <w:t>s</w:t>
      </w:r>
      <w:r w:rsidR="00666EF5" w:rsidRPr="002B468F">
        <w:t>.</w:t>
      </w:r>
      <w:r w:rsidR="00E73C6E" w:rsidRPr="002B468F">
        <w:t xml:space="preserve"> Further</w:t>
      </w:r>
      <w:r w:rsidR="0064023B" w:rsidRPr="002B468F">
        <w:t>more</w:t>
      </w:r>
      <w:r w:rsidR="000F1B63" w:rsidRPr="002B468F">
        <w:t xml:space="preserve">, the multi-module PSA can be </w:t>
      </w:r>
      <w:r w:rsidR="00B75DC3" w:rsidRPr="002B468F">
        <w:t>analysed</w:t>
      </w:r>
      <w:r w:rsidR="000F1B63" w:rsidRPr="002B468F">
        <w:t xml:space="preserve"> to </w:t>
      </w:r>
      <w:r w:rsidR="0064023B" w:rsidRPr="002B468F">
        <w:t xml:space="preserve">demonstrate </w:t>
      </w:r>
      <w:r w:rsidR="000F1B63" w:rsidRPr="002B468F">
        <w:t>the impact of CCI</w:t>
      </w:r>
      <w:r w:rsidR="0064023B" w:rsidRPr="002B468F">
        <w:t>s</w:t>
      </w:r>
      <w:r w:rsidR="000F1B63" w:rsidRPr="002B468F">
        <w:t>, CCF</w:t>
      </w:r>
      <w:r w:rsidR="0064023B" w:rsidRPr="002B468F">
        <w:t>s</w:t>
      </w:r>
      <w:r w:rsidR="000F1B63" w:rsidRPr="002B468F">
        <w:t xml:space="preserve"> and operator errors to</w:t>
      </w:r>
      <w:r w:rsidR="00E73C6E" w:rsidRPr="002B468F">
        <w:t xml:space="preserve"> the SCDF</w:t>
      </w:r>
      <w:r w:rsidR="00A16223">
        <w:t>. This</w:t>
      </w:r>
      <w:r w:rsidR="00E73C6E" w:rsidRPr="002B468F">
        <w:t xml:space="preserve"> may help to improve the site safety concept.</w:t>
      </w:r>
      <w:r w:rsidR="000F1B63" w:rsidRPr="002B468F">
        <w:t xml:space="preserve"> </w:t>
      </w:r>
    </w:p>
    <w:p w14:paraId="1B297C48" w14:textId="3071498A" w:rsidR="00EE0041" w:rsidRPr="002B468F" w:rsidRDefault="003B42EE" w:rsidP="00E2632A">
      <w:pPr>
        <w:pStyle w:val="Heading2"/>
        <w:numPr>
          <w:ilvl w:val="1"/>
          <w:numId w:val="5"/>
        </w:numPr>
      </w:pPr>
      <w:r w:rsidRPr="002B468F">
        <w:t>PSA</w:t>
      </w:r>
      <w:r w:rsidR="0064023B" w:rsidRPr="002B468F">
        <w:t xml:space="preserve"> </w:t>
      </w:r>
      <w:r w:rsidRPr="002B468F">
        <w:t>MODEL DESCRIPTION</w:t>
      </w:r>
    </w:p>
    <w:p w14:paraId="1DD43647" w14:textId="2BA282B7" w:rsidR="003B42EE" w:rsidRPr="002B468F" w:rsidRDefault="0064023B" w:rsidP="00537496">
      <w:pPr>
        <w:pStyle w:val="BodyText"/>
      </w:pPr>
      <w:r w:rsidRPr="002B468F">
        <w:t xml:space="preserve">The GRS </w:t>
      </w:r>
      <w:r w:rsidR="003B42EE" w:rsidRPr="002B468F">
        <w:t>PSA</w:t>
      </w:r>
      <w:r w:rsidRPr="002B468F">
        <w:t xml:space="preserve"> plant m</w:t>
      </w:r>
      <w:r w:rsidR="003B42EE" w:rsidRPr="002B468F">
        <w:t xml:space="preserve">odel is generally based on the information provided by </w:t>
      </w:r>
      <w:proofErr w:type="spellStart"/>
      <w:r w:rsidR="003B42EE" w:rsidRPr="002B468F">
        <w:t>NuScale</w:t>
      </w:r>
      <w:proofErr w:type="spellEnd"/>
      <w:r w:rsidR="003B42EE" w:rsidRPr="002B468F">
        <w:t xml:space="preserve"> </w:t>
      </w:r>
      <w:r w:rsidRPr="002B468F">
        <w:t xml:space="preserve">regarding </w:t>
      </w:r>
      <w:r w:rsidR="003B42EE" w:rsidRPr="002B468F">
        <w:t xml:space="preserve">the design of the VOYGR™ SMR plant during the licensing process in the USA </w:t>
      </w:r>
      <w:r w:rsidR="00890428" w:rsidRPr="002B468F">
        <w:t>[</w:t>
      </w:r>
      <w:r w:rsidR="008600BE">
        <w:t>2</w:t>
      </w:r>
      <w:r w:rsidR="00890428" w:rsidRPr="002B468F">
        <w:t>]</w:t>
      </w:r>
      <w:r w:rsidR="003B42EE" w:rsidRPr="002B468F">
        <w:t>.</w:t>
      </w:r>
      <w:r w:rsidR="007F1C3F" w:rsidRPr="002B468F">
        <w:t xml:space="preserve"> It is implemented in </w:t>
      </w:r>
      <w:r w:rsidRPr="002B468F">
        <w:t xml:space="preserve">the </w:t>
      </w:r>
      <w:r w:rsidR="007F1C3F" w:rsidRPr="002B468F">
        <w:t>RiskSpectrum</w:t>
      </w:r>
      <w:r w:rsidR="007F1C3F" w:rsidRPr="002B468F">
        <w:rPr>
          <w:vertAlign w:val="superscript"/>
        </w:rPr>
        <w:t>®</w:t>
      </w:r>
      <w:r w:rsidR="007F1C3F" w:rsidRPr="002B468F">
        <w:t xml:space="preserve"> PSA</w:t>
      </w:r>
      <w:r w:rsidRPr="002B468F">
        <w:t xml:space="preserve"> plant model</w:t>
      </w:r>
      <w:r w:rsidR="007F1C3F" w:rsidRPr="002B468F">
        <w:t>, Version 1.4.0.</w:t>
      </w:r>
      <w:r w:rsidR="00921DD6" w:rsidRPr="002B468F">
        <w:t xml:space="preserve"> In </w:t>
      </w:r>
      <w:r w:rsidRPr="002B468F">
        <w:t xml:space="preserve">this </w:t>
      </w:r>
      <w:r w:rsidR="00921DD6" w:rsidRPr="002B468F">
        <w:t>model,</w:t>
      </w:r>
      <w:r w:rsidR="007F1C3F" w:rsidRPr="002B468F">
        <w:t xml:space="preserve"> </w:t>
      </w:r>
      <w:r w:rsidR="00921DD6" w:rsidRPr="002B468F">
        <w:t xml:space="preserve">parameter values </w:t>
      </w:r>
      <w:r w:rsidRPr="002B468F">
        <w:t xml:space="preserve">for </w:t>
      </w:r>
      <w:r w:rsidR="00921DD6" w:rsidRPr="002B468F">
        <w:t>the reliability of SSC</w:t>
      </w:r>
      <w:r w:rsidR="00414281" w:rsidRPr="002B468F">
        <w:t xml:space="preserve"> [</w:t>
      </w:r>
      <w:r w:rsidR="008600BE">
        <w:t>3</w:t>
      </w:r>
      <w:r w:rsidR="00414281" w:rsidRPr="002B468F">
        <w:t>]</w:t>
      </w:r>
      <w:r w:rsidR="00921DD6" w:rsidRPr="002B468F">
        <w:t>, CCFs</w:t>
      </w:r>
      <w:r w:rsidR="00127272" w:rsidRPr="002B468F">
        <w:t xml:space="preserve"> [</w:t>
      </w:r>
      <w:r w:rsidR="008600BE">
        <w:t>4</w:t>
      </w:r>
      <w:r w:rsidR="00127272" w:rsidRPr="002B468F">
        <w:t>]</w:t>
      </w:r>
      <w:r w:rsidR="00921DD6" w:rsidRPr="002B468F">
        <w:t xml:space="preserve"> and the frequency of initiating events </w:t>
      </w:r>
      <w:r w:rsidRPr="002B468F">
        <w:t xml:space="preserve">mainly </w:t>
      </w:r>
      <w:r w:rsidR="00921DD6" w:rsidRPr="002B468F">
        <w:t xml:space="preserve">rely on </w:t>
      </w:r>
      <w:r w:rsidRPr="002B468F">
        <w:t xml:space="preserve">the operating </w:t>
      </w:r>
      <w:r w:rsidR="00921DD6" w:rsidRPr="002B468F">
        <w:t xml:space="preserve">experience </w:t>
      </w:r>
      <w:r w:rsidR="00A16223">
        <w:t>from traditional</w:t>
      </w:r>
      <w:r w:rsidR="00921DD6" w:rsidRPr="002B468F">
        <w:t xml:space="preserve"> </w:t>
      </w:r>
      <w:r w:rsidRPr="002B468F">
        <w:t>pressurized water reactors (</w:t>
      </w:r>
      <w:r w:rsidR="00921DD6" w:rsidRPr="002B468F">
        <w:t>PWR</w:t>
      </w:r>
      <w:r w:rsidRPr="002B468F">
        <w:t>s)</w:t>
      </w:r>
      <w:r w:rsidR="00A16223">
        <w:t xml:space="preserve"> in Germany</w:t>
      </w:r>
      <w:r w:rsidR="00921DD6" w:rsidRPr="002B468F">
        <w:t xml:space="preserve">. The model considers common practice </w:t>
      </w:r>
      <w:r w:rsidR="00A16223">
        <w:t>regarding</w:t>
      </w:r>
      <w:r w:rsidR="00921DD6" w:rsidRPr="002B468F">
        <w:t xml:space="preserve"> operation and maintenance and include</w:t>
      </w:r>
      <w:r w:rsidR="002C58AF" w:rsidRPr="002B468F">
        <w:t>s</w:t>
      </w:r>
      <w:r w:rsidR="00921DD6" w:rsidRPr="002B468F">
        <w:t xml:space="preserve"> the maintenance intervals </w:t>
      </w:r>
      <w:r w:rsidRPr="002B468F">
        <w:t xml:space="preserve">in the installation for </w:t>
      </w:r>
      <w:r w:rsidR="00921DD6" w:rsidRPr="002B468F">
        <w:t>different SSC [</w:t>
      </w:r>
      <w:r w:rsidR="008600BE">
        <w:t>5</w:t>
      </w:r>
      <w:r w:rsidR="00921DD6" w:rsidRPr="002B468F">
        <w:t>].</w:t>
      </w:r>
    </w:p>
    <w:p w14:paraId="6B4DB000" w14:textId="03B1B0E0" w:rsidR="008B6BB9" w:rsidRPr="002B468F" w:rsidRDefault="007F1C3F" w:rsidP="007F1C3F">
      <w:pPr>
        <w:pStyle w:val="Heading3"/>
      </w:pPr>
      <w:r w:rsidRPr="002B468F">
        <w:t>Single-</w:t>
      </w:r>
      <w:r w:rsidR="00A11669" w:rsidRPr="002B468F">
        <w:t>m</w:t>
      </w:r>
      <w:r w:rsidRPr="002B468F">
        <w:t>odule PSA</w:t>
      </w:r>
    </w:p>
    <w:p w14:paraId="6A4E85B3" w14:textId="5E6AD695" w:rsidR="00921DD6" w:rsidRPr="002B468F" w:rsidRDefault="002C58AF" w:rsidP="00E2632A">
      <w:pPr>
        <w:pStyle w:val="BodyText"/>
      </w:pPr>
      <w:r w:rsidRPr="002B468F">
        <w:t xml:space="preserve">The PSA for a hypothetic </w:t>
      </w:r>
      <w:r w:rsidR="0064023B" w:rsidRPr="002B468F">
        <w:t xml:space="preserve">nuclear </w:t>
      </w:r>
      <w:r w:rsidRPr="002B468F">
        <w:t xml:space="preserve">site with only a single </w:t>
      </w:r>
      <w:r w:rsidR="0086249C" w:rsidRPr="002B468F">
        <w:t xml:space="preserve">reactor </w:t>
      </w:r>
      <w:r w:rsidR="0064023B" w:rsidRPr="002B468F">
        <w:t xml:space="preserve">module </w:t>
      </w:r>
      <w:r w:rsidRPr="002B468F">
        <w:t>has been implemented in RiskSpectrum</w:t>
      </w:r>
      <w:r w:rsidRPr="002B468F">
        <w:rPr>
          <w:vertAlign w:val="superscript"/>
        </w:rPr>
        <w:t>®</w:t>
      </w:r>
      <w:r w:rsidR="001A0BED" w:rsidRPr="002B468F">
        <w:t xml:space="preserve"> and is in line with </w:t>
      </w:r>
      <w:r w:rsidR="00A16223">
        <w:t xml:space="preserve">recent international guidance provided in </w:t>
      </w:r>
      <w:r w:rsidR="001A0BED" w:rsidRPr="002B468F">
        <w:t>[</w:t>
      </w:r>
      <w:r w:rsidR="008600BE">
        <w:t>6</w:t>
      </w:r>
      <w:r w:rsidR="0064023B" w:rsidRPr="002B468F">
        <w:t>]</w:t>
      </w:r>
      <w:r w:rsidR="002E3A9D">
        <w:t xml:space="preserve"> </w:t>
      </w:r>
      <w:r w:rsidR="00263A0E">
        <w:t>and [</w:t>
      </w:r>
      <w:r w:rsidR="002E3A9D">
        <w:t>7</w:t>
      </w:r>
      <w:r w:rsidR="00263A0E">
        <w:t>]</w:t>
      </w:r>
      <w:r w:rsidR="00BE444B" w:rsidRPr="002B468F">
        <w:t>.</w:t>
      </w:r>
      <w:r w:rsidR="001A0BED" w:rsidRPr="002B468F">
        <w:t xml:space="preserve"> </w:t>
      </w:r>
      <w:r w:rsidRPr="002B468F">
        <w:t xml:space="preserve">The </w:t>
      </w:r>
      <w:r w:rsidR="0049311C" w:rsidRPr="002B468F">
        <w:t>model mainly consists of</w:t>
      </w:r>
      <w:r w:rsidRPr="002B468F">
        <w:t xml:space="preserve"> event trees</w:t>
      </w:r>
      <w:r w:rsidR="0049311C" w:rsidRPr="002B468F">
        <w:t xml:space="preserve"> (one event tree per initiating event) with function events</w:t>
      </w:r>
      <w:r w:rsidRPr="002B468F">
        <w:t>,</w:t>
      </w:r>
      <w:r w:rsidR="0049311C" w:rsidRPr="002B468F">
        <w:t xml:space="preserve"> underlying</w:t>
      </w:r>
      <w:r w:rsidRPr="002B468F">
        <w:t xml:space="preserve"> fault trees</w:t>
      </w:r>
      <w:r w:rsidR="0049311C" w:rsidRPr="002B468F">
        <w:t>,</w:t>
      </w:r>
      <w:r w:rsidRPr="002B468F">
        <w:t xml:space="preserve"> </w:t>
      </w:r>
      <w:r w:rsidR="0049311C" w:rsidRPr="002B468F">
        <w:t>parameter values for the reliability of SSC and the frequencies of the initiating events.</w:t>
      </w:r>
    </w:p>
    <w:p w14:paraId="482B4B25" w14:textId="0B0C4785" w:rsidR="007F1C3F" w:rsidRPr="002B468F" w:rsidRDefault="007F1C3F" w:rsidP="00841ADB">
      <w:pPr>
        <w:pStyle w:val="Heading4"/>
      </w:pPr>
      <w:r w:rsidRPr="002B468F">
        <w:t>Initiating events</w:t>
      </w:r>
    </w:p>
    <w:p w14:paraId="1582C2EB" w14:textId="324BA839" w:rsidR="007F1C3F" w:rsidRPr="002B468F" w:rsidRDefault="00342AE8" w:rsidP="007F1C3F">
      <w:pPr>
        <w:pStyle w:val="BodyText"/>
      </w:pPr>
      <w:r w:rsidRPr="002B468F">
        <w:t xml:space="preserve">Twenty initiating events </w:t>
      </w:r>
      <w:r w:rsidR="00A16223">
        <w:t xml:space="preserve">from plant internal events and internal hazards </w:t>
      </w:r>
      <w:r w:rsidRPr="002B468F">
        <w:t xml:space="preserve">have been identified </w:t>
      </w:r>
      <w:r w:rsidR="0086249C" w:rsidRPr="002B468F">
        <w:t>including</w:t>
      </w:r>
      <w:r w:rsidRPr="002B468F">
        <w:t xml:space="preserve"> nine transients, one reactivity insertion scenario and six different loss of coolant </w:t>
      </w:r>
      <w:r w:rsidR="00481F3D" w:rsidRPr="002B468F">
        <w:t>accidents (LOCA</w:t>
      </w:r>
      <w:r w:rsidR="0086249C" w:rsidRPr="002B468F">
        <w:t>s</w:t>
      </w:r>
      <w:r w:rsidR="00481F3D" w:rsidRPr="002B468F">
        <w:t>)</w:t>
      </w:r>
      <w:r w:rsidRPr="002B468F">
        <w:t xml:space="preserve">. </w:t>
      </w:r>
      <w:r w:rsidR="0086249C" w:rsidRPr="002B468F">
        <w:t>In addition</w:t>
      </w:r>
      <w:r w:rsidRPr="002B468F">
        <w:t>, internal fire</w:t>
      </w:r>
      <w:r w:rsidR="00D73783" w:rsidRPr="002B468F">
        <w:t>,</w:t>
      </w:r>
      <w:r w:rsidRPr="002B468F">
        <w:t xml:space="preserve"> internal flooding and two </w:t>
      </w:r>
      <w:r w:rsidR="00D73783" w:rsidRPr="002B468F">
        <w:t xml:space="preserve">events solely possible in shutdown mode are </w:t>
      </w:r>
      <w:r w:rsidR="0086249C" w:rsidRPr="002B468F">
        <w:t>considered</w:t>
      </w:r>
      <w:r w:rsidR="00D73783" w:rsidRPr="002B468F">
        <w:t xml:space="preserve">. </w:t>
      </w:r>
      <w:r w:rsidR="00A16223">
        <w:t>I</w:t>
      </w:r>
      <w:r w:rsidR="00D73783" w:rsidRPr="002B468F">
        <w:t xml:space="preserve">nitiating events </w:t>
      </w:r>
      <w:r w:rsidR="00A16223">
        <w:t>from external hazards and from hazard combinations have</w:t>
      </w:r>
      <w:r w:rsidR="00D73783" w:rsidRPr="002B468F">
        <w:t xml:space="preserve"> not yet </w:t>
      </w:r>
      <w:r w:rsidR="00A16223">
        <w:t xml:space="preserve">been </w:t>
      </w:r>
      <w:r w:rsidR="00D73783" w:rsidRPr="002B468F">
        <w:t xml:space="preserve">included in the model. </w:t>
      </w:r>
      <w:r w:rsidR="0086249C" w:rsidRPr="002B468F">
        <w:t xml:space="preserve">Fifteen </w:t>
      </w:r>
      <w:r w:rsidR="00D73783" w:rsidRPr="002B468F">
        <w:t xml:space="preserve">of the </w:t>
      </w:r>
      <w:r w:rsidR="0086249C" w:rsidRPr="002B468F">
        <w:t xml:space="preserve">twenty </w:t>
      </w:r>
      <w:r w:rsidR="00D73783" w:rsidRPr="002B468F">
        <w:t xml:space="preserve">initiating events </w:t>
      </w:r>
      <w:r w:rsidR="00A16223">
        <w:t>had</w:t>
      </w:r>
      <w:r w:rsidR="00D73783" w:rsidRPr="002B468F">
        <w:t xml:space="preserve"> already</w:t>
      </w:r>
      <w:r w:rsidR="0086249C" w:rsidRPr="002B468F">
        <w:t xml:space="preserve"> been</w:t>
      </w:r>
      <w:r w:rsidR="00D73783" w:rsidRPr="002B468F">
        <w:t xml:space="preserve"> </w:t>
      </w:r>
      <w:r w:rsidR="00B75DC3" w:rsidRPr="002B468F">
        <w:t>analysed</w:t>
      </w:r>
      <w:r w:rsidR="00D73783" w:rsidRPr="002B468F">
        <w:t xml:space="preserve"> by </w:t>
      </w:r>
      <w:proofErr w:type="spellStart"/>
      <w:r w:rsidR="00D73783" w:rsidRPr="002B468F">
        <w:t>NuScale</w:t>
      </w:r>
      <w:proofErr w:type="spellEnd"/>
      <w:r w:rsidR="00D73783" w:rsidRPr="002B468F">
        <w:t xml:space="preserve"> [</w:t>
      </w:r>
      <w:r w:rsidR="008600BE">
        <w:t>2</w:t>
      </w:r>
      <w:r w:rsidR="00D73783" w:rsidRPr="002B468F">
        <w:t xml:space="preserve">]. The additional initiating events </w:t>
      </w:r>
      <w:r w:rsidR="0086249C" w:rsidRPr="002B468F">
        <w:t>have been identified</w:t>
      </w:r>
      <w:r w:rsidR="00D73783" w:rsidRPr="002B468F">
        <w:t xml:space="preserve"> by</w:t>
      </w:r>
      <w:r w:rsidR="0086249C" w:rsidRPr="002B468F">
        <w:t xml:space="preserve"> literature research of </w:t>
      </w:r>
      <w:r w:rsidR="00D73783" w:rsidRPr="002B468F">
        <w:t xml:space="preserve">guidelines </w:t>
      </w:r>
      <w:r w:rsidR="0086249C" w:rsidRPr="002B468F">
        <w:t xml:space="preserve">from </w:t>
      </w:r>
      <w:r w:rsidR="00D73783" w:rsidRPr="002B468F">
        <w:t>the Netherlands</w:t>
      </w:r>
      <w:r w:rsidR="00426052" w:rsidRPr="002B468F">
        <w:t xml:space="preserve"> [</w:t>
      </w:r>
      <w:r w:rsidR="002E3A9D">
        <w:t>8</w:t>
      </w:r>
      <w:r w:rsidR="00426052" w:rsidRPr="002B468F">
        <w:t>]</w:t>
      </w:r>
      <w:r w:rsidR="00D73783" w:rsidRPr="002B468F">
        <w:t>, Germany</w:t>
      </w:r>
      <w:r w:rsidR="00426052" w:rsidRPr="002B468F">
        <w:t xml:space="preserve"> [</w:t>
      </w:r>
      <w:r w:rsidR="008600BE">
        <w:t>4</w:t>
      </w:r>
      <w:r w:rsidR="00426052" w:rsidRPr="002B468F">
        <w:t>]</w:t>
      </w:r>
      <w:r w:rsidR="00A16223">
        <w:t>,</w:t>
      </w:r>
      <w:r w:rsidR="00E82A3F">
        <w:t xml:space="preserve"> </w:t>
      </w:r>
      <w:r w:rsidR="00A16223">
        <w:t>[</w:t>
      </w:r>
      <w:r w:rsidR="002E3A9D">
        <w:t>9</w:t>
      </w:r>
      <w:r w:rsidR="00A16223">
        <w:t>]</w:t>
      </w:r>
      <w:r w:rsidR="00E82A3F">
        <w:t>,</w:t>
      </w:r>
      <w:r w:rsidR="00A16223">
        <w:t xml:space="preserve"> [1</w:t>
      </w:r>
      <w:r w:rsidR="002E3A9D">
        <w:t>0</w:t>
      </w:r>
      <w:r w:rsidR="00A16223">
        <w:t>]</w:t>
      </w:r>
      <w:r w:rsidR="00D73783" w:rsidRPr="002B468F">
        <w:t xml:space="preserve"> and IAEA</w:t>
      </w:r>
      <w:r w:rsidR="00426052" w:rsidRPr="002B468F">
        <w:t xml:space="preserve"> documents about best practice</w:t>
      </w:r>
      <w:r w:rsidR="00D73783" w:rsidRPr="002B468F">
        <w:t>.</w:t>
      </w:r>
      <w:r w:rsidR="00426052" w:rsidRPr="002B468F">
        <w:t xml:space="preserve"> These events </w:t>
      </w:r>
      <w:r w:rsidR="00B75DC3" w:rsidRPr="002B468F">
        <w:t>are</w:t>
      </w:r>
      <w:r w:rsidR="00B75DC3">
        <w:t>:</w:t>
      </w:r>
    </w:p>
    <w:p w14:paraId="70F1BFFF" w14:textId="1B815DB6" w:rsidR="00426052" w:rsidRPr="002B468F" w:rsidRDefault="00426052" w:rsidP="009C5ABD">
      <w:pPr>
        <w:pStyle w:val="ListNumbered"/>
        <w:ind w:left="714" w:hanging="357"/>
      </w:pPr>
      <w:r w:rsidRPr="002B468F">
        <w:t>Inadvertent control rod withdrawal (although this event is mentioned in [</w:t>
      </w:r>
      <w:r w:rsidR="008600BE">
        <w:t>2</w:t>
      </w:r>
      <w:r w:rsidRPr="002B468F">
        <w:t xml:space="preserve">], further investigations </w:t>
      </w:r>
      <w:r w:rsidR="0086249C" w:rsidRPr="002B468F">
        <w:t xml:space="preserve">have </w:t>
      </w:r>
      <w:r w:rsidR="00C54D07" w:rsidRPr="002B468F">
        <w:t xml:space="preserve">not </w:t>
      </w:r>
      <w:r w:rsidR="0086249C" w:rsidRPr="002B468F">
        <w:t xml:space="preserve">been </w:t>
      </w:r>
      <w:r w:rsidR="00C54D07" w:rsidRPr="002B468F">
        <w:t>found</w:t>
      </w:r>
      <w:r w:rsidRPr="002B468F">
        <w:t>)</w:t>
      </w:r>
      <w:r w:rsidR="0086249C" w:rsidRPr="002B468F">
        <w:t>;</w:t>
      </w:r>
    </w:p>
    <w:p w14:paraId="437CC966" w14:textId="4CF4E223" w:rsidR="00426052" w:rsidRPr="002B468F" w:rsidRDefault="00384AC4" w:rsidP="00B12EBF">
      <w:pPr>
        <w:pStyle w:val="ListNumbered"/>
      </w:pPr>
      <w:r w:rsidRPr="002B468F">
        <w:t>Coolant level and/or pressure increase in the s</w:t>
      </w:r>
      <w:r w:rsidR="00426052" w:rsidRPr="002B468F">
        <w:t>team generator</w:t>
      </w:r>
      <w:r w:rsidRPr="002B468F">
        <w:t xml:space="preserve"> (this initiating event </w:t>
      </w:r>
      <w:r w:rsidR="0086249C" w:rsidRPr="002B468F">
        <w:t xml:space="preserve">has been </w:t>
      </w:r>
      <w:r w:rsidR="00B75DC3" w:rsidRPr="002B468F">
        <w:t>analysed</w:t>
      </w:r>
      <w:r w:rsidR="00E24736" w:rsidRPr="002B468F">
        <w:t xml:space="preserve"> </w:t>
      </w:r>
      <w:r w:rsidR="00A16223" w:rsidRPr="002B468F">
        <w:t>in [</w:t>
      </w:r>
      <w:r w:rsidR="008600BE">
        <w:t>2</w:t>
      </w:r>
      <w:r w:rsidR="00A16223" w:rsidRPr="002B468F">
        <w:t xml:space="preserve">] </w:t>
      </w:r>
      <w:r w:rsidR="00E24736" w:rsidRPr="002B468F">
        <w:t>in conjunction with a general reactor trip)</w:t>
      </w:r>
      <w:r w:rsidR="0086249C" w:rsidRPr="002B468F">
        <w:t>;</w:t>
      </w:r>
    </w:p>
    <w:p w14:paraId="50225270" w14:textId="69943C71" w:rsidR="00384AC4" w:rsidRPr="002B468F" w:rsidRDefault="00384AC4" w:rsidP="00B12EBF">
      <w:pPr>
        <w:pStyle w:val="ListNumbered"/>
      </w:pPr>
      <w:r w:rsidRPr="002B468F">
        <w:t>Coolant level increase and/or pressure increase in the primary coolant system because of malfunction of the chemical and volume control system (CVCS)</w:t>
      </w:r>
      <w:r w:rsidR="00E24736" w:rsidRPr="002B468F">
        <w:t xml:space="preserve"> </w:t>
      </w:r>
      <w:r w:rsidR="0086249C" w:rsidRPr="002B468F">
        <w:t>(</w:t>
      </w:r>
      <w:r w:rsidR="00E24736" w:rsidRPr="002B468F">
        <w:t xml:space="preserve">this initiating event </w:t>
      </w:r>
      <w:r w:rsidR="0086249C" w:rsidRPr="002B468F">
        <w:t xml:space="preserve">has been </w:t>
      </w:r>
      <w:r w:rsidR="00B75DC3" w:rsidRPr="002B468F">
        <w:t>analysed</w:t>
      </w:r>
      <w:r w:rsidR="00E24736" w:rsidRPr="002B468F">
        <w:t xml:space="preserve"> </w:t>
      </w:r>
      <w:r w:rsidR="00A16223" w:rsidRPr="002B468F">
        <w:t>in [</w:t>
      </w:r>
      <w:r w:rsidR="008600BE">
        <w:t>2</w:t>
      </w:r>
      <w:r w:rsidR="00A16223" w:rsidRPr="002B468F">
        <w:t xml:space="preserve">] </w:t>
      </w:r>
      <w:r w:rsidR="00E24736" w:rsidRPr="002B468F">
        <w:t xml:space="preserve">in conjunction with a general reactor trip or a </w:t>
      </w:r>
      <w:r w:rsidR="00481F3D" w:rsidRPr="002B468F">
        <w:t>LOCA</w:t>
      </w:r>
      <w:r w:rsidR="00E24736" w:rsidRPr="002B468F">
        <w:t xml:space="preserve"> of the insertion line in the containment</w:t>
      </w:r>
      <w:r w:rsidR="0086249C" w:rsidRPr="002B468F">
        <w:t>);</w:t>
      </w:r>
    </w:p>
    <w:p w14:paraId="7B6E438C" w14:textId="76DFB22F" w:rsidR="00384AC4" w:rsidRPr="002B468F" w:rsidRDefault="00384AC4" w:rsidP="00B12EBF">
      <w:pPr>
        <w:pStyle w:val="ListNumbered"/>
      </w:pPr>
      <w:r w:rsidRPr="002B468F">
        <w:t xml:space="preserve">Small leak between reactor pool and containment (the frequency of this event is very </w:t>
      </w:r>
      <w:r w:rsidR="00841ADB" w:rsidRPr="002B468F">
        <w:t>low;</w:t>
      </w:r>
      <w:r w:rsidRPr="002B468F">
        <w:t xml:space="preserve"> it </w:t>
      </w:r>
      <w:r w:rsidR="0086249C" w:rsidRPr="002B468F">
        <w:t xml:space="preserve">has been </w:t>
      </w:r>
      <w:r w:rsidRPr="002B468F">
        <w:t>reasonably excluded in [</w:t>
      </w:r>
      <w:r w:rsidR="008600BE">
        <w:t>2</w:t>
      </w:r>
      <w:r w:rsidRPr="002B468F">
        <w:t>])</w:t>
      </w:r>
      <w:r w:rsidR="0086249C" w:rsidRPr="002B468F">
        <w:t>;</w:t>
      </w:r>
    </w:p>
    <w:p w14:paraId="216E7BE7" w14:textId="7EC3ADEE" w:rsidR="00384AC4" w:rsidRPr="002B468F" w:rsidRDefault="00384AC4" w:rsidP="00B12EBF">
      <w:pPr>
        <w:pStyle w:val="ListNumbered"/>
      </w:pPr>
      <w:r w:rsidRPr="002B468F">
        <w:t xml:space="preserve">Functional failure of the primary system circulation (the frequency of this event is very </w:t>
      </w:r>
      <w:r w:rsidR="00841ADB" w:rsidRPr="002B468F">
        <w:t>low;</w:t>
      </w:r>
      <w:r w:rsidRPr="002B468F">
        <w:t xml:space="preserve"> it </w:t>
      </w:r>
      <w:r w:rsidR="0086249C" w:rsidRPr="002B468F">
        <w:t xml:space="preserve">has been </w:t>
      </w:r>
      <w:r w:rsidRPr="002B468F">
        <w:t>reasonably excluded in [</w:t>
      </w:r>
      <w:r w:rsidR="008600BE">
        <w:t>2</w:t>
      </w:r>
      <w:r w:rsidRPr="002B468F">
        <w:t>])</w:t>
      </w:r>
      <w:r w:rsidR="00883836" w:rsidRPr="002B468F">
        <w:t>.</w:t>
      </w:r>
    </w:p>
    <w:p w14:paraId="5E34C4ED" w14:textId="34B151B5" w:rsidR="0066117E" w:rsidRPr="002B468F" w:rsidRDefault="0066117E" w:rsidP="0066117E">
      <w:pPr>
        <w:pStyle w:val="BodyText"/>
      </w:pPr>
      <w:r w:rsidRPr="002B468F">
        <w:t>Although the contribution of these explicitly implemented initiating events to the CDF may be small, the</w:t>
      </w:r>
      <w:r w:rsidR="00A16223">
        <w:t>ir</w:t>
      </w:r>
      <w:r w:rsidRPr="002B468F">
        <w:t xml:space="preserve"> implementation and quantification allow to prove the assumptions without any drawbacks.</w:t>
      </w:r>
    </w:p>
    <w:p w14:paraId="29485370" w14:textId="72D0AA2F" w:rsidR="007F1C3F" w:rsidRPr="002B468F" w:rsidRDefault="007F1C3F" w:rsidP="00841ADB">
      <w:pPr>
        <w:pStyle w:val="Heading4"/>
      </w:pPr>
      <w:r w:rsidRPr="002B468F">
        <w:t>Event trees</w:t>
      </w:r>
    </w:p>
    <w:p w14:paraId="6F66F519" w14:textId="33F48337" w:rsidR="006A7C72" w:rsidRPr="002B468F" w:rsidRDefault="0066117E" w:rsidP="001F2955">
      <w:pPr>
        <w:pStyle w:val="BodyText"/>
      </w:pPr>
      <w:r w:rsidRPr="002B468F">
        <w:t xml:space="preserve">Most of the implemented event trees depend on the </w:t>
      </w:r>
      <w:proofErr w:type="spellStart"/>
      <w:r w:rsidRPr="002B468F">
        <w:t>NuScale</w:t>
      </w:r>
      <w:proofErr w:type="spellEnd"/>
      <w:r w:rsidRPr="002B468F">
        <w:t xml:space="preserve"> PSA [</w:t>
      </w:r>
      <w:r w:rsidR="008600BE">
        <w:t>2</w:t>
      </w:r>
      <w:r w:rsidRPr="002B468F">
        <w:t xml:space="preserve">]. The event trees for the additional initiating events could be </w:t>
      </w:r>
      <w:r w:rsidR="0086249C" w:rsidRPr="002B468F">
        <w:t xml:space="preserve">generated </w:t>
      </w:r>
      <w:r w:rsidRPr="002B468F">
        <w:t xml:space="preserve">based on the information about the SSC </w:t>
      </w:r>
      <w:r w:rsidR="006A7C72" w:rsidRPr="002B468F">
        <w:t xml:space="preserve">and </w:t>
      </w:r>
      <w:r w:rsidR="0086249C" w:rsidRPr="002B468F">
        <w:t xml:space="preserve">the </w:t>
      </w:r>
      <w:r w:rsidR="006A7C72" w:rsidRPr="002B468F">
        <w:t>procedures known from German</w:t>
      </w:r>
      <w:r w:rsidR="000B5E42" w:rsidRPr="002B468F">
        <w:t xml:space="preserve"> PWR</w:t>
      </w:r>
      <w:r w:rsidR="00A16223">
        <w:t>s</w:t>
      </w:r>
      <w:r w:rsidR="006A7C72" w:rsidRPr="002B468F">
        <w:t xml:space="preserve">. </w:t>
      </w:r>
      <w:r w:rsidR="001F2955" w:rsidRPr="002B468F">
        <w:t xml:space="preserve">The consequences are </w:t>
      </w:r>
      <w:r w:rsidR="00A16223">
        <w:t xml:space="preserve">either </w:t>
      </w:r>
      <w:r w:rsidR="001F2955" w:rsidRPr="002B468F">
        <w:t>core damage or no core damage.</w:t>
      </w:r>
    </w:p>
    <w:p w14:paraId="1F62FC2F" w14:textId="3495A897" w:rsidR="00822F57" w:rsidRPr="002B468F" w:rsidRDefault="00822F57" w:rsidP="00841ADB">
      <w:pPr>
        <w:pStyle w:val="Heading4"/>
      </w:pPr>
      <w:r w:rsidRPr="002B468F">
        <w:lastRenderedPageBreak/>
        <w:t>Fault trees</w:t>
      </w:r>
    </w:p>
    <w:p w14:paraId="545EAC68" w14:textId="465AA348" w:rsidR="008D27B0" w:rsidRPr="002B468F" w:rsidRDefault="002C0283" w:rsidP="008D27B0">
      <w:pPr>
        <w:pStyle w:val="BodyText"/>
      </w:pPr>
      <w:r w:rsidRPr="002B468F">
        <w:t xml:space="preserve">The failure probabilities of the function events are calculated in the underlying fault trees. The fault trees had to be modelled without any knowledge about the </w:t>
      </w:r>
      <w:proofErr w:type="spellStart"/>
      <w:r w:rsidRPr="002B468F">
        <w:t>NuScale</w:t>
      </w:r>
      <w:proofErr w:type="spellEnd"/>
      <w:r w:rsidRPr="002B468F">
        <w:t xml:space="preserve"> PSA model implementation. </w:t>
      </w:r>
      <w:r w:rsidR="00BD47C5" w:rsidRPr="002B468F">
        <w:t>However, t</w:t>
      </w:r>
      <w:r w:rsidRPr="002B468F">
        <w:t xml:space="preserve">he </w:t>
      </w:r>
      <w:r w:rsidR="00BD47C5" w:rsidRPr="002B468F">
        <w:t xml:space="preserve">necessary information </w:t>
      </w:r>
      <w:r w:rsidR="00A16223">
        <w:t>regarding</w:t>
      </w:r>
      <w:r w:rsidR="00BD47C5" w:rsidRPr="002B468F">
        <w:t xml:space="preserve"> the technical details of the SSC </w:t>
      </w:r>
      <w:r w:rsidR="003D2EB7" w:rsidRPr="002B468F">
        <w:t>is</w:t>
      </w:r>
      <w:r w:rsidR="00BD47C5" w:rsidRPr="002B468F">
        <w:t xml:space="preserve"> </w:t>
      </w:r>
      <w:r w:rsidR="003D2EB7" w:rsidRPr="002B468F">
        <w:t>available</w:t>
      </w:r>
      <w:r w:rsidR="00BD47C5" w:rsidRPr="002B468F">
        <w:t xml:space="preserve"> in the application documents</w:t>
      </w:r>
      <w:r w:rsidR="003D2EB7" w:rsidRPr="002B468F">
        <w:t xml:space="preserve"> </w:t>
      </w:r>
      <w:r w:rsidR="00BD47C5" w:rsidRPr="002B468F">
        <w:t>[</w:t>
      </w:r>
      <w:r w:rsidR="008600BE">
        <w:t>2</w:t>
      </w:r>
      <w:r w:rsidR="00BD47C5" w:rsidRPr="002B468F">
        <w:t xml:space="preserve">]. Although the systems are in general less complex compared to </w:t>
      </w:r>
      <w:r w:rsidR="00D64D1B" w:rsidRPr="002B468F">
        <w:t xml:space="preserve">traditional </w:t>
      </w:r>
      <w:r w:rsidR="000B5E42" w:rsidRPr="002B468F">
        <w:t>PWR</w:t>
      </w:r>
      <w:r w:rsidR="00D64D1B" w:rsidRPr="002B468F">
        <w:t>s</w:t>
      </w:r>
      <w:r w:rsidR="00BD47C5" w:rsidRPr="002B468F">
        <w:t xml:space="preserve">, the PSA models </w:t>
      </w:r>
      <w:r w:rsidR="00A16223">
        <w:t xml:space="preserve">for </w:t>
      </w:r>
      <w:r w:rsidR="00BD47C5" w:rsidRPr="002B468F">
        <w:t xml:space="preserve">German </w:t>
      </w:r>
      <w:r w:rsidR="000B5E42" w:rsidRPr="002B468F">
        <w:t xml:space="preserve">PWRs </w:t>
      </w:r>
      <w:r w:rsidR="00BD47C5" w:rsidRPr="002B468F">
        <w:t xml:space="preserve">have also been used </w:t>
      </w:r>
      <w:r w:rsidR="003D2EB7" w:rsidRPr="002B468F">
        <w:t>as</w:t>
      </w:r>
      <w:r w:rsidR="00BD47C5" w:rsidRPr="002B468F">
        <w:t xml:space="preserve"> reference. In very few cases a qualified assessment of the </w:t>
      </w:r>
      <w:r w:rsidR="00E87887" w:rsidRPr="002B468F">
        <w:t xml:space="preserve">interrelation of components or equipment has been necessary. </w:t>
      </w:r>
      <w:r w:rsidR="008D27B0" w:rsidRPr="002B468F">
        <w:t xml:space="preserve">The </w:t>
      </w:r>
      <w:r w:rsidR="00D64D1B" w:rsidRPr="002B468F">
        <w:t xml:space="preserve">systems </w:t>
      </w:r>
      <w:r w:rsidR="008D27B0" w:rsidRPr="002B468F">
        <w:t>model</w:t>
      </w:r>
      <w:r w:rsidR="00B75DC3">
        <w:t>l</w:t>
      </w:r>
      <w:r w:rsidR="008D27B0" w:rsidRPr="002B468F">
        <w:t>ed are</w:t>
      </w:r>
      <w:r w:rsidR="00B75DC3">
        <w:t>:</w:t>
      </w:r>
    </w:p>
    <w:p w14:paraId="4F09053F" w14:textId="583CD7B5" w:rsidR="008D27B0" w:rsidRPr="002B468F" w:rsidRDefault="008D27B0" w:rsidP="00E2632A">
      <w:pPr>
        <w:pStyle w:val="ListNumbered"/>
        <w:numPr>
          <w:ilvl w:val="0"/>
          <w:numId w:val="14"/>
        </w:numPr>
      </w:pPr>
      <w:r w:rsidRPr="002B468F">
        <w:t xml:space="preserve">Reactor </w:t>
      </w:r>
      <w:r w:rsidR="00D64D1B" w:rsidRPr="002B468F">
        <w:t xml:space="preserve">trip system </w:t>
      </w:r>
      <w:r w:rsidRPr="002B468F">
        <w:t>(RTS)</w:t>
      </w:r>
      <w:r w:rsidR="00D64D1B" w:rsidRPr="002B468F">
        <w:t>;</w:t>
      </w:r>
    </w:p>
    <w:p w14:paraId="281B1835" w14:textId="66835147" w:rsidR="008D27B0" w:rsidRPr="002B468F" w:rsidRDefault="00F001C3" w:rsidP="00B36077">
      <w:pPr>
        <w:pStyle w:val="ListNumbered"/>
      </w:pPr>
      <w:r>
        <w:t>Decay heat removal system (</w:t>
      </w:r>
      <w:r w:rsidR="005D7CB6" w:rsidRPr="002B468F">
        <w:t>DHRS</w:t>
      </w:r>
      <w:r>
        <w:t>)</w:t>
      </w:r>
      <w:r w:rsidR="00D64D1B" w:rsidRPr="002B468F">
        <w:t>;</w:t>
      </w:r>
    </w:p>
    <w:p w14:paraId="327C6652" w14:textId="0418492E" w:rsidR="008D27B0" w:rsidRPr="002B468F" w:rsidRDefault="001C61B0" w:rsidP="00B36077">
      <w:pPr>
        <w:pStyle w:val="ListNumbered"/>
      </w:pPr>
      <w:r w:rsidRPr="002B468F">
        <w:t>ECCS</w:t>
      </w:r>
      <w:r w:rsidR="00D64D1B" w:rsidRPr="002B468F">
        <w:t>;</w:t>
      </w:r>
    </w:p>
    <w:p w14:paraId="696E330D" w14:textId="12FDC5F2" w:rsidR="008D27B0" w:rsidRPr="002B468F" w:rsidRDefault="008D27B0" w:rsidP="00B36077">
      <w:pPr>
        <w:pStyle w:val="ListNumbered"/>
      </w:pPr>
      <w:r w:rsidRPr="002B468F">
        <w:t>CVCS and coolant supply systems</w:t>
      </w:r>
      <w:r w:rsidR="00D64D1B" w:rsidRPr="002B468F">
        <w:t>;</w:t>
      </w:r>
    </w:p>
    <w:p w14:paraId="43A95CB4" w14:textId="6C28EF43" w:rsidR="008D27B0" w:rsidRPr="002B468F" w:rsidRDefault="008D27B0" w:rsidP="00B36077">
      <w:pPr>
        <w:pStyle w:val="ListNumbered"/>
      </w:pPr>
      <w:r w:rsidRPr="002B468F">
        <w:t xml:space="preserve">Containment </w:t>
      </w:r>
      <w:r w:rsidR="00D64D1B" w:rsidRPr="002B468F">
        <w:t>f</w:t>
      </w:r>
      <w:r w:rsidRPr="002B468F">
        <w:t xml:space="preserve">looding and </w:t>
      </w:r>
      <w:r w:rsidR="00D64D1B" w:rsidRPr="002B468F">
        <w:t>drainage s</w:t>
      </w:r>
      <w:r w:rsidRPr="002B468F">
        <w:t>ystem (CFDS)</w:t>
      </w:r>
      <w:r w:rsidR="00D64D1B" w:rsidRPr="002B468F">
        <w:t>;</w:t>
      </w:r>
    </w:p>
    <w:p w14:paraId="53563D35" w14:textId="35274309" w:rsidR="008D27B0" w:rsidRPr="002B468F" w:rsidRDefault="008D27B0" w:rsidP="00B36077">
      <w:pPr>
        <w:pStyle w:val="ListNumbered"/>
      </w:pPr>
      <w:r w:rsidRPr="002B468F">
        <w:t xml:space="preserve">Power </w:t>
      </w:r>
      <w:r w:rsidR="00D64D1B" w:rsidRPr="002B468F">
        <w:t xml:space="preserve">supply </w:t>
      </w:r>
      <w:r w:rsidRPr="002B468F">
        <w:t xml:space="preserve">systems </w:t>
      </w:r>
      <w:r w:rsidR="004A510C" w:rsidRPr="002B468F">
        <w:t>including direct current, alternating current at different voltage levels and</w:t>
      </w:r>
      <w:r w:rsidRPr="002B468F">
        <w:t xml:space="preserve"> </w:t>
      </w:r>
      <w:r w:rsidR="004A510C" w:rsidRPr="002B468F">
        <w:t>b</w:t>
      </w:r>
      <w:r w:rsidRPr="002B468F">
        <w:t xml:space="preserve">ackup </w:t>
      </w:r>
      <w:r w:rsidR="004A510C" w:rsidRPr="002B468F">
        <w:t>p</w:t>
      </w:r>
      <w:r w:rsidRPr="002B468F">
        <w:t xml:space="preserve">ower </w:t>
      </w:r>
      <w:r w:rsidR="004A510C" w:rsidRPr="002B468F">
        <w:t>s</w:t>
      </w:r>
      <w:r w:rsidRPr="002B468F">
        <w:t>upply</w:t>
      </w:r>
      <w:r w:rsidR="00883836" w:rsidRPr="002B468F">
        <w:t>.</w:t>
      </w:r>
    </w:p>
    <w:p w14:paraId="47B5AAB7" w14:textId="1E36D3E1" w:rsidR="00822F57" w:rsidRPr="002B468F" w:rsidRDefault="00367201" w:rsidP="00822F57">
      <w:pPr>
        <w:pStyle w:val="BodyText"/>
      </w:pPr>
      <w:r w:rsidRPr="002B468F">
        <w:t>The components of the</w:t>
      </w:r>
      <w:r w:rsidR="00A16223">
        <w:t>se</w:t>
      </w:r>
      <w:r w:rsidRPr="002B468F">
        <w:t xml:space="preserve"> systems have been compared to the components in German </w:t>
      </w:r>
      <w:r w:rsidR="000B5E42" w:rsidRPr="002B468F">
        <w:t xml:space="preserve">PWRs </w:t>
      </w:r>
      <w:r w:rsidRPr="002B468F">
        <w:t xml:space="preserve">to quantify the component failure rates and CCF probabilities. The (rather low) human error </w:t>
      </w:r>
      <w:r w:rsidR="00A16223" w:rsidRPr="002B468F">
        <w:t xml:space="preserve">failure probability </w:t>
      </w:r>
      <w:r w:rsidRPr="002B468F">
        <w:t>has been taken from [</w:t>
      </w:r>
      <w:r w:rsidR="008600BE">
        <w:t>2</w:t>
      </w:r>
      <w:r w:rsidRPr="002B468F">
        <w:t>]. However, the human failure probability significantly increases</w:t>
      </w:r>
      <w:r w:rsidR="007207F8" w:rsidRPr="002B468F">
        <w:t xml:space="preserve"> in </w:t>
      </w:r>
      <w:r w:rsidR="00D64D1B" w:rsidRPr="002B468F">
        <w:t xml:space="preserve">the GRS </w:t>
      </w:r>
      <w:r w:rsidR="007207F8" w:rsidRPr="002B468F">
        <w:t>PSA model</w:t>
      </w:r>
      <w:r w:rsidRPr="002B468F">
        <w:t xml:space="preserve"> </w:t>
      </w:r>
      <w:r w:rsidR="007207F8" w:rsidRPr="002B468F">
        <w:t>for multiple demands</w:t>
      </w:r>
      <w:r w:rsidR="000B5E42" w:rsidRPr="002B468F">
        <w:t xml:space="preserve"> to manually initialize d</w:t>
      </w:r>
      <w:r w:rsidR="007207F8" w:rsidRPr="002B468F">
        <w:t>ifferent systems. The human failure model was not found to have a significant impact on the result because most of the systems are started automatically, this hold</w:t>
      </w:r>
      <w:r w:rsidR="00D64D1B" w:rsidRPr="002B468F">
        <w:t>s</w:t>
      </w:r>
      <w:r w:rsidR="007207F8" w:rsidRPr="002B468F">
        <w:t xml:space="preserve"> for (a), (b), (c) and (f) in the list of model</w:t>
      </w:r>
      <w:r w:rsidR="00B75DC3">
        <w:t>l</w:t>
      </w:r>
      <w:r w:rsidR="007207F8" w:rsidRPr="002B468F">
        <w:t>ed systems shown above.</w:t>
      </w:r>
    </w:p>
    <w:p w14:paraId="4E4FC960" w14:textId="0229FF4D" w:rsidR="007F1C3F" w:rsidRPr="002B468F" w:rsidRDefault="007F1C3F" w:rsidP="007F1C3F">
      <w:pPr>
        <w:pStyle w:val="Heading3"/>
      </w:pPr>
      <w:r w:rsidRPr="002B468F">
        <w:t>Multi</w:t>
      </w:r>
      <w:r w:rsidR="00A11669" w:rsidRPr="002B468F">
        <w:t>-m</w:t>
      </w:r>
      <w:r w:rsidRPr="002B468F">
        <w:t>odule PSA</w:t>
      </w:r>
    </w:p>
    <w:p w14:paraId="68F0DBB6" w14:textId="1A3EFD87" w:rsidR="00CF7AF3" w:rsidRPr="002B468F" w:rsidRDefault="00A11669" w:rsidP="004E4717">
      <w:pPr>
        <w:pStyle w:val="Authornameandaffiliation"/>
        <w:ind w:left="0" w:firstLine="567"/>
        <w:jc w:val="both"/>
        <w:rPr>
          <w:lang w:val="en-GB"/>
        </w:rPr>
      </w:pPr>
      <w:r w:rsidRPr="002B468F">
        <w:rPr>
          <w:lang w:val="en-GB"/>
        </w:rPr>
        <w:t xml:space="preserve">The multi-module PSA </w:t>
      </w:r>
      <w:r w:rsidR="00193480">
        <w:rPr>
          <w:lang w:val="en-GB"/>
        </w:rPr>
        <w:t xml:space="preserve">is </w:t>
      </w:r>
      <w:r w:rsidR="000B5E42" w:rsidRPr="002B468F">
        <w:rPr>
          <w:lang w:val="en-GB"/>
        </w:rPr>
        <w:t>based on t</w:t>
      </w:r>
      <w:r w:rsidR="00794028" w:rsidRPr="002B468F">
        <w:rPr>
          <w:lang w:val="en-GB"/>
        </w:rPr>
        <w:t xml:space="preserve">he IAEA guidelines </w:t>
      </w:r>
      <w:r w:rsidR="00E56220" w:rsidRPr="002B468F">
        <w:rPr>
          <w:lang w:val="en-GB"/>
        </w:rPr>
        <w:t xml:space="preserve">for multi-unit PSA </w:t>
      </w:r>
      <w:r w:rsidR="00202B68" w:rsidRPr="002B468F">
        <w:rPr>
          <w:lang w:val="en-GB"/>
        </w:rPr>
        <w:t xml:space="preserve">[2]. </w:t>
      </w:r>
      <w:r w:rsidR="00860A9D" w:rsidRPr="002B468F">
        <w:rPr>
          <w:lang w:val="en-GB"/>
        </w:rPr>
        <w:t xml:space="preserve">In </w:t>
      </w:r>
      <w:r w:rsidR="00A16223">
        <w:rPr>
          <w:lang w:val="en-GB"/>
        </w:rPr>
        <w:t>a</w:t>
      </w:r>
      <w:r w:rsidR="00860A9D" w:rsidRPr="002B468F">
        <w:rPr>
          <w:lang w:val="en-GB"/>
        </w:rPr>
        <w:t xml:space="preserve"> first step, the risk metric has been defined to </w:t>
      </w:r>
      <w:r w:rsidR="00450508" w:rsidRPr="002B468F">
        <w:rPr>
          <w:lang w:val="en-GB"/>
        </w:rPr>
        <w:t xml:space="preserve">be </w:t>
      </w:r>
      <w:r w:rsidR="00860A9D" w:rsidRPr="002B468F">
        <w:rPr>
          <w:lang w:val="en-GB"/>
        </w:rPr>
        <w:t xml:space="preserve">the </w:t>
      </w:r>
      <w:r w:rsidR="00A16223">
        <w:rPr>
          <w:lang w:val="en-GB"/>
        </w:rPr>
        <w:t>CDF</w:t>
      </w:r>
      <w:r w:rsidR="00860A9D" w:rsidRPr="002B468F">
        <w:rPr>
          <w:lang w:val="en-GB"/>
        </w:rPr>
        <w:t xml:space="preserve"> </w:t>
      </w:r>
      <w:r w:rsidR="00450508" w:rsidRPr="002B468F">
        <w:rPr>
          <w:lang w:val="en-GB"/>
        </w:rPr>
        <w:t>from</w:t>
      </w:r>
      <w:r w:rsidR="00860A9D" w:rsidRPr="002B468F">
        <w:rPr>
          <w:lang w:val="en-GB"/>
        </w:rPr>
        <w:t xml:space="preserve"> one or more modules. This is a rather simple metric without any further information </w:t>
      </w:r>
      <w:r w:rsidR="00450508" w:rsidRPr="002B468F">
        <w:rPr>
          <w:lang w:val="en-GB"/>
        </w:rPr>
        <w:t xml:space="preserve">on </w:t>
      </w:r>
      <w:r w:rsidR="00860A9D" w:rsidRPr="002B468F">
        <w:rPr>
          <w:lang w:val="en-GB"/>
        </w:rPr>
        <w:t xml:space="preserve">the severity of the accident, e.g., containment bypass scenario. However, </w:t>
      </w:r>
      <w:r w:rsidR="0079154B" w:rsidRPr="002B468F">
        <w:rPr>
          <w:lang w:val="en-GB"/>
        </w:rPr>
        <w:t xml:space="preserve">the event trees are much smaller and </w:t>
      </w:r>
      <w:r w:rsidR="00450508" w:rsidRPr="002B468F">
        <w:rPr>
          <w:lang w:val="en-GB"/>
        </w:rPr>
        <w:t xml:space="preserve">better </w:t>
      </w:r>
      <w:r w:rsidR="0079154B" w:rsidRPr="002B468F">
        <w:rPr>
          <w:lang w:val="en-GB"/>
        </w:rPr>
        <w:t xml:space="preserve">readable by using this metric. </w:t>
      </w:r>
      <w:r w:rsidR="00202B68" w:rsidRPr="002B468F">
        <w:rPr>
          <w:lang w:val="en-GB"/>
        </w:rPr>
        <w:t xml:space="preserve">In a </w:t>
      </w:r>
      <w:r w:rsidR="00A54E6B" w:rsidRPr="002B468F">
        <w:rPr>
          <w:lang w:val="en-GB"/>
        </w:rPr>
        <w:t>second</w:t>
      </w:r>
      <w:r w:rsidR="00202B68" w:rsidRPr="002B468F">
        <w:rPr>
          <w:lang w:val="en-GB"/>
        </w:rPr>
        <w:t xml:space="preserve"> step, the initiating events are </w:t>
      </w:r>
      <w:r w:rsidR="00B75DC3" w:rsidRPr="002B468F">
        <w:rPr>
          <w:lang w:val="en-GB"/>
        </w:rPr>
        <w:t>analysed</w:t>
      </w:r>
      <w:r w:rsidR="00202B68" w:rsidRPr="002B468F">
        <w:rPr>
          <w:lang w:val="en-GB"/>
        </w:rPr>
        <w:t xml:space="preserve"> for multi-module impact.</w:t>
      </w:r>
    </w:p>
    <w:p w14:paraId="543C8126" w14:textId="386B2698" w:rsidR="00822F57" w:rsidRPr="002B468F" w:rsidRDefault="00A54E6B" w:rsidP="00841ADB">
      <w:pPr>
        <w:pStyle w:val="Heading4"/>
        <w:numPr>
          <w:ilvl w:val="3"/>
          <w:numId w:val="10"/>
        </w:numPr>
      </w:pPr>
      <w:r w:rsidRPr="002B468F">
        <w:t>Multi-module</w:t>
      </w:r>
      <w:r w:rsidR="00A11669" w:rsidRPr="002B468F">
        <w:t xml:space="preserve"> i</w:t>
      </w:r>
      <w:r w:rsidR="00822F57" w:rsidRPr="002B468F">
        <w:t>nitiating events</w:t>
      </w:r>
      <w:r w:rsidR="008017C5" w:rsidRPr="002B468F">
        <w:t xml:space="preserve"> </w:t>
      </w:r>
      <w:r w:rsidR="00E82A3F">
        <w:t>and</w:t>
      </w:r>
      <w:r w:rsidR="008017C5" w:rsidRPr="002B468F">
        <w:t xml:space="preserve"> </w:t>
      </w:r>
      <w:r w:rsidR="00A16223">
        <w:t>common cause initiators</w:t>
      </w:r>
    </w:p>
    <w:p w14:paraId="19E35D0B" w14:textId="7A7B4ABF" w:rsidR="00822F57" w:rsidRPr="002B468F" w:rsidRDefault="00A54E6B" w:rsidP="008D27B0">
      <w:pPr>
        <w:pStyle w:val="BodyText"/>
      </w:pPr>
      <w:r w:rsidRPr="002B468F">
        <w:t xml:space="preserve">All initiating events of the single-module PSA have been </w:t>
      </w:r>
      <w:r w:rsidR="00B75DC3" w:rsidRPr="002B468F">
        <w:t>analysed</w:t>
      </w:r>
      <w:r w:rsidRPr="002B468F">
        <w:t xml:space="preserve"> for possibilities of </w:t>
      </w:r>
      <w:r w:rsidR="00E473FE" w:rsidRPr="002B468F">
        <w:t>CCIs</w:t>
      </w:r>
      <w:r w:rsidRPr="002B468F">
        <w:t xml:space="preserve"> which could impact multiple modules </w:t>
      </w:r>
      <w:r w:rsidR="00450508" w:rsidRPr="002B468F">
        <w:t>of the installation</w:t>
      </w:r>
      <w:r w:rsidRPr="002B468F">
        <w:t xml:space="preserve">. </w:t>
      </w:r>
      <w:r w:rsidR="003B31E8" w:rsidRPr="002B468F">
        <w:t xml:space="preserve">A </w:t>
      </w:r>
      <w:r w:rsidR="00450508" w:rsidRPr="002B468F">
        <w:t>threshold cut-o</w:t>
      </w:r>
      <w:r w:rsidR="003B31E8" w:rsidRPr="002B468F">
        <w:t>ff criterion was applied to neglect the initiators with low core damage</w:t>
      </w:r>
      <w:r w:rsidR="00A16223">
        <w:t xml:space="preserve"> probabilities</w:t>
      </w:r>
      <w:r w:rsidR="003B31E8" w:rsidRPr="002B468F">
        <w:t>.</w:t>
      </w:r>
      <w:r w:rsidR="00996AAE">
        <w:t xml:space="preserve"> Therefore, the single-module PSA was simplified without considering any success of </w:t>
      </w:r>
      <w:r w:rsidR="00C76FB0">
        <w:t>human action or any success of systems</w:t>
      </w:r>
      <w:r w:rsidR="00A16223">
        <w:t xml:space="preserve"> shared by multiple modules</w:t>
      </w:r>
      <w:r w:rsidR="00C76FB0">
        <w:t xml:space="preserve">. If the </w:t>
      </w:r>
      <w:r w:rsidR="00A16223">
        <w:t>CDF</w:t>
      </w:r>
      <w:r w:rsidR="00C76FB0">
        <w:t xml:space="preserve"> of the initiating event </w:t>
      </w:r>
      <w:r w:rsidR="00A16223">
        <w:t>has exceeded</w:t>
      </w:r>
      <w:r w:rsidR="00C76FB0">
        <w:t xml:space="preserve"> 0.1</w:t>
      </w:r>
      <w:r w:rsidR="00A16223">
        <w:t> </w:t>
      </w:r>
      <w:r w:rsidR="00C76FB0">
        <w:t>% (2.4</w:t>
      </w:r>
      <w:r w:rsidR="00A16223">
        <w:t> </w:t>
      </w:r>
      <w:r w:rsidR="00C76FB0">
        <w:t>E-09/</w:t>
      </w:r>
      <w:r w:rsidR="00A16223">
        <w:t>ry</w:t>
      </w:r>
      <w:r w:rsidR="00C76FB0">
        <w:t xml:space="preserve">) of the overall </w:t>
      </w:r>
      <w:r w:rsidR="00A16223">
        <w:t>CDF</w:t>
      </w:r>
      <w:r w:rsidR="00C76FB0">
        <w:t xml:space="preserve">, the initiating event </w:t>
      </w:r>
      <w:r w:rsidR="00A16223">
        <w:t xml:space="preserve">has </w:t>
      </w:r>
      <w:r w:rsidR="00841ADB">
        <w:t>been chosen</w:t>
      </w:r>
      <w:r w:rsidR="00C76FB0">
        <w:t xml:space="preserve"> for multi-module analyses.</w:t>
      </w:r>
    </w:p>
    <w:p w14:paraId="65F1D3EE" w14:textId="76E924E7" w:rsidR="00C564AE" w:rsidRPr="002B468F" w:rsidRDefault="00C564AE" w:rsidP="00974387">
      <w:pPr>
        <w:pStyle w:val="BodyText"/>
      </w:pPr>
      <w:r w:rsidRPr="002B468F">
        <w:t xml:space="preserve">The following multi-module initiating events </w:t>
      </w:r>
      <w:r w:rsidR="00450508" w:rsidRPr="002B468F">
        <w:t xml:space="preserve">have been </w:t>
      </w:r>
      <w:r w:rsidRPr="002B468F">
        <w:t>identified</w:t>
      </w:r>
      <w:r w:rsidR="00450508" w:rsidRPr="002B468F">
        <w:t>:</w:t>
      </w:r>
    </w:p>
    <w:p w14:paraId="3B5486D7" w14:textId="3F84C046" w:rsidR="002005EE" w:rsidRPr="002B468F" w:rsidRDefault="002005EE" w:rsidP="00E2632A">
      <w:pPr>
        <w:pStyle w:val="ListNumbered"/>
        <w:numPr>
          <w:ilvl w:val="0"/>
          <w:numId w:val="15"/>
        </w:numPr>
      </w:pPr>
      <w:r w:rsidRPr="002B468F">
        <w:t>General transient: the very high frequency of general transients requires the considerati</w:t>
      </w:r>
      <w:r w:rsidR="00E45DC1" w:rsidRPr="002B468F">
        <w:t xml:space="preserve">on of </w:t>
      </w:r>
      <w:r w:rsidR="00450508" w:rsidRPr="002B468F">
        <w:t xml:space="preserve">non-correlated </w:t>
      </w:r>
      <w:r w:rsidRPr="002B468F">
        <w:t>initiating events in two</w:t>
      </w:r>
      <w:r w:rsidR="00E45DC1" w:rsidRPr="002B468F">
        <w:t xml:space="preserve"> or three</w:t>
      </w:r>
      <w:r w:rsidRPr="002B468F">
        <w:t xml:space="preserve"> modules at almost the same time.</w:t>
      </w:r>
      <w:r w:rsidR="00E45DC1" w:rsidRPr="002B468F">
        <w:t xml:space="preserve"> </w:t>
      </w:r>
      <w:r w:rsidR="0039377F" w:rsidRPr="002B468F">
        <w:t>Moreover</w:t>
      </w:r>
      <w:r w:rsidR="00E45DC1" w:rsidRPr="002B468F">
        <w:t>, general transients in multiple modules are possible during internal fire or flooding</w:t>
      </w:r>
      <w:r w:rsidR="0039377F" w:rsidRPr="002B468F">
        <w:t xml:space="preserve"> events.</w:t>
      </w:r>
    </w:p>
    <w:p w14:paraId="1F9A1281" w14:textId="4919342E" w:rsidR="00822F57" w:rsidRPr="002B468F" w:rsidRDefault="00C564AE" w:rsidP="00B36077">
      <w:pPr>
        <w:pStyle w:val="ListNumbered"/>
      </w:pPr>
      <w:r w:rsidRPr="002B468F">
        <w:t xml:space="preserve">Loss of </w:t>
      </w:r>
      <w:r w:rsidR="00974387" w:rsidRPr="002B468F">
        <w:t xml:space="preserve">offsite </w:t>
      </w:r>
      <w:r w:rsidRPr="002B468F">
        <w:t>power</w:t>
      </w:r>
      <w:r w:rsidR="00E473FE" w:rsidRPr="002B468F">
        <w:t xml:space="preserve"> (LOOP)</w:t>
      </w:r>
      <w:r w:rsidR="0039377F" w:rsidRPr="002B468F">
        <w:t>;</w:t>
      </w:r>
    </w:p>
    <w:p w14:paraId="2AEF8942" w14:textId="224FCED6" w:rsidR="00C564AE" w:rsidRPr="002B468F" w:rsidRDefault="00C564AE" w:rsidP="00B36077">
      <w:pPr>
        <w:pStyle w:val="ListNumbered"/>
      </w:pPr>
      <w:r w:rsidRPr="002B468F">
        <w:t>Loss of supporting systems</w:t>
      </w:r>
      <w:r w:rsidR="0039377F" w:rsidRPr="002B468F">
        <w:t>;</w:t>
      </w:r>
    </w:p>
    <w:p w14:paraId="056F2D92" w14:textId="79CF586C" w:rsidR="00C564AE" w:rsidRPr="002B468F" w:rsidRDefault="00481F3D" w:rsidP="00B36077">
      <w:pPr>
        <w:pStyle w:val="ListNumbered"/>
      </w:pPr>
      <w:r w:rsidRPr="002B468F">
        <w:t>LOCA</w:t>
      </w:r>
      <w:r w:rsidR="00C564AE" w:rsidRPr="002B468F">
        <w:t xml:space="preserve"> inside containment</w:t>
      </w:r>
      <w:r w:rsidR="002005EE" w:rsidRPr="002B468F">
        <w:t xml:space="preserve"> (because of a failure in the electronics of the heater</w:t>
      </w:r>
      <w:r w:rsidR="00E45DC1" w:rsidRPr="002B468F">
        <w:t xml:space="preserve"> for the pressurizer</w:t>
      </w:r>
      <w:r w:rsidR="002005EE" w:rsidRPr="002B468F">
        <w:t>)</w:t>
      </w:r>
      <w:r w:rsidR="0039377F" w:rsidRPr="002B468F">
        <w:t>;</w:t>
      </w:r>
    </w:p>
    <w:p w14:paraId="4C92CE81" w14:textId="31F749A4" w:rsidR="00C564AE" w:rsidRPr="00A16223" w:rsidRDefault="00C564AE" w:rsidP="00B36077">
      <w:pPr>
        <w:pStyle w:val="ListNumbered"/>
      </w:pPr>
      <w:r w:rsidRPr="002B468F">
        <w:t>Containment leakage</w:t>
      </w:r>
      <w:r w:rsidR="00E45DC1" w:rsidRPr="002B468F">
        <w:t xml:space="preserve"> </w:t>
      </w:r>
      <w:r w:rsidR="000B5E42" w:rsidRPr="002B468F">
        <w:t>from/</w:t>
      </w:r>
      <w:r w:rsidR="00E45DC1" w:rsidRPr="002B468F">
        <w:t>to the reactor pool</w:t>
      </w:r>
      <w:r w:rsidR="002005EE" w:rsidRPr="002B468F">
        <w:t xml:space="preserve"> (because of an event in the </w:t>
      </w:r>
      <w:r w:rsidR="002005EE" w:rsidRPr="00B75DC3">
        <w:t>reactor pool)</w:t>
      </w:r>
      <w:r w:rsidR="00A16223">
        <w:t>;</w:t>
      </w:r>
      <w:r w:rsidR="004E2591" w:rsidRPr="00B75DC3">
        <w:t xml:space="preserve"> this scenario triggers a</w:t>
      </w:r>
      <w:r w:rsidR="00254803" w:rsidRPr="00B75DC3">
        <w:t xml:space="preserve"> </w:t>
      </w:r>
      <w:r w:rsidR="00B75DC3" w:rsidRPr="00B75DC3">
        <w:t>g</w:t>
      </w:r>
      <w:r w:rsidR="00254803" w:rsidRPr="00B75DC3">
        <w:t>eneral transient without ECCS</w:t>
      </w:r>
      <w:r w:rsidR="00B75DC3" w:rsidRPr="00B75DC3">
        <w:t xml:space="preserve"> being available</w:t>
      </w:r>
      <w:r w:rsidR="00254803" w:rsidRPr="00B75DC3">
        <w:t xml:space="preserve">, </w:t>
      </w:r>
      <w:r w:rsidR="00254803" w:rsidRPr="00A16223">
        <w:rPr>
          <w:rStyle w:val="cf01"/>
          <w:rFonts w:ascii="Times New Roman" w:hAnsi="Times New Roman" w:cs="Times New Roman"/>
          <w:sz w:val="20"/>
          <w:szCs w:val="20"/>
        </w:rPr>
        <w:t>e.g. with DHRS and CVCS</w:t>
      </w:r>
      <w:r w:rsidR="00254803" w:rsidRPr="00A16223">
        <w:rPr>
          <w:rStyle w:val="cf01"/>
          <w:rFonts w:ascii="Times New Roman" w:hAnsi="Times New Roman" w:cs="Times New Roman"/>
        </w:rPr>
        <w:t xml:space="preserve"> failure, </w:t>
      </w:r>
      <w:r w:rsidR="00254803" w:rsidRPr="00A16223">
        <w:rPr>
          <w:rStyle w:val="cf01"/>
          <w:rFonts w:ascii="Times New Roman" w:hAnsi="Times New Roman" w:cs="Times New Roman"/>
          <w:sz w:val="20"/>
          <w:szCs w:val="20"/>
        </w:rPr>
        <w:t>core damage is expected</w:t>
      </w:r>
      <w:r w:rsidR="0039377F" w:rsidRPr="00A16223">
        <w:t>;</w:t>
      </w:r>
    </w:p>
    <w:p w14:paraId="1C83011A" w14:textId="771CDA18" w:rsidR="00C564AE" w:rsidRPr="00B75DC3" w:rsidRDefault="002005EE" w:rsidP="00B36077">
      <w:pPr>
        <w:pStyle w:val="ListNumbered"/>
      </w:pPr>
      <w:r w:rsidRPr="00B75DC3">
        <w:t xml:space="preserve">Inadvertent </w:t>
      </w:r>
      <w:r w:rsidR="00E45DC1" w:rsidRPr="00B75DC3">
        <w:t xml:space="preserve">activation of the </w:t>
      </w:r>
      <w:r w:rsidR="00E473FE" w:rsidRPr="00B75DC3">
        <w:t>ECCS</w:t>
      </w:r>
      <w:r w:rsidR="00E45DC1" w:rsidRPr="00B75DC3">
        <w:t xml:space="preserve"> in all modules</w:t>
      </w:r>
      <w:r w:rsidRPr="00B75DC3">
        <w:t xml:space="preserve"> (</w:t>
      </w:r>
      <w:r w:rsidR="00E45DC1" w:rsidRPr="00B75DC3">
        <w:t>because of a</w:t>
      </w:r>
      <w:r w:rsidR="00A16223">
        <w:t xml:space="preserve"> plant</w:t>
      </w:r>
      <w:r w:rsidR="00E45DC1" w:rsidRPr="00B75DC3">
        <w:t xml:space="preserve"> internal</w:t>
      </w:r>
      <w:r w:rsidRPr="00B75DC3">
        <w:t xml:space="preserve"> fire)</w:t>
      </w:r>
      <w:r w:rsidR="0039377F" w:rsidRPr="00B75DC3">
        <w:t>.</w:t>
      </w:r>
    </w:p>
    <w:p w14:paraId="691314C9" w14:textId="774FDBAA" w:rsidR="00084941" w:rsidRPr="002B468F" w:rsidRDefault="00084941" w:rsidP="00841ADB">
      <w:pPr>
        <w:pStyle w:val="Heading4"/>
        <w:numPr>
          <w:ilvl w:val="3"/>
          <w:numId w:val="10"/>
        </w:numPr>
      </w:pPr>
      <w:r w:rsidRPr="002B468F">
        <w:t>Multi-module event trees</w:t>
      </w:r>
    </w:p>
    <w:p w14:paraId="4D4B2D4D" w14:textId="025796C5" w:rsidR="00841ADB" w:rsidRDefault="00A16223" w:rsidP="00795C34">
      <w:pPr>
        <w:pStyle w:val="BodyText"/>
      </w:pPr>
      <w:r>
        <w:t>A</w:t>
      </w:r>
      <w:r w:rsidR="00C76FB0">
        <w:t xml:space="preserve"> method</w:t>
      </w:r>
      <w:r>
        <w:t xml:space="preserve"> is proposed</w:t>
      </w:r>
      <w:r w:rsidR="00C76FB0">
        <w:t xml:space="preserve"> where o</w:t>
      </w:r>
      <w:r w:rsidR="00084941" w:rsidRPr="002B468F">
        <w:t xml:space="preserve">nly </w:t>
      </w:r>
      <w:r>
        <w:t>4</w:t>
      </w:r>
      <w:r w:rsidR="00084941" w:rsidRPr="002B468F">
        <w:t xml:space="preserve"> out of the </w:t>
      </w:r>
      <w:r>
        <w:t>12</w:t>
      </w:r>
      <w:r w:rsidR="00084941" w:rsidRPr="002B468F">
        <w:t xml:space="preserve"> modules at the site are </w:t>
      </w:r>
      <w:r w:rsidR="00F001C3">
        <w:t xml:space="preserve">explicitly </w:t>
      </w:r>
      <w:r w:rsidR="00084941" w:rsidRPr="002B468F">
        <w:t xml:space="preserve">distinguished </w:t>
      </w:r>
      <w:r w:rsidR="00F001C3">
        <w:t xml:space="preserve">by considering </w:t>
      </w:r>
      <w:r w:rsidR="00C76FB0">
        <w:t xml:space="preserve">their </w:t>
      </w:r>
      <w:r w:rsidR="00F001C3">
        <w:t>possible system failures. However, all twelve modules are included implicitly because the four modules can represent any of the twelve module</w:t>
      </w:r>
      <w:r>
        <w:t>s</w:t>
      </w:r>
      <w:r w:rsidR="00E53F40">
        <w:t xml:space="preserve"> if the module is affected by </w:t>
      </w:r>
      <w:r w:rsidR="0005035B">
        <w:t xml:space="preserve">one or more </w:t>
      </w:r>
      <w:r w:rsidR="00E53F40">
        <w:t>system failures</w:t>
      </w:r>
      <w:r w:rsidR="00856197">
        <w:t xml:space="preserve"> of a </w:t>
      </w:r>
      <w:r w:rsidR="00856197">
        <w:lastRenderedPageBreak/>
        <w:t>required system</w:t>
      </w:r>
      <w:r w:rsidR="0005035B">
        <w:t xml:space="preserve"> to prevent a core damage</w:t>
      </w:r>
      <w:r w:rsidR="00F001C3">
        <w:t>.</w:t>
      </w:r>
      <w:r w:rsidR="00E53F40">
        <w:t xml:space="preserve"> First, at </w:t>
      </w:r>
      <w:r w:rsidR="0005035B">
        <w:t xml:space="preserve">the beginning of the transient, </w:t>
      </w:r>
      <w:r w:rsidR="00E53F40">
        <w:t xml:space="preserve">it is possible that more than four modules </w:t>
      </w:r>
      <w:r w:rsidR="0005035B">
        <w:t>are affected by the initiating event</w:t>
      </w:r>
      <w:r>
        <w:t>;</w:t>
      </w:r>
      <w:r w:rsidR="00E53F40">
        <w:t xml:space="preserve"> but </w:t>
      </w:r>
      <w:r w:rsidR="0005035B">
        <w:t>during the transient</w:t>
      </w:r>
      <w:r w:rsidR="00E53F40">
        <w:t xml:space="preserve"> it is sufficient to consider additional failures in up to four modules only because the contribution to the </w:t>
      </w:r>
      <w:r>
        <w:t>CDF</w:t>
      </w:r>
      <w:r w:rsidR="00E53F40">
        <w:t xml:space="preserve"> is sufficiently decreasing for </w:t>
      </w:r>
      <w:r w:rsidR="00B75DC3">
        <w:t>cut sets</w:t>
      </w:r>
      <w:r w:rsidR="00E53F40">
        <w:t xml:space="preserve"> with multiple failures in multiple modules. </w:t>
      </w:r>
      <w:r>
        <w:t>Thus</w:t>
      </w:r>
      <w:r w:rsidR="00E53F40">
        <w:t>, the</w:t>
      </w:r>
      <w:r w:rsidR="00084941" w:rsidRPr="002B468F">
        <w:t xml:space="preserve"> four </w:t>
      </w:r>
      <w:r w:rsidR="00B75DC3" w:rsidRPr="002B468F">
        <w:t>modelled</w:t>
      </w:r>
      <w:r w:rsidR="00084941" w:rsidRPr="002B468F">
        <w:t xml:space="preserve"> modules do not directly represent a module which is specifically located at</w:t>
      </w:r>
      <w:r w:rsidR="00F34F8F" w:rsidRPr="002B468F">
        <w:t xml:space="preserve"> a</w:t>
      </w:r>
      <w:r w:rsidR="00084941" w:rsidRPr="002B468F">
        <w:t xml:space="preserve"> known bay in the reactor pool. </w:t>
      </w:r>
      <w:r w:rsidR="00841ADB" w:rsidRPr="00841ADB">
        <w:t>In contra</w:t>
      </w:r>
      <w:r w:rsidR="00841ADB">
        <w:t>ry</w:t>
      </w:r>
      <w:r w:rsidR="00841ADB" w:rsidRPr="00841ADB">
        <w:t xml:space="preserve"> to this usual direct assignment of each module in the PSA model to a module at a specific </w:t>
      </w:r>
      <w:r w:rsidR="0005035B">
        <w:t>location</w:t>
      </w:r>
      <w:r w:rsidR="00841ADB" w:rsidRPr="00841ADB">
        <w:t xml:space="preserve"> in the system, </w:t>
      </w:r>
      <w:r w:rsidR="00841ADB">
        <w:t>the GRS model considers</w:t>
      </w:r>
      <w:r w:rsidR="00841ADB" w:rsidRPr="002B468F">
        <w:t xml:space="preserve"> only the affected </w:t>
      </w:r>
      <w:r w:rsidR="00841ADB">
        <w:t xml:space="preserve">reactor </w:t>
      </w:r>
      <w:r w:rsidR="00841ADB" w:rsidRPr="002B468F">
        <w:t>modules</w:t>
      </w:r>
      <w:r w:rsidR="00841ADB">
        <w:t>.</w:t>
      </w:r>
      <w:r w:rsidR="00841ADB" w:rsidRPr="002B468F">
        <w:t xml:space="preserve"> </w:t>
      </w:r>
      <w:r w:rsidR="00084941" w:rsidRPr="002B468F">
        <w:t>For example,</w:t>
      </w:r>
      <w:r w:rsidR="009C1AA7" w:rsidRPr="002B468F">
        <w:t xml:space="preserve"> the initiating event may affect all modules, but the first measure represented by the first function event may fail only in three of the modules, </w:t>
      </w:r>
      <w:r w:rsidR="0039377F" w:rsidRPr="002B468F">
        <w:t xml:space="preserve">which </w:t>
      </w:r>
      <w:r w:rsidR="009C1AA7" w:rsidRPr="002B468F">
        <w:t xml:space="preserve">could be the modules no. 3, 7 and 11 or 5, 6 and 8 or any other combination. </w:t>
      </w:r>
    </w:p>
    <w:p w14:paraId="2EADD672" w14:textId="753FB577" w:rsidR="00795C34" w:rsidRPr="002B468F" w:rsidRDefault="00841ADB" w:rsidP="00795C34">
      <w:pPr>
        <w:pStyle w:val="BodyText"/>
      </w:pPr>
      <w:r>
        <w:t xml:space="preserve">In the GRS model, however, </w:t>
      </w:r>
      <w:r w:rsidR="009C1AA7" w:rsidRPr="002B468F">
        <w:t>all modules are treated equally and indistinguishably.</w:t>
      </w:r>
      <w:r w:rsidR="00E23740" w:rsidRPr="002B468F">
        <w:t xml:space="preserve"> All possible combinations of three out of twelve modules at the site are represented by the same cut</w:t>
      </w:r>
      <w:r w:rsidR="006902AF" w:rsidRPr="002B468F">
        <w:t xml:space="preserve"> </w:t>
      </w:r>
      <w:r w:rsidR="00E23740" w:rsidRPr="002B468F">
        <w:t>set of the example.</w:t>
      </w:r>
      <w:r w:rsidR="00084941" w:rsidRPr="002B468F">
        <w:t xml:space="preserve"> </w:t>
      </w:r>
      <w:r w:rsidR="00E23740" w:rsidRPr="002B468F">
        <w:t>The correct quantification of the example cut</w:t>
      </w:r>
      <w:r w:rsidR="006902AF" w:rsidRPr="002B468F">
        <w:t xml:space="preserve"> </w:t>
      </w:r>
      <w:r w:rsidR="00E23740" w:rsidRPr="002B468F">
        <w:t xml:space="preserve">set requires a multiplication factor of the binomial coefficient </w:t>
      </w:r>
      <m:oMath>
        <m:d>
          <m:dPr>
            <m:ctrlPr>
              <w:rPr>
                <w:rFonts w:ascii="Cambria Math" w:hAnsi="Cambria Math"/>
                <w:i/>
              </w:rPr>
            </m:ctrlPr>
          </m:dPr>
          <m:e>
            <m:f>
              <m:fPr>
                <m:type m:val="noBar"/>
                <m:ctrlPr>
                  <w:rPr>
                    <w:rFonts w:ascii="Cambria Math" w:hAnsi="Cambria Math"/>
                    <w:i/>
                  </w:rPr>
                </m:ctrlPr>
              </m:fPr>
              <m:num>
                <m:r>
                  <w:rPr>
                    <w:rFonts w:ascii="Cambria Math" w:hAnsi="Cambria Math"/>
                  </w:rPr>
                  <m:t>3</m:t>
                </m:r>
              </m:num>
              <m:den>
                <m:r>
                  <w:rPr>
                    <w:rFonts w:ascii="Cambria Math" w:hAnsi="Cambria Math"/>
                  </w:rPr>
                  <m:t>12</m:t>
                </m:r>
              </m:den>
            </m:f>
          </m:e>
        </m:d>
      </m:oMath>
      <w:r w:rsidR="00E23740" w:rsidRPr="002B468F">
        <w:t xml:space="preserve"> for all possible realizations at the site. The modules in this implementation are not distinguished by their </w:t>
      </w:r>
      <w:r w:rsidR="0005035B">
        <w:t>location</w:t>
      </w:r>
      <w:r w:rsidR="0005035B" w:rsidRPr="002B468F">
        <w:t xml:space="preserve"> </w:t>
      </w:r>
      <w:r w:rsidR="00E23740" w:rsidRPr="002B468F">
        <w:t>at the site but by the SSC failures in the module.</w:t>
      </w:r>
      <w:r w:rsidR="00F82F76" w:rsidRPr="002B468F">
        <w:t xml:space="preserve"> This approach has several advantages, </w:t>
      </w:r>
      <w:r w:rsidR="00437431" w:rsidRPr="002B468F">
        <w:t>first</w:t>
      </w:r>
      <w:r w:rsidR="00F82F76" w:rsidRPr="002B468F">
        <w:t>, the event trees remain relatively small</w:t>
      </w:r>
      <w:r>
        <w:t>,</w:t>
      </w:r>
      <w:r w:rsidR="00F82F76" w:rsidRPr="002B468F">
        <w:t xml:space="preserve"> and second, if the probability of </w:t>
      </w:r>
      <w:r w:rsidR="0039377F" w:rsidRPr="002B468F">
        <w:t xml:space="preserve">the </w:t>
      </w:r>
      <w:r w:rsidR="00F82F76" w:rsidRPr="002B468F">
        <w:t>cut</w:t>
      </w:r>
      <w:r w:rsidR="006902AF" w:rsidRPr="002B468F">
        <w:t xml:space="preserve"> </w:t>
      </w:r>
      <w:r w:rsidR="00F82F76" w:rsidRPr="002B468F">
        <w:t xml:space="preserve">sets with many affected modules is below a reasonable </w:t>
      </w:r>
      <w:r w:rsidR="006902AF" w:rsidRPr="002B468F">
        <w:t>threshold</w:t>
      </w:r>
      <w:r w:rsidR="00F82F76" w:rsidRPr="002B468F">
        <w:t xml:space="preserve"> it is not necessary to </w:t>
      </w:r>
      <w:r w:rsidR="0039377F" w:rsidRPr="002B468F">
        <w:t xml:space="preserve">generate </w:t>
      </w:r>
      <w:r w:rsidR="00F82F76" w:rsidRPr="002B468F">
        <w:t xml:space="preserve">fault trees for all twelve modules separately. In </w:t>
      </w:r>
      <w:r w:rsidR="0039377F" w:rsidRPr="002B468F">
        <w:t xml:space="preserve">the GRS </w:t>
      </w:r>
      <w:r w:rsidR="00F82F76" w:rsidRPr="002B468F">
        <w:t xml:space="preserve">multi-module PSA, the fault trees </w:t>
      </w:r>
      <w:r w:rsidR="0039377F" w:rsidRPr="002B468F">
        <w:t>have been quadruplicated</w:t>
      </w:r>
      <w:r w:rsidR="00726493" w:rsidRPr="002B468F">
        <w:t xml:space="preserve"> to represent up to four affected modules. </w:t>
      </w:r>
      <w:r w:rsidR="00560D88" w:rsidRPr="002B468F">
        <w:t>A</w:t>
      </w:r>
      <w:r w:rsidR="00F82F76" w:rsidRPr="002B468F">
        <w:t xml:space="preserve"> decreasing contribution to the SCDF with </w:t>
      </w:r>
      <w:r w:rsidR="00560D88" w:rsidRPr="002B468F">
        <w:t xml:space="preserve">an </w:t>
      </w:r>
      <w:r w:rsidR="00F82F76" w:rsidRPr="002B468F">
        <w:t xml:space="preserve">increasing </w:t>
      </w:r>
      <w:r w:rsidR="00437431" w:rsidRPr="002B468F">
        <w:t>number</w:t>
      </w:r>
      <w:r w:rsidR="00F82F76" w:rsidRPr="002B468F">
        <w:t xml:space="preserve"> of affected modules</w:t>
      </w:r>
      <w:r w:rsidR="00560D88" w:rsidRPr="002B468F">
        <w:t xml:space="preserve"> </w:t>
      </w:r>
      <w:r>
        <w:t>has been observed</w:t>
      </w:r>
      <w:r w:rsidR="00560D88" w:rsidRPr="002B468F">
        <w:t xml:space="preserve"> by </w:t>
      </w:r>
      <w:r>
        <w:t>analysing t</w:t>
      </w:r>
      <w:r w:rsidR="00560D88" w:rsidRPr="002B468F">
        <w:t>he result</w:t>
      </w:r>
      <w:r>
        <w:t>s</w:t>
      </w:r>
      <w:r w:rsidR="00F82F76" w:rsidRPr="002B468F">
        <w:t>.</w:t>
      </w:r>
      <w:r w:rsidR="00560D88" w:rsidRPr="002B468F">
        <w:t xml:space="preserve"> Therefore, the approximation </w:t>
      </w:r>
      <w:r w:rsidR="004E2591">
        <w:t xml:space="preserve">of four affected modules </w:t>
      </w:r>
      <w:r w:rsidR="00560D88" w:rsidRPr="002B468F">
        <w:t>is justified.</w:t>
      </w:r>
    </w:p>
    <w:p w14:paraId="7D605E8C" w14:textId="313BB7AB" w:rsidR="00F82F76" w:rsidRPr="002B468F" w:rsidRDefault="00F82F76" w:rsidP="00841ADB">
      <w:pPr>
        <w:pStyle w:val="Heading4"/>
        <w:numPr>
          <w:ilvl w:val="3"/>
          <w:numId w:val="10"/>
        </w:numPr>
      </w:pPr>
      <w:r w:rsidRPr="002B468F">
        <w:t>Multi-module fault trees</w:t>
      </w:r>
    </w:p>
    <w:p w14:paraId="404A82EB" w14:textId="2185D76F" w:rsidR="00084941" w:rsidRPr="002B468F" w:rsidRDefault="00F82F76" w:rsidP="00084941">
      <w:pPr>
        <w:pStyle w:val="BodyText"/>
      </w:pPr>
      <w:r w:rsidRPr="002B468F">
        <w:t xml:space="preserve">The multi-module fault trees are </w:t>
      </w:r>
      <w:r w:rsidR="00F329A5" w:rsidRPr="002B468F">
        <w:t xml:space="preserve">mostly copies of the single-module fault trees with a few modifications. The </w:t>
      </w:r>
      <w:r w:rsidR="00DD24E9" w:rsidRPr="002B468F">
        <w:t xml:space="preserve">main </w:t>
      </w:r>
      <w:r w:rsidR="00F329A5" w:rsidRPr="002B468F">
        <w:t>modifications are</w:t>
      </w:r>
      <w:r w:rsidR="00DF214B" w:rsidRPr="002B468F">
        <w:t>:</w:t>
      </w:r>
    </w:p>
    <w:p w14:paraId="590C94A3" w14:textId="1D3A4124" w:rsidR="00F329A5" w:rsidRPr="002B468F" w:rsidRDefault="00F329A5" w:rsidP="00E2632A">
      <w:pPr>
        <w:pStyle w:val="ListNumbered"/>
        <w:numPr>
          <w:ilvl w:val="0"/>
          <w:numId w:val="16"/>
        </w:numPr>
      </w:pPr>
      <w:r w:rsidRPr="002B468F">
        <w:t xml:space="preserve">Replacing the CCFs </w:t>
      </w:r>
      <w:r w:rsidR="00841ADB">
        <w:t>by</w:t>
      </w:r>
      <w:r w:rsidRPr="002B468F">
        <w:t xml:space="preserve"> CCFs of larger component groups</w:t>
      </w:r>
      <w:r w:rsidR="00DF214B" w:rsidRPr="002B468F">
        <w:t>;</w:t>
      </w:r>
    </w:p>
    <w:p w14:paraId="130EA796" w14:textId="143E3E06" w:rsidR="00F329A5" w:rsidRPr="002B468F" w:rsidRDefault="00F329A5" w:rsidP="00B36077">
      <w:pPr>
        <w:pStyle w:val="ListNumbered"/>
      </w:pPr>
      <w:r w:rsidRPr="002B468F">
        <w:t xml:space="preserve">Replacing the human failure model </w:t>
      </w:r>
      <w:r w:rsidR="00841ADB">
        <w:t>by</w:t>
      </w:r>
      <w:r w:rsidRPr="002B468F">
        <w:t xml:space="preserve"> a model considering increased failure probabilities if the operational team need</w:t>
      </w:r>
      <w:r w:rsidR="00841ADB">
        <w:t>s</w:t>
      </w:r>
      <w:r w:rsidRPr="002B468F">
        <w:t xml:space="preserve"> to act on several modules </w:t>
      </w:r>
      <w:r w:rsidR="00841ADB">
        <w:t>in parallel</w:t>
      </w:r>
      <w:r w:rsidR="00DF214B" w:rsidRPr="002B468F">
        <w:t>;</w:t>
      </w:r>
    </w:p>
    <w:p w14:paraId="2F72016E" w14:textId="1870B0B3" w:rsidR="00F329A5" w:rsidRPr="002B468F" w:rsidRDefault="00F329A5" w:rsidP="00B36077">
      <w:pPr>
        <w:pStyle w:val="ListNumbered"/>
      </w:pPr>
      <w:r w:rsidRPr="002B468F">
        <w:t>Function events based on systems with limited redundancy are implemented to fail if the number of affected modules is higher than the system redundancy</w:t>
      </w:r>
      <w:r w:rsidR="00DF214B" w:rsidRPr="002B468F">
        <w:t>;</w:t>
      </w:r>
    </w:p>
    <w:p w14:paraId="308CEDCD" w14:textId="3C4875BD" w:rsidR="00F329A5" w:rsidRPr="002B468F" w:rsidRDefault="00F329A5" w:rsidP="00B36077">
      <w:pPr>
        <w:pStyle w:val="ListNumbered"/>
      </w:pPr>
      <w:r w:rsidRPr="002B468F">
        <w:t>Implement</w:t>
      </w:r>
      <w:r w:rsidR="00DD24E9" w:rsidRPr="002B468F">
        <w:t>ation of the</w:t>
      </w:r>
      <w:r w:rsidRPr="002B468F">
        <w:t xml:space="preserve"> binomial </w:t>
      </w:r>
      <w:r w:rsidR="00437431" w:rsidRPr="002B468F">
        <w:t>coefficient-based</w:t>
      </w:r>
      <w:r w:rsidRPr="002B468F">
        <w:t xml:space="preserve"> multiplication factors </w:t>
      </w:r>
      <w:r w:rsidR="00DD24E9" w:rsidRPr="002B468F">
        <w:t>for the cut</w:t>
      </w:r>
      <w:r w:rsidR="006902AF" w:rsidRPr="002B468F">
        <w:t xml:space="preserve"> </w:t>
      </w:r>
      <w:r w:rsidR="00DD24E9" w:rsidRPr="002B468F">
        <w:t>sets</w:t>
      </w:r>
      <w:r w:rsidR="00DF214B" w:rsidRPr="002B468F">
        <w:t>.</w:t>
      </w:r>
    </w:p>
    <w:p w14:paraId="1A94D411" w14:textId="42421DA5" w:rsidR="007F1C3F" w:rsidRPr="002B468F" w:rsidRDefault="0039377F" w:rsidP="00841ADB">
      <w:pPr>
        <w:pStyle w:val="Heading3"/>
        <w:keepNext/>
      </w:pPr>
      <w:bookmarkStart w:id="0" w:name="_Hlk166058836"/>
      <w:r w:rsidRPr="002B468F">
        <w:t xml:space="preserve">Common </w:t>
      </w:r>
      <w:r w:rsidR="00432CF8" w:rsidRPr="002B468F">
        <w:t>c</w:t>
      </w:r>
      <w:r w:rsidRPr="002B468F">
        <w:t xml:space="preserve">ause </w:t>
      </w:r>
      <w:r w:rsidR="00432CF8" w:rsidRPr="002B468F">
        <w:t>f</w:t>
      </w:r>
      <w:r w:rsidRPr="002B468F">
        <w:t>ailures</w:t>
      </w:r>
    </w:p>
    <w:bookmarkEnd w:id="0"/>
    <w:p w14:paraId="5127BA91" w14:textId="28219563" w:rsidR="00A11669" w:rsidRPr="002B468F" w:rsidRDefault="00974387" w:rsidP="00A11669">
      <w:pPr>
        <w:pStyle w:val="BodyText"/>
      </w:pPr>
      <w:r w:rsidRPr="002B468F">
        <w:t xml:space="preserve">The CCF component groups of a single </w:t>
      </w:r>
      <w:r w:rsidR="00841ADB">
        <w:t xml:space="preserve">reactor </w:t>
      </w:r>
      <w:r w:rsidRPr="002B468F">
        <w:t xml:space="preserve">module have been extended to component groups for twelve modules. </w:t>
      </w:r>
      <w:r w:rsidR="00C46A34" w:rsidRPr="002B468F">
        <w:t xml:space="preserve">The reasons for this extension are similar environment and manufacturing conditions and the </w:t>
      </w:r>
      <w:r w:rsidR="00841ADB">
        <w:t>identical</w:t>
      </w:r>
      <w:r w:rsidR="00C46A34" w:rsidRPr="002B468F">
        <w:t xml:space="preserve"> design of</w:t>
      </w:r>
      <w:r w:rsidR="0039377F" w:rsidRPr="002B468F">
        <w:t xml:space="preserve"> the</w:t>
      </w:r>
      <w:r w:rsidR="00C46A34" w:rsidRPr="002B468F">
        <w:t xml:space="preserve"> same components in different modules. </w:t>
      </w:r>
      <w:r w:rsidRPr="002B468F">
        <w:t xml:space="preserve">Therefore, the groups </w:t>
      </w:r>
      <w:r w:rsidR="0039377F" w:rsidRPr="002B468F">
        <w:t xml:space="preserve">can get </w:t>
      </w:r>
      <w:r w:rsidRPr="002B468F">
        <w:t>rather large, e.g., the group of all EDSS batteries contain</w:t>
      </w:r>
      <w:r w:rsidR="0039377F" w:rsidRPr="002B468F">
        <w:t>s</w:t>
      </w:r>
      <w:r w:rsidRPr="002B468F">
        <w:t xml:space="preserve"> 96 batteries, the group of all </w:t>
      </w:r>
      <w:r w:rsidR="005B5B6F" w:rsidRPr="002B468F">
        <w:t>ECCS trip valves contain</w:t>
      </w:r>
      <w:r w:rsidR="0039377F" w:rsidRPr="002B468F">
        <w:t>s</w:t>
      </w:r>
      <w:r w:rsidR="005B5B6F" w:rsidRPr="002B468F">
        <w:t xml:space="preserve"> </w:t>
      </w:r>
      <w:r w:rsidR="00EA1C10" w:rsidRPr="002B468F">
        <w:t xml:space="preserve">72 </w:t>
      </w:r>
      <w:r w:rsidR="005B5B6F" w:rsidRPr="002B468F">
        <w:t>valves, the group of all CVCS makeup pumps contain</w:t>
      </w:r>
      <w:r w:rsidR="0039377F" w:rsidRPr="002B468F">
        <w:t>s</w:t>
      </w:r>
      <w:r w:rsidR="005B5B6F" w:rsidRPr="002B468F">
        <w:t xml:space="preserve"> 24 pumps. The component groups which had been determined for low group sizes in</w:t>
      </w:r>
      <w:r w:rsidR="0039377F" w:rsidRPr="002B468F">
        <w:t xml:space="preserve"> tradi</w:t>
      </w:r>
      <w:r w:rsidR="005B5B6F" w:rsidRPr="002B468F">
        <w:t>tional NPP</w:t>
      </w:r>
      <w:r w:rsidR="0039377F" w:rsidRPr="002B468F">
        <w:t>s</w:t>
      </w:r>
      <w:r w:rsidR="005B5B6F" w:rsidRPr="002B468F">
        <w:t xml:space="preserve"> before [</w:t>
      </w:r>
      <w:r w:rsidR="008600BE">
        <w:t>4</w:t>
      </w:r>
      <w:r w:rsidR="005B5B6F" w:rsidRPr="002B468F">
        <w:t xml:space="preserve">] </w:t>
      </w:r>
      <w:r w:rsidR="0039377F" w:rsidRPr="002B468F">
        <w:t xml:space="preserve">have been </w:t>
      </w:r>
      <w:r w:rsidR="005B5B6F" w:rsidRPr="002B468F">
        <w:t xml:space="preserve">enlarged to quantify the CCF </w:t>
      </w:r>
      <w:r w:rsidR="00C718D8" w:rsidRPr="002B468F">
        <w:t xml:space="preserve">probability </w:t>
      </w:r>
      <w:r w:rsidR="005B5B6F" w:rsidRPr="002B468F">
        <w:t xml:space="preserve">of component groups over the whole plant. However, this comes along with </w:t>
      </w:r>
      <w:r w:rsidR="00841ADB">
        <w:t xml:space="preserve">an </w:t>
      </w:r>
      <w:r w:rsidR="005B5B6F" w:rsidRPr="002B468F">
        <w:t>increased uncertainty</w:t>
      </w:r>
      <w:r w:rsidR="00C718D8" w:rsidRPr="002B468F">
        <w:t xml:space="preserve">, </w:t>
      </w:r>
      <w:r w:rsidR="00841ADB">
        <w:t>particularly</w:t>
      </w:r>
      <w:r w:rsidR="00C718D8" w:rsidRPr="002B468F">
        <w:t xml:space="preserve"> in component groups based on very few documented CCF events or low operating </w:t>
      </w:r>
      <w:r w:rsidR="00841ADB">
        <w:t>periods</w:t>
      </w:r>
      <w:r w:rsidR="00C718D8" w:rsidRPr="002B468F">
        <w:t xml:space="preserve">, e.g., emergency equipment </w:t>
      </w:r>
      <w:r w:rsidR="00841ADB">
        <w:t>such as</w:t>
      </w:r>
      <w:r w:rsidR="00C718D8" w:rsidRPr="002B468F">
        <w:t xml:space="preserve"> batteries.</w:t>
      </w:r>
    </w:p>
    <w:p w14:paraId="441F9833" w14:textId="74159651" w:rsidR="00A11669" w:rsidRPr="002B468F" w:rsidRDefault="00A11669" w:rsidP="00841ADB">
      <w:pPr>
        <w:pStyle w:val="Heading3"/>
        <w:keepNext/>
      </w:pPr>
      <w:r w:rsidRPr="002B468F">
        <w:t xml:space="preserve">Human </w:t>
      </w:r>
      <w:r w:rsidR="008E3C67" w:rsidRPr="002B468F">
        <w:t>failure</w:t>
      </w:r>
      <w:r w:rsidR="004E4717" w:rsidRPr="002B468F">
        <w:t>s</w:t>
      </w:r>
    </w:p>
    <w:p w14:paraId="6ACC8BE4" w14:textId="3DB299C6" w:rsidR="00A11669" w:rsidRPr="002B468F" w:rsidRDefault="00C718D8" w:rsidP="00A11669">
      <w:pPr>
        <w:pStyle w:val="BodyText"/>
      </w:pPr>
      <w:r w:rsidRPr="002B468F">
        <w:t xml:space="preserve">A rather simple model </w:t>
      </w:r>
      <w:r w:rsidR="00841ADB">
        <w:t>for</w:t>
      </w:r>
      <w:r w:rsidRPr="002B468F">
        <w:t xml:space="preserve"> human error has been implemented into the multi-module PSA model. We expect the human </w:t>
      </w:r>
      <w:r w:rsidR="008E3C67" w:rsidRPr="002B468F">
        <w:t>failure</w:t>
      </w:r>
      <w:r w:rsidRPr="002B468F">
        <w:t xml:space="preserve"> to drastically </w:t>
      </w:r>
      <w:r w:rsidR="006C068D" w:rsidRPr="002B468F">
        <w:t>increase if</w:t>
      </w:r>
      <w:r w:rsidRPr="002B468F">
        <w:t xml:space="preserve"> multiple modules need human actions at the same time. </w:t>
      </w:r>
      <w:r w:rsidR="008E3C67" w:rsidRPr="002B468F">
        <w:t xml:space="preserve">The </w:t>
      </w:r>
      <w:r w:rsidR="00086C28" w:rsidRPr="002B468F">
        <w:t xml:space="preserve">implemented </w:t>
      </w:r>
      <w:r w:rsidR="008E3C67" w:rsidRPr="002B468F">
        <w:t xml:space="preserve">failure probabilities are </w:t>
      </w:r>
      <w:r w:rsidR="00086C28" w:rsidRPr="002B468F">
        <w:t>presented in TABLE 1.</w:t>
      </w:r>
    </w:p>
    <w:p w14:paraId="549CBAC8" w14:textId="77777777" w:rsidR="008E3C67" w:rsidRPr="002B468F" w:rsidRDefault="008E3C67" w:rsidP="00A11669">
      <w:pPr>
        <w:pStyle w:val="BodyText"/>
      </w:pPr>
    </w:p>
    <w:p w14:paraId="6254647E" w14:textId="34C12E00" w:rsidR="008E3C67" w:rsidRDefault="008E3C67" w:rsidP="00F264A6">
      <w:pPr>
        <w:pStyle w:val="BodyText"/>
        <w:keepNext/>
        <w:ind w:firstLine="0"/>
      </w:pPr>
      <w:r w:rsidRPr="002B468F">
        <w:lastRenderedPageBreak/>
        <w:t>TABLE 1.</w:t>
      </w:r>
      <w:r w:rsidRPr="002B468F">
        <w:tab/>
        <w:t>HUMAN FAILURE</w:t>
      </w:r>
    </w:p>
    <w:p w14:paraId="4C4E2DD0" w14:textId="77777777" w:rsidR="003E71DC" w:rsidRPr="002B468F" w:rsidRDefault="003E71DC" w:rsidP="00F264A6">
      <w:pPr>
        <w:pStyle w:val="BodyText"/>
        <w:keepNext/>
        <w:ind w:firstLine="0"/>
      </w:pPr>
    </w:p>
    <w:tbl>
      <w:tblPr>
        <w:tblStyle w:val="TableGrid"/>
        <w:tblW w:w="909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418"/>
        <w:gridCol w:w="283"/>
        <w:gridCol w:w="1701"/>
        <w:gridCol w:w="1728"/>
      </w:tblGrid>
      <w:tr w:rsidR="00C75871" w:rsidRPr="002B468F" w14:paraId="1AE2839B" w14:textId="65682C9C" w:rsidTr="003E71DC">
        <w:trPr>
          <w:trHeight w:val="542"/>
          <w:tblHeader/>
          <w:jc w:val="center"/>
        </w:trPr>
        <w:tc>
          <w:tcPr>
            <w:tcW w:w="1985" w:type="dxa"/>
            <w:tcBorders>
              <w:top w:val="single" w:sz="4" w:space="0" w:color="auto"/>
              <w:bottom w:val="single" w:sz="4" w:space="0" w:color="auto"/>
            </w:tcBorders>
          </w:tcPr>
          <w:p w14:paraId="5AA033CD" w14:textId="10244ECD" w:rsidR="006C068D" w:rsidRPr="00F264A6" w:rsidRDefault="006C068D" w:rsidP="008D61A9">
            <w:pPr>
              <w:pStyle w:val="BodyText"/>
              <w:spacing w:line="240" w:lineRule="auto"/>
              <w:ind w:firstLine="0"/>
              <w:contextualSpacing w:val="0"/>
              <w:rPr>
                <w:sz w:val="18"/>
                <w:szCs w:val="18"/>
              </w:rPr>
            </w:pPr>
            <w:r w:rsidRPr="00F264A6">
              <w:rPr>
                <w:sz w:val="18"/>
                <w:szCs w:val="18"/>
              </w:rPr>
              <w:t>Failure in module</w:t>
            </w:r>
          </w:p>
        </w:tc>
        <w:tc>
          <w:tcPr>
            <w:tcW w:w="1984" w:type="dxa"/>
            <w:tcBorders>
              <w:top w:val="single" w:sz="4" w:space="0" w:color="auto"/>
              <w:bottom w:val="single" w:sz="4" w:space="0" w:color="auto"/>
            </w:tcBorders>
          </w:tcPr>
          <w:p w14:paraId="4EF02D3E" w14:textId="666D2FD3" w:rsidR="006C068D" w:rsidRPr="00F264A6" w:rsidRDefault="00FD2950" w:rsidP="008D61A9">
            <w:pPr>
              <w:pStyle w:val="BodyText"/>
              <w:spacing w:line="240" w:lineRule="auto"/>
              <w:ind w:firstLine="0"/>
              <w:contextualSpacing w:val="0"/>
              <w:jc w:val="center"/>
              <w:rPr>
                <w:sz w:val="18"/>
                <w:szCs w:val="18"/>
              </w:rPr>
            </w:pPr>
            <w:r w:rsidRPr="00F264A6">
              <w:rPr>
                <w:sz w:val="18"/>
                <w:szCs w:val="18"/>
              </w:rPr>
              <w:t>Failure probability for r</w:t>
            </w:r>
            <w:r w:rsidR="006C068D" w:rsidRPr="00F264A6">
              <w:rPr>
                <w:sz w:val="18"/>
                <w:szCs w:val="18"/>
              </w:rPr>
              <w:t xml:space="preserve">equest in </w:t>
            </w:r>
            <w:r w:rsidRPr="00F264A6">
              <w:rPr>
                <w:sz w:val="18"/>
                <w:szCs w:val="18"/>
              </w:rPr>
              <w:t xml:space="preserve">one </w:t>
            </w:r>
            <w:r w:rsidR="006C068D" w:rsidRPr="00F264A6">
              <w:rPr>
                <w:sz w:val="18"/>
                <w:szCs w:val="18"/>
              </w:rPr>
              <w:t>module</w:t>
            </w:r>
          </w:p>
        </w:tc>
        <w:tc>
          <w:tcPr>
            <w:tcW w:w="1701" w:type="dxa"/>
            <w:gridSpan w:val="2"/>
            <w:tcBorders>
              <w:top w:val="single" w:sz="4" w:space="0" w:color="auto"/>
              <w:bottom w:val="single" w:sz="4" w:space="0" w:color="auto"/>
            </w:tcBorders>
          </w:tcPr>
          <w:p w14:paraId="6F048155" w14:textId="0F65B615" w:rsidR="006C068D" w:rsidRPr="00F264A6" w:rsidRDefault="00FD2950" w:rsidP="008D61A9">
            <w:pPr>
              <w:pStyle w:val="BodyText"/>
              <w:spacing w:line="240" w:lineRule="auto"/>
              <w:ind w:firstLine="0"/>
              <w:contextualSpacing w:val="0"/>
              <w:jc w:val="center"/>
              <w:rPr>
                <w:sz w:val="18"/>
                <w:szCs w:val="18"/>
              </w:rPr>
            </w:pPr>
            <w:r w:rsidRPr="00F264A6">
              <w:rPr>
                <w:sz w:val="18"/>
                <w:szCs w:val="18"/>
              </w:rPr>
              <w:t>Failure probability for r</w:t>
            </w:r>
            <w:r w:rsidR="006C068D" w:rsidRPr="00F264A6">
              <w:rPr>
                <w:sz w:val="18"/>
                <w:szCs w:val="18"/>
              </w:rPr>
              <w:t xml:space="preserve">equest in </w:t>
            </w:r>
            <w:r w:rsidRPr="00F264A6">
              <w:rPr>
                <w:sz w:val="18"/>
                <w:szCs w:val="18"/>
              </w:rPr>
              <w:t xml:space="preserve">two </w:t>
            </w:r>
            <w:r w:rsidR="006C068D" w:rsidRPr="00F264A6">
              <w:rPr>
                <w:sz w:val="18"/>
                <w:szCs w:val="18"/>
              </w:rPr>
              <w:t>modules</w:t>
            </w:r>
          </w:p>
        </w:tc>
        <w:tc>
          <w:tcPr>
            <w:tcW w:w="1701" w:type="dxa"/>
            <w:tcBorders>
              <w:top w:val="single" w:sz="4" w:space="0" w:color="auto"/>
              <w:bottom w:val="single" w:sz="4" w:space="0" w:color="auto"/>
            </w:tcBorders>
          </w:tcPr>
          <w:p w14:paraId="68845CA6" w14:textId="5098F1BA" w:rsidR="006C068D" w:rsidRPr="00F264A6" w:rsidRDefault="00FD2950" w:rsidP="008D61A9">
            <w:pPr>
              <w:pStyle w:val="BodyText"/>
              <w:spacing w:line="240" w:lineRule="auto"/>
              <w:ind w:firstLine="0"/>
              <w:contextualSpacing w:val="0"/>
              <w:jc w:val="center"/>
              <w:rPr>
                <w:sz w:val="18"/>
                <w:szCs w:val="18"/>
              </w:rPr>
            </w:pPr>
            <w:r w:rsidRPr="00F264A6">
              <w:rPr>
                <w:sz w:val="18"/>
                <w:szCs w:val="18"/>
              </w:rPr>
              <w:t>Failure probability for r</w:t>
            </w:r>
            <w:r w:rsidR="006C068D" w:rsidRPr="00F264A6">
              <w:rPr>
                <w:sz w:val="18"/>
                <w:szCs w:val="18"/>
              </w:rPr>
              <w:t xml:space="preserve">equest in </w:t>
            </w:r>
            <w:r w:rsidRPr="00F264A6">
              <w:rPr>
                <w:sz w:val="18"/>
                <w:szCs w:val="18"/>
              </w:rPr>
              <w:t xml:space="preserve">three </w:t>
            </w:r>
            <w:r w:rsidR="006C068D" w:rsidRPr="00F264A6">
              <w:rPr>
                <w:sz w:val="18"/>
                <w:szCs w:val="18"/>
              </w:rPr>
              <w:t>modules</w:t>
            </w:r>
          </w:p>
        </w:tc>
        <w:tc>
          <w:tcPr>
            <w:tcW w:w="1728" w:type="dxa"/>
            <w:tcBorders>
              <w:top w:val="single" w:sz="4" w:space="0" w:color="auto"/>
              <w:bottom w:val="single" w:sz="4" w:space="0" w:color="auto"/>
            </w:tcBorders>
          </w:tcPr>
          <w:p w14:paraId="38E33AE6" w14:textId="38D72A80" w:rsidR="006C068D" w:rsidRPr="00F264A6" w:rsidRDefault="00FD2950" w:rsidP="008D61A9">
            <w:pPr>
              <w:pStyle w:val="BodyText"/>
              <w:spacing w:line="240" w:lineRule="auto"/>
              <w:ind w:firstLine="0"/>
              <w:contextualSpacing w:val="0"/>
              <w:jc w:val="center"/>
              <w:rPr>
                <w:sz w:val="18"/>
                <w:szCs w:val="18"/>
              </w:rPr>
            </w:pPr>
            <w:r w:rsidRPr="00F264A6">
              <w:rPr>
                <w:sz w:val="18"/>
                <w:szCs w:val="18"/>
              </w:rPr>
              <w:t>Failure probability for r</w:t>
            </w:r>
            <w:r w:rsidR="006C068D" w:rsidRPr="00F264A6">
              <w:rPr>
                <w:sz w:val="18"/>
                <w:szCs w:val="18"/>
              </w:rPr>
              <w:t xml:space="preserve">equest in </w:t>
            </w:r>
            <w:r w:rsidRPr="00F264A6">
              <w:rPr>
                <w:sz w:val="18"/>
                <w:szCs w:val="18"/>
              </w:rPr>
              <w:t>four</w:t>
            </w:r>
            <w:r w:rsidR="006C068D" w:rsidRPr="00F264A6">
              <w:rPr>
                <w:sz w:val="18"/>
                <w:szCs w:val="18"/>
              </w:rPr>
              <w:t xml:space="preserve"> modules</w:t>
            </w:r>
          </w:p>
        </w:tc>
      </w:tr>
      <w:tr w:rsidR="00C75871" w:rsidRPr="002B468F" w14:paraId="43483A17" w14:textId="0057674B" w:rsidTr="003E71DC">
        <w:trPr>
          <w:trHeight w:val="557"/>
          <w:jc w:val="center"/>
        </w:trPr>
        <w:tc>
          <w:tcPr>
            <w:tcW w:w="1985" w:type="dxa"/>
            <w:tcBorders>
              <w:top w:val="single" w:sz="4" w:space="0" w:color="auto"/>
            </w:tcBorders>
          </w:tcPr>
          <w:p w14:paraId="7EDF902C" w14:textId="6E936DC3" w:rsidR="006C068D" w:rsidRPr="00F264A6" w:rsidRDefault="006C068D" w:rsidP="008D61A9">
            <w:pPr>
              <w:pStyle w:val="BodyText"/>
              <w:spacing w:line="240" w:lineRule="auto"/>
              <w:ind w:firstLine="0"/>
              <w:contextualSpacing w:val="0"/>
              <w:jc w:val="left"/>
              <w:rPr>
                <w:sz w:val="18"/>
                <w:szCs w:val="18"/>
              </w:rPr>
            </w:pPr>
            <w:r w:rsidRPr="00F264A6">
              <w:rPr>
                <w:rStyle w:val="TabletextChar"/>
                <w:sz w:val="18"/>
                <w:szCs w:val="18"/>
              </w:rPr>
              <w:t xml:space="preserve">Failure in </w:t>
            </w:r>
            <w:r w:rsidR="00FD2950" w:rsidRPr="00F264A6">
              <w:rPr>
                <w:rStyle w:val="TabletextChar"/>
                <w:sz w:val="18"/>
                <w:szCs w:val="18"/>
              </w:rPr>
              <w:t xml:space="preserve">one </w:t>
            </w:r>
            <w:r w:rsidRPr="00F264A6">
              <w:rPr>
                <w:rStyle w:val="TabletextChar"/>
                <w:sz w:val="18"/>
                <w:szCs w:val="18"/>
              </w:rPr>
              <w:t>module</w:t>
            </w:r>
          </w:p>
        </w:tc>
        <w:tc>
          <w:tcPr>
            <w:tcW w:w="1984" w:type="dxa"/>
            <w:tcBorders>
              <w:top w:val="single" w:sz="4" w:space="0" w:color="auto"/>
            </w:tcBorders>
          </w:tcPr>
          <w:p w14:paraId="61AAD108" w14:textId="42609FFF"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 xml:space="preserve">Same as in </w:t>
            </w:r>
            <w:r w:rsidR="00FD2950" w:rsidRPr="00F264A6">
              <w:rPr>
                <w:sz w:val="18"/>
                <w:szCs w:val="18"/>
              </w:rPr>
              <w:t xml:space="preserve">a </w:t>
            </w:r>
            <w:r w:rsidRPr="00F264A6">
              <w:rPr>
                <w:sz w:val="18"/>
                <w:szCs w:val="18"/>
              </w:rPr>
              <w:t>single-module model</w:t>
            </w:r>
          </w:p>
        </w:tc>
        <w:tc>
          <w:tcPr>
            <w:tcW w:w="1418" w:type="dxa"/>
            <w:tcBorders>
              <w:top w:val="single" w:sz="4" w:space="0" w:color="auto"/>
            </w:tcBorders>
          </w:tcPr>
          <w:p w14:paraId="71221338" w14:textId="231A77D8"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0.1</w:t>
            </w:r>
            <w:r w:rsidR="00FD2950" w:rsidRPr="00F264A6">
              <w:rPr>
                <w:sz w:val="18"/>
                <w:szCs w:val="18"/>
              </w:rPr>
              <w:t>0</w:t>
            </w:r>
          </w:p>
        </w:tc>
        <w:tc>
          <w:tcPr>
            <w:tcW w:w="1984" w:type="dxa"/>
            <w:gridSpan w:val="2"/>
            <w:tcBorders>
              <w:top w:val="single" w:sz="4" w:space="0" w:color="auto"/>
            </w:tcBorders>
          </w:tcPr>
          <w:p w14:paraId="342264A4" w14:textId="4C2847E3"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0.5</w:t>
            </w:r>
            <w:r w:rsidR="00FD2950" w:rsidRPr="00F264A6">
              <w:rPr>
                <w:sz w:val="18"/>
                <w:szCs w:val="18"/>
              </w:rPr>
              <w:t>0</w:t>
            </w:r>
          </w:p>
        </w:tc>
        <w:tc>
          <w:tcPr>
            <w:tcW w:w="1728" w:type="dxa"/>
            <w:tcBorders>
              <w:top w:val="single" w:sz="4" w:space="0" w:color="auto"/>
            </w:tcBorders>
          </w:tcPr>
          <w:p w14:paraId="267BAA7E" w14:textId="56A79423"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0.7</w:t>
            </w:r>
            <w:r w:rsidR="00FD2950" w:rsidRPr="00F264A6">
              <w:rPr>
                <w:sz w:val="18"/>
                <w:szCs w:val="18"/>
              </w:rPr>
              <w:t>0</w:t>
            </w:r>
          </w:p>
        </w:tc>
      </w:tr>
      <w:tr w:rsidR="00C75871" w:rsidRPr="002B468F" w14:paraId="7A73EB6C" w14:textId="71486D80" w:rsidTr="003E71DC">
        <w:trPr>
          <w:trHeight w:val="270"/>
          <w:jc w:val="center"/>
        </w:trPr>
        <w:tc>
          <w:tcPr>
            <w:tcW w:w="1985" w:type="dxa"/>
          </w:tcPr>
          <w:p w14:paraId="44E949D0" w14:textId="1B47C78A" w:rsidR="006C068D" w:rsidRPr="00F264A6" w:rsidRDefault="006C068D" w:rsidP="008D61A9">
            <w:pPr>
              <w:pStyle w:val="BodyText"/>
              <w:spacing w:line="240" w:lineRule="auto"/>
              <w:ind w:firstLine="0"/>
              <w:contextualSpacing w:val="0"/>
              <w:jc w:val="left"/>
              <w:rPr>
                <w:sz w:val="18"/>
                <w:szCs w:val="18"/>
              </w:rPr>
            </w:pPr>
            <w:r w:rsidRPr="00F264A6">
              <w:rPr>
                <w:rStyle w:val="TabletextChar"/>
                <w:sz w:val="18"/>
                <w:szCs w:val="18"/>
              </w:rPr>
              <w:t xml:space="preserve">Failure in </w:t>
            </w:r>
            <w:r w:rsidR="00FD2950" w:rsidRPr="00F264A6">
              <w:rPr>
                <w:rStyle w:val="TabletextChar"/>
                <w:sz w:val="18"/>
                <w:szCs w:val="18"/>
              </w:rPr>
              <w:t xml:space="preserve">two </w:t>
            </w:r>
            <w:r w:rsidRPr="00F264A6">
              <w:rPr>
                <w:rStyle w:val="TabletextChar"/>
                <w:sz w:val="18"/>
                <w:szCs w:val="18"/>
              </w:rPr>
              <w:t>modules</w:t>
            </w:r>
          </w:p>
        </w:tc>
        <w:tc>
          <w:tcPr>
            <w:tcW w:w="1984" w:type="dxa"/>
          </w:tcPr>
          <w:p w14:paraId="44C19903" w14:textId="4855AAA0"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w:t>
            </w:r>
          </w:p>
        </w:tc>
        <w:tc>
          <w:tcPr>
            <w:tcW w:w="1418" w:type="dxa"/>
          </w:tcPr>
          <w:p w14:paraId="5217E9DF" w14:textId="7C5A76EC"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0.01</w:t>
            </w:r>
          </w:p>
        </w:tc>
        <w:tc>
          <w:tcPr>
            <w:tcW w:w="1984" w:type="dxa"/>
            <w:gridSpan w:val="2"/>
          </w:tcPr>
          <w:p w14:paraId="029DBD84" w14:textId="44E6C370"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0.1</w:t>
            </w:r>
            <w:r w:rsidR="00FD2950" w:rsidRPr="00F264A6">
              <w:rPr>
                <w:sz w:val="18"/>
                <w:szCs w:val="18"/>
              </w:rPr>
              <w:t>0</w:t>
            </w:r>
          </w:p>
        </w:tc>
        <w:tc>
          <w:tcPr>
            <w:tcW w:w="1728" w:type="dxa"/>
          </w:tcPr>
          <w:p w14:paraId="787C27B9" w14:textId="4238DD8E"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0.24</w:t>
            </w:r>
          </w:p>
        </w:tc>
      </w:tr>
      <w:tr w:rsidR="00C75871" w:rsidRPr="002B468F" w14:paraId="1D57275C" w14:textId="77777777" w:rsidTr="003E71DC">
        <w:trPr>
          <w:trHeight w:val="270"/>
          <w:jc w:val="center"/>
        </w:trPr>
        <w:tc>
          <w:tcPr>
            <w:tcW w:w="1985" w:type="dxa"/>
          </w:tcPr>
          <w:p w14:paraId="2407B77C" w14:textId="7D196DB3" w:rsidR="006C068D" w:rsidRPr="00F264A6" w:rsidRDefault="006C068D" w:rsidP="008D61A9">
            <w:pPr>
              <w:pStyle w:val="BodyText"/>
              <w:spacing w:line="240" w:lineRule="auto"/>
              <w:ind w:firstLine="0"/>
              <w:contextualSpacing w:val="0"/>
              <w:jc w:val="left"/>
              <w:rPr>
                <w:rStyle w:val="TabletextChar"/>
                <w:sz w:val="18"/>
                <w:szCs w:val="18"/>
              </w:rPr>
            </w:pPr>
            <w:r w:rsidRPr="00F264A6">
              <w:rPr>
                <w:rStyle w:val="TabletextChar"/>
                <w:sz w:val="18"/>
                <w:szCs w:val="18"/>
              </w:rPr>
              <w:t xml:space="preserve">Failure in </w:t>
            </w:r>
            <w:r w:rsidR="00FD2950" w:rsidRPr="00F264A6">
              <w:rPr>
                <w:rStyle w:val="TabletextChar"/>
                <w:sz w:val="18"/>
                <w:szCs w:val="18"/>
              </w:rPr>
              <w:t>three</w:t>
            </w:r>
            <w:r w:rsidRPr="00F264A6">
              <w:rPr>
                <w:rStyle w:val="TabletextChar"/>
                <w:sz w:val="18"/>
                <w:szCs w:val="18"/>
              </w:rPr>
              <w:t xml:space="preserve"> modules</w:t>
            </w:r>
          </w:p>
        </w:tc>
        <w:tc>
          <w:tcPr>
            <w:tcW w:w="1984" w:type="dxa"/>
          </w:tcPr>
          <w:p w14:paraId="5716D7AD" w14:textId="197F9B10"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w:t>
            </w:r>
          </w:p>
        </w:tc>
        <w:tc>
          <w:tcPr>
            <w:tcW w:w="1418" w:type="dxa"/>
          </w:tcPr>
          <w:p w14:paraId="225CFA91" w14:textId="0DB5C760"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w:t>
            </w:r>
          </w:p>
        </w:tc>
        <w:tc>
          <w:tcPr>
            <w:tcW w:w="1984" w:type="dxa"/>
            <w:gridSpan w:val="2"/>
          </w:tcPr>
          <w:p w14:paraId="640543AC" w14:textId="5E59ECE9"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0.01</w:t>
            </w:r>
          </w:p>
        </w:tc>
        <w:tc>
          <w:tcPr>
            <w:tcW w:w="1728" w:type="dxa"/>
          </w:tcPr>
          <w:p w14:paraId="390203C3" w14:textId="766F9207"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0.05</w:t>
            </w:r>
          </w:p>
        </w:tc>
      </w:tr>
      <w:tr w:rsidR="00C75871" w:rsidRPr="002B468F" w14:paraId="43163573" w14:textId="77777777" w:rsidTr="003E71DC">
        <w:trPr>
          <w:trHeight w:val="286"/>
          <w:jc w:val="center"/>
        </w:trPr>
        <w:tc>
          <w:tcPr>
            <w:tcW w:w="1985" w:type="dxa"/>
          </w:tcPr>
          <w:p w14:paraId="338DADE5" w14:textId="4F7BA8A6" w:rsidR="006C068D" w:rsidRPr="00F264A6" w:rsidRDefault="006C068D" w:rsidP="008D61A9">
            <w:pPr>
              <w:pStyle w:val="BodyText"/>
              <w:spacing w:line="240" w:lineRule="auto"/>
              <w:ind w:firstLine="0"/>
              <w:contextualSpacing w:val="0"/>
              <w:rPr>
                <w:rStyle w:val="TabletextChar"/>
                <w:sz w:val="18"/>
                <w:szCs w:val="18"/>
              </w:rPr>
            </w:pPr>
            <w:r w:rsidRPr="00F264A6">
              <w:rPr>
                <w:rStyle w:val="TabletextChar"/>
                <w:sz w:val="18"/>
                <w:szCs w:val="18"/>
              </w:rPr>
              <w:t>Failure in modules</w:t>
            </w:r>
          </w:p>
        </w:tc>
        <w:tc>
          <w:tcPr>
            <w:tcW w:w="1984" w:type="dxa"/>
          </w:tcPr>
          <w:p w14:paraId="5D54E9E1" w14:textId="4F6C6D9C"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w:t>
            </w:r>
          </w:p>
        </w:tc>
        <w:tc>
          <w:tcPr>
            <w:tcW w:w="1418" w:type="dxa"/>
          </w:tcPr>
          <w:p w14:paraId="1D9D45B7" w14:textId="11AE6F37"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w:t>
            </w:r>
          </w:p>
        </w:tc>
        <w:tc>
          <w:tcPr>
            <w:tcW w:w="1984" w:type="dxa"/>
            <w:gridSpan w:val="2"/>
          </w:tcPr>
          <w:p w14:paraId="35884351" w14:textId="6BED5371"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w:t>
            </w:r>
          </w:p>
        </w:tc>
        <w:tc>
          <w:tcPr>
            <w:tcW w:w="1728" w:type="dxa"/>
          </w:tcPr>
          <w:p w14:paraId="478B38FE" w14:textId="7EE95ACB"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0.01</w:t>
            </w:r>
          </w:p>
        </w:tc>
      </w:tr>
      <w:tr w:rsidR="00C75871" w:rsidRPr="002B468F" w14:paraId="30C3833B" w14:textId="77777777" w:rsidTr="003E71DC">
        <w:trPr>
          <w:trHeight w:val="542"/>
          <w:jc w:val="center"/>
        </w:trPr>
        <w:tc>
          <w:tcPr>
            <w:tcW w:w="1985" w:type="dxa"/>
          </w:tcPr>
          <w:p w14:paraId="672A7B30" w14:textId="5EEEFBA6" w:rsidR="006C068D" w:rsidRPr="00F264A6" w:rsidRDefault="006C068D" w:rsidP="008D61A9">
            <w:pPr>
              <w:pStyle w:val="BodyText"/>
              <w:spacing w:line="240" w:lineRule="auto"/>
              <w:ind w:firstLine="0"/>
              <w:contextualSpacing w:val="0"/>
              <w:rPr>
                <w:rStyle w:val="TabletextChar"/>
                <w:sz w:val="18"/>
                <w:szCs w:val="18"/>
              </w:rPr>
            </w:pPr>
            <w:r w:rsidRPr="00F264A6">
              <w:rPr>
                <w:rStyle w:val="TabletextChar"/>
                <w:sz w:val="18"/>
                <w:szCs w:val="18"/>
              </w:rPr>
              <w:t>Any failure</w:t>
            </w:r>
          </w:p>
        </w:tc>
        <w:tc>
          <w:tcPr>
            <w:tcW w:w="1984" w:type="dxa"/>
          </w:tcPr>
          <w:p w14:paraId="63C4D3FA" w14:textId="3944D3FE"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 xml:space="preserve">Same as in </w:t>
            </w:r>
            <w:r w:rsidR="00741B6D" w:rsidRPr="00F264A6">
              <w:rPr>
                <w:sz w:val="18"/>
                <w:szCs w:val="18"/>
              </w:rPr>
              <w:t xml:space="preserve">the </w:t>
            </w:r>
            <w:r w:rsidRPr="00F264A6">
              <w:rPr>
                <w:sz w:val="18"/>
                <w:szCs w:val="18"/>
              </w:rPr>
              <w:t>single-module model</w:t>
            </w:r>
          </w:p>
        </w:tc>
        <w:tc>
          <w:tcPr>
            <w:tcW w:w="1418" w:type="dxa"/>
          </w:tcPr>
          <w:p w14:paraId="1104FB1C" w14:textId="12D4FB52"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0.11</w:t>
            </w:r>
          </w:p>
        </w:tc>
        <w:tc>
          <w:tcPr>
            <w:tcW w:w="1984" w:type="dxa"/>
            <w:gridSpan w:val="2"/>
          </w:tcPr>
          <w:p w14:paraId="07221A1F" w14:textId="7F83F11D"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0.61</w:t>
            </w:r>
          </w:p>
        </w:tc>
        <w:tc>
          <w:tcPr>
            <w:tcW w:w="1728" w:type="dxa"/>
          </w:tcPr>
          <w:p w14:paraId="4250CC89" w14:textId="73E0B029" w:rsidR="006C068D" w:rsidRPr="00F264A6" w:rsidRDefault="006C068D" w:rsidP="008D61A9">
            <w:pPr>
              <w:pStyle w:val="BodyText"/>
              <w:spacing w:line="240" w:lineRule="auto"/>
              <w:ind w:firstLine="0"/>
              <w:contextualSpacing w:val="0"/>
              <w:jc w:val="center"/>
              <w:rPr>
                <w:sz w:val="18"/>
                <w:szCs w:val="18"/>
              </w:rPr>
            </w:pPr>
            <w:r w:rsidRPr="00F264A6">
              <w:rPr>
                <w:sz w:val="18"/>
                <w:szCs w:val="18"/>
              </w:rPr>
              <w:t>1.0</w:t>
            </w:r>
            <w:r w:rsidR="00FD2950" w:rsidRPr="00F264A6">
              <w:rPr>
                <w:sz w:val="18"/>
                <w:szCs w:val="18"/>
              </w:rPr>
              <w:t>0</w:t>
            </w:r>
          </w:p>
        </w:tc>
      </w:tr>
    </w:tbl>
    <w:p w14:paraId="6DE9269B" w14:textId="77777777" w:rsidR="007F1C3F" w:rsidRPr="002B468F" w:rsidRDefault="007F1C3F" w:rsidP="00086C28">
      <w:pPr>
        <w:pStyle w:val="Authornameandaffiliation"/>
        <w:ind w:left="0"/>
        <w:rPr>
          <w:lang w:val="en-GB"/>
        </w:rPr>
      </w:pPr>
    </w:p>
    <w:p w14:paraId="4C431EC6" w14:textId="51ADE2F6" w:rsidR="00CC0673" w:rsidRPr="002B468F" w:rsidRDefault="00CC0673" w:rsidP="00086C28">
      <w:pPr>
        <w:pStyle w:val="Authornameandaffiliation"/>
        <w:ind w:left="0"/>
        <w:rPr>
          <w:lang w:val="en-GB"/>
        </w:rPr>
      </w:pPr>
      <w:r w:rsidRPr="002B468F">
        <w:rPr>
          <w:lang w:val="en-GB"/>
        </w:rPr>
        <w:t xml:space="preserve">The model </w:t>
      </w:r>
      <w:r w:rsidR="00FD2950" w:rsidRPr="002B468F">
        <w:rPr>
          <w:lang w:val="en-GB"/>
        </w:rPr>
        <w:t xml:space="preserve">for </w:t>
      </w:r>
      <w:r w:rsidRPr="002B468F">
        <w:rPr>
          <w:lang w:val="en-GB"/>
        </w:rPr>
        <w:t>human failure</w:t>
      </w:r>
      <w:r w:rsidR="00FD2950" w:rsidRPr="002B468F">
        <w:rPr>
          <w:lang w:val="en-GB"/>
        </w:rPr>
        <w:t>s</w:t>
      </w:r>
      <w:r w:rsidRPr="002B468F">
        <w:rPr>
          <w:lang w:val="en-GB"/>
        </w:rPr>
        <w:t xml:space="preserve"> will </w:t>
      </w:r>
      <w:r w:rsidR="00FD2950" w:rsidRPr="002B468F">
        <w:rPr>
          <w:lang w:val="en-GB"/>
        </w:rPr>
        <w:t xml:space="preserve">be </w:t>
      </w:r>
      <w:r w:rsidR="00FC10A9" w:rsidRPr="002B468F">
        <w:rPr>
          <w:lang w:val="en-GB"/>
        </w:rPr>
        <w:t xml:space="preserve">improved </w:t>
      </w:r>
      <w:r w:rsidRPr="002B468F">
        <w:rPr>
          <w:lang w:val="en-GB"/>
        </w:rPr>
        <w:t xml:space="preserve">in a future version of </w:t>
      </w:r>
      <w:r w:rsidR="00841ADB">
        <w:rPr>
          <w:lang w:val="en-GB"/>
        </w:rPr>
        <w:t>the GRS</w:t>
      </w:r>
      <w:r w:rsidRPr="002B468F">
        <w:rPr>
          <w:lang w:val="en-GB"/>
        </w:rPr>
        <w:t xml:space="preserve"> multi-module PSA model.</w:t>
      </w:r>
    </w:p>
    <w:p w14:paraId="11878A84" w14:textId="77777777" w:rsidR="00FD2950" w:rsidRPr="002B468F" w:rsidRDefault="00FD2950" w:rsidP="00086C28">
      <w:pPr>
        <w:pStyle w:val="Authornameandaffiliation"/>
        <w:ind w:left="0"/>
        <w:rPr>
          <w:lang w:val="en-GB"/>
        </w:rPr>
      </w:pPr>
    </w:p>
    <w:p w14:paraId="7B29C0F0" w14:textId="69F9A657" w:rsidR="00F004EE" w:rsidRPr="002B468F" w:rsidRDefault="004E4717" w:rsidP="00841ADB">
      <w:pPr>
        <w:pStyle w:val="Heading2"/>
        <w:keepNext/>
      </w:pPr>
      <w:r w:rsidRPr="002B468F">
        <w:tab/>
      </w:r>
      <w:r w:rsidR="00A11669" w:rsidRPr="002B468F">
        <w:t>Model analyses and results</w:t>
      </w:r>
    </w:p>
    <w:p w14:paraId="5737740E" w14:textId="799687D5" w:rsidR="00472C43" w:rsidRPr="002B468F" w:rsidRDefault="009D5BBD" w:rsidP="00DD24E9">
      <w:pPr>
        <w:pStyle w:val="BodyText"/>
      </w:pPr>
      <w:r w:rsidRPr="002B468F">
        <w:t xml:space="preserve">The model has been quantified </w:t>
      </w:r>
      <w:r w:rsidR="00841ADB">
        <w:t>applying</w:t>
      </w:r>
      <w:r w:rsidRPr="002B468F">
        <w:t xml:space="preserve"> the routines in RiskSpectrum</w:t>
      </w:r>
      <w:r w:rsidR="00B11014" w:rsidRPr="002B468F">
        <w:rPr>
          <w:vertAlign w:val="superscript"/>
        </w:rPr>
        <w:t>®</w:t>
      </w:r>
      <w:r w:rsidRPr="002B468F">
        <w:t>. The absolute cut</w:t>
      </w:r>
      <w:r w:rsidR="00B11014" w:rsidRPr="002B468F">
        <w:t>-</w:t>
      </w:r>
      <w:r w:rsidRPr="002B468F">
        <w:t xml:space="preserve">off </w:t>
      </w:r>
      <w:r w:rsidR="00B11014" w:rsidRPr="002B468F">
        <w:t xml:space="preserve">threshold </w:t>
      </w:r>
      <w:r w:rsidRPr="002B468F">
        <w:t>was set to 1.00</w:t>
      </w:r>
      <w:r w:rsidR="00B11014" w:rsidRPr="002B468F">
        <w:t> </w:t>
      </w:r>
      <w:r w:rsidRPr="002B468F">
        <w:t>E-20</w:t>
      </w:r>
      <w:r w:rsidR="0005035B">
        <w:t xml:space="preserve"> 1/ry</w:t>
      </w:r>
      <w:r w:rsidRPr="002B468F">
        <w:t xml:space="preserve">. The calculation took a few hours on a regular notebook. Internal initiating events during operation and during </w:t>
      </w:r>
      <w:r w:rsidR="00B75DC3" w:rsidRPr="002B468F">
        <w:t>refuelling</w:t>
      </w:r>
      <w:r w:rsidRPr="002B468F">
        <w:t xml:space="preserve">, internal fire and internal flooding events are </w:t>
      </w:r>
      <w:r w:rsidR="00B75DC3" w:rsidRPr="002B468F">
        <w:t>analysed</w:t>
      </w:r>
      <w:r w:rsidRPr="002B468F">
        <w:t>. The single-module</w:t>
      </w:r>
      <w:r w:rsidR="005943DC" w:rsidRPr="002B468F">
        <w:t xml:space="preserve"> CDF</w:t>
      </w:r>
      <w:r w:rsidRPr="002B468F">
        <w:t xml:space="preserve"> and multi-module</w:t>
      </w:r>
      <w:r w:rsidR="005943DC" w:rsidRPr="002B468F">
        <w:t xml:space="preserve"> SCDF, the </w:t>
      </w:r>
      <w:r w:rsidR="002C42A7" w:rsidRPr="002B468F">
        <w:t xml:space="preserve">multi-module </w:t>
      </w:r>
      <w:r w:rsidR="00F80FB3" w:rsidRPr="002B468F">
        <w:t>correlation</w:t>
      </w:r>
      <w:r w:rsidR="0031789B" w:rsidRPr="002B468F">
        <w:t xml:space="preserve"> factor</w:t>
      </w:r>
      <w:r w:rsidR="002C42A7" w:rsidRPr="002B468F">
        <w:t xml:space="preserve"> (</w:t>
      </w:r>
      <w:r w:rsidR="00F80FB3" w:rsidRPr="002B468F">
        <w:t>MMCF</w:t>
      </w:r>
      <w:r w:rsidR="002C42A7" w:rsidRPr="002B468F">
        <w:t>)</w:t>
      </w:r>
      <w:r w:rsidR="00696A0D" w:rsidRPr="002B468F">
        <w:t xml:space="preserve"> for comparison with the model of a single module</w:t>
      </w:r>
      <w:r w:rsidR="005943DC" w:rsidRPr="002B468F">
        <w:t xml:space="preserve">, the main cut sets and the important risk contributors </w:t>
      </w:r>
      <w:r w:rsidR="00841ADB">
        <w:t>have been</w:t>
      </w:r>
      <w:r w:rsidR="005943DC" w:rsidRPr="002B468F">
        <w:t xml:space="preserve"> calculated.</w:t>
      </w:r>
      <w:r w:rsidR="004E2591">
        <w:t xml:space="preserve"> The MMCF, defined in </w:t>
      </w:r>
      <w:r w:rsidR="00841ADB">
        <w:t>S</w:t>
      </w:r>
      <w:r w:rsidR="004E2591">
        <w:t>ection 3.2, compares the SCDF contribution to the CDF within the multi-module PSA.</w:t>
      </w:r>
      <w:r w:rsidR="005943DC" w:rsidRPr="002B468F">
        <w:t xml:space="preserve"> The results are presented in the following</w:t>
      </w:r>
      <w:r w:rsidR="004A3C80" w:rsidRPr="002B468F">
        <w:t xml:space="preserve"> sections</w:t>
      </w:r>
      <w:r w:rsidR="005943DC" w:rsidRPr="002B468F">
        <w:t>.</w:t>
      </w:r>
    </w:p>
    <w:p w14:paraId="24508AE6" w14:textId="0A2A853E" w:rsidR="00F4181A" w:rsidRPr="002B468F" w:rsidRDefault="00A4336D" w:rsidP="00841ADB">
      <w:pPr>
        <w:pStyle w:val="Heading3"/>
        <w:keepNext/>
        <w:numPr>
          <w:ilvl w:val="2"/>
          <w:numId w:val="11"/>
        </w:numPr>
      </w:pPr>
      <w:r w:rsidRPr="002B468F">
        <w:t>Contributions to the m</w:t>
      </w:r>
      <w:r w:rsidR="00F4181A" w:rsidRPr="002B468F">
        <w:t>ulti-module SCDF</w:t>
      </w:r>
    </w:p>
    <w:p w14:paraId="3A9D16F5" w14:textId="22564EA7" w:rsidR="009D5BBD" w:rsidRPr="002B468F" w:rsidRDefault="00DF5B74" w:rsidP="009D5BBD">
      <w:pPr>
        <w:pStyle w:val="BodyText"/>
      </w:pPr>
      <w:r w:rsidRPr="002B468F">
        <w:rPr>
          <w:noProof/>
          <w:lang w:eastAsia="en-GB"/>
        </w:rPr>
        <mc:AlternateContent>
          <mc:Choice Requires="wps">
            <w:drawing>
              <wp:anchor distT="0" distB="0" distL="114300" distR="114300" simplePos="0" relativeHeight="251664384" behindDoc="0" locked="0" layoutInCell="1" allowOverlap="1" wp14:anchorId="545E7301" wp14:editId="497996C8">
                <wp:simplePos x="0" y="0"/>
                <wp:positionH relativeFrom="margin">
                  <wp:align>left</wp:align>
                </wp:positionH>
                <wp:positionV relativeFrom="paragraph">
                  <wp:posOffset>2265684</wp:posOffset>
                </wp:positionV>
                <wp:extent cx="4882515" cy="185420"/>
                <wp:effectExtent l="0" t="0" r="0" b="5080"/>
                <wp:wrapTopAndBottom/>
                <wp:docPr id="26" name="Text Box 2"/>
                <wp:cNvGraphicFramePr/>
                <a:graphic xmlns:a="http://schemas.openxmlformats.org/drawingml/2006/main">
                  <a:graphicData uri="http://schemas.microsoft.com/office/word/2010/wordprocessingShape">
                    <wps:wsp>
                      <wps:cNvSpPr txBox="1"/>
                      <wps:spPr>
                        <a:xfrm>
                          <a:off x="0" y="0"/>
                          <a:ext cx="4882515" cy="185420"/>
                        </a:xfrm>
                        <a:prstGeom prst="rect">
                          <a:avLst/>
                        </a:prstGeom>
                        <a:solidFill>
                          <a:prstClr val="white"/>
                        </a:solidFill>
                        <a:ln>
                          <a:noFill/>
                        </a:ln>
                        <a:effectLst/>
                      </wps:spPr>
                      <wps:txbx>
                        <w:txbxContent>
                          <w:p w14:paraId="1DFE2A08" w14:textId="6C4EB1D4" w:rsidR="003B1D95" w:rsidRPr="00802381" w:rsidRDefault="003B1D95" w:rsidP="003B1D95">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940945">
                              <w:rPr>
                                <w:i/>
                                <w:noProof/>
                              </w:rPr>
                              <w:t>1</w:t>
                            </w:r>
                            <w:r w:rsidRPr="00802381">
                              <w:rPr>
                                <w:i/>
                              </w:rPr>
                              <w:fldChar w:fldCharType="end"/>
                            </w:r>
                            <w:r>
                              <w:rPr>
                                <w:i/>
                              </w:rPr>
                              <w:t xml:space="preserve">. </w:t>
                            </w:r>
                            <w:r w:rsidR="00B11014">
                              <w:rPr>
                                <w:i/>
                              </w:rPr>
                              <w:t>M</w:t>
                            </w:r>
                            <w:r w:rsidR="00A81D92">
                              <w:rPr>
                                <w:i/>
                              </w:rPr>
                              <w:t>ulti-</w:t>
                            </w:r>
                            <w:r w:rsidR="00533B1E">
                              <w:rPr>
                                <w:i/>
                              </w:rPr>
                              <w:t>m</w:t>
                            </w:r>
                            <w:r w:rsidR="00A81D92">
                              <w:rPr>
                                <w:i/>
                              </w:rPr>
                              <w:t>odul</w:t>
                            </w:r>
                            <w:r w:rsidR="00B36077">
                              <w:rPr>
                                <w:i/>
                              </w:rPr>
                              <w:t>e</w:t>
                            </w:r>
                            <w:r w:rsidR="00A81D92">
                              <w:rPr>
                                <w:i/>
                              </w:rPr>
                              <w:t xml:space="preserve"> SCDF (in 1/</w:t>
                            </w:r>
                            <w:r w:rsidR="00841ADB">
                              <w:rPr>
                                <w:i/>
                              </w:rPr>
                              <w:t>ry</w:t>
                            </w:r>
                            <w:r w:rsidR="00A81D92">
                              <w:rPr>
                                <w:i/>
                              </w:rPr>
                              <w:t xml:space="preserve">) for different </w:t>
                            </w:r>
                            <w:r w:rsidR="00123502">
                              <w:rPr>
                                <w:i/>
                              </w:rPr>
                              <w:t>CCIs</w:t>
                            </w:r>
                            <w:r w:rsidR="00A4336D">
                              <w:rPr>
                                <w:i/>
                              </w:rPr>
                              <w:t xml:space="preserve"> </w:t>
                            </w:r>
                            <w:r w:rsidR="00CF37CF">
                              <w:rPr>
                                <w:i/>
                              </w:rPr>
                              <w:t>for full power plant in operational state</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5E7301" id="_x0000_t202" coordsize="21600,21600" o:spt="202" path="m,l,21600r21600,l21600,xe">
                <v:stroke joinstyle="miter"/>
                <v:path gradientshapeok="t" o:connecttype="rect"/>
              </v:shapetype>
              <v:shape id="Text Box 2" o:spid="_x0000_s1026" type="#_x0000_t202" style="position:absolute;left:0;text-align:left;margin-left:0;margin-top:178.4pt;width:384.45pt;height:14.6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" stroked="f">
                <v:textbox style="mso-fit-shape-to-text:t" inset="0,0,0,0">
                  <w:txbxContent>
                    <w:p w14:paraId="1DFE2A08" w14:textId="6C4EB1D4" w:rsidR="003B1D95" w:rsidRPr="00802381" w:rsidRDefault="003B1D95" w:rsidP="003B1D95">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940945">
                        <w:rPr>
                          <w:i/>
                          <w:noProof/>
                        </w:rPr>
                        <w:t>1</w:t>
                      </w:r>
                      <w:r w:rsidRPr="00802381">
                        <w:rPr>
                          <w:i/>
                        </w:rPr>
                        <w:fldChar w:fldCharType="end"/>
                      </w:r>
                      <w:r>
                        <w:rPr>
                          <w:i/>
                        </w:rPr>
                        <w:t xml:space="preserve">. </w:t>
                      </w:r>
                      <w:r w:rsidR="00B11014">
                        <w:rPr>
                          <w:i/>
                        </w:rPr>
                        <w:t>M</w:t>
                      </w:r>
                      <w:r w:rsidR="00A81D92">
                        <w:rPr>
                          <w:i/>
                        </w:rPr>
                        <w:t>ulti-</w:t>
                      </w:r>
                      <w:r w:rsidR="00533B1E">
                        <w:rPr>
                          <w:i/>
                        </w:rPr>
                        <w:t>m</w:t>
                      </w:r>
                      <w:r w:rsidR="00A81D92">
                        <w:rPr>
                          <w:i/>
                        </w:rPr>
                        <w:t>odul</w:t>
                      </w:r>
                      <w:r w:rsidR="00B36077">
                        <w:rPr>
                          <w:i/>
                        </w:rPr>
                        <w:t>e</w:t>
                      </w:r>
                      <w:r w:rsidR="00A81D92">
                        <w:rPr>
                          <w:i/>
                        </w:rPr>
                        <w:t xml:space="preserve"> SCDF (in 1/</w:t>
                      </w:r>
                      <w:r w:rsidR="00841ADB">
                        <w:rPr>
                          <w:i/>
                        </w:rPr>
                        <w:t>ry</w:t>
                      </w:r>
                      <w:r w:rsidR="00A81D92">
                        <w:rPr>
                          <w:i/>
                        </w:rPr>
                        <w:t xml:space="preserve">) for different </w:t>
                      </w:r>
                      <w:r w:rsidR="00123502">
                        <w:rPr>
                          <w:i/>
                        </w:rPr>
                        <w:t>CCIs</w:t>
                      </w:r>
                      <w:r w:rsidR="00A4336D">
                        <w:rPr>
                          <w:i/>
                        </w:rPr>
                        <w:t xml:space="preserve"> </w:t>
                      </w:r>
                      <w:r w:rsidR="00CF37CF">
                        <w:rPr>
                          <w:i/>
                        </w:rPr>
                        <w:t>for full power plant in operational state</w:t>
                      </w:r>
                      <w:r>
                        <w:rPr>
                          <w:i/>
                        </w:rPr>
                        <w:t>.</w:t>
                      </w:r>
                    </w:p>
                  </w:txbxContent>
                </v:textbox>
                <w10:wrap type="topAndBottom" anchorx="margin"/>
              </v:shape>
            </w:pict>
          </mc:Fallback>
        </mc:AlternateContent>
      </w:r>
      <w:r w:rsidR="005943DC" w:rsidRPr="002B468F">
        <w:t xml:space="preserve">Generally, the SCDF is an indicator for the </w:t>
      </w:r>
      <w:r w:rsidR="00B11014" w:rsidRPr="002B468F">
        <w:t xml:space="preserve">overall </w:t>
      </w:r>
      <w:r w:rsidR="00A16223">
        <w:t>CDF</w:t>
      </w:r>
      <w:r w:rsidR="005943DC" w:rsidRPr="002B468F">
        <w:t xml:space="preserve"> at the </w:t>
      </w:r>
      <w:r w:rsidR="00841ADB">
        <w:t xml:space="preserve">NPP </w:t>
      </w:r>
      <w:r w:rsidR="005943DC" w:rsidRPr="002B468F">
        <w:t xml:space="preserve">site. However, at this first stage of the model development, the SCDF may differ orders of magnitude from the real value because of the limited </w:t>
      </w:r>
      <w:r w:rsidR="00841ADB">
        <w:t xml:space="preserve">level of </w:t>
      </w:r>
      <w:r w:rsidR="005943DC" w:rsidRPr="002B468F">
        <w:t>de</w:t>
      </w:r>
      <w:r w:rsidR="00841ADB">
        <w:t>tail</w:t>
      </w:r>
      <w:r w:rsidR="005943DC" w:rsidRPr="002B468F">
        <w:t xml:space="preserve"> and the use of conservative </w:t>
      </w:r>
      <w:r w:rsidR="00841ADB">
        <w:t xml:space="preserve">generic </w:t>
      </w:r>
      <w:r w:rsidR="005943DC" w:rsidRPr="002B468F">
        <w:t>estimates and expert judgement.</w:t>
      </w:r>
      <w:r w:rsidR="00A4336D" w:rsidRPr="002B468F">
        <w:t xml:space="preserve"> </w:t>
      </w:r>
      <w:r w:rsidR="00841ADB">
        <w:t>Major</w:t>
      </w:r>
      <w:r w:rsidR="00A4336D" w:rsidRPr="002B468F">
        <w:t xml:space="preserve"> aspect of the present study of the SCDF is </w:t>
      </w:r>
      <w:r w:rsidR="00841ADB">
        <w:t>a</w:t>
      </w:r>
      <w:r w:rsidR="00A4336D" w:rsidRPr="002B468F">
        <w:t xml:space="preserve"> comparison of the contributions to the SCDF </w:t>
      </w:r>
      <w:r w:rsidR="001C66E0">
        <w:t>by</w:t>
      </w:r>
      <w:r w:rsidR="00A4336D" w:rsidRPr="002B468F">
        <w:t xml:space="preserve"> different initiating events</w:t>
      </w:r>
      <w:r w:rsidR="00841ADB">
        <w:t xml:space="preserve"> as</w:t>
      </w:r>
      <w:r w:rsidR="00D80C99" w:rsidRPr="002B468F">
        <w:t xml:space="preserve"> presented in FIG. 1</w:t>
      </w:r>
      <w:r w:rsidR="001C66E0">
        <w:t>.</w:t>
      </w:r>
      <w:r w:rsidR="00B11014" w:rsidRPr="002B468F">
        <w:t xml:space="preserve"> </w:t>
      </w:r>
      <w:r w:rsidR="00F264A6" w:rsidRPr="00F264A6">
        <w:rPr>
          <w:noProof/>
        </w:rPr>
        <w:t xml:space="preserve"> </w:t>
      </w:r>
      <w:r w:rsidR="00F264A6" w:rsidRPr="002B468F">
        <w:rPr>
          <w:noProof/>
        </w:rPr>
        <w:drawing>
          <wp:inline distT="0" distB="0" distL="0" distR="0" wp14:anchorId="4DB9CCF9" wp14:editId="43F474B1">
            <wp:extent cx="5528684" cy="1438275"/>
            <wp:effectExtent l="0" t="38100" r="15240" b="9525"/>
            <wp:docPr id="4" name="Diagramm 4">
              <a:extLst xmlns:a="http://schemas.openxmlformats.org/drawingml/2006/main">
                <a:ext uri="{FF2B5EF4-FFF2-40B4-BE49-F238E27FC236}">
                  <a16:creationId xmlns:a16="http://schemas.microsoft.com/office/drawing/2014/main" id="{EED9EFE1-3DCA-4ABE-A5F7-9EF05D32D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747064" w14:textId="369CAA62" w:rsidR="00B11014" w:rsidRPr="002B468F" w:rsidRDefault="00B11014" w:rsidP="00DF5B74">
      <w:pPr>
        <w:pStyle w:val="BodyText"/>
      </w:pPr>
    </w:p>
    <w:p w14:paraId="4A9F2180" w14:textId="216923B9" w:rsidR="003B1D95" w:rsidRPr="002B468F" w:rsidRDefault="00A4336D" w:rsidP="00DD24E9">
      <w:pPr>
        <w:pStyle w:val="BodyText"/>
      </w:pPr>
      <w:r w:rsidRPr="002B468F">
        <w:t xml:space="preserve">The current model </w:t>
      </w:r>
      <w:r w:rsidR="00EE5481" w:rsidRPr="002B468F">
        <w:t>does</w:t>
      </w:r>
      <w:r w:rsidRPr="002B468F">
        <w:t xml:space="preserve"> not represent a </w:t>
      </w:r>
      <w:r w:rsidR="004C77EA" w:rsidRPr="002B468F">
        <w:t>reactor concept</w:t>
      </w:r>
      <w:r w:rsidR="00EE5481" w:rsidRPr="002B468F">
        <w:t xml:space="preserve"> with a</w:t>
      </w:r>
      <w:r w:rsidR="004C77EA" w:rsidRPr="002B468F">
        <w:t xml:space="preserve"> </w:t>
      </w:r>
      <w:r w:rsidR="00751E66">
        <w:t>balanced risk profile</w:t>
      </w:r>
      <w:r w:rsidR="00EE5481" w:rsidRPr="002B468F">
        <w:t xml:space="preserve"> </w:t>
      </w:r>
      <w:r w:rsidR="00EE5481" w:rsidRPr="00751E66">
        <w:t>spread</w:t>
      </w:r>
      <w:r w:rsidR="004C77EA" w:rsidRPr="00751E66">
        <w:t xml:space="preserve"> over</w:t>
      </w:r>
      <w:r w:rsidR="00EE5481" w:rsidRPr="00751E66">
        <w:t xml:space="preserve"> different initiators</w:t>
      </w:r>
      <w:r w:rsidR="008D61A9">
        <w:t>. Moreover</w:t>
      </w:r>
      <w:r w:rsidR="00EE5481" w:rsidRPr="002B468F">
        <w:t>, t</w:t>
      </w:r>
      <w:r w:rsidRPr="002B468F">
        <w:t xml:space="preserve">he </w:t>
      </w:r>
      <w:r w:rsidR="00751E66">
        <w:t xml:space="preserve">actual </w:t>
      </w:r>
      <w:r w:rsidRPr="002B468F">
        <w:t xml:space="preserve">model shows high contributions </w:t>
      </w:r>
      <w:r w:rsidR="00EE5481" w:rsidRPr="002B468F">
        <w:t xml:space="preserve">from </w:t>
      </w:r>
      <w:r w:rsidR="00B11014" w:rsidRPr="002B468F">
        <w:t xml:space="preserve">plant </w:t>
      </w:r>
      <w:r w:rsidR="00EE5481" w:rsidRPr="002B468F">
        <w:t>internal</w:t>
      </w:r>
      <w:r w:rsidRPr="002B468F">
        <w:t xml:space="preserve"> fire events. </w:t>
      </w:r>
      <w:r w:rsidR="00B11014" w:rsidRPr="002B468F">
        <w:t xml:space="preserve">Regarding </w:t>
      </w:r>
      <w:r w:rsidR="00424B57" w:rsidRPr="002B468F">
        <w:t xml:space="preserve">this result </w:t>
      </w:r>
      <w:r w:rsidR="00B11014" w:rsidRPr="002B468F">
        <w:t xml:space="preserve">the authors </w:t>
      </w:r>
      <w:r w:rsidR="00424B57" w:rsidRPr="002B468F">
        <w:t>recommend</w:t>
      </w:r>
      <w:r w:rsidR="00E6700C" w:rsidRPr="002B468F">
        <w:t xml:space="preserve"> </w:t>
      </w:r>
      <w:r w:rsidR="00B11014" w:rsidRPr="002B468F">
        <w:t xml:space="preserve">an </w:t>
      </w:r>
      <w:r w:rsidR="00E6700C" w:rsidRPr="002B468F">
        <w:t>update of the model</w:t>
      </w:r>
      <w:r w:rsidR="00424B57" w:rsidRPr="002B468F">
        <w:t xml:space="preserve"> improving the</w:t>
      </w:r>
      <w:r w:rsidR="00254803">
        <w:t xml:space="preserve"> implementation of </w:t>
      </w:r>
      <w:r w:rsidR="00424B57" w:rsidRPr="002B468F">
        <w:t>fire</w:t>
      </w:r>
      <w:r w:rsidR="003D3DAE">
        <w:t>fighting</w:t>
      </w:r>
      <w:r w:rsidR="00254803">
        <w:t xml:space="preserve"> capabilities, e.g. </w:t>
      </w:r>
      <w:r w:rsidR="00BE597D">
        <w:rPr>
          <w:lang w:val="en-US"/>
        </w:rPr>
        <w:t xml:space="preserve">crediting </w:t>
      </w:r>
      <w:r w:rsidR="00254803">
        <w:t>fire</w:t>
      </w:r>
      <w:r w:rsidR="000B0C93">
        <w:t xml:space="preserve"> </w:t>
      </w:r>
      <w:r w:rsidR="00254803">
        <w:t>extinguishing system</w:t>
      </w:r>
      <w:r w:rsidR="008D6CA8">
        <w:t>s</w:t>
      </w:r>
      <w:r w:rsidR="00B00509">
        <w:t xml:space="preserve"> </w:t>
      </w:r>
      <w:r w:rsidR="00751E66">
        <w:t xml:space="preserve">and equipment, </w:t>
      </w:r>
      <w:r w:rsidR="00B00509">
        <w:t>firefighters, etc</w:t>
      </w:r>
      <w:r w:rsidR="00424B57" w:rsidRPr="002B468F">
        <w:t xml:space="preserve">. However, the model can be improved </w:t>
      </w:r>
      <w:r w:rsidR="00B11014" w:rsidRPr="002B468F">
        <w:t xml:space="preserve">first </w:t>
      </w:r>
      <w:r w:rsidR="00424B57" w:rsidRPr="002B468F">
        <w:t xml:space="preserve">to reduce conservative estimates and expert judgement focusing on important risk contributors mentioned in </w:t>
      </w:r>
      <w:r w:rsidR="00B11014" w:rsidRPr="002B468F">
        <w:t>S</w:t>
      </w:r>
      <w:r w:rsidR="00424B57" w:rsidRPr="002B468F">
        <w:t>ection 3.4.</w:t>
      </w:r>
      <w:r w:rsidR="005F78B8">
        <w:t xml:space="preserve"> One example of </w:t>
      </w:r>
      <w:r w:rsidR="00841ADB">
        <w:t xml:space="preserve">the use of </w:t>
      </w:r>
      <w:r w:rsidR="005F78B8">
        <w:t>expert judgement is the initiating event of containment leakage</w:t>
      </w:r>
      <w:r w:rsidR="000E5D0D">
        <w:t xml:space="preserve"> because of lacking information about the event</w:t>
      </w:r>
      <w:r w:rsidR="005F78B8">
        <w:t>.</w:t>
      </w:r>
      <w:r w:rsidR="00856197">
        <w:t xml:space="preserve"> A water flow from the reactor pool into the containment due to a leakage will induce a reactor </w:t>
      </w:r>
      <w:r w:rsidR="000B0C93">
        <w:t>scram</w:t>
      </w:r>
      <w:r w:rsidR="00856197">
        <w:t xml:space="preserve">. </w:t>
      </w:r>
      <w:r w:rsidR="000E5D0D">
        <w:t>T</w:t>
      </w:r>
      <w:r w:rsidR="005F78B8">
        <w:t>he transient cannot rely on the ECCS because coolant m</w:t>
      </w:r>
      <w:r w:rsidR="000E5D0D">
        <w:t>ight be lost over the leakage.</w:t>
      </w:r>
    </w:p>
    <w:p w14:paraId="3E5A1416" w14:textId="70C04BBC" w:rsidR="008D4AEE" w:rsidRPr="002B468F" w:rsidRDefault="002C42A7" w:rsidP="00841ADB">
      <w:pPr>
        <w:pStyle w:val="Heading3"/>
        <w:keepNext/>
        <w:numPr>
          <w:ilvl w:val="2"/>
          <w:numId w:val="11"/>
        </w:numPr>
      </w:pPr>
      <w:r w:rsidRPr="002B468F">
        <w:lastRenderedPageBreak/>
        <w:t>M</w:t>
      </w:r>
      <w:r w:rsidR="00B11014" w:rsidRPr="002B468F">
        <w:t xml:space="preserve">ulti-module </w:t>
      </w:r>
      <w:r w:rsidR="00F80FB3" w:rsidRPr="002B468F">
        <w:t>correlation factor</w:t>
      </w:r>
    </w:p>
    <w:p w14:paraId="53D7A409" w14:textId="099946FF" w:rsidR="00621200" w:rsidRPr="002B468F" w:rsidRDefault="008D4AEE" w:rsidP="008B14EA">
      <w:pPr>
        <w:pStyle w:val="BodyText"/>
      </w:pPr>
      <w:r w:rsidRPr="002B468F">
        <w:t xml:space="preserve">The multi-module model differs in a few aspects from the single-module model described in </w:t>
      </w:r>
      <w:r w:rsidR="00B11014" w:rsidRPr="002B468F">
        <w:t xml:space="preserve">Section </w:t>
      </w:r>
      <w:r w:rsidRPr="002B468F">
        <w:t xml:space="preserve">2.2. Therefore, the </w:t>
      </w:r>
      <w:r w:rsidR="0021017F" w:rsidRPr="002B468F">
        <w:t>SCDF</w:t>
      </w:r>
      <w:r w:rsidRPr="002B468F">
        <w:t xml:space="preserve"> deviates from the very simple approximation of 12 times the </w:t>
      </w:r>
      <w:r w:rsidR="0021017F" w:rsidRPr="002B468F">
        <w:t>CDF</w:t>
      </w:r>
      <w:r w:rsidRPr="002B468F">
        <w:t xml:space="preserve"> of a hypothetic single </w:t>
      </w:r>
      <w:r w:rsidR="00B11014" w:rsidRPr="002B468F">
        <w:t xml:space="preserve">reactor </w:t>
      </w:r>
      <w:r w:rsidRPr="002B468F">
        <w:t xml:space="preserve">module </w:t>
      </w:r>
      <w:r w:rsidR="00841ADB">
        <w:t>presented</w:t>
      </w:r>
      <w:r w:rsidRPr="002B468F">
        <w:t xml:space="preserve"> in </w:t>
      </w:r>
      <w:r w:rsidR="00B11014" w:rsidRPr="002B468F">
        <w:t>S</w:t>
      </w:r>
      <w:r w:rsidRPr="002B468F">
        <w:t xml:space="preserve">ection 2.1. In a comparison of the </w:t>
      </w:r>
      <w:r w:rsidR="0021017F" w:rsidRPr="002B468F">
        <w:t>(</w:t>
      </w:r>
      <w:r w:rsidR="00B75DC3" w:rsidRPr="002B468F">
        <w:t>single module</w:t>
      </w:r>
      <w:r w:rsidR="0021017F" w:rsidRPr="002B468F">
        <w:t>)</w:t>
      </w:r>
      <w:r w:rsidRPr="002B468F">
        <w:t xml:space="preserve"> CDF and the multi-module SCDF the deviation can be quantified</w:t>
      </w:r>
      <w:r w:rsidR="00621200" w:rsidRPr="002B468F">
        <w:t xml:space="preserve"> using the</w:t>
      </w:r>
      <w:r w:rsidR="0031789B" w:rsidRPr="002B468F">
        <w:t xml:space="preserve"> multi-module correlation factor</w:t>
      </w:r>
      <w:r w:rsidR="00621200" w:rsidRPr="002B468F">
        <w:t xml:space="preserve"> </w:t>
      </w:r>
      <w:r w:rsidR="00D4098B">
        <w:t>(</w:t>
      </w:r>
      <w:r w:rsidR="00F80FB3" w:rsidRPr="002B468F">
        <w:t>MMCF</w:t>
      </w:r>
      <w:r w:rsidR="00D4098B">
        <w:t>)</w:t>
      </w:r>
      <w:r w:rsidR="00F80FB3" w:rsidRPr="002B468F">
        <w:t xml:space="preserve"> </w:t>
      </w:r>
      <w:r w:rsidR="0031789B" w:rsidRPr="002B468F">
        <w:t xml:space="preserve">defined here </w:t>
      </w:r>
      <w:r w:rsidR="00841ADB">
        <w:t>to be</w:t>
      </w:r>
      <w:r w:rsidR="008B14EA" w:rsidRPr="002B468F">
        <w:t xml:space="preserve"> </w:t>
      </w:r>
      <w:r w:rsidR="00F80FB3" w:rsidRPr="002B468F">
        <w:t xml:space="preserve">MMCF </w:t>
      </w:r>
      <w:r w:rsidR="00621200" w:rsidRPr="002B468F">
        <w:t>= SCDF/(12*CDF)</w:t>
      </w:r>
      <w:r w:rsidR="00841ADB">
        <w:t>,</w:t>
      </w:r>
      <w:r w:rsidR="00D4098B">
        <w:t xml:space="preserve"> </w:t>
      </w:r>
      <w:r w:rsidR="00841ADB">
        <w:t>which</w:t>
      </w:r>
      <w:r w:rsidR="00D4098B">
        <w:t xml:space="preserve"> can be calculated both for individual initiating events and for the total resulting </w:t>
      </w:r>
      <w:r w:rsidR="00A16223">
        <w:t>CDF</w:t>
      </w:r>
      <w:r w:rsidR="00D4098B">
        <w:t xml:space="preserve"> metrics</w:t>
      </w:r>
      <w:r w:rsidR="008B14EA" w:rsidRPr="002B468F">
        <w:t>.</w:t>
      </w:r>
    </w:p>
    <w:p w14:paraId="639E532A" w14:textId="58455198" w:rsidR="00621200" w:rsidRPr="002B468F" w:rsidRDefault="00A04E9C" w:rsidP="00DD24E9">
      <w:pPr>
        <w:pStyle w:val="BodyText"/>
      </w:pPr>
      <w:r w:rsidRPr="002B468F">
        <w:t xml:space="preserve">The factor is </w:t>
      </w:r>
      <w:r w:rsidR="00B11014" w:rsidRPr="002B468F">
        <w:t>the same as for</w:t>
      </w:r>
      <w:r w:rsidRPr="002B468F">
        <w:t xml:space="preserve"> all single-module specific initiating event</w:t>
      </w:r>
      <w:r w:rsidR="00841ADB">
        <w:t>s</w:t>
      </w:r>
      <w:r w:rsidRPr="002B468F">
        <w:t>, e.g., most of the LOCA</w:t>
      </w:r>
      <w:r w:rsidR="00B11014" w:rsidRPr="002B468F">
        <w:t>s</w:t>
      </w:r>
      <w:r w:rsidRPr="002B468F">
        <w:t xml:space="preserve">. </w:t>
      </w:r>
      <w:r w:rsidR="00621200" w:rsidRPr="002B468F">
        <w:t xml:space="preserve">Factors, which contribute to values below 1 </w:t>
      </w:r>
      <w:r w:rsidRPr="002B468F">
        <w:t xml:space="preserve">for multi-module initiating events </w:t>
      </w:r>
      <w:r w:rsidR="00621200" w:rsidRPr="002B468F">
        <w:t>are</w:t>
      </w:r>
      <w:r w:rsidR="00B11014" w:rsidRPr="002B468F">
        <w:t xml:space="preserve"> the foll</w:t>
      </w:r>
      <w:r w:rsidR="00741B6D" w:rsidRPr="002B468F">
        <w:t>ow</w:t>
      </w:r>
      <w:r w:rsidR="00B11014" w:rsidRPr="002B468F">
        <w:t>ing</w:t>
      </w:r>
      <w:r w:rsidR="00621200" w:rsidRPr="002B468F">
        <w:t>:</w:t>
      </w:r>
    </w:p>
    <w:p w14:paraId="6C84ED45" w14:textId="37CC860C" w:rsidR="00621200" w:rsidRPr="002B468F" w:rsidRDefault="00621200" w:rsidP="00E2632A">
      <w:pPr>
        <w:pStyle w:val="ListNumbered"/>
        <w:numPr>
          <w:ilvl w:val="0"/>
          <w:numId w:val="17"/>
        </w:numPr>
      </w:pPr>
      <w:r w:rsidRPr="002B468F">
        <w:t xml:space="preserve">Larger CCF groups </w:t>
      </w:r>
      <w:r w:rsidR="00741B6D" w:rsidRPr="002B468F">
        <w:t xml:space="preserve">mainly </w:t>
      </w:r>
      <w:r w:rsidRPr="002B468F">
        <w:t xml:space="preserve">result in lower </w:t>
      </w:r>
      <w:r w:rsidR="007D6BF9" w:rsidRPr="002B468F">
        <w:t xml:space="preserve">CCF </w:t>
      </w:r>
      <w:r w:rsidRPr="002B468F">
        <w:t xml:space="preserve">values </w:t>
      </w:r>
      <w:r w:rsidR="00841ADB">
        <w:t>for</w:t>
      </w:r>
      <w:r w:rsidRPr="002B468F">
        <w:t xml:space="preserve"> a single module </w:t>
      </w:r>
      <w:r w:rsidR="007D6BF9" w:rsidRPr="002B468F">
        <w:t xml:space="preserve">as </w:t>
      </w:r>
      <w:r w:rsidRPr="002B468F">
        <w:t xml:space="preserve">the defect detection time is </w:t>
      </w:r>
      <w:r w:rsidR="0081078F" w:rsidRPr="002B468F">
        <w:t>lower,</w:t>
      </w:r>
      <w:r w:rsidRPr="002B468F">
        <w:t xml:space="preserve"> and the probability</w:t>
      </w:r>
      <w:r w:rsidR="0081078F" w:rsidRPr="002B468F">
        <w:t xml:space="preserve"> </w:t>
      </w:r>
      <w:r w:rsidRPr="002B468F">
        <w:t xml:space="preserve">that the defect exists in multiple components </w:t>
      </w:r>
      <w:r w:rsidR="0081078F" w:rsidRPr="002B468F">
        <w:t>of a single</w:t>
      </w:r>
      <w:r w:rsidRPr="002B468F">
        <w:t xml:space="preserve"> module only and in no</w:t>
      </w:r>
      <w:r w:rsidR="0081078F" w:rsidRPr="002B468F">
        <w:t>ne of the</w:t>
      </w:r>
      <w:r w:rsidRPr="002B468F">
        <w:t xml:space="preserve"> other module</w:t>
      </w:r>
      <w:r w:rsidR="0081078F" w:rsidRPr="002B468F">
        <w:t>s</w:t>
      </w:r>
      <w:r w:rsidR="00A04E9C" w:rsidRPr="002B468F">
        <w:t xml:space="preserve"> </w:t>
      </w:r>
      <w:r w:rsidR="003772D6">
        <w:t xml:space="preserve">at </w:t>
      </w:r>
      <w:r w:rsidR="00A04E9C" w:rsidRPr="002B468F">
        <w:t>the same time</w:t>
      </w:r>
      <w:r w:rsidR="00B11014" w:rsidRPr="002B468F">
        <w:t xml:space="preserve"> is rather low</w:t>
      </w:r>
      <w:r w:rsidRPr="002B468F">
        <w:t>.</w:t>
      </w:r>
    </w:p>
    <w:p w14:paraId="0B96AC4C" w14:textId="3C3F4537" w:rsidR="00621200" w:rsidRPr="002B468F" w:rsidRDefault="0081078F" w:rsidP="00B36077">
      <w:pPr>
        <w:pStyle w:val="ListNumbered"/>
      </w:pPr>
      <w:r w:rsidRPr="002B468F">
        <w:t xml:space="preserve">A few multi-module initiating events have the same frequency </w:t>
      </w:r>
      <w:r w:rsidR="00B11014" w:rsidRPr="002B468F">
        <w:t xml:space="preserve">as </w:t>
      </w:r>
      <w:r w:rsidRPr="002B468F">
        <w:t xml:space="preserve">the initiating event in the single-module PSA, e.g., the </w:t>
      </w:r>
      <w:r w:rsidR="00E473FE" w:rsidRPr="002B468F">
        <w:t>LOOP</w:t>
      </w:r>
      <w:r w:rsidR="00B222BA" w:rsidRPr="002B468F">
        <w:t xml:space="preserve"> providing </w:t>
      </w:r>
      <w:r w:rsidRPr="002B468F">
        <w:t xml:space="preserve">a factor of 1/12 to the </w:t>
      </w:r>
      <w:r w:rsidR="002C42A7" w:rsidRPr="002B468F">
        <w:t>MM</w:t>
      </w:r>
      <w:r w:rsidR="00F80FB3" w:rsidRPr="002B468F">
        <w:t>CF</w:t>
      </w:r>
      <w:r w:rsidRPr="002B468F">
        <w:t xml:space="preserve">. This is different </w:t>
      </w:r>
      <w:r w:rsidR="003772D6">
        <w:t>for</w:t>
      </w:r>
      <w:r w:rsidR="003772D6" w:rsidRPr="002B468F">
        <w:t xml:space="preserve"> </w:t>
      </w:r>
      <w:r w:rsidRPr="002B468F">
        <w:t xml:space="preserve">initiating events like a LOCA, where the frequency is individual </w:t>
      </w:r>
      <w:r w:rsidR="00B222BA" w:rsidRPr="002B468F">
        <w:t xml:space="preserve">for </w:t>
      </w:r>
      <w:r w:rsidRPr="002B468F">
        <w:t>each module. In such case</w:t>
      </w:r>
      <w:r w:rsidR="00B222BA" w:rsidRPr="002B468F">
        <w:t>s</w:t>
      </w:r>
      <w:r w:rsidRPr="002B468F">
        <w:t xml:space="preserve"> the multi-module initiating event frequency is about 12 times the frequency of a single module.</w:t>
      </w:r>
    </w:p>
    <w:p w14:paraId="5C9C27F7" w14:textId="575E7B29" w:rsidR="00E46C6E" w:rsidRPr="002B468F" w:rsidRDefault="00E46C6E" w:rsidP="00E46C6E">
      <w:pPr>
        <w:pStyle w:val="BodyText"/>
      </w:pPr>
      <w:r w:rsidRPr="002B468F">
        <w:t xml:space="preserve">Factors which contribute to </w:t>
      </w:r>
      <w:r w:rsidR="002C42A7" w:rsidRPr="002B468F">
        <w:t>MM</w:t>
      </w:r>
      <w:r w:rsidR="00F80FB3" w:rsidRPr="002B468F">
        <w:t>CF</w:t>
      </w:r>
      <w:r w:rsidRPr="002B468F">
        <w:t xml:space="preserve"> higher than 1 are:</w:t>
      </w:r>
    </w:p>
    <w:p w14:paraId="7B292C2E" w14:textId="208D5A48" w:rsidR="00E46C6E" w:rsidRPr="002B468F" w:rsidRDefault="00E46C6E" w:rsidP="00B36077">
      <w:pPr>
        <w:pStyle w:val="ListNumbered"/>
      </w:pPr>
      <w:r w:rsidRPr="002B468F">
        <w:t>Human error, which is increased if multiple modules are affected at the same time</w:t>
      </w:r>
      <w:r w:rsidR="007D6BF9" w:rsidRPr="002B468F">
        <w:t>;</w:t>
      </w:r>
    </w:p>
    <w:p w14:paraId="184F854A" w14:textId="3701E987" w:rsidR="00E46C6E" w:rsidRPr="002B468F" w:rsidRDefault="00E46C6E" w:rsidP="00B36077">
      <w:pPr>
        <w:pStyle w:val="ListNumbered"/>
      </w:pPr>
      <w:r w:rsidRPr="002B468F">
        <w:t xml:space="preserve">CCF in multiple modules in combination with </w:t>
      </w:r>
      <w:r w:rsidR="007D6BF9" w:rsidRPr="002B468F">
        <w:t xml:space="preserve">an </w:t>
      </w:r>
      <w:r w:rsidRPr="002B468F">
        <w:t>increased</w:t>
      </w:r>
      <w:r w:rsidR="007D6BF9" w:rsidRPr="002B468F">
        <w:t xml:space="preserve"> human error</w:t>
      </w:r>
      <w:r w:rsidRPr="002B468F">
        <w:t xml:space="preserve"> probability or limited equipment</w:t>
      </w:r>
      <w:r w:rsidR="007D6BF9" w:rsidRPr="002B468F">
        <w:t>;</w:t>
      </w:r>
    </w:p>
    <w:p w14:paraId="16FAF875" w14:textId="1E6740A2" w:rsidR="00E46C6E" w:rsidRPr="002B468F" w:rsidRDefault="00E46C6E" w:rsidP="00B36077">
      <w:pPr>
        <w:pStyle w:val="ListNumbered"/>
      </w:pPr>
      <w:r w:rsidRPr="002B468F">
        <w:t>Limited equipment: A few systems are shared by multiple modules, e.g., CFDS, diesel generators, combustion turbine generator</w:t>
      </w:r>
      <w:r w:rsidR="00883836" w:rsidRPr="002B468F">
        <w:t>.</w:t>
      </w:r>
    </w:p>
    <w:p w14:paraId="20248031" w14:textId="338E6401" w:rsidR="00E46C6E" w:rsidRDefault="00E46C6E" w:rsidP="00E46C6E">
      <w:pPr>
        <w:pStyle w:val="BodyText"/>
      </w:pPr>
      <w:r w:rsidRPr="002B468F">
        <w:t xml:space="preserve">The </w:t>
      </w:r>
      <w:r w:rsidR="002C42A7" w:rsidRPr="002B468F">
        <w:t>MM</w:t>
      </w:r>
      <w:r w:rsidR="00F80FB3" w:rsidRPr="002B468F">
        <w:t>CF</w:t>
      </w:r>
      <w:r w:rsidRPr="002B468F">
        <w:t xml:space="preserve"> is separately </w:t>
      </w:r>
      <w:r w:rsidR="00B75DC3" w:rsidRPr="002B468F">
        <w:t>analysed</w:t>
      </w:r>
      <w:r w:rsidRPr="002B468F">
        <w:t xml:space="preserve"> for each</w:t>
      </w:r>
      <w:r w:rsidR="00A04E9C" w:rsidRPr="002B468F">
        <w:t xml:space="preserve"> multi-module</w:t>
      </w:r>
      <w:r w:rsidRPr="002B468F">
        <w:t xml:space="preserve"> initiating event</w:t>
      </w:r>
      <w:r w:rsidR="00781F78" w:rsidRPr="002B468F">
        <w:t>s</w:t>
      </w:r>
      <w:r w:rsidRPr="002B468F">
        <w:t>, the result is shown in F</w:t>
      </w:r>
      <w:r w:rsidR="00A04E9C" w:rsidRPr="002B468F">
        <w:t xml:space="preserve">IG. </w:t>
      </w:r>
      <w:r w:rsidR="003B1D95" w:rsidRPr="002B468F">
        <w:t>2</w:t>
      </w:r>
      <w:r w:rsidR="00A04E9C" w:rsidRPr="002B468F">
        <w:t xml:space="preserve">. </w:t>
      </w:r>
    </w:p>
    <w:p w14:paraId="0EC195CA" w14:textId="52EFB9D9" w:rsidR="00841ADB" w:rsidRPr="002B468F" w:rsidRDefault="001C66E0" w:rsidP="00E46C6E">
      <w:pPr>
        <w:pStyle w:val="BodyText"/>
      </w:pPr>
      <w:r w:rsidRPr="002B468F">
        <w:rPr>
          <w:noProof/>
          <w:lang w:eastAsia="en-GB"/>
        </w:rPr>
        <mc:AlternateContent>
          <mc:Choice Requires="wps">
            <w:drawing>
              <wp:anchor distT="0" distB="0" distL="114300" distR="114300" simplePos="0" relativeHeight="251662336" behindDoc="0" locked="0" layoutInCell="1" allowOverlap="1" wp14:anchorId="4EE96121" wp14:editId="51B989DB">
                <wp:simplePos x="0" y="0"/>
                <wp:positionH relativeFrom="margin">
                  <wp:align>left</wp:align>
                </wp:positionH>
                <wp:positionV relativeFrom="paragraph">
                  <wp:posOffset>2298700</wp:posOffset>
                </wp:positionV>
                <wp:extent cx="3458845" cy="185420"/>
                <wp:effectExtent l="0" t="0" r="8255" b="5080"/>
                <wp:wrapTopAndBottom/>
                <wp:docPr id="23" name="Text Box 2"/>
                <wp:cNvGraphicFramePr/>
                <a:graphic xmlns:a="http://schemas.openxmlformats.org/drawingml/2006/main">
                  <a:graphicData uri="http://schemas.microsoft.com/office/word/2010/wordprocessingShape">
                    <wps:wsp>
                      <wps:cNvSpPr txBox="1"/>
                      <wps:spPr>
                        <a:xfrm>
                          <a:off x="0" y="0"/>
                          <a:ext cx="3458845" cy="185420"/>
                        </a:xfrm>
                        <a:prstGeom prst="rect">
                          <a:avLst/>
                        </a:prstGeom>
                        <a:solidFill>
                          <a:prstClr val="white"/>
                        </a:solidFill>
                        <a:ln>
                          <a:noFill/>
                        </a:ln>
                        <a:effectLst/>
                      </wps:spPr>
                      <wps:txbx>
                        <w:txbxContent>
                          <w:p w14:paraId="37B99F88" w14:textId="67848DA5" w:rsidR="00A04E9C" w:rsidRPr="00802381" w:rsidRDefault="00A04E9C" w:rsidP="00A04E9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940945">
                              <w:rPr>
                                <w:i/>
                                <w:noProof/>
                              </w:rPr>
                              <w:t>2</w:t>
                            </w:r>
                            <w:r w:rsidRPr="00802381">
                              <w:rPr>
                                <w:i/>
                              </w:rPr>
                              <w:fldChar w:fldCharType="end"/>
                            </w:r>
                            <w:r>
                              <w:rPr>
                                <w:i/>
                              </w:rPr>
                              <w:t xml:space="preserve">. </w:t>
                            </w:r>
                            <w:r w:rsidR="002C42A7">
                              <w:rPr>
                                <w:i/>
                              </w:rPr>
                              <w:t>MM</w:t>
                            </w:r>
                            <w:r w:rsidR="00F80FB3">
                              <w:rPr>
                                <w:i/>
                              </w:rPr>
                              <w:t>CF</w:t>
                            </w:r>
                            <w:r w:rsidR="007D6BF9">
                              <w:rPr>
                                <w:i/>
                              </w:rPr>
                              <w:t>s</w:t>
                            </w:r>
                            <w:r>
                              <w:rPr>
                                <w:i/>
                              </w:rPr>
                              <w:t xml:space="preserve"> for all multi-module initiating events.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E96121" id="_x0000_s1027" type="#_x0000_t202" style="position:absolute;left:0;text-align:left;margin-left:0;margin-top:181pt;width:272.35pt;height:14.6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" stroked="f">
                <v:textbox style="mso-fit-shape-to-text:t" inset="0,0,0,0">
                  <w:txbxContent>
                    <w:p w14:paraId="37B99F88" w14:textId="67848DA5" w:rsidR="00A04E9C" w:rsidRPr="00802381" w:rsidRDefault="00A04E9C" w:rsidP="00A04E9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940945">
                        <w:rPr>
                          <w:i/>
                          <w:noProof/>
                        </w:rPr>
                        <w:t>2</w:t>
                      </w:r>
                      <w:r w:rsidRPr="00802381">
                        <w:rPr>
                          <w:i/>
                        </w:rPr>
                        <w:fldChar w:fldCharType="end"/>
                      </w:r>
                      <w:r>
                        <w:rPr>
                          <w:i/>
                        </w:rPr>
                        <w:t xml:space="preserve">. </w:t>
                      </w:r>
                      <w:r w:rsidR="002C42A7">
                        <w:rPr>
                          <w:i/>
                        </w:rPr>
                        <w:t>MM</w:t>
                      </w:r>
                      <w:r w:rsidR="00F80FB3">
                        <w:rPr>
                          <w:i/>
                        </w:rPr>
                        <w:t>CF</w:t>
                      </w:r>
                      <w:r w:rsidR="007D6BF9">
                        <w:rPr>
                          <w:i/>
                        </w:rPr>
                        <w:t>s</w:t>
                      </w:r>
                      <w:r>
                        <w:rPr>
                          <w:i/>
                        </w:rPr>
                        <w:t xml:space="preserve"> for all multi-module initiating events.</w:t>
                      </w:r>
                    </w:p>
                  </w:txbxContent>
                </v:textbox>
                <w10:wrap type="topAndBottom" anchorx="margin"/>
              </v:shape>
            </w:pict>
          </mc:Fallback>
        </mc:AlternateContent>
      </w:r>
    </w:p>
    <w:p w14:paraId="47556444" w14:textId="3642D3C4" w:rsidR="00A04E9C" w:rsidRPr="002B468F" w:rsidRDefault="00AF1B4E" w:rsidP="00F264A6">
      <w:pPr>
        <w:pStyle w:val="BodyText"/>
        <w:jc w:val="center"/>
      </w:pPr>
      <w:r>
        <w:rPr>
          <w:noProof/>
        </w:rPr>
        <mc:AlternateContent>
          <mc:Choice Requires="wps">
            <w:drawing>
              <wp:anchor distT="0" distB="0" distL="114300" distR="114300" simplePos="0" relativeHeight="251665408" behindDoc="0" locked="0" layoutInCell="1" allowOverlap="1" wp14:anchorId="3CC2D567" wp14:editId="2EEF78BF">
                <wp:simplePos x="0" y="0"/>
                <wp:positionH relativeFrom="column">
                  <wp:posOffset>617855</wp:posOffset>
                </wp:positionH>
                <wp:positionV relativeFrom="paragraph">
                  <wp:posOffset>1633649</wp:posOffset>
                </wp:positionV>
                <wp:extent cx="4835936" cy="15857"/>
                <wp:effectExtent l="0" t="0" r="22225" b="22860"/>
                <wp:wrapNone/>
                <wp:docPr id="731392375" name="Gerader Verbinder 1"/>
                <wp:cNvGraphicFramePr/>
                <a:graphic xmlns:a="http://schemas.openxmlformats.org/drawingml/2006/main">
                  <a:graphicData uri="http://schemas.microsoft.com/office/word/2010/wordprocessingShape">
                    <wps:wsp>
                      <wps:cNvCnPr/>
                      <wps:spPr>
                        <a:xfrm flipV="1">
                          <a:off x="0" y="0"/>
                          <a:ext cx="4835936" cy="15857"/>
                        </a:xfrm>
                        <a:prstGeom prst="line">
                          <a:avLst/>
                        </a:prstGeom>
                        <a:ln w="3175">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A30BE" id="Gerader Verbinde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128.65pt" to="429.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" strokecolor="#d8d8d8 [2732]" strokeweight=".25pt">
                <v:stroke dashstyle="dash"/>
              </v:line>
            </w:pict>
          </mc:Fallback>
        </mc:AlternateContent>
      </w:r>
      <w:r w:rsidR="00967621" w:rsidRPr="00967621">
        <w:rPr>
          <w:noProof/>
        </w:rPr>
        <w:drawing>
          <wp:inline distT="0" distB="0" distL="0" distR="0" wp14:anchorId="0A011722" wp14:editId="714D19B5">
            <wp:extent cx="4825707" cy="2124791"/>
            <wp:effectExtent l="0" t="0" r="13335" b="8890"/>
            <wp:docPr id="1693097731" name="Diagramm 1">
              <a:extLst xmlns:a="http://schemas.openxmlformats.org/drawingml/2006/main">
                <a:ext uri="{FF2B5EF4-FFF2-40B4-BE49-F238E27FC236}">
                  <a16:creationId xmlns:a16="http://schemas.microsoft.com/office/drawing/2014/main" id="{7C59EDD6-3627-44DE-9EB5-1457CEEB2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DB4B3F" w14:textId="77777777" w:rsidR="001C66E0" w:rsidRDefault="001C66E0" w:rsidP="00DD24E9">
      <w:pPr>
        <w:pStyle w:val="BodyText"/>
      </w:pPr>
    </w:p>
    <w:p w14:paraId="057FFBD2" w14:textId="55EA7019" w:rsidR="00A04E9C" w:rsidRPr="002B468F" w:rsidRDefault="00781F78" w:rsidP="00DD24E9">
      <w:pPr>
        <w:pStyle w:val="BodyText"/>
      </w:pPr>
      <w:r w:rsidRPr="002B468F">
        <w:t xml:space="preserve">The </w:t>
      </w:r>
      <w:r w:rsidR="00E6700C" w:rsidRPr="002B468F">
        <w:t>MM</w:t>
      </w:r>
      <w:r w:rsidR="00F80FB3" w:rsidRPr="002B468F">
        <w:t>CF</w:t>
      </w:r>
      <w:r w:rsidRPr="002B468F">
        <w:t xml:space="preserve"> is found to be higher than 1 for </w:t>
      </w:r>
      <w:r w:rsidR="00940945">
        <w:t>several</w:t>
      </w:r>
      <w:r w:rsidRPr="002B468F">
        <w:t xml:space="preserve"> </w:t>
      </w:r>
      <w:r w:rsidR="0091049D" w:rsidRPr="002B468F">
        <w:t>CCIs</w:t>
      </w:r>
      <w:r w:rsidRPr="002B468F">
        <w:t xml:space="preserve"> with </w:t>
      </w:r>
      <w:r w:rsidR="00B22E22" w:rsidRPr="002B468F">
        <w:t>the</w:t>
      </w:r>
      <w:r w:rsidRPr="002B468F">
        <w:t xml:space="preserve"> highest value of more than </w:t>
      </w:r>
      <w:r w:rsidR="00432EC3" w:rsidRPr="002B468F">
        <w:t>100</w:t>
      </w:r>
      <w:r w:rsidRPr="002B468F">
        <w:t xml:space="preserve">. The result demonstrates the </w:t>
      </w:r>
      <w:r w:rsidR="00841ADB">
        <w:t>need</w:t>
      </w:r>
      <w:r w:rsidRPr="002B468F">
        <w:t xml:space="preserve"> </w:t>
      </w:r>
      <w:r w:rsidR="00841ADB">
        <w:t>for conducting</w:t>
      </w:r>
      <w:r w:rsidRPr="002B468F">
        <w:t xml:space="preserve"> a multi-module PSA</w:t>
      </w:r>
      <w:r w:rsidR="007D6BF9" w:rsidRPr="002B468F">
        <w:t>;</w:t>
      </w:r>
      <w:r w:rsidRPr="002B468F">
        <w:t xml:space="preserve"> values based on expert judgement may differ </w:t>
      </w:r>
      <w:r w:rsidR="009D5BBD" w:rsidRPr="002B468F">
        <w:t>substantially.</w:t>
      </w:r>
      <w:r w:rsidR="004C77EA" w:rsidRPr="002B468F">
        <w:t xml:space="preserve"> </w:t>
      </w:r>
      <w:r w:rsidR="00B00509">
        <w:t xml:space="preserve">The result can be averaged by weighting with the total contribution to the SCDF. </w:t>
      </w:r>
      <w:r w:rsidR="004C77EA" w:rsidRPr="002B468F">
        <w:t>Th</w:t>
      </w:r>
      <w:r w:rsidR="00B00509">
        <w:t xml:space="preserve">e weighted </w:t>
      </w:r>
      <w:r w:rsidR="004C77EA" w:rsidRPr="002B468F">
        <w:t xml:space="preserve">average </w:t>
      </w:r>
      <w:r w:rsidR="002C42A7" w:rsidRPr="002B468F">
        <w:t>MM</w:t>
      </w:r>
      <w:r w:rsidR="00F80FB3" w:rsidRPr="002B468F">
        <w:t>CF</w:t>
      </w:r>
      <w:r w:rsidR="004C77EA" w:rsidRPr="002B468F">
        <w:t xml:space="preserve"> is found to be</w:t>
      </w:r>
      <w:r w:rsidR="000F6C0C" w:rsidRPr="002B468F">
        <w:t xml:space="preserve"> 1.</w:t>
      </w:r>
      <w:r w:rsidR="0091049D" w:rsidRPr="002B468F">
        <w:t>3</w:t>
      </w:r>
      <w:r w:rsidR="00411066" w:rsidRPr="002B468F">
        <w:t>0</w:t>
      </w:r>
      <w:r w:rsidR="004C77EA" w:rsidRPr="002B468F">
        <w:t>.</w:t>
      </w:r>
    </w:p>
    <w:p w14:paraId="0F52E9BC" w14:textId="1EF94E2E" w:rsidR="00F4181A" w:rsidRPr="002B468F" w:rsidRDefault="00F4181A" w:rsidP="004E4717">
      <w:pPr>
        <w:pStyle w:val="Heading3"/>
        <w:keepNext/>
        <w:numPr>
          <w:ilvl w:val="2"/>
          <w:numId w:val="11"/>
        </w:numPr>
      </w:pPr>
      <w:r w:rsidRPr="002B468F">
        <w:t>Main cut</w:t>
      </w:r>
      <w:r w:rsidR="00980ECE" w:rsidRPr="002B468F">
        <w:t xml:space="preserve"> </w:t>
      </w:r>
      <w:r w:rsidRPr="002B468F">
        <w:t>sets</w:t>
      </w:r>
    </w:p>
    <w:p w14:paraId="7873DF1C" w14:textId="0D0A7893" w:rsidR="00B36077" w:rsidRPr="002B468F" w:rsidRDefault="00427A6F" w:rsidP="00B36077">
      <w:pPr>
        <w:pStyle w:val="BodyText"/>
      </w:pPr>
      <w:r w:rsidRPr="002B468F">
        <w:t xml:space="preserve">Basically, there are the following different types of </w:t>
      </w:r>
      <w:r w:rsidR="00B36077" w:rsidRPr="002B468F">
        <w:t>main cut sets</w:t>
      </w:r>
      <w:r w:rsidRPr="002B468F">
        <w:t>:</w:t>
      </w:r>
      <w:r w:rsidR="00B36077" w:rsidRPr="002B468F">
        <w:t xml:space="preserve"> </w:t>
      </w:r>
    </w:p>
    <w:p w14:paraId="64DF7528" w14:textId="14B93553" w:rsidR="00883836" w:rsidRPr="002B468F" w:rsidRDefault="00883836" w:rsidP="00E2632A">
      <w:pPr>
        <w:pStyle w:val="ListNumbered"/>
        <w:numPr>
          <w:ilvl w:val="0"/>
          <w:numId w:val="18"/>
        </w:numPr>
      </w:pPr>
      <w:r w:rsidRPr="002B468F">
        <w:t xml:space="preserve">Core damage because of a module drop during </w:t>
      </w:r>
      <w:r w:rsidR="00841ADB">
        <w:t xml:space="preserve">the </w:t>
      </w:r>
      <w:r w:rsidR="00B75DC3" w:rsidRPr="002B468F">
        <w:t>refuelling</w:t>
      </w:r>
      <w:r w:rsidRPr="002B468F">
        <w:t xml:space="preserve"> process</w:t>
      </w:r>
      <w:r w:rsidR="00940945">
        <w:t>:</w:t>
      </w:r>
      <w:r w:rsidRPr="002B468F">
        <w:t xml:space="preserve"> 1.3 E-06/</w:t>
      </w:r>
      <w:r w:rsidR="00940945">
        <w:t>ry</w:t>
      </w:r>
      <w:r w:rsidRPr="002B468F">
        <w:t>;</w:t>
      </w:r>
    </w:p>
    <w:p w14:paraId="5D111175" w14:textId="41FA689B" w:rsidR="00980ECE" w:rsidRPr="002B468F" w:rsidRDefault="001004D1" w:rsidP="00E2632A">
      <w:pPr>
        <w:pStyle w:val="ListNumbered"/>
        <w:numPr>
          <w:ilvl w:val="0"/>
          <w:numId w:val="18"/>
        </w:numPr>
      </w:pPr>
      <w:r w:rsidRPr="002B468F">
        <w:t>Functional failure of the primary system circulation without stabilization after shutdown</w:t>
      </w:r>
      <w:r w:rsidR="00940945">
        <w:t>:</w:t>
      </w:r>
      <w:r w:rsidRPr="002B468F">
        <w:t xml:space="preserve"> 6.0</w:t>
      </w:r>
      <w:r w:rsidR="00940945">
        <w:t> </w:t>
      </w:r>
      <w:r w:rsidRPr="002B468F">
        <w:t>E-07/</w:t>
      </w:r>
      <w:r w:rsidR="00940945">
        <w:t>ry</w:t>
      </w:r>
      <w:r w:rsidRPr="002B468F">
        <w:t>;</w:t>
      </w:r>
    </w:p>
    <w:p w14:paraId="50C2C649" w14:textId="68F1DE15" w:rsidR="005E6C13" w:rsidRPr="002B468F" w:rsidRDefault="005E6C13" w:rsidP="00E2632A">
      <w:pPr>
        <w:pStyle w:val="ListNumbered"/>
        <w:numPr>
          <w:ilvl w:val="0"/>
          <w:numId w:val="18"/>
        </w:numPr>
      </w:pPr>
      <w:r w:rsidRPr="002B468F">
        <w:t xml:space="preserve">Internal fire with </w:t>
      </w:r>
      <w:r w:rsidR="00215434" w:rsidRPr="002B468F">
        <w:t>reactor trip</w:t>
      </w:r>
      <w:r w:rsidRPr="002B468F">
        <w:t xml:space="preserve"> and ESFAS failure in 6 modules, multiple operator failures in all affected modules</w:t>
      </w:r>
      <w:r w:rsidR="00940945">
        <w:t>:</w:t>
      </w:r>
      <w:r w:rsidRPr="002B468F">
        <w:t>1.8</w:t>
      </w:r>
      <w:r w:rsidR="00940945">
        <w:t> </w:t>
      </w:r>
      <w:r w:rsidRPr="002B468F">
        <w:t>E-07/</w:t>
      </w:r>
      <w:r w:rsidR="00940945">
        <w:t>ry</w:t>
      </w:r>
      <w:r w:rsidRPr="002B468F">
        <w:t>;</w:t>
      </w:r>
    </w:p>
    <w:p w14:paraId="6569D6AB" w14:textId="21E1C278" w:rsidR="00883836" w:rsidRPr="002B468F" w:rsidRDefault="00883836" w:rsidP="00883836">
      <w:pPr>
        <w:pStyle w:val="ListNumbered"/>
        <w:numPr>
          <w:ilvl w:val="0"/>
          <w:numId w:val="18"/>
        </w:numPr>
      </w:pPr>
      <w:r w:rsidRPr="002B468F">
        <w:t xml:space="preserve">Internal fire with </w:t>
      </w:r>
      <w:r w:rsidR="0091049D" w:rsidRPr="002B468F">
        <w:t xml:space="preserve">inadvertent coolant </w:t>
      </w:r>
      <w:r w:rsidR="00856197">
        <w:t>addition</w:t>
      </w:r>
      <w:r w:rsidR="00856197" w:rsidRPr="002B468F">
        <w:t xml:space="preserve"> </w:t>
      </w:r>
      <w:r w:rsidR="0091049D" w:rsidRPr="002B468F">
        <w:t xml:space="preserve">to the </w:t>
      </w:r>
      <w:r w:rsidR="001F2F39" w:rsidRPr="002B468F">
        <w:t>reactor coolant system (RCS)</w:t>
      </w:r>
      <w:r w:rsidRPr="002B468F">
        <w:t>,</w:t>
      </w:r>
      <w:r w:rsidR="0091049D" w:rsidRPr="002B468F">
        <w:t xml:space="preserve"> CCF of </w:t>
      </w:r>
      <w:r w:rsidR="00E47BF8" w:rsidRPr="002B468F">
        <w:t>containment isolation valves (</w:t>
      </w:r>
      <w:r w:rsidR="0091049D" w:rsidRPr="002B468F">
        <w:t>CIVs</w:t>
      </w:r>
      <w:r w:rsidR="00E47BF8" w:rsidRPr="002B468F">
        <w:t>)</w:t>
      </w:r>
      <w:r w:rsidR="001F2F39" w:rsidRPr="002B468F">
        <w:t xml:space="preserve"> of a single module</w:t>
      </w:r>
      <w:r w:rsidRPr="002B468F">
        <w:t xml:space="preserve"> and </w:t>
      </w:r>
      <w:r w:rsidR="0091049D" w:rsidRPr="002B468F">
        <w:t>CCF of RRV or RVV IAB valves</w:t>
      </w:r>
      <w:r w:rsidR="001F2F39" w:rsidRPr="002B468F">
        <w:t xml:space="preserve"> of a single module not switching its states</w:t>
      </w:r>
      <w:r w:rsidR="00940945">
        <w:t>:</w:t>
      </w:r>
      <w:r w:rsidRPr="002B468F">
        <w:t xml:space="preserve"> </w:t>
      </w:r>
      <w:r w:rsidR="0091049D" w:rsidRPr="002B468F">
        <w:t>1</w:t>
      </w:r>
      <w:r w:rsidRPr="002B468F">
        <w:t>.7</w:t>
      </w:r>
      <w:r w:rsidR="00940945">
        <w:t> </w:t>
      </w:r>
      <w:r w:rsidRPr="002B468F">
        <w:t>E-0</w:t>
      </w:r>
      <w:r w:rsidR="001F2F39" w:rsidRPr="002B468F">
        <w:t>7</w:t>
      </w:r>
      <w:r w:rsidRPr="002B468F">
        <w:t>/</w:t>
      </w:r>
      <w:r w:rsidR="00940945">
        <w:t>ry</w:t>
      </w:r>
      <w:r w:rsidRPr="002B468F">
        <w:t>;</w:t>
      </w:r>
    </w:p>
    <w:p w14:paraId="5CE48C5B" w14:textId="6CEE2C37" w:rsidR="001F2F39" w:rsidRPr="002B468F" w:rsidRDefault="001F2F39" w:rsidP="001F2F39">
      <w:pPr>
        <w:pStyle w:val="ListNumbered"/>
        <w:numPr>
          <w:ilvl w:val="0"/>
          <w:numId w:val="18"/>
        </w:numPr>
      </w:pPr>
      <w:r w:rsidRPr="002B468F">
        <w:lastRenderedPageBreak/>
        <w:t xml:space="preserve">Internal fire with inadvertent coolant </w:t>
      </w:r>
      <w:r w:rsidR="00856197">
        <w:t>addition</w:t>
      </w:r>
      <w:r w:rsidR="00856197" w:rsidRPr="002B468F">
        <w:t xml:space="preserve"> </w:t>
      </w:r>
      <w:r w:rsidRPr="002B468F">
        <w:t xml:space="preserve">to the RCS, CCF of RRV </w:t>
      </w:r>
      <w:r w:rsidR="00E47BF8" w:rsidRPr="002B468F">
        <w:t>Inadvertent Actuation Block (IAB)</w:t>
      </w:r>
      <w:r w:rsidRPr="002B468F">
        <w:t xml:space="preserve"> valves of a single module and DHRS failure because of either CCF of all DHRS activation valves or all valves to isolate the main steam line in both steam generators of a single module</w:t>
      </w:r>
      <w:r w:rsidR="00940945">
        <w:t>:</w:t>
      </w:r>
      <w:r w:rsidRPr="002B468F">
        <w:t xml:space="preserve"> 3.8</w:t>
      </w:r>
      <w:r w:rsidR="00940945">
        <w:t> </w:t>
      </w:r>
      <w:r w:rsidRPr="002B468F">
        <w:t>E-08/</w:t>
      </w:r>
      <w:r w:rsidR="00940945">
        <w:t>ry;</w:t>
      </w:r>
    </w:p>
    <w:p w14:paraId="4D4F6158" w14:textId="00A3C8F6" w:rsidR="00883836" w:rsidRPr="002B468F" w:rsidRDefault="001F2F39" w:rsidP="00E2632A">
      <w:pPr>
        <w:pStyle w:val="ListNumbered"/>
        <w:numPr>
          <w:ilvl w:val="0"/>
          <w:numId w:val="18"/>
        </w:numPr>
      </w:pPr>
      <w:r w:rsidRPr="002B468F">
        <w:t>Loss of all EDSS buses and CCF of all RRV IAB valves of a single module</w:t>
      </w:r>
      <w:r w:rsidR="00940945">
        <w:t>:</w:t>
      </w:r>
      <w:r w:rsidR="00883836" w:rsidRPr="002B468F">
        <w:t xml:space="preserve"> 2.</w:t>
      </w:r>
      <w:r w:rsidR="005E6C13" w:rsidRPr="002B468F">
        <w:t>9</w:t>
      </w:r>
      <w:r w:rsidR="00940945">
        <w:t> </w:t>
      </w:r>
      <w:r w:rsidR="00883836" w:rsidRPr="002B468F">
        <w:t>E-08/</w:t>
      </w:r>
      <w:r w:rsidR="00940945">
        <w:t>ry</w:t>
      </w:r>
      <w:r w:rsidR="00883836" w:rsidRPr="002B468F">
        <w:t>;</w:t>
      </w:r>
    </w:p>
    <w:p w14:paraId="4A0CB885" w14:textId="6F490082" w:rsidR="001F2F39" w:rsidRPr="002B468F" w:rsidRDefault="00E27623" w:rsidP="00E2632A">
      <w:pPr>
        <w:pStyle w:val="ListNumbered"/>
        <w:numPr>
          <w:ilvl w:val="0"/>
          <w:numId w:val="18"/>
        </w:numPr>
      </w:pPr>
      <w:r w:rsidRPr="002B468F">
        <w:t xml:space="preserve">Inadvertent activation of the ECCS in all modules </w:t>
      </w:r>
      <w:r w:rsidR="00683A66">
        <w:t>due to</w:t>
      </w:r>
      <w:r w:rsidRPr="002B468F">
        <w:t xml:space="preserve"> fire, CCF of all RRV IAB valves in four modules, CCF of all the passive RRV opening function in all modules and an operator failure to initiate a necessary system in 1o</w:t>
      </w:r>
      <w:r w:rsidR="00712DC6">
        <w:t>u</w:t>
      </w:r>
      <w:r w:rsidR="00712DC6">
        <w:rPr>
          <w:lang w:val="en-US"/>
        </w:rPr>
        <w:t xml:space="preserve">t </w:t>
      </w:r>
      <w:r w:rsidRPr="002B468F">
        <w:t>o</w:t>
      </w:r>
      <w:r w:rsidR="00712DC6">
        <w:t xml:space="preserve">f </w:t>
      </w:r>
      <w:r w:rsidRPr="002B468F">
        <w:t>4 affected modules</w:t>
      </w:r>
      <w:r w:rsidR="00940945">
        <w:t>:</w:t>
      </w:r>
      <w:r w:rsidRPr="002B468F">
        <w:t xml:space="preserve"> 1.6</w:t>
      </w:r>
      <w:r w:rsidR="00940945">
        <w:t> </w:t>
      </w:r>
      <w:r w:rsidRPr="002B468F">
        <w:t>E-08/</w:t>
      </w:r>
      <w:r w:rsidR="00940945">
        <w:t>ry</w:t>
      </w:r>
      <w:r w:rsidR="002C1394" w:rsidRPr="002B468F">
        <w:t>.</w:t>
      </w:r>
    </w:p>
    <w:p w14:paraId="0D284D04" w14:textId="74D8B135" w:rsidR="00883836" w:rsidRPr="002B468F" w:rsidRDefault="00883836" w:rsidP="005F579B">
      <w:pPr>
        <w:pStyle w:val="ListNumbered"/>
        <w:numPr>
          <w:ilvl w:val="0"/>
          <w:numId w:val="0"/>
        </w:numPr>
        <w:ind w:left="720" w:hanging="360"/>
      </w:pPr>
      <w:r w:rsidRPr="002B468F">
        <w:t>The cut set</w:t>
      </w:r>
      <w:r w:rsidR="005E6C13" w:rsidRPr="002B468F">
        <w:t>s</w:t>
      </w:r>
      <w:r w:rsidRPr="002B468F">
        <w:t xml:space="preserve"> </w:t>
      </w:r>
      <w:r w:rsidR="005E6C13" w:rsidRPr="002B468F">
        <w:t>(</w:t>
      </w:r>
      <w:r w:rsidR="00007967" w:rsidRPr="002B468F">
        <w:t>c</w:t>
      </w:r>
      <w:r w:rsidR="005E6C13" w:rsidRPr="002B468F">
        <w:t xml:space="preserve">) and </w:t>
      </w:r>
      <w:r w:rsidRPr="002B468F">
        <w:t>(</w:t>
      </w:r>
      <w:r w:rsidR="005E6C13" w:rsidRPr="002B468F">
        <w:t>g</w:t>
      </w:r>
      <w:r w:rsidRPr="002B468F">
        <w:t xml:space="preserve">) </w:t>
      </w:r>
      <w:r w:rsidR="005E6C13" w:rsidRPr="002B468F">
        <w:t>are</w:t>
      </w:r>
      <w:r w:rsidRPr="002B468F">
        <w:t xml:space="preserve"> fully multi-module cut set</w:t>
      </w:r>
      <w:r w:rsidR="005E6C13" w:rsidRPr="002B468F">
        <w:t>s</w:t>
      </w:r>
      <w:r w:rsidRPr="002B468F">
        <w:t xml:space="preserve"> based on </w:t>
      </w:r>
      <w:r w:rsidR="00E27623" w:rsidRPr="002B468F">
        <w:t xml:space="preserve">a </w:t>
      </w:r>
      <w:r w:rsidRPr="002B468F">
        <w:t>multi-module event tree</w:t>
      </w:r>
      <w:r w:rsidR="005E6C13" w:rsidRPr="002B468F">
        <w:t>s</w:t>
      </w:r>
      <w:r w:rsidRPr="002B468F">
        <w:t>.</w:t>
      </w:r>
    </w:p>
    <w:p w14:paraId="580D103E" w14:textId="415CD9CB" w:rsidR="00980ECE" w:rsidRPr="002B468F" w:rsidRDefault="00980ECE" w:rsidP="00A16223">
      <w:pPr>
        <w:pStyle w:val="Heading3"/>
        <w:keepNext/>
        <w:numPr>
          <w:ilvl w:val="2"/>
          <w:numId w:val="11"/>
        </w:numPr>
      </w:pPr>
      <w:r w:rsidRPr="002B468F">
        <w:t xml:space="preserve">Important risk </w:t>
      </w:r>
      <w:r w:rsidR="006902AF" w:rsidRPr="002B468F">
        <w:t>contributors</w:t>
      </w:r>
    </w:p>
    <w:p w14:paraId="56A24699" w14:textId="4720756A" w:rsidR="00980ECE" w:rsidRPr="002B468F" w:rsidRDefault="005C3E63" w:rsidP="00980ECE">
      <w:pPr>
        <w:pStyle w:val="BodyText"/>
      </w:pPr>
      <w:r>
        <w:t xml:space="preserve">The main cut sets depend on system failures. These system failures are modelled in fault trees using basic events. Some basic events are very often found in main cut sets or are relevant for main cut sets with high </w:t>
      </w:r>
      <w:r w:rsidR="007F025F">
        <w:t>core damage frequency. In the following, the basic events with the highest contribution to the core damage frequency</w:t>
      </w:r>
      <w:r>
        <w:t xml:space="preserve"> </w:t>
      </w:r>
      <w:r w:rsidR="007F025F">
        <w:t xml:space="preserve">are presented </w:t>
      </w:r>
      <w:r w:rsidR="00B222BA" w:rsidRPr="002B468F">
        <w:t>in the order of</w:t>
      </w:r>
      <w:r w:rsidR="000C4F08" w:rsidRPr="002B468F">
        <w:t xml:space="preserve"> the </w:t>
      </w:r>
      <w:proofErr w:type="spellStart"/>
      <w:r w:rsidR="000C4F08" w:rsidRPr="002B468F">
        <w:t>Fussel</w:t>
      </w:r>
      <w:r w:rsidR="00AD1821">
        <w:t>l</w:t>
      </w:r>
      <w:proofErr w:type="spellEnd"/>
      <w:r w:rsidR="000C4F08" w:rsidRPr="002B468F">
        <w:t>-Vesely importance</w:t>
      </w:r>
      <w:r w:rsidR="0051297F" w:rsidRPr="002B468F">
        <w:t xml:space="preserve"> start</w:t>
      </w:r>
      <w:r w:rsidR="000C4F08" w:rsidRPr="002B468F">
        <w:t>ing</w:t>
      </w:r>
      <w:r w:rsidR="0051297F" w:rsidRPr="002B468F">
        <w:t xml:space="preserve"> with the most relevant basic event for the PSA result</w:t>
      </w:r>
      <w:r w:rsidR="00677A16" w:rsidRPr="002B468F">
        <w:t xml:space="preserve"> (the probabilities of the basic events are presented for orientation)</w:t>
      </w:r>
      <w:r w:rsidR="00B222BA" w:rsidRPr="002B468F">
        <w:t>:</w:t>
      </w:r>
    </w:p>
    <w:p w14:paraId="05866164" w14:textId="1CE5F5A9" w:rsidR="00F4181A" w:rsidRPr="002B468F" w:rsidRDefault="00442409" w:rsidP="00E2632A">
      <w:pPr>
        <w:pStyle w:val="ListNumbered"/>
        <w:numPr>
          <w:ilvl w:val="0"/>
          <w:numId w:val="20"/>
        </w:numPr>
      </w:pPr>
      <w:r w:rsidRPr="002B468F">
        <w:t>Stabilization of the natural convection after shutdown</w:t>
      </w:r>
      <w:r w:rsidR="00940945">
        <w:t>:</w:t>
      </w:r>
      <w:r w:rsidR="0051297F" w:rsidRPr="002B468F">
        <w:t xml:space="preserve"> </w:t>
      </w:r>
      <w:r w:rsidRPr="002B468F">
        <w:t>5.0</w:t>
      </w:r>
      <w:r w:rsidR="00B222BA" w:rsidRPr="002B468F">
        <w:t> </w:t>
      </w:r>
      <w:r w:rsidR="0051297F" w:rsidRPr="002B468F">
        <w:t>E-01</w:t>
      </w:r>
      <w:r w:rsidRPr="002B468F">
        <w:t>;</w:t>
      </w:r>
    </w:p>
    <w:p w14:paraId="75B0C4D6" w14:textId="60C63410" w:rsidR="00007967" w:rsidRPr="002B468F" w:rsidRDefault="00007967" w:rsidP="00007967">
      <w:pPr>
        <w:pStyle w:val="ListNumbered"/>
        <w:numPr>
          <w:ilvl w:val="0"/>
          <w:numId w:val="20"/>
        </w:numPr>
      </w:pPr>
      <w:r w:rsidRPr="002B468F">
        <w:t>RSV is demanded to open in a single module</w:t>
      </w:r>
      <w:r w:rsidR="00940945">
        <w:t>:</w:t>
      </w:r>
      <w:r w:rsidRPr="002B468F">
        <w:t xml:space="preserve"> 5.0</w:t>
      </w:r>
      <w:r w:rsidR="00940945">
        <w:t> </w:t>
      </w:r>
      <w:r w:rsidRPr="002B468F">
        <w:t>E-01;</w:t>
      </w:r>
    </w:p>
    <w:p w14:paraId="76461754" w14:textId="2F291A04" w:rsidR="00007967" w:rsidRPr="002B468F" w:rsidRDefault="00007967" w:rsidP="00007967">
      <w:pPr>
        <w:pStyle w:val="ListNumbered"/>
        <w:numPr>
          <w:ilvl w:val="0"/>
          <w:numId w:val="20"/>
        </w:numPr>
      </w:pPr>
      <w:r w:rsidRPr="002B468F">
        <w:t>CCF</w:t>
      </w:r>
      <w:r w:rsidR="00940945">
        <w:t>s</w:t>
      </w:r>
      <w:r w:rsidRPr="002B468F">
        <w:t xml:space="preserve"> of main </w:t>
      </w:r>
      <w:proofErr w:type="spellStart"/>
      <w:r w:rsidRPr="002B468F">
        <w:t>steam</w:t>
      </w:r>
      <w:proofErr w:type="spellEnd"/>
      <w:r w:rsidRPr="002B468F">
        <w:t xml:space="preserve"> isolation and backup valves in 4 modules</w:t>
      </w:r>
      <w:r w:rsidR="00940945">
        <w:t>:</w:t>
      </w:r>
      <w:r w:rsidRPr="002B468F">
        <w:t xml:space="preserve"> 1.4</w:t>
      </w:r>
      <w:r w:rsidR="00940945">
        <w:t> </w:t>
      </w:r>
      <w:r w:rsidRPr="002B468F">
        <w:t>E-06;</w:t>
      </w:r>
    </w:p>
    <w:p w14:paraId="3B20AB7E" w14:textId="56D7D329" w:rsidR="00007967" w:rsidRPr="002B468F" w:rsidRDefault="00007967" w:rsidP="00007967">
      <w:pPr>
        <w:pStyle w:val="ListNumbered"/>
        <w:numPr>
          <w:ilvl w:val="0"/>
          <w:numId w:val="20"/>
        </w:numPr>
      </w:pPr>
      <w:r w:rsidRPr="002B468F">
        <w:t>CCF</w:t>
      </w:r>
      <w:r w:rsidR="00940945">
        <w:t>s</w:t>
      </w:r>
      <w:r w:rsidRPr="002B468F">
        <w:t xml:space="preserve"> of passive RRV opening in all modules</w:t>
      </w:r>
      <w:r w:rsidR="00940945">
        <w:t>:</w:t>
      </w:r>
      <w:r w:rsidRPr="002B468F">
        <w:t xml:space="preserve"> 1.0 E-02;</w:t>
      </w:r>
    </w:p>
    <w:p w14:paraId="2B8098DE" w14:textId="45C6030B" w:rsidR="00007967" w:rsidRPr="002B468F" w:rsidRDefault="00007967" w:rsidP="00007967">
      <w:pPr>
        <w:pStyle w:val="ListNumbered"/>
        <w:numPr>
          <w:ilvl w:val="0"/>
          <w:numId w:val="20"/>
        </w:numPr>
      </w:pPr>
      <w:r w:rsidRPr="002B468F">
        <w:t>Combustion turbine generator fails during mission time</w:t>
      </w:r>
      <w:r w:rsidR="00940945">
        <w:t>:</w:t>
      </w:r>
      <w:r w:rsidRPr="002B468F">
        <w:t xml:space="preserve"> 1.6</w:t>
      </w:r>
      <w:r w:rsidR="00940945">
        <w:t> </w:t>
      </w:r>
      <w:r w:rsidRPr="002B468F">
        <w:t>E-01;</w:t>
      </w:r>
    </w:p>
    <w:p w14:paraId="17BBFC00" w14:textId="5C3317E9" w:rsidR="00007967" w:rsidRPr="002B468F" w:rsidRDefault="00007967" w:rsidP="00007967">
      <w:pPr>
        <w:pStyle w:val="ListNumbered"/>
        <w:numPr>
          <w:ilvl w:val="0"/>
          <w:numId w:val="20"/>
        </w:numPr>
      </w:pPr>
      <w:r w:rsidRPr="002B468F">
        <w:t>CCF</w:t>
      </w:r>
      <w:r w:rsidR="00940945">
        <w:t>s</w:t>
      </w:r>
      <w:r w:rsidRPr="002B468F">
        <w:t xml:space="preserve"> of RRV IAB valves (in 1 module)</w:t>
      </w:r>
      <w:r w:rsidR="00940945">
        <w:t>:</w:t>
      </w:r>
      <w:r w:rsidRPr="002B468F">
        <w:t>1.9</w:t>
      </w:r>
      <w:r w:rsidR="00940945">
        <w:t> </w:t>
      </w:r>
      <w:r w:rsidRPr="002B468F">
        <w:t>E-03;</w:t>
      </w:r>
    </w:p>
    <w:p w14:paraId="11D7CA9B" w14:textId="43454178" w:rsidR="00007967" w:rsidRPr="002B468F" w:rsidRDefault="00007967" w:rsidP="00007967">
      <w:pPr>
        <w:pStyle w:val="ListNumbered"/>
        <w:numPr>
          <w:ilvl w:val="0"/>
          <w:numId w:val="20"/>
        </w:numPr>
      </w:pPr>
      <w:r w:rsidRPr="002B468F">
        <w:t xml:space="preserve">Human failure to initialize </w:t>
      </w:r>
      <w:r w:rsidR="00856197">
        <w:t>a required</w:t>
      </w:r>
      <w:r w:rsidRPr="002B468F">
        <w:t xml:space="preserve"> system in 4</w:t>
      </w:r>
      <w:r w:rsidR="00254803">
        <w:t xml:space="preserve"> out of </w:t>
      </w:r>
      <w:r w:rsidRPr="002B468F">
        <w:t>4 affected modules</w:t>
      </w:r>
      <w:r w:rsidR="00940945">
        <w:t>:</w:t>
      </w:r>
      <w:r w:rsidRPr="002B468F">
        <w:t xml:space="preserve"> 1.0 E-02;</w:t>
      </w:r>
    </w:p>
    <w:p w14:paraId="6985B459" w14:textId="7D4DF3A4" w:rsidR="00007967" w:rsidRPr="002B468F" w:rsidRDefault="00007967" w:rsidP="00007967">
      <w:pPr>
        <w:pStyle w:val="ListNumbered"/>
        <w:numPr>
          <w:ilvl w:val="0"/>
          <w:numId w:val="20"/>
        </w:numPr>
      </w:pPr>
      <w:r w:rsidRPr="002B468F">
        <w:t>CCF of both diesel generator during mission time</w:t>
      </w:r>
      <w:r w:rsidR="00940945">
        <w:t xml:space="preserve">: </w:t>
      </w:r>
      <w:r w:rsidRPr="002B468F">
        <w:t>1.1</w:t>
      </w:r>
      <w:r w:rsidR="00940945">
        <w:t> </w:t>
      </w:r>
      <w:r w:rsidRPr="002B468F">
        <w:t>E-02;</w:t>
      </w:r>
    </w:p>
    <w:p w14:paraId="3CAABD61" w14:textId="52ED69E4" w:rsidR="00007967" w:rsidRPr="002B468F" w:rsidRDefault="00007967" w:rsidP="00007967">
      <w:pPr>
        <w:pStyle w:val="ListNumbered"/>
        <w:numPr>
          <w:ilvl w:val="0"/>
          <w:numId w:val="20"/>
        </w:numPr>
      </w:pPr>
      <w:r w:rsidRPr="002B468F">
        <w:t xml:space="preserve">Human failure to initialize a </w:t>
      </w:r>
      <w:r w:rsidR="00856197">
        <w:t>required</w:t>
      </w:r>
      <w:r w:rsidRPr="002B468F">
        <w:t xml:space="preserve"> system in 1</w:t>
      </w:r>
      <w:r w:rsidR="00254803">
        <w:t xml:space="preserve"> out of </w:t>
      </w:r>
      <w:r w:rsidRPr="002B468F">
        <w:t>2 affected modules</w:t>
      </w:r>
      <w:r w:rsidR="00940945">
        <w:t>:</w:t>
      </w:r>
      <w:r w:rsidRPr="002B468F">
        <w:t xml:space="preserve"> 1.0 E-01;</w:t>
      </w:r>
    </w:p>
    <w:p w14:paraId="24569D79" w14:textId="31E93B25" w:rsidR="00007967" w:rsidRPr="002B468F" w:rsidRDefault="00007967" w:rsidP="00E2632A">
      <w:pPr>
        <w:pStyle w:val="ListNumbered"/>
        <w:numPr>
          <w:ilvl w:val="0"/>
          <w:numId w:val="20"/>
        </w:numPr>
      </w:pPr>
      <w:r w:rsidRPr="002B468F">
        <w:t>CCF</w:t>
      </w:r>
      <w:r w:rsidR="00940945">
        <w:t>s</w:t>
      </w:r>
      <w:r w:rsidRPr="002B468F">
        <w:t xml:space="preserve"> of CIVs for the isolation of a CVCS insertion line (in 1 module)</w:t>
      </w:r>
      <w:r w:rsidR="00940945">
        <w:t>:</w:t>
      </w:r>
      <w:r w:rsidRPr="002B468F">
        <w:t xml:space="preserve"> 5.1</w:t>
      </w:r>
      <w:r w:rsidR="00940945">
        <w:t> </w:t>
      </w:r>
      <w:r w:rsidRPr="002B468F">
        <w:t>E-05;</w:t>
      </w:r>
    </w:p>
    <w:p w14:paraId="5DA6706C" w14:textId="3035317E" w:rsidR="00007967" w:rsidRPr="002B468F" w:rsidDel="00007967" w:rsidRDefault="00007967" w:rsidP="00E2632A">
      <w:pPr>
        <w:pStyle w:val="ListNumbered"/>
        <w:numPr>
          <w:ilvl w:val="0"/>
          <w:numId w:val="20"/>
        </w:numPr>
      </w:pPr>
      <w:r w:rsidRPr="002B468F">
        <w:t xml:space="preserve">Human failure to initialize a </w:t>
      </w:r>
      <w:r w:rsidR="00856197">
        <w:t>required</w:t>
      </w:r>
      <w:r w:rsidRPr="002B468F">
        <w:t xml:space="preserve"> system in 1</w:t>
      </w:r>
      <w:r w:rsidR="00254803">
        <w:t xml:space="preserve"> out of </w:t>
      </w:r>
      <w:r w:rsidRPr="002B468F">
        <w:t>3 affected modules</w:t>
      </w:r>
      <w:r w:rsidR="00940945">
        <w:t>:</w:t>
      </w:r>
      <w:r w:rsidRPr="002B468F">
        <w:t xml:space="preserve"> 5.0 E-01;</w:t>
      </w:r>
    </w:p>
    <w:p w14:paraId="34A36B44" w14:textId="03B878BB" w:rsidR="00007967" w:rsidRPr="002B468F" w:rsidRDefault="00007967" w:rsidP="00007967">
      <w:pPr>
        <w:pStyle w:val="ListNumbered"/>
        <w:numPr>
          <w:ilvl w:val="0"/>
          <w:numId w:val="20"/>
        </w:numPr>
      </w:pPr>
      <w:r w:rsidRPr="002B468F">
        <w:t>CCF</w:t>
      </w:r>
      <w:r w:rsidR="00940945">
        <w:t>s</w:t>
      </w:r>
      <w:r w:rsidRPr="002B468F">
        <w:t xml:space="preserve"> of main </w:t>
      </w:r>
      <w:proofErr w:type="spellStart"/>
      <w:r w:rsidRPr="002B468F">
        <w:t>steam</w:t>
      </w:r>
      <w:proofErr w:type="spellEnd"/>
      <w:r w:rsidRPr="002B468F">
        <w:t xml:space="preserve"> isolation and backup valves in 3 modules</w:t>
      </w:r>
      <w:r w:rsidR="00940945">
        <w:t>:</w:t>
      </w:r>
      <w:r w:rsidRPr="002B468F">
        <w:t xml:space="preserve"> </w:t>
      </w:r>
      <w:r w:rsidR="006B0154">
        <w:t>2</w:t>
      </w:r>
      <w:r w:rsidRPr="002B468F">
        <w:t>.4</w:t>
      </w:r>
      <w:r w:rsidR="00940945">
        <w:t> </w:t>
      </w:r>
      <w:r w:rsidRPr="002B468F">
        <w:t>E-06;</w:t>
      </w:r>
    </w:p>
    <w:p w14:paraId="44E0FAAC" w14:textId="66D7A4BF" w:rsidR="00007967" w:rsidRPr="002B468F" w:rsidRDefault="00007967" w:rsidP="00007967">
      <w:pPr>
        <w:pStyle w:val="ListNumbered"/>
        <w:numPr>
          <w:ilvl w:val="0"/>
          <w:numId w:val="20"/>
        </w:numPr>
      </w:pPr>
      <w:r w:rsidRPr="002B468F">
        <w:t>CCF</w:t>
      </w:r>
      <w:r w:rsidR="00940945">
        <w:t>s</w:t>
      </w:r>
      <w:r w:rsidRPr="002B468F">
        <w:t xml:space="preserve"> of RVV IAB valves (in 1 module)</w:t>
      </w:r>
      <w:r w:rsidR="00940945">
        <w:t>:</w:t>
      </w:r>
      <w:r w:rsidRPr="002B468F">
        <w:t xml:space="preserve"> 9.9</w:t>
      </w:r>
      <w:r w:rsidR="00940945">
        <w:t> </w:t>
      </w:r>
      <w:r w:rsidRPr="002B468F">
        <w:t>E-04;</w:t>
      </w:r>
    </w:p>
    <w:p w14:paraId="68D7B0CE" w14:textId="40E9DD32" w:rsidR="00007967" w:rsidRDefault="00007967" w:rsidP="00007967">
      <w:pPr>
        <w:pStyle w:val="ListNumbered"/>
        <w:numPr>
          <w:ilvl w:val="0"/>
          <w:numId w:val="20"/>
        </w:numPr>
      </w:pPr>
      <w:r w:rsidRPr="002B468F">
        <w:t>CCF</w:t>
      </w:r>
      <w:r w:rsidR="00940945">
        <w:t>s</w:t>
      </w:r>
      <w:r w:rsidRPr="002B468F">
        <w:t xml:space="preserve"> of passive RVV opening in all modules</w:t>
      </w:r>
      <w:r w:rsidR="00940945">
        <w:t>:</w:t>
      </w:r>
      <w:r w:rsidRPr="002B468F">
        <w:t xml:space="preserve"> 1.0 E-02</w:t>
      </w:r>
      <w:r w:rsidR="00940945">
        <w:t>.</w:t>
      </w:r>
    </w:p>
    <w:p w14:paraId="04E17EB8" w14:textId="56FC5C1F" w:rsidR="00A32616" w:rsidRPr="002B468F" w:rsidRDefault="007F025F" w:rsidP="006B0154">
      <w:pPr>
        <w:pStyle w:val="BodyText"/>
      </w:pPr>
      <w:r>
        <w:t xml:space="preserve">Although, the CCFs of main </w:t>
      </w:r>
      <w:proofErr w:type="spellStart"/>
      <w:r>
        <w:t>steam</w:t>
      </w:r>
      <w:proofErr w:type="spellEnd"/>
      <w:r>
        <w:t xml:space="preserve"> isolation and backup valves in 3 module</w:t>
      </w:r>
      <w:r w:rsidR="006B0154">
        <w:t>s</w:t>
      </w:r>
      <w:r>
        <w:t xml:space="preserve">, (l), have </w:t>
      </w:r>
      <w:r w:rsidR="006B0154">
        <w:t>a higher</w:t>
      </w:r>
      <w:r>
        <w:t xml:space="preserve"> failure probability</w:t>
      </w:r>
      <w:r w:rsidR="006B0154">
        <w:t xml:space="preserve"> compared to the same event in 4 modules, (c), the impact of (c) is higher, because afterwards the crew need to activate required systems in 4 modules rather than 3 which is a higher challenge. </w:t>
      </w:r>
      <w:r w:rsidR="00A32616" w:rsidRPr="002B468F">
        <w:t>CCF</w:t>
      </w:r>
      <w:r w:rsidR="00940945">
        <w:t>s</w:t>
      </w:r>
      <w:r w:rsidR="00677A16" w:rsidRPr="002B468F">
        <w:t xml:space="preserve"> in multiple </w:t>
      </w:r>
      <w:r w:rsidR="00A16223">
        <w:t xml:space="preserve">reactor </w:t>
      </w:r>
      <w:r w:rsidR="00677A16" w:rsidRPr="002B468F">
        <w:t>modules</w:t>
      </w:r>
      <w:r w:rsidR="00994601" w:rsidRPr="002B468F">
        <w:t>,</w:t>
      </w:r>
      <w:r w:rsidR="003A0720" w:rsidRPr="002B468F">
        <w:t xml:space="preserve"> </w:t>
      </w:r>
      <w:r w:rsidR="00007967" w:rsidRPr="002B468F">
        <w:t xml:space="preserve">(c), </w:t>
      </w:r>
      <w:r w:rsidR="00994601" w:rsidRPr="002B468F">
        <w:t>(</w:t>
      </w:r>
      <w:r w:rsidR="008F5335" w:rsidRPr="002B468F">
        <w:t>d</w:t>
      </w:r>
      <w:r w:rsidR="00994601" w:rsidRPr="002B468F">
        <w:t>), (</w:t>
      </w:r>
      <w:r w:rsidR="00007967" w:rsidRPr="002B468F">
        <w:t>l</w:t>
      </w:r>
      <w:r w:rsidR="00994601" w:rsidRPr="002B468F">
        <w:t>),</w:t>
      </w:r>
      <w:r w:rsidR="008F5335" w:rsidRPr="002B468F">
        <w:t xml:space="preserve"> </w:t>
      </w:r>
      <w:r w:rsidR="00994601" w:rsidRPr="002B468F">
        <w:t>and (</w:t>
      </w:r>
      <w:r w:rsidR="00007967" w:rsidRPr="002B468F">
        <w:t>n</w:t>
      </w:r>
      <w:r w:rsidR="00994601" w:rsidRPr="002B468F">
        <w:t>)</w:t>
      </w:r>
      <w:r w:rsidR="00A32616" w:rsidRPr="002B468F">
        <w:t xml:space="preserve"> are found to be very important contributor</w:t>
      </w:r>
      <w:r w:rsidR="00994601" w:rsidRPr="002B468F">
        <w:t>s</w:t>
      </w:r>
      <w:r w:rsidR="00A32616" w:rsidRPr="002B468F">
        <w:t xml:space="preserve"> to the multi-module </w:t>
      </w:r>
      <w:r w:rsidR="00677A16" w:rsidRPr="002B468F">
        <w:t>risk</w:t>
      </w:r>
      <w:r w:rsidR="00A32616" w:rsidRPr="002B468F">
        <w:t xml:space="preserve">. </w:t>
      </w:r>
      <w:r w:rsidR="00432CF8" w:rsidRPr="002B468F">
        <w:t>Moreover</w:t>
      </w:r>
      <w:r w:rsidR="00A32616" w:rsidRPr="002B468F">
        <w:t>, human failure is a very important contributor if human action</w:t>
      </w:r>
      <w:r w:rsidR="00432CF8" w:rsidRPr="002B468F">
        <w:t>s are</w:t>
      </w:r>
      <w:r w:rsidR="00A32616" w:rsidRPr="002B468F">
        <w:t xml:space="preserve"> </w:t>
      </w:r>
      <w:r w:rsidR="00432CF8" w:rsidRPr="002B468F">
        <w:t>needed</w:t>
      </w:r>
      <w:r w:rsidR="00A32616" w:rsidRPr="002B468F">
        <w:t xml:space="preserve"> in multiple modules</w:t>
      </w:r>
      <w:r w:rsidR="00994601" w:rsidRPr="002B468F">
        <w:t xml:space="preserve">, </w:t>
      </w:r>
      <w:r w:rsidR="00007967" w:rsidRPr="002B468F">
        <w:t xml:space="preserve">(g), </w:t>
      </w:r>
      <w:r w:rsidR="00994601" w:rsidRPr="002B468F">
        <w:t>(</w:t>
      </w:r>
      <w:r w:rsidR="00007967" w:rsidRPr="002B468F">
        <w:t>i</w:t>
      </w:r>
      <w:r w:rsidR="00994601" w:rsidRPr="002B468F">
        <w:t>) and (</w:t>
      </w:r>
      <w:r w:rsidR="00007967" w:rsidRPr="002B468F">
        <w:t>k</w:t>
      </w:r>
      <w:r w:rsidR="00994601" w:rsidRPr="002B468F">
        <w:t>)</w:t>
      </w:r>
      <w:r w:rsidR="00A32616" w:rsidRPr="002B468F">
        <w:t xml:space="preserve">, e.g., </w:t>
      </w:r>
      <w:r w:rsidR="00994601" w:rsidRPr="002B468F">
        <w:t>human action</w:t>
      </w:r>
      <w:r w:rsidR="00A16223">
        <w:t>s</w:t>
      </w:r>
      <w:r w:rsidR="00994601" w:rsidRPr="002B468F">
        <w:t xml:space="preserve"> to</w:t>
      </w:r>
      <w:r w:rsidR="00A32616" w:rsidRPr="002B468F">
        <w:t xml:space="preserve"> add</w:t>
      </w:r>
      <w:r w:rsidR="00994601" w:rsidRPr="002B468F">
        <w:t xml:space="preserve"> </w:t>
      </w:r>
      <w:r w:rsidR="00A32616" w:rsidRPr="002B468F">
        <w:t>coolant</w:t>
      </w:r>
      <w:r w:rsidR="00994601" w:rsidRPr="002B468F">
        <w:t xml:space="preserve"> to the primary coolant system via</w:t>
      </w:r>
      <w:r w:rsidR="00A32616" w:rsidRPr="002B468F">
        <w:t xml:space="preserve"> </w:t>
      </w:r>
      <w:r w:rsidR="004C5668" w:rsidRPr="002B468F">
        <w:t>CVCS</w:t>
      </w:r>
      <w:r w:rsidR="00A32616" w:rsidRPr="002B468F">
        <w:t>.</w:t>
      </w:r>
    </w:p>
    <w:p w14:paraId="27ADD2C4" w14:textId="59E946DD" w:rsidR="0058654F" w:rsidRPr="002B468F" w:rsidRDefault="004E4717" w:rsidP="00940945">
      <w:pPr>
        <w:pStyle w:val="Heading2"/>
        <w:keepNext/>
      </w:pPr>
      <w:r w:rsidRPr="002B468F">
        <w:tab/>
      </w:r>
      <w:r w:rsidR="00C418D5" w:rsidRPr="002B468F">
        <w:t>CONCLUSION</w:t>
      </w:r>
    </w:p>
    <w:p w14:paraId="527B6525" w14:textId="168C5231" w:rsidR="0058654F" w:rsidRPr="002B468F" w:rsidRDefault="0095509A" w:rsidP="005B749B">
      <w:pPr>
        <w:pStyle w:val="BodyText"/>
      </w:pPr>
      <w:r w:rsidRPr="002B468F">
        <w:t>A Level</w:t>
      </w:r>
      <w:r w:rsidR="00432CF8" w:rsidRPr="002B468F">
        <w:t> </w:t>
      </w:r>
      <w:r w:rsidRPr="002B468F">
        <w:t xml:space="preserve">1 </w:t>
      </w:r>
      <w:r w:rsidR="00A16223" w:rsidRPr="002B468F">
        <w:t xml:space="preserve">multi-module </w:t>
      </w:r>
      <w:r w:rsidR="00A16223">
        <w:t>P</w:t>
      </w:r>
      <w:r w:rsidRPr="002B468F">
        <w:t>SA model f</w:t>
      </w:r>
      <w:r w:rsidR="00C7151B" w:rsidRPr="002B468F">
        <w:t xml:space="preserve">or </w:t>
      </w:r>
      <w:r w:rsidR="00B75DC3" w:rsidRPr="002B468F">
        <w:t>analysing</w:t>
      </w:r>
      <w:r w:rsidR="00C7151B" w:rsidRPr="002B468F">
        <w:t xml:space="preserve"> the risk at a common site</w:t>
      </w:r>
      <w:r w:rsidRPr="002B468F">
        <w:t xml:space="preserve"> </w:t>
      </w:r>
      <w:r w:rsidR="00C7151B" w:rsidRPr="002B468F">
        <w:t xml:space="preserve">has </w:t>
      </w:r>
      <w:r w:rsidRPr="002B468F">
        <w:t xml:space="preserve">been </w:t>
      </w:r>
      <w:r w:rsidR="00C7151B" w:rsidRPr="002B468F">
        <w:t>developed for a VOYGR™ SMR plant</w:t>
      </w:r>
      <w:r w:rsidRPr="002B468F">
        <w:t xml:space="preserve">. The model </w:t>
      </w:r>
      <w:r w:rsidR="00DB1F4C" w:rsidRPr="002B468F">
        <w:t>is based on</w:t>
      </w:r>
      <w:r w:rsidR="00C7151B" w:rsidRPr="002B468F">
        <w:t xml:space="preserve"> the commercially available PSA code RiskSpectrum</w:t>
      </w:r>
      <w:r w:rsidR="00C7151B" w:rsidRPr="002B468F">
        <w:rPr>
          <w:vertAlign w:val="superscript"/>
        </w:rPr>
        <w:t>®</w:t>
      </w:r>
      <w:r w:rsidR="00C7151B" w:rsidRPr="002B468F">
        <w:t xml:space="preserve">. The </w:t>
      </w:r>
      <w:r w:rsidRPr="002B468F">
        <w:t>multi-module risk</w:t>
      </w:r>
      <w:r w:rsidR="004C77EA" w:rsidRPr="002B468F">
        <w:t>, in particular the SCDF</w:t>
      </w:r>
      <w:r w:rsidR="00940945">
        <w:t>,</w:t>
      </w:r>
      <w:r w:rsidRPr="002B468F">
        <w:t xml:space="preserve"> of 12 identical </w:t>
      </w:r>
      <w:r w:rsidR="00432CF8" w:rsidRPr="002B468F">
        <w:t xml:space="preserve">reactor </w:t>
      </w:r>
      <w:r w:rsidRPr="002B468F">
        <w:t>modules has been compared to</w:t>
      </w:r>
      <w:r w:rsidR="00C7151B" w:rsidRPr="002B468F">
        <w:t xml:space="preserve"> the risk </w:t>
      </w:r>
      <w:r w:rsidRPr="002B468F">
        <w:t>of</w:t>
      </w:r>
      <w:r w:rsidR="00C7151B" w:rsidRPr="002B468F">
        <w:t xml:space="preserve"> a </w:t>
      </w:r>
      <w:r w:rsidRPr="002B468F">
        <w:t xml:space="preserve">hypothetic </w:t>
      </w:r>
      <w:r w:rsidR="00C7151B" w:rsidRPr="002B468F">
        <w:t xml:space="preserve">single module </w:t>
      </w:r>
      <w:r w:rsidR="004C77EA" w:rsidRPr="002B468F">
        <w:t xml:space="preserve">plant. The different modules are </w:t>
      </w:r>
      <w:r w:rsidR="00C7151B" w:rsidRPr="002B468F">
        <w:t>located in the same building, sharing several SSC and the operator</w:t>
      </w:r>
      <w:r w:rsidR="00432CF8" w:rsidRPr="002B468F">
        <w:t>´</w:t>
      </w:r>
      <w:r w:rsidR="00C7151B" w:rsidRPr="002B468F">
        <w:t xml:space="preserve">s team. The manufacturer´s PSA of </w:t>
      </w:r>
      <w:proofErr w:type="spellStart"/>
      <w:r w:rsidR="00C7151B" w:rsidRPr="002B468F">
        <w:t>NuScale</w:t>
      </w:r>
      <w:proofErr w:type="spellEnd"/>
      <w:r w:rsidR="00C7151B" w:rsidRPr="002B468F">
        <w:t xml:space="preserve"> has been modified by an own analysis of initiating events (i.e., </w:t>
      </w:r>
      <w:r w:rsidR="004C77EA" w:rsidRPr="002B468F">
        <w:t>CCIs</w:t>
      </w:r>
      <w:r w:rsidR="00C7151B" w:rsidRPr="002B468F">
        <w:t xml:space="preserve">) and applying reliability data for systems and components from the German operating experience regarding single and/or </w:t>
      </w:r>
      <w:r w:rsidR="00940945">
        <w:t>common cause failures</w:t>
      </w:r>
      <w:r w:rsidR="00C7151B" w:rsidRPr="002B468F">
        <w:t xml:space="preserve">. Multi-module cut sets with an important contribution to the overall risk </w:t>
      </w:r>
      <w:r w:rsidR="00940945">
        <w:t>have been</w:t>
      </w:r>
      <w:r w:rsidR="00C7151B" w:rsidRPr="002B468F">
        <w:t xml:space="preserve"> identified</w:t>
      </w:r>
      <w:r w:rsidR="00612116" w:rsidRPr="002B468F">
        <w:t>, these are</w:t>
      </w:r>
      <w:r w:rsidR="005B749B" w:rsidRPr="002B468F">
        <w:t xml:space="preserve">, e.g., </w:t>
      </w:r>
      <w:r w:rsidR="007A73C1" w:rsidRPr="002B468F">
        <w:t>inadvertent activation of the ECCS in all modules because of fire, CCF of all RRV IAB valves in four modules, CCF</w:t>
      </w:r>
      <w:r w:rsidR="00940945">
        <w:t>s</w:t>
      </w:r>
      <w:r w:rsidR="007A73C1" w:rsidRPr="002B468F">
        <w:t xml:space="preserve"> of </w:t>
      </w:r>
      <w:r w:rsidR="00856197">
        <w:t xml:space="preserve"> </w:t>
      </w:r>
      <w:r w:rsidR="007A73C1" w:rsidRPr="002B468F">
        <w:t xml:space="preserve">the passive RRV opening function in all modules and an operator failure to initiate a </w:t>
      </w:r>
      <w:r w:rsidR="00856197">
        <w:t xml:space="preserve">required </w:t>
      </w:r>
      <w:r w:rsidR="007A73C1" w:rsidRPr="002B468F">
        <w:t>system in 1</w:t>
      </w:r>
      <w:r w:rsidR="00254803">
        <w:t xml:space="preserve"> out of </w:t>
      </w:r>
      <w:r w:rsidR="007A73C1" w:rsidRPr="002B468F">
        <w:t>4 affected modules</w:t>
      </w:r>
      <w:r w:rsidR="00C7151B" w:rsidRPr="002B468F">
        <w:t>. Inter-module CCFs and human failures have been observed to be important risk contributors</w:t>
      </w:r>
      <w:r w:rsidR="00612116" w:rsidRPr="002B468F">
        <w:t>, in particular</w:t>
      </w:r>
      <w:r w:rsidR="00442409" w:rsidRPr="002B468F">
        <w:t>,</w:t>
      </w:r>
      <w:r w:rsidR="00612116" w:rsidRPr="002B468F">
        <w:t xml:space="preserve"> CCF</w:t>
      </w:r>
      <w:r w:rsidR="00940945">
        <w:t>s</w:t>
      </w:r>
      <w:r w:rsidR="00612116" w:rsidRPr="002B468F">
        <w:t xml:space="preserve"> of </w:t>
      </w:r>
      <w:r w:rsidR="00940945">
        <w:t xml:space="preserve">the </w:t>
      </w:r>
      <w:r w:rsidR="006B135F" w:rsidRPr="002B468F">
        <w:t>main steam isolation and backup valves</w:t>
      </w:r>
      <w:r w:rsidR="005B749B" w:rsidRPr="002B468F">
        <w:t xml:space="preserve"> in four</w:t>
      </w:r>
      <w:r w:rsidR="001B7D3F" w:rsidRPr="002B468F">
        <w:t xml:space="preserve"> affected</w:t>
      </w:r>
      <w:r w:rsidR="005B749B" w:rsidRPr="002B468F">
        <w:t xml:space="preserve"> modules</w:t>
      </w:r>
      <w:r w:rsidR="00612116" w:rsidRPr="002B468F">
        <w:t xml:space="preserve">, human failure serving </w:t>
      </w:r>
      <w:r w:rsidR="006B135F" w:rsidRPr="002B468F">
        <w:t>one out of two affected</w:t>
      </w:r>
      <w:r w:rsidR="00612116" w:rsidRPr="002B468F">
        <w:t xml:space="preserve"> modules and </w:t>
      </w:r>
      <w:r w:rsidR="001B7D3F" w:rsidRPr="002B468F">
        <w:t>the CCF of RRV IAB valves in four affected modules</w:t>
      </w:r>
      <w:r w:rsidR="00C7151B" w:rsidRPr="002B468F">
        <w:t>. The analysis of significant contributors to the inter-module risk appears to be beneficial for quantifying the main cut sets and the safety balance of the reactor concept.</w:t>
      </w:r>
    </w:p>
    <w:p w14:paraId="15F4F300" w14:textId="77777777" w:rsidR="00285755" w:rsidRPr="002B468F" w:rsidRDefault="00285755" w:rsidP="00537496">
      <w:pPr>
        <w:pStyle w:val="Otherunnumberedheadings"/>
      </w:pPr>
      <w:r w:rsidRPr="002B468F">
        <w:lastRenderedPageBreak/>
        <w:t>ACKNOWLEDGEMENTS</w:t>
      </w:r>
    </w:p>
    <w:p w14:paraId="711AF860" w14:textId="112D812C" w:rsidR="00D26ADA" w:rsidRPr="002B468F" w:rsidRDefault="00437431" w:rsidP="00537496">
      <w:pPr>
        <w:pStyle w:val="BodyText"/>
      </w:pPr>
      <w:r w:rsidRPr="002B468F">
        <w:t>This research and development activity has been funded by the German Federal Ministry for the Environment, Nature Conservation, Nuclear Safety and Consumer Protection (BMUV). The authors acknowledge the support and contributions by Gerhard Mayer, Marina Röwekamp and Jan Stiller</w:t>
      </w:r>
      <w:r w:rsidR="00D26ADA" w:rsidRPr="002B468F">
        <w:t>.</w:t>
      </w:r>
    </w:p>
    <w:p w14:paraId="32B76F9D" w14:textId="77777777" w:rsidR="00D26ADA" w:rsidRPr="002B468F" w:rsidRDefault="00D26ADA" w:rsidP="00537496">
      <w:pPr>
        <w:pStyle w:val="Otherunnumberedheadings"/>
      </w:pPr>
      <w:r w:rsidRPr="002B468F">
        <w:t>References</w:t>
      </w:r>
    </w:p>
    <w:p w14:paraId="300B7A1A" w14:textId="2039CED6" w:rsidR="008600BE" w:rsidRDefault="008600BE" w:rsidP="008600BE">
      <w:pPr>
        <w:pStyle w:val="Referencelist"/>
      </w:pPr>
      <w:r w:rsidRPr="002B468F">
        <w:t>BOARIN, S., RICOTTI, M.E., An Evaluation of SMR Economic Attractiveness, Science and Technology of Nuclear Installations, 1-8, 2014.</w:t>
      </w:r>
    </w:p>
    <w:p w14:paraId="68CFF563" w14:textId="3A2C9B3F" w:rsidR="003B42EE" w:rsidRPr="008D61A9" w:rsidRDefault="00157521" w:rsidP="00537496">
      <w:pPr>
        <w:pStyle w:val="Referencelist"/>
        <w:rPr>
          <w:color w:val="000000" w:themeColor="text1"/>
        </w:rPr>
      </w:pPr>
      <w:r w:rsidRPr="002B468F">
        <w:t xml:space="preserve">NUSCALE, Application Documents for the </w:t>
      </w:r>
      <w:proofErr w:type="spellStart"/>
      <w:r w:rsidRPr="002B468F">
        <w:t>NuScale</w:t>
      </w:r>
      <w:proofErr w:type="spellEnd"/>
      <w:r w:rsidRPr="002B468F">
        <w:t xml:space="preserve"> US600 Design, Revision 5, U.S.NRC, Rockville, MD, 2020, </w:t>
      </w:r>
      <w:hyperlink r:id="rId12" w:history="1">
        <w:r w:rsidR="008600BE" w:rsidRPr="008D61A9">
          <w:rPr>
            <w:rStyle w:val="Hyperlink"/>
            <w:color w:val="000000" w:themeColor="text1"/>
            <w:u w:val="none"/>
          </w:rPr>
          <w:t>www.nrc.gov/reactors/new-reactors/smr/licensing-activities/nuscale/documents.html</w:t>
        </w:r>
      </w:hyperlink>
      <w:r w:rsidRPr="008D61A9">
        <w:rPr>
          <w:color w:val="000000" w:themeColor="text1"/>
        </w:rPr>
        <w:t>.</w:t>
      </w:r>
    </w:p>
    <w:p w14:paraId="2744573D" w14:textId="77777777" w:rsidR="008600BE" w:rsidRPr="00A64305" w:rsidRDefault="008600BE" w:rsidP="008600BE">
      <w:pPr>
        <w:pStyle w:val="Referencelist"/>
        <w:rPr>
          <w:lang w:val="de-DE"/>
        </w:rPr>
      </w:pPr>
      <w:r w:rsidRPr="008D61A9">
        <w:rPr>
          <w:color w:val="000000" w:themeColor="text1"/>
          <w:lang w:val="de-DE"/>
        </w:rPr>
        <w:t>VGB POWERTECH E.V., Zuverlässigkeitskenngrößen für Kernkraftwerk</w:t>
      </w:r>
      <w:r w:rsidRPr="00A64305">
        <w:rPr>
          <w:lang w:val="de-DE"/>
        </w:rPr>
        <w:t>skomponenten, Zentrale Zuverlässigkeits- und Ereignisdatenbank, TW 805-13, Essen, 2012.</w:t>
      </w:r>
    </w:p>
    <w:p w14:paraId="0E235467" w14:textId="77777777" w:rsidR="008600BE" w:rsidRPr="00A64305" w:rsidRDefault="008600BE" w:rsidP="008600BE">
      <w:pPr>
        <w:pStyle w:val="Referencelist"/>
        <w:rPr>
          <w:lang w:val="de-DE"/>
        </w:rPr>
      </w:pPr>
      <w:r w:rsidRPr="00A64305">
        <w:rPr>
          <w:lang w:val="de-DE"/>
        </w:rPr>
        <w:t xml:space="preserve">FACHARBEITSKREIS (FAK) PROBABILISTISCHE SICHERHEITSANALYSEN FÜR KERNKRAFTWERKE, </w:t>
      </w:r>
      <w:r w:rsidRPr="00A64305">
        <w:rPr>
          <w:rFonts w:cs="Arial"/>
          <w:szCs w:val="22"/>
          <w:lang w:val="de-DE"/>
        </w:rPr>
        <w:t xml:space="preserve">Methoden und Daten zur probabilistischen Sicherheitsanalyse für Kernkraftwerke, Stand: Mai 2015, BfS-SCHR-61/16, Bundesamt für Strahlenschutz (BfS), Salzgitter, September 2016 (in German), </w:t>
      </w:r>
      <w:hyperlink r:id="rId13" w:history="1">
        <w:r w:rsidRPr="00A64305">
          <w:rPr>
            <w:rStyle w:val="Hyperlink"/>
            <w:rFonts w:cs="Arial"/>
            <w:color w:val="auto"/>
            <w:szCs w:val="22"/>
            <w:u w:val="none"/>
            <w:lang w:val="de-DE"/>
          </w:rPr>
          <w:t>https://doris.bfs.de/jspui/bitstream/urn:nbn:de:0221-2016091314090/3/BfS-SCHR-61-16.pdf</w:t>
        </w:r>
      </w:hyperlink>
      <w:r w:rsidRPr="00A64305">
        <w:rPr>
          <w:rFonts w:cs="Arial"/>
          <w:szCs w:val="22"/>
          <w:lang w:val="de-DE"/>
        </w:rPr>
        <w:t>.</w:t>
      </w:r>
    </w:p>
    <w:p w14:paraId="45AF665A" w14:textId="77777777" w:rsidR="008600BE" w:rsidRPr="002B468F" w:rsidRDefault="008600BE" w:rsidP="008600BE">
      <w:pPr>
        <w:pStyle w:val="Referencelist"/>
      </w:pPr>
      <w:r w:rsidRPr="002B468F">
        <w:t>INTERNATIONAL ATOMIC ENERGY AGENCY (IAEA), Multi-unit Probabilistic Safety Assessment, IAEA Safety Reports Series No. 110, Vienna, 2023.</w:t>
      </w:r>
    </w:p>
    <w:p w14:paraId="21815698" w14:textId="77777777" w:rsidR="002E3A9D" w:rsidRDefault="002E3A9D" w:rsidP="002E3A9D">
      <w:pPr>
        <w:pStyle w:val="Referencelist"/>
      </w:pPr>
      <w:r w:rsidRPr="002B468F">
        <w:t xml:space="preserve">ORGANISATION FOR ECONOMIC COOPERATION AND DEVELOPMENT (OECD) NUCLEAR ENERGY AGENCY (NEA), Committee on the Safety of Nuclear Installations (CSNI), </w:t>
      </w:r>
      <w:r w:rsidRPr="00CD34EB">
        <w:rPr>
          <w:bCs/>
        </w:rPr>
        <w:t xml:space="preserve">A Summary of Proceedings at the June 2022 Symposium on PSA for Reactors of Singular Designs, </w:t>
      </w:r>
      <w:r w:rsidRPr="00CD34EB">
        <w:t>NEA/CSNI/R(2023)</w:t>
      </w:r>
      <w:proofErr w:type="spellStart"/>
      <w:r w:rsidRPr="00CD34EB">
        <w:t>xy</w:t>
      </w:r>
      <w:proofErr w:type="spellEnd"/>
      <w:r w:rsidRPr="00CD34EB">
        <w:t>, Paris</w:t>
      </w:r>
      <w:r w:rsidRPr="002B468F">
        <w:t xml:space="preserve">, </w:t>
      </w:r>
      <w:r>
        <w:t xml:space="preserve">in preparation </w:t>
      </w:r>
      <w:r w:rsidRPr="002B468F">
        <w:t>202</w:t>
      </w:r>
      <w:r>
        <w:t>4.</w:t>
      </w:r>
    </w:p>
    <w:p w14:paraId="23FBB2ED" w14:textId="57ACFEE5" w:rsidR="00263A0E" w:rsidRPr="002B468F" w:rsidRDefault="00263A0E" w:rsidP="002E3A9D">
      <w:pPr>
        <w:pStyle w:val="Referencelist"/>
      </w:pPr>
      <w:r w:rsidRPr="002B468F">
        <w:t>INTERNATIONAL ATOMIC ENERGY AGENCY</w:t>
      </w:r>
      <w:r w:rsidRPr="002B468F" w:rsidDel="00E07C9F">
        <w:t xml:space="preserve"> </w:t>
      </w:r>
      <w:r w:rsidRPr="002B468F">
        <w:t>(IAEA), Development and Application of Level 1 Probabilistic Safety Assessment for Nuclear Power Plants, Specific Safety Guide, IAEA Safety Standards Series No. SSG-3, Rev. 1, STI/PUB/2056, ISBN 978-92-0-130723-1, Vienna, 2024, https://doi.org/10.61092/iaea.3ezv-lp4.</w:t>
      </w:r>
    </w:p>
    <w:p w14:paraId="441C99BD" w14:textId="77777777" w:rsidR="00263A0E" w:rsidRPr="002B468F" w:rsidRDefault="00263A0E" w:rsidP="00263A0E">
      <w:pPr>
        <w:pStyle w:val="Referencelist"/>
      </w:pPr>
      <w:r w:rsidRPr="002B468F">
        <w:t>AUTHORITY FOR NUCLEAR SAFETY AND RADIATION PROTECTION (ANVS), Safety Guidelines, Guidelines on the Safe Design and Operation of Nuclear Reactors, Den Haag, 2015.</w:t>
      </w:r>
    </w:p>
    <w:p w14:paraId="0C150DB5" w14:textId="77777777" w:rsidR="00263A0E" w:rsidRPr="00A64305" w:rsidRDefault="00263A0E" w:rsidP="00263A0E">
      <w:pPr>
        <w:pStyle w:val="Referencelist"/>
        <w:rPr>
          <w:lang w:val="de-DE"/>
        </w:rPr>
      </w:pPr>
      <w:r w:rsidRPr="00A64305">
        <w:rPr>
          <w:lang w:val="de-DE"/>
        </w:rPr>
        <w:t xml:space="preserve">FACHARBEITSKREIS (FAK) PROBABILISTISCHE SICHERHEITSANALYSEN FÜR KERNKRAFTWERKE, </w:t>
      </w:r>
      <w:r w:rsidRPr="00A64305">
        <w:rPr>
          <w:rFonts w:cs="Arial"/>
          <w:szCs w:val="22"/>
          <w:lang w:val="de-DE"/>
        </w:rPr>
        <w:t xml:space="preserve">Methoden zur probabilistischen Sicherheitsanalyse für Kernkraftwerke, Stand: August 2005, BfS-SCHR-37/05, ISBN </w:t>
      </w:r>
      <w:r w:rsidRPr="00A64305">
        <w:rPr>
          <w:rStyle w:val="metadatafieldvalueeven1"/>
          <w:rFonts w:cs="Arial"/>
          <w:szCs w:val="22"/>
          <w:lang w:val="de-DE"/>
          <w:specVanish w:val="0"/>
        </w:rPr>
        <w:t xml:space="preserve">3-86509-414-7, </w:t>
      </w:r>
      <w:r w:rsidRPr="00A64305">
        <w:rPr>
          <w:rFonts w:cs="Arial"/>
          <w:szCs w:val="22"/>
          <w:lang w:val="de-DE"/>
        </w:rPr>
        <w:t>Bundesamt für Strahlenschutz (</w:t>
      </w:r>
      <w:proofErr w:type="spellStart"/>
      <w:r w:rsidRPr="00A64305">
        <w:rPr>
          <w:rFonts w:cs="Arial"/>
          <w:szCs w:val="22"/>
          <w:lang w:val="de-DE"/>
        </w:rPr>
        <w:t>BfS</w:t>
      </w:r>
      <w:proofErr w:type="spellEnd"/>
      <w:r w:rsidRPr="00A64305">
        <w:rPr>
          <w:rFonts w:cs="Arial"/>
          <w:szCs w:val="22"/>
          <w:lang w:val="de-DE"/>
        </w:rPr>
        <w:t xml:space="preserve">), Salzgitter, </w:t>
      </w:r>
      <w:proofErr w:type="spellStart"/>
      <w:r w:rsidRPr="00A64305">
        <w:rPr>
          <w:rFonts w:cs="Arial"/>
          <w:szCs w:val="22"/>
          <w:lang w:val="de-DE"/>
        </w:rPr>
        <w:t>October</w:t>
      </w:r>
      <w:proofErr w:type="spellEnd"/>
      <w:r w:rsidRPr="00A64305">
        <w:rPr>
          <w:rFonts w:cs="Arial"/>
          <w:szCs w:val="22"/>
          <w:lang w:val="de-DE"/>
        </w:rPr>
        <w:t xml:space="preserve"> 2005 (in German), </w:t>
      </w:r>
      <w:hyperlink w:history="1">
        <w:r w:rsidRPr="00A64305">
          <w:rPr>
            <w:rStyle w:val="Hyperlink"/>
            <w:rFonts w:cs="Arial"/>
            <w:color w:val="auto"/>
            <w:szCs w:val="22"/>
            <w:u w:val="none"/>
            <w:lang w:val="de-DE"/>
          </w:rPr>
          <w:t>https://</w:t>
        </w:r>
      </w:hyperlink>
      <w:hyperlink r:id="rId14" w:history="1">
        <w:r w:rsidRPr="00A64305">
          <w:rPr>
            <w:rStyle w:val="Hyperlink"/>
            <w:rFonts w:cs="Arial"/>
            <w:color w:val="auto"/>
            <w:szCs w:val="22"/>
            <w:u w:val="none"/>
            <w:lang w:val="de-DE"/>
          </w:rPr>
          <w:t>doris.bfs.de/jspui/bitstream/urn:nbn:de:0221-201011243824/1/BfS_2005_SCHR-37_05.pdf</w:t>
        </w:r>
      </w:hyperlink>
      <w:r w:rsidRPr="00A64305">
        <w:rPr>
          <w:rFonts w:cs="Arial"/>
          <w:szCs w:val="22"/>
          <w:lang w:val="de-DE"/>
        </w:rPr>
        <w:t>.</w:t>
      </w:r>
    </w:p>
    <w:p w14:paraId="028EBCFE" w14:textId="6F4104B2" w:rsidR="008600BE" w:rsidRPr="00A64305" w:rsidRDefault="00263A0E" w:rsidP="00537496">
      <w:pPr>
        <w:pStyle w:val="Referencelist"/>
        <w:rPr>
          <w:lang w:val="de-DE"/>
        </w:rPr>
      </w:pPr>
      <w:r w:rsidRPr="00A64305">
        <w:rPr>
          <w:lang w:val="de-DE"/>
        </w:rPr>
        <w:t>FACHARBEITSKREIS (FAK) PROBABILISTISCHE SICHERHEITSANALYSEN FÜR KERNKRAFTWERKE,</w:t>
      </w:r>
      <w:r w:rsidRPr="00A64305">
        <w:rPr>
          <w:rFonts w:cs="Arial"/>
          <w:szCs w:val="22"/>
          <w:lang w:val="de-DE"/>
        </w:rPr>
        <w:t xml:space="preserve"> Daten zur Quantifizierung von Ereignisablaufdiagrammen und Fehlerbäumen, Stand: August 2005, BfS-SCHR-38/05, ISBN 3</w:t>
      </w:r>
      <w:r w:rsidRPr="00A64305">
        <w:rPr>
          <w:rStyle w:val="metadatafieldvalueeven1"/>
          <w:rFonts w:cs="Arial"/>
          <w:szCs w:val="22"/>
          <w:lang w:val="de-DE"/>
          <w:specVanish w:val="0"/>
        </w:rPr>
        <w:t xml:space="preserve">-86509-415-5, </w:t>
      </w:r>
      <w:r w:rsidRPr="00A64305">
        <w:rPr>
          <w:rFonts w:cs="Arial"/>
          <w:szCs w:val="22"/>
          <w:lang w:val="de-DE"/>
        </w:rPr>
        <w:t>Bundesamt für Strahlenschutz (</w:t>
      </w:r>
      <w:proofErr w:type="spellStart"/>
      <w:r w:rsidRPr="00A64305">
        <w:rPr>
          <w:rFonts w:cs="Arial"/>
          <w:szCs w:val="22"/>
          <w:lang w:val="de-DE"/>
        </w:rPr>
        <w:t>BfS</w:t>
      </w:r>
      <w:proofErr w:type="spellEnd"/>
      <w:r w:rsidRPr="00A64305">
        <w:rPr>
          <w:rFonts w:cs="Arial"/>
          <w:szCs w:val="22"/>
          <w:lang w:val="de-DE"/>
        </w:rPr>
        <w:t xml:space="preserve">), Salzgitter, </w:t>
      </w:r>
      <w:proofErr w:type="spellStart"/>
      <w:r w:rsidRPr="00A64305">
        <w:rPr>
          <w:rFonts w:cs="Arial"/>
          <w:szCs w:val="22"/>
          <w:lang w:val="de-DE"/>
        </w:rPr>
        <w:t>October</w:t>
      </w:r>
      <w:proofErr w:type="spellEnd"/>
      <w:r w:rsidRPr="00A64305">
        <w:rPr>
          <w:rFonts w:cs="Arial"/>
          <w:szCs w:val="22"/>
          <w:lang w:val="de-DE"/>
        </w:rPr>
        <w:t xml:space="preserve"> 2005 (in German), </w:t>
      </w:r>
      <w:hyperlink w:history="1">
        <w:r w:rsidRPr="00A64305">
          <w:rPr>
            <w:rStyle w:val="Hyperlink"/>
            <w:rFonts w:cs="Arial"/>
            <w:color w:val="auto"/>
            <w:szCs w:val="22"/>
            <w:u w:val="none"/>
            <w:lang w:val="de-DE"/>
          </w:rPr>
          <w:t>https://</w:t>
        </w:r>
      </w:hyperlink>
      <w:hyperlink r:id="rId15" w:history="1">
        <w:r w:rsidRPr="00A64305">
          <w:rPr>
            <w:rStyle w:val="Hyperlink"/>
            <w:rFonts w:cs="Arial"/>
            <w:color w:val="auto"/>
            <w:szCs w:val="22"/>
            <w:u w:val="none"/>
            <w:lang w:val="de-DE"/>
          </w:rPr>
          <w:t>doris.bfs.de/jspui/bitstream/urn:nbn:de:0221-201011243838/1/BfS_2005_SCHR-38_05.pdf</w:t>
        </w:r>
      </w:hyperlink>
      <w:r w:rsidR="00D31E25" w:rsidRPr="00A64305">
        <w:rPr>
          <w:lang w:val="de-DE"/>
        </w:rPr>
        <w:t>.</w:t>
      </w:r>
    </w:p>
    <w:p w14:paraId="6B3A4601" w14:textId="77777777" w:rsidR="00940945" w:rsidRPr="00A64305" w:rsidRDefault="00940945" w:rsidP="00F264A6">
      <w:pPr>
        <w:pStyle w:val="Referencelist"/>
        <w:numPr>
          <w:ilvl w:val="0"/>
          <w:numId w:val="0"/>
        </w:numPr>
        <w:ind w:left="720" w:hanging="360"/>
        <w:rPr>
          <w:lang w:val="de-DE"/>
        </w:rPr>
      </w:pPr>
    </w:p>
    <w:sectPr w:rsidR="00940945" w:rsidRPr="00A64305"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D5B5" w14:textId="77777777" w:rsidR="00ED0BF8" w:rsidRDefault="00ED0BF8">
      <w:r>
        <w:separator/>
      </w:r>
    </w:p>
  </w:endnote>
  <w:endnote w:type="continuationSeparator" w:id="0">
    <w:p w14:paraId="4D8C966B" w14:textId="77777777" w:rsidR="00ED0BF8" w:rsidRDefault="00ED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06A20F7" w:rsidR="00E20E70" w:rsidRDefault="00E20E70">
    <w:pPr>
      <w:pStyle w:val="zyxClassification1"/>
    </w:pPr>
    <w:r>
      <w:fldChar w:fldCharType="begin"/>
    </w:r>
    <w:r>
      <w:instrText xml:space="preserve"> DOCPROPERTY "IaeaClassification"  \* MERGEFORMAT </w:instrText>
    </w:r>
    <w:r>
      <w:fldChar w:fldCharType="end"/>
    </w:r>
  </w:p>
  <w:p w14:paraId="1FDEB1B7" w14:textId="615A0C44"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3E26C1AD" w:rsidR="00E20E70" w:rsidRDefault="00E20E70">
    <w:pPr>
      <w:pStyle w:val="zyxClassification1"/>
    </w:pPr>
    <w:r>
      <w:fldChar w:fldCharType="begin"/>
    </w:r>
    <w:r>
      <w:instrText xml:space="preserve"> DOCPROPERTY "IaeaClassification"  \* MERGEFORMAT </w:instrText>
    </w:r>
    <w:r>
      <w:fldChar w:fldCharType="end"/>
    </w:r>
  </w:p>
  <w:p w14:paraId="7E32AC2C" w14:textId="1F66A150"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1CC01FBC"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18932CAB"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71489CC8"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55DAE48F"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2F876175" w:rsidR="00E20E70" w:rsidRDefault="00E20E70">
    <w:r>
      <w:rPr>
        <w:sz w:val="16"/>
      </w:rPr>
      <w:fldChar w:fldCharType="begin"/>
    </w:r>
    <w:r>
      <w:rPr>
        <w:sz w:val="16"/>
      </w:rPr>
      <w:instrText xml:space="preserve"> FILENAME \* MERGEFORMAT </w:instrText>
    </w:r>
    <w:r>
      <w:rPr>
        <w:sz w:val="16"/>
      </w:rPr>
      <w:fldChar w:fldCharType="separate"/>
    </w:r>
    <w:r w:rsidR="00940945">
      <w:rPr>
        <w:noProof/>
        <w:sz w:val="16"/>
      </w:rPr>
      <w:t>IAEA_Comments_Small Modular Reactor Multi_Module PSA.docx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AFCE" w14:textId="77777777" w:rsidR="00ED0BF8" w:rsidRDefault="00ED0BF8">
      <w:r>
        <w:t>___________________________________________________________________________</w:t>
      </w:r>
    </w:p>
  </w:footnote>
  <w:footnote w:type="continuationSeparator" w:id="0">
    <w:p w14:paraId="2BC9D626" w14:textId="77777777" w:rsidR="00ED0BF8" w:rsidRDefault="00ED0BF8">
      <w:r>
        <w:t>___________________________________________________________________________</w:t>
      </w:r>
    </w:p>
  </w:footnote>
  <w:footnote w:type="continuationNotice" w:id="1">
    <w:p w14:paraId="3F34B98A" w14:textId="77777777" w:rsidR="00ED0BF8" w:rsidRDefault="00ED0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B0E91D3" w:rsidR="00CF7AF3" w:rsidRDefault="00CF7AF3" w:rsidP="00CF7AF3">
    <w:pPr>
      <w:pStyle w:val="Runninghead"/>
    </w:pPr>
    <w:r>
      <w:tab/>
      <w:t>IAEA-CN-</w:t>
    </w:r>
    <w:r w:rsidR="00530A10">
      <w:t>327</w:t>
    </w:r>
    <w:r>
      <w:t>/</w:t>
    </w:r>
    <w:r w:rsidR="00530A10">
      <w:t>316</w:t>
    </w:r>
  </w:p>
  <w:p w14:paraId="6E7E9A0F" w14:textId="4F1ABB39"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7B1B9B6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0846377F" w:rsidR="00E20E70" w:rsidRDefault="007D3CE4" w:rsidP="00B82FA5">
    <w:pPr>
      <w:pStyle w:val="Runninghead"/>
    </w:pPr>
    <w:r>
      <w:t>OBERGFELL, M.</w:t>
    </w:r>
    <w:r w:rsidR="00AC5A3A">
      <w:t xml:space="preserve"> and </w:t>
    </w:r>
    <w:r>
      <w:t>BERCHTOLD, F.</w:t>
    </w:r>
  </w:p>
  <w:p w14:paraId="2762EF17" w14:textId="08CBBBB6"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2B96372E"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3D5A6970"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E663AE"/>
    <w:multiLevelType w:val="hybridMultilevel"/>
    <w:tmpl w:val="C78AB46A"/>
    <w:name w:val="HeadingTemplate22"/>
    <w:lvl w:ilvl="0" w:tplc="DB862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64ACD"/>
    <w:multiLevelType w:val="hybridMultilevel"/>
    <w:tmpl w:val="2E76EE28"/>
    <w:lvl w:ilvl="0" w:tplc="0594532C">
      <w:start w:val="1"/>
      <w:numFmt w:val="lowerLetter"/>
      <w:pStyle w:val="ListNumbere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64E48D8"/>
    <w:multiLevelType w:val="hybridMultilevel"/>
    <w:tmpl w:val="86560EB0"/>
    <w:lvl w:ilvl="0" w:tplc="BCF248D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2E7C90B2"/>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0"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16cid:durableId="389504209">
    <w:abstractNumId w:val="7"/>
  </w:num>
  <w:num w:numId="2" w16cid:durableId="580915754">
    <w:abstractNumId w:val="3"/>
  </w:num>
  <w:num w:numId="3" w16cid:durableId="869536376">
    <w:abstractNumId w:val="5"/>
  </w:num>
  <w:num w:numId="4" w16cid:durableId="148667827">
    <w:abstractNumId w:val="0"/>
  </w:num>
  <w:num w:numId="5" w16cid:durableId="547954468">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524756251">
    <w:abstractNumId w:val="10"/>
  </w:num>
  <w:num w:numId="7" w16cid:durableId="1546793764">
    <w:abstractNumId w:val="1"/>
  </w:num>
  <w:num w:numId="8" w16cid:durableId="2074574097">
    <w:abstractNumId w:val="9"/>
  </w:num>
  <w:num w:numId="9" w16cid:durableId="1761411251">
    <w:abstractNumId w:val="6"/>
  </w:num>
  <w:num w:numId="10" w16cid:durableId="248386962">
    <w:abstractNumId w:val="1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910418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514962">
    <w:abstractNumId w:val="4"/>
  </w:num>
  <w:num w:numId="13" w16cid:durableId="1148941975">
    <w:abstractNumId w:val="4"/>
    <w:lvlOverride w:ilvl="0">
      <w:startOverride w:val="1"/>
    </w:lvlOverride>
  </w:num>
  <w:num w:numId="14" w16cid:durableId="96753318">
    <w:abstractNumId w:val="4"/>
    <w:lvlOverride w:ilvl="0">
      <w:startOverride w:val="1"/>
    </w:lvlOverride>
  </w:num>
  <w:num w:numId="15" w16cid:durableId="1660422693">
    <w:abstractNumId w:val="4"/>
    <w:lvlOverride w:ilvl="0">
      <w:startOverride w:val="1"/>
    </w:lvlOverride>
  </w:num>
  <w:num w:numId="16" w16cid:durableId="824206390">
    <w:abstractNumId w:val="4"/>
    <w:lvlOverride w:ilvl="0">
      <w:startOverride w:val="1"/>
    </w:lvlOverride>
  </w:num>
  <w:num w:numId="17" w16cid:durableId="2052849901">
    <w:abstractNumId w:val="4"/>
    <w:lvlOverride w:ilvl="0">
      <w:startOverride w:val="1"/>
    </w:lvlOverride>
  </w:num>
  <w:num w:numId="18" w16cid:durableId="1543784587">
    <w:abstractNumId w:val="4"/>
    <w:lvlOverride w:ilvl="0">
      <w:startOverride w:val="1"/>
    </w:lvlOverride>
  </w:num>
  <w:num w:numId="19" w16cid:durableId="920524145">
    <w:abstractNumId w:val="8"/>
  </w:num>
  <w:num w:numId="20" w16cid:durableId="1149249489">
    <w:abstractNumId w:val="4"/>
    <w:lvlOverride w:ilvl="0">
      <w:startOverride w:val="1"/>
    </w:lvlOverride>
  </w:num>
  <w:num w:numId="21" w16cid:durableId="1658420543">
    <w:abstractNumId w:val="4"/>
  </w:num>
  <w:num w:numId="22" w16cid:durableId="1155491069">
    <w:abstractNumId w:val="4"/>
  </w:num>
  <w:num w:numId="23" w16cid:durableId="2143038764">
    <w:abstractNumId w:val="4"/>
  </w:num>
  <w:num w:numId="24" w16cid:durableId="133641687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5A7"/>
    <w:rsid w:val="00007967"/>
    <w:rsid w:val="000229AB"/>
    <w:rsid w:val="000241AC"/>
    <w:rsid w:val="0002569A"/>
    <w:rsid w:val="00037321"/>
    <w:rsid w:val="0005035B"/>
    <w:rsid w:val="00050E57"/>
    <w:rsid w:val="00066AFE"/>
    <w:rsid w:val="00084941"/>
    <w:rsid w:val="000849AA"/>
    <w:rsid w:val="00084C1E"/>
    <w:rsid w:val="00086C28"/>
    <w:rsid w:val="000A0299"/>
    <w:rsid w:val="000B0C93"/>
    <w:rsid w:val="000B5E42"/>
    <w:rsid w:val="000C4F08"/>
    <w:rsid w:val="000C6F25"/>
    <w:rsid w:val="000D6EC3"/>
    <w:rsid w:val="000E5D0D"/>
    <w:rsid w:val="000F1B63"/>
    <w:rsid w:val="000F6C0C"/>
    <w:rsid w:val="000F7E94"/>
    <w:rsid w:val="001004D1"/>
    <w:rsid w:val="00107F96"/>
    <w:rsid w:val="001119D6"/>
    <w:rsid w:val="00114FD3"/>
    <w:rsid w:val="00123502"/>
    <w:rsid w:val="00127272"/>
    <w:rsid w:val="0013007D"/>
    <w:rsid w:val="001308F2"/>
    <w:rsid w:val="001313E8"/>
    <w:rsid w:val="00157521"/>
    <w:rsid w:val="001901D3"/>
    <w:rsid w:val="00193480"/>
    <w:rsid w:val="001A0BED"/>
    <w:rsid w:val="001A3D3F"/>
    <w:rsid w:val="001B7D3F"/>
    <w:rsid w:val="001C3186"/>
    <w:rsid w:val="001C58F5"/>
    <w:rsid w:val="001C61B0"/>
    <w:rsid w:val="001C66E0"/>
    <w:rsid w:val="001D5CEE"/>
    <w:rsid w:val="001F2955"/>
    <w:rsid w:val="001F2F39"/>
    <w:rsid w:val="001F426A"/>
    <w:rsid w:val="002005EE"/>
    <w:rsid w:val="0020224B"/>
    <w:rsid w:val="00202B68"/>
    <w:rsid w:val="002071D9"/>
    <w:rsid w:val="0021017F"/>
    <w:rsid w:val="00215434"/>
    <w:rsid w:val="00251483"/>
    <w:rsid w:val="00254803"/>
    <w:rsid w:val="00255919"/>
    <w:rsid w:val="00255CBB"/>
    <w:rsid w:val="00256822"/>
    <w:rsid w:val="00263A0E"/>
    <w:rsid w:val="0026525A"/>
    <w:rsid w:val="002665FC"/>
    <w:rsid w:val="00270E7D"/>
    <w:rsid w:val="00272C10"/>
    <w:rsid w:val="00274790"/>
    <w:rsid w:val="00275237"/>
    <w:rsid w:val="00285755"/>
    <w:rsid w:val="0029302A"/>
    <w:rsid w:val="002A1F9C"/>
    <w:rsid w:val="002B29C2"/>
    <w:rsid w:val="002B468F"/>
    <w:rsid w:val="002B6F0B"/>
    <w:rsid w:val="002C0283"/>
    <w:rsid w:val="002C1394"/>
    <w:rsid w:val="002C4208"/>
    <w:rsid w:val="002C42A7"/>
    <w:rsid w:val="002C58AF"/>
    <w:rsid w:val="002D27F0"/>
    <w:rsid w:val="002D72EA"/>
    <w:rsid w:val="002E3A9D"/>
    <w:rsid w:val="002F151C"/>
    <w:rsid w:val="00315768"/>
    <w:rsid w:val="0031789B"/>
    <w:rsid w:val="00317D56"/>
    <w:rsid w:val="00335701"/>
    <w:rsid w:val="00342AE8"/>
    <w:rsid w:val="00344B3E"/>
    <w:rsid w:val="00352DE1"/>
    <w:rsid w:val="003613A4"/>
    <w:rsid w:val="00367201"/>
    <w:rsid w:val="003728E6"/>
    <w:rsid w:val="003772D6"/>
    <w:rsid w:val="00380526"/>
    <w:rsid w:val="00384AC4"/>
    <w:rsid w:val="00391A31"/>
    <w:rsid w:val="0039377F"/>
    <w:rsid w:val="003A0720"/>
    <w:rsid w:val="003B1D95"/>
    <w:rsid w:val="003B31E8"/>
    <w:rsid w:val="003B42EE"/>
    <w:rsid w:val="003B5E0E"/>
    <w:rsid w:val="003C4D98"/>
    <w:rsid w:val="003D255A"/>
    <w:rsid w:val="003D2EB7"/>
    <w:rsid w:val="003D3DAE"/>
    <w:rsid w:val="003E3735"/>
    <w:rsid w:val="003E71DC"/>
    <w:rsid w:val="00404D81"/>
    <w:rsid w:val="00406D27"/>
    <w:rsid w:val="00411066"/>
    <w:rsid w:val="00414281"/>
    <w:rsid w:val="004143F6"/>
    <w:rsid w:val="00416949"/>
    <w:rsid w:val="00424B57"/>
    <w:rsid w:val="00426052"/>
    <w:rsid w:val="00427A6F"/>
    <w:rsid w:val="00432CF8"/>
    <w:rsid w:val="00432EC3"/>
    <w:rsid w:val="004370D8"/>
    <w:rsid w:val="00437431"/>
    <w:rsid w:val="00442409"/>
    <w:rsid w:val="00442681"/>
    <w:rsid w:val="0044467A"/>
    <w:rsid w:val="00450508"/>
    <w:rsid w:val="00463199"/>
    <w:rsid w:val="004632F8"/>
    <w:rsid w:val="00472C43"/>
    <w:rsid w:val="004746EB"/>
    <w:rsid w:val="00481F3D"/>
    <w:rsid w:val="0049311C"/>
    <w:rsid w:val="004A3C80"/>
    <w:rsid w:val="004A510C"/>
    <w:rsid w:val="004B0088"/>
    <w:rsid w:val="004C21CE"/>
    <w:rsid w:val="004C4B06"/>
    <w:rsid w:val="004C5668"/>
    <w:rsid w:val="004C77EA"/>
    <w:rsid w:val="004E2591"/>
    <w:rsid w:val="004E4717"/>
    <w:rsid w:val="00501347"/>
    <w:rsid w:val="00502E6A"/>
    <w:rsid w:val="00510F79"/>
    <w:rsid w:val="0051297F"/>
    <w:rsid w:val="00530A10"/>
    <w:rsid w:val="00533B1E"/>
    <w:rsid w:val="00534BAD"/>
    <w:rsid w:val="00537496"/>
    <w:rsid w:val="005374CA"/>
    <w:rsid w:val="00543163"/>
    <w:rsid w:val="00544ED3"/>
    <w:rsid w:val="00560D88"/>
    <w:rsid w:val="00564DEC"/>
    <w:rsid w:val="005764D9"/>
    <w:rsid w:val="0058477B"/>
    <w:rsid w:val="00585FE7"/>
    <w:rsid w:val="0058654F"/>
    <w:rsid w:val="005931D9"/>
    <w:rsid w:val="005943DC"/>
    <w:rsid w:val="00596ACA"/>
    <w:rsid w:val="005A2A1C"/>
    <w:rsid w:val="005A7D01"/>
    <w:rsid w:val="005B5B6F"/>
    <w:rsid w:val="005B749B"/>
    <w:rsid w:val="005C3E63"/>
    <w:rsid w:val="005D7CB6"/>
    <w:rsid w:val="005E2995"/>
    <w:rsid w:val="005E39BC"/>
    <w:rsid w:val="005E6C13"/>
    <w:rsid w:val="005F00A0"/>
    <w:rsid w:val="005F1015"/>
    <w:rsid w:val="005F579B"/>
    <w:rsid w:val="005F71C2"/>
    <w:rsid w:val="005F78B8"/>
    <w:rsid w:val="00612116"/>
    <w:rsid w:val="00614776"/>
    <w:rsid w:val="00617AFA"/>
    <w:rsid w:val="00621200"/>
    <w:rsid w:val="0064023B"/>
    <w:rsid w:val="00647F33"/>
    <w:rsid w:val="0066117E"/>
    <w:rsid w:val="00662532"/>
    <w:rsid w:val="00666EF5"/>
    <w:rsid w:val="006677BC"/>
    <w:rsid w:val="00677A16"/>
    <w:rsid w:val="00683A66"/>
    <w:rsid w:val="006902AF"/>
    <w:rsid w:val="006917A5"/>
    <w:rsid w:val="00696A0D"/>
    <w:rsid w:val="006A738C"/>
    <w:rsid w:val="006A7C72"/>
    <w:rsid w:val="006B0154"/>
    <w:rsid w:val="006B135F"/>
    <w:rsid w:val="006B2274"/>
    <w:rsid w:val="006C068D"/>
    <w:rsid w:val="00702161"/>
    <w:rsid w:val="00710D3E"/>
    <w:rsid w:val="0071198F"/>
    <w:rsid w:val="00712DC6"/>
    <w:rsid w:val="00717C6F"/>
    <w:rsid w:val="007207F8"/>
    <w:rsid w:val="00721DE7"/>
    <w:rsid w:val="00723782"/>
    <w:rsid w:val="00723FD2"/>
    <w:rsid w:val="00726493"/>
    <w:rsid w:val="00741B6D"/>
    <w:rsid w:val="007445DA"/>
    <w:rsid w:val="00751E66"/>
    <w:rsid w:val="007534D9"/>
    <w:rsid w:val="00754204"/>
    <w:rsid w:val="00764811"/>
    <w:rsid w:val="00764D4E"/>
    <w:rsid w:val="00781F78"/>
    <w:rsid w:val="0079154B"/>
    <w:rsid w:val="00794028"/>
    <w:rsid w:val="00795C34"/>
    <w:rsid w:val="007A73C1"/>
    <w:rsid w:val="007B4FD1"/>
    <w:rsid w:val="007D3CE4"/>
    <w:rsid w:val="007D6BF9"/>
    <w:rsid w:val="007F025F"/>
    <w:rsid w:val="007F1C3F"/>
    <w:rsid w:val="008017C5"/>
    <w:rsid w:val="00802381"/>
    <w:rsid w:val="0081078F"/>
    <w:rsid w:val="00822F57"/>
    <w:rsid w:val="00841ADB"/>
    <w:rsid w:val="00856197"/>
    <w:rsid w:val="008600BE"/>
    <w:rsid w:val="00860A9D"/>
    <w:rsid w:val="0086249C"/>
    <w:rsid w:val="00883836"/>
    <w:rsid w:val="00883848"/>
    <w:rsid w:val="00890428"/>
    <w:rsid w:val="00897ED5"/>
    <w:rsid w:val="008B14EA"/>
    <w:rsid w:val="008B3DB9"/>
    <w:rsid w:val="008B6BB9"/>
    <w:rsid w:val="008C5327"/>
    <w:rsid w:val="008D27B0"/>
    <w:rsid w:val="008D4AEE"/>
    <w:rsid w:val="008D61A9"/>
    <w:rsid w:val="008D6CA8"/>
    <w:rsid w:val="008E2E24"/>
    <w:rsid w:val="008E3C67"/>
    <w:rsid w:val="008F5335"/>
    <w:rsid w:val="0091049D"/>
    <w:rsid w:val="00911543"/>
    <w:rsid w:val="00917F52"/>
    <w:rsid w:val="00921DD6"/>
    <w:rsid w:val="009312CF"/>
    <w:rsid w:val="00940945"/>
    <w:rsid w:val="00950719"/>
    <w:rsid w:val="009519C9"/>
    <w:rsid w:val="009521AD"/>
    <w:rsid w:val="0095330A"/>
    <w:rsid w:val="0095509A"/>
    <w:rsid w:val="00967621"/>
    <w:rsid w:val="00974387"/>
    <w:rsid w:val="00980ECE"/>
    <w:rsid w:val="00993879"/>
    <w:rsid w:val="00994601"/>
    <w:rsid w:val="00996AAE"/>
    <w:rsid w:val="009C1AA7"/>
    <w:rsid w:val="009C5ABD"/>
    <w:rsid w:val="009D0B86"/>
    <w:rsid w:val="009D5BBD"/>
    <w:rsid w:val="009E0D5B"/>
    <w:rsid w:val="009E1558"/>
    <w:rsid w:val="009E43E2"/>
    <w:rsid w:val="00A04E9C"/>
    <w:rsid w:val="00A11669"/>
    <w:rsid w:val="00A16223"/>
    <w:rsid w:val="00A323AF"/>
    <w:rsid w:val="00A32616"/>
    <w:rsid w:val="00A42898"/>
    <w:rsid w:val="00A4336D"/>
    <w:rsid w:val="00A4776F"/>
    <w:rsid w:val="00A54E6B"/>
    <w:rsid w:val="00A64305"/>
    <w:rsid w:val="00A64D38"/>
    <w:rsid w:val="00A7765D"/>
    <w:rsid w:val="00A80810"/>
    <w:rsid w:val="00A81D92"/>
    <w:rsid w:val="00A86FD1"/>
    <w:rsid w:val="00AA217D"/>
    <w:rsid w:val="00AA7FC1"/>
    <w:rsid w:val="00AB6ACE"/>
    <w:rsid w:val="00AC5A3A"/>
    <w:rsid w:val="00AD1821"/>
    <w:rsid w:val="00AF1B4E"/>
    <w:rsid w:val="00AF4D9D"/>
    <w:rsid w:val="00B00509"/>
    <w:rsid w:val="00B02FCA"/>
    <w:rsid w:val="00B03784"/>
    <w:rsid w:val="00B11014"/>
    <w:rsid w:val="00B12EBF"/>
    <w:rsid w:val="00B222BA"/>
    <w:rsid w:val="00B22E22"/>
    <w:rsid w:val="00B30F92"/>
    <w:rsid w:val="00B36077"/>
    <w:rsid w:val="00B45D47"/>
    <w:rsid w:val="00B52932"/>
    <w:rsid w:val="00B72B0A"/>
    <w:rsid w:val="00B75DC3"/>
    <w:rsid w:val="00B82FA5"/>
    <w:rsid w:val="00B90C58"/>
    <w:rsid w:val="00BA2EB1"/>
    <w:rsid w:val="00BA6D2D"/>
    <w:rsid w:val="00BB5A54"/>
    <w:rsid w:val="00BB5DDD"/>
    <w:rsid w:val="00BC38AC"/>
    <w:rsid w:val="00BD1400"/>
    <w:rsid w:val="00BD47C5"/>
    <w:rsid w:val="00BD4EBA"/>
    <w:rsid w:val="00BD605C"/>
    <w:rsid w:val="00BE2A76"/>
    <w:rsid w:val="00BE444B"/>
    <w:rsid w:val="00BE597D"/>
    <w:rsid w:val="00C20F63"/>
    <w:rsid w:val="00C377F6"/>
    <w:rsid w:val="00C418D5"/>
    <w:rsid w:val="00C46A34"/>
    <w:rsid w:val="00C54D07"/>
    <w:rsid w:val="00C564AE"/>
    <w:rsid w:val="00C64E48"/>
    <w:rsid w:val="00C65E60"/>
    <w:rsid w:val="00C6730D"/>
    <w:rsid w:val="00C7151B"/>
    <w:rsid w:val="00C718D8"/>
    <w:rsid w:val="00C75871"/>
    <w:rsid w:val="00C76FB0"/>
    <w:rsid w:val="00C966E8"/>
    <w:rsid w:val="00CC0673"/>
    <w:rsid w:val="00CD1545"/>
    <w:rsid w:val="00CD34EB"/>
    <w:rsid w:val="00CD6A3C"/>
    <w:rsid w:val="00CE5A52"/>
    <w:rsid w:val="00CF0D69"/>
    <w:rsid w:val="00CF37CF"/>
    <w:rsid w:val="00CF7AF3"/>
    <w:rsid w:val="00D01DD7"/>
    <w:rsid w:val="00D0594C"/>
    <w:rsid w:val="00D11FFD"/>
    <w:rsid w:val="00D24A84"/>
    <w:rsid w:val="00D26ADA"/>
    <w:rsid w:val="00D31E25"/>
    <w:rsid w:val="00D35A78"/>
    <w:rsid w:val="00D4098B"/>
    <w:rsid w:val="00D555A1"/>
    <w:rsid w:val="00D6202F"/>
    <w:rsid w:val="00D629B6"/>
    <w:rsid w:val="00D64D1B"/>
    <w:rsid w:val="00D64DC2"/>
    <w:rsid w:val="00D6579C"/>
    <w:rsid w:val="00D73783"/>
    <w:rsid w:val="00D80C99"/>
    <w:rsid w:val="00DA46CA"/>
    <w:rsid w:val="00DA5E5D"/>
    <w:rsid w:val="00DB1F4C"/>
    <w:rsid w:val="00DD24E9"/>
    <w:rsid w:val="00DD4AA6"/>
    <w:rsid w:val="00DF214B"/>
    <w:rsid w:val="00DF21EB"/>
    <w:rsid w:val="00DF2FDB"/>
    <w:rsid w:val="00DF5B74"/>
    <w:rsid w:val="00E07C9F"/>
    <w:rsid w:val="00E10D97"/>
    <w:rsid w:val="00E17E02"/>
    <w:rsid w:val="00E20E70"/>
    <w:rsid w:val="00E23740"/>
    <w:rsid w:val="00E24736"/>
    <w:rsid w:val="00E25B68"/>
    <w:rsid w:val="00E2632A"/>
    <w:rsid w:val="00E27623"/>
    <w:rsid w:val="00E40685"/>
    <w:rsid w:val="00E45DC1"/>
    <w:rsid w:val="00E46C6E"/>
    <w:rsid w:val="00E473FE"/>
    <w:rsid w:val="00E47BF8"/>
    <w:rsid w:val="00E53F40"/>
    <w:rsid w:val="00E56220"/>
    <w:rsid w:val="00E6700C"/>
    <w:rsid w:val="00E73C6E"/>
    <w:rsid w:val="00E82A3F"/>
    <w:rsid w:val="00E84003"/>
    <w:rsid w:val="00E87887"/>
    <w:rsid w:val="00E94E7B"/>
    <w:rsid w:val="00E97A4F"/>
    <w:rsid w:val="00EA1C10"/>
    <w:rsid w:val="00EC10FC"/>
    <w:rsid w:val="00ED0BF8"/>
    <w:rsid w:val="00EE0041"/>
    <w:rsid w:val="00EE29B9"/>
    <w:rsid w:val="00EE34C9"/>
    <w:rsid w:val="00EE5481"/>
    <w:rsid w:val="00EE6C87"/>
    <w:rsid w:val="00F001C3"/>
    <w:rsid w:val="00F004EE"/>
    <w:rsid w:val="00F2526C"/>
    <w:rsid w:val="00F264A6"/>
    <w:rsid w:val="00F329A5"/>
    <w:rsid w:val="00F32A68"/>
    <w:rsid w:val="00F3323A"/>
    <w:rsid w:val="00F34F8F"/>
    <w:rsid w:val="00F4181A"/>
    <w:rsid w:val="00F42E23"/>
    <w:rsid w:val="00F45EEE"/>
    <w:rsid w:val="00F47BAD"/>
    <w:rsid w:val="00F51E9C"/>
    <w:rsid w:val="00F523CA"/>
    <w:rsid w:val="00F71131"/>
    <w:rsid w:val="00F74A9D"/>
    <w:rsid w:val="00F752E7"/>
    <w:rsid w:val="00F80FB3"/>
    <w:rsid w:val="00F82F76"/>
    <w:rsid w:val="00F90957"/>
    <w:rsid w:val="00FC10A9"/>
    <w:rsid w:val="00FD2950"/>
    <w:rsid w:val="00FF386F"/>
    <w:rsid w:val="00FF3F51"/>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autoRedefine/>
    <w:uiPriority w:val="4"/>
    <w:qFormat/>
    <w:rsid w:val="00841ADB"/>
    <w:pPr>
      <w:keepNext/>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7"/>
      </w:numPr>
      <w:ind w:left="709"/>
    </w:pPr>
  </w:style>
  <w:style w:type="paragraph" w:customStyle="1" w:styleId="ListNumbered">
    <w:name w:val="List Numbered"/>
    <w:basedOn w:val="BodyText"/>
    <w:uiPriority w:val="5"/>
    <w:qFormat/>
    <w:locked/>
    <w:rsid w:val="00717C6F"/>
    <w:pPr>
      <w:numPr>
        <w:numId w:val="1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PlaceholderText">
    <w:name w:val="Placeholder Text"/>
    <w:basedOn w:val="DefaultParagraphFont"/>
    <w:uiPriority w:val="99"/>
    <w:semiHidden/>
    <w:locked/>
    <w:rsid w:val="00E23740"/>
    <w:rPr>
      <w:color w:val="808080"/>
    </w:rPr>
  </w:style>
  <w:style w:type="paragraph" w:styleId="Revision">
    <w:name w:val="Revision"/>
    <w:hidden/>
    <w:uiPriority w:val="99"/>
    <w:semiHidden/>
    <w:rsid w:val="00B03784"/>
    <w:rPr>
      <w:sz w:val="22"/>
      <w:lang w:eastAsia="en-US"/>
    </w:rPr>
  </w:style>
  <w:style w:type="character" w:styleId="CommentReference">
    <w:name w:val="annotation reference"/>
    <w:basedOn w:val="DefaultParagraphFont"/>
    <w:uiPriority w:val="49"/>
    <w:locked/>
    <w:rsid w:val="00B03784"/>
    <w:rPr>
      <w:sz w:val="16"/>
      <w:szCs w:val="16"/>
    </w:rPr>
  </w:style>
  <w:style w:type="paragraph" w:styleId="CommentText">
    <w:name w:val="annotation text"/>
    <w:basedOn w:val="Normal"/>
    <w:link w:val="CommentTextChar"/>
    <w:uiPriority w:val="49"/>
    <w:locked/>
    <w:rsid w:val="00B03784"/>
    <w:rPr>
      <w:sz w:val="20"/>
    </w:rPr>
  </w:style>
  <w:style w:type="character" w:customStyle="1" w:styleId="CommentTextChar">
    <w:name w:val="Comment Text Char"/>
    <w:basedOn w:val="DefaultParagraphFont"/>
    <w:link w:val="CommentText"/>
    <w:uiPriority w:val="49"/>
    <w:rsid w:val="00B03784"/>
    <w:rPr>
      <w:lang w:eastAsia="en-US"/>
    </w:rPr>
  </w:style>
  <w:style w:type="paragraph" w:styleId="CommentSubject">
    <w:name w:val="annotation subject"/>
    <w:basedOn w:val="CommentText"/>
    <w:next w:val="CommentText"/>
    <w:link w:val="CommentSubjectChar"/>
    <w:uiPriority w:val="49"/>
    <w:locked/>
    <w:rsid w:val="00B03784"/>
    <w:rPr>
      <w:b/>
      <w:bCs/>
    </w:rPr>
  </w:style>
  <w:style w:type="character" w:customStyle="1" w:styleId="CommentSubjectChar">
    <w:name w:val="Comment Subject Char"/>
    <w:basedOn w:val="CommentTextChar"/>
    <w:link w:val="CommentSubject"/>
    <w:uiPriority w:val="49"/>
    <w:rsid w:val="00B03784"/>
    <w:rPr>
      <w:b/>
      <w:bCs/>
      <w:lang w:eastAsia="en-US"/>
    </w:rPr>
  </w:style>
  <w:style w:type="character" w:customStyle="1" w:styleId="cf01">
    <w:name w:val="cf01"/>
    <w:basedOn w:val="DefaultParagraphFont"/>
    <w:rsid w:val="00254803"/>
    <w:rPr>
      <w:rFonts w:ascii="Segoe UI" w:hAnsi="Segoe UI" w:cs="Segoe UI" w:hint="default"/>
      <w:sz w:val="18"/>
      <w:szCs w:val="18"/>
    </w:rPr>
  </w:style>
  <w:style w:type="character" w:styleId="Hyperlink">
    <w:name w:val="Hyperlink"/>
    <w:basedOn w:val="DefaultParagraphFont"/>
    <w:uiPriority w:val="49"/>
    <w:locked/>
    <w:rsid w:val="00A16223"/>
    <w:rPr>
      <w:color w:val="0000FF" w:themeColor="hyperlink"/>
      <w:u w:val="single"/>
    </w:rPr>
  </w:style>
  <w:style w:type="character" w:styleId="UnresolvedMention">
    <w:name w:val="Unresolved Mention"/>
    <w:basedOn w:val="DefaultParagraphFont"/>
    <w:uiPriority w:val="99"/>
    <w:semiHidden/>
    <w:unhideWhenUsed/>
    <w:rsid w:val="00A16223"/>
    <w:rPr>
      <w:color w:val="605E5C"/>
      <w:shd w:val="clear" w:color="auto" w:fill="E1DFDD"/>
    </w:rPr>
  </w:style>
  <w:style w:type="character" w:customStyle="1" w:styleId="metadatafieldvalueeven1">
    <w:name w:val="metadatafieldvalueeven1"/>
    <w:rsid w:val="001A3D3F"/>
    <w:rPr>
      <w:vanish w:val="0"/>
      <w:webHidden w:val="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978">
      <w:bodyDiv w:val="1"/>
      <w:marLeft w:val="0"/>
      <w:marRight w:val="0"/>
      <w:marTop w:val="0"/>
      <w:marBottom w:val="0"/>
      <w:divBdr>
        <w:top w:val="none" w:sz="0" w:space="0" w:color="auto"/>
        <w:left w:val="none" w:sz="0" w:space="0" w:color="auto"/>
        <w:bottom w:val="none" w:sz="0" w:space="0" w:color="auto"/>
        <w:right w:val="none" w:sz="0" w:space="0" w:color="auto"/>
      </w:divBdr>
    </w:div>
    <w:div w:id="754475697">
      <w:bodyDiv w:val="1"/>
      <w:marLeft w:val="0"/>
      <w:marRight w:val="0"/>
      <w:marTop w:val="0"/>
      <w:marBottom w:val="0"/>
      <w:divBdr>
        <w:top w:val="none" w:sz="0" w:space="0" w:color="auto"/>
        <w:left w:val="none" w:sz="0" w:space="0" w:color="auto"/>
        <w:bottom w:val="none" w:sz="0" w:space="0" w:color="auto"/>
        <w:right w:val="none" w:sz="0" w:space="0" w:color="auto"/>
      </w:divBdr>
    </w:div>
    <w:div w:id="8538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ris.bfs.de/jspui/bitstream/urn:nbn:de:0221-2016091314090/3/BfS-SCHR-61-16.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nrc.gov/reactors/new-reactors/smr/licensing-activities/nuscale/document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yperlink" Target="https://doris.bfs.de/jspui/bitstream/urn:nbn:de:0221-201011243838/1/BfS_2005_SCHR-38_05.pdf"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ris.bfs.de/jspui/bitstream/urn:nbn:de:0221-201011243824/1/BfS_2005_SCHR-37_05.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Projekte\RS1596-1\Auswertung%20S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Projekte\RS1596-1\Auswertung%20SU.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3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1944653911579541"/>
          <c:y val="2.5354253550251347E-3"/>
          <c:w val="0.46930471038002208"/>
          <c:h val="0.962144235281848"/>
        </c:manualLayout>
      </c:layout>
      <c:pie3DChart>
        <c:varyColors val="1"/>
        <c:ser>
          <c:idx val="3"/>
          <c:order val="0"/>
          <c:dPt>
            <c:idx val="0"/>
            <c:bubble3D val="0"/>
            <c:spPr>
              <a:solidFill>
                <a:schemeClr val="tx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96E-49FF-B843-B200CD76612F}"/>
              </c:ext>
            </c:extLst>
          </c:dPt>
          <c:dPt>
            <c:idx val="1"/>
            <c:bubble3D val="0"/>
            <c:spPr>
              <a:solidFill>
                <a:schemeClr val="accent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96E-49FF-B843-B200CD7661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96E-49FF-B843-B200CD76612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96E-49FF-B843-B200CD76612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96E-49FF-B843-B200CD76612F}"/>
              </c:ext>
            </c:extLst>
          </c:dPt>
          <c:dPt>
            <c:idx val="5"/>
            <c:bubble3D val="0"/>
            <c:spPr>
              <a:solidFill>
                <a:schemeClr val="accent3">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E96E-49FF-B843-B200CD76612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96E-49FF-B843-B200CD76612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96E-49FF-B843-B200CD76612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96E-49FF-B843-B200CD76612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E96E-49FF-B843-B200CD76612F}"/>
              </c:ext>
            </c:extLst>
          </c:dPt>
          <c:dLbls>
            <c:dLbl>
              <c:idx val="0"/>
              <c:layout>
                <c:manualLayout>
                  <c:x val="-0.1250250980860336"/>
                  <c:y val="5.9602649006622516E-2"/>
                </c:manualLayout>
              </c:layout>
              <c:tx>
                <c:rich>
                  <a:bodyPr/>
                  <a:lstStyle/>
                  <a:p>
                    <a:r>
                      <a:rPr lang="en-US"/>
                      <a:t>Reactor trip due to fire</a:t>
                    </a:r>
                    <a:r>
                      <a:rPr lang="en-US" baseline="0"/>
                      <a:t>
</a:t>
                    </a:r>
                    <a:fld id="{49810494-5C69-416E-9E8F-9BC688628CBF}" type="VALUE">
                      <a:rPr lang="en-US" baseline="0"/>
                      <a:pPr/>
                      <a:t>[VALUE]</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layout>
                    <c:manualLayout>
                      <c:w val="0.22484677235501466"/>
                      <c:h val="0.27019867549668874"/>
                    </c:manualLayout>
                  </c15:layout>
                  <c15:dlblFieldTable/>
                  <c15:showDataLabelsRange val="0"/>
                </c:ext>
                <c:ext xmlns:c16="http://schemas.microsoft.com/office/drawing/2014/chart" uri="{C3380CC4-5D6E-409C-BE32-E72D297353CC}">
                  <c16:uniqueId val="{00000001-E96E-49FF-B843-B200CD76612F}"/>
                </c:ext>
              </c:extLst>
            </c:dLbl>
            <c:dLbl>
              <c:idx val="1"/>
              <c:layout>
                <c:manualLayout>
                  <c:x val="-7.3779599913897737E-2"/>
                  <c:y val="-0.2455587422433123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900" baseline="0"/>
                      <a:t>LOOP due to fire
</a:t>
                    </a:r>
                    <a:fld id="{68F239A7-D3A3-470C-A02A-DDFD98FA77CD}" type="VALUE">
                      <a:rPr lang="en-US" sz="900" baseline="0"/>
                      <a:pPr>
                        <a:defRPr/>
                      </a:pPr>
                      <a:t>[VALUE]</a:t>
                    </a:fld>
                    <a:endParaRPr lang="en-US" sz="900" baseline="0"/>
                  </a:p>
                </c:rich>
              </c:tx>
              <c:numFmt formatCode="0.00\ 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0426889149992106"/>
                      <c:h val="0.29249760998418245"/>
                    </c:manualLayout>
                  </c15:layout>
                  <c15:dlblFieldTable/>
                  <c15:showDataLabelsRange val="0"/>
                </c:ext>
                <c:ext xmlns:c16="http://schemas.microsoft.com/office/drawing/2014/chart" uri="{C3380CC4-5D6E-409C-BE32-E72D297353CC}">
                  <c16:uniqueId val="{00000003-E96E-49FF-B843-B200CD76612F}"/>
                </c:ext>
              </c:extLst>
            </c:dLbl>
            <c:dLbl>
              <c:idx val="2"/>
              <c:layout>
                <c:manualLayout>
                  <c:x val="-0.14296593353122386"/>
                  <c:y val="-8.853661504232494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900"/>
                      <a:t>Loss of support system</a:t>
                    </a:r>
                    <a:r>
                      <a:rPr lang="en-US" sz="900" baseline="0"/>
                      <a:t>
</a:t>
                    </a:r>
                    <a:fld id="{0866F6C2-8C97-4C5C-BD7F-D2D0794F397B}" type="VALUE">
                      <a:rPr lang="en-US" sz="900" baseline="0"/>
                      <a:pPr>
                        <a:defRPr/>
                      </a:pPr>
                      <a:t>[VALUE]</a:t>
                    </a:fld>
                    <a:endParaRPr lang="en-US" sz="900" baseline="0"/>
                  </a:p>
                </c:rich>
              </c:tx>
              <c:numFmt formatCode="0.00\ 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0771809106218717"/>
                      <c:h val="0.22175800872573048"/>
                    </c:manualLayout>
                  </c15:layout>
                  <c15:dlblFieldTable/>
                  <c15:showDataLabelsRange val="0"/>
                </c:ext>
                <c:ext xmlns:c16="http://schemas.microsoft.com/office/drawing/2014/chart" uri="{C3380CC4-5D6E-409C-BE32-E72D297353CC}">
                  <c16:uniqueId val="{00000005-E96E-49FF-B843-B200CD76612F}"/>
                </c:ext>
              </c:extLst>
            </c:dLbl>
            <c:dLbl>
              <c:idx val="3"/>
              <c:layout>
                <c:manualLayout>
                  <c:x val="-0.30585165713176088"/>
                  <c:y val="-4.371834315412562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900"/>
                      <a:t>Inadvertent activation of the ECCS due to fire</a:t>
                    </a:r>
                    <a:r>
                      <a:rPr lang="en-US" sz="900" baseline="0"/>
                      <a:t>
</a:t>
                    </a:r>
                    <a:fld id="{EDB882DB-9E86-4257-8B32-50F6D491F038}" type="VALUE">
                      <a:rPr lang="en-US" sz="900" baseline="0"/>
                      <a:pPr>
                        <a:defRPr/>
                      </a:pPr>
                      <a:t>[VALUE]</a:t>
                    </a:fld>
                    <a:endParaRPr lang="en-US" sz="900" baseline="0"/>
                  </a:p>
                </c:rich>
              </c:tx>
              <c:numFmt formatCode="0.00\ 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4899960385723663"/>
                      <c:h val="0.31056021970763587"/>
                    </c:manualLayout>
                  </c15:layout>
                  <c15:dlblFieldTable/>
                  <c15:showDataLabelsRange val="0"/>
                </c:ext>
                <c:ext xmlns:c16="http://schemas.microsoft.com/office/drawing/2014/chart" uri="{C3380CC4-5D6E-409C-BE32-E72D297353CC}">
                  <c16:uniqueId val="{00000007-E96E-49FF-B843-B200CD76612F}"/>
                </c:ext>
              </c:extLst>
            </c:dLbl>
            <c:dLbl>
              <c:idx val="4"/>
              <c:layout>
                <c:manualLayout>
                  <c:x val="-1.452776707529064E-2"/>
                  <c:y val="-1.2006744190088821E-2"/>
                </c:manualLayout>
              </c:layout>
              <c:tx>
                <c:rich>
                  <a:bodyPr/>
                  <a:lstStyle/>
                  <a:p>
                    <a:r>
                      <a:rPr lang="en-US"/>
                      <a:t>General</a:t>
                    </a:r>
                    <a:r>
                      <a:rPr lang="en-US" baseline="0"/>
                      <a:t> reactor trip
</a:t>
                    </a:r>
                    <a:fld id="{BAB85D78-7D84-4272-81D0-2F285ECF4E5C}" type="VALUE">
                      <a:rPr lang="en-US" baseline="0"/>
                      <a:pPr/>
                      <a:t>[VALUE]</a:t>
                    </a:fld>
                    <a:endParaRPr lang="en-US" baseline="0"/>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96E-49FF-B843-B200CD76612F}"/>
                </c:ext>
              </c:extLst>
            </c:dLbl>
            <c:dLbl>
              <c:idx val="5"/>
              <c:layout>
                <c:manualLayout>
                  <c:x val="-0.2087258131327657"/>
                  <c:y val="9.004397629104300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E96E-49FF-B843-B200CD76612F}"/>
                </c:ext>
              </c:extLst>
            </c:dLbl>
            <c:dLbl>
              <c:idx val="6"/>
              <c:layout>
                <c:manualLayout>
                  <c:x val="-0.33997073633367997"/>
                  <c:y val="0.24454259442735213"/>
                </c:manualLayout>
              </c:layout>
              <c:numFmt formatCode="0.00\ 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19775699987880563"/>
                      <c:h val="0.21721854304635757"/>
                    </c:manualLayout>
                  </c15:layout>
                </c:ext>
                <c:ext xmlns:c16="http://schemas.microsoft.com/office/drawing/2014/chart" uri="{C3380CC4-5D6E-409C-BE32-E72D297353CC}">
                  <c16:uniqueId val="{0000000D-E96E-49FF-B843-B200CD76612F}"/>
                </c:ext>
              </c:extLst>
            </c:dLbl>
            <c:dLbl>
              <c:idx val="7"/>
              <c:layout>
                <c:manualLayout>
                  <c:x val="-0.21422270097009755"/>
                  <c:y val="0.1328522014218421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900"/>
                      <a:t>Loss</a:t>
                    </a:r>
                    <a:r>
                      <a:rPr lang="en-US" sz="900" baseline="0"/>
                      <a:t> of support system due to int. flooding
</a:t>
                    </a:r>
                    <a:fld id="{A01E1521-E2E1-4E07-8F90-756193D34FA2}" type="VALUE">
                      <a:rPr lang="en-US" sz="900" baseline="0"/>
                      <a:pPr>
                        <a:defRPr/>
                      </a:pPr>
                      <a:t>[VALUE]</a:t>
                    </a:fld>
                    <a:endParaRPr lang="en-US" sz="900" baseline="0"/>
                  </a:p>
                </c:rich>
              </c:tx>
              <c:numFmt formatCode="0.00\ 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0609245863564088"/>
                      <c:h val="0.34260485651214129"/>
                    </c:manualLayout>
                  </c15:layout>
                  <c15:dlblFieldTable/>
                  <c15:showDataLabelsRange val="0"/>
                </c:ext>
                <c:ext xmlns:c16="http://schemas.microsoft.com/office/drawing/2014/chart" uri="{C3380CC4-5D6E-409C-BE32-E72D297353CC}">
                  <c16:uniqueId val="{0000000F-E96E-49FF-B843-B200CD76612F}"/>
                </c:ext>
              </c:extLst>
            </c:dLbl>
            <c:dLbl>
              <c:idx val="8"/>
              <c:layout>
                <c:manualLayout>
                  <c:x val="-0.43111457208441639"/>
                  <c:y val="6.181084980271505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900"/>
                      <a:t>Reactor trip due to int. flooding</a:t>
                    </a:r>
                    <a:r>
                      <a:rPr lang="en-US" sz="900" baseline="0"/>
                      <a:t>
</a:t>
                    </a:r>
                    <a:fld id="{7F7C4830-D3C4-476B-A766-646C09BDDDA8}" type="VALUE">
                      <a:rPr lang="en-US" sz="900" baseline="0"/>
                      <a:pPr>
                        <a:defRPr/>
                      </a:pPr>
                      <a:t>[VALUE]</a:t>
                    </a:fld>
                    <a:endParaRPr lang="en-US" sz="900" baseline="0"/>
                  </a:p>
                </c:rich>
              </c:tx>
              <c:numFmt formatCode="0.00\ 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16714258064399429"/>
                      <c:h val="0.31434878587196469"/>
                    </c:manualLayout>
                  </c15:layout>
                  <c15:dlblFieldTable/>
                  <c15:showDataLabelsRange val="0"/>
                </c:ext>
                <c:ext xmlns:c16="http://schemas.microsoft.com/office/drawing/2014/chart" uri="{C3380CC4-5D6E-409C-BE32-E72D297353CC}">
                  <c16:uniqueId val="{00000011-E96E-49FF-B843-B200CD76612F}"/>
                </c:ext>
              </c:extLst>
            </c:dLbl>
            <c:dLbl>
              <c:idx val="9"/>
              <c:layout>
                <c:manualLayout>
                  <c:x val="1.4802263259477068E-2"/>
                  <c:y val="-4.610383966904799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94C4109A-271B-4424-AED3-B9F9B5207AD0}" type="CATEGORYNAME">
                      <a:rPr lang="en-US"/>
                      <a:pPr>
                        <a:defRPr/>
                      </a:pPr>
                      <a:t>[CATEGORY NAME]</a:t>
                    </a:fld>
                    <a:r>
                      <a:rPr lang="en-US" baseline="0"/>
                      <a:t> </a:t>
                    </a:r>
                    <a:fld id="{D2A69D81-E35E-4BBF-B432-AC6214CCE54A}" type="VALUE">
                      <a:rPr lang="en-US" baseline="0"/>
                      <a:pPr>
                        <a:defRPr/>
                      </a:pPr>
                      <a:t>[VALUE]</a:t>
                    </a:fld>
                    <a:endParaRPr lang="en-US" baseline="0"/>
                  </a:p>
                </c:rich>
              </c:tx>
              <c:numFmt formatCode="0.00\ 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18721580374472491"/>
                      <c:h val="0.14737306843267106"/>
                    </c:manualLayout>
                  </c15:layout>
                  <c15:dlblFieldTable/>
                  <c15:showDataLabelsRange val="0"/>
                </c:ext>
                <c:ext xmlns:c16="http://schemas.microsoft.com/office/drawing/2014/chart" uri="{C3380CC4-5D6E-409C-BE32-E72D297353CC}">
                  <c16:uniqueId val="{00000013-E96E-49FF-B843-B200CD76612F}"/>
                </c:ext>
              </c:extLst>
            </c:dLbl>
            <c:numFmt formatCode="0.00\ 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('AE-MU'!$C$27,'AE-MU'!$C$28,'AE-MU'!$C$11,'AE-MU'!$C$30,'AE-MU'!$C$4,'AE-MU'!$C$6,'AE-MU'!$C$12,'AE-MU'!$C$33,'AE-MU'!$C$32,'AE-MU'!$C$14)</c:f>
              <c:strCache>
                <c:ptCount val="10"/>
                <c:pt idx="0">
                  <c:v>Fire - General Reactor Trip</c:v>
                </c:pt>
                <c:pt idx="1">
                  <c:v>Fire - LOOP</c:v>
                </c:pt>
                <c:pt idx="2">
                  <c:v>Loss of Support System</c:v>
                </c:pt>
                <c:pt idx="3">
                  <c:v>Fire - Inadvertant activation of the ECCS</c:v>
                </c:pt>
                <c:pt idx="4">
                  <c:v>General Reactor Trip</c:v>
                </c:pt>
                <c:pt idx="5">
                  <c:v>LOOP</c:v>
                </c:pt>
                <c:pt idx="6">
                  <c:v>Containment leakage</c:v>
                </c:pt>
                <c:pt idx="7">
                  <c:v>Int. Flooding - Loss of Support System</c:v>
                </c:pt>
                <c:pt idx="8">
                  <c:v>Int. Flooding - General Reactor Trip</c:v>
                </c:pt>
                <c:pt idx="9">
                  <c:v>LOCA</c:v>
                </c:pt>
              </c:strCache>
            </c:strRef>
          </c:cat>
          <c:val>
            <c:numRef>
              <c:f>('AE-MU'!$G$27,'AE-MU'!$G$28,'AE-MU'!$G$11,'AE-MU'!$G$30,'AE-MU'!$G$4,'AE-MU'!$G$6,'AE-MU'!$G$12,'AE-MU'!$G$33,'AE-MU'!$G$32,'AE-MU'!$G$14)</c:f>
              <c:numCache>
                <c:formatCode>0.00E+00</c:formatCode>
                <c:ptCount val="10"/>
                <c:pt idx="0">
                  <c:v>5.6300000000000005E-7</c:v>
                </c:pt>
                <c:pt idx="1">
                  <c:v>2.7300000000000002E-7</c:v>
                </c:pt>
                <c:pt idx="2">
                  <c:v>9.9200000000000002E-8</c:v>
                </c:pt>
                <c:pt idx="3">
                  <c:v>9.5900000000000005E-8</c:v>
                </c:pt>
                <c:pt idx="4">
                  <c:v>6.2200000000000001E-8</c:v>
                </c:pt>
                <c:pt idx="5">
                  <c:v>4.95E-8</c:v>
                </c:pt>
                <c:pt idx="6">
                  <c:v>4.0399999999999998E-8</c:v>
                </c:pt>
                <c:pt idx="7">
                  <c:v>2.29E-8</c:v>
                </c:pt>
                <c:pt idx="8">
                  <c:v>1.51E-8</c:v>
                </c:pt>
                <c:pt idx="9">
                  <c:v>4.4500000000000001E-10</c:v>
                </c:pt>
              </c:numCache>
            </c:numRef>
          </c:val>
          <c:extLst>
            <c:ext xmlns:c16="http://schemas.microsoft.com/office/drawing/2014/chart" uri="{C3380CC4-5D6E-409C-BE32-E72D297353CC}">
              <c16:uniqueId val="{00000014-E96E-49FF-B843-B200CD76612F}"/>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1">
          <a:lumMod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7972663451670624"/>
          <c:y val="4.2512077294685993E-2"/>
          <c:w val="0.57875087413381288"/>
          <c:h val="0.79396462398721901"/>
        </c:manualLayout>
      </c:layout>
      <c:barChart>
        <c:barDir val="bar"/>
        <c:grouping val="clustered"/>
        <c:varyColors val="0"/>
        <c:ser>
          <c:idx val="5"/>
          <c:order val="0"/>
          <c:spPr>
            <a:solidFill>
              <a:schemeClr val="accent6"/>
            </a:solidFill>
            <a:ln>
              <a:solidFill>
                <a:schemeClr val="accent6"/>
              </a:solidFill>
            </a:ln>
            <a:effectLst/>
          </c:spPr>
          <c:invertIfNegative val="0"/>
          <c:dPt>
            <c:idx val="0"/>
            <c:invertIfNegative val="0"/>
            <c:bubble3D val="0"/>
            <c:spPr>
              <a:solidFill>
                <a:schemeClr val="tx2">
                  <a:lumMod val="60000"/>
                  <a:lumOff val="40000"/>
                </a:schemeClr>
              </a:solidFill>
              <a:ln>
                <a:solidFill>
                  <a:schemeClr val="tx2">
                    <a:lumMod val="60000"/>
                    <a:lumOff val="40000"/>
                  </a:schemeClr>
                </a:solidFill>
              </a:ln>
              <a:effectLst/>
            </c:spPr>
            <c:extLst>
              <c:ext xmlns:c16="http://schemas.microsoft.com/office/drawing/2014/chart" uri="{C3380CC4-5D6E-409C-BE32-E72D297353CC}">
                <c16:uniqueId val="{00000001-B277-4560-BEC9-DBEF2A91C955}"/>
              </c:ext>
            </c:extLst>
          </c:dPt>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277-4560-BEC9-DBEF2A91C955}"/>
                </c:ext>
              </c:extLst>
            </c:dLbl>
            <c:dLbl>
              <c:idx val="1"/>
              <c:tx>
                <c:rich>
                  <a:bodyPr/>
                  <a:lstStyle/>
                  <a:p>
                    <a:r>
                      <a:rPr lang="en-US"/>
                      <a:t>0.61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277-4560-BEC9-DBEF2A91C955}"/>
                </c:ext>
              </c:extLst>
            </c:dLbl>
            <c:dLbl>
              <c:idx val="2"/>
              <c:tx>
                <c:rich>
                  <a:bodyPr/>
                  <a:lstStyle/>
                  <a:p>
                    <a:r>
                      <a:rPr lang="en-US"/>
                      <a:t>0.90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277-4560-BEC9-DBEF2A91C955}"/>
                </c:ext>
              </c:extLst>
            </c:dLbl>
            <c:dLbl>
              <c:idx val="3"/>
              <c:tx>
                <c:rich>
                  <a:bodyPr/>
                  <a:lstStyle/>
                  <a:p>
                    <a:r>
                      <a:rPr lang="en-US"/>
                      <a:t>1.01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277-4560-BEC9-DBEF2A91C955}"/>
                </c:ext>
              </c:extLst>
            </c:dLbl>
            <c:dLbl>
              <c:idx val="4"/>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277-4560-BEC9-DBEF2A91C955}"/>
                </c:ext>
              </c:extLst>
            </c:dLbl>
            <c:dLbl>
              <c:idx val="5"/>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277-4560-BEC9-DBEF2A91C955}"/>
                </c:ext>
              </c:extLst>
            </c:dLbl>
            <c:dLbl>
              <c:idx val="6"/>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277-4560-BEC9-DBEF2A91C955}"/>
                </c:ext>
              </c:extLst>
            </c:dLbl>
            <c:dLbl>
              <c:idx val="7"/>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277-4560-BEC9-DBEF2A91C955}"/>
                </c:ext>
              </c:extLst>
            </c:dLbl>
            <c:dLbl>
              <c:idx val="8"/>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277-4560-BEC9-DBEF2A91C955}"/>
                </c:ext>
              </c:extLst>
            </c:dLbl>
            <c:dLbl>
              <c:idx val="9"/>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277-4560-BEC9-DBEF2A91C955}"/>
                </c:ext>
              </c:extLst>
            </c:dLbl>
            <c:dLbl>
              <c:idx val="10"/>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277-4560-BEC9-DBEF2A91C955}"/>
                </c:ext>
              </c:extLst>
            </c:dLbl>
            <c:dLbl>
              <c:idx val="11"/>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277-4560-BEC9-DBEF2A91C95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('AE-MU'!$C$34,'AE-MU'!$C$33,'AE-MU'!$C$6,'AE-MU'!$C$18,'AE-MU'!$C$28,'AE-MU'!$C$11,'AE-MU'!$C$30,'AE-MU'!$C$20,'AE-MU'!$C$4,'AE-MU'!$C$32,'AE-MU'!$C$27,'AE-MU'!$C$12)</c:f>
              <c:strCache>
                <c:ptCount val="12"/>
                <c:pt idx="0">
                  <c:v>Result</c:v>
                </c:pt>
                <c:pt idx="1">
                  <c:v>Int. Flooding - Loss of Support System</c:v>
                </c:pt>
                <c:pt idx="2">
                  <c:v>LOOP</c:v>
                </c:pt>
                <c:pt idx="3">
                  <c:v>LOCA inside Containment</c:v>
                </c:pt>
                <c:pt idx="4">
                  <c:v>Fire - LOOP</c:v>
                </c:pt>
                <c:pt idx="5">
                  <c:v>Loss of Support System</c:v>
                </c:pt>
                <c:pt idx="6">
                  <c:v>Fire - Inadvertant activation of the ECCS</c:v>
                </c:pt>
                <c:pt idx="7">
                  <c:v>Inadvertant activation of the ECCS</c:v>
                </c:pt>
                <c:pt idx="8">
                  <c:v>General Reactor Trip</c:v>
                </c:pt>
                <c:pt idx="9">
                  <c:v>Int. Flooding - General Reactor Trip</c:v>
                </c:pt>
                <c:pt idx="10">
                  <c:v>Fire - General Reactor Trip</c:v>
                </c:pt>
                <c:pt idx="11">
                  <c:v>Containment leakage</c:v>
                </c:pt>
              </c:strCache>
            </c:strRef>
          </c:cat>
          <c:val>
            <c:numRef>
              <c:f>('AE-MU'!$I$34,'AE-MU'!$I$33,'AE-MU'!$I$6,'AE-MU'!$I$18,'AE-MU'!$I$28,'AE-MU'!$I$11,'AE-MU'!$I$30,'AE-MU'!$I$20,'AE-MU'!$I$4,'AE-MU'!$I$32,'AE-MU'!$I$27,'AE-MU'!$I$12)</c:f>
              <c:numCache>
                <c:formatCode>0.00</c:formatCode>
                <c:ptCount val="12"/>
                <c:pt idx="0">
                  <c:v>1.2995594713656387</c:v>
                </c:pt>
                <c:pt idx="1">
                  <c:v>0.6077494692144374</c:v>
                </c:pt>
                <c:pt idx="2">
                  <c:v>0.89869281045751637</c:v>
                </c:pt>
                <c:pt idx="3">
                  <c:v>1.0118827160493826</c:v>
                </c:pt>
                <c:pt idx="4">
                  <c:v>1.1666666666666667</c:v>
                </c:pt>
                <c:pt idx="5">
                  <c:v>3.1194968553459121</c:v>
                </c:pt>
                <c:pt idx="6">
                  <c:v>3.1917808219178085</c:v>
                </c:pt>
                <c:pt idx="7">
                  <c:v>3.5381750465549344</c:v>
                </c:pt>
                <c:pt idx="8">
                  <c:v>4.1768916155419227</c:v>
                </c:pt>
                <c:pt idx="9">
                  <c:v>31.458333333333332</c:v>
                </c:pt>
                <c:pt idx="10">
                  <c:v>37.236415343915354</c:v>
                </c:pt>
                <c:pt idx="11">
                  <c:v>166.84729064039405</c:v>
                </c:pt>
              </c:numCache>
            </c:numRef>
          </c:val>
          <c:extLst>
            <c:ext xmlns:c16="http://schemas.microsoft.com/office/drawing/2014/chart" uri="{C3380CC4-5D6E-409C-BE32-E72D297353CC}">
              <c16:uniqueId val="{0000000D-B277-4560-BEC9-DBEF2A91C955}"/>
            </c:ext>
          </c:extLst>
        </c:ser>
        <c:dLbls>
          <c:showLegendKey val="0"/>
          <c:showVal val="0"/>
          <c:showCatName val="0"/>
          <c:showSerName val="0"/>
          <c:showPercent val="0"/>
          <c:showBubbleSize val="0"/>
        </c:dLbls>
        <c:gapWidth val="182"/>
        <c:axId val="736464088"/>
        <c:axId val="736466608"/>
      </c:barChart>
      <c:catAx>
        <c:axId val="736464088"/>
        <c:scaling>
          <c:orientation val="minMax"/>
        </c:scaling>
        <c:delete val="0"/>
        <c:axPos val="l"/>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466608"/>
        <c:crossesAt val="1"/>
        <c:auto val="1"/>
        <c:lblAlgn val="ctr"/>
        <c:lblOffset val="100"/>
        <c:noMultiLvlLbl val="0"/>
      </c:catAx>
      <c:valAx>
        <c:axId val="73646660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sz="900" dirty="0">
                    <a:latin typeface="Times New Roman" panose="02020603050405020304" pitchFamily="18" charset="0"/>
                    <a:cs typeface="Times New Roman" panose="02020603050405020304" pitchFamily="18" charset="0"/>
                  </a:rPr>
                  <a:t>MMCF</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6464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1">
          <a:lumMod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0.0011</cdr:x>
      <cdr:y>0.00727</cdr:y>
    </cdr:from>
    <cdr:to>
      <cdr:x>0.39871</cdr:x>
      <cdr:y>0.86952</cdr:y>
    </cdr:to>
    <cdr:sp macro="" textlink="">
      <cdr:nvSpPr>
        <cdr:cNvPr id="3" name="Textfeld 2">
          <a:extLst xmlns:a="http://schemas.openxmlformats.org/drawingml/2006/main">
            <a:ext uri="{FF2B5EF4-FFF2-40B4-BE49-F238E27FC236}">
              <a16:creationId xmlns:a16="http://schemas.microsoft.com/office/drawing/2014/main" id="{23D667A8-3154-7A27-D71A-D6BAF01C42EB}"/>
            </a:ext>
          </a:extLst>
        </cdr:cNvPr>
        <cdr:cNvSpPr txBox="1"/>
      </cdr:nvSpPr>
      <cdr:spPr>
        <a:xfrm xmlns:a="http://schemas.openxmlformats.org/drawingml/2006/main">
          <a:off x="5287" y="15437"/>
          <a:ext cx="1918653" cy="183204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rIns="0" rtlCol="0"/>
        <a:lstStyle xmlns:a="http://schemas.openxmlformats.org/drawingml/2006/main"/>
        <a:p xmlns:a="http://schemas.openxmlformats.org/drawingml/2006/main">
          <a:pPr algn="r">
            <a:spcBef>
              <a:spcPts val="100"/>
            </a:spcBef>
          </a:pPr>
          <a:r>
            <a:rPr lang="de-DE" sz="900" dirty="0">
              <a:latin typeface="Times New Roman" panose="02020603050405020304" pitchFamily="18" charset="0"/>
              <a:cs typeface="Times New Roman" panose="02020603050405020304" pitchFamily="18" charset="0"/>
            </a:rPr>
            <a:t>Containment </a:t>
          </a:r>
          <a:r>
            <a:rPr lang="de-DE" sz="900" dirty="0" err="1">
              <a:latin typeface="Times New Roman" panose="02020603050405020304" pitchFamily="18" charset="0"/>
              <a:cs typeface="Times New Roman" panose="02020603050405020304" pitchFamily="18" charset="0"/>
            </a:rPr>
            <a:t>leakage</a:t>
          </a:r>
          <a:endParaRPr lang="de-DE" sz="900" dirty="0">
            <a:latin typeface="Times New Roman" panose="02020603050405020304" pitchFamily="18" charset="0"/>
            <a:cs typeface="Times New Roman" panose="02020603050405020304" pitchFamily="18" charset="0"/>
          </a:endParaRPr>
        </a:p>
        <a:p xmlns:a="http://schemas.openxmlformats.org/drawingml/2006/main">
          <a:pPr algn="r">
            <a:spcBef>
              <a:spcPts val="100"/>
            </a:spcBef>
          </a:pPr>
          <a:r>
            <a:rPr lang="de-DE" sz="900" dirty="0" err="1">
              <a:latin typeface="Times New Roman" panose="02020603050405020304" pitchFamily="18" charset="0"/>
              <a:cs typeface="Times New Roman" panose="02020603050405020304" pitchFamily="18" charset="0"/>
            </a:rPr>
            <a:t>Reactor</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trip</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due</a:t>
          </a:r>
          <a:r>
            <a:rPr lang="de-DE" sz="900" dirty="0">
              <a:latin typeface="Times New Roman" panose="02020603050405020304" pitchFamily="18" charset="0"/>
              <a:cs typeface="Times New Roman" panose="02020603050405020304" pitchFamily="18" charset="0"/>
            </a:rPr>
            <a:t> to </a:t>
          </a:r>
          <a:r>
            <a:rPr lang="de-DE" sz="900" dirty="0" err="1">
              <a:latin typeface="Times New Roman" panose="02020603050405020304" pitchFamily="18" charset="0"/>
              <a:cs typeface="Times New Roman" panose="02020603050405020304" pitchFamily="18" charset="0"/>
            </a:rPr>
            <a:t>fire</a:t>
          </a:r>
          <a:endParaRPr lang="de-DE" sz="900" dirty="0">
            <a:latin typeface="Times New Roman" panose="02020603050405020304" pitchFamily="18" charset="0"/>
            <a:cs typeface="Times New Roman" panose="02020603050405020304" pitchFamily="18" charset="0"/>
          </a:endParaRPr>
        </a:p>
        <a:p xmlns:a="http://schemas.openxmlformats.org/drawingml/2006/main">
          <a:pPr algn="r">
            <a:spcBef>
              <a:spcPts val="100"/>
            </a:spcBef>
          </a:pPr>
          <a:r>
            <a:rPr lang="de-DE" sz="900" dirty="0" err="1">
              <a:latin typeface="Times New Roman" panose="02020603050405020304" pitchFamily="18" charset="0"/>
              <a:cs typeface="Times New Roman" panose="02020603050405020304" pitchFamily="18" charset="0"/>
            </a:rPr>
            <a:t>Reactor</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trip</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due</a:t>
          </a:r>
          <a:r>
            <a:rPr lang="de-DE" sz="900" dirty="0">
              <a:latin typeface="Times New Roman" panose="02020603050405020304" pitchFamily="18" charset="0"/>
              <a:cs typeface="Times New Roman" panose="02020603050405020304" pitchFamily="18" charset="0"/>
            </a:rPr>
            <a:t> to internal flooding</a:t>
          </a:r>
        </a:p>
        <a:p xmlns:a="http://schemas.openxmlformats.org/drawingml/2006/main">
          <a:pPr algn="r">
            <a:spcBef>
              <a:spcPts val="100"/>
            </a:spcBef>
          </a:pPr>
          <a:r>
            <a:rPr lang="de-DE" sz="900" dirty="0">
              <a:latin typeface="Times New Roman" panose="02020603050405020304" pitchFamily="18" charset="0"/>
              <a:cs typeface="Times New Roman" panose="02020603050405020304" pitchFamily="18" charset="0"/>
            </a:rPr>
            <a:t>General </a:t>
          </a:r>
          <a:r>
            <a:rPr lang="de-DE" sz="900" dirty="0" err="1">
              <a:latin typeface="Times New Roman" panose="02020603050405020304" pitchFamily="18" charset="0"/>
              <a:cs typeface="Times New Roman" panose="02020603050405020304" pitchFamily="18" charset="0"/>
            </a:rPr>
            <a:t>reactor</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trip</a:t>
          </a:r>
          <a:endParaRPr lang="de-DE" sz="900" dirty="0">
            <a:latin typeface="Times New Roman" panose="02020603050405020304" pitchFamily="18" charset="0"/>
            <a:cs typeface="Times New Roman" panose="02020603050405020304" pitchFamily="18" charset="0"/>
          </a:endParaRPr>
        </a:p>
        <a:p xmlns:a="http://schemas.openxmlformats.org/drawingml/2006/main">
          <a:pPr algn="r">
            <a:spcBef>
              <a:spcPts val="100"/>
            </a:spcBef>
          </a:pPr>
          <a:r>
            <a:rPr lang="de-DE" sz="900" dirty="0" err="1">
              <a:latin typeface="Times New Roman" panose="02020603050405020304" pitchFamily="18" charset="0"/>
              <a:cs typeface="Times New Roman" panose="02020603050405020304" pitchFamily="18" charset="0"/>
            </a:rPr>
            <a:t>Inadvertent</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activation</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of</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the</a:t>
          </a:r>
          <a:r>
            <a:rPr lang="de-DE" sz="900" dirty="0">
              <a:latin typeface="Times New Roman" panose="02020603050405020304" pitchFamily="18" charset="0"/>
              <a:cs typeface="Times New Roman" panose="02020603050405020304" pitchFamily="18" charset="0"/>
            </a:rPr>
            <a:t> ECCS</a:t>
          </a:r>
        </a:p>
        <a:p xmlns:a="http://schemas.openxmlformats.org/drawingml/2006/main">
          <a:pPr algn="r">
            <a:spcBef>
              <a:spcPts val="100"/>
            </a:spcBef>
          </a:pPr>
          <a:r>
            <a:rPr lang="de-DE" sz="900" dirty="0" err="1">
              <a:latin typeface="Times New Roman" panose="02020603050405020304" pitchFamily="18" charset="0"/>
              <a:cs typeface="Times New Roman" panose="02020603050405020304" pitchFamily="18" charset="0"/>
            </a:rPr>
            <a:t>Inadv</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activation</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of</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the</a:t>
          </a:r>
          <a:r>
            <a:rPr lang="de-DE" sz="900" dirty="0">
              <a:latin typeface="Times New Roman" panose="02020603050405020304" pitchFamily="18" charset="0"/>
              <a:cs typeface="Times New Roman" panose="02020603050405020304" pitchFamily="18" charset="0"/>
            </a:rPr>
            <a:t> ECCS </a:t>
          </a:r>
          <a:r>
            <a:rPr lang="de-DE" sz="900" dirty="0" err="1">
              <a:latin typeface="Times New Roman" panose="02020603050405020304" pitchFamily="18" charset="0"/>
              <a:cs typeface="Times New Roman" panose="02020603050405020304" pitchFamily="18" charset="0"/>
            </a:rPr>
            <a:t>due</a:t>
          </a:r>
          <a:r>
            <a:rPr lang="de-DE" sz="900" dirty="0">
              <a:latin typeface="Times New Roman" panose="02020603050405020304" pitchFamily="18" charset="0"/>
              <a:cs typeface="Times New Roman" panose="02020603050405020304" pitchFamily="18" charset="0"/>
            </a:rPr>
            <a:t> to </a:t>
          </a:r>
          <a:r>
            <a:rPr lang="de-DE" sz="900" dirty="0" err="1">
              <a:latin typeface="Times New Roman" panose="02020603050405020304" pitchFamily="18" charset="0"/>
              <a:cs typeface="Times New Roman" panose="02020603050405020304" pitchFamily="18" charset="0"/>
            </a:rPr>
            <a:t>fire</a:t>
          </a:r>
          <a:endParaRPr lang="de-DE" sz="900" dirty="0">
            <a:latin typeface="Times New Roman" panose="02020603050405020304" pitchFamily="18" charset="0"/>
            <a:cs typeface="Times New Roman" panose="02020603050405020304" pitchFamily="18" charset="0"/>
          </a:endParaRPr>
        </a:p>
        <a:p xmlns:a="http://schemas.openxmlformats.org/drawingml/2006/main">
          <a:pPr algn="r">
            <a:spcBef>
              <a:spcPts val="100"/>
            </a:spcBef>
          </a:pPr>
          <a:r>
            <a:rPr lang="de-DE" sz="900" dirty="0">
              <a:latin typeface="Times New Roman" panose="02020603050405020304" pitchFamily="18" charset="0"/>
              <a:cs typeface="Times New Roman" panose="02020603050405020304" pitchFamily="18" charset="0"/>
            </a:rPr>
            <a:t>Loss </a:t>
          </a:r>
          <a:r>
            <a:rPr lang="de-DE" sz="900" dirty="0" err="1">
              <a:latin typeface="Times New Roman" panose="02020603050405020304" pitchFamily="18" charset="0"/>
              <a:cs typeface="Times New Roman" panose="02020603050405020304" pitchFamily="18" charset="0"/>
            </a:rPr>
            <a:t>of</a:t>
          </a:r>
          <a:r>
            <a:rPr lang="de-DE" sz="900" dirty="0">
              <a:latin typeface="Times New Roman" panose="02020603050405020304" pitchFamily="18" charset="0"/>
              <a:cs typeface="Times New Roman" panose="02020603050405020304" pitchFamily="18" charset="0"/>
            </a:rPr>
            <a:t> support </a:t>
          </a:r>
          <a:r>
            <a:rPr lang="de-DE" sz="900" dirty="0" err="1">
              <a:latin typeface="Times New Roman" panose="02020603050405020304" pitchFamily="18" charset="0"/>
              <a:cs typeface="Times New Roman" panose="02020603050405020304" pitchFamily="18" charset="0"/>
            </a:rPr>
            <a:t>system</a:t>
          </a:r>
          <a:endParaRPr lang="de-DE" sz="900" dirty="0">
            <a:latin typeface="Times New Roman" panose="02020603050405020304" pitchFamily="18" charset="0"/>
            <a:cs typeface="Times New Roman" panose="02020603050405020304" pitchFamily="18" charset="0"/>
          </a:endParaRPr>
        </a:p>
        <a:p xmlns:a="http://schemas.openxmlformats.org/drawingml/2006/main">
          <a:pPr algn="r">
            <a:spcBef>
              <a:spcPts val="100"/>
            </a:spcBef>
          </a:pPr>
          <a:r>
            <a:rPr lang="de-DE" sz="900" dirty="0">
              <a:latin typeface="Times New Roman" panose="02020603050405020304" pitchFamily="18" charset="0"/>
              <a:cs typeface="Times New Roman" panose="02020603050405020304" pitchFamily="18" charset="0"/>
            </a:rPr>
            <a:t>LOOP </a:t>
          </a:r>
          <a:r>
            <a:rPr lang="de-DE" sz="900" dirty="0" err="1">
              <a:latin typeface="Times New Roman" panose="02020603050405020304" pitchFamily="18" charset="0"/>
              <a:cs typeface="Times New Roman" panose="02020603050405020304" pitchFamily="18" charset="0"/>
            </a:rPr>
            <a:t>due to</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fire</a:t>
          </a:r>
          <a:endParaRPr lang="de-DE" sz="900" dirty="0">
            <a:latin typeface="Times New Roman" panose="02020603050405020304" pitchFamily="18" charset="0"/>
            <a:cs typeface="Times New Roman" panose="02020603050405020304" pitchFamily="18" charset="0"/>
          </a:endParaRPr>
        </a:p>
        <a:p xmlns:a="http://schemas.openxmlformats.org/drawingml/2006/main">
          <a:pPr algn="r">
            <a:spcBef>
              <a:spcPts val="100"/>
            </a:spcBef>
          </a:pPr>
          <a:r>
            <a:rPr lang="de-DE" sz="900" dirty="0">
              <a:latin typeface="Times New Roman" panose="02020603050405020304" pitchFamily="18" charset="0"/>
              <a:cs typeface="Times New Roman" panose="02020603050405020304" pitchFamily="18" charset="0"/>
            </a:rPr>
            <a:t>LOCA </a:t>
          </a:r>
          <a:r>
            <a:rPr lang="de-DE" sz="900" dirty="0" err="1">
              <a:latin typeface="Times New Roman" panose="02020603050405020304" pitchFamily="18" charset="0"/>
              <a:cs typeface="Times New Roman" panose="02020603050405020304" pitchFamily="18" charset="0"/>
            </a:rPr>
            <a:t>inside</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containment</a:t>
          </a:r>
          <a:endParaRPr lang="de-DE" sz="900" dirty="0">
            <a:latin typeface="Times New Roman" panose="02020603050405020304" pitchFamily="18" charset="0"/>
            <a:cs typeface="Times New Roman" panose="02020603050405020304" pitchFamily="18" charset="0"/>
          </a:endParaRPr>
        </a:p>
        <a:p xmlns:a="http://schemas.openxmlformats.org/drawingml/2006/main">
          <a:pPr algn="r">
            <a:spcBef>
              <a:spcPts val="100"/>
            </a:spcBef>
          </a:pPr>
          <a:r>
            <a:rPr lang="de-DE" sz="900" dirty="0">
              <a:latin typeface="Times New Roman" panose="02020603050405020304" pitchFamily="18" charset="0"/>
              <a:cs typeface="Times New Roman" panose="02020603050405020304" pitchFamily="18" charset="0"/>
            </a:rPr>
            <a:t>LOOP</a:t>
          </a:r>
        </a:p>
        <a:p xmlns:a="http://schemas.openxmlformats.org/drawingml/2006/main">
          <a:pPr algn="r">
            <a:spcBef>
              <a:spcPts val="100"/>
            </a:spcBef>
          </a:pPr>
          <a:r>
            <a:rPr lang="de-DE" sz="900" dirty="0">
              <a:latin typeface="Times New Roman" panose="02020603050405020304" pitchFamily="18" charset="0"/>
              <a:cs typeface="Times New Roman" panose="02020603050405020304" pitchFamily="18" charset="0"/>
            </a:rPr>
            <a:t>Loss </a:t>
          </a:r>
          <a:r>
            <a:rPr lang="de-DE" sz="900" dirty="0" err="1">
              <a:latin typeface="Times New Roman" panose="02020603050405020304" pitchFamily="18" charset="0"/>
              <a:cs typeface="Times New Roman" panose="02020603050405020304" pitchFamily="18" charset="0"/>
            </a:rPr>
            <a:t>of</a:t>
          </a:r>
          <a:r>
            <a:rPr lang="de-DE" sz="900" dirty="0">
              <a:latin typeface="Times New Roman" panose="02020603050405020304" pitchFamily="18" charset="0"/>
              <a:cs typeface="Times New Roman" panose="02020603050405020304" pitchFamily="18" charset="0"/>
            </a:rPr>
            <a:t> supp. system </a:t>
          </a:r>
          <a:r>
            <a:rPr lang="de-DE" sz="900" dirty="0" err="1">
              <a:latin typeface="Times New Roman" panose="02020603050405020304" pitchFamily="18" charset="0"/>
              <a:cs typeface="Times New Roman" panose="02020603050405020304" pitchFamily="18" charset="0"/>
            </a:rPr>
            <a:t>due</a:t>
          </a:r>
          <a:r>
            <a:rPr lang="de-DE" sz="900" dirty="0">
              <a:latin typeface="Times New Roman" panose="02020603050405020304" pitchFamily="18" charset="0"/>
              <a:cs typeface="Times New Roman" panose="02020603050405020304" pitchFamily="18" charset="0"/>
            </a:rPr>
            <a:t> to int. flooding</a:t>
          </a:r>
        </a:p>
        <a:p xmlns:a="http://schemas.openxmlformats.org/drawingml/2006/main">
          <a:pPr algn="r">
            <a:spcBef>
              <a:spcPts val="100"/>
            </a:spcBef>
          </a:pPr>
          <a:r>
            <a:rPr lang="de-DE" sz="900" dirty="0" err="1">
              <a:latin typeface="Times New Roman" panose="02020603050405020304" pitchFamily="18" charset="0"/>
              <a:cs typeface="Times New Roman" panose="02020603050405020304" pitchFamily="18" charset="0"/>
            </a:rPr>
            <a:t>Weighted</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result</a:t>
          </a:r>
          <a:r>
            <a:rPr lang="de-DE" sz="900" dirty="0">
              <a:latin typeface="Times New Roman" panose="02020603050405020304" pitchFamily="18" charset="0"/>
              <a:cs typeface="Times New Roman" panose="02020603050405020304" pitchFamily="18" charset="0"/>
            </a:rPr>
            <a:t> </a:t>
          </a:r>
          <a:r>
            <a:rPr lang="de-DE" sz="900" dirty="0" err="1">
              <a:latin typeface="Times New Roman" panose="02020603050405020304" pitchFamily="18" charset="0"/>
              <a:cs typeface="Times New Roman" panose="02020603050405020304" pitchFamily="18" charset="0"/>
            </a:rPr>
            <a:t>over</a:t>
          </a:r>
          <a:r>
            <a:rPr lang="de-DE" sz="900" dirty="0">
              <a:latin typeface="Times New Roman" panose="02020603050405020304" pitchFamily="18" charset="0"/>
              <a:cs typeface="Times New Roman" panose="02020603050405020304" pitchFamily="18" charset="0"/>
            </a:rPr>
            <a:t> all CCIs</a:t>
          </a:r>
        </a:p>
      </cdr:txBody>
    </cdr:sp>
  </cdr:relSizeAnchor>
  <cdr:relSizeAnchor xmlns:cdr="http://schemas.openxmlformats.org/drawingml/2006/chartDrawing">
    <cdr:from>
      <cdr:x>0.37785</cdr:x>
      <cdr:y>0.84348</cdr:y>
    </cdr:from>
    <cdr:to>
      <cdr:x>0.44705</cdr:x>
      <cdr:y>0.93284</cdr:y>
    </cdr:to>
    <cdr:sp macro="" textlink="">
      <cdr:nvSpPr>
        <cdr:cNvPr id="2" name="Textfeld 1"/>
        <cdr:cNvSpPr txBox="1"/>
      </cdr:nvSpPr>
      <cdr:spPr>
        <a:xfrm xmlns:a="http://schemas.openxmlformats.org/drawingml/2006/main">
          <a:off x="1823266" y="1792140"/>
          <a:ext cx="333915" cy="18986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de-DE" sz="900" i="0" dirty="0">
              <a:latin typeface="Times New Roman" panose="02020603050405020304" pitchFamily="18" charset="0"/>
              <a:cs typeface="Times New Roman" panose="02020603050405020304" pitchFamily="18" charset="0"/>
            </a:rPr>
            <a:t>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3212743-35CF-4DCE-97ED-6E016F59494D}">
  <ds:schemaRefs>
    <ds:schemaRef ds:uri="http://schemas.openxmlformats.org/officeDocument/2006/bibliography"/>
  </ds:schemaRefs>
</ds:datastoreItem>
</file>

<file path=customXml/itemProps3.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8</Pages>
  <Words>4327</Words>
  <Characters>24668</Characters>
  <Application>Microsoft Office Word</Application>
  <DocSecurity>0</DocSecurity>
  <Lines>205</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RINI, Brett</cp:lastModifiedBy>
  <cp:revision>2</cp:revision>
  <cp:lastPrinted>2024-03-19T13:52:00Z</cp:lastPrinted>
  <dcterms:created xsi:type="dcterms:W3CDTF">2024-09-24T08:39:00Z</dcterms:created>
  <dcterms:modified xsi:type="dcterms:W3CDTF">2024-09-24T08:39:00Z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