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187B" w14:textId="2F0CAB03" w:rsidR="00F32D66" w:rsidRPr="000F36C1" w:rsidRDefault="00F32D66" w:rsidP="0036753D">
      <w:pPr>
        <w:spacing w:after="0"/>
        <w:jc w:val="center"/>
        <w:rPr>
          <w:rFonts w:ascii="Times New Roman" w:hAnsi="Times New Roman" w:cs="Times New Roman"/>
          <w:b/>
          <w:bCs/>
          <w:sz w:val="24"/>
          <w:szCs w:val="24"/>
        </w:rPr>
      </w:pPr>
      <w:r w:rsidRPr="000F36C1">
        <w:rPr>
          <w:rFonts w:ascii="Times New Roman" w:hAnsi="Times New Roman" w:cs="Times New Roman"/>
          <w:b/>
          <w:bCs/>
          <w:sz w:val="24"/>
          <w:szCs w:val="24"/>
        </w:rPr>
        <w:t>Challenges and Opportunities in Developing a Safety Case for Small Modular Reactors: The Ghanaian Perspective</w:t>
      </w:r>
    </w:p>
    <w:p w14:paraId="14095082" w14:textId="77777777" w:rsidR="00B5571E" w:rsidRPr="0036753D" w:rsidRDefault="00B5571E" w:rsidP="0036753D">
      <w:pPr>
        <w:spacing w:after="0"/>
        <w:jc w:val="center"/>
        <w:rPr>
          <w:rFonts w:ascii="Times New Roman" w:hAnsi="Times New Roman" w:cs="Times New Roman"/>
          <w:b/>
          <w:bCs/>
          <w:sz w:val="24"/>
          <w:szCs w:val="24"/>
        </w:rPr>
      </w:pPr>
    </w:p>
    <w:p w14:paraId="45A13E8A" w14:textId="113E44F4" w:rsidR="00967FD1" w:rsidRPr="0036753D" w:rsidRDefault="00967FD1" w:rsidP="0036753D">
      <w:pPr>
        <w:spacing w:after="0"/>
        <w:jc w:val="center"/>
        <w:rPr>
          <w:rFonts w:ascii="Times New Roman" w:hAnsi="Times New Roman" w:cs="Times New Roman"/>
          <w:b/>
          <w:bCs/>
          <w:sz w:val="24"/>
          <w:szCs w:val="24"/>
        </w:rPr>
      </w:pPr>
      <w:r w:rsidRPr="0036753D">
        <w:rPr>
          <w:rFonts w:ascii="Times New Roman" w:hAnsi="Times New Roman" w:cs="Times New Roman"/>
          <w:b/>
          <w:bCs/>
          <w:sz w:val="24"/>
          <w:szCs w:val="24"/>
          <w:vertAlign w:val="superscript"/>
        </w:rPr>
        <w:t>1*</w:t>
      </w:r>
      <w:r w:rsidRPr="0036753D">
        <w:rPr>
          <w:rFonts w:ascii="Times New Roman" w:hAnsi="Times New Roman" w:cs="Times New Roman"/>
          <w:b/>
          <w:bCs/>
          <w:sz w:val="24"/>
          <w:szCs w:val="24"/>
        </w:rPr>
        <w:t xml:space="preserve">Felix Ameyaw, </w:t>
      </w:r>
      <w:r w:rsidRPr="0036753D">
        <w:rPr>
          <w:rFonts w:ascii="Times New Roman" w:hAnsi="Times New Roman" w:cs="Times New Roman"/>
          <w:b/>
          <w:bCs/>
          <w:sz w:val="24"/>
          <w:szCs w:val="24"/>
          <w:vertAlign w:val="superscript"/>
        </w:rPr>
        <w:t>1</w:t>
      </w:r>
      <w:r w:rsidRPr="0036753D">
        <w:rPr>
          <w:rFonts w:ascii="Times New Roman" w:hAnsi="Times New Roman" w:cs="Times New Roman"/>
          <w:b/>
          <w:bCs/>
          <w:sz w:val="24"/>
          <w:szCs w:val="24"/>
        </w:rPr>
        <w:t xml:space="preserve">Mark </w:t>
      </w:r>
      <w:proofErr w:type="spellStart"/>
      <w:r w:rsidRPr="0036753D">
        <w:rPr>
          <w:rFonts w:ascii="Times New Roman" w:hAnsi="Times New Roman" w:cs="Times New Roman"/>
          <w:b/>
          <w:bCs/>
          <w:sz w:val="24"/>
          <w:szCs w:val="24"/>
        </w:rPr>
        <w:t>Nyasapoh</w:t>
      </w:r>
      <w:proofErr w:type="spellEnd"/>
      <w:r w:rsidRPr="0036753D">
        <w:rPr>
          <w:rFonts w:ascii="Times New Roman" w:hAnsi="Times New Roman" w:cs="Times New Roman"/>
          <w:b/>
          <w:bCs/>
          <w:sz w:val="24"/>
          <w:szCs w:val="24"/>
        </w:rPr>
        <w:t xml:space="preserve"> and </w:t>
      </w:r>
      <w:r w:rsidRPr="0036753D">
        <w:rPr>
          <w:rFonts w:ascii="Times New Roman" w:hAnsi="Times New Roman" w:cs="Times New Roman"/>
          <w:b/>
          <w:bCs/>
          <w:sz w:val="24"/>
          <w:szCs w:val="24"/>
          <w:vertAlign w:val="superscript"/>
        </w:rPr>
        <w:t>1</w:t>
      </w:r>
      <w:r w:rsidRPr="0036753D">
        <w:rPr>
          <w:rFonts w:ascii="Times New Roman" w:hAnsi="Times New Roman" w:cs="Times New Roman"/>
          <w:b/>
          <w:bCs/>
          <w:sz w:val="24"/>
          <w:szCs w:val="24"/>
        </w:rPr>
        <w:t xml:space="preserve">Joshua </w:t>
      </w:r>
      <w:proofErr w:type="spellStart"/>
      <w:r w:rsidRPr="0036753D">
        <w:rPr>
          <w:rFonts w:ascii="Times New Roman" w:hAnsi="Times New Roman" w:cs="Times New Roman"/>
          <w:b/>
          <w:bCs/>
          <w:sz w:val="24"/>
          <w:szCs w:val="24"/>
        </w:rPr>
        <w:t>Gbinu</w:t>
      </w:r>
      <w:proofErr w:type="spellEnd"/>
    </w:p>
    <w:p w14:paraId="1CE800A9" w14:textId="77777777" w:rsidR="00B5571E" w:rsidRPr="0036753D" w:rsidRDefault="00B5571E" w:rsidP="0036753D">
      <w:pPr>
        <w:spacing w:after="0"/>
        <w:jc w:val="center"/>
        <w:rPr>
          <w:rFonts w:ascii="Times New Roman" w:hAnsi="Times New Roman" w:cs="Times New Roman"/>
          <w:b/>
          <w:bCs/>
          <w:sz w:val="24"/>
          <w:szCs w:val="24"/>
        </w:rPr>
      </w:pPr>
    </w:p>
    <w:p w14:paraId="7AD3985D" w14:textId="28C64560" w:rsidR="00967FD1" w:rsidRDefault="00B5571E" w:rsidP="0036753D">
      <w:pPr>
        <w:spacing w:after="0"/>
        <w:jc w:val="center"/>
        <w:rPr>
          <w:rFonts w:ascii="Times New Roman" w:hAnsi="Times New Roman" w:cs="Times New Roman"/>
          <w:b/>
          <w:bCs/>
          <w:sz w:val="24"/>
          <w:szCs w:val="24"/>
        </w:rPr>
      </w:pPr>
      <w:r w:rsidRPr="0036753D">
        <w:rPr>
          <w:rFonts w:ascii="Times New Roman" w:hAnsi="Times New Roman" w:cs="Times New Roman"/>
          <w:b/>
          <w:bCs/>
          <w:sz w:val="24"/>
          <w:szCs w:val="24"/>
          <w:vertAlign w:val="superscript"/>
        </w:rPr>
        <w:t>1</w:t>
      </w:r>
      <w:r w:rsidR="00967FD1" w:rsidRPr="0036753D">
        <w:rPr>
          <w:rFonts w:ascii="Times New Roman" w:hAnsi="Times New Roman" w:cs="Times New Roman"/>
          <w:b/>
          <w:bCs/>
          <w:sz w:val="24"/>
          <w:szCs w:val="24"/>
        </w:rPr>
        <w:t>Nuclear Power Institute, P. O. Box LG 80, Legon-Accra, Ghana</w:t>
      </w:r>
    </w:p>
    <w:p w14:paraId="5960342A" w14:textId="26856DD9" w:rsidR="00492243" w:rsidRPr="0036753D" w:rsidRDefault="00492243" w:rsidP="0036753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proofErr w:type="spellStart"/>
      <w:r>
        <w:rPr>
          <w:rFonts w:ascii="Times New Roman" w:hAnsi="Times New Roman" w:cs="Times New Roman"/>
          <w:b/>
          <w:bCs/>
          <w:sz w:val="24"/>
          <w:szCs w:val="24"/>
        </w:rPr>
        <w:t>felix.ameyaw@gaec.gov,gh</w:t>
      </w:r>
      <w:proofErr w:type="spellEnd"/>
    </w:p>
    <w:p w14:paraId="09CF9CC3" w14:textId="77777777" w:rsidR="00B5571E" w:rsidRPr="0036753D" w:rsidRDefault="00B5571E" w:rsidP="0036753D">
      <w:pPr>
        <w:spacing w:after="0"/>
        <w:jc w:val="center"/>
        <w:rPr>
          <w:rFonts w:ascii="Times New Roman" w:hAnsi="Times New Roman" w:cs="Times New Roman"/>
          <w:b/>
          <w:bCs/>
          <w:sz w:val="24"/>
          <w:szCs w:val="24"/>
        </w:rPr>
      </w:pPr>
    </w:p>
    <w:p w14:paraId="6934F355" w14:textId="77777777" w:rsidR="00901BBF" w:rsidRPr="000F36C1" w:rsidRDefault="00901BBF" w:rsidP="0036753D">
      <w:pPr>
        <w:spacing w:after="0"/>
        <w:rPr>
          <w:rFonts w:ascii="Times New Roman" w:hAnsi="Times New Roman" w:cs="Times New Roman"/>
          <w:b/>
          <w:bCs/>
          <w:sz w:val="20"/>
          <w:szCs w:val="20"/>
        </w:rPr>
      </w:pPr>
      <w:r w:rsidRPr="000F36C1">
        <w:rPr>
          <w:rFonts w:ascii="Times New Roman" w:hAnsi="Times New Roman" w:cs="Times New Roman"/>
          <w:b/>
          <w:bCs/>
          <w:sz w:val="20"/>
          <w:szCs w:val="20"/>
        </w:rPr>
        <w:t>Abstract</w:t>
      </w:r>
    </w:p>
    <w:p w14:paraId="2F67FD1D" w14:textId="0935C72B" w:rsidR="00901BBF" w:rsidRPr="000F36C1" w:rsidRDefault="00901BBF" w:rsidP="0036753D">
      <w:pPr>
        <w:spacing w:after="0"/>
        <w:jc w:val="both"/>
        <w:rPr>
          <w:rFonts w:ascii="Times New Roman" w:hAnsi="Times New Roman" w:cs="Times New Roman"/>
          <w:sz w:val="18"/>
          <w:szCs w:val="18"/>
        </w:rPr>
      </w:pPr>
      <w:r w:rsidRPr="000F36C1">
        <w:rPr>
          <w:rFonts w:ascii="Times New Roman" w:hAnsi="Times New Roman" w:cs="Times New Roman"/>
          <w:sz w:val="18"/>
          <w:szCs w:val="18"/>
        </w:rPr>
        <w:t>This review paper critically analyzes the safety challenges and opportunities inherent in developing a safety case for Small Modular Reactors (SMRs) in Ghana. It delves into the safety objectives and the application of defense-in-depth principles, with a specific focus on the country's unique perspective. The review emphasizes key safety features such as inherent and passive safety, design simplification, and modularity, while also addressing challenges related to severe accident mitigation, hazard considerations, and fuel and core safety. Furthermore, the paper discusses the importance of materials and chemistry safety, risk-informed approaches, and innovative deployment models for SMRs in Ghana. It underscores the necessity of a robust safety case to address these challenges, highlighting the critical role of leadership and safety management in Ghana's nuclear power program. This paper provides valuable insights and recommendations for enhancing the safety and success of SMR deployment in Ghana, contributing significantly to the advancement of the country's nuclear power development efforts.</w:t>
      </w:r>
    </w:p>
    <w:p w14:paraId="061973FE" w14:textId="77777777" w:rsidR="000F36C1" w:rsidRDefault="000F36C1" w:rsidP="0036753D">
      <w:pPr>
        <w:spacing w:after="0"/>
        <w:ind w:left="1170" w:hanging="1170"/>
        <w:rPr>
          <w:rFonts w:ascii="Times New Roman" w:hAnsi="Times New Roman" w:cs="Times New Roman"/>
          <w:b/>
          <w:bCs/>
          <w:sz w:val="18"/>
          <w:szCs w:val="18"/>
        </w:rPr>
      </w:pPr>
    </w:p>
    <w:p w14:paraId="1BC01508" w14:textId="0AC01605" w:rsidR="006B01BF" w:rsidRPr="000F36C1" w:rsidRDefault="00B5571E" w:rsidP="00934E4F">
      <w:pPr>
        <w:spacing w:after="0"/>
        <w:ind w:left="900" w:hanging="900"/>
        <w:rPr>
          <w:rFonts w:ascii="Times New Roman" w:hAnsi="Times New Roman" w:cs="Times New Roman"/>
          <w:sz w:val="18"/>
          <w:szCs w:val="18"/>
        </w:rPr>
      </w:pPr>
      <w:r w:rsidRPr="000F36C1">
        <w:rPr>
          <w:rFonts w:ascii="Times New Roman" w:hAnsi="Times New Roman" w:cs="Times New Roman"/>
          <w:b/>
          <w:bCs/>
          <w:sz w:val="18"/>
          <w:szCs w:val="18"/>
        </w:rPr>
        <w:t xml:space="preserve">Keywords: </w:t>
      </w:r>
      <w:r w:rsidRPr="000F36C1">
        <w:rPr>
          <w:rFonts w:ascii="Times New Roman" w:eastAsia="Times New Roman" w:hAnsi="Times New Roman" w:cs="Times New Roman"/>
          <w:sz w:val="18"/>
          <w:szCs w:val="18"/>
        </w:rPr>
        <w:t>Safety Case, Defense-in-Depth, Inherent and Passive Safety, Severe Accident Mitigation, Risk-Informed Approaches.</w:t>
      </w:r>
    </w:p>
    <w:p w14:paraId="42C0363B" w14:textId="77777777" w:rsidR="006B01BF" w:rsidRPr="0036753D" w:rsidRDefault="006B01BF" w:rsidP="0036753D">
      <w:pPr>
        <w:spacing w:after="0"/>
        <w:rPr>
          <w:rFonts w:ascii="Times New Roman" w:hAnsi="Times New Roman" w:cs="Times New Roman"/>
          <w:b/>
          <w:bCs/>
          <w:sz w:val="24"/>
          <w:szCs w:val="24"/>
        </w:rPr>
      </w:pPr>
    </w:p>
    <w:p w14:paraId="468550E7" w14:textId="77777777" w:rsidR="006B01BF" w:rsidRPr="0036753D" w:rsidRDefault="006B01BF" w:rsidP="0036753D">
      <w:pPr>
        <w:spacing w:after="0"/>
        <w:rPr>
          <w:rFonts w:ascii="Times New Roman" w:hAnsi="Times New Roman" w:cs="Times New Roman"/>
          <w:b/>
          <w:bCs/>
          <w:sz w:val="24"/>
          <w:szCs w:val="24"/>
        </w:rPr>
      </w:pPr>
    </w:p>
    <w:p w14:paraId="001622F1" w14:textId="77777777" w:rsidR="006B01BF" w:rsidRPr="0036753D" w:rsidRDefault="006B01BF" w:rsidP="0036753D">
      <w:pPr>
        <w:spacing w:after="0"/>
        <w:rPr>
          <w:rFonts w:ascii="Times New Roman" w:hAnsi="Times New Roman" w:cs="Times New Roman"/>
          <w:b/>
          <w:bCs/>
          <w:sz w:val="24"/>
          <w:szCs w:val="24"/>
        </w:rPr>
      </w:pPr>
    </w:p>
    <w:p w14:paraId="7DFA835D" w14:textId="77777777" w:rsidR="006B01BF" w:rsidRPr="0036753D" w:rsidRDefault="006B01BF" w:rsidP="0036753D">
      <w:pPr>
        <w:spacing w:after="0"/>
        <w:rPr>
          <w:rFonts w:ascii="Times New Roman" w:hAnsi="Times New Roman" w:cs="Times New Roman"/>
          <w:b/>
          <w:bCs/>
          <w:sz w:val="24"/>
          <w:szCs w:val="24"/>
        </w:rPr>
      </w:pPr>
    </w:p>
    <w:p w14:paraId="0D112755" w14:textId="77777777" w:rsidR="006B01BF" w:rsidRPr="0036753D" w:rsidRDefault="006B01BF" w:rsidP="0036753D">
      <w:pPr>
        <w:spacing w:after="0"/>
        <w:rPr>
          <w:rFonts w:ascii="Times New Roman" w:hAnsi="Times New Roman" w:cs="Times New Roman"/>
          <w:b/>
          <w:bCs/>
          <w:sz w:val="24"/>
          <w:szCs w:val="24"/>
        </w:rPr>
      </w:pPr>
    </w:p>
    <w:p w14:paraId="40969415" w14:textId="77777777" w:rsidR="006B01BF" w:rsidRPr="0036753D" w:rsidRDefault="006B01BF" w:rsidP="0036753D">
      <w:pPr>
        <w:spacing w:after="0"/>
        <w:rPr>
          <w:rFonts w:ascii="Times New Roman" w:hAnsi="Times New Roman" w:cs="Times New Roman"/>
          <w:b/>
          <w:bCs/>
          <w:sz w:val="24"/>
          <w:szCs w:val="24"/>
        </w:rPr>
      </w:pPr>
    </w:p>
    <w:p w14:paraId="1D3844EA" w14:textId="77777777" w:rsidR="006B01BF" w:rsidRPr="0036753D" w:rsidRDefault="006B01BF" w:rsidP="0036753D">
      <w:pPr>
        <w:spacing w:after="0"/>
        <w:rPr>
          <w:rFonts w:ascii="Times New Roman" w:hAnsi="Times New Roman" w:cs="Times New Roman"/>
          <w:b/>
          <w:bCs/>
          <w:sz w:val="24"/>
          <w:szCs w:val="24"/>
        </w:rPr>
      </w:pPr>
    </w:p>
    <w:p w14:paraId="4CFB1BCD" w14:textId="77777777" w:rsidR="006B01BF" w:rsidRPr="0036753D" w:rsidRDefault="006B01BF" w:rsidP="0036753D">
      <w:pPr>
        <w:spacing w:after="0"/>
        <w:rPr>
          <w:rFonts w:ascii="Times New Roman" w:hAnsi="Times New Roman" w:cs="Times New Roman"/>
          <w:b/>
          <w:bCs/>
          <w:sz w:val="24"/>
          <w:szCs w:val="24"/>
        </w:rPr>
      </w:pPr>
    </w:p>
    <w:p w14:paraId="6A990CC4" w14:textId="77777777" w:rsidR="006B01BF" w:rsidRPr="0036753D" w:rsidRDefault="006B01BF" w:rsidP="0036753D">
      <w:pPr>
        <w:spacing w:after="0"/>
        <w:rPr>
          <w:rFonts w:ascii="Times New Roman" w:hAnsi="Times New Roman" w:cs="Times New Roman"/>
          <w:b/>
          <w:bCs/>
          <w:sz w:val="24"/>
          <w:szCs w:val="24"/>
        </w:rPr>
      </w:pPr>
    </w:p>
    <w:p w14:paraId="66C1208A" w14:textId="77777777" w:rsidR="006B01BF" w:rsidRPr="0036753D" w:rsidRDefault="006B01BF" w:rsidP="0036753D">
      <w:pPr>
        <w:spacing w:after="0"/>
        <w:rPr>
          <w:rFonts w:ascii="Times New Roman" w:hAnsi="Times New Roman" w:cs="Times New Roman"/>
          <w:b/>
          <w:bCs/>
          <w:sz w:val="24"/>
          <w:szCs w:val="24"/>
        </w:rPr>
      </w:pPr>
    </w:p>
    <w:p w14:paraId="14C8B4D2" w14:textId="77777777" w:rsidR="006B01BF" w:rsidRPr="0036753D" w:rsidRDefault="006B01BF" w:rsidP="0036753D">
      <w:pPr>
        <w:spacing w:after="0"/>
        <w:rPr>
          <w:rFonts w:ascii="Times New Roman" w:hAnsi="Times New Roman" w:cs="Times New Roman"/>
          <w:b/>
          <w:bCs/>
          <w:sz w:val="24"/>
          <w:szCs w:val="24"/>
        </w:rPr>
      </w:pPr>
    </w:p>
    <w:p w14:paraId="51E07195" w14:textId="77777777" w:rsidR="006B01BF" w:rsidRPr="0036753D" w:rsidRDefault="006B01BF" w:rsidP="0036753D">
      <w:pPr>
        <w:spacing w:after="0"/>
        <w:rPr>
          <w:rFonts w:ascii="Times New Roman" w:hAnsi="Times New Roman" w:cs="Times New Roman"/>
          <w:b/>
          <w:bCs/>
          <w:sz w:val="24"/>
          <w:szCs w:val="24"/>
        </w:rPr>
      </w:pPr>
    </w:p>
    <w:p w14:paraId="7D74F4EE" w14:textId="77777777" w:rsidR="006B01BF" w:rsidRPr="0036753D" w:rsidRDefault="006B01BF" w:rsidP="0036753D">
      <w:pPr>
        <w:spacing w:after="0"/>
        <w:rPr>
          <w:rFonts w:ascii="Times New Roman" w:hAnsi="Times New Roman" w:cs="Times New Roman"/>
          <w:b/>
          <w:bCs/>
          <w:sz w:val="24"/>
          <w:szCs w:val="24"/>
        </w:rPr>
      </w:pPr>
    </w:p>
    <w:p w14:paraId="1C1E4974" w14:textId="77777777" w:rsidR="006B01BF" w:rsidRPr="0036753D" w:rsidRDefault="006B01BF" w:rsidP="0036753D">
      <w:pPr>
        <w:spacing w:after="0"/>
        <w:rPr>
          <w:rFonts w:ascii="Times New Roman" w:hAnsi="Times New Roman" w:cs="Times New Roman"/>
          <w:b/>
          <w:bCs/>
          <w:sz w:val="24"/>
          <w:szCs w:val="24"/>
        </w:rPr>
      </w:pPr>
    </w:p>
    <w:p w14:paraId="53F34486" w14:textId="77777777" w:rsidR="006B01BF" w:rsidRPr="0036753D" w:rsidRDefault="006B01BF" w:rsidP="0036753D">
      <w:pPr>
        <w:spacing w:after="0"/>
        <w:rPr>
          <w:rFonts w:ascii="Times New Roman" w:hAnsi="Times New Roman" w:cs="Times New Roman"/>
          <w:b/>
          <w:bCs/>
          <w:sz w:val="24"/>
          <w:szCs w:val="24"/>
        </w:rPr>
      </w:pPr>
    </w:p>
    <w:p w14:paraId="1BE4145B" w14:textId="77777777" w:rsidR="006B01BF" w:rsidRPr="0036753D" w:rsidRDefault="006B01BF" w:rsidP="0036753D">
      <w:pPr>
        <w:spacing w:after="0"/>
        <w:rPr>
          <w:rFonts w:ascii="Times New Roman" w:hAnsi="Times New Roman" w:cs="Times New Roman"/>
          <w:b/>
          <w:bCs/>
          <w:sz w:val="24"/>
          <w:szCs w:val="24"/>
        </w:rPr>
      </w:pPr>
    </w:p>
    <w:p w14:paraId="157E7B35" w14:textId="77777777" w:rsidR="006B01BF" w:rsidRPr="0036753D" w:rsidRDefault="006B01BF" w:rsidP="0036753D">
      <w:pPr>
        <w:spacing w:after="0"/>
        <w:rPr>
          <w:rFonts w:ascii="Times New Roman" w:hAnsi="Times New Roman" w:cs="Times New Roman"/>
          <w:b/>
          <w:bCs/>
          <w:sz w:val="24"/>
          <w:szCs w:val="24"/>
        </w:rPr>
      </w:pPr>
    </w:p>
    <w:p w14:paraId="07A823E9" w14:textId="77777777" w:rsidR="006B01BF" w:rsidRPr="0036753D" w:rsidRDefault="006B01BF" w:rsidP="0036753D">
      <w:pPr>
        <w:spacing w:after="0"/>
        <w:rPr>
          <w:rFonts w:ascii="Times New Roman" w:hAnsi="Times New Roman" w:cs="Times New Roman"/>
          <w:b/>
          <w:bCs/>
          <w:sz w:val="24"/>
          <w:szCs w:val="24"/>
        </w:rPr>
      </w:pPr>
    </w:p>
    <w:p w14:paraId="50EE1DF0" w14:textId="77777777" w:rsidR="006B01BF" w:rsidRPr="0036753D" w:rsidRDefault="006B01BF" w:rsidP="0036753D">
      <w:pPr>
        <w:spacing w:after="0"/>
        <w:rPr>
          <w:rFonts w:ascii="Times New Roman" w:hAnsi="Times New Roman" w:cs="Times New Roman"/>
          <w:b/>
          <w:bCs/>
          <w:sz w:val="24"/>
          <w:szCs w:val="24"/>
        </w:rPr>
      </w:pPr>
    </w:p>
    <w:p w14:paraId="367515F6" w14:textId="77777777" w:rsidR="006B01BF" w:rsidRPr="0036753D" w:rsidRDefault="006B01BF" w:rsidP="0036753D">
      <w:pPr>
        <w:spacing w:after="0"/>
        <w:rPr>
          <w:rFonts w:ascii="Times New Roman" w:hAnsi="Times New Roman" w:cs="Times New Roman"/>
          <w:b/>
          <w:bCs/>
          <w:sz w:val="24"/>
          <w:szCs w:val="24"/>
        </w:rPr>
      </w:pPr>
    </w:p>
    <w:p w14:paraId="3BC80EE6" w14:textId="77777777" w:rsidR="006B01BF" w:rsidRPr="0036753D" w:rsidRDefault="006B01BF" w:rsidP="0036753D">
      <w:pPr>
        <w:spacing w:after="0"/>
        <w:rPr>
          <w:rFonts w:ascii="Times New Roman" w:hAnsi="Times New Roman" w:cs="Times New Roman"/>
          <w:b/>
          <w:bCs/>
          <w:sz w:val="24"/>
          <w:szCs w:val="24"/>
        </w:rPr>
      </w:pPr>
    </w:p>
    <w:p w14:paraId="15B87F7F" w14:textId="77777777" w:rsidR="006B01BF" w:rsidRPr="0036753D" w:rsidRDefault="006B01BF" w:rsidP="0036753D">
      <w:pPr>
        <w:spacing w:after="0"/>
        <w:rPr>
          <w:rFonts w:ascii="Times New Roman" w:hAnsi="Times New Roman" w:cs="Times New Roman"/>
          <w:b/>
          <w:bCs/>
          <w:sz w:val="24"/>
          <w:szCs w:val="24"/>
        </w:rPr>
      </w:pPr>
    </w:p>
    <w:p w14:paraId="3098D85F" w14:textId="77777777" w:rsidR="006B01BF" w:rsidRPr="0036753D" w:rsidRDefault="006B01BF" w:rsidP="0036753D">
      <w:pPr>
        <w:spacing w:after="0"/>
        <w:rPr>
          <w:rFonts w:ascii="Times New Roman" w:hAnsi="Times New Roman" w:cs="Times New Roman"/>
          <w:b/>
          <w:bCs/>
          <w:sz w:val="24"/>
          <w:szCs w:val="24"/>
        </w:rPr>
      </w:pPr>
    </w:p>
    <w:p w14:paraId="0CC5383D" w14:textId="77777777" w:rsidR="000F36C1" w:rsidRDefault="000F36C1">
      <w:pPr>
        <w:rPr>
          <w:rFonts w:ascii="Times New Roman" w:hAnsi="Times New Roman" w:cs="Times New Roman"/>
          <w:b/>
          <w:bCs/>
          <w:sz w:val="20"/>
          <w:szCs w:val="20"/>
        </w:rPr>
      </w:pPr>
      <w:r>
        <w:rPr>
          <w:rFonts w:ascii="Times New Roman" w:hAnsi="Times New Roman" w:cs="Times New Roman"/>
          <w:b/>
          <w:bCs/>
          <w:sz w:val="20"/>
          <w:szCs w:val="20"/>
        </w:rPr>
        <w:br w:type="page"/>
      </w:r>
    </w:p>
    <w:p w14:paraId="43661754" w14:textId="34E15858" w:rsidR="003E15A6" w:rsidRPr="005813B9" w:rsidRDefault="000F36C1" w:rsidP="005813B9">
      <w:pPr>
        <w:pStyle w:val="ListParagraph"/>
        <w:numPr>
          <w:ilvl w:val="0"/>
          <w:numId w:val="5"/>
        </w:numPr>
        <w:spacing w:after="0"/>
        <w:rPr>
          <w:rFonts w:ascii="Times New Roman" w:hAnsi="Times New Roman" w:cs="Times New Roman"/>
          <w:b/>
          <w:bCs/>
          <w:sz w:val="20"/>
          <w:szCs w:val="20"/>
        </w:rPr>
      </w:pPr>
      <w:r w:rsidRPr="005813B9">
        <w:rPr>
          <w:rFonts w:ascii="Times New Roman" w:hAnsi="Times New Roman" w:cs="Times New Roman"/>
          <w:b/>
          <w:bCs/>
          <w:sz w:val="20"/>
          <w:szCs w:val="20"/>
        </w:rPr>
        <w:lastRenderedPageBreak/>
        <w:t>INTRODUCTION</w:t>
      </w:r>
    </w:p>
    <w:p w14:paraId="3E99CA88" w14:textId="5DE6C8B3" w:rsidR="004B71B1" w:rsidRPr="000F36C1" w:rsidRDefault="00564867" w:rsidP="0036753D">
      <w:pPr>
        <w:spacing w:after="0"/>
        <w:jc w:val="both"/>
        <w:rPr>
          <w:rFonts w:ascii="Times New Roman" w:eastAsia="Times New Roman" w:hAnsi="Times New Roman" w:cs="Times New Roman"/>
          <w:sz w:val="20"/>
          <w:szCs w:val="20"/>
        </w:rPr>
      </w:pPr>
      <w:r w:rsidRPr="000F36C1">
        <w:rPr>
          <w:rFonts w:ascii="Times New Roman" w:hAnsi="Times New Roman" w:cs="Times New Roman"/>
          <w:color w:val="000000"/>
          <w:sz w:val="20"/>
          <w:szCs w:val="20"/>
        </w:rPr>
        <w:t>Energy use is crucial for economic</w:t>
      </w:r>
      <w:r w:rsidR="00F24410" w:rsidRPr="000F36C1">
        <w:rPr>
          <w:rFonts w:ascii="Times New Roman" w:hAnsi="Times New Roman" w:cs="Times New Roman"/>
          <w:color w:val="000000"/>
          <w:sz w:val="20"/>
          <w:szCs w:val="20"/>
        </w:rPr>
        <w:t xml:space="preserve"> and industrial</w:t>
      </w:r>
      <w:r w:rsidRPr="000F36C1">
        <w:rPr>
          <w:rFonts w:ascii="Times New Roman" w:hAnsi="Times New Roman" w:cs="Times New Roman"/>
          <w:color w:val="000000"/>
          <w:sz w:val="20"/>
          <w:szCs w:val="20"/>
        </w:rPr>
        <w:t xml:space="preserve"> growth</w:t>
      </w:r>
      <w:r w:rsidR="00F24410" w:rsidRPr="000F36C1">
        <w:rPr>
          <w:rFonts w:ascii="Times New Roman" w:hAnsi="Times New Roman" w:cs="Times New Roman"/>
          <w:color w:val="000000"/>
          <w:sz w:val="20"/>
          <w:szCs w:val="20"/>
        </w:rPr>
        <w:t>. H</w:t>
      </w:r>
      <w:r w:rsidRPr="000F36C1">
        <w:rPr>
          <w:rFonts w:ascii="Times New Roman" w:hAnsi="Times New Roman" w:cs="Times New Roman"/>
          <w:color w:val="000000"/>
          <w:sz w:val="20"/>
          <w:szCs w:val="20"/>
        </w:rPr>
        <w:t>owever</w:t>
      </w:r>
      <w:r w:rsidR="00F24410" w:rsidRPr="000F36C1">
        <w:rPr>
          <w:rFonts w:ascii="Times New Roman" w:hAnsi="Times New Roman" w:cs="Times New Roman"/>
          <w:color w:val="000000"/>
          <w:sz w:val="20"/>
          <w:szCs w:val="20"/>
        </w:rPr>
        <w:t xml:space="preserve">, </w:t>
      </w:r>
      <w:proofErr w:type="spellStart"/>
      <w:r w:rsidRPr="000F36C1">
        <w:rPr>
          <w:rFonts w:ascii="Times New Roman" w:hAnsi="Times New Roman" w:cs="Times New Roman"/>
          <w:color w:val="000000"/>
          <w:sz w:val="20"/>
          <w:szCs w:val="20"/>
        </w:rPr>
        <w:t>i</w:t>
      </w:r>
      <w:proofErr w:type="spellEnd"/>
      <w:r w:rsidRPr="000F36C1">
        <w:rPr>
          <w:rFonts w:ascii="Times New Roman" w:eastAsia="Times New Roman" w:hAnsi="Times New Roman" w:cs="Times New Roman"/>
          <w:color w:val="000000"/>
          <w:sz w:val="20"/>
          <w:szCs w:val="20"/>
          <w:lang w:val="en-GB" w:eastAsia="en-GB"/>
        </w:rPr>
        <w:t>n Ghana, energy insecurity has continued to be a perennial develop</w:t>
      </w:r>
      <w:r w:rsidR="00F24410" w:rsidRPr="000F36C1">
        <w:rPr>
          <w:rFonts w:ascii="Times New Roman" w:eastAsia="Times New Roman" w:hAnsi="Times New Roman" w:cs="Times New Roman"/>
          <w:color w:val="000000"/>
          <w:sz w:val="20"/>
          <w:szCs w:val="20"/>
          <w:lang w:val="en-GB" w:eastAsia="en-GB"/>
        </w:rPr>
        <w:t>ment inhibitor</w:t>
      </w:r>
      <w:r w:rsidR="00B56A69" w:rsidRPr="000F36C1">
        <w:rPr>
          <w:rFonts w:ascii="Times New Roman" w:eastAsia="Times New Roman" w:hAnsi="Times New Roman" w:cs="Times New Roman"/>
          <w:color w:val="000000"/>
          <w:sz w:val="20"/>
          <w:szCs w:val="20"/>
          <w:lang w:val="en-GB" w:eastAsia="en-GB"/>
        </w:rPr>
        <w:t xml:space="preserve">. </w:t>
      </w:r>
      <w:r w:rsidR="004B71B1" w:rsidRPr="000F36C1">
        <w:rPr>
          <w:rFonts w:ascii="Times New Roman" w:hAnsi="Times New Roman" w:cs="Times New Roman"/>
          <w:color w:val="000000"/>
          <w:sz w:val="20"/>
          <w:szCs w:val="20"/>
        </w:rPr>
        <w:t xml:space="preserve">The generation of electricity in Ghana has seen an unimpressive decline in the component of renewable energy (hydro) in </w:t>
      </w:r>
      <w:proofErr w:type="spellStart"/>
      <w:r w:rsidR="004B71B1" w:rsidRPr="000F36C1">
        <w:rPr>
          <w:rFonts w:ascii="Times New Roman" w:hAnsi="Times New Roman" w:cs="Times New Roman"/>
          <w:color w:val="000000"/>
          <w:sz w:val="20"/>
          <w:szCs w:val="20"/>
        </w:rPr>
        <w:t>favo</w:t>
      </w:r>
      <w:r w:rsidR="00492243">
        <w:rPr>
          <w:rFonts w:ascii="Times New Roman" w:hAnsi="Times New Roman" w:cs="Times New Roman"/>
          <w:color w:val="000000"/>
          <w:sz w:val="20"/>
          <w:szCs w:val="20"/>
        </w:rPr>
        <w:t>u</w:t>
      </w:r>
      <w:r w:rsidR="004B71B1" w:rsidRPr="000F36C1">
        <w:rPr>
          <w:rFonts w:ascii="Times New Roman" w:hAnsi="Times New Roman" w:cs="Times New Roman"/>
          <w:color w:val="000000"/>
          <w:sz w:val="20"/>
          <w:szCs w:val="20"/>
        </w:rPr>
        <w:t>r</w:t>
      </w:r>
      <w:proofErr w:type="spellEnd"/>
      <w:r w:rsidR="004B71B1" w:rsidRPr="000F36C1">
        <w:rPr>
          <w:rFonts w:ascii="Times New Roman" w:hAnsi="Times New Roman" w:cs="Times New Roman"/>
          <w:color w:val="000000"/>
          <w:sz w:val="20"/>
          <w:szCs w:val="20"/>
        </w:rPr>
        <w:t xml:space="preserve"> of the use of thermal plants powered by hydrocarbon</w:t>
      </w:r>
      <w:r w:rsidR="009C1798">
        <w:rPr>
          <w:rFonts w:ascii="Times New Roman" w:eastAsia="Times New Roman" w:hAnsi="Times New Roman" w:cs="Times New Roman"/>
          <w:color w:val="5B9BD5" w:themeColor="accent1"/>
          <w:sz w:val="20"/>
          <w:szCs w:val="20"/>
        </w:rPr>
        <w:t xml:space="preserve"> </w:t>
      </w:r>
      <w:r w:rsidR="009C1798">
        <w:rPr>
          <w:rFonts w:ascii="Times New Roman" w:eastAsia="Times New Roman" w:hAnsi="Times New Roman" w:cs="Times New Roman"/>
          <w:color w:val="5B9BD5" w:themeColor="accent1"/>
          <w:sz w:val="20"/>
          <w:szCs w:val="20"/>
        </w:rPr>
        <w:fldChar w:fldCharType="begin" w:fldLock="1"/>
      </w:r>
      <w:r w:rsidR="009C1798">
        <w:rPr>
          <w:rFonts w:ascii="Times New Roman" w:eastAsia="Times New Roman" w:hAnsi="Times New Roman" w:cs="Times New Roman"/>
          <w:color w:val="5B9BD5" w:themeColor="accent1"/>
          <w:sz w:val="20"/>
          <w:szCs w:val="20"/>
        </w:rPr>
        <w:instrText>ADDIN CSL_CITATION {"citationItems":[{"id":"ITEM-1","itemData":{"DOI":"10.1016/j.wds.2024.100145","ISSN":"2772655X","abstract":"The generation of electricity in Ghana has seen an unimpressive decline in the component of renewable energy (hydro) in favor of the use of thermal plants powered by hydrocarbon fuels. Given the importance of renewable energy and its daily discussion on the global scale in relation to achieving Sustainable Development Goal (SDG) 7 by 2030, it is important to understand how a key influencing factor like financial development among others can shed light on the current situation and guide in policy implications. Using annual series data from 1972 to 2021, results from the fully modified ordinary least squares (FMOLS) and the canonical cointegration (CCR) methods reveal that, a robust financial system seems to be counterproductive for renewable energy generation due to perceived risks. The study recommends a specialized green financing scheme designed to handle renewable energy generation's risks.","author":[{"dropping-particle":"","family":"Amoako","given":"Samuel","non-dropping-particle":"","parse-names":false,"suffix":""}],"container-title":"World Development Sustainability","id":"ITEM-1","issue":"April","issued":{"date-parts":[["2024"]]},"page":"100145","publisher":"Elsevier Ltd","title":"The mitigating role of financial development on renewable energy in Ghana","type":"article-journal","volume":"4"},"uris":["http://www.mendeley.com/documents/?uuid=c68e13e0-147e-4906-b580-a1e257f63827"]}],"mendeley":{"formattedCitation":"[1]","plainTextFormattedCitation":"[1]","previouslyFormattedCitation":"[1]"},"properties":{"noteIndex":0},"schema":"https://github.com/citation-style-language/schema/raw/master/csl-citation.json"}</w:instrText>
      </w:r>
      <w:r w:rsidR="009C1798">
        <w:rPr>
          <w:rFonts w:ascii="Times New Roman" w:eastAsia="Times New Roman" w:hAnsi="Times New Roman" w:cs="Times New Roman"/>
          <w:color w:val="5B9BD5" w:themeColor="accent1"/>
          <w:sz w:val="20"/>
          <w:szCs w:val="20"/>
        </w:rPr>
        <w:fldChar w:fldCharType="separate"/>
      </w:r>
      <w:r w:rsidR="009C1798" w:rsidRPr="009C1798">
        <w:rPr>
          <w:rFonts w:ascii="Times New Roman" w:eastAsia="Times New Roman" w:hAnsi="Times New Roman" w:cs="Times New Roman"/>
          <w:noProof/>
          <w:color w:val="5B9BD5" w:themeColor="accent1"/>
          <w:sz w:val="20"/>
          <w:szCs w:val="20"/>
        </w:rPr>
        <w:t>[1]</w:t>
      </w:r>
      <w:r w:rsidR="009C1798">
        <w:rPr>
          <w:rFonts w:ascii="Times New Roman" w:eastAsia="Times New Roman" w:hAnsi="Times New Roman" w:cs="Times New Roman"/>
          <w:color w:val="5B9BD5" w:themeColor="accent1"/>
          <w:sz w:val="20"/>
          <w:szCs w:val="20"/>
        </w:rPr>
        <w:fldChar w:fldCharType="end"/>
      </w:r>
      <w:r w:rsidR="00066C56" w:rsidRPr="000F36C1">
        <w:rPr>
          <w:rFonts w:ascii="Times New Roman" w:eastAsia="Times New Roman" w:hAnsi="Times New Roman" w:cs="Times New Roman"/>
          <w:color w:val="5B9BD5" w:themeColor="accent1"/>
          <w:sz w:val="20"/>
          <w:szCs w:val="20"/>
        </w:rPr>
        <w:t>.</w:t>
      </w:r>
      <w:r w:rsidR="004B71B1" w:rsidRPr="000F36C1">
        <w:rPr>
          <w:rFonts w:ascii="Times New Roman" w:hAnsi="Times New Roman" w:cs="Times New Roman"/>
          <w:color w:val="5B9BD5" w:themeColor="accent1"/>
          <w:sz w:val="20"/>
          <w:szCs w:val="20"/>
        </w:rPr>
        <w:t xml:space="preserve"> </w:t>
      </w:r>
      <w:r w:rsidR="004B71B1" w:rsidRPr="000F36C1">
        <w:rPr>
          <w:rFonts w:ascii="Times New Roman" w:hAnsi="Times New Roman" w:cs="Times New Roman"/>
          <w:color w:val="000000"/>
          <w:sz w:val="20"/>
          <w:szCs w:val="20"/>
        </w:rPr>
        <w:t xml:space="preserve">Given the importance of renewable energy and its daily discussion on the global scale </w:t>
      </w:r>
      <w:r w:rsidR="00260297" w:rsidRPr="000F36C1">
        <w:rPr>
          <w:rFonts w:ascii="Times New Roman" w:hAnsi="Times New Roman" w:cs="Times New Roman"/>
          <w:color w:val="000000"/>
          <w:sz w:val="20"/>
          <w:szCs w:val="20"/>
        </w:rPr>
        <w:t>about</w:t>
      </w:r>
      <w:r w:rsidR="004B71B1" w:rsidRPr="000F36C1">
        <w:rPr>
          <w:rFonts w:ascii="Times New Roman" w:hAnsi="Times New Roman" w:cs="Times New Roman"/>
          <w:color w:val="000000"/>
          <w:sz w:val="20"/>
          <w:szCs w:val="20"/>
        </w:rPr>
        <w:t xml:space="preserve"> achieving Sustainable Development Goal (SDG) 7 by 2030, </w:t>
      </w:r>
      <w:r w:rsidR="00863CCD" w:rsidRPr="000F36C1">
        <w:rPr>
          <w:rFonts w:ascii="Times New Roman" w:hAnsi="Times New Roman" w:cs="Times New Roman"/>
          <w:color w:val="000000"/>
          <w:sz w:val="20"/>
          <w:szCs w:val="20"/>
        </w:rPr>
        <w:t>o</w:t>
      </w:r>
      <w:r w:rsidRPr="000F36C1">
        <w:rPr>
          <w:rFonts w:ascii="Times New Roman" w:hAnsi="Times New Roman" w:cs="Times New Roman"/>
          <w:color w:val="000000"/>
          <w:sz w:val="20"/>
          <w:szCs w:val="20"/>
        </w:rPr>
        <w:t xml:space="preserve">ver the past decade, African countries, including Ghana, have been increasing investment in economic-technical factors such as renewable energy, rural electrification, </w:t>
      </w:r>
      <w:r w:rsidR="004B117C" w:rsidRPr="000F36C1">
        <w:rPr>
          <w:rFonts w:ascii="Times New Roman" w:hAnsi="Times New Roman" w:cs="Times New Roman"/>
          <w:color w:val="000000"/>
          <w:sz w:val="20"/>
          <w:szCs w:val="20"/>
        </w:rPr>
        <w:t>industrialization</w:t>
      </w:r>
      <w:r w:rsidR="004B1BF3" w:rsidRPr="000F36C1">
        <w:rPr>
          <w:rFonts w:ascii="Times New Roman" w:hAnsi="Times New Roman" w:cs="Times New Roman"/>
          <w:color w:val="000000"/>
          <w:sz w:val="20"/>
          <w:szCs w:val="20"/>
        </w:rPr>
        <w:t>,</w:t>
      </w:r>
      <w:r w:rsidRPr="000F36C1">
        <w:rPr>
          <w:rFonts w:ascii="Times New Roman" w:hAnsi="Times New Roman" w:cs="Times New Roman"/>
          <w:color w:val="000000"/>
          <w:sz w:val="20"/>
          <w:szCs w:val="20"/>
        </w:rPr>
        <w:t xml:space="preserve"> and </w:t>
      </w:r>
      <w:r w:rsidR="004B117C" w:rsidRPr="000F36C1">
        <w:rPr>
          <w:rFonts w:ascii="Times New Roman" w:hAnsi="Times New Roman" w:cs="Times New Roman"/>
          <w:color w:val="000000"/>
          <w:sz w:val="20"/>
          <w:szCs w:val="20"/>
        </w:rPr>
        <w:t>digitization</w:t>
      </w:r>
      <w:r w:rsidRPr="000F36C1">
        <w:rPr>
          <w:rFonts w:ascii="Times New Roman" w:hAnsi="Times New Roman" w:cs="Times New Roman"/>
          <w:color w:val="000000"/>
          <w:sz w:val="20"/>
          <w:szCs w:val="20"/>
        </w:rPr>
        <w:t xml:space="preserve">. Increased provision and access to these factors will provide the needed infrastructure to spur the economies toward inclusive and sustained growth </w:t>
      </w:r>
      <w:r w:rsidR="009E6CF4" w:rsidRPr="000F36C1">
        <w:rPr>
          <w:rFonts w:ascii="Times New Roman" w:hAnsi="Times New Roman" w:cs="Times New Roman"/>
          <w:color w:val="5B9BD5" w:themeColor="accent1"/>
          <w:sz w:val="20"/>
          <w:szCs w:val="20"/>
        </w:rPr>
        <w:fldChar w:fldCharType="begin" w:fldLock="1"/>
      </w:r>
      <w:r w:rsidR="009C1798">
        <w:rPr>
          <w:rFonts w:ascii="Times New Roman" w:hAnsi="Times New Roman" w:cs="Times New Roman"/>
          <w:color w:val="5B9BD5" w:themeColor="accent1"/>
          <w:sz w:val="20"/>
          <w:szCs w:val="20"/>
        </w:rPr>
        <w:instrText>ADDIN CSL_CITATION {"citationItems":[{"id":"ITEM-1","itemData":{"DOI":"10.1016/j.esr.2023.101090","ISSN":"2211467X","abstract":"Ghana's energy intensity trends point to a high energy use necessary to generate a unit of output. The country has also witnessed massive investment in energy infrastructure geared towards meeting its lower middle-income status and achieving universal access to energy. The logical question is: what is the contribution of the current economic and technical infrastructure level to the country's energy intensity? The current study addresses this question by employing the Logarithmic Mean Divisia Index I (LMDI) to decompose energy intensity in Ghana from 2000 to 2020 to examine its trends and sources. The impact of economic-technical factors on aggregate energy intensity in Ghana is then investigated with the aid of the ARDL estimation technique to unearth potential asymmetric and symmetric effects. The decomposition analysis indicates an oscillating pattern in energy intensity in Ghana promoted by structural effect and labour productivity respectively. The results suggest that renewable energy, rural electrification, and digitisation have a direct and secondary long-run asymmetric effect on aggregate energy intensity with labour productivity and household consumption working as the transmission channels. The study recommends the need for government to pursue clean and eco-friendly practices in its economic development agenda for a meaningful reduction in energy intensity.","author":[{"dropping-particle":"","family":"Oteng-Abayie","given":"Eric Fosu","non-dropping-particle":"","parse-names":false,"suffix":""},{"dropping-particle":"","family":"Dramani","given":"John Bosco","non-dropping-particle":"","parse-names":false,"suffix":""},{"dropping-particle":"","family":"Adusah-Poku","given":"Frank","non-dropping-particle":"","parse-names":false,"suffix":""},{"dropping-particle":"","family":"Amanor","given":"Kofi","non-dropping-particle":"","parse-names":false,"suffix":""},{"dropping-particle":"","family":"Quartey","given":"Jonathan Dagadu","non-dropping-particle":"","parse-names":false,"suffix":""}],"container-title":"Energy Strategy Reviews","id":"ITEM-1","issued":{"date-parts":[["2023"]]},"title":"Decomposition and drivers of energy intensity in Ghana","type":"article-journal","volume":"47"},"uris":["http://www.mendeley.com/documents/?uuid=80db1005-062d-3303-b0e9-c4558d5a212e","http://www.mendeley.com/documents/?uuid=a658aa0f-1dbc-4470-8cb9-9533fb2b43e2"]}],"mendeley":{"formattedCitation":"[2]","plainTextFormattedCitation":"[2]","previouslyFormattedCitation":"[2]"},"properties":{"noteIndex":0},"schema":"https://github.com/citation-style-language/schema/raw/master/csl-citation.json"}</w:instrText>
      </w:r>
      <w:r w:rsidR="009E6CF4" w:rsidRPr="000F36C1">
        <w:rPr>
          <w:rFonts w:ascii="Times New Roman" w:hAnsi="Times New Roman" w:cs="Times New Roman"/>
          <w:color w:val="5B9BD5" w:themeColor="accent1"/>
          <w:sz w:val="20"/>
          <w:szCs w:val="20"/>
        </w:rPr>
        <w:fldChar w:fldCharType="separate"/>
      </w:r>
      <w:r w:rsidR="009C1798" w:rsidRPr="009C1798">
        <w:rPr>
          <w:rFonts w:ascii="Times New Roman" w:hAnsi="Times New Roman" w:cs="Times New Roman"/>
          <w:noProof/>
          <w:color w:val="5B9BD5" w:themeColor="accent1"/>
          <w:sz w:val="20"/>
          <w:szCs w:val="20"/>
        </w:rPr>
        <w:t>[2]</w:t>
      </w:r>
      <w:r w:rsidR="009E6CF4" w:rsidRPr="000F36C1">
        <w:rPr>
          <w:rFonts w:ascii="Times New Roman" w:hAnsi="Times New Roman" w:cs="Times New Roman"/>
          <w:color w:val="5B9BD5" w:themeColor="accent1"/>
          <w:sz w:val="20"/>
          <w:szCs w:val="20"/>
        </w:rPr>
        <w:fldChar w:fldCharType="end"/>
      </w:r>
      <w:r w:rsidR="009E6CF4" w:rsidRPr="000F36C1">
        <w:rPr>
          <w:rFonts w:ascii="Times New Roman" w:hAnsi="Times New Roman" w:cs="Times New Roman"/>
          <w:color w:val="5B9BD5" w:themeColor="accent1"/>
          <w:sz w:val="20"/>
          <w:szCs w:val="20"/>
        </w:rPr>
        <w:t>.</w:t>
      </w:r>
    </w:p>
    <w:p w14:paraId="73976A53" w14:textId="1E260028" w:rsidR="005D7CF0" w:rsidRPr="000F36C1" w:rsidRDefault="005E67C4" w:rsidP="0036753D">
      <w:pPr>
        <w:spacing w:after="0"/>
        <w:jc w:val="both"/>
        <w:rPr>
          <w:rFonts w:ascii="Times New Roman" w:hAnsi="Times New Roman" w:cs="Times New Roman"/>
          <w:sz w:val="20"/>
          <w:szCs w:val="20"/>
        </w:rPr>
      </w:pPr>
      <w:r w:rsidRPr="000F36C1">
        <w:rPr>
          <w:rFonts w:ascii="Times New Roman" w:hAnsi="Times New Roman" w:cs="Times New Roman"/>
          <w:sz w:val="20"/>
          <w:szCs w:val="20"/>
        </w:rPr>
        <w:t xml:space="preserve">Ghana’s </w:t>
      </w:r>
      <w:r w:rsidR="004B117C" w:rsidRPr="000F36C1">
        <w:rPr>
          <w:rFonts w:ascii="Times New Roman" w:hAnsi="Times New Roman" w:cs="Times New Roman"/>
          <w:sz w:val="20"/>
          <w:szCs w:val="20"/>
        </w:rPr>
        <w:t>continued</w:t>
      </w:r>
      <w:r w:rsidRPr="000F36C1">
        <w:rPr>
          <w:rFonts w:ascii="Times New Roman" w:hAnsi="Times New Roman" w:cs="Times New Roman"/>
          <w:sz w:val="20"/>
          <w:szCs w:val="20"/>
        </w:rPr>
        <w:t xml:space="preserve"> increase in energy demand calls for feasible ways to generate base load energy that is economically efficient and environ</w:t>
      </w:r>
      <w:r w:rsidR="00A6725F" w:rsidRPr="000F36C1">
        <w:rPr>
          <w:rFonts w:ascii="Times New Roman" w:hAnsi="Times New Roman" w:cs="Times New Roman"/>
          <w:sz w:val="20"/>
          <w:szCs w:val="20"/>
        </w:rPr>
        <w:t>mentally tolerant</w:t>
      </w:r>
      <w:r w:rsidR="004B71B1" w:rsidRPr="000F36C1">
        <w:rPr>
          <w:rFonts w:ascii="Times New Roman" w:hAnsi="Times New Roman" w:cs="Times New Roman"/>
          <w:sz w:val="20"/>
          <w:szCs w:val="20"/>
        </w:rPr>
        <w:t xml:space="preserve"> </w:t>
      </w:r>
      <w:r w:rsidR="005232D6" w:rsidRPr="000F36C1">
        <w:rPr>
          <w:rFonts w:ascii="Times New Roman" w:hAnsi="Times New Roman" w:cs="Times New Roman"/>
          <w:sz w:val="20"/>
          <w:szCs w:val="20"/>
        </w:rPr>
        <w:t>to</w:t>
      </w:r>
      <w:r w:rsidR="004B71B1" w:rsidRPr="000F36C1">
        <w:rPr>
          <w:rFonts w:ascii="Times New Roman" w:hAnsi="Times New Roman" w:cs="Times New Roman"/>
          <w:sz w:val="20"/>
          <w:szCs w:val="20"/>
        </w:rPr>
        <w:t xml:space="preserve"> </w:t>
      </w:r>
      <w:r w:rsidR="005232D6" w:rsidRPr="000F36C1">
        <w:rPr>
          <w:rFonts w:ascii="Times New Roman" w:hAnsi="Times New Roman" w:cs="Times New Roman"/>
          <w:sz w:val="20"/>
          <w:szCs w:val="20"/>
        </w:rPr>
        <w:t>achieve</w:t>
      </w:r>
      <w:r w:rsidR="004B71B1" w:rsidRPr="000F36C1">
        <w:rPr>
          <w:rFonts w:ascii="Times New Roman" w:hAnsi="Times New Roman" w:cs="Times New Roman"/>
          <w:sz w:val="20"/>
          <w:szCs w:val="20"/>
        </w:rPr>
        <w:t xml:space="preserve"> its Sustainable Development Goal</w:t>
      </w:r>
      <w:r w:rsidR="00F24410" w:rsidRPr="000F36C1">
        <w:rPr>
          <w:rFonts w:ascii="Times New Roman" w:hAnsi="Times New Roman" w:cs="Times New Roman"/>
          <w:sz w:val="20"/>
          <w:szCs w:val="20"/>
        </w:rPr>
        <w:t xml:space="preserve"> </w:t>
      </w:r>
      <w:r w:rsidR="004B71B1" w:rsidRPr="000F36C1">
        <w:rPr>
          <w:rFonts w:ascii="Times New Roman" w:hAnsi="Times New Roman" w:cs="Times New Roman"/>
          <w:sz w:val="20"/>
          <w:szCs w:val="20"/>
        </w:rPr>
        <w:t>(SDG)</w:t>
      </w:r>
      <w:r w:rsidR="005232D6" w:rsidRPr="000F36C1">
        <w:rPr>
          <w:rFonts w:ascii="Times New Roman" w:hAnsi="Times New Roman" w:cs="Times New Roman"/>
          <w:sz w:val="20"/>
          <w:szCs w:val="20"/>
        </w:rPr>
        <w:t xml:space="preserve"> 7</w:t>
      </w:r>
      <w:r w:rsidR="00B56A69" w:rsidRPr="000F36C1">
        <w:rPr>
          <w:rFonts w:ascii="Times New Roman" w:hAnsi="Times New Roman" w:cs="Times New Roman"/>
          <w:sz w:val="20"/>
          <w:szCs w:val="20"/>
        </w:rPr>
        <w:t>.</w:t>
      </w:r>
      <w:r w:rsidR="00DE582F" w:rsidRPr="000F36C1">
        <w:rPr>
          <w:rFonts w:ascii="Times New Roman" w:hAnsi="Times New Roman" w:cs="Times New Roman"/>
          <w:sz w:val="20"/>
          <w:szCs w:val="20"/>
        </w:rPr>
        <w:t xml:space="preserve"> </w:t>
      </w:r>
      <w:r w:rsidR="00DE582F" w:rsidRPr="000F36C1">
        <w:rPr>
          <w:rFonts w:ascii="Times New Roman" w:hAnsi="Times New Roman" w:cs="Times New Roman"/>
          <w:color w:val="000000"/>
          <w:sz w:val="20"/>
          <w:szCs w:val="20"/>
        </w:rPr>
        <w:t>Ghana’s electricity generation relies heavily on approximately 69 % of fossil fuels such as oil and gas</w:t>
      </w:r>
      <w:r w:rsidR="00FC7760" w:rsidRPr="000F36C1">
        <w:rPr>
          <w:rFonts w:ascii="Times New Roman" w:hAnsi="Times New Roman" w:cs="Times New Roman"/>
          <w:color w:val="000000"/>
          <w:sz w:val="20"/>
          <w:szCs w:val="20"/>
        </w:rPr>
        <w:t xml:space="preserve">, </w:t>
      </w:r>
      <w:r w:rsidR="009605C3" w:rsidRPr="000F36C1">
        <w:rPr>
          <w:rFonts w:ascii="Times New Roman" w:hAnsi="Times New Roman" w:cs="Times New Roman"/>
          <w:color w:val="000000"/>
          <w:sz w:val="20"/>
          <w:szCs w:val="20"/>
        </w:rPr>
        <w:t xml:space="preserve">as </w:t>
      </w:r>
      <w:r w:rsidR="005D7CF0" w:rsidRPr="000F36C1">
        <w:rPr>
          <w:rFonts w:ascii="Times New Roman" w:hAnsi="Times New Roman" w:cs="Times New Roman"/>
          <w:color w:val="000000"/>
          <w:sz w:val="20"/>
          <w:szCs w:val="20"/>
        </w:rPr>
        <w:t>shown in Figure 1.</w:t>
      </w:r>
      <w:r w:rsidR="00DE582F" w:rsidRPr="000F36C1">
        <w:rPr>
          <w:rFonts w:ascii="Times New Roman" w:hAnsi="Times New Roman" w:cs="Times New Roman"/>
          <w:color w:val="000000"/>
          <w:sz w:val="20"/>
          <w:szCs w:val="20"/>
        </w:rPr>
        <w:t xml:space="preserve"> </w:t>
      </w:r>
      <w:r w:rsidR="005D7CF0" w:rsidRPr="000F36C1">
        <w:rPr>
          <w:rFonts w:ascii="Times New Roman" w:hAnsi="Times New Roman" w:cs="Times New Roman"/>
          <w:color w:val="000000"/>
          <w:sz w:val="20"/>
          <w:szCs w:val="20"/>
        </w:rPr>
        <w:t>E</w:t>
      </w:r>
      <w:r w:rsidR="00DE582F" w:rsidRPr="000F36C1">
        <w:rPr>
          <w:rFonts w:ascii="Times New Roman" w:hAnsi="Times New Roman" w:cs="Times New Roman"/>
          <w:color w:val="000000"/>
          <w:sz w:val="20"/>
          <w:szCs w:val="20"/>
        </w:rPr>
        <w:t>lectricity consumption per capita is expected to increase from 586 kWh to 5000 kWh per annum by 2030</w:t>
      </w:r>
      <w:r w:rsidR="009C1798">
        <w:rPr>
          <w:rFonts w:ascii="Times New Roman" w:hAnsi="Times New Roman" w:cs="Times New Roman"/>
          <w:noProof/>
          <w:color w:val="2E74B5" w:themeColor="accent1" w:themeShade="BF"/>
          <w:sz w:val="20"/>
          <w:szCs w:val="20"/>
          <w:lang w:val="en-AU"/>
        </w:rPr>
        <w:t xml:space="preserve"> </w:t>
      </w:r>
      <w:r w:rsidR="009C1798">
        <w:rPr>
          <w:rFonts w:ascii="Times New Roman" w:hAnsi="Times New Roman" w:cs="Times New Roman"/>
          <w:noProof/>
          <w:color w:val="2E74B5" w:themeColor="accent1" w:themeShade="BF"/>
          <w:sz w:val="20"/>
          <w:szCs w:val="20"/>
          <w:lang w:val="en-AU"/>
        </w:rPr>
        <w:fldChar w:fldCharType="begin" w:fldLock="1"/>
      </w:r>
      <w:r w:rsidR="00D92ECD">
        <w:rPr>
          <w:rFonts w:ascii="Times New Roman" w:hAnsi="Times New Roman" w:cs="Times New Roman"/>
          <w:noProof/>
          <w:color w:val="2E74B5" w:themeColor="accent1" w:themeShade="BF"/>
          <w:sz w:val="20"/>
          <w:szCs w:val="20"/>
          <w:lang w:val="en-AU"/>
        </w:rPr>
        <w:instrText>ADDIN CSL_CITATION {"citationItems":[{"id":"ITEM-1","itemData":{"DOI":"10.1016/j.wds.2024.100145","ISSN":"2772655X","abstract":"The generation of electricity in Ghana has seen an unimpressive decline in the component of renewable energy (hydro) in favor of the use of thermal plants powered by hydrocarbon fuels. Given the importance of renewable energy and its daily discussion on the global scale in relation to achieving Sustainable Development Goal (SDG) 7 by 2030, it is important to understand how a key influencing factor like financial development among others can shed light on the current situation and guide in policy implications. Using annual series data from 1972 to 2021, results from the fully modified ordinary least squares (FMOLS) and the canonical cointegration (CCR) methods reveal that, a robust financial system seems to be counterproductive for renewable energy generation due to perceived risks. The study recommends a specialized green financing scheme designed to handle renewable energy generation's risks.","author":[{"dropping-particle":"","family":"Amoako","given":"Samuel","non-dropping-particle":"","parse-names":false,"suffix":""}],"container-title":"World Development Sustainability","id":"ITEM-1","issue":"April","issued":{"date-parts":[["2024"]]},"page":"100145","publisher":"Elsevier Ltd","title":"The mitigating role of financial development on renewable energy in Ghana","type":"article-journal","volume":"4"},"uris":["http://www.mendeley.com/documents/?uuid=c68e13e0-147e-4906-b580-a1e257f63827"]}],"mendeley":{"formattedCitation":"[1]","plainTextFormattedCitation":"[1]","previouslyFormattedCitation":"[1]"},"properties":{"noteIndex":0},"schema":"https://github.com/citation-style-language/schema/raw/master/csl-citation.json"}</w:instrText>
      </w:r>
      <w:r w:rsidR="009C1798">
        <w:rPr>
          <w:rFonts w:ascii="Times New Roman" w:hAnsi="Times New Roman" w:cs="Times New Roman"/>
          <w:noProof/>
          <w:color w:val="2E74B5" w:themeColor="accent1" w:themeShade="BF"/>
          <w:sz w:val="20"/>
          <w:szCs w:val="20"/>
          <w:lang w:val="en-AU"/>
        </w:rPr>
        <w:fldChar w:fldCharType="separate"/>
      </w:r>
      <w:r w:rsidR="009C1798" w:rsidRPr="009C1798">
        <w:rPr>
          <w:rFonts w:ascii="Times New Roman" w:hAnsi="Times New Roman" w:cs="Times New Roman"/>
          <w:noProof/>
          <w:color w:val="2E74B5" w:themeColor="accent1" w:themeShade="BF"/>
          <w:sz w:val="20"/>
          <w:szCs w:val="20"/>
          <w:lang w:val="en-AU"/>
        </w:rPr>
        <w:t>[1]</w:t>
      </w:r>
      <w:r w:rsidR="009C1798">
        <w:rPr>
          <w:rFonts w:ascii="Times New Roman" w:hAnsi="Times New Roman" w:cs="Times New Roman"/>
          <w:noProof/>
          <w:color w:val="2E74B5" w:themeColor="accent1" w:themeShade="BF"/>
          <w:sz w:val="20"/>
          <w:szCs w:val="20"/>
          <w:lang w:val="en-AU"/>
        </w:rPr>
        <w:fldChar w:fldCharType="end"/>
      </w:r>
      <w:r w:rsidR="00DE582F" w:rsidRPr="000F36C1">
        <w:rPr>
          <w:rFonts w:ascii="Times New Roman" w:hAnsi="Times New Roman" w:cs="Times New Roman"/>
          <w:color w:val="2E74B5" w:themeColor="accent1" w:themeShade="BF"/>
          <w:sz w:val="20"/>
          <w:szCs w:val="20"/>
        </w:rPr>
        <w:t>.</w:t>
      </w:r>
      <w:r w:rsidR="00DE582F" w:rsidRPr="000F36C1">
        <w:rPr>
          <w:rFonts w:ascii="Times New Roman" w:hAnsi="Times New Roman" w:cs="Times New Roman"/>
          <w:color w:val="000000"/>
          <w:sz w:val="20"/>
          <w:szCs w:val="20"/>
        </w:rPr>
        <w:t xml:space="preserve"> Ghana’s energy sector has relied heavily on fossil fuels, including oil, natural gas, and coal, for electricity gen</w:t>
      </w:r>
      <w:r w:rsidR="00B16751" w:rsidRPr="000F36C1">
        <w:rPr>
          <w:rFonts w:ascii="Times New Roman" w:hAnsi="Times New Roman" w:cs="Times New Roman"/>
          <w:color w:val="000000"/>
          <w:sz w:val="20"/>
          <w:szCs w:val="20"/>
        </w:rPr>
        <w:t xml:space="preserve">eration and other energy needs </w:t>
      </w:r>
      <w:r w:rsidR="00066C56" w:rsidRPr="000F36C1">
        <w:rPr>
          <w:rFonts w:ascii="Times New Roman" w:hAnsi="Times New Roman" w:cs="Times New Roman"/>
          <w:color w:val="5B9BD5" w:themeColor="accent1"/>
          <w:sz w:val="20"/>
          <w:szCs w:val="20"/>
        </w:rPr>
        <w:fldChar w:fldCharType="begin" w:fldLock="1"/>
      </w:r>
      <w:r w:rsidR="009C1798">
        <w:rPr>
          <w:rFonts w:ascii="Times New Roman" w:hAnsi="Times New Roman" w:cs="Times New Roman"/>
          <w:color w:val="5B9BD5" w:themeColor="accent1"/>
          <w:sz w:val="20"/>
          <w:szCs w:val="20"/>
        </w:rPr>
        <w:instrText>ADDIN CSL_CITATION {"citationItems":[{"id":"ITEM-1","itemData":{"DOI":"10.1016/j.energy.2021.120005","ISSN":"03605442","abstract":"Given Ghana's steadily increasing levels of foreign direct investment (FDI) over time, it is imperative to understand how FDI can assist to minimise the energy consumption level which will help the country stay on course to achieve target 7 of the Sustainable Development Goals (SDG) of achieving energy efficiency by 2030. Therefore, using annual time series data on Ghana, the present study examines the link between foreign direct investment and energy consumption for the 1981 to 2014 period. Overall, there exist cointegration between the variables in the long run when Johansen multivariate test was conducted. Results from the Fully Modified Ordinary Least Squares (FMOLS) and the Canonical Cointegration Regression (CCR) show that FDI and industry value-added positively correlates with energy consumption whilst financial development and energy price are inversely related to energy consumption. The results suggest that energy savings benefit from FDIs is yet to be realised in Ghana. Based on the results, we provide some important policy recommendations that focus on technological absorption, industrial structure optimization as well as Science, Technology, Engineering, and Mathematics (STEM) education and tax concessions.","author":[{"dropping-particle":"","family":"Amoako","given":"Samuel","non-dropping-particle":"","parse-names":false,"suffix":""},{"dropping-particle":"","family":"Insaidoo","given":"Michael","non-dropping-particle":"","parse-names":false,"suffix":""}],"container-title":"Energy","id":"ITEM-1","issued":{"date-parts":[["2021"]]},"title":"Symmetric impact of FDI on energy consumption: Evidence from Ghana","type":"article-journal","volume":"223"},"uris":["http://www.mendeley.com/documents/?uuid=0a135b69-813f-33e2-862d-5344890e6b18","http://www.mendeley.com/documents/?uuid=bf1e4cfa-0e3d-455a-a336-5a61417d8771"]}],"mendeley":{"formattedCitation":"[3]","plainTextFormattedCitation":"[3]","previouslyFormattedCitation":"[3]"},"properties":{"noteIndex":0},"schema":"https://github.com/citation-style-language/schema/raw/master/csl-citation.json"}</w:instrText>
      </w:r>
      <w:r w:rsidR="00066C56" w:rsidRPr="000F36C1">
        <w:rPr>
          <w:rFonts w:ascii="Times New Roman" w:hAnsi="Times New Roman" w:cs="Times New Roman"/>
          <w:color w:val="5B9BD5" w:themeColor="accent1"/>
          <w:sz w:val="20"/>
          <w:szCs w:val="20"/>
        </w:rPr>
        <w:fldChar w:fldCharType="separate"/>
      </w:r>
      <w:r w:rsidR="009C1798" w:rsidRPr="009C1798">
        <w:rPr>
          <w:rFonts w:ascii="Times New Roman" w:hAnsi="Times New Roman" w:cs="Times New Roman"/>
          <w:noProof/>
          <w:color w:val="5B9BD5" w:themeColor="accent1"/>
          <w:sz w:val="20"/>
          <w:szCs w:val="20"/>
        </w:rPr>
        <w:t>[3]</w:t>
      </w:r>
      <w:r w:rsidR="00066C56" w:rsidRPr="000F36C1">
        <w:rPr>
          <w:rFonts w:ascii="Times New Roman" w:hAnsi="Times New Roman" w:cs="Times New Roman"/>
          <w:color w:val="5B9BD5" w:themeColor="accent1"/>
          <w:sz w:val="20"/>
          <w:szCs w:val="20"/>
        </w:rPr>
        <w:fldChar w:fldCharType="end"/>
      </w:r>
      <w:r w:rsidR="00066C56" w:rsidRPr="000F36C1">
        <w:rPr>
          <w:rFonts w:ascii="Times New Roman" w:hAnsi="Times New Roman" w:cs="Times New Roman"/>
          <w:color w:val="5B9BD5" w:themeColor="accent1"/>
          <w:sz w:val="20"/>
          <w:szCs w:val="20"/>
        </w:rPr>
        <w:t>.</w:t>
      </w:r>
      <w:r w:rsidR="0033070B" w:rsidRPr="000F36C1">
        <w:rPr>
          <w:rFonts w:ascii="Times New Roman" w:hAnsi="Times New Roman" w:cs="Times New Roman"/>
          <w:color w:val="000000"/>
          <w:sz w:val="20"/>
          <w:szCs w:val="20"/>
        </w:rPr>
        <w:t>Nuclear and renewable energy sources emerge as promising solutions to address the escalating energy demand while mitigating G</w:t>
      </w:r>
      <w:r w:rsidR="00492243">
        <w:rPr>
          <w:rFonts w:ascii="Times New Roman" w:hAnsi="Times New Roman" w:cs="Times New Roman"/>
          <w:color w:val="000000"/>
          <w:sz w:val="20"/>
          <w:szCs w:val="20"/>
        </w:rPr>
        <w:t>reen</w:t>
      </w:r>
      <w:r w:rsidR="00167E75">
        <w:rPr>
          <w:rFonts w:ascii="Times New Roman" w:hAnsi="Times New Roman" w:cs="Times New Roman"/>
          <w:color w:val="000000"/>
          <w:sz w:val="20"/>
          <w:szCs w:val="20"/>
        </w:rPr>
        <w:t>h</w:t>
      </w:r>
      <w:r w:rsidR="00492243">
        <w:rPr>
          <w:rFonts w:ascii="Times New Roman" w:hAnsi="Times New Roman" w:cs="Times New Roman"/>
          <w:color w:val="000000"/>
          <w:sz w:val="20"/>
          <w:szCs w:val="20"/>
        </w:rPr>
        <w:t xml:space="preserve">ouse </w:t>
      </w:r>
      <w:r w:rsidR="0033070B" w:rsidRPr="000F36C1">
        <w:rPr>
          <w:rFonts w:ascii="Times New Roman" w:hAnsi="Times New Roman" w:cs="Times New Roman"/>
          <w:color w:val="000000"/>
          <w:sz w:val="20"/>
          <w:szCs w:val="20"/>
        </w:rPr>
        <w:t>G</w:t>
      </w:r>
      <w:r w:rsidR="00492243">
        <w:rPr>
          <w:rFonts w:ascii="Times New Roman" w:hAnsi="Times New Roman" w:cs="Times New Roman"/>
          <w:color w:val="000000"/>
          <w:sz w:val="20"/>
          <w:szCs w:val="20"/>
        </w:rPr>
        <w:t>as (GHG)</w:t>
      </w:r>
      <w:r w:rsidR="0033070B" w:rsidRPr="000F36C1">
        <w:rPr>
          <w:rFonts w:ascii="Times New Roman" w:hAnsi="Times New Roman" w:cs="Times New Roman"/>
          <w:color w:val="000000"/>
          <w:sz w:val="20"/>
          <w:szCs w:val="20"/>
        </w:rPr>
        <w:t xml:space="preserve"> emissions</w:t>
      </w:r>
      <w:r w:rsidR="005667F4" w:rsidRPr="000F36C1">
        <w:rPr>
          <w:rFonts w:ascii="Times New Roman" w:hAnsi="Times New Roman" w:cs="Times New Roman"/>
          <w:sz w:val="20"/>
          <w:szCs w:val="20"/>
        </w:rPr>
        <w:t xml:space="preserve"> </w:t>
      </w:r>
      <w:r w:rsidR="00DC6FBF" w:rsidRPr="000F36C1">
        <w:rPr>
          <w:rFonts w:ascii="Times New Roman" w:hAnsi="Times New Roman" w:cs="Times New Roman"/>
          <w:color w:val="5B9BD5" w:themeColor="accent1"/>
          <w:sz w:val="20"/>
          <w:szCs w:val="20"/>
        </w:rPr>
        <w:fldChar w:fldCharType="begin" w:fldLock="1"/>
      </w:r>
      <w:r w:rsidR="009C1798">
        <w:rPr>
          <w:rFonts w:ascii="Times New Roman" w:hAnsi="Times New Roman" w:cs="Times New Roman"/>
          <w:color w:val="5B9BD5" w:themeColor="accent1"/>
          <w:sz w:val="20"/>
          <w:szCs w:val="20"/>
        </w:rPr>
        <w:instrText>ADDIN CSL_CITATION {"citationItems":[{"id":"ITEM-1","itemData":{"DOI":"10.1016/B978-0-12-823916-2.00013-8","author":[{"dropping-particle":"","family":"Bragg-Sitton","given":"Shannon M","non-dropping-particle":"","parse-names":false,"suffix":""}],"container-title":"Handbook of Small Modular Nuclear Reactors","id":"ITEM-1","issued":{"date-parts":[["2021"]]},"page":"323-356","publisher":"Elsevier","title":"Hybrid energy systems using small modular nuclear reactors (SMRs)","type":"chapter"},"uris":["http://www.mendeley.com/documents/?uuid=2dac6aad-45d3-4ebc-acad-3a95e541ffb6"]}],"mendeley":{"formattedCitation":"[4]","plainTextFormattedCitation":"[4]","previouslyFormattedCitation":"[4]"},"properties":{"noteIndex":0},"schema":"https://github.com/citation-style-language/schema/raw/master/csl-citation.json"}</w:instrText>
      </w:r>
      <w:r w:rsidR="00DC6FBF" w:rsidRPr="000F36C1">
        <w:rPr>
          <w:rFonts w:ascii="Times New Roman" w:hAnsi="Times New Roman" w:cs="Times New Roman"/>
          <w:color w:val="5B9BD5" w:themeColor="accent1"/>
          <w:sz w:val="20"/>
          <w:szCs w:val="20"/>
        </w:rPr>
        <w:fldChar w:fldCharType="separate"/>
      </w:r>
      <w:r w:rsidR="009C1798" w:rsidRPr="009C1798">
        <w:rPr>
          <w:rFonts w:ascii="Times New Roman" w:hAnsi="Times New Roman" w:cs="Times New Roman"/>
          <w:noProof/>
          <w:color w:val="5B9BD5" w:themeColor="accent1"/>
          <w:sz w:val="20"/>
          <w:szCs w:val="20"/>
        </w:rPr>
        <w:t>[4]</w:t>
      </w:r>
      <w:r w:rsidR="00DC6FBF" w:rsidRPr="000F36C1">
        <w:rPr>
          <w:rFonts w:ascii="Times New Roman" w:hAnsi="Times New Roman" w:cs="Times New Roman"/>
          <w:color w:val="5B9BD5" w:themeColor="accent1"/>
          <w:sz w:val="20"/>
          <w:szCs w:val="20"/>
        </w:rPr>
        <w:fldChar w:fldCharType="end"/>
      </w:r>
      <w:r w:rsidR="00DC6FBF" w:rsidRPr="000F36C1">
        <w:rPr>
          <w:rFonts w:ascii="Times New Roman" w:hAnsi="Times New Roman" w:cs="Times New Roman"/>
          <w:color w:val="5B9BD5" w:themeColor="accent1"/>
          <w:sz w:val="20"/>
          <w:szCs w:val="20"/>
        </w:rPr>
        <w:t>.</w:t>
      </w:r>
    </w:p>
    <w:p w14:paraId="56E38F6E" w14:textId="0B6E19D5" w:rsidR="005D7CF0" w:rsidRPr="000F36C1" w:rsidRDefault="005D7CF0" w:rsidP="0036753D">
      <w:pPr>
        <w:spacing w:after="0"/>
        <w:jc w:val="both"/>
        <w:rPr>
          <w:rFonts w:ascii="Times New Roman" w:hAnsi="Times New Roman" w:cs="Times New Roman"/>
          <w:sz w:val="20"/>
          <w:szCs w:val="20"/>
        </w:rPr>
      </w:pPr>
    </w:p>
    <w:p w14:paraId="3CE8AD07" w14:textId="16626CCE" w:rsidR="005D7CF0" w:rsidRPr="000F36C1" w:rsidRDefault="005D7CF0" w:rsidP="0036753D">
      <w:pPr>
        <w:spacing w:after="0"/>
        <w:jc w:val="both"/>
        <w:rPr>
          <w:rFonts w:ascii="Times New Roman" w:hAnsi="Times New Roman" w:cs="Times New Roman"/>
          <w:sz w:val="20"/>
          <w:szCs w:val="20"/>
        </w:rPr>
      </w:pPr>
      <w:r w:rsidRPr="000F36C1">
        <w:rPr>
          <w:rFonts w:ascii="Times New Roman" w:hAnsi="Times New Roman" w:cs="Times New Roman"/>
          <w:noProof/>
          <w:sz w:val="20"/>
          <w:szCs w:val="20"/>
        </w:rPr>
        <w:drawing>
          <wp:inline distT="0" distB="0" distL="0" distR="0" wp14:anchorId="5F505289" wp14:editId="78A8520D">
            <wp:extent cx="5731510" cy="24231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423160"/>
                    </a:xfrm>
                    <a:prstGeom prst="rect">
                      <a:avLst/>
                    </a:prstGeom>
                  </pic:spPr>
                </pic:pic>
              </a:graphicData>
            </a:graphic>
          </wp:inline>
        </w:drawing>
      </w:r>
    </w:p>
    <w:p w14:paraId="7755CF2E" w14:textId="2B17BD43" w:rsidR="00754C8B" w:rsidRPr="000F36C1" w:rsidRDefault="00754C8B" w:rsidP="000F36C1">
      <w:pPr>
        <w:spacing w:after="0"/>
        <w:jc w:val="center"/>
        <w:rPr>
          <w:rFonts w:ascii="Times New Roman" w:hAnsi="Times New Roman" w:cs="Times New Roman"/>
          <w:noProof/>
          <w:sz w:val="20"/>
          <w:szCs w:val="20"/>
        </w:rPr>
      </w:pPr>
      <w:r w:rsidRPr="000F36C1">
        <w:rPr>
          <w:rFonts w:ascii="Times New Roman" w:hAnsi="Times New Roman" w:cs="Times New Roman"/>
          <w:sz w:val="20"/>
          <w:szCs w:val="20"/>
        </w:rPr>
        <w:t>Figure</w:t>
      </w:r>
      <w:r w:rsidR="000F36C1">
        <w:rPr>
          <w:rFonts w:ascii="Times New Roman" w:hAnsi="Times New Roman" w:cs="Times New Roman"/>
          <w:sz w:val="20"/>
          <w:szCs w:val="20"/>
        </w:rPr>
        <w:t xml:space="preserve"> </w:t>
      </w:r>
      <w:r w:rsidRPr="000F36C1">
        <w:rPr>
          <w:rFonts w:ascii="Times New Roman" w:hAnsi="Times New Roman" w:cs="Times New Roman"/>
          <w:sz w:val="20"/>
          <w:szCs w:val="20"/>
        </w:rPr>
        <w:t>1: Shares of hydro, thermal</w:t>
      </w:r>
      <w:r w:rsidR="00FC7760" w:rsidRPr="000F36C1">
        <w:rPr>
          <w:rFonts w:ascii="Times New Roman" w:hAnsi="Times New Roman" w:cs="Times New Roman"/>
          <w:sz w:val="20"/>
          <w:szCs w:val="20"/>
        </w:rPr>
        <w:t>,</w:t>
      </w:r>
      <w:r w:rsidRPr="000F36C1">
        <w:rPr>
          <w:rFonts w:ascii="Times New Roman" w:hAnsi="Times New Roman" w:cs="Times New Roman"/>
          <w:sz w:val="20"/>
          <w:szCs w:val="20"/>
        </w:rPr>
        <w:t xml:space="preserve"> and renewable capacity at the end of December 202</w:t>
      </w:r>
      <w:r w:rsidR="00304D87">
        <w:rPr>
          <w:rFonts w:ascii="Times New Roman" w:hAnsi="Times New Roman" w:cs="Times New Roman"/>
          <w:sz w:val="20"/>
          <w:szCs w:val="20"/>
        </w:rPr>
        <w:t>2</w:t>
      </w:r>
      <w:r w:rsidRPr="000F36C1">
        <w:rPr>
          <w:rFonts w:ascii="Times New Roman" w:hAnsi="Times New Roman" w:cs="Times New Roman"/>
          <w:sz w:val="20"/>
          <w:szCs w:val="20"/>
        </w:rPr>
        <w:t xml:space="preserve">                                                                                                                 </w:t>
      </w:r>
      <w:r w:rsidR="005232D6" w:rsidRPr="000F36C1">
        <w:rPr>
          <w:rFonts w:ascii="Times New Roman" w:hAnsi="Times New Roman" w:cs="Times New Roman"/>
          <w:noProof/>
          <w:sz w:val="20"/>
          <w:szCs w:val="20"/>
        </w:rPr>
        <w:t xml:space="preserve"> (Ghana Energy Commission, 2022)</w:t>
      </w:r>
      <w:r w:rsidR="00304D87">
        <w:rPr>
          <w:rFonts w:ascii="Times New Roman" w:hAnsi="Times New Roman" w:cs="Times New Roman"/>
          <w:noProof/>
          <w:sz w:val="20"/>
          <w:szCs w:val="20"/>
        </w:rPr>
        <w:t xml:space="preserve"> </w:t>
      </w:r>
      <w:r w:rsidR="00304D87">
        <w:rPr>
          <w:rFonts w:ascii="Times New Roman" w:hAnsi="Times New Roman" w:cs="Times New Roman"/>
          <w:noProof/>
          <w:sz w:val="20"/>
          <w:szCs w:val="20"/>
        </w:rPr>
        <w:fldChar w:fldCharType="begin" w:fldLock="1"/>
      </w:r>
      <w:r w:rsidR="000E2748">
        <w:rPr>
          <w:rFonts w:ascii="Times New Roman" w:hAnsi="Times New Roman" w:cs="Times New Roman"/>
          <w:noProof/>
          <w:sz w:val="20"/>
          <w:szCs w:val="20"/>
        </w:rPr>
        <w:instrText>ADDIN CSL_CITATION {"citationItems":[{"id":"ITEM-1","itemData":{"ISBN":"0302813756","author":[{"dropping-particle":"","family":"Outlook","given":"Supply","non-dropping-particle":"","parse-names":false,"suffix":""}],"id":"ITEM-1","issue":"April","issued":{"date-parts":[["2023"]]},"title":"2023 Energy outlook for ghana","type":"book"},"uris":["http://www.mendeley.com/documents/?uuid=b728f54d-3312-456d-bb9d-568904c36961"]}],"mendeley":{"formattedCitation":"[5]","plainTextFormattedCitation":"[5]","previouslyFormattedCitation":"[5]"},"properties":{"noteIndex":0},"schema":"https://github.com/citation-style-language/schema/raw/master/csl-citation.json"}</w:instrText>
      </w:r>
      <w:r w:rsidR="00304D87">
        <w:rPr>
          <w:rFonts w:ascii="Times New Roman" w:hAnsi="Times New Roman" w:cs="Times New Roman"/>
          <w:noProof/>
          <w:sz w:val="20"/>
          <w:szCs w:val="20"/>
        </w:rPr>
        <w:fldChar w:fldCharType="separate"/>
      </w:r>
      <w:r w:rsidR="00304D87" w:rsidRPr="00304D87">
        <w:rPr>
          <w:rFonts w:ascii="Times New Roman" w:hAnsi="Times New Roman" w:cs="Times New Roman"/>
          <w:noProof/>
          <w:sz w:val="20"/>
          <w:szCs w:val="20"/>
        </w:rPr>
        <w:t>[5]</w:t>
      </w:r>
      <w:r w:rsidR="00304D87">
        <w:rPr>
          <w:rFonts w:ascii="Times New Roman" w:hAnsi="Times New Roman" w:cs="Times New Roman"/>
          <w:noProof/>
          <w:sz w:val="20"/>
          <w:szCs w:val="20"/>
        </w:rPr>
        <w:fldChar w:fldCharType="end"/>
      </w:r>
    </w:p>
    <w:p w14:paraId="76D679FE" w14:textId="77777777" w:rsidR="007B79EF" w:rsidRPr="000F36C1" w:rsidRDefault="007B79EF" w:rsidP="0036753D">
      <w:pPr>
        <w:spacing w:after="0"/>
        <w:jc w:val="both"/>
        <w:rPr>
          <w:rFonts w:ascii="Times New Roman" w:hAnsi="Times New Roman" w:cs="Times New Roman"/>
          <w:sz w:val="20"/>
          <w:szCs w:val="20"/>
        </w:rPr>
      </w:pPr>
    </w:p>
    <w:p w14:paraId="2CFB9528" w14:textId="5961BBE3" w:rsidR="00B43D74" w:rsidRPr="000F36C1" w:rsidRDefault="005667F4" w:rsidP="0036753D">
      <w:pPr>
        <w:spacing w:after="0"/>
        <w:jc w:val="both"/>
        <w:rPr>
          <w:rFonts w:ascii="Times New Roman" w:hAnsi="Times New Roman" w:cs="Times New Roman"/>
          <w:sz w:val="20"/>
          <w:szCs w:val="20"/>
        </w:rPr>
      </w:pPr>
      <w:r w:rsidRPr="000F36C1">
        <w:rPr>
          <w:rFonts w:ascii="Times New Roman" w:hAnsi="Times New Roman" w:cs="Times New Roman"/>
          <w:color w:val="000000"/>
          <w:sz w:val="20"/>
          <w:szCs w:val="20"/>
        </w:rPr>
        <w:t>Owing to aggravated climate change, worldwide energy policies</w:t>
      </w:r>
      <w:r w:rsidR="005C3A27" w:rsidRPr="000F36C1">
        <w:rPr>
          <w:rFonts w:ascii="Times New Roman" w:hAnsi="Times New Roman" w:cs="Times New Roman"/>
          <w:color w:val="000000"/>
          <w:sz w:val="20"/>
          <w:szCs w:val="20"/>
        </w:rPr>
        <w:t xml:space="preserve"> </w:t>
      </w:r>
      <w:r w:rsidR="009605C3" w:rsidRPr="000F36C1">
        <w:rPr>
          <w:rFonts w:ascii="Times New Roman" w:hAnsi="Times New Roman" w:cs="Times New Roman"/>
          <w:color w:val="000000"/>
          <w:sz w:val="20"/>
          <w:szCs w:val="20"/>
        </w:rPr>
        <w:t xml:space="preserve">are </w:t>
      </w:r>
      <w:r w:rsidR="005C3A27" w:rsidRPr="000F36C1">
        <w:rPr>
          <w:rFonts w:ascii="Times New Roman" w:hAnsi="Times New Roman" w:cs="Times New Roman"/>
          <w:color w:val="000000"/>
          <w:sz w:val="20"/>
          <w:szCs w:val="20"/>
        </w:rPr>
        <w:t>aim</w:t>
      </w:r>
      <w:r w:rsidR="009605C3" w:rsidRPr="000F36C1">
        <w:rPr>
          <w:rFonts w:ascii="Times New Roman" w:hAnsi="Times New Roman" w:cs="Times New Roman"/>
          <w:color w:val="000000"/>
          <w:sz w:val="20"/>
          <w:szCs w:val="20"/>
        </w:rPr>
        <w:t>ing</w:t>
      </w:r>
      <w:r w:rsidR="005C3A27" w:rsidRPr="000F36C1">
        <w:rPr>
          <w:rFonts w:ascii="Times New Roman" w:hAnsi="Times New Roman" w:cs="Times New Roman"/>
          <w:color w:val="000000"/>
          <w:sz w:val="20"/>
          <w:szCs w:val="20"/>
        </w:rPr>
        <w:t xml:space="preserve"> at carbon neutrality.</w:t>
      </w:r>
      <w:r w:rsidR="005E67C4" w:rsidRPr="000F36C1">
        <w:rPr>
          <w:rFonts w:ascii="Times New Roman" w:hAnsi="Times New Roman" w:cs="Times New Roman"/>
          <w:sz w:val="20"/>
          <w:szCs w:val="20"/>
        </w:rPr>
        <w:t xml:space="preserve"> </w:t>
      </w:r>
      <w:r w:rsidR="00B43D74" w:rsidRPr="000F36C1">
        <w:rPr>
          <w:rFonts w:ascii="Times New Roman" w:eastAsia="Times New Roman" w:hAnsi="Times New Roman" w:cs="Times New Roman"/>
          <w:color w:val="000000"/>
          <w:sz w:val="20"/>
          <w:szCs w:val="20"/>
          <w:lang w:val="en-GB" w:eastAsia="en-GB"/>
        </w:rPr>
        <w:t xml:space="preserve">Most of the ongoing conversations on </w:t>
      </w:r>
      <w:r w:rsidR="00FC7760" w:rsidRPr="000F36C1">
        <w:rPr>
          <w:rFonts w:ascii="Times New Roman" w:eastAsia="Times New Roman" w:hAnsi="Times New Roman" w:cs="Times New Roman"/>
          <w:color w:val="000000"/>
          <w:sz w:val="20"/>
          <w:szCs w:val="20"/>
          <w:lang w:val="en-GB" w:eastAsia="en-GB"/>
        </w:rPr>
        <w:t>climate change tend to</w:t>
      </w:r>
      <w:r w:rsidR="00B43D74" w:rsidRPr="000F36C1">
        <w:rPr>
          <w:rFonts w:ascii="Times New Roman" w:eastAsia="Times New Roman" w:hAnsi="Times New Roman" w:cs="Times New Roman"/>
          <w:color w:val="000000"/>
          <w:sz w:val="20"/>
          <w:szCs w:val="20"/>
          <w:lang w:val="en-GB" w:eastAsia="en-GB"/>
        </w:rPr>
        <w:t xml:space="preserve"> shift from fossil fuels to low-carbon and reliable energy sources, such as nuclear </w:t>
      </w:r>
      <w:r w:rsidR="00B66D13" w:rsidRPr="000F36C1">
        <w:rPr>
          <w:rFonts w:ascii="Times New Roman" w:eastAsia="Times New Roman" w:hAnsi="Times New Roman" w:cs="Times New Roman"/>
          <w:color w:val="5B9BD5" w:themeColor="accent1"/>
          <w:sz w:val="20"/>
          <w:szCs w:val="20"/>
          <w:lang w:val="en-GB" w:eastAsia="en-GB"/>
        </w:rPr>
        <w:fldChar w:fldCharType="begin" w:fldLock="1"/>
      </w:r>
      <w:r w:rsidR="000E2748">
        <w:rPr>
          <w:rFonts w:ascii="Times New Roman" w:eastAsia="Times New Roman" w:hAnsi="Times New Roman" w:cs="Times New Roman"/>
          <w:color w:val="5B9BD5" w:themeColor="accent1"/>
          <w:sz w:val="20"/>
          <w:szCs w:val="20"/>
          <w:lang w:val="en-GB" w:eastAsia="en-GB"/>
        </w:rPr>
        <w:instrText>ADDIN CSL_CITATION {"citationItems":[{"id":"ITEM-1","itemData":{"DOI":"10.1016/j.jup.2021.101330","ISSN":"09571787","abstract":"The emerging economies in Southeast Asia are facing challenges in achieving decarbonisation and energy resilience. Small modular reactors (SMRs) could represent a strategic option but are yet to be properly understood and communicated at the policy level, especially in terms of the favourable implications for energy security and economic and technical benefits, as well as inherent risks and mitigation strategies. With the flourishing designs and start-up companies driving potentially new business models for future nuclear power projects, we present a series of actionable recommendations for utilities and policymakers in Southeast Asia, together with an analysis on the importance of including SMRs as an option in the future energy mix.","author":[{"dropping-particle":"","family":"Nian","given":"Victor","non-dropping-particle":"","parse-names":false,"suffix":""},{"dropping-particle":"","family":"Ghori","given":"Amjad","non-dropping-particle":"","parse-names":false,"suffix":""},{"dropping-particle":"","family":"Guerra","given":"Eddie M.","non-dropping-particle":"","parse-names":false,"suffix":""},{"dropping-particle":"","family":"Locatelli","given":"Giorgio","non-dropping-particle":"","parse-names":false,"suffix":""},{"dropping-particle":"","family":"Murphy","given":"Paul","non-dropping-particle":"","parse-names":false,"suffix":""}],"container-title":"Utilities Policy","id":"ITEM-1","issued":{"date-parts":[["2022"]]},"title":"Accelerating safe small modular reactor development in Southeast Asia","type":"article-journal","volume":"74"},"uris":["http://www.mendeley.com/documents/?uuid=98cc666c-9aea-3d90-b3be-1bdf2cf8c164","http://www.mendeley.com/documents/?uuid=00ec26e5-7afa-4d7f-ba99-7c747e46c2ae"]}],"mendeley":{"formattedCitation":"[6]","plainTextFormattedCitation":"[6]","previouslyFormattedCitation":"[6]"},"properties":{"noteIndex":0},"schema":"https://github.com/citation-style-language/schema/raw/master/csl-citation.json"}</w:instrText>
      </w:r>
      <w:r w:rsidR="00B66D13" w:rsidRPr="000F36C1">
        <w:rPr>
          <w:rFonts w:ascii="Times New Roman" w:eastAsia="Times New Roman" w:hAnsi="Times New Roman" w:cs="Times New Roman"/>
          <w:color w:val="5B9BD5" w:themeColor="accent1"/>
          <w:sz w:val="20"/>
          <w:szCs w:val="20"/>
          <w:lang w:val="en-GB" w:eastAsia="en-GB"/>
        </w:rPr>
        <w:fldChar w:fldCharType="separate"/>
      </w:r>
      <w:r w:rsidR="00304D87" w:rsidRPr="00304D87">
        <w:rPr>
          <w:rFonts w:ascii="Times New Roman" w:eastAsia="Times New Roman" w:hAnsi="Times New Roman" w:cs="Times New Roman"/>
          <w:noProof/>
          <w:color w:val="5B9BD5" w:themeColor="accent1"/>
          <w:sz w:val="20"/>
          <w:szCs w:val="20"/>
          <w:lang w:val="en-GB" w:eastAsia="en-GB"/>
        </w:rPr>
        <w:t>[6]</w:t>
      </w:r>
      <w:r w:rsidR="00B66D13" w:rsidRPr="000F36C1">
        <w:rPr>
          <w:rFonts w:ascii="Times New Roman" w:eastAsia="Times New Roman" w:hAnsi="Times New Roman" w:cs="Times New Roman"/>
          <w:color w:val="5B9BD5" w:themeColor="accent1"/>
          <w:sz w:val="20"/>
          <w:szCs w:val="20"/>
          <w:lang w:val="en-GB" w:eastAsia="en-GB"/>
        </w:rPr>
        <w:fldChar w:fldCharType="end"/>
      </w:r>
      <w:r w:rsidR="00B66D13" w:rsidRPr="000F36C1">
        <w:rPr>
          <w:rFonts w:ascii="Times New Roman" w:eastAsia="Times New Roman" w:hAnsi="Times New Roman" w:cs="Times New Roman"/>
          <w:color w:val="5B9BD5" w:themeColor="accent1"/>
          <w:sz w:val="20"/>
          <w:szCs w:val="20"/>
          <w:lang w:val="en-GB" w:eastAsia="en-GB"/>
        </w:rPr>
        <w:t>,</w:t>
      </w:r>
      <w:r w:rsidR="00B66D13" w:rsidRPr="000F36C1">
        <w:rPr>
          <w:rFonts w:ascii="Times New Roman" w:eastAsia="Times New Roman" w:hAnsi="Times New Roman" w:cs="Times New Roman"/>
          <w:color w:val="5B9BD5" w:themeColor="accent1"/>
          <w:sz w:val="20"/>
          <w:szCs w:val="20"/>
          <w:lang w:val="en-GB" w:eastAsia="en-GB"/>
        </w:rPr>
        <w:fldChar w:fldCharType="begin" w:fldLock="1"/>
      </w:r>
      <w:r w:rsidR="000E2748">
        <w:rPr>
          <w:rFonts w:ascii="Times New Roman" w:eastAsia="Times New Roman" w:hAnsi="Times New Roman" w:cs="Times New Roman"/>
          <w:color w:val="5B9BD5" w:themeColor="accent1"/>
          <w:sz w:val="20"/>
          <w:szCs w:val="20"/>
          <w:lang w:val="en-GB" w:eastAsia="en-GB"/>
        </w:rPr>
        <w:instrText>ADDIN CSL_CITATION {"citationItems":[{"id":"ITEM-1","itemData":{"DOI":"10.1016/j.pnucene.2022.104533","ISSN":"01491970","abstract":"Nuclear energy is considered an effective alternative to ensure global energy safety, and it has recently started to be promoted as a climate change mitigation solution to achieve low-carbon energy transition targets. Considering this view, this study aims to assess the environmental cost reduction by using nuclear energy efficiency and technological innovation from the prospects of the globalization process. Therefore, the relationship among carbon emissions, nuclear energy, globalization, and technological innovation was assessed in the top ten nuclear energy-consuming countries from 1990 to 2017 while controlling for economic growth and renewable energy. This study applied Common Correlated Effects Mean Group (CCEMG), Augmented Mean Group (AMG), and Dumitrescu-Hurlin causality techniques for model estimation that solves the problem of cross-sectional dependence and slope heterogeneity. The empirical results indicated that nuclear energy and technological innovation diminish environmental costs by reducing carbon emissions. However, globalization increases environmental costs by releasing more carbon emissions into the atmosphere. Moreover, bidirectional causality exists among nuclear energy, renewable energy, and carbon emissions. Consequently, the highest nuclear energy-consuming countries must utilize nuclear energy efficiency to control environmental costs and a cost-effective path to a low-carbon economy. Finally, this perspective intended to appeal to policymakers to do a better job of substantiating their decisions.","author":[{"dropping-particle":"","family":"Sadiq","given":"Muhammad","non-dropping-particle":"","parse-names":false,"suffix":""},{"dropping-particle":"","family":"Shinwari","given":"Riazullah","non-dropping-particle":"","parse-names":false,"suffix":""},{"dropping-particle":"","family":"Wen","given":"Fenghua","non-dropping-particle":"","parse-names":false,"suffix":""},{"dropping-particle":"","family":"Usman","given":"Muhammad","non-dropping-particle":"","parse-names":false,"suffix":""},{"dropping-particle":"","family":"Hassan","given":"Syed Tauseef","non-dropping-particle":"","parse-names":false,"suffix":""},{"dropping-particle":"","family":"Taghizadeh-Hesary","given":"Farhad","non-dropping-particle":"","parse-names":false,"suffix":""}],"container-title":"Progress in Nuclear Energy","id":"ITEM-1","issued":{"date-parts":[["2023"]]},"title":"Do globalization and nuclear energy intensify the environmental costs in top nuclear energy-consuming countries?","type":"article-journal","volume":"156"},"uris":["http://www.mendeley.com/documents/?uuid=682a8a01-9a88-359a-b09d-ec197a4d0929","http://www.mendeley.com/documents/?uuid=52a5b549-a580-42e5-bad7-40ab1a551910"]}],"mendeley":{"formattedCitation":"[7]","plainTextFormattedCitation":"[7]","previouslyFormattedCitation":"[7]"},"properties":{"noteIndex":0},"schema":"https://github.com/citation-style-language/schema/raw/master/csl-citation.json"}</w:instrText>
      </w:r>
      <w:r w:rsidR="00B66D13" w:rsidRPr="000F36C1">
        <w:rPr>
          <w:rFonts w:ascii="Times New Roman" w:eastAsia="Times New Roman" w:hAnsi="Times New Roman" w:cs="Times New Roman"/>
          <w:color w:val="5B9BD5" w:themeColor="accent1"/>
          <w:sz w:val="20"/>
          <w:szCs w:val="20"/>
          <w:lang w:val="en-GB" w:eastAsia="en-GB"/>
        </w:rPr>
        <w:fldChar w:fldCharType="separate"/>
      </w:r>
      <w:r w:rsidR="00304D87" w:rsidRPr="00304D87">
        <w:rPr>
          <w:rFonts w:ascii="Times New Roman" w:eastAsia="Times New Roman" w:hAnsi="Times New Roman" w:cs="Times New Roman"/>
          <w:noProof/>
          <w:color w:val="5B9BD5" w:themeColor="accent1"/>
          <w:sz w:val="20"/>
          <w:szCs w:val="20"/>
          <w:lang w:val="en-GB" w:eastAsia="en-GB"/>
        </w:rPr>
        <w:t>[7]</w:t>
      </w:r>
      <w:r w:rsidR="00B66D13" w:rsidRPr="000F36C1">
        <w:rPr>
          <w:rFonts w:ascii="Times New Roman" w:eastAsia="Times New Roman" w:hAnsi="Times New Roman" w:cs="Times New Roman"/>
          <w:color w:val="5B9BD5" w:themeColor="accent1"/>
          <w:sz w:val="20"/>
          <w:szCs w:val="20"/>
          <w:lang w:val="en-GB" w:eastAsia="en-GB"/>
        </w:rPr>
        <w:fldChar w:fldCharType="end"/>
      </w:r>
      <w:r w:rsidR="00B66D13" w:rsidRPr="000F36C1">
        <w:rPr>
          <w:rFonts w:ascii="Times New Roman" w:eastAsia="Times New Roman" w:hAnsi="Times New Roman" w:cs="Times New Roman"/>
          <w:color w:val="000000"/>
          <w:sz w:val="20"/>
          <w:szCs w:val="20"/>
          <w:lang w:val="en-GB" w:eastAsia="en-GB"/>
        </w:rPr>
        <w:t>.</w:t>
      </w:r>
      <w:r w:rsidR="00B43D74" w:rsidRPr="000F36C1">
        <w:rPr>
          <w:rFonts w:ascii="Times New Roman" w:eastAsia="Times New Roman" w:hAnsi="Times New Roman" w:cs="Times New Roman"/>
          <w:color w:val="000000"/>
          <w:sz w:val="20"/>
          <w:szCs w:val="20"/>
          <w:lang w:val="en-GB" w:eastAsia="en-GB"/>
        </w:rPr>
        <w:t>It is one of the lowest emitters of greenhouse gases compared to other low-carbon sources and is highly reliable</w:t>
      </w:r>
      <w:r w:rsidR="00D92ECD">
        <w:rPr>
          <w:rFonts w:ascii="Times New Roman" w:eastAsia="Times New Roman" w:hAnsi="Times New Roman" w:cs="Times New Roman"/>
          <w:color w:val="000000"/>
          <w:sz w:val="20"/>
          <w:szCs w:val="20"/>
          <w:lang w:val="en-GB" w:eastAsia="en-GB"/>
        </w:rPr>
        <w:t xml:space="preserve"> </w:t>
      </w:r>
      <w:r w:rsidR="00D92ECD">
        <w:rPr>
          <w:rFonts w:ascii="Times New Roman" w:eastAsia="Times New Roman" w:hAnsi="Times New Roman" w:cs="Times New Roman"/>
          <w:color w:val="000000"/>
          <w:sz w:val="20"/>
          <w:szCs w:val="20"/>
          <w:lang w:val="en-GB" w:eastAsia="en-GB"/>
        </w:rPr>
        <w:fldChar w:fldCharType="begin" w:fldLock="1"/>
      </w:r>
      <w:r w:rsidR="000E2748">
        <w:rPr>
          <w:rFonts w:ascii="Times New Roman" w:eastAsia="Times New Roman" w:hAnsi="Times New Roman" w:cs="Times New Roman"/>
          <w:color w:val="000000"/>
          <w:sz w:val="20"/>
          <w:szCs w:val="20"/>
          <w:lang w:val="en-GB" w:eastAsia="en-GB"/>
        </w:rPr>
        <w:instrText>ADDIN CSL_CITATION {"citationItems":[{"id":"ITEM-1","itemData":{"author":[{"dropping-particle":"","family":"IAEA","given":"","non-dropping-particle":"","parse-names":false,"suffix":""}],"id":"ITEM-1","issued":{"date-parts":[["2020"]]},"title":"INTERNATIONAL ATOMIC ENERGY AGENCY, Climate Change and Nuclear Power 2020","type":"article-journal"},"uris":["http://www.mendeley.com/documents/?uuid=f3d7a7ee-1fb0-4e22-ac1a-adbdfc7ad6af"]}],"mendeley":{"formattedCitation":"[8]","plainTextFormattedCitation":"[8]","previouslyFormattedCitation":"[8]"},"properties":{"noteIndex":0},"schema":"https://github.com/citation-style-language/schema/raw/master/csl-citation.json"}</w:instrText>
      </w:r>
      <w:r w:rsidR="00D92ECD">
        <w:rPr>
          <w:rFonts w:ascii="Times New Roman" w:eastAsia="Times New Roman" w:hAnsi="Times New Roman" w:cs="Times New Roman"/>
          <w:color w:val="000000"/>
          <w:sz w:val="20"/>
          <w:szCs w:val="20"/>
          <w:lang w:val="en-GB" w:eastAsia="en-GB"/>
        </w:rPr>
        <w:fldChar w:fldCharType="separate"/>
      </w:r>
      <w:r w:rsidR="00304D87" w:rsidRPr="00304D87">
        <w:rPr>
          <w:rFonts w:ascii="Times New Roman" w:eastAsia="Times New Roman" w:hAnsi="Times New Roman" w:cs="Times New Roman"/>
          <w:noProof/>
          <w:color w:val="000000"/>
          <w:sz w:val="20"/>
          <w:szCs w:val="20"/>
          <w:lang w:val="en-GB" w:eastAsia="en-GB"/>
        </w:rPr>
        <w:t>[8]</w:t>
      </w:r>
      <w:r w:rsidR="00D92ECD">
        <w:rPr>
          <w:rFonts w:ascii="Times New Roman" w:eastAsia="Times New Roman" w:hAnsi="Times New Roman" w:cs="Times New Roman"/>
          <w:color w:val="000000"/>
          <w:sz w:val="20"/>
          <w:szCs w:val="20"/>
          <w:lang w:val="en-GB" w:eastAsia="en-GB"/>
        </w:rPr>
        <w:fldChar w:fldCharType="end"/>
      </w:r>
      <w:r w:rsidR="00B43D74" w:rsidRPr="000F36C1">
        <w:rPr>
          <w:rFonts w:ascii="Times New Roman" w:eastAsia="Times New Roman" w:hAnsi="Times New Roman" w:cs="Times New Roman"/>
          <w:color w:val="000000"/>
          <w:sz w:val="20"/>
          <w:szCs w:val="20"/>
          <w:lang w:val="en-GB" w:eastAsia="en-GB"/>
        </w:rPr>
        <w:t xml:space="preserve">. However, large nuclear energy projects are also associated with financial and safety risks due to construction, technical, operational, and political factors </w:t>
      </w:r>
      <w:r w:rsidR="00631362">
        <w:rPr>
          <w:rFonts w:ascii="Times New Roman" w:eastAsia="Times New Roman" w:hAnsi="Times New Roman" w:cs="Times New Roman"/>
          <w:color w:val="000000"/>
          <w:sz w:val="20"/>
          <w:szCs w:val="20"/>
          <w:lang w:val="en-GB" w:eastAsia="en-GB"/>
        </w:rPr>
        <w:t xml:space="preserve"> </w:t>
      </w:r>
      <w:r w:rsidR="00631362">
        <w:rPr>
          <w:rFonts w:ascii="Times New Roman" w:eastAsia="Times New Roman" w:hAnsi="Times New Roman" w:cs="Times New Roman"/>
          <w:color w:val="000000"/>
          <w:sz w:val="20"/>
          <w:szCs w:val="20"/>
          <w:lang w:val="en-GB" w:eastAsia="en-GB"/>
        </w:rPr>
        <w:fldChar w:fldCharType="begin" w:fldLock="1"/>
      </w:r>
      <w:r w:rsidR="000E2748">
        <w:rPr>
          <w:rFonts w:ascii="Times New Roman" w:eastAsia="Times New Roman" w:hAnsi="Times New Roman" w:cs="Times New Roman"/>
          <w:color w:val="000000"/>
          <w:sz w:val="20"/>
          <w:szCs w:val="20"/>
          <w:lang w:val="en-GB" w:eastAsia="en-GB"/>
        </w:rPr>
        <w:instrText>ADDIN CSL_CITATION {"citationItems":[{"id":"ITEM-1","itemData":{"DOI":"10.1016/j.pnucene.2023.104859","ISSN":"01491970","abstract":"Small Modular Reactors are gaining significant interest for their reduced footprint, lower power output, modularity, and innovative features. The licensing of SMRs is key to their successful deployment. However, the literature on this subject area is limited and often fragmented among other characteristics of the SMRs, thus failing to address the licensing aspects distinctly. The paper employs a systematic literature review to identify the potential nuclear licensing barriers and challenges that can influence the deployment of SMR and to provide an overview of their implications. The authors differentiate between licensing barriers and challenges as follows. The licensing barriers are likely to affect the deployment of SMRs for over a decade and necessitate the collaboration of multiple organisations. The licensing challenges can be resolved within ten years and can be led by a single organisation to deliver the solution. The licensing barriers are: (1) existing legal and regulatory framework; (2) prescriptive regulatory framework; (3) novelty in the technology; (4) regulatory fragmentation; and (5) absence of in-factory certification. The licensing challenges are: (1) fees charged by regulators; (2) regulatory capability gaps; and (3) lengthy licensing duration. The identified barriers and challenges have implications on the project timeline and cost, consequently affecting the overall economics of the SMR.","author":[{"dropping-particle":"","family":"Sam","given":"Rohunsingh","non-dropping-particle":"","parse-names":false,"suffix":""},{"dropping-particle":"","family":"Sainati","given":"Tristano","non-dropping-particle":"","parse-names":false,"suffix":""},{"dropping-particle":"","family":"Hanson","given":"Bruce","non-dropping-particle":"","parse-names":false,"suffix":""},{"dropping-particle":"","family":"Kay","given":"Robert","non-dropping-particle":"","parse-names":false,"suffix":""}],"container-title":"Progress in Nuclear Energy","id":"ITEM-1","issue":"May","issued":{"date-parts":[["2023"]]},"page":"104859","publisher":"Elsevier Ltd","title":"Licensing small modular reactors: A state-of-the-art review of the challenges and barriers","type":"article-journal","volume":"164"},"uris":["http://www.mendeley.com/documents/?uuid=e5c4cc21-af93-4c05-bfcf-fc48ecee3245"]}],"mendeley":{"formattedCitation":"[9]","plainTextFormattedCitation":"[9]","previouslyFormattedCitation":"[9]"},"properties":{"noteIndex":0},"schema":"https://github.com/citation-style-language/schema/raw/master/csl-citation.json"}</w:instrText>
      </w:r>
      <w:r w:rsidR="00631362">
        <w:rPr>
          <w:rFonts w:ascii="Times New Roman" w:eastAsia="Times New Roman" w:hAnsi="Times New Roman" w:cs="Times New Roman"/>
          <w:color w:val="000000"/>
          <w:sz w:val="20"/>
          <w:szCs w:val="20"/>
          <w:lang w:val="en-GB" w:eastAsia="en-GB"/>
        </w:rPr>
        <w:fldChar w:fldCharType="separate"/>
      </w:r>
      <w:r w:rsidR="00304D87" w:rsidRPr="00304D87">
        <w:rPr>
          <w:rFonts w:ascii="Times New Roman" w:eastAsia="Times New Roman" w:hAnsi="Times New Roman" w:cs="Times New Roman"/>
          <w:noProof/>
          <w:color w:val="000000"/>
          <w:sz w:val="20"/>
          <w:szCs w:val="20"/>
          <w:lang w:val="en-GB" w:eastAsia="en-GB"/>
        </w:rPr>
        <w:t>[9]</w:t>
      </w:r>
      <w:r w:rsidR="00631362">
        <w:rPr>
          <w:rFonts w:ascii="Times New Roman" w:eastAsia="Times New Roman" w:hAnsi="Times New Roman" w:cs="Times New Roman"/>
          <w:color w:val="000000"/>
          <w:sz w:val="20"/>
          <w:szCs w:val="20"/>
          <w:lang w:val="en-GB" w:eastAsia="en-GB"/>
        </w:rPr>
        <w:fldChar w:fldCharType="end"/>
      </w:r>
      <w:r w:rsidR="00B43D74" w:rsidRPr="000F36C1">
        <w:rPr>
          <w:rFonts w:ascii="Times New Roman" w:eastAsia="Times New Roman" w:hAnsi="Times New Roman" w:cs="Times New Roman"/>
          <w:color w:val="000000"/>
          <w:sz w:val="20"/>
          <w:szCs w:val="20"/>
          <w:lang w:val="en-GB" w:eastAsia="en-GB"/>
        </w:rPr>
        <w:t xml:space="preserve">. </w:t>
      </w:r>
      <w:r w:rsidR="00B43D74" w:rsidRPr="000F36C1">
        <w:rPr>
          <w:rStyle w:val="fontstyle01"/>
          <w:rFonts w:ascii="Times New Roman" w:hAnsi="Times New Roman" w:cs="Times New Roman"/>
          <w:sz w:val="20"/>
          <w:szCs w:val="20"/>
        </w:rPr>
        <w:t>For this reason</w:t>
      </w:r>
      <w:r w:rsidR="0053488B" w:rsidRPr="000F36C1">
        <w:rPr>
          <w:rStyle w:val="fontstyle01"/>
          <w:rFonts w:ascii="Times New Roman" w:hAnsi="Times New Roman" w:cs="Times New Roman"/>
          <w:sz w:val="20"/>
          <w:szCs w:val="20"/>
        </w:rPr>
        <w:t>,</w:t>
      </w:r>
      <w:r w:rsidR="00B43D74" w:rsidRPr="000F36C1">
        <w:rPr>
          <w:rStyle w:val="fontstyle01"/>
          <w:rFonts w:ascii="Times New Roman" w:hAnsi="Times New Roman" w:cs="Times New Roman"/>
          <w:sz w:val="20"/>
          <w:szCs w:val="20"/>
        </w:rPr>
        <w:t xml:space="preserve"> Small Modular Reactors are much more suitable for </w:t>
      </w:r>
      <w:r w:rsidR="00FC7760" w:rsidRPr="000F36C1">
        <w:rPr>
          <w:rStyle w:val="fontstyle01"/>
          <w:rFonts w:ascii="Times New Roman" w:hAnsi="Times New Roman" w:cs="Times New Roman"/>
          <w:sz w:val="20"/>
          <w:szCs w:val="20"/>
        </w:rPr>
        <w:t>financially constrained countries</w:t>
      </w:r>
      <w:r w:rsidR="00B43D74" w:rsidRPr="000F36C1">
        <w:rPr>
          <w:rStyle w:val="fontstyle01"/>
          <w:rFonts w:ascii="Times New Roman" w:hAnsi="Times New Roman" w:cs="Times New Roman"/>
          <w:sz w:val="20"/>
          <w:szCs w:val="20"/>
        </w:rPr>
        <w:t xml:space="preserve"> like Ghana.</w:t>
      </w:r>
    </w:p>
    <w:p w14:paraId="4A95D987" w14:textId="72DF5DD3" w:rsidR="009A54AE" w:rsidRPr="009C1798" w:rsidRDefault="00B43D74" w:rsidP="00731B07">
      <w:pPr>
        <w:spacing w:after="0"/>
        <w:jc w:val="both"/>
        <w:rPr>
          <w:rFonts w:ascii="Times New Roman" w:hAnsi="Times New Roman" w:cs="Times New Roman"/>
          <w:sz w:val="20"/>
          <w:szCs w:val="20"/>
        </w:rPr>
      </w:pPr>
      <w:r w:rsidRPr="000F36C1">
        <w:rPr>
          <w:rFonts w:ascii="Times New Roman" w:eastAsia="Times New Roman" w:hAnsi="Times New Roman" w:cs="Times New Roman"/>
          <w:color w:val="000000"/>
          <w:sz w:val="20"/>
          <w:szCs w:val="20"/>
          <w:lang w:val="en-GB" w:eastAsia="en-GB"/>
        </w:rPr>
        <w:t>Over the years, there has been a keen and increasing global interest in a newer generation of reactors termed SMR</w:t>
      </w:r>
      <w:r w:rsidR="00B56A69" w:rsidRPr="000F36C1">
        <w:rPr>
          <w:rFonts w:ascii="Times New Roman" w:eastAsia="Times New Roman" w:hAnsi="Times New Roman" w:cs="Times New Roman"/>
          <w:color w:val="2196D1"/>
          <w:sz w:val="20"/>
          <w:szCs w:val="20"/>
          <w:lang w:val="en-GB" w:eastAsia="en-GB"/>
        </w:rPr>
        <w:t xml:space="preserve"> </w:t>
      </w:r>
      <w:r w:rsidR="009D077B" w:rsidRPr="000F36C1">
        <w:rPr>
          <w:rFonts w:ascii="Times New Roman" w:eastAsia="Times New Roman" w:hAnsi="Times New Roman" w:cs="Times New Roman"/>
          <w:color w:val="2196D1"/>
          <w:sz w:val="20"/>
          <w:szCs w:val="20"/>
          <w:lang w:val="en-GB" w:eastAsia="en-GB"/>
        </w:rPr>
        <w:fldChar w:fldCharType="begin" w:fldLock="1"/>
      </w:r>
      <w:r w:rsidR="000E2748">
        <w:rPr>
          <w:rFonts w:ascii="Times New Roman" w:eastAsia="Times New Roman" w:hAnsi="Times New Roman" w:cs="Times New Roman"/>
          <w:color w:val="2196D1"/>
          <w:sz w:val="20"/>
          <w:szCs w:val="20"/>
          <w:lang w:val="en-GB" w:eastAsia="en-GB"/>
        </w:rPr>
        <w:instrText>ADDIN CSL_CITATION {"citationItems":[{"id":"ITEM-1","itemData":{"DOI":"10.1016/j.energy.2013.09.010","ISSN":"03605442","abstract":"Small modular reactor designs with power levels of less than 300MWe are being developed in several countries. While there are several potential advantages with these reactors, they are also confronted with multiple challenges. Important among these challenges is to have these new reactor designs licensed by national regulatory bodies. Because of the many novel features incorporated in different SMR (small modular reactor) designs, careful and thorough licensing procedures are critical to maintaining safety of the nuclear fleet. This paper examines how different countries have engaged in the process of licensing new reactor designs, and demonstrates both similarities and differences between countries. In many cases, designers have emphasized the safer design and deployment features of SMRs and attempted to use those features as reasons to get existing licensing requirements diluted. This raises the concern that the promised safety enhancements in SMR designs could be offset by a simultaneous relaxation of licensing requirements. © 2013 Elsevier Ltd.","author":[{"dropping-particle":"V.","family":"Ramana","given":"M.","non-dropping-particle":"","parse-names":false,"suffix":""},{"dropping-particle":"","family":"Hopkins","given":"Laura Berzak","non-dropping-particle":"","parse-names":false,"suffix":""},{"dropping-particle":"","family":"Glaser","given":"Alexander","non-dropping-particle":"","parse-names":false,"suffix":""}],"container-title":"Energy","id":"ITEM-1","issued":{"date-parts":[["2013"]]},"title":"Licensing small modular reactors","type":"article-journal","volume":"61"},"uris":["http://www.mendeley.com/documents/?uuid=f54e44ed-8a0e-36b9-b8e9-09fa84783883","http://www.mendeley.com/documents/?uuid=e8f0ea86-0d69-4f0b-9efd-df7abfe73287"]}],"mendeley":{"formattedCitation":"[10]","plainTextFormattedCitation":"[10]","previouslyFormattedCitation":"[10]"},"properties":{"noteIndex":0},"schema":"https://github.com/citation-style-language/schema/raw/master/csl-citation.json"}</w:instrText>
      </w:r>
      <w:r w:rsidR="009D077B" w:rsidRPr="000F36C1">
        <w:rPr>
          <w:rFonts w:ascii="Times New Roman" w:eastAsia="Times New Roman" w:hAnsi="Times New Roman" w:cs="Times New Roman"/>
          <w:color w:val="2196D1"/>
          <w:sz w:val="20"/>
          <w:szCs w:val="20"/>
          <w:lang w:val="en-GB" w:eastAsia="en-GB"/>
        </w:rPr>
        <w:fldChar w:fldCharType="separate"/>
      </w:r>
      <w:r w:rsidR="00304D87" w:rsidRPr="00304D87">
        <w:rPr>
          <w:rFonts w:ascii="Times New Roman" w:eastAsia="Times New Roman" w:hAnsi="Times New Roman" w:cs="Times New Roman"/>
          <w:noProof/>
          <w:color w:val="2196D1"/>
          <w:sz w:val="20"/>
          <w:szCs w:val="20"/>
          <w:lang w:val="en-GB" w:eastAsia="en-GB"/>
        </w:rPr>
        <w:t>[10]</w:t>
      </w:r>
      <w:r w:rsidR="009D077B" w:rsidRPr="000F36C1">
        <w:rPr>
          <w:rFonts w:ascii="Times New Roman" w:eastAsia="Times New Roman" w:hAnsi="Times New Roman" w:cs="Times New Roman"/>
          <w:color w:val="2196D1"/>
          <w:sz w:val="20"/>
          <w:szCs w:val="20"/>
          <w:lang w:val="en-GB" w:eastAsia="en-GB"/>
        </w:rPr>
        <w:fldChar w:fldCharType="end"/>
      </w:r>
      <w:r w:rsidR="009D077B" w:rsidRPr="000F36C1">
        <w:rPr>
          <w:rFonts w:ascii="Times New Roman" w:eastAsia="Times New Roman" w:hAnsi="Times New Roman" w:cs="Times New Roman"/>
          <w:color w:val="2196D1"/>
          <w:sz w:val="20"/>
          <w:szCs w:val="20"/>
          <w:lang w:val="en-GB" w:eastAsia="en-GB"/>
        </w:rPr>
        <w:t xml:space="preserve">. </w:t>
      </w:r>
      <w:r w:rsidR="0033070B" w:rsidRPr="000F36C1">
        <w:rPr>
          <w:rStyle w:val="fontstyle01"/>
          <w:rFonts w:ascii="Times New Roman" w:hAnsi="Times New Roman" w:cs="Times New Roman"/>
          <w:sz w:val="20"/>
          <w:szCs w:val="20"/>
        </w:rPr>
        <w:t>T</w:t>
      </w:r>
      <w:r w:rsidR="0033070B" w:rsidRPr="000F36C1">
        <w:rPr>
          <w:rFonts w:ascii="Times New Roman" w:hAnsi="Times New Roman" w:cs="Times New Roman"/>
          <w:color w:val="000000"/>
          <w:sz w:val="20"/>
          <w:szCs w:val="20"/>
        </w:rPr>
        <w:t>he International Atomic Energy Agency defines "small" nuclear reactor</w:t>
      </w:r>
      <w:r w:rsidR="00B56A69" w:rsidRPr="000F36C1">
        <w:rPr>
          <w:rFonts w:ascii="Times New Roman" w:hAnsi="Times New Roman" w:cs="Times New Roman"/>
          <w:color w:val="000000"/>
          <w:sz w:val="20"/>
          <w:szCs w:val="20"/>
        </w:rPr>
        <w:t xml:space="preserve">s as those with a capacity of less than </w:t>
      </w:r>
      <w:r w:rsidR="0033070B" w:rsidRPr="000F36C1">
        <w:rPr>
          <w:rFonts w:ascii="Times New Roman" w:hAnsi="Times New Roman" w:cs="Times New Roman"/>
          <w:color w:val="000000"/>
          <w:sz w:val="20"/>
          <w:szCs w:val="20"/>
        </w:rPr>
        <w:t xml:space="preserve">300 MWe. The concept of small-scale nuclear plants is not novel since this technology has been utilized for over 5 decades in naval submarines </w:t>
      </w:r>
      <w:r w:rsidR="007D25B8"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{"citationItems":[{"id":"ITEM-1","itemData":{"abstract":"Contenção: A estrutura em torno do reator e geradores de vapor associados que é projetada para protegê-lo de intrusões externas e para proteger os externos dos efeitos da radiação em caso de qualquer mau funcionamento interno. É tipicamente uma estrutura de concreto e aço com um metro de espessura. Os reatores russos mais recentes e alguns outros reatores instalam dispositivos de localização de núcleo derretido ou 'coletores de núcleo' sob o vaso de pressão para capturar qualquer material derretido no caso de um acidente grave. Existem vários tipos diferentes de reatores, conforme indicado na tabela a seguir.","author":[{"dropping-particle":"","family":"WNA","given":"","non-dropping-particle":"","parse-names":false,"suffix":""}],"container-title":"www.world-nuclear.org webpage","id":"ITEM-1","issued":{"date-parts":[["2021"]]},"title":"Small Nuclear Power Reactors: World Nuclear Association","type":"webpage"},"uris":["http://www.mendeley.com/documents/?uuid=1ed5a9c1-daf3-38a0-bd6a-7f7a76d83e45","http://www.mendeley.com/documents/?uuid=f26336a2-939f-4338-8c3b-a278d24fc386"]}],"mendeley":{"formattedCitation":"[11]","plainTextFormattedCitation":"[11]","previouslyFormattedCitation":"[11]"},"properties":{"noteIndex":0},"schema":"https://github.com/citation-style-language/schema/raw/master/csl-citation.json"}</w:instrText>
      </w:r>
      <w:r w:rsidR="007D25B8"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[11]</w:t>
      </w:r>
      <w:r w:rsidR="007D25B8" w:rsidRPr="000F36C1">
        <w:rPr>
          <w:rFonts w:ascii="Times New Roman" w:hAnsi="Times New Roman" w:cs="Times New Roman"/>
          <w:color w:val="5B9BD5" w:themeColor="accent1"/>
          <w:sz w:val="20"/>
          <w:szCs w:val="20"/>
        </w:rPr>
        <w:fldChar w:fldCharType="end"/>
      </w:r>
      <w:r w:rsidR="007D25B8" w:rsidRPr="000F36C1">
        <w:rPr>
          <w:rFonts w:ascii="Times New Roman" w:hAnsi="Times New Roman" w:cs="Times New Roman"/>
          <w:color w:val="000000"/>
          <w:sz w:val="20"/>
          <w:szCs w:val="20"/>
        </w:rPr>
        <w:t>.</w:t>
      </w:r>
      <w:r w:rsidR="0033070B" w:rsidRPr="000F36C1">
        <w:rPr>
          <w:rFonts w:ascii="Times New Roman" w:hAnsi="Times New Roman" w:cs="Times New Roman"/>
          <w:color w:val="000000"/>
          <w:sz w:val="20"/>
          <w:szCs w:val="20"/>
        </w:rPr>
        <w:t xml:space="preserve"> In the context of SMRs, "modular" denotes the ability of these reactors to have their components manufactured remotely and then transported to the final site for rapid assembl</w:t>
      </w:r>
      <w:r w:rsidR="007D25B8" w:rsidRPr="000F36C1">
        <w:rPr>
          <w:rFonts w:ascii="Times New Roman" w:hAnsi="Times New Roman" w:cs="Times New Roman"/>
          <w:color w:val="000000"/>
          <w:sz w:val="20"/>
          <w:szCs w:val="20"/>
        </w:rPr>
        <w:t>y</w:t>
      </w:r>
      <w:r w:rsidR="007D25B8"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{"citationItems":[{"id":"ITEM-1","itemData":{"DOI":"10.1073/pnas.1300195110","ISSN":"00278424","abstract":"Analysts and decision makers frequently want estimates of the cost of technologies that have yet to be developed or deployed. Small modular reactors (SMRs), which could become part of a portfolio of carbon-free energy sources, are one such technology. Existing estimates of likely SMR costs rely on problematic top-down approaches or bottom-up assessments that are proprietary. When done properly, expert elicitations can complement these approaches. We developed detailed technical descriptions of two SMR designs and then conduced elicitation interviews in which we obtained probabilistic judgments from 16 experts who are involved in, or have access to, engineering-economic assessments of SMR projects. Here, we report estimates of the overnight cost and construction duration for five reactor-deployment scenarios that involve a large reactor and two light water SMRs. Consistent with the uncertainty introduced by past cost overruns and construction delays, median estimates of the cost of new large plants vary by more than a factor of 2.5. Expert judgments about likely SMR costs display an even wider range. Median estimates for a 45 megawatts-electric (MWe) SMR range from $4,000 to $16,300/kWe and from $3,200 to $7,100/kW e for a 225-MWe SMR. Sources of disagreement are highlighted, exposing the thought processes of experts involved with SMR design. There was consensus that SMRs could be built and brought online about 2 y faster than large reactors. Experts identify more affordable unit cost, factory fabrication, and shorter construction schedules as factors that may make light water SMRs economically viable.","author":[{"dropping-particle":"","family":"Abdulla","given":"Ahmed","non-dropping-particle":"","parse-names":false,"suffix":""},{"dropping-particle":"","family":"Azevedo","given":"Inês Lima","non-dropping-particle":"","parse-names":false,"suffix":""},{"dropping-particle":"","family":"Morgan","given":"M. Granger","non-dropping-particle":"","parse-names":false,"suffix":""}],"container-title":"Proceedings of the National Academy of Sciences of the United States of America","id":"ITEM-1","issue":"24","issued":{"date-parts":[["2013"]]},"title":"Expert assessments of the cost of light water small modular reactors","type":"article-journal","volume":"110"},"uris":["http://www.mendeley.com/documents/?uuid=d4c4dfbd-9845-3ed3-bcbf-8f135f468940","http://www.mendeley.com/documents/?uuid=273552fa-23f3-4d85-90a6-63e8ec4e96e8"]}],"mendeley":{"formattedCitation":"[12]","plainTextFormattedCitation":"[12]","previouslyFormattedCitation":"[12]"},"properties":{"noteIndex":0},"schema":"https://github.com/citation-style-language/schema/raw/master/csl-citation.json"}</w:instrText>
      </w:r>
      <w:r w:rsidR="007D25B8"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[12]</w:t>
      </w:r>
      <w:r w:rsidR="007D25B8" w:rsidRPr="000F36C1">
        <w:rPr>
          <w:rFonts w:ascii="Times New Roman" w:hAnsi="Times New Roman" w:cs="Times New Roman"/>
          <w:color w:val="5B9BD5" w:themeColor="accent1"/>
          <w:sz w:val="20"/>
          <w:szCs w:val="20"/>
        </w:rPr>
        <w:fldChar w:fldCharType="end"/>
      </w:r>
      <w:r w:rsidR="007D25B8" w:rsidRPr="000F36C1">
        <w:rPr>
          <w:rFonts w:ascii="Times New Roman" w:hAnsi="Times New Roman" w:cs="Times New Roman"/>
          <w:color w:val="000000"/>
          <w:sz w:val="20"/>
          <w:szCs w:val="20"/>
        </w:rPr>
        <w:t>.</w:t>
      </w:r>
      <w:r w:rsidR="0033070B" w:rsidRPr="000F36C1">
        <w:rPr>
          <w:rFonts w:ascii="Times New Roman" w:hAnsi="Times New Roman" w:cs="Times New Roman"/>
          <w:color w:val="000000"/>
          <w:sz w:val="20"/>
          <w:szCs w:val="20"/>
        </w:rPr>
        <w:t xml:space="preserve">They offer a relatively small footprint with a significant advantage being their suitability for locations where constructing large nuclear reactors would pose challenges. </w:t>
      </w:r>
      <w:r w:rsidR="009C1798" w:rsidRPr="00E75280">
        <w:rPr>
          <w:rFonts w:ascii="Times New Roman" w:hAnsi="Times New Roman" w:cs="Times New Roman"/>
          <w:sz w:val="20"/>
          <w:szCs w:val="20"/>
        </w:rPr>
        <w:t>The construction of large nuclear power plants has frequently experienced significant delays and cost overruns compared to initial design estimates. Factors contributing to these challenges include regulatory complexities, design alterations, project management hurdles, and rigorous safety standards</w:t>
      </w:r>
      <w:r w:rsidR="009C1798">
        <w:rPr>
          <w:rFonts w:ascii="Times New Roman" w:hAnsi="Times New Roman" w:cs="Times New Roman"/>
          <w:sz w:val="20"/>
          <w:szCs w:val="20"/>
        </w:rPr>
        <w:t xml:space="preserve"> </w:t>
      </w:r>
      <w:r w:rsidR="009C1798">
        <w:rPr>
          <w:rFonts w:ascii="Times New Roman" w:hAnsi="Times New Roman" w:cs="Times New Roman"/>
          <w:sz w:val="20"/>
          <w:szCs w:val="20"/>
        </w:rPr>
        <w:fldChar w:fldCharType="begin" w:fldLock="1"/>
      </w:r>
      <w:r w:rsidR="000E2748">
        <w:rPr>
          <w:rFonts w:ascii="Times New Roman" w:hAnsi="Times New Roman" w:cs="Times New Roman"/>
          <w:sz w:val="20"/>
          <w:szCs w:val="20"/>
        </w:rPr>
        <w:instrText>ADDIN CSL_CITATION {"citationItems":[{"id":"ITEM-1","itemData":{"DOI":"10.1016/J.ENPOL.2016.04.001","ISSN":"0301-4215","abstract":"Lovering and colleagues attempt to advance understanding of construction cost escalation risks inherent in building nuclear reactors and power plants, a laudable goal. Although we appreciate their focus on capital cost increases and overruns, we maintain in this critical appraisal that their study conceptualizes cost issues in a limiting way. Methodological choices in treating different cost categories by the authors mean that their conclusions are more narrowly applicable than they describe. We also argue that their study is factually incorrect in its criticism of the previous peer-reviewed literature. Earlier work, for instance, has compared historical construction costs for nuclear reactors with other energy sources, in many countries, and extending over several decades. Lastly, in failing to be transparent about the limitations of their own work, Lovering et al. have recourse to a selective choice of data, unbalanced analysis, and biased interpretation.","author":[{"dropping-particle":"","family":"Gilbert","given":"Alexander","non-dropping-particle":"","parse-names":false,"suffix":""},{"dropping-particle":"","family":"Sovacool","given":"Benjamin K.","non-dropping-particle":"","parse-names":false,"suffix":""},{"dropping-particle":"","family":"Johnstone","given":"Phil","non-dropping-particle":"","parse-names":false,"suffix":""},{"dropping-particle":"","family":"Stirling","given":"Andy","non-dropping-particle":"","parse-names":false,"suffix":""}],"container-title":"Energy Policy","id":"ITEM-1","issued":{"date-parts":[["2017","3","1"]]},"page":"644-649","publisher":"Elsevier","title":"Cost overruns and financial risk in the construction of nuclear power reactors: A critical appraisal","type":"article-journal","volume":"102"},"uris":["http://www.mendeley.com/documents/?uuid=08705e49-b846-3287-ace2-9fb0334c94ae"]}],"mendeley":{"formattedCitation":"[13]","plainTextFormattedCitation":"[13]","previouslyFormattedCitation":"[13]"},"properties":{"noteIndex":0},"schema":"https://github.com/citation-style-language/schema/raw/master/csl-citation.json"}</w:instrText>
      </w:r>
      <w:r w:rsidR="009C1798">
        <w:rPr>
          <w:rFonts w:ascii="Times New Roman" w:hAnsi="Times New Roman" w:cs="Times New Roman"/>
          <w:sz w:val="20"/>
          <w:szCs w:val="20"/>
        </w:rPr>
        <w:fldChar w:fldCharType="separate"/>
      </w:r>
      <w:r w:rsidR="00304D87" w:rsidRPr="00304D87">
        <w:rPr>
          <w:rFonts w:ascii="Times New Roman" w:hAnsi="Times New Roman" w:cs="Times New Roman"/>
          <w:noProof/>
          <w:sz w:val="20"/>
          <w:szCs w:val="20"/>
        </w:rPr>
        <w:t>[13]</w:t>
      </w:r>
      <w:r w:rsidR="009C1798">
        <w:rPr>
          <w:rFonts w:ascii="Times New Roman" w:hAnsi="Times New Roman" w:cs="Times New Roman"/>
          <w:sz w:val="20"/>
          <w:szCs w:val="20"/>
        </w:rPr>
        <w:fldChar w:fldCharType="end"/>
      </w:r>
      <w:r w:rsidR="001D4A40" w:rsidRPr="000F36C1">
        <w:rPr>
          <w:rFonts w:ascii="Times New Roman" w:hAnsi="Times New Roman" w:cs="Times New Roman"/>
          <w:color w:val="242021"/>
          <w:sz w:val="20"/>
          <w:szCs w:val="20"/>
        </w:rPr>
        <w:t>.</w:t>
      </w:r>
      <w:r w:rsidR="0033070B" w:rsidRPr="000F36C1">
        <w:rPr>
          <w:rFonts w:ascii="Times New Roman" w:hAnsi="Times New Roman" w:cs="Times New Roman"/>
          <w:sz w:val="20"/>
          <w:szCs w:val="20"/>
        </w:rPr>
        <w:t xml:space="preserve"> </w:t>
      </w:r>
      <w:r w:rsidR="0033070B" w:rsidRPr="000F36C1">
        <w:rPr>
          <w:rFonts w:ascii="Times New Roman" w:hAnsi="Times New Roman" w:cs="Times New Roman"/>
          <w:color w:val="000000"/>
          <w:sz w:val="20"/>
          <w:szCs w:val="20"/>
        </w:rPr>
        <w:t>SMRs are dis</w:t>
      </w:r>
      <w:r w:rsidR="00B56A69" w:rsidRPr="000F36C1">
        <w:rPr>
          <w:rFonts w:ascii="Times New Roman" w:hAnsi="Times New Roman" w:cs="Times New Roman"/>
          <w:color w:val="000000"/>
          <w:sz w:val="20"/>
          <w:szCs w:val="20"/>
        </w:rPr>
        <w:t>tinguished by their relatively</w:t>
      </w:r>
      <w:r w:rsidR="0033070B" w:rsidRPr="000F36C1">
        <w:rPr>
          <w:rFonts w:ascii="Times New Roman" w:hAnsi="Times New Roman" w:cs="Times New Roman"/>
          <w:color w:val="000000"/>
          <w:sz w:val="20"/>
          <w:szCs w:val="20"/>
        </w:rPr>
        <w:t xml:space="preserve"> smaller size and modularization, which can lead to reduced upfront investment costs, potential for industrial learning, and greater application flexibility.</w:t>
      </w:r>
      <w:r w:rsidR="0033070B" w:rsidRPr="000F36C1">
        <w:rPr>
          <w:rFonts w:ascii="Times New Roman" w:hAnsi="Times New Roman" w:cs="Times New Roman"/>
          <w:sz w:val="20"/>
          <w:szCs w:val="20"/>
        </w:rPr>
        <w:t xml:space="preserve"> </w:t>
      </w:r>
      <w:r w:rsidR="001D4A40" w:rsidRPr="000F36C1">
        <w:rPr>
          <w:rFonts w:ascii="Times New Roman" w:hAnsi="Times New Roman" w:cs="Times New Roman"/>
          <w:color w:val="242021"/>
          <w:sz w:val="20"/>
          <w:szCs w:val="20"/>
        </w:rPr>
        <w:t xml:space="preserve"> </w:t>
      </w:r>
      <w:r w:rsidR="001D4A40" w:rsidRPr="000F36C1">
        <w:rPr>
          <w:rFonts w:ascii="Times New Roman" w:hAnsi="Times New Roman" w:cs="Times New Roman"/>
          <w:color w:val="000000"/>
          <w:sz w:val="20"/>
          <w:szCs w:val="20"/>
        </w:rPr>
        <w:t xml:space="preserve">During the International Conference on Climate Change and the Role of Nuclear Power held in September 2019, it was revealed that SMRs are being considered by many Member States as a potential viable nuclear option to contribute </w:t>
      </w:r>
      <w:r w:rsidR="00716F3B" w:rsidRPr="000F36C1">
        <w:rPr>
          <w:rFonts w:ascii="Times New Roman" w:hAnsi="Times New Roman" w:cs="Times New Roman"/>
          <w:color w:val="000000"/>
          <w:sz w:val="20"/>
          <w:szCs w:val="20"/>
        </w:rPr>
        <w:t xml:space="preserve">to </w:t>
      </w:r>
      <w:r w:rsidR="001D4A40" w:rsidRPr="000F36C1">
        <w:rPr>
          <w:rFonts w:ascii="Times New Roman" w:hAnsi="Times New Roman" w:cs="Times New Roman"/>
          <w:color w:val="000000"/>
          <w:sz w:val="20"/>
          <w:szCs w:val="20"/>
        </w:rPr>
        <w:t>mitigating climate change</w:t>
      </w:r>
      <w:r w:rsidR="00163150"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{"citationItems":[{"id":"ITEM-1","itemData":{"abstract":"Climate change presents us with a stark challenge: to reduce greenhouse gas emissions to net zero much faster than we have done so far, or to face the increasingly catastrophic consequences of an inexorably warming planet. Warnings are all around us. The ever more frequent and devastating wildfires and floods are the result of a changing climate, confirmed in the most sombre report yet by the experts of the Intergovernmental Panel on Climate Change (IPCC). Human activity is changing the Earth’s climate in unprecedented and irreversible ways. The IPCC’s findings tell us the world must mobilize faster and at greater scale than it has done so far.\n\nPolicy makers, investors, scientists and citizens must act decisively. One crucial action is to make science based decisions to determine an energy strategy. It is time to put nuclear on an even footing with other clean technologies. Without it, we will not meet the challenge that stands before us.\n\nGlobally, nuclear power plants produce more than one quarter of all low carbon electricity. Over the past five decades, nuclear power has cumulatively avoided the emission of about 70 gigatonnes (Gt) of carbon dioxide (CO2) and continues to avoid more than 1 Gt CO2 annually. In addition, nuclear power is a dispatchable and flexible source of electricity. At a time when the use of variable renewables is growing, nuclear power makes a key contribution to energy supply security and grid stability. We caught a glimpse of a future low carbon energy mix in several countries when the world went into its pandemic driven lockdown. The ensuing drop in electricity demand partly priced out fossil fuels leaving nuclear and hydro to ensure continuity of supply, while wind and solar operated when conditions allowed.\n\nThe choice of energy sources remains a sovereign decision and every country has different needs. It is notable, however, that more and more scientists, policymakers and members of the public are recognizing nuclear as a critical part of decarbonized energy systems. In addition to the IPCC’s clear recognition of nuclear energy’s role in addressing the climate crisis, a similar message has been reiterated by energy experts, including those at the International Energy Agency. The United Nations Economic Commission for Europe calls nuclear power an “indispensable tool” for achieving the Sustainable Development Goals. Opinion polls in countries such as the USA, for example, are showing that the public supports strong politi…","author":[{"dropping-particle":"","family":"Bodel","given":"William","non-dropping-particle":"","parse-names":false,"suffix":""},{"dropping-particle":"","family":"Butler","given":"Gregg","non-dropping-particle":"","parse-names":false,"suffix":""},{"dropping-particle":"","family":"Matthews","given":"Juan","non-dropping-particle":"","parse-names":false,"suffix":""}],"container-title":"Iaea","id":"ITEM-1","issue":"June","issued":{"date-parts":[["2021"]]},"title":"Nuclear Energy for a Net Zero World","type":"article-journal"},"uris":["http://www.mendeley.com/documents/?uuid=7481c2f4-efe8-3ef4-b370-4e178bbdc685","http://www.mendeley.com/documents/?uuid=501f57f2-14f7-49dd-be75-21d48210f5cb"]}],"mendeley":{"formattedCitation":"[14]","plainTextFormattedCitation":"[14]","previouslyFormattedCitation":"[14]"},"properties":{"noteIndex":0},"schema":"https://github.com/citation-style-language/schema/raw/master/csl-citation.json"}</w:instrText>
      </w:r>
      <w:r w:rsidR="00163150"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[14]</w:t>
      </w:r>
      <w:r w:rsidR="00163150" w:rsidRPr="000F36C1">
        <w:rPr>
          <w:rFonts w:ascii="Times New Roman" w:hAnsi="Times New Roman" w:cs="Times New Roman"/>
          <w:color w:val="5B9BD5" w:themeColor="accent1"/>
          <w:sz w:val="20"/>
          <w:szCs w:val="20"/>
        </w:rPr>
        <w:fldChar w:fldCharType="end"/>
      </w:r>
      <w:r w:rsidR="00163150" w:rsidRPr="000F36C1">
        <w:rPr>
          <w:rFonts w:ascii="Times New Roman" w:hAnsi="Times New Roman" w:cs="Times New Roman"/>
          <w:color w:val="5B9BD5" w:themeColor="accent1"/>
          <w:sz w:val="20"/>
          <w:szCs w:val="20"/>
        </w:rPr>
        <w:t>.</w:t>
      </w:r>
      <w:r w:rsidR="001D4A40" w:rsidRPr="000F36C1">
        <w:rPr>
          <w:rFonts w:ascii="Times New Roman" w:hAnsi="Times New Roman" w:cs="Times New Roman"/>
          <w:color w:val="5B9BD5" w:themeColor="accent1"/>
          <w:sz w:val="20"/>
          <w:szCs w:val="20"/>
        </w:rPr>
        <w:t xml:space="preserve"> </w:t>
      </w:r>
      <w:r w:rsidR="009A54AE" w:rsidRPr="000F36C1">
        <w:rPr>
          <w:rFonts w:ascii="Times New Roman" w:hAnsi="Times New Roman" w:cs="Times New Roman"/>
          <w:color w:val="000000"/>
          <w:sz w:val="20"/>
          <w:szCs w:val="20"/>
        </w:rPr>
        <w:t>De</w:t>
      </w:r>
      <w:r w:rsidR="00A44A2C" w:rsidRPr="000F36C1">
        <w:rPr>
          <w:rFonts w:ascii="Times New Roman" w:hAnsi="Times New Roman" w:cs="Times New Roman"/>
          <w:color w:val="000000"/>
          <w:sz w:val="20"/>
          <w:szCs w:val="20"/>
        </w:rPr>
        <w:t>spite major milestone</w:t>
      </w:r>
      <w:r w:rsidR="00CE28CD" w:rsidRPr="000F36C1">
        <w:rPr>
          <w:rFonts w:ascii="Times New Roman" w:hAnsi="Times New Roman" w:cs="Times New Roman"/>
          <w:color w:val="000000"/>
          <w:sz w:val="20"/>
          <w:szCs w:val="20"/>
        </w:rPr>
        <w:t xml:space="preserve">s, that </w:t>
      </w:r>
      <w:r w:rsidR="00A44A2C" w:rsidRPr="000F36C1">
        <w:rPr>
          <w:rFonts w:ascii="Times New Roman" w:hAnsi="Times New Roman" w:cs="Times New Roman"/>
          <w:color w:val="000000"/>
          <w:sz w:val="20"/>
          <w:szCs w:val="20"/>
        </w:rPr>
        <w:t>ha</w:t>
      </w:r>
      <w:r w:rsidR="00CE28CD" w:rsidRPr="000F36C1">
        <w:rPr>
          <w:rFonts w:ascii="Times New Roman" w:hAnsi="Times New Roman" w:cs="Times New Roman"/>
          <w:color w:val="000000"/>
          <w:sz w:val="20"/>
          <w:szCs w:val="20"/>
        </w:rPr>
        <w:t>ve</w:t>
      </w:r>
      <w:r w:rsidR="00A44A2C" w:rsidRPr="000F36C1">
        <w:rPr>
          <w:rFonts w:ascii="Times New Roman" w:hAnsi="Times New Roman" w:cs="Times New Roman"/>
          <w:color w:val="000000"/>
          <w:sz w:val="20"/>
          <w:szCs w:val="20"/>
        </w:rPr>
        <w:t xml:space="preserve"> been reached </w:t>
      </w:r>
      <w:r w:rsidR="00A44A2C" w:rsidRPr="000F36C1">
        <w:rPr>
          <w:rFonts w:ascii="Times New Roman" w:hAnsi="Times New Roman" w:cs="Times New Roman"/>
          <w:color w:val="000000"/>
          <w:sz w:val="20"/>
          <w:szCs w:val="20"/>
        </w:rPr>
        <w:lastRenderedPageBreak/>
        <w:t>in SMR technology deployment in recent years, the industr</w:t>
      </w:r>
      <w:r w:rsidR="009A54AE" w:rsidRPr="000F36C1">
        <w:rPr>
          <w:rFonts w:ascii="Times New Roman" w:hAnsi="Times New Roman" w:cs="Times New Roman"/>
          <w:color w:val="000000"/>
          <w:sz w:val="20"/>
          <w:szCs w:val="20"/>
        </w:rPr>
        <w:t xml:space="preserve">y is still challenged by </w:t>
      </w:r>
      <w:r w:rsidR="00592ABE" w:rsidRPr="000F36C1">
        <w:rPr>
          <w:rFonts w:ascii="Times New Roman" w:hAnsi="Times New Roman" w:cs="Times New Roman"/>
          <w:color w:val="000000"/>
          <w:sz w:val="20"/>
          <w:szCs w:val="20"/>
        </w:rPr>
        <w:t>several</w:t>
      </w:r>
      <w:r w:rsidR="00A44A2C" w:rsidRPr="000F36C1">
        <w:rPr>
          <w:rFonts w:ascii="Times New Roman" w:hAnsi="Times New Roman" w:cs="Times New Roman"/>
          <w:color w:val="000000"/>
          <w:sz w:val="20"/>
          <w:szCs w:val="20"/>
        </w:rPr>
        <w:t xml:space="preserve"> factors.</w:t>
      </w:r>
      <w:r w:rsidR="009A54AE" w:rsidRPr="000F36C1">
        <w:rPr>
          <w:rFonts w:ascii="Times New Roman" w:hAnsi="Times New Roman" w:cs="Times New Roman"/>
          <w:color w:val="000000"/>
          <w:sz w:val="20"/>
          <w:szCs w:val="20"/>
        </w:rPr>
        <w:t xml:space="preserve"> </w:t>
      </w:r>
      <w:r w:rsidR="009A54AE" w:rsidRPr="000F36C1">
        <w:rPr>
          <w:rFonts w:ascii="Times New Roman" w:hAnsi="Times New Roman" w:cs="Times New Roman"/>
          <w:color w:val="242021"/>
          <w:sz w:val="20"/>
          <w:szCs w:val="20"/>
        </w:rPr>
        <w:t xml:space="preserve">Two quite different deployments are being considered: </w:t>
      </w:r>
    </w:p>
    <w:p w14:paraId="71C6DA25" w14:textId="580FFFE8" w:rsidR="009A54AE" w:rsidRPr="000F36C1" w:rsidRDefault="00592ABE" w:rsidP="00731B07">
      <w:pPr>
        <w:pStyle w:val="ListParagraph"/>
        <w:numPr>
          <w:ilvl w:val="0"/>
          <w:numId w:val="1"/>
        </w:numPr>
        <w:spacing w:after="0"/>
        <w:jc w:val="both"/>
        <w:rPr>
          <w:rFonts w:ascii="Times New Roman" w:hAnsi="Times New Roman" w:cs="Times New Roman"/>
          <w:color w:val="242021"/>
          <w:sz w:val="20"/>
          <w:szCs w:val="20"/>
        </w:rPr>
      </w:pPr>
      <w:r w:rsidRPr="000F36C1">
        <w:rPr>
          <w:rFonts w:ascii="Times New Roman" w:hAnsi="Times New Roman" w:cs="Times New Roman"/>
          <w:color w:val="242021"/>
          <w:sz w:val="20"/>
          <w:szCs w:val="20"/>
        </w:rPr>
        <w:t>In-groups</w:t>
      </w:r>
      <w:r w:rsidR="009A54AE" w:rsidRPr="000F36C1">
        <w:rPr>
          <w:rFonts w:ascii="Times New Roman" w:hAnsi="Times New Roman" w:cs="Times New Roman"/>
          <w:color w:val="242021"/>
          <w:sz w:val="20"/>
          <w:szCs w:val="20"/>
        </w:rPr>
        <w:t>, where several small reactors are an alternative to one large one; and</w:t>
      </w:r>
    </w:p>
    <w:p w14:paraId="74ABAFEE" w14:textId="77777777" w:rsidR="009A54AE" w:rsidRPr="000F36C1" w:rsidRDefault="009A54AE" w:rsidP="00731B07">
      <w:pPr>
        <w:pStyle w:val="ListParagraph"/>
        <w:numPr>
          <w:ilvl w:val="0"/>
          <w:numId w:val="1"/>
        </w:numPr>
        <w:spacing w:after="0"/>
        <w:jc w:val="both"/>
        <w:rPr>
          <w:rFonts w:ascii="Times New Roman" w:hAnsi="Times New Roman" w:cs="Times New Roman"/>
          <w:color w:val="000000"/>
          <w:sz w:val="20"/>
          <w:szCs w:val="20"/>
        </w:rPr>
      </w:pPr>
      <w:r w:rsidRPr="000F36C1">
        <w:rPr>
          <w:rFonts w:ascii="Times New Roman" w:hAnsi="Times New Roman" w:cs="Times New Roman"/>
          <w:color w:val="242021"/>
          <w:sz w:val="20"/>
          <w:szCs w:val="20"/>
        </w:rPr>
        <w:t>Individually, in remote, isolated locations where a large reactor is unsuitable.</w:t>
      </w:r>
    </w:p>
    <w:p w14:paraId="79892C47" w14:textId="77777777" w:rsidR="009A54AE" w:rsidRPr="000F36C1" w:rsidRDefault="009A54AE" w:rsidP="00731B07">
      <w:pPr>
        <w:spacing w:after="0"/>
        <w:jc w:val="both"/>
        <w:rPr>
          <w:rFonts w:ascii="Times New Roman" w:hAnsi="Times New Roman" w:cs="Times New Roman"/>
          <w:sz w:val="20"/>
          <w:szCs w:val="20"/>
        </w:rPr>
      </w:pPr>
      <w:r w:rsidRPr="000F36C1">
        <w:rPr>
          <w:rFonts w:ascii="Times New Roman" w:hAnsi="Times New Roman" w:cs="Times New Roman"/>
          <w:sz w:val="20"/>
          <w:szCs w:val="20"/>
        </w:rPr>
        <w:t>This review explores the challenges and opportunities in developing a safety case for SMRs, focusing on Ghana's unique perspective. It highlights the importance of safety in nuclear power development and sets the stage for the discussion that follows.</w:t>
      </w:r>
    </w:p>
    <w:p w14:paraId="7ED13EF6" w14:textId="77777777" w:rsidR="007B79EF" w:rsidRPr="0036753D" w:rsidRDefault="007B79EF" w:rsidP="0036753D">
      <w:pPr>
        <w:spacing w:after="0"/>
        <w:rPr>
          <w:rFonts w:ascii="Times New Roman" w:hAnsi="Times New Roman" w:cs="Times New Roman"/>
          <w:b/>
          <w:bCs/>
          <w:sz w:val="24"/>
          <w:szCs w:val="24"/>
        </w:rPr>
      </w:pPr>
    </w:p>
    <w:p w14:paraId="792562A9" w14:textId="08E7BEF9" w:rsidR="009A54AE" w:rsidRPr="000F36C1" w:rsidRDefault="005813B9" w:rsidP="0036753D">
      <w:pPr>
        <w:spacing w:after="0"/>
        <w:rPr>
          <w:rFonts w:ascii="Times New Roman" w:hAnsi="Times New Roman" w:cs="Times New Roman"/>
          <w:b/>
          <w:bCs/>
          <w:sz w:val="20"/>
          <w:szCs w:val="20"/>
        </w:rPr>
      </w:pPr>
      <w:r>
        <w:rPr>
          <w:rFonts w:ascii="Times New Roman" w:hAnsi="Times New Roman" w:cs="Times New Roman"/>
          <w:b/>
          <w:bCs/>
          <w:sz w:val="20"/>
          <w:szCs w:val="20"/>
        </w:rPr>
        <w:t xml:space="preserve">2. 0 </w:t>
      </w:r>
      <w:r w:rsidR="009464C0" w:rsidRPr="000F36C1">
        <w:rPr>
          <w:rFonts w:ascii="Times New Roman" w:hAnsi="Times New Roman" w:cs="Times New Roman"/>
          <w:b/>
          <w:bCs/>
          <w:sz w:val="20"/>
          <w:szCs w:val="20"/>
        </w:rPr>
        <w:t xml:space="preserve">SAFETY OBJECTIVES </w:t>
      </w:r>
    </w:p>
    <w:p w14:paraId="2A46DAA4" w14:textId="10961947" w:rsidR="00DB14D6" w:rsidRPr="000F36C1" w:rsidRDefault="00217061" w:rsidP="0036753D">
      <w:pPr>
        <w:spacing w:after="0"/>
        <w:jc w:val="both"/>
        <w:rPr>
          <w:rFonts w:ascii="Times New Roman" w:hAnsi="Times New Roman" w:cs="Times New Roman"/>
          <w:color w:val="242021"/>
          <w:sz w:val="20"/>
          <w:szCs w:val="20"/>
        </w:rPr>
      </w:pPr>
      <w:r w:rsidRPr="000F36C1">
        <w:rPr>
          <w:rFonts w:ascii="Times New Roman" w:hAnsi="Times New Roman" w:cs="Times New Roman"/>
          <w:color w:val="000000"/>
          <w:sz w:val="20"/>
          <w:szCs w:val="20"/>
        </w:rPr>
        <w:t>Safety management</w:t>
      </w:r>
      <w:r w:rsidR="001241C9" w:rsidRPr="000F36C1">
        <w:rPr>
          <w:rFonts w:ascii="Times New Roman" w:hAnsi="Times New Roman" w:cs="Times New Roman"/>
          <w:color w:val="000000"/>
          <w:sz w:val="20"/>
          <w:szCs w:val="20"/>
        </w:rPr>
        <w:t xml:space="preserve"> ensures that safety risks have been identified, prevented, and mitigated</w:t>
      </w:r>
      <w:r w:rsidR="00F97D82">
        <w:rPr>
          <w:rFonts w:ascii="Times New Roman" w:hAnsi="Times New Roman" w:cs="Times New Roman"/>
          <w:color w:val="000000"/>
          <w:sz w:val="20"/>
          <w:szCs w:val="20"/>
        </w:rPr>
        <w:t xml:space="preserve"> or minimized</w:t>
      </w:r>
      <w:r w:rsidR="001241C9" w:rsidRPr="000F36C1">
        <w:rPr>
          <w:rFonts w:ascii="Times New Roman" w:hAnsi="Times New Roman" w:cs="Times New Roman"/>
          <w:color w:val="000000"/>
          <w:sz w:val="20"/>
          <w:szCs w:val="20"/>
        </w:rPr>
        <w:t>. The goal of safety management is to protect from injury, losses, and accidents. Safety management applies a set of principles, processes</w:t>
      </w:r>
      <w:r w:rsidR="00DB63B6" w:rsidRPr="000F36C1">
        <w:rPr>
          <w:rFonts w:ascii="Times New Roman" w:hAnsi="Times New Roman" w:cs="Times New Roman"/>
          <w:color w:val="000000"/>
          <w:sz w:val="20"/>
          <w:szCs w:val="20"/>
        </w:rPr>
        <w:t>,</w:t>
      </w:r>
      <w:r w:rsidR="001241C9" w:rsidRPr="000F36C1">
        <w:rPr>
          <w:rFonts w:ascii="Times New Roman" w:hAnsi="Times New Roman" w:cs="Times New Roman"/>
          <w:color w:val="000000"/>
          <w:sz w:val="20"/>
          <w:szCs w:val="20"/>
        </w:rPr>
        <w:t xml:space="preserve"> and measures to fulfil its tasks.</w:t>
      </w:r>
      <w:r w:rsidRPr="000F36C1">
        <w:rPr>
          <w:rFonts w:ascii="Times New Roman" w:hAnsi="Times New Roman" w:cs="Times New Roman"/>
          <w:color w:val="000000"/>
          <w:sz w:val="20"/>
          <w:szCs w:val="20"/>
        </w:rPr>
        <w:t xml:space="preserve"> </w:t>
      </w:r>
      <w:r w:rsidR="009A54AE" w:rsidRPr="000F36C1">
        <w:rPr>
          <w:rFonts w:ascii="Times New Roman" w:hAnsi="Times New Roman" w:cs="Times New Roman"/>
          <w:color w:val="242021"/>
          <w:sz w:val="20"/>
          <w:szCs w:val="20"/>
        </w:rPr>
        <w:t>The severe accident in March 2011 involving several nuclear reacto</w:t>
      </w:r>
      <w:r w:rsidRPr="000F36C1">
        <w:rPr>
          <w:rFonts w:ascii="Times New Roman" w:hAnsi="Times New Roman" w:cs="Times New Roman"/>
          <w:color w:val="242021"/>
          <w:sz w:val="20"/>
          <w:szCs w:val="20"/>
        </w:rPr>
        <w:t>rs at Fukushima</w:t>
      </w:r>
      <w:r w:rsidR="009A54AE" w:rsidRPr="000F36C1">
        <w:rPr>
          <w:rFonts w:ascii="Times New Roman" w:hAnsi="Times New Roman" w:cs="Times New Roman"/>
          <w:color w:val="242021"/>
          <w:sz w:val="20"/>
          <w:szCs w:val="20"/>
        </w:rPr>
        <w:t xml:space="preserve"> in Japan brought renewed attention to reactor safety. The radiation release resulted in the evacuation of towns, the deliberate destruction of contaminated crops and food, and abundant anxiety and distress.</w:t>
      </w:r>
      <w:r w:rsidR="004B1BF3" w:rsidRPr="000F36C1">
        <w:rPr>
          <w:rFonts w:ascii="Times New Roman" w:hAnsi="Times New Roman" w:cs="Times New Roman"/>
          <w:color w:val="242021"/>
          <w:sz w:val="20"/>
          <w:szCs w:val="20"/>
        </w:rPr>
        <w:t xml:space="preserve"> </w:t>
      </w:r>
      <w:r w:rsidR="00F9336F" w:rsidRPr="000F36C1">
        <w:rPr>
          <w:rFonts w:ascii="Times New Roman" w:hAnsi="Times New Roman" w:cs="Times New Roman"/>
          <w:color w:val="242021"/>
          <w:sz w:val="20"/>
          <w:szCs w:val="20"/>
        </w:rPr>
        <w:t xml:space="preserve">To ensure safety, a nuclear facility must be </w:t>
      </w:r>
      <w:r w:rsidRPr="000F36C1">
        <w:rPr>
          <w:rFonts w:ascii="Times New Roman" w:hAnsi="Times New Roman" w:cs="Times New Roman"/>
          <w:color w:val="242021"/>
          <w:sz w:val="20"/>
          <w:szCs w:val="20"/>
        </w:rPr>
        <w:t>licensed</w:t>
      </w:r>
      <w:r w:rsidR="00F9336F" w:rsidRPr="000F36C1">
        <w:rPr>
          <w:rFonts w:ascii="Times New Roman" w:hAnsi="Times New Roman" w:cs="Times New Roman"/>
          <w:color w:val="242021"/>
          <w:sz w:val="20"/>
          <w:szCs w:val="20"/>
        </w:rPr>
        <w:t>.</w:t>
      </w:r>
    </w:p>
    <w:p w14:paraId="6F6E645C" w14:textId="6B369A11" w:rsidR="00BA2EF8" w:rsidRPr="000F36C1" w:rsidRDefault="00DB14D6" w:rsidP="0036753D">
      <w:pPr>
        <w:spacing w:after="0"/>
        <w:jc w:val="both"/>
        <w:rPr>
          <w:rFonts w:ascii="Times New Roman" w:hAnsi="Times New Roman" w:cs="Times New Roman"/>
          <w:color w:val="5B9BD5" w:themeColor="accent1"/>
          <w:sz w:val="20"/>
          <w:szCs w:val="20"/>
        </w:rPr>
      </w:pPr>
      <w:r w:rsidRPr="000F36C1">
        <w:rPr>
          <w:rFonts w:ascii="Times New Roman" w:hAnsi="Times New Roman" w:cs="Times New Roman"/>
          <w:color w:val="242021"/>
          <w:sz w:val="20"/>
          <w:szCs w:val="20"/>
        </w:rPr>
        <w:t>The Convention on Nuclear Safety that was adopted at the Vienna Diplomatic Conference in 1994 and came into force two years later gives priority to nuclear safety, and when applied, requires specif</w:t>
      </w:r>
      <w:r w:rsidR="004B117C" w:rsidRPr="000F36C1">
        <w:rPr>
          <w:rFonts w:ascii="Times New Roman" w:hAnsi="Times New Roman" w:cs="Times New Roman"/>
          <w:color w:val="242021"/>
          <w:sz w:val="20"/>
          <w:szCs w:val="20"/>
        </w:rPr>
        <w:t>ic safety standards to be iden</w:t>
      </w:r>
      <w:r w:rsidRPr="000F36C1">
        <w:rPr>
          <w:rFonts w:ascii="Times New Roman" w:hAnsi="Times New Roman" w:cs="Times New Roman"/>
          <w:color w:val="242021"/>
          <w:sz w:val="20"/>
          <w:szCs w:val="20"/>
        </w:rPr>
        <w:t xml:space="preserve">tified and followed. Article 3, Paragraph </w:t>
      </w:r>
      <w:r w:rsidR="004B117C" w:rsidRPr="000F36C1">
        <w:rPr>
          <w:rFonts w:ascii="Times New Roman" w:hAnsi="Times New Roman" w:cs="Times New Roman"/>
          <w:color w:val="242021"/>
          <w:sz w:val="20"/>
          <w:szCs w:val="20"/>
        </w:rPr>
        <w:t>6 of the “Statute of the Inter</w:t>
      </w:r>
      <w:r w:rsidRPr="000F36C1">
        <w:rPr>
          <w:rFonts w:ascii="Times New Roman" w:hAnsi="Times New Roman" w:cs="Times New Roman"/>
          <w:color w:val="242021"/>
          <w:sz w:val="20"/>
          <w:szCs w:val="20"/>
        </w:rPr>
        <w:t xml:space="preserve">national Atomic Energy Agency (IAEA)” </w:t>
      </w:r>
      <w:r w:rsidR="00B73133" w:rsidRPr="000F36C1">
        <w:rPr>
          <w:rFonts w:ascii="Times New Roman" w:hAnsi="Times New Roman" w:cs="Times New Roman"/>
          <w:color w:val="242021"/>
          <w:sz w:val="20"/>
          <w:szCs w:val="20"/>
        </w:rPr>
        <w:t>stipulates that the IAEA is au</w:t>
      </w:r>
      <w:r w:rsidRPr="000F36C1">
        <w:rPr>
          <w:rFonts w:ascii="Times New Roman" w:hAnsi="Times New Roman" w:cs="Times New Roman"/>
          <w:color w:val="242021"/>
          <w:sz w:val="20"/>
          <w:szCs w:val="20"/>
        </w:rPr>
        <w:t>thorized to establish or adopt standards of safety to safeguard health and minimize danger to life and propert</w:t>
      </w:r>
      <w:r w:rsidR="004B117C" w:rsidRPr="000F36C1">
        <w:rPr>
          <w:rFonts w:ascii="Times New Roman" w:hAnsi="Times New Roman" w:cs="Times New Roman"/>
          <w:color w:val="242021"/>
          <w:sz w:val="20"/>
          <w:szCs w:val="20"/>
        </w:rPr>
        <w:t>y and to provide for the appli</w:t>
      </w:r>
      <w:r w:rsidRPr="000F36C1">
        <w:rPr>
          <w:rFonts w:ascii="Times New Roman" w:hAnsi="Times New Roman" w:cs="Times New Roman"/>
          <w:color w:val="242021"/>
          <w:sz w:val="20"/>
          <w:szCs w:val="20"/>
        </w:rPr>
        <w:t>cation of these standards. Based on the provi</w:t>
      </w:r>
      <w:r w:rsidR="004B117C" w:rsidRPr="000F36C1">
        <w:rPr>
          <w:rFonts w:ascii="Times New Roman" w:hAnsi="Times New Roman" w:cs="Times New Roman"/>
          <w:color w:val="242021"/>
          <w:sz w:val="20"/>
          <w:szCs w:val="20"/>
        </w:rPr>
        <w:t>sions of this authoriza</w:t>
      </w:r>
      <w:r w:rsidRPr="000F36C1">
        <w:rPr>
          <w:rFonts w:ascii="Times New Roman" w:hAnsi="Times New Roman" w:cs="Times New Roman"/>
          <w:color w:val="242021"/>
          <w:sz w:val="20"/>
          <w:szCs w:val="20"/>
        </w:rPr>
        <w:t>tion, the IAEA has published the “Fundamental Safety Principles”</w:t>
      </w:r>
      <w:r w:rsidR="004E3C3E">
        <w:rPr>
          <w:rFonts w:ascii="Times New Roman" w:hAnsi="Times New Roman" w:cs="Times New Roman"/>
          <w:color w:val="242021"/>
          <w:sz w:val="20"/>
          <w:szCs w:val="20"/>
        </w:rPr>
        <w:t xml:space="preserve"> </w:t>
      </w:r>
      <w:r w:rsidR="004E3C3E">
        <w:rPr>
          <w:rFonts w:ascii="Times New Roman" w:hAnsi="Times New Roman" w:cs="Times New Roman"/>
          <w:color w:val="242021"/>
          <w:sz w:val="20"/>
          <w:szCs w:val="20"/>
        </w:rPr>
        <w:fldChar w:fldCharType="begin" w:fldLock="1"/>
      </w:r>
      <w:r w:rsidR="000E2748">
        <w:rPr>
          <w:rFonts w:ascii="Times New Roman" w:hAnsi="Times New Roman" w:cs="Times New Roman"/>
          <w:color w:val="242021"/>
          <w:sz w:val="20"/>
          <w:szCs w:val="20"/>
        </w:rPr>
        <w:instrText>ADDIN CSL_CITATION {"citationItems":[{"id":"ITEM-1","itemData":{"DOI":"10.1007/978-94-007-0247-9_1","ISBN":"9789400702462","ISSN":"18746500","abstract":"International Radiation Safety Standards are developed by the IAEA under its mandate, in cooperation with a number of international organizations and based on scientific data provided by the United Nations Scientific Committee on Effects of Atomic Radiation (UNSCEAR) and radiation protection recommendation by the International Commission on Radiological Protection (ICRP). The International Basic Safety Standard (BSS) published in 1996 is the current standard. National authorities translate this into their national regulations. What is mandatory in countries are the national regulations. In Europe the European BSS is applied. Both International and European BSS are undergoing revision at this moment. This presentation will cover mechanism by which Standards are developed, salient features of the BSS and what changes are coming up. For example, some are: requirements for licensees to have medical physicists in different areas, in particular where higher radiation doses are imparted to patients; there are clarifications on the role of medical physicists; the use of Diagnostic Reference Levels (DRLs) is further strengthened; clarifications are being introduced to avoid low image quality; the concept of radiological audit has been introduced and the need for patient dose recording is emphasized. © 2011 Springer Science+Business Media B.V.","author":[{"dropping-particle":"","family":"IAEA","given":"","non-dropping-particle":"","parse-names":false,"suffix":""}],"container-title":"NATO Science for Peace and Security Series B: Physics and Biophysics","id":"ITEM-1","issued":{"date-parts":[["2011"]]},"number-of-pages":"3-7","title":"International safety standards No. SF-1","type":"book","volume":"2"},"uris":["http://www.mendeley.com/documents/?uuid=1eb3e0fa-4012-4756-86aa-7e924925ecd9"]}],"mendeley":{"formattedCitation":"[15]","plainTextFormattedCitation":"[15]","previouslyFormattedCitation":"[15]"},"properties":{"noteIndex":0},"schema":"https://github.com/citation-style-language/schema/raw/master/csl-citation.json"}</w:instrText>
      </w:r>
      <w:r w:rsidR="004E3C3E">
        <w:rPr>
          <w:rFonts w:ascii="Times New Roman" w:hAnsi="Times New Roman" w:cs="Times New Roman"/>
          <w:color w:val="242021"/>
          <w:sz w:val="20"/>
          <w:szCs w:val="20"/>
        </w:rPr>
        <w:fldChar w:fldCharType="separate"/>
      </w:r>
      <w:r w:rsidR="00304D87" w:rsidRPr="00304D87">
        <w:rPr>
          <w:rFonts w:ascii="Times New Roman" w:hAnsi="Times New Roman" w:cs="Times New Roman"/>
          <w:noProof/>
          <w:color w:val="242021"/>
          <w:sz w:val="20"/>
          <w:szCs w:val="20"/>
        </w:rPr>
        <w:t>[15]</w:t>
      </w:r>
      <w:r w:rsidR="004E3C3E">
        <w:rPr>
          <w:rFonts w:ascii="Times New Roman" w:hAnsi="Times New Roman" w:cs="Times New Roman"/>
          <w:color w:val="242021"/>
          <w:sz w:val="20"/>
          <w:szCs w:val="20"/>
        </w:rPr>
        <w:fldChar w:fldCharType="end"/>
      </w:r>
      <w:r w:rsidRPr="000F36C1">
        <w:rPr>
          <w:rFonts w:ascii="Times New Roman" w:hAnsi="Times New Roman" w:cs="Times New Roman"/>
          <w:color w:val="242021"/>
          <w:sz w:val="20"/>
          <w:szCs w:val="20"/>
        </w:rPr>
        <w:t>, a document that focuses on the fundam</w:t>
      </w:r>
      <w:r w:rsidR="00CC6A6B" w:rsidRPr="000F36C1">
        <w:rPr>
          <w:rFonts w:ascii="Times New Roman" w:hAnsi="Times New Roman" w:cs="Times New Roman"/>
          <w:color w:val="242021"/>
          <w:sz w:val="20"/>
          <w:szCs w:val="20"/>
        </w:rPr>
        <w:t xml:space="preserve">ental </w:t>
      </w:r>
      <w:r w:rsidR="00992441">
        <w:rPr>
          <w:rFonts w:ascii="Times New Roman" w:hAnsi="Times New Roman" w:cs="Times New Roman"/>
          <w:color w:val="242021"/>
          <w:sz w:val="20"/>
          <w:szCs w:val="20"/>
        </w:rPr>
        <w:t>principles</w:t>
      </w:r>
      <w:r w:rsidR="00CC6A6B" w:rsidRPr="000F36C1">
        <w:rPr>
          <w:rFonts w:ascii="Times New Roman" w:hAnsi="Times New Roman" w:cs="Times New Roman"/>
          <w:color w:val="242021"/>
          <w:sz w:val="20"/>
          <w:szCs w:val="20"/>
        </w:rPr>
        <w:t xml:space="preserve"> for the con</w:t>
      </w:r>
      <w:r w:rsidRPr="000F36C1">
        <w:rPr>
          <w:rFonts w:ascii="Times New Roman" w:hAnsi="Times New Roman" w:cs="Times New Roman"/>
          <w:color w:val="242021"/>
          <w:sz w:val="20"/>
          <w:szCs w:val="20"/>
        </w:rPr>
        <w:t>duct of activities and management re</w:t>
      </w:r>
      <w:r w:rsidR="00CC6A6B" w:rsidRPr="000F36C1">
        <w:rPr>
          <w:rFonts w:ascii="Times New Roman" w:hAnsi="Times New Roman" w:cs="Times New Roman"/>
          <w:color w:val="242021"/>
          <w:sz w:val="20"/>
          <w:szCs w:val="20"/>
        </w:rPr>
        <w:t>lated to the use of nuclear en</w:t>
      </w:r>
      <w:r w:rsidRPr="000F36C1">
        <w:rPr>
          <w:rFonts w:ascii="Times New Roman" w:hAnsi="Times New Roman" w:cs="Times New Roman"/>
          <w:color w:val="242021"/>
          <w:sz w:val="20"/>
          <w:szCs w:val="20"/>
        </w:rPr>
        <w:t>ergy and ionizing radiation from a per</w:t>
      </w:r>
      <w:r w:rsidR="00CC6A6B" w:rsidRPr="000F36C1">
        <w:rPr>
          <w:rFonts w:ascii="Times New Roman" w:hAnsi="Times New Roman" w:cs="Times New Roman"/>
          <w:color w:val="242021"/>
          <w:sz w:val="20"/>
          <w:szCs w:val="20"/>
        </w:rPr>
        <w:t>spective of nuclear safety tech</w:t>
      </w:r>
      <w:r w:rsidRPr="000F36C1">
        <w:rPr>
          <w:rFonts w:ascii="Times New Roman" w:hAnsi="Times New Roman" w:cs="Times New Roman"/>
          <w:color w:val="242021"/>
          <w:sz w:val="20"/>
          <w:szCs w:val="20"/>
        </w:rPr>
        <w:t>nology. It is considered the fou</w:t>
      </w:r>
      <w:r w:rsidR="00CC6A6B" w:rsidRPr="000F36C1">
        <w:rPr>
          <w:rFonts w:ascii="Times New Roman" w:hAnsi="Times New Roman" w:cs="Times New Roman"/>
          <w:color w:val="242021"/>
          <w:sz w:val="20"/>
          <w:szCs w:val="20"/>
        </w:rPr>
        <w:t>ndational and overarching stan</w:t>
      </w:r>
      <w:r w:rsidRPr="000F36C1">
        <w:rPr>
          <w:rFonts w:ascii="Times New Roman" w:hAnsi="Times New Roman" w:cs="Times New Roman"/>
          <w:color w:val="242021"/>
          <w:sz w:val="20"/>
          <w:szCs w:val="20"/>
        </w:rPr>
        <w:t>dard for all specific safety requirements and guidelines developed by the IAEA in the field of nuclear safety</w:t>
      </w:r>
      <w:r w:rsidR="00631362">
        <w:rPr>
          <w:rFonts w:ascii="Times New Roman" w:hAnsi="Times New Roman" w:cs="Times New Roman"/>
          <w:color w:val="5B9BD5" w:themeColor="accent1"/>
          <w:sz w:val="20"/>
          <w:szCs w:val="20"/>
        </w:rPr>
        <w:t xml:space="preserve"> </w:t>
      </w:r>
      <w:r w:rsidR="00631362">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{"citationItems":[{"id":"ITEM-1","itemData":{"DOI":"10.1016/j.cjpre.2024.03.002","ISSN":"23254262","abstract":"The disposal of contaminated water from Japan's Fukushima nuclear power plant is a significant international nuclear safety issue with considerable cross-border implications. This matter requires compliance not only with the law of the sea but also with the principles of nuclear safety under international law. These principles serve as the overarching tenet of international and China's domestic nuclear laws, applicable to nuclear facilities and activities. The principle of safety in nuclear activities is fully recognized in international and domestic laws, carrying broad legal binding force. Japan's discharge of nuclear-contaminated water into the sea violates its obligations under the principle of safety in nuclear activities, including commitments to optimum protection, as low as reasonably practicable, and prevention. The Japanese government and the International Atomic Energy Agency (IAEA) have breached the obligation of optimum protection by restricting the scope of assessments, substituting core concepts, and shielding dissenting views. In the absence of clear radiation standards, they have acted unilaterally without fulfilling the obligation as low as reasonably practicable principle. The discharge of Fukushima nuclear-contaminated water poses an imminent and unpredictable risk to all countries worldwide, including Japanese residents. Japan and the IAEA should fulfill their obligations under international law regarding disposal, adhering to the principles of nuclear safety, including optimum protection, the obligation as low as reasonably practicable, and prevention through multilateral cooperation. Specifically, the obligation to provide optimum protection should be implemented by re-evaluating the most reliable disposal technologies and methods currently available and comprehensively assessing various options. The standard of the obligation as low as reasonably practicable requires that the minimization of negative impacts on human health, livelihoods, and the environment should not be subordinated to considerations of cutting costs and expenses. Multilateral cooperation should be promoted through the establishment of sound multilateral long-term monitoring mechanisms for the discharge of nuclear-contaminated water, notification and consultation obligations, and periodic assessments. These obligations under international law were fulfilled after the accidents at the Three Mile Island and Chernobyl nuclear power plants. The implications of the p…","author":[{"dropping-particle":"","family":"Gong","given":"Wei","non-dropping-particle":"","parse-names":false,"suffix":""}],"container-title":"Chinese Journal of Population Resources and Environment","id":"ITEM-1","issue":"1","issued":{"date-parts":[["2024"]]},"page":"10-19","publisher":"Elsevier","title":"International law obligations for the disposal of Fukushima nuclear-contaminated water under the principles of nuclear safety","type":"article-journal","volume":"22"},"uris":["http://www.mendeley.com/documents/?uuid=ed7d787d-e620-43df-af37-6e44666e5e83"]}],"mendeley":{"formattedCitation":"[16]","plainTextFormattedCitation":"[16]","previouslyFormattedCitation":"[16]"},"properties":{"noteIndex":0},"schema":"https://github.com/citation-style-language/schema/raw/master/csl-citation.json"}</w:instrText>
      </w:r>
      <w:r w:rsidR="00631362">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[16]</w:t>
      </w:r>
      <w:r w:rsidR="00631362">
        <w:rPr>
          <w:rFonts w:ascii="Times New Roman" w:hAnsi="Times New Roman" w:cs="Times New Roman"/>
          <w:color w:val="5B9BD5" w:themeColor="accent1"/>
          <w:sz w:val="20"/>
          <w:szCs w:val="20"/>
        </w:rPr>
        <w:fldChar w:fldCharType="end"/>
      </w:r>
      <w:r w:rsidRPr="000F36C1">
        <w:rPr>
          <w:rFonts w:ascii="Times New Roman" w:hAnsi="Times New Roman" w:cs="Times New Roman"/>
          <w:color w:val="5B9BD5" w:themeColor="accent1"/>
          <w:sz w:val="20"/>
          <w:szCs w:val="20"/>
        </w:rPr>
        <w:t xml:space="preserve">. </w:t>
      </w:r>
      <w:r w:rsidR="00F9336F" w:rsidRPr="000F36C1">
        <w:rPr>
          <w:rFonts w:ascii="Times New Roman" w:hAnsi="Times New Roman" w:cs="Times New Roman"/>
          <w:color w:val="5B9BD5" w:themeColor="accent1"/>
          <w:sz w:val="20"/>
          <w:szCs w:val="20"/>
        </w:rPr>
        <w:t xml:space="preserve"> </w:t>
      </w:r>
    </w:p>
    <w:p w14:paraId="2ED089C1" w14:textId="15297BEC" w:rsidR="00A73994" w:rsidRPr="000F36C1" w:rsidRDefault="00217061" w:rsidP="0036753D">
      <w:pPr>
        <w:spacing w:after="0"/>
        <w:jc w:val="both"/>
        <w:rPr>
          <w:rFonts w:ascii="Times New Roman" w:hAnsi="Times New Roman" w:cs="Times New Roman"/>
          <w:color w:val="2196D1"/>
          <w:sz w:val="20"/>
          <w:szCs w:val="20"/>
        </w:rPr>
      </w:pPr>
      <w:r w:rsidRPr="000F36C1">
        <w:rPr>
          <w:rFonts w:ascii="Times New Roman" w:hAnsi="Times New Roman" w:cs="Times New Roman"/>
          <w:color w:val="000000"/>
          <w:sz w:val="20"/>
          <w:szCs w:val="20"/>
        </w:rPr>
        <w:t>N</w:t>
      </w:r>
      <w:r w:rsidR="00F9336F" w:rsidRPr="000F36C1">
        <w:rPr>
          <w:rFonts w:ascii="Times New Roman" w:hAnsi="Times New Roman" w:cs="Times New Roman"/>
          <w:color w:val="000000"/>
          <w:sz w:val="20"/>
          <w:szCs w:val="20"/>
        </w:rPr>
        <w:t xml:space="preserve">uclear licensing is one of the first and most crucial processes in deploying </w:t>
      </w:r>
      <w:r w:rsidR="005C3A27" w:rsidRPr="000F36C1">
        <w:rPr>
          <w:rFonts w:ascii="Times New Roman" w:hAnsi="Times New Roman" w:cs="Times New Roman"/>
          <w:color w:val="000000"/>
          <w:sz w:val="20"/>
          <w:szCs w:val="20"/>
        </w:rPr>
        <w:t>an</w:t>
      </w:r>
      <w:r w:rsidR="00F9336F" w:rsidRPr="000F36C1">
        <w:rPr>
          <w:rFonts w:ascii="Times New Roman" w:hAnsi="Times New Roman" w:cs="Times New Roman"/>
          <w:color w:val="000000"/>
          <w:sz w:val="20"/>
          <w:szCs w:val="20"/>
        </w:rPr>
        <w:t xml:space="preserve"> SMR.</w:t>
      </w:r>
      <w:r w:rsidR="00142884" w:rsidRPr="000F36C1">
        <w:rPr>
          <w:rFonts w:ascii="Times New Roman" w:hAnsi="Times New Roman" w:cs="Times New Roman"/>
          <w:sz w:val="20"/>
          <w:szCs w:val="20"/>
        </w:rPr>
        <w:t xml:space="preserve"> </w:t>
      </w:r>
      <w:r w:rsidR="00F9336F" w:rsidRPr="000F36C1">
        <w:rPr>
          <w:rFonts w:ascii="Times New Roman" w:hAnsi="Times New Roman" w:cs="Times New Roman"/>
          <w:color w:val="000000"/>
          <w:sz w:val="20"/>
          <w:szCs w:val="20"/>
        </w:rPr>
        <w:t>The principal actor in a nuclear licensing process is the Nuclear Regulatory Authority (NRA),</w:t>
      </w:r>
      <w:r w:rsidR="005C3A27" w:rsidRPr="000F36C1">
        <w:rPr>
          <w:rFonts w:ascii="Times New Roman" w:hAnsi="Times New Roman" w:cs="Times New Roman"/>
          <w:color w:val="000000"/>
          <w:sz w:val="20"/>
          <w:szCs w:val="20"/>
        </w:rPr>
        <w:t xml:space="preserve"> which evaluates if all the applicable safety, security</w:t>
      </w:r>
      <w:r w:rsidR="0074329F" w:rsidRPr="000F36C1">
        <w:rPr>
          <w:rFonts w:ascii="Times New Roman" w:hAnsi="Times New Roman" w:cs="Times New Roman"/>
          <w:color w:val="000000"/>
          <w:sz w:val="20"/>
          <w:szCs w:val="20"/>
        </w:rPr>
        <w:t>,</w:t>
      </w:r>
      <w:r w:rsidR="005C3A27" w:rsidRPr="000F36C1">
        <w:rPr>
          <w:rFonts w:ascii="Times New Roman" w:hAnsi="Times New Roman" w:cs="Times New Roman"/>
          <w:color w:val="000000"/>
          <w:sz w:val="20"/>
          <w:szCs w:val="20"/>
        </w:rPr>
        <w:t xml:space="preserve"> and other licensing criteria are satisfied, and the applicant, </w:t>
      </w:r>
      <w:r w:rsidR="00783EE8" w:rsidRPr="000F36C1">
        <w:rPr>
          <w:rFonts w:ascii="Times New Roman" w:hAnsi="Times New Roman" w:cs="Times New Roman"/>
          <w:color w:val="000000"/>
          <w:sz w:val="20"/>
          <w:szCs w:val="20"/>
        </w:rPr>
        <w:t xml:space="preserve">who </w:t>
      </w:r>
      <w:r w:rsidR="005C3A27" w:rsidRPr="000F36C1">
        <w:rPr>
          <w:rFonts w:ascii="Times New Roman" w:hAnsi="Times New Roman" w:cs="Times New Roman"/>
          <w:color w:val="000000"/>
          <w:sz w:val="20"/>
          <w:szCs w:val="20"/>
        </w:rPr>
        <w:t>shows compliance with the relevant nuclear safety requirements.</w:t>
      </w:r>
      <w:r w:rsidR="005C3A27" w:rsidRPr="000F36C1">
        <w:rPr>
          <w:rFonts w:ascii="Times New Roman" w:hAnsi="Times New Roman" w:cs="Times New Roman"/>
          <w:sz w:val="20"/>
          <w:szCs w:val="20"/>
        </w:rPr>
        <w:t xml:space="preserve"> </w:t>
      </w:r>
      <w:r w:rsidR="00CC6A6B" w:rsidRPr="000F36C1">
        <w:rPr>
          <w:rFonts w:ascii="Times New Roman" w:hAnsi="Times New Roman" w:cs="Times New Roman"/>
          <w:sz w:val="20"/>
          <w:szCs w:val="20"/>
        </w:rPr>
        <w:t xml:space="preserve"> </w:t>
      </w:r>
      <w:r w:rsidR="00CC6A6B" w:rsidRPr="000F36C1">
        <w:rPr>
          <w:rFonts w:ascii="Times New Roman" w:hAnsi="Times New Roman" w:cs="Times New Roman"/>
          <w:color w:val="000000"/>
          <w:sz w:val="20"/>
          <w:szCs w:val="20"/>
        </w:rPr>
        <w:t>The Nuclear Regulatory Authority Act 2015 (Act</w:t>
      </w:r>
      <w:r w:rsidR="0074329F" w:rsidRPr="000F36C1">
        <w:rPr>
          <w:rFonts w:ascii="Times New Roman" w:hAnsi="Times New Roman" w:cs="Times New Roman"/>
          <w:color w:val="000000"/>
          <w:sz w:val="20"/>
          <w:szCs w:val="20"/>
        </w:rPr>
        <w:t xml:space="preserve"> </w:t>
      </w:r>
      <w:r w:rsidR="00CC6A6B" w:rsidRPr="000F36C1">
        <w:rPr>
          <w:rFonts w:ascii="Times New Roman" w:hAnsi="Times New Roman" w:cs="Times New Roman"/>
          <w:color w:val="000000"/>
          <w:sz w:val="20"/>
          <w:szCs w:val="20"/>
        </w:rPr>
        <w:t>895) applies to all activities and practices involving the peaceful uses of radiation, nuclear</w:t>
      </w:r>
      <w:r w:rsidR="00783EE8" w:rsidRPr="000F36C1">
        <w:rPr>
          <w:rFonts w:ascii="Times New Roman" w:hAnsi="Times New Roman" w:cs="Times New Roman"/>
          <w:color w:val="000000"/>
          <w:sz w:val="20"/>
          <w:szCs w:val="20"/>
        </w:rPr>
        <w:t>,</w:t>
      </w:r>
      <w:r w:rsidR="00CC6A6B" w:rsidRPr="000F36C1">
        <w:rPr>
          <w:rFonts w:ascii="Times New Roman" w:hAnsi="Times New Roman" w:cs="Times New Roman"/>
          <w:color w:val="000000"/>
          <w:sz w:val="20"/>
          <w:szCs w:val="20"/>
        </w:rPr>
        <w:t xml:space="preserve"> and radioactive material conducted under the jurisdiction of Ghana. The Act establishes the Nuclear</w:t>
      </w:r>
      <w:r w:rsidR="00BA2EF8" w:rsidRPr="000F36C1">
        <w:rPr>
          <w:rFonts w:ascii="Times New Roman" w:hAnsi="Times New Roman" w:cs="Times New Roman"/>
          <w:color w:val="000000"/>
          <w:sz w:val="20"/>
          <w:szCs w:val="20"/>
        </w:rPr>
        <w:t xml:space="preserve"> </w:t>
      </w:r>
      <w:r w:rsidR="00CC6A6B" w:rsidRPr="000F36C1">
        <w:rPr>
          <w:rFonts w:ascii="Times New Roman" w:hAnsi="Times New Roman" w:cs="Times New Roman"/>
          <w:color w:val="000000"/>
          <w:sz w:val="20"/>
          <w:szCs w:val="20"/>
        </w:rPr>
        <w:t>Regulatory Authority and provides for the regulation and management of activities and practices for the peaceful use of nuclear material or energy, radioactive material</w:t>
      </w:r>
      <w:r w:rsidR="005E4B3B" w:rsidRPr="000F36C1">
        <w:rPr>
          <w:rFonts w:ascii="Times New Roman" w:hAnsi="Times New Roman" w:cs="Times New Roman"/>
          <w:color w:val="000000"/>
          <w:sz w:val="20"/>
          <w:szCs w:val="20"/>
        </w:rPr>
        <w:t>,</w:t>
      </w:r>
      <w:r w:rsidR="00CC6A6B" w:rsidRPr="000F36C1">
        <w:rPr>
          <w:rFonts w:ascii="Times New Roman" w:hAnsi="Times New Roman" w:cs="Times New Roman"/>
          <w:color w:val="000000"/>
          <w:sz w:val="20"/>
          <w:szCs w:val="20"/>
        </w:rPr>
        <w:t xml:space="preserve"> or radiation.</w:t>
      </w:r>
      <w:r w:rsidR="00F9336F" w:rsidRPr="000F36C1">
        <w:rPr>
          <w:rFonts w:ascii="Times New Roman" w:hAnsi="Times New Roman" w:cs="Times New Roman"/>
          <w:color w:val="000000"/>
          <w:sz w:val="20"/>
          <w:szCs w:val="20"/>
        </w:rPr>
        <w:t xml:space="preserve"> The prevailing licensing systems in most countries with nuclear power </w:t>
      </w:r>
      <w:r w:rsidRPr="000F36C1">
        <w:rPr>
          <w:rFonts w:ascii="Times New Roman" w:hAnsi="Times New Roman" w:cs="Times New Roman"/>
          <w:color w:val="000000"/>
          <w:sz w:val="20"/>
          <w:szCs w:val="20"/>
        </w:rPr>
        <w:t>programs</w:t>
      </w:r>
      <w:r w:rsidR="00F9336F" w:rsidRPr="000F36C1">
        <w:rPr>
          <w:rFonts w:ascii="Times New Roman" w:hAnsi="Times New Roman" w:cs="Times New Roman"/>
          <w:color w:val="000000"/>
          <w:sz w:val="20"/>
          <w:szCs w:val="20"/>
        </w:rPr>
        <w:t xml:space="preserve"> have been designed and operated in the context of large nuclear reactors </w:t>
      </w:r>
      <w:r w:rsidR="009D077B"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{"citationItems":[{"id":"ITEM-1","itemData":{"DOI":"10.1016/j.energy.2013.09.010","ISSN":"03605442","abstract":"Small modular reactor designs with power levels of less than 300MWe are being developed in several countries. While there are several potential advantages with these reactors, they are also confronted with multiple challenges. Important among these challenges is to have these new reactor designs licensed by national regulatory bodies. Because of the many novel features incorporated in different SMR (small modular reactor) designs, careful and thorough licensing procedures are critical to maintaining safety of the nuclear fleet. This paper examines how different countries have engaged in the process of licensing new reactor designs, and demonstrates both similarities and differences between countries. In many cases, designers have emphasized the safer design and deployment features of SMRs and attempted to use those features as reasons to get existing licensing requirements diluted. This raises the concern that the promised safety enhancements in SMR designs could be offset by a simultaneous relaxation of licensing requirements. © 2013 Elsevier Ltd.","author":[{"dropping-particle":"V.","family":"Ramana","given":"M.","non-dropping-particle":"","parse-names":false,"suffix":""},{"dropping-particle":"","family":"Hopkins","given":"Laura Berzak","non-dropping-particle":"","parse-names":false,"suffix":""},{"dropping-particle":"","family":"Glaser","given":"Alexander","non-dropping-particle":"","parse-names":false,"suffix":""}],"container-title":"Energy","id":"ITEM-1","issued":{"date-parts":[["2013"]]},"title":"Licensing small modular reactors","type":"article-journal","volume":"61"},"uris":["http://www.mendeley.com/documents/?uuid=e8f0ea86-0d69-4f0b-9efd-df7abfe73287","http://www.mendeley.com/documents/?uuid=f54e44ed-8a0e-36b9-b8e9-09fa84783883"]}],"mendeley":{"formattedCitation":"[10]","plainTextFormattedCitation":"[10]","previouslyFormattedCitation":"[10]"},"properties":{"noteIndex":0},"schema":"https://github.com/citation-style-language/schema/raw/master/csl-citation.json"}</w:instrText>
      </w:r>
      <w:r w:rsidR="009D077B"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[10]</w:t>
      </w:r>
      <w:r w:rsidR="009D077B" w:rsidRPr="000F36C1">
        <w:rPr>
          <w:rFonts w:ascii="Times New Roman" w:hAnsi="Times New Roman" w:cs="Times New Roman"/>
          <w:color w:val="5B9BD5" w:themeColor="accent1"/>
          <w:sz w:val="20"/>
          <w:szCs w:val="20"/>
        </w:rPr>
        <w:fldChar w:fldCharType="end"/>
      </w:r>
      <w:r w:rsidR="009D077B" w:rsidRPr="000F36C1">
        <w:rPr>
          <w:rFonts w:ascii="Times New Roman" w:hAnsi="Times New Roman" w:cs="Times New Roman"/>
          <w:color w:val="5B9BD5" w:themeColor="accent1"/>
          <w:sz w:val="20"/>
          <w:szCs w:val="20"/>
        </w:rPr>
        <w:t xml:space="preserve">, </w:t>
      </w:r>
      <w:r w:rsidR="009D077B"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{"citationItems":[{"id":"ITEM-1","itemData":{"DOI":"10.1016/j.energy.2014.12.079","ISSN":"03605442","abstract":"SMR (Small Modular Reactor) is an acronym for a group of nuclear power plant designs receiving an increasing deal of attention from the industry and policy makers. A large number of SMRs need to be built in the same site and across the word to compensate diseconomies of scale and be cost competitive with large reactors and other base-load technologies. A major barrier is the licensing process, historically developed for large reactors, preventing the simply deployment of several identical units in different countries. This paper, discussing Ramana, Hopkins and Glaser [1], enlarges the view to all the SMR-related implications on the licensing process, presenting their legislative implications and market effects.","author":[{"dropping-particle":"","family":"Sainati","given":"Tristano","non-dropping-particle":"","parse-names":false,"suffix":""},{"dropping-particle":"","family":"Locatelli","given":"Giorgio","non-dropping-particle":"","parse-names":false,"suffix":""},{"dropping-particle":"","family":"Brookes","given":"Naomi","non-dropping-particle":"","parse-names":false,"suffix":""}],"container-title":"Energy","id":"ITEM-1","issued":{"date-parts":[["2015"]]},"title":"Small Modular Reactors: Licensing constraints and the way forward","type":"article","volume":"82"},"uris":["http://www.mendeley.com/documents/?uuid=27f3ae27-7d91-3c35-875d-d43c58e9632e","http://www.mendeley.com/documents/?uuid=b09cb932-e3d2-4081-ac26-e0db5ca5c466"]}],"mendeley":{"formattedCitation":"[17]","plainTextFormattedCitation":"[17]","previouslyFormattedCitation":"[17]"},"properties":{"noteIndex":0},"schema":"https://github.com/citation-style-language/schema/raw/master/csl-citation.json"}</w:instrText>
      </w:r>
      <w:r w:rsidR="009D077B"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[17]</w:t>
      </w:r>
      <w:r w:rsidR="009D077B" w:rsidRPr="000F36C1">
        <w:rPr>
          <w:rFonts w:ascii="Times New Roman" w:hAnsi="Times New Roman" w:cs="Times New Roman"/>
          <w:color w:val="5B9BD5" w:themeColor="accent1"/>
          <w:sz w:val="20"/>
          <w:szCs w:val="20"/>
        </w:rPr>
        <w:fldChar w:fldCharType="end"/>
      </w:r>
      <w:r w:rsidR="009D077B" w:rsidRPr="000F36C1">
        <w:rPr>
          <w:rFonts w:ascii="Times New Roman" w:hAnsi="Times New Roman" w:cs="Times New Roman"/>
          <w:color w:val="5B9BD5" w:themeColor="accent1"/>
          <w:sz w:val="20"/>
          <w:szCs w:val="20"/>
        </w:rPr>
        <w:t>.</w:t>
      </w:r>
      <w:r w:rsidR="00F9336F" w:rsidRPr="000F36C1">
        <w:rPr>
          <w:rFonts w:ascii="Times New Roman" w:hAnsi="Times New Roman" w:cs="Times New Roman"/>
          <w:color w:val="000000"/>
          <w:sz w:val="20"/>
          <w:szCs w:val="20"/>
        </w:rPr>
        <w:t xml:space="preserve">Applying the same established licensing process to </w:t>
      </w:r>
      <w:r w:rsidR="0074329F" w:rsidRPr="000F36C1">
        <w:rPr>
          <w:rFonts w:ascii="Times New Roman" w:hAnsi="Times New Roman" w:cs="Times New Roman"/>
          <w:color w:val="000000"/>
          <w:sz w:val="20"/>
          <w:szCs w:val="20"/>
        </w:rPr>
        <w:t>SMRs</w:t>
      </w:r>
      <w:r w:rsidR="00F9336F" w:rsidRPr="000F36C1">
        <w:rPr>
          <w:rFonts w:ascii="Times New Roman" w:hAnsi="Times New Roman" w:cs="Times New Roman"/>
          <w:color w:val="000000"/>
          <w:sz w:val="20"/>
          <w:szCs w:val="20"/>
        </w:rPr>
        <w:t xml:space="preserve"> can present a whole new set of challenges</w:t>
      </w:r>
      <w:r w:rsidR="0074329F" w:rsidRPr="000F36C1">
        <w:rPr>
          <w:rFonts w:ascii="Times New Roman" w:hAnsi="Times New Roman" w:cs="Times New Roman"/>
          <w:color w:val="000000"/>
          <w:sz w:val="20"/>
          <w:szCs w:val="20"/>
        </w:rPr>
        <w:t>,</w:t>
      </w:r>
      <w:r w:rsidR="005E4B3B" w:rsidRPr="000F36C1">
        <w:rPr>
          <w:rFonts w:ascii="Times New Roman" w:hAnsi="Times New Roman" w:cs="Times New Roman"/>
          <w:color w:val="000000"/>
          <w:sz w:val="20"/>
          <w:szCs w:val="20"/>
        </w:rPr>
        <w:t xml:space="preserve"> </w:t>
      </w:r>
      <w:r w:rsidR="00906379" w:rsidRPr="000F36C1">
        <w:rPr>
          <w:rFonts w:ascii="Times New Roman" w:hAnsi="Times New Roman" w:cs="Times New Roman"/>
          <w:color w:val="000000"/>
          <w:sz w:val="20"/>
          <w:szCs w:val="20"/>
        </w:rPr>
        <w:t>reason being</w:t>
      </w:r>
      <w:r w:rsidR="0074329F" w:rsidRPr="000F36C1">
        <w:rPr>
          <w:rFonts w:ascii="Times New Roman" w:hAnsi="Times New Roman" w:cs="Times New Roman"/>
          <w:color w:val="000000"/>
          <w:sz w:val="20"/>
          <w:szCs w:val="20"/>
        </w:rPr>
        <w:t xml:space="preserve"> that</w:t>
      </w:r>
      <w:r w:rsidR="005E4B3B" w:rsidRPr="000F36C1">
        <w:rPr>
          <w:rFonts w:ascii="Times New Roman" w:hAnsi="Times New Roman" w:cs="Times New Roman"/>
          <w:color w:val="000000"/>
          <w:sz w:val="20"/>
          <w:szCs w:val="20"/>
        </w:rPr>
        <w:t>,</w:t>
      </w:r>
      <w:r w:rsidR="0074329F" w:rsidRPr="000F36C1">
        <w:rPr>
          <w:rFonts w:ascii="Times New Roman" w:hAnsi="Times New Roman" w:cs="Times New Roman"/>
          <w:color w:val="000000"/>
          <w:sz w:val="20"/>
          <w:szCs w:val="20"/>
        </w:rPr>
        <w:t xml:space="preserve"> </w:t>
      </w:r>
      <w:r w:rsidR="00906379" w:rsidRPr="000F36C1">
        <w:rPr>
          <w:rFonts w:ascii="Times New Roman" w:hAnsi="Times New Roman" w:cs="Times New Roman"/>
          <w:color w:val="000000"/>
          <w:sz w:val="20"/>
          <w:szCs w:val="20"/>
        </w:rPr>
        <w:t xml:space="preserve">whenever comparisons were made against Large Reactors (LR), it was used as a benchmark to </w:t>
      </w:r>
      <w:r w:rsidRPr="000F36C1">
        <w:rPr>
          <w:rFonts w:ascii="Times New Roman" w:hAnsi="Times New Roman" w:cs="Times New Roman"/>
          <w:color w:val="000000"/>
          <w:sz w:val="20"/>
          <w:szCs w:val="20"/>
        </w:rPr>
        <w:t>emphasize</w:t>
      </w:r>
      <w:r w:rsidR="00906379" w:rsidRPr="000F36C1">
        <w:rPr>
          <w:rFonts w:ascii="Times New Roman" w:hAnsi="Times New Roman" w:cs="Times New Roman"/>
          <w:color w:val="000000"/>
          <w:sz w:val="20"/>
          <w:szCs w:val="20"/>
        </w:rPr>
        <w:t xml:space="preserve"> the extent of the licensing issues in SMRs.</w:t>
      </w:r>
      <w:r w:rsidR="006F05F8" w:rsidRPr="000F36C1">
        <w:rPr>
          <w:rFonts w:ascii="Times New Roman" w:hAnsi="Times New Roman" w:cs="Times New Roman"/>
          <w:sz w:val="20"/>
          <w:szCs w:val="20"/>
        </w:rPr>
        <w:t xml:space="preserve"> </w:t>
      </w:r>
      <w:r w:rsidR="006F05F8" w:rsidRPr="000F36C1">
        <w:rPr>
          <w:rFonts w:ascii="Times New Roman" w:hAnsi="Times New Roman" w:cs="Times New Roman"/>
          <w:color w:val="000000"/>
          <w:sz w:val="20"/>
          <w:szCs w:val="20"/>
        </w:rPr>
        <w:t>The safety risk profile of SMRs differs from the LRs, as it is limited to factors such as smaller power output, reduced radioactive inventory, passive safety systems</w:t>
      </w:r>
      <w:r w:rsidR="00510B74" w:rsidRPr="000F36C1">
        <w:rPr>
          <w:rFonts w:ascii="Times New Roman" w:hAnsi="Times New Roman" w:cs="Times New Roman"/>
          <w:color w:val="000000"/>
          <w:sz w:val="20"/>
          <w:szCs w:val="20"/>
        </w:rPr>
        <w:t xml:space="preserve">, </w:t>
      </w:r>
      <w:r w:rsidR="006F05F8" w:rsidRPr="000F36C1">
        <w:rPr>
          <w:rFonts w:ascii="Times New Roman" w:hAnsi="Times New Roman" w:cs="Times New Roman"/>
          <w:color w:val="000000"/>
          <w:sz w:val="20"/>
          <w:szCs w:val="20"/>
        </w:rPr>
        <w:t xml:space="preserve">and underground location of the reactor vessels for enhanced protection against hazards </w:t>
      </w:r>
      <w:r w:rsidR="00DB0A67"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{"citationItems":[{"id":"ITEM-1","itemData":{"DOI":"10.1016/j.energy.2018.10.173","ISSN":"03605442","abstract":"It has been argued that risk and performance-based approaches to licensing would be appropriate for Small Modular Reactors (SMRs) because their risk profiles differ from large-scale reactors. This is based on several factors including their limited electrical capacity of 300 MW, the below grade reactor vessel, and passive safety features. One design feature that can significantly reduce accident severity is the larger lateral surface area-to-volume (A/V) ratio of SMRs. Following a nuclear accident, this larger A/V ratio can increase the removal of radioactive particles due to natural phenomena compared to large light water reactors (LWRs). To quantify the improvements in safety, this work estimates the airborne radioactivity within containment and environmental dose exposure in a post-accident scenario for an advanced Generation III+ LWR (AP1000), a representative Generation II LWR (Surry), and an SMR. On average, the AP1000, Surry, and SMR produces 139, 153, and 104 curies/ft3 (182, 200, and 136 terabecquerels/m3) 75 min after a Loss-of-coolant-accident (LOCA). Using Monte Carlo simulations, the SMR produces less radioactivity per volume in containment than the AP1000 and Surry 84% and 96% of the time, respectively. On average, the AP1000, Surry, and SMR produces 84, 106, and 7 thousand curies/MWth (3.1, 3.9, and 2.5 petabecquerels/MWth) 75 min after a LOCA. The larger A/V ratio of the SMR plays a substantial role in reducing the radioactivity. While it is expected that the SMR would have a lower levels of radioactivity compared to the AP1000 and Surry, the SMR produces less radioactivity after normalizing by thermal reactor power and containment volume. With respect to environmental dose exposure, the US Environmental Protection Agency 1–5 rem (0.01–0.05 sieverts) Protective Action Guide (PAG) limits for whole body exposure is not exceeded at the 10-mile (16.1-km) EPZ using the mean estimates for the AP1000 and Surry. The iPWR does not exceed the 1 rem (0.01 sieverts) lower PAG limit for whole body exposure at the 5-mile (8-km) EPZ using the mean value. These findings can be used in conjunction with the improved analytical methods, found in the SOARCA study, to provide accurate and realistic estimates for exposure. This will help create a pathway to develop a regulatory basis for technology-neutral, risk-based approach to EPZs for iPWRs.","author":[{"dropping-particle":"","family":"Carless","given":"Travis S.","non-dropping-particle":"","parse-names":false,"suffix":""},{"dropping-particle":"","family":"Talabi","given":"Sola M.","non-dropping-particle":"","parse-names":false,"suffix":""},{"dropping-particle":"","family":"Fischbeck","given":"Paul S.","non-dropping-particle":"","parse-names":false,"suffix":""}],"container-title":"Energy","id":"ITEM-1","issued":{"date-parts":[["2019"]]},"title":"Risk and regulatory considerations for small modular reactor emergency planning zones based on passive decontamination potential","type":"article-journal","volume":"167"},"uris":["http://www.mendeley.com/documents/?uuid=d096aa83-3e90-3a05-84f4-4720383bf3b1","http://www.mendeley.com/documents/?uuid=25899382-3a0f-4053-9a12-d686da0ee55a"]}],"mendeley":{"formattedCitation":"[18]","plainTextFormattedCitation":"[18]","previouslyFormattedCitation":"[18]"},"properties":{"noteIndex":0},"schema":"https://github.com/citation-style-language/schema/raw/master/csl-citation.json"}</w:instrText>
      </w:r>
      <w:r w:rsidR="00DB0A67"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[18]</w:t>
      </w:r>
      <w:r w:rsidR="00DB0A67" w:rsidRPr="000F36C1">
        <w:rPr>
          <w:rFonts w:ascii="Times New Roman" w:hAnsi="Times New Roman" w:cs="Times New Roman"/>
          <w:color w:val="5B9BD5" w:themeColor="accent1"/>
          <w:sz w:val="20"/>
          <w:szCs w:val="20"/>
        </w:rPr>
        <w:fldChar w:fldCharType="end"/>
      </w:r>
      <w:r w:rsidR="00C2163A" w:rsidRPr="000F36C1">
        <w:rPr>
          <w:rFonts w:ascii="Times New Roman" w:hAnsi="Times New Roman" w:cs="Times New Roman"/>
          <w:color w:val="5B9BD5" w:themeColor="accent1"/>
          <w:sz w:val="20"/>
          <w:szCs w:val="20"/>
        </w:rPr>
        <w:t xml:space="preserve">. </w:t>
      </w:r>
      <w:r w:rsidR="00F9336F" w:rsidRPr="000F36C1">
        <w:rPr>
          <w:rFonts w:ascii="Times New Roman" w:hAnsi="Times New Roman" w:cs="Times New Roman"/>
          <w:color w:val="000000"/>
          <w:sz w:val="20"/>
          <w:szCs w:val="20"/>
        </w:rPr>
        <w:t>SMR designs are most</w:t>
      </w:r>
      <w:r w:rsidR="00906379" w:rsidRPr="000F36C1">
        <w:rPr>
          <w:rFonts w:ascii="Times New Roman" w:hAnsi="Times New Roman" w:cs="Times New Roman"/>
          <w:color w:val="000000"/>
          <w:sz w:val="20"/>
          <w:szCs w:val="20"/>
        </w:rPr>
        <w:t xml:space="preserve"> likely to challenge legal and regulatory</w:t>
      </w:r>
      <w:r w:rsidR="00F9336F" w:rsidRPr="000F36C1">
        <w:rPr>
          <w:rFonts w:ascii="Times New Roman" w:hAnsi="Times New Roman" w:cs="Times New Roman"/>
          <w:color w:val="000000"/>
          <w:sz w:val="20"/>
          <w:szCs w:val="20"/>
        </w:rPr>
        <w:t xml:space="preserve"> </w:t>
      </w:r>
      <w:r w:rsidR="00510B74" w:rsidRPr="000F36C1">
        <w:rPr>
          <w:rFonts w:ascii="Times New Roman" w:hAnsi="Times New Roman" w:cs="Times New Roman"/>
          <w:color w:val="000000"/>
          <w:sz w:val="20"/>
          <w:szCs w:val="20"/>
        </w:rPr>
        <w:t>frameworks</w:t>
      </w:r>
      <w:r w:rsidR="00906379" w:rsidRPr="000F36C1">
        <w:rPr>
          <w:rFonts w:ascii="Times New Roman" w:hAnsi="Times New Roman" w:cs="Times New Roman"/>
          <w:color w:val="000000"/>
          <w:sz w:val="20"/>
          <w:szCs w:val="20"/>
        </w:rPr>
        <w:t xml:space="preserve"> which</w:t>
      </w:r>
      <w:r w:rsidR="00F9336F" w:rsidRPr="000F36C1">
        <w:rPr>
          <w:rFonts w:ascii="Times New Roman" w:hAnsi="Times New Roman" w:cs="Times New Roman"/>
          <w:color w:val="000000"/>
          <w:sz w:val="20"/>
          <w:szCs w:val="20"/>
        </w:rPr>
        <w:t xml:space="preserve"> can unfold into legal issues which may</w:t>
      </w:r>
      <w:r w:rsidR="00906379" w:rsidRPr="000F36C1">
        <w:rPr>
          <w:rFonts w:ascii="Times New Roman" w:hAnsi="Times New Roman" w:cs="Times New Roman"/>
          <w:color w:val="000000"/>
          <w:sz w:val="20"/>
          <w:szCs w:val="20"/>
        </w:rPr>
        <w:t xml:space="preserve"> then</w:t>
      </w:r>
      <w:r w:rsidR="00F9336F" w:rsidRPr="000F36C1">
        <w:rPr>
          <w:rFonts w:ascii="Times New Roman" w:hAnsi="Times New Roman" w:cs="Times New Roman"/>
          <w:color w:val="000000"/>
          <w:sz w:val="20"/>
          <w:szCs w:val="20"/>
        </w:rPr>
        <w:t xml:space="preserve"> impede the deployment of SMRs</w:t>
      </w:r>
      <w:r w:rsidR="009E1423">
        <w:rPr>
          <w:rFonts w:ascii="Times New Roman" w:hAnsi="Times New Roman" w:cs="Times New Roman"/>
          <w:color w:val="5B9BD5" w:themeColor="accent1"/>
          <w:sz w:val="20"/>
          <w:szCs w:val="20"/>
        </w:rPr>
        <w:t xml:space="preserve"> </w:t>
      </w:r>
      <w:r w:rsidR="009E1423">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{"citationItems":[{"id":"ITEM-1","itemData":{"DOI":"10.1016/j.pnucene.2023.104859","ISSN":"01491970","abstract":"Small Modular Reactors are gaining significant interest for their reduced footprint, lower power output, modularity, and innovative features. The licensing of SMRs is key to their successful deployment. However, the literature on this subject area is limited and often fragmented among other characteristics of the SMRs, thus failing to address the licensing aspects distinctly. The paper employs a systematic literature review to identify the potential nuclear licensing barriers and challenges that can influence the deployment of SMR and to provide an overview of their implications. The authors differentiate between licensing barriers and challenges as follows. The licensing barriers are likely to affect the deployment of SMRs for over a decade and necessitate the collaboration of multiple organisations. The licensing challenges can be resolved within ten years and can be led by a single organisation to deliver the solution. The licensing barriers are: (1) existing legal and regulatory framework; (2) prescriptive regulatory framework; (3) novelty in the technology; (4) regulatory fragmentation; and (5) absence of in-factory certification. The licensing challenges are: (1) fees charged by regulators; (2) regulatory capability gaps; and (3) lengthy licensing duration. The identified barriers and challenges have implications on the project timeline and cost, consequently affecting the overall economics of the SMR.","author":[{"dropping-particle":"","family":"Sam","given":"Rohunsingh","non-dropping-particle":"","parse-names":false,"suffix":""},{"dropping-particle":"","family":"Sainati","given":"Tristano","non-dropping-particle":"","parse-names":false,"suffix":""},{"dropping-particle":"","family":"Hanson","given":"Bruce","non-dropping-particle":"","parse-names":false,"suffix":""},{"dropping-particle":"","family":"Kay","given":"Robert","non-dropping-particle":"","parse-names":false,"suffix":""}],"container-title":"Progress in Nuclear Energy","id":"ITEM-1","issue":"May","issued":{"date-parts":[["2023"]]},"page":"104859","publisher":"Elsevier Ltd","title":"Licensing small modular reactors: A state-of-the-art review of the challenges and barriers","type":"article-journal","volume":"164"},"uris":["http://www.mendeley.com/documents/?uuid=e5c4cc21-af93-4c05-bfcf-fc48ecee3245"]}],"mendeley":{"formattedCitation":"[9]","plainTextFormattedCitation":"[9]","previouslyFormattedCitation":"[9]"},"properties":{"noteIndex":0},"schema":"https://github.com/citation-style-language/schema/raw/master/csl-citation.json"}</w:instrText>
      </w:r>
      <w:r w:rsidR="009E1423">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[9]</w:t>
      </w:r>
      <w:r w:rsidR="009E1423">
        <w:rPr>
          <w:rFonts w:ascii="Times New Roman" w:hAnsi="Times New Roman" w:cs="Times New Roman"/>
          <w:color w:val="5B9BD5" w:themeColor="accent1"/>
          <w:sz w:val="20"/>
          <w:szCs w:val="20"/>
        </w:rPr>
        <w:fldChar w:fldCharType="end"/>
      </w:r>
      <w:r w:rsidR="00906379" w:rsidRPr="000F36C1">
        <w:rPr>
          <w:rFonts w:ascii="Times New Roman" w:hAnsi="Times New Roman" w:cs="Times New Roman"/>
          <w:color w:val="5B9BD5" w:themeColor="accent1"/>
          <w:sz w:val="20"/>
          <w:szCs w:val="20"/>
        </w:rPr>
        <w:t xml:space="preserve">. </w:t>
      </w:r>
    </w:p>
    <w:p w14:paraId="2B852868" w14:textId="6A39D31E" w:rsidR="009A54AE" w:rsidRPr="000F36C1" w:rsidRDefault="00906379" w:rsidP="0034758C">
      <w:pPr>
        <w:jc w:val="both"/>
        <w:rPr>
          <w:rFonts w:ascii="Times New Roman" w:hAnsi="Times New Roman" w:cs="Times New Roman"/>
          <w:color w:val="000000"/>
          <w:sz w:val="20"/>
          <w:szCs w:val="20"/>
        </w:rPr>
      </w:pPr>
      <w:r w:rsidRPr="000F36C1">
        <w:rPr>
          <w:rFonts w:ascii="Times New Roman" w:hAnsi="Times New Roman" w:cs="Times New Roman"/>
          <w:color w:val="000000"/>
          <w:sz w:val="20"/>
          <w:szCs w:val="20"/>
        </w:rPr>
        <w:t>The licensing barriers as obstacles can negatively</w:t>
      </w:r>
      <w:r w:rsidR="00217061" w:rsidRPr="000F36C1">
        <w:rPr>
          <w:rFonts w:ascii="Times New Roman" w:hAnsi="Times New Roman" w:cs="Times New Roman"/>
          <w:color w:val="000000"/>
          <w:sz w:val="20"/>
          <w:szCs w:val="20"/>
        </w:rPr>
        <w:t xml:space="preserve"> affect the deployment of SMR in Ghana</w:t>
      </w:r>
      <w:r w:rsidRPr="000F36C1">
        <w:rPr>
          <w:rFonts w:ascii="Times New Roman" w:hAnsi="Times New Roman" w:cs="Times New Roman"/>
          <w:color w:val="000000"/>
          <w:sz w:val="20"/>
          <w:szCs w:val="20"/>
        </w:rPr>
        <w:t>.</w:t>
      </w:r>
      <w:r w:rsidR="00217061" w:rsidRPr="000F36C1">
        <w:rPr>
          <w:rFonts w:ascii="Times New Roman" w:hAnsi="Times New Roman" w:cs="Times New Roman"/>
          <w:color w:val="000000"/>
          <w:sz w:val="20"/>
          <w:szCs w:val="20"/>
        </w:rPr>
        <w:t xml:space="preserve"> </w:t>
      </w:r>
      <w:r w:rsidR="006F05F8" w:rsidRPr="000F36C1">
        <w:rPr>
          <w:rFonts w:ascii="Times New Roman" w:hAnsi="Times New Roman" w:cs="Times New Roman"/>
          <w:color w:val="000000"/>
          <w:sz w:val="20"/>
          <w:szCs w:val="20"/>
        </w:rPr>
        <w:t>So instead o</w:t>
      </w:r>
      <w:r w:rsidR="00217061" w:rsidRPr="000F36C1">
        <w:rPr>
          <w:rFonts w:ascii="Times New Roman" w:hAnsi="Times New Roman" w:cs="Times New Roman"/>
          <w:color w:val="000000"/>
          <w:sz w:val="20"/>
          <w:szCs w:val="20"/>
        </w:rPr>
        <w:t xml:space="preserve">f pre-defined norms for the </w:t>
      </w:r>
      <w:r w:rsidR="00510B74" w:rsidRPr="000F36C1">
        <w:rPr>
          <w:rFonts w:ascii="Times New Roman" w:hAnsi="Times New Roman" w:cs="Times New Roman"/>
          <w:color w:val="000000"/>
          <w:sz w:val="20"/>
          <w:szCs w:val="20"/>
        </w:rPr>
        <w:t>first-of-a-kind</w:t>
      </w:r>
      <w:r w:rsidR="006F05F8" w:rsidRPr="000F36C1">
        <w:rPr>
          <w:rFonts w:ascii="Times New Roman" w:hAnsi="Times New Roman" w:cs="Times New Roman"/>
          <w:color w:val="000000"/>
          <w:sz w:val="20"/>
          <w:szCs w:val="20"/>
        </w:rPr>
        <w:t xml:space="preserve"> designs, the regulators</w:t>
      </w:r>
      <w:r w:rsidR="00217061" w:rsidRPr="000F36C1">
        <w:rPr>
          <w:rFonts w:ascii="Times New Roman" w:hAnsi="Times New Roman" w:cs="Times New Roman"/>
          <w:color w:val="000000"/>
          <w:sz w:val="20"/>
          <w:szCs w:val="20"/>
        </w:rPr>
        <w:t xml:space="preserve"> should</w:t>
      </w:r>
      <w:r w:rsidR="006F05F8" w:rsidRPr="000F36C1">
        <w:rPr>
          <w:rFonts w:ascii="Times New Roman" w:hAnsi="Times New Roman" w:cs="Times New Roman"/>
          <w:color w:val="000000"/>
          <w:sz w:val="20"/>
          <w:szCs w:val="20"/>
        </w:rPr>
        <w:t xml:space="preserve"> use the principles of a graded approach to establish overall performance goals for the SMR in the form of numerical risk targets</w:t>
      </w:r>
      <w:r w:rsidR="009E1423">
        <w:rPr>
          <w:rFonts w:ascii="Times New Roman" w:hAnsi="Times New Roman" w:cs="Times New Roman"/>
          <w:color w:val="000000"/>
          <w:sz w:val="20"/>
          <w:szCs w:val="20"/>
        </w:rPr>
        <w:t xml:space="preserve"> </w:t>
      </w:r>
      <w:r w:rsidR="009E1423">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{"citationItems":[{"id":"ITEM-1","itemData":{"DOI":"10.1016/j.pnucene.2023.104859","ISSN":"01491970","abstract":"Small Modular Reactors are gaining significant interest for their reduced footprint, lower power output, modularity, and innovative features. The licensing of SMRs is key to their successful deployment. However, the literature on this subject area is limited and often fragmented among other characteristics of the SMRs, thus failing to address the licensing aspects distinctly. The paper employs a systematic literature review to identify the potential nuclear licensing barriers and challenges that can influence the deployment of SMR and to provide an overview of their implications. The authors differentiate between licensing barriers and challenges as follows. The licensing barriers are likely to affect the deployment of SMRs for over a decade and necessitate the collaboration of multiple organisations. The licensing challenges can be resolved within ten years and can be led by a single organisation to deliver the solution. The licensing barriers are: (1) existing legal and regulatory framework; (2) prescriptive regulatory framework; (3) novelty in the technology; (4) regulatory fragmentation; and (5) absence of in-factory certification. The licensing challenges are: (1) fees charged by regulators; (2) regulatory capability gaps; and (3) lengthy licensing duration. The identified barriers and challenges have implications on the project timeline and cost, consequently affecting the overall economics of the SMR.","author":[{"dropping-particle":"","family":"Sam","given":"Rohunsingh","non-dropping-particle":"","parse-names":false,"suffix":""},{"dropping-particle":"","family":"Sainati","given":"Tristano","non-dropping-particle":"","parse-names":false,"suffix":""},{"dropping-particle":"","family":"Hanson","given":"Bruce","non-dropping-particle":"","parse-names":false,"suffix":""},{"dropping-particle":"","family":"Kay","given":"Robert","non-dropping-particle":"","parse-names":false,"suffix":""}],"container-title":"Progress in Nuclear Energy","id":"ITEM-1","issue":"May","issued":{"date-parts":[["2023"]]},"page":"104859","publisher":"Elsevier Ltd","title":"Licensing small modular reactors: A state-of-the-art review of the challenges and barriers","type":"article-journal","volume":"164"},"uris":["http://www.mendeley.com/documents/?uuid=e5c4cc21-af93-4c05-bfcf-fc48ecee3245"]}],"mendeley":{"formattedCitation":"[9]","plainTextFormattedCitation":"[9]","previouslyFormattedCitation":"[9]"},"properties":{"noteIndex":0},"schema":"https://github.com/citation-style-language/schema/raw/master/csl-citation.json"}</w:instrText>
      </w:r>
      <w:r w:rsidR="009E1423">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[9]</w:t>
      </w:r>
      <w:r w:rsidR="009E1423">
        <w:rPr>
          <w:rFonts w:ascii="Times New Roman" w:hAnsi="Times New Roman" w:cs="Times New Roman"/>
          <w:color w:val="5B9BD5" w:themeColor="accent1"/>
          <w:sz w:val="20"/>
          <w:szCs w:val="20"/>
        </w:rPr>
        <w:fldChar w:fldCharType="end"/>
      </w:r>
      <w:r w:rsidR="006F05F8" w:rsidRPr="000F36C1">
        <w:rPr>
          <w:rFonts w:ascii="Times New Roman" w:hAnsi="Times New Roman" w:cs="Times New Roman"/>
          <w:color w:val="5B9BD5" w:themeColor="accent1"/>
          <w:sz w:val="20"/>
          <w:szCs w:val="20"/>
        </w:rPr>
        <w:t xml:space="preserve">. </w:t>
      </w:r>
      <w:r w:rsidR="006F05F8" w:rsidRPr="000F36C1">
        <w:rPr>
          <w:rFonts w:ascii="Times New Roman" w:eastAsia="Times New Roman" w:hAnsi="Times New Roman" w:cs="Times New Roman"/>
          <w:color w:val="000000"/>
          <w:sz w:val="20"/>
          <w:szCs w:val="20"/>
          <w:lang w:val="en-GB" w:eastAsia="en-GB"/>
        </w:rPr>
        <w:t>The risks are kept as low as reasonably achievable or as low as reasonably practicable.</w:t>
      </w:r>
      <w:r w:rsidR="00217061" w:rsidRPr="000F36C1">
        <w:rPr>
          <w:rFonts w:ascii="Times New Roman" w:eastAsia="Times New Roman" w:hAnsi="Times New Roman" w:cs="Times New Roman"/>
          <w:color w:val="000000"/>
          <w:sz w:val="20"/>
          <w:szCs w:val="20"/>
          <w:lang w:val="en-GB" w:eastAsia="en-GB"/>
        </w:rPr>
        <w:t xml:space="preserve"> </w:t>
      </w:r>
      <w:r w:rsidR="006F05F8" w:rsidRPr="000F36C1">
        <w:rPr>
          <w:rFonts w:ascii="Times New Roman" w:eastAsia="Times New Roman" w:hAnsi="Times New Roman" w:cs="Times New Roman"/>
          <w:color w:val="000000"/>
          <w:sz w:val="20"/>
          <w:szCs w:val="20"/>
          <w:lang w:val="en-GB" w:eastAsia="en-GB"/>
        </w:rPr>
        <w:t>The SMR developers advocate for a reduced emergency planning zone (EPZ). It refers to a buffer area around NPPs designated for implementing the necessary operational and protective measures in a nuclear emergency</w:t>
      </w:r>
      <w:r w:rsidR="002F20C1">
        <w:rPr>
          <w:rFonts w:ascii="Times New Roman" w:eastAsia="Times New Roman" w:hAnsi="Times New Roman" w:cs="Times New Roman"/>
          <w:color w:val="5B9BD5" w:themeColor="accent1"/>
          <w:sz w:val="20"/>
          <w:szCs w:val="20"/>
          <w:lang w:val="en-GB" w:eastAsia="en-GB"/>
        </w:rPr>
        <w:t xml:space="preserve"> </w:t>
      </w:r>
      <w:r w:rsidR="002F20C1">
        <w:rPr>
          <w:rFonts w:ascii="Times New Roman" w:eastAsia="Times New Roman" w:hAnsi="Times New Roman" w:cs="Times New Roman"/>
          <w:color w:val="5B9BD5" w:themeColor="accent1"/>
          <w:sz w:val="20"/>
          <w:szCs w:val="20"/>
          <w:lang w:val="en-GB" w:eastAsia="en-GB"/>
        </w:rPr>
        <w:fldChar w:fldCharType="begin" w:fldLock="1"/>
      </w:r>
      <w:r w:rsidR="000E2748">
        <w:rPr>
          <w:rFonts w:ascii="Times New Roman" w:eastAsia="Times New Roman" w:hAnsi="Times New Roman" w:cs="Times New Roman"/>
          <w:color w:val="5B9BD5" w:themeColor="accent1"/>
          <w:sz w:val="20"/>
          <w:szCs w:val="20"/>
          <w:lang w:val="en-GB" w:eastAsia="en-GB"/>
        </w:rPr>
        <w:instrText>ADDIN CSL_CITATION {"citationItems":[{"id":"ITEM-1","itemData":{"abstract":"1 FOREWORD There is a sustained global interest in small modular reactors (SMRs), which have the potential to play an important role in globally sustainable energy development as part of an optimal energy mix. Such reactors have the potential to enhance energy availability and security of supply in both countries expanding their nuclear energy programmes and those embarking on a nuclear energy programme for the first time. The International Atomic Energy Agency (IAEA) has several dedicated projects and activities concerning SMRs intended to support future Member States needs regarding SMR development and deployment. Over the years, the IAEA has produced a number of major publications and has convened a series of international forums addressing a variety of SMR issues. This report presents the findings and recommendations of the SMR Regulators' Forum Pilot Project that met regularly between March 2015 and May 2017. The purpose of the pilot project was to identify, understand and address key regulatory challenges that may emerge in future SMR regulatory discussions thanks to the work performed within three working groups (WG). This report contains valuable information for the development of future international guidance in the field.","author":[{"dropping-particle":"","family":"IAEA","given":"","non-dropping-particle":"","parse-names":false,"suffix":""}],"id":"ITEM-1","issue":"January","issued":{"date-parts":[["2018"]]},"page":"158","title":"SMR Regulators' Forum Pilot Project Report: Considering the Application of a Graded Approach, Defence-in-Depth and Emergency Planning Zone Size for Small Modular Reactors","type":"article-journal"},"uris":["http://www.mendeley.com/documents/?uuid=4ace50df-6e22-4a89-b87d-4f01a39cde75"]}],"mendeley":{"formattedCitation":"[19]","plainTextFormattedCitation":"[19]","previouslyFormattedCitation":"[19]"},"properties":{"noteIndex":0},"schema":"https://github.com/citation-style-language/schema/raw/master/csl-citation.json"}</w:instrText>
      </w:r>
      <w:r w:rsidR="002F20C1">
        <w:rPr>
          <w:rFonts w:ascii="Times New Roman" w:eastAsia="Times New Roman" w:hAnsi="Times New Roman" w:cs="Times New Roman"/>
          <w:color w:val="5B9BD5" w:themeColor="accent1"/>
          <w:sz w:val="20"/>
          <w:szCs w:val="20"/>
          <w:lang w:val="en-GB" w:eastAsia="en-GB"/>
        </w:rPr>
        <w:fldChar w:fldCharType="separate"/>
      </w:r>
      <w:r w:rsidR="00304D87" w:rsidRPr="00304D87">
        <w:rPr>
          <w:rFonts w:ascii="Times New Roman" w:eastAsia="Times New Roman" w:hAnsi="Times New Roman" w:cs="Times New Roman"/>
          <w:noProof/>
          <w:color w:val="5B9BD5" w:themeColor="accent1"/>
          <w:sz w:val="20"/>
          <w:szCs w:val="20"/>
          <w:lang w:val="en-GB" w:eastAsia="en-GB"/>
        </w:rPr>
        <w:t>[19]</w:t>
      </w:r>
      <w:r w:rsidR="002F20C1">
        <w:rPr>
          <w:rFonts w:ascii="Times New Roman" w:eastAsia="Times New Roman" w:hAnsi="Times New Roman" w:cs="Times New Roman"/>
          <w:color w:val="5B9BD5" w:themeColor="accent1"/>
          <w:sz w:val="20"/>
          <w:szCs w:val="20"/>
          <w:lang w:val="en-GB" w:eastAsia="en-GB"/>
        </w:rPr>
        <w:fldChar w:fldCharType="end"/>
      </w:r>
      <w:r w:rsidR="006F05F8" w:rsidRPr="000F36C1">
        <w:rPr>
          <w:rFonts w:ascii="Times New Roman" w:eastAsia="Times New Roman" w:hAnsi="Times New Roman" w:cs="Times New Roman"/>
          <w:color w:val="5B9BD5" w:themeColor="accent1"/>
          <w:sz w:val="20"/>
          <w:szCs w:val="20"/>
          <w:lang w:val="en-GB" w:eastAsia="en-GB"/>
        </w:rPr>
        <w:t xml:space="preserve">. </w:t>
      </w:r>
      <w:r w:rsidR="006F05F8" w:rsidRPr="000F36C1">
        <w:rPr>
          <w:rFonts w:ascii="Times New Roman" w:eastAsia="Times New Roman" w:hAnsi="Times New Roman" w:cs="Times New Roman"/>
          <w:color w:val="000000"/>
          <w:sz w:val="20"/>
          <w:szCs w:val="20"/>
          <w:lang w:val="en-GB" w:eastAsia="en-GB"/>
        </w:rPr>
        <w:t>Under a prescriptive regulatory approach, the current</w:t>
      </w:r>
      <w:r w:rsidR="00362958" w:rsidRPr="000F36C1">
        <w:rPr>
          <w:rFonts w:ascii="Times New Roman" w:eastAsia="Times New Roman" w:hAnsi="Times New Roman" w:cs="Times New Roman"/>
          <w:color w:val="000000"/>
          <w:sz w:val="20"/>
          <w:szCs w:val="20"/>
          <w:lang w:val="en-GB" w:eastAsia="en-GB"/>
        </w:rPr>
        <w:t xml:space="preserve"> Nuclear Power Plants</w:t>
      </w:r>
      <w:r w:rsidR="006F05F8" w:rsidRPr="000F36C1">
        <w:rPr>
          <w:rFonts w:ascii="Times New Roman" w:eastAsia="Times New Roman" w:hAnsi="Times New Roman" w:cs="Times New Roman"/>
          <w:color w:val="000000"/>
          <w:sz w:val="20"/>
          <w:szCs w:val="20"/>
          <w:lang w:val="en-GB" w:eastAsia="en-GB"/>
        </w:rPr>
        <w:t xml:space="preserve"> </w:t>
      </w:r>
      <w:r w:rsidR="00362958" w:rsidRPr="000F36C1">
        <w:rPr>
          <w:rFonts w:ascii="Times New Roman" w:eastAsia="Times New Roman" w:hAnsi="Times New Roman" w:cs="Times New Roman"/>
          <w:color w:val="000000"/>
          <w:sz w:val="20"/>
          <w:szCs w:val="20"/>
          <w:lang w:val="en-GB" w:eastAsia="en-GB"/>
        </w:rPr>
        <w:t>(</w:t>
      </w:r>
      <w:r w:rsidR="006F05F8" w:rsidRPr="000F36C1">
        <w:rPr>
          <w:rFonts w:ascii="Times New Roman" w:eastAsia="Times New Roman" w:hAnsi="Times New Roman" w:cs="Times New Roman"/>
          <w:color w:val="000000"/>
          <w:sz w:val="20"/>
          <w:szCs w:val="20"/>
          <w:lang w:val="en-GB" w:eastAsia="en-GB"/>
        </w:rPr>
        <w:t>NPP</w:t>
      </w:r>
      <w:r w:rsidR="00362958" w:rsidRPr="000F36C1">
        <w:rPr>
          <w:rFonts w:ascii="Times New Roman" w:eastAsia="Times New Roman" w:hAnsi="Times New Roman" w:cs="Times New Roman"/>
          <w:color w:val="000000"/>
          <w:sz w:val="20"/>
          <w:szCs w:val="20"/>
          <w:lang w:val="en-GB" w:eastAsia="en-GB"/>
        </w:rPr>
        <w:t>)</w:t>
      </w:r>
      <w:r w:rsidR="006F05F8" w:rsidRPr="000F36C1">
        <w:rPr>
          <w:rFonts w:ascii="Times New Roman" w:eastAsia="Times New Roman" w:hAnsi="Times New Roman" w:cs="Times New Roman"/>
          <w:color w:val="000000"/>
          <w:sz w:val="20"/>
          <w:szCs w:val="20"/>
          <w:lang w:val="en-GB" w:eastAsia="en-GB"/>
        </w:rPr>
        <w:t xml:space="preserve"> are licensed with a traditionally large EPZ radius </w:t>
      </w:r>
      <w:r w:rsidR="00B15B3B">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{"citationItems":[{"id":"ITEM-1","itemData":{"DOI":"10.1016/j.pnucene.2023.104859","ISSN":"01491970","abstract":"Small Modular Reactors are gaining significant interest for their reduced footprint, lower power output, modularity, and innovative features. The licensing of SMRs is key to their successful deployment. However, the literature on this subject area is limited and often fragmented among other characteristics of the SMRs, thus failing to address the licensing aspects distinctly. The paper employs a systematic literature review to identify the potential nuclear licensing barriers and challenges that can influence the deployment of SMR and to provide an overview of their implications. The authors differentiate between licensing barriers and challenges as follows. The licensing barriers are likely to affect the deployment of SMRs for over a decade and necessitate the collaboration of multiple organisations. The licensing challenges can be resolved within ten years and can be led by a single organisation to deliver the solution. The licensing barriers are: (1) existing legal and regulatory framework; (2) prescriptive regulatory framework; (3) novelty in the technology; (4) regulatory fragmentation; and (5) absence of in-factory certification. The licensing challenges are: (1) fees charged by regulators; (2) regulatory capability gaps; and (3) lengthy licensing duration. The identified barriers and challenges have implications on the project timeline and cost, consequently affecting the overall economics of the SMR.","author":[{"dropping-particle":"","family":"Sam","given":"Rohunsingh","non-dropping-particle":"","parse-names":false,"suffix":""},{"dropping-particle":"","family":"Sainati","given":"Tristano","non-dropping-particle":"","parse-names":false,"suffix":""},{"dropping-particle":"","family":"Hanson","given":"Bruce","non-dropping-particle":"","parse-names":false,"suffix":""},{"dropping-particle":"","family":"Kay","given":"Robert","non-dropping-particle":"","parse-names":false,"suffix":""}],"container-title":"Progress in Nuclear Energy","id":"ITEM-1","issue":"May","issued":{"date-parts":[["2023"]]},"page":"104859","publisher":"Elsevier Ltd","title":"Licensing small modular reactors: A state-of-the-art review of the challenges and barriers","type":"article-journal","volume":"164"},"uris":["http://www.mendeley.com/documents/?uuid=e5c4cc21-af93-4c05-bfcf-fc48ecee3245"]}],"mendeley":{"formattedCitation":"[9]","plainTextFormattedCitation":"[9]","previouslyFormattedCitation":"[9]"},"properties":{"noteIndex":0},"schema":"https://github.com/citation-style-language/schema/raw/master/csl-citation.json"}</w:instrText>
      </w:r>
      <w:r w:rsidR="00B15B3B">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[9]</w:t>
      </w:r>
      <w:r w:rsidR="00B15B3B">
        <w:rPr>
          <w:rFonts w:ascii="Times New Roman" w:hAnsi="Times New Roman" w:cs="Times New Roman"/>
          <w:color w:val="5B9BD5" w:themeColor="accent1"/>
          <w:sz w:val="20"/>
          <w:szCs w:val="20"/>
        </w:rPr>
        <w:fldChar w:fldCharType="end"/>
      </w:r>
      <w:r w:rsidR="006F05F8" w:rsidRPr="000F36C1">
        <w:rPr>
          <w:rFonts w:ascii="Times New Roman" w:eastAsia="Times New Roman" w:hAnsi="Times New Roman" w:cs="Times New Roman"/>
          <w:color w:val="5B9BD5" w:themeColor="accent1"/>
          <w:sz w:val="20"/>
          <w:szCs w:val="20"/>
          <w:lang w:val="en-GB" w:eastAsia="en-GB"/>
        </w:rPr>
        <w:t xml:space="preserve">. </w:t>
      </w:r>
      <w:r w:rsidR="0034758C" w:rsidRPr="0034758C">
        <w:rPr>
          <w:rFonts w:ascii="Times New Roman" w:hAnsi="Times New Roman" w:cs="Times New Roman"/>
          <w:sz w:val="20"/>
          <w:szCs w:val="20"/>
        </w:rPr>
        <w:t>Applying the same large Emergency Planning Zone (EPZ) radius to SMRs is inefficient. Additionally, using regulatory approaches intended for Large Reactors (LRs) on SMRs results in either an increased number of control rooms or a higher staffing requirement for those control rooms. This, in turn, can drive up plant operation and maintenance costs, thereby diminishing the economic viability of SMRs</w:t>
      </w:r>
      <w:r w:rsidR="0034758C">
        <w:rPr>
          <w:rFonts w:ascii="Times New Roman" w:hAnsi="Times New Roman" w:cs="Times New Roman"/>
          <w:sz w:val="20"/>
          <w:szCs w:val="20"/>
        </w:rPr>
        <w:t xml:space="preserve"> </w:t>
      </w:r>
      <w:r w:rsidR="009E1423"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{"citationItems":[{"id":"ITEM-1","itemData":{"DOI":"10.1016/j.energy.2013.09.010","ISSN":"03605442","abstract":"Small modular reactor designs with power levels of less than 300MWe are being developed in several countries. While there are several potential advantages with these reactors, they are also confronted with multiple challenges. Important among these challenges is to have these new reactor designs licensed by national regulatory bodies. Because of the many novel features incorporated in different SMR (small modular reactor) designs, careful and thorough licensing procedures are critical to maintaining safety of the nuclear fleet. This paper examines how different countries have engaged in the process of licensing new reactor designs, and demonstrates both similarities and differences between countries. In many cases, designers have emphasized the safer design and deployment features of SMRs and attempted to use those features as reasons to get existing licensing requirements diluted. This raises the concern that the promised safety enhancements in SMR designs could be offset by a simultaneous relaxation of licensing requirements. © 2013 Elsevier Ltd.","author":[{"dropping-particle":"V.","family":"Ramana","given":"M.","non-dropping-particle":"","parse-names":false,"suffix":""},{"dropping-particle":"","family":"Hopkins","given":"Laura Berzak","non-dropping-particle":"","parse-names":false,"suffix":""},{"dropping-particle":"","family":"Glaser","given":"Alexander","non-dropping-particle":"","parse-names":false,"suffix":""}],"container-title":"Energy","id":"ITEM-1","issued":{"date-parts":[["2013"]]},"title":"Licensing small modular reactors","type":"article-journal","volume":"61"},"uris":["http://www.mendeley.com/documents/?uuid=e8f0ea86-0d69-4f0b-9efd-df7abfe73287","http://www.mendeley.com/documents/?uuid=f54e44ed-8a0e-36b9-b8e9-09fa84783883"]}],"mendeley":{"formattedCitation":"[10]","plainTextFormattedCitation":"[10]","previouslyFormattedCitation":"[10]"},"properties":{"noteIndex":0},"schema":"https://github.com/citation-style-language/schema/raw/master/csl-citation.json"}</w:instrText>
      </w:r>
      <w:r w:rsidR="009E1423"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[10]</w:t>
      </w:r>
      <w:r w:rsidR="009E1423" w:rsidRPr="000F36C1">
        <w:rPr>
          <w:rFonts w:ascii="Times New Roman" w:hAnsi="Times New Roman" w:cs="Times New Roman"/>
          <w:color w:val="5B9BD5" w:themeColor="accent1"/>
          <w:sz w:val="20"/>
          <w:szCs w:val="20"/>
        </w:rPr>
        <w:fldChar w:fldCharType="end"/>
      </w:r>
      <w:r w:rsidR="00362958" w:rsidRPr="000F36C1">
        <w:rPr>
          <w:rFonts w:ascii="Times New Roman" w:hAnsi="Times New Roman" w:cs="Times New Roman"/>
          <w:color w:val="000000"/>
          <w:sz w:val="20"/>
          <w:szCs w:val="20"/>
        </w:rPr>
        <w:t>. So far, the optimum number of staff in the control room for single and multi-module SMR facilities and the number of control rooms necessary for the entire plant are unclear</w:t>
      </w:r>
      <w:r w:rsidR="000A3310" w:rsidRPr="000F36C1">
        <w:rPr>
          <w:rFonts w:ascii="Times New Roman" w:hAnsi="Times New Roman" w:cs="Times New Roman"/>
          <w:color w:val="5B9BD5" w:themeColor="accent1"/>
          <w:sz w:val="20"/>
          <w:szCs w:val="20"/>
        </w:rPr>
        <w:t xml:space="preserve"> </w:t>
      </w:r>
      <w:r w:rsidR="000A3310" w:rsidRPr="000F36C1">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{"citationItems":[{"id":"ITEM-1","itemData":{"DOI":"10.1016/j.pnucene.2014.11.010","ISSN":"01491970","abstract":"The IAEA has seen a significant increase in participation of Member States and their expertise in the IAEA program for small and medium-sized reactors (SMRs) technology development. There are high-level of interest in SMR development and deployment in technology holders and technology user's countries. The trend in development has been towards design certification of small modular reactors, which are defined as advanced SMRs that produce electric power up to 300 MW(e), designed to be built in factories and shipped to utilities for installation as demand arises. The current driving forces of SMR development are, among others: fulfilling the need for flexible power generation for a wider range of users and applications; replacing the aging fossil-fired units; enhancing safety performance through inherent and passive safety features; offering better economic affordability; suitability for cogeneration and non-electric applications, options for remote areas and hybrid energy systems of nuclear with renewable. The majority of the near-term deployment advanced SMRs is the integrated pressurized water reactors (iPWR). Several countries are pioneering in the development and application of transportable nuclear power plants (TNPP), including floating and marine-based SMRs. The innovative features of advanced SMRs that converge into safer, reliable and affordable plant have been discussed. Multiple module plant distinct concepts of operations, licensing process, legal and regulatory framework are the main issues for the SMRs deployment and are delineated. For newcomer countries, however, one of the challenges is how to reconcile the competitiveness issue between advanced SMR designs and potential energy alternatives including large reactors with proven technology. The paper focuses on some impediments in the deployment of such novel designs that need to be resolved through testing and qualification of components and equipment, Research and Development (R&amp;D), training and international collaboration.","author":[{"dropping-particle":"","family":"Hidayatullah","given":"H.","non-dropping-particle":"","parse-names":false,"suffix":""},{"dropping-particle":"","family":"Susyadi","given":"S.","non-dropping-particle":"","parse-names":false,"suffix":""},{"dropping-particle":"","family":"Subki","given":"M. Hadid","non-dropping-particle":"","parse-names":false,"suffix":""}],"container-title":"Progress in Nuclear Energy","id":"ITEM-1","issued":{"date-parts":[["2015"]]},"title":"Design and technology development for small modular reactors - Safety expectations, prospects and impediments of their deployment","type":"article-journal","volume":"79"},"uris":["http://www.mendeley.com/documents/?uuid=013e23f0-24a5-34f9-9206-9833cb23296d","http://www.mendeley.com/documents/?uuid=b2742bc2-36ef-43e5-82a8-56616a45430a"]}],"mendeley":{"formattedCitation":"[20]","plainTextFormattedCitation":"[20]","previouslyFormattedCitation":"[20]"},"properties":{"noteIndex":0},"schema":"https://github.com/citation-style-language/schema/raw/master/csl-citation.json"}</w:instrText>
      </w:r>
      <w:r w:rsidR="000A3310" w:rsidRPr="000F36C1">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[20]</w:t>
      </w:r>
      <w:r w:rsidR="000A3310" w:rsidRPr="000F36C1">
        <w:rPr>
          <w:rFonts w:ascii="Times New Roman" w:hAnsi="Times New Roman" w:cs="Times New Roman"/>
          <w:color w:val="5B9BD5" w:themeColor="accent1"/>
          <w:sz w:val="20"/>
          <w:szCs w:val="20"/>
        </w:rPr>
        <w:fldChar w:fldCharType="end"/>
      </w:r>
      <w:r w:rsidR="000A3310" w:rsidRPr="000F36C1">
        <w:rPr>
          <w:rFonts w:ascii="Times New Roman" w:hAnsi="Times New Roman" w:cs="Times New Roman"/>
          <w:color w:val="000000"/>
          <w:sz w:val="20"/>
          <w:szCs w:val="20"/>
        </w:rPr>
        <w:t>.</w:t>
      </w:r>
      <w:r w:rsidR="00362958" w:rsidRPr="000F36C1">
        <w:rPr>
          <w:rFonts w:ascii="Times New Roman" w:hAnsi="Times New Roman" w:cs="Times New Roman"/>
          <w:color w:val="000000"/>
          <w:sz w:val="20"/>
          <w:szCs w:val="20"/>
        </w:rPr>
        <w:t xml:space="preserve"> The Nuclear Regulatory Authority must review the number of staff proposed by the developers to warrant the safe operation of the plant</w:t>
      </w:r>
      <w:r w:rsidR="002F20C1">
        <w:rPr>
          <w:rFonts w:ascii="Times New Roman" w:hAnsi="Times New Roman" w:cs="Times New Roman"/>
          <w:color w:val="000000"/>
          <w:sz w:val="20"/>
          <w:szCs w:val="20"/>
        </w:rPr>
        <w:t xml:space="preserve"> </w:t>
      </w:r>
      <w:r w:rsidR="00017B0E">
        <w:rPr>
          <w:rFonts w:ascii="Times New Roman" w:hAnsi="Times New Roman" w:cs="Times New Roman"/>
          <w:color w:val="5B9BD5" w:themeColor="accent1"/>
          <w:sz w:val="20"/>
          <w:szCs w:val="20"/>
        </w:rPr>
        <w:fldChar w:fldCharType="begin" w:fldLock="1"/>
      </w:r>
      <w:r w:rsidR="000E2748">
        <w:rPr>
          <w:rFonts w:ascii="Times New Roman" w:hAnsi="Times New Roman" w:cs="Times New Roman"/>
          <w:color w:val="5B9BD5" w:themeColor="accent1"/>
          <w:sz w:val="20"/>
          <w:szCs w:val="20"/>
        </w:rPr>
        <w:instrText>ADDIN CSL_CITATION {"citationItems":[{"id":"ITEM-1","itemData":{"DOI":"10.1016/j.pnucene.2023.104859","ISSN":"01491970","abstract":"Small Modular Reactors are gaining significant interest for their reduced footprint, lower power output, modularity, and innovative features. The licensing of SMRs is key to their successful deployment. However, the literature on this subject area is limited and often fragmented among other characteristics of the SMRs, thus failing to address the licensing aspects distinctly. The paper employs a systematic literature review to identify the potential nuclear licensing barriers and challenges that can influence the deployment of SMR and to provide an overview of their implications. The authors differentiate between licensing barriers and challenges as follows. The licensing barriers are likely to affect the deployment of SMRs for over a decade and necessitate the collaboration of multiple organisations. The licensing challenges can be resolved within ten years and can be led by a single organisation to deliver the solution. The licensing barriers are: (1) existing legal and regulatory framework; (2) prescriptive regulatory framework; (3) novelty in the technology; (4) regulatory fragmentation; and (5) absence of in-factory certification. The licensing challenges are: (1) fees charged by regulators; (2) regulatory capability gaps; and (3) lengthy licensing duration. The identified barriers and challenges have implications on the project timeline and cost, consequently affecting the overall economics of the SMR.","author":[{"dropping-particle":"","family":"Sam","given":"Rohunsingh","non-dropping-particle":"","parse-names":false,"suffix":""},{"dropping-particle":"","family":"Sainati","given":"Tristano","non-dropping-particle":"","parse-names":false,"suffix":""},{"dropping-particle":"","family":"Hanson","given":"Bruce","non-dropping-particle":"","parse-names":false,"suffix":""},{"dropping-particle":"","family":"Kay","given":"Robert","non-dropping-particle":"","parse-names":false,"suffix":""}],"container-title":"Progress in Nuclear Energy","id":"ITEM-1","issue":"May","issued":{"date-parts":[["2023"]]},"page":"104859","publisher":"Elsevier Ltd","title":"Licensing small modular reactors: A state-of-the-art review of the challenges and barriers","type":"article-journal","volume":"164"},"uris":["http://www.mendeley.com/documents/?uuid=e5c4cc21-af93-4c05-bfcf-fc48ecee3245"]}],"mendeley":{"formattedCitation":"[9]","plainTextFormattedCitation":"[9]","previouslyFormattedCitation":"[9]"},"properties":{"noteIndex":0},"schema":"https://github.com/citation-style-language/schema/raw/master/csl-citation.json"}</w:instrText>
      </w:r>
      <w:r w:rsidR="00017B0E">
        <w:rPr>
          <w:rFonts w:ascii="Times New Roman" w:hAnsi="Times New Roman" w:cs="Times New Roman"/>
          <w:color w:val="5B9BD5" w:themeColor="accent1"/>
          <w:sz w:val="20"/>
          <w:szCs w:val="20"/>
        </w:rPr>
        <w:fldChar w:fldCharType="separate"/>
      </w:r>
      <w:r w:rsidR="00304D87" w:rsidRPr="00304D87">
        <w:rPr>
          <w:rFonts w:ascii="Times New Roman" w:hAnsi="Times New Roman" w:cs="Times New Roman"/>
          <w:noProof/>
          <w:color w:val="5B9BD5" w:themeColor="accent1"/>
          <w:sz w:val="20"/>
          <w:szCs w:val="20"/>
        </w:rPr>
        <w:t>[9]</w:t>
      </w:r>
      <w:r w:rsidR="00017B0E">
        <w:rPr>
          <w:rFonts w:ascii="Times New Roman" w:hAnsi="Times New Roman" w:cs="Times New Roman"/>
          <w:color w:val="5B9BD5" w:themeColor="accent1"/>
          <w:sz w:val="20"/>
          <w:szCs w:val="20"/>
        </w:rPr>
        <w:fldChar w:fldCharType="end"/>
      </w:r>
      <w:r w:rsidR="00362958" w:rsidRPr="000F36C1">
        <w:rPr>
          <w:rFonts w:ascii="Times New Roman" w:hAnsi="Times New Roman" w:cs="Times New Roman"/>
          <w:color w:val="000000"/>
          <w:sz w:val="20"/>
          <w:szCs w:val="20"/>
        </w:rPr>
        <w:t xml:space="preserve">. </w:t>
      </w:r>
    </w:p>
    <w:p w14:paraId="1A0B3797" w14:textId="5279A25C" w:rsidR="00B654A0" w:rsidRPr="000F36C1" w:rsidRDefault="001241C9" w:rsidP="0036753D">
      <w:pPr>
        <w:spacing w:after="0"/>
        <w:jc w:val="both"/>
        <w:rPr>
          <w:rFonts w:ascii="Times New Roman" w:hAnsi="Times New Roman" w:cs="Times New Roman"/>
          <w:sz w:val="20"/>
          <w:szCs w:val="20"/>
        </w:rPr>
      </w:pPr>
      <w:r w:rsidRPr="000F36C1">
        <w:rPr>
          <w:rFonts w:ascii="Times New Roman" w:eastAsia="Times New Roman" w:hAnsi="Times New Roman" w:cs="Times New Roman"/>
          <w:color w:val="000000"/>
          <w:sz w:val="20"/>
          <w:szCs w:val="20"/>
          <w:lang w:val="en-GB" w:eastAsia="en-GB"/>
        </w:rPr>
        <w:lastRenderedPageBreak/>
        <w:t>Organizational culture is the basis</w:t>
      </w:r>
      <w:r w:rsidR="00510B74" w:rsidRPr="000F36C1">
        <w:rPr>
          <w:rFonts w:ascii="Times New Roman" w:eastAsia="Times New Roman" w:hAnsi="Times New Roman" w:cs="Times New Roman"/>
          <w:color w:val="000000"/>
          <w:sz w:val="20"/>
          <w:szCs w:val="20"/>
          <w:lang w:val="en-GB" w:eastAsia="en-GB"/>
        </w:rPr>
        <w:t xml:space="preserve"> on</w:t>
      </w:r>
      <w:r w:rsidRPr="000F36C1">
        <w:rPr>
          <w:rFonts w:ascii="Times New Roman" w:eastAsia="Times New Roman" w:hAnsi="Times New Roman" w:cs="Times New Roman"/>
          <w:color w:val="000000"/>
          <w:sz w:val="20"/>
          <w:szCs w:val="20"/>
          <w:lang w:val="en-GB" w:eastAsia="en-GB"/>
        </w:rPr>
        <w:t xml:space="preserve"> which the safety culture builds upon. The safety culture concept was launched by the expert group of the IAEA in the aftermath of the Chernobyl nuclear power accident. </w:t>
      </w:r>
      <w:r w:rsidR="00DE1CD5" w:rsidRPr="000F36C1">
        <w:rPr>
          <w:rFonts w:ascii="Times New Roman" w:eastAsia="Times New Roman" w:hAnsi="Times New Roman" w:cs="Times New Roman"/>
          <w:color w:val="000000"/>
          <w:sz w:val="20"/>
          <w:szCs w:val="20"/>
          <w:lang w:val="en-GB" w:eastAsia="en-GB"/>
        </w:rPr>
        <w:t>Sa</w:t>
      </w:r>
      <w:r w:rsidRPr="000F36C1">
        <w:rPr>
          <w:rFonts w:ascii="Times New Roman" w:eastAsia="Times New Roman" w:hAnsi="Times New Roman" w:cs="Times New Roman"/>
          <w:color w:val="000000"/>
          <w:sz w:val="20"/>
          <w:szCs w:val="20"/>
          <w:lang w:val="en-GB" w:eastAsia="en-GB"/>
        </w:rPr>
        <w:t>fety culture in the nuclear context can be defined as an “</w:t>
      </w:r>
      <w:r w:rsidRPr="000F36C1">
        <w:rPr>
          <w:rFonts w:ascii="Times New Roman" w:eastAsia="Times New Roman" w:hAnsi="Times New Roman" w:cs="Times New Roman"/>
          <w:iCs/>
          <w:color w:val="000000"/>
          <w:sz w:val="20"/>
          <w:szCs w:val="20"/>
          <w:lang w:val="en-GB" w:eastAsia="en-GB"/>
        </w:rPr>
        <w:t>assembly of</w:t>
      </w:r>
      <w:r w:rsidRPr="000F36C1">
        <w:rPr>
          <w:rFonts w:ascii="Times New Roman" w:eastAsia="Times New Roman" w:hAnsi="Times New Roman" w:cs="Times New Roman"/>
          <w:color w:val="000000"/>
          <w:sz w:val="20"/>
          <w:szCs w:val="20"/>
          <w:lang w:val="en-GB" w:eastAsia="en-GB"/>
        </w:rPr>
        <w:t xml:space="preserve"> </w:t>
      </w:r>
      <w:r w:rsidRPr="000F36C1">
        <w:rPr>
          <w:rFonts w:ascii="Times New Roman" w:eastAsia="Times New Roman" w:hAnsi="Times New Roman" w:cs="Times New Roman"/>
          <w:iCs/>
          <w:color w:val="000000"/>
          <w:sz w:val="20"/>
          <w:szCs w:val="20"/>
          <w:lang w:val="en-GB" w:eastAsia="en-GB"/>
        </w:rPr>
        <w:t>characteristics and attitudes in organizations and individuals which establish that as an overriding priority, nuclear plant safety issues receive the attention warranted by their significance</w:t>
      </w:r>
      <w:r w:rsidRPr="000F36C1">
        <w:rPr>
          <w:rFonts w:ascii="Times New Roman" w:eastAsia="Times New Roman" w:hAnsi="Times New Roman" w:cs="Times New Roman"/>
          <w:color w:val="000000"/>
          <w:sz w:val="20"/>
          <w:szCs w:val="20"/>
          <w:lang w:val="en-GB" w:eastAsia="en-GB"/>
        </w:rPr>
        <w:t>”</w:t>
      </w:r>
      <w:r w:rsidR="00ED38F9">
        <w:rPr>
          <w:rFonts w:ascii="Times New Roman" w:eastAsia="Times New Roman" w:hAnsi="Times New Roman" w:cs="Times New Roman"/>
          <w:color w:val="000000"/>
          <w:sz w:val="20"/>
          <w:szCs w:val="20"/>
          <w:lang w:val="en-GB" w:eastAsia="en-GB"/>
        </w:rPr>
        <w:t xml:space="preserve"> </w:t>
      </w:r>
      <w:r w:rsidR="00ED38F9">
        <w:rPr>
          <w:rFonts w:ascii="Times New Roman" w:eastAsia="Times New Roman" w:hAnsi="Times New Roman" w:cs="Times New Roman"/>
          <w:color w:val="000000"/>
          <w:sz w:val="20"/>
          <w:szCs w:val="20"/>
          <w:lang w:val="en-GB" w:eastAsia="en-GB"/>
        </w:rPr>
        <w:fldChar w:fldCharType="begin" w:fldLock="1"/>
      </w:r>
      <w:r w:rsidR="000E2748">
        <w:rPr>
          <w:rFonts w:ascii="Times New Roman" w:eastAsia="Times New Roman" w:hAnsi="Times New Roman" w:cs="Times New Roman"/>
          <w:color w:val="000000"/>
          <w:sz w:val="20"/>
          <w:szCs w:val="20"/>
          <w:lang w:val="en-GB" w:eastAsia="en-GB"/>
        </w:rPr>
        <w:instrText>ADDIN CSL_CITATION {"citationItems":[{"id":"ITEM-1","itemData":{"DOI":"10.1007/978-0-85729-410-4_140","author":[{"dropping-particle":"","family":"Apostolakis","given":"George E.","non-dropping-particle":"","parse-names":false,"suffix":""},{"dropping-particle":"V.","family":"Bonaca","given":"Mario","non-dropping-particle":"","parse-names":false,"suffix":""}],"container-title":"Probabilistic Safety Assessment and Management","id":"ITEM-1","issued":{"date-parts":[["2004"]]},"page":"863-868","title":"Issues Related To Safety Culture","type":"article-journal"},"uris":["http://www.mendeley.com/documents/?uuid=a4ac33cf-4fc2-44d6-8133-6623c4ba3c52"]}],"mendeley":{"formattedCitation":"[21]","plainTextFormattedCitation":"[21]","previouslyFormattedCitation":"[21]"},"properties":{"noteIndex":0},"schema":"https://github.com/citation-style-language/schema/raw/master/csl-citation.json"}</w:instrText>
      </w:r>
      <w:r w:rsidR="00ED38F9">
        <w:rPr>
          <w:rFonts w:ascii="Times New Roman" w:eastAsia="Times New Roman" w:hAnsi="Times New Roman" w:cs="Times New Roman"/>
          <w:color w:val="000000"/>
          <w:sz w:val="20"/>
          <w:szCs w:val="20"/>
          <w:lang w:val="en-GB" w:eastAsia="en-GB"/>
        </w:rPr>
        <w:fldChar w:fldCharType="separate"/>
      </w:r>
      <w:r w:rsidR="00304D87" w:rsidRPr="00304D87">
        <w:rPr>
          <w:rFonts w:ascii="Times New Roman" w:eastAsia="Times New Roman" w:hAnsi="Times New Roman" w:cs="Times New Roman"/>
          <w:noProof/>
          <w:color w:val="000000"/>
          <w:sz w:val="20"/>
          <w:szCs w:val="20"/>
          <w:lang w:val="en-GB" w:eastAsia="en-GB"/>
        </w:rPr>
        <w:t>[21]</w:t>
      </w:r>
      <w:r w:rsidR="00ED38F9">
        <w:rPr>
          <w:rFonts w:ascii="Times New Roman" w:eastAsia="Times New Roman" w:hAnsi="Times New Roman" w:cs="Times New Roman"/>
          <w:color w:val="000000"/>
          <w:sz w:val="20"/>
          <w:szCs w:val="20"/>
          <w:lang w:val="en-GB" w:eastAsia="en-GB"/>
        </w:rPr>
        <w:fldChar w:fldCharType="end"/>
      </w:r>
      <w:r w:rsidRPr="000F36C1">
        <w:rPr>
          <w:rFonts w:ascii="Times New Roman" w:eastAsia="Times New Roman" w:hAnsi="Times New Roman" w:cs="Times New Roman"/>
          <w:color w:val="000000"/>
          <w:sz w:val="20"/>
          <w:szCs w:val="20"/>
          <w:lang w:val="en-GB" w:eastAsia="en-GB"/>
        </w:rPr>
        <w:t>. A safety culture is a well-acknowledged concept in the nuclear field and many high-risk industry sectors.</w:t>
      </w:r>
      <w:r w:rsidRPr="000F36C1">
        <w:rPr>
          <w:rFonts w:ascii="Times New Roman" w:hAnsi="Times New Roman" w:cs="Times New Roman"/>
          <w:sz w:val="20"/>
          <w:szCs w:val="20"/>
        </w:rPr>
        <w:t xml:space="preserve"> </w:t>
      </w:r>
    </w:p>
    <w:p w14:paraId="2E6BF839" w14:textId="2B552378" w:rsidR="001241C9" w:rsidRPr="000F36C1" w:rsidRDefault="00286A49" w:rsidP="0036753D">
      <w:pPr>
        <w:spacing w:after="0"/>
        <w:jc w:val="both"/>
        <w:rPr>
          <w:rFonts w:ascii="Times New Roman" w:hAnsi="Times New Roman" w:cs="Times New Roman"/>
          <w:color w:val="000000"/>
          <w:sz w:val="20"/>
          <w:szCs w:val="20"/>
        </w:rPr>
      </w:pPr>
      <w:r w:rsidRPr="000F36C1">
        <w:rPr>
          <w:rFonts w:ascii="Times New Roman" w:hAnsi="Times New Roman" w:cs="Times New Roman"/>
          <w:sz w:val="20"/>
          <w:szCs w:val="20"/>
        </w:rPr>
        <w:t>E</w:t>
      </w:r>
      <w:proofErr w:type="spellStart"/>
      <w:r w:rsidRPr="000F36C1">
        <w:rPr>
          <w:rFonts w:ascii="Times New Roman" w:eastAsia="Times New Roman" w:hAnsi="Times New Roman" w:cs="Times New Roman"/>
          <w:color w:val="000000"/>
          <w:sz w:val="20"/>
          <w:szCs w:val="20"/>
          <w:lang w:val="en-GB" w:eastAsia="en-GB"/>
        </w:rPr>
        <w:t>dgar</w:t>
      </w:r>
      <w:proofErr w:type="spellEnd"/>
      <w:r w:rsidRPr="000F36C1">
        <w:rPr>
          <w:rFonts w:ascii="Times New Roman" w:eastAsia="Times New Roman" w:hAnsi="Times New Roman" w:cs="Times New Roman"/>
          <w:color w:val="000000"/>
          <w:sz w:val="20"/>
          <w:szCs w:val="20"/>
          <w:lang w:val="en-GB" w:eastAsia="en-GB"/>
        </w:rPr>
        <w:t xml:space="preserve"> Schein’s three-level model of organizational culture is used here as a framework for considering and analysing the relationship between safety and security</w:t>
      </w:r>
      <w:r w:rsidR="0034758C">
        <w:rPr>
          <w:rFonts w:ascii="Times New Roman" w:eastAsia="Times New Roman" w:hAnsi="Times New Roman" w:cs="Times New Roman"/>
          <w:color w:val="000000"/>
          <w:sz w:val="20"/>
          <w:szCs w:val="20"/>
          <w:lang w:val="en-GB" w:eastAsia="en-GB"/>
        </w:rPr>
        <w:t xml:space="preserve"> </w:t>
      </w:r>
      <w:r w:rsidR="0034758C" w:rsidRPr="000F36C1">
        <w:rPr>
          <w:rFonts w:ascii="Times New Roman" w:eastAsia="Times New Roman" w:hAnsi="Times New Roman" w:cs="Times New Roman"/>
          <w:color w:val="000000"/>
          <w:sz w:val="20"/>
          <w:szCs w:val="20"/>
          <w:lang w:val="en-GB" w:eastAsia="en-GB"/>
        </w:rPr>
        <w:fldChar w:fldCharType="begin" w:fldLock="1"/>
      </w:r>
      <w:r w:rsidR="000E2748">
        <w:rPr>
          <w:rFonts w:ascii="Times New Roman" w:eastAsia="Times New Roman" w:hAnsi="Times New Roman" w:cs="Times New Roman"/>
          <w:color w:val="000000"/>
          <w:sz w:val="20"/>
          <w:szCs w:val="20"/>
          <w:lang w:val="en-GB" w:eastAsia="en-GB"/>
        </w:rPr>
        <w:instrText>ADDIN CSL_CITATION {"citationItems":[{"id":"ITEM-1","itemData":{"ISSN":"02053292","abstract":"The current study dwells upon Edgar Schein's original framework for exploring organizational culture by classifying its elements to three levels. Important directions of model's elaboration are identified and analyzed. The last have been undertaken by different researchers in the last three decades, based on individual's necessities, involvement and experience with the application in practice of this model. Viewing Schein's model as a hologram is recommended as a way to dissolve subjectively identified by different authors issues or ambiguities in this framework. Thus, a contemporary, useful and richer \"snapshot\" of this model is proposed for use in the organizations during these turbulent times when cultural intelligence capabilities come of greater importance for their successful market performance.","author":[{"dropping-particle":"","family":"Dimitrov","given":"Kiril","non-dropping-particle":"","parse-names":false,"suffix":""}],"container-title":"Ikonomicheski Izsledvania","id":"ITEM-1","issue":"4","issued":{"date-parts":[["2013"]]},"title":"Edgar schein's model of organizational culture levels as a hologram","type":"article-journal","volume":"22"},"uris":["http://www.mendeley.com/documents/?uuid=f0cb69cd-9172-3fd4-abb6-0a540c081434","http://www.mendeley.com/documents/?uuid=1bd64053-0735-4a24-8828-97668b5f5726"]}],"mendeley":{"formattedCitation":"[22]","plainTextFormattedCitation":"[22]","previouslyFormattedCitation":"[22]"},"properties":{"noteIndex":0},"schema":"https://github.com/citation-style-language/schema/raw/master/csl-citation.json"}</w:instrText>
      </w:r>
      <w:r w:rsidR="0034758C" w:rsidRPr="000F36C1">
        <w:rPr>
          <w:rFonts w:ascii="Times New Roman" w:eastAsia="Times New Roman" w:hAnsi="Times New Roman" w:cs="Times New Roman"/>
          <w:color w:val="000000"/>
          <w:sz w:val="20"/>
          <w:szCs w:val="20"/>
          <w:lang w:val="en-GB" w:eastAsia="en-GB"/>
        </w:rPr>
        <w:fldChar w:fldCharType="separate"/>
      </w:r>
      <w:r w:rsidR="00304D87" w:rsidRPr="00304D87">
        <w:rPr>
          <w:rFonts w:ascii="Times New Roman" w:eastAsia="Times New Roman" w:hAnsi="Times New Roman" w:cs="Times New Roman"/>
          <w:noProof/>
          <w:color w:val="0070C0"/>
          <w:sz w:val="20"/>
          <w:szCs w:val="20"/>
          <w:lang w:val="en-GB" w:eastAsia="en-GB"/>
        </w:rPr>
        <w:t>[22]</w:t>
      </w:r>
      <w:r w:rsidR="0034758C" w:rsidRPr="000F36C1">
        <w:rPr>
          <w:rFonts w:ascii="Times New Roman" w:eastAsia="Times New Roman" w:hAnsi="Times New Roman" w:cs="Times New Roman"/>
          <w:color w:val="000000"/>
          <w:sz w:val="20"/>
          <w:szCs w:val="20"/>
          <w:lang w:val="en-GB" w:eastAsia="en-GB"/>
        </w:rPr>
        <w:fldChar w:fldCharType="end"/>
      </w:r>
      <w:r w:rsidRPr="000F36C1">
        <w:rPr>
          <w:rFonts w:ascii="Times New Roman" w:eastAsia="Times New Roman" w:hAnsi="Times New Roman" w:cs="Times New Roman"/>
          <w:color w:val="000000"/>
          <w:sz w:val="20"/>
          <w:szCs w:val="20"/>
          <w:lang w:val="en-GB" w:eastAsia="en-GB"/>
        </w:rPr>
        <w:t xml:space="preserve">. Schein distinguishes between three layers of culture. The most visible layer </w:t>
      </w:r>
      <w:r w:rsidR="00B654A0" w:rsidRPr="000F36C1">
        <w:rPr>
          <w:rFonts w:ascii="Times New Roman" w:eastAsia="Times New Roman" w:hAnsi="Times New Roman" w:cs="Times New Roman"/>
          <w:color w:val="000000"/>
          <w:sz w:val="20"/>
          <w:szCs w:val="20"/>
          <w:lang w:val="en-GB" w:eastAsia="en-GB"/>
        </w:rPr>
        <w:t>is</w:t>
      </w:r>
      <w:r w:rsidRPr="000F36C1">
        <w:rPr>
          <w:rFonts w:ascii="Times New Roman" w:eastAsia="Times New Roman" w:hAnsi="Times New Roman" w:cs="Times New Roman"/>
          <w:color w:val="000000"/>
          <w:sz w:val="20"/>
          <w:szCs w:val="20"/>
          <w:lang w:val="en-GB" w:eastAsia="en-GB"/>
        </w:rPr>
        <w:t xml:space="preserve"> </w:t>
      </w:r>
      <w:r w:rsidR="00B654A0" w:rsidRPr="000F36C1">
        <w:rPr>
          <w:rFonts w:ascii="Times New Roman" w:eastAsia="Times New Roman" w:hAnsi="Times New Roman" w:cs="Times New Roman"/>
          <w:color w:val="000000"/>
          <w:sz w:val="20"/>
          <w:szCs w:val="20"/>
          <w:lang w:val="en-GB" w:eastAsia="en-GB"/>
        </w:rPr>
        <w:t>artifacts</w:t>
      </w:r>
      <w:r w:rsidRPr="000F36C1">
        <w:rPr>
          <w:rFonts w:ascii="Times New Roman" w:eastAsia="Times New Roman" w:hAnsi="Times New Roman" w:cs="Times New Roman"/>
          <w:color w:val="000000"/>
          <w:sz w:val="20"/>
          <w:szCs w:val="20"/>
          <w:lang w:val="en-GB" w:eastAsia="en-GB"/>
        </w:rPr>
        <w:t xml:space="preserve"> and </w:t>
      </w:r>
      <w:r w:rsidR="00B654A0" w:rsidRPr="000F36C1">
        <w:rPr>
          <w:rFonts w:ascii="Times New Roman" w:eastAsia="Times New Roman" w:hAnsi="Times New Roman" w:cs="Times New Roman"/>
          <w:color w:val="000000"/>
          <w:sz w:val="20"/>
          <w:szCs w:val="20"/>
          <w:lang w:val="en-GB" w:eastAsia="en-GB"/>
        </w:rPr>
        <w:t>consists</w:t>
      </w:r>
      <w:r w:rsidRPr="000F36C1">
        <w:rPr>
          <w:rFonts w:ascii="Times New Roman" w:eastAsia="Times New Roman" w:hAnsi="Times New Roman" w:cs="Times New Roman"/>
          <w:color w:val="000000"/>
          <w:sz w:val="20"/>
          <w:szCs w:val="20"/>
          <w:lang w:val="en-GB" w:eastAsia="en-GB"/>
        </w:rPr>
        <w:t xml:space="preserve"> of visible behaviour</w:t>
      </w:r>
      <w:r w:rsidR="0034758C">
        <w:rPr>
          <w:rFonts w:ascii="Times New Roman" w:eastAsia="Times New Roman" w:hAnsi="Times New Roman" w:cs="Times New Roman"/>
          <w:color w:val="000000"/>
          <w:sz w:val="20"/>
          <w:szCs w:val="20"/>
          <w:lang w:val="en-GB" w:eastAsia="en-GB"/>
        </w:rPr>
        <w:t xml:space="preserve"> </w:t>
      </w:r>
      <w:r w:rsidR="009E17DB" w:rsidRPr="000F36C1">
        <w:rPr>
          <w:rFonts w:ascii="Times New Roman" w:eastAsia="Times New Roman" w:hAnsi="Times New Roman" w:cs="Times New Roman"/>
          <w:color w:val="000000"/>
          <w:sz w:val="20"/>
          <w:szCs w:val="20"/>
          <w:lang w:val="en-GB" w:eastAsia="en-GB"/>
        </w:rPr>
        <w:fldChar w:fldCharType="begin" w:fldLock="1"/>
      </w:r>
      <w:r w:rsidR="000E2748">
        <w:rPr>
          <w:rFonts w:ascii="Times New Roman" w:eastAsia="Times New Roman" w:hAnsi="Times New Roman" w:cs="Times New Roman"/>
          <w:color w:val="000000"/>
          <w:sz w:val="20"/>
          <w:szCs w:val="20"/>
          <w:lang w:val="en-GB" w:eastAsia="en-GB"/>
        </w:rPr>
        <w:instrText>ADDIN CSL_CITATION {"citationItems":[{"id":"ITEM-1","itemData":{"ISSN":"02053292","abstract":"The current study dwells upon Edgar Schein's original framework for exploring organizational culture by classifying its elements to three levels. Important directions of model's elaboration are identified and analyzed. The last have been undertaken by different researchers in the last three decades, based on individual's necessities, involvement and experience with the application in practice of this model. Viewing Schein's model as a hologram is recommended as a way to dissolve subjectively identified by different authors issues or ambiguities in this framework. Thus, a contemporary, useful and richer \"snapshot\" of this model is proposed for use in the organizations during these turbulent times when cultural intelligence capabilities come of greater importance for their successful market performance.","author":[{"dropping-particle":"","family":"Dimitrov","given":"Kiril","non-dropping-particle":"","parse-names":false,"suffix":""}],"container-title":"Ikonomicheski Izsledvania","id":"ITEM-1","issue":"4","issued":{"date-parts":[["2013"]]},"title":"Edgar schein's model of organizational culture levels as a hologram","type":"article-journal","volume":"22"},"uris":["http://www.mendeley.com/documents/?uuid=f0cb69cd-9172-3fd4-abb6-0a540c081434","http://www.mendeley.com/documents/?uuid=1bd64053-0735-4a24-8828-97668b5f5726"]}],"mendeley":{"formattedCitation":"[22]","plainTextFormattedCitation":"[22]","previouslyFormattedCitation":"[22]"},"properties":{"noteIndex":0},"schema":"https://github.com/citation-style-language/schema/raw/master/csl-citation.json"}</w:instrText>
      </w:r>
      <w:r w:rsidR="009E17DB" w:rsidRPr="000F36C1">
        <w:rPr>
          <w:rFonts w:ascii="Times New Roman" w:eastAsia="Times New Roman" w:hAnsi="Times New Roman" w:cs="Times New Roman"/>
          <w:color w:val="000000"/>
          <w:sz w:val="20"/>
          <w:szCs w:val="20"/>
          <w:lang w:val="en-GB" w:eastAsia="en-GB"/>
        </w:rPr>
        <w:fldChar w:fldCharType="separate"/>
      </w:r>
      <w:r w:rsidR="00304D87" w:rsidRPr="00304D87">
        <w:rPr>
          <w:rFonts w:ascii="Times New Roman" w:eastAsia="Times New Roman" w:hAnsi="Times New Roman" w:cs="Times New Roman"/>
          <w:noProof/>
          <w:color w:val="0070C0"/>
          <w:sz w:val="20"/>
          <w:szCs w:val="20"/>
          <w:lang w:val="en-GB" w:eastAsia="en-GB"/>
        </w:rPr>
        <w:t>[22]</w:t>
      </w:r>
      <w:r w:rsidR="009E17DB" w:rsidRPr="000F36C1">
        <w:rPr>
          <w:rFonts w:ascii="Times New Roman" w:eastAsia="Times New Roman" w:hAnsi="Times New Roman" w:cs="Times New Roman"/>
          <w:color w:val="000000"/>
          <w:sz w:val="20"/>
          <w:szCs w:val="20"/>
          <w:lang w:val="en-GB" w:eastAsia="en-GB"/>
        </w:rPr>
        <w:fldChar w:fldCharType="end"/>
      </w:r>
      <w:r w:rsidR="00B654A0" w:rsidRPr="000F36C1">
        <w:rPr>
          <w:rFonts w:ascii="Times New Roman" w:eastAsia="Times New Roman" w:hAnsi="Times New Roman" w:cs="Times New Roman"/>
          <w:color w:val="000000"/>
          <w:sz w:val="20"/>
          <w:szCs w:val="20"/>
          <w:lang w:val="en-GB" w:eastAsia="en-GB"/>
        </w:rPr>
        <w:t>. For example,</w:t>
      </w:r>
      <w:r w:rsidRPr="000F36C1">
        <w:rPr>
          <w:rFonts w:ascii="Times New Roman" w:eastAsia="Times New Roman" w:hAnsi="Times New Roman" w:cs="Times New Roman"/>
          <w:color w:val="000000"/>
          <w:sz w:val="20"/>
          <w:szCs w:val="20"/>
          <w:lang w:val="en-GB" w:eastAsia="en-GB"/>
        </w:rPr>
        <w:t xml:space="preserve"> how safety and security experts or senior managers communicate in </w:t>
      </w:r>
      <w:r w:rsidR="00B654A0" w:rsidRPr="000F36C1">
        <w:rPr>
          <w:rFonts w:ascii="Times New Roman" w:eastAsia="Times New Roman" w:hAnsi="Times New Roman" w:cs="Times New Roman"/>
          <w:color w:val="000000"/>
          <w:sz w:val="20"/>
          <w:szCs w:val="20"/>
          <w:lang w:val="en-GB" w:eastAsia="en-GB"/>
        </w:rPr>
        <w:t xml:space="preserve">an </w:t>
      </w:r>
      <w:r w:rsidRPr="000F36C1">
        <w:rPr>
          <w:rFonts w:ascii="Times New Roman" w:eastAsia="Times New Roman" w:hAnsi="Times New Roman" w:cs="Times New Roman"/>
          <w:color w:val="000000"/>
          <w:sz w:val="20"/>
          <w:szCs w:val="20"/>
          <w:lang w:val="en-GB" w:eastAsia="en-GB"/>
        </w:rPr>
        <w:t>organization. The second layer embraces espoused values, and these values can manifest themselves in rules, standards</w:t>
      </w:r>
      <w:r w:rsidR="00994EE3" w:rsidRPr="000F36C1">
        <w:rPr>
          <w:rFonts w:ascii="Times New Roman" w:eastAsia="Times New Roman" w:hAnsi="Times New Roman" w:cs="Times New Roman"/>
          <w:color w:val="000000"/>
          <w:sz w:val="20"/>
          <w:szCs w:val="20"/>
          <w:lang w:val="en-GB" w:eastAsia="en-GB"/>
        </w:rPr>
        <w:t>,</w:t>
      </w:r>
      <w:r w:rsidRPr="000F36C1">
        <w:rPr>
          <w:rFonts w:ascii="Times New Roman" w:eastAsia="Times New Roman" w:hAnsi="Times New Roman" w:cs="Times New Roman"/>
          <w:color w:val="000000"/>
          <w:sz w:val="20"/>
          <w:szCs w:val="20"/>
          <w:lang w:val="en-GB" w:eastAsia="en-GB"/>
        </w:rPr>
        <w:t xml:space="preserve"> or prohibitions. The third layer consists of basic underlying assumptions. These are often unconscious, non-reflected assumptions that can be made visible, for example, by an external analyst.</w:t>
      </w:r>
      <w:r w:rsidR="00C32C4E" w:rsidRPr="000F36C1">
        <w:rPr>
          <w:rFonts w:ascii="Times New Roman" w:hAnsi="Times New Roman" w:cs="Times New Roman"/>
          <w:sz w:val="20"/>
          <w:szCs w:val="20"/>
        </w:rPr>
        <w:t xml:space="preserve"> According to the model</w:t>
      </w:r>
      <w:r w:rsidR="00BB572F" w:rsidRPr="000F36C1">
        <w:rPr>
          <w:rFonts w:ascii="Times New Roman" w:hAnsi="Times New Roman" w:cs="Times New Roman"/>
          <w:sz w:val="20"/>
          <w:szCs w:val="20"/>
        </w:rPr>
        <w:t>,</w:t>
      </w:r>
      <w:r w:rsidR="00C32C4E" w:rsidRPr="000F36C1">
        <w:rPr>
          <w:rFonts w:ascii="Times New Roman" w:hAnsi="Times New Roman" w:cs="Times New Roman"/>
          <w:sz w:val="20"/>
          <w:szCs w:val="20"/>
        </w:rPr>
        <w:t xml:space="preserve"> there are three levels in organizational culture namely;</w:t>
      </w:r>
      <w:r w:rsidR="00BB572F" w:rsidRPr="000F36C1">
        <w:rPr>
          <w:rFonts w:ascii="Times New Roman" w:hAnsi="Times New Roman" w:cs="Times New Roman"/>
          <w:sz w:val="20"/>
          <w:szCs w:val="20"/>
        </w:rPr>
        <w:t xml:space="preserve"> </w:t>
      </w:r>
      <w:r w:rsidR="00C32C4E" w:rsidRPr="000F36C1">
        <w:rPr>
          <w:rFonts w:ascii="Times New Roman" w:hAnsi="Times New Roman" w:cs="Times New Roman"/>
          <w:sz w:val="20"/>
          <w:szCs w:val="20"/>
        </w:rPr>
        <w:t xml:space="preserve">the </w:t>
      </w:r>
      <w:r w:rsidRPr="000F36C1">
        <w:rPr>
          <w:rFonts w:ascii="Times New Roman" w:hAnsi="Times New Roman" w:cs="Times New Roman"/>
          <w:sz w:val="20"/>
          <w:szCs w:val="20"/>
        </w:rPr>
        <w:t>artifacts, values</w:t>
      </w:r>
      <w:r w:rsidR="00994EE3" w:rsidRPr="000F36C1">
        <w:rPr>
          <w:rFonts w:ascii="Times New Roman" w:hAnsi="Times New Roman" w:cs="Times New Roman"/>
          <w:sz w:val="20"/>
          <w:szCs w:val="20"/>
        </w:rPr>
        <w:t>,</w:t>
      </w:r>
      <w:r w:rsidR="00C32C4E" w:rsidRPr="000F36C1">
        <w:rPr>
          <w:rFonts w:ascii="Times New Roman" w:hAnsi="Times New Roman" w:cs="Times New Roman"/>
          <w:sz w:val="20"/>
          <w:szCs w:val="20"/>
        </w:rPr>
        <w:t xml:space="preserve"> and basic assumptions. </w:t>
      </w:r>
      <w:r w:rsidR="00994EE3" w:rsidRPr="000F36C1">
        <w:rPr>
          <w:rFonts w:ascii="Times New Roman" w:hAnsi="Times New Roman" w:cs="Times New Roman"/>
          <w:sz w:val="20"/>
          <w:szCs w:val="20"/>
        </w:rPr>
        <w:t>From</w:t>
      </w:r>
      <w:r w:rsidR="00C32C4E" w:rsidRPr="000F36C1">
        <w:rPr>
          <w:rFonts w:ascii="Times New Roman" w:hAnsi="Times New Roman" w:cs="Times New Roman"/>
          <w:sz w:val="20"/>
          <w:szCs w:val="20"/>
        </w:rPr>
        <w:t xml:space="preserve"> the perspective of </w:t>
      </w:r>
      <w:r w:rsidR="00994EE3" w:rsidRPr="000F36C1">
        <w:rPr>
          <w:rFonts w:ascii="Times New Roman" w:hAnsi="Times New Roman" w:cs="Times New Roman"/>
          <w:sz w:val="20"/>
          <w:szCs w:val="20"/>
        </w:rPr>
        <w:t xml:space="preserve">the </w:t>
      </w:r>
      <w:r w:rsidR="00C32C4E" w:rsidRPr="000F36C1">
        <w:rPr>
          <w:rFonts w:ascii="Times New Roman" w:hAnsi="Times New Roman" w:cs="Times New Roman"/>
          <w:sz w:val="20"/>
          <w:szCs w:val="20"/>
        </w:rPr>
        <w:t xml:space="preserve">nuclear industry: </w:t>
      </w:r>
      <w:r w:rsidR="00C32C4E" w:rsidRPr="000F36C1">
        <w:rPr>
          <w:rFonts w:ascii="Times New Roman" w:hAnsi="Times New Roman" w:cs="Times New Roman"/>
          <w:color w:val="000000"/>
          <w:sz w:val="20"/>
          <w:szCs w:val="20"/>
        </w:rPr>
        <w:t xml:space="preserve">artifacts, shared guidelines, and ideology. The first level (artifacts) are the characteristics that can be easily viewed, heard, and felt by individuals, including architecture, greeting rituals, dress </w:t>
      </w:r>
      <w:r w:rsidR="00BB572F" w:rsidRPr="000F36C1">
        <w:rPr>
          <w:rFonts w:ascii="Times New Roman" w:hAnsi="Times New Roman" w:cs="Times New Roman"/>
          <w:color w:val="000000"/>
          <w:sz w:val="20"/>
          <w:szCs w:val="20"/>
        </w:rPr>
        <w:t>codes</w:t>
      </w:r>
      <w:r w:rsidR="00C32C4E" w:rsidRPr="000F36C1">
        <w:rPr>
          <w:rFonts w:ascii="Times New Roman" w:hAnsi="Times New Roman" w:cs="Times New Roman"/>
          <w:color w:val="000000"/>
          <w:sz w:val="20"/>
          <w:szCs w:val="20"/>
        </w:rPr>
        <w:t>, and forms of address.</w:t>
      </w:r>
      <w:r w:rsidR="00C32C4E" w:rsidRPr="000F36C1">
        <w:rPr>
          <w:rFonts w:ascii="Times New Roman" w:hAnsi="Times New Roman" w:cs="Times New Roman"/>
          <w:sz w:val="20"/>
          <w:szCs w:val="20"/>
        </w:rPr>
        <w:t xml:space="preserve"> </w:t>
      </w:r>
      <w:r w:rsidR="00C32C4E" w:rsidRPr="000F36C1">
        <w:rPr>
          <w:rFonts w:ascii="Times New Roman" w:hAnsi="Times New Roman" w:cs="Times New Roman"/>
          <w:color w:val="000000"/>
          <w:sz w:val="20"/>
          <w:szCs w:val="20"/>
        </w:rPr>
        <w:t>Values, which constitute the second level of nuclear safety culture, are shared beliefs or guidelines, including goals, laws, and operating specifications. The third level, basic assumptions, lies at the highest level of culture and reflects the predominant ideology, including individuals' understandings of safety laws and their various perceptions of safety. The basic assumptions are invisible and implicit</w:t>
      </w:r>
      <w:r w:rsidR="009E17DB" w:rsidRPr="000F36C1">
        <w:rPr>
          <w:rFonts w:ascii="Times New Roman" w:hAnsi="Times New Roman" w:cs="Times New Roman"/>
          <w:color w:val="0070C0"/>
          <w:sz w:val="20"/>
          <w:szCs w:val="20"/>
        </w:rPr>
        <w:fldChar w:fldCharType="begin" w:fldLock="1"/>
      </w:r>
      <w:r w:rsidR="000E2748">
        <w:rPr>
          <w:rFonts w:ascii="Times New Roman" w:hAnsi="Times New Roman" w:cs="Times New Roman"/>
          <w:color w:val="0070C0"/>
          <w:sz w:val="20"/>
          <w:szCs w:val="20"/>
        </w:rPr>
        <w:instrText>ADDIN CSL_CITATION {"citationItems":[{"id":"ITEM-1","itemData":{"abstract":"Fifth edition. Revised edition of the author's Organizational culture and leadership, c2010. Includes index. Preface to fifth edition -- Foreword -- Defining the structure of culture -- How to define culture in general -- How to describe and analyze the three levels of culture -- A young and growing u.s. engineering organization -- A mature swiss-german chemical organization -- A developmental government organization in singapore -- What leaders need to know about macro cultures -- Dimensions of the macro cultural context -- A focused way of working with macro cultures -- Culture and leadership through stages of growth -- How culture begins and the role of the founder of organizations -- How external adaptation and internal integration become culture -- How leaders embed and transmit culture -- The culture dynamics of organizational growth, maturity and decline -- Natural and guided cultural evolution -- Assessing culture and leading planned change -- Deciphering culture -- The diagnostic/quantitative approach to assessment and planned change -- The dialogic qualitative culture assessment process -- A model of change management and the change leader -- The change leader as learner.","author":[{"dropping-particle":"","family":"Schein","given":"Edgar","non-dropping-particle":"","parse-names":false,"suffix":""}],"container-title":"Culture","id":"ITEM-1","issue":"Idd","issued":{"date-parts":[["2019"]]},"title":"Organizational Culture and Leadership Organizational Culture and Leadership","type":"article-journal"},"uris":["http://www.mendeley.com/documents/?uuid=f0ab1c14-d599-3a6c-94cb-8e71047ab3ac","http://www.mendeley.com/documents/?uuid=558b5bca-1511-4a9a-9729-f150b3268dc0"]}],"mendeley":{"formattedCitation":"[23]","plainTextFormattedCitation":"[23]","previouslyFormattedCitation":"[23]"},"properties":{"noteIndex":0},"schema":"https://github.com/citation-style-language/schema/raw/master/csl-citation.json"}</w:instrText>
      </w:r>
      <w:r w:rsidR="009E17DB" w:rsidRPr="000F36C1">
        <w:rPr>
          <w:rFonts w:ascii="Times New Roman" w:hAnsi="Times New Roman" w:cs="Times New Roman"/>
          <w:color w:val="0070C0"/>
          <w:sz w:val="20"/>
          <w:szCs w:val="20"/>
        </w:rPr>
        <w:fldChar w:fldCharType="separate"/>
      </w:r>
      <w:r w:rsidR="00304D87" w:rsidRPr="00304D87">
        <w:rPr>
          <w:rFonts w:ascii="Times New Roman" w:hAnsi="Times New Roman" w:cs="Times New Roman"/>
          <w:noProof/>
          <w:color w:val="0070C0"/>
          <w:sz w:val="20"/>
          <w:szCs w:val="20"/>
        </w:rPr>
        <w:t>[23]</w:t>
      </w:r>
      <w:r w:rsidR="009E17DB" w:rsidRPr="000F36C1">
        <w:rPr>
          <w:rFonts w:ascii="Times New Roman" w:hAnsi="Times New Roman" w:cs="Times New Roman"/>
          <w:color w:val="0070C0"/>
          <w:sz w:val="20"/>
          <w:szCs w:val="20"/>
        </w:rPr>
        <w:fldChar w:fldCharType="end"/>
      </w:r>
      <w:r w:rsidR="00C32C4E" w:rsidRPr="000F36C1">
        <w:rPr>
          <w:rFonts w:ascii="Times New Roman" w:hAnsi="Times New Roman" w:cs="Times New Roman"/>
          <w:color w:val="000000"/>
          <w:sz w:val="20"/>
          <w:szCs w:val="20"/>
        </w:rPr>
        <w:t>.</w:t>
      </w:r>
      <w:r w:rsidR="005C3A27" w:rsidRPr="000F36C1">
        <w:rPr>
          <w:rFonts w:ascii="Times New Roman" w:hAnsi="Times New Roman" w:cs="Times New Roman"/>
          <w:color w:val="0F80AC"/>
          <w:sz w:val="20"/>
          <w:szCs w:val="20"/>
        </w:rPr>
        <w:t xml:space="preserve"> </w:t>
      </w:r>
      <w:r w:rsidR="00C32C4E" w:rsidRPr="000F36C1">
        <w:rPr>
          <w:rFonts w:ascii="Times New Roman" w:hAnsi="Times New Roman" w:cs="Times New Roman"/>
          <w:color w:val="000000"/>
          <w:sz w:val="20"/>
          <w:szCs w:val="20"/>
        </w:rPr>
        <w:t>These levels from low to high constitute a progressive process. Basic assumptions, once formed, affect the values and artifacts.</w:t>
      </w:r>
      <w:r w:rsidR="00C32C4E" w:rsidRPr="000F36C1">
        <w:rPr>
          <w:rFonts w:ascii="Times New Roman" w:hAnsi="Times New Roman" w:cs="Times New Roman"/>
          <w:color w:val="0F80AC"/>
          <w:sz w:val="20"/>
          <w:szCs w:val="20"/>
        </w:rPr>
        <w:t xml:space="preserve"> </w:t>
      </w:r>
      <w:r w:rsidR="00C32C4E" w:rsidRPr="000F36C1">
        <w:rPr>
          <w:rFonts w:ascii="Times New Roman" w:hAnsi="Times New Roman" w:cs="Times New Roman"/>
          <w:color w:val="000000"/>
          <w:sz w:val="20"/>
          <w:szCs w:val="20"/>
        </w:rPr>
        <w:t>For instance, when the ‘safety first’ principle becomes a basic assumption, it would be subconscious actions for members to report human errors</w:t>
      </w:r>
      <w:r w:rsidR="00994EE3" w:rsidRPr="000F36C1">
        <w:rPr>
          <w:rFonts w:ascii="Times New Roman" w:hAnsi="Times New Roman" w:cs="Times New Roman"/>
          <w:color w:val="000000"/>
          <w:sz w:val="20"/>
          <w:szCs w:val="20"/>
        </w:rPr>
        <w:t>.</w:t>
      </w:r>
    </w:p>
    <w:p w14:paraId="321AC9FE" w14:textId="77777777" w:rsidR="007B79EF" w:rsidRPr="000F36C1" w:rsidRDefault="007B79EF" w:rsidP="0036753D">
      <w:pPr>
        <w:spacing w:after="0"/>
        <w:rPr>
          <w:rFonts w:ascii="Times New Roman" w:hAnsi="Times New Roman" w:cs="Times New Roman"/>
          <w:b/>
          <w:bCs/>
          <w:sz w:val="20"/>
          <w:szCs w:val="20"/>
        </w:rPr>
      </w:pPr>
    </w:p>
    <w:p w14:paraId="7F1E5F65" w14:textId="788E5C4A" w:rsidR="00337B5E" w:rsidRPr="000F36C1" w:rsidRDefault="005813B9" w:rsidP="0036753D">
      <w:pPr>
        <w:spacing w:after="0"/>
        <w:rPr>
          <w:rFonts w:ascii="Times New Roman" w:hAnsi="Times New Roman" w:cs="Times New Roman"/>
          <w:b/>
          <w:bCs/>
          <w:sz w:val="20"/>
          <w:szCs w:val="20"/>
        </w:rPr>
      </w:pPr>
      <w:r>
        <w:rPr>
          <w:rFonts w:ascii="Times New Roman" w:hAnsi="Times New Roman" w:cs="Times New Roman"/>
          <w:b/>
          <w:bCs/>
          <w:sz w:val="20"/>
          <w:szCs w:val="20"/>
        </w:rPr>
        <w:t xml:space="preserve">2.1 </w:t>
      </w:r>
      <w:r w:rsidR="009464C0" w:rsidRPr="000F36C1">
        <w:rPr>
          <w:rFonts w:ascii="Times New Roman" w:hAnsi="Times New Roman" w:cs="Times New Roman"/>
          <w:b/>
          <w:bCs/>
          <w:sz w:val="20"/>
          <w:szCs w:val="20"/>
        </w:rPr>
        <w:t xml:space="preserve">INHERENT AND PASSIVE SAFETY FEATURES </w:t>
      </w:r>
    </w:p>
    <w:p w14:paraId="312298FE" w14:textId="5AFD57AA" w:rsidR="00CB1B5B" w:rsidRPr="00D33F1F" w:rsidRDefault="00CB1B5B" w:rsidP="00CB1B5B">
      <w:pPr>
        <w:spacing w:after="0"/>
        <w:jc w:val="both"/>
        <w:rPr>
          <w:rFonts w:ascii="Times New Roman" w:hAnsi="Times New Roman" w:cs="Times New Roman"/>
          <w:sz w:val="20"/>
          <w:szCs w:val="20"/>
        </w:rPr>
      </w:pPr>
      <w:r w:rsidRPr="00D33F1F">
        <w:rPr>
          <w:rFonts w:ascii="Times New Roman" w:hAnsi="Times New Roman" w:cs="Times New Roman"/>
          <w:sz w:val="20"/>
          <w:szCs w:val="20"/>
        </w:rPr>
        <w:t>Inherent safety and the concept of practical elimination are foundational elements in the design and operation of SMRs, aligning with the International Atomic Energy Agency's (IAEA) safety framework. Inherent safety refers to the intrinsic characteristics of a reactor that prevent accidents from occurring or mitigate their consequences without requiring active safety systems. SMRs achieve this through features such as passive cooling, low power density, and simplified designs, which inherently reduce the likelihood of severe accidents</w:t>
      </w:r>
      <w:r w:rsidR="00223CD8">
        <w:rPr>
          <w:rFonts w:ascii="Times New Roman" w:hAnsi="Times New Roman" w:cs="Times New Roman"/>
          <w:sz w:val="20"/>
          <w:szCs w:val="20"/>
        </w:rPr>
        <w:t xml:space="preserve"> </w:t>
      </w:r>
      <w:r w:rsidR="000E2748">
        <w:rPr>
          <w:rFonts w:ascii="Times New Roman" w:hAnsi="Times New Roman" w:cs="Times New Roman"/>
          <w:sz w:val="20"/>
          <w:szCs w:val="20"/>
        </w:rPr>
        <w:fldChar w:fldCharType="begin" w:fldLock="1"/>
      </w:r>
      <w:r w:rsidR="00942491">
        <w:rPr>
          <w:rFonts w:ascii="Times New Roman" w:hAnsi="Times New Roman" w:cs="Times New Roman"/>
          <w:sz w:val="20"/>
          <w:szCs w:val="20"/>
        </w:rPr>
        <w:instrText>ADDIN CSL_CITATION {"citationItems":[{"id":"ITEM-1","itemData":{"DOI":"10.1016/j.physo.2020.100038","ISSN":"26660326","author":[{"dropping-particle":"","family":"Hussein","given":"Esam M.A.","non-dropping-particle":"","parse-names":false,"suffix":""}],"container-title":"Physics Open","id":"ITEM-1","issued":{"date-parts":[["2020","12"]]},"page":"100038","publisher":"Elsevier","title":"Emerging small modular nuclear power reactors: A critical review","type":"article-journal","volume":"5"},"uris":["http://www.mendeley.com/documents/?uuid=25f5af33-ad71-4953-87b6-239e67cfc0e2"]}],"mendeley":{"formattedCitation":"[24]","plainTextFormattedCitation":"[24]","previouslyFormattedCitation":"[24]"},"properties":{"noteIndex":0},"schema":"https://github.com/citation-style-language/schema/raw/master/csl-citation.json"}</w:instrText>
      </w:r>
      <w:r w:rsidR="000E2748">
        <w:rPr>
          <w:rFonts w:ascii="Times New Roman" w:hAnsi="Times New Roman" w:cs="Times New Roman"/>
          <w:sz w:val="20"/>
          <w:szCs w:val="20"/>
        </w:rPr>
        <w:fldChar w:fldCharType="separate"/>
      </w:r>
      <w:r w:rsidR="000E2748" w:rsidRPr="000E2748">
        <w:rPr>
          <w:rFonts w:ascii="Times New Roman" w:hAnsi="Times New Roman" w:cs="Times New Roman"/>
          <w:noProof/>
          <w:sz w:val="20"/>
          <w:szCs w:val="20"/>
        </w:rPr>
        <w:t>[24]</w:t>
      </w:r>
      <w:r w:rsidR="000E2748">
        <w:rPr>
          <w:rFonts w:ascii="Times New Roman" w:hAnsi="Times New Roman" w:cs="Times New Roman"/>
          <w:sz w:val="20"/>
          <w:szCs w:val="20"/>
        </w:rPr>
        <w:fldChar w:fldCharType="end"/>
      </w:r>
      <w:r w:rsidR="00223CD8">
        <w:rPr>
          <w:rFonts w:ascii="Times New Roman" w:hAnsi="Times New Roman" w:cs="Times New Roman"/>
          <w:sz w:val="20"/>
          <w:szCs w:val="20"/>
        </w:rPr>
        <w:t>.</w:t>
      </w:r>
      <w:r w:rsidRPr="00053C40">
        <w:rPr>
          <w:rFonts w:ascii="Times New Roman" w:hAnsi="Times New Roman" w:cs="Times New Roman"/>
          <w:sz w:val="20"/>
          <w:szCs w:val="20"/>
        </w:rPr>
        <w:t xml:space="preserve"> </w:t>
      </w:r>
    </w:p>
    <w:p w14:paraId="175419A7" w14:textId="44233A50" w:rsidR="00CB1B5B" w:rsidRPr="00A14018" w:rsidRDefault="00CB1B5B" w:rsidP="00A14018">
      <w:r w:rsidRPr="00D33F1F">
        <w:rPr>
          <w:rFonts w:ascii="Times New Roman" w:hAnsi="Times New Roman" w:cs="Times New Roman"/>
          <w:sz w:val="20"/>
          <w:szCs w:val="20"/>
        </w:rPr>
        <w:t xml:space="preserve">The concept of practical elimination, as described in the IAEA's SSR-2/1 Rev. 1, involves designing reactors to eliminate the possibility of certain severe accident scenarios by ensuring they are "practically eliminated" through design measures </w:t>
      </w:r>
      <w:r w:rsidR="00F039A3">
        <w:rPr>
          <w:rFonts w:ascii="Times New Roman" w:hAnsi="Times New Roman" w:cs="Times New Roman"/>
          <w:sz w:val="20"/>
          <w:szCs w:val="20"/>
        </w:rPr>
        <w:t xml:space="preserve"> </w:t>
      </w:r>
      <w:r w:rsidR="00F039A3">
        <w:rPr>
          <w:rFonts w:ascii="Times New Roman" w:hAnsi="Times New Roman" w:cs="Times New Roman"/>
          <w:sz w:val="20"/>
          <w:szCs w:val="20"/>
        </w:rPr>
        <w:fldChar w:fldCharType="begin" w:fldLock="1"/>
      </w:r>
      <w:r w:rsidR="00942491">
        <w:rPr>
          <w:rFonts w:ascii="Times New Roman" w:hAnsi="Times New Roman" w:cs="Times New Roman"/>
          <w:sz w:val="20"/>
          <w:szCs w:val="20"/>
        </w:rPr>
        <w:instrText>ADDIN CSL_CITATION {"citationItems":[{"id":"ITEM-1","itemData":{"DOI":"10.1515/kern-2002-0007","ISSN":"0932-3902","abstract":"This publication is a revision of IAEA Safety Standards Series No. NS-R-1, Safety of Nuclear Power Plants: Design. It establishes requirements applicable to the design of nuclear power plants and elaborates on the safety objective, safety principles and concepts that provide the basis for deriving the safety requirements that must be met for the design of a nuclear power plant. It will be useful for organizations involved in the design, manufacture, construction, modification, maintenance, operation and decommissioning of nuclear power plants, as well as for regulatory bodies.","author":[{"dropping-particle":"","family":"Requirements","given":"Specific Safety","non-dropping-particle":"","parse-names":false,"suffix":""}],"container-title":"Kerntechnik","id":"ITEM-1","issue":"1","issued":{"date-parts":[["2022"]]},"page":"17-17","title":"Safety of nuclear power plants: Design","type":"article-journal","volume":"67"},"uris":["http://www.mendeley.com/documents/?uuid=0acffa7b-3d04-447f-b425-943ec6572140"]}],"mendeley":{"formattedCitation":"[25]","plainTextFormattedCitation":"[25]","previouslyFormattedCitation":"[25]"},"properties":{"noteIndex":0},"schema":"https://github.com/citation-style-language/schema/raw/master/csl-citation.json"}</w:instrText>
      </w:r>
      <w:r w:rsidR="00F039A3">
        <w:rPr>
          <w:rFonts w:ascii="Times New Roman" w:hAnsi="Times New Roman" w:cs="Times New Roman"/>
          <w:sz w:val="20"/>
          <w:szCs w:val="20"/>
        </w:rPr>
        <w:fldChar w:fldCharType="separate"/>
      </w:r>
      <w:r w:rsidR="000E2748" w:rsidRPr="000E2748">
        <w:rPr>
          <w:rFonts w:ascii="Times New Roman" w:hAnsi="Times New Roman" w:cs="Times New Roman"/>
          <w:noProof/>
          <w:sz w:val="20"/>
          <w:szCs w:val="20"/>
        </w:rPr>
        <w:t>[25]</w:t>
      </w:r>
      <w:r w:rsidR="00F039A3">
        <w:rPr>
          <w:rFonts w:ascii="Times New Roman" w:hAnsi="Times New Roman" w:cs="Times New Roman"/>
          <w:sz w:val="20"/>
          <w:szCs w:val="20"/>
        </w:rPr>
        <w:fldChar w:fldCharType="end"/>
      </w:r>
      <w:r w:rsidRPr="00D33F1F">
        <w:rPr>
          <w:rFonts w:ascii="Times New Roman" w:hAnsi="Times New Roman" w:cs="Times New Roman"/>
          <w:sz w:val="20"/>
          <w:szCs w:val="20"/>
        </w:rPr>
        <w:t xml:space="preserve">. </w:t>
      </w:r>
      <w:r w:rsidR="00A14018" w:rsidRPr="00A14018">
        <w:rPr>
          <w:rFonts w:ascii="Times New Roman" w:hAnsi="Times New Roman" w:cs="Times New Roman"/>
          <w:sz w:val="20"/>
          <w:szCs w:val="20"/>
        </w:rPr>
        <w:t>This implies that accident scenarios resulting in significant or early radioactive releases have been practically eliminated, either through physical impossibility or by being highly improbable with a high degree of confidence</w:t>
      </w:r>
      <w:r w:rsidRPr="00D33F1F">
        <w:rPr>
          <w:rFonts w:ascii="Times New Roman" w:hAnsi="Times New Roman" w:cs="Times New Roman"/>
          <w:sz w:val="20"/>
          <w:szCs w:val="20"/>
        </w:rPr>
        <w:t xml:space="preserve">. The </w:t>
      </w:r>
      <w:r w:rsidR="00942491">
        <w:rPr>
          <w:rFonts w:ascii="Times New Roman" w:hAnsi="Times New Roman" w:cs="Times New Roman"/>
          <w:sz w:val="20"/>
          <w:szCs w:val="20"/>
        </w:rPr>
        <w:t xml:space="preserve">IAEA regulators forum </w:t>
      </w:r>
      <w:r w:rsidRPr="00D33F1F">
        <w:rPr>
          <w:rFonts w:ascii="Times New Roman" w:hAnsi="Times New Roman" w:cs="Times New Roman"/>
          <w:sz w:val="20"/>
          <w:szCs w:val="20"/>
        </w:rPr>
        <w:t>further elaborates on this by providing specific criteria for assessing and demonstrating practical elimination in SMRs, emphasizing the need for rigorous safety assessments and robust design features that limit the release of radioactive materials</w:t>
      </w:r>
      <w:r w:rsidR="00942491">
        <w:rPr>
          <w:rFonts w:ascii="Times New Roman" w:hAnsi="Times New Roman" w:cs="Times New Roman"/>
          <w:sz w:val="20"/>
          <w:szCs w:val="20"/>
        </w:rPr>
        <w:t xml:space="preserve"> </w:t>
      </w:r>
      <w:r w:rsidR="00942491">
        <w:rPr>
          <w:rFonts w:ascii="Times New Roman" w:hAnsi="Times New Roman" w:cs="Times New Roman"/>
          <w:sz w:val="20"/>
          <w:szCs w:val="20"/>
        </w:rPr>
        <w:fldChar w:fldCharType="begin" w:fldLock="1"/>
      </w:r>
      <w:r w:rsidR="00210CEA">
        <w:rPr>
          <w:rFonts w:ascii="Times New Roman" w:hAnsi="Times New Roman" w:cs="Times New Roman"/>
          <w:sz w:val="20"/>
          <w:szCs w:val="20"/>
        </w:rPr>
        <w:instrText>ADDIN CSL_CITATION {"citationItems":[{"id":"ITEM-1","itemData":{"author":[{"dropping-particle":"","family":"International Atomic Energy Agency","given":"","non-dropping-particle":"","parse-names":false,"suffix":""}],"id":"ITEM-1","issue":"June","issued":{"date-parts":[["2021"]]},"title":"Small Modular Reactors Regulators' Forum: Working Group on Design and Safety Analysis (Phase 2 Report)","type":"article-journal"},"uris":["http://www.mendeley.com/documents/?uuid=5792f191-d1b9-4a28-99b6-4d62703a02ef"]}],"mendeley":{"formattedCitation":"[26]","plainTextFormattedCitation":"[26]","previouslyFormattedCitation":"[26]"},"properties":{"noteIndex":0},"schema":"https://github.com/citation-style-language/schema/raw/master/csl-citation.json"}</w:instrText>
      </w:r>
      <w:r w:rsidR="00942491">
        <w:rPr>
          <w:rFonts w:ascii="Times New Roman" w:hAnsi="Times New Roman" w:cs="Times New Roman"/>
          <w:sz w:val="20"/>
          <w:szCs w:val="20"/>
        </w:rPr>
        <w:fldChar w:fldCharType="separate"/>
      </w:r>
      <w:r w:rsidR="00942491" w:rsidRPr="00942491">
        <w:rPr>
          <w:rFonts w:ascii="Times New Roman" w:hAnsi="Times New Roman" w:cs="Times New Roman"/>
          <w:noProof/>
          <w:sz w:val="20"/>
          <w:szCs w:val="20"/>
        </w:rPr>
        <w:t>[26]</w:t>
      </w:r>
      <w:r w:rsidR="00942491">
        <w:rPr>
          <w:rFonts w:ascii="Times New Roman" w:hAnsi="Times New Roman" w:cs="Times New Roman"/>
          <w:sz w:val="20"/>
          <w:szCs w:val="20"/>
        </w:rPr>
        <w:fldChar w:fldCharType="end"/>
      </w:r>
      <w:r w:rsidRPr="00D33F1F">
        <w:rPr>
          <w:rFonts w:ascii="Times New Roman" w:hAnsi="Times New Roman" w:cs="Times New Roman"/>
          <w:sz w:val="20"/>
          <w:szCs w:val="20"/>
        </w:rPr>
        <w:t>.</w:t>
      </w:r>
      <w:r w:rsidRPr="00053C40">
        <w:rPr>
          <w:rFonts w:ascii="Times New Roman" w:hAnsi="Times New Roman" w:cs="Times New Roman"/>
          <w:sz w:val="20"/>
          <w:szCs w:val="20"/>
        </w:rPr>
        <w:t xml:space="preserve"> </w:t>
      </w:r>
      <w:r w:rsidRPr="00D33F1F">
        <w:rPr>
          <w:rFonts w:ascii="Times New Roman" w:hAnsi="Times New Roman" w:cs="Times New Roman"/>
          <w:sz w:val="20"/>
          <w:szCs w:val="20"/>
        </w:rPr>
        <w:t xml:space="preserve"> </w:t>
      </w:r>
    </w:p>
    <w:p w14:paraId="1068C9D4" w14:textId="77777777" w:rsidR="00CB1B5B" w:rsidRPr="00A74E23" w:rsidRDefault="00CB1B5B" w:rsidP="00CB1B5B">
      <w:pPr>
        <w:spacing w:after="0"/>
        <w:jc w:val="both"/>
        <w:rPr>
          <w:rFonts w:ascii="Times New Roman" w:hAnsi="Times New Roman" w:cs="Times New Roman"/>
          <w:sz w:val="20"/>
          <w:szCs w:val="20"/>
        </w:rPr>
      </w:pPr>
      <w:r w:rsidRPr="00053C40">
        <w:rPr>
          <w:rFonts w:ascii="Times New Roman" w:hAnsi="Times New Roman" w:cs="Times New Roman"/>
          <w:sz w:val="20"/>
          <w:szCs w:val="20"/>
        </w:rPr>
        <w:t>Small Modular Reactors (SMRs) leverage inherent safety through their smaller core size, simplified systems, and passive safety features. Passive safety features rely on natural physical principles such as gravity, natural circulation, and heat conduction to ensure safety functions are maintained without the need for external power sources or active mechanical components. This reduces the likelihood of accidents and enhances the reactor's ability to safely shut down or cool the core under all conditions</w:t>
      </w:r>
      <w:r>
        <w:t>.</w:t>
      </w:r>
      <w:r w:rsidRPr="00053C40">
        <w:rPr>
          <w:rFonts w:ascii="Times New Roman" w:hAnsi="Times New Roman" w:cs="Times New Roman"/>
          <w:sz w:val="20"/>
          <w:szCs w:val="20"/>
        </w:rPr>
        <w:t xml:space="preserve"> T</w:t>
      </w:r>
      <w:r w:rsidRPr="00D33F1F">
        <w:rPr>
          <w:rFonts w:ascii="Times New Roman" w:hAnsi="Times New Roman" w:cs="Times New Roman"/>
          <w:sz w:val="20"/>
          <w:szCs w:val="20"/>
        </w:rPr>
        <w:t>hese principles ensure that SMRs provide a high level of safety, minimizing risks and enhancing public and environmental protection.</w:t>
      </w:r>
    </w:p>
    <w:p w14:paraId="5143633E" w14:textId="0777C567" w:rsidR="00F039A3" w:rsidRPr="00D63301" w:rsidRDefault="00F039A3" w:rsidP="00A37820">
      <w:pPr>
        <w:rPr>
          <w:rFonts w:ascii="Times New Roman" w:hAnsi="Times New Roman" w:cs="Times New Roman"/>
          <w:sz w:val="20"/>
          <w:szCs w:val="20"/>
        </w:rPr>
      </w:pPr>
      <w:r w:rsidRPr="00D63301">
        <w:rPr>
          <w:rFonts w:ascii="Times New Roman" w:hAnsi="Times New Roman" w:cs="Times New Roman"/>
          <w:sz w:val="20"/>
          <w:szCs w:val="20"/>
        </w:rPr>
        <w:t>The IAEA</w:t>
      </w:r>
      <w:r w:rsidR="00210CEA">
        <w:rPr>
          <w:rFonts w:ascii="Times New Roman" w:hAnsi="Times New Roman" w:cs="Times New Roman"/>
          <w:sz w:val="20"/>
          <w:szCs w:val="20"/>
        </w:rPr>
        <w:t xml:space="preserve"> </w:t>
      </w:r>
      <w:r w:rsidRPr="00D63301">
        <w:rPr>
          <w:rFonts w:ascii="Times New Roman" w:hAnsi="Times New Roman" w:cs="Times New Roman"/>
          <w:sz w:val="20"/>
          <w:szCs w:val="20"/>
        </w:rPr>
        <w:t>SS</w:t>
      </w:r>
      <w:r w:rsidR="00210CEA">
        <w:rPr>
          <w:rFonts w:ascii="Times New Roman" w:hAnsi="Times New Roman" w:cs="Times New Roman"/>
          <w:sz w:val="20"/>
          <w:szCs w:val="20"/>
        </w:rPr>
        <w:t xml:space="preserve">G 88 </w:t>
      </w:r>
      <w:r w:rsidRPr="00D63301">
        <w:rPr>
          <w:rFonts w:ascii="Times New Roman" w:hAnsi="Times New Roman" w:cs="Times New Roman"/>
          <w:sz w:val="20"/>
          <w:szCs w:val="20"/>
        </w:rPr>
        <w:t xml:space="preserve">emphasizes the importance of inherent safety and </w:t>
      </w:r>
      <w:r w:rsidR="00A37820" w:rsidRPr="002F2198">
        <w:rPr>
          <w:rFonts w:ascii="Times New Roman" w:hAnsi="Times New Roman" w:cs="Times New Roman"/>
          <w:sz w:val="20"/>
          <w:szCs w:val="20"/>
        </w:rPr>
        <w:t>demonstrate the practical elimination of plant event sequences that could lead to an early radioactive release or a large radioactive release</w:t>
      </w:r>
      <w:r w:rsidR="00157187">
        <w:rPr>
          <w:rFonts w:ascii="Times New Roman" w:hAnsi="Times New Roman" w:cs="Times New Roman"/>
          <w:sz w:val="20"/>
          <w:szCs w:val="20"/>
        </w:rPr>
        <w:t xml:space="preserve"> </w:t>
      </w:r>
      <w:r w:rsidR="00157187">
        <w:rPr>
          <w:rFonts w:ascii="Times New Roman" w:hAnsi="Times New Roman" w:cs="Times New Roman"/>
          <w:sz w:val="20"/>
          <w:szCs w:val="20"/>
        </w:rPr>
        <w:fldChar w:fldCharType="begin" w:fldLock="1"/>
      </w:r>
      <w:r w:rsidR="00157187">
        <w:rPr>
          <w:rFonts w:ascii="Times New Roman" w:hAnsi="Times New Roman" w:cs="Times New Roman"/>
          <w:sz w:val="20"/>
          <w:szCs w:val="20"/>
        </w:rPr>
        <w:instrText>ADDIN CSL_CITATION {"citationItems":[{"id":"ITEM-1","itemData":{"ISBN":"9789201303233","author":[{"dropping-particle":"","family":"IAEA","given":"","non-dropping-particle":"","parse-names":false,"suffix":""}],"id":"ITEM-1","issued":{"date-parts":[["2024"]]},"publisher-place":"Vienna","title":"IAEA Safety Standards for protecting people and the environment Specific Safety Guide No. SSG-88 Design Extension Conditions and the Concept of Practical Elimination in the Design of Nuclear Power Plants","type":"book"},"uris":["http://www.mendeley.com/documents/?uuid=1f506547-4125-468a-80d2-75a9266636ae"]}],"mendeley":{"formattedCitation":"[27]","plainTextFormattedCitation":"[27]","previouslyFormattedCitation":"[27]"},"properties":{"noteIndex":0},"schema":"https://github.com/citation-style-language/schema/raw/master/csl-citation.json"}</w:instrText>
      </w:r>
      <w:r w:rsidR="00157187">
        <w:rPr>
          <w:rFonts w:ascii="Times New Roman" w:hAnsi="Times New Roman" w:cs="Times New Roman"/>
          <w:sz w:val="20"/>
          <w:szCs w:val="20"/>
        </w:rPr>
        <w:fldChar w:fldCharType="separate"/>
      </w:r>
      <w:r w:rsidR="00157187" w:rsidRPr="00157187">
        <w:rPr>
          <w:rFonts w:ascii="Times New Roman" w:hAnsi="Times New Roman" w:cs="Times New Roman"/>
          <w:noProof/>
          <w:sz w:val="20"/>
          <w:szCs w:val="20"/>
        </w:rPr>
        <w:t>[27]</w:t>
      </w:r>
      <w:r w:rsidR="00157187">
        <w:rPr>
          <w:rFonts w:ascii="Times New Roman" w:hAnsi="Times New Roman" w:cs="Times New Roman"/>
          <w:sz w:val="20"/>
          <w:szCs w:val="20"/>
        </w:rPr>
        <w:fldChar w:fldCharType="end"/>
      </w:r>
      <w:r w:rsidRPr="00D63301">
        <w:rPr>
          <w:rFonts w:ascii="Times New Roman" w:hAnsi="Times New Roman" w:cs="Times New Roman"/>
          <w:sz w:val="20"/>
          <w:szCs w:val="20"/>
        </w:rPr>
        <w:t>.</w:t>
      </w:r>
      <w:r w:rsidR="00210CEA">
        <w:rPr>
          <w:rFonts w:ascii="Times New Roman" w:hAnsi="Times New Roman" w:cs="Times New Roman"/>
          <w:sz w:val="20"/>
          <w:szCs w:val="20"/>
        </w:rPr>
        <w:t xml:space="preserve"> The IAEA regulators forum</w:t>
      </w:r>
      <w:r w:rsidRPr="00D63301">
        <w:rPr>
          <w:rFonts w:ascii="Times New Roman" w:hAnsi="Times New Roman" w:cs="Times New Roman"/>
          <w:sz w:val="20"/>
          <w:szCs w:val="20"/>
        </w:rPr>
        <w:t xml:space="preserve"> further elaborates on these principles by discussing the role of passive safety features (</w:t>
      </w:r>
      <w:r w:rsidR="00210CEA">
        <w:rPr>
          <w:rFonts w:ascii="Times New Roman" w:hAnsi="Times New Roman" w:cs="Times New Roman"/>
          <w:sz w:val="20"/>
          <w:szCs w:val="20"/>
        </w:rPr>
        <w:t>chapter 2 paragraph 2.1.2</w:t>
      </w:r>
      <w:r w:rsidRPr="00D63301">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157187">
        <w:rPr>
          <w:rFonts w:ascii="Times New Roman" w:hAnsi="Times New Roman" w:cs="Times New Roman"/>
          <w:sz w:val="20"/>
          <w:szCs w:val="20"/>
        </w:rPr>
        <w:instrText>ADDIN CSL_CITATION {"citationItems":[{"id":"ITEM-1","itemData":{"ISBN":"9789201303233","author":[{"dropping-particle":"","family":"IAEA","given":"","non-dropping-particle":"","parse-names":false,"suffix":""}],"id":"ITEM-1","issued":{"date-parts":[["2024"]]},"publisher-place":"Vienna","title":"IAEA Safety Standards for protecting people and the environment Specific Safety Guide No. SSG-88 Design Extension Conditions and the Concept of Practical Elimination in the Design of Nuclear Power Plants","type":"book"},"uris":["http://www.mendeley.com/documents/?uuid=1f506547-4125-468a-80d2-75a9266636ae"]}],"mendeley":{"formattedCitation":"[27]","manualFormatting":"[26]","plainTextFormattedCitation":"[27]","previouslyFormattedCitation":"[27]"},"properties":{"noteIndex":0},"schema":"https://github.com/citation-style-language/schema/raw/master/csl-citation.json"}</w:instrText>
      </w:r>
      <w:r>
        <w:rPr>
          <w:rFonts w:ascii="Times New Roman" w:hAnsi="Times New Roman" w:cs="Times New Roman"/>
          <w:sz w:val="20"/>
          <w:szCs w:val="20"/>
        </w:rPr>
        <w:fldChar w:fldCharType="separate"/>
      </w:r>
      <w:r w:rsidR="00210CEA" w:rsidRPr="00210CEA">
        <w:rPr>
          <w:rFonts w:ascii="Times New Roman" w:hAnsi="Times New Roman" w:cs="Times New Roman"/>
          <w:noProof/>
          <w:sz w:val="20"/>
          <w:szCs w:val="20"/>
        </w:rPr>
        <w:t>[</w:t>
      </w:r>
      <w:r w:rsidR="00210CEA">
        <w:rPr>
          <w:rFonts w:ascii="Times New Roman" w:hAnsi="Times New Roman" w:cs="Times New Roman"/>
          <w:noProof/>
          <w:sz w:val="20"/>
          <w:szCs w:val="20"/>
        </w:rPr>
        <w:t>26</w:t>
      </w:r>
      <w:r w:rsidR="00210CEA" w:rsidRPr="00210CEA">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D63301">
        <w:rPr>
          <w:rFonts w:ascii="Times New Roman" w:hAnsi="Times New Roman" w:cs="Times New Roman"/>
          <w:sz w:val="20"/>
          <w:szCs w:val="20"/>
        </w:rPr>
        <w:t>and their integration into SMR designs to achieve high levels of safety with reduced complexity. These frameworks guide the development of SMRs to ensure they meet the highest safety standards, with a focus on minimizing risk through design simplification and the elimination of complex active safety systems.</w:t>
      </w:r>
    </w:p>
    <w:p w14:paraId="4B656F9D" w14:textId="77777777" w:rsidR="00CB1B5B" w:rsidRDefault="00CB1B5B" w:rsidP="0036753D">
      <w:pPr>
        <w:spacing w:after="0"/>
        <w:jc w:val="both"/>
        <w:rPr>
          <w:rStyle w:val="fontstyle01"/>
          <w:rFonts w:ascii="Times New Roman" w:eastAsia="Times New Roman" w:hAnsi="Times New Roman" w:cs="Times New Roman"/>
          <w:sz w:val="20"/>
          <w:szCs w:val="20"/>
          <w:lang w:val="en-GB" w:eastAsia="en-GB"/>
        </w:rPr>
      </w:pPr>
    </w:p>
    <w:p w14:paraId="231CB837" w14:textId="10F5FBEC" w:rsidR="00B56A69" w:rsidRPr="005813B9" w:rsidRDefault="00492243" w:rsidP="005813B9">
      <w:pPr>
        <w:pStyle w:val="ListParagraph"/>
        <w:numPr>
          <w:ilvl w:val="0"/>
          <w:numId w:val="6"/>
        </w:numPr>
        <w:spacing w:after="0"/>
        <w:rPr>
          <w:rFonts w:ascii="Times New Roman" w:hAnsi="Times New Roman" w:cs="Times New Roman"/>
          <w:b/>
          <w:bCs/>
          <w:sz w:val="20"/>
          <w:szCs w:val="20"/>
        </w:rPr>
      </w:pPr>
      <w:r w:rsidRPr="005813B9">
        <w:rPr>
          <w:rFonts w:ascii="Times New Roman" w:hAnsi="Times New Roman" w:cs="Times New Roman"/>
          <w:b/>
          <w:bCs/>
          <w:sz w:val="20"/>
          <w:szCs w:val="20"/>
        </w:rPr>
        <w:t>DESIGN SIMPLIFICATION AND MODULARITY</w:t>
      </w:r>
    </w:p>
    <w:p w14:paraId="1FD3CD5B" w14:textId="00035ED6" w:rsidR="002945BB" w:rsidRPr="000F36C1" w:rsidRDefault="002945BB" w:rsidP="0036753D">
      <w:pPr>
        <w:spacing w:after="0"/>
        <w:jc w:val="both"/>
        <w:rPr>
          <w:rFonts w:ascii="Times New Roman" w:eastAsia="Times New Roman" w:hAnsi="Times New Roman" w:cs="Times New Roman"/>
          <w:color w:val="000000"/>
          <w:sz w:val="20"/>
          <w:szCs w:val="20"/>
          <w:lang w:val="en-GB" w:eastAsia="en-GB"/>
        </w:rPr>
      </w:pPr>
      <w:r w:rsidRPr="000F36C1">
        <w:rPr>
          <w:rFonts w:ascii="Times New Roman" w:hAnsi="Times New Roman" w:cs="Times New Roman"/>
          <w:color w:val="000000"/>
          <w:sz w:val="20"/>
          <w:szCs w:val="20"/>
        </w:rPr>
        <w:t xml:space="preserve">The climbing interest in SMRs is due to their </w:t>
      </w:r>
      <w:r w:rsidR="00B5322C" w:rsidRPr="000F36C1">
        <w:rPr>
          <w:rFonts w:ascii="Times New Roman" w:hAnsi="Times New Roman" w:cs="Times New Roman"/>
          <w:color w:val="000000"/>
          <w:sz w:val="20"/>
          <w:szCs w:val="20"/>
        </w:rPr>
        <w:t>application</w:t>
      </w:r>
      <w:r w:rsidRPr="000F36C1">
        <w:rPr>
          <w:rFonts w:ascii="Times New Roman" w:hAnsi="Times New Roman" w:cs="Times New Roman"/>
          <w:color w:val="000000"/>
          <w:sz w:val="20"/>
          <w:szCs w:val="20"/>
        </w:rPr>
        <w:t xml:space="preserve"> potential since they offer some advantages when compared to large nuclear power plants, mainly in terms of modularity, shorter time of construction with lower costs, </w:t>
      </w:r>
      <w:r w:rsidR="00B5322C" w:rsidRPr="000F36C1">
        <w:rPr>
          <w:rFonts w:ascii="Times New Roman" w:hAnsi="Times New Roman" w:cs="Times New Roman"/>
          <w:color w:val="000000"/>
          <w:sz w:val="20"/>
          <w:szCs w:val="20"/>
        </w:rPr>
        <w:t xml:space="preserve">the </w:t>
      </w:r>
      <w:r w:rsidRPr="000F36C1">
        <w:rPr>
          <w:rFonts w:ascii="Times New Roman" w:hAnsi="Times New Roman" w:cs="Times New Roman"/>
          <w:color w:val="000000"/>
          <w:sz w:val="20"/>
          <w:szCs w:val="20"/>
        </w:rPr>
        <w:t>applicability of natural cooling circulation</w:t>
      </w:r>
      <w:r w:rsidR="0009743D" w:rsidRPr="000F36C1">
        <w:rPr>
          <w:rFonts w:ascii="Times New Roman" w:hAnsi="Times New Roman" w:cs="Times New Roman"/>
          <w:color w:val="000000"/>
          <w:sz w:val="20"/>
          <w:szCs w:val="20"/>
        </w:rPr>
        <w:t xml:space="preserve"> with inherent safety features </w:t>
      </w:r>
      <w:r w:rsidRPr="000F36C1">
        <w:rPr>
          <w:rFonts w:ascii="Times New Roman" w:hAnsi="Times New Roman" w:cs="Times New Roman"/>
          <w:color w:val="000000"/>
          <w:sz w:val="20"/>
          <w:szCs w:val="20"/>
        </w:rPr>
        <w:t xml:space="preserve">SMR components can be </w:t>
      </w:r>
      <w:r w:rsidRPr="000F36C1">
        <w:rPr>
          <w:rFonts w:ascii="Times New Roman" w:hAnsi="Times New Roman" w:cs="Times New Roman"/>
          <w:color w:val="000000"/>
          <w:sz w:val="20"/>
          <w:szCs w:val="20"/>
        </w:rPr>
        <w:lastRenderedPageBreak/>
        <w:t xml:space="preserve">assembled in </w:t>
      </w:r>
      <w:r w:rsidR="00B5322C" w:rsidRPr="000F36C1">
        <w:rPr>
          <w:rFonts w:ascii="Times New Roman" w:hAnsi="Times New Roman" w:cs="Times New Roman"/>
          <w:color w:val="000000"/>
          <w:sz w:val="20"/>
          <w:szCs w:val="20"/>
        </w:rPr>
        <w:t xml:space="preserve">a </w:t>
      </w:r>
      <w:r w:rsidRPr="000F36C1">
        <w:rPr>
          <w:rFonts w:ascii="Times New Roman" w:hAnsi="Times New Roman" w:cs="Times New Roman"/>
          <w:color w:val="000000"/>
          <w:sz w:val="20"/>
          <w:szCs w:val="20"/>
        </w:rPr>
        <w:t xml:space="preserve">remote factory and shipped or transported as unit modules to the end-user site. </w:t>
      </w:r>
      <w:r w:rsidR="00122E5A" w:rsidRPr="000F36C1">
        <w:rPr>
          <w:rFonts w:ascii="Times New Roman" w:hAnsi="Times New Roman" w:cs="Times New Roman"/>
          <w:color w:val="000000"/>
          <w:sz w:val="20"/>
          <w:szCs w:val="20"/>
        </w:rPr>
        <w:t>The SMR design include</w:t>
      </w:r>
      <w:r w:rsidRPr="000F36C1">
        <w:rPr>
          <w:rFonts w:ascii="Times New Roman" w:hAnsi="Times New Roman" w:cs="Times New Roman"/>
          <w:color w:val="000000"/>
          <w:sz w:val="20"/>
          <w:szCs w:val="20"/>
        </w:rPr>
        <w:t>s</w:t>
      </w:r>
      <w:r w:rsidR="00122E5A" w:rsidRPr="000F36C1">
        <w:rPr>
          <w:rFonts w:ascii="Times New Roman" w:hAnsi="Times New Roman" w:cs="Times New Roman"/>
          <w:color w:val="000000"/>
          <w:sz w:val="20"/>
          <w:szCs w:val="20"/>
        </w:rPr>
        <w:t xml:space="preserve"> all reactor categories</w:t>
      </w:r>
      <w:r w:rsidRPr="000F36C1">
        <w:rPr>
          <w:rFonts w:ascii="Times New Roman" w:hAnsi="Times New Roman" w:cs="Times New Roman"/>
          <w:color w:val="000000"/>
          <w:sz w:val="20"/>
          <w:szCs w:val="20"/>
        </w:rPr>
        <w:t xml:space="preserve"> such as water-cooled reactors, high-temperature gas-cooled reactors, liquid-metal, sodium, and gas-cooled reactors with fast neutron spec</w:t>
      </w:r>
      <w:r w:rsidR="0009743D" w:rsidRPr="000F36C1">
        <w:rPr>
          <w:rFonts w:ascii="Times New Roman" w:hAnsi="Times New Roman" w:cs="Times New Roman"/>
          <w:color w:val="000000"/>
          <w:sz w:val="20"/>
          <w:szCs w:val="20"/>
        </w:rPr>
        <w:t>trum, and molten salt reactors</w:t>
      </w:r>
      <w:r w:rsidRPr="000F36C1">
        <w:rPr>
          <w:rFonts w:ascii="Times New Roman" w:hAnsi="Times New Roman" w:cs="Times New Roman"/>
          <w:color w:val="000000"/>
          <w:sz w:val="20"/>
          <w:szCs w:val="20"/>
        </w:rPr>
        <w:t xml:space="preserve">. </w:t>
      </w:r>
      <w:r w:rsidRPr="000F36C1">
        <w:rPr>
          <w:rFonts w:ascii="Times New Roman" w:eastAsia="Times New Roman" w:hAnsi="Times New Roman" w:cs="Times New Roman"/>
          <w:color w:val="000000"/>
          <w:sz w:val="20"/>
          <w:szCs w:val="20"/>
          <w:lang w:val="en-GB" w:eastAsia="en-GB"/>
        </w:rPr>
        <w:t>SMR</w:t>
      </w:r>
      <w:r w:rsidR="009724D5">
        <w:rPr>
          <w:rFonts w:ascii="Times New Roman" w:eastAsia="Times New Roman" w:hAnsi="Times New Roman" w:cs="Times New Roman"/>
          <w:color w:val="000000"/>
          <w:sz w:val="20"/>
          <w:szCs w:val="20"/>
          <w:lang w:val="en-GB" w:eastAsia="en-GB"/>
        </w:rPr>
        <w:t>s</w:t>
      </w:r>
      <w:r w:rsidRPr="000F36C1">
        <w:rPr>
          <w:rFonts w:ascii="Times New Roman" w:eastAsia="Times New Roman" w:hAnsi="Times New Roman" w:cs="Times New Roman"/>
          <w:color w:val="000000"/>
          <w:sz w:val="20"/>
          <w:szCs w:val="20"/>
          <w:lang w:val="en-GB" w:eastAsia="en-GB"/>
        </w:rPr>
        <w:t xml:space="preserve"> ha</w:t>
      </w:r>
      <w:r w:rsidR="009724D5">
        <w:rPr>
          <w:rFonts w:ascii="Times New Roman" w:eastAsia="Times New Roman" w:hAnsi="Times New Roman" w:cs="Times New Roman"/>
          <w:color w:val="000000"/>
          <w:sz w:val="20"/>
          <w:szCs w:val="20"/>
          <w:lang w:val="en-GB" w:eastAsia="en-GB"/>
        </w:rPr>
        <w:t>ve</w:t>
      </w:r>
      <w:r w:rsidRPr="000F36C1">
        <w:rPr>
          <w:rFonts w:ascii="Times New Roman" w:eastAsia="Times New Roman" w:hAnsi="Times New Roman" w:cs="Times New Roman"/>
          <w:color w:val="000000"/>
          <w:sz w:val="20"/>
          <w:szCs w:val="20"/>
          <w:lang w:val="en-GB" w:eastAsia="en-GB"/>
        </w:rPr>
        <w:t xml:space="preserve"> high inherent and passive safety features compared to large commercial nuclear power plants due to its integrated design and reduced core thermal power. The high level of operational flexibility through modular arrangement can offer significant promise for extending the SMR for non-electricity applications such as desali</w:t>
      </w:r>
      <w:r w:rsidR="00A804D4" w:rsidRPr="000F36C1">
        <w:rPr>
          <w:rFonts w:ascii="Times New Roman" w:eastAsia="Times New Roman" w:hAnsi="Times New Roman" w:cs="Times New Roman"/>
          <w:color w:val="000000"/>
          <w:sz w:val="20"/>
          <w:szCs w:val="20"/>
          <w:lang w:val="en-GB" w:eastAsia="en-GB"/>
        </w:rPr>
        <w:t xml:space="preserve">nation and hydrogen production </w:t>
      </w:r>
      <w:r w:rsidR="00DC6FBF" w:rsidRPr="000F36C1">
        <w:rPr>
          <w:rFonts w:ascii="Times New Roman" w:eastAsia="Times New Roman" w:hAnsi="Times New Roman" w:cs="Times New Roman"/>
          <w:color w:val="5B9BD5" w:themeColor="accent1"/>
          <w:sz w:val="20"/>
          <w:szCs w:val="20"/>
          <w:lang w:val="en-GB" w:eastAsia="en-GB"/>
        </w:rPr>
        <w:fldChar w:fldCharType="begin" w:fldLock="1"/>
      </w:r>
      <w:r w:rsidR="00210CEA">
        <w:rPr>
          <w:rFonts w:ascii="Times New Roman" w:eastAsia="Times New Roman" w:hAnsi="Times New Roman" w:cs="Times New Roman"/>
          <w:color w:val="5B9BD5" w:themeColor="accent1"/>
          <w:sz w:val="20"/>
          <w:szCs w:val="20"/>
          <w:lang w:val="en-GB" w:eastAsia="en-GB"/>
        </w:rPr>
        <w:instrText>ADDIN CSL_CITATION {"citationItems":[{"id":"ITEM-1","itemData":{"DOI":"10.1016/j.desal.2022.116082","ISSN":"00119164","abstract":"Nuclear desalination of seawater or brackish water represents an important application of nuclear energy. There is increasing interest in this pathway of augmenting freshwater resources in countries facing water stress and the simultaneous need to decarbonize their energy systems as part of their climate action plans. This work presents an overview of the technology options suitable for nuclear desalination, their energy consumption, and economic characteristics, emissions profiles, deployment history, and current global interest in such programs. It also presents an analysis of the externalities and barriers that may have a significant impact on their viability and success. This work highlights the relevant facts and figures associated with nuclear desalination projects and serves as a source of information to researchers, and technology developers and as a policy brief to decision makers. Nuclear desalination processes are found to be competitive with current fossil fuel-based desalination programs, with associated life cycle carbon emissions of nuclear-driven options being two to three orders of magnitude less than that of the fossil fuel-based route.","author":[{"dropping-particle":"","family":"El-Emam","given":"Rami S.","non-dropping-particle":"","parse-names":false,"suffix":""},{"dropping-particle":"","family":"Ozcan","given":"Hasan","non-dropping-particle":"","parse-names":false,"suffix":""},{"dropping-particle":"","family":"Bhattacharyya","given":"Rupsha","non-dropping-particle":"","parse-names":false,"suffix":""},{"dropping-particle":"","family":"Awerbuch","given":"Leon","non-dropping-particle":"","parse-names":false,"suffix":""}],"container-title":"Desalination","id":"ITEM-1","issued":{"date-parts":[["2022"]]},"title":"Nuclear desalination: A sustainable route to water security","type":"article","volume":"542"},"uris":["http://www.mendeley.com/documents/?uuid=69fad22c-fee5-3f1e-a19e-3342171dab1f","http://www.mendeley.com/documents/?uuid=5c6231ab-2f9d-4aa7-a762-b3187433d5c6"]}],"mendeley":{"formattedCitation":"[28]","plainTextFormattedCitation":"[28]","previouslyFormattedCitation":"[28]"},"properties":{"noteIndex":0},"schema":"https://github.com/citation-style-language/schema/raw/master/csl-citation.json"}</w:instrText>
      </w:r>
      <w:r w:rsidR="00DC6FBF" w:rsidRPr="000F36C1">
        <w:rPr>
          <w:rFonts w:ascii="Times New Roman" w:eastAsia="Times New Roman" w:hAnsi="Times New Roman" w:cs="Times New Roman"/>
          <w:color w:val="5B9BD5" w:themeColor="accent1"/>
          <w:sz w:val="20"/>
          <w:szCs w:val="20"/>
          <w:lang w:val="en-GB" w:eastAsia="en-GB"/>
        </w:rPr>
        <w:fldChar w:fldCharType="separate"/>
      </w:r>
      <w:r w:rsidR="00942491" w:rsidRPr="00942491">
        <w:rPr>
          <w:rFonts w:ascii="Times New Roman" w:eastAsia="Times New Roman" w:hAnsi="Times New Roman" w:cs="Times New Roman"/>
          <w:noProof/>
          <w:color w:val="5B9BD5" w:themeColor="accent1"/>
          <w:sz w:val="20"/>
          <w:szCs w:val="20"/>
          <w:lang w:val="en-GB" w:eastAsia="en-GB"/>
        </w:rPr>
        <w:t>[28]</w:t>
      </w:r>
      <w:r w:rsidR="00DC6FBF" w:rsidRPr="000F36C1">
        <w:rPr>
          <w:rFonts w:ascii="Times New Roman" w:eastAsia="Times New Roman" w:hAnsi="Times New Roman" w:cs="Times New Roman"/>
          <w:color w:val="5B9BD5" w:themeColor="accent1"/>
          <w:sz w:val="20"/>
          <w:szCs w:val="20"/>
          <w:lang w:val="en-GB" w:eastAsia="en-GB"/>
        </w:rPr>
        <w:fldChar w:fldCharType="end"/>
      </w:r>
      <w:r w:rsidR="00DC6FBF" w:rsidRPr="000F36C1">
        <w:rPr>
          <w:rFonts w:ascii="Times New Roman" w:eastAsia="Times New Roman" w:hAnsi="Times New Roman" w:cs="Times New Roman"/>
          <w:color w:val="000000"/>
          <w:sz w:val="20"/>
          <w:szCs w:val="20"/>
          <w:lang w:val="en-GB" w:eastAsia="en-GB"/>
        </w:rPr>
        <w:t>.</w:t>
      </w:r>
    </w:p>
    <w:p w14:paraId="192BA68F" w14:textId="6719F5DE" w:rsidR="00A73994" w:rsidRPr="00D96CAB" w:rsidRDefault="002945BB" w:rsidP="0036753D">
      <w:pPr>
        <w:spacing w:after="0"/>
        <w:jc w:val="both"/>
        <w:rPr>
          <w:rFonts w:ascii="Times New Roman" w:hAnsi="Times New Roman" w:cs="Times New Roman"/>
          <w:sz w:val="20"/>
          <w:szCs w:val="20"/>
        </w:rPr>
      </w:pPr>
      <w:r w:rsidRPr="000F36C1">
        <w:rPr>
          <w:rFonts w:ascii="Times New Roman" w:eastAsia="Times New Roman" w:hAnsi="Times New Roman" w:cs="Times New Roman"/>
          <w:color w:val="000000"/>
          <w:sz w:val="20"/>
          <w:szCs w:val="20"/>
          <w:lang w:val="en-GB" w:eastAsia="en-GB"/>
        </w:rPr>
        <w:t xml:space="preserve">Efforts to develop and deploy SMRs are actively underway across countries worldwide, with ongoing research focused on enhancing the passive safety and manufacturability of SMRs through innovative technologies. </w:t>
      </w:r>
      <w:r w:rsidRPr="000F36C1">
        <w:rPr>
          <w:rFonts w:ascii="Times New Roman" w:hAnsi="Times New Roman" w:cs="Times New Roman"/>
          <w:color w:val="000000"/>
          <w:sz w:val="20"/>
          <w:szCs w:val="20"/>
        </w:rPr>
        <w:t>The following constraints are considered during the</w:t>
      </w:r>
      <w:r w:rsidR="00FD1ECC" w:rsidRPr="000F36C1">
        <w:rPr>
          <w:rFonts w:ascii="Times New Roman" w:hAnsi="Times New Roman" w:cs="Times New Roman"/>
          <w:color w:val="000000"/>
          <w:sz w:val="20"/>
          <w:szCs w:val="20"/>
        </w:rPr>
        <w:t xml:space="preserve"> </w:t>
      </w:r>
      <w:r w:rsidR="004075B5" w:rsidRPr="00785F1E">
        <w:rPr>
          <w:rFonts w:ascii="Times New Roman" w:hAnsi="Times New Roman" w:cs="Times New Roman"/>
          <w:sz w:val="20"/>
          <w:szCs w:val="20"/>
        </w:rPr>
        <w:t>Ulsan National Institute of Science and Technology (UNIST)</w:t>
      </w:r>
      <w:r w:rsidR="00D96CAB">
        <w:rPr>
          <w:rFonts w:ascii="Times New Roman" w:hAnsi="Times New Roman" w:cs="Times New Roman"/>
          <w:sz w:val="20"/>
          <w:szCs w:val="20"/>
        </w:rPr>
        <w:t xml:space="preserve"> </w:t>
      </w:r>
      <w:r w:rsidR="00FD1ECC" w:rsidRPr="000F36C1">
        <w:rPr>
          <w:rFonts w:ascii="Times New Roman" w:hAnsi="Times New Roman" w:cs="Times New Roman"/>
          <w:color w:val="000000"/>
          <w:sz w:val="20"/>
          <w:szCs w:val="20"/>
        </w:rPr>
        <w:t>Reactor Innovation platform for SMR</w:t>
      </w:r>
      <w:r w:rsidRPr="000F36C1">
        <w:rPr>
          <w:rFonts w:ascii="Times New Roman" w:hAnsi="Times New Roman" w:cs="Times New Roman"/>
          <w:color w:val="000000"/>
          <w:sz w:val="20"/>
          <w:szCs w:val="20"/>
        </w:rPr>
        <w:t xml:space="preserve"> </w:t>
      </w:r>
      <w:r w:rsidR="00FD1ECC" w:rsidRPr="000F36C1">
        <w:rPr>
          <w:rFonts w:ascii="Times New Roman" w:hAnsi="Times New Roman" w:cs="Times New Roman"/>
          <w:color w:val="000000"/>
          <w:sz w:val="20"/>
          <w:szCs w:val="20"/>
        </w:rPr>
        <w:t>(</w:t>
      </w:r>
      <w:r w:rsidRPr="000F36C1">
        <w:rPr>
          <w:rFonts w:ascii="Times New Roman" w:hAnsi="Times New Roman" w:cs="Times New Roman"/>
          <w:color w:val="000000"/>
          <w:sz w:val="20"/>
          <w:szCs w:val="20"/>
        </w:rPr>
        <w:t>URI-SMR</w:t>
      </w:r>
      <w:r w:rsidR="00FD1ECC" w:rsidRPr="000F36C1">
        <w:rPr>
          <w:rFonts w:ascii="Times New Roman" w:hAnsi="Times New Roman" w:cs="Times New Roman"/>
          <w:color w:val="000000"/>
          <w:sz w:val="20"/>
          <w:szCs w:val="20"/>
        </w:rPr>
        <w:t>)</w:t>
      </w:r>
      <w:r w:rsidRPr="000F36C1">
        <w:rPr>
          <w:rFonts w:ascii="Times New Roman" w:hAnsi="Times New Roman" w:cs="Times New Roman"/>
          <w:color w:val="000000"/>
          <w:sz w:val="20"/>
          <w:szCs w:val="20"/>
        </w:rPr>
        <w:t xml:space="preserve"> innovation platform design process. </w:t>
      </w:r>
    </w:p>
    <w:p w14:paraId="1FACC7ED" w14:textId="56BC07E6" w:rsidR="008C78DB" w:rsidRPr="000F36C1" w:rsidRDefault="002945BB" w:rsidP="0036753D">
      <w:pPr>
        <w:spacing w:after="0"/>
        <w:ind w:left="270" w:hanging="270"/>
        <w:jc w:val="both"/>
        <w:rPr>
          <w:rFonts w:ascii="Times New Roman" w:hAnsi="Times New Roman" w:cs="Times New Roman"/>
          <w:color w:val="000000"/>
          <w:sz w:val="20"/>
          <w:szCs w:val="20"/>
        </w:rPr>
      </w:pPr>
      <w:r w:rsidRPr="000F36C1">
        <w:rPr>
          <w:rFonts w:ascii="Times New Roman" w:hAnsi="Times New Roman" w:cs="Times New Roman"/>
          <w:color w:val="000000"/>
          <w:sz w:val="20"/>
          <w:szCs w:val="20"/>
        </w:rPr>
        <w:t>1</w:t>
      </w:r>
      <w:r w:rsidR="005232D6" w:rsidRPr="000F36C1">
        <w:rPr>
          <w:rFonts w:ascii="Times New Roman" w:hAnsi="Times New Roman" w:cs="Times New Roman"/>
          <w:color w:val="000000"/>
          <w:sz w:val="20"/>
          <w:szCs w:val="20"/>
        </w:rPr>
        <w:t>.</w:t>
      </w:r>
      <w:r w:rsidRPr="000F36C1">
        <w:rPr>
          <w:rFonts w:ascii="Times New Roman" w:hAnsi="Times New Roman" w:cs="Times New Roman"/>
          <w:color w:val="000000"/>
          <w:sz w:val="20"/>
          <w:szCs w:val="20"/>
        </w:rPr>
        <w:t xml:space="preserve"> Transparent vessel of the facility for visual access to the internal thermal-hydraulic phenomena and installed key components. </w:t>
      </w:r>
    </w:p>
    <w:p w14:paraId="351A40B5" w14:textId="25865BB6" w:rsidR="008C78DB" w:rsidRPr="000F36C1" w:rsidRDefault="002945BB" w:rsidP="0036753D">
      <w:pPr>
        <w:spacing w:after="0"/>
        <w:ind w:left="270" w:hanging="270"/>
        <w:jc w:val="both"/>
        <w:rPr>
          <w:rFonts w:ascii="Times New Roman" w:hAnsi="Times New Roman" w:cs="Times New Roman"/>
          <w:color w:val="000000"/>
          <w:sz w:val="20"/>
          <w:szCs w:val="20"/>
        </w:rPr>
      </w:pPr>
      <w:r w:rsidRPr="000F36C1">
        <w:rPr>
          <w:rFonts w:ascii="Times New Roman" w:hAnsi="Times New Roman" w:cs="Times New Roman"/>
          <w:color w:val="000000"/>
          <w:sz w:val="20"/>
          <w:szCs w:val="20"/>
        </w:rPr>
        <w:t>2</w:t>
      </w:r>
      <w:r w:rsidR="005232D6" w:rsidRPr="000F36C1">
        <w:rPr>
          <w:rFonts w:ascii="Times New Roman" w:hAnsi="Times New Roman" w:cs="Times New Roman"/>
          <w:color w:val="000000"/>
          <w:sz w:val="20"/>
          <w:szCs w:val="20"/>
        </w:rPr>
        <w:t>.</w:t>
      </w:r>
      <w:r w:rsidRPr="000F36C1">
        <w:rPr>
          <w:rFonts w:ascii="Times New Roman" w:hAnsi="Times New Roman" w:cs="Times New Roman"/>
          <w:color w:val="000000"/>
          <w:sz w:val="20"/>
          <w:szCs w:val="20"/>
        </w:rPr>
        <w:t xml:space="preserve"> High degree of design modification flexibility with low construction and maintenance </w:t>
      </w:r>
      <w:r w:rsidR="008C78DB" w:rsidRPr="000F36C1">
        <w:rPr>
          <w:rFonts w:ascii="Times New Roman" w:hAnsi="Times New Roman" w:cs="Times New Roman"/>
          <w:color w:val="000000"/>
          <w:sz w:val="20"/>
          <w:szCs w:val="20"/>
        </w:rPr>
        <w:t>costs</w:t>
      </w:r>
      <w:r w:rsidRPr="000F36C1">
        <w:rPr>
          <w:rFonts w:ascii="Times New Roman" w:hAnsi="Times New Roman" w:cs="Times New Roman"/>
          <w:color w:val="000000"/>
          <w:sz w:val="20"/>
          <w:szCs w:val="20"/>
        </w:rPr>
        <w:t>.</w:t>
      </w:r>
    </w:p>
    <w:p w14:paraId="1B79D874" w14:textId="34CAFBD0" w:rsidR="009A54AE" w:rsidRPr="000F36C1" w:rsidRDefault="002945BB" w:rsidP="0036753D">
      <w:pPr>
        <w:spacing w:after="0"/>
        <w:ind w:left="270" w:hanging="270"/>
        <w:jc w:val="both"/>
        <w:rPr>
          <w:rStyle w:val="fontstyle01"/>
          <w:rFonts w:ascii="Times New Roman" w:hAnsi="Times New Roman" w:cs="Times New Roman"/>
          <w:sz w:val="20"/>
          <w:szCs w:val="20"/>
        </w:rPr>
      </w:pPr>
      <w:r w:rsidRPr="000F36C1">
        <w:rPr>
          <w:rFonts w:ascii="Times New Roman" w:hAnsi="Times New Roman" w:cs="Times New Roman"/>
          <w:color w:val="000000"/>
          <w:sz w:val="20"/>
          <w:szCs w:val="20"/>
        </w:rPr>
        <w:t>3</w:t>
      </w:r>
      <w:r w:rsidR="005232D6" w:rsidRPr="000F36C1">
        <w:rPr>
          <w:rFonts w:ascii="Times New Roman" w:hAnsi="Times New Roman" w:cs="Times New Roman"/>
          <w:color w:val="000000"/>
          <w:sz w:val="20"/>
          <w:szCs w:val="20"/>
        </w:rPr>
        <w:t>.</w:t>
      </w:r>
      <w:r w:rsidRPr="000F36C1">
        <w:rPr>
          <w:rFonts w:ascii="Times New Roman" w:hAnsi="Times New Roman" w:cs="Times New Roman"/>
          <w:color w:val="000000"/>
          <w:sz w:val="20"/>
          <w:szCs w:val="20"/>
        </w:rPr>
        <w:t xml:space="preserve"> Easiness of integration with various engineering technologies and extended scalability to serve as a versatile platform for evaluating various SMR-related technologies and applications</w:t>
      </w:r>
      <w:r w:rsidR="00D64F16" w:rsidRPr="000F36C1">
        <w:rPr>
          <w:rFonts w:ascii="Times New Roman" w:hAnsi="Times New Roman" w:cs="Times New Roman"/>
          <w:color w:val="5B9BD5" w:themeColor="accent1"/>
          <w:sz w:val="20"/>
          <w:szCs w:val="20"/>
        </w:rPr>
        <w:fldChar w:fldCharType="begin" w:fldLock="1"/>
      </w:r>
      <w:r w:rsidR="00210CEA">
        <w:rPr>
          <w:rFonts w:ascii="Times New Roman" w:hAnsi="Times New Roman" w:cs="Times New Roman"/>
          <w:color w:val="5B9BD5" w:themeColor="accent1"/>
          <w:sz w:val="20"/>
          <w:szCs w:val="20"/>
        </w:rPr>
        <w:instrText>ADDIN CSL_CITATION {"citationItems":[{"id":"ITEM-1","itemData":{"DOI":"10.1016/j.net.2023.12.047","ISSN":"2234358X","abstract":"This paper presents the construction results and design of the UNIST Reactor Innovation platform for small modular reactors as a versatile testbed for exploring innovative technologies. The platform uses simulant fluids to simulate the thermal-hydraulic behavior of a reference small modular reactor design, allowing for cost-effective design modifications. Scaling analysis results for single and two-phase natural circulation flows are outlined based on the three-level scaling methodology. The platform's capability to simulate natural circulation behavior was validated through performance calculations using the 1-D system thermal-hydraulic code-based calculation. The strategies for evaluating cutting-edge technologies, such as the integration of a solid oxide electrolysis cell for hydrogen production into a small modular reactor, are presented. To overcome experimental limitations, the hardware-in-the-loop technique is proposed as an alternative, enabling real-time simulation of physical phenomena that cannot be implemented within the experimental facility's hardware. Overall, the proposed versatile innovation platform is expected to provide valuable insights for advancing research in the field of small modular reactors and nuclear-based hydrogen production.","author":[{"dropping-particle":"","family":"Kim","given":"Ji Yong","non-dropping-particle":"","parse-names":false,"suffix":""},{"dropping-particle":"","family":"Yoo","given":"Seung Chang","non-dropping-particle":"","parse-names":false,"suffix":""},{"dropping-particle":"","family":"Seo","given":"Joo Hyung","non-dropping-particle":"","parse-names":false,"suffix":""},{"dropping-particle":"","family":"Kim","given":"Ji Hyun","non-dropping-particle":"","parse-names":false,"suffix":""},{"dropping-particle":"","family":"Bang","given":"In Cheol","non-dropping-particle":"","parse-names":false,"suffix":""}],"container-title":"Nuclear Engineering and Technology","id":"ITEM-1","issue":"3","issued":{"date-parts":[["2024"]]},"title":"Design and construction of fluid-to-fluid scaled-down small modular reactor platform: As a testbed for the nuclear-based hydrogen production","type":"article-journal","volume":"56"},"uris":["http://www.mendeley.com/documents/?uuid=99f17379-a9dd-3e62-9332-dd002cb04f57","http://www.mendeley.com/documents/?uuid=67c470be-7f3d-4aa5-938d-81fea61af13e"]}],"mendeley":{"formattedCitation":"[29]","plainTextFormattedCitation":"[29]","previouslyFormattedCitation":"[29]"},"properties":{"noteIndex":0},"schema":"https://github.com/citation-style-language/schema/raw/master/csl-citation.json"}</w:instrText>
      </w:r>
      <w:r w:rsidR="00D64F16" w:rsidRPr="000F36C1">
        <w:rPr>
          <w:rFonts w:ascii="Times New Roman" w:hAnsi="Times New Roman" w:cs="Times New Roman"/>
          <w:color w:val="5B9BD5" w:themeColor="accent1"/>
          <w:sz w:val="20"/>
          <w:szCs w:val="20"/>
        </w:rPr>
        <w:fldChar w:fldCharType="separate"/>
      </w:r>
      <w:r w:rsidR="00942491" w:rsidRPr="00942491">
        <w:rPr>
          <w:rFonts w:ascii="Times New Roman" w:hAnsi="Times New Roman" w:cs="Times New Roman"/>
          <w:noProof/>
          <w:color w:val="5B9BD5" w:themeColor="accent1"/>
          <w:sz w:val="20"/>
          <w:szCs w:val="20"/>
        </w:rPr>
        <w:t>[29]</w:t>
      </w:r>
      <w:r w:rsidR="00D64F16" w:rsidRPr="000F36C1">
        <w:rPr>
          <w:rFonts w:ascii="Times New Roman" w:hAnsi="Times New Roman" w:cs="Times New Roman"/>
          <w:color w:val="5B9BD5" w:themeColor="accent1"/>
          <w:sz w:val="20"/>
          <w:szCs w:val="20"/>
        </w:rPr>
        <w:fldChar w:fldCharType="end"/>
      </w:r>
      <w:r w:rsidRPr="000F36C1">
        <w:rPr>
          <w:rFonts w:ascii="Times New Roman" w:hAnsi="Times New Roman" w:cs="Times New Roman"/>
          <w:color w:val="5B9BD5" w:themeColor="accent1"/>
          <w:sz w:val="20"/>
          <w:szCs w:val="20"/>
        </w:rPr>
        <w:t>.</w:t>
      </w:r>
      <w:r w:rsidR="00B048DD" w:rsidRPr="000F36C1">
        <w:rPr>
          <w:rFonts w:ascii="Times New Roman" w:hAnsi="Times New Roman" w:cs="Times New Roman"/>
          <w:color w:val="000000"/>
          <w:sz w:val="20"/>
          <w:szCs w:val="20"/>
        </w:rPr>
        <w:t xml:space="preserve"> The design features of </w:t>
      </w:r>
      <w:r w:rsidR="005C3A27" w:rsidRPr="000F36C1">
        <w:rPr>
          <w:rFonts w:ascii="Times New Roman" w:hAnsi="Times New Roman" w:cs="Times New Roman"/>
          <w:color w:val="000000"/>
          <w:sz w:val="20"/>
          <w:szCs w:val="20"/>
        </w:rPr>
        <w:t>an SMR</w:t>
      </w:r>
      <w:r w:rsidR="00F24410" w:rsidRPr="000F36C1">
        <w:rPr>
          <w:rFonts w:ascii="Times New Roman" w:hAnsi="Times New Roman" w:cs="Times New Roman"/>
          <w:color w:val="000000"/>
          <w:sz w:val="20"/>
          <w:szCs w:val="20"/>
        </w:rPr>
        <w:t xml:space="preserve"> are depicted in </w:t>
      </w:r>
      <w:r w:rsidR="005A7E3F" w:rsidRPr="000F36C1">
        <w:rPr>
          <w:rFonts w:ascii="Times New Roman" w:hAnsi="Times New Roman" w:cs="Times New Roman"/>
          <w:color w:val="000000"/>
          <w:sz w:val="20"/>
          <w:szCs w:val="20"/>
        </w:rPr>
        <w:t>Figure</w:t>
      </w:r>
      <w:r w:rsidR="00F24410" w:rsidRPr="000F36C1">
        <w:rPr>
          <w:rFonts w:ascii="Times New Roman" w:hAnsi="Times New Roman" w:cs="Times New Roman"/>
          <w:color w:val="000000"/>
          <w:sz w:val="20"/>
          <w:szCs w:val="20"/>
        </w:rPr>
        <w:t xml:space="preserve"> </w:t>
      </w:r>
      <w:r w:rsidR="005232D6" w:rsidRPr="000F36C1">
        <w:rPr>
          <w:rFonts w:ascii="Times New Roman" w:hAnsi="Times New Roman" w:cs="Times New Roman"/>
          <w:color w:val="000000"/>
          <w:sz w:val="20"/>
          <w:szCs w:val="20"/>
        </w:rPr>
        <w:t>2</w:t>
      </w:r>
      <w:r w:rsidR="005A7E3F" w:rsidRPr="000F36C1">
        <w:rPr>
          <w:rFonts w:ascii="Times New Roman" w:hAnsi="Times New Roman" w:cs="Times New Roman"/>
          <w:color w:val="000000"/>
          <w:sz w:val="20"/>
          <w:szCs w:val="20"/>
        </w:rPr>
        <w:t>.</w:t>
      </w:r>
    </w:p>
    <w:p w14:paraId="2C719D0E" w14:textId="29DB40E1" w:rsidR="009A54AE" w:rsidRPr="000F36C1" w:rsidRDefault="00122E5A" w:rsidP="0036753D">
      <w:pPr>
        <w:spacing w:after="0"/>
        <w:jc w:val="both"/>
        <w:rPr>
          <w:rStyle w:val="fontstyle01"/>
          <w:rFonts w:ascii="Times New Roman" w:hAnsi="Times New Roman" w:cs="Times New Roman"/>
          <w:sz w:val="20"/>
          <w:szCs w:val="20"/>
        </w:rPr>
      </w:pPr>
      <w:r w:rsidRPr="000F36C1">
        <w:rPr>
          <w:rStyle w:val="fontstyle01"/>
          <w:rFonts w:ascii="Times New Roman" w:hAnsi="Times New Roman" w:cs="Times New Roman"/>
          <w:sz w:val="20"/>
          <w:szCs w:val="20"/>
        </w:rPr>
        <w:t>According to a 2022 International Atomic Energy Agency</w:t>
      </w:r>
      <w:r w:rsidR="00A804D4" w:rsidRPr="000F36C1">
        <w:rPr>
          <w:rStyle w:val="fontstyle01"/>
          <w:rFonts w:ascii="Times New Roman" w:hAnsi="Times New Roman" w:cs="Times New Roman"/>
          <w:sz w:val="20"/>
          <w:szCs w:val="20"/>
        </w:rPr>
        <w:t xml:space="preserve"> </w:t>
      </w:r>
      <w:r w:rsidRPr="000F36C1">
        <w:rPr>
          <w:rStyle w:val="fontstyle01"/>
          <w:rFonts w:ascii="Times New Roman" w:hAnsi="Times New Roman" w:cs="Times New Roman"/>
          <w:sz w:val="20"/>
          <w:szCs w:val="20"/>
        </w:rPr>
        <w:t xml:space="preserve">(IAEA) assessment, more than 80 SMR designs are at different stages of development and deployment in 18 IAEA member </w:t>
      </w:r>
      <w:r w:rsidR="00F039A3">
        <w:rPr>
          <w:rStyle w:val="fontstyle01"/>
          <w:rFonts w:ascii="Times New Roman" w:hAnsi="Times New Roman" w:cs="Times New Roman"/>
          <w:sz w:val="20"/>
          <w:szCs w:val="20"/>
        </w:rPr>
        <w:t>state</w:t>
      </w:r>
      <w:r w:rsidRPr="000F36C1">
        <w:rPr>
          <w:rStyle w:val="fontstyle01"/>
          <w:rFonts w:ascii="Times New Roman" w:hAnsi="Times New Roman" w:cs="Times New Roman"/>
          <w:sz w:val="20"/>
          <w:szCs w:val="20"/>
        </w:rPr>
        <w:t>s.</w:t>
      </w:r>
      <w:r w:rsidR="005945AA" w:rsidRPr="000F36C1">
        <w:rPr>
          <w:rStyle w:val="fontstyle01"/>
          <w:rFonts w:ascii="Times New Roman" w:hAnsi="Times New Roman" w:cs="Times New Roman"/>
          <w:sz w:val="20"/>
          <w:szCs w:val="20"/>
        </w:rPr>
        <w:t xml:space="preserve"> Some of the famous SMRs are enlisted in Table 1.</w:t>
      </w:r>
    </w:p>
    <w:p w14:paraId="1DA2DD6E" w14:textId="01423B4E" w:rsidR="00901BBF" w:rsidRPr="000F36C1" w:rsidRDefault="00901BBF" w:rsidP="0036753D">
      <w:pPr>
        <w:spacing w:after="0"/>
        <w:jc w:val="both"/>
        <w:rPr>
          <w:rFonts w:ascii="Times New Roman" w:hAnsi="Times New Roman" w:cs="Times New Roman"/>
          <w:noProof/>
          <w:color w:val="000000"/>
          <w:sz w:val="20"/>
          <w:szCs w:val="20"/>
          <w:lang w:val="en-GB" w:eastAsia="en-GB"/>
        </w:rPr>
      </w:pPr>
    </w:p>
    <w:p w14:paraId="64E9D941" w14:textId="77777777" w:rsidR="00B5571E" w:rsidRPr="000F36C1" w:rsidRDefault="00B5571E" w:rsidP="0036753D">
      <w:pPr>
        <w:spacing w:after="0"/>
        <w:jc w:val="both"/>
        <w:rPr>
          <w:rFonts w:ascii="Times New Roman" w:hAnsi="Times New Roman" w:cs="Times New Roman"/>
          <w:noProof/>
          <w:color w:val="000000"/>
          <w:sz w:val="20"/>
          <w:szCs w:val="20"/>
          <w:lang w:val="en-GB" w:eastAsia="en-GB"/>
        </w:rPr>
      </w:pPr>
    </w:p>
    <w:p w14:paraId="0C159969" w14:textId="27413FFC" w:rsidR="005C3A27" w:rsidRPr="000F36C1" w:rsidRDefault="00901BBF" w:rsidP="009464C0">
      <w:pPr>
        <w:spacing w:after="0"/>
        <w:jc w:val="center"/>
        <w:rPr>
          <w:rStyle w:val="fontstyle01"/>
          <w:rFonts w:ascii="Times New Roman" w:hAnsi="Times New Roman" w:cs="Times New Roman"/>
          <w:sz w:val="20"/>
          <w:szCs w:val="20"/>
        </w:rPr>
      </w:pPr>
      <w:r w:rsidRPr="000F36C1">
        <w:rPr>
          <w:rFonts w:ascii="Times New Roman" w:hAnsi="Times New Roman" w:cs="Times New Roman"/>
          <w:noProof/>
          <w:color w:val="000000"/>
          <w:sz w:val="20"/>
          <w:szCs w:val="20"/>
          <w:lang w:val="en-GB" w:eastAsia="en-GB"/>
        </w:rPr>
        <w:drawing>
          <wp:inline distT="0" distB="0" distL="0" distR="0" wp14:anchorId="7848C8ED" wp14:editId="1C1ABB70">
            <wp:extent cx="4191000" cy="337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9).png"/>
                    <pic:cNvPicPr/>
                  </pic:nvPicPr>
                  <pic:blipFill rotWithShape="1">
                    <a:blip r:embed="rId9">
                      <a:extLst>
                        <a:ext uri="{28A0092B-C50C-407E-A947-70E740481C1C}">
                          <a14:useLocalDpi xmlns:a14="http://schemas.microsoft.com/office/drawing/2010/main" val="0"/>
                        </a:ext>
                      </a:extLst>
                    </a:blip>
                    <a:srcRect l="39050" t="27573" r="19752" b="9588"/>
                    <a:stretch/>
                  </pic:blipFill>
                  <pic:spPr bwMode="auto">
                    <a:xfrm>
                      <a:off x="0" y="0"/>
                      <a:ext cx="4241639" cy="3419018"/>
                    </a:xfrm>
                    <a:prstGeom prst="rect">
                      <a:avLst/>
                    </a:prstGeom>
                    <a:ln>
                      <a:noFill/>
                    </a:ln>
                    <a:extLst>
                      <a:ext uri="{53640926-AAD7-44D8-BBD7-CCE9431645EC}">
                        <a14:shadowObscured xmlns:a14="http://schemas.microsoft.com/office/drawing/2010/main"/>
                      </a:ext>
                    </a:extLst>
                  </pic:spPr>
                </pic:pic>
              </a:graphicData>
            </a:graphic>
          </wp:inline>
        </w:drawing>
      </w:r>
    </w:p>
    <w:p w14:paraId="33AAF975" w14:textId="3EFFA773" w:rsidR="00F24410" w:rsidRPr="000F36C1" w:rsidRDefault="00F24410" w:rsidP="0036753D">
      <w:pPr>
        <w:spacing w:after="0"/>
        <w:jc w:val="both"/>
        <w:rPr>
          <w:rFonts w:ascii="Times New Roman" w:hAnsi="Times New Roman" w:cs="Times New Roman"/>
          <w:b/>
          <w:bCs/>
          <w:sz w:val="20"/>
          <w:szCs w:val="20"/>
        </w:rPr>
      </w:pPr>
    </w:p>
    <w:p w14:paraId="46C8FE38" w14:textId="0D4064D1" w:rsidR="00D64F16" w:rsidRPr="000F36C1" w:rsidRDefault="00B5571E" w:rsidP="0036753D">
      <w:pPr>
        <w:spacing w:after="0"/>
        <w:jc w:val="both"/>
        <w:rPr>
          <w:rFonts w:ascii="Times New Roman" w:hAnsi="Times New Roman" w:cs="Times New Roman"/>
          <w:b/>
          <w:bCs/>
          <w:sz w:val="20"/>
          <w:szCs w:val="20"/>
        </w:rPr>
      </w:pPr>
      <w:r w:rsidRPr="000F36C1">
        <w:rPr>
          <w:rFonts w:ascii="Times New Roman" w:hAnsi="Times New Roman" w:cs="Times New Roman"/>
          <w:noProof/>
          <w:color w:val="000000"/>
          <w:sz w:val="20"/>
          <w:szCs w:val="20"/>
          <w:lang w:val="en-GB" w:eastAsia="en-GB"/>
        </w:rPr>
        <mc:AlternateContent>
          <mc:Choice Requires="wps">
            <w:drawing>
              <wp:anchor distT="0" distB="0" distL="114300" distR="114300" simplePos="0" relativeHeight="251659264" behindDoc="0" locked="0" layoutInCell="1" allowOverlap="1" wp14:anchorId="54555D59" wp14:editId="141CC2A4">
                <wp:simplePos x="0" y="0"/>
                <wp:positionH relativeFrom="column">
                  <wp:posOffset>1525270</wp:posOffset>
                </wp:positionH>
                <wp:positionV relativeFrom="paragraph">
                  <wp:posOffset>635</wp:posOffset>
                </wp:positionV>
                <wp:extent cx="3321170" cy="258793"/>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3321170" cy="258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CA204" w14:textId="065AA515" w:rsidR="00901BBF" w:rsidRPr="00901BBF" w:rsidRDefault="00F24410">
                            <w:pPr>
                              <w:rPr>
                                <w:i/>
                                <w:lang w:val="en-AU"/>
                              </w:rPr>
                            </w:pPr>
                            <w:r>
                              <w:rPr>
                                <w:i/>
                                <w:lang w:val="en-AU"/>
                              </w:rPr>
                              <w:t xml:space="preserve">Fig </w:t>
                            </w:r>
                            <w:r w:rsidR="005232D6">
                              <w:rPr>
                                <w:i/>
                                <w:lang w:val="en-AU"/>
                              </w:rPr>
                              <w:t>2</w:t>
                            </w:r>
                            <w:r w:rsidR="00901BBF" w:rsidRPr="00901BBF">
                              <w:rPr>
                                <w:i/>
                                <w:lang w:val="en-AU"/>
                              </w:rPr>
                              <w:t>. SMR features</w:t>
                            </w:r>
                            <w:r w:rsidR="00967FD1">
                              <w:rPr>
                                <w:i/>
                                <w:lang w:val="en-AU"/>
                              </w:rPr>
                              <w:t xml:space="preserve"> </w:t>
                            </w:r>
                            <w:r w:rsidR="00967FD1" w:rsidRPr="00967FD1">
                              <w:rPr>
                                <w:rFonts w:ascii="Times New Roman" w:hAnsi="Times New Roman" w:cs="Times New Roman"/>
                                <w:b/>
                                <w:bCs/>
                                <w:color w:val="5B9BD5" w:themeColor="accent1"/>
                                <w:sz w:val="24"/>
                                <w:szCs w:val="24"/>
                              </w:rPr>
                              <w:t xml:space="preserve"> </w:t>
                            </w:r>
                            <w:r w:rsidR="00967FD1" w:rsidRPr="00967FD1">
                              <w:rPr>
                                <w:rFonts w:ascii="Times New Roman" w:hAnsi="Times New Roman" w:cs="Times New Roman"/>
                                <w:b/>
                                <w:bCs/>
                                <w:color w:val="5B9BD5" w:themeColor="accent1"/>
                                <w:sz w:val="24"/>
                                <w:szCs w:val="24"/>
                              </w:rPr>
                              <w:fldChar w:fldCharType="begin" w:fldLock="1"/>
                            </w:r>
                            <w:r w:rsidR="00210CEA">
                              <w:rPr>
                                <w:rFonts w:ascii="Times New Roman" w:hAnsi="Times New Roman" w:cs="Times New Roman"/>
                                <w:b/>
                                <w:bCs/>
                                <w:color w:val="5B9BD5" w:themeColor="accent1"/>
                                <w:sz w:val="24"/>
                                <w:szCs w:val="24"/>
                              </w:rPr>
                              <w:instrText>ADDIN CSL_CITATION {"citationItems":[{"id":"ITEM-1","itemData":{"DOI":"10.1016/j.net.2023.12.047","ISSN":"2234358X","abstract":"This paper presents the construction results and design of the UNIST Reactor Innovation platform for small modular reactors as a versatile testbed for exploring innovative technologies. The platform uses simulant fluids to simulate the thermal-hydraulic behavior of a reference small modular reactor design, allowing for cost-effective design modifications. Scaling analysis results for single and two-phase natural circulation flows are outlined based on the three-level scaling methodology. The platform's capability to simulate natural circulation behavior was validated through performance calculations using the 1-D system thermal-hydraulic code-based calculation. The strategies for evaluating cutting-edge technologies, such as the integration of a solid oxide electrolysis cell for hydrogen production into a small modular reactor, are presented. To overcome experimental limitations, the hardware-in-the-loop technique is proposed as an alternative, enabling real-time simulation of physical phenomena that cannot be implemented within the experimental facility's hardware. Overall, the proposed versatile innovation platform is expected to provide valuable insights for advancing research in the field of small modular reactors and nuclear-based hydrogen production.","author":[{"dropping-particle":"","family":"Kim","given":"Ji Yong","non-dropping-particle":"","parse-names":false,"suffix":""},{"dropping-particle":"","family":"Yoo","given":"Seung Chang","non-dropping-particle":"","parse-names":false,"suffix":""},{"dropping-particle":"","family":"Seo","given":"Joo Hyung","non-dropping-particle":"","parse-names":false,"suffix":""},{"dropping-particle":"","family":"Kim","given":"Ji Hyun","non-dropping-particle":"","parse-names":false,"suffix":""},{"dropping-particle":"","family":"Bang","given":"In Cheol","non-dropping-particle":"","parse-names":false,"suffix":""}],"container-title":"Nuclear Engineering and Technology","id":"ITEM-1","issue":"3","issued":{"date-parts":[["2024"]]},"title":"Design and construction of fluid-to-fluid scaled-down small modular reactor platform: As a testbed for the nuclear-based hydrogen production","type":"article-journal","volume":"56"},"uris":["http://www.mendeley.com/documents/?uuid=67c470be-7f3d-4aa5-938d-81fea61af13e","http://www.mendeley.com/documents/?uuid=99f17379-a9dd-3e62-9332-dd002cb04f57"]}],"mendeley":{"formattedCitation":"[29]","plainTextFormattedCitation":"[29]","previouslyFormattedCitation":"[29]"},"properties":{"noteIndex":0},"schema":"https://github.com/citation-style-language/schema/raw/master/csl-citation.json"}</w:instrText>
                            </w:r>
                            <w:r w:rsidR="00967FD1" w:rsidRPr="00967FD1">
                              <w:rPr>
                                <w:rFonts w:ascii="Times New Roman" w:hAnsi="Times New Roman" w:cs="Times New Roman"/>
                                <w:b/>
                                <w:bCs/>
                                <w:color w:val="5B9BD5" w:themeColor="accent1"/>
                                <w:sz w:val="24"/>
                                <w:szCs w:val="24"/>
                              </w:rPr>
                              <w:fldChar w:fldCharType="separate"/>
                            </w:r>
                            <w:r w:rsidR="00942491" w:rsidRPr="00942491">
                              <w:rPr>
                                <w:rFonts w:ascii="Times New Roman" w:hAnsi="Times New Roman" w:cs="Times New Roman"/>
                                <w:bCs/>
                                <w:noProof/>
                                <w:color w:val="5B9BD5" w:themeColor="accent1"/>
                                <w:sz w:val="24"/>
                                <w:szCs w:val="24"/>
                              </w:rPr>
                              <w:t>[29]</w:t>
                            </w:r>
                            <w:r w:rsidR="00967FD1" w:rsidRPr="00967FD1">
                              <w:rPr>
                                <w:rFonts w:ascii="Times New Roman" w:hAnsi="Times New Roman" w:cs="Times New Roman"/>
                                <w:b/>
                                <w:bCs/>
                                <w:color w:val="5B9BD5" w:themeColor="accen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55D59" id="_x0000_t202" coordsize="21600,21600" o:spt="202" path="m,l,21600r21600,l21600,xe">
                <v:stroke joinstyle="miter"/>
                <v:path gradientshapeok="t" o:connecttype="rect"/>
              </v:shapetype>
              <v:shape id="Text Box 3" o:spid="_x0000_s1026" type="#_x0000_t202" style="position:absolute;left:0;text-align:left;margin-left:120.1pt;margin-top:.05pt;width:261.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" fillcolor="white [3201]" stroked="f" strokeweight=".5pt">
                <v:textbox>
                  <w:txbxContent>
                    <w:p w14:paraId="29ECA204" w14:textId="065AA515" w:rsidR="00901BBF" w:rsidRPr="00901BBF" w:rsidRDefault="00F24410">
                      <w:pPr>
                        <w:rPr>
                          <w:i/>
                          <w:lang w:val="en-AU"/>
                        </w:rPr>
                      </w:pPr>
                      <w:r>
                        <w:rPr>
                          <w:i/>
                          <w:lang w:val="en-AU"/>
                        </w:rPr>
                        <w:t xml:space="preserve">Fig </w:t>
                      </w:r>
                      <w:r w:rsidR="005232D6">
                        <w:rPr>
                          <w:i/>
                          <w:lang w:val="en-AU"/>
                        </w:rPr>
                        <w:t>2</w:t>
                      </w:r>
                      <w:r w:rsidR="00901BBF" w:rsidRPr="00901BBF">
                        <w:rPr>
                          <w:i/>
                          <w:lang w:val="en-AU"/>
                        </w:rPr>
                        <w:t>. SMR features</w:t>
                      </w:r>
                      <w:r w:rsidR="00967FD1">
                        <w:rPr>
                          <w:i/>
                          <w:lang w:val="en-AU"/>
                        </w:rPr>
                        <w:t xml:space="preserve"> </w:t>
                      </w:r>
                      <w:r w:rsidR="00967FD1" w:rsidRPr="00967FD1">
                        <w:rPr>
                          <w:rFonts w:ascii="Times New Roman" w:hAnsi="Times New Roman" w:cs="Times New Roman"/>
                          <w:b/>
                          <w:bCs/>
                          <w:color w:val="5B9BD5" w:themeColor="accent1"/>
                          <w:sz w:val="24"/>
                          <w:szCs w:val="24"/>
                        </w:rPr>
                        <w:t xml:space="preserve"> </w:t>
                      </w:r>
                      <w:r w:rsidR="00967FD1" w:rsidRPr="00967FD1">
                        <w:rPr>
                          <w:rFonts w:ascii="Times New Roman" w:hAnsi="Times New Roman" w:cs="Times New Roman"/>
                          <w:b/>
                          <w:bCs/>
                          <w:color w:val="5B9BD5" w:themeColor="accent1"/>
                          <w:sz w:val="24"/>
                          <w:szCs w:val="24"/>
                        </w:rPr>
                        <w:fldChar w:fldCharType="begin" w:fldLock="1"/>
                      </w:r>
                      <w:r w:rsidR="00210CEA">
                        <w:rPr>
                          <w:rFonts w:ascii="Times New Roman" w:hAnsi="Times New Roman" w:cs="Times New Roman"/>
                          <w:b/>
                          <w:bCs/>
                          <w:color w:val="5B9BD5" w:themeColor="accent1"/>
                          <w:sz w:val="24"/>
                          <w:szCs w:val="24"/>
                        </w:rPr>
                        <w:instrText>ADDIN CSL_CITATION {"citationItems":[{"id":"ITEM-1","itemData":{"DOI":"10.1016/j.net.2023.12.047","ISSN":"2234358X","abstract":"This paper presents the construction results and design of the UNIST Reactor Innovation platform for small modular reactors as a versatile testbed for exploring innovative technologies. The platform uses simulant fluids to simulate the thermal-hydraulic behavior of a reference small modular reactor design, allowing for cost-effective design modifications. Scaling analysis results for single and two-phase natural circulation flows are outlined based on the three-level scaling methodology. The platform's capability to simulate natural circulation behavior was validated through performance calculations using the 1-D system thermal-hydraulic code-based calculation. The strategies for evaluating cutting-edge technologies, such as the integration of a solid oxide electrolysis cell for hydrogen production into a small modular reactor, are presented. To overcome experimental limitations, the hardware-in-the-loop technique is proposed as an alternative, enabling real-time simulation of physical phenomena that cannot be implemented within the experimental facility's hardware. Overall, the proposed versatile innovation platform is expected to provide valuable insights for advancing research in the field of small modular reactors and nuclear-based hydrogen production.","author":[{"dropping-particle":"","family":"Kim","given":"Ji Yong","non-dropping-particle":"","parse-names":false,"suffix":""},{"dropping-particle":"","family":"Yoo","given":"Seung Chang","non-dropping-particle":"","parse-names":false,"suffix":""},{"dropping-particle":"","family":"Seo","given":"Joo Hyung","non-dropping-particle":"","parse-names":false,"suffix":""},{"dropping-particle":"","family":"Kim","given":"Ji Hyun","non-dropping-particle":"","parse-names":false,"suffix":""},{"dropping-particle":"","family":"Bang","given":"In Cheol","non-dropping-particle":"","parse-names":false,"suffix":""}],"container-title":"Nuclear Engineering and Technology","id":"ITEM-1","issue":"3","issued":{"date-parts":[["2024"]]},"title":"Design and construction of fluid-to-fluid scaled-down small modular reactor platform: As a testbed for the nuclear-based hydrogen production","type":"article-journal","volume":"56"},"uris":["http://www.mendeley.com/documents/?uuid=67c470be-7f3d-4aa5-938d-81fea61af13e","http://www.mendeley.com/documents/?uuid=99f17379-a9dd-3e62-9332-dd002cb04f57"]}],"mendeley":{"formattedCitation":"[29]","plainTextFormattedCitation":"[29]","previouslyFormattedCitation":"[29]"},"properties":{"noteIndex":0},"schema":"https://github.com/citation-style-language/schema/raw/master/csl-citation.json"}</w:instrText>
                      </w:r>
                      <w:r w:rsidR="00967FD1" w:rsidRPr="00967FD1">
                        <w:rPr>
                          <w:rFonts w:ascii="Times New Roman" w:hAnsi="Times New Roman" w:cs="Times New Roman"/>
                          <w:b/>
                          <w:bCs/>
                          <w:color w:val="5B9BD5" w:themeColor="accent1"/>
                          <w:sz w:val="24"/>
                          <w:szCs w:val="24"/>
                        </w:rPr>
                        <w:fldChar w:fldCharType="separate"/>
                      </w:r>
                      <w:r w:rsidR="00942491" w:rsidRPr="00942491">
                        <w:rPr>
                          <w:rFonts w:ascii="Times New Roman" w:hAnsi="Times New Roman" w:cs="Times New Roman"/>
                          <w:bCs/>
                          <w:noProof/>
                          <w:color w:val="5B9BD5" w:themeColor="accent1"/>
                          <w:sz w:val="24"/>
                          <w:szCs w:val="24"/>
                        </w:rPr>
                        <w:t>[29]</w:t>
                      </w:r>
                      <w:r w:rsidR="00967FD1" w:rsidRPr="00967FD1">
                        <w:rPr>
                          <w:rFonts w:ascii="Times New Roman" w:hAnsi="Times New Roman" w:cs="Times New Roman"/>
                          <w:b/>
                          <w:bCs/>
                          <w:color w:val="5B9BD5" w:themeColor="accent1"/>
                          <w:sz w:val="24"/>
                          <w:szCs w:val="24"/>
                        </w:rPr>
                        <w:fldChar w:fldCharType="end"/>
                      </w:r>
                    </w:p>
                  </w:txbxContent>
                </v:textbox>
              </v:shape>
            </w:pict>
          </mc:Fallback>
        </mc:AlternateContent>
      </w:r>
      <w:r w:rsidR="00D64F16" w:rsidRPr="000F36C1">
        <w:rPr>
          <w:rFonts w:ascii="Times New Roman" w:hAnsi="Times New Roman" w:cs="Times New Roman"/>
          <w:b/>
          <w:bCs/>
          <w:sz w:val="20"/>
          <w:szCs w:val="20"/>
        </w:rPr>
        <w:t xml:space="preserve">                                                                                                                </w:t>
      </w:r>
    </w:p>
    <w:p w14:paraId="3A3A9C63" w14:textId="2D5CB3FD" w:rsidR="00BB572F" w:rsidRPr="000F36C1" w:rsidRDefault="00D64F16" w:rsidP="0036753D">
      <w:pPr>
        <w:spacing w:after="0"/>
        <w:jc w:val="both"/>
        <w:rPr>
          <w:rFonts w:ascii="Times New Roman" w:hAnsi="Times New Roman" w:cs="Times New Roman"/>
          <w:b/>
          <w:bCs/>
          <w:color w:val="5B9BD5" w:themeColor="accent1"/>
          <w:sz w:val="20"/>
          <w:szCs w:val="20"/>
        </w:rPr>
      </w:pPr>
      <w:r w:rsidRPr="000F36C1">
        <w:rPr>
          <w:rFonts w:ascii="Times New Roman" w:hAnsi="Times New Roman" w:cs="Times New Roman"/>
          <w:b/>
          <w:bCs/>
          <w:color w:val="5B9BD5" w:themeColor="accent1"/>
          <w:sz w:val="20"/>
          <w:szCs w:val="20"/>
        </w:rPr>
        <w:t xml:space="preserve">                                                                                                                       </w:t>
      </w:r>
    </w:p>
    <w:p w14:paraId="43A82C8E" w14:textId="25C22B4A" w:rsidR="00BB572F" w:rsidRPr="000F36C1" w:rsidRDefault="00BB572F" w:rsidP="0036753D">
      <w:pPr>
        <w:spacing w:after="0"/>
        <w:jc w:val="both"/>
        <w:rPr>
          <w:rFonts w:ascii="Times New Roman" w:hAnsi="Times New Roman" w:cs="Times New Roman"/>
          <w:b/>
          <w:bCs/>
          <w:sz w:val="20"/>
          <w:szCs w:val="20"/>
        </w:rPr>
      </w:pPr>
    </w:p>
    <w:p w14:paraId="0DB187D7" w14:textId="77777777" w:rsidR="000F36C1" w:rsidRDefault="000F36C1" w:rsidP="0036753D">
      <w:pPr>
        <w:spacing w:after="0"/>
        <w:jc w:val="center"/>
        <w:rPr>
          <w:rFonts w:ascii="Times New Roman" w:hAnsi="Times New Roman" w:cs="Times New Roman"/>
          <w:noProof/>
          <w:sz w:val="20"/>
          <w:szCs w:val="20"/>
        </w:rPr>
      </w:pPr>
    </w:p>
    <w:p w14:paraId="06581545" w14:textId="77777777" w:rsidR="000F36C1" w:rsidRDefault="000F36C1">
      <w:pPr>
        <w:rPr>
          <w:rFonts w:ascii="Times New Roman" w:hAnsi="Times New Roman" w:cs="Times New Roman"/>
          <w:noProof/>
          <w:sz w:val="20"/>
          <w:szCs w:val="20"/>
        </w:rPr>
      </w:pPr>
      <w:r>
        <w:rPr>
          <w:rFonts w:ascii="Times New Roman" w:hAnsi="Times New Roman" w:cs="Times New Roman"/>
          <w:noProof/>
          <w:sz w:val="20"/>
          <w:szCs w:val="20"/>
        </w:rPr>
        <w:br w:type="page"/>
      </w:r>
    </w:p>
    <w:p w14:paraId="7D51DCAD" w14:textId="139A61A6" w:rsidR="000F36C1" w:rsidRPr="000F36C1" w:rsidRDefault="000F36C1" w:rsidP="000F36C1">
      <w:pPr>
        <w:spacing w:after="0"/>
        <w:jc w:val="center"/>
        <w:rPr>
          <w:rFonts w:ascii="Times New Roman" w:hAnsi="Times New Roman" w:cs="Times New Roman"/>
          <w:noProof/>
          <w:sz w:val="20"/>
          <w:szCs w:val="20"/>
        </w:rPr>
      </w:pPr>
      <w:r w:rsidRPr="000F36C1">
        <w:rPr>
          <w:rFonts w:ascii="Times New Roman" w:hAnsi="Times New Roman" w:cs="Times New Roman"/>
          <w:noProof/>
          <w:sz w:val="20"/>
          <w:szCs w:val="20"/>
        </w:rPr>
        <w:lastRenderedPageBreak/>
        <w:t xml:space="preserve">Table 1: List of SMRs with their major design features and status                                                                                                                    </w:t>
      </w:r>
      <w:r w:rsidRPr="000F36C1">
        <w:rPr>
          <w:rFonts w:ascii="Times New Roman" w:hAnsi="Times New Roman" w:cs="Times New Roman"/>
          <w:noProof/>
          <w:sz w:val="20"/>
          <w:szCs w:val="20"/>
        </w:rPr>
        <w:fldChar w:fldCharType="begin" w:fldLock="1"/>
      </w:r>
      <w:r w:rsidR="00210CEA">
        <w:rPr>
          <w:rFonts w:ascii="Times New Roman" w:hAnsi="Times New Roman" w:cs="Times New Roman"/>
          <w:noProof/>
          <w:sz w:val="20"/>
          <w:szCs w:val="20"/>
        </w:rPr>
        <w:instrText>ADDIN CSL_CITATION {"citationItems":[{"id":"ITEM-1","itemData":{"DOI":"10.3390/en13195006","ISSN":"19961073","abstract":"Small modular reactors (SMRs) represent a key area of interest to nuclear industry developers, which have been making significant progress during the past few years. Generally, these reactors are promising owing to their improved safety due to passive systems, enhanced containment efficiency, and fewer capital costs in comparison to traditional nuclear reactors. An important advantage of SMRs is their adaptability in being coupled to other energy-consuming systems, such as desalination plants (DPs) to create a cogeneration plant. Considering the serious challenges regarding the freshwater shortage in many regions of the world and the necessity of using low-carbon energy sources, it is advantageous to use SMR for supplying the required heat and electricity of DPs. As a high-performance desalination technology, the hybrid desalination (HD) systems can be exploited, which retain the advantages of both thermal and membrane desalination methods. In this study, several SMR coupling schemes to HD plants have been suggested. In performing a thermodynamic analysis of integrated SMR-DP, the International Atomic Energy Agency (IAEA) Desalination Thermodynamic Optimization Program (DE-TOP) has been utilized. It has been found that the use of relatively hot water from the SMR condenser leads to about 6.5 to 7.5% of total desalination cost reduction, where the produced electricity and hot steam extracted from low-pressure turbine were used to drive the HD system.","author":[{"dropping-particle":"","family":"Ghazaie","given":"Seyed Hadi","non-dropping-particle":"","parse-names":false,"suffix":""},{"dropping-particle":"","family":"Sadeghi","given":"Khashayar","non-dropping-particle":"","parse-names":false,"suffix":""},{"dropping-particle":"","family":"Sokolova","given":"Ekaterina","non-dropping-particle":"","parse-names":false,"suffix":""},{"dropping-particle":"","family":"Fedorovich","given":"Evgeniy","non-dropping-particle":"","parse-names":false,"suffix":""},{"dropping-particle":"","family":"Shirani","given":"Amirsaeed","non-dropping-particle":"","parse-names":false,"suffix":""}],"container-title":"Energies","id":"ITEM-1","issue":"18","issued":{"date-parts":[["2020"]]},"title":"Comparative analysis of hybrid desalination technologies powered by SMR","type":"article-journal","volume":"13"},"uris":["http://www.mendeley.com/documents/?uuid=a851b307-9d20-3698-abe4-221e12153385","http://www.mendeley.com/documents/?uuid=59a55fa6-6303-41a4-9821-6b3cfd62f51c"]}],"mendeley":{"formattedCitation":"[30]","plainTextFormattedCitation":"[30]","previouslyFormattedCitation":"[30]"},"properties":{"noteIndex":0},"schema":"https://github.com/citation-style-language/schema/raw/master/csl-citation.json"}</w:instrText>
      </w:r>
      <w:r w:rsidRPr="000F36C1">
        <w:rPr>
          <w:rFonts w:ascii="Times New Roman" w:hAnsi="Times New Roman" w:cs="Times New Roman"/>
          <w:noProof/>
          <w:sz w:val="20"/>
          <w:szCs w:val="20"/>
        </w:rPr>
        <w:fldChar w:fldCharType="separate"/>
      </w:r>
      <w:r w:rsidR="00942491" w:rsidRPr="00942491">
        <w:rPr>
          <w:rFonts w:ascii="Times New Roman" w:hAnsi="Times New Roman" w:cs="Times New Roman"/>
          <w:noProof/>
          <w:sz w:val="20"/>
          <w:szCs w:val="20"/>
        </w:rPr>
        <w:t>[30]</w:t>
      </w:r>
      <w:r w:rsidRPr="000F36C1">
        <w:rPr>
          <w:rFonts w:ascii="Times New Roman" w:hAnsi="Times New Roman" w:cs="Times New Roman"/>
          <w:noProof/>
          <w:sz w:val="20"/>
          <w:szCs w:val="20"/>
        </w:rPr>
        <w:fldChar w:fldCharType="end"/>
      </w:r>
    </w:p>
    <w:p w14:paraId="3210A506" w14:textId="77777777" w:rsidR="000F36C1" w:rsidRDefault="000F36C1" w:rsidP="0036753D">
      <w:pPr>
        <w:spacing w:after="0"/>
        <w:jc w:val="center"/>
        <w:rPr>
          <w:rFonts w:ascii="Times New Roman" w:hAnsi="Times New Roman" w:cs="Times New Roman"/>
          <w:noProof/>
          <w:sz w:val="20"/>
          <w:szCs w:val="20"/>
        </w:rPr>
      </w:pPr>
    </w:p>
    <w:p w14:paraId="25037859" w14:textId="6EB50869" w:rsidR="00BB572F" w:rsidRPr="000F36C1" w:rsidRDefault="00BB572F" w:rsidP="0036753D">
      <w:pPr>
        <w:spacing w:after="0"/>
        <w:jc w:val="center"/>
        <w:rPr>
          <w:rFonts w:ascii="Times New Roman" w:hAnsi="Times New Roman" w:cs="Times New Roman"/>
          <w:b/>
          <w:bCs/>
          <w:sz w:val="20"/>
          <w:szCs w:val="20"/>
        </w:rPr>
      </w:pPr>
      <w:r w:rsidRPr="000F36C1">
        <w:rPr>
          <w:rFonts w:ascii="Times New Roman" w:hAnsi="Times New Roman" w:cs="Times New Roman"/>
          <w:noProof/>
          <w:sz w:val="20"/>
          <w:szCs w:val="20"/>
        </w:rPr>
        <w:drawing>
          <wp:inline distT="0" distB="0" distL="0" distR="0" wp14:anchorId="032FA1B6" wp14:editId="1B0E67FC">
            <wp:extent cx="5321300" cy="23275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9123" cy="2361593"/>
                    </a:xfrm>
                    <a:prstGeom prst="rect">
                      <a:avLst/>
                    </a:prstGeom>
                  </pic:spPr>
                </pic:pic>
              </a:graphicData>
            </a:graphic>
          </wp:inline>
        </w:drawing>
      </w:r>
    </w:p>
    <w:p w14:paraId="0FE739D8" w14:textId="77777777" w:rsidR="00B5571E" w:rsidRPr="000F36C1" w:rsidRDefault="00B5571E" w:rsidP="0036753D">
      <w:pPr>
        <w:spacing w:after="0"/>
        <w:jc w:val="both"/>
        <w:rPr>
          <w:rFonts w:ascii="Times New Roman" w:hAnsi="Times New Roman" w:cs="Times New Roman"/>
          <w:sz w:val="20"/>
          <w:szCs w:val="20"/>
        </w:rPr>
      </w:pPr>
    </w:p>
    <w:p w14:paraId="0829EF02" w14:textId="4FCDE937" w:rsidR="009A54AE" w:rsidRPr="005813B9" w:rsidRDefault="00492243" w:rsidP="005813B9">
      <w:pPr>
        <w:pStyle w:val="ListParagraph"/>
        <w:numPr>
          <w:ilvl w:val="0"/>
          <w:numId w:val="6"/>
        </w:numPr>
        <w:spacing w:after="0"/>
        <w:rPr>
          <w:rFonts w:ascii="Times New Roman" w:hAnsi="Times New Roman" w:cs="Times New Roman"/>
          <w:b/>
          <w:bCs/>
          <w:sz w:val="20"/>
          <w:szCs w:val="20"/>
        </w:rPr>
      </w:pPr>
      <w:r w:rsidRPr="005813B9">
        <w:rPr>
          <w:rFonts w:ascii="Times New Roman" w:hAnsi="Times New Roman" w:cs="Times New Roman"/>
          <w:b/>
          <w:bCs/>
          <w:sz w:val="20"/>
          <w:szCs w:val="20"/>
        </w:rPr>
        <w:t>LEADERSHIP AND MANAGEMENT OF SAFETY</w:t>
      </w:r>
    </w:p>
    <w:p w14:paraId="4BC2DC7E" w14:textId="24844E2C" w:rsidR="004B117C" w:rsidRPr="000F36C1" w:rsidRDefault="004B117C" w:rsidP="0036753D">
      <w:pPr>
        <w:spacing w:after="0"/>
        <w:jc w:val="both"/>
        <w:rPr>
          <w:rStyle w:val="fontstyle01"/>
          <w:rFonts w:ascii="Times New Roman" w:hAnsi="Times New Roman" w:cs="Times New Roman"/>
          <w:sz w:val="20"/>
          <w:szCs w:val="20"/>
        </w:rPr>
      </w:pPr>
      <w:r w:rsidRPr="000F36C1">
        <w:rPr>
          <w:rStyle w:val="fontstyle01"/>
          <w:rFonts w:ascii="Times New Roman" w:hAnsi="Times New Roman" w:cs="Times New Roman"/>
          <w:sz w:val="20"/>
          <w:szCs w:val="20"/>
        </w:rPr>
        <w:t>According to the N</w:t>
      </w:r>
      <w:r w:rsidR="00643627" w:rsidRPr="000F36C1">
        <w:rPr>
          <w:rStyle w:val="fontstyle01"/>
          <w:rFonts w:ascii="Times New Roman" w:hAnsi="Times New Roman" w:cs="Times New Roman"/>
          <w:sz w:val="20"/>
          <w:szCs w:val="20"/>
        </w:rPr>
        <w:t>uclear Energy Act (990/1987)</w:t>
      </w:r>
      <w:r w:rsidR="00F0094F">
        <w:rPr>
          <w:rStyle w:val="fontstyle01"/>
          <w:rFonts w:ascii="Times New Roman" w:hAnsi="Times New Roman" w:cs="Times New Roman"/>
          <w:sz w:val="20"/>
          <w:szCs w:val="20"/>
        </w:rPr>
        <w:t xml:space="preserve"> </w:t>
      </w:r>
      <w:r w:rsidR="00F0094F">
        <w:rPr>
          <w:rStyle w:val="fontstyle01"/>
          <w:rFonts w:ascii="Times New Roman" w:hAnsi="Times New Roman" w:cs="Times New Roman"/>
          <w:sz w:val="20"/>
          <w:szCs w:val="20"/>
        </w:rPr>
        <w:fldChar w:fldCharType="begin" w:fldLock="1"/>
      </w:r>
      <w:r w:rsidR="00210CEA">
        <w:rPr>
          <w:rStyle w:val="fontstyle01"/>
          <w:rFonts w:ascii="Times New Roman" w:hAnsi="Times New Roman" w:cs="Times New Roman"/>
          <w:sz w:val="20"/>
          <w:szCs w:val="20"/>
        </w:rPr>
        <w:instrText>ADDIN CSL_CITATION {"citationItems":[{"id":"ITEM-1","itemData":{"author":[{"dropping-particle":"","family":"Legally","given":"Finnish","non-dropping-particle":"","parse-names":false,"suffix":""},{"dropping-particle":"","family":"Ministry","given":"Swedish","non-dropping-particle":"","parse-names":false,"suffix":""},{"dropping-particle":"","family":"Affairs","given":"Economic","non-dropping-particle":"","parse-names":false,"suffix":""},{"dropping-particle":"","family":"Act","given":"This","non-dropping-particle":"","parse-names":false,"suffix":""}],"id":"ITEM-1","issued":{"date-parts":[["2018"]]},"title":"Chapter 1 Objectives and scope of application","type":"article-journal"},"uris":["http://www.mendeley.com/documents/?uuid=0db6e2c4-f866-445a-9802-75f72aecbba6"]}],"mendeley":{"formattedCitation":"[31]","plainTextFormattedCitation":"[31]","previouslyFormattedCitation":"[31]"},"properties":{"noteIndex":0},"schema":"https://github.com/citation-style-language/schema/raw/master/csl-citation.json"}</w:instrText>
      </w:r>
      <w:r w:rsidR="00F0094F">
        <w:rPr>
          <w:rStyle w:val="fontstyle01"/>
          <w:rFonts w:ascii="Times New Roman" w:hAnsi="Times New Roman" w:cs="Times New Roman"/>
          <w:sz w:val="20"/>
          <w:szCs w:val="20"/>
        </w:rPr>
        <w:fldChar w:fldCharType="separate"/>
      </w:r>
      <w:r w:rsidR="00942491" w:rsidRPr="00942491">
        <w:rPr>
          <w:rStyle w:val="fontstyle01"/>
          <w:rFonts w:ascii="Times New Roman" w:hAnsi="Times New Roman" w:cs="Times New Roman"/>
          <w:noProof/>
          <w:sz w:val="20"/>
          <w:szCs w:val="20"/>
        </w:rPr>
        <w:t>[31]</w:t>
      </w:r>
      <w:r w:rsidR="00F0094F">
        <w:rPr>
          <w:rStyle w:val="fontstyle01"/>
          <w:rFonts w:ascii="Times New Roman" w:hAnsi="Times New Roman" w:cs="Times New Roman"/>
          <w:sz w:val="20"/>
          <w:szCs w:val="20"/>
        </w:rPr>
        <w:fldChar w:fldCharType="end"/>
      </w:r>
      <w:r w:rsidRPr="000F36C1">
        <w:rPr>
          <w:rStyle w:val="fontstyle01"/>
          <w:rFonts w:ascii="Times New Roman" w:hAnsi="Times New Roman" w:cs="Times New Roman"/>
          <w:sz w:val="20"/>
          <w:szCs w:val="20"/>
        </w:rPr>
        <w:t>, the nuclear facility shall have a management system. The licensee is responsible for the nuclear facility’s safety a</w:t>
      </w:r>
      <w:r w:rsidR="00604C30" w:rsidRPr="000F36C1">
        <w:rPr>
          <w:rStyle w:val="fontstyle01"/>
          <w:rFonts w:ascii="Times New Roman" w:hAnsi="Times New Roman" w:cs="Times New Roman"/>
          <w:sz w:val="20"/>
          <w:szCs w:val="20"/>
        </w:rPr>
        <w:t>nd</w:t>
      </w:r>
      <w:r w:rsidRPr="000F36C1">
        <w:rPr>
          <w:rStyle w:val="fontstyle01"/>
          <w:rFonts w:ascii="Times New Roman" w:hAnsi="Times New Roman" w:cs="Times New Roman"/>
          <w:sz w:val="20"/>
          <w:szCs w:val="20"/>
        </w:rPr>
        <w:t xml:space="preserve"> for the planning, implementation, maintenance, functionality, effectiveness, and continuous improvement of the management system.</w:t>
      </w:r>
    </w:p>
    <w:p w14:paraId="0D91B388" w14:textId="277923A3" w:rsidR="00B86EA6" w:rsidRDefault="00B86EA6" w:rsidP="0036753D">
      <w:pPr>
        <w:spacing w:after="0"/>
        <w:jc w:val="both"/>
        <w:rPr>
          <w:rFonts w:ascii="Times New Roman" w:hAnsi="Times New Roman" w:cs="Times New Roman"/>
          <w:sz w:val="20"/>
          <w:szCs w:val="20"/>
        </w:rPr>
      </w:pPr>
      <w:r w:rsidRPr="000F36C1">
        <w:rPr>
          <w:rStyle w:val="fontstyle01"/>
          <w:rFonts w:ascii="Times New Roman" w:hAnsi="Times New Roman" w:cs="Times New Roman"/>
          <w:sz w:val="20"/>
          <w:szCs w:val="20"/>
        </w:rPr>
        <w:t>The role of leadership in securing good safety outcomes is well established. Investigations into accidents and disasters across all major hazard</w:t>
      </w:r>
      <w:r w:rsidR="00CB0699">
        <w:rPr>
          <w:rStyle w:val="fontstyle01"/>
          <w:rFonts w:ascii="Times New Roman" w:hAnsi="Times New Roman" w:cs="Times New Roman"/>
          <w:sz w:val="20"/>
          <w:szCs w:val="20"/>
        </w:rPr>
        <w:t>ous</w:t>
      </w:r>
      <w:r w:rsidRPr="000F36C1">
        <w:rPr>
          <w:rStyle w:val="fontstyle01"/>
          <w:rFonts w:ascii="Times New Roman" w:hAnsi="Times New Roman" w:cs="Times New Roman"/>
          <w:sz w:val="20"/>
          <w:szCs w:val="20"/>
        </w:rPr>
        <w:t xml:space="preserve"> industries have consistently found the actions or inactions of leaders to be contributory factors. In the nuclear industry, poor safety leadership behaviors were found to be key contributing factors to nuclear accidents.</w:t>
      </w:r>
      <w:r w:rsidR="004B117C" w:rsidRPr="000F36C1">
        <w:rPr>
          <w:rFonts w:ascii="Times New Roman" w:hAnsi="Times New Roman" w:cs="Times New Roman"/>
          <w:sz w:val="20"/>
          <w:szCs w:val="20"/>
        </w:rPr>
        <w:t xml:space="preserve"> There have been many approaches to establishing the optimum model for effective leadership and management for safety within nuclear licensee businesses. Many </w:t>
      </w:r>
      <w:r w:rsidR="00CC6A6B" w:rsidRPr="000F36C1">
        <w:rPr>
          <w:rFonts w:ascii="Times New Roman" w:hAnsi="Times New Roman" w:cs="Times New Roman"/>
          <w:sz w:val="20"/>
          <w:szCs w:val="20"/>
        </w:rPr>
        <w:t>organizations</w:t>
      </w:r>
      <w:r w:rsidR="004B117C" w:rsidRPr="000F36C1">
        <w:rPr>
          <w:rFonts w:ascii="Times New Roman" w:hAnsi="Times New Roman" w:cs="Times New Roman"/>
          <w:sz w:val="20"/>
          <w:szCs w:val="20"/>
        </w:rPr>
        <w:t xml:space="preserve"> have developed their models with most be</w:t>
      </w:r>
      <w:r w:rsidR="00CC6A6B" w:rsidRPr="000F36C1">
        <w:rPr>
          <w:rFonts w:ascii="Times New Roman" w:hAnsi="Times New Roman" w:cs="Times New Roman"/>
          <w:sz w:val="20"/>
          <w:szCs w:val="20"/>
        </w:rPr>
        <w:t>ing based on the widely recogniz</w:t>
      </w:r>
      <w:r w:rsidR="004B117C" w:rsidRPr="000F36C1">
        <w:rPr>
          <w:rFonts w:ascii="Times New Roman" w:hAnsi="Times New Roman" w:cs="Times New Roman"/>
          <w:sz w:val="20"/>
          <w:szCs w:val="20"/>
        </w:rPr>
        <w:t>ed frameworks developed by IAEA, WANO, INPO</w:t>
      </w:r>
      <w:r w:rsidR="00A779C9" w:rsidRPr="000F36C1">
        <w:rPr>
          <w:rFonts w:ascii="Times New Roman" w:hAnsi="Times New Roman" w:cs="Times New Roman"/>
          <w:sz w:val="20"/>
          <w:szCs w:val="20"/>
        </w:rPr>
        <w:t>,</w:t>
      </w:r>
      <w:r w:rsidR="004B117C" w:rsidRPr="000F36C1">
        <w:rPr>
          <w:rFonts w:ascii="Times New Roman" w:hAnsi="Times New Roman" w:cs="Times New Roman"/>
          <w:sz w:val="20"/>
          <w:szCs w:val="20"/>
        </w:rPr>
        <w:t xml:space="preserve"> and the view of ONR.</w:t>
      </w:r>
    </w:p>
    <w:p w14:paraId="6D58DBE2" w14:textId="04F86BBC" w:rsidR="00D976C3" w:rsidRDefault="00D976C3" w:rsidP="0036753D">
      <w:pPr>
        <w:spacing w:after="0"/>
        <w:jc w:val="both"/>
        <w:rPr>
          <w:rFonts w:ascii="Times New Roman" w:hAnsi="Times New Roman" w:cs="Times New Roman"/>
          <w:sz w:val="20"/>
          <w:szCs w:val="20"/>
        </w:rPr>
      </w:pPr>
    </w:p>
    <w:p w14:paraId="4949BDE0" w14:textId="4523D4A8" w:rsidR="00D976C3" w:rsidRPr="00D976C3" w:rsidRDefault="005813B9" w:rsidP="0036753D">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5.0 </w:t>
      </w:r>
      <w:r w:rsidR="00D976C3" w:rsidRPr="00D976C3">
        <w:rPr>
          <w:rFonts w:ascii="Times New Roman" w:hAnsi="Times New Roman" w:cs="Times New Roman"/>
          <w:b/>
          <w:bCs/>
          <w:sz w:val="20"/>
          <w:szCs w:val="20"/>
        </w:rPr>
        <w:t>GHANAIAN PERSPECTIVE</w:t>
      </w:r>
    </w:p>
    <w:p w14:paraId="7E070D18" w14:textId="77777777" w:rsidR="00D976C3" w:rsidRPr="00505549" w:rsidRDefault="00D976C3" w:rsidP="00D976C3">
      <w:pPr>
        <w:spacing w:after="0"/>
        <w:jc w:val="both"/>
        <w:rPr>
          <w:rFonts w:ascii="Times New Roman" w:eastAsia="Times New Roman" w:hAnsi="Times New Roman" w:cs="Times New Roman"/>
          <w:sz w:val="20"/>
          <w:szCs w:val="20"/>
        </w:rPr>
      </w:pPr>
      <w:r w:rsidRPr="00505549">
        <w:rPr>
          <w:rFonts w:ascii="Times New Roman" w:eastAsia="Times New Roman" w:hAnsi="Times New Roman" w:cs="Times New Roman"/>
          <w:sz w:val="20"/>
          <w:szCs w:val="20"/>
        </w:rPr>
        <w:t>From Ghana’s viewpoint, integrating Small Modular Reactors (SMRs) into its energy strategy presents both significant challenges and unique opportunities. With the aim of diversifying its energy portfolio and improving energy security, Ghana is embracing SMRs for their inherent safety features and modular design, which align well with the country’s developmental context.</w:t>
      </w:r>
      <w:r w:rsidRPr="00872762">
        <w:rPr>
          <w:rFonts w:ascii="Times New Roman" w:eastAsia="Times New Roman" w:hAnsi="Times New Roman" w:cs="Times New Roman"/>
          <w:sz w:val="20"/>
          <w:szCs w:val="20"/>
        </w:rPr>
        <w:t xml:space="preserve"> </w:t>
      </w:r>
      <w:r w:rsidRPr="00505549">
        <w:rPr>
          <w:rFonts w:ascii="Times New Roman" w:eastAsia="Times New Roman" w:hAnsi="Times New Roman" w:cs="Times New Roman"/>
          <w:sz w:val="20"/>
          <w:szCs w:val="20"/>
        </w:rPr>
        <w:t>Ghana’s nuclear energy program places paramount importance on safety, reflecting the nation’s commitment to protecting public health and the environment. The country’s safety objectives are aligned with international standards, particularly those established by the IAEA, ensuring that SMRs are operated under the highest safety protocols. This focus is essential in building public trust and ensuring regulatory compliance. For Ghana, the adoption of SMRs with advanced inherent and passive safety features addresses infrastructure constraints and enhances safety. These features, which rely on natural processes rather than active systems, are crucial in a context where technical support and infrastructure might be limited. They provide a reliable safety net, reducing the likelihood of accidents and simplifying emergency response.</w:t>
      </w:r>
      <w:r w:rsidRPr="00872762">
        <w:rPr>
          <w:rFonts w:ascii="Times New Roman" w:eastAsia="Times New Roman" w:hAnsi="Times New Roman" w:cs="Times New Roman"/>
          <w:sz w:val="20"/>
          <w:szCs w:val="20"/>
        </w:rPr>
        <w:t xml:space="preserve"> </w:t>
      </w:r>
      <w:r w:rsidRPr="00505549">
        <w:rPr>
          <w:rFonts w:ascii="Times New Roman" w:eastAsia="Times New Roman" w:hAnsi="Times New Roman" w:cs="Times New Roman"/>
          <w:sz w:val="20"/>
          <w:szCs w:val="20"/>
        </w:rPr>
        <w:t>SMRs’ modularity and simplified design facilitate phased construction and incremental deployment, making them well-suited to Ghana’s growing energy demands. This approach allows for manageable initial investments and scaling up as needed, which is advantageous for a country with evolving infrastructure needs. The modular nature also simplifies maintenance and operational logistics, aligning with Ghana’s capacity-building efforts.</w:t>
      </w:r>
      <w:r w:rsidRPr="00872762">
        <w:rPr>
          <w:rFonts w:ascii="Times New Roman" w:eastAsia="Times New Roman" w:hAnsi="Times New Roman" w:cs="Times New Roman"/>
          <w:sz w:val="20"/>
          <w:szCs w:val="20"/>
        </w:rPr>
        <w:t xml:space="preserve"> </w:t>
      </w:r>
      <w:r w:rsidRPr="00505549">
        <w:rPr>
          <w:rFonts w:ascii="Times New Roman" w:eastAsia="Times New Roman" w:hAnsi="Times New Roman" w:cs="Times New Roman"/>
          <w:sz w:val="20"/>
          <w:szCs w:val="20"/>
        </w:rPr>
        <w:t>Effective leadership and safety management are critical for Ghana’s successful integration of SMRs. The country is developing a robust safety culture through comprehensive training, regulatory frameworks, and stakeholder engagement. By investing in these areas, Ghana aims to ensure that the safety objectives, inherent features, and modular designs of SMRs are effectively managed, thus reinforcing its commitment to safe and sustainable nuclear energy. Ghana’s approach to SMRs demonstrates a pragmatic and forward-thinking strategy, harnessing technological advancements to address local needs while maintaining a strong focus on safety and sustainability.</w:t>
      </w:r>
    </w:p>
    <w:p w14:paraId="6F8E4F4C" w14:textId="77777777" w:rsidR="00D976C3" w:rsidRPr="00505549" w:rsidRDefault="00D976C3" w:rsidP="00D976C3"/>
    <w:p w14:paraId="54D4AD3E" w14:textId="77777777" w:rsidR="00D976C3" w:rsidRPr="000F36C1" w:rsidRDefault="00D976C3" w:rsidP="0036753D">
      <w:pPr>
        <w:spacing w:after="0"/>
        <w:jc w:val="both"/>
        <w:rPr>
          <w:rFonts w:ascii="Times New Roman" w:hAnsi="Times New Roman" w:cs="Times New Roman"/>
          <w:sz w:val="20"/>
          <w:szCs w:val="20"/>
        </w:rPr>
      </w:pPr>
    </w:p>
    <w:p w14:paraId="29A10F25" w14:textId="4588C4BD" w:rsidR="004B117C" w:rsidRPr="000F36C1" w:rsidRDefault="005813B9" w:rsidP="0036753D">
      <w:pPr>
        <w:spacing w:after="0"/>
        <w:rPr>
          <w:rFonts w:ascii="Times New Roman" w:hAnsi="Times New Roman" w:cs="Times New Roman"/>
          <w:b/>
          <w:bCs/>
          <w:sz w:val="20"/>
          <w:szCs w:val="20"/>
        </w:rPr>
      </w:pPr>
      <w:r>
        <w:rPr>
          <w:rFonts w:ascii="Times New Roman" w:hAnsi="Times New Roman" w:cs="Times New Roman"/>
          <w:b/>
          <w:bCs/>
          <w:sz w:val="20"/>
          <w:szCs w:val="20"/>
        </w:rPr>
        <w:lastRenderedPageBreak/>
        <w:t xml:space="preserve">6.0 </w:t>
      </w:r>
      <w:r w:rsidR="00492243" w:rsidRPr="000F36C1">
        <w:rPr>
          <w:rFonts w:ascii="Times New Roman" w:hAnsi="Times New Roman" w:cs="Times New Roman"/>
          <w:b/>
          <w:bCs/>
          <w:sz w:val="20"/>
          <w:szCs w:val="20"/>
        </w:rPr>
        <w:t xml:space="preserve">CONCLUSION </w:t>
      </w:r>
    </w:p>
    <w:p w14:paraId="0AD7D9E3" w14:textId="2227474D" w:rsidR="009220F9" w:rsidRPr="000F36C1" w:rsidRDefault="009220F9" w:rsidP="009220F9">
      <w:pPr>
        <w:spacing w:after="0"/>
        <w:jc w:val="both"/>
        <w:rPr>
          <w:rFonts w:ascii="Times New Roman" w:hAnsi="Times New Roman" w:cs="Times New Roman"/>
          <w:sz w:val="20"/>
          <w:szCs w:val="20"/>
        </w:rPr>
      </w:pPr>
      <w:r w:rsidRPr="000F36C1">
        <w:rPr>
          <w:rFonts w:ascii="Times New Roman" w:hAnsi="Times New Roman" w:cs="Times New Roman"/>
          <w:sz w:val="20"/>
          <w:szCs w:val="20"/>
        </w:rPr>
        <w:t>This review provides valuable insights into the challenges and opportunities in developing a safety case for SMRs in Ghana. Developing a robust safety case for SMRs in Ghana involves addressing several critical challenges, including the unique safety objectives and application of defense-in-depth principles within the context of Ghana’s specific nuclear landscape. Inherent and passive safety features are crucial, as they can significantly reduce the likelihood of severe accidents and enhance overall reactor safety. However, these features must be thoroughly evaluated and demonstrated to be effective under Ghana’s specific environmental and operational conditions.</w:t>
      </w:r>
    </w:p>
    <w:p w14:paraId="15CE9FD3" w14:textId="77777777" w:rsidR="009220F9" w:rsidRPr="000F36C1" w:rsidRDefault="009220F9" w:rsidP="009220F9">
      <w:pPr>
        <w:spacing w:after="0"/>
        <w:jc w:val="both"/>
        <w:rPr>
          <w:rFonts w:ascii="Times New Roman" w:hAnsi="Times New Roman" w:cs="Times New Roman"/>
          <w:sz w:val="20"/>
          <w:szCs w:val="20"/>
        </w:rPr>
      </w:pPr>
      <w:r w:rsidRPr="000F36C1">
        <w:rPr>
          <w:rFonts w:ascii="Times New Roman" w:hAnsi="Times New Roman" w:cs="Times New Roman"/>
          <w:sz w:val="20"/>
          <w:szCs w:val="20"/>
        </w:rPr>
        <w:t>One of the primary challenges in developing a safety case for SMRs in Ghana is ensuring the mitigation of severe accidents. This involves rigorous analysis and planning for potential hazards and establishing comprehensive safety measures to manage and mitigate such events. Addressing fuel and core safety is another significant challenge, requiring detailed assessments of fuel behavior under various conditions and ensuring the core's integrity and stability. Moreover, the safety of materials and chemical processes within the reactor must be meticulously evaluated to prevent accidents and ensure long-term operational safety.</w:t>
      </w:r>
    </w:p>
    <w:p w14:paraId="32D62AA2" w14:textId="77777777" w:rsidR="009220F9" w:rsidRPr="000F36C1" w:rsidRDefault="009220F9" w:rsidP="009220F9">
      <w:pPr>
        <w:spacing w:after="0"/>
        <w:jc w:val="both"/>
        <w:rPr>
          <w:rFonts w:ascii="Times New Roman" w:hAnsi="Times New Roman" w:cs="Times New Roman"/>
          <w:sz w:val="20"/>
          <w:szCs w:val="20"/>
        </w:rPr>
      </w:pPr>
      <w:r w:rsidRPr="000F36C1">
        <w:rPr>
          <w:rFonts w:ascii="Times New Roman" w:hAnsi="Times New Roman" w:cs="Times New Roman"/>
          <w:sz w:val="20"/>
          <w:szCs w:val="20"/>
        </w:rPr>
        <w:t>Despite these challenges, there are substantial opportunities for Ghana in leveraging the benefits of SMRs. Design simplification and modularity offer significant advantages, such as reduced construction times, lower initial capital investment, and increased flexibility in scaling up the nuclear power capacity as needed. These attributes can help Ghana to gradually build its nuclear power capabilities while managing financial and technical risks more effectively.</w:t>
      </w:r>
    </w:p>
    <w:p w14:paraId="5D2E5F8B" w14:textId="77777777" w:rsidR="009220F9" w:rsidRPr="000F36C1" w:rsidRDefault="009220F9" w:rsidP="009220F9">
      <w:pPr>
        <w:spacing w:after="0"/>
        <w:jc w:val="both"/>
        <w:rPr>
          <w:rFonts w:ascii="Times New Roman" w:hAnsi="Times New Roman" w:cs="Times New Roman"/>
          <w:sz w:val="20"/>
          <w:szCs w:val="20"/>
        </w:rPr>
      </w:pPr>
      <w:r w:rsidRPr="000F36C1">
        <w:rPr>
          <w:rFonts w:ascii="Times New Roman" w:hAnsi="Times New Roman" w:cs="Times New Roman"/>
          <w:sz w:val="20"/>
          <w:szCs w:val="20"/>
        </w:rPr>
        <w:t>Risk-informed approaches provide an opportunity to enhance the safety case by integrating probabilistic risk assessments with traditional deterministic methods. This allows for a more comprehensive understanding of potential risks and the implementation of targeted mitigation strategies. Furthermore, innovative deployment models tailored to Ghana’s specific needs can support the effective integration of SMRs into the national energy mix.</w:t>
      </w:r>
    </w:p>
    <w:p w14:paraId="3D9E5770" w14:textId="7D0D4B0C" w:rsidR="009220F9" w:rsidRPr="000F36C1" w:rsidRDefault="009220F9" w:rsidP="009220F9">
      <w:pPr>
        <w:spacing w:after="0"/>
        <w:jc w:val="both"/>
        <w:rPr>
          <w:rFonts w:ascii="Times New Roman" w:hAnsi="Times New Roman" w:cs="Times New Roman"/>
          <w:sz w:val="20"/>
          <w:szCs w:val="20"/>
        </w:rPr>
      </w:pPr>
      <w:r w:rsidRPr="000F36C1">
        <w:rPr>
          <w:rFonts w:ascii="Times New Roman" w:hAnsi="Times New Roman" w:cs="Times New Roman"/>
          <w:sz w:val="20"/>
          <w:szCs w:val="20"/>
        </w:rPr>
        <w:t>Leadership and safety management play a critical role in the successful development and implementation of a safety case for SMRs in Ghana. Strong regulatory frameworks, continuous safety culture improvement, and effective stakeholder engagement are essential components for ensuring the long-term safety and success of the nuclear power program.</w:t>
      </w:r>
      <w:r w:rsidR="00ED38F9">
        <w:rPr>
          <w:rFonts w:ascii="Times New Roman" w:hAnsi="Times New Roman" w:cs="Times New Roman"/>
          <w:sz w:val="20"/>
          <w:szCs w:val="20"/>
        </w:rPr>
        <w:t xml:space="preserve"> </w:t>
      </w:r>
      <w:r w:rsidRPr="000F36C1">
        <w:rPr>
          <w:rFonts w:ascii="Times New Roman" w:hAnsi="Times New Roman" w:cs="Times New Roman"/>
          <w:sz w:val="20"/>
          <w:szCs w:val="20"/>
        </w:rPr>
        <w:t>By addressing these challenges and leveraging the identified opportunities, Ghana can enhance the safety and success of its nuclear power program, thereby contributing to the country's energy security and sustainability. The insights and recommendations provided in this review are instrumental in guiding the development of a robust safety case for SMRs, ultimately supporting Ghana’s nuclear power ambitions.</w:t>
      </w:r>
    </w:p>
    <w:p w14:paraId="7E8D488A" w14:textId="77777777" w:rsidR="009220F9" w:rsidRPr="000A2AE5" w:rsidRDefault="009220F9" w:rsidP="009220F9">
      <w:pPr>
        <w:spacing w:after="0"/>
        <w:jc w:val="both"/>
        <w:rPr>
          <w:rFonts w:ascii="Times New Roman" w:hAnsi="Times New Roman" w:cs="Times New Roman"/>
          <w:sz w:val="24"/>
          <w:szCs w:val="24"/>
        </w:rPr>
      </w:pPr>
    </w:p>
    <w:p w14:paraId="4518C49B" w14:textId="3F016979" w:rsidR="00066C56" w:rsidRPr="009464C0" w:rsidRDefault="005813B9" w:rsidP="002B77F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7.0 </w:t>
      </w:r>
      <w:r w:rsidR="00492243" w:rsidRPr="009464C0">
        <w:rPr>
          <w:rFonts w:ascii="Times New Roman" w:hAnsi="Times New Roman" w:cs="Times New Roman"/>
          <w:b/>
          <w:bCs/>
          <w:sz w:val="20"/>
          <w:szCs w:val="20"/>
        </w:rPr>
        <w:t>REFERENCES</w:t>
      </w:r>
    </w:p>
    <w:p w14:paraId="7101CA1D" w14:textId="5BBE63B5" w:rsidR="00157187" w:rsidRPr="00157187" w:rsidRDefault="009C1798" w:rsidP="00157187">
      <w:pPr>
        <w:widowControl w:val="0"/>
        <w:autoSpaceDE w:val="0"/>
        <w:autoSpaceDN w:val="0"/>
        <w:adjustRightInd w:val="0"/>
        <w:spacing w:after="0" w:line="240" w:lineRule="auto"/>
        <w:ind w:left="640" w:hanging="640"/>
        <w:rPr>
          <w:rFonts w:ascii="Times New Roman" w:hAnsi="Times New Roman" w:cs="Times New Roman"/>
          <w:noProof/>
          <w:sz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 xml:space="preserve">ADDIN Mendeley Bibliography CSL_BIBLIOGRAPHY </w:instrText>
      </w:r>
      <w:r>
        <w:rPr>
          <w:rFonts w:ascii="Times New Roman" w:hAnsi="Times New Roman" w:cs="Times New Roman"/>
          <w:sz w:val="18"/>
          <w:szCs w:val="18"/>
        </w:rPr>
        <w:fldChar w:fldCharType="separate"/>
      </w:r>
      <w:r w:rsidR="00157187" w:rsidRPr="00157187">
        <w:rPr>
          <w:rFonts w:ascii="Times New Roman" w:hAnsi="Times New Roman" w:cs="Times New Roman"/>
          <w:noProof/>
          <w:sz w:val="18"/>
        </w:rPr>
        <w:t>[1]</w:t>
      </w:r>
      <w:r w:rsidR="00157187" w:rsidRPr="00157187">
        <w:rPr>
          <w:rFonts w:ascii="Times New Roman" w:hAnsi="Times New Roman" w:cs="Times New Roman"/>
          <w:noProof/>
          <w:sz w:val="18"/>
        </w:rPr>
        <w:tab/>
        <w:t xml:space="preserve">S. Amoako, “The mitigating role of financial development on renewable energy in Ghana,” </w:t>
      </w:r>
      <w:r w:rsidR="00157187" w:rsidRPr="00157187">
        <w:rPr>
          <w:rFonts w:ascii="Times New Roman" w:hAnsi="Times New Roman" w:cs="Times New Roman"/>
          <w:i/>
          <w:iCs/>
          <w:noProof/>
          <w:sz w:val="18"/>
        </w:rPr>
        <w:t>World Dev. Sustain.</w:t>
      </w:r>
      <w:r w:rsidR="00157187" w:rsidRPr="00157187">
        <w:rPr>
          <w:rFonts w:ascii="Times New Roman" w:hAnsi="Times New Roman" w:cs="Times New Roman"/>
          <w:noProof/>
          <w:sz w:val="18"/>
        </w:rPr>
        <w:t>, vol. 4, no. April, p. 100145, 2024, doi: 10.1016/j.wds.2024.100145.</w:t>
      </w:r>
    </w:p>
    <w:p w14:paraId="6CB3B797"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w:t>
      </w:r>
      <w:r w:rsidRPr="00157187">
        <w:rPr>
          <w:rFonts w:ascii="Times New Roman" w:hAnsi="Times New Roman" w:cs="Times New Roman"/>
          <w:noProof/>
          <w:sz w:val="18"/>
        </w:rPr>
        <w:tab/>
        <w:t xml:space="preserve">E. F. Oteng-Abayie, J. B. Dramani, F. Adusah-Poku, K. Amanor, and J. D. Quartey, “Decomposition and drivers of energy intensity in Ghana,” </w:t>
      </w:r>
      <w:r w:rsidRPr="00157187">
        <w:rPr>
          <w:rFonts w:ascii="Times New Roman" w:hAnsi="Times New Roman" w:cs="Times New Roman"/>
          <w:i/>
          <w:iCs/>
          <w:noProof/>
          <w:sz w:val="18"/>
        </w:rPr>
        <w:t>Energy Strateg. Rev.</w:t>
      </w:r>
      <w:r w:rsidRPr="00157187">
        <w:rPr>
          <w:rFonts w:ascii="Times New Roman" w:hAnsi="Times New Roman" w:cs="Times New Roman"/>
          <w:noProof/>
          <w:sz w:val="18"/>
        </w:rPr>
        <w:t>, vol. 47, 2023, doi: 10.1016/j.esr.2023.101090.</w:t>
      </w:r>
    </w:p>
    <w:p w14:paraId="4596FBD7"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[3]</w:t>
      </w:r>
      <w:r w:rsidRPr="00157187">
        <w:rPr>
          <w:rFonts w:ascii="Times New Roman" w:hAnsi="Times New Roman" w:cs="Times New Roman"/>
          <w:noProof/>
          <w:sz w:val="18"/>
        </w:rPr>
        <w:tab/>
        <w:t xml:space="preserve">S. Amoako and M. Insaidoo, “Symmetric impact of FDI on energy consumption: Evidence from Ghana,” </w:t>
      </w:r>
      <w:r w:rsidRPr="00157187">
        <w:rPr>
          <w:rFonts w:ascii="Times New Roman" w:hAnsi="Times New Roman" w:cs="Times New Roman"/>
          <w:i/>
          <w:iCs/>
          <w:noProof/>
          <w:sz w:val="18"/>
        </w:rPr>
        <w:t>Energy</w:t>
      </w:r>
      <w:r w:rsidRPr="00157187">
        <w:rPr>
          <w:rFonts w:ascii="Times New Roman" w:hAnsi="Times New Roman" w:cs="Times New Roman"/>
          <w:noProof/>
          <w:sz w:val="18"/>
        </w:rPr>
        <w:t>, vol. 223, 2021, doi: 10.1016/j.energy.2021.120005.</w:t>
      </w:r>
    </w:p>
    <w:p w14:paraId="4C4834CE"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[4]</w:t>
      </w:r>
      <w:r w:rsidRPr="00157187">
        <w:rPr>
          <w:rFonts w:ascii="Times New Roman" w:hAnsi="Times New Roman" w:cs="Times New Roman"/>
          <w:noProof/>
          <w:sz w:val="18"/>
        </w:rPr>
        <w:tab/>
        <w:t xml:space="preserve">S. M. Bragg-Sitton, “Hybrid energy systems using small modular nuclear reactors (SMRs),” in </w:t>
      </w:r>
      <w:r w:rsidRPr="00157187">
        <w:rPr>
          <w:rFonts w:ascii="Times New Roman" w:hAnsi="Times New Roman" w:cs="Times New Roman"/>
          <w:i/>
          <w:iCs/>
          <w:noProof/>
          <w:sz w:val="18"/>
        </w:rPr>
        <w:t>Handbook of Small Modular Nuclear Reactors</w:t>
      </w:r>
      <w:r w:rsidRPr="00157187">
        <w:rPr>
          <w:rFonts w:ascii="Times New Roman" w:hAnsi="Times New Roman" w:cs="Times New Roman"/>
          <w:noProof/>
          <w:sz w:val="18"/>
        </w:rPr>
        <w:t>, Elsevier, 2021, pp. 323–356. doi: 10.1016/B978-0-12-823916-2.00013-8.</w:t>
      </w:r>
    </w:p>
    <w:p w14:paraId="091EAA8A"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[5]</w:t>
      </w:r>
      <w:r w:rsidRPr="00157187">
        <w:rPr>
          <w:rFonts w:ascii="Times New Roman" w:hAnsi="Times New Roman" w:cs="Times New Roman"/>
          <w:noProof/>
          <w:sz w:val="18"/>
        </w:rPr>
        <w:tab/>
        <w:t xml:space="preserve">S. Outlook, </w:t>
      </w:r>
      <w:r w:rsidRPr="00157187">
        <w:rPr>
          <w:rFonts w:ascii="Times New Roman" w:hAnsi="Times New Roman" w:cs="Times New Roman"/>
          <w:i/>
          <w:iCs/>
          <w:noProof/>
          <w:sz w:val="18"/>
        </w:rPr>
        <w:t>2023 Energy outlook for ghana</w:t>
      </w:r>
      <w:r w:rsidRPr="00157187">
        <w:rPr>
          <w:rFonts w:ascii="Times New Roman" w:hAnsi="Times New Roman" w:cs="Times New Roman"/>
          <w:noProof/>
          <w:sz w:val="18"/>
        </w:rPr>
        <w:t>, no. April. 2023.</w:t>
      </w:r>
    </w:p>
    <w:p w14:paraId="78813297"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[6]</w:t>
      </w:r>
      <w:r w:rsidRPr="00157187">
        <w:rPr>
          <w:rFonts w:ascii="Times New Roman" w:hAnsi="Times New Roman" w:cs="Times New Roman"/>
          <w:noProof/>
          <w:sz w:val="18"/>
        </w:rPr>
        <w:tab/>
        <w:t xml:space="preserve">V. Nian, A. Ghori, E. M. Guerra, G. Locatelli, and P. Murphy, “Accelerating safe small modular reactor development in Southeast Asia,” </w:t>
      </w:r>
      <w:r w:rsidRPr="00157187">
        <w:rPr>
          <w:rFonts w:ascii="Times New Roman" w:hAnsi="Times New Roman" w:cs="Times New Roman"/>
          <w:i/>
          <w:iCs/>
          <w:noProof/>
          <w:sz w:val="18"/>
        </w:rPr>
        <w:t>Util. Policy</w:t>
      </w:r>
      <w:r w:rsidRPr="00157187">
        <w:rPr>
          <w:rFonts w:ascii="Times New Roman" w:hAnsi="Times New Roman" w:cs="Times New Roman"/>
          <w:noProof/>
          <w:sz w:val="18"/>
        </w:rPr>
        <w:t>, vol. 74, 2022, doi: 10.1016/j.jup.2021.101330.</w:t>
      </w:r>
    </w:p>
    <w:p w14:paraId="0F7ECF7B"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[7]</w:t>
      </w:r>
      <w:r w:rsidRPr="00157187">
        <w:rPr>
          <w:rFonts w:ascii="Times New Roman" w:hAnsi="Times New Roman" w:cs="Times New Roman"/>
          <w:noProof/>
          <w:sz w:val="18"/>
        </w:rPr>
        <w:tab/>
        <w:t xml:space="preserve">M. Sadiq, R. Shinwari, F. Wen, M. Usman, S. T. Hassan, and F. Taghizadeh-Hesary, “Do globalization and nuclear energy intensify the environmental costs in top nuclear energy-consuming countries?,” </w:t>
      </w:r>
      <w:r w:rsidRPr="00157187">
        <w:rPr>
          <w:rFonts w:ascii="Times New Roman" w:hAnsi="Times New Roman" w:cs="Times New Roman"/>
          <w:i/>
          <w:iCs/>
          <w:noProof/>
          <w:sz w:val="18"/>
        </w:rPr>
        <w:t>Prog. Nucl. Energy</w:t>
      </w:r>
      <w:r w:rsidRPr="00157187">
        <w:rPr>
          <w:rFonts w:ascii="Times New Roman" w:hAnsi="Times New Roman" w:cs="Times New Roman"/>
          <w:noProof/>
          <w:sz w:val="18"/>
        </w:rPr>
        <w:t>, vol. 156, 2023, doi: 10.1016/j.pnucene.2022.104533.</w:t>
      </w:r>
    </w:p>
    <w:p w14:paraId="0EEA68A5"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[8]</w:t>
      </w:r>
      <w:r w:rsidRPr="00157187">
        <w:rPr>
          <w:rFonts w:ascii="Times New Roman" w:hAnsi="Times New Roman" w:cs="Times New Roman"/>
          <w:noProof/>
          <w:sz w:val="18"/>
        </w:rPr>
        <w:tab/>
        <w:t>IAEA, “INTERNATIONAL ATOMIC ENERGY AGENCY, Climate Change and Nuclear Power 2020,” 2020.</w:t>
      </w:r>
    </w:p>
    <w:p w14:paraId="51BD35F1"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[9]</w:t>
      </w:r>
      <w:r w:rsidRPr="00157187">
        <w:rPr>
          <w:rFonts w:ascii="Times New Roman" w:hAnsi="Times New Roman" w:cs="Times New Roman"/>
          <w:noProof/>
          <w:sz w:val="18"/>
        </w:rPr>
        <w:tab/>
        <w:t xml:space="preserve">R. Sam, T. Sainati, B. Hanson, and R. Kay, “Licensing small modular reactors: A state-of-the-art review of the challenges and barriers,” </w:t>
      </w:r>
      <w:r w:rsidRPr="00157187">
        <w:rPr>
          <w:rFonts w:ascii="Times New Roman" w:hAnsi="Times New Roman" w:cs="Times New Roman"/>
          <w:i/>
          <w:iCs/>
          <w:noProof/>
          <w:sz w:val="18"/>
        </w:rPr>
        <w:t>Prog. Nucl. Energy</w:t>
      </w:r>
      <w:r w:rsidRPr="00157187">
        <w:rPr>
          <w:rFonts w:ascii="Times New Roman" w:hAnsi="Times New Roman" w:cs="Times New Roman"/>
          <w:noProof/>
          <w:sz w:val="18"/>
        </w:rPr>
        <w:t>, vol. 164, no. May, p. 104859, 2023, doi: 10.1016/j.pnucene.2023.104859.</w:t>
      </w:r>
    </w:p>
    <w:p w14:paraId="62CB3AA3"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[10]</w:t>
      </w:r>
      <w:r w:rsidRPr="00157187">
        <w:rPr>
          <w:rFonts w:ascii="Times New Roman" w:hAnsi="Times New Roman" w:cs="Times New Roman"/>
          <w:noProof/>
          <w:sz w:val="18"/>
        </w:rPr>
        <w:tab/>
        <w:t xml:space="preserve">M. V. Ramana, L. B. Hopkins, and A. Glaser, “Licensing small modular reactors,” </w:t>
      </w:r>
      <w:r w:rsidRPr="00157187">
        <w:rPr>
          <w:rFonts w:ascii="Times New Roman" w:hAnsi="Times New Roman" w:cs="Times New Roman"/>
          <w:i/>
          <w:iCs/>
          <w:noProof/>
          <w:sz w:val="18"/>
        </w:rPr>
        <w:t>Energy</w:t>
      </w:r>
      <w:r w:rsidRPr="00157187">
        <w:rPr>
          <w:rFonts w:ascii="Times New Roman" w:hAnsi="Times New Roman" w:cs="Times New Roman"/>
          <w:noProof/>
          <w:sz w:val="18"/>
        </w:rPr>
        <w:t>, vol. 61, 2013, doi: 10.1016/j.energy.2013.09.010.</w:t>
      </w:r>
    </w:p>
    <w:p w14:paraId="2995621F"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[11]</w:t>
      </w:r>
      <w:r w:rsidRPr="00157187">
        <w:rPr>
          <w:rFonts w:ascii="Times New Roman" w:hAnsi="Times New Roman" w:cs="Times New Roman"/>
          <w:noProof/>
          <w:sz w:val="18"/>
        </w:rPr>
        <w:tab/>
        <w:t>WNA, “Small Nuclear Power Reactors: World Nuclear Association,” www.world-nuclear.org webpage.</w:t>
      </w:r>
    </w:p>
    <w:p w14:paraId="62E2101C"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[12]</w:t>
      </w:r>
      <w:r w:rsidRPr="00157187">
        <w:rPr>
          <w:rFonts w:ascii="Times New Roman" w:hAnsi="Times New Roman" w:cs="Times New Roman"/>
          <w:noProof/>
          <w:sz w:val="18"/>
        </w:rPr>
        <w:tab/>
        <w:t xml:space="preserve">A. Abdulla, I. L. Azevedo, and M. G. Morgan, “Expert assessments of the cost of light water small modular reactors,” </w:t>
      </w:r>
      <w:r w:rsidRPr="00157187">
        <w:rPr>
          <w:rFonts w:ascii="Times New Roman" w:hAnsi="Times New Roman" w:cs="Times New Roman"/>
          <w:i/>
          <w:iCs/>
          <w:noProof/>
          <w:sz w:val="18"/>
        </w:rPr>
        <w:t>Proc. Natl. Acad. Sci. U. S. A.</w:t>
      </w:r>
      <w:r w:rsidRPr="00157187">
        <w:rPr>
          <w:rFonts w:ascii="Times New Roman" w:hAnsi="Times New Roman" w:cs="Times New Roman"/>
          <w:noProof/>
          <w:sz w:val="18"/>
        </w:rPr>
        <w:t>, vol. 110, no. 24, 2013, doi: 10.1073/pnas.1300195110.</w:t>
      </w:r>
    </w:p>
    <w:p w14:paraId="1590DBA4"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[13]</w:t>
      </w:r>
      <w:r w:rsidRPr="00157187">
        <w:rPr>
          <w:rFonts w:ascii="Times New Roman" w:hAnsi="Times New Roman" w:cs="Times New Roman"/>
          <w:noProof/>
          <w:sz w:val="18"/>
        </w:rPr>
        <w:tab/>
        <w:t xml:space="preserve">A. Gilbert, B. K. Sovacool, P. Johnstone, and A. Stirling, “Cost overruns and financial risk in the construction of nuclear power reactors: A critical appraisal,” </w:t>
      </w:r>
      <w:r w:rsidRPr="00157187">
        <w:rPr>
          <w:rFonts w:ascii="Times New Roman" w:hAnsi="Times New Roman" w:cs="Times New Roman"/>
          <w:i/>
          <w:iCs/>
          <w:noProof/>
          <w:sz w:val="18"/>
        </w:rPr>
        <w:t>Energy Policy</w:t>
      </w:r>
      <w:r w:rsidRPr="00157187">
        <w:rPr>
          <w:rFonts w:ascii="Times New Roman" w:hAnsi="Times New Roman" w:cs="Times New Roman"/>
          <w:noProof/>
          <w:sz w:val="18"/>
        </w:rPr>
        <w:t>, vol. 102, pp. 644–649, Mar. 2017, doi: 10.1016/J.ENPOL.2016.04.001.</w:t>
      </w:r>
    </w:p>
    <w:p w14:paraId="7146D168"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[14]</w:t>
      </w:r>
      <w:r w:rsidRPr="00157187">
        <w:rPr>
          <w:rFonts w:ascii="Times New Roman" w:hAnsi="Times New Roman" w:cs="Times New Roman"/>
          <w:noProof/>
          <w:sz w:val="18"/>
        </w:rPr>
        <w:tab/>
        <w:t xml:space="preserve">W. Bodel, G. Butler, and J. Matthews, “Nuclear Energy for a Net Zero World,” </w:t>
      </w:r>
      <w:r w:rsidRPr="00157187">
        <w:rPr>
          <w:rFonts w:ascii="Times New Roman" w:hAnsi="Times New Roman" w:cs="Times New Roman"/>
          <w:i/>
          <w:iCs/>
          <w:noProof/>
          <w:sz w:val="18"/>
        </w:rPr>
        <w:t>Iaea</w:t>
      </w:r>
      <w:r w:rsidRPr="00157187">
        <w:rPr>
          <w:rFonts w:ascii="Times New Roman" w:hAnsi="Times New Roman" w:cs="Times New Roman"/>
          <w:noProof/>
          <w:sz w:val="18"/>
        </w:rPr>
        <w:t>, no. June, 2021.</w:t>
      </w:r>
    </w:p>
    <w:p w14:paraId="44DC70C7"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[15]</w:t>
      </w:r>
      <w:r w:rsidRPr="00157187">
        <w:rPr>
          <w:rFonts w:ascii="Times New Roman" w:hAnsi="Times New Roman" w:cs="Times New Roman"/>
          <w:noProof/>
          <w:sz w:val="18"/>
        </w:rPr>
        <w:tab/>
        <w:t xml:space="preserve">IAEA, </w:t>
      </w:r>
      <w:r w:rsidRPr="00157187">
        <w:rPr>
          <w:rFonts w:ascii="Times New Roman" w:hAnsi="Times New Roman" w:cs="Times New Roman"/>
          <w:i/>
          <w:iCs/>
          <w:noProof/>
          <w:sz w:val="18"/>
        </w:rPr>
        <w:t>International safety standards No. SF-1</w:t>
      </w:r>
      <w:r w:rsidRPr="00157187">
        <w:rPr>
          <w:rFonts w:ascii="Times New Roman" w:hAnsi="Times New Roman" w:cs="Times New Roman"/>
          <w:noProof/>
          <w:sz w:val="18"/>
        </w:rPr>
        <w:t>, vol. 2. 2011. doi: 10.1007/978-94-007-0247-9_1.</w:t>
      </w:r>
    </w:p>
    <w:p w14:paraId="57DF4EA5"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lastRenderedPageBreak/>
        <w:t>[16]</w:t>
      </w:r>
      <w:r w:rsidRPr="00157187">
        <w:rPr>
          <w:rFonts w:ascii="Times New Roman" w:hAnsi="Times New Roman" w:cs="Times New Roman"/>
          <w:noProof/>
          <w:sz w:val="18"/>
        </w:rPr>
        <w:tab/>
        <w:t xml:space="preserve">W. Gong, “International law obligations for the disposal of Fukushima nuclear-contaminated water under the principles of nuclear safety,” </w:t>
      </w:r>
      <w:r w:rsidRPr="00157187">
        <w:rPr>
          <w:rFonts w:ascii="Times New Roman" w:hAnsi="Times New Roman" w:cs="Times New Roman"/>
          <w:i/>
          <w:iCs/>
          <w:noProof/>
          <w:sz w:val="18"/>
        </w:rPr>
        <w:t>Chinese J. Popul. Resour. Environ.</w:t>
      </w:r>
      <w:r w:rsidRPr="00157187">
        <w:rPr>
          <w:rFonts w:ascii="Times New Roman" w:hAnsi="Times New Roman" w:cs="Times New Roman"/>
          <w:noProof/>
          <w:sz w:val="18"/>
        </w:rPr>
        <w:t>, vol. 22, no. 1, pp. 10–19, 2024, doi: 10.1016/j.cjpre.2024.03.002.</w:t>
      </w:r>
    </w:p>
    <w:p w14:paraId="2CD8ED4E"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[17]</w:t>
      </w:r>
      <w:r w:rsidRPr="00157187">
        <w:rPr>
          <w:rFonts w:ascii="Times New Roman" w:hAnsi="Times New Roman" w:cs="Times New Roman"/>
          <w:noProof/>
          <w:sz w:val="18"/>
        </w:rPr>
        <w:tab/>
        <w:t>T. Sainati, G. Locatelli, and N. Brookes, “Small Modular Reactors: Licensing constraints and the way forward,” 2015. doi: 10.1016/j.energy.2014.12.079.</w:t>
      </w:r>
    </w:p>
    <w:p w14:paraId="19148941"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[18]</w:t>
      </w:r>
      <w:r w:rsidRPr="00157187">
        <w:rPr>
          <w:rFonts w:ascii="Times New Roman" w:hAnsi="Times New Roman" w:cs="Times New Roman"/>
          <w:noProof/>
          <w:sz w:val="18"/>
        </w:rPr>
        <w:tab/>
        <w:t xml:space="preserve">T. S. Carless, S. M. Talabi, and P. S. Fischbeck, “Risk and regulatory considerations for small modular reactor emergency planning zones based on passive decontamination potential,” </w:t>
      </w:r>
      <w:r w:rsidRPr="00157187">
        <w:rPr>
          <w:rFonts w:ascii="Times New Roman" w:hAnsi="Times New Roman" w:cs="Times New Roman"/>
          <w:i/>
          <w:iCs/>
          <w:noProof/>
          <w:sz w:val="18"/>
        </w:rPr>
        <w:t>Energy</w:t>
      </w:r>
      <w:r w:rsidRPr="00157187">
        <w:rPr>
          <w:rFonts w:ascii="Times New Roman" w:hAnsi="Times New Roman" w:cs="Times New Roman"/>
          <w:noProof/>
          <w:sz w:val="18"/>
        </w:rPr>
        <w:t>, vol. 167, 2019, doi: 10.1016/j.energy.2018.10.173.</w:t>
      </w:r>
    </w:p>
    <w:p w14:paraId="43E233C4"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[19]</w:t>
      </w:r>
      <w:r w:rsidRPr="00157187">
        <w:rPr>
          <w:rFonts w:ascii="Times New Roman" w:hAnsi="Times New Roman" w:cs="Times New Roman"/>
          <w:noProof/>
          <w:sz w:val="18"/>
        </w:rPr>
        <w:tab/>
        <w:t>IAEA, “SMR Regulators’ Forum Pilot Project Report: Considering the Application of a Graded Approach, Defence-in-Depth and Emergency Planning Zone Size for Small Modular Reactors,” no. January, p. 158, 2018, [Online]. Available: https://www.iaea.org/sites/default/files/18/01/smr-rf-report-29012018.pdf</w:t>
      </w:r>
    </w:p>
    <w:p w14:paraId="57E8C609"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[20]</w:t>
      </w:r>
      <w:r w:rsidRPr="00157187">
        <w:rPr>
          <w:rFonts w:ascii="Times New Roman" w:hAnsi="Times New Roman" w:cs="Times New Roman"/>
          <w:noProof/>
          <w:sz w:val="18"/>
        </w:rPr>
        <w:tab/>
        <w:t xml:space="preserve">H. Hidayatullah, S. Susyadi, and M. H. Subki, “Design and technology development for small modular reactors - Safety expectations, prospects and impediments of their deployment,” </w:t>
      </w:r>
      <w:r w:rsidRPr="00157187">
        <w:rPr>
          <w:rFonts w:ascii="Times New Roman" w:hAnsi="Times New Roman" w:cs="Times New Roman"/>
          <w:i/>
          <w:iCs/>
          <w:noProof/>
          <w:sz w:val="18"/>
        </w:rPr>
        <w:t>Prog. Nucl. Energy</w:t>
      </w:r>
      <w:r w:rsidRPr="00157187">
        <w:rPr>
          <w:rFonts w:ascii="Times New Roman" w:hAnsi="Times New Roman" w:cs="Times New Roman"/>
          <w:noProof/>
          <w:sz w:val="18"/>
        </w:rPr>
        <w:t>, vol. 79, 2015, doi: 10.1016/j.pnucene.2014.11.010.</w:t>
      </w:r>
    </w:p>
    <w:p w14:paraId="18022D53"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[21]</w:t>
      </w:r>
      <w:r w:rsidRPr="00157187">
        <w:rPr>
          <w:rFonts w:ascii="Times New Roman" w:hAnsi="Times New Roman" w:cs="Times New Roman"/>
          <w:noProof/>
          <w:sz w:val="18"/>
        </w:rPr>
        <w:tab/>
        <w:t xml:space="preserve">G. E. Apostolakis and M. V. Bonaca, “Issues Related To Safety Culture,” </w:t>
      </w:r>
      <w:r w:rsidRPr="00157187">
        <w:rPr>
          <w:rFonts w:ascii="Times New Roman" w:hAnsi="Times New Roman" w:cs="Times New Roman"/>
          <w:i/>
          <w:iCs/>
          <w:noProof/>
          <w:sz w:val="18"/>
        </w:rPr>
        <w:t>Probabilistic Saf. Assess. Manag.</w:t>
      </w:r>
      <w:r w:rsidRPr="00157187">
        <w:rPr>
          <w:rFonts w:ascii="Times New Roman" w:hAnsi="Times New Roman" w:cs="Times New Roman"/>
          <w:noProof/>
          <w:sz w:val="18"/>
        </w:rPr>
        <w:t>, pp. 863–868, 2004, doi: 10.1007/978-0-85729-410-4_140.</w:t>
      </w:r>
    </w:p>
    <w:p w14:paraId="26918BC4"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[22]</w:t>
      </w:r>
      <w:r w:rsidRPr="00157187">
        <w:rPr>
          <w:rFonts w:ascii="Times New Roman" w:hAnsi="Times New Roman" w:cs="Times New Roman"/>
          <w:noProof/>
          <w:sz w:val="18"/>
        </w:rPr>
        <w:tab/>
        <w:t xml:space="preserve">K. Dimitrov, “Edgar schein’s model of organizational culture levels as a hologram,” </w:t>
      </w:r>
      <w:r w:rsidRPr="00157187">
        <w:rPr>
          <w:rFonts w:ascii="Times New Roman" w:hAnsi="Times New Roman" w:cs="Times New Roman"/>
          <w:i/>
          <w:iCs/>
          <w:noProof/>
          <w:sz w:val="18"/>
        </w:rPr>
        <w:t>Ikon. Izsled.</w:t>
      </w:r>
      <w:r w:rsidRPr="00157187">
        <w:rPr>
          <w:rFonts w:ascii="Times New Roman" w:hAnsi="Times New Roman" w:cs="Times New Roman"/>
          <w:noProof/>
          <w:sz w:val="18"/>
        </w:rPr>
        <w:t>, vol. 22, no. 4, 2013.</w:t>
      </w:r>
    </w:p>
    <w:p w14:paraId="38ABA409"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[23]</w:t>
      </w:r>
      <w:r w:rsidRPr="00157187">
        <w:rPr>
          <w:rFonts w:ascii="Times New Roman" w:hAnsi="Times New Roman" w:cs="Times New Roman"/>
          <w:noProof/>
          <w:sz w:val="18"/>
        </w:rPr>
        <w:tab/>
        <w:t xml:space="preserve">E. Schein, “Organizational Culture and Leadership Organizational Culture and Leadership,” </w:t>
      </w:r>
      <w:r w:rsidRPr="00157187">
        <w:rPr>
          <w:rFonts w:ascii="Times New Roman" w:hAnsi="Times New Roman" w:cs="Times New Roman"/>
          <w:i/>
          <w:iCs/>
          <w:noProof/>
          <w:sz w:val="18"/>
        </w:rPr>
        <w:t>Culture</w:t>
      </w:r>
      <w:r w:rsidRPr="00157187">
        <w:rPr>
          <w:rFonts w:ascii="Times New Roman" w:hAnsi="Times New Roman" w:cs="Times New Roman"/>
          <w:noProof/>
          <w:sz w:val="18"/>
        </w:rPr>
        <w:t>, no. Idd, 2019.</w:t>
      </w:r>
    </w:p>
    <w:p w14:paraId="2BC0D233"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[24]</w:t>
      </w:r>
      <w:r w:rsidRPr="00157187">
        <w:rPr>
          <w:rFonts w:ascii="Times New Roman" w:hAnsi="Times New Roman" w:cs="Times New Roman"/>
          <w:noProof/>
          <w:sz w:val="18"/>
        </w:rPr>
        <w:tab/>
        <w:t xml:space="preserve">E. M. A. Hussein, “Emerging small modular nuclear power reactors: A critical review,” </w:t>
      </w:r>
      <w:r w:rsidRPr="00157187">
        <w:rPr>
          <w:rFonts w:ascii="Times New Roman" w:hAnsi="Times New Roman" w:cs="Times New Roman"/>
          <w:i/>
          <w:iCs/>
          <w:noProof/>
          <w:sz w:val="18"/>
        </w:rPr>
        <w:t>Phys. Open</w:t>
      </w:r>
      <w:r w:rsidRPr="00157187">
        <w:rPr>
          <w:rFonts w:ascii="Times New Roman" w:hAnsi="Times New Roman" w:cs="Times New Roman"/>
          <w:noProof/>
          <w:sz w:val="18"/>
        </w:rPr>
        <w:t>, vol. 5, p. 100038, Dec. 2020, doi: 10.1016/j.physo.2020.100038.</w:t>
      </w:r>
    </w:p>
    <w:p w14:paraId="4C5F0349" w14:textId="77777777" w:rsidR="00DB656D" w:rsidRPr="00D14DC7" w:rsidRDefault="00157187" w:rsidP="00DB656D">
      <w:pPr>
        <w:widowControl w:val="0"/>
        <w:autoSpaceDE w:val="0"/>
        <w:autoSpaceDN w:val="0"/>
        <w:adjustRightInd w:val="0"/>
        <w:spacing w:line="240" w:lineRule="auto"/>
        <w:ind w:left="630" w:hanging="630"/>
        <w:rPr>
          <w:rFonts w:ascii="Times New Roman" w:hAnsi="Times New Roman" w:cs="Times New Roman"/>
          <w:noProof/>
          <w:sz w:val="20"/>
          <w:szCs w:val="20"/>
        </w:rPr>
      </w:pPr>
      <w:r w:rsidRPr="00157187">
        <w:rPr>
          <w:rFonts w:ascii="Times New Roman" w:hAnsi="Times New Roman" w:cs="Times New Roman"/>
          <w:noProof/>
          <w:sz w:val="18"/>
        </w:rPr>
        <w:t>[25]</w:t>
      </w:r>
      <w:r w:rsidRPr="00157187">
        <w:rPr>
          <w:rFonts w:ascii="Times New Roman" w:hAnsi="Times New Roman" w:cs="Times New Roman"/>
          <w:noProof/>
          <w:sz w:val="18"/>
        </w:rPr>
        <w:tab/>
      </w:r>
      <w:r w:rsidR="00DB656D" w:rsidRPr="00D14DC7">
        <w:rPr>
          <w:rFonts w:ascii="Times New Roman" w:hAnsi="Times New Roman" w:cs="Times New Roman"/>
          <w:sz w:val="20"/>
          <w:szCs w:val="20"/>
        </w:rPr>
        <w:fldChar w:fldCharType="begin" w:fldLock="1"/>
      </w:r>
      <w:r w:rsidR="00DB656D" w:rsidRPr="00D14DC7">
        <w:rPr>
          <w:rFonts w:ascii="Times New Roman" w:hAnsi="Times New Roman" w:cs="Times New Roman"/>
          <w:sz w:val="20"/>
          <w:szCs w:val="20"/>
        </w:rPr>
        <w:instrText xml:space="preserve">ADDIN Mendeley Bibliography CSL_BIBLIOGRAPHY </w:instrText>
      </w:r>
      <w:r w:rsidR="00DB656D" w:rsidRPr="00D14DC7">
        <w:rPr>
          <w:rFonts w:ascii="Times New Roman" w:hAnsi="Times New Roman" w:cs="Times New Roman"/>
          <w:sz w:val="20"/>
          <w:szCs w:val="20"/>
        </w:rPr>
        <w:fldChar w:fldCharType="separate"/>
      </w:r>
      <w:r w:rsidR="00DB656D" w:rsidRPr="00D14DC7">
        <w:rPr>
          <w:rFonts w:ascii="Times New Roman" w:hAnsi="Times New Roman" w:cs="Times New Roman"/>
          <w:noProof/>
          <w:sz w:val="20"/>
          <w:szCs w:val="20"/>
        </w:rPr>
        <w:t xml:space="preserve">IAEA. (2022). Safety of nuclear power plants: Design. </w:t>
      </w:r>
      <w:r w:rsidR="00DB656D" w:rsidRPr="00D14DC7">
        <w:rPr>
          <w:rFonts w:ascii="Times New Roman" w:hAnsi="Times New Roman" w:cs="Times New Roman"/>
          <w:i/>
          <w:iCs/>
          <w:noProof/>
          <w:sz w:val="20"/>
          <w:szCs w:val="20"/>
        </w:rPr>
        <w:t>IAEA’s SSR-2/1 Rev. 1</w:t>
      </w:r>
      <w:r w:rsidR="00DB656D" w:rsidRPr="00D14DC7">
        <w:rPr>
          <w:rFonts w:ascii="Times New Roman" w:hAnsi="Times New Roman" w:cs="Times New Roman"/>
          <w:noProof/>
          <w:sz w:val="20"/>
          <w:szCs w:val="20"/>
        </w:rPr>
        <w:t xml:space="preserve">, </w:t>
      </w:r>
      <w:r w:rsidR="00DB656D" w:rsidRPr="00D14DC7">
        <w:rPr>
          <w:rFonts w:ascii="Times New Roman" w:hAnsi="Times New Roman" w:cs="Times New Roman"/>
          <w:i/>
          <w:iCs/>
          <w:noProof/>
          <w:sz w:val="20"/>
          <w:szCs w:val="20"/>
        </w:rPr>
        <w:t>67</w:t>
      </w:r>
      <w:r w:rsidR="00DB656D" w:rsidRPr="00D14DC7">
        <w:rPr>
          <w:rFonts w:ascii="Times New Roman" w:hAnsi="Times New Roman" w:cs="Times New Roman"/>
          <w:noProof/>
          <w:sz w:val="20"/>
          <w:szCs w:val="20"/>
        </w:rPr>
        <w:t>(1), 17–17. https://doi.org/10.1515/kern-2002-0007</w:t>
      </w:r>
    </w:p>
    <w:p w14:paraId="5DC9C5AD" w14:textId="532F5C3B" w:rsidR="00157187" w:rsidRPr="00157187" w:rsidRDefault="00DB656D" w:rsidP="00DB656D">
      <w:pPr>
        <w:widowControl w:val="0"/>
        <w:autoSpaceDE w:val="0"/>
        <w:autoSpaceDN w:val="0"/>
        <w:adjustRightInd w:val="0"/>
        <w:spacing w:after="0" w:line="240" w:lineRule="auto"/>
        <w:ind w:left="640" w:hanging="640"/>
        <w:rPr>
          <w:rFonts w:ascii="Times New Roman" w:hAnsi="Times New Roman" w:cs="Times New Roman"/>
          <w:noProof/>
          <w:sz w:val="18"/>
        </w:rPr>
      </w:pPr>
      <w:r w:rsidRPr="00D14DC7">
        <w:rPr>
          <w:rFonts w:ascii="Times New Roman" w:hAnsi="Times New Roman" w:cs="Times New Roman"/>
          <w:sz w:val="20"/>
          <w:szCs w:val="20"/>
        </w:rPr>
        <w:fldChar w:fldCharType="end"/>
      </w:r>
      <w:r w:rsidRPr="00157187">
        <w:rPr>
          <w:rFonts w:ascii="Times New Roman" w:hAnsi="Times New Roman" w:cs="Times New Roman"/>
          <w:noProof/>
          <w:sz w:val="18"/>
        </w:rPr>
        <w:t xml:space="preserve"> </w:t>
      </w:r>
      <w:r w:rsidR="00157187" w:rsidRPr="00157187">
        <w:rPr>
          <w:rFonts w:ascii="Times New Roman" w:hAnsi="Times New Roman" w:cs="Times New Roman"/>
          <w:noProof/>
          <w:sz w:val="18"/>
        </w:rPr>
        <w:t>[26]</w:t>
      </w:r>
      <w:r w:rsidR="00157187" w:rsidRPr="00157187">
        <w:rPr>
          <w:rFonts w:ascii="Times New Roman" w:hAnsi="Times New Roman" w:cs="Times New Roman"/>
          <w:noProof/>
          <w:sz w:val="18"/>
        </w:rPr>
        <w:tab/>
        <w:t>International Atomic Energy Agency, “Small Modular Reactors Regulators’ Forum: Working Group on Design and Safety Analysis (Phase 2 Report),” no. June, 2021.</w:t>
      </w:r>
    </w:p>
    <w:p w14:paraId="20B15D29"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[27]</w:t>
      </w:r>
      <w:r w:rsidRPr="00157187">
        <w:rPr>
          <w:rFonts w:ascii="Times New Roman" w:hAnsi="Times New Roman" w:cs="Times New Roman"/>
          <w:noProof/>
          <w:sz w:val="18"/>
        </w:rPr>
        <w:tab/>
        <w:t xml:space="preserve">IAEA, </w:t>
      </w:r>
      <w:r w:rsidRPr="00157187">
        <w:rPr>
          <w:rFonts w:ascii="Times New Roman" w:hAnsi="Times New Roman" w:cs="Times New Roman"/>
          <w:i/>
          <w:iCs/>
          <w:noProof/>
          <w:sz w:val="18"/>
        </w:rPr>
        <w:t>IAEA Safety Standards for protecting people and the environment Specific Safety Guide No. SSG-88 Design Extension Conditions and the Concept of Practical Elimination in the Design of Nuclear Power Plants</w:t>
      </w:r>
      <w:r w:rsidRPr="00157187">
        <w:rPr>
          <w:rFonts w:ascii="Times New Roman" w:hAnsi="Times New Roman" w:cs="Times New Roman"/>
          <w:noProof/>
          <w:sz w:val="18"/>
        </w:rPr>
        <w:t>. Vienna, 2024. [Online]. Available: https://www.iaea.org/resources/safety-standards</w:t>
      </w:r>
    </w:p>
    <w:p w14:paraId="4F4FA32B"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[28]</w:t>
      </w:r>
      <w:r w:rsidRPr="00157187">
        <w:rPr>
          <w:rFonts w:ascii="Times New Roman" w:hAnsi="Times New Roman" w:cs="Times New Roman"/>
          <w:noProof/>
          <w:sz w:val="18"/>
        </w:rPr>
        <w:tab/>
        <w:t>R. S. El-Emam, H. Ozcan, R. Bhattacharyya, and L. Awerbuch, “Nuclear desalination: A sustainable route to water security,” 2022. doi: 10.1016/j.desal.2022.116082.</w:t>
      </w:r>
    </w:p>
    <w:p w14:paraId="3D338815"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[29]</w:t>
      </w:r>
      <w:r w:rsidRPr="00157187">
        <w:rPr>
          <w:rFonts w:ascii="Times New Roman" w:hAnsi="Times New Roman" w:cs="Times New Roman"/>
          <w:noProof/>
          <w:sz w:val="18"/>
        </w:rPr>
        <w:tab/>
        <w:t xml:space="preserve">J. Y. Kim, S. C. Yoo, J. H. Seo, J. H. Kim, and I. C. Bang, “Design and construction of fluid-to-fluid scaled-down small modular reactor platform: As a testbed for the nuclear-based hydrogen production,” </w:t>
      </w:r>
      <w:r w:rsidRPr="00157187">
        <w:rPr>
          <w:rFonts w:ascii="Times New Roman" w:hAnsi="Times New Roman" w:cs="Times New Roman"/>
          <w:i/>
          <w:iCs/>
          <w:noProof/>
          <w:sz w:val="18"/>
        </w:rPr>
        <w:t>Nucl. Eng. Technol.</w:t>
      </w:r>
      <w:r w:rsidRPr="00157187">
        <w:rPr>
          <w:rFonts w:ascii="Times New Roman" w:hAnsi="Times New Roman" w:cs="Times New Roman"/>
          <w:noProof/>
          <w:sz w:val="18"/>
        </w:rPr>
        <w:t>, vol. 56, no. 3, 2024, doi: 10.1016/j.net.2023.12.047.</w:t>
      </w:r>
    </w:p>
    <w:p w14:paraId="7CF850D6"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[30]</w:t>
      </w:r>
      <w:r w:rsidRPr="00157187">
        <w:rPr>
          <w:rFonts w:ascii="Times New Roman" w:hAnsi="Times New Roman" w:cs="Times New Roman"/>
          <w:noProof/>
          <w:sz w:val="18"/>
        </w:rPr>
        <w:tab/>
        <w:t xml:space="preserve">S. H. Ghazaie, K. Sadeghi, E. Sokolova, E. Fedorovich, and A. Shirani, “Comparative analysis of hybrid desalination technologies powered by SMR,” </w:t>
      </w:r>
      <w:r w:rsidRPr="00157187">
        <w:rPr>
          <w:rFonts w:ascii="Times New Roman" w:hAnsi="Times New Roman" w:cs="Times New Roman"/>
          <w:i/>
          <w:iCs/>
          <w:noProof/>
          <w:sz w:val="18"/>
        </w:rPr>
        <w:t>Energies</w:t>
      </w:r>
      <w:r w:rsidRPr="00157187">
        <w:rPr>
          <w:rFonts w:ascii="Times New Roman" w:hAnsi="Times New Roman" w:cs="Times New Roman"/>
          <w:noProof/>
          <w:sz w:val="18"/>
        </w:rPr>
        <w:t>, vol. 13, no. 18, 2020, doi: 10.3390/en13195006.</w:t>
      </w:r>
    </w:p>
    <w:p w14:paraId="5D421F52" w14:textId="77777777" w:rsidR="00157187" w:rsidRPr="00157187" w:rsidRDefault="00157187" w:rsidP="00157187">
      <w:pPr>
        <w:widowControl w:val="0"/>
        <w:autoSpaceDE w:val="0"/>
        <w:autoSpaceDN w:val="0"/>
        <w:adjustRightInd w:val="0"/>
        <w:spacing w:after="0" w:line="240" w:lineRule="auto"/>
        <w:ind w:left="640" w:hanging="640"/>
        <w:rPr>
          <w:rFonts w:ascii="Times New Roman" w:hAnsi="Times New Roman" w:cs="Times New Roman"/>
          <w:noProof/>
          <w:sz w:val="18"/>
        </w:rPr>
      </w:pPr>
      <w:r w:rsidRPr="00157187">
        <w:rPr>
          <w:rFonts w:ascii="Times New Roman" w:hAnsi="Times New Roman" w:cs="Times New Roman"/>
          <w:noProof/>
          <w:sz w:val="18"/>
        </w:rPr>
        <w:t>[31]</w:t>
      </w:r>
      <w:r w:rsidRPr="00157187">
        <w:rPr>
          <w:rFonts w:ascii="Times New Roman" w:hAnsi="Times New Roman" w:cs="Times New Roman"/>
          <w:noProof/>
          <w:sz w:val="18"/>
        </w:rPr>
        <w:tab/>
        <w:t>F. Legally, S. Ministry, E. Affairs, and T. Act, “Chapter 1 Objectives and scope of application,” 2018.</w:t>
      </w:r>
    </w:p>
    <w:p w14:paraId="58CA692B" w14:textId="3BF19136" w:rsidR="009C1798" w:rsidRPr="009464C0" w:rsidRDefault="009C1798" w:rsidP="00083000">
      <w:pPr>
        <w:widowControl w:val="0"/>
        <w:autoSpaceDE w:val="0"/>
        <w:autoSpaceDN w:val="0"/>
        <w:adjustRightInd w:val="0"/>
        <w:spacing w:after="0" w:line="240" w:lineRule="auto"/>
        <w:ind w:left="480" w:hanging="480"/>
        <w:rPr>
          <w:rFonts w:ascii="Times New Roman" w:hAnsi="Times New Roman" w:cs="Times New Roman"/>
          <w:sz w:val="18"/>
          <w:szCs w:val="18"/>
        </w:rPr>
      </w:pPr>
      <w:r>
        <w:rPr>
          <w:rFonts w:ascii="Times New Roman" w:hAnsi="Times New Roman" w:cs="Times New Roman"/>
          <w:sz w:val="18"/>
          <w:szCs w:val="18"/>
        </w:rPr>
        <w:fldChar w:fldCharType="end"/>
      </w:r>
    </w:p>
    <w:sectPr w:rsidR="009C1798" w:rsidRPr="00946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9D69" w14:textId="77777777" w:rsidR="005045DE" w:rsidRDefault="005045DE" w:rsidP="00AB5BCD">
      <w:pPr>
        <w:spacing w:after="0" w:line="240" w:lineRule="auto"/>
      </w:pPr>
      <w:r>
        <w:separator/>
      </w:r>
    </w:p>
  </w:endnote>
  <w:endnote w:type="continuationSeparator" w:id="0">
    <w:p w14:paraId="300F394C" w14:textId="77777777" w:rsidR="005045DE" w:rsidRDefault="005045DE" w:rsidP="00AB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IX-Regular">
    <w:altName w:val="Times New Roman"/>
    <w:panose1 w:val="00000000000000000000"/>
    <w:charset w:val="00"/>
    <w:family w:val="roman"/>
    <w:notTrueType/>
    <w:pitch w:val="default"/>
  </w:font>
  <w:font w:name="CharisSIL-Italic">
    <w:altName w:val="Times New Roman"/>
    <w:panose1 w:val="00000000000000000000"/>
    <w:charset w:val="00"/>
    <w:family w:val="roman"/>
    <w:notTrueType/>
    <w:pitch w:val="default"/>
  </w:font>
  <w:font w:name="AdvOTb0c9bf5d+2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A3A3E" w14:textId="77777777" w:rsidR="005045DE" w:rsidRDefault="005045DE" w:rsidP="00AB5BCD">
      <w:pPr>
        <w:spacing w:after="0" w:line="240" w:lineRule="auto"/>
      </w:pPr>
      <w:r>
        <w:separator/>
      </w:r>
    </w:p>
  </w:footnote>
  <w:footnote w:type="continuationSeparator" w:id="0">
    <w:p w14:paraId="3C6E6ABA" w14:textId="77777777" w:rsidR="005045DE" w:rsidRDefault="005045DE" w:rsidP="00AB5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F2D"/>
    <w:multiLevelType w:val="hybridMultilevel"/>
    <w:tmpl w:val="5F96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E7F2C"/>
    <w:multiLevelType w:val="hybridMultilevel"/>
    <w:tmpl w:val="40963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65795"/>
    <w:multiLevelType w:val="multilevel"/>
    <w:tmpl w:val="629ED9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7CD4EFA"/>
    <w:multiLevelType w:val="multilevel"/>
    <w:tmpl w:val="1408BCC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82714C"/>
    <w:multiLevelType w:val="hybridMultilevel"/>
    <w:tmpl w:val="8530E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51087"/>
    <w:multiLevelType w:val="hybridMultilevel"/>
    <w:tmpl w:val="D65E8D0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280557">
    <w:abstractNumId w:val="1"/>
  </w:num>
  <w:num w:numId="2" w16cid:durableId="554508550">
    <w:abstractNumId w:val="4"/>
  </w:num>
  <w:num w:numId="3" w16cid:durableId="1462115138">
    <w:abstractNumId w:val="5"/>
  </w:num>
  <w:num w:numId="4" w16cid:durableId="1945765165">
    <w:abstractNumId w:val="0"/>
  </w:num>
  <w:num w:numId="5" w16cid:durableId="2066906327">
    <w:abstractNumId w:val="2"/>
  </w:num>
  <w:num w:numId="6" w16cid:durableId="1826892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66"/>
    <w:rsid w:val="00013931"/>
    <w:rsid w:val="00017B0E"/>
    <w:rsid w:val="00066C56"/>
    <w:rsid w:val="00083000"/>
    <w:rsid w:val="00093EAF"/>
    <w:rsid w:val="0009743D"/>
    <w:rsid w:val="000A0BAE"/>
    <w:rsid w:val="000A3310"/>
    <w:rsid w:val="000A59CA"/>
    <w:rsid w:val="000B4C4D"/>
    <w:rsid w:val="000D563D"/>
    <w:rsid w:val="000E2748"/>
    <w:rsid w:val="000F36C1"/>
    <w:rsid w:val="00117C70"/>
    <w:rsid w:val="00122E5A"/>
    <w:rsid w:val="001241C9"/>
    <w:rsid w:val="00142884"/>
    <w:rsid w:val="00157187"/>
    <w:rsid w:val="00163150"/>
    <w:rsid w:val="001658C3"/>
    <w:rsid w:val="00167E75"/>
    <w:rsid w:val="001A327B"/>
    <w:rsid w:val="001D4A40"/>
    <w:rsid w:val="00206D5D"/>
    <w:rsid w:val="00210CEA"/>
    <w:rsid w:val="00217061"/>
    <w:rsid w:val="00223CD8"/>
    <w:rsid w:val="0023233E"/>
    <w:rsid w:val="00241CAD"/>
    <w:rsid w:val="00260297"/>
    <w:rsid w:val="002743F4"/>
    <w:rsid w:val="00286A49"/>
    <w:rsid w:val="002945BB"/>
    <w:rsid w:val="002A2829"/>
    <w:rsid w:val="002B77FE"/>
    <w:rsid w:val="002F20C1"/>
    <w:rsid w:val="00304D87"/>
    <w:rsid w:val="0032669A"/>
    <w:rsid w:val="0033070B"/>
    <w:rsid w:val="00337B5E"/>
    <w:rsid w:val="0034758C"/>
    <w:rsid w:val="00362958"/>
    <w:rsid w:val="0036753D"/>
    <w:rsid w:val="00376ABC"/>
    <w:rsid w:val="003B0A8D"/>
    <w:rsid w:val="003D388B"/>
    <w:rsid w:val="003E15A6"/>
    <w:rsid w:val="004075B5"/>
    <w:rsid w:val="00416BC0"/>
    <w:rsid w:val="004324EF"/>
    <w:rsid w:val="004846D7"/>
    <w:rsid w:val="0049035C"/>
    <w:rsid w:val="00492243"/>
    <w:rsid w:val="00492EA1"/>
    <w:rsid w:val="004B117C"/>
    <w:rsid w:val="004B1BF3"/>
    <w:rsid w:val="004B4591"/>
    <w:rsid w:val="004B4CEE"/>
    <w:rsid w:val="004B71B1"/>
    <w:rsid w:val="004E064C"/>
    <w:rsid w:val="004E3C3E"/>
    <w:rsid w:val="004F134B"/>
    <w:rsid w:val="005045DE"/>
    <w:rsid w:val="00510B74"/>
    <w:rsid w:val="00512B53"/>
    <w:rsid w:val="00514365"/>
    <w:rsid w:val="005232D6"/>
    <w:rsid w:val="0053488B"/>
    <w:rsid w:val="00564867"/>
    <w:rsid w:val="005667F4"/>
    <w:rsid w:val="005771A2"/>
    <w:rsid w:val="005813B9"/>
    <w:rsid w:val="00592ABE"/>
    <w:rsid w:val="005945AA"/>
    <w:rsid w:val="005A198E"/>
    <w:rsid w:val="005A7E3F"/>
    <w:rsid w:val="005C3A27"/>
    <w:rsid w:val="005D7CF0"/>
    <w:rsid w:val="005E0DB1"/>
    <w:rsid w:val="005E4B3B"/>
    <w:rsid w:val="005E67C4"/>
    <w:rsid w:val="005F6A48"/>
    <w:rsid w:val="006043E0"/>
    <w:rsid w:val="00604C30"/>
    <w:rsid w:val="00612F24"/>
    <w:rsid w:val="0062092B"/>
    <w:rsid w:val="00627B96"/>
    <w:rsid w:val="00631362"/>
    <w:rsid w:val="00641412"/>
    <w:rsid w:val="00643627"/>
    <w:rsid w:val="006538BA"/>
    <w:rsid w:val="006951F2"/>
    <w:rsid w:val="006B01BF"/>
    <w:rsid w:val="006F05F8"/>
    <w:rsid w:val="006F75B4"/>
    <w:rsid w:val="0070467F"/>
    <w:rsid w:val="0071649C"/>
    <w:rsid w:val="00716F3B"/>
    <w:rsid w:val="00731B07"/>
    <w:rsid w:val="0074329F"/>
    <w:rsid w:val="00754C8B"/>
    <w:rsid w:val="00770A59"/>
    <w:rsid w:val="00774AFE"/>
    <w:rsid w:val="00783EE8"/>
    <w:rsid w:val="007B79EF"/>
    <w:rsid w:val="007D25B8"/>
    <w:rsid w:val="00811775"/>
    <w:rsid w:val="008542D0"/>
    <w:rsid w:val="00863CCD"/>
    <w:rsid w:val="00870B89"/>
    <w:rsid w:val="00897010"/>
    <w:rsid w:val="008B5763"/>
    <w:rsid w:val="008C78DB"/>
    <w:rsid w:val="008D42D8"/>
    <w:rsid w:val="00901BBF"/>
    <w:rsid w:val="009061DB"/>
    <w:rsid w:val="00906379"/>
    <w:rsid w:val="00913920"/>
    <w:rsid w:val="009220F9"/>
    <w:rsid w:val="00934E4F"/>
    <w:rsid w:val="00942491"/>
    <w:rsid w:val="009464C0"/>
    <w:rsid w:val="009605C3"/>
    <w:rsid w:val="009624D2"/>
    <w:rsid w:val="00967FD1"/>
    <w:rsid w:val="009724D5"/>
    <w:rsid w:val="00992441"/>
    <w:rsid w:val="00994EE3"/>
    <w:rsid w:val="009A54AE"/>
    <w:rsid w:val="009B395B"/>
    <w:rsid w:val="009C1798"/>
    <w:rsid w:val="009D077B"/>
    <w:rsid w:val="009E1423"/>
    <w:rsid w:val="009E17DB"/>
    <w:rsid w:val="009E6CF4"/>
    <w:rsid w:val="009F3359"/>
    <w:rsid w:val="00A00814"/>
    <w:rsid w:val="00A14018"/>
    <w:rsid w:val="00A31A05"/>
    <w:rsid w:val="00A37820"/>
    <w:rsid w:val="00A44A2C"/>
    <w:rsid w:val="00A6725F"/>
    <w:rsid w:val="00A73994"/>
    <w:rsid w:val="00A779C9"/>
    <w:rsid w:val="00A804D4"/>
    <w:rsid w:val="00AB5BCD"/>
    <w:rsid w:val="00AC6752"/>
    <w:rsid w:val="00B048DD"/>
    <w:rsid w:val="00B102CA"/>
    <w:rsid w:val="00B15B3B"/>
    <w:rsid w:val="00B16751"/>
    <w:rsid w:val="00B43D74"/>
    <w:rsid w:val="00B5322C"/>
    <w:rsid w:val="00B5571E"/>
    <w:rsid w:val="00B56A69"/>
    <w:rsid w:val="00B654A0"/>
    <w:rsid w:val="00B66D13"/>
    <w:rsid w:val="00B73133"/>
    <w:rsid w:val="00B86EA6"/>
    <w:rsid w:val="00BA2EF8"/>
    <w:rsid w:val="00BB572F"/>
    <w:rsid w:val="00BE1743"/>
    <w:rsid w:val="00BE250E"/>
    <w:rsid w:val="00C2163A"/>
    <w:rsid w:val="00C32C4E"/>
    <w:rsid w:val="00C8521A"/>
    <w:rsid w:val="00CB0699"/>
    <w:rsid w:val="00CB1B5B"/>
    <w:rsid w:val="00CB4FA9"/>
    <w:rsid w:val="00CC6A6B"/>
    <w:rsid w:val="00CD5D2C"/>
    <w:rsid w:val="00CD6824"/>
    <w:rsid w:val="00CE1653"/>
    <w:rsid w:val="00CE28CD"/>
    <w:rsid w:val="00CF6EAB"/>
    <w:rsid w:val="00D35D10"/>
    <w:rsid w:val="00D64F16"/>
    <w:rsid w:val="00D6772C"/>
    <w:rsid w:val="00D729DD"/>
    <w:rsid w:val="00D90AB0"/>
    <w:rsid w:val="00D92ECD"/>
    <w:rsid w:val="00D96CAB"/>
    <w:rsid w:val="00D976C3"/>
    <w:rsid w:val="00DB0A67"/>
    <w:rsid w:val="00DB14D6"/>
    <w:rsid w:val="00DB63B6"/>
    <w:rsid w:val="00DB656D"/>
    <w:rsid w:val="00DB68F5"/>
    <w:rsid w:val="00DC6FBF"/>
    <w:rsid w:val="00DD196B"/>
    <w:rsid w:val="00DE1CD5"/>
    <w:rsid w:val="00DE582F"/>
    <w:rsid w:val="00E05C74"/>
    <w:rsid w:val="00E15888"/>
    <w:rsid w:val="00EA2913"/>
    <w:rsid w:val="00ED38F9"/>
    <w:rsid w:val="00ED71EF"/>
    <w:rsid w:val="00EE75F8"/>
    <w:rsid w:val="00F0094F"/>
    <w:rsid w:val="00F039A3"/>
    <w:rsid w:val="00F22D74"/>
    <w:rsid w:val="00F24410"/>
    <w:rsid w:val="00F32D66"/>
    <w:rsid w:val="00F348C7"/>
    <w:rsid w:val="00F5382B"/>
    <w:rsid w:val="00F54B8F"/>
    <w:rsid w:val="00F806DD"/>
    <w:rsid w:val="00F9336F"/>
    <w:rsid w:val="00F93A05"/>
    <w:rsid w:val="00F97D82"/>
    <w:rsid w:val="00FC7760"/>
    <w:rsid w:val="00FD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E4A28"/>
  <w15:chartTrackingRefBased/>
  <w15:docId w15:val="{1D57D70C-E487-4407-915C-0952A426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66"/>
    <w:rPr>
      <w:lang w:val="en-US"/>
    </w:rPr>
  </w:style>
  <w:style w:type="paragraph" w:styleId="Heading1">
    <w:name w:val="heading 1"/>
    <w:basedOn w:val="Normal"/>
    <w:next w:val="Normal"/>
    <w:link w:val="Heading1Char"/>
    <w:uiPriority w:val="9"/>
    <w:qFormat/>
    <w:rsid w:val="001D4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32D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2D66"/>
    <w:rPr>
      <w:i/>
      <w:iCs/>
      <w:color w:val="5B9BD5" w:themeColor="accent1"/>
      <w:lang w:val="en-US"/>
    </w:rPr>
  </w:style>
  <w:style w:type="character" w:customStyle="1" w:styleId="fontstyle01">
    <w:name w:val="fontstyle01"/>
    <w:basedOn w:val="DefaultParagraphFont"/>
    <w:rsid w:val="00A6725F"/>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1D4A40"/>
    <w:rPr>
      <w:rFonts w:asciiTheme="majorHAnsi" w:eastAsiaTheme="majorEastAsia" w:hAnsiTheme="majorHAnsi" w:cstheme="majorBidi"/>
      <w:color w:val="2E74B5" w:themeColor="accent1" w:themeShade="BF"/>
      <w:sz w:val="32"/>
      <w:szCs w:val="32"/>
      <w:lang w:val="en-US"/>
    </w:rPr>
  </w:style>
  <w:style w:type="paragraph" w:styleId="FootnoteText">
    <w:name w:val="footnote text"/>
    <w:basedOn w:val="Normal"/>
    <w:link w:val="FootnoteTextChar"/>
    <w:uiPriority w:val="99"/>
    <w:semiHidden/>
    <w:unhideWhenUsed/>
    <w:rsid w:val="00AB5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CD"/>
    <w:rPr>
      <w:sz w:val="20"/>
      <w:szCs w:val="20"/>
      <w:lang w:val="en-US"/>
    </w:rPr>
  </w:style>
  <w:style w:type="character" w:styleId="FootnoteReference">
    <w:name w:val="footnote reference"/>
    <w:basedOn w:val="DefaultParagraphFont"/>
    <w:uiPriority w:val="99"/>
    <w:semiHidden/>
    <w:unhideWhenUsed/>
    <w:rsid w:val="00AB5BCD"/>
    <w:rPr>
      <w:vertAlign w:val="superscript"/>
    </w:rPr>
  </w:style>
  <w:style w:type="paragraph" w:styleId="EndnoteText">
    <w:name w:val="endnote text"/>
    <w:basedOn w:val="Normal"/>
    <w:link w:val="EndnoteTextChar"/>
    <w:uiPriority w:val="99"/>
    <w:semiHidden/>
    <w:unhideWhenUsed/>
    <w:rsid w:val="00AB5B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5BCD"/>
    <w:rPr>
      <w:sz w:val="20"/>
      <w:szCs w:val="20"/>
      <w:lang w:val="en-US"/>
    </w:rPr>
  </w:style>
  <w:style w:type="character" w:styleId="EndnoteReference">
    <w:name w:val="endnote reference"/>
    <w:basedOn w:val="DefaultParagraphFont"/>
    <w:uiPriority w:val="99"/>
    <w:semiHidden/>
    <w:unhideWhenUsed/>
    <w:rsid w:val="00AB5BCD"/>
    <w:rPr>
      <w:vertAlign w:val="superscript"/>
    </w:rPr>
  </w:style>
  <w:style w:type="paragraph" w:styleId="Bibliography">
    <w:name w:val="Bibliography"/>
    <w:basedOn w:val="Normal"/>
    <w:next w:val="Normal"/>
    <w:uiPriority w:val="37"/>
    <w:unhideWhenUsed/>
    <w:rsid w:val="00AB5BCD"/>
  </w:style>
  <w:style w:type="paragraph" w:styleId="ListParagraph">
    <w:name w:val="List Paragraph"/>
    <w:basedOn w:val="Normal"/>
    <w:uiPriority w:val="34"/>
    <w:qFormat/>
    <w:rsid w:val="009A54AE"/>
    <w:pPr>
      <w:ind w:left="720"/>
      <w:contextualSpacing/>
    </w:pPr>
  </w:style>
  <w:style w:type="character" w:customStyle="1" w:styleId="fontstyle11">
    <w:name w:val="fontstyle11"/>
    <w:basedOn w:val="DefaultParagraphFont"/>
    <w:rsid w:val="00564867"/>
    <w:rPr>
      <w:rFonts w:ascii="STIX-Regular" w:hAnsi="STIX-Regular" w:hint="default"/>
      <w:b w:val="0"/>
      <w:bCs w:val="0"/>
      <w:i w:val="0"/>
      <w:iCs w:val="0"/>
      <w:color w:val="000000"/>
      <w:sz w:val="14"/>
      <w:szCs w:val="14"/>
    </w:rPr>
  </w:style>
  <w:style w:type="character" w:customStyle="1" w:styleId="fontstyle21">
    <w:name w:val="fontstyle21"/>
    <w:basedOn w:val="DefaultParagraphFont"/>
    <w:rsid w:val="00564867"/>
    <w:rPr>
      <w:rFonts w:ascii="STIX-Regular" w:hAnsi="STIX-Regular" w:hint="default"/>
      <w:b w:val="0"/>
      <w:bCs w:val="0"/>
      <w:i w:val="0"/>
      <w:iCs w:val="0"/>
      <w:color w:val="000000"/>
      <w:sz w:val="16"/>
      <w:szCs w:val="16"/>
    </w:rPr>
  </w:style>
  <w:style w:type="character" w:customStyle="1" w:styleId="fontstyle31">
    <w:name w:val="fontstyle31"/>
    <w:basedOn w:val="DefaultParagraphFont"/>
    <w:rsid w:val="001241C9"/>
    <w:rPr>
      <w:rFonts w:ascii="CharisSIL-Italic" w:hAnsi="CharisSIL-Italic" w:hint="default"/>
      <w:b w:val="0"/>
      <w:bCs w:val="0"/>
      <w:i/>
      <w:iCs/>
      <w:color w:val="000000"/>
      <w:sz w:val="16"/>
      <w:szCs w:val="16"/>
    </w:rPr>
  </w:style>
  <w:style w:type="character" w:customStyle="1" w:styleId="fontstyle41">
    <w:name w:val="fontstyle41"/>
    <w:basedOn w:val="DefaultParagraphFont"/>
    <w:rsid w:val="00C32C4E"/>
    <w:rPr>
      <w:rFonts w:ascii="AdvOTb0c9bf5d+20" w:hAnsi="AdvOTb0c9bf5d+20" w:hint="default"/>
      <w:b w:val="0"/>
      <w:bCs w:val="0"/>
      <w:i w:val="0"/>
      <w:iCs w:val="0"/>
      <w:color w:val="000000"/>
      <w:sz w:val="16"/>
      <w:szCs w:val="16"/>
    </w:rPr>
  </w:style>
  <w:style w:type="paragraph" w:styleId="Header">
    <w:name w:val="header"/>
    <w:basedOn w:val="Normal"/>
    <w:link w:val="HeaderChar"/>
    <w:uiPriority w:val="99"/>
    <w:unhideWhenUsed/>
    <w:rsid w:val="00901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BBF"/>
    <w:rPr>
      <w:lang w:val="en-US"/>
    </w:rPr>
  </w:style>
  <w:style w:type="paragraph" w:styleId="Footer">
    <w:name w:val="footer"/>
    <w:basedOn w:val="Normal"/>
    <w:link w:val="FooterChar"/>
    <w:uiPriority w:val="99"/>
    <w:unhideWhenUsed/>
    <w:rsid w:val="0090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BBF"/>
    <w:rPr>
      <w:lang w:val="en-US"/>
    </w:rPr>
  </w:style>
  <w:style w:type="character" w:styleId="Hyperlink">
    <w:name w:val="Hyperlink"/>
    <w:basedOn w:val="DefaultParagraphFont"/>
    <w:uiPriority w:val="99"/>
    <w:unhideWhenUsed/>
    <w:rsid w:val="009061DB"/>
    <w:rPr>
      <w:color w:val="0563C1" w:themeColor="hyperlink"/>
      <w:u w:val="single"/>
    </w:rPr>
  </w:style>
  <w:style w:type="character" w:customStyle="1" w:styleId="a">
    <w:name w:val="_"/>
    <w:basedOn w:val="DefaultParagraphFont"/>
    <w:rsid w:val="00BB572F"/>
  </w:style>
  <w:style w:type="paragraph" w:styleId="NormalWeb">
    <w:name w:val="Normal (Web)"/>
    <w:basedOn w:val="Normal"/>
    <w:uiPriority w:val="99"/>
    <w:unhideWhenUsed/>
    <w:rsid w:val="00066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066C56"/>
  </w:style>
  <w:style w:type="character" w:styleId="UnresolvedMention">
    <w:name w:val="Unresolved Mention"/>
    <w:basedOn w:val="DefaultParagraphFont"/>
    <w:uiPriority w:val="99"/>
    <w:semiHidden/>
    <w:unhideWhenUsed/>
    <w:rsid w:val="00241CAD"/>
    <w:rPr>
      <w:color w:val="605E5C"/>
      <w:shd w:val="clear" w:color="auto" w:fill="E1DFDD"/>
    </w:rPr>
  </w:style>
  <w:style w:type="character" w:styleId="Strong">
    <w:name w:val="Strong"/>
    <w:basedOn w:val="DefaultParagraphFont"/>
    <w:uiPriority w:val="22"/>
    <w:qFormat/>
    <w:rsid w:val="00B5571E"/>
    <w:rPr>
      <w:b/>
      <w:bCs/>
    </w:rPr>
  </w:style>
  <w:style w:type="character" w:styleId="CommentReference">
    <w:name w:val="annotation reference"/>
    <w:basedOn w:val="DefaultParagraphFont"/>
    <w:uiPriority w:val="99"/>
    <w:semiHidden/>
    <w:unhideWhenUsed/>
    <w:rsid w:val="00CE1653"/>
    <w:rPr>
      <w:sz w:val="16"/>
      <w:szCs w:val="16"/>
    </w:rPr>
  </w:style>
  <w:style w:type="paragraph" w:styleId="CommentText">
    <w:name w:val="annotation text"/>
    <w:basedOn w:val="Normal"/>
    <w:link w:val="CommentTextChar"/>
    <w:uiPriority w:val="99"/>
    <w:semiHidden/>
    <w:unhideWhenUsed/>
    <w:rsid w:val="00CE1653"/>
    <w:pPr>
      <w:spacing w:line="240" w:lineRule="auto"/>
    </w:pPr>
    <w:rPr>
      <w:sz w:val="20"/>
      <w:szCs w:val="20"/>
    </w:rPr>
  </w:style>
  <w:style w:type="character" w:customStyle="1" w:styleId="CommentTextChar">
    <w:name w:val="Comment Text Char"/>
    <w:basedOn w:val="DefaultParagraphFont"/>
    <w:link w:val="CommentText"/>
    <w:uiPriority w:val="99"/>
    <w:semiHidden/>
    <w:rsid w:val="00CE1653"/>
    <w:rPr>
      <w:sz w:val="20"/>
      <w:szCs w:val="20"/>
      <w:lang w:val="en-US"/>
    </w:rPr>
  </w:style>
  <w:style w:type="paragraph" w:styleId="CommentSubject">
    <w:name w:val="annotation subject"/>
    <w:basedOn w:val="CommentText"/>
    <w:next w:val="CommentText"/>
    <w:link w:val="CommentSubjectChar"/>
    <w:uiPriority w:val="99"/>
    <w:semiHidden/>
    <w:unhideWhenUsed/>
    <w:rsid w:val="00CE1653"/>
    <w:rPr>
      <w:b/>
      <w:bCs/>
    </w:rPr>
  </w:style>
  <w:style w:type="character" w:customStyle="1" w:styleId="CommentSubjectChar">
    <w:name w:val="Comment Subject Char"/>
    <w:basedOn w:val="CommentTextChar"/>
    <w:link w:val="CommentSubject"/>
    <w:uiPriority w:val="99"/>
    <w:semiHidden/>
    <w:rsid w:val="00CE165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954">
      <w:bodyDiv w:val="1"/>
      <w:marLeft w:val="0"/>
      <w:marRight w:val="0"/>
      <w:marTop w:val="0"/>
      <w:marBottom w:val="0"/>
      <w:divBdr>
        <w:top w:val="none" w:sz="0" w:space="0" w:color="auto"/>
        <w:left w:val="none" w:sz="0" w:space="0" w:color="auto"/>
        <w:bottom w:val="none" w:sz="0" w:space="0" w:color="auto"/>
        <w:right w:val="none" w:sz="0" w:space="0" w:color="auto"/>
      </w:divBdr>
    </w:div>
    <w:div w:id="5443186">
      <w:bodyDiv w:val="1"/>
      <w:marLeft w:val="0"/>
      <w:marRight w:val="0"/>
      <w:marTop w:val="0"/>
      <w:marBottom w:val="0"/>
      <w:divBdr>
        <w:top w:val="none" w:sz="0" w:space="0" w:color="auto"/>
        <w:left w:val="none" w:sz="0" w:space="0" w:color="auto"/>
        <w:bottom w:val="none" w:sz="0" w:space="0" w:color="auto"/>
        <w:right w:val="none" w:sz="0" w:space="0" w:color="auto"/>
      </w:divBdr>
    </w:div>
    <w:div w:id="27266302">
      <w:bodyDiv w:val="1"/>
      <w:marLeft w:val="0"/>
      <w:marRight w:val="0"/>
      <w:marTop w:val="0"/>
      <w:marBottom w:val="0"/>
      <w:divBdr>
        <w:top w:val="none" w:sz="0" w:space="0" w:color="auto"/>
        <w:left w:val="none" w:sz="0" w:space="0" w:color="auto"/>
        <w:bottom w:val="none" w:sz="0" w:space="0" w:color="auto"/>
        <w:right w:val="none" w:sz="0" w:space="0" w:color="auto"/>
      </w:divBdr>
    </w:div>
    <w:div w:id="53547721">
      <w:bodyDiv w:val="1"/>
      <w:marLeft w:val="0"/>
      <w:marRight w:val="0"/>
      <w:marTop w:val="0"/>
      <w:marBottom w:val="0"/>
      <w:divBdr>
        <w:top w:val="none" w:sz="0" w:space="0" w:color="auto"/>
        <w:left w:val="none" w:sz="0" w:space="0" w:color="auto"/>
        <w:bottom w:val="none" w:sz="0" w:space="0" w:color="auto"/>
        <w:right w:val="none" w:sz="0" w:space="0" w:color="auto"/>
      </w:divBdr>
    </w:div>
    <w:div w:id="73481701">
      <w:bodyDiv w:val="1"/>
      <w:marLeft w:val="0"/>
      <w:marRight w:val="0"/>
      <w:marTop w:val="0"/>
      <w:marBottom w:val="0"/>
      <w:divBdr>
        <w:top w:val="none" w:sz="0" w:space="0" w:color="auto"/>
        <w:left w:val="none" w:sz="0" w:space="0" w:color="auto"/>
        <w:bottom w:val="none" w:sz="0" w:space="0" w:color="auto"/>
        <w:right w:val="none" w:sz="0" w:space="0" w:color="auto"/>
      </w:divBdr>
    </w:div>
    <w:div w:id="77022610">
      <w:bodyDiv w:val="1"/>
      <w:marLeft w:val="0"/>
      <w:marRight w:val="0"/>
      <w:marTop w:val="0"/>
      <w:marBottom w:val="0"/>
      <w:divBdr>
        <w:top w:val="none" w:sz="0" w:space="0" w:color="auto"/>
        <w:left w:val="none" w:sz="0" w:space="0" w:color="auto"/>
        <w:bottom w:val="none" w:sz="0" w:space="0" w:color="auto"/>
        <w:right w:val="none" w:sz="0" w:space="0" w:color="auto"/>
      </w:divBdr>
    </w:div>
    <w:div w:id="104037925">
      <w:bodyDiv w:val="1"/>
      <w:marLeft w:val="0"/>
      <w:marRight w:val="0"/>
      <w:marTop w:val="0"/>
      <w:marBottom w:val="0"/>
      <w:divBdr>
        <w:top w:val="none" w:sz="0" w:space="0" w:color="auto"/>
        <w:left w:val="none" w:sz="0" w:space="0" w:color="auto"/>
        <w:bottom w:val="none" w:sz="0" w:space="0" w:color="auto"/>
        <w:right w:val="none" w:sz="0" w:space="0" w:color="auto"/>
      </w:divBdr>
    </w:div>
    <w:div w:id="110786711">
      <w:bodyDiv w:val="1"/>
      <w:marLeft w:val="0"/>
      <w:marRight w:val="0"/>
      <w:marTop w:val="0"/>
      <w:marBottom w:val="0"/>
      <w:divBdr>
        <w:top w:val="none" w:sz="0" w:space="0" w:color="auto"/>
        <w:left w:val="none" w:sz="0" w:space="0" w:color="auto"/>
        <w:bottom w:val="none" w:sz="0" w:space="0" w:color="auto"/>
        <w:right w:val="none" w:sz="0" w:space="0" w:color="auto"/>
      </w:divBdr>
    </w:div>
    <w:div w:id="118764199">
      <w:bodyDiv w:val="1"/>
      <w:marLeft w:val="0"/>
      <w:marRight w:val="0"/>
      <w:marTop w:val="0"/>
      <w:marBottom w:val="0"/>
      <w:divBdr>
        <w:top w:val="none" w:sz="0" w:space="0" w:color="auto"/>
        <w:left w:val="none" w:sz="0" w:space="0" w:color="auto"/>
        <w:bottom w:val="none" w:sz="0" w:space="0" w:color="auto"/>
        <w:right w:val="none" w:sz="0" w:space="0" w:color="auto"/>
      </w:divBdr>
    </w:div>
    <w:div w:id="145902532">
      <w:bodyDiv w:val="1"/>
      <w:marLeft w:val="0"/>
      <w:marRight w:val="0"/>
      <w:marTop w:val="0"/>
      <w:marBottom w:val="0"/>
      <w:divBdr>
        <w:top w:val="none" w:sz="0" w:space="0" w:color="auto"/>
        <w:left w:val="none" w:sz="0" w:space="0" w:color="auto"/>
        <w:bottom w:val="none" w:sz="0" w:space="0" w:color="auto"/>
        <w:right w:val="none" w:sz="0" w:space="0" w:color="auto"/>
      </w:divBdr>
    </w:div>
    <w:div w:id="152307277">
      <w:bodyDiv w:val="1"/>
      <w:marLeft w:val="0"/>
      <w:marRight w:val="0"/>
      <w:marTop w:val="0"/>
      <w:marBottom w:val="0"/>
      <w:divBdr>
        <w:top w:val="none" w:sz="0" w:space="0" w:color="auto"/>
        <w:left w:val="none" w:sz="0" w:space="0" w:color="auto"/>
        <w:bottom w:val="none" w:sz="0" w:space="0" w:color="auto"/>
        <w:right w:val="none" w:sz="0" w:space="0" w:color="auto"/>
      </w:divBdr>
    </w:div>
    <w:div w:id="160121164">
      <w:bodyDiv w:val="1"/>
      <w:marLeft w:val="0"/>
      <w:marRight w:val="0"/>
      <w:marTop w:val="0"/>
      <w:marBottom w:val="0"/>
      <w:divBdr>
        <w:top w:val="none" w:sz="0" w:space="0" w:color="auto"/>
        <w:left w:val="none" w:sz="0" w:space="0" w:color="auto"/>
        <w:bottom w:val="none" w:sz="0" w:space="0" w:color="auto"/>
        <w:right w:val="none" w:sz="0" w:space="0" w:color="auto"/>
      </w:divBdr>
    </w:div>
    <w:div w:id="237905584">
      <w:bodyDiv w:val="1"/>
      <w:marLeft w:val="0"/>
      <w:marRight w:val="0"/>
      <w:marTop w:val="0"/>
      <w:marBottom w:val="0"/>
      <w:divBdr>
        <w:top w:val="none" w:sz="0" w:space="0" w:color="auto"/>
        <w:left w:val="none" w:sz="0" w:space="0" w:color="auto"/>
        <w:bottom w:val="none" w:sz="0" w:space="0" w:color="auto"/>
        <w:right w:val="none" w:sz="0" w:space="0" w:color="auto"/>
      </w:divBdr>
    </w:div>
    <w:div w:id="267198296">
      <w:bodyDiv w:val="1"/>
      <w:marLeft w:val="0"/>
      <w:marRight w:val="0"/>
      <w:marTop w:val="0"/>
      <w:marBottom w:val="0"/>
      <w:divBdr>
        <w:top w:val="none" w:sz="0" w:space="0" w:color="auto"/>
        <w:left w:val="none" w:sz="0" w:space="0" w:color="auto"/>
        <w:bottom w:val="none" w:sz="0" w:space="0" w:color="auto"/>
        <w:right w:val="none" w:sz="0" w:space="0" w:color="auto"/>
      </w:divBdr>
    </w:div>
    <w:div w:id="271403954">
      <w:bodyDiv w:val="1"/>
      <w:marLeft w:val="0"/>
      <w:marRight w:val="0"/>
      <w:marTop w:val="0"/>
      <w:marBottom w:val="0"/>
      <w:divBdr>
        <w:top w:val="none" w:sz="0" w:space="0" w:color="auto"/>
        <w:left w:val="none" w:sz="0" w:space="0" w:color="auto"/>
        <w:bottom w:val="none" w:sz="0" w:space="0" w:color="auto"/>
        <w:right w:val="none" w:sz="0" w:space="0" w:color="auto"/>
      </w:divBdr>
    </w:div>
    <w:div w:id="278413073">
      <w:bodyDiv w:val="1"/>
      <w:marLeft w:val="0"/>
      <w:marRight w:val="0"/>
      <w:marTop w:val="0"/>
      <w:marBottom w:val="0"/>
      <w:divBdr>
        <w:top w:val="none" w:sz="0" w:space="0" w:color="auto"/>
        <w:left w:val="none" w:sz="0" w:space="0" w:color="auto"/>
        <w:bottom w:val="none" w:sz="0" w:space="0" w:color="auto"/>
        <w:right w:val="none" w:sz="0" w:space="0" w:color="auto"/>
      </w:divBdr>
    </w:div>
    <w:div w:id="287013057">
      <w:bodyDiv w:val="1"/>
      <w:marLeft w:val="0"/>
      <w:marRight w:val="0"/>
      <w:marTop w:val="0"/>
      <w:marBottom w:val="0"/>
      <w:divBdr>
        <w:top w:val="none" w:sz="0" w:space="0" w:color="auto"/>
        <w:left w:val="none" w:sz="0" w:space="0" w:color="auto"/>
        <w:bottom w:val="none" w:sz="0" w:space="0" w:color="auto"/>
        <w:right w:val="none" w:sz="0" w:space="0" w:color="auto"/>
      </w:divBdr>
    </w:div>
    <w:div w:id="295260863">
      <w:bodyDiv w:val="1"/>
      <w:marLeft w:val="0"/>
      <w:marRight w:val="0"/>
      <w:marTop w:val="0"/>
      <w:marBottom w:val="0"/>
      <w:divBdr>
        <w:top w:val="none" w:sz="0" w:space="0" w:color="auto"/>
        <w:left w:val="none" w:sz="0" w:space="0" w:color="auto"/>
        <w:bottom w:val="none" w:sz="0" w:space="0" w:color="auto"/>
        <w:right w:val="none" w:sz="0" w:space="0" w:color="auto"/>
      </w:divBdr>
    </w:div>
    <w:div w:id="344791867">
      <w:bodyDiv w:val="1"/>
      <w:marLeft w:val="0"/>
      <w:marRight w:val="0"/>
      <w:marTop w:val="0"/>
      <w:marBottom w:val="0"/>
      <w:divBdr>
        <w:top w:val="none" w:sz="0" w:space="0" w:color="auto"/>
        <w:left w:val="none" w:sz="0" w:space="0" w:color="auto"/>
        <w:bottom w:val="none" w:sz="0" w:space="0" w:color="auto"/>
        <w:right w:val="none" w:sz="0" w:space="0" w:color="auto"/>
      </w:divBdr>
    </w:div>
    <w:div w:id="353114981">
      <w:bodyDiv w:val="1"/>
      <w:marLeft w:val="0"/>
      <w:marRight w:val="0"/>
      <w:marTop w:val="0"/>
      <w:marBottom w:val="0"/>
      <w:divBdr>
        <w:top w:val="none" w:sz="0" w:space="0" w:color="auto"/>
        <w:left w:val="none" w:sz="0" w:space="0" w:color="auto"/>
        <w:bottom w:val="none" w:sz="0" w:space="0" w:color="auto"/>
        <w:right w:val="none" w:sz="0" w:space="0" w:color="auto"/>
      </w:divBdr>
    </w:div>
    <w:div w:id="388307970">
      <w:bodyDiv w:val="1"/>
      <w:marLeft w:val="0"/>
      <w:marRight w:val="0"/>
      <w:marTop w:val="0"/>
      <w:marBottom w:val="0"/>
      <w:divBdr>
        <w:top w:val="none" w:sz="0" w:space="0" w:color="auto"/>
        <w:left w:val="none" w:sz="0" w:space="0" w:color="auto"/>
        <w:bottom w:val="none" w:sz="0" w:space="0" w:color="auto"/>
        <w:right w:val="none" w:sz="0" w:space="0" w:color="auto"/>
      </w:divBdr>
    </w:div>
    <w:div w:id="391852040">
      <w:bodyDiv w:val="1"/>
      <w:marLeft w:val="0"/>
      <w:marRight w:val="0"/>
      <w:marTop w:val="0"/>
      <w:marBottom w:val="0"/>
      <w:divBdr>
        <w:top w:val="none" w:sz="0" w:space="0" w:color="auto"/>
        <w:left w:val="none" w:sz="0" w:space="0" w:color="auto"/>
        <w:bottom w:val="none" w:sz="0" w:space="0" w:color="auto"/>
        <w:right w:val="none" w:sz="0" w:space="0" w:color="auto"/>
      </w:divBdr>
    </w:div>
    <w:div w:id="404764302">
      <w:bodyDiv w:val="1"/>
      <w:marLeft w:val="0"/>
      <w:marRight w:val="0"/>
      <w:marTop w:val="0"/>
      <w:marBottom w:val="0"/>
      <w:divBdr>
        <w:top w:val="none" w:sz="0" w:space="0" w:color="auto"/>
        <w:left w:val="none" w:sz="0" w:space="0" w:color="auto"/>
        <w:bottom w:val="none" w:sz="0" w:space="0" w:color="auto"/>
        <w:right w:val="none" w:sz="0" w:space="0" w:color="auto"/>
      </w:divBdr>
    </w:div>
    <w:div w:id="419134339">
      <w:bodyDiv w:val="1"/>
      <w:marLeft w:val="0"/>
      <w:marRight w:val="0"/>
      <w:marTop w:val="0"/>
      <w:marBottom w:val="0"/>
      <w:divBdr>
        <w:top w:val="none" w:sz="0" w:space="0" w:color="auto"/>
        <w:left w:val="none" w:sz="0" w:space="0" w:color="auto"/>
        <w:bottom w:val="none" w:sz="0" w:space="0" w:color="auto"/>
        <w:right w:val="none" w:sz="0" w:space="0" w:color="auto"/>
      </w:divBdr>
    </w:div>
    <w:div w:id="450633486">
      <w:bodyDiv w:val="1"/>
      <w:marLeft w:val="0"/>
      <w:marRight w:val="0"/>
      <w:marTop w:val="0"/>
      <w:marBottom w:val="0"/>
      <w:divBdr>
        <w:top w:val="none" w:sz="0" w:space="0" w:color="auto"/>
        <w:left w:val="none" w:sz="0" w:space="0" w:color="auto"/>
        <w:bottom w:val="none" w:sz="0" w:space="0" w:color="auto"/>
        <w:right w:val="none" w:sz="0" w:space="0" w:color="auto"/>
      </w:divBdr>
    </w:div>
    <w:div w:id="466507901">
      <w:bodyDiv w:val="1"/>
      <w:marLeft w:val="0"/>
      <w:marRight w:val="0"/>
      <w:marTop w:val="0"/>
      <w:marBottom w:val="0"/>
      <w:divBdr>
        <w:top w:val="none" w:sz="0" w:space="0" w:color="auto"/>
        <w:left w:val="none" w:sz="0" w:space="0" w:color="auto"/>
        <w:bottom w:val="none" w:sz="0" w:space="0" w:color="auto"/>
        <w:right w:val="none" w:sz="0" w:space="0" w:color="auto"/>
      </w:divBdr>
    </w:div>
    <w:div w:id="538473889">
      <w:bodyDiv w:val="1"/>
      <w:marLeft w:val="0"/>
      <w:marRight w:val="0"/>
      <w:marTop w:val="0"/>
      <w:marBottom w:val="0"/>
      <w:divBdr>
        <w:top w:val="none" w:sz="0" w:space="0" w:color="auto"/>
        <w:left w:val="none" w:sz="0" w:space="0" w:color="auto"/>
        <w:bottom w:val="none" w:sz="0" w:space="0" w:color="auto"/>
        <w:right w:val="none" w:sz="0" w:space="0" w:color="auto"/>
      </w:divBdr>
    </w:div>
    <w:div w:id="544367867">
      <w:bodyDiv w:val="1"/>
      <w:marLeft w:val="0"/>
      <w:marRight w:val="0"/>
      <w:marTop w:val="0"/>
      <w:marBottom w:val="0"/>
      <w:divBdr>
        <w:top w:val="none" w:sz="0" w:space="0" w:color="auto"/>
        <w:left w:val="none" w:sz="0" w:space="0" w:color="auto"/>
        <w:bottom w:val="none" w:sz="0" w:space="0" w:color="auto"/>
        <w:right w:val="none" w:sz="0" w:space="0" w:color="auto"/>
      </w:divBdr>
    </w:div>
    <w:div w:id="545407913">
      <w:bodyDiv w:val="1"/>
      <w:marLeft w:val="0"/>
      <w:marRight w:val="0"/>
      <w:marTop w:val="0"/>
      <w:marBottom w:val="0"/>
      <w:divBdr>
        <w:top w:val="none" w:sz="0" w:space="0" w:color="auto"/>
        <w:left w:val="none" w:sz="0" w:space="0" w:color="auto"/>
        <w:bottom w:val="none" w:sz="0" w:space="0" w:color="auto"/>
        <w:right w:val="none" w:sz="0" w:space="0" w:color="auto"/>
      </w:divBdr>
    </w:div>
    <w:div w:id="545795610">
      <w:bodyDiv w:val="1"/>
      <w:marLeft w:val="0"/>
      <w:marRight w:val="0"/>
      <w:marTop w:val="0"/>
      <w:marBottom w:val="0"/>
      <w:divBdr>
        <w:top w:val="none" w:sz="0" w:space="0" w:color="auto"/>
        <w:left w:val="none" w:sz="0" w:space="0" w:color="auto"/>
        <w:bottom w:val="none" w:sz="0" w:space="0" w:color="auto"/>
        <w:right w:val="none" w:sz="0" w:space="0" w:color="auto"/>
      </w:divBdr>
    </w:div>
    <w:div w:id="551431630">
      <w:bodyDiv w:val="1"/>
      <w:marLeft w:val="0"/>
      <w:marRight w:val="0"/>
      <w:marTop w:val="0"/>
      <w:marBottom w:val="0"/>
      <w:divBdr>
        <w:top w:val="none" w:sz="0" w:space="0" w:color="auto"/>
        <w:left w:val="none" w:sz="0" w:space="0" w:color="auto"/>
        <w:bottom w:val="none" w:sz="0" w:space="0" w:color="auto"/>
        <w:right w:val="none" w:sz="0" w:space="0" w:color="auto"/>
      </w:divBdr>
    </w:div>
    <w:div w:id="568880793">
      <w:bodyDiv w:val="1"/>
      <w:marLeft w:val="0"/>
      <w:marRight w:val="0"/>
      <w:marTop w:val="0"/>
      <w:marBottom w:val="0"/>
      <w:divBdr>
        <w:top w:val="none" w:sz="0" w:space="0" w:color="auto"/>
        <w:left w:val="none" w:sz="0" w:space="0" w:color="auto"/>
        <w:bottom w:val="none" w:sz="0" w:space="0" w:color="auto"/>
        <w:right w:val="none" w:sz="0" w:space="0" w:color="auto"/>
      </w:divBdr>
    </w:div>
    <w:div w:id="605962209">
      <w:bodyDiv w:val="1"/>
      <w:marLeft w:val="0"/>
      <w:marRight w:val="0"/>
      <w:marTop w:val="0"/>
      <w:marBottom w:val="0"/>
      <w:divBdr>
        <w:top w:val="none" w:sz="0" w:space="0" w:color="auto"/>
        <w:left w:val="none" w:sz="0" w:space="0" w:color="auto"/>
        <w:bottom w:val="none" w:sz="0" w:space="0" w:color="auto"/>
        <w:right w:val="none" w:sz="0" w:space="0" w:color="auto"/>
      </w:divBdr>
    </w:div>
    <w:div w:id="638001753">
      <w:bodyDiv w:val="1"/>
      <w:marLeft w:val="0"/>
      <w:marRight w:val="0"/>
      <w:marTop w:val="0"/>
      <w:marBottom w:val="0"/>
      <w:divBdr>
        <w:top w:val="none" w:sz="0" w:space="0" w:color="auto"/>
        <w:left w:val="none" w:sz="0" w:space="0" w:color="auto"/>
        <w:bottom w:val="none" w:sz="0" w:space="0" w:color="auto"/>
        <w:right w:val="none" w:sz="0" w:space="0" w:color="auto"/>
      </w:divBdr>
    </w:div>
    <w:div w:id="665137168">
      <w:bodyDiv w:val="1"/>
      <w:marLeft w:val="0"/>
      <w:marRight w:val="0"/>
      <w:marTop w:val="0"/>
      <w:marBottom w:val="0"/>
      <w:divBdr>
        <w:top w:val="none" w:sz="0" w:space="0" w:color="auto"/>
        <w:left w:val="none" w:sz="0" w:space="0" w:color="auto"/>
        <w:bottom w:val="none" w:sz="0" w:space="0" w:color="auto"/>
        <w:right w:val="none" w:sz="0" w:space="0" w:color="auto"/>
      </w:divBdr>
      <w:divsChild>
        <w:div w:id="406421150">
          <w:marLeft w:val="0"/>
          <w:marRight w:val="0"/>
          <w:marTop w:val="0"/>
          <w:marBottom w:val="0"/>
          <w:divBdr>
            <w:top w:val="none" w:sz="0" w:space="0" w:color="auto"/>
            <w:left w:val="none" w:sz="0" w:space="0" w:color="auto"/>
            <w:bottom w:val="none" w:sz="0" w:space="0" w:color="auto"/>
            <w:right w:val="none" w:sz="0" w:space="0" w:color="auto"/>
          </w:divBdr>
        </w:div>
        <w:div w:id="710805425">
          <w:marLeft w:val="0"/>
          <w:marRight w:val="0"/>
          <w:marTop w:val="0"/>
          <w:marBottom w:val="0"/>
          <w:divBdr>
            <w:top w:val="none" w:sz="0" w:space="0" w:color="auto"/>
            <w:left w:val="none" w:sz="0" w:space="0" w:color="auto"/>
            <w:bottom w:val="none" w:sz="0" w:space="0" w:color="auto"/>
            <w:right w:val="none" w:sz="0" w:space="0" w:color="auto"/>
          </w:divBdr>
        </w:div>
      </w:divsChild>
    </w:div>
    <w:div w:id="674380739">
      <w:bodyDiv w:val="1"/>
      <w:marLeft w:val="0"/>
      <w:marRight w:val="0"/>
      <w:marTop w:val="0"/>
      <w:marBottom w:val="0"/>
      <w:divBdr>
        <w:top w:val="none" w:sz="0" w:space="0" w:color="auto"/>
        <w:left w:val="none" w:sz="0" w:space="0" w:color="auto"/>
        <w:bottom w:val="none" w:sz="0" w:space="0" w:color="auto"/>
        <w:right w:val="none" w:sz="0" w:space="0" w:color="auto"/>
      </w:divBdr>
    </w:div>
    <w:div w:id="726490261">
      <w:bodyDiv w:val="1"/>
      <w:marLeft w:val="0"/>
      <w:marRight w:val="0"/>
      <w:marTop w:val="0"/>
      <w:marBottom w:val="0"/>
      <w:divBdr>
        <w:top w:val="none" w:sz="0" w:space="0" w:color="auto"/>
        <w:left w:val="none" w:sz="0" w:space="0" w:color="auto"/>
        <w:bottom w:val="none" w:sz="0" w:space="0" w:color="auto"/>
        <w:right w:val="none" w:sz="0" w:space="0" w:color="auto"/>
      </w:divBdr>
    </w:div>
    <w:div w:id="768040038">
      <w:bodyDiv w:val="1"/>
      <w:marLeft w:val="0"/>
      <w:marRight w:val="0"/>
      <w:marTop w:val="0"/>
      <w:marBottom w:val="0"/>
      <w:divBdr>
        <w:top w:val="none" w:sz="0" w:space="0" w:color="auto"/>
        <w:left w:val="none" w:sz="0" w:space="0" w:color="auto"/>
        <w:bottom w:val="none" w:sz="0" w:space="0" w:color="auto"/>
        <w:right w:val="none" w:sz="0" w:space="0" w:color="auto"/>
      </w:divBdr>
    </w:div>
    <w:div w:id="768231485">
      <w:bodyDiv w:val="1"/>
      <w:marLeft w:val="0"/>
      <w:marRight w:val="0"/>
      <w:marTop w:val="0"/>
      <w:marBottom w:val="0"/>
      <w:divBdr>
        <w:top w:val="none" w:sz="0" w:space="0" w:color="auto"/>
        <w:left w:val="none" w:sz="0" w:space="0" w:color="auto"/>
        <w:bottom w:val="none" w:sz="0" w:space="0" w:color="auto"/>
        <w:right w:val="none" w:sz="0" w:space="0" w:color="auto"/>
      </w:divBdr>
    </w:div>
    <w:div w:id="772436585">
      <w:bodyDiv w:val="1"/>
      <w:marLeft w:val="0"/>
      <w:marRight w:val="0"/>
      <w:marTop w:val="0"/>
      <w:marBottom w:val="0"/>
      <w:divBdr>
        <w:top w:val="none" w:sz="0" w:space="0" w:color="auto"/>
        <w:left w:val="none" w:sz="0" w:space="0" w:color="auto"/>
        <w:bottom w:val="none" w:sz="0" w:space="0" w:color="auto"/>
        <w:right w:val="none" w:sz="0" w:space="0" w:color="auto"/>
      </w:divBdr>
    </w:div>
    <w:div w:id="790588954">
      <w:bodyDiv w:val="1"/>
      <w:marLeft w:val="0"/>
      <w:marRight w:val="0"/>
      <w:marTop w:val="0"/>
      <w:marBottom w:val="0"/>
      <w:divBdr>
        <w:top w:val="none" w:sz="0" w:space="0" w:color="auto"/>
        <w:left w:val="none" w:sz="0" w:space="0" w:color="auto"/>
        <w:bottom w:val="none" w:sz="0" w:space="0" w:color="auto"/>
        <w:right w:val="none" w:sz="0" w:space="0" w:color="auto"/>
      </w:divBdr>
      <w:divsChild>
        <w:div w:id="323701238">
          <w:marLeft w:val="0"/>
          <w:marRight w:val="0"/>
          <w:marTop w:val="0"/>
          <w:marBottom w:val="0"/>
          <w:divBdr>
            <w:top w:val="none" w:sz="0" w:space="0" w:color="auto"/>
            <w:left w:val="none" w:sz="0" w:space="0" w:color="auto"/>
            <w:bottom w:val="none" w:sz="0" w:space="0" w:color="auto"/>
            <w:right w:val="none" w:sz="0" w:space="0" w:color="auto"/>
          </w:divBdr>
        </w:div>
        <w:div w:id="168176394">
          <w:marLeft w:val="0"/>
          <w:marRight w:val="0"/>
          <w:marTop w:val="0"/>
          <w:marBottom w:val="0"/>
          <w:divBdr>
            <w:top w:val="none" w:sz="0" w:space="0" w:color="auto"/>
            <w:left w:val="none" w:sz="0" w:space="0" w:color="auto"/>
            <w:bottom w:val="none" w:sz="0" w:space="0" w:color="auto"/>
            <w:right w:val="none" w:sz="0" w:space="0" w:color="auto"/>
          </w:divBdr>
        </w:div>
      </w:divsChild>
    </w:div>
    <w:div w:id="794174312">
      <w:bodyDiv w:val="1"/>
      <w:marLeft w:val="0"/>
      <w:marRight w:val="0"/>
      <w:marTop w:val="0"/>
      <w:marBottom w:val="0"/>
      <w:divBdr>
        <w:top w:val="none" w:sz="0" w:space="0" w:color="auto"/>
        <w:left w:val="none" w:sz="0" w:space="0" w:color="auto"/>
        <w:bottom w:val="none" w:sz="0" w:space="0" w:color="auto"/>
        <w:right w:val="none" w:sz="0" w:space="0" w:color="auto"/>
      </w:divBdr>
    </w:div>
    <w:div w:id="795758124">
      <w:bodyDiv w:val="1"/>
      <w:marLeft w:val="0"/>
      <w:marRight w:val="0"/>
      <w:marTop w:val="0"/>
      <w:marBottom w:val="0"/>
      <w:divBdr>
        <w:top w:val="none" w:sz="0" w:space="0" w:color="auto"/>
        <w:left w:val="none" w:sz="0" w:space="0" w:color="auto"/>
        <w:bottom w:val="none" w:sz="0" w:space="0" w:color="auto"/>
        <w:right w:val="none" w:sz="0" w:space="0" w:color="auto"/>
      </w:divBdr>
    </w:div>
    <w:div w:id="868028551">
      <w:bodyDiv w:val="1"/>
      <w:marLeft w:val="0"/>
      <w:marRight w:val="0"/>
      <w:marTop w:val="0"/>
      <w:marBottom w:val="0"/>
      <w:divBdr>
        <w:top w:val="none" w:sz="0" w:space="0" w:color="auto"/>
        <w:left w:val="none" w:sz="0" w:space="0" w:color="auto"/>
        <w:bottom w:val="none" w:sz="0" w:space="0" w:color="auto"/>
        <w:right w:val="none" w:sz="0" w:space="0" w:color="auto"/>
      </w:divBdr>
    </w:div>
    <w:div w:id="938636042">
      <w:bodyDiv w:val="1"/>
      <w:marLeft w:val="0"/>
      <w:marRight w:val="0"/>
      <w:marTop w:val="0"/>
      <w:marBottom w:val="0"/>
      <w:divBdr>
        <w:top w:val="none" w:sz="0" w:space="0" w:color="auto"/>
        <w:left w:val="none" w:sz="0" w:space="0" w:color="auto"/>
        <w:bottom w:val="none" w:sz="0" w:space="0" w:color="auto"/>
        <w:right w:val="none" w:sz="0" w:space="0" w:color="auto"/>
      </w:divBdr>
    </w:div>
    <w:div w:id="948388569">
      <w:bodyDiv w:val="1"/>
      <w:marLeft w:val="0"/>
      <w:marRight w:val="0"/>
      <w:marTop w:val="0"/>
      <w:marBottom w:val="0"/>
      <w:divBdr>
        <w:top w:val="none" w:sz="0" w:space="0" w:color="auto"/>
        <w:left w:val="none" w:sz="0" w:space="0" w:color="auto"/>
        <w:bottom w:val="none" w:sz="0" w:space="0" w:color="auto"/>
        <w:right w:val="none" w:sz="0" w:space="0" w:color="auto"/>
      </w:divBdr>
    </w:div>
    <w:div w:id="949551808">
      <w:bodyDiv w:val="1"/>
      <w:marLeft w:val="0"/>
      <w:marRight w:val="0"/>
      <w:marTop w:val="0"/>
      <w:marBottom w:val="0"/>
      <w:divBdr>
        <w:top w:val="none" w:sz="0" w:space="0" w:color="auto"/>
        <w:left w:val="none" w:sz="0" w:space="0" w:color="auto"/>
        <w:bottom w:val="none" w:sz="0" w:space="0" w:color="auto"/>
        <w:right w:val="none" w:sz="0" w:space="0" w:color="auto"/>
      </w:divBdr>
    </w:div>
    <w:div w:id="998580533">
      <w:bodyDiv w:val="1"/>
      <w:marLeft w:val="0"/>
      <w:marRight w:val="0"/>
      <w:marTop w:val="0"/>
      <w:marBottom w:val="0"/>
      <w:divBdr>
        <w:top w:val="none" w:sz="0" w:space="0" w:color="auto"/>
        <w:left w:val="none" w:sz="0" w:space="0" w:color="auto"/>
        <w:bottom w:val="none" w:sz="0" w:space="0" w:color="auto"/>
        <w:right w:val="none" w:sz="0" w:space="0" w:color="auto"/>
      </w:divBdr>
    </w:div>
    <w:div w:id="1026060575">
      <w:bodyDiv w:val="1"/>
      <w:marLeft w:val="0"/>
      <w:marRight w:val="0"/>
      <w:marTop w:val="0"/>
      <w:marBottom w:val="0"/>
      <w:divBdr>
        <w:top w:val="none" w:sz="0" w:space="0" w:color="auto"/>
        <w:left w:val="none" w:sz="0" w:space="0" w:color="auto"/>
        <w:bottom w:val="none" w:sz="0" w:space="0" w:color="auto"/>
        <w:right w:val="none" w:sz="0" w:space="0" w:color="auto"/>
      </w:divBdr>
    </w:div>
    <w:div w:id="1057970767">
      <w:bodyDiv w:val="1"/>
      <w:marLeft w:val="0"/>
      <w:marRight w:val="0"/>
      <w:marTop w:val="0"/>
      <w:marBottom w:val="0"/>
      <w:divBdr>
        <w:top w:val="none" w:sz="0" w:space="0" w:color="auto"/>
        <w:left w:val="none" w:sz="0" w:space="0" w:color="auto"/>
        <w:bottom w:val="none" w:sz="0" w:space="0" w:color="auto"/>
        <w:right w:val="none" w:sz="0" w:space="0" w:color="auto"/>
      </w:divBdr>
      <w:divsChild>
        <w:div w:id="1981227956">
          <w:marLeft w:val="-720"/>
          <w:marRight w:val="0"/>
          <w:marTop w:val="0"/>
          <w:marBottom w:val="0"/>
          <w:divBdr>
            <w:top w:val="none" w:sz="0" w:space="0" w:color="auto"/>
            <w:left w:val="none" w:sz="0" w:space="0" w:color="auto"/>
            <w:bottom w:val="none" w:sz="0" w:space="0" w:color="auto"/>
            <w:right w:val="none" w:sz="0" w:space="0" w:color="auto"/>
          </w:divBdr>
        </w:div>
      </w:divsChild>
    </w:div>
    <w:div w:id="1074619208">
      <w:bodyDiv w:val="1"/>
      <w:marLeft w:val="0"/>
      <w:marRight w:val="0"/>
      <w:marTop w:val="0"/>
      <w:marBottom w:val="0"/>
      <w:divBdr>
        <w:top w:val="none" w:sz="0" w:space="0" w:color="auto"/>
        <w:left w:val="none" w:sz="0" w:space="0" w:color="auto"/>
        <w:bottom w:val="none" w:sz="0" w:space="0" w:color="auto"/>
        <w:right w:val="none" w:sz="0" w:space="0" w:color="auto"/>
      </w:divBdr>
    </w:div>
    <w:div w:id="1094008332">
      <w:bodyDiv w:val="1"/>
      <w:marLeft w:val="0"/>
      <w:marRight w:val="0"/>
      <w:marTop w:val="0"/>
      <w:marBottom w:val="0"/>
      <w:divBdr>
        <w:top w:val="none" w:sz="0" w:space="0" w:color="auto"/>
        <w:left w:val="none" w:sz="0" w:space="0" w:color="auto"/>
        <w:bottom w:val="none" w:sz="0" w:space="0" w:color="auto"/>
        <w:right w:val="none" w:sz="0" w:space="0" w:color="auto"/>
      </w:divBdr>
    </w:div>
    <w:div w:id="1097752418">
      <w:bodyDiv w:val="1"/>
      <w:marLeft w:val="0"/>
      <w:marRight w:val="0"/>
      <w:marTop w:val="0"/>
      <w:marBottom w:val="0"/>
      <w:divBdr>
        <w:top w:val="none" w:sz="0" w:space="0" w:color="auto"/>
        <w:left w:val="none" w:sz="0" w:space="0" w:color="auto"/>
        <w:bottom w:val="none" w:sz="0" w:space="0" w:color="auto"/>
        <w:right w:val="none" w:sz="0" w:space="0" w:color="auto"/>
      </w:divBdr>
    </w:div>
    <w:div w:id="1121072942">
      <w:bodyDiv w:val="1"/>
      <w:marLeft w:val="0"/>
      <w:marRight w:val="0"/>
      <w:marTop w:val="0"/>
      <w:marBottom w:val="0"/>
      <w:divBdr>
        <w:top w:val="none" w:sz="0" w:space="0" w:color="auto"/>
        <w:left w:val="none" w:sz="0" w:space="0" w:color="auto"/>
        <w:bottom w:val="none" w:sz="0" w:space="0" w:color="auto"/>
        <w:right w:val="none" w:sz="0" w:space="0" w:color="auto"/>
      </w:divBdr>
    </w:div>
    <w:div w:id="1159272603">
      <w:bodyDiv w:val="1"/>
      <w:marLeft w:val="0"/>
      <w:marRight w:val="0"/>
      <w:marTop w:val="0"/>
      <w:marBottom w:val="0"/>
      <w:divBdr>
        <w:top w:val="none" w:sz="0" w:space="0" w:color="auto"/>
        <w:left w:val="none" w:sz="0" w:space="0" w:color="auto"/>
        <w:bottom w:val="none" w:sz="0" w:space="0" w:color="auto"/>
        <w:right w:val="none" w:sz="0" w:space="0" w:color="auto"/>
      </w:divBdr>
    </w:div>
    <w:div w:id="1164273913">
      <w:bodyDiv w:val="1"/>
      <w:marLeft w:val="0"/>
      <w:marRight w:val="0"/>
      <w:marTop w:val="0"/>
      <w:marBottom w:val="0"/>
      <w:divBdr>
        <w:top w:val="none" w:sz="0" w:space="0" w:color="auto"/>
        <w:left w:val="none" w:sz="0" w:space="0" w:color="auto"/>
        <w:bottom w:val="none" w:sz="0" w:space="0" w:color="auto"/>
        <w:right w:val="none" w:sz="0" w:space="0" w:color="auto"/>
      </w:divBdr>
    </w:div>
    <w:div w:id="1177230045">
      <w:bodyDiv w:val="1"/>
      <w:marLeft w:val="0"/>
      <w:marRight w:val="0"/>
      <w:marTop w:val="0"/>
      <w:marBottom w:val="0"/>
      <w:divBdr>
        <w:top w:val="none" w:sz="0" w:space="0" w:color="auto"/>
        <w:left w:val="none" w:sz="0" w:space="0" w:color="auto"/>
        <w:bottom w:val="none" w:sz="0" w:space="0" w:color="auto"/>
        <w:right w:val="none" w:sz="0" w:space="0" w:color="auto"/>
      </w:divBdr>
    </w:div>
    <w:div w:id="1201358462">
      <w:bodyDiv w:val="1"/>
      <w:marLeft w:val="0"/>
      <w:marRight w:val="0"/>
      <w:marTop w:val="0"/>
      <w:marBottom w:val="0"/>
      <w:divBdr>
        <w:top w:val="none" w:sz="0" w:space="0" w:color="auto"/>
        <w:left w:val="none" w:sz="0" w:space="0" w:color="auto"/>
        <w:bottom w:val="none" w:sz="0" w:space="0" w:color="auto"/>
        <w:right w:val="none" w:sz="0" w:space="0" w:color="auto"/>
      </w:divBdr>
    </w:div>
    <w:div w:id="1232890419">
      <w:bodyDiv w:val="1"/>
      <w:marLeft w:val="0"/>
      <w:marRight w:val="0"/>
      <w:marTop w:val="0"/>
      <w:marBottom w:val="0"/>
      <w:divBdr>
        <w:top w:val="none" w:sz="0" w:space="0" w:color="auto"/>
        <w:left w:val="none" w:sz="0" w:space="0" w:color="auto"/>
        <w:bottom w:val="none" w:sz="0" w:space="0" w:color="auto"/>
        <w:right w:val="none" w:sz="0" w:space="0" w:color="auto"/>
      </w:divBdr>
    </w:div>
    <w:div w:id="1238368938">
      <w:bodyDiv w:val="1"/>
      <w:marLeft w:val="0"/>
      <w:marRight w:val="0"/>
      <w:marTop w:val="0"/>
      <w:marBottom w:val="0"/>
      <w:divBdr>
        <w:top w:val="none" w:sz="0" w:space="0" w:color="auto"/>
        <w:left w:val="none" w:sz="0" w:space="0" w:color="auto"/>
        <w:bottom w:val="none" w:sz="0" w:space="0" w:color="auto"/>
        <w:right w:val="none" w:sz="0" w:space="0" w:color="auto"/>
      </w:divBdr>
    </w:div>
    <w:div w:id="1256481212">
      <w:bodyDiv w:val="1"/>
      <w:marLeft w:val="0"/>
      <w:marRight w:val="0"/>
      <w:marTop w:val="0"/>
      <w:marBottom w:val="0"/>
      <w:divBdr>
        <w:top w:val="none" w:sz="0" w:space="0" w:color="auto"/>
        <w:left w:val="none" w:sz="0" w:space="0" w:color="auto"/>
        <w:bottom w:val="none" w:sz="0" w:space="0" w:color="auto"/>
        <w:right w:val="none" w:sz="0" w:space="0" w:color="auto"/>
      </w:divBdr>
    </w:div>
    <w:div w:id="1264143807">
      <w:bodyDiv w:val="1"/>
      <w:marLeft w:val="0"/>
      <w:marRight w:val="0"/>
      <w:marTop w:val="0"/>
      <w:marBottom w:val="0"/>
      <w:divBdr>
        <w:top w:val="none" w:sz="0" w:space="0" w:color="auto"/>
        <w:left w:val="none" w:sz="0" w:space="0" w:color="auto"/>
        <w:bottom w:val="none" w:sz="0" w:space="0" w:color="auto"/>
        <w:right w:val="none" w:sz="0" w:space="0" w:color="auto"/>
      </w:divBdr>
    </w:div>
    <w:div w:id="1267231312">
      <w:bodyDiv w:val="1"/>
      <w:marLeft w:val="0"/>
      <w:marRight w:val="0"/>
      <w:marTop w:val="0"/>
      <w:marBottom w:val="0"/>
      <w:divBdr>
        <w:top w:val="none" w:sz="0" w:space="0" w:color="auto"/>
        <w:left w:val="none" w:sz="0" w:space="0" w:color="auto"/>
        <w:bottom w:val="none" w:sz="0" w:space="0" w:color="auto"/>
        <w:right w:val="none" w:sz="0" w:space="0" w:color="auto"/>
      </w:divBdr>
    </w:div>
    <w:div w:id="1269891261">
      <w:bodyDiv w:val="1"/>
      <w:marLeft w:val="0"/>
      <w:marRight w:val="0"/>
      <w:marTop w:val="0"/>
      <w:marBottom w:val="0"/>
      <w:divBdr>
        <w:top w:val="none" w:sz="0" w:space="0" w:color="auto"/>
        <w:left w:val="none" w:sz="0" w:space="0" w:color="auto"/>
        <w:bottom w:val="none" w:sz="0" w:space="0" w:color="auto"/>
        <w:right w:val="none" w:sz="0" w:space="0" w:color="auto"/>
      </w:divBdr>
    </w:div>
    <w:div w:id="1292008778">
      <w:bodyDiv w:val="1"/>
      <w:marLeft w:val="0"/>
      <w:marRight w:val="0"/>
      <w:marTop w:val="0"/>
      <w:marBottom w:val="0"/>
      <w:divBdr>
        <w:top w:val="none" w:sz="0" w:space="0" w:color="auto"/>
        <w:left w:val="none" w:sz="0" w:space="0" w:color="auto"/>
        <w:bottom w:val="none" w:sz="0" w:space="0" w:color="auto"/>
        <w:right w:val="none" w:sz="0" w:space="0" w:color="auto"/>
      </w:divBdr>
    </w:div>
    <w:div w:id="1293363007">
      <w:bodyDiv w:val="1"/>
      <w:marLeft w:val="0"/>
      <w:marRight w:val="0"/>
      <w:marTop w:val="0"/>
      <w:marBottom w:val="0"/>
      <w:divBdr>
        <w:top w:val="none" w:sz="0" w:space="0" w:color="auto"/>
        <w:left w:val="none" w:sz="0" w:space="0" w:color="auto"/>
        <w:bottom w:val="none" w:sz="0" w:space="0" w:color="auto"/>
        <w:right w:val="none" w:sz="0" w:space="0" w:color="auto"/>
      </w:divBdr>
    </w:div>
    <w:div w:id="1344672773">
      <w:bodyDiv w:val="1"/>
      <w:marLeft w:val="0"/>
      <w:marRight w:val="0"/>
      <w:marTop w:val="0"/>
      <w:marBottom w:val="0"/>
      <w:divBdr>
        <w:top w:val="none" w:sz="0" w:space="0" w:color="auto"/>
        <w:left w:val="none" w:sz="0" w:space="0" w:color="auto"/>
        <w:bottom w:val="none" w:sz="0" w:space="0" w:color="auto"/>
        <w:right w:val="none" w:sz="0" w:space="0" w:color="auto"/>
      </w:divBdr>
    </w:div>
    <w:div w:id="1346908675">
      <w:bodyDiv w:val="1"/>
      <w:marLeft w:val="0"/>
      <w:marRight w:val="0"/>
      <w:marTop w:val="0"/>
      <w:marBottom w:val="0"/>
      <w:divBdr>
        <w:top w:val="none" w:sz="0" w:space="0" w:color="auto"/>
        <w:left w:val="none" w:sz="0" w:space="0" w:color="auto"/>
        <w:bottom w:val="none" w:sz="0" w:space="0" w:color="auto"/>
        <w:right w:val="none" w:sz="0" w:space="0" w:color="auto"/>
      </w:divBdr>
    </w:div>
    <w:div w:id="1384907716">
      <w:bodyDiv w:val="1"/>
      <w:marLeft w:val="0"/>
      <w:marRight w:val="0"/>
      <w:marTop w:val="0"/>
      <w:marBottom w:val="0"/>
      <w:divBdr>
        <w:top w:val="none" w:sz="0" w:space="0" w:color="auto"/>
        <w:left w:val="none" w:sz="0" w:space="0" w:color="auto"/>
        <w:bottom w:val="none" w:sz="0" w:space="0" w:color="auto"/>
        <w:right w:val="none" w:sz="0" w:space="0" w:color="auto"/>
      </w:divBdr>
    </w:div>
    <w:div w:id="1441487703">
      <w:bodyDiv w:val="1"/>
      <w:marLeft w:val="0"/>
      <w:marRight w:val="0"/>
      <w:marTop w:val="0"/>
      <w:marBottom w:val="0"/>
      <w:divBdr>
        <w:top w:val="none" w:sz="0" w:space="0" w:color="auto"/>
        <w:left w:val="none" w:sz="0" w:space="0" w:color="auto"/>
        <w:bottom w:val="none" w:sz="0" w:space="0" w:color="auto"/>
        <w:right w:val="none" w:sz="0" w:space="0" w:color="auto"/>
      </w:divBdr>
    </w:div>
    <w:div w:id="1451390257">
      <w:bodyDiv w:val="1"/>
      <w:marLeft w:val="0"/>
      <w:marRight w:val="0"/>
      <w:marTop w:val="0"/>
      <w:marBottom w:val="0"/>
      <w:divBdr>
        <w:top w:val="none" w:sz="0" w:space="0" w:color="auto"/>
        <w:left w:val="none" w:sz="0" w:space="0" w:color="auto"/>
        <w:bottom w:val="none" w:sz="0" w:space="0" w:color="auto"/>
        <w:right w:val="none" w:sz="0" w:space="0" w:color="auto"/>
      </w:divBdr>
    </w:div>
    <w:div w:id="1451898216">
      <w:bodyDiv w:val="1"/>
      <w:marLeft w:val="0"/>
      <w:marRight w:val="0"/>
      <w:marTop w:val="0"/>
      <w:marBottom w:val="0"/>
      <w:divBdr>
        <w:top w:val="none" w:sz="0" w:space="0" w:color="auto"/>
        <w:left w:val="none" w:sz="0" w:space="0" w:color="auto"/>
        <w:bottom w:val="none" w:sz="0" w:space="0" w:color="auto"/>
        <w:right w:val="none" w:sz="0" w:space="0" w:color="auto"/>
      </w:divBdr>
    </w:div>
    <w:div w:id="1459104046">
      <w:bodyDiv w:val="1"/>
      <w:marLeft w:val="0"/>
      <w:marRight w:val="0"/>
      <w:marTop w:val="0"/>
      <w:marBottom w:val="0"/>
      <w:divBdr>
        <w:top w:val="none" w:sz="0" w:space="0" w:color="auto"/>
        <w:left w:val="none" w:sz="0" w:space="0" w:color="auto"/>
        <w:bottom w:val="none" w:sz="0" w:space="0" w:color="auto"/>
        <w:right w:val="none" w:sz="0" w:space="0" w:color="auto"/>
      </w:divBdr>
    </w:div>
    <w:div w:id="1468742503">
      <w:bodyDiv w:val="1"/>
      <w:marLeft w:val="0"/>
      <w:marRight w:val="0"/>
      <w:marTop w:val="0"/>
      <w:marBottom w:val="0"/>
      <w:divBdr>
        <w:top w:val="none" w:sz="0" w:space="0" w:color="auto"/>
        <w:left w:val="none" w:sz="0" w:space="0" w:color="auto"/>
        <w:bottom w:val="none" w:sz="0" w:space="0" w:color="auto"/>
        <w:right w:val="none" w:sz="0" w:space="0" w:color="auto"/>
      </w:divBdr>
    </w:div>
    <w:div w:id="1489177205">
      <w:bodyDiv w:val="1"/>
      <w:marLeft w:val="0"/>
      <w:marRight w:val="0"/>
      <w:marTop w:val="0"/>
      <w:marBottom w:val="0"/>
      <w:divBdr>
        <w:top w:val="none" w:sz="0" w:space="0" w:color="auto"/>
        <w:left w:val="none" w:sz="0" w:space="0" w:color="auto"/>
        <w:bottom w:val="none" w:sz="0" w:space="0" w:color="auto"/>
        <w:right w:val="none" w:sz="0" w:space="0" w:color="auto"/>
      </w:divBdr>
    </w:div>
    <w:div w:id="1528832593">
      <w:bodyDiv w:val="1"/>
      <w:marLeft w:val="0"/>
      <w:marRight w:val="0"/>
      <w:marTop w:val="0"/>
      <w:marBottom w:val="0"/>
      <w:divBdr>
        <w:top w:val="none" w:sz="0" w:space="0" w:color="auto"/>
        <w:left w:val="none" w:sz="0" w:space="0" w:color="auto"/>
        <w:bottom w:val="none" w:sz="0" w:space="0" w:color="auto"/>
        <w:right w:val="none" w:sz="0" w:space="0" w:color="auto"/>
      </w:divBdr>
    </w:div>
    <w:div w:id="1529831486">
      <w:bodyDiv w:val="1"/>
      <w:marLeft w:val="0"/>
      <w:marRight w:val="0"/>
      <w:marTop w:val="0"/>
      <w:marBottom w:val="0"/>
      <w:divBdr>
        <w:top w:val="none" w:sz="0" w:space="0" w:color="auto"/>
        <w:left w:val="none" w:sz="0" w:space="0" w:color="auto"/>
        <w:bottom w:val="none" w:sz="0" w:space="0" w:color="auto"/>
        <w:right w:val="none" w:sz="0" w:space="0" w:color="auto"/>
      </w:divBdr>
    </w:div>
    <w:div w:id="1536574584">
      <w:bodyDiv w:val="1"/>
      <w:marLeft w:val="0"/>
      <w:marRight w:val="0"/>
      <w:marTop w:val="0"/>
      <w:marBottom w:val="0"/>
      <w:divBdr>
        <w:top w:val="none" w:sz="0" w:space="0" w:color="auto"/>
        <w:left w:val="none" w:sz="0" w:space="0" w:color="auto"/>
        <w:bottom w:val="none" w:sz="0" w:space="0" w:color="auto"/>
        <w:right w:val="none" w:sz="0" w:space="0" w:color="auto"/>
      </w:divBdr>
    </w:div>
    <w:div w:id="1538007788">
      <w:bodyDiv w:val="1"/>
      <w:marLeft w:val="0"/>
      <w:marRight w:val="0"/>
      <w:marTop w:val="0"/>
      <w:marBottom w:val="0"/>
      <w:divBdr>
        <w:top w:val="none" w:sz="0" w:space="0" w:color="auto"/>
        <w:left w:val="none" w:sz="0" w:space="0" w:color="auto"/>
        <w:bottom w:val="none" w:sz="0" w:space="0" w:color="auto"/>
        <w:right w:val="none" w:sz="0" w:space="0" w:color="auto"/>
      </w:divBdr>
    </w:div>
    <w:div w:id="1539584438">
      <w:bodyDiv w:val="1"/>
      <w:marLeft w:val="0"/>
      <w:marRight w:val="0"/>
      <w:marTop w:val="0"/>
      <w:marBottom w:val="0"/>
      <w:divBdr>
        <w:top w:val="none" w:sz="0" w:space="0" w:color="auto"/>
        <w:left w:val="none" w:sz="0" w:space="0" w:color="auto"/>
        <w:bottom w:val="none" w:sz="0" w:space="0" w:color="auto"/>
        <w:right w:val="none" w:sz="0" w:space="0" w:color="auto"/>
      </w:divBdr>
    </w:div>
    <w:div w:id="1552376828">
      <w:bodyDiv w:val="1"/>
      <w:marLeft w:val="0"/>
      <w:marRight w:val="0"/>
      <w:marTop w:val="0"/>
      <w:marBottom w:val="0"/>
      <w:divBdr>
        <w:top w:val="none" w:sz="0" w:space="0" w:color="auto"/>
        <w:left w:val="none" w:sz="0" w:space="0" w:color="auto"/>
        <w:bottom w:val="none" w:sz="0" w:space="0" w:color="auto"/>
        <w:right w:val="none" w:sz="0" w:space="0" w:color="auto"/>
      </w:divBdr>
    </w:div>
    <w:div w:id="1633292031">
      <w:bodyDiv w:val="1"/>
      <w:marLeft w:val="0"/>
      <w:marRight w:val="0"/>
      <w:marTop w:val="0"/>
      <w:marBottom w:val="0"/>
      <w:divBdr>
        <w:top w:val="none" w:sz="0" w:space="0" w:color="auto"/>
        <w:left w:val="none" w:sz="0" w:space="0" w:color="auto"/>
        <w:bottom w:val="none" w:sz="0" w:space="0" w:color="auto"/>
        <w:right w:val="none" w:sz="0" w:space="0" w:color="auto"/>
      </w:divBdr>
    </w:div>
    <w:div w:id="1659071299">
      <w:bodyDiv w:val="1"/>
      <w:marLeft w:val="0"/>
      <w:marRight w:val="0"/>
      <w:marTop w:val="0"/>
      <w:marBottom w:val="0"/>
      <w:divBdr>
        <w:top w:val="none" w:sz="0" w:space="0" w:color="auto"/>
        <w:left w:val="none" w:sz="0" w:space="0" w:color="auto"/>
        <w:bottom w:val="none" w:sz="0" w:space="0" w:color="auto"/>
        <w:right w:val="none" w:sz="0" w:space="0" w:color="auto"/>
      </w:divBdr>
    </w:div>
    <w:div w:id="1696614082">
      <w:bodyDiv w:val="1"/>
      <w:marLeft w:val="0"/>
      <w:marRight w:val="0"/>
      <w:marTop w:val="0"/>
      <w:marBottom w:val="0"/>
      <w:divBdr>
        <w:top w:val="none" w:sz="0" w:space="0" w:color="auto"/>
        <w:left w:val="none" w:sz="0" w:space="0" w:color="auto"/>
        <w:bottom w:val="none" w:sz="0" w:space="0" w:color="auto"/>
        <w:right w:val="none" w:sz="0" w:space="0" w:color="auto"/>
      </w:divBdr>
    </w:div>
    <w:div w:id="1703050483">
      <w:bodyDiv w:val="1"/>
      <w:marLeft w:val="0"/>
      <w:marRight w:val="0"/>
      <w:marTop w:val="0"/>
      <w:marBottom w:val="0"/>
      <w:divBdr>
        <w:top w:val="none" w:sz="0" w:space="0" w:color="auto"/>
        <w:left w:val="none" w:sz="0" w:space="0" w:color="auto"/>
        <w:bottom w:val="none" w:sz="0" w:space="0" w:color="auto"/>
        <w:right w:val="none" w:sz="0" w:space="0" w:color="auto"/>
      </w:divBdr>
    </w:div>
    <w:div w:id="1770543522">
      <w:bodyDiv w:val="1"/>
      <w:marLeft w:val="0"/>
      <w:marRight w:val="0"/>
      <w:marTop w:val="0"/>
      <w:marBottom w:val="0"/>
      <w:divBdr>
        <w:top w:val="none" w:sz="0" w:space="0" w:color="auto"/>
        <w:left w:val="none" w:sz="0" w:space="0" w:color="auto"/>
        <w:bottom w:val="none" w:sz="0" w:space="0" w:color="auto"/>
        <w:right w:val="none" w:sz="0" w:space="0" w:color="auto"/>
      </w:divBdr>
    </w:div>
    <w:div w:id="1772313912">
      <w:bodyDiv w:val="1"/>
      <w:marLeft w:val="0"/>
      <w:marRight w:val="0"/>
      <w:marTop w:val="0"/>
      <w:marBottom w:val="0"/>
      <w:divBdr>
        <w:top w:val="none" w:sz="0" w:space="0" w:color="auto"/>
        <w:left w:val="none" w:sz="0" w:space="0" w:color="auto"/>
        <w:bottom w:val="none" w:sz="0" w:space="0" w:color="auto"/>
        <w:right w:val="none" w:sz="0" w:space="0" w:color="auto"/>
      </w:divBdr>
    </w:div>
    <w:div w:id="1786996432">
      <w:bodyDiv w:val="1"/>
      <w:marLeft w:val="0"/>
      <w:marRight w:val="0"/>
      <w:marTop w:val="0"/>
      <w:marBottom w:val="0"/>
      <w:divBdr>
        <w:top w:val="none" w:sz="0" w:space="0" w:color="auto"/>
        <w:left w:val="none" w:sz="0" w:space="0" w:color="auto"/>
        <w:bottom w:val="none" w:sz="0" w:space="0" w:color="auto"/>
        <w:right w:val="none" w:sz="0" w:space="0" w:color="auto"/>
      </w:divBdr>
    </w:div>
    <w:div w:id="1821654074">
      <w:bodyDiv w:val="1"/>
      <w:marLeft w:val="0"/>
      <w:marRight w:val="0"/>
      <w:marTop w:val="0"/>
      <w:marBottom w:val="0"/>
      <w:divBdr>
        <w:top w:val="none" w:sz="0" w:space="0" w:color="auto"/>
        <w:left w:val="none" w:sz="0" w:space="0" w:color="auto"/>
        <w:bottom w:val="none" w:sz="0" w:space="0" w:color="auto"/>
        <w:right w:val="none" w:sz="0" w:space="0" w:color="auto"/>
      </w:divBdr>
    </w:div>
    <w:div w:id="1843667226">
      <w:bodyDiv w:val="1"/>
      <w:marLeft w:val="0"/>
      <w:marRight w:val="0"/>
      <w:marTop w:val="0"/>
      <w:marBottom w:val="0"/>
      <w:divBdr>
        <w:top w:val="none" w:sz="0" w:space="0" w:color="auto"/>
        <w:left w:val="none" w:sz="0" w:space="0" w:color="auto"/>
        <w:bottom w:val="none" w:sz="0" w:space="0" w:color="auto"/>
        <w:right w:val="none" w:sz="0" w:space="0" w:color="auto"/>
      </w:divBdr>
    </w:div>
    <w:div w:id="1920939138">
      <w:bodyDiv w:val="1"/>
      <w:marLeft w:val="0"/>
      <w:marRight w:val="0"/>
      <w:marTop w:val="0"/>
      <w:marBottom w:val="0"/>
      <w:divBdr>
        <w:top w:val="none" w:sz="0" w:space="0" w:color="auto"/>
        <w:left w:val="none" w:sz="0" w:space="0" w:color="auto"/>
        <w:bottom w:val="none" w:sz="0" w:space="0" w:color="auto"/>
        <w:right w:val="none" w:sz="0" w:space="0" w:color="auto"/>
      </w:divBdr>
    </w:div>
    <w:div w:id="1941256051">
      <w:bodyDiv w:val="1"/>
      <w:marLeft w:val="0"/>
      <w:marRight w:val="0"/>
      <w:marTop w:val="0"/>
      <w:marBottom w:val="0"/>
      <w:divBdr>
        <w:top w:val="none" w:sz="0" w:space="0" w:color="auto"/>
        <w:left w:val="none" w:sz="0" w:space="0" w:color="auto"/>
        <w:bottom w:val="none" w:sz="0" w:space="0" w:color="auto"/>
        <w:right w:val="none" w:sz="0" w:space="0" w:color="auto"/>
      </w:divBdr>
    </w:div>
    <w:div w:id="1943804091">
      <w:bodyDiv w:val="1"/>
      <w:marLeft w:val="0"/>
      <w:marRight w:val="0"/>
      <w:marTop w:val="0"/>
      <w:marBottom w:val="0"/>
      <w:divBdr>
        <w:top w:val="none" w:sz="0" w:space="0" w:color="auto"/>
        <w:left w:val="none" w:sz="0" w:space="0" w:color="auto"/>
        <w:bottom w:val="none" w:sz="0" w:space="0" w:color="auto"/>
        <w:right w:val="none" w:sz="0" w:space="0" w:color="auto"/>
      </w:divBdr>
    </w:div>
    <w:div w:id="1955213039">
      <w:bodyDiv w:val="1"/>
      <w:marLeft w:val="0"/>
      <w:marRight w:val="0"/>
      <w:marTop w:val="0"/>
      <w:marBottom w:val="0"/>
      <w:divBdr>
        <w:top w:val="none" w:sz="0" w:space="0" w:color="auto"/>
        <w:left w:val="none" w:sz="0" w:space="0" w:color="auto"/>
        <w:bottom w:val="none" w:sz="0" w:space="0" w:color="auto"/>
        <w:right w:val="none" w:sz="0" w:space="0" w:color="auto"/>
      </w:divBdr>
    </w:div>
    <w:div w:id="1982538663">
      <w:bodyDiv w:val="1"/>
      <w:marLeft w:val="0"/>
      <w:marRight w:val="0"/>
      <w:marTop w:val="0"/>
      <w:marBottom w:val="0"/>
      <w:divBdr>
        <w:top w:val="none" w:sz="0" w:space="0" w:color="auto"/>
        <w:left w:val="none" w:sz="0" w:space="0" w:color="auto"/>
        <w:bottom w:val="none" w:sz="0" w:space="0" w:color="auto"/>
        <w:right w:val="none" w:sz="0" w:space="0" w:color="auto"/>
      </w:divBdr>
    </w:div>
    <w:div w:id="1989431076">
      <w:bodyDiv w:val="1"/>
      <w:marLeft w:val="0"/>
      <w:marRight w:val="0"/>
      <w:marTop w:val="0"/>
      <w:marBottom w:val="0"/>
      <w:divBdr>
        <w:top w:val="none" w:sz="0" w:space="0" w:color="auto"/>
        <w:left w:val="none" w:sz="0" w:space="0" w:color="auto"/>
        <w:bottom w:val="none" w:sz="0" w:space="0" w:color="auto"/>
        <w:right w:val="none" w:sz="0" w:space="0" w:color="auto"/>
      </w:divBdr>
    </w:div>
    <w:div w:id="2007708182">
      <w:bodyDiv w:val="1"/>
      <w:marLeft w:val="0"/>
      <w:marRight w:val="0"/>
      <w:marTop w:val="0"/>
      <w:marBottom w:val="0"/>
      <w:divBdr>
        <w:top w:val="none" w:sz="0" w:space="0" w:color="auto"/>
        <w:left w:val="none" w:sz="0" w:space="0" w:color="auto"/>
        <w:bottom w:val="none" w:sz="0" w:space="0" w:color="auto"/>
        <w:right w:val="none" w:sz="0" w:space="0" w:color="auto"/>
      </w:divBdr>
    </w:div>
    <w:div w:id="2018651507">
      <w:bodyDiv w:val="1"/>
      <w:marLeft w:val="0"/>
      <w:marRight w:val="0"/>
      <w:marTop w:val="0"/>
      <w:marBottom w:val="0"/>
      <w:divBdr>
        <w:top w:val="none" w:sz="0" w:space="0" w:color="auto"/>
        <w:left w:val="none" w:sz="0" w:space="0" w:color="auto"/>
        <w:bottom w:val="none" w:sz="0" w:space="0" w:color="auto"/>
        <w:right w:val="none" w:sz="0" w:space="0" w:color="auto"/>
      </w:divBdr>
    </w:div>
    <w:div w:id="20493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28EC8B-A95D-4345-B62F-19A23CEFEE34}">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IAEA2022</b:Tag>
    <b:SourceType>JournalArticle</b:SourceType>
    <b:Guid>{43302126-F827-4D51-801B-01935E7FF9B5}</b:Guid>
    <b:Author>
      <b:Author>
        <b:NameList>
          <b:Person>
            <b:Last>IAEA</b:Last>
          </b:Person>
        </b:NameList>
      </b:Author>
    </b:Author>
    <b:Title>Advance Small Modular Reactor Development</b:Title>
    <b:Year>2022</b:Year>
    <b:RefOrder>3</b:RefOrder>
  </b:Source>
  <b:Source xmlns:b="http://schemas.openxmlformats.org/officeDocument/2006/bibliography" xmlns="http://schemas.openxmlformats.org/officeDocument/2006/bibliography">
    <b:Tag>p</b:Tag>
    <b:RefOrder>4</b:RefOrder>
  </b:Source>
  <b:Source>
    <b:Tag>env</b:Tag>
    <b:SourceType>JournalArticle</b:SourceType>
    <b:Guid>{3113A5C4-D5AA-45FA-97FA-0CBB6E7623D7}</b:Guid>
    <b:Author>
      <b:Author>
        <b:NameList>
          <b:Person>
            <b:Last>environment</b:Last>
            <b:First>andliger</b:First>
            <b:Middle>center for energy and</b:Middle>
          </b:Person>
        </b:NameList>
      </b:Author>
    </b:Author>
    <b:Title>Small modular reactors:a window to nuclear energy</b:Title>
    <b:RefOrder>5</b:RefOrder>
  </b:Source>
  <b:Source>
    <b:Tag>Sam24</b:Tag>
    <b:SourceType>JournalArticle</b:SourceType>
    <b:Guid>{0910A241-0B63-4E61-AEEF-787981C8C815}</b:Guid>
    <b:Author>
      <b:Author>
        <b:NameList>
          <b:Person>
            <b:Last>Amoako</b:Last>
            <b:First>Samuel</b:First>
          </b:Person>
        </b:NameList>
      </b:Author>
    </b:Author>
    <b:Title>The mitigating role of financial development on renewable energy in Ghana</b:Title>
    <b:JournalName>Elsevier</b:JournalName>
    <b:Year>2024</b:Year>
    <b:RefOrder>6</b:RefOrder>
  </b:Source>
  <b:Source>
    <b:Tag>SAm22</b:Tag>
    <b:SourceType>JournalArticle</b:SourceType>
    <b:Guid>{2F46914F-3942-415B-85B4-2969D06257B0}</b:Guid>
    <b:Author>
      <b:Author>
        <b:NameList>
          <b:Person>
            <b:Last>S. Amoako</b:Last>
            <b:First>M.</b:First>
            <b:Middle>Insaidoo</b:Middle>
          </b:Person>
        </b:NameList>
      </b:Author>
    </b:Author>
    <b:Title>Symmetric impact of FDI on energy consumption :</b:Title>
    <b:Year>2022</b:Year>
    <b:Publisher>Elsevier</b:Publisher>
    <b:RefOrder>7</b:RefOrder>
  </b:Source>
  <b:Source>
    <b:Tag>Bra21</b:Tag>
    <b:SourceType>Book</b:SourceType>
    <b:Guid>{EE3980D6-27B0-42F2-8E03-DD93928D1E25}</b:Guid>
    <b:Author>
      <b:Author>
        <b:NameList>
          <b:Person>
            <b:Last>Bragg-Sitton</b:Last>
            <b:First>S.M.</b:First>
          </b:Person>
        </b:NameList>
      </b:Author>
    </b:Author>
    <b:Title>Hybrid energy systems using small modular nuclear reactors</b:Title>
    <b:Year>2021</b:Year>
    <b:Publisher>woodhead publishing</b:Publisher>
    <b:RefOrder>8</b:RefOrder>
  </b:Source>
  <b:Source>
    <b:Tag>Wor21</b:Tag>
    <b:SourceType>Report</b:SourceType>
    <b:Guid>{D524F6D5-D168-440C-8C12-32536A1A9DFD}</b:Guid>
    <b:Title>Small nuclear power reactors.</b:Title>
    <b:Year>2021</b:Year>
    <b:Author>
      <b:Author>
        <b:NameList>
          <b:Person>
            <b:Last>WNA</b:Last>
            <b:First>World</b:First>
            <b:Middle>Nuclear Association</b:Middle>
          </b:Person>
        </b:NameList>
      </b:Author>
    </b:Author>
    <b:RefOrder>9</b:RefOrder>
  </b:Source>
  <b:Source>
    <b:Tag>AAb13</b:Tag>
    <b:SourceType>JournalArticle</b:SourceType>
    <b:Guid>{6C139EBF-2AF8-467E-B5BA-9ACDDA1F233D}</b:Guid>
    <b:Title>Expert assessments of the cost of light water</b:Title>
    <b:Year>2013</b:Year>
    <b:Author>
      <b:Author>
        <b:NameList>
          <b:Person>
            <b:Last>A. Abdulla</b:Last>
            <b:First>I.L.</b:First>
            <b:Middle>Azevedo, M.G. Morgan,</b:Middle>
          </b:Person>
        </b:NameList>
      </b:Author>
    </b:Author>
    <b:JournalName>Proc. Natl. Acad. Sci. USA</b:JournalName>
    <b:RefOrder>10</b:RefOrder>
  </b:Source>
  <b:Source>
    <b:Tag>IAE20</b:Tag>
    <b:SourceType>JournalArticle</b:SourceType>
    <b:Guid>{CBBEA8F7-01EB-4789-8B90-AA7E15C3BAC8}</b:Guid>
    <b:Author>
      <b:Author>
        <b:NameList>
          <b:Person>
            <b:Last>IAEA</b:Last>
          </b:Person>
        </b:NameList>
      </b:Author>
    </b:Author>
    <b:Title>ADVANCES IN SMALL MODULAR REACTOR</b:Title>
    <b:Year>2020</b:Year>
    <b:RefOrder>11</b:RefOrder>
  </b:Source>
  <b:Source>
    <b:Tag>IEE21</b:Tag>
    <b:SourceType>Report</b:SourceType>
    <b:Guid>{F721BDD7-10C4-49FB-B3A3-E95166B7A667}</b:Guid>
    <b:Title>Global Situation of Small Modular Reactor</b:Title>
    <b:Year>2021</b:Year>
    <b:Author>
      <b:Author>
        <b:NameList>
          <b:Person>
            <b:Last>IEEJ</b:Last>
          </b:Person>
        </b:NameList>
      </b:Author>
    </b:Author>
    <b:Publisher>ERIA Research Project FY2021 No. 07</b:Publisher>
    <b:RefOrder>12</b:RefOrder>
  </b:Source>
  <b:Source>
    <b:Tag>Int14</b:Tag>
    <b:SourceType>Report</b:SourceType>
    <b:Guid>{FB863AC6-CB8C-4A50-B390-F6C77C9D3BA7}</b:Guid>
    <b:Author>
      <b:Author>
        <b:NameList>
          <b:Person>
            <b:Last>IAEA</b:Last>
            <b:First>International</b:First>
            <b:Middle>Atomic Energy Agency</b:Middle>
          </b:Person>
        </b:NameList>
      </b:Author>
    </b:Author>
    <b:Title>Advances in Small Modular Reactor</b:Title>
    <b:Year>2014</b:Year>
    <b:Publisher>IAEA</b:Publisher>
    <b:City>vienna</b:City>
    <b:RefOrder>1</b:RefOrder>
  </b:Source>
  <b:Source>
    <b:Tag>TEC18</b:Tag>
    <b:SourceType>Report</b:SourceType>
    <b:Guid>{C84CE6BA-0732-4664-81B8-860298424F1F}</b:Guid>
    <b:Author>
      <b:Author>
        <b:NameList>
          <b:Person>
            <b:Last>TECDOC</b:Last>
          </b:Person>
        </b:NameList>
      </b:Author>
    </b:Author>
    <b:Title> Advances in Small Modular Reactor Technology Developments, A Supplement to IAEA Advanced Reactors Information System (ARIS)</b:Title>
    <b:Year>2018</b:Year>
    <b:RefOrder>2</b:RefOrder>
  </b:Source>
  <b:Source>
    <b:Tag>RSE21</b:Tag>
    <b:SourceType>Report</b:SourceType>
    <b:Guid>{55338A17-1692-4969-AEC7-450C701F3F04}</b:Guid>
    <b:Author>
      <b:Author>
        <b:NameList>
          <b:Person>
            <b:Last>R.S. El-Emam</b:Last>
            <b:First>et</b:First>
            <b:Middle>al</b:Middle>
          </b:Person>
        </b:NameList>
      </b:Author>
    </b:Author>
    <b:Title>Nuclear desalination: a sustainable route to water security,</b:Title>
    <b:Year>2021</b:Year>
    <b:RefOrder>13</b:RefOrder>
  </b:Source>
  <b:Source xmlns:b="http://schemas.openxmlformats.org/officeDocument/2006/bibliography">
    <b:Tag>Ene22</b:Tag>
    <b:SourceType>ElectronicSource</b:SourceType>
    <b:Guid>{41373F5A-7111-4937-8C11-3E1F437A92E5}</b:Guid>
    <b:Title>2022 ENERGY OUTLOOK</b:Title>
    <b:InternetSiteTitle> Energy Commission, Ghana</b:InternetSiteTitle>
    <b:Year>2022</b:Year>
    <b:Month>April</b:Month>
    <b:URL>http://www.energycom.gov.gh</b:URL>
    <b:City>Accra</b:City>
    <b:CountryRegion>Ghana</b:CountryRegion>
    <b:Author>
      <b:Author>
        <b:NameList>
          <b:Person>
            <b:Last>Energy Commission</b:Last>
            <b:First>Ghana</b:First>
          </b:Person>
        </b:NameList>
      </b:Author>
    </b:Author>
    <b:RefOrder>14</b:RefOrder>
  </b:Source>
  <b:Source>
    <b:Tag>Eri23</b:Tag>
    <b:SourceType>JournalArticle</b:SourceType>
    <b:Guid>{5EDB4197-BFE8-4C61-B436-A6703A7234DF}</b:Guid>
    <b:Author>
      <b:Author>
        <b:NameList>
          <b:Person>
            <b:Last>Eric Fosu Oteng-Abayie</b:Last>
            <b:First>John</b:First>
            <b:Middle>Bosco Dramani, Kofi Ammanor</b:Middle>
          </b:Person>
        </b:NameList>
      </b:Author>
    </b:Author>
    <b:Title>Decomposition and drivers of energy intensity in Ghana</b:Title>
    <b:JournalName>Elsevier</b:JournalName>
    <b:Year>2023</b:Year>
    <b:RefOrder>15</b:RefOrder>
  </b:Source>
</b:Sources>
</file>

<file path=customXml/itemProps1.xml><?xml version="1.0" encoding="utf-8"?>
<ds:datastoreItem xmlns:ds="http://schemas.openxmlformats.org/officeDocument/2006/customXml" ds:itemID="{95D3D553-54F7-4CA3-8F4A-A80EB763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16765</Words>
  <Characters>95563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Felix Ohene-Fobih Ameyaw</cp:lastModifiedBy>
  <cp:revision>4</cp:revision>
  <dcterms:created xsi:type="dcterms:W3CDTF">2024-09-26T00:05:00Z</dcterms:created>
  <dcterms:modified xsi:type="dcterms:W3CDTF">2024-09-30T03:57:00Z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75b72ae1-0865-4a38-ad80-9c1d23d62cbe</vt:lpwstr>
  </property>
  <property fmtid="{D5CDD505-2E9C-101B-9397-08002B2CF9AE}" pid="3" name="Mendeley Document_1">
    <vt:lpwstr>True</vt:lpwstr>
  </property>
  <property fmtid="{D5CDD505-2E9C-101B-9397-08002B2CF9AE}" pid="4" name="Mendeley Unique User Id_1">
    <vt:lpwstr>de55158f-2d2b-3573-a4a2-3405d22f24f6</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