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66439" w14:textId="02847562" w:rsidR="007B3BF7" w:rsidRDefault="006014DB" w:rsidP="007B3BF7">
      <w:pPr>
        <w:pStyle w:val="Ttulo1"/>
      </w:pPr>
      <w:r>
        <w:t>CIEMAT</w:t>
      </w:r>
      <w:r w:rsidR="007B3BF7">
        <w:t>’S CONTRIBUTIONS TO THE RESEARCH OF</w:t>
      </w:r>
    </w:p>
    <w:p w14:paraId="7A489224" w14:textId="46DBBA49" w:rsidR="003B5E0E" w:rsidRPr="003B5E0E" w:rsidRDefault="007B3BF7" w:rsidP="007B3BF7">
      <w:pPr>
        <w:pStyle w:val="Ttulo1"/>
      </w:pPr>
      <w:r>
        <w:t>SMR SAFETY AND DESIGN</w:t>
      </w:r>
    </w:p>
    <w:p w14:paraId="4D1B799F" w14:textId="77777777" w:rsidR="00802381" w:rsidRDefault="00802381" w:rsidP="00537496">
      <w:pPr>
        <w:pStyle w:val="Authornameandaffiliation"/>
      </w:pPr>
    </w:p>
    <w:p w14:paraId="32159D0F" w14:textId="1CBF9EAD" w:rsidR="003B5E0E" w:rsidRDefault="007B3BF7" w:rsidP="00537496">
      <w:pPr>
        <w:pStyle w:val="Authornameandaffiliation"/>
      </w:pPr>
      <w:r>
        <w:t>L.E. HERRANZ</w:t>
      </w:r>
    </w:p>
    <w:p w14:paraId="02370931" w14:textId="2E0B3992" w:rsidR="00FF386F" w:rsidRDefault="007B3BF7" w:rsidP="00537496">
      <w:pPr>
        <w:pStyle w:val="Authornameandaffiliation"/>
      </w:pPr>
      <w:r>
        <w:t>CIEMAT</w:t>
      </w:r>
    </w:p>
    <w:p w14:paraId="14684DE2" w14:textId="0184AE17" w:rsidR="00FF386F" w:rsidRDefault="007B3BF7" w:rsidP="00537496">
      <w:pPr>
        <w:pStyle w:val="Authornameandaffiliation"/>
      </w:pPr>
      <w:r>
        <w:t>Madrid, Spain</w:t>
      </w:r>
    </w:p>
    <w:p w14:paraId="0080899C" w14:textId="72AB2622" w:rsidR="00FF386F" w:rsidRDefault="00FF386F" w:rsidP="00537496">
      <w:pPr>
        <w:pStyle w:val="Authornameandaffiliation"/>
      </w:pPr>
      <w:r>
        <w:t xml:space="preserve">Email: </w:t>
      </w:r>
      <w:r w:rsidR="007B3BF7">
        <w:t>luisen.herranz</w:t>
      </w:r>
      <w:r>
        <w:t>@</w:t>
      </w:r>
      <w:r w:rsidR="007B3BF7">
        <w:t>ciemat.es</w:t>
      </w:r>
    </w:p>
    <w:p w14:paraId="5E2BDA1F" w14:textId="77777777" w:rsidR="00FF386F" w:rsidRDefault="00FF386F" w:rsidP="00537496">
      <w:pPr>
        <w:pStyle w:val="Authornameandaffiliation"/>
      </w:pPr>
    </w:p>
    <w:p w14:paraId="535BB6CC" w14:textId="12014FF1" w:rsidR="00FF386F" w:rsidRPr="006014DB" w:rsidRDefault="007B3BF7" w:rsidP="00537496">
      <w:pPr>
        <w:pStyle w:val="Authornameandaffiliation"/>
        <w:rPr>
          <w:lang w:val="es-ES"/>
        </w:rPr>
      </w:pPr>
      <w:r w:rsidRPr="006014DB">
        <w:rPr>
          <w:lang w:val="es-ES"/>
        </w:rPr>
        <w:t>M. GARCIA</w:t>
      </w:r>
    </w:p>
    <w:p w14:paraId="008085C2" w14:textId="064832FC" w:rsidR="00FF386F" w:rsidRPr="006014DB" w:rsidRDefault="007B3BF7" w:rsidP="00537496">
      <w:pPr>
        <w:pStyle w:val="Authornameandaffiliation"/>
        <w:rPr>
          <w:lang w:val="es-ES"/>
        </w:rPr>
      </w:pPr>
      <w:r w:rsidRPr="006014DB">
        <w:rPr>
          <w:lang w:val="es-ES"/>
        </w:rPr>
        <w:t>CIEMAT</w:t>
      </w:r>
    </w:p>
    <w:p w14:paraId="5D980831" w14:textId="1AA639E4" w:rsidR="00FF386F" w:rsidRPr="006014DB" w:rsidRDefault="007B3BF7" w:rsidP="00537496">
      <w:pPr>
        <w:pStyle w:val="Authornameandaffiliation"/>
        <w:rPr>
          <w:lang w:val="es-ES"/>
        </w:rPr>
      </w:pPr>
      <w:r w:rsidRPr="006014DB">
        <w:rPr>
          <w:lang w:val="es-ES"/>
        </w:rPr>
        <w:t>Madrid, Spain</w:t>
      </w:r>
    </w:p>
    <w:p w14:paraId="07C96AE6" w14:textId="04404A18" w:rsidR="007B3BF7" w:rsidRPr="006014DB" w:rsidRDefault="007B3BF7" w:rsidP="00537496">
      <w:pPr>
        <w:pStyle w:val="Authornameandaffiliation"/>
        <w:rPr>
          <w:lang w:val="es-ES"/>
        </w:rPr>
      </w:pPr>
    </w:p>
    <w:p w14:paraId="6FEE7DB1" w14:textId="175574FA" w:rsidR="007B3BF7" w:rsidRPr="006014DB" w:rsidRDefault="007B3BF7" w:rsidP="007B3BF7">
      <w:pPr>
        <w:pStyle w:val="Authornameandaffiliation"/>
        <w:rPr>
          <w:lang w:val="es-ES"/>
        </w:rPr>
      </w:pPr>
      <w:r w:rsidRPr="006014DB">
        <w:rPr>
          <w:lang w:val="es-ES"/>
        </w:rPr>
        <w:t>J. FONTANET</w:t>
      </w:r>
    </w:p>
    <w:p w14:paraId="2B58E2D8" w14:textId="7B719D52" w:rsidR="007B3BF7" w:rsidRPr="00FF386F" w:rsidRDefault="007B3BF7" w:rsidP="007B3BF7">
      <w:pPr>
        <w:pStyle w:val="Authornameandaffiliation"/>
      </w:pPr>
      <w:r>
        <w:t>CIEMAT</w:t>
      </w:r>
    </w:p>
    <w:p w14:paraId="31671AB7" w14:textId="50CB0232" w:rsidR="007B3BF7" w:rsidRPr="00FF386F" w:rsidRDefault="007B3BF7" w:rsidP="007B3BF7">
      <w:pPr>
        <w:pStyle w:val="Authornameandaffiliation"/>
      </w:pPr>
      <w:r>
        <w:t>Madrid, Spain</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6A3ACB70" w14:textId="54A85932" w:rsidR="007B3BF7" w:rsidRPr="007B3BF7" w:rsidRDefault="007B3BF7" w:rsidP="002F2304">
      <w:pPr>
        <w:pStyle w:val="Abstracttext"/>
        <w:jc w:val="both"/>
      </w:pPr>
      <w:r w:rsidRPr="007B3BF7">
        <w:t xml:space="preserve">On the way to decarbonization of human activities, most studies of energy scenarios to mid this century highlight the key role nuclear energy is called to play in terms of security, cost, environment, and reliability. In such a context, Small Modular Reactors (SMRs) are seen as a promising technology to be deployed in the short and medium term. Regardless the local context of nuclear electricity in Spain, CIEMAT, the national </w:t>
      </w:r>
      <w:r w:rsidR="00E3639F">
        <w:t xml:space="preserve">research </w:t>
      </w:r>
      <w:r w:rsidRPr="007B3BF7">
        <w:t xml:space="preserve">centre for energy, environment and technology, has been committed for more than a decade with research on safety of advanced reactors, with a direct projection to SMRs. </w:t>
      </w:r>
    </w:p>
    <w:p w14:paraId="18656BEA" w14:textId="695489D9" w:rsidR="007B3BF7" w:rsidRDefault="007B3BF7" w:rsidP="002F2304">
      <w:pPr>
        <w:pStyle w:val="Abstracttext"/>
        <w:jc w:val="both"/>
      </w:pPr>
      <w:r w:rsidRPr="007B3BF7">
        <w:t xml:space="preserve">CIEMAT’s investigation on SMRs may be synthesized according to the different technologies addressed: HTGRs, SFRs and LWR-SMR. </w:t>
      </w:r>
      <w:r w:rsidR="00D51414">
        <w:t xml:space="preserve">Some highlights have been gathered: the need of proving reliability of passive safety systems under prevailing accident conditions; the potential to use filtered confinements instead of containments in high temperature reactors; the need of experimental investigations digging for physics and chemical properties of significance for Na-cooled reactors; and, last but not least, the use of “conservative scenarios” as a way to set encompassing conditions to characterize the plants responses to transients and accidents. </w:t>
      </w:r>
      <w:r w:rsidRPr="007B3BF7">
        <w:t xml:space="preserve">In addition to these studies, CIEMAT developed capabilities closely related to the water-cooled SMR technologies related to passive </w:t>
      </w:r>
      <w:r w:rsidR="00E3639F">
        <w:t>safety systems</w:t>
      </w:r>
      <w:r w:rsidRPr="007B3BF7">
        <w:t>.</w:t>
      </w:r>
      <w:r w:rsidR="00B37E30" w:rsidRPr="007B3BF7" w:rsidDel="00B37E30">
        <w:t xml:space="preserve"> </w:t>
      </w:r>
    </w:p>
    <w:p w14:paraId="03C6D75B" w14:textId="74A710EC" w:rsidR="00647F33" w:rsidRDefault="002C738C" w:rsidP="00537496">
      <w:pPr>
        <w:pStyle w:val="Ttulo2"/>
        <w:numPr>
          <w:ilvl w:val="1"/>
          <w:numId w:val="10"/>
        </w:numPr>
      </w:pPr>
      <w:r>
        <w:t>I</w:t>
      </w:r>
      <w:r w:rsidR="00C95AC6">
        <w:t>ntroduction</w:t>
      </w:r>
    </w:p>
    <w:p w14:paraId="4AEC0CAA" w14:textId="05B924B8" w:rsidR="00486451" w:rsidRPr="00486451" w:rsidRDefault="00486451" w:rsidP="00486451">
      <w:pPr>
        <w:pStyle w:val="Textoindependiente"/>
      </w:pPr>
      <w:r w:rsidRPr="00486451">
        <w:t>The growing global demand for energy coupled with the</w:t>
      </w:r>
      <w:r w:rsidR="00EB73DE">
        <w:t xml:space="preserve"> </w:t>
      </w:r>
      <w:r w:rsidRPr="00486451">
        <w:t xml:space="preserve">recent energy crisis in Europe is forcing countries to look for new forms of energy generation in the context of climate change. In this framework, Small </w:t>
      </w:r>
      <w:r>
        <w:t>M</w:t>
      </w:r>
      <w:r w:rsidRPr="00486451">
        <w:t xml:space="preserve">odular </w:t>
      </w:r>
      <w:r>
        <w:t>R</w:t>
      </w:r>
      <w:r w:rsidRPr="00486451">
        <w:t>eactors</w:t>
      </w:r>
      <w:r>
        <w:t xml:space="preserve"> (SMRs), with a </w:t>
      </w:r>
      <w:r w:rsidRPr="00486451">
        <w:t>power capacity</w:t>
      </w:r>
      <w:r>
        <w:t xml:space="preserve"> </w:t>
      </w:r>
      <w:r w:rsidRPr="002F2304">
        <w:t>less than 300 M</w:t>
      </w:r>
      <w:r w:rsidR="00DE44D0" w:rsidRPr="002F2304">
        <w:t>W</w:t>
      </w:r>
      <w:r w:rsidRPr="002F2304">
        <w:t xml:space="preserve">e,  emerge as a valuable option due to their simplicity, enhanced safety levels due to their inherent safety characteristics such as </w:t>
      </w:r>
      <w:r w:rsidR="007207E1" w:rsidRPr="002F2304">
        <w:t xml:space="preserve">simpler design, </w:t>
      </w:r>
      <w:r w:rsidRPr="002F2304">
        <w:t>low</w:t>
      </w:r>
      <w:r w:rsidR="007207E1" w:rsidRPr="002F2304">
        <w:t>er</w:t>
      </w:r>
      <w:r w:rsidRPr="002F2304">
        <w:t xml:space="preserve"> power and </w:t>
      </w:r>
      <w:r w:rsidR="007207E1" w:rsidRPr="002F2304">
        <w:t>larger fractions of coolant</w:t>
      </w:r>
      <w:r w:rsidRPr="002F2304">
        <w:t>,</w:t>
      </w:r>
      <w:r w:rsidR="002B649F" w:rsidRPr="002F2304">
        <w:t xml:space="preserve"> </w:t>
      </w:r>
      <w:r w:rsidRPr="002F2304">
        <w:t xml:space="preserve"> </w:t>
      </w:r>
      <w:r w:rsidR="007207E1" w:rsidRPr="002F2304">
        <w:t xml:space="preserve">higher </w:t>
      </w:r>
      <w:r w:rsidR="003B70E5" w:rsidRPr="002F2304">
        <w:t>economic</w:t>
      </w:r>
      <w:r w:rsidR="007207E1" w:rsidRPr="002F2304">
        <w:t xml:space="preserve"> efficiency</w:t>
      </w:r>
      <w:r w:rsidR="003B70E5" w:rsidRPr="002F2304">
        <w:t xml:space="preserve">, due to </w:t>
      </w:r>
      <w:r w:rsidR="008974EB" w:rsidRPr="002F2304">
        <w:t>their</w:t>
      </w:r>
      <w:r w:rsidR="003B70E5" w:rsidRPr="002F2304">
        <w:t xml:space="preserve"> lower financial cost and shorter construction period</w:t>
      </w:r>
      <w:r w:rsidR="007207E1" w:rsidRPr="002F2304">
        <w:t xml:space="preserve"> </w:t>
      </w:r>
      <w:r w:rsidRPr="002F2304">
        <w:t>and their versatility as  they can also be designed</w:t>
      </w:r>
      <w:r w:rsidRPr="00486451">
        <w:t xml:space="preserve"> to produce heat for industrial processes, such as water desalination</w:t>
      </w:r>
      <w:r w:rsidR="00E3639F">
        <w:t>, district heating</w:t>
      </w:r>
      <w:r w:rsidRPr="00486451">
        <w:t xml:space="preserve"> or H</w:t>
      </w:r>
      <w:r w:rsidRPr="00486451">
        <w:rPr>
          <w:vertAlign w:val="subscript"/>
        </w:rPr>
        <w:t>2</w:t>
      </w:r>
      <w:r w:rsidRPr="00486451">
        <w:t xml:space="preserve"> production among others. </w:t>
      </w:r>
    </w:p>
    <w:p w14:paraId="5CAEB0B8" w14:textId="0E15D094" w:rsidR="00486451" w:rsidRPr="00486451" w:rsidRDefault="00486451" w:rsidP="00486451">
      <w:pPr>
        <w:pStyle w:val="Textoindependiente"/>
      </w:pPr>
      <w:r w:rsidRPr="00486451">
        <w:t>Small modular reactors encompass a variety of reactor technologies with more than 70 different SMR designs worldwide, from Light Water Reactor SMR (LWR- SMR) designs which include significant design modifications as the implementation of the Helically Coiled Steam Generators (HCSG) or the incorporation of passive safety systems to SMR designs based on GEN IV technologies as Molten Salt Reactors (MSR</w:t>
      </w:r>
      <w:r w:rsidR="00C95AC6">
        <w:t>s</w:t>
      </w:r>
      <w:r w:rsidRPr="00486451">
        <w:t>), Sodium Fast Reactors (SFR</w:t>
      </w:r>
      <w:r w:rsidR="00C95AC6">
        <w:t>s</w:t>
      </w:r>
      <w:r w:rsidRPr="00486451">
        <w:t>), Lead Fast Reactors (LFR</w:t>
      </w:r>
      <w:r w:rsidR="00C95AC6">
        <w:t>s</w:t>
      </w:r>
      <w:r w:rsidRPr="00486451">
        <w:t>) and High Temperature Gas Reactors (HTGR</w:t>
      </w:r>
      <w:r w:rsidR="00C95AC6">
        <w:t>s</w:t>
      </w:r>
      <w:r w:rsidRPr="00486451">
        <w:t xml:space="preserve">). </w:t>
      </w:r>
    </w:p>
    <w:p w14:paraId="314974BB" w14:textId="2B3F1C7C" w:rsidR="000C4C5F" w:rsidRDefault="000C4C5F" w:rsidP="000C4C5F">
      <w:pPr>
        <w:pStyle w:val="Textoindependiente"/>
      </w:pPr>
      <w:r w:rsidRPr="004F568A">
        <w:t>CIEM</w:t>
      </w:r>
      <w:r>
        <w:t>A</w:t>
      </w:r>
      <w:r w:rsidRPr="004F568A">
        <w:t>T</w:t>
      </w:r>
      <w:r>
        <w:t xml:space="preserve"> contribution to the Small Modular Reactors (SMRs) investigation may be synthesized according to the different technologies addressed along the last decade:</w:t>
      </w:r>
    </w:p>
    <w:p w14:paraId="47D4F1A8" w14:textId="77777777" w:rsidR="000C4C5F" w:rsidRDefault="000C4C5F" w:rsidP="000C4C5F">
      <w:pPr>
        <w:pStyle w:val="Textoindependiente"/>
      </w:pPr>
    </w:p>
    <w:p w14:paraId="6A10087E" w14:textId="77777777" w:rsidR="000C4C5F" w:rsidRDefault="000C4C5F" w:rsidP="000C4C5F">
      <w:pPr>
        <w:pStyle w:val="ListEmdash"/>
        <w:ind w:left="709"/>
      </w:pPr>
      <w:r>
        <w:t>High Temperature Gas-cooled Reactors (HTGRs).</w:t>
      </w:r>
    </w:p>
    <w:p w14:paraId="0422AC75" w14:textId="77777777" w:rsidR="000C4C5F" w:rsidRDefault="000C4C5F" w:rsidP="000C4C5F">
      <w:pPr>
        <w:pStyle w:val="ListEmdash"/>
        <w:ind w:left="709"/>
      </w:pPr>
      <w:r>
        <w:t>Sodium (Na)-cooled Fast Reactors (SFRs).</w:t>
      </w:r>
    </w:p>
    <w:p w14:paraId="413EC072" w14:textId="77777777" w:rsidR="000C4C5F" w:rsidRDefault="000C4C5F" w:rsidP="000C4C5F">
      <w:pPr>
        <w:pStyle w:val="ListEmdash"/>
        <w:ind w:left="709"/>
      </w:pPr>
      <w:r>
        <w:t>Water-cooled SMRs.</w:t>
      </w:r>
    </w:p>
    <w:p w14:paraId="3D807A23" w14:textId="77777777" w:rsidR="000C4C5F" w:rsidRDefault="000C4C5F" w:rsidP="000C4C5F">
      <w:pPr>
        <w:pStyle w:val="Textoindependiente"/>
      </w:pPr>
    </w:p>
    <w:p w14:paraId="1F69BB3E" w14:textId="31993CE5" w:rsidR="000C4C5F" w:rsidRDefault="000C4C5F" w:rsidP="000C4C5F">
      <w:pPr>
        <w:pStyle w:val="Textoindependiente"/>
      </w:pPr>
      <w:r>
        <w:t xml:space="preserve">In addition to these studies, which describe roughly a decade of research, CIEMAT developed capabilities closely related to the SMR technologies. In particular, CIEMAT developed phenomenological models of the passive containment cooling systems of mid- and large-size nuclear reactors that have inspired some of those </w:t>
      </w:r>
      <w:r>
        <w:lastRenderedPageBreak/>
        <w:t xml:space="preserve">included in the SMR designs </w:t>
      </w:r>
      <w:r>
        <w:fldChar w:fldCharType="begin"/>
      </w:r>
      <w:r>
        <w:instrText xml:space="preserve"> ADDIN ZOTERO_ITEM CSL_CITATION {"citationID":"qX65RvlQ","properties":{"formattedCitation":"[1], [2], [3], [4]","plainCitation":"[1], [2], [3], [4]","noteIndex":0},"citationItems":[{"id":920,"uris":["http://zotero.org/users/3216916/items/DXNL6KHI"],"itemData":{"id":920,"type":"article-journal","abstract":"European designs for the next generation of nuclear reactors incorporate innovative passive systems in their containments to enhance heat removal by condensation under postulated accident conditions. These systems consist of several units of cross-flow finned tube bundles internally cooled with water. So far most of the studies that have been addressed to the issue of heat transfer onto finned surfaces under condensing conditions have involved refrigerants and pure vapor conditions. This study presents a model (HTCFIN) capable of predicting condensation of a cross-flow air–steam mixture onto a single horizontal finned tube. The comparison of HTCFIN predictions to the available databases shows its acceptable accuracy in a wide range of conditions and allows an interpretation of the influence of major variables acting on the scenario. As a consequence, HTCFIN model represents a step forward in the present theoretical capability to estimate heat transfer within containments of next generation of European reactors in the case of a hypothetical accident.","container-title":"Nuclear Engineering and Design","DOI":"10.1016/S0029-5493(00)00278-8","ISSN":"0029-5493","issue":"2","journalAbbreviation":"Nuclear Engineering and Design","language":"en","page":"273-288","source":"ScienceDirect","title":"Modeling condensation heat transfer on a horizontal finned tube in the presence of noncondensable gases","volume":"201","author":[{"family":"Herranz","given":"Luis E"},{"family":"Muñoz-Cobo","given":"José L"},{"family":"Palomo","given":"Marı́a J"}],"issued":{"date-parts":[["2000",10,1]]}}},{"id":923,"uris":["http://zotero.org/users/3216916/items/DVPHN8LC"],"itemData":{"id":923,"type":"article-journal","abstract":"Steam condensation plays a key role in removing heat from the atmosphere of the Westinghouse AP600 containment in case of a postulated accident. A model of steam condensation on containment surfaces under anticipated accident conditions is presented and validated against an extensive and sound database. Based on the diffusion layer theory and on the use of the heat/mass transfer analogy, one can deal with large temperature gradients across the gaseous boundary layer under high mass flux circumstances. The thermal resistance of the condensate film, as well as its wavy structure, have also been considered in this model. As compared to Anderson et al. (1998) (Experimental analysis of heat transfer within the AP600 containment under postulated accident conditions. Nucl. Eng. Des. (submitted)) experimental database, an average error lower than 15%, within the experimental confidence range, has demonstrated its remarkable accuracy. In particular, the model has shown a good response to the influence of primary variables in steam condensation (i.e. subcooling, noncondensable concentration and pressure), providing a mechanistic explanation for effects such as the presence of light noncondensable gas (i.e. helium as a simulant for hydrogen) in the gaseous mixture. In addition, the model has been contrasted against correlations used in safety analysis (i.e. Uchida, Tagami, Kataoka, etc.) and occasionally to Dehbi’s database. This cross-comparison has pointed out several shortcomings in the use of these correlations and has extended the model validation to other databases.","container-title":"Nuclear Engineering and Design","DOI":"10.1016/S0029-5493(98)00164-2","ISSN":"0029-5493","issue":"1","journalAbbreviation":"Nuclear Engineering and Design","language":"en","page":"133-150","source":"ScienceDirect","title":"A diffusion layer model for steam condensation within the AP600 containment","volume":"183","author":[{"family":"Herranz","given":"Luis E."},{"family":"Anderson","given":"Mark H."},{"family":"Corradini","given":"Michael L."}],"issued":{"date-parts":[["1998",7,1]]}}},{"id":926,"uris":["http://zotero.org/users/3216916/items/IDGHTP86"],"itemData":{"id":926,"type":"article-journal","abstract":"The long term containment cooling of GE's passive BWR design is based on a new safety system called PCCS (passive containment cooling system). Performance of this system relies on the pressure difference between the drywell and wetwell in case of an accident and on the condensation of steam moving downward inside vertical tubes fully submerged in a water pool initially at room temperature. In this paper a model based on the resolution of momentum equations of both phases, the application of the heat and mass transfer analogy, and the consideration of the presence of a noncondensable gas by diffusion theory in a boundary layer is presented. Assumptions and approximations taken resulted in new methods to estimate film thickness and heat transport from the gas to the interface. Influence of phenomena such as suction, flow development, film waviness, and droplet entrainment has been accounted for. Based on this formulation, a computer programme called HVTNC (heat transfer in vertical tubes with noncondensables) has been built up. HVTNC results have been compared to the experimental data available. Experimental trends have been reproduced. Heat transfer has been found to be severely degraded by the presence of noncondensables whereas high Reynolds numbers of gas flow have been seen to enhance shear stress and therefore, heat transmission. The average error of HVTNC is essentially located at regions where only a residual fraction of heat remains to be transferred, so that minor deviations can be anticipated in the overall heat transfer in the tube. Comparison of HVTNC to other models show a substantial gain of accuracy with respect to earlier models.","container-title":"Nuclear Engineering and Design","DOI":"10.1016/S0029-5493(97)00178-7","ISSN":"0029-5493","issue":"1","journalAbbreviation":"Nuclear Engineering and Design","language":"en","page":"29-44","source":"ScienceDirect","title":"Heat transfer modeling in the vertical tubes of the passive containment cooling system of the simplified boiling water reactor","volume":"178","author":[{"family":"Herranz","given":"Luis E."},{"family":"Muñoz-Cobo","given":"José L."},{"family":"Verdú","given":"G."}],"issued":{"date-parts":[["1997",12,2]]}}},{"id":917,"uris":["http://zotero.org/users/3216916/items/XVYS8EIK"],"itemData":{"id":917,"type":"article-journal","abstract":"This paper presents a mechanistic model to predict the steam condensation on containment finned tube heat exchangers in the presence of non-condensable gases (NC) and aerosols. The total thermal resistance from the bulk gas to the coolant is formulated as a parallel combination of the convective and condensation gas resistances coupled in series to those of condensate layer, the aerosol fouling layer, the wall, and the coolant. The condensate layer thermal resistance is calculated by means of an Adamek-based condensation model. The aerosol fouling layer is computed based on diffusiophoresis, settling and impaction mechanisms. The gas mixture (steam plus NC) thermal resistance is formulated based on a diffusion layer modeling. Finally, this paper presents a Montecarlo method implemented in the FORTRAN code TAEROSOL that is able to compute the amount of aerosol mass that is deposited by impaction on the top of the finned tubes. The model results are compared with the available experimental data of the CONGA European project.","collection-title":"Festschrift Edition Celebrating the 65th Birthday of Prof. Richard T. Lahey, Jr.","container-title":"Nuclear Engineering and Design","DOI":"10.1016/j.nucengdes.2005.02.014","ISSN":"0029-5493","issue":"10","journalAbbreviation":"Nuclear Engineering and Design","language":"en","page":"1225-1237","source":"ScienceDirect","title":"Steam condensation on finned tubes, in the presence of non-condensable gases and aerosols: Influence of impaction, diffusiophoresis and settling on aerosol deposition","title-short":"Steam condensation on finned tubes, in the presence of non-condensable gases and aerosols","volume":"235","author":[{"family":"Muñoz-Cobo","given":"J. L."},{"family":"Peña","given":"J."},{"family":"Herranz","given":"L. E."},{"family":"Pérez-Navarro","given":"A."}],"issued":{"date-parts":[["2005",5,1]]}}}],"schema":"https://github.com/citation-style-language/schema/raw/master/csl-citation.json"} </w:instrText>
      </w:r>
      <w:r>
        <w:fldChar w:fldCharType="separate"/>
      </w:r>
      <w:r w:rsidRPr="000C4C5F">
        <w:t>[1], [2], [3], [4]</w:t>
      </w:r>
      <w:r>
        <w:fldChar w:fldCharType="end"/>
      </w:r>
      <w:r w:rsidRPr="000C4C5F">
        <w:t xml:space="preserve">.  </w:t>
      </w:r>
      <w:r>
        <w:t>The main contributions made for the three technologies listed above are synthesized in the next sections</w:t>
      </w:r>
      <w:r w:rsidR="00105BF4">
        <w:t xml:space="preserve"> </w:t>
      </w:r>
      <w:r w:rsidR="00105BF4">
        <w:fldChar w:fldCharType="begin"/>
      </w:r>
      <w:r w:rsidR="00105BF4">
        <w:instrText xml:space="preserve"> ADDIN ZOTERO_ITEM CSL_CITATION {"citationID":"KllgQXZm","properties":{"formattedCitation":"[5]","plainCitation":"[5]","noteIndex":0},"citationItems":[{"id":947,"uris":["http://zotero.org/users/3216916/items/9QXQ8VRX"],"itemData":{"id":947,"type":"article-journal","abstract":"Small modular reactors (SMRs) are advanced nuclear reactors with a power capacity of up to 300 MW(e) per unit. SMRs encompass a variety of reactor technologies including light water reactors, high temperature gas reactors, molten salt reactors, liquid metal cooled fast reactors, and heat pipe technology-based reactors. The research and design of these diverse SMR types require a broad set of technological capabilities related to nuclear engineering and safety. Within this context, this article attempts to assess the current state of research and technological progress achieved by the Spanish research groups and companies. The results reveal a significant level of maturity among these groups and companies in various domains such as neutronic analysis, thermal hydraulic analysis, the improvement of models related to severe accident scenarios and an active involvement in the design of novel SMR.","container-title":"Nuclear Engineering and Design","DOI":"10.1016/j.nucengdes.2023.112818","ISSN":"0029-5493","journalAbbreviation":"Nuclear Engineering and Design","page":"112818","source":"ScienceDirect","title":"Spanish research related to SMRs projects","volume":"417","author":[{"family":"Queral","given":"C."},{"family":"Redondo-Valero","given":"E."},{"family":"Sanchez-Torrijos","given":"J."},{"family":"Canal","given":"D."},{"family":"Jiménez","given":"G."},{"family":"Larriba","given":"S."},{"family":"Cuervo","given":"D."},{"family":"Cabellos","given":"O."},{"family":"Durán-Vinuesa","given":"L. F."},{"family":"Herranz","given":"L. E."},{"family":"García","given":"M."},{"family":"Martinez-Quiroga","given":"V."},{"family":"Freixa","given":"J."},{"family":"Barrachina","given":"T."},{"family":"Miro","given":"R."},{"family":"Pérez-Rodríguez","given":"E."},{"family":"Dominguez Bautista","given":"M. T."},{"family":"Larrosa","given":"O."},{"family":"Hueso-Ordoñez","given":"C."},{"family":"Gonzalez-Sevillano","given":"I."},{"family":"Ruiz-Martin","given":"J. A."}],"issued":{"date-parts":[["2024",2,1]]}}}],"schema":"https://github.com/citation-style-language/schema/raw/master/csl-citation.json"} </w:instrText>
      </w:r>
      <w:r w:rsidR="00105BF4">
        <w:fldChar w:fldCharType="separate"/>
      </w:r>
      <w:r w:rsidR="00105BF4" w:rsidRPr="00105BF4">
        <w:t>[5]</w:t>
      </w:r>
      <w:r w:rsidR="00105BF4">
        <w:fldChar w:fldCharType="end"/>
      </w:r>
      <w:r>
        <w:t xml:space="preserve">. </w:t>
      </w:r>
    </w:p>
    <w:p w14:paraId="36410D98" w14:textId="109AC90C" w:rsidR="000C4C5F" w:rsidRDefault="000C4C5F" w:rsidP="000C4C5F">
      <w:pPr>
        <w:pStyle w:val="Textoindependiente"/>
      </w:pPr>
      <w:r>
        <w:t>It is worth mentioning that such works were developed under a diversity of frameworks, from bilateral agreements with nuclear utilities, like General Electric and PBMR Ltd., to collaborations with Academy (Universidad Pontificia COmillas, UPCO-ICAI; University of Wisconsin, UW; Technical University of Valencia, UPV). In last years the financial support has come from the EURATOM Framework Programme (from the 6</w:t>
      </w:r>
      <w:r w:rsidRPr="000C4C5F">
        <w:t>th</w:t>
      </w:r>
      <w:r>
        <w:t xml:space="preserve"> FWP to nowadays, H</w:t>
      </w:r>
      <w:r w:rsidR="00DE44D0">
        <w:t>2020</w:t>
      </w:r>
      <w:r>
        <w:t xml:space="preserve">). In most cases CIEMAT’s </w:t>
      </w:r>
      <w:r w:rsidRPr="008F0CC2">
        <w:t>research has been focused on safety aspects.</w:t>
      </w:r>
    </w:p>
    <w:p w14:paraId="4533111B" w14:textId="77777777" w:rsidR="00D12B6F" w:rsidRDefault="00D12B6F" w:rsidP="00537496">
      <w:pPr>
        <w:pStyle w:val="Textoindependiente"/>
      </w:pPr>
    </w:p>
    <w:p w14:paraId="74CD1556" w14:textId="38BDF873" w:rsidR="00E25B68" w:rsidRDefault="002C738C" w:rsidP="0026525A">
      <w:pPr>
        <w:pStyle w:val="Ttulo2"/>
        <w:numPr>
          <w:ilvl w:val="1"/>
          <w:numId w:val="10"/>
        </w:numPr>
      </w:pPr>
      <w:r>
        <w:t>H</w:t>
      </w:r>
      <w:r w:rsidR="00C95AC6">
        <w:t>igh temperature gas-cooled reactors</w:t>
      </w:r>
    </w:p>
    <w:p w14:paraId="31525044" w14:textId="44CA518C" w:rsidR="00EB73DE" w:rsidRPr="00585A85" w:rsidRDefault="00EB73DE" w:rsidP="00EB73DE">
      <w:pPr>
        <w:pStyle w:val="Textoindependiente"/>
      </w:pPr>
      <w:r w:rsidRPr="00046F10">
        <w:t>Given the</w:t>
      </w:r>
      <w:r>
        <w:t xml:space="preserve"> </w:t>
      </w:r>
      <w:r w:rsidRPr="002F2304">
        <w:t xml:space="preserve">distinctive nature of Helium (He) as a coolant compared to water, a specific aspect of HTGR plants which is deserving attention is the potential use of a confinement system instead of a containment. To do so, it should be demonstrated that the confinement approach would be capable of reducing early and late offsite </w:t>
      </w:r>
      <w:r w:rsidR="003B70E5" w:rsidRPr="00585A85">
        <w:t>releases</w:t>
      </w:r>
      <w:r w:rsidRPr="00585A85">
        <w:t xml:space="preserve">. CIEMAT modeled the performance of a postulated HTGR vented confinement under prototypical accident conditions resulting from a small and a large breach of the Helium Pressure Boundary (HPB) </w:t>
      </w:r>
      <w:r w:rsidRPr="00585A85">
        <w:fldChar w:fldCharType="begin"/>
      </w:r>
      <w:r w:rsidR="00105BF4" w:rsidRPr="00585A85">
        <w:instrText xml:space="preserve"> ADDIN ZOTERO_ITEM CSL_CITATION {"citationID":"ERYhntQu","properties":{"formattedCitation":"[6]","plainCitation":"[6]","noteIndex":0},"citationItems":[{"id":914,"uris":["http://zotero.org/users/3216916/items/BLUEXVVU"],"itemData":{"id":914,"type":"article-journal","abstract":"Development of HTRs requires the performance of a thorough safety study, which includes accident analyses. Confinement building performance is a key element of the system since the behaviour of aerosol and attached fission products within the building is of an utmost relevance in terms of the potential source term to the environment. This paper explores the available simulation capabilities (ASTEC and CONTAIN codes) and illustrates the performance of a postulated HTR vented confinement under prototypical accident conditions by a scoping study based on two accident sequences characterized by Helium Pressure Boundary breaches, a small and a large break. The results obtained indicate that both codes predict very similar thermal-hydraulic responses of the confinement both in magnitude and timing. As for the aerosol behaviour, both codes predict that most of the inventory coming into the confinement is eventually depleted on the walls and only about 1% of the aerosol dust is released to the environment. The crosscomparison of codes states that largest differences are in the intercompartmental flows and the in-compartment gas composition.","container-title":"Science and Technology of Nuclear Installations","DOI":"10.1155/2009/687634","journalAbbreviation":"Science and Technology of Nuclear Installations","source":"ResearchGate","title":"Modelling of HTR Confinement Behaviour during Accidents Involving Breach of the Helium Pressure Boundary","volume":"2009","author":[{"family":"Fontanet","given":"Joan"},{"family":"Herranz","given":"Luis E."},{"family":"Alastair","given":"Ramlakan"},{"family":"Lolan","given":"Naicker"}],"issued":{"date-parts":[["2009",1,1]]}}}],"schema":"https://github.com/citation-style-language/schema/raw/master/csl-citation.json"} </w:instrText>
      </w:r>
      <w:r w:rsidRPr="00585A85">
        <w:fldChar w:fldCharType="separate"/>
      </w:r>
      <w:r w:rsidR="00105BF4" w:rsidRPr="00585A85">
        <w:t>[6]</w:t>
      </w:r>
      <w:r w:rsidRPr="00585A85">
        <w:fldChar w:fldCharType="end"/>
      </w:r>
      <w:r w:rsidRPr="00585A85">
        <w:t xml:space="preserve">. Two main configurations have been used which major difference is the presence of pools in the vent pathway to the environment (wet confinement). These pools would provide a passive closure of the confinement once the depressurization is completed. </w:t>
      </w:r>
    </w:p>
    <w:p w14:paraId="3DDE0650" w14:textId="77777777" w:rsidR="00EB73DE" w:rsidRPr="00585A85" w:rsidRDefault="00EB73DE" w:rsidP="00EB73DE">
      <w:pPr>
        <w:pStyle w:val="Textoindependiente"/>
      </w:pPr>
      <w:r w:rsidRPr="00585A85">
        <w:t>In the event of a HPB break, the primary system depressurization would sweep fission products and graphite particles circulating within the primary circuit into the reactor building. More importantly, helium discharge from the primary system would make a fraction of previously deposited particles lift-off from surfaces and add-up to the source term into the confinement. Most of the fission products are expected to eventually become attached to airborne dust particles, so that the aerosol concentration suspended into the building and their transport are key magnitudes strongly affecting the amount of radioactivity potentially leaking to the environment.</w:t>
      </w:r>
    </w:p>
    <w:p w14:paraId="09C294EE" w14:textId="60C210A4" w:rsidR="00C95AC6" w:rsidRDefault="00EB73DE" w:rsidP="00EB73DE">
      <w:pPr>
        <w:pStyle w:val="Textoindependiente"/>
      </w:pPr>
      <w:r w:rsidRPr="00585A85">
        <w:t xml:space="preserve">By using the ASTEC and CONTAIN codes, the thermal-hydraulic response was thoroughly characterized. As for the aerosol behavior, the analytical tools agreed that most of the fission products inventory coming into the confinement would be eventually </w:t>
      </w:r>
      <w:r w:rsidR="003B70E5" w:rsidRPr="00585A85">
        <w:t xml:space="preserve">deposited </w:t>
      </w:r>
      <w:r w:rsidRPr="00585A85">
        <w:t>onto the walls and only about 1% of the aerosol dust would be released into the environment. The inclusion of a permanently</w:t>
      </w:r>
      <w:r>
        <w:t xml:space="preserve"> filled pool in the pressure relief path inside the confinement (i.e., “wet confinement”) would provide a passive closure of the confinement once the depressurization was completed. The effect of having a scrubbing pool in the pathway of fission products towards the confinement vent was also modelled with ASTEC 1.3 for a very large break </w:t>
      </w:r>
      <w:r w:rsidRPr="00DE2131">
        <w:t xml:space="preserve">accident </w:t>
      </w:r>
      <w:r w:rsidRPr="00DE2131">
        <w:fldChar w:fldCharType="begin"/>
      </w:r>
      <w:r w:rsidR="00105BF4">
        <w:instrText xml:space="preserve"> ADDIN ZOTERO_ITEM CSL_CITATION {"citationID":"G3a82meY","properties":{"formattedCitation":"[7]","plainCitation":"[7]","noteIndex":0},"citationItems":[{"id":911,"uris":["http://zotero.org/users/3216916/items/ERHAI5UT"],"itemData":{"id":911,"type":"article-journal","abstract":"The HTR/VHTR is one of the six system concept chosen within the Generation IV Forum (GIF). A great deal of research is presently being done worldwide on innovative features of this system among which safety is of major importance. One specific aspect which is deserving attention is the potential use of a confinement instead of a containment. To do so, it should be demonstrated that the confinement approach would be capable of reducing early and late offsite doses. This paper presents an analysis of the performance of postulated HTR/VHTR confinements. Two main configurations have been modeled, which major difference is the presence of pools in the vent pathway to the environment (wet confinement). These pools would provide a passive closure of the confinement once the depressurization is completed. However, it could change strongly the thermal-hydraulics and decontamination capability of the confinement. To illustrate the effect of water pools on accident scenarios and of the pool design on the confinement response, a Very Large Break accident has been simulated with the ASTEC v1.3 code. Results, given in terms of the fraction of radioactive material that would reach the environment, show that water pools strongly change the thermal-hydraulic evolution within the building. Moreover, water pools are efficient aerosol traps which scrubbing efficiency depends on their configuration (i.e., vent cross section and pool submergence). A correlation has been obtained for the decontamination factor (DF) in terms the pool geometrical features. Finally, by assuming moderate filter efficiency, the addition of filters downstream the water ponds would result in total source term attenuation ten times higher than in the case of a dry confinement.","container-title":"Progress in Nuclear Energy","DOI":"10.1016/j.pnucene.2013.03.016","ISSN":"0149-1970","journalAbbreviation":"Progress in Nuclear Energy","language":"en","page":"7-14","source":"ScienceDirect","title":"Analysis of the effect of water ponds on HTR confinement behavior under accident conditions","volume":"67","author":[{"family":"Herranz","given":"Luis E."},{"family":"Fontanet","given":"Joan"}],"issued":{"date-parts":[["2013",8,1]]}}}],"schema":"https://github.com/citation-style-language/schema/raw/master/csl-citation.json"} </w:instrText>
      </w:r>
      <w:r w:rsidRPr="00DE2131">
        <w:fldChar w:fldCharType="separate"/>
      </w:r>
      <w:r w:rsidR="00105BF4" w:rsidRPr="00105BF4">
        <w:t>[7]</w:t>
      </w:r>
      <w:r w:rsidRPr="00DE2131">
        <w:fldChar w:fldCharType="end"/>
      </w:r>
      <w:r w:rsidRPr="00DE2131">
        <w:t xml:space="preserve">. </w:t>
      </w:r>
      <w:r w:rsidRPr="00FE3165">
        <w:t>Water pools would strongly change the thermal-hydraulic evolution within the building and would become efficient aerosol traps,</w:t>
      </w:r>
      <w:r w:rsidRPr="00DE2131">
        <w:t xml:space="preserve"> which scrubbing</w:t>
      </w:r>
      <w:r w:rsidRPr="00980CE8">
        <w:t xml:space="preserve"> efficiency </w:t>
      </w:r>
      <w:r>
        <w:t xml:space="preserve">would </w:t>
      </w:r>
      <w:r w:rsidRPr="00980CE8">
        <w:t xml:space="preserve">depend on their configuration (i.e., vent cross section and pool submergence). </w:t>
      </w:r>
      <w:r>
        <w:t xml:space="preserve"> Aerosol scrubbing is usually characterized by the Decontamination Factor (DF), defined as the ratio between the mass entering and exiting the suppression pool. Similarly, a global decontamination factor can be defined as the ratio of the mass injected into the building through the HPB break and the mass released to the environment. </w:t>
      </w:r>
      <w:r w:rsidRPr="00980CE8">
        <w:t xml:space="preserve">A correlation </w:t>
      </w:r>
      <w:r>
        <w:t>was developed</w:t>
      </w:r>
      <w:r w:rsidRPr="00980CE8">
        <w:t xml:space="preserve"> for the </w:t>
      </w:r>
      <w:r>
        <w:t>global D</w:t>
      </w:r>
      <w:r w:rsidRPr="00980CE8">
        <w:t xml:space="preserve">econtamination </w:t>
      </w:r>
      <w:r>
        <w:t>F</w:t>
      </w:r>
      <w:r w:rsidRPr="00980CE8">
        <w:t xml:space="preserve">actor (DF) in terms </w:t>
      </w:r>
      <w:r>
        <w:t xml:space="preserve">of </w:t>
      </w:r>
      <w:r w:rsidRPr="00980CE8">
        <w:t>the pool geometrical features</w:t>
      </w:r>
      <w:r>
        <w:t xml:space="preserve"> (i.e., </w:t>
      </w:r>
      <w:r w:rsidRPr="00E87E0A">
        <w:t>pool submergence</w:t>
      </w:r>
      <w:r>
        <w:t xml:space="preserve">, H; and </w:t>
      </w:r>
      <w:r w:rsidRPr="00E87E0A">
        <w:t>venting cross section</w:t>
      </w:r>
      <w:r>
        <w:t xml:space="preserve">, </w:t>
      </w:r>
      <w:r w:rsidRPr="00E87E0A">
        <w:t>S)</w:t>
      </w:r>
      <w:r w:rsidR="00C95AC6">
        <w:t>:</w:t>
      </w:r>
    </w:p>
    <w:p w14:paraId="2268489D" w14:textId="77777777" w:rsidR="00B035A7" w:rsidRDefault="00B035A7" w:rsidP="00C95AC6">
      <w:pPr>
        <w:pStyle w:val="Textoindependiente"/>
      </w:pPr>
    </w:p>
    <w:p w14:paraId="08D828E9" w14:textId="77777777" w:rsidR="00C95AC6" w:rsidRPr="00E87E0A" w:rsidRDefault="00C95AC6" w:rsidP="00C95AC6">
      <w:pPr>
        <w:spacing w:after="120"/>
        <w:jc w:val="center"/>
        <w:rPr>
          <w:vertAlign w:val="superscript"/>
        </w:rPr>
      </w:pPr>
      <w:r>
        <w:t>DF</w:t>
      </w:r>
      <w:r>
        <w:rPr>
          <w:vertAlign w:val="subscript"/>
        </w:rPr>
        <w:t xml:space="preserve">global </w:t>
      </w:r>
      <w:r>
        <w:t>= 3.54·H·S</w:t>
      </w:r>
      <w:r>
        <w:rPr>
          <w:vertAlign w:val="superscript"/>
        </w:rPr>
        <w:t>-0.25</w:t>
      </w:r>
    </w:p>
    <w:p w14:paraId="1917E82A" w14:textId="77777777" w:rsidR="00B035A7" w:rsidRDefault="00B035A7" w:rsidP="00C95AC6">
      <w:pPr>
        <w:pStyle w:val="Textoindependiente"/>
      </w:pPr>
    </w:p>
    <w:p w14:paraId="67A619D4" w14:textId="14689B11" w:rsidR="00C95AC6" w:rsidRDefault="00C95AC6" w:rsidP="00C95AC6">
      <w:pPr>
        <w:pStyle w:val="Textoindependiente"/>
      </w:pPr>
      <w:r>
        <w:t>As compared to the dry confinement configuration, the source term reduction in the wet version was roughly a factor of 10.</w:t>
      </w:r>
      <w:r w:rsidR="00B035A7">
        <w:t xml:space="preserve"> </w:t>
      </w:r>
      <w:r w:rsidR="00105BF4">
        <w:fldChar w:fldCharType="begin"/>
      </w:r>
      <w:r w:rsidR="00105BF4">
        <w:instrText xml:space="preserve"> REF _Ref168911512 \h </w:instrText>
      </w:r>
      <w:r w:rsidR="00105BF4">
        <w:fldChar w:fldCharType="separate"/>
      </w:r>
      <w:r w:rsidR="00105BF4" w:rsidRPr="00802381">
        <w:rPr>
          <w:i/>
        </w:rPr>
        <w:t xml:space="preserve">FIG. </w:t>
      </w:r>
      <w:r w:rsidR="00105BF4">
        <w:rPr>
          <w:i/>
          <w:noProof/>
        </w:rPr>
        <w:t>1</w:t>
      </w:r>
      <w:r w:rsidR="00105BF4">
        <w:fldChar w:fldCharType="end"/>
      </w:r>
      <w:r>
        <w:t xml:space="preserve"> compares the normalized mass released to the environment of a dry vented confinement compared to two wet-confinement configurations.</w:t>
      </w:r>
    </w:p>
    <w:p w14:paraId="06658EE6" w14:textId="77777777" w:rsidR="00EB73DE" w:rsidRDefault="00EB73DE" w:rsidP="00EB73DE">
      <w:pPr>
        <w:pStyle w:val="Textoindependiente"/>
      </w:pPr>
      <w:r>
        <w:t>The results obtained also highlight that in-confinement pressure is strongly dependent on the flow cross section of the gas entering the pool (S). The peak pressure reached for each configuration, normalized to the maximum value (</w:t>
      </w:r>
      <w:r>
        <w:fldChar w:fldCharType="begin"/>
      </w:r>
      <w:r>
        <w:instrText xml:space="preserve"> REF _Ref167803750 \h </w:instrText>
      </w:r>
      <w:r>
        <w:fldChar w:fldCharType="separate"/>
      </w:r>
      <w:r w:rsidRPr="00802381">
        <w:rPr>
          <w:i/>
        </w:rPr>
        <w:t xml:space="preserve">FIG. </w:t>
      </w:r>
      <w:r>
        <w:t xml:space="preserve"> </w:t>
      </w:r>
      <w:r>
        <w:rPr>
          <w:noProof/>
        </w:rPr>
        <w:t>2</w:t>
      </w:r>
      <w:r>
        <w:fldChar w:fldCharType="end"/>
      </w:r>
      <w:r>
        <w:t>) can be well fitted by a quadratic curve:</w:t>
      </w:r>
    </w:p>
    <w:p w14:paraId="0127BD5D" w14:textId="77777777" w:rsidR="00EB73DE" w:rsidRDefault="00EB73DE" w:rsidP="00EB73DE">
      <w:pPr>
        <w:pStyle w:val="Textoindependiente"/>
      </w:pPr>
    </w:p>
    <w:p w14:paraId="6C9847EA" w14:textId="77777777" w:rsidR="00EB73DE" w:rsidRDefault="00EB73DE" w:rsidP="00EB73DE">
      <w:pPr>
        <w:spacing w:after="120"/>
        <w:jc w:val="center"/>
      </w:pPr>
      <w:r>
        <w:t>P</w:t>
      </w:r>
      <w:r w:rsidRPr="00082CEF">
        <w:rPr>
          <w:vertAlign w:val="subscript"/>
        </w:rPr>
        <w:t>peak</w:t>
      </w:r>
      <w:r>
        <w:t xml:space="preserve"> = 1.01 – 0.71·S + 0.45·S</w:t>
      </w:r>
      <w:r w:rsidRPr="00082CEF">
        <w:rPr>
          <w:vertAlign w:val="superscript"/>
        </w:rPr>
        <w:t>2</w:t>
      </w:r>
    </w:p>
    <w:p w14:paraId="290BBF84" w14:textId="77777777" w:rsidR="00EB73DE" w:rsidRDefault="00EB73DE" w:rsidP="00EB73DE">
      <w:pPr>
        <w:pStyle w:val="Textoindependiente"/>
      </w:pPr>
      <w:bookmarkStart w:id="0" w:name="_GoBack"/>
      <w:bookmarkEnd w:id="0"/>
    </w:p>
    <w:p w14:paraId="42BEF25C" w14:textId="77777777" w:rsidR="00EB73DE" w:rsidRDefault="00EB73DE" w:rsidP="00EB73DE">
      <w:pPr>
        <w:pStyle w:val="Textoindependiente"/>
        <w:jc w:val="center"/>
      </w:pPr>
      <w:r>
        <w:rPr>
          <w:noProof/>
          <w:lang w:val="es-ES" w:eastAsia="es-ES"/>
        </w:rPr>
        <w:lastRenderedPageBreak/>
        <w:drawing>
          <wp:inline distT="0" distB="0" distL="0" distR="0" wp14:anchorId="2A6E2DF5" wp14:editId="5FE5CA12">
            <wp:extent cx="3023142" cy="2323465"/>
            <wp:effectExtent l="0" t="0" r="6350" b="63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5983" cy="2325648"/>
                    </a:xfrm>
                    <a:prstGeom prst="rect">
                      <a:avLst/>
                    </a:prstGeom>
                    <a:noFill/>
                  </pic:spPr>
                </pic:pic>
              </a:graphicData>
            </a:graphic>
          </wp:inline>
        </w:drawing>
      </w:r>
    </w:p>
    <w:p w14:paraId="3264913C" w14:textId="77777777" w:rsidR="00EB73DE" w:rsidRDefault="00EB73DE" w:rsidP="00EB73DE">
      <w:pPr>
        <w:pStyle w:val="Textoindependiente"/>
        <w:rPr>
          <w:sz w:val="22"/>
        </w:rPr>
      </w:pPr>
      <w:r>
        <w:rPr>
          <w:noProof/>
          <w:lang w:val="es-ES" w:eastAsia="es-ES"/>
        </w:rPr>
        <mc:AlternateContent>
          <mc:Choice Requires="wps">
            <w:drawing>
              <wp:inline distT="0" distB="0" distL="0" distR="0" wp14:anchorId="0D860BFA" wp14:editId="6A863DD3">
                <wp:extent cx="4940300" cy="635"/>
                <wp:effectExtent l="0" t="0" r="0" b="5080"/>
                <wp:docPr id="12" name="Text Box 2"/>
                <wp:cNvGraphicFramePr/>
                <a:graphic xmlns:a="http://schemas.openxmlformats.org/drawingml/2006/main">
                  <a:graphicData uri="http://schemas.microsoft.com/office/word/2010/wordprocessingShape">
                    <wps:wsp>
                      <wps:cNvSpPr txBox="1"/>
                      <wps:spPr>
                        <a:xfrm>
                          <a:off x="0" y="0"/>
                          <a:ext cx="4940300" cy="635"/>
                        </a:xfrm>
                        <a:prstGeom prst="rect">
                          <a:avLst/>
                        </a:prstGeom>
                        <a:solidFill>
                          <a:prstClr val="white"/>
                        </a:solidFill>
                        <a:ln>
                          <a:noFill/>
                        </a:ln>
                        <a:effectLst/>
                      </wps:spPr>
                      <wps:txbx>
                        <w:txbxContent>
                          <w:p w14:paraId="3736F9FD" w14:textId="77777777" w:rsidR="0048122F" w:rsidRPr="00802381" w:rsidRDefault="0048122F" w:rsidP="00EB73DE">
                            <w:pPr>
                              <w:pStyle w:val="Descripcin"/>
                              <w:jc w:val="center"/>
                              <w:rPr>
                                <w:i/>
                                <w:sz w:val="20"/>
                              </w:rPr>
                            </w:pPr>
                            <w:bookmarkStart w:id="1" w:name="_Ref168911512"/>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bookmarkEnd w:id="1"/>
                            <w:r>
                              <w:rPr>
                                <w:i/>
                              </w:rPr>
                              <w:t>. Normalized released mass to the environment: dry (1</w:t>
                            </w:r>
                            <w:r w:rsidRPr="00B035A7">
                              <w:rPr>
                                <w:i/>
                                <w:vertAlign w:val="superscript"/>
                              </w:rPr>
                              <w:t>st</w:t>
                            </w:r>
                            <w:r>
                              <w:rPr>
                                <w:i/>
                              </w:rPr>
                              <w:t xml:space="preserve"> column) vs. wet confinement (2</w:t>
                            </w:r>
                            <w:r w:rsidRPr="00B035A7">
                              <w:rPr>
                                <w:i/>
                                <w:vertAlign w:val="superscript"/>
                              </w:rPr>
                              <w:t>nd</w:t>
                            </w:r>
                            <w:r>
                              <w:rPr>
                                <w:i/>
                              </w:rPr>
                              <w:t xml:space="preserve"> and 3</w:t>
                            </w:r>
                            <w:r w:rsidRPr="00B035A7">
                              <w:rPr>
                                <w:i/>
                                <w:vertAlign w:val="superscript"/>
                              </w:rPr>
                              <w:t>rd</w:t>
                            </w:r>
                            <w:r>
                              <w:rPr>
                                <w:i/>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0D860BFA" id="_x0000_t202" coordsize="21600,21600" o:spt="202" path="m,l,21600r21600,l21600,xe">
                <v:stroke joinstyle="miter"/>
                <v:path gradientshapeok="t" o:connecttype="rect"/>
              </v:shapetype>
              <v:shape id="Text Box 2" o:spid="_x0000_s1026" type="#_x0000_t202" style="width:389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" stroked="f">
                <v:textbox style="mso-fit-shape-to-text:t" inset="0,0,0,0">
                  <w:txbxContent>
                    <w:p w14:paraId="3736F9FD" w14:textId="77777777" w:rsidR="0048122F" w:rsidRPr="00802381" w:rsidRDefault="0048122F" w:rsidP="00EB73DE">
                      <w:pPr>
                        <w:pStyle w:val="Descripcin"/>
                        <w:jc w:val="center"/>
                        <w:rPr>
                          <w:i/>
                          <w:sz w:val="20"/>
                        </w:rPr>
                      </w:pPr>
                      <w:bookmarkStart w:id="12" w:name="_Ref168911512"/>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bookmarkEnd w:id="12"/>
                      <w:r>
                        <w:rPr>
                          <w:i/>
                        </w:rPr>
                        <w:t>. Normalized released mass to the environment: dry (1</w:t>
                      </w:r>
                      <w:r w:rsidRPr="00B035A7">
                        <w:rPr>
                          <w:i/>
                          <w:vertAlign w:val="superscript"/>
                        </w:rPr>
                        <w:t>st</w:t>
                      </w:r>
                      <w:r>
                        <w:rPr>
                          <w:i/>
                        </w:rPr>
                        <w:t xml:space="preserve"> column) vs. wet confinement (2</w:t>
                      </w:r>
                      <w:r w:rsidRPr="00B035A7">
                        <w:rPr>
                          <w:i/>
                          <w:vertAlign w:val="superscript"/>
                        </w:rPr>
                        <w:t>nd</w:t>
                      </w:r>
                      <w:r>
                        <w:rPr>
                          <w:i/>
                        </w:rPr>
                        <w:t xml:space="preserve"> and 3</w:t>
                      </w:r>
                      <w:r w:rsidRPr="00B035A7">
                        <w:rPr>
                          <w:i/>
                          <w:vertAlign w:val="superscript"/>
                        </w:rPr>
                        <w:t>rd</w:t>
                      </w:r>
                      <w:r>
                        <w:rPr>
                          <w:i/>
                        </w:rPr>
                        <w:t>).</w:t>
                      </w:r>
                    </w:p>
                  </w:txbxContent>
                </v:textbox>
                <w10:anchorlock/>
              </v:shape>
            </w:pict>
          </mc:Fallback>
        </mc:AlternateContent>
      </w:r>
    </w:p>
    <w:p w14:paraId="57246E28" w14:textId="77777777" w:rsidR="00EB73DE" w:rsidRDefault="00EB73DE" w:rsidP="00EB73DE">
      <w:pPr>
        <w:pStyle w:val="Textoindependiente"/>
        <w:rPr>
          <w:sz w:val="22"/>
        </w:rPr>
      </w:pPr>
    </w:p>
    <w:p w14:paraId="2BA2D9B0" w14:textId="77777777" w:rsidR="00EB73DE" w:rsidRDefault="00EB73DE" w:rsidP="00EB73DE">
      <w:pPr>
        <w:pStyle w:val="Textoindependiente"/>
        <w:jc w:val="center"/>
        <w:rPr>
          <w:sz w:val="22"/>
        </w:rPr>
      </w:pPr>
      <w:r>
        <w:rPr>
          <w:noProof/>
          <w:sz w:val="22"/>
          <w:lang w:val="es-ES" w:eastAsia="es-ES"/>
        </w:rPr>
        <w:drawing>
          <wp:inline distT="0" distB="0" distL="0" distR="0" wp14:anchorId="3AFEB6D9" wp14:editId="58B96B96">
            <wp:extent cx="3743325" cy="2748981"/>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6016" cy="2750957"/>
                    </a:xfrm>
                    <a:prstGeom prst="rect">
                      <a:avLst/>
                    </a:prstGeom>
                    <a:noFill/>
                  </pic:spPr>
                </pic:pic>
              </a:graphicData>
            </a:graphic>
          </wp:inline>
        </w:drawing>
      </w:r>
    </w:p>
    <w:p w14:paraId="2185F0A8" w14:textId="77777777" w:rsidR="00EB73DE" w:rsidRDefault="00EB73DE" w:rsidP="00EB73DE">
      <w:pPr>
        <w:pStyle w:val="Textoindependiente"/>
        <w:rPr>
          <w:sz w:val="22"/>
        </w:rPr>
      </w:pPr>
      <w:r>
        <w:rPr>
          <w:noProof/>
          <w:lang w:val="es-ES" w:eastAsia="es-ES"/>
        </w:rPr>
        <mc:AlternateContent>
          <mc:Choice Requires="wps">
            <w:drawing>
              <wp:inline distT="0" distB="0" distL="0" distR="0" wp14:anchorId="5C6141A4" wp14:editId="1A201CDA">
                <wp:extent cx="4940300" cy="635"/>
                <wp:effectExtent l="0" t="0" r="0" b="5080"/>
                <wp:docPr id="6" name="Text Box 2"/>
                <wp:cNvGraphicFramePr/>
                <a:graphic xmlns:a="http://schemas.openxmlformats.org/drawingml/2006/main">
                  <a:graphicData uri="http://schemas.microsoft.com/office/word/2010/wordprocessingShape">
                    <wps:wsp>
                      <wps:cNvSpPr txBox="1"/>
                      <wps:spPr>
                        <a:xfrm>
                          <a:off x="0" y="0"/>
                          <a:ext cx="4940300" cy="635"/>
                        </a:xfrm>
                        <a:prstGeom prst="rect">
                          <a:avLst/>
                        </a:prstGeom>
                        <a:solidFill>
                          <a:prstClr val="white"/>
                        </a:solidFill>
                        <a:ln>
                          <a:noFill/>
                        </a:ln>
                        <a:effectLst/>
                      </wps:spPr>
                      <wps:txbx>
                        <w:txbxContent>
                          <w:p w14:paraId="53212352" w14:textId="77777777" w:rsidR="0048122F" w:rsidRPr="00802381" w:rsidRDefault="0048122F" w:rsidP="00666FA4">
                            <w:pPr>
                              <w:pStyle w:val="Descripcin"/>
                              <w:jc w:val="center"/>
                              <w:rPr>
                                <w:i/>
                                <w:sz w:val="20"/>
                              </w:rPr>
                            </w:pPr>
                            <w:bookmarkStart w:id="2" w:name="_Ref167803750"/>
                            <w:r w:rsidRPr="00802381">
                              <w:rPr>
                                <w:i/>
                              </w:rPr>
                              <w:t xml:space="preserve">FIG. </w:t>
                            </w:r>
                            <w:r>
                              <w:t xml:space="preserve"> </w:t>
                            </w:r>
                            <w:r>
                              <w:fldChar w:fldCharType="begin"/>
                            </w:r>
                            <w:r>
                              <w:instrText xml:space="preserve"> SEQ Figure \* ARABIC </w:instrText>
                            </w:r>
                            <w:r>
                              <w:fldChar w:fldCharType="separate"/>
                            </w:r>
                            <w:r>
                              <w:rPr>
                                <w:noProof/>
                              </w:rPr>
                              <w:t>2</w:t>
                            </w:r>
                            <w:r>
                              <w:fldChar w:fldCharType="end"/>
                            </w:r>
                            <w:bookmarkEnd w:id="2"/>
                            <w:r>
                              <w:t xml:space="preserve"> </w:t>
                            </w:r>
                            <w:r>
                              <w:rPr>
                                <w:i/>
                              </w:rPr>
                              <w:t>Normalized peak pressure as a function of the flow path cross section.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5C6141A4" id="_x0000_s1027" type="#_x0000_t202" style="width:389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" stroked="f">
                <v:textbox style="mso-fit-shape-to-text:t" inset="0,0,0,0">
                  <w:txbxContent>
                    <w:p w14:paraId="53212352" w14:textId="77777777" w:rsidR="0048122F" w:rsidRPr="00802381" w:rsidRDefault="0048122F" w:rsidP="00666FA4">
                      <w:pPr>
                        <w:pStyle w:val="Descripcin"/>
                        <w:jc w:val="center"/>
                        <w:rPr>
                          <w:i/>
                          <w:sz w:val="20"/>
                        </w:rPr>
                      </w:pPr>
                      <w:bookmarkStart w:id="14" w:name="_Ref167803750"/>
                      <w:r w:rsidRPr="00802381">
                        <w:rPr>
                          <w:i/>
                        </w:rPr>
                        <w:t xml:space="preserve">FIG. </w:t>
                      </w:r>
                      <w:r>
                        <w:t xml:space="preserve"> </w:t>
                      </w:r>
                      <w:r>
                        <w:fldChar w:fldCharType="begin"/>
                      </w:r>
                      <w:r>
                        <w:instrText xml:space="preserve"> SEQ Figure \* ARABIC </w:instrText>
                      </w:r>
                      <w:r>
                        <w:fldChar w:fldCharType="separate"/>
                      </w:r>
                      <w:r>
                        <w:rPr>
                          <w:noProof/>
                        </w:rPr>
                        <w:t>2</w:t>
                      </w:r>
                      <w:r>
                        <w:fldChar w:fldCharType="end"/>
                      </w:r>
                      <w:bookmarkEnd w:id="14"/>
                      <w:r>
                        <w:t xml:space="preserve"> </w:t>
                      </w:r>
                      <w:r>
                        <w:rPr>
                          <w:i/>
                        </w:rPr>
                        <w:t>Normalized peak pressure as a function of the flow path cross section.</w:t>
                      </w:r>
                    </w:p>
                  </w:txbxContent>
                </v:textbox>
                <w10:anchorlock/>
              </v:shape>
            </w:pict>
          </mc:Fallback>
        </mc:AlternateContent>
      </w:r>
    </w:p>
    <w:p w14:paraId="6A39DA24" w14:textId="77777777" w:rsidR="00C95AC6" w:rsidRDefault="00C95AC6" w:rsidP="00C95AC6">
      <w:pPr>
        <w:pStyle w:val="Textoindependiente"/>
      </w:pPr>
    </w:p>
    <w:p w14:paraId="4504590B" w14:textId="36FAC8E1" w:rsidR="00C95AC6" w:rsidRDefault="00C95AC6" w:rsidP="008C6667">
      <w:pPr>
        <w:pStyle w:val="Textoindependiente"/>
      </w:pPr>
      <w:r w:rsidRPr="00B73B1A">
        <w:t xml:space="preserve">Outside the safety domain, in collaboration with UPCO-ICAI, CIEMAT explored the potential of (V)HTRs (Very) to enhance their thermal efficiency by using Brayton cycles instead the traditional Rankine cycles used in large Light Water Reactors (LWRs). Some specific aspects, like regenerative reheating </w:t>
      </w:r>
      <w:r>
        <w:fldChar w:fldCharType="begin"/>
      </w:r>
      <w:r w:rsidR="00105BF4">
        <w:instrText xml:space="preserve"> ADDIN ZOTERO_ITEM CSL_CITATION {"citationID":"X1qds0Lf","properties":{"formattedCitation":"[8]","plainCitation":"[8]","noteIndex":0},"citationItems":[{"id":932,"uris":["http://zotero.org/users/3216916/items/ZSJN3GKE"],"itemData":{"id":932,"type":"article-journal","abstract":"Future world energy demand will require a sustainable energy generation system. Optimization of power cycles has become a key element to better exploit natural resources, to minimize waste production, and even to reduce fuel cycle cost. Aware of this, nuclear technology is developing what has been termed Generation IV designs. In particular, the high-temperature gas-cooled reactor (HTGR) concept is a promising technology to reach much higher thermal efficiencies than present nuclear power plants. By using a classical thermodynamic methodology, this paper demonstrates that regenerative reheating would significantly enhance the thermal performance of a reference Brayton cycle based on pebble bed modular reactor (PBMR) technology. The regenerative reheating is conducted by a live gas fraction (β) extracted from the coolant inventory exiting the nuclear reactor. Optimization of β results in efficiency values as high as 53 and 61%, respectively, under current and midterm technology scenarios. In addition, reheating would allow an effective and easy-to-conduct \"load-follow\" operation with no loss of thermal efficiency in the upper range of β. Even further, under the midterm technology scenario, reheating would make it possible to cogenerate H2 from the enthalpy content of the β fraction exiting reheater.","container-title":"Nuclear technology","DOI":"10.13182/NT07-A3853","journalAbbreviation":"Nuclear technology","page":"15-24","source":"ResearchGate","title":"Assessment of Regenerative Reheating in Direct Brayton Power Cycles for High-Temperature Gas-Cooled Reactors","volume":"159","author":[{"family":"Herranz","given":"Luis E."},{"family":"Moratilla","given":"B."},{"family":"Linares, J.I.","given":""}],"issued":{"date-parts":[["2007",7,1]]}}}],"schema":"https://github.com/citation-style-language/schema/raw/master/csl-citation.json"} </w:instrText>
      </w:r>
      <w:r>
        <w:fldChar w:fldCharType="separate"/>
      </w:r>
      <w:r w:rsidR="00105BF4" w:rsidRPr="00105BF4">
        <w:t>[8]</w:t>
      </w:r>
      <w:r>
        <w:fldChar w:fldCharType="end"/>
      </w:r>
      <w:r w:rsidRPr="00B73B1A">
        <w:t xml:space="preserve"> and the use of inter-cooling and reheating </w:t>
      </w:r>
      <w:r>
        <w:fldChar w:fldCharType="begin"/>
      </w:r>
      <w:r w:rsidR="00105BF4">
        <w:instrText xml:space="preserve"> ADDIN ZOTERO_ITEM CSL_CITATION {"citationID":"YfBcTfx7","properties":{"formattedCitation":"[9]","plainCitation":"[9]","noteIndex":0},"citationItems":[{"id":929,"uris":["http://zotero.org/users/3216916/items/254TL359"],"itemData":{"id":929,"type":"article-journal","abstract":"This century power engineering is facing up to one of the greatest challenges ever posed to humankind: the achievement of a sustainable energy system. In order to respond to this challenge, nuclear technology is designing a new generation of power plants termed Generation IV, among them high temperature gas-cooled reactors stand out for their potential capability to achieve an excellent thermal performance. This paper investigates the thermal and economic performance of several direct Brayton cycle configurations that could be used in future HTGRs, with special attention to the effects of inter-cooling and reheating. Among the hypotheses and assumptions taken, the adoption of the PBMR reactor parameters and settings as a reference is particularly important. All inter-cooled layouts have shown thermal efficiencies near or even higher than 50%, which means a substantial improvement with respect to non-intercooled baselines with no economic penalties. Reheating has been shown not to affect remarkably the thermal or economic plant performance under base-load operation, but it provides the plant with such a flexibility that allows its operation under the “load-follow” regime without heavily taxing the thermal or economic performance. Anyway, use of a multiple axes configuration instead of a single one seems to worsen plant economics and not to entail any thermal benefit.","container-title":"Applied Thermal Engineering","DOI":"10.1016/j.applthermaleng.2008.08.006","ISSN":"1359-4311","issue":"8","journalAbbreviation":"Applied Thermal Engineering","language":"en","page":"1759-1765","source":"ScienceDirect","title":"Power cycle assessment of nuclear high temperature gas-cooled reactors","volume":"29","author":[{"family":"Herranz","given":"L. E."},{"family":"Linares","given":"J. I."},{"family":"Moratilla","given":"B. Y."}],"issued":{"date-parts":[["2009",6,1]]}}}],"schema":"https://github.com/citation-style-language/schema/raw/master/csl-citation.json"} </w:instrText>
      </w:r>
      <w:r>
        <w:fldChar w:fldCharType="separate"/>
      </w:r>
      <w:r w:rsidR="00105BF4" w:rsidRPr="00105BF4">
        <w:t>[9]</w:t>
      </w:r>
      <w:r>
        <w:fldChar w:fldCharType="end"/>
      </w:r>
      <w:r w:rsidRPr="00B73B1A">
        <w:t>, were proved to have the potential to significantly impact thermal efficiency. Some interesting concepts explored in these works were also nuclear cogeneration and load follow-up adapted configurations.</w:t>
      </w:r>
    </w:p>
    <w:p w14:paraId="1B297C48" w14:textId="74AB6CDF" w:rsidR="00EE0041" w:rsidRDefault="002C738C" w:rsidP="0026525A">
      <w:pPr>
        <w:pStyle w:val="Ttulo2"/>
        <w:numPr>
          <w:ilvl w:val="1"/>
          <w:numId w:val="10"/>
        </w:numPr>
      </w:pPr>
      <w:r>
        <w:t>S</w:t>
      </w:r>
      <w:r w:rsidR="008C6667">
        <w:t>odium-cooled fast reactors</w:t>
      </w:r>
    </w:p>
    <w:p w14:paraId="2805F0C6" w14:textId="584011C7" w:rsidR="008C6667" w:rsidRDefault="008C6667" w:rsidP="008C6667">
      <w:pPr>
        <w:pStyle w:val="Textoindependiente"/>
      </w:pPr>
      <w:r>
        <w:t xml:space="preserve">In the domain of sodium-cooled reactors, CIEMAT focus has been on modeling radioactive transfer from Na pools to the gas atmosphere by two mechanisms: vaporization from hot pools and Na-pool fires. Both scenarios might set up if a </w:t>
      </w:r>
      <w:r w:rsidRPr="005036CD">
        <w:t xml:space="preserve">disruption of the core </w:t>
      </w:r>
      <w:r>
        <w:t xml:space="preserve">happened and caused a gross </w:t>
      </w:r>
      <w:r w:rsidRPr="005036CD">
        <w:t xml:space="preserve">rupture of fuel pins </w:t>
      </w:r>
      <w:r>
        <w:t xml:space="preserve">and some fuel assemblies. </w:t>
      </w:r>
      <w:r w:rsidRPr="005036CD">
        <w:t xml:space="preserve">The fuel-coolant interaction </w:t>
      </w:r>
      <w:r>
        <w:t>could</w:t>
      </w:r>
      <w:r w:rsidRPr="005036CD">
        <w:t xml:space="preserve"> lead to a foaming and expanding bubble of vaporized sodium with core debris, fuel components and gases</w:t>
      </w:r>
      <w:r>
        <w:t xml:space="preserve">. The </w:t>
      </w:r>
      <w:r w:rsidRPr="005036CD">
        <w:t>mechanical</w:t>
      </w:r>
      <w:r>
        <w:t xml:space="preserve"> </w:t>
      </w:r>
      <w:r w:rsidRPr="005036CD">
        <w:t>uplift</w:t>
      </w:r>
      <w:r>
        <w:t xml:space="preserve"> of</w:t>
      </w:r>
      <w:r w:rsidRPr="005036CD">
        <w:t xml:space="preserve"> the overlying Na </w:t>
      </w:r>
      <w:r>
        <w:t>would then impact</w:t>
      </w:r>
      <w:r w:rsidRPr="005036CD">
        <w:t xml:space="preserve"> the reactor vessel head causing a breach in the primary system and the ejection of contaminated Na </w:t>
      </w:r>
      <w:r>
        <w:t>into</w:t>
      </w:r>
      <w:r w:rsidRPr="005036CD">
        <w:t xml:space="preserve"> the containment</w:t>
      </w:r>
      <w:r>
        <w:t xml:space="preserve">. There, the Na </w:t>
      </w:r>
      <w:r w:rsidRPr="000C77AF">
        <w:t xml:space="preserve">solution of fission products </w:t>
      </w:r>
      <w:r w:rsidRPr="00105BF4">
        <w:t>might get hotter due to fission products (FP) decay and, even, get oxidized to burning in the presence of oxygen.</w:t>
      </w:r>
    </w:p>
    <w:p w14:paraId="2CF6E100" w14:textId="266B117C" w:rsidR="00105BF4" w:rsidRPr="00105BF4" w:rsidRDefault="00105BF4" w:rsidP="008C6667">
      <w:pPr>
        <w:pStyle w:val="Textoindependiente"/>
      </w:pPr>
      <w:r w:rsidRPr="00105BF4">
        <w:rPr>
          <w:rFonts w:eastAsia="Arial Unicode MS" w:cstheme="minorHAnsi"/>
          <w:color w:val="000000"/>
          <w:kern w:val="2"/>
          <w:szCs w:val="22"/>
          <w:u w:color="000000"/>
          <w:bdr w:val="nil"/>
          <w:lang w:val="en-US" w:eastAsia="es-ES"/>
        </w:rPr>
        <w:lastRenderedPageBreak/>
        <w:t xml:space="preserve">Much work has been done in the past regarding the emission of volatile radionuclides in the context of evaporation from hot Na-pools in the reactor vessel to the inert cover gas region to determine the chemical and physical behavior of FPs under the wide range of conditions that can occur under accidental conditions </w:t>
      </w:r>
      <w:r w:rsidRPr="00105BF4">
        <w:rPr>
          <w:rFonts w:eastAsia="Arial Unicode MS" w:cstheme="minorHAnsi"/>
          <w:color w:val="000000"/>
          <w:kern w:val="2"/>
          <w:szCs w:val="22"/>
          <w:u w:color="000000"/>
          <w:bdr w:val="nil"/>
          <w:lang w:val="en-US" w:eastAsia="es-ES"/>
        </w:rPr>
        <w:fldChar w:fldCharType="begin"/>
      </w:r>
      <w:r>
        <w:rPr>
          <w:rFonts w:eastAsia="Arial Unicode MS" w:cstheme="minorHAnsi"/>
          <w:color w:val="000000"/>
          <w:kern w:val="2"/>
          <w:szCs w:val="22"/>
          <w:u w:color="000000"/>
          <w:bdr w:val="nil"/>
          <w:lang w:val="en-US" w:eastAsia="es-ES"/>
        </w:rPr>
        <w:instrText xml:space="preserve"> ADDIN ZOTERO_ITEM CSL_CITATION {"citationID":"gXYRLFEw","properties":{"formattedCitation":"[10], [11], [12], [13]","plainCitation":"[10], [11], [12], [13]","noteIndex":0},"citationItems":[{"id":849,"uris":["http://zotero.org/users/3216916/items/ILLRS49M"],"itemData":{"id":849,"type":"webpage","container-title":"Other Information: UNCL. Orig. Receipt Date: 31-DEC-70","genre":"Report","language":"English","note":"number: BNL--14278\npublisher: Brookhaven National Laboratory\nDOI: 10.2172/4155496","title":"A REVIEW OF THE CURRENT STATUS OF RESEARCH ON THE CHEMICAL AND PHYSICAL ASPECTS OF LIQUID-METAL-COOLED FAST BREEDER REACTOR SAFETY. I. FISSION PRODUCT BEHAVIOR IN SODIUM.","URL":"https://digital.library.unt.edu/ark:/67531/metadc867904/m1/38/","author":[{"family":"Castleman","given":"A. W."}],"accessed":{"date-parts":[["2023",2,22]]},"issued":{"date-parts":[["1970",10,31]]}}},{"id":600,"uris":["http://zotero.org/users/3216916/items/IGUJBCSS"],"itemData":{"id":600,"type":"article-journal","abstract":"The vaporisation of iodine, tellurium and caesium from solution in liquid sodium has been investigated in laboratory experiments which simulate conditions in a fast reactor. The vaporised species were carried in a stream of inert gas to a chamber where rapid cooling caused aerosol formation. The aerosol formed, which was predominantly sodium, contained iodine and caesium in the same concentration as that in the vapour from which the aerosol was formed. Tellurium is more volatile than has been predicted previously but, in these experiments, it was not incorporated into the sodium aerosol. The reaction between sodium vapour and methyl iodide has been shown to be very rapid at temperatures above 450C but an oxidised sodium aerosol has little effect on the rate of break down of methyl iodide.","container-title":"Journal of Nuclear Energy","DOI":"10.1016/0022-3107(73)90050-6","ISSN":"0022-3107","issue":"1","journalAbbreviation":"Journal of Nuclear Energy","page":"1-14","source":"ScienceDirect","title":"Tellurium, caesium, iodine and methyl iodide in fast reactors","volume":"27","author":[{"family":"Clough","given":"W. S."},{"family":"Fraser","given":"A."}],"issued":{"date-parts":[["1973",1,1]]}}},{"id":603,"uris":["http://zotero.org/users/3216916/items/NEYVXJKQ"],"itemData":{"id":603,"type":"article-journal","container-title":"Nuclear Technology","ISSN":"ISSN 0029-5450","issue":"2","language":"en","page":"177-185","source":"inis.iaea.org","title":"Equilibrium and nonequilibrium partition coefficients of volatile fission products between liquid sodium and the gas phase","volume":"97","author":[{"family":"Haga","given":"K."},{"family":"Nishizawa","given":"Y."},{"family":"Watanabe","given":"T."},{"family":"Miyahara","given":"S."},{"family":"Himeno","given":"Y."}],"issued":{"date-parts":[["1992"]]}}},{"id":667,"uris":["http://zotero.org/users/3216916/items/FR7SIE3X"],"itemData":{"id":667,"type":"report","language":"English","number":"KfK5426","page":"61","publisher":"Kernforschungszentrum Karlsruhe G.m.b.H. (Germany","title":"The release code package REVOLS/RENONS for fission product release from a liquid sodium pool into an inert gas atmosphere","author":[{"family":"Starflinger","given":"J."},{"family":"Koch","given":"M."},{"family":"Brockmeier","given":"U."},{"family":"Scholtyssek","given":"W."},{"family":"Schütz","given":"W."},{"family":"Unger","given":"H."}],"accessed":{"date-parts":[["2019",2,1]]},"issued":{"date-parts":[["1994",12]]}}}],"schema":"https://github.com/citation-style-language/schema/raw/master/csl-citation.json"} </w:instrText>
      </w:r>
      <w:r w:rsidRPr="00105BF4">
        <w:rPr>
          <w:rFonts w:eastAsia="Arial Unicode MS" w:cstheme="minorHAnsi"/>
          <w:color w:val="000000"/>
          <w:kern w:val="2"/>
          <w:szCs w:val="22"/>
          <w:u w:color="000000"/>
          <w:bdr w:val="nil"/>
          <w:lang w:val="en-US" w:eastAsia="es-ES"/>
        </w:rPr>
        <w:fldChar w:fldCharType="separate"/>
      </w:r>
      <w:r w:rsidRPr="00105BF4">
        <w:rPr>
          <w:rFonts w:eastAsia="Arial Unicode MS"/>
        </w:rPr>
        <w:t>[10], [11], [12], [13]</w:t>
      </w:r>
      <w:r w:rsidRPr="00105BF4">
        <w:rPr>
          <w:rFonts w:eastAsia="Arial Unicode MS" w:cstheme="minorHAnsi"/>
          <w:color w:val="000000"/>
          <w:kern w:val="2"/>
          <w:szCs w:val="22"/>
          <w:u w:color="000000"/>
          <w:bdr w:val="nil"/>
          <w:lang w:val="en-US" w:eastAsia="es-ES"/>
        </w:rPr>
        <w:fldChar w:fldCharType="end"/>
      </w:r>
      <w:r w:rsidRPr="00105BF4">
        <w:rPr>
          <w:rFonts w:eastAsia="Arial Unicode MS" w:cstheme="minorHAnsi"/>
          <w:color w:val="000000"/>
          <w:kern w:val="2"/>
          <w:szCs w:val="22"/>
          <w:u w:color="000000"/>
          <w:bdr w:val="nil"/>
          <w:lang w:val="en-US" w:eastAsia="es-ES"/>
        </w:rPr>
        <w:t>.</w:t>
      </w:r>
    </w:p>
    <w:p w14:paraId="06F2A6F0" w14:textId="2C76611C" w:rsidR="008C6667" w:rsidRDefault="008C6667" w:rsidP="008C6667">
      <w:pPr>
        <w:pStyle w:val="Textoindependiente"/>
      </w:pPr>
      <w:r w:rsidRPr="00105BF4">
        <w:t>FPs dissolved in</w:t>
      </w:r>
      <w:r w:rsidRPr="000C77AF">
        <w:t xml:space="preserve"> the hot sodium pool diffuse away from the liquid surface at the same time as sodium vaporization takes place enhancing the FPs release. In other words, there are two driving mechanisms for FPs to get transferred from the pool to the gas phase: diffusion of FPs and convective dragging by the Na vaporization from the pool. A pseudo-mechanistic approach based on the diffusion film theory, the analogy of heat-mass transfer and the Raoult’s</w:t>
      </w:r>
      <w:r>
        <w:t xml:space="preserve"> law </w:t>
      </w:r>
      <w:r w:rsidR="00F743F4">
        <w:t xml:space="preserve">which includes the dragging effect of the vaporized Na on the volatile species release </w:t>
      </w:r>
      <w:r>
        <w:t>has been proposed (</w:t>
      </w:r>
      <w:r w:rsidR="00F743F4">
        <w:t xml:space="preserve">Extended </w:t>
      </w:r>
      <w:r>
        <w:t xml:space="preserve">Gas Mass Transport, </w:t>
      </w:r>
      <w:r w:rsidR="00F743F4">
        <w:t>E</w:t>
      </w:r>
      <w:r>
        <w:t>GMT model;</w:t>
      </w:r>
      <w:r w:rsidR="00F743F4">
        <w:t xml:space="preserve"> </w:t>
      </w:r>
      <w:r w:rsidR="00361885">
        <w:fldChar w:fldCharType="begin"/>
      </w:r>
      <w:r w:rsidR="00105BF4">
        <w:instrText xml:space="preserve"> ADDIN ZOTERO_ITEM CSL_CITATION {"citationID":"nfgi0zBj","properties":{"formattedCitation":"[14]","plainCitation":"[14]","noteIndex":0},"citationItems":[{"id":900,"uris":["http://zotero.org/users/3216916/items/V8VALFM6"],"itemData":{"id":900,"type":"paper-conference","event-place":"Akademiehotel, Karlsruhe, Germany","event-title":"10th European Review Meeting on Severe Accident Research (ERMSAR)","publisher-place":"Akademiehotel, Karlsruhe, Germany","title":"Modelling FPs release from sodium pools under BDBA conditions","author":[{"family":"Garcia","given":"M."},{"family":"Herranz","given":"L. E."}],"issued":{"date-parts":[["2022",5,16]]}}}],"schema":"https://github.com/citation-style-language/schema/raw/master/csl-citation.json"} </w:instrText>
      </w:r>
      <w:r w:rsidR="00361885">
        <w:fldChar w:fldCharType="separate"/>
      </w:r>
      <w:r w:rsidR="00105BF4" w:rsidRPr="00105BF4">
        <w:t>[14]</w:t>
      </w:r>
      <w:r w:rsidR="00361885">
        <w:fldChar w:fldCharType="end"/>
      </w:r>
      <w:r>
        <w:t xml:space="preserve">). The results of this model were compared to data from the NALA II experimental program in terms of the sodium iodide (NaI) pool Retention Factor (RF), as shown in </w:t>
      </w:r>
      <w:r w:rsidR="00105BF4">
        <w:fldChar w:fldCharType="begin"/>
      </w:r>
      <w:r w:rsidR="00105BF4">
        <w:instrText xml:space="preserve"> REF _Ref168911540 \h </w:instrText>
      </w:r>
      <w:r w:rsidR="00105BF4">
        <w:fldChar w:fldCharType="separate"/>
      </w:r>
      <w:r w:rsidR="00105BF4" w:rsidRPr="00802381">
        <w:rPr>
          <w:i/>
        </w:rPr>
        <w:t xml:space="preserve">FIG. </w:t>
      </w:r>
      <w:r w:rsidR="00105BF4">
        <w:rPr>
          <w:i/>
          <w:noProof/>
        </w:rPr>
        <w:t>3</w:t>
      </w:r>
      <w:r w:rsidR="00105BF4">
        <w:fldChar w:fldCharType="end"/>
      </w:r>
      <w:r>
        <w:t xml:space="preserve">. The results were discussed to mean a </w:t>
      </w:r>
      <w:r w:rsidRPr="005036CD">
        <w:t xml:space="preserve">substantial enhancement of qualitative and quantitative predictability, and no less important, </w:t>
      </w:r>
      <w:r>
        <w:t>in all the cases they were conservative</w:t>
      </w:r>
      <w:r w:rsidRPr="005036CD">
        <w:t>.</w:t>
      </w:r>
    </w:p>
    <w:p w14:paraId="7712EC85" w14:textId="312B3CC5" w:rsidR="008C6667" w:rsidRPr="005036CD" w:rsidRDefault="008C6667" w:rsidP="008C6667">
      <w:pPr>
        <w:pStyle w:val="Textoindependiente"/>
      </w:pPr>
    </w:p>
    <w:p w14:paraId="25FAF1D9" w14:textId="659D964C" w:rsidR="008C6667" w:rsidRDefault="00507826" w:rsidP="008C6667">
      <w:pPr>
        <w:spacing w:after="120"/>
        <w:jc w:val="center"/>
      </w:pPr>
      <w:r>
        <w:rPr>
          <w:noProof/>
          <w:lang w:val="es-ES" w:eastAsia="es-ES"/>
        </w:rPr>
        <mc:AlternateContent>
          <mc:Choice Requires="wps">
            <w:drawing>
              <wp:anchor distT="0" distB="0" distL="114300" distR="114300" simplePos="0" relativeHeight="251670528" behindDoc="0" locked="0" layoutInCell="1" allowOverlap="1" wp14:anchorId="6002CF9E" wp14:editId="22699166">
                <wp:simplePos x="0" y="0"/>
                <wp:positionH relativeFrom="margin">
                  <wp:posOffset>1521726</wp:posOffset>
                </wp:positionH>
                <wp:positionV relativeFrom="paragraph">
                  <wp:posOffset>2430306</wp:posOffset>
                </wp:positionV>
                <wp:extent cx="2879090" cy="635"/>
                <wp:effectExtent l="0" t="0" r="0" b="5080"/>
                <wp:wrapTopAndBottom/>
                <wp:docPr id="9" name="Text Box 2"/>
                <wp:cNvGraphicFramePr/>
                <a:graphic xmlns:a="http://schemas.openxmlformats.org/drawingml/2006/main">
                  <a:graphicData uri="http://schemas.microsoft.com/office/word/2010/wordprocessingShape">
                    <wps:wsp>
                      <wps:cNvSpPr txBox="1"/>
                      <wps:spPr>
                        <a:xfrm>
                          <a:off x="0" y="0"/>
                          <a:ext cx="2879090" cy="635"/>
                        </a:xfrm>
                        <a:prstGeom prst="rect">
                          <a:avLst/>
                        </a:prstGeom>
                        <a:solidFill>
                          <a:prstClr val="white"/>
                        </a:solidFill>
                        <a:ln>
                          <a:noFill/>
                        </a:ln>
                        <a:effectLst/>
                      </wps:spPr>
                      <wps:txbx>
                        <w:txbxContent>
                          <w:p w14:paraId="39B001E1" w14:textId="241FAAB5" w:rsidR="0048122F" w:rsidRPr="00802381" w:rsidRDefault="0048122F" w:rsidP="00F45224">
                            <w:pPr>
                              <w:pStyle w:val="Descripcin"/>
                              <w:jc w:val="center"/>
                              <w:rPr>
                                <w:i/>
                                <w:sz w:val="20"/>
                              </w:rPr>
                            </w:pPr>
                            <w:bookmarkStart w:id="3" w:name="_Ref168911540"/>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3</w:t>
                            </w:r>
                            <w:r w:rsidRPr="00802381">
                              <w:rPr>
                                <w:i/>
                              </w:rPr>
                              <w:fldChar w:fldCharType="end"/>
                            </w:r>
                            <w:bookmarkEnd w:id="3"/>
                            <w:r>
                              <w:rPr>
                                <w:i/>
                              </w:rPr>
                              <w:t>. NaI RF vs. pool temperature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002CF9E" id="_x0000_s1028" type="#_x0000_t202" style="position:absolute;left:0;text-align:left;margin-left:119.8pt;margin-top:191.35pt;width:226.7pt;height:.0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" stroked="f">
                <v:textbox style="mso-fit-shape-to-text:t" inset="0,0,0,0">
                  <w:txbxContent>
                    <w:p w14:paraId="39B001E1" w14:textId="241FAAB5" w:rsidR="0048122F" w:rsidRPr="00802381" w:rsidRDefault="0048122F" w:rsidP="00F45224">
                      <w:pPr>
                        <w:pStyle w:val="Descripcin"/>
                        <w:jc w:val="center"/>
                        <w:rPr>
                          <w:i/>
                          <w:sz w:val="20"/>
                        </w:rPr>
                      </w:pPr>
                      <w:bookmarkStart w:id="16" w:name="_Ref168911540"/>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3</w:t>
                      </w:r>
                      <w:r w:rsidRPr="00802381">
                        <w:rPr>
                          <w:i/>
                        </w:rPr>
                        <w:fldChar w:fldCharType="end"/>
                      </w:r>
                      <w:bookmarkEnd w:id="16"/>
                      <w:r>
                        <w:rPr>
                          <w:i/>
                        </w:rPr>
                        <w:t xml:space="preserve">. </w:t>
                      </w:r>
                      <w:proofErr w:type="spellStart"/>
                      <w:r>
                        <w:rPr>
                          <w:i/>
                        </w:rPr>
                        <w:t>NaI</w:t>
                      </w:r>
                      <w:proofErr w:type="spellEnd"/>
                      <w:r>
                        <w:rPr>
                          <w:i/>
                        </w:rPr>
                        <w:t xml:space="preserve"> RF vs. pool temperature</w:t>
                      </w:r>
                    </w:p>
                  </w:txbxContent>
                </v:textbox>
                <w10:wrap type="topAndBottom" anchorx="margin"/>
              </v:shape>
            </w:pict>
          </mc:Fallback>
        </mc:AlternateContent>
      </w:r>
      <w:r w:rsidR="001E2D29">
        <w:rPr>
          <w:noProof/>
          <w:lang w:val="es-ES" w:eastAsia="es-ES"/>
        </w:rPr>
        <w:drawing>
          <wp:inline distT="0" distB="0" distL="0" distR="0" wp14:anchorId="2830B0C1" wp14:editId="1CD04DB5">
            <wp:extent cx="3600000" cy="2360745"/>
            <wp:effectExtent l="0" t="0" r="635" b="190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0" cy="2360745"/>
                    </a:xfrm>
                    <a:prstGeom prst="rect">
                      <a:avLst/>
                    </a:prstGeom>
                    <a:noFill/>
                  </pic:spPr>
                </pic:pic>
              </a:graphicData>
            </a:graphic>
          </wp:inline>
        </w:drawing>
      </w:r>
    </w:p>
    <w:p w14:paraId="2F8435C1" w14:textId="77777777" w:rsidR="008C6667" w:rsidRDefault="008C6667" w:rsidP="008C6667">
      <w:pPr>
        <w:spacing w:after="120"/>
        <w:jc w:val="center"/>
      </w:pPr>
    </w:p>
    <w:p w14:paraId="0A760FB3" w14:textId="69E2856E" w:rsidR="008401AF" w:rsidRPr="008401AF" w:rsidRDefault="008401AF" w:rsidP="008401AF">
      <w:pPr>
        <w:pStyle w:val="Textoindependiente"/>
      </w:pPr>
      <w:r w:rsidRPr="000C77AF">
        <w:t xml:space="preserve">The in-containment phenomenology governing evolution of sodium aerosols and radio contaminants involves many complex phenomena that have a strong influence on the amount and form of airborne contamination.  A review of available data and modeling capabilities </w:t>
      </w:r>
      <w:r w:rsidRPr="000C77AF">
        <w:fldChar w:fldCharType="begin"/>
      </w:r>
      <w:r w:rsidR="00105BF4">
        <w:instrText xml:space="preserve"> ADDIN ZOTERO_ITEM CSL_CITATION {"citationID":"5Lbyq2gT","properties":{"formattedCitation":"[15]","plainCitation":"[15]","noteIndex":0},"citationItems":[{"id":320,"uris":["http://zotero.org/users/3216916/items/H4HCCAUW"],"itemData":{"id":320,"type":"article-journal","abstract":"Sodium-cooled fast reactors (SFRs) are one out of the six technologies considered in the so-called Generation IV initiative. A full-scope safety analysis of this reactor type would need to have computation tools developed and properly validated. The present paper focuses on the review of currently available data and modeling capabilities for in-containment source term analysis in accident conditions. Generally speaking, it has been found that improvements to characterizing particles (i.e., density and shape) and particle–particle interaction processes are required. However, beyond any doubt, two of the strongest modeling needs for SFR accidents are: aerosol generation which, in turn, means to properly model sodium vaporization, chemical reactions with the surrounding gas, nucleation of combustion products and primary particle agglomeration; and fission products partitioning. Current LWR integral codes, although not yet furnished with such models, look promising as a computational platform to be extended to the SFR domain. In any case, once they are adapted to anticipated SFR scenarios, extensive validation should be undertaken against a comprehensive and sound database.","container-title":"Progress in Nuclear Energy","DOI":"10.1016/j.pnucene.2011.07.003","ISSN":"0149-1970","issue":"1","journalAbbreviation":"Progress in Nuclear Energy","page":"138-149","source":"ScienceDirect","title":"In-containment source term in accident conditions in sodium-cooled fast reactors: Data needs and model capabilities","title-short":"In-containment source term in accident conditions in sodium-cooled fast reactors","volume":"54","author":[{"family":"Herranz","given":"L. E."},{"family":"Garcia","given":"M."},{"family":"Kissane","given":"M. P."}],"issued":{"date-parts":[["2012",1]]}}}],"schema":"https://github.com/citation-style-language/schema/raw/master/csl-citation.json"} </w:instrText>
      </w:r>
      <w:r w:rsidRPr="000C77AF">
        <w:fldChar w:fldCharType="separate"/>
      </w:r>
      <w:r w:rsidR="00105BF4" w:rsidRPr="00105BF4">
        <w:t>[15]</w:t>
      </w:r>
      <w:r w:rsidRPr="000C77AF">
        <w:fldChar w:fldCharType="end"/>
      </w:r>
      <w:r w:rsidRPr="000C77AF">
        <w:t xml:space="preserve"> showed that despite the large body of existing experimental information, there are two strong modeling needs in this field: aerosol generation which means to properly model sodium vaporization, chemical reactions with the surrounding gas, nucleation of combustion products and primary particle agglomeration and fission products partitioning.</w:t>
      </w:r>
    </w:p>
    <w:p w14:paraId="201A3B32" w14:textId="77777777" w:rsidR="008401AF" w:rsidRDefault="008401AF" w:rsidP="008401AF">
      <w:pPr>
        <w:pStyle w:val="Textoindependiente"/>
      </w:pPr>
      <w:r w:rsidRPr="001569DC">
        <w:t xml:space="preserve">In the presence of oxygen, combustion of Na </w:t>
      </w:r>
      <w:r>
        <w:t xml:space="preserve">would </w:t>
      </w:r>
      <w:r w:rsidRPr="001569DC">
        <w:t xml:space="preserve">result in the formation of huge amounts of Na-oxide aerosols that </w:t>
      </w:r>
      <w:r>
        <w:t>might</w:t>
      </w:r>
      <w:r w:rsidRPr="001569DC">
        <w:t xml:space="preserve"> </w:t>
      </w:r>
      <w:r>
        <w:t xml:space="preserve">become the governing source of airborne </w:t>
      </w:r>
      <w:r w:rsidRPr="001569DC">
        <w:t>radioactivity inside the containment</w:t>
      </w:r>
      <w:r>
        <w:t>. T</w:t>
      </w:r>
      <w:r w:rsidRPr="001569DC">
        <w:t>his together with the potential harm associated with the chemical species resulting from the Na-</w:t>
      </w:r>
      <w:r>
        <w:t>oxides reaction with water vapo</w:t>
      </w:r>
      <w:r w:rsidRPr="001569DC">
        <w:t xml:space="preserve">r present in the atmosphere would be responsible to a great extent for the radiological and chemical impact of any </w:t>
      </w:r>
      <w:r>
        <w:t>release to the environment</w:t>
      </w:r>
      <w:r w:rsidRPr="001569DC">
        <w:t>.</w:t>
      </w:r>
      <w:r>
        <w:t xml:space="preserve"> </w:t>
      </w:r>
    </w:p>
    <w:p w14:paraId="1745A84E" w14:textId="359CDABB" w:rsidR="008C6667" w:rsidRDefault="008C6667" w:rsidP="008C6667">
      <w:pPr>
        <w:pStyle w:val="Textoindependiente"/>
      </w:pPr>
      <w:r w:rsidRPr="001569DC">
        <w:t xml:space="preserve">A phenomenological Particle Generation (PG) model covering sodium-vapor burning and formation of sodium-oxide aerosols above an evaporating sodium pool has been developed with the objective to calculating the characteristics (number and size) of the particulate source term to the containment </w:t>
      </w:r>
      <w:r>
        <w:fldChar w:fldCharType="begin"/>
      </w:r>
      <w:r w:rsidR="00105BF4">
        <w:instrText xml:space="preserve"> ADDIN ZOTERO_ITEM CSL_CITATION {"citationID":"n7Q1En2Z","properties":{"formattedCitation":"[16]","plainCitation":"[16]","noteIndex":0},"citationItems":[{"id":502,"uris":["http://zotero.org/users/3216916/items/3PM3WHVE"],"itemData":{"id":502,"type":"article-journal","abstract":"Potential sodium discharge in the containment during postulated Beyond Design Basis Accidents (BDBAs) in Sodium-cooled Fast Reactors (SFRs) would have major consequences for accident development in terms of energetics and source term. In the containment, sodium vaporization and subsequent oxidation would result in supersaturated oxide vapours that would undergo rapid nucleation creating toxic aerosols. Therefore, modelling this vapour nucleation is essential to proper source term assessment in SFRs. In the frame of the EU-JASMIN project, a particle generation model to calculate the particle generation rate and their primary size during an in-containment sodium pool fire has been developed. Based on a suite of individual models for sodium vaporization, oxygen natural circulation (3D modelling), sodium-oxygen chemical reactions, sodium-oxides-vapour nucleation and condensation, its consistency has been partially validated by comparing with available experimental data. As an outcome, large temperature and vapour concentration gradients set over the sodium pool have been found which result in large particle concentrations in the close vicinity of the pool.","container-title":"Nuclear Engineering and Design","DOI":"10.1016/j.nucengdes.2016.10.024","ISSN":"0029-5493","issue":"Supplement C","journalAbbreviation":"Nuclear Engineering and Design","page":"470-483","source":"ScienceDirect","title":"Theoretical assessment of particle generation from sodium pool fires","volume":"310","author":[{"family":"Garcia","given":"M."},{"family":"Herranz","given":"L. E."},{"family":"Kissane","given":"M. P."}],"issued":{"date-parts":[["2016",12,15]]}}}],"schema":"https://github.com/citation-style-language/schema/raw/master/csl-citation.json"} </w:instrText>
      </w:r>
      <w:r>
        <w:fldChar w:fldCharType="separate"/>
      </w:r>
      <w:r w:rsidR="00105BF4" w:rsidRPr="00105BF4">
        <w:t>[16]</w:t>
      </w:r>
      <w:r>
        <w:fldChar w:fldCharType="end"/>
      </w:r>
      <w:r w:rsidRPr="001569DC">
        <w:t>. Based on a flame sheet approach, the model articulates a suite of individual models: Na vaporization (diffusion layer approach), O</w:t>
      </w:r>
      <w:r w:rsidRPr="002C738C">
        <w:rPr>
          <w:vertAlign w:val="subscript"/>
        </w:rPr>
        <w:t>2</w:t>
      </w:r>
      <w:r w:rsidRPr="008C6667">
        <w:t xml:space="preserve"> </w:t>
      </w:r>
      <w:r w:rsidRPr="001569DC">
        <w:t>transport by air natural circulation (3D flow pattern modelling), Na-O</w:t>
      </w:r>
      <w:r w:rsidRPr="002C738C">
        <w:rPr>
          <w:vertAlign w:val="subscript"/>
        </w:rPr>
        <w:t>2</w:t>
      </w:r>
      <w:r w:rsidRPr="001569DC">
        <w:t xml:space="preserve"> chemical reactions (instantaneous react</w:t>
      </w:r>
      <w:r>
        <w:t>ions and energy input) and vapo</w:t>
      </w:r>
      <w:r w:rsidRPr="001569DC">
        <w:t xml:space="preserve">r-to-particle conversion of Na-oxides (i.e., classical nucleation theory </w:t>
      </w:r>
      <w:r>
        <w:t xml:space="preserve">and heterogeneous condensation). </w:t>
      </w:r>
      <w:r w:rsidR="00105BF4">
        <w:fldChar w:fldCharType="begin"/>
      </w:r>
      <w:r w:rsidR="00105BF4">
        <w:instrText xml:space="preserve"> REF _Ref168911575 \h </w:instrText>
      </w:r>
      <w:r w:rsidR="00105BF4">
        <w:fldChar w:fldCharType="separate"/>
      </w:r>
      <w:r w:rsidR="00105BF4" w:rsidRPr="00802381">
        <w:rPr>
          <w:i/>
        </w:rPr>
        <w:t xml:space="preserve">FIG. </w:t>
      </w:r>
      <w:r w:rsidR="00105BF4">
        <w:rPr>
          <w:i/>
          <w:noProof/>
        </w:rPr>
        <w:t>4</w:t>
      </w:r>
      <w:r w:rsidR="00105BF4">
        <w:fldChar w:fldCharType="end"/>
      </w:r>
      <w:r>
        <w:t xml:space="preserve"> shows a schematics of the main pillars of the PG model</w:t>
      </w:r>
      <w:r w:rsidRPr="001569DC">
        <w:t>.</w:t>
      </w:r>
    </w:p>
    <w:p w14:paraId="2A11AB71" w14:textId="430451B1" w:rsidR="004F1EB7" w:rsidRDefault="004F1EB7" w:rsidP="004F1EB7">
      <w:pPr>
        <w:pStyle w:val="Textoindependiente"/>
        <w:ind w:firstLine="0"/>
      </w:pPr>
    </w:p>
    <w:p w14:paraId="3E5C6FC3" w14:textId="091BE636" w:rsidR="004F1EB7" w:rsidRDefault="004F1EB7" w:rsidP="008C6667">
      <w:pPr>
        <w:pStyle w:val="Textoindependiente"/>
      </w:pPr>
      <w:r>
        <w:rPr>
          <w:noProof/>
          <w:lang w:val="es-ES" w:eastAsia="es-ES"/>
        </w:rPr>
        <w:lastRenderedPageBreak/>
        <w:drawing>
          <wp:inline distT="0" distB="0" distL="0" distR="0" wp14:anchorId="5E56DB9D" wp14:editId="5C3C3FA1">
            <wp:extent cx="5220000" cy="265031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0000" cy="2650319"/>
                    </a:xfrm>
                    <a:prstGeom prst="rect">
                      <a:avLst/>
                    </a:prstGeom>
                    <a:noFill/>
                  </pic:spPr>
                </pic:pic>
              </a:graphicData>
            </a:graphic>
          </wp:inline>
        </w:drawing>
      </w:r>
    </w:p>
    <w:p w14:paraId="4F9D5647" w14:textId="7B7BBCB9" w:rsidR="008C6667" w:rsidRPr="00FF0B46" w:rsidRDefault="00FF0B46" w:rsidP="004F1EB7">
      <w:pPr>
        <w:pStyle w:val="Textoindependiente"/>
        <w:ind w:firstLine="0"/>
      </w:pPr>
      <w:r w:rsidRPr="00FF0B46">
        <w:rPr>
          <w:noProof/>
          <w:lang w:val="es-ES" w:eastAsia="es-ES"/>
        </w:rPr>
        <mc:AlternateContent>
          <mc:Choice Requires="wps">
            <w:drawing>
              <wp:anchor distT="0" distB="0" distL="114300" distR="114300" simplePos="0" relativeHeight="251674624" behindDoc="0" locked="0" layoutInCell="1" allowOverlap="1" wp14:anchorId="13C656B3" wp14:editId="4C06EEDA">
                <wp:simplePos x="0" y="0"/>
                <wp:positionH relativeFrom="margin">
                  <wp:posOffset>1316736</wp:posOffset>
                </wp:positionH>
                <wp:positionV relativeFrom="paragraph">
                  <wp:posOffset>190500</wp:posOffset>
                </wp:positionV>
                <wp:extent cx="2879090" cy="635"/>
                <wp:effectExtent l="0" t="0" r="0" b="5080"/>
                <wp:wrapTopAndBottom/>
                <wp:docPr id="2" name="Text Box 2"/>
                <wp:cNvGraphicFramePr/>
                <a:graphic xmlns:a="http://schemas.openxmlformats.org/drawingml/2006/main">
                  <a:graphicData uri="http://schemas.microsoft.com/office/word/2010/wordprocessingShape">
                    <wps:wsp>
                      <wps:cNvSpPr txBox="1"/>
                      <wps:spPr>
                        <a:xfrm>
                          <a:off x="0" y="0"/>
                          <a:ext cx="2879090" cy="635"/>
                        </a:xfrm>
                        <a:prstGeom prst="rect">
                          <a:avLst/>
                        </a:prstGeom>
                        <a:solidFill>
                          <a:prstClr val="white"/>
                        </a:solidFill>
                        <a:ln>
                          <a:noFill/>
                        </a:ln>
                        <a:effectLst/>
                      </wps:spPr>
                      <wps:txbx>
                        <w:txbxContent>
                          <w:p w14:paraId="0B78DB36" w14:textId="5505F663" w:rsidR="0048122F" w:rsidRPr="00802381" w:rsidRDefault="0048122F" w:rsidP="004F1EB7">
                            <w:pPr>
                              <w:pStyle w:val="Descripcin"/>
                              <w:jc w:val="center"/>
                              <w:rPr>
                                <w:i/>
                                <w:sz w:val="20"/>
                              </w:rPr>
                            </w:pPr>
                            <w:bookmarkStart w:id="4" w:name="_Ref168911575"/>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4</w:t>
                            </w:r>
                            <w:r w:rsidRPr="00802381">
                              <w:rPr>
                                <w:i/>
                              </w:rPr>
                              <w:fldChar w:fldCharType="end"/>
                            </w:r>
                            <w:bookmarkEnd w:id="4"/>
                            <w:r>
                              <w:rPr>
                                <w:i/>
                              </w:rPr>
                              <w:t>. Key elements of the Particle Generation model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3C656B3" id="_x0000_s1029" type="#_x0000_t202" style="position:absolute;left:0;text-align:left;margin-left:103.7pt;margin-top:15pt;width:226.7pt;height:.05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" stroked="f">
                <v:textbox style="mso-fit-shape-to-text:t" inset="0,0,0,0">
                  <w:txbxContent>
                    <w:p w14:paraId="0B78DB36" w14:textId="5505F663" w:rsidR="0048122F" w:rsidRPr="00802381" w:rsidRDefault="0048122F" w:rsidP="004F1EB7">
                      <w:pPr>
                        <w:pStyle w:val="Descripcin"/>
                        <w:jc w:val="center"/>
                        <w:rPr>
                          <w:i/>
                          <w:sz w:val="20"/>
                        </w:rPr>
                      </w:pPr>
                      <w:bookmarkStart w:id="18" w:name="_Ref168911575"/>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4</w:t>
                      </w:r>
                      <w:r w:rsidRPr="00802381">
                        <w:rPr>
                          <w:i/>
                        </w:rPr>
                        <w:fldChar w:fldCharType="end"/>
                      </w:r>
                      <w:bookmarkEnd w:id="18"/>
                      <w:r>
                        <w:rPr>
                          <w:i/>
                        </w:rPr>
                        <w:t>. Key elements of the Particle Generation model</w:t>
                      </w:r>
                    </w:p>
                  </w:txbxContent>
                </v:textbox>
                <w10:wrap type="topAndBottom" anchorx="margin"/>
              </v:shape>
            </w:pict>
          </mc:Fallback>
        </mc:AlternateContent>
      </w:r>
    </w:p>
    <w:p w14:paraId="65AA4A3C" w14:textId="0C772ADD" w:rsidR="008C6667" w:rsidRDefault="008C6667" w:rsidP="008C6667">
      <w:pPr>
        <w:pStyle w:val="Textoindependiente"/>
      </w:pPr>
    </w:p>
    <w:p w14:paraId="52B40EE4" w14:textId="0404F50C" w:rsidR="00105BF4" w:rsidRDefault="00105BF4" w:rsidP="008C6667">
      <w:pPr>
        <w:pStyle w:val="Textoindependiente"/>
      </w:pPr>
      <w:r w:rsidRPr="0002788F">
        <w:rPr>
          <w:shd w:val="clear" w:color="auto" w:fill="FFFFFF" w:themeFill="background1"/>
        </w:rPr>
        <w:t xml:space="preserve">Once validated through sodium pool experiments </w:t>
      </w:r>
      <w:r w:rsidRPr="0002788F">
        <w:rPr>
          <w:shd w:val="clear" w:color="auto" w:fill="FFFFFF" w:themeFill="background1"/>
        </w:rPr>
        <w:fldChar w:fldCharType="begin"/>
      </w:r>
      <w:r>
        <w:rPr>
          <w:shd w:val="clear" w:color="auto" w:fill="FFFFFF" w:themeFill="background1"/>
        </w:rPr>
        <w:instrText xml:space="preserve"> ADDIN ZOTERO_ITEM CSL_CITATION {"citationID":"KTAerjgZ","properties":{"formattedCitation":"[17], [18], [19], [20]","plainCitation":"[17], [18], [19], [20]","noteIndex":0},"citationItems":[{"id":155,"uris":["http://zotero.org/users/3216916/items/X4FVNZZ7"],"itemData":{"id":155,"type":"report","number":"HEDL-SA-1381","source":"www.researchgate.net","title":"Preliminary results of CSTF aerosol behavior test, AB1. [LMFBR]","URL":"https://www.researchgate.net/publication/255220541_Preliminary_results_of_CSTF_aerosol_behavior_test_AB1_LMFBR","author":[{"family":"Hilliard","given":"R. K."},{"family":"McCormack","given":"J. D."},{"family":"Hassberger","given":"J. A."},{"family":"Muhlestein","given":"L. D."}],"accessed":{"date-parts":[["2016",7,14]]},"issued":{"date-parts":[["1977"]]}}},{"id":170,"uris":["http://zotero.org/users/3216916/items/CXVDPZE6"],"itemData":{"id":170,"type":"report","number":"HEDL-TME 79-28","publisher":"Hanford Engineering Development Lab.","title":"Aerosol behavior during sodium pool fires in a large vessel - CSTF tests AB1 and AB2","URL":"http://www.osti.gov/scitech/search/semantic:%22AEROSOL%20BEHAVIOR%20DURING%20SODIUM%20POOL%20FIRES%20IN%20A%20MRGE%20VESSEL%22/filter-results:F","author":[{"family":"Hilliard","given":"R.K."},{"family":"McCormack","given":"D."},{"family":"Postma","given":"A.K."}],"accessed":{"date-parts":[["2016",7,14]]},"issued":{"date-parts":[["1979"]]}}},{"id":173,"uris":["http://zotero.org/users/3216916/items/XCN8W6UC"],"itemData":{"id":173,"type":"report","language":"English","number":"HEDL-SA-1686","publisher":"Hanford Engineering Development Lab., Richland, WA (USA)","source":"www.osti.gov","title":"Recent Aerosol Tests in the Containment Systems Test Facility","URL":"http://www.osti.gov/scitech/biblio/6167484-recent-aerosol-tests-containment-systems-test-facility","author":[{"family":"McCormack","given":"J. D."},{"family":"Hilliard","given":"R. K."},{"family":"Postma","given":"A. K."}],"accessed":{"date-parts":[["2016",7,14]]},"issued":{"date-parts":[["1978",10,1]]}}},{"id":182,"uris":["http://zotero.org/users/3216916/items/JXEXD9Z4"],"itemData":{"id":182,"type":"report","language":"English","number":"SAND--94-2166","publisher":"Sandia National Labs., Albuquerque, NM (United States)","source":"www.osti.gov","title":"Melcor 1.8.2 Assessment: Aerosol Experiments Abcove Ab5, Ab6, Ab7, and Lace La2","title-short":"Melcor 1.8.2 Assessment","URL":"http://www.osti.gov/scitech/biblio/10102146-melcor-assessment-aerosol-experiments-abcove-ab5-ab6-ab7-lace-la2","author":[{"family":"Souto","given":"F. J."},{"family":"Haskin","given":"F. E."},{"family":"Kmetyk","given":"L. N."}],"accessed":{"date-parts":[["2016",7,14]]},"issued":{"date-parts":[["1994",10,1]]}}}],"schema":"https://github.com/citation-style-language/schema/raw/master/csl-citation.json"} </w:instrText>
      </w:r>
      <w:r w:rsidRPr="0002788F">
        <w:rPr>
          <w:shd w:val="clear" w:color="auto" w:fill="FFFFFF" w:themeFill="background1"/>
        </w:rPr>
        <w:fldChar w:fldCharType="separate"/>
      </w:r>
      <w:r w:rsidRPr="00105BF4">
        <w:t>[17], [18], [19], [20]</w:t>
      </w:r>
      <w:r w:rsidRPr="0002788F">
        <w:rPr>
          <w:shd w:val="clear" w:color="auto" w:fill="FFFFFF" w:themeFill="background1"/>
        </w:rPr>
        <w:fldChar w:fldCharType="end"/>
      </w:r>
      <w:r w:rsidRPr="0002788F">
        <w:rPr>
          <w:shd w:val="clear" w:color="auto" w:fill="FFFFFF" w:themeFill="background1"/>
        </w:rPr>
        <w:t xml:space="preserve">  a derivation of suitable analytical correlations for use in a severe-accident code allowed its implementation in the ASTEC-Na code </w:t>
      </w:r>
      <w:r w:rsidRPr="0002788F">
        <w:rPr>
          <w:shd w:val="clear" w:color="auto" w:fill="FFFFFF" w:themeFill="background1"/>
        </w:rPr>
        <w:fldChar w:fldCharType="begin"/>
      </w:r>
      <w:r>
        <w:rPr>
          <w:shd w:val="clear" w:color="auto" w:fill="FFFFFF" w:themeFill="background1"/>
        </w:rPr>
        <w:instrText xml:space="preserve"> ADDIN ZOTERO_ITEM CSL_CITATION {"citationID":"ceHWR4tO","properties":{"formattedCitation":"[21]","plainCitation":"[21]","noteIndex":0},"citationItems":[{"id":498,"uris":["http://zotero.org/users/3216916/items/HIQ4CWS5"],"itemData":{"id":498,"type":"article-journal","abstract":"Modeling the containment response to a sodium pool fire is to be one of the key aspects of any comprehensive safety evaluation of the new generation of sodium cooled fast reactors. Through a peer review of earlier experimental investigations some useful data can be collected and then used for assessing the current analytical capabilities to model severe accidents or some of their specific aspects. This paper provides major insights into the in-containment aerosol behavior predictability of ASTEC-Na (CPA</w:instrText>
      </w:r>
      <w:r>
        <w:rPr>
          <w:rFonts w:ascii="Cambria Math" w:hAnsi="Cambria Math" w:cs="Cambria Math"/>
          <w:shd w:val="clear" w:color="auto" w:fill="FFFFFF" w:themeFill="background1"/>
        </w:rPr>
        <w:instrText>∗</w:instrText>
      </w:r>
      <w:r>
        <w:rPr>
          <w:shd w:val="clear" w:color="auto" w:fill="FFFFFF" w:themeFill="background1"/>
        </w:rPr>
        <w:instrText xml:space="preserve"> module) during Na-pool fires. By comparing against tests from the ABCOVE (AB1 and AB2) and FAUNA (F2) programs, it has been shown that experimental trends can be roughly reproduced with a single-cell approach whenever natural convection is effective in making the vessel atmosphere uniform both thermally and in composition. Nonetheless, the present heavy parametrization of ASTEC-Na models should be avoided or strongly supported by further experimentation that allows setting sound default values, concerning both combustion energy distribution and aerosol formation and distribution. Anyway, the peer data review has highlighted that a meaningful comparison to predictions is not always feasible due to large data uncertainties, particularly at the beginning of Na burning. As for the particle ageing, the comparisons set seems to indicate that transformation from oxides to hydroxides is predicted to be too slow; nevertheless, a more extensive benchmarking should be conducted to confirm it.","container-title":"Nuclear Engineering and Design","DOI":"10.1016/j.nucengdes.2017.06.010","ISSN":"0029-5493","issue":"Supplement C","journalAbbreviation":"Nuclear Engineering and Design","page":"269-281","source":"ScienceDirect","title":"In-containment source term predictability of ASTEC-Na: Major insights from data-predictions benchmarking","title-short":"In-containment source term predictability of ASTEC-Na","volume":"320","author":[{"family":"Herranz","given":"L. E."},{"family":"Garcia","given":"M."},{"family":"Lebel","given":"L."},{"family":"Mascari","given":"F."},{"family":"Spengler","given":"C."}],"issued":{"date-parts":[["2017",8,15]]}}}],"schema":"https://github.com/citation-style-language/schema/raw/master/csl-citation.json"} </w:instrText>
      </w:r>
      <w:r w:rsidRPr="0002788F">
        <w:rPr>
          <w:shd w:val="clear" w:color="auto" w:fill="FFFFFF" w:themeFill="background1"/>
        </w:rPr>
        <w:fldChar w:fldCharType="separate"/>
      </w:r>
      <w:r w:rsidRPr="00105BF4">
        <w:t>[21]</w:t>
      </w:r>
      <w:r w:rsidRPr="0002788F">
        <w:rPr>
          <w:shd w:val="clear" w:color="auto" w:fill="FFFFFF" w:themeFill="background1"/>
        </w:rPr>
        <w:fldChar w:fldCharType="end"/>
      </w:r>
      <w:r w:rsidRPr="0002788F">
        <w:rPr>
          <w:shd w:val="clear" w:color="auto" w:fill="FFFFFF" w:themeFill="background1"/>
        </w:rPr>
        <w:t>.</w:t>
      </w:r>
      <w:r w:rsidRPr="0002788F">
        <w:t xml:space="preserve"> Calculated results using PG model option in the extended ASTEC-Na code showed a promising response in terms of order of magnitude of airborne concentration (</w:t>
      </w:r>
      <w:r>
        <w:fldChar w:fldCharType="begin"/>
      </w:r>
      <w:r>
        <w:instrText xml:space="preserve"> REF _Ref168911595 \h </w:instrText>
      </w:r>
      <w:r>
        <w:fldChar w:fldCharType="separate"/>
      </w:r>
      <w:r w:rsidRPr="00802381">
        <w:rPr>
          <w:i/>
        </w:rPr>
        <w:t xml:space="preserve">FIG. </w:t>
      </w:r>
      <w:r>
        <w:rPr>
          <w:i/>
          <w:noProof/>
        </w:rPr>
        <w:t>5</w:t>
      </w:r>
      <w:r>
        <w:fldChar w:fldCharType="end"/>
      </w:r>
      <w:r w:rsidRPr="0002788F">
        <w:t>a), dominant depletion mechanism and particle size variation (</w:t>
      </w:r>
      <w:r>
        <w:fldChar w:fldCharType="begin"/>
      </w:r>
      <w:r>
        <w:instrText xml:space="preserve"> REF _Ref168911595 \h </w:instrText>
      </w:r>
      <w:r>
        <w:fldChar w:fldCharType="separate"/>
      </w:r>
      <w:r w:rsidRPr="00802381">
        <w:rPr>
          <w:i/>
        </w:rPr>
        <w:t xml:space="preserve">FIG. </w:t>
      </w:r>
      <w:r>
        <w:rPr>
          <w:i/>
          <w:noProof/>
        </w:rPr>
        <w:t>5</w:t>
      </w:r>
      <w:r>
        <w:fldChar w:fldCharType="end"/>
      </w:r>
      <w:r w:rsidRPr="0002788F">
        <w:t>b) when compared with experimental databases. Trends have been proved to be physically sound by following data tendencies and the experimental data uncertainty prevents from qualifying one approach over the other. Besides, the proposed  PG model correlations do not need any code-user assumption concerning the mass and energy transfer from a pool fire to the containment atmosphere, as other approaches do. In conclusion, the new correlations are very suitable for use in a severe-accident code in terms of the negligible additional computation burden. The new correlations, by originating from simplifications of soundly-based physical modelling, avoid the arbitrary assumption of a fixed primary-particle size in the existing modelling. Limited comparisons with experiments imply that use of the new correlations increases confidence in prediction of the pool-fire particulate source term to the containment.</w:t>
      </w:r>
    </w:p>
    <w:p w14:paraId="77819C3F" w14:textId="77777777" w:rsidR="00105BF4" w:rsidRPr="00FF0B46" w:rsidRDefault="00105BF4" w:rsidP="008C6667">
      <w:pPr>
        <w:pStyle w:val="Textoindependiente"/>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B705D1" w14:paraId="28970978" w14:textId="77777777" w:rsidTr="00585A85">
        <w:tc>
          <w:tcPr>
            <w:tcW w:w="4508" w:type="dxa"/>
          </w:tcPr>
          <w:p w14:paraId="5C35818A" w14:textId="77777777" w:rsidR="00B705D1" w:rsidRPr="00FF0B46" w:rsidRDefault="00B705D1" w:rsidP="00650F0F">
            <w:pPr>
              <w:pStyle w:val="Textoindependiente"/>
              <w:ind w:firstLine="0"/>
              <w:jc w:val="left"/>
            </w:pPr>
            <w:r w:rsidRPr="00FF0B46">
              <w:rPr>
                <w:noProof/>
                <w:lang w:val="es-ES" w:eastAsia="es-ES"/>
              </w:rPr>
              <w:drawing>
                <wp:inline distT="0" distB="0" distL="0" distR="0" wp14:anchorId="06302D58" wp14:editId="1B0CCB85">
                  <wp:extent cx="2721254" cy="1783731"/>
                  <wp:effectExtent l="0" t="0" r="3175"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1422" cy="1790396"/>
                          </a:xfrm>
                          <a:prstGeom prst="rect">
                            <a:avLst/>
                          </a:prstGeom>
                          <a:noFill/>
                        </pic:spPr>
                      </pic:pic>
                    </a:graphicData>
                  </a:graphic>
                </wp:inline>
              </w:drawing>
            </w:r>
          </w:p>
          <w:p w14:paraId="6F0F9BC6" w14:textId="4870F6CE" w:rsidR="00650F0F" w:rsidRPr="00FF0B46" w:rsidRDefault="00650F0F" w:rsidP="00925314">
            <w:pPr>
              <w:pStyle w:val="Textoindependiente"/>
              <w:numPr>
                <w:ilvl w:val="0"/>
                <w:numId w:val="38"/>
              </w:numPr>
              <w:jc w:val="center"/>
            </w:pPr>
            <w:r w:rsidRPr="00FF0B46">
              <w:t>Airborne concetration in AB1 test</w:t>
            </w:r>
          </w:p>
        </w:tc>
        <w:tc>
          <w:tcPr>
            <w:tcW w:w="4509" w:type="dxa"/>
          </w:tcPr>
          <w:p w14:paraId="19DDFC2D" w14:textId="77777777" w:rsidR="00B705D1" w:rsidRPr="00FF0B46" w:rsidRDefault="00B705D1" w:rsidP="00650F0F">
            <w:pPr>
              <w:pStyle w:val="Textoindependiente"/>
              <w:ind w:firstLine="0"/>
              <w:jc w:val="left"/>
            </w:pPr>
            <w:r w:rsidRPr="00FF0B46">
              <w:rPr>
                <w:noProof/>
                <w:lang w:val="es-ES" w:eastAsia="es-ES"/>
              </w:rPr>
              <w:drawing>
                <wp:inline distT="0" distB="0" distL="0" distR="0" wp14:anchorId="53BF174C" wp14:editId="779244DF">
                  <wp:extent cx="2724105" cy="1785600"/>
                  <wp:effectExtent l="0" t="0" r="635"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05" cy="1785600"/>
                          </a:xfrm>
                          <a:prstGeom prst="rect">
                            <a:avLst/>
                          </a:prstGeom>
                          <a:noFill/>
                        </pic:spPr>
                      </pic:pic>
                    </a:graphicData>
                  </a:graphic>
                </wp:inline>
              </w:drawing>
            </w:r>
          </w:p>
          <w:p w14:paraId="44D7DF1C" w14:textId="3CCFF3E7" w:rsidR="00650F0F" w:rsidRPr="00FF0B46" w:rsidRDefault="00650F0F" w:rsidP="00925314">
            <w:pPr>
              <w:pStyle w:val="Textoindependiente"/>
              <w:numPr>
                <w:ilvl w:val="0"/>
                <w:numId w:val="38"/>
              </w:numPr>
              <w:jc w:val="center"/>
            </w:pPr>
            <w:r w:rsidRPr="00FF0B46">
              <w:t>AMMD in AB1 test</w:t>
            </w:r>
          </w:p>
        </w:tc>
      </w:tr>
    </w:tbl>
    <w:p w14:paraId="26C6A7CC" w14:textId="50F9A385" w:rsidR="00F17065" w:rsidRDefault="00064A39" w:rsidP="008C6667">
      <w:pPr>
        <w:pStyle w:val="Textoindependiente"/>
      </w:pPr>
      <w:r w:rsidRPr="00FF0B46">
        <w:rPr>
          <w:noProof/>
          <w:lang w:val="es-ES" w:eastAsia="es-ES"/>
        </w:rPr>
        <mc:AlternateContent>
          <mc:Choice Requires="wps">
            <w:drawing>
              <wp:anchor distT="0" distB="0" distL="114300" distR="114300" simplePos="0" relativeHeight="251676672" behindDoc="0" locked="0" layoutInCell="1" allowOverlap="1" wp14:anchorId="54F83DCF" wp14:editId="7E1AC59C">
                <wp:simplePos x="0" y="0"/>
                <wp:positionH relativeFrom="margin">
                  <wp:posOffset>1777111</wp:posOffset>
                </wp:positionH>
                <wp:positionV relativeFrom="paragraph">
                  <wp:posOffset>83820</wp:posOffset>
                </wp:positionV>
                <wp:extent cx="2879090" cy="635"/>
                <wp:effectExtent l="0" t="0" r="0" b="5080"/>
                <wp:wrapTopAndBottom/>
                <wp:docPr id="7" name="Text Box 2"/>
                <wp:cNvGraphicFramePr/>
                <a:graphic xmlns:a="http://schemas.openxmlformats.org/drawingml/2006/main">
                  <a:graphicData uri="http://schemas.microsoft.com/office/word/2010/wordprocessingShape">
                    <wps:wsp>
                      <wps:cNvSpPr txBox="1"/>
                      <wps:spPr>
                        <a:xfrm>
                          <a:off x="0" y="0"/>
                          <a:ext cx="2879090" cy="635"/>
                        </a:xfrm>
                        <a:prstGeom prst="rect">
                          <a:avLst/>
                        </a:prstGeom>
                        <a:solidFill>
                          <a:prstClr val="white"/>
                        </a:solidFill>
                        <a:ln>
                          <a:noFill/>
                        </a:ln>
                        <a:effectLst/>
                      </wps:spPr>
                      <wps:txbx>
                        <w:txbxContent>
                          <w:p w14:paraId="7C6AE343" w14:textId="552E3C82" w:rsidR="0048122F" w:rsidRPr="00802381" w:rsidRDefault="0048122F" w:rsidP="00650F0F">
                            <w:pPr>
                              <w:pStyle w:val="Descripcin"/>
                              <w:rPr>
                                <w:i/>
                                <w:sz w:val="20"/>
                              </w:rPr>
                            </w:pPr>
                            <w:bookmarkStart w:id="5" w:name="_Ref168911595"/>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5</w:t>
                            </w:r>
                            <w:r w:rsidRPr="00802381">
                              <w:rPr>
                                <w:i/>
                              </w:rPr>
                              <w:fldChar w:fldCharType="end"/>
                            </w:r>
                            <w:bookmarkEnd w:id="5"/>
                            <w:r>
                              <w:rPr>
                                <w:i/>
                              </w:rPr>
                              <w:t>. PG model main results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4F83DCF" id="_x0000_s1030" type="#_x0000_t202" style="position:absolute;left:0;text-align:left;margin-left:139.95pt;margin-top:6.6pt;width:226.7pt;height:.05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" stroked="f">
                <v:textbox style="mso-fit-shape-to-text:t" inset="0,0,0,0">
                  <w:txbxContent>
                    <w:p w14:paraId="7C6AE343" w14:textId="552E3C82" w:rsidR="0048122F" w:rsidRPr="00802381" w:rsidRDefault="0048122F" w:rsidP="00650F0F">
                      <w:pPr>
                        <w:pStyle w:val="Descripcin"/>
                        <w:rPr>
                          <w:i/>
                          <w:sz w:val="20"/>
                        </w:rPr>
                      </w:pPr>
                      <w:bookmarkStart w:id="20" w:name="_Ref168911595"/>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5</w:t>
                      </w:r>
                      <w:r w:rsidRPr="00802381">
                        <w:rPr>
                          <w:i/>
                        </w:rPr>
                        <w:fldChar w:fldCharType="end"/>
                      </w:r>
                      <w:bookmarkEnd w:id="20"/>
                      <w:r>
                        <w:rPr>
                          <w:i/>
                        </w:rPr>
                        <w:t>. PG model main results</w:t>
                      </w:r>
                    </w:p>
                  </w:txbxContent>
                </v:textbox>
                <w10:wrap type="topAndBottom" anchorx="margin"/>
              </v:shape>
            </w:pict>
          </mc:Fallback>
        </mc:AlternateContent>
      </w:r>
    </w:p>
    <w:p w14:paraId="7B29C0F0" w14:textId="70CB4A25" w:rsidR="00F004EE" w:rsidRDefault="002C738C" w:rsidP="00537496">
      <w:pPr>
        <w:pStyle w:val="Ttulo2"/>
      </w:pPr>
      <w:r>
        <w:t>Water-cooled SMRs</w:t>
      </w:r>
    </w:p>
    <w:p w14:paraId="75BB3532" w14:textId="705E3A2E" w:rsidR="00507826" w:rsidRDefault="00507826" w:rsidP="00537496">
      <w:pPr>
        <w:pStyle w:val="Textoindependiente"/>
      </w:pPr>
      <w:r>
        <w:t xml:space="preserve">Recently, CIEMAT joined the first European joint venture addressing severe accidents in water-cooled SMRs (the EC SASPAM-SA project). The highest level objective of the work is to achieve a sound knowledge </w:t>
      </w:r>
      <w:r>
        <w:lastRenderedPageBreak/>
        <w:t xml:space="preserve">and know-how transfer from the experience gained in the Large Water Reactor (LWR) severe accident domain and adapt whatever necessary. The major challenges CIEMAT is currently addressing are: to explore potential accident scenarios that could lead to severe consequences in an integrated Pressure Water type Reactor (iPWR), to assess the applicability of the existing pool scrubbing database </w:t>
      </w:r>
      <w:r>
        <w:fldChar w:fldCharType="begin"/>
      </w:r>
      <w:r w:rsidR="00105BF4">
        <w:instrText xml:space="preserve"> ADDIN ZOTERO_ITEM CSL_CITATION {"citationID":"PqqD0xXe","properties":{"formattedCitation":"[22]","plainCitation":"[22]","noteIndex":0},"citationItems":[{"id":854,"uris":["http://zotero.org/users/3216916/items/KKDZMFXJ"],"itemData":{"id":854,"type":"article-journal","abstract":"The removal of aerosol particles and vapors in gas bubbles moving through a water pool is known to be an efficient means to reduce source term to the environment during severe accidents, as happened in Fukushima Daiichi. This trapping, called pool scrubbing, entails a complex phenomenology in which hydrodynamics, thermal hydraulics, and aerosol physics strongly affect each other and determine the net transfer of radioactivity coming out from the aqueous pond. More than 20 experimental programs have addressed this issue since the early 1980s, but few of them did it in a systematic and representative way. This paper thoroughly reviews the entire pool scrubbing database until 2016 and assesses the adequacy of the experimental setup, representativeness of boundary conditions, weaknesses in decontamination factor derivation, data uncertainties, and some other aspects to finally synthesize a reduced number of experiments that could be used as an experimental matrix for the validation of pool scrubbing models. More than 500 tests were reviewed and classified as Qualified for Validation, Useful for Understanding, or Not Useful; less than 15% of these experiments are considered in the proposed validation matrix due to different reasons. Major insights and remaining needs are also highlighted. This work was conducted under the framework of the Integration of Pool Scrubbing Research to Enhance Source-Term Calculations, or the IPRESCA project, led by Becker Technologies, in the framework of the Sustainable Nuclear Energy Technology Platform/Nuclear Generation II &amp; III Alliance/Technical Area 2.","container-title":"Nuclear Technology","DOI":"10.1080/00295450.2022.2122679","ISSN":"0029-5450","issue":"0","note":"publisher: Taylor &amp; Francis\n_eprint: https://doi.org/10.1080/00295450.2022.2122679","page":"1-14","source":"Taylor and Francis+NEJM","title":"Validation Matrix for Pool Scrubbing Models","volume":"0","author":[{"family":"Herranz","given":"L. E."},{"family":"Sánchez","given":"F."},{"family":"Gupta","given":"S."}],"issued":{"date-parts":[["2022",11,1]]}}}],"schema":"https://github.com/citation-style-language/schema/raw/master/csl-citation.json"} </w:instrText>
      </w:r>
      <w:r>
        <w:fldChar w:fldCharType="separate"/>
      </w:r>
      <w:r w:rsidR="00105BF4" w:rsidRPr="00105BF4">
        <w:t>[22]</w:t>
      </w:r>
      <w:r>
        <w:fldChar w:fldCharType="end"/>
      </w:r>
      <w:r>
        <w:t>, and to investigate feasibility and consequences of Accident Management (AM) measures, like In-Vessel Melt Retention (IVMR) and Filtered Containment Venting (FCV), among others. This work is foreseen to be developed in the next three years.</w:t>
      </w:r>
    </w:p>
    <w:p w14:paraId="7617F095" w14:textId="2A7499CC" w:rsidR="00264AFC" w:rsidRDefault="00666FA4" w:rsidP="00537496">
      <w:pPr>
        <w:pStyle w:val="Textoindependiente"/>
        <w:rPr>
          <w:lang w:val="en-US"/>
        </w:rPr>
      </w:pPr>
      <w:r>
        <w:t>In the frame of the WP2 devoted to inp</w:t>
      </w:r>
      <w:r w:rsidR="00264AFC">
        <w:t xml:space="preserve">ut development and hypothetical SA scenarios assessment, a campaign of postaluted DBA and SA scenarios has been carried out to evaluate how the availability of different passive safety systems would condition the accident progression of a generic iPWR design (300 MWe). </w:t>
      </w:r>
      <w:r w:rsidR="00264AFC">
        <w:rPr>
          <w:lang w:val="en-US"/>
        </w:rPr>
        <w:t>Characterized by a dry spherical containment and the use of several passive systems, named, Emergency Heat Removal System (EHRS), Automatic Depressurization System (ADS), Emergency Boration Tanks (EBTs), Long-term Gravity Makeup System (LGMS ) and Pressure Suppresion System (PSS) (</w:t>
      </w:r>
      <w:r w:rsidR="00105BF4">
        <w:rPr>
          <w:lang w:val="en-US"/>
        </w:rPr>
        <w:fldChar w:fldCharType="begin"/>
      </w:r>
      <w:r w:rsidR="00105BF4">
        <w:rPr>
          <w:lang w:val="en-US"/>
        </w:rPr>
        <w:instrText xml:space="preserve"> REF _Ref168911625 \h </w:instrText>
      </w:r>
      <w:r w:rsidR="00105BF4">
        <w:rPr>
          <w:lang w:val="en-US"/>
        </w:rPr>
      </w:r>
      <w:r w:rsidR="00105BF4">
        <w:rPr>
          <w:lang w:val="en-US"/>
        </w:rPr>
        <w:fldChar w:fldCharType="separate"/>
      </w:r>
      <w:r w:rsidR="00105BF4" w:rsidRPr="00802381">
        <w:rPr>
          <w:i/>
        </w:rPr>
        <w:t xml:space="preserve">FIG. </w:t>
      </w:r>
      <w:r w:rsidR="00105BF4">
        <w:rPr>
          <w:i/>
          <w:noProof/>
        </w:rPr>
        <w:t>6</w:t>
      </w:r>
      <w:r w:rsidR="00105BF4">
        <w:rPr>
          <w:lang w:val="en-US"/>
        </w:rPr>
        <w:fldChar w:fldCharType="end"/>
      </w:r>
      <w:r w:rsidR="00264AFC">
        <w:rPr>
          <w:lang w:val="en-US"/>
        </w:rPr>
        <w:t>).</w:t>
      </w:r>
    </w:p>
    <w:p w14:paraId="563CE7FF" w14:textId="77777777" w:rsidR="002F2304" w:rsidRDefault="002F2304" w:rsidP="00537496">
      <w:pPr>
        <w:pStyle w:val="Textoindependiente"/>
        <w:rPr>
          <w:lang w:val="en-US"/>
        </w:rPr>
      </w:pPr>
    </w:p>
    <w:p w14:paraId="68BB58C8" w14:textId="77777777" w:rsidR="00264AFC" w:rsidRDefault="00264AFC" w:rsidP="00537496">
      <w:pPr>
        <w:pStyle w:val="Textoindependiente"/>
        <w:rPr>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1"/>
        <w:gridCol w:w="4796"/>
      </w:tblGrid>
      <w:tr w:rsidR="00925314" w14:paraId="78521A98" w14:textId="77777777" w:rsidTr="00925314">
        <w:tc>
          <w:tcPr>
            <w:tcW w:w="4221" w:type="dxa"/>
          </w:tcPr>
          <w:p w14:paraId="17641FFF" w14:textId="77777777" w:rsidR="00925314" w:rsidRDefault="00925314" w:rsidP="0048122F">
            <w:pPr>
              <w:keepNext/>
              <w:jc w:val="center"/>
            </w:pPr>
            <w:r>
              <w:rPr>
                <w:noProof/>
                <w:lang w:val="es-ES" w:eastAsia="es-ES"/>
              </w:rPr>
              <w:drawing>
                <wp:inline distT="0" distB="0" distL="0" distR="0" wp14:anchorId="00D34351" wp14:editId="43CA24E9">
                  <wp:extent cx="1411597" cy="32400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1597" cy="3240000"/>
                          </a:xfrm>
                          <a:prstGeom prst="rect">
                            <a:avLst/>
                          </a:prstGeom>
                          <a:noFill/>
                        </pic:spPr>
                      </pic:pic>
                    </a:graphicData>
                  </a:graphic>
                </wp:inline>
              </w:drawing>
            </w:r>
          </w:p>
        </w:tc>
        <w:tc>
          <w:tcPr>
            <w:tcW w:w="4796" w:type="dxa"/>
          </w:tcPr>
          <w:p w14:paraId="772C44A3" w14:textId="4F4A80CD" w:rsidR="00925314" w:rsidRDefault="00E35A73" w:rsidP="0048122F">
            <w:pPr>
              <w:keepNext/>
              <w:jc w:val="center"/>
            </w:pPr>
            <w:r>
              <w:rPr>
                <w:noProof/>
                <w:lang w:val="es-ES" w:eastAsia="es-ES"/>
              </w:rPr>
              <w:drawing>
                <wp:inline distT="0" distB="0" distL="0" distR="0" wp14:anchorId="14B79A9F" wp14:editId="3BE866DF">
                  <wp:extent cx="2880000" cy="311162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0000" cy="3111625"/>
                          </a:xfrm>
                          <a:prstGeom prst="rect">
                            <a:avLst/>
                          </a:prstGeom>
                          <a:noFill/>
                        </pic:spPr>
                      </pic:pic>
                    </a:graphicData>
                  </a:graphic>
                </wp:inline>
              </w:drawing>
            </w:r>
          </w:p>
        </w:tc>
      </w:tr>
    </w:tbl>
    <w:p w14:paraId="0B7C16F9" w14:textId="24B2154D" w:rsidR="00264AFC" w:rsidRDefault="00925314" w:rsidP="00537496">
      <w:pPr>
        <w:pStyle w:val="Textoindependiente"/>
        <w:rPr>
          <w:lang w:val="en-US"/>
        </w:rPr>
      </w:pPr>
      <w:r w:rsidRPr="00FF0B46">
        <w:rPr>
          <w:noProof/>
          <w:lang w:val="es-ES" w:eastAsia="es-ES"/>
        </w:rPr>
        <mc:AlternateContent>
          <mc:Choice Requires="wps">
            <w:drawing>
              <wp:anchor distT="0" distB="0" distL="114300" distR="114300" simplePos="0" relativeHeight="251678720" behindDoc="0" locked="0" layoutInCell="1" allowOverlap="1" wp14:anchorId="5EE7F53A" wp14:editId="27319D45">
                <wp:simplePos x="0" y="0"/>
                <wp:positionH relativeFrom="margin">
                  <wp:posOffset>0</wp:posOffset>
                </wp:positionH>
                <wp:positionV relativeFrom="paragraph">
                  <wp:posOffset>167005</wp:posOffset>
                </wp:positionV>
                <wp:extent cx="5705475" cy="635"/>
                <wp:effectExtent l="0" t="0" r="9525" b="5080"/>
                <wp:wrapTopAndBottom/>
                <wp:docPr id="16" name="Text Box 2"/>
                <wp:cNvGraphicFramePr/>
                <a:graphic xmlns:a="http://schemas.openxmlformats.org/drawingml/2006/main">
                  <a:graphicData uri="http://schemas.microsoft.com/office/word/2010/wordprocessingShape">
                    <wps:wsp>
                      <wps:cNvSpPr txBox="1"/>
                      <wps:spPr>
                        <a:xfrm>
                          <a:off x="0" y="0"/>
                          <a:ext cx="5705475" cy="635"/>
                        </a:xfrm>
                        <a:prstGeom prst="rect">
                          <a:avLst/>
                        </a:prstGeom>
                        <a:solidFill>
                          <a:prstClr val="white"/>
                        </a:solidFill>
                        <a:ln>
                          <a:noFill/>
                        </a:ln>
                        <a:effectLst/>
                      </wps:spPr>
                      <wps:txbx>
                        <w:txbxContent>
                          <w:p w14:paraId="4AF49983" w14:textId="6E9AF6E8" w:rsidR="0048122F" w:rsidRPr="00802381" w:rsidRDefault="0048122F" w:rsidP="00925314">
                            <w:pPr>
                              <w:pStyle w:val="Descripcin"/>
                              <w:jc w:val="center"/>
                              <w:rPr>
                                <w:i/>
                                <w:sz w:val="20"/>
                              </w:rPr>
                            </w:pPr>
                            <w:bookmarkStart w:id="6" w:name="_Ref168911625"/>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6</w:t>
                            </w:r>
                            <w:r w:rsidRPr="00802381">
                              <w:rPr>
                                <w:i/>
                              </w:rPr>
                              <w:fldChar w:fldCharType="end"/>
                            </w:r>
                            <w:bookmarkEnd w:id="6"/>
                            <w:r>
                              <w:rPr>
                                <w:i/>
                              </w:rPr>
                              <w:t>. PG model main results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EE7F53A" id="_x0000_s1031" type="#_x0000_t202" style="position:absolute;left:0;text-align:left;margin-left:0;margin-top:13.15pt;width:449.25pt;height:.05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" stroked="f">
                <v:textbox style="mso-fit-shape-to-text:t" inset="0,0,0,0">
                  <w:txbxContent>
                    <w:p w14:paraId="4AF49983" w14:textId="6E9AF6E8" w:rsidR="0048122F" w:rsidRPr="00802381" w:rsidRDefault="0048122F" w:rsidP="00925314">
                      <w:pPr>
                        <w:pStyle w:val="Descripcin"/>
                        <w:jc w:val="center"/>
                        <w:rPr>
                          <w:i/>
                          <w:sz w:val="20"/>
                        </w:rPr>
                      </w:pPr>
                      <w:bookmarkStart w:id="22" w:name="_Ref168911625"/>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6</w:t>
                      </w:r>
                      <w:r w:rsidRPr="00802381">
                        <w:rPr>
                          <w:i/>
                        </w:rPr>
                        <w:fldChar w:fldCharType="end"/>
                      </w:r>
                      <w:bookmarkEnd w:id="22"/>
                      <w:r>
                        <w:rPr>
                          <w:i/>
                        </w:rPr>
                        <w:t>. PG model main results</w:t>
                      </w:r>
                    </w:p>
                  </w:txbxContent>
                </v:textbox>
                <w10:wrap type="topAndBottom" anchorx="margin"/>
              </v:shape>
            </w:pict>
          </mc:Fallback>
        </mc:AlternateContent>
      </w:r>
    </w:p>
    <w:p w14:paraId="6EAE223D" w14:textId="77777777" w:rsidR="00264AFC" w:rsidRDefault="00264AFC" w:rsidP="00537496">
      <w:pPr>
        <w:pStyle w:val="Textoindependiente"/>
        <w:rPr>
          <w:lang w:val="en-US"/>
        </w:rPr>
      </w:pPr>
    </w:p>
    <w:p w14:paraId="12FD22B5" w14:textId="465F4050" w:rsidR="00264AFC" w:rsidRDefault="00264AFC" w:rsidP="00537496">
      <w:pPr>
        <w:pStyle w:val="Textoindependiente"/>
      </w:pPr>
      <w:r>
        <w:rPr>
          <w:lang w:val="en-US"/>
        </w:rPr>
        <w:t>The integral severe accident MELCOR 2.2 code has been used to assess the progression of a postulated small double-guillotine break in the Direct Vessel Injection (DVI). Preliminary results indicate that the EHRS actuation is essential to prevent any core degradation. On the contrary, all the other passive systems, event acting altogether, would not be able to avoid core uncover and its subsequent degradation.</w:t>
      </w:r>
    </w:p>
    <w:p w14:paraId="513383FE" w14:textId="53795BFB" w:rsidR="006014DB" w:rsidRDefault="006014DB" w:rsidP="00537496">
      <w:pPr>
        <w:pStyle w:val="Textoindependiente"/>
      </w:pPr>
    </w:p>
    <w:p w14:paraId="5F45E0AF" w14:textId="67E336E7" w:rsidR="006014DB" w:rsidRDefault="006014DB" w:rsidP="006014DB">
      <w:pPr>
        <w:pStyle w:val="Ttulo2"/>
      </w:pPr>
      <w:r>
        <w:t>Conclusions</w:t>
      </w:r>
    </w:p>
    <w:p w14:paraId="78CB1EED" w14:textId="07B64131" w:rsidR="006014DB" w:rsidRPr="006014DB" w:rsidRDefault="0048122F" w:rsidP="006014DB">
      <w:pPr>
        <w:spacing w:line="360" w:lineRule="auto"/>
        <w:jc w:val="both"/>
        <w:rPr>
          <w:sz w:val="20"/>
        </w:rPr>
      </w:pPr>
      <w:r>
        <w:rPr>
          <w:sz w:val="20"/>
        </w:rPr>
        <w:t>The c</w:t>
      </w:r>
      <w:r w:rsidR="006014DB" w:rsidRPr="006014DB">
        <w:rPr>
          <w:sz w:val="20"/>
        </w:rPr>
        <w:t xml:space="preserve">onclusions from CIEMAT’s </w:t>
      </w:r>
      <w:r w:rsidR="00DE44D0">
        <w:rPr>
          <w:sz w:val="20"/>
        </w:rPr>
        <w:t>research</w:t>
      </w:r>
      <w:r>
        <w:rPr>
          <w:sz w:val="20"/>
        </w:rPr>
        <w:t xml:space="preserve"> </w:t>
      </w:r>
      <w:r w:rsidR="002F2304">
        <w:rPr>
          <w:sz w:val="20"/>
        </w:rPr>
        <w:t>can</w:t>
      </w:r>
      <w:r>
        <w:rPr>
          <w:sz w:val="20"/>
        </w:rPr>
        <w:t xml:space="preserve"> be synthesized as follows</w:t>
      </w:r>
      <w:r w:rsidR="006014DB" w:rsidRPr="006014DB">
        <w:rPr>
          <w:sz w:val="20"/>
        </w:rPr>
        <w:t>:</w:t>
      </w:r>
    </w:p>
    <w:p w14:paraId="3B27CEBB" w14:textId="77777777" w:rsidR="006014DB" w:rsidRPr="006014DB" w:rsidRDefault="006014DB" w:rsidP="006014DB">
      <w:pPr>
        <w:pStyle w:val="ListEmdash"/>
        <w:ind w:left="709"/>
      </w:pPr>
      <w:r w:rsidRPr="006014DB">
        <w:t xml:space="preserve">Passive systems are highly valuable enhancements to nuclear safety. Nonetheless, their reliability under all accidental conditions foreseen should be proved. </w:t>
      </w:r>
    </w:p>
    <w:p w14:paraId="0132C0CB" w14:textId="48932C43" w:rsidR="006014DB" w:rsidRPr="006014DB" w:rsidRDefault="006014DB" w:rsidP="006014DB">
      <w:pPr>
        <w:pStyle w:val="ListEmdash"/>
        <w:ind w:left="709"/>
      </w:pPr>
      <w:r w:rsidRPr="006014DB">
        <w:t>High temperature gas cooled reactors is a truly promising technology with interesting safety features, which third barrier deserves specific investigation to make the most out of its performance.</w:t>
      </w:r>
      <w:r w:rsidR="00A81DCA">
        <w:t xml:space="preserve"> The high integrity and reliability under nominal and anticipated accident conditions of the SiC layer of fuel TRISO particles, would allow considering replacing the traditional containment barrier by a filtered confinement.</w:t>
      </w:r>
    </w:p>
    <w:p w14:paraId="11906E68" w14:textId="2750DA18" w:rsidR="00A81DCA" w:rsidRDefault="006014DB" w:rsidP="006014DB">
      <w:pPr>
        <w:pStyle w:val="ListEmdash"/>
        <w:ind w:left="709"/>
      </w:pPr>
      <w:r w:rsidRPr="006014DB">
        <w:t>Sodium fast reactors pose safety challenges in case of core disruption. The large differences in the coolant properties (</w:t>
      </w:r>
      <w:r w:rsidR="00A81DCA">
        <w:t xml:space="preserve">i.e., </w:t>
      </w:r>
      <w:r w:rsidRPr="006014DB">
        <w:t xml:space="preserve">water and sodium) make </w:t>
      </w:r>
      <w:r w:rsidR="00A81DCA">
        <w:t xml:space="preserve">any extrapolation from water to sodium impossible. This is </w:t>
      </w:r>
      <w:r w:rsidR="00A81DCA">
        <w:lastRenderedPageBreak/>
        <w:t xml:space="preserve">particularly so when coming to coolant interaction with fission products, where physics-chemical interactions would need basic properties (i.e., mass transport properties), and the coolant interaction with oxidizing environments (i.e., pool and spray Na fires). </w:t>
      </w:r>
    </w:p>
    <w:p w14:paraId="0342294B" w14:textId="0142D735" w:rsidR="00D51414" w:rsidRDefault="006014DB" w:rsidP="006014DB">
      <w:pPr>
        <w:pStyle w:val="ListEmdash"/>
        <w:ind w:left="709"/>
      </w:pPr>
      <w:r w:rsidRPr="006014DB">
        <w:t xml:space="preserve">SMR implementation opportunity needs research to address those open issues that might handicap their acceptance. </w:t>
      </w:r>
      <w:r w:rsidR="00A81DCA">
        <w:t xml:space="preserve">Some of them might be design-specific and require information not available in the public domain. If so, they </w:t>
      </w:r>
      <w:r w:rsidRPr="006014DB">
        <w:t xml:space="preserve">might </w:t>
      </w:r>
      <w:r w:rsidR="00A81DCA">
        <w:t xml:space="preserve">be addressed by </w:t>
      </w:r>
      <w:r w:rsidRPr="006014DB">
        <w:t>investigat</w:t>
      </w:r>
      <w:r w:rsidR="00A81DCA">
        <w:t>ing</w:t>
      </w:r>
      <w:r w:rsidRPr="006014DB">
        <w:t xml:space="preserve"> </w:t>
      </w:r>
      <w:r w:rsidR="00A81DCA">
        <w:t>“</w:t>
      </w:r>
      <w:r w:rsidRPr="006014DB">
        <w:t>conservative scenarios</w:t>
      </w:r>
      <w:r w:rsidR="00A81DCA">
        <w:t>”</w:t>
      </w:r>
      <w:r w:rsidR="00D51414">
        <w:t>. This way, the prevailing boundary conditions under which safety systems would work would be identified and a closer characterization of the safety systems response would be obtained.</w:t>
      </w:r>
    </w:p>
    <w:p w14:paraId="71CA92D5" w14:textId="77777777" w:rsidR="006014DB" w:rsidRPr="006014DB" w:rsidRDefault="006014DB" w:rsidP="00537496">
      <w:pPr>
        <w:pStyle w:val="Textoindependiente"/>
        <w:rPr>
          <w:lang w:val="en-US"/>
        </w:rPr>
      </w:pPr>
    </w:p>
    <w:p w14:paraId="1DA19A2D" w14:textId="5D93BCA4" w:rsidR="00507826" w:rsidRDefault="00D26ADA" w:rsidP="00507826">
      <w:pPr>
        <w:pStyle w:val="Otherunnumberedheadings"/>
      </w:pPr>
      <w:r>
        <w:t>References</w:t>
      </w:r>
    </w:p>
    <w:p w14:paraId="10107A8A" w14:textId="77777777" w:rsidR="002F2304" w:rsidRPr="002F2304" w:rsidRDefault="00D3297E" w:rsidP="002F2304">
      <w:pPr>
        <w:pStyle w:val="Bibliografa"/>
        <w:rPr>
          <w:sz w:val="18"/>
        </w:rPr>
      </w:pPr>
      <w:r w:rsidRPr="00D3297E">
        <w:rPr>
          <w:sz w:val="18"/>
          <w:szCs w:val="18"/>
        </w:rPr>
        <w:fldChar w:fldCharType="begin"/>
      </w:r>
      <w:r w:rsidR="002F2304">
        <w:rPr>
          <w:sz w:val="18"/>
          <w:szCs w:val="18"/>
        </w:rPr>
        <w:instrText xml:space="preserve"> ADDIN ZOTERO_BIBL {"uncited":[],"omitted":[],"custom":[]} CSL_BIBLIOGRAPHY </w:instrText>
      </w:r>
      <w:r w:rsidRPr="00D3297E">
        <w:rPr>
          <w:sz w:val="18"/>
          <w:szCs w:val="18"/>
        </w:rPr>
        <w:fldChar w:fldCharType="separate"/>
      </w:r>
      <w:r w:rsidR="002F2304" w:rsidRPr="002F2304">
        <w:rPr>
          <w:sz w:val="18"/>
        </w:rPr>
        <w:t>[1]</w:t>
      </w:r>
      <w:r w:rsidR="002F2304" w:rsidRPr="002F2304">
        <w:rPr>
          <w:sz w:val="18"/>
        </w:rPr>
        <w:tab/>
        <w:t xml:space="preserve">L. E. Herranz, J. L. Muñoz-Cobo, y M. J. Palomo, «Modeling condensation heat transfer on a horizontal finned tube in the presence of noncondensable gases», </w:t>
      </w:r>
      <w:r w:rsidR="002F2304" w:rsidRPr="002F2304">
        <w:rPr>
          <w:i/>
          <w:iCs/>
          <w:sz w:val="18"/>
        </w:rPr>
        <w:t>Nuclear Engineering and Design</w:t>
      </w:r>
      <w:r w:rsidR="002F2304" w:rsidRPr="002F2304">
        <w:rPr>
          <w:sz w:val="18"/>
        </w:rPr>
        <w:t>, vol. 201, n.</w:t>
      </w:r>
      <w:r w:rsidR="002F2304" w:rsidRPr="002F2304">
        <w:rPr>
          <w:sz w:val="18"/>
          <w:vertAlign w:val="superscript"/>
        </w:rPr>
        <w:t>o</w:t>
      </w:r>
      <w:r w:rsidR="002F2304" w:rsidRPr="002F2304">
        <w:rPr>
          <w:sz w:val="18"/>
        </w:rPr>
        <w:t xml:space="preserve"> 2, pp. 273-288, oct. 2000, doi: 10.1016/S0029-5493(00)00278-8.</w:t>
      </w:r>
    </w:p>
    <w:p w14:paraId="6339C943" w14:textId="77777777" w:rsidR="002F2304" w:rsidRPr="002F2304" w:rsidRDefault="002F2304" w:rsidP="002F2304">
      <w:pPr>
        <w:pStyle w:val="Bibliografa"/>
        <w:rPr>
          <w:sz w:val="18"/>
        </w:rPr>
      </w:pPr>
      <w:r w:rsidRPr="002F2304">
        <w:rPr>
          <w:sz w:val="18"/>
        </w:rPr>
        <w:t>[2]</w:t>
      </w:r>
      <w:r w:rsidRPr="002F2304">
        <w:rPr>
          <w:sz w:val="18"/>
        </w:rPr>
        <w:tab/>
        <w:t xml:space="preserve">L. E. Herranz, M. H. Anderson, y M. L. Corradini, «A diffusion layer model for steam condensation within the AP600 containment», </w:t>
      </w:r>
      <w:r w:rsidRPr="002F2304">
        <w:rPr>
          <w:i/>
          <w:iCs/>
          <w:sz w:val="18"/>
        </w:rPr>
        <w:t>Nuclear Engineering and Design</w:t>
      </w:r>
      <w:r w:rsidRPr="002F2304">
        <w:rPr>
          <w:sz w:val="18"/>
        </w:rPr>
        <w:t>, vol. 183, n.</w:t>
      </w:r>
      <w:r w:rsidRPr="002F2304">
        <w:rPr>
          <w:sz w:val="18"/>
          <w:vertAlign w:val="superscript"/>
        </w:rPr>
        <w:t>o</w:t>
      </w:r>
      <w:r w:rsidRPr="002F2304">
        <w:rPr>
          <w:sz w:val="18"/>
        </w:rPr>
        <w:t xml:space="preserve"> 1, pp. 133-150, jul. 1998, doi: 10.1016/S0029-5493(98)00164-2.</w:t>
      </w:r>
    </w:p>
    <w:p w14:paraId="3AEAF3F8" w14:textId="77777777" w:rsidR="002F2304" w:rsidRPr="002F2304" w:rsidRDefault="002F2304" w:rsidP="002F2304">
      <w:pPr>
        <w:pStyle w:val="Bibliografa"/>
        <w:rPr>
          <w:sz w:val="18"/>
        </w:rPr>
      </w:pPr>
      <w:r w:rsidRPr="002F2304">
        <w:rPr>
          <w:sz w:val="18"/>
        </w:rPr>
        <w:t>[3]</w:t>
      </w:r>
      <w:r w:rsidRPr="002F2304">
        <w:rPr>
          <w:sz w:val="18"/>
        </w:rPr>
        <w:tab/>
        <w:t xml:space="preserve">L. E. Herranz, J. L. Muñoz-Cobo, y G. Verdú, «Heat transfer modeling in the vertical tubes of the passive containment cooling system of the simplified boiling water reactor», </w:t>
      </w:r>
      <w:r w:rsidRPr="002F2304">
        <w:rPr>
          <w:i/>
          <w:iCs/>
          <w:sz w:val="18"/>
        </w:rPr>
        <w:t>Nuclear Engineering and Design</w:t>
      </w:r>
      <w:r w:rsidRPr="002F2304">
        <w:rPr>
          <w:sz w:val="18"/>
        </w:rPr>
        <w:t>, vol. 178, n.</w:t>
      </w:r>
      <w:r w:rsidRPr="002F2304">
        <w:rPr>
          <w:sz w:val="18"/>
          <w:vertAlign w:val="superscript"/>
        </w:rPr>
        <w:t>o</w:t>
      </w:r>
      <w:r w:rsidRPr="002F2304">
        <w:rPr>
          <w:sz w:val="18"/>
        </w:rPr>
        <w:t xml:space="preserve"> 1, pp. 29-44, dic. 1997, doi: 10.1016/S0029-5493(97)00178-7.</w:t>
      </w:r>
    </w:p>
    <w:p w14:paraId="629E48C2" w14:textId="77777777" w:rsidR="002F2304" w:rsidRPr="002F2304" w:rsidRDefault="002F2304" w:rsidP="002F2304">
      <w:pPr>
        <w:pStyle w:val="Bibliografa"/>
        <w:rPr>
          <w:sz w:val="18"/>
        </w:rPr>
      </w:pPr>
      <w:r w:rsidRPr="002F2304">
        <w:rPr>
          <w:sz w:val="18"/>
        </w:rPr>
        <w:t>[4]</w:t>
      </w:r>
      <w:r w:rsidRPr="002F2304">
        <w:rPr>
          <w:sz w:val="18"/>
        </w:rPr>
        <w:tab/>
        <w:t xml:space="preserve">J. L. Muñoz-Cobo, J. Peña, L. E. Herranz, y A. Pérez-Navarro, «Steam condensation on finned tubes, in the presence of non-condensable gases and aerosols: Influence of impaction, diffusiophoresis and settling on aerosol deposition», </w:t>
      </w:r>
      <w:r w:rsidRPr="002F2304">
        <w:rPr>
          <w:i/>
          <w:iCs/>
          <w:sz w:val="18"/>
        </w:rPr>
        <w:t>Nuclear Engineering and Design</w:t>
      </w:r>
      <w:r w:rsidRPr="002F2304">
        <w:rPr>
          <w:sz w:val="18"/>
        </w:rPr>
        <w:t>, vol. 235, n.</w:t>
      </w:r>
      <w:r w:rsidRPr="002F2304">
        <w:rPr>
          <w:sz w:val="18"/>
          <w:vertAlign w:val="superscript"/>
        </w:rPr>
        <w:t>o</w:t>
      </w:r>
      <w:r w:rsidRPr="002F2304">
        <w:rPr>
          <w:sz w:val="18"/>
        </w:rPr>
        <w:t xml:space="preserve"> 10, pp. 1225-1237, may 2005, doi: 10.1016/j.nucengdes.2005.02.014.</w:t>
      </w:r>
    </w:p>
    <w:p w14:paraId="6D5A283E" w14:textId="77777777" w:rsidR="002F2304" w:rsidRPr="002F2304" w:rsidRDefault="002F2304" w:rsidP="002F2304">
      <w:pPr>
        <w:pStyle w:val="Bibliografa"/>
        <w:rPr>
          <w:sz w:val="18"/>
        </w:rPr>
      </w:pPr>
      <w:r w:rsidRPr="002F2304">
        <w:rPr>
          <w:sz w:val="18"/>
        </w:rPr>
        <w:t>[5]</w:t>
      </w:r>
      <w:r w:rsidRPr="002F2304">
        <w:rPr>
          <w:sz w:val="18"/>
        </w:rPr>
        <w:tab/>
        <w:t xml:space="preserve">C. Queral </w:t>
      </w:r>
      <w:r w:rsidRPr="002F2304">
        <w:rPr>
          <w:i/>
          <w:iCs/>
          <w:sz w:val="18"/>
        </w:rPr>
        <w:t>et al.</w:t>
      </w:r>
      <w:r w:rsidRPr="002F2304">
        <w:rPr>
          <w:sz w:val="18"/>
        </w:rPr>
        <w:t xml:space="preserve">, «Spanish research related to SMRs projects», </w:t>
      </w:r>
      <w:r w:rsidRPr="002F2304">
        <w:rPr>
          <w:i/>
          <w:iCs/>
          <w:sz w:val="18"/>
        </w:rPr>
        <w:t>Nuclear Engineering and Design</w:t>
      </w:r>
      <w:r w:rsidRPr="002F2304">
        <w:rPr>
          <w:sz w:val="18"/>
        </w:rPr>
        <w:t>, vol. 417, p. 112818, feb. 2024, doi: 10.1016/j.nucengdes.2023.112818.</w:t>
      </w:r>
    </w:p>
    <w:p w14:paraId="36C6D6B3" w14:textId="77777777" w:rsidR="002F2304" w:rsidRPr="002F2304" w:rsidRDefault="002F2304" w:rsidP="002F2304">
      <w:pPr>
        <w:pStyle w:val="Bibliografa"/>
        <w:rPr>
          <w:sz w:val="18"/>
        </w:rPr>
      </w:pPr>
      <w:r w:rsidRPr="002F2304">
        <w:rPr>
          <w:sz w:val="18"/>
        </w:rPr>
        <w:t>[6]</w:t>
      </w:r>
      <w:r w:rsidRPr="002F2304">
        <w:rPr>
          <w:sz w:val="18"/>
        </w:rPr>
        <w:tab/>
        <w:t xml:space="preserve">J. Fontanet, L. E. Herranz, R. Alastair, y N. Lolan, «Modelling of HTR Confinement Behaviour during Accidents Involving Breach of the Helium Pressure Boundary», </w:t>
      </w:r>
      <w:r w:rsidRPr="002F2304">
        <w:rPr>
          <w:i/>
          <w:iCs/>
          <w:sz w:val="18"/>
        </w:rPr>
        <w:t>Science and Technology of Nuclear Installations</w:t>
      </w:r>
      <w:r w:rsidRPr="002F2304">
        <w:rPr>
          <w:sz w:val="18"/>
        </w:rPr>
        <w:t>, vol. 2009, ene. 2009, doi: 10.1155/2009/687634.</w:t>
      </w:r>
    </w:p>
    <w:p w14:paraId="05275464" w14:textId="77777777" w:rsidR="002F2304" w:rsidRPr="002F2304" w:rsidRDefault="002F2304" w:rsidP="002F2304">
      <w:pPr>
        <w:pStyle w:val="Bibliografa"/>
        <w:rPr>
          <w:sz w:val="18"/>
        </w:rPr>
      </w:pPr>
      <w:r w:rsidRPr="002F2304">
        <w:rPr>
          <w:sz w:val="18"/>
        </w:rPr>
        <w:t>[7]</w:t>
      </w:r>
      <w:r w:rsidRPr="002F2304">
        <w:rPr>
          <w:sz w:val="18"/>
        </w:rPr>
        <w:tab/>
        <w:t xml:space="preserve">L. E. Herranz y J. Fontanet, «Analysis of the effect of water ponds on HTR confinement behavior under accident conditions», </w:t>
      </w:r>
      <w:r w:rsidRPr="002F2304">
        <w:rPr>
          <w:i/>
          <w:iCs/>
          <w:sz w:val="18"/>
        </w:rPr>
        <w:t>Progress in Nuclear Energy</w:t>
      </w:r>
      <w:r w:rsidRPr="002F2304">
        <w:rPr>
          <w:sz w:val="18"/>
        </w:rPr>
        <w:t>, vol. 67, pp. 7-14, ago. 2013, doi: 10.1016/j.pnucene.2013.03.016.</w:t>
      </w:r>
    </w:p>
    <w:p w14:paraId="50DD3F1E" w14:textId="77777777" w:rsidR="002F2304" w:rsidRPr="002F2304" w:rsidRDefault="002F2304" w:rsidP="002F2304">
      <w:pPr>
        <w:pStyle w:val="Bibliografa"/>
        <w:rPr>
          <w:sz w:val="18"/>
        </w:rPr>
      </w:pPr>
      <w:r w:rsidRPr="002F2304">
        <w:rPr>
          <w:sz w:val="18"/>
        </w:rPr>
        <w:t>[8]</w:t>
      </w:r>
      <w:r w:rsidRPr="002F2304">
        <w:rPr>
          <w:sz w:val="18"/>
        </w:rPr>
        <w:tab/>
        <w:t xml:space="preserve">L. E. Herranz, B. Moratilla, y Linares, J.I., «Assessment of Regenerative Reheating in Direct Brayton Power Cycles for High-Temperature Gas-Cooled Reactors», </w:t>
      </w:r>
      <w:r w:rsidRPr="002F2304">
        <w:rPr>
          <w:i/>
          <w:iCs/>
          <w:sz w:val="18"/>
        </w:rPr>
        <w:t>Nuclear technology</w:t>
      </w:r>
      <w:r w:rsidRPr="002F2304">
        <w:rPr>
          <w:sz w:val="18"/>
        </w:rPr>
        <w:t>, vol. 159, pp. 15-24, jul. 2007, doi: 10.13182/NT07-A3853.</w:t>
      </w:r>
    </w:p>
    <w:p w14:paraId="52CB43FB" w14:textId="77777777" w:rsidR="002F2304" w:rsidRPr="002F2304" w:rsidRDefault="002F2304" w:rsidP="002F2304">
      <w:pPr>
        <w:pStyle w:val="Bibliografa"/>
        <w:rPr>
          <w:sz w:val="18"/>
        </w:rPr>
      </w:pPr>
      <w:r w:rsidRPr="002F2304">
        <w:rPr>
          <w:sz w:val="18"/>
        </w:rPr>
        <w:t>[9]</w:t>
      </w:r>
      <w:r w:rsidRPr="002F2304">
        <w:rPr>
          <w:sz w:val="18"/>
        </w:rPr>
        <w:tab/>
        <w:t xml:space="preserve">L. E. Herranz, J. I. Linares, y B. Y. Moratilla, «Power cycle assessment of nuclear high temperature gas-cooled reactors», </w:t>
      </w:r>
      <w:r w:rsidRPr="002F2304">
        <w:rPr>
          <w:i/>
          <w:iCs/>
          <w:sz w:val="18"/>
        </w:rPr>
        <w:t>Applied Thermal Engineering</w:t>
      </w:r>
      <w:r w:rsidRPr="002F2304">
        <w:rPr>
          <w:sz w:val="18"/>
        </w:rPr>
        <w:t>, vol. 29, n.</w:t>
      </w:r>
      <w:r w:rsidRPr="002F2304">
        <w:rPr>
          <w:sz w:val="18"/>
          <w:vertAlign w:val="superscript"/>
        </w:rPr>
        <w:t>o</w:t>
      </w:r>
      <w:r w:rsidRPr="002F2304">
        <w:rPr>
          <w:sz w:val="18"/>
        </w:rPr>
        <w:t xml:space="preserve"> 8, pp. 1759-1765, jun. 2009, doi: 10.1016/j.applthermaleng.2008.08.006.</w:t>
      </w:r>
    </w:p>
    <w:p w14:paraId="5AFBC51B" w14:textId="77777777" w:rsidR="002F2304" w:rsidRPr="00585A85" w:rsidRDefault="002F2304" w:rsidP="002F2304">
      <w:pPr>
        <w:pStyle w:val="Bibliografa"/>
        <w:rPr>
          <w:sz w:val="18"/>
          <w:lang w:val="es-ES"/>
        </w:rPr>
      </w:pPr>
      <w:r w:rsidRPr="002F2304">
        <w:rPr>
          <w:sz w:val="18"/>
        </w:rPr>
        <w:t>[10]</w:t>
      </w:r>
      <w:r w:rsidRPr="002F2304">
        <w:rPr>
          <w:sz w:val="18"/>
        </w:rPr>
        <w:tab/>
        <w:t xml:space="preserve">A. W. Castleman, «A REVIEW OF THE CURRENT STATUS OF RESEARCH ON THE CHEMICAL AND PHYSICAL ASPECTS OF LIQUID-METAL-COOLED FAST BREEDER REACTOR SAFETY. I. FISSION PRODUCT BEHAVIOR IN SODIUM.», Other Information: UNCL. Orig. </w:t>
      </w:r>
      <w:r w:rsidRPr="00585A85">
        <w:rPr>
          <w:sz w:val="18"/>
          <w:lang w:val="es-ES"/>
        </w:rPr>
        <w:t>Receipt Date: 31-DEC-70. Accedido: 22 de febrero de 2023. [En línea]. Disponible en: https://digital.library.unt.edu/ark:/67531/metadc867904/m1/38/</w:t>
      </w:r>
    </w:p>
    <w:p w14:paraId="07C57D3F" w14:textId="77777777" w:rsidR="002F2304" w:rsidRPr="002F2304" w:rsidRDefault="002F2304" w:rsidP="002F2304">
      <w:pPr>
        <w:pStyle w:val="Bibliografa"/>
        <w:rPr>
          <w:sz w:val="18"/>
        </w:rPr>
      </w:pPr>
      <w:r w:rsidRPr="002F2304">
        <w:rPr>
          <w:sz w:val="18"/>
        </w:rPr>
        <w:t>[11]</w:t>
      </w:r>
      <w:r w:rsidRPr="002F2304">
        <w:rPr>
          <w:sz w:val="18"/>
        </w:rPr>
        <w:tab/>
        <w:t xml:space="preserve">W. S. Clough y A. Fraser, «Tellurium, caesium, iodine and methyl iodide in fast reactors», </w:t>
      </w:r>
      <w:r w:rsidRPr="002F2304">
        <w:rPr>
          <w:i/>
          <w:iCs/>
          <w:sz w:val="18"/>
        </w:rPr>
        <w:t>Journal of Nuclear Energy</w:t>
      </w:r>
      <w:r w:rsidRPr="002F2304">
        <w:rPr>
          <w:sz w:val="18"/>
        </w:rPr>
        <w:t>, vol. 27, n.</w:t>
      </w:r>
      <w:r w:rsidRPr="002F2304">
        <w:rPr>
          <w:sz w:val="18"/>
          <w:vertAlign w:val="superscript"/>
        </w:rPr>
        <w:t>o</w:t>
      </w:r>
      <w:r w:rsidRPr="002F2304">
        <w:rPr>
          <w:sz w:val="18"/>
        </w:rPr>
        <w:t xml:space="preserve"> 1, pp. 1-14, ene. 1973, doi: 10.1016/0022-3107(73)90050-6.</w:t>
      </w:r>
    </w:p>
    <w:p w14:paraId="3E628499" w14:textId="77777777" w:rsidR="002F2304" w:rsidRPr="002F2304" w:rsidRDefault="002F2304" w:rsidP="002F2304">
      <w:pPr>
        <w:pStyle w:val="Bibliografa"/>
        <w:rPr>
          <w:sz w:val="18"/>
        </w:rPr>
      </w:pPr>
      <w:r w:rsidRPr="002F2304">
        <w:rPr>
          <w:sz w:val="18"/>
        </w:rPr>
        <w:t>[12]</w:t>
      </w:r>
      <w:r w:rsidRPr="002F2304">
        <w:rPr>
          <w:sz w:val="18"/>
        </w:rPr>
        <w:tab/>
        <w:t xml:space="preserve">K. Haga, Y. Nishizawa, T. Watanabe, S. Miyahara, y Y. Himeno, «Equilibrium and nonequilibrium partition coefficients of volatile fission products between liquid sodium and the gas phase», </w:t>
      </w:r>
      <w:r w:rsidRPr="002F2304">
        <w:rPr>
          <w:i/>
          <w:iCs/>
          <w:sz w:val="18"/>
        </w:rPr>
        <w:t>Nuclear Technology</w:t>
      </w:r>
      <w:r w:rsidRPr="002F2304">
        <w:rPr>
          <w:sz w:val="18"/>
        </w:rPr>
        <w:t>, vol. 97, n.</w:t>
      </w:r>
      <w:r w:rsidRPr="002F2304">
        <w:rPr>
          <w:sz w:val="18"/>
          <w:vertAlign w:val="superscript"/>
        </w:rPr>
        <w:t>o</w:t>
      </w:r>
      <w:r w:rsidRPr="002F2304">
        <w:rPr>
          <w:sz w:val="18"/>
        </w:rPr>
        <w:t xml:space="preserve"> 2, pp. 177-185, 1992.</w:t>
      </w:r>
    </w:p>
    <w:p w14:paraId="6485A996" w14:textId="77777777" w:rsidR="002F2304" w:rsidRPr="002F2304" w:rsidRDefault="002F2304" w:rsidP="002F2304">
      <w:pPr>
        <w:pStyle w:val="Bibliografa"/>
        <w:rPr>
          <w:sz w:val="18"/>
        </w:rPr>
      </w:pPr>
      <w:r w:rsidRPr="002F2304">
        <w:rPr>
          <w:sz w:val="18"/>
        </w:rPr>
        <w:t>[13]</w:t>
      </w:r>
      <w:r w:rsidRPr="002F2304">
        <w:rPr>
          <w:sz w:val="18"/>
        </w:rPr>
        <w:tab/>
        <w:t>J. Starflinger, M. Koch, U. Brockmeier, W. Scholtyssek, W. Schütz, y H. Unger, «The release code package REVOLS/RENONS for fission product release from a liquid sodium pool into an inert gas atmosphere», Kernforschungszentrum Karlsruhe G.m.b.H. (Germany, KfK5426, dic. 1994.</w:t>
      </w:r>
    </w:p>
    <w:p w14:paraId="76C7CEAF" w14:textId="77777777" w:rsidR="002F2304" w:rsidRPr="002F2304" w:rsidRDefault="002F2304" w:rsidP="002F2304">
      <w:pPr>
        <w:pStyle w:val="Bibliografa"/>
        <w:rPr>
          <w:sz w:val="18"/>
        </w:rPr>
      </w:pPr>
      <w:r w:rsidRPr="002F2304">
        <w:rPr>
          <w:sz w:val="18"/>
        </w:rPr>
        <w:t>[14]</w:t>
      </w:r>
      <w:r w:rsidRPr="002F2304">
        <w:rPr>
          <w:sz w:val="18"/>
        </w:rPr>
        <w:tab/>
        <w:t>M. Garcia y L. E. Herranz, «Modelling FPs release from sodium pools under BDBA conditions», presentado en 10th European Review Meeting on Severe Accident Research (ERMSAR), Akademiehotel, Karlsruhe, Germany, may 2022.</w:t>
      </w:r>
    </w:p>
    <w:p w14:paraId="6A50FEB1" w14:textId="77777777" w:rsidR="002F2304" w:rsidRPr="002F2304" w:rsidRDefault="002F2304" w:rsidP="002F2304">
      <w:pPr>
        <w:pStyle w:val="Bibliografa"/>
        <w:rPr>
          <w:sz w:val="18"/>
        </w:rPr>
      </w:pPr>
      <w:r w:rsidRPr="002F2304">
        <w:rPr>
          <w:sz w:val="18"/>
        </w:rPr>
        <w:t>[15]</w:t>
      </w:r>
      <w:r w:rsidRPr="002F2304">
        <w:rPr>
          <w:sz w:val="18"/>
        </w:rPr>
        <w:tab/>
        <w:t xml:space="preserve">L. E. Herranz, M. Garcia, y M. P. Kissane, «In-containment source term in accident conditions in sodium-cooled fast reactors: Data needs and model capabilities», </w:t>
      </w:r>
      <w:r w:rsidRPr="002F2304">
        <w:rPr>
          <w:i/>
          <w:iCs/>
          <w:sz w:val="18"/>
        </w:rPr>
        <w:t>Progress in Nuclear Energy</w:t>
      </w:r>
      <w:r w:rsidRPr="002F2304">
        <w:rPr>
          <w:sz w:val="18"/>
        </w:rPr>
        <w:t>, vol. 54, n.</w:t>
      </w:r>
      <w:r w:rsidRPr="002F2304">
        <w:rPr>
          <w:sz w:val="18"/>
          <w:vertAlign w:val="superscript"/>
        </w:rPr>
        <w:t>o</w:t>
      </w:r>
      <w:r w:rsidRPr="002F2304">
        <w:rPr>
          <w:sz w:val="18"/>
        </w:rPr>
        <w:t xml:space="preserve"> 1, pp. 138-149, ene. 2012, doi: 10.1016/j.pnucene.2011.07.003.</w:t>
      </w:r>
    </w:p>
    <w:p w14:paraId="4047B487" w14:textId="77777777" w:rsidR="002F2304" w:rsidRPr="002F2304" w:rsidRDefault="002F2304" w:rsidP="002F2304">
      <w:pPr>
        <w:pStyle w:val="Bibliografa"/>
        <w:rPr>
          <w:sz w:val="18"/>
        </w:rPr>
      </w:pPr>
      <w:r w:rsidRPr="002F2304">
        <w:rPr>
          <w:sz w:val="18"/>
        </w:rPr>
        <w:lastRenderedPageBreak/>
        <w:t>[16]</w:t>
      </w:r>
      <w:r w:rsidRPr="002F2304">
        <w:rPr>
          <w:sz w:val="18"/>
        </w:rPr>
        <w:tab/>
        <w:t xml:space="preserve">M. Garcia, L. E. Herranz, y M. P. Kissane, «Theoretical assessment of particle generation from sodium pool fires», </w:t>
      </w:r>
      <w:r w:rsidRPr="002F2304">
        <w:rPr>
          <w:i/>
          <w:iCs/>
          <w:sz w:val="18"/>
        </w:rPr>
        <w:t>Nuclear Engineering and Design</w:t>
      </w:r>
      <w:r w:rsidRPr="002F2304">
        <w:rPr>
          <w:sz w:val="18"/>
        </w:rPr>
        <w:t>, vol. 310, n.</w:t>
      </w:r>
      <w:r w:rsidRPr="002F2304">
        <w:rPr>
          <w:sz w:val="18"/>
          <w:vertAlign w:val="superscript"/>
        </w:rPr>
        <w:t>o</w:t>
      </w:r>
      <w:r w:rsidRPr="002F2304">
        <w:rPr>
          <w:sz w:val="18"/>
        </w:rPr>
        <w:t xml:space="preserve"> Supplement C, pp. 470-483, dic. 2016, doi: 10.1016/j.nucengdes.2016.10.024.</w:t>
      </w:r>
    </w:p>
    <w:p w14:paraId="19E56BEC" w14:textId="77777777" w:rsidR="002F2304" w:rsidRPr="00585A85" w:rsidRDefault="002F2304" w:rsidP="002F2304">
      <w:pPr>
        <w:pStyle w:val="Bibliografa"/>
        <w:rPr>
          <w:sz w:val="18"/>
          <w:lang w:val="es-ES"/>
        </w:rPr>
      </w:pPr>
      <w:r w:rsidRPr="002F2304">
        <w:rPr>
          <w:sz w:val="18"/>
        </w:rPr>
        <w:t>[17]</w:t>
      </w:r>
      <w:r w:rsidRPr="002F2304">
        <w:rPr>
          <w:sz w:val="18"/>
        </w:rPr>
        <w:tab/>
        <w:t xml:space="preserve">R. K. Hilliard, J. D. McCormack, J. A. Hassberger, y L. D. Muhlestein, «Preliminary results of CSTF aerosol behavior test, AB1. </w:t>
      </w:r>
      <w:r w:rsidRPr="00585A85">
        <w:rPr>
          <w:sz w:val="18"/>
          <w:lang w:val="es-ES"/>
        </w:rPr>
        <w:t>[LMFBR]», HEDL-SA-1381, 1977. Accedido: 14 de julio de 2016. [En línea]. Disponible en: https://www.researchgate.net/publication/255220541_Preliminary_results_of_CSTF_aerosol_behavior_test_AB1_LMFBR</w:t>
      </w:r>
    </w:p>
    <w:p w14:paraId="1169FE26" w14:textId="77777777" w:rsidR="002F2304" w:rsidRPr="00585A85" w:rsidRDefault="002F2304" w:rsidP="002F2304">
      <w:pPr>
        <w:pStyle w:val="Bibliografa"/>
        <w:rPr>
          <w:sz w:val="18"/>
          <w:lang w:val="es-ES"/>
        </w:rPr>
      </w:pPr>
      <w:r w:rsidRPr="002F2304">
        <w:rPr>
          <w:sz w:val="18"/>
        </w:rPr>
        <w:t>[18]</w:t>
      </w:r>
      <w:r w:rsidRPr="002F2304">
        <w:rPr>
          <w:sz w:val="18"/>
        </w:rPr>
        <w:tab/>
        <w:t xml:space="preserve">R. K. Hilliard, D. McCormack, y A. K. Postma, «Aerosol behavior during sodium pool fires in a large vessel - CSTF tests AB1 and AB2», Hanford Engineering Development Lab., HEDL-TME 79-28, 1979. </w:t>
      </w:r>
      <w:r w:rsidRPr="00585A85">
        <w:rPr>
          <w:sz w:val="18"/>
          <w:lang w:val="es-ES"/>
        </w:rPr>
        <w:t>Accedido: 14 de julio de 2016. [En línea]. Disponible en: http://www.osti.gov/scitech/search/semantic:%22AEROSOL%20BEHAVIOR%20DURING%20SODIUM%20POOL%20FIRES%20IN%20A%20MRGE%20VESSEL%22/filter-results:F</w:t>
      </w:r>
    </w:p>
    <w:p w14:paraId="2A47C13C" w14:textId="77777777" w:rsidR="002F2304" w:rsidRPr="00585A85" w:rsidRDefault="002F2304" w:rsidP="002F2304">
      <w:pPr>
        <w:pStyle w:val="Bibliografa"/>
        <w:rPr>
          <w:sz w:val="18"/>
          <w:lang w:val="es-ES"/>
        </w:rPr>
      </w:pPr>
      <w:r w:rsidRPr="002F2304">
        <w:rPr>
          <w:sz w:val="18"/>
        </w:rPr>
        <w:t>[19]</w:t>
      </w:r>
      <w:r w:rsidRPr="002F2304">
        <w:rPr>
          <w:sz w:val="18"/>
        </w:rPr>
        <w:tab/>
        <w:t xml:space="preserve">J. D. McCormack, R. K. Hilliard, y A. K. Postma, «Recent Aerosol Tests in the Containment Systems Test Facility», Hanford Engineering Development Lab., Richland, WA (USA), HEDL-SA-1686, oct. 1978. </w:t>
      </w:r>
      <w:r w:rsidRPr="00585A85">
        <w:rPr>
          <w:sz w:val="18"/>
          <w:lang w:val="es-ES"/>
        </w:rPr>
        <w:t>Accedido: 14 de julio de 2016. [En línea]. Disponible en: http://www.osti.gov/scitech/biblio/6167484-recent-aerosol-tests-containment-systems-test-facility</w:t>
      </w:r>
    </w:p>
    <w:p w14:paraId="1DCCF4F0" w14:textId="77777777" w:rsidR="002F2304" w:rsidRPr="00585A85" w:rsidRDefault="002F2304" w:rsidP="002F2304">
      <w:pPr>
        <w:pStyle w:val="Bibliografa"/>
        <w:rPr>
          <w:sz w:val="18"/>
          <w:lang w:val="es-ES"/>
        </w:rPr>
      </w:pPr>
      <w:r w:rsidRPr="002F2304">
        <w:rPr>
          <w:sz w:val="18"/>
        </w:rPr>
        <w:t>[20]</w:t>
      </w:r>
      <w:r w:rsidRPr="002F2304">
        <w:rPr>
          <w:sz w:val="18"/>
        </w:rPr>
        <w:tab/>
        <w:t xml:space="preserve">F. J. Souto, F. E. Haskin, y L. N. Kmetyk, «Melcor 1.8.2 Assessment: Aerosol Experiments Abcove Ab5, Ab6, Ab7, and Lace La2», Sandia National Labs., Albuquerque, NM (United States), SAND--94-2166, oct. 1994. </w:t>
      </w:r>
      <w:r w:rsidRPr="00585A85">
        <w:rPr>
          <w:sz w:val="18"/>
          <w:lang w:val="es-ES"/>
        </w:rPr>
        <w:t>Accedido: 14 de julio de 2016. [En línea]. Disponible en: http://www.osti.gov/scitech/biblio/10102146-melcor-assessment-aerosol-experiments-abcove-ab5-ab6-ab7-lace-la2</w:t>
      </w:r>
    </w:p>
    <w:p w14:paraId="5ADD625E" w14:textId="77777777" w:rsidR="002F2304" w:rsidRPr="002F2304" w:rsidRDefault="002F2304" w:rsidP="002F2304">
      <w:pPr>
        <w:pStyle w:val="Bibliografa"/>
        <w:rPr>
          <w:sz w:val="18"/>
        </w:rPr>
      </w:pPr>
      <w:r w:rsidRPr="002F2304">
        <w:rPr>
          <w:sz w:val="18"/>
        </w:rPr>
        <w:t>[21]</w:t>
      </w:r>
      <w:r w:rsidRPr="002F2304">
        <w:rPr>
          <w:sz w:val="18"/>
        </w:rPr>
        <w:tab/>
        <w:t xml:space="preserve">L. E. Herranz, M. Garcia, L. Lebel, F. Mascari, y C. Spengler, «In-containment source term predictability of ASTEC-Na: Major insights from data-predictions benchmarking», </w:t>
      </w:r>
      <w:r w:rsidRPr="002F2304">
        <w:rPr>
          <w:i/>
          <w:iCs/>
          <w:sz w:val="18"/>
        </w:rPr>
        <w:t>Nuclear Engineering and Design</w:t>
      </w:r>
      <w:r w:rsidRPr="002F2304">
        <w:rPr>
          <w:sz w:val="18"/>
        </w:rPr>
        <w:t>, vol. 320, n.</w:t>
      </w:r>
      <w:r w:rsidRPr="002F2304">
        <w:rPr>
          <w:sz w:val="18"/>
          <w:vertAlign w:val="superscript"/>
        </w:rPr>
        <w:t>o</w:t>
      </w:r>
      <w:r w:rsidRPr="002F2304">
        <w:rPr>
          <w:sz w:val="18"/>
        </w:rPr>
        <w:t xml:space="preserve"> Supplement C, pp. 269-281, ago. 2017, doi: 10.1016/j.nucengdes.2017.06.010.</w:t>
      </w:r>
    </w:p>
    <w:p w14:paraId="7A139F6A" w14:textId="77777777" w:rsidR="002F2304" w:rsidRPr="002F2304" w:rsidRDefault="002F2304" w:rsidP="002F2304">
      <w:pPr>
        <w:pStyle w:val="Bibliografa"/>
        <w:rPr>
          <w:sz w:val="18"/>
        </w:rPr>
      </w:pPr>
      <w:r w:rsidRPr="002F2304">
        <w:rPr>
          <w:sz w:val="18"/>
        </w:rPr>
        <w:t>[22]</w:t>
      </w:r>
      <w:r w:rsidRPr="002F2304">
        <w:rPr>
          <w:sz w:val="18"/>
        </w:rPr>
        <w:tab/>
        <w:t xml:space="preserve">L. E. Herranz, F. Sánchez, y S. Gupta, «Validation Matrix for Pool Scrubbing Models», </w:t>
      </w:r>
      <w:r w:rsidRPr="002F2304">
        <w:rPr>
          <w:i/>
          <w:iCs/>
          <w:sz w:val="18"/>
        </w:rPr>
        <w:t>Nuclear Technology</w:t>
      </w:r>
      <w:r w:rsidRPr="002F2304">
        <w:rPr>
          <w:sz w:val="18"/>
        </w:rPr>
        <w:t>, vol. 0, n.</w:t>
      </w:r>
      <w:r w:rsidRPr="002F2304">
        <w:rPr>
          <w:sz w:val="18"/>
          <w:vertAlign w:val="superscript"/>
        </w:rPr>
        <w:t>o</w:t>
      </w:r>
      <w:r w:rsidRPr="002F2304">
        <w:rPr>
          <w:sz w:val="18"/>
        </w:rPr>
        <w:t xml:space="preserve"> 0, pp. 1-14, nov. 2022, doi: 10.1080/00295450.2022.2122679.</w:t>
      </w:r>
    </w:p>
    <w:p w14:paraId="161A694C" w14:textId="14E8E5AC" w:rsidR="00507826" w:rsidRPr="00D3297E" w:rsidRDefault="00D3297E" w:rsidP="00D3297E">
      <w:pPr>
        <w:pStyle w:val="Referencelist"/>
        <w:numPr>
          <w:ilvl w:val="0"/>
          <w:numId w:val="0"/>
        </w:numPr>
      </w:pPr>
      <w:r w:rsidRPr="00D3297E">
        <w:fldChar w:fldCharType="end"/>
      </w:r>
    </w:p>
    <w:p w14:paraId="0FEA304D" w14:textId="77777777" w:rsidR="007E02CF" w:rsidRDefault="007E02CF" w:rsidP="00507826">
      <w:pPr>
        <w:pStyle w:val="Referencelist"/>
        <w:numPr>
          <w:ilvl w:val="0"/>
          <w:numId w:val="0"/>
        </w:numPr>
      </w:pPr>
    </w:p>
    <w:sectPr w:rsidR="007E02CF" w:rsidSect="0026525A">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AA9A1" w14:textId="77777777" w:rsidR="0048122F" w:rsidRDefault="0048122F">
      <w:r>
        <w:separator/>
      </w:r>
    </w:p>
  </w:endnote>
  <w:endnote w:type="continuationSeparator" w:id="0">
    <w:p w14:paraId="229C86AA" w14:textId="77777777" w:rsidR="0048122F" w:rsidRDefault="0048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F961" w14:textId="71EB65A1" w:rsidR="0048122F" w:rsidRDefault="0048122F">
    <w:pPr>
      <w:pStyle w:val="zyxClassification1"/>
    </w:pPr>
    <w:r>
      <w:fldChar w:fldCharType="begin"/>
    </w:r>
    <w:r>
      <w:instrText xml:space="preserve"> DOCPROPERTY "IaeaClassification"  \* MERGEFORMAT </w:instrText>
    </w:r>
    <w:r>
      <w:fldChar w:fldCharType="end"/>
    </w:r>
  </w:p>
  <w:p w14:paraId="1FDEB1B7" w14:textId="0ED3327B" w:rsidR="0048122F" w:rsidRDefault="0048122F">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308E" w14:textId="74B9F514" w:rsidR="0048122F" w:rsidRDefault="0048122F">
    <w:pPr>
      <w:pStyle w:val="zyxClassification1"/>
    </w:pPr>
    <w:r>
      <w:fldChar w:fldCharType="begin"/>
    </w:r>
    <w:r>
      <w:instrText xml:space="preserve"> DOCPROPERTY "IaeaClassification"  \* MERGEFORMAT </w:instrText>
    </w:r>
    <w:r>
      <w:fldChar w:fldCharType="end"/>
    </w:r>
  </w:p>
  <w:p w14:paraId="7E32AC2C" w14:textId="67AD1B49" w:rsidR="0048122F" w:rsidRPr="00037321" w:rsidRDefault="0048122F">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585A85">
      <w:rPr>
        <w:rFonts w:ascii="Times New Roman" w:hAnsi="Times New Roman" w:cs="Times New Roman"/>
        <w:noProof/>
        <w:sz w:val="20"/>
      </w:rPr>
      <w:t>7</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48122F" w14:paraId="2AC0DA17" w14:textId="77777777">
      <w:trPr>
        <w:cantSplit/>
      </w:trPr>
      <w:tc>
        <w:tcPr>
          <w:tcW w:w="4644" w:type="dxa"/>
        </w:tcPr>
        <w:p w14:paraId="6CFF9F49" w14:textId="0172A26A" w:rsidR="0048122F" w:rsidRDefault="0048122F">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48122F" w:rsidRDefault="0048122F">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8" w:name="DOC_bkmClassification2"/>
      <w:tc>
        <w:tcPr>
          <w:tcW w:w="5670" w:type="dxa"/>
          <w:tcMar>
            <w:right w:w="249" w:type="dxa"/>
          </w:tcMar>
        </w:tcPr>
        <w:p w14:paraId="6BE850AD" w14:textId="6BACBAB6" w:rsidR="0048122F" w:rsidRDefault="0048122F">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8"/>
        <w:p w14:paraId="4A6BF5C8" w14:textId="4D4577F5" w:rsidR="0048122F" w:rsidRDefault="0048122F">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9" w:name="DOC_bkmFileName"/>
  <w:p w14:paraId="437B756E" w14:textId="14A092E5" w:rsidR="0048122F" w:rsidRDefault="0048122F">
    <w:r>
      <w:rPr>
        <w:sz w:val="16"/>
      </w:rPr>
      <w:fldChar w:fldCharType="begin"/>
    </w:r>
    <w:r>
      <w:rPr>
        <w:sz w:val="16"/>
      </w:rPr>
      <w:instrText xml:space="preserve"> FILENAME \* MERGEFORMAT </w:instrText>
    </w:r>
    <w:r>
      <w:rPr>
        <w:sz w:val="16"/>
      </w:rPr>
      <w:fldChar w:fldCharType="separate"/>
    </w:r>
    <w:r>
      <w:rPr>
        <w:noProof/>
        <w:sz w:val="16"/>
      </w:rPr>
      <w:t>Conference Proceedings_Example paper.docx</w:t>
    </w:r>
    <w:r>
      <w:rPr>
        <w:sz w:val="16"/>
      </w:rPr>
      <w:fldChar w:fldCharType="end"/>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241B7" w14:textId="77777777" w:rsidR="0048122F" w:rsidRDefault="0048122F">
      <w:r>
        <w:t>___________________________________________________________________________</w:t>
      </w:r>
    </w:p>
  </w:footnote>
  <w:footnote w:type="continuationSeparator" w:id="0">
    <w:p w14:paraId="1AD62272" w14:textId="77777777" w:rsidR="0048122F" w:rsidRDefault="0048122F">
      <w:r>
        <w:t>___________________________________________________________________________</w:t>
      </w:r>
    </w:p>
  </w:footnote>
  <w:footnote w:type="continuationNotice" w:id="1">
    <w:p w14:paraId="670280F9" w14:textId="77777777" w:rsidR="0048122F" w:rsidRDefault="0048122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F522D" w14:textId="77777777" w:rsidR="0048122F" w:rsidRDefault="0048122F" w:rsidP="00CF7AF3">
    <w:pPr>
      <w:pStyle w:val="Runninghead"/>
    </w:pPr>
    <w:r>
      <w:tab/>
      <w:t>IAEA-CN-123/45</w:t>
    </w:r>
  </w:p>
  <w:p w14:paraId="4D70767E" w14:textId="77777777" w:rsidR="0048122F" w:rsidRPr="009E1558" w:rsidRDefault="0048122F"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48122F" w:rsidRDefault="0048122F" w:rsidP="00CF7AF3">
    <w:pPr>
      <w:pStyle w:val="zyxClassification1"/>
      <w:tabs>
        <w:tab w:val="left" w:pos="3956"/>
        <w:tab w:val="right" w:pos="9071"/>
      </w:tabs>
      <w:jc w:val="left"/>
    </w:pPr>
    <w:r>
      <w:tab/>
    </w:r>
    <w:r>
      <w:fldChar w:fldCharType="begin"/>
    </w:r>
    <w:r>
      <w:instrText xml:space="preserve"> DOCPROPERTY "IaeaClassification"  \* MERGEFORMAT </w:instrText>
    </w:r>
    <w:r>
      <w:fldChar w:fldCharType="end"/>
    </w:r>
  </w:p>
  <w:p w14:paraId="09E92CEF" w14:textId="58EFCBEB" w:rsidR="0048122F" w:rsidRDefault="0048122F">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C4E1" w14:textId="200B7ED6" w:rsidR="0048122F" w:rsidRPr="007B3BF7" w:rsidRDefault="0048122F" w:rsidP="00B82FA5">
    <w:pPr>
      <w:pStyle w:val="Runninghead"/>
      <w:rPr>
        <w:lang w:val="es-ES"/>
      </w:rPr>
    </w:pPr>
    <w:r w:rsidRPr="007B3BF7">
      <w:rPr>
        <w:lang w:val="es-ES"/>
      </w:rPr>
      <w:t>L.E. HERRANZ, M. GARCIA, J. FONTANET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48122F" w14:paraId="2C69EA9B" w14:textId="77777777">
      <w:trPr>
        <w:cantSplit/>
        <w:trHeight w:val="716"/>
      </w:trPr>
      <w:tc>
        <w:tcPr>
          <w:tcW w:w="979" w:type="dxa"/>
          <w:vMerge w:val="restart"/>
        </w:tcPr>
        <w:p w14:paraId="2A6ADF80" w14:textId="77777777" w:rsidR="0048122F" w:rsidRDefault="0048122F">
          <w:pPr>
            <w:spacing w:before="180"/>
            <w:ind w:left="17"/>
          </w:pPr>
        </w:p>
      </w:tc>
      <w:tc>
        <w:tcPr>
          <w:tcW w:w="3638" w:type="dxa"/>
          <w:vAlign w:val="bottom"/>
        </w:tcPr>
        <w:p w14:paraId="610CF310" w14:textId="77777777" w:rsidR="0048122F" w:rsidRDefault="0048122F">
          <w:pPr>
            <w:spacing w:after="20"/>
          </w:pPr>
        </w:p>
      </w:tc>
      <w:bookmarkStart w:id="7" w:name="DOC_bkmClassification1"/>
      <w:tc>
        <w:tcPr>
          <w:tcW w:w="5702" w:type="dxa"/>
          <w:vMerge w:val="restart"/>
          <w:tcMar>
            <w:right w:w="193" w:type="dxa"/>
          </w:tcMar>
        </w:tcPr>
        <w:p w14:paraId="48D5842E" w14:textId="65BC9385" w:rsidR="0048122F" w:rsidRDefault="0048122F">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7"/>
        <w:p w14:paraId="423CAA9C" w14:textId="4809B93E" w:rsidR="0048122F" w:rsidRDefault="0048122F">
          <w:pPr>
            <w:pStyle w:val="zyxConfid2Red"/>
          </w:pPr>
          <w:r>
            <w:fldChar w:fldCharType="begin"/>
          </w:r>
          <w:r>
            <w:instrText>DOCPROPERTY "IaeaClassification2"  \* MERGEFORMAT</w:instrText>
          </w:r>
          <w:r>
            <w:fldChar w:fldCharType="end"/>
          </w:r>
        </w:p>
      </w:tc>
    </w:tr>
    <w:tr w:rsidR="0048122F" w14:paraId="7130D945" w14:textId="77777777">
      <w:trPr>
        <w:cantSplit/>
        <w:trHeight w:val="167"/>
      </w:trPr>
      <w:tc>
        <w:tcPr>
          <w:tcW w:w="979" w:type="dxa"/>
          <w:vMerge/>
        </w:tcPr>
        <w:p w14:paraId="7659FE2B" w14:textId="77777777" w:rsidR="0048122F" w:rsidRDefault="0048122F">
          <w:pPr>
            <w:spacing w:before="57"/>
          </w:pPr>
        </w:p>
      </w:tc>
      <w:tc>
        <w:tcPr>
          <w:tcW w:w="3638" w:type="dxa"/>
          <w:vAlign w:val="bottom"/>
        </w:tcPr>
        <w:p w14:paraId="7578AADC" w14:textId="77777777" w:rsidR="0048122F" w:rsidRDefault="0048122F">
          <w:pPr>
            <w:pStyle w:val="Ttulo9"/>
            <w:spacing w:before="0" w:after="10"/>
          </w:pPr>
        </w:p>
      </w:tc>
      <w:tc>
        <w:tcPr>
          <w:tcW w:w="5702" w:type="dxa"/>
          <w:vMerge/>
          <w:vAlign w:val="bottom"/>
        </w:tcPr>
        <w:p w14:paraId="313FA1D9" w14:textId="77777777" w:rsidR="0048122F" w:rsidRDefault="0048122F">
          <w:pPr>
            <w:pStyle w:val="Ttulo9"/>
            <w:spacing w:before="0" w:after="10"/>
          </w:pPr>
        </w:p>
      </w:tc>
    </w:tr>
  </w:tbl>
  <w:p w14:paraId="7A0C2B4B" w14:textId="77777777" w:rsidR="0048122F" w:rsidRDefault="004812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0E155AD"/>
    <w:multiLevelType w:val="hybridMultilevel"/>
    <w:tmpl w:val="06347B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D320B1"/>
    <w:multiLevelType w:val="hybridMultilevel"/>
    <w:tmpl w:val="1D80164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05120E"/>
    <w:multiLevelType w:val="hybridMultilevel"/>
    <w:tmpl w:val="AE9E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tulo2"/>
      <w:suff w:val="space"/>
      <w:lvlText w:val="%1%2."/>
      <w:lvlJc w:val="left"/>
      <w:pPr>
        <w:ind w:left="0" w:firstLine="0"/>
      </w:pPr>
      <w:rPr>
        <w:rFonts w:hint="default"/>
        <w:color w:val="auto"/>
      </w:rPr>
    </w:lvl>
    <w:lvl w:ilvl="2">
      <w:start w:val="1"/>
      <w:numFmt w:val="decimal"/>
      <w:lvlRestart w:val="0"/>
      <w:pStyle w:val="Ttulo3"/>
      <w:lvlText w:val="%1%2.%3."/>
      <w:lvlJc w:val="left"/>
      <w:pPr>
        <w:ind w:left="0" w:firstLine="0"/>
      </w:pPr>
      <w:rPr>
        <w:rFonts w:hint="default"/>
      </w:rPr>
    </w:lvl>
    <w:lvl w:ilvl="3">
      <w:start w:val="1"/>
      <w:numFmt w:val="decimal"/>
      <w:lvlRestart w:val="0"/>
      <w:pStyle w:val="Ttulo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4"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4"/>
  </w:num>
  <w:num w:numId="3">
    <w:abstractNumId w:val="13"/>
  </w:num>
  <w:num w:numId="4">
    <w:abstractNumId w:val="13"/>
  </w:num>
  <w:num w:numId="5">
    <w:abstractNumId w:val="13"/>
  </w:num>
  <w:num w:numId="6">
    <w:abstractNumId w:val="5"/>
  </w:num>
  <w:num w:numId="7">
    <w:abstractNumId w:val="10"/>
  </w:num>
  <w:num w:numId="8">
    <w:abstractNumId w:val="14"/>
  </w:num>
  <w:num w:numId="9">
    <w:abstractNumId w:val="1"/>
  </w:num>
  <w:num w:numId="10">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lvlText w:val="%1%2."/>
        <w:lvlJc w:val="left"/>
        <w:pPr>
          <w:ind w:left="0" w:firstLine="0"/>
        </w:pPr>
        <w:rPr>
          <w:rFonts w:hint="default"/>
          <w:color w:val="auto"/>
        </w:rPr>
      </w:lvl>
    </w:lvlOverride>
    <w:lvlOverride w:ilvl="2">
      <w:lvl w:ilvl="2">
        <w:start w:val="1"/>
        <w:numFmt w:val="decimal"/>
        <w:lvlRestart w:val="0"/>
        <w:pStyle w:val="Ttulo3"/>
        <w:lvlText w:val="%1%2.%3."/>
        <w:lvlJc w:val="left"/>
        <w:pPr>
          <w:ind w:left="0" w:firstLine="0"/>
        </w:pPr>
        <w:rPr>
          <w:rFonts w:hint="default"/>
        </w:rPr>
      </w:lvl>
    </w:lvlOverride>
    <w:lvlOverride w:ilvl="3">
      <w:lvl w:ilvl="3">
        <w:start w:val="1"/>
        <w:numFmt w:val="none"/>
        <w:lvlRestart w:val="0"/>
        <w:pStyle w:val="Ttulo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3"/>
  </w:num>
  <w:num w:numId="12">
    <w:abstractNumId w:val="13"/>
  </w:num>
  <w:num w:numId="13">
    <w:abstractNumId w:val="13"/>
  </w:num>
  <w:num w:numId="14">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suff w:val="space"/>
        <w:lvlText w:val="%1%2."/>
        <w:lvlJc w:val="left"/>
        <w:pPr>
          <w:ind w:left="0" w:firstLine="0"/>
        </w:pPr>
        <w:rPr>
          <w:rFonts w:hint="default"/>
          <w:color w:val="auto"/>
        </w:rPr>
      </w:lvl>
    </w:lvlOverride>
    <w:lvlOverride w:ilvl="2">
      <w:lvl w:ilvl="2">
        <w:start w:val="1"/>
        <w:numFmt w:val="decimal"/>
        <w:lvlRestart w:val="0"/>
        <w:pStyle w:val="Ttulo3"/>
        <w:suff w:val="space"/>
        <w:lvlText w:val="%1%2.%3."/>
        <w:lvlJc w:val="left"/>
        <w:pPr>
          <w:ind w:left="0" w:firstLine="0"/>
        </w:pPr>
        <w:rPr>
          <w:rFonts w:hint="default"/>
        </w:rPr>
      </w:lvl>
    </w:lvlOverride>
    <w:lvlOverride w:ilvl="3">
      <w:lvl w:ilvl="3">
        <w:start w:val="1"/>
        <w:numFmt w:val="decimal"/>
        <w:lvlRestart w:val="0"/>
        <w:pStyle w:val="Ttulo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3"/>
  </w:num>
  <w:num w:numId="16">
    <w:abstractNumId w:val="13"/>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13"/>
  </w:num>
  <w:num w:numId="22">
    <w:abstractNumId w:val="3"/>
  </w:num>
  <w:num w:numId="23">
    <w:abstractNumId w:val="0"/>
  </w:num>
  <w:num w:numId="24">
    <w:abstractNumId w:val="12"/>
  </w:num>
  <w:num w:numId="25">
    <w:abstractNumId w:val="13"/>
  </w:num>
  <w:num w:numId="26">
    <w:abstractNumId w:val="13"/>
  </w:num>
  <w:num w:numId="27">
    <w:abstractNumId w:val="13"/>
  </w:num>
  <w:num w:numId="28">
    <w:abstractNumId w:val="13"/>
  </w:num>
  <w:num w:numId="29">
    <w:abstractNumId w:val="13"/>
  </w:num>
  <w:num w:numId="30">
    <w:abstractNumId w:val="7"/>
  </w:num>
  <w:num w:numId="31">
    <w:abstractNumId w:val="7"/>
  </w:num>
  <w:num w:numId="32">
    <w:abstractNumId w:val="13"/>
  </w:num>
  <w:num w:numId="33">
    <w:abstractNumId w:val="11"/>
  </w:num>
  <w:num w:numId="34">
    <w:abstractNumId w:val="2"/>
  </w:num>
  <w:num w:numId="35">
    <w:abstractNumId w:val="7"/>
  </w:num>
  <w:num w:numId="36">
    <w:abstractNumId w:val="6"/>
  </w:num>
  <w:num w:numId="37">
    <w:abstractNumId w:val="2"/>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2788F"/>
    <w:rsid w:val="00037321"/>
    <w:rsid w:val="00064A39"/>
    <w:rsid w:val="000A0299"/>
    <w:rsid w:val="000C4C5F"/>
    <w:rsid w:val="000C6F25"/>
    <w:rsid w:val="000C77AF"/>
    <w:rsid w:val="000F7E94"/>
    <w:rsid w:val="00105BF4"/>
    <w:rsid w:val="001119D6"/>
    <w:rsid w:val="001308F2"/>
    <w:rsid w:val="001313E8"/>
    <w:rsid w:val="001B4C06"/>
    <w:rsid w:val="001C58F5"/>
    <w:rsid w:val="001D5CEE"/>
    <w:rsid w:val="001E0BD1"/>
    <w:rsid w:val="001E17EA"/>
    <w:rsid w:val="001E2D29"/>
    <w:rsid w:val="002071D9"/>
    <w:rsid w:val="00256822"/>
    <w:rsid w:val="00264AFC"/>
    <w:rsid w:val="0026525A"/>
    <w:rsid w:val="00274790"/>
    <w:rsid w:val="002822D4"/>
    <w:rsid w:val="00285755"/>
    <w:rsid w:val="002A1F9C"/>
    <w:rsid w:val="002B29C2"/>
    <w:rsid w:val="002B649F"/>
    <w:rsid w:val="002C4208"/>
    <w:rsid w:val="002C738C"/>
    <w:rsid w:val="002F2304"/>
    <w:rsid w:val="00352DE1"/>
    <w:rsid w:val="00361885"/>
    <w:rsid w:val="003728E6"/>
    <w:rsid w:val="003B5E0E"/>
    <w:rsid w:val="003B70E5"/>
    <w:rsid w:val="003D255A"/>
    <w:rsid w:val="00416949"/>
    <w:rsid w:val="004370D8"/>
    <w:rsid w:val="00464F1B"/>
    <w:rsid w:val="00472C43"/>
    <w:rsid w:val="0048122F"/>
    <w:rsid w:val="00486451"/>
    <w:rsid w:val="00497E24"/>
    <w:rsid w:val="004F1EB7"/>
    <w:rsid w:val="00507826"/>
    <w:rsid w:val="00537496"/>
    <w:rsid w:val="00541AF5"/>
    <w:rsid w:val="00544ED3"/>
    <w:rsid w:val="0058477B"/>
    <w:rsid w:val="00585A85"/>
    <w:rsid w:val="0058654F"/>
    <w:rsid w:val="00596ACA"/>
    <w:rsid w:val="005E39BC"/>
    <w:rsid w:val="005F00A0"/>
    <w:rsid w:val="006014DB"/>
    <w:rsid w:val="00632DBB"/>
    <w:rsid w:val="00647F33"/>
    <w:rsid w:val="00650F0F"/>
    <w:rsid w:val="00662532"/>
    <w:rsid w:val="00666FA4"/>
    <w:rsid w:val="006B2274"/>
    <w:rsid w:val="00712787"/>
    <w:rsid w:val="00717C6F"/>
    <w:rsid w:val="007207E1"/>
    <w:rsid w:val="007445DA"/>
    <w:rsid w:val="00754204"/>
    <w:rsid w:val="007B3BF7"/>
    <w:rsid w:val="007B4FD1"/>
    <w:rsid w:val="007E02CF"/>
    <w:rsid w:val="00802381"/>
    <w:rsid w:val="00806190"/>
    <w:rsid w:val="008401AF"/>
    <w:rsid w:val="00842505"/>
    <w:rsid w:val="00883848"/>
    <w:rsid w:val="008974EB"/>
    <w:rsid w:val="00897ED5"/>
    <w:rsid w:val="008B6BB9"/>
    <w:rsid w:val="008C6667"/>
    <w:rsid w:val="00911543"/>
    <w:rsid w:val="00925314"/>
    <w:rsid w:val="009519C9"/>
    <w:rsid w:val="009D0B86"/>
    <w:rsid w:val="009E0D5B"/>
    <w:rsid w:val="009E1558"/>
    <w:rsid w:val="00A0474A"/>
    <w:rsid w:val="00A42898"/>
    <w:rsid w:val="00A81DCA"/>
    <w:rsid w:val="00AB6ACE"/>
    <w:rsid w:val="00AC5A3A"/>
    <w:rsid w:val="00B035A7"/>
    <w:rsid w:val="00B37E30"/>
    <w:rsid w:val="00B67472"/>
    <w:rsid w:val="00B705D1"/>
    <w:rsid w:val="00B82FA5"/>
    <w:rsid w:val="00BC7C12"/>
    <w:rsid w:val="00BD1400"/>
    <w:rsid w:val="00BD605C"/>
    <w:rsid w:val="00BE2A76"/>
    <w:rsid w:val="00C65E60"/>
    <w:rsid w:val="00C95AC6"/>
    <w:rsid w:val="00CE5A52"/>
    <w:rsid w:val="00CF7AF3"/>
    <w:rsid w:val="00D12B6F"/>
    <w:rsid w:val="00D15314"/>
    <w:rsid w:val="00D26ADA"/>
    <w:rsid w:val="00D3297E"/>
    <w:rsid w:val="00D35A78"/>
    <w:rsid w:val="00D51414"/>
    <w:rsid w:val="00D555A1"/>
    <w:rsid w:val="00D64DC2"/>
    <w:rsid w:val="00D955AF"/>
    <w:rsid w:val="00DA46CA"/>
    <w:rsid w:val="00DB4D88"/>
    <w:rsid w:val="00DE44D0"/>
    <w:rsid w:val="00DF21EB"/>
    <w:rsid w:val="00E20E70"/>
    <w:rsid w:val="00E25B68"/>
    <w:rsid w:val="00E35A73"/>
    <w:rsid w:val="00E3639F"/>
    <w:rsid w:val="00E84003"/>
    <w:rsid w:val="00EB73DE"/>
    <w:rsid w:val="00EC10FC"/>
    <w:rsid w:val="00EE0041"/>
    <w:rsid w:val="00EE29B9"/>
    <w:rsid w:val="00F004EE"/>
    <w:rsid w:val="00F17065"/>
    <w:rsid w:val="00F2043C"/>
    <w:rsid w:val="00F42E23"/>
    <w:rsid w:val="00F45224"/>
    <w:rsid w:val="00F45EEE"/>
    <w:rsid w:val="00F51E9C"/>
    <w:rsid w:val="00F523CA"/>
    <w:rsid w:val="00F743F4"/>
    <w:rsid w:val="00F74A9D"/>
    <w:rsid w:val="00FC72D3"/>
    <w:rsid w:val="00FF0B46"/>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annotation text" w:uiPriority="0"/>
    <w:lsdException w:name="header" w:locked="0" w:uiPriority="0"/>
    <w:lsdException w:name="footer" w:locked="0" w:uiPriority="99"/>
    <w:lsdException w:name="caption" w:locked="0" w:qFormat="1"/>
    <w:lsdException w:name="footnote reference" w:locked="0" w:uiPriority="0"/>
    <w:lsdException w:name="annotation reference"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3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Ttulo1">
    <w:name w:val="heading 1"/>
    <w:aliases w:val="Paper title"/>
    <w:next w:val="Subttulo"/>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tulo2">
    <w:name w:val="heading 2"/>
    <w:aliases w:val="1st level paper heading"/>
    <w:next w:val="Textoindependiente"/>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tulo3">
    <w:name w:val="heading 3"/>
    <w:aliases w:val="2nd level paper heading"/>
    <w:next w:val="Textoindependiente"/>
    <w:uiPriority w:val="4"/>
    <w:qFormat/>
    <w:rsid w:val="00897ED5"/>
    <w:pPr>
      <w:widowControl w:val="0"/>
      <w:numPr>
        <w:ilvl w:val="2"/>
        <w:numId w:val="12"/>
      </w:numPr>
      <w:spacing w:before="240" w:after="240" w:line="240" w:lineRule="exact"/>
      <w:outlineLvl w:val="2"/>
    </w:pPr>
    <w:rPr>
      <w:b/>
      <w:lang w:eastAsia="en-US"/>
    </w:rPr>
  </w:style>
  <w:style w:type="paragraph" w:styleId="Ttulo4">
    <w:name w:val="heading 4"/>
    <w:aliases w:val="3rd level paper heading"/>
    <w:basedOn w:val="Normal"/>
    <w:next w:val="Textoindependiente"/>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Ttulo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Ttulo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Ttulo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Ttulo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Ttulo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link w:val="TextoindependienteCar"/>
    <w:qFormat/>
    <w:rsid w:val="00647F33"/>
    <w:pPr>
      <w:spacing w:line="260" w:lineRule="atLeast"/>
      <w:ind w:firstLine="567"/>
      <w:contextualSpacing/>
      <w:jc w:val="both"/>
    </w:pPr>
    <w:rPr>
      <w:lang w:eastAsia="en-US"/>
    </w:rPr>
  </w:style>
  <w:style w:type="paragraph" w:styleId="Sangradetextonormal">
    <w:name w:val="Body Text Indent"/>
    <w:basedOn w:val="Textoindependiente"/>
    <w:uiPriority w:val="49"/>
    <w:locked/>
    <w:pPr>
      <w:ind w:left="1134" w:hanging="675"/>
    </w:pPr>
  </w:style>
  <w:style w:type="paragraph" w:customStyle="1" w:styleId="BodyTextMultiline">
    <w:name w:val="Body Text Multiline"/>
    <w:basedOn w:val="Textoindependiente"/>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Descripcin">
    <w:name w:val="caption"/>
    <w:next w:val="Normal"/>
    <w:uiPriority w:val="49"/>
    <w:qFormat/>
    <w:pPr>
      <w:spacing w:after="85"/>
    </w:pPr>
    <w:rPr>
      <w:bCs/>
      <w:sz w:val="18"/>
      <w:lang w:val="en-US" w:eastAsia="en-US"/>
    </w:rPr>
  </w:style>
  <w:style w:type="paragraph" w:styleId="Piedepgina">
    <w:name w:val="footer"/>
    <w:basedOn w:val="Normal"/>
    <w:link w:val="PiedepginaCar"/>
    <w:uiPriority w:val="99"/>
    <w:locked/>
    <w:pPr>
      <w:overflowPunct/>
      <w:autoSpaceDE/>
      <w:autoSpaceDN/>
      <w:adjustRightInd/>
      <w:textAlignment w:val="auto"/>
    </w:pPr>
    <w:rPr>
      <w:sz w:val="2"/>
      <w:lang w:val="en-US"/>
    </w:rPr>
  </w:style>
  <w:style w:type="paragraph" w:styleId="Textonotapie">
    <w:name w:val="footnote text"/>
    <w:semiHidden/>
    <w:locked/>
    <w:pPr>
      <w:tabs>
        <w:tab w:val="left" w:pos="459"/>
      </w:tabs>
      <w:spacing w:before="142"/>
      <w:ind w:left="459"/>
      <w:jc w:val="both"/>
    </w:pPr>
    <w:rPr>
      <w:sz w:val="18"/>
      <w:lang w:eastAsia="en-US"/>
    </w:rPr>
  </w:style>
  <w:style w:type="paragraph" w:styleId="Encabezado">
    <w:name w:val="header"/>
    <w:next w:val="Textoindependiente"/>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Textoindependiente"/>
    <w:uiPriority w:val="6"/>
    <w:qFormat/>
    <w:rsid w:val="00717C6F"/>
    <w:pPr>
      <w:numPr>
        <w:numId w:val="20"/>
      </w:numPr>
    </w:pPr>
  </w:style>
  <w:style w:type="paragraph" w:customStyle="1" w:styleId="ListNumbered">
    <w:name w:val="List Numbered"/>
    <w:basedOn w:val="Textoindependiente"/>
    <w:uiPriority w:val="5"/>
    <w:qFormat/>
    <w:locked/>
    <w:rsid w:val="00717C6F"/>
    <w:pPr>
      <w:numPr>
        <w:numId w:val="22"/>
      </w:numPr>
    </w:pPr>
  </w:style>
  <w:style w:type="paragraph" w:styleId="Ttulo">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Refdenotaalpie">
    <w:name w:val="footnote reference"/>
    <w:basedOn w:val="Fuentedeprrafopredeter"/>
    <w:semiHidden/>
    <w:locked/>
    <w:rPr>
      <w:vertAlign w:val="superscript"/>
    </w:rPr>
  </w:style>
  <w:style w:type="paragraph" w:styleId="Subttulo">
    <w:name w:val="Subtitle"/>
    <w:next w:val="Textoindependiente"/>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Textoindependiente"/>
    <w:uiPriority w:val="49"/>
    <w:locked/>
    <w:pPr>
      <w:spacing w:line="280" w:lineRule="exact"/>
      <w:jc w:val="right"/>
    </w:pPr>
    <w:rPr>
      <w:rFonts w:ascii="Arial" w:hAnsi="Arial" w:cs="Arial"/>
      <w:b/>
      <w:bCs/>
      <w:caps/>
      <w:sz w:val="24"/>
    </w:rPr>
  </w:style>
  <w:style w:type="paragraph" w:customStyle="1" w:styleId="zyxClassification2">
    <w:name w:val="zyxClassification2"/>
    <w:basedOn w:val="Piedepgina"/>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edepginaCar">
    <w:name w:val="Pie de página Car"/>
    <w:basedOn w:val="Fuentedeprrafopredeter"/>
    <w:link w:val="Piedepgina"/>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Fuentedeprrafopredeter"/>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TextoindependienteCar">
    <w:name w:val="Texto independiente Car"/>
    <w:basedOn w:val="Fuentedeprrafopredeter"/>
    <w:link w:val="Textoindependiente"/>
    <w:rsid w:val="00647F33"/>
    <w:rPr>
      <w:lang w:eastAsia="en-US"/>
    </w:rPr>
  </w:style>
  <w:style w:type="character" w:customStyle="1" w:styleId="AuthornameandaffiliationChar">
    <w:name w:val="Author name and affiliation Char"/>
    <w:basedOn w:val="TextoindependienteCar"/>
    <w:link w:val="Authornameandaffiliation"/>
    <w:uiPriority w:val="49"/>
    <w:rsid w:val="00647F33"/>
    <w:rPr>
      <w:lang w:val="en-US" w:eastAsia="en-US"/>
    </w:rPr>
  </w:style>
  <w:style w:type="table" w:styleId="Tablaconcuadrcula">
    <w:name w:val="Table Grid"/>
    <w:basedOn w:val="Tablanormal"/>
    <w:uiPriority w:val="39"/>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odeglobo">
    <w:name w:val="Balloon Text"/>
    <w:basedOn w:val="Normal"/>
    <w:link w:val="TextodegloboCar"/>
    <w:uiPriority w:val="49"/>
    <w:locked/>
    <w:rsid w:val="005F00A0"/>
    <w:rPr>
      <w:rFonts w:ascii="Tahoma" w:hAnsi="Tahoma" w:cs="Tahoma"/>
      <w:sz w:val="16"/>
      <w:szCs w:val="16"/>
    </w:rPr>
  </w:style>
  <w:style w:type="character" w:customStyle="1" w:styleId="TextodegloboCar">
    <w:name w:val="Texto de globo Car"/>
    <w:basedOn w:val="Fuentedeprrafopredeter"/>
    <w:link w:val="Textodeglobo"/>
    <w:uiPriority w:val="49"/>
    <w:rsid w:val="005F00A0"/>
    <w:rPr>
      <w:rFonts w:ascii="Tahoma" w:hAnsi="Tahoma" w:cs="Tahoma"/>
      <w:sz w:val="16"/>
      <w:szCs w:val="16"/>
      <w:lang w:eastAsia="en-US"/>
    </w:rPr>
  </w:style>
  <w:style w:type="paragraph" w:customStyle="1" w:styleId="Figurecaption">
    <w:name w:val="Figure caption"/>
    <w:basedOn w:val="Textoindependiente"/>
    <w:link w:val="FigurecaptionChar"/>
    <w:uiPriority w:val="49"/>
    <w:qFormat/>
    <w:locked/>
    <w:rsid w:val="00717C6F"/>
    <w:pPr>
      <w:jc w:val="center"/>
    </w:pPr>
    <w:rPr>
      <w:i/>
      <w:sz w:val="18"/>
    </w:rPr>
  </w:style>
  <w:style w:type="paragraph" w:customStyle="1" w:styleId="Otherunnumberedheadings">
    <w:name w:val="Other unnumbered headings"/>
    <w:next w:val="Textoindependiente"/>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TextoindependienteCar"/>
    <w:link w:val="Figurecaption"/>
    <w:uiPriority w:val="49"/>
    <w:rsid w:val="00717C6F"/>
    <w:rPr>
      <w:i/>
      <w:sz w:val="18"/>
      <w:lang w:eastAsia="en-US"/>
    </w:rPr>
  </w:style>
  <w:style w:type="paragraph" w:customStyle="1" w:styleId="Referencelist">
    <w:name w:val="Reference list"/>
    <w:basedOn w:val="Textoindependiente"/>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TextoindependienteC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TextoindependienteCar"/>
    <w:link w:val="Referencelist"/>
    <w:uiPriority w:val="49"/>
    <w:rsid w:val="009E0D5B"/>
    <w:rPr>
      <w:sz w:val="18"/>
      <w:szCs w:val="18"/>
      <w:lang w:eastAsia="en-US"/>
    </w:rPr>
  </w:style>
  <w:style w:type="paragraph" w:customStyle="1" w:styleId="Tabletext">
    <w:name w:val="Table text"/>
    <w:basedOn w:val="Textoindependiente"/>
    <w:link w:val="TabletextChar"/>
    <w:uiPriority w:val="49"/>
    <w:qFormat/>
    <w:rsid w:val="00883848"/>
    <w:pPr>
      <w:ind w:firstLine="0"/>
    </w:pPr>
  </w:style>
  <w:style w:type="character" w:customStyle="1" w:styleId="TabletextChar">
    <w:name w:val="Table text Char"/>
    <w:basedOn w:val="TextoindependienteCar"/>
    <w:link w:val="Tabletext"/>
    <w:uiPriority w:val="49"/>
    <w:rsid w:val="00883848"/>
    <w:rPr>
      <w:lang w:eastAsia="en-US"/>
    </w:rPr>
  </w:style>
  <w:style w:type="character" w:styleId="Refdecomentario">
    <w:name w:val="annotation reference"/>
    <w:basedOn w:val="Fuentedeprrafopredeter"/>
    <w:locked/>
    <w:rsid w:val="007B3BF7"/>
    <w:rPr>
      <w:sz w:val="16"/>
    </w:rPr>
  </w:style>
  <w:style w:type="paragraph" w:styleId="Textocomentario">
    <w:name w:val="annotation text"/>
    <w:basedOn w:val="Normal"/>
    <w:link w:val="TextocomentarioCar"/>
    <w:locked/>
    <w:rsid w:val="007B3BF7"/>
    <w:rPr>
      <w:rFonts w:eastAsiaTheme="minorEastAsia"/>
      <w:sz w:val="20"/>
      <w:lang w:val="en-US"/>
    </w:rPr>
  </w:style>
  <w:style w:type="character" w:customStyle="1" w:styleId="TextocomentarioCar">
    <w:name w:val="Texto comentario Car"/>
    <w:basedOn w:val="Fuentedeprrafopredeter"/>
    <w:link w:val="Textocomentario"/>
    <w:rsid w:val="007B3BF7"/>
    <w:rPr>
      <w:rFonts w:eastAsiaTheme="minorEastAsia"/>
      <w:lang w:val="en-US" w:eastAsia="en-US"/>
    </w:rPr>
  </w:style>
  <w:style w:type="paragraph" w:styleId="Prrafodelista">
    <w:name w:val="List Paragraph"/>
    <w:aliases w:val="level 1"/>
    <w:basedOn w:val="Normal"/>
    <w:link w:val="PrrafodelistaCar"/>
    <w:uiPriority w:val="34"/>
    <w:qFormat/>
    <w:locked/>
    <w:rsid w:val="000C4C5F"/>
    <w:pPr>
      <w:overflowPunct/>
      <w:autoSpaceDE/>
      <w:autoSpaceDN/>
      <w:adjustRightInd/>
      <w:spacing w:after="160" w:line="259" w:lineRule="auto"/>
      <w:ind w:left="720"/>
      <w:contextualSpacing/>
      <w:textAlignment w:val="auto"/>
    </w:pPr>
    <w:rPr>
      <w:rFonts w:asciiTheme="minorHAnsi" w:eastAsiaTheme="minorHAnsi" w:hAnsiTheme="minorHAnsi" w:cstheme="minorBidi"/>
      <w:szCs w:val="22"/>
      <w:lang w:val="en-US"/>
    </w:rPr>
  </w:style>
  <w:style w:type="paragraph" w:styleId="Bibliografa">
    <w:name w:val="Bibliography"/>
    <w:basedOn w:val="Normal"/>
    <w:next w:val="Normal"/>
    <w:uiPriority w:val="37"/>
    <w:unhideWhenUsed/>
    <w:locked/>
    <w:rsid w:val="00507826"/>
    <w:pPr>
      <w:tabs>
        <w:tab w:val="left" w:pos="504"/>
      </w:tabs>
      <w:ind w:left="504" w:hanging="504"/>
    </w:pPr>
  </w:style>
  <w:style w:type="character" w:customStyle="1" w:styleId="PrrafodelistaCar">
    <w:name w:val="Párrafo de lista Car"/>
    <w:aliases w:val="level 1 Car"/>
    <w:basedOn w:val="Fuentedeprrafopredeter"/>
    <w:link w:val="Prrafodelista"/>
    <w:uiPriority w:val="34"/>
    <w:rsid w:val="006014DB"/>
    <w:rPr>
      <w:rFonts w:asciiTheme="minorHAnsi" w:eastAsiaTheme="minorHAnsi" w:hAnsiTheme="minorHAnsi" w:cstheme="minorBidi"/>
      <w:sz w:val="22"/>
      <w:szCs w:val="22"/>
      <w:lang w:val="en-US" w:eastAsia="en-US"/>
    </w:rPr>
  </w:style>
  <w:style w:type="paragraph" w:styleId="Asuntodelcomentario">
    <w:name w:val="annotation subject"/>
    <w:basedOn w:val="Textocomentario"/>
    <w:next w:val="Textocomentario"/>
    <w:link w:val="AsuntodelcomentarioCar"/>
    <w:uiPriority w:val="49"/>
    <w:locked/>
    <w:rsid w:val="00E3639F"/>
    <w:rPr>
      <w:rFonts w:eastAsia="Times New Roman"/>
      <w:b/>
      <w:bCs/>
      <w:lang w:val="en-GB"/>
    </w:rPr>
  </w:style>
  <w:style w:type="character" w:customStyle="1" w:styleId="AsuntodelcomentarioCar">
    <w:name w:val="Asunto del comentario Car"/>
    <w:basedOn w:val="TextocomentarioCar"/>
    <w:link w:val="Asuntodelcomentario"/>
    <w:uiPriority w:val="49"/>
    <w:rsid w:val="00E3639F"/>
    <w:rPr>
      <w:rFonts w:eastAsiaTheme="minorEastAsia"/>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7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86BBB744-7C6B-4D9D-A647-FAB58D4C6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19</TotalTime>
  <Pages>8</Pages>
  <Words>3364</Words>
  <Characters>56465</Characters>
  <Application>Microsoft Office Word</Application>
  <DocSecurity>0</DocSecurity>
  <Lines>470</Lines>
  <Paragraphs>119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59710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CIEMAT</cp:lastModifiedBy>
  <cp:revision>5</cp:revision>
  <cp:lastPrinted>2024-03-19T13:52:00Z</cp:lastPrinted>
  <dcterms:created xsi:type="dcterms:W3CDTF">2024-08-28T07:39:00Z</dcterms:created>
  <dcterms:modified xsi:type="dcterms:W3CDTF">2024-08-28T08:03:00Z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ZOTERO_PREF_1">
    <vt:lpwstr>&lt;data data-version="3" zotero-version="6.0.36"&gt;&lt;session id="NuH2fgjj"/&gt;&lt;style id="http://www.zotero.org/styles/ieee" locale="es-ES" hasBibliography="1" bibliographyStyleHasBeenSet="1"/&gt;&lt;prefs&gt;&lt;pref name="fieldType" value="Field"/&gt;&lt;/prefs&gt;&lt;/data&gt;</vt:lpwstr>
  </property>
  <property fmtid="{D5CDD505-2E9C-101B-9397-08002B2CF9AE}" pid="12" name="GrammarlyDocumentId">
    <vt:lpwstr>9a36fead47ea1787f36843089b3a003263a1e06e5ea9a206e4f1886d4c2194d9</vt:lpwstr>
  </property>
</Properties>
</file>