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1EE58" w14:textId="5A823B43" w:rsidR="004D350C" w:rsidRPr="00EE29B9" w:rsidRDefault="004D350C" w:rsidP="004D350C">
      <w:pPr>
        <w:pStyle w:val="1"/>
        <w:rPr>
          <w:rFonts w:hint="eastAsia"/>
        </w:rPr>
      </w:pPr>
      <w:r>
        <w:rPr>
          <w:lang w:eastAsia="ko-KR"/>
        </w:rPr>
        <w:t>consideration of a regula</w:t>
      </w:r>
      <w:bookmarkStart w:id="0" w:name="_GoBack"/>
      <w:bookmarkEnd w:id="0"/>
      <w:r>
        <w:rPr>
          <w:lang w:eastAsia="ko-KR"/>
        </w:rPr>
        <w:t>tory framework for safeguards in SMRS</w:t>
      </w:r>
    </w:p>
    <w:p w14:paraId="45A501F0" w14:textId="0C599FF7" w:rsidR="00E20E70" w:rsidRPr="00EE29B9" w:rsidRDefault="00E20E70" w:rsidP="00537496">
      <w:pPr>
        <w:pStyle w:val="1"/>
        <w:rPr>
          <w:rFonts w:hint="eastAsia"/>
        </w:rPr>
      </w:pPr>
    </w:p>
    <w:p w14:paraId="32159D0F" w14:textId="645B3D90" w:rsidR="003B5E0E" w:rsidRDefault="004D350C" w:rsidP="00537496">
      <w:pPr>
        <w:pStyle w:val="Authornameandaffiliation"/>
      </w:pPr>
      <w:proofErr w:type="spellStart"/>
      <w:r>
        <w:t>Hosik</w:t>
      </w:r>
      <w:proofErr w:type="spellEnd"/>
      <w:r>
        <w:t xml:space="preserve"> YOO</w:t>
      </w:r>
    </w:p>
    <w:p w14:paraId="02370931" w14:textId="6FE31A6B" w:rsidR="00FF386F" w:rsidRDefault="004D350C" w:rsidP="00537496">
      <w:pPr>
        <w:pStyle w:val="Authornameandaffiliation"/>
      </w:pPr>
      <w:r>
        <w:t>Korea Institute of Nuclear Nonproliferation and Control</w:t>
      </w:r>
      <w:r w:rsidR="00E26004">
        <w:t xml:space="preserve"> </w:t>
      </w:r>
      <w:r>
        <w:t>(KINAC)</w:t>
      </w:r>
    </w:p>
    <w:p w14:paraId="14684DE2" w14:textId="44844625" w:rsidR="00FF386F" w:rsidRDefault="004D350C" w:rsidP="00537496">
      <w:pPr>
        <w:pStyle w:val="Authornameandaffiliation"/>
      </w:pPr>
      <w:proofErr w:type="spellStart"/>
      <w:r>
        <w:t>Yuseong-daero</w:t>
      </w:r>
      <w:proofErr w:type="spellEnd"/>
      <w:r>
        <w:t>, Daejeon</w:t>
      </w:r>
      <w:r w:rsidR="00FF386F">
        <w:t xml:space="preserve">, </w:t>
      </w:r>
      <w:r>
        <w:t xml:space="preserve">Republic </w:t>
      </w:r>
      <w:r w:rsidR="00F93C6A">
        <w:t>o</w:t>
      </w:r>
      <w:r>
        <w:t>f Korea</w:t>
      </w:r>
    </w:p>
    <w:p w14:paraId="0080899C" w14:textId="5FD89EBF" w:rsidR="00FF386F" w:rsidRDefault="004D350C" w:rsidP="00537496">
      <w:pPr>
        <w:pStyle w:val="Authornameandaffiliation"/>
      </w:pPr>
      <w:r>
        <w:t>hsyoo</w:t>
      </w:r>
      <w:r w:rsidR="00FF386F">
        <w:t>@</w:t>
      </w:r>
      <w:r>
        <w:t>kinac.re.kr</w:t>
      </w:r>
    </w:p>
    <w:p w14:paraId="5E2BDA1F" w14:textId="77777777" w:rsidR="00FF386F" w:rsidRDefault="00FF386F" w:rsidP="00537496">
      <w:pPr>
        <w:pStyle w:val="Authornameandaffiliation"/>
      </w:pPr>
    </w:p>
    <w:p w14:paraId="535BB6CC" w14:textId="4E854C96" w:rsidR="00FF386F" w:rsidRPr="00FF386F" w:rsidRDefault="004D350C" w:rsidP="00537496">
      <w:pPr>
        <w:pStyle w:val="Authornameandaffiliation"/>
      </w:pPr>
      <w:proofErr w:type="spellStart"/>
      <w:r>
        <w:t>Seungho</w:t>
      </w:r>
      <w:proofErr w:type="spellEnd"/>
      <w:r>
        <w:t xml:space="preserve"> JEONG</w:t>
      </w:r>
    </w:p>
    <w:p w14:paraId="40E26E3A" w14:textId="767965DE" w:rsidR="00F93C6A" w:rsidRDefault="00F93C6A" w:rsidP="00F93C6A">
      <w:pPr>
        <w:pStyle w:val="Authornameandaffiliation"/>
      </w:pPr>
      <w:r>
        <w:t>Korea Institute of Nuclear Nonproliferation and Control</w:t>
      </w:r>
      <w:r w:rsidR="00E26004">
        <w:t xml:space="preserve"> </w:t>
      </w:r>
      <w:r>
        <w:t>(KINAC)</w:t>
      </w:r>
    </w:p>
    <w:p w14:paraId="5D980831" w14:textId="5496EFA4" w:rsidR="00FF386F" w:rsidRDefault="00F93C6A" w:rsidP="00F93C6A">
      <w:pPr>
        <w:pStyle w:val="Authornameandaffiliation"/>
      </w:pPr>
      <w:proofErr w:type="spellStart"/>
      <w:r>
        <w:t>Yuseong-daero</w:t>
      </w:r>
      <w:proofErr w:type="spellEnd"/>
      <w:r>
        <w:t>, Daejeon, Republic of Korea</w:t>
      </w:r>
    </w:p>
    <w:p w14:paraId="3D74521A" w14:textId="327E7C06" w:rsidR="00F93C6A" w:rsidRDefault="00F93C6A" w:rsidP="00F93C6A">
      <w:pPr>
        <w:pStyle w:val="Authornameandaffiliation"/>
      </w:pPr>
    </w:p>
    <w:p w14:paraId="52C33D34" w14:textId="767216C6" w:rsidR="00F93C6A" w:rsidRPr="00FF386F" w:rsidRDefault="00F93C6A" w:rsidP="00F93C6A">
      <w:pPr>
        <w:pStyle w:val="Authornameandaffiliation"/>
      </w:pPr>
      <w:proofErr w:type="spellStart"/>
      <w:r>
        <w:t>Seungho</w:t>
      </w:r>
      <w:proofErr w:type="spellEnd"/>
      <w:r>
        <w:t xml:space="preserve"> AHN</w:t>
      </w:r>
    </w:p>
    <w:p w14:paraId="270FCE55" w14:textId="2A45DE2D" w:rsidR="00F93C6A" w:rsidRDefault="00F93C6A" w:rsidP="00F93C6A">
      <w:pPr>
        <w:pStyle w:val="Authornameandaffiliation"/>
      </w:pPr>
      <w:r>
        <w:t>Korea Institute of Nuclear Nonproliferation and Control</w:t>
      </w:r>
      <w:r w:rsidR="00E26004">
        <w:t xml:space="preserve"> </w:t>
      </w:r>
      <w:r>
        <w:t>(KINAC)</w:t>
      </w:r>
    </w:p>
    <w:p w14:paraId="3968BE15" w14:textId="43D872D3" w:rsidR="00F93C6A" w:rsidRDefault="00F93C6A" w:rsidP="00F93C6A">
      <w:pPr>
        <w:pStyle w:val="Authornameandaffiliation"/>
      </w:pPr>
      <w:proofErr w:type="spellStart"/>
      <w:r>
        <w:t>Yuseong-daero</w:t>
      </w:r>
      <w:proofErr w:type="spellEnd"/>
      <w:r>
        <w:t>, Daejeon, Republic of Korea</w:t>
      </w:r>
    </w:p>
    <w:p w14:paraId="61B9D9DF" w14:textId="31E83C52" w:rsidR="00F93C6A" w:rsidRDefault="00F93C6A" w:rsidP="00F93C6A">
      <w:pPr>
        <w:pStyle w:val="Authornameandaffiliation"/>
      </w:pPr>
    </w:p>
    <w:p w14:paraId="125310BF" w14:textId="64CFF3C6" w:rsidR="00F93C6A" w:rsidRPr="00FF386F" w:rsidRDefault="00F93C6A" w:rsidP="00F93C6A">
      <w:pPr>
        <w:pStyle w:val="Authornameandaffiliation"/>
      </w:pPr>
      <w:proofErr w:type="spellStart"/>
      <w:r>
        <w:t>Seungmin</w:t>
      </w:r>
      <w:proofErr w:type="spellEnd"/>
      <w:r>
        <w:t xml:space="preserve"> LEE</w:t>
      </w:r>
    </w:p>
    <w:p w14:paraId="17B62A22" w14:textId="556926CF" w:rsidR="00F93C6A" w:rsidRDefault="00F93C6A" w:rsidP="00F93C6A">
      <w:pPr>
        <w:pStyle w:val="Authornameandaffiliation"/>
      </w:pPr>
      <w:r>
        <w:t>Korea Institute of Nuclear Nonproliferation and Control</w:t>
      </w:r>
      <w:r w:rsidR="00E26004">
        <w:t xml:space="preserve"> </w:t>
      </w:r>
      <w:r>
        <w:t>(KINAC)</w:t>
      </w:r>
    </w:p>
    <w:p w14:paraId="355ED661" w14:textId="082434CB" w:rsidR="00F93C6A" w:rsidRDefault="00F93C6A" w:rsidP="00F93C6A">
      <w:pPr>
        <w:pStyle w:val="Authornameandaffiliation"/>
      </w:pPr>
      <w:proofErr w:type="spellStart"/>
      <w:r>
        <w:t>Yuseong-daero</w:t>
      </w:r>
      <w:proofErr w:type="spellEnd"/>
      <w:r>
        <w:t>, Daejeon, Republic of Korea</w:t>
      </w:r>
    </w:p>
    <w:p w14:paraId="7009F595" w14:textId="491F4AEA" w:rsidR="00F93C6A" w:rsidRDefault="00F93C6A" w:rsidP="00F93C6A">
      <w:pPr>
        <w:pStyle w:val="Authornameandaffiliation"/>
      </w:pPr>
    </w:p>
    <w:p w14:paraId="549DCECF" w14:textId="0B8723B6" w:rsidR="00F93C6A" w:rsidRPr="00FF386F" w:rsidRDefault="00F93C6A" w:rsidP="00F93C6A">
      <w:pPr>
        <w:pStyle w:val="Authornameandaffiliation"/>
      </w:pPr>
      <w:proofErr w:type="spellStart"/>
      <w:r>
        <w:t>Chul</w:t>
      </w:r>
      <w:proofErr w:type="spellEnd"/>
      <w:r>
        <w:t xml:space="preserve"> HEO</w:t>
      </w:r>
    </w:p>
    <w:p w14:paraId="4513C213" w14:textId="3E02B176" w:rsidR="00F93C6A" w:rsidRDefault="00F93C6A" w:rsidP="00F93C6A">
      <w:pPr>
        <w:pStyle w:val="Authornameandaffiliation"/>
      </w:pPr>
      <w:r>
        <w:t>Korea Institute of Nuclear Nonproliferation and Control</w:t>
      </w:r>
      <w:r w:rsidR="00E26004">
        <w:t xml:space="preserve"> </w:t>
      </w:r>
      <w:r>
        <w:t>(KINAC)</w:t>
      </w:r>
    </w:p>
    <w:p w14:paraId="5089E187" w14:textId="22093BCE" w:rsidR="00F93C6A" w:rsidRPr="00FF386F" w:rsidRDefault="00F93C6A" w:rsidP="00F93C6A">
      <w:pPr>
        <w:pStyle w:val="Authornameandaffiliation"/>
      </w:pPr>
      <w:proofErr w:type="spellStart"/>
      <w:r>
        <w:t>Yuseong-daero</w:t>
      </w:r>
      <w:proofErr w:type="spellEnd"/>
      <w:r>
        <w:t>, Daejeon, Republic of Korea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AF8AECB" w14:textId="77777777" w:rsidR="00F93C6A" w:rsidRPr="00890FE3" w:rsidRDefault="00F93C6A" w:rsidP="00890FE3">
      <w:pPr>
        <w:pStyle w:val="Abstracttext"/>
      </w:pPr>
      <w:r w:rsidRPr="00890FE3">
        <w:t>This study proposes a legal framework to integrate Safeguards by Design (SBD) principles from the design phase of Small Modular Reactors (SMRs), addressing the gap in current practices where safeguards are not considered early in the design and construction phases. The International Atomic Energy Agency (IAEA) encourages early cooperation among designers, operators, regulators, and itself to include detailed nuclear facility information from the beginning of the design phase. However, the existing process only mandates the submission of a preliminary Design Information Questionnaire (DIQ) seven months before construction, with a final DIQ submitted seven months before nuclear material arrival, missing early SBD adoption.</w:t>
      </w:r>
    </w:p>
    <w:p w14:paraId="0BA53421" w14:textId="77777777" w:rsidR="00F93C6A" w:rsidRPr="00890FE3" w:rsidRDefault="00F93C6A" w:rsidP="00890FE3">
      <w:pPr>
        <w:pStyle w:val="Abstracttext"/>
      </w:pPr>
      <w:r w:rsidRPr="00890FE3">
        <w:t>The current legal foundation and licensing process, based on the Nuclear Safety Act, outlines construction and operation permit requirements but lacks integration of safeguards in the early stages. The study suggests amending the Nuclear Safety Act to include safeguards-related documentation in the licensing process, thereby facilitating SBD implementation. This includes expanding the Material Accounting Regulation for Nuclear Facilities (MARN) content to support SBD practices effectively.</w:t>
      </w:r>
    </w:p>
    <w:p w14:paraId="75845E65" w14:textId="659F44F0" w:rsidR="00F93C6A" w:rsidRPr="00890FE3" w:rsidRDefault="00F93C6A" w:rsidP="00890FE3">
      <w:pPr>
        <w:pStyle w:val="Abstracttext"/>
      </w:pPr>
      <w:r w:rsidRPr="00890FE3">
        <w:t>Additionally, utilizing subsidiary documents and the Regulation on the Report</w:t>
      </w:r>
      <w:r w:rsidR="00332C95">
        <w:t>ing</w:t>
      </w:r>
      <w:r w:rsidRPr="00890FE3">
        <w:t xml:space="preserve"> of International Strategic Materials (RISM) could enforce SBD principles by requiring the submission of design information at each construction stage. This approach requires proactive collaboration from licensees and a regulatory framework that includes specific penalties for non-compliance with design change disclosures.</w:t>
      </w:r>
    </w:p>
    <w:p w14:paraId="3C84941B" w14:textId="2515E4FE" w:rsidR="00F93C6A" w:rsidRDefault="00F93C6A" w:rsidP="00F93C6A">
      <w:pPr>
        <w:pStyle w:val="Abstracttext"/>
      </w:pPr>
      <w:r w:rsidRPr="00890FE3">
        <w:t>The study concludes that incorporating safeguards into the licensing process through legislative amendments or by leveraging existing regulations could ensure SBD implementation from the initial design phase, emphasizing the need for close collaboration among all stakeholders to overcome current challenges in safeguard integration.</w:t>
      </w:r>
    </w:p>
    <w:p w14:paraId="6A35BC3B" w14:textId="77777777" w:rsidR="00890FE3" w:rsidRDefault="00890FE3" w:rsidP="00F93C6A">
      <w:pPr>
        <w:pStyle w:val="Abstracttext"/>
      </w:pPr>
    </w:p>
    <w:p w14:paraId="03C6D75B" w14:textId="77777777" w:rsidR="00647F33" w:rsidRDefault="00F523CA" w:rsidP="00537496">
      <w:pPr>
        <w:pStyle w:val="2"/>
        <w:numPr>
          <w:ilvl w:val="1"/>
          <w:numId w:val="10"/>
        </w:numPr>
      </w:pPr>
      <w:r>
        <w:t>INTRODUCTION</w:t>
      </w:r>
    </w:p>
    <w:p w14:paraId="330B3664" w14:textId="2899D314" w:rsidR="00CE29B0" w:rsidRPr="00CE29B0" w:rsidRDefault="00CE29B0" w:rsidP="00CE29B0">
      <w:pPr>
        <w:pStyle w:val="a1"/>
      </w:pPr>
      <w:r w:rsidRPr="00CE29B0">
        <w:t xml:space="preserve">The International Atomic Energy Agency (IAEA) strives to create a comprehensive framework that incorporates Safeguards by Design (SBD) principles at the initial stages of Small Modular Reactor (SMR) development. This requires synergistic cooperation between designers, operators, regulators, and the IAEA, with designers needing to share detailed information about the nuclear facility with both the State System of Accounting and Control (SSAC) and the IAEA from the </w:t>
      </w:r>
      <w:r w:rsidR="004639A8">
        <w:rPr>
          <w:lang w:eastAsia="ko-KR"/>
        </w:rPr>
        <w:t xml:space="preserve">beginning of </w:t>
      </w:r>
      <w:r w:rsidRPr="00CE29B0">
        <w:t>design phase. Currently</w:t>
      </w:r>
      <w:r w:rsidR="004639A8">
        <w:t xml:space="preserve">, </w:t>
      </w:r>
      <w:r w:rsidR="003D346C">
        <w:rPr>
          <w:rFonts w:hint="eastAsia"/>
          <w:lang w:eastAsia="ko-KR"/>
        </w:rPr>
        <w:t>in</w:t>
      </w:r>
      <w:r w:rsidR="004639A8">
        <w:rPr>
          <w:lang w:eastAsia="ko-KR"/>
        </w:rPr>
        <w:t xml:space="preserve"> the</w:t>
      </w:r>
      <w:r w:rsidR="003D346C">
        <w:rPr>
          <w:rFonts w:hint="eastAsia"/>
          <w:lang w:eastAsia="ko-KR"/>
        </w:rPr>
        <w:t xml:space="preserve"> </w:t>
      </w:r>
      <w:r w:rsidR="003D346C">
        <w:rPr>
          <w:lang w:eastAsia="ko-KR"/>
        </w:rPr>
        <w:t>Republic of Korea (ROK)</w:t>
      </w:r>
      <w:r w:rsidRPr="00CE29B0">
        <w:t>, licensees are required to submit design information, including construction and operational timelines, along with a preliminary project plan, within one month of receiving the construction permit</w:t>
      </w:r>
      <w:r w:rsidR="00332C95">
        <w:t xml:space="preserve"> [1]</w:t>
      </w:r>
      <w:r w:rsidRPr="00CE29B0">
        <w:t xml:space="preserve">. However, specific actions related to safeguards, beyond submitting a preliminary Design Information </w:t>
      </w:r>
      <w:r w:rsidRPr="00CE29B0">
        <w:lastRenderedPageBreak/>
        <w:t xml:space="preserve">Questionnaire (DIQ) seven months prior to </w:t>
      </w:r>
      <w:r w:rsidR="00562A10">
        <w:t xml:space="preserve">the start of </w:t>
      </w:r>
      <w:r w:rsidRPr="00CE29B0">
        <w:t>construction, are lacking. The final DIQ is submitted seven months before the nuclear material is transported to the facility, revealing a significant gap in adopting SBD principles during detailed design and construction phases</w:t>
      </w:r>
      <w:r w:rsidR="00332C95">
        <w:t xml:space="preserve"> [</w:t>
      </w:r>
      <w:r w:rsidR="003D346C">
        <w:t>1-</w:t>
      </w:r>
      <w:r w:rsidR="00332C95">
        <w:t>2]</w:t>
      </w:r>
      <w:r w:rsidRPr="00CE29B0">
        <w:t>. This study proposes a legal framework to integrate SBD principles from the SMR design phase through a comprehensive review of existing construction processes for nuclear facilities, focusing on safeguards regulations.</w:t>
      </w:r>
    </w:p>
    <w:p w14:paraId="38608129" w14:textId="77777777" w:rsidR="00CE29B0" w:rsidRDefault="00CE29B0" w:rsidP="00767AB2">
      <w:pPr>
        <w:pStyle w:val="a1"/>
        <w:ind w:firstLine="0"/>
        <w:rPr>
          <w:lang w:val="en-US"/>
        </w:rPr>
      </w:pPr>
    </w:p>
    <w:p w14:paraId="74CD1556" w14:textId="38704251" w:rsidR="00E25B68" w:rsidRDefault="00CE29B0" w:rsidP="0026525A">
      <w:pPr>
        <w:pStyle w:val="2"/>
        <w:numPr>
          <w:ilvl w:val="1"/>
          <w:numId w:val="10"/>
        </w:numPr>
      </w:pPr>
      <w:r>
        <w:rPr>
          <w:rFonts w:hint="eastAsia"/>
          <w:lang w:eastAsia="ko-KR"/>
        </w:rPr>
        <w:t>c</w:t>
      </w:r>
      <w:r>
        <w:rPr>
          <w:lang w:eastAsia="ko-KR"/>
        </w:rPr>
        <w:t>urrent process</w:t>
      </w:r>
    </w:p>
    <w:p w14:paraId="239B1673" w14:textId="712BF60C" w:rsidR="00A906A1" w:rsidRPr="00A906A1" w:rsidRDefault="006A3B9C" w:rsidP="00A906A1">
      <w:pPr>
        <w:pStyle w:val="a1"/>
        <w:rPr>
          <w:rFonts w:eastAsia="바탕"/>
          <w:lang w:eastAsia="ko-KR"/>
        </w:rPr>
      </w:pPr>
      <w:r w:rsidRPr="005544D3">
        <w:rPr>
          <w:rFonts w:eastAsia="바탕"/>
          <w:lang w:eastAsia="ko-KR"/>
        </w:rPr>
        <w:t>This section provides an overview of the legal foundation and licensing procedures for nuclear power plant construction.</w:t>
      </w:r>
      <w:r>
        <w:rPr>
          <w:rFonts w:eastAsia="바탕"/>
          <w:lang w:eastAsia="ko-KR"/>
        </w:rPr>
        <w:t xml:space="preserve"> </w:t>
      </w:r>
    </w:p>
    <w:p w14:paraId="303C0906" w14:textId="14B0598D" w:rsidR="00A906A1" w:rsidRPr="00EE0041" w:rsidRDefault="00A906A1" w:rsidP="00A906A1">
      <w:pPr>
        <w:pStyle w:val="3"/>
      </w:pPr>
      <w:r>
        <w:t>Legal Foundation</w:t>
      </w:r>
    </w:p>
    <w:p w14:paraId="58AF12DC" w14:textId="41133870" w:rsidR="00BC7CEF" w:rsidRDefault="00A906A1" w:rsidP="00A906A1">
      <w:pPr>
        <w:pStyle w:val="a1"/>
        <w:rPr>
          <w:lang w:eastAsia="ko-KR"/>
        </w:rPr>
      </w:pPr>
      <w:r w:rsidRPr="005544D3">
        <w:rPr>
          <w:rFonts w:ascii="TimesNewRoman" w:eastAsia="바탕" w:hAnsi="TimesNewRoman"/>
          <w:lang w:eastAsia="ko-KR"/>
        </w:rPr>
        <w:t>The Nuclear Safety Act</w:t>
      </w:r>
      <w:r w:rsidR="00332C95">
        <w:rPr>
          <w:rFonts w:ascii="TimesNewRoman" w:eastAsia="바탕" w:hAnsi="TimesNewRoman"/>
          <w:lang w:eastAsia="ko-KR"/>
        </w:rPr>
        <w:t xml:space="preserve"> [1]</w:t>
      </w:r>
      <w:r w:rsidRPr="005544D3">
        <w:rPr>
          <w:rFonts w:ascii="TimesNewRoman" w:eastAsia="바탕" w:hAnsi="TimesNewRoman"/>
          <w:lang w:eastAsia="ko-KR"/>
        </w:rPr>
        <w:t xml:space="preserve"> forms the legal basis for the nuclear power plant construction licensing process. It </w:t>
      </w:r>
      <w:r w:rsidRPr="00A906A1">
        <w:t>outlines two licensing pathways: one for constructing a nuclear power plant with a defined plan, and another for standard design approvals for reactors without specified construction plans. Article No. 10 pertains to construction permits for nuclear power plants, while Article No. 20 covers operating permits. The application for standard design approval</w:t>
      </w:r>
      <w:r w:rsidR="00792C28">
        <w:t xml:space="preserve"> (standard design is defined as </w:t>
      </w:r>
      <w:r w:rsidR="008E4111">
        <w:t xml:space="preserve">the repeated </w:t>
      </w:r>
      <w:r w:rsidR="00792C28">
        <w:t>design</w:t>
      </w:r>
      <w:r w:rsidR="008E4111">
        <w:t>,</w:t>
      </w:r>
      <w:r w:rsidR="00792C28">
        <w:t xml:space="preserve"> </w:t>
      </w:r>
      <w:r w:rsidR="008E4111">
        <w:t>in the case of repeated construction of power reactors and related facilities of the same design)</w:t>
      </w:r>
      <w:r w:rsidRPr="00A906A1">
        <w:t xml:space="preserve"> is detailed in Article No. 12. Article No. 15 requires licensees to submit a “Material Accounting Regulation for Nuclear Facilities (MARN)” to the SSAC for approval before using nuclear material within the facility. The regulatory body must complete its review of construction and operating permit documentation within 24 months from the application date</w:t>
      </w:r>
      <w:r w:rsidR="00562A10">
        <w:t>.</w:t>
      </w:r>
      <w:r w:rsidR="0065511C">
        <w:t xml:space="preserve"> </w:t>
      </w:r>
      <w:r w:rsidR="004C3BB5" w:rsidRPr="004C3BB5">
        <w:rPr>
          <w:lang w:eastAsia="ko-KR"/>
        </w:rPr>
        <w:t xml:space="preserve">Article 98 of the Nuclear Safety Act outlines the requirements for submitting design information for nuclear facilities. It mandates that operators of nuclear installations must provide detailed design information to the regulatory authority. </w:t>
      </w:r>
      <w:r w:rsidR="007F5A37">
        <w:rPr>
          <w:lang w:eastAsia="ko-KR"/>
        </w:rPr>
        <w:t>Using t</w:t>
      </w:r>
      <w:r w:rsidR="004C3BB5" w:rsidRPr="004C3BB5">
        <w:rPr>
          <w:lang w:eastAsia="ko-KR"/>
        </w:rPr>
        <w:t>his information</w:t>
      </w:r>
      <w:r w:rsidR="007F5A37">
        <w:rPr>
          <w:lang w:eastAsia="ko-KR"/>
        </w:rPr>
        <w:t xml:space="preserve">, IAEA </w:t>
      </w:r>
      <w:r w:rsidR="00767AB2">
        <w:rPr>
          <w:lang w:eastAsia="ko-KR"/>
        </w:rPr>
        <w:t xml:space="preserve">gives the Facility Attachment (FA) to stat regulatory authority (SRA) and operators. The FA is a detailed document that outlines the specific safeguards measures and requirements that will be applied to the facilities. </w:t>
      </w:r>
      <w:r w:rsidR="00BC7CEF">
        <w:rPr>
          <w:lang w:eastAsia="ko-KR"/>
        </w:rPr>
        <w:t xml:space="preserve">Table 1 shows the legal system of the nuclear safety regulation in Republic of Korea. </w:t>
      </w:r>
    </w:p>
    <w:p w14:paraId="74E38ECD" w14:textId="77777777" w:rsidR="00E064A4" w:rsidRDefault="00E064A4" w:rsidP="00A906A1">
      <w:pPr>
        <w:pStyle w:val="a1"/>
      </w:pPr>
    </w:p>
    <w:p w14:paraId="598A9322" w14:textId="7D99AEA1" w:rsidR="00E064A4" w:rsidRPr="005B1EC6" w:rsidRDefault="00E064A4" w:rsidP="00E064A4">
      <w:pPr>
        <w:rPr>
          <w:sz w:val="20"/>
        </w:rPr>
      </w:pPr>
      <w:r w:rsidRPr="005B1EC6">
        <w:rPr>
          <w:sz w:val="20"/>
        </w:rPr>
        <w:t>TABLE 1.</w:t>
      </w:r>
      <w:r w:rsidRPr="005B1EC6">
        <w:rPr>
          <w:sz w:val="20"/>
        </w:rPr>
        <w:tab/>
        <w:t>NUCLEAR SAFETY REGULATORY LEGAL SYSTEM</w:t>
      </w:r>
      <w:r w:rsidR="00E26004">
        <w:rPr>
          <w:sz w:val="20"/>
        </w:rPr>
        <w:t xml:space="preserve"> </w:t>
      </w:r>
      <w:r w:rsidR="00E26004">
        <w:rPr>
          <w:rFonts w:hint="eastAsia"/>
          <w:sz w:val="20"/>
          <w:lang w:eastAsia="ko-KR"/>
        </w:rPr>
        <w:t>O</w:t>
      </w:r>
      <w:r w:rsidR="00E26004">
        <w:rPr>
          <w:sz w:val="20"/>
          <w:lang w:eastAsia="ko-KR"/>
        </w:rPr>
        <w:t>F ROK</w:t>
      </w:r>
      <w:r w:rsidRPr="005B1EC6">
        <w:rPr>
          <w:sz w:val="20"/>
        </w:rPr>
        <w:t xml:space="preserve"> </w:t>
      </w:r>
    </w:p>
    <w:p w14:paraId="343B5F7C" w14:textId="77777777" w:rsidR="00E064A4" w:rsidRPr="00865650" w:rsidRDefault="00E064A4" w:rsidP="00E064A4"/>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gridCol w:w="2551"/>
      </w:tblGrid>
      <w:tr w:rsidR="00E064A4" w:rsidRPr="00A555BF" w14:paraId="1FA97783" w14:textId="77777777" w:rsidTr="002D0B67">
        <w:trPr>
          <w:trHeight w:val="450"/>
          <w:jc w:val="center"/>
        </w:trPr>
        <w:tc>
          <w:tcPr>
            <w:tcW w:w="2547" w:type="dxa"/>
            <w:shd w:val="clear" w:color="auto" w:fill="auto"/>
          </w:tcPr>
          <w:p w14:paraId="64CAF39B" w14:textId="4AC5F334" w:rsidR="00E064A4" w:rsidRPr="003446D8" w:rsidRDefault="00C0698A" w:rsidP="00F6649F">
            <w:pPr>
              <w:pStyle w:val="para1MSMinchoMSMinc"/>
              <w:ind w:firstLineChars="0" w:firstLine="0"/>
              <w:jc w:val="center"/>
              <w:rPr>
                <w:rFonts w:ascii="TimesNewRoman" w:eastAsia="바탕" w:hAnsi="TimesNewRoman"/>
                <w:b/>
                <w:sz w:val="18"/>
                <w:szCs w:val="18"/>
                <w:lang w:eastAsia="ko-KR"/>
              </w:rPr>
            </w:pPr>
            <w:r>
              <w:rPr>
                <w:rFonts w:ascii="TimesNewRoman" w:eastAsia="바탕" w:hAnsi="TimesNewRoman"/>
                <w:b/>
                <w:sz w:val="18"/>
                <w:szCs w:val="18"/>
                <w:lang w:eastAsia="ko-KR"/>
              </w:rPr>
              <w:t>Name</w:t>
            </w:r>
          </w:p>
        </w:tc>
        <w:tc>
          <w:tcPr>
            <w:tcW w:w="3544" w:type="dxa"/>
            <w:shd w:val="clear" w:color="auto" w:fill="auto"/>
          </w:tcPr>
          <w:p w14:paraId="1D719298" w14:textId="322AC7E4" w:rsidR="00E064A4" w:rsidRPr="003446D8" w:rsidRDefault="00C0698A" w:rsidP="00F6649F">
            <w:pPr>
              <w:pStyle w:val="para1MSMinchoMSMinc"/>
              <w:ind w:firstLineChars="0" w:firstLine="0"/>
              <w:jc w:val="center"/>
              <w:rPr>
                <w:rFonts w:ascii="TimesNewRoman" w:eastAsia="바탕" w:hAnsi="TimesNewRoman"/>
                <w:b/>
                <w:sz w:val="18"/>
                <w:szCs w:val="18"/>
                <w:lang w:eastAsia="ko-KR"/>
              </w:rPr>
            </w:pPr>
            <w:r>
              <w:rPr>
                <w:rFonts w:ascii="TimesNewRoman" w:eastAsia="바탕" w:hAnsi="TimesNewRoman" w:hint="eastAsia"/>
                <w:b/>
                <w:sz w:val="18"/>
                <w:szCs w:val="18"/>
                <w:lang w:eastAsia="ko-KR"/>
              </w:rPr>
              <w:t>F</w:t>
            </w:r>
            <w:r>
              <w:rPr>
                <w:rFonts w:ascii="TimesNewRoman" w:eastAsia="바탕" w:hAnsi="TimesNewRoman"/>
                <w:b/>
                <w:sz w:val="18"/>
                <w:szCs w:val="18"/>
                <w:lang w:eastAsia="ko-KR"/>
              </w:rPr>
              <w:t>eatures</w:t>
            </w:r>
          </w:p>
        </w:tc>
        <w:tc>
          <w:tcPr>
            <w:tcW w:w="2551" w:type="dxa"/>
            <w:shd w:val="clear" w:color="auto" w:fill="auto"/>
          </w:tcPr>
          <w:p w14:paraId="291181B3" w14:textId="69A3EF14" w:rsidR="00E064A4" w:rsidRPr="003446D8" w:rsidRDefault="00C0698A" w:rsidP="00F6649F">
            <w:pPr>
              <w:pStyle w:val="para1MSMinchoMSMinc"/>
              <w:ind w:firstLineChars="0" w:firstLine="0"/>
              <w:jc w:val="center"/>
              <w:rPr>
                <w:rFonts w:ascii="TimesNewRoman" w:eastAsia="바탕" w:hAnsi="TimesNewRoman"/>
                <w:b/>
                <w:sz w:val="18"/>
                <w:szCs w:val="18"/>
                <w:lang w:eastAsia="ko-KR"/>
              </w:rPr>
            </w:pPr>
            <w:r>
              <w:rPr>
                <w:rFonts w:ascii="TimesNewRoman" w:eastAsia="바탕" w:hAnsi="TimesNewRoman" w:hint="eastAsia"/>
                <w:b/>
                <w:sz w:val="18"/>
                <w:szCs w:val="18"/>
                <w:lang w:eastAsia="ko-KR"/>
              </w:rPr>
              <w:t>O</w:t>
            </w:r>
            <w:r>
              <w:rPr>
                <w:rFonts w:ascii="TimesNewRoman" w:eastAsia="바탕" w:hAnsi="TimesNewRoman"/>
                <w:b/>
                <w:sz w:val="18"/>
                <w:szCs w:val="18"/>
                <w:lang w:eastAsia="ko-KR"/>
              </w:rPr>
              <w:t>rgani</w:t>
            </w:r>
            <w:r w:rsidR="004B3170">
              <w:rPr>
                <w:rFonts w:ascii="TimesNewRoman" w:eastAsia="바탕" w:hAnsi="TimesNewRoman"/>
                <w:b/>
                <w:sz w:val="18"/>
                <w:szCs w:val="18"/>
                <w:lang w:eastAsia="ko-KR"/>
              </w:rPr>
              <w:t>z</w:t>
            </w:r>
            <w:r>
              <w:rPr>
                <w:rFonts w:ascii="TimesNewRoman" w:eastAsia="바탕" w:hAnsi="TimesNewRoman"/>
                <w:b/>
                <w:sz w:val="18"/>
                <w:szCs w:val="18"/>
                <w:lang w:eastAsia="ko-KR"/>
              </w:rPr>
              <w:t>ation</w:t>
            </w:r>
          </w:p>
        </w:tc>
      </w:tr>
      <w:tr w:rsidR="00E064A4" w:rsidRPr="00A555BF" w14:paraId="53081189" w14:textId="77777777" w:rsidTr="00767AB2">
        <w:trPr>
          <w:trHeight w:val="702"/>
          <w:jc w:val="center"/>
        </w:trPr>
        <w:tc>
          <w:tcPr>
            <w:tcW w:w="2547" w:type="dxa"/>
            <w:shd w:val="clear" w:color="auto" w:fill="auto"/>
          </w:tcPr>
          <w:p w14:paraId="435A9B01" w14:textId="6E0392AA" w:rsidR="00E064A4" w:rsidRPr="003446D8" w:rsidRDefault="00C0698A" w:rsidP="00F6649F">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Nuclear Safety Act</w:t>
            </w:r>
          </w:p>
        </w:tc>
        <w:tc>
          <w:tcPr>
            <w:tcW w:w="3544" w:type="dxa"/>
            <w:shd w:val="clear" w:color="auto" w:fill="auto"/>
          </w:tcPr>
          <w:p w14:paraId="616B9305" w14:textId="430F7300" w:rsidR="004B3170" w:rsidRDefault="00E064A4" w:rsidP="004B3170">
            <w:pPr>
              <w:rPr>
                <w:rFonts w:ascii="TimesNewRoman" w:eastAsia="바탕" w:hAnsi="TimesNewRoman"/>
                <w:sz w:val="18"/>
                <w:szCs w:val="18"/>
                <w:lang w:eastAsia="ko-KR"/>
              </w:rPr>
            </w:pPr>
            <w:r w:rsidRPr="003446D8">
              <w:rPr>
                <w:rFonts w:ascii="TimesNewRoman" w:eastAsia="바탕" w:hAnsi="TimesNewRoman" w:hint="eastAsia"/>
                <w:sz w:val="18"/>
                <w:szCs w:val="18"/>
                <w:lang w:eastAsia="ko-KR"/>
              </w:rPr>
              <w:t>A</w:t>
            </w:r>
            <w:r w:rsidR="004B3170">
              <w:rPr>
                <w:rFonts w:ascii="TimesNewRoman" w:eastAsia="바탕" w:hAnsi="TimesNewRoman"/>
                <w:sz w:val="18"/>
                <w:szCs w:val="18"/>
                <w:lang w:eastAsia="ko-KR"/>
              </w:rPr>
              <w:t>ct</w:t>
            </w:r>
            <w:r w:rsidR="00D76126">
              <w:rPr>
                <w:rFonts w:ascii="TimesNewRoman" w:eastAsia="바탕" w:hAnsi="TimesNewRoman"/>
                <w:sz w:val="18"/>
                <w:szCs w:val="18"/>
                <w:lang w:eastAsia="ko-KR"/>
              </w:rPr>
              <w:t>, governing legislation</w:t>
            </w:r>
          </w:p>
          <w:p w14:paraId="05F95AF8" w14:textId="4ACFBE25" w:rsidR="00E064A4" w:rsidRPr="004B3170" w:rsidRDefault="004B3170" w:rsidP="004B3170">
            <w:pPr>
              <w:rPr>
                <w:rFonts w:ascii="TimesNewRoman" w:eastAsia="바탕" w:hAnsi="TimesNewRoman"/>
                <w:sz w:val="18"/>
                <w:szCs w:val="18"/>
                <w:lang w:eastAsia="ko-KR"/>
              </w:rPr>
            </w:pPr>
            <w:r w:rsidRPr="004B3170">
              <w:rPr>
                <w:rFonts w:ascii="TimesNewRoman" w:eastAsia="바탕" w:hAnsi="TimesNewRoman"/>
                <w:sz w:val="18"/>
                <w:szCs w:val="18"/>
                <w:lang w:eastAsia="ko-KR"/>
              </w:rPr>
              <w:t>-</w:t>
            </w:r>
            <w:r>
              <w:rPr>
                <w:rFonts w:ascii="TimesNewRoman" w:eastAsia="바탕" w:hAnsi="TimesNewRoman"/>
                <w:sz w:val="18"/>
                <w:szCs w:val="18"/>
                <w:lang w:eastAsia="ko-KR"/>
              </w:rPr>
              <w:t xml:space="preserve"> </w:t>
            </w:r>
            <w:r w:rsidR="00D76126">
              <w:rPr>
                <w:rFonts w:ascii="TimesNewRoman" w:eastAsia="바탕" w:hAnsi="TimesNewRoman"/>
                <w:sz w:val="18"/>
                <w:szCs w:val="18"/>
                <w:lang w:eastAsia="ko-KR"/>
              </w:rPr>
              <w:t>lays down the legal basis and defines matters for nuclear safety regulations</w:t>
            </w:r>
          </w:p>
        </w:tc>
        <w:tc>
          <w:tcPr>
            <w:tcW w:w="2551" w:type="dxa"/>
            <w:shd w:val="clear" w:color="auto" w:fill="auto"/>
          </w:tcPr>
          <w:p w14:paraId="4A239B42" w14:textId="66364CA7" w:rsidR="00E064A4" w:rsidRPr="003446D8" w:rsidRDefault="004B3170" w:rsidP="00F6649F">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Nuclear Safety and Security Commission</w:t>
            </w:r>
            <w:r w:rsidR="002E06BD">
              <w:rPr>
                <w:rFonts w:ascii="TimesNewRoman" w:eastAsia="바탕" w:hAnsi="TimesNewRoman"/>
                <w:sz w:val="18"/>
                <w:szCs w:val="18"/>
                <w:lang w:eastAsia="ko-KR"/>
              </w:rPr>
              <w:t xml:space="preserve"> (NSSC)</w:t>
            </w:r>
          </w:p>
        </w:tc>
      </w:tr>
      <w:tr w:rsidR="004B3170" w:rsidRPr="00A555BF" w14:paraId="6343DC92" w14:textId="77777777" w:rsidTr="00767AB2">
        <w:trPr>
          <w:trHeight w:val="684"/>
          <w:jc w:val="center"/>
        </w:trPr>
        <w:tc>
          <w:tcPr>
            <w:tcW w:w="2547" w:type="dxa"/>
            <w:shd w:val="clear" w:color="auto" w:fill="auto"/>
          </w:tcPr>
          <w:p w14:paraId="77959772" w14:textId="60FF1A4A" w:rsidR="004B3170" w:rsidRPr="003446D8" w:rsidRDefault="004B3170" w:rsidP="004B3170">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 xml:space="preserve">Enforcement Decree of </w:t>
            </w:r>
            <w:r>
              <w:rPr>
                <w:rFonts w:ascii="TimesNewRoman" w:eastAsia="바탕" w:hAnsi="TimesNewRoman"/>
                <w:sz w:val="18"/>
                <w:szCs w:val="18"/>
                <w:lang w:eastAsia="ko-KR"/>
              </w:rPr>
              <w:br/>
              <w:t>Nuclear Safety Act</w:t>
            </w:r>
          </w:p>
        </w:tc>
        <w:tc>
          <w:tcPr>
            <w:tcW w:w="3544" w:type="dxa"/>
            <w:shd w:val="clear" w:color="auto" w:fill="auto"/>
          </w:tcPr>
          <w:p w14:paraId="4848A15F" w14:textId="77777777" w:rsidR="004B3170" w:rsidRDefault="004B3170" w:rsidP="004B3170">
            <w:pPr>
              <w:rPr>
                <w:rFonts w:ascii="TimesNewRoman" w:eastAsia="바탕" w:hAnsi="TimesNewRoman"/>
                <w:sz w:val="18"/>
                <w:szCs w:val="18"/>
                <w:lang w:eastAsia="ko-KR"/>
              </w:rPr>
            </w:pPr>
            <w:r>
              <w:rPr>
                <w:rFonts w:ascii="TimesNewRoman" w:eastAsia="바탕" w:hAnsi="TimesNewRoman"/>
                <w:sz w:val="18"/>
                <w:szCs w:val="18"/>
                <w:lang w:eastAsia="ko-KR"/>
              </w:rPr>
              <w:t>Presidential Decree</w:t>
            </w:r>
          </w:p>
          <w:p w14:paraId="40DFF915" w14:textId="55FC5BE1" w:rsidR="004B3170" w:rsidRPr="004B3170" w:rsidRDefault="004B3170" w:rsidP="004B3170">
            <w:pPr>
              <w:rPr>
                <w:rFonts w:ascii="TimesNewRoman" w:eastAsia="바탕" w:hAnsi="TimesNewRoman"/>
                <w:sz w:val="18"/>
                <w:szCs w:val="18"/>
                <w:lang w:eastAsia="ko-KR"/>
              </w:rPr>
            </w:pPr>
            <w:r w:rsidRPr="004B3170">
              <w:rPr>
                <w:rFonts w:ascii="TimesNewRoman" w:eastAsia="바탕" w:hAnsi="TimesNewRoman" w:hint="eastAsia"/>
                <w:sz w:val="18"/>
                <w:szCs w:val="18"/>
                <w:lang w:eastAsia="ko-KR"/>
              </w:rPr>
              <w:t>-</w:t>
            </w:r>
            <w:r>
              <w:rPr>
                <w:rFonts w:ascii="TimesNewRoman" w:eastAsia="바탕" w:hAnsi="TimesNewRoman" w:hint="eastAsia"/>
                <w:sz w:val="18"/>
                <w:szCs w:val="18"/>
                <w:lang w:eastAsia="ko-KR"/>
              </w:rPr>
              <w:t xml:space="preserve"> </w:t>
            </w:r>
            <w:r w:rsidR="002E06BD">
              <w:rPr>
                <w:rFonts w:ascii="TimesNewRoman" w:eastAsia="바탕" w:hAnsi="TimesNewRoman"/>
                <w:sz w:val="18"/>
                <w:szCs w:val="18"/>
                <w:lang w:eastAsia="ko-KR"/>
              </w:rPr>
              <w:t>defines administrative matters necessary for the implementation of the Nuclear Safety Act</w:t>
            </w:r>
          </w:p>
        </w:tc>
        <w:tc>
          <w:tcPr>
            <w:tcW w:w="2551" w:type="dxa"/>
            <w:shd w:val="clear" w:color="auto" w:fill="auto"/>
          </w:tcPr>
          <w:p w14:paraId="6B638074" w14:textId="0F77AD53" w:rsidR="004B3170" w:rsidRPr="003446D8" w:rsidRDefault="004B3170" w:rsidP="004B3170">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Nuclear Safety and Security Commission</w:t>
            </w:r>
          </w:p>
        </w:tc>
      </w:tr>
      <w:tr w:rsidR="004B3170" w:rsidRPr="00A555BF" w14:paraId="3A095989" w14:textId="77777777" w:rsidTr="00767AB2">
        <w:trPr>
          <w:trHeight w:val="850"/>
          <w:jc w:val="center"/>
        </w:trPr>
        <w:tc>
          <w:tcPr>
            <w:tcW w:w="2547" w:type="dxa"/>
            <w:shd w:val="clear" w:color="auto" w:fill="auto"/>
          </w:tcPr>
          <w:p w14:paraId="3D71C5C0" w14:textId="383FC897" w:rsidR="004B3170" w:rsidRPr="003446D8" w:rsidRDefault="004B3170" w:rsidP="004B3170">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Enforcement R</w:t>
            </w:r>
            <w:r w:rsidR="00D76126">
              <w:rPr>
                <w:rFonts w:ascii="TimesNewRoman" w:eastAsia="바탕" w:hAnsi="TimesNewRoman"/>
                <w:sz w:val="18"/>
                <w:szCs w:val="18"/>
                <w:lang w:eastAsia="ko-KR"/>
              </w:rPr>
              <w:t>ul</w:t>
            </w:r>
            <w:r>
              <w:rPr>
                <w:rFonts w:ascii="TimesNewRoman" w:eastAsia="바탕" w:hAnsi="TimesNewRoman"/>
                <w:sz w:val="18"/>
                <w:szCs w:val="18"/>
                <w:lang w:eastAsia="ko-KR"/>
              </w:rPr>
              <w:t>e</w:t>
            </w:r>
            <w:r w:rsidR="00D76126">
              <w:rPr>
                <w:rFonts w:ascii="TimesNewRoman" w:eastAsia="바탕" w:hAnsi="TimesNewRoman"/>
                <w:sz w:val="18"/>
                <w:szCs w:val="18"/>
                <w:lang w:eastAsia="ko-KR"/>
              </w:rPr>
              <w:t>s</w:t>
            </w:r>
            <w:r>
              <w:rPr>
                <w:rFonts w:ascii="TimesNewRoman" w:eastAsia="바탕" w:hAnsi="TimesNewRoman"/>
                <w:sz w:val="18"/>
                <w:szCs w:val="18"/>
                <w:lang w:eastAsia="ko-KR"/>
              </w:rPr>
              <w:t xml:space="preserve"> for</w:t>
            </w:r>
            <w:r>
              <w:rPr>
                <w:rFonts w:ascii="TimesNewRoman" w:eastAsia="바탕" w:hAnsi="TimesNewRoman"/>
                <w:sz w:val="18"/>
                <w:szCs w:val="18"/>
                <w:lang w:eastAsia="ko-KR"/>
              </w:rPr>
              <w:br/>
              <w:t>Nuclear Safety Act</w:t>
            </w:r>
          </w:p>
        </w:tc>
        <w:tc>
          <w:tcPr>
            <w:tcW w:w="3544" w:type="dxa"/>
            <w:shd w:val="clear" w:color="auto" w:fill="auto"/>
          </w:tcPr>
          <w:p w14:paraId="5D471329" w14:textId="3B040154" w:rsidR="004B3170" w:rsidRDefault="004B3170" w:rsidP="004B3170">
            <w:pPr>
              <w:rPr>
                <w:rFonts w:ascii="TimesNewRoman" w:eastAsia="바탕" w:hAnsi="TimesNewRoman"/>
                <w:sz w:val="18"/>
                <w:szCs w:val="18"/>
                <w:lang w:eastAsia="ko-KR"/>
              </w:rPr>
            </w:pPr>
            <w:r>
              <w:rPr>
                <w:rFonts w:ascii="TimesNewRoman" w:eastAsia="바탕" w:hAnsi="TimesNewRoman" w:hint="eastAsia"/>
                <w:sz w:val="18"/>
                <w:szCs w:val="18"/>
                <w:lang w:eastAsia="ko-KR"/>
              </w:rPr>
              <w:t>O</w:t>
            </w:r>
            <w:r>
              <w:rPr>
                <w:rFonts w:ascii="TimesNewRoman" w:eastAsia="바탕" w:hAnsi="TimesNewRoman"/>
                <w:sz w:val="18"/>
                <w:szCs w:val="18"/>
                <w:lang w:eastAsia="ko-KR"/>
              </w:rPr>
              <w:t>rdinance of the Prime Minister</w:t>
            </w:r>
          </w:p>
          <w:p w14:paraId="50BC2221" w14:textId="7E71F3C4" w:rsidR="004B3170" w:rsidRPr="002E06BD" w:rsidRDefault="002E06BD" w:rsidP="002E06BD">
            <w:pPr>
              <w:rPr>
                <w:rFonts w:ascii="TimesNewRoman" w:eastAsia="바탕" w:hAnsi="TimesNewRoman"/>
                <w:sz w:val="18"/>
                <w:szCs w:val="18"/>
                <w:lang w:eastAsia="ko-KR"/>
              </w:rPr>
            </w:pPr>
            <w:r w:rsidRPr="002E06BD">
              <w:rPr>
                <w:rFonts w:ascii="TimesNewRoman" w:eastAsia="바탕" w:hAnsi="TimesNewRoman"/>
                <w:sz w:val="18"/>
                <w:szCs w:val="18"/>
                <w:lang w:eastAsia="ko-KR"/>
              </w:rPr>
              <w:t>-</w:t>
            </w:r>
            <w:r>
              <w:rPr>
                <w:rFonts w:ascii="TimesNewRoman" w:eastAsia="바탕" w:hAnsi="TimesNewRoman"/>
                <w:sz w:val="18"/>
                <w:szCs w:val="18"/>
                <w:lang w:eastAsia="ko-KR"/>
              </w:rPr>
              <w:t xml:space="preserve"> </w:t>
            </w:r>
            <w:r w:rsidRPr="002E06BD">
              <w:rPr>
                <w:rFonts w:ascii="TimesNewRoman" w:eastAsia="바탕" w:hAnsi="TimesNewRoman"/>
                <w:sz w:val="18"/>
                <w:szCs w:val="18"/>
                <w:lang w:eastAsia="ko-KR"/>
              </w:rPr>
              <w:t>defines administrative matters necessary for the implementation of the Nuclear Safety Act</w:t>
            </w:r>
            <w:r>
              <w:rPr>
                <w:rFonts w:ascii="TimesNewRoman" w:eastAsia="바탕" w:hAnsi="TimesNewRoman"/>
                <w:sz w:val="18"/>
                <w:szCs w:val="18"/>
                <w:lang w:eastAsia="ko-KR"/>
              </w:rPr>
              <w:t xml:space="preserve"> and its enforcement decree</w:t>
            </w:r>
          </w:p>
        </w:tc>
        <w:tc>
          <w:tcPr>
            <w:tcW w:w="2551" w:type="dxa"/>
            <w:shd w:val="clear" w:color="auto" w:fill="auto"/>
          </w:tcPr>
          <w:p w14:paraId="5C761B7C" w14:textId="2191D188" w:rsidR="004B3170" w:rsidRPr="003446D8" w:rsidRDefault="004B3170" w:rsidP="004B3170">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Nuclear Safety and Security Commission</w:t>
            </w:r>
          </w:p>
        </w:tc>
      </w:tr>
      <w:tr w:rsidR="004B3170" w:rsidRPr="00A555BF" w14:paraId="3D7C992F" w14:textId="77777777" w:rsidTr="00767AB2">
        <w:trPr>
          <w:trHeight w:val="1120"/>
          <w:jc w:val="center"/>
        </w:trPr>
        <w:tc>
          <w:tcPr>
            <w:tcW w:w="2547" w:type="dxa"/>
            <w:shd w:val="clear" w:color="auto" w:fill="auto"/>
          </w:tcPr>
          <w:p w14:paraId="715CD6F2" w14:textId="77777777" w:rsidR="002E06BD" w:rsidRDefault="00D76126" w:rsidP="004B3170">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 xml:space="preserve">Rule on Technical Standards </w:t>
            </w:r>
            <w:r w:rsidR="002E06BD">
              <w:rPr>
                <w:rFonts w:ascii="TimesNewRoman" w:eastAsia="바탕" w:hAnsi="TimesNewRoman"/>
                <w:sz w:val="18"/>
                <w:szCs w:val="18"/>
                <w:lang w:eastAsia="ko-KR"/>
              </w:rPr>
              <w:t>for Nuclear Reactor Facilities, etc.</w:t>
            </w:r>
          </w:p>
          <w:p w14:paraId="0210A94D" w14:textId="77777777" w:rsidR="002E06BD" w:rsidRDefault="002E06BD" w:rsidP="004B3170">
            <w:pPr>
              <w:pStyle w:val="para1MSMinchoMSMinc"/>
              <w:ind w:firstLineChars="0" w:firstLine="0"/>
              <w:jc w:val="left"/>
              <w:rPr>
                <w:rFonts w:ascii="TimesNewRoman" w:eastAsia="바탕" w:hAnsi="TimesNewRoman"/>
                <w:sz w:val="18"/>
                <w:szCs w:val="18"/>
                <w:lang w:eastAsia="ko-KR"/>
              </w:rPr>
            </w:pPr>
          </w:p>
          <w:p w14:paraId="13BCAF6B" w14:textId="0547DBA8" w:rsidR="004B3170" w:rsidRPr="003446D8" w:rsidRDefault="002E06BD" w:rsidP="004B3170">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Rule on Technical Standards for Radiation Safety Management</w:t>
            </w:r>
          </w:p>
        </w:tc>
        <w:tc>
          <w:tcPr>
            <w:tcW w:w="3544" w:type="dxa"/>
            <w:shd w:val="clear" w:color="auto" w:fill="auto"/>
          </w:tcPr>
          <w:p w14:paraId="098633B2" w14:textId="6F53FDD3" w:rsidR="002E06BD" w:rsidRDefault="002E06BD" w:rsidP="004B3170">
            <w:pPr>
              <w:rPr>
                <w:rFonts w:ascii="TimesNewRoman" w:eastAsia="바탕" w:hAnsi="TimesNewRoman"/>
                <w:sz w:val="18"/>
                <w:szCs w:val="18"/>
                <w:lang w:eastAsia="ko-KR"/>
              </w:rPr>
            </w:pPr>
            <w:r>
              <w:rPr>
                <w:rFonts w:ascii="TimesNewRoman" w:eastAsia="바탕" w:hAnsi="TimesNewRoman" w:hint="eastAsia"/>
                <w:sz w:val="18"/>
                <w:szCs w:val="18"/>
                <w:lang w:eastAsia="ko-KR"/>
              </w:rPr>
              <w:t>R</w:t>
            </w:r>
            <w:r>
              <w:rPr>
                <w:rFonts w:ascii="TimesNewRoman" w:eastAsia="바탕" w:hAnsi="TimesNewRoman"/>
                <w:sz w:val="18"/>
                <w:szCs w:val="18"/>
                <w:lang w:eastAsia="ko-KR"/>
              </w:rPr>
              <w:t>ules of the NSSC</w:t>
            </w:r>
          </w:p>
          <w:p w14:paraId="48A25CC2" w14:textId="08EC2D3B" w:rsidR="004B3170" w:rsidRPr="002E06BD" w:rsidRDefault="002E06BD" w:rsidP="002E06BD">
            <w:pPr>
              <w:rPr>
                <w:rFonts w:ascii="TimesNewRoman" w:eastAsia="바탕" w:hAnsi="TimesNewRoman"/>
                <w:sz w:val="18"/>
                <w:szCs w:val="18"/>
                <w:lang w:eastAsia="ko-KR"/>
              </w:rPr>
            </w:pPr>
            <w:r w:rsidRPr="002E06BD">
              <w:rPr>
                <w:rFonts w:ascii="TimesNewRoman" w:eastAsia="바탕" w:hAnsi="TimesNewRoman"/>
                <w:sz w:val="18"/>
                <w:szCs w:val="18"/>
                <w:lang w:eastAsia="ko-KR"/>
              </w:rPr>
              <w:t>-</w:t>
            </w:r>
            <w:r>
              <w:rPr>
                <w:rFonts w:ascii="TimesNewRoman" w:eastAsia="바탕" w:hAnsi="TimesNewRoman"/>
                <w:sz w:val="18"/>
                <w:szCs w:val="18"/>
                <w:lang w:eastAsia="ko-KR"/>
              </w:rPr>
              <w:t xml:space="preserve"> defines licensing procedures, application, and technical standards necessary for the implementation of the Nuclear Safety Act and its enforcement decrees and rules</w:t>
            </w:r>
          </w:p>
        </w:tc>
        <w:tc>
          <w:tcPr>
            <w:tcW w:w="2551" w:type="dxa"/>
            <w:shd w:val="clear" w:color="auto" w:fill="auto"/>
          </w:tcPr>
          <w:p w14:paraId="17CD63DB" w14:textId="04BE3ED9" w:rsidR="004B3170" w:rsidRPr="003446D8" w:rsidRDefault="004B3170" w:rsidP="004B3170">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Nuclear Safety and Security Commission</w:t>
            </w:r>
          </w:p>
        </w:tc>
      </w:tr>
      <w:tr w:rsidR="00EE7348" w:rsidRPr="00A555BF" w14:paraId="21C9227E" w14:textId="77777777" w:rsidTr="00767AB2">
        <w:trPr>
          <w:trHeight w:val="696"/>
          <w:jc w:val="center"/>
        </w:trPr>
        <w:tc>
          <w:tcPr>
            <w:tcW w:w="2547" w:type="dxa"/>
            <w:shd w:val="clear" w:color="auto" w:fill="auto"/>
          </w:tcPr>
          <w:p w14:paraId="12C2B6BF" w14:textId="7D5D8AA6" w:rsidR="00EE7348" w:rsidRDefault="00EE7348" w:rsidP="00EE7348">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hint="eastAsia"/>
                <w:sz w:val="18"/>
                <w:szCs w:val="18"/>
                <w:lang w:eastAsia="ko-KR"/>
              </w:rPr>
              <w:t>N</w:t>
            </w:r>
            <w:r>
              <w:rPr>
                <w:rFonts w:ascii="TimesNewRoman" w:eastAsia="바탕" w:hAnsi="TimesNewRoman"/>
                <w:sz w:val="18"/>
                <w:szCs w:val="18"/>
                <w:lang w:eastAsia="ko-KR"/>
              </w:rPr>
              <w:t>SSC noti</w:t>
            </w:r>
            <w:r w:rsidR="00935D0C">
              <w:rPr>
                <w:rFonts w:ascii="TimesNewRoman" w:eastAsia="바탕" w:hAnsi="TimesNewRoman"/>
                <w:sz w:val="18"/>
                <w:szCs w:val="18"/>
                <w:lang w:eastAsia="ko-KR"/>
              </w:rPr>
              <w:t>fications</w:t>
            </w:r>
          </w:p>
        </w:tc>
        <w:tc>
          <w:tcPr>
            <w:tcW w:w="3544" w:type="dxa"/>
            <w:shd w:val="clear" w:color="auto" w:fill="auto"/>
          </w:tcPr>
          <w:p w14:paraId="471A527F" w14:textId="7D4742AA" w:rsidR="00EE7348" w:rsidRDefault="00EE7348" w:rsidP="00EE7348">
            <w:pPr>
              <w:rPr>
                <w:rFonts w:ascii="TimesNewRoman" w:eastAsia="바탕" w:hAnsi="TimesNewRoman"/>
                <w:sz w:val="18"/>
                <w:szCs w:val="18"/>
                <w:lang w:eastAsia="ko-KR"/>
              </w:rPr>
            </w:pPr>
            <w:r>
              <w:rPr>
                <w:rFonts w:ascii="TimesNewRoman" w:eastAsia="바탕" w:hAnsi="TimesNewRoman" w:hint="eastAsia"/>
                <w:sz w:val="18"/>
                <w:szCs w:val="18"/>
                <w:lang w:eastAsia="ko-KR"/>
              </w:rPr>
              <w:t>N</w:t>
            </w:r>
            <w:r>
              <w:rPr>
                <w:rFonts w:ascii="TimesNewRoman" w:eastAsia="바탕" w:hAnsi="TimesNewRoman"/>
                <w:sz w:val="18"/>
                <w:szCs w:val="18"/>
                <w:lang w:eastAsia="ko-KR"/>
              </w:rPr>
              <w:t>oti</w:t>
            </w:r>
            <w:r w:rsidR="00935D0C">
              <w:rPr>
                <w:rFonts w:ascii="TimesNewRoman" w:eastAsia="바탕" w:hAnsi="TimesNewRoman"/>
                <w:sz w:val="18"/>
                <w:szCs w:val="18"/>
                <w:lang w:eastAsia="ko-KR"/>
              </w:rPr>
              <w:t>fications</w:t>
            </w:r>
          </w:p>
          <w:p w14:paraId="52E979B4" w14:textId="1831BC87" w:rsidR="00EE7348" w:rsidRPr="00EE7348" w:rsidRDefault="00EE7348" w:rsidP="00EE7348">
            <w:pPr>
              <w:rPr>
                <w:rFonts w:ascii="TimesNewRoman" w:eastAsia="바탕" w:hAnsi="TimesNewRoman"/>
                <w:sz w:val="18"/>
                <w:szCs w:val="18"/>
                <w:lang w:eastAsia="ko-KR"/>
              </w:rPr>
            </w:pPr>
            <w:r w:rsidRPr="00EE7348">
              <w:rPr>
                <w:rFonts w:ascii="TimesNewRoman" w:eastAsia="바탕" w:hAnsi="TimesNewRoman"/>
                <w:sz w:val="18"/>
                <w:szCs w:val="18"/>
                <w:lang w:eastAsia="ko-KR"/>
              </w:rPr>
              <w:t>-</w:t>
            </w:r>
            <w:r>
              <w:rPr>
                <w:rFonts w:ascii="TimesNewRoman" w:eastAsia="바탕" w:hAnsi="TimesNewRoman"/>
                <w:sz w:val="18"/>
                <w:szCs w:val="18"/>
                <w:lang w:eastAsia="ko-KR"/>
              </w:rPr>
              <w:t xml:space="preserve"> </w:t>
            </w:r>
            <w:r w:rsidRPr="00EE7348">
              <w:rPr>
                <w:rFonts w:ascii="TimesNewRoman" w:eastAsia="바탕" w:hAnsi="TimesNewRoman"/>
                <w:sz w:val="18"/>
                <w:szCs w:val="18"/>
                <w:lang w:eastAsia="ko-KR"/>
              </w:rPr>
              <w:t>defines detailed matters related to technical standards and administrative procedures</w:t>
            </w:r>
          </w:p>
        </w:tc>
        <w:tc>
          <w:tcPr>
            <w:tcW w:w="2551" w:type="dxa"/>
            <w:shd w:val="clear" w:color="auto" w:fill="auto"/>
          </w:tcPr>
          <w:p w14:paraId="61EED0B2" w14:textId="31F3CEE9" w:rsidR="00EE7348" w:rsidRDefault="00EE7348" w:rsidP="00EE7348">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sz w:val="18"/>
                <w:szCs w:val="18"/>
                <w:lang w:eastAsia="ko-KR"/>
              </w:rPr>
              <w:t>Nuclear Safety and Security Commission</w:t>
            </w:r>
          </w:p>
        </w:tc>
      </w:tr>
      <w:tr w:rsidR="00EE7348" w:rsidRPr="00A555BF" w14:paraId="58489DBC" w14:textId="77777777" w:rsidTr="002D0B67">
        <w:trPr>
          <w:trHeight w:val="625"/>
          <w:jc w:val="center"/>
        </w:trPr>
        <w:tc>
          <w:tcPr>
            <w:tcW w:w="2547" w:type="dxa"/>
            <w:shd w:val="clear" w:color="auto" w:fill="auto"/>
          </w:tcPr>
          <w:p w14:paraId="42F2CC4C" w14:textId="545DFC0E" w:rsidR="00EE7348" w:rsidRDefault="00EE7348" w:rsidP="00EE7348">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hint="eastAsia"/>
                <w:sz w:val="18"/>
                <w:szCs w:val="18"/>
                <w:lang w:eastAsia="ko-KR"/>
              </w:rPr>
              <w:t>R</w:t>
            </w:r>
            <w:r>
              <w:rPr>
                <w:rFonts w:ascii="TimesNewRoman" w:eastAsia="바탕" w:hAnsi="TimesNewRoman"/>
                <w:sz w:val="18"/>
                <w:szCs w:val="18"/>
                <w:lang w:eastAsia="ko-KR"/>
              </w:rPr>
              <w:t xml:space="preserve">egulatory Guidance of the </w:t>
            </w:r>
            <w:r w:rsidR="00BC7CEF">
              <w:rPr>
                <w:rFonts w:ascii="TimesNewRoman" w:eastAsia="바탕" w:hAnsi="TimesNewRoman"/>
                <w:sz w:val="18"/>
                <w:szCs w:val="18"/>
                <w:lang w:eastAsia="ko-KR"/>
              </w:rPr>
              <w:t>TSO (Technical Support Organization) and Industrial Standards</w:t>
            </w:r>
          </w:p>
        </w:tc>
        <w:tc>
          <w:tcPr>
            <w:tcW w:w="3544" w:type="dxa"/>
            <w:shd w:val="clear" w:color="auto" w:fill="auto"/>
          </w:tcPr>
          <w:p w14:paraId="7794698E" w14:textId="57878222" w:rsidR="00EE7348" w:rsidRPr="00BC7CEF" w:rsidRDefault="00BC7CEF" w:rsidP="00EE7348">
            <w:pPr>
              <w:rPr>
                <w:rFonts w:ascii="TimesNewRoman" w:eastAsia="바탕" w:hAnsi="TimesNewRoman"/>
                <w:sz w:val="18"/>
                <w:szCs w:val="18"/>
                <w:lang w:val="en-US" w:eastAsia="ko-KR"/>
              </w:rPr>
            </w:pPr>
            <w:r>
              <w:rPr>
                <w:rFonts w:ascii="TimesNewRoman" w:eastAsia="바탕" w:hAnsi="TimesNewRoman" w:hint="eastAsia"/>
                <w:sz w:val="18"/>
                <w:szCs w:val="18"/>
                <w:lang w:val="en-US" w:eastAsia="ko-KR"/>
              </w:rPr>
              <w:t>R</w:t>
            </w:r>
            <w:r>
              <w:rPr>
                <w:rFonts w:ascii="TimesNewRoman" w:eastAsia="바탕" w:hAnsi="TimesNewRoman"/>
                <w:sz w:val="18"/>
                <w:szCs w:val="18"/>
                <w:lang w:val="en-US" w:eastAsia="ko-KR"/>
              </w:rPr>
              <w:t>egulatory standards, guidance, review and inspection manuals, etc.</w:t>
            </w:r>
          </w:p>
        </w:tc>
        <w:tc>
          <w:tcPr>
            <w:tcW w:w="2551" w:type="dxa"/>
            <w:shd w:val="clear" w:color="auto" w:fill="auto"/>
          </w:tcPr>
          <w:p w14:paraId="13A266A6" w14:textId="6A83B083" w:rsidR="00EE7348" w:rsidRDefault="00BC7CEF" w:rsidP="00EE7348">
            <w:pPr>
              <w:pStyle w:val="para1MSMinchoMSMinc"/>
              <w:ind w:firstLineChars="0" w:firstLine="0"/>
              <w:jc w:val="left"/>
              <w:rPr>
                <w:rFonts w:ascii="TimesNewRoman" w:eastAsia="바탕" w:hAnsi="TimesNewRoman"/>
                <w:sz w:val="18"/>
                <w:szCs w:val="18"/>
                <w:lang w:eastAsia="ko-KR"/>
              </w:rPr>
            </w:pPr>
            <w:r>
              <w:rPr>
                <w:rFonts w:ascii="TimesNewRoman" w:eastAsia="바탕" w:hAnsi="TimesNewRoman" w:hint="eastAsia"/>
                <w:sz w:val="18"/>
                <w:szCs w:val="18"/>
                <w:lang w:eastAsia="ko-KR"/>
              </w:rPr>
              <w:t>K</w:t>
            </w:r>
            <w:r>
              <w:rPr>
                <w:rFonts w:ascii="TimesNewRoman" w:eastAsia="바탕" w:hAnsi="TimesNewRoman"/>
                <w:sz w:val="18"/>
                <w:szCs w:val="18"/>
                <w:lang w:eastAsia="ko-KR"/>
              </w:rPr>
              <w:t>orea Institute of Nuclear Non-proliferation and Control (KINAC) and Korea Institute of Nuclear Safety (KINS)</w:t>
            </w:r>
          </w:p>
        </w:tc>
      </w:tr>
    </w:tbl>
    <w:p w14:paraId="700D64A2" w14:textId="77777777" w:rsidR="00E064A4" w:rsidRPr="00865650" w:rsidRDefault="00E064A4" w:rsidP="00E064A4">
      <w:pPr>
        <w:pStyle w:val="a1"/>
      </w:pPr>
    </w:p>
    <w:p w14:paraId="05D1B7F3" w14:textId="77777777" w:rsidR="00E064A4" w:rsidRPr="00E064A4" w:rsidRDefault="00E064A4" w:rsidP="00A906A1">
      <w:pPr>
        <w:pStyle w:val="a1"/>
      </w:pPr>
    </w:p>
    <w:p w14:paraId="1882E180" w14:textId="7C76E3C8" w:rsidR="00A906A1" w:rsidRDefault="00A906A1" w:rsidP="00A906A1">
      <w:pPr>
        <w:pStyle w:val="3"/>
      </w:pPr>
      <w:r>
        <w:lastRenderedPageBreak/>
        <w:t>Licensing Process</w:t>
      </w:r>
    </w:p>
    <w:p w14:paraId="25672A42" w14:textId="780D5FE5" w:rsidR="00BC7CEF" w:rsidRDefault="008B4CAB" w:rsidP="008B4CAB">
      <w:pPr>
        <w:pStyle w:val="a1"/>
        <w:ind w:firstLine="0"/>
      </w:pPr>
      <w:r>
        <w:rPr>
          <w:noProof/>
        </w:rPr>
        <w:drawing>
          <wp:anchor distT="0" distB="0" distL="114300" distR="114300" simplePos="0" relativeHeight="251664384" behindDoc="0" locked="0" layoutInCell="1" allowOverlap="1" wp14:anchorId="7AE33452" wp14:editId="39CEC1B2">
            <wp:simplePos x="0" y="0"/>
            <wp:positionH relativeFrom="column">
              <wp:posOffset>-295275</wp:posOffset>
            </wp:positionH>
            <wp:positionV relativeFrom="paragraph">
              <wp:posOffset>266700</wp:posOffset>
            </wp:positionV>
            <wp:extent cx="6210300" cy="2848610"/>
            <wp:effectExtent l="0" t="0" r="0" b="0"/>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 Licensing Process-revis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300" cy="2848610"/>
                    </a:xfrm>
                    <a:prstGeom prst="rect">
                      <a:avLst/>
                    </a:prstGeom>
                  </pic:spPr>
                </pic:pic>
              </a:graphicData>
            </a:graphic>
            <wp14:sizeRelH relativeFrom="margin">
              <wp14:pctWidth>0</wp14:pctWidth>
            </wp14:sizeRelH>
            <wp14:sizeRelV relativeFrom="margin">
              <wp14:pctHeight>0</wp14:pctHeight>
            </wp14:sizeRelV>
          </wp:anchor>
        </w:drawing>
      </w:r>
    </w:p>
    <w:p w14:paraId="3F090EB9" w14:textId="4EED16FC" w:rsidR="008B4CAB" w:rsidRPr="008B4CAB" w:rsidRDefault="008B4CAB" w:rsidP="008B4CAB">
      <w:pPr>
        <w:pStyle w:val="a6"/>
        <w:jc w:val="center"/>
        <w:rPr>
          <w:i/>
        </w:rPr>
      </w:pPr>
      <w:r w:rsidRPr="00A906A1">
        <w:rPr>
          <w:i/>
        </w:rPr>
        <w:t xml:space="preserve">FIG. </w:t>
      </w:r>
      <w:r w:rsidRPr="00A906A1">
        <w:rPr>
          <w:i/>
        </w:rPr>
        <w:fldChar w:fldCharType="begin"/>
      </w:r>
      <w:r w:rsidRPr="00A906A1">
        <w:rPr>
          <w:i/>
        </w:rPr>
        <w:instrText xml:space="preserve"> SEQ FIG. \* ARABIC </w:instrText>
      </w:r>
      <w:r w:rsidRPr="00A906A1">
        <w:rPr>
          <w:i/>
        </w:rPr>
        <w:fldChar w:fldCharType="separate"/>
      </w:r>
      <w:r w:rsidR="00223D62">
        <w:rPr>
          <w:i/>
          <w:noProof/>
        </w:rPr>
        <w:t>1</w:t>
      </w:r>
      <w:r w:rsidRPr="00A906A1">
        <w:rPr>
          <w:i/>
        </w:rPr>
        <w:fldChar w:fldCharType="end"/>
      </w:r>
      <w:r w:rsidRPr="00A906A1">
        <w:rPr>
          <w:i/>
        </w:rPr>
        <w:t>. Licensing process for the construction of nuclear power plant</w:t>
      </w:r>
    </w:p>
    <w:p w14:paraId="1C7215A8" w14:textId="77777777" w:rsidR="008B4CAB" w:rsidRDefault="008B4CAB" w:rsidP="00865650">
      <w:pPr>
        <w:pStyle w:val="a1"/>
      </w:pPr>
    </w:p>
    <w:p w14:paraId="180BD1F8" w14:textId="111A7911" w:rsidR="00A906A1" w:rsidRDefault="00AD1535" w:rsidP="00865650">
      <w:pPr>
        <w:pStyle w:val="a1"/>
      </w:pPr>
      <w:r w:rsidRPr="00AD1535">
        <w:t>The licensing process for constructing a nuclear power plant, illustrated in Fig. 1, shows the timeframe and documents required for licensure</w:t>
      </w:r>
      <w:r w:rsidR="00763B41">
        <w:t xml:space="preserve"> </w:t>
      </w:r>
      <w:r w:rsidR="00332C95">
        <w:t>[1-2]</w:t>
      </w:r>
      <w:r w:rsidRPr="00AD1535">
        <w:t xml:space="preserve">. </w:t>
      </w:r>
      <w:r w:rsidR="00FB118A">
        <w:t xml:space="preserve">Orange boxes are activities related to IAEA safeguards. </w:t>
      </w:r>
      <w:r w:rsidRPr="00AD1535">
        <w:t>It typically takes 10 years from site determination to operational status for a nuclear power plant, with safeguards not included in the licensing process. The operator must submit the preliminary design information to the IAEA as soon as construction authorization is granted. The completed DIQ based on ‘as-built’ is submitted to the IAEA as early as possible, no later than 180 days before receiving nuclear material at the facility. Current practices do not allow for consideration of safeguards from the early design stage since DI and DIQ are excluded from licensing documentation. Although a nuclear power plant cannot operate without approved material accounting regulation</w:t>
      </w:r>
      <w:r w:rsidR="008E4111">
        <w:t xml:space="preserve"> (Article 15 and its provisions mutatis mutandis)</w:t>
      </w:r>
      <w:r w:rsidRPr="00AD1535">
        <w:t>, this document, focused only on organization, procedures, and training, does not directly relate to IAEA safeguards. Moreover, safeguards</w:t>
      </w:r>
      <w:r w:rsidR="00120856">
        <w:t xml:space="preserve"> perspective modifications</w:t>
      </w:r>
      <w:r w:rsidRPr="00AD1535">
        <w:t xml:space="preserve"> cannot be applied when this document is submitted, as construction is already complete.</w:t>
      </w:r>
    </w:p>
    <w:p w14:paraId="045C99DC" w14:textId="77777777" w:rsidR="00767AB2" w:rsidRDefault="00767AB2" w:rsidP="00865650">
      <w:pPr>
        <w:pStyle w:val="a1"/>
      </w:pPr>
    </w:p>
    <w:p w14:paraId="1B297C48" w14:textId="4C67095B" w:rsidR="00EE0041" w:rsidRDefault="00865650" w:rsidP="0026525A">
      <w:pPr>
        <w:pStyle w:val="2"/>
        <w:numPr>
          <w:ilvl w:val="1"/>
          <w:numId w:val="10"/>
        </w:numPr>
      </w:pPr>
      <w:r>
        <w:t xml:space="preserve">Strategies for </w:t>
      </w:r>
      <w:r w:rsidR="00CA6969">
        <w:t>Improvements</w:t>
      </w:r>
    </w:p>
    <w:p w14:paraId="26112D6B" w14:textId="2357871E" w:rsidR="001C23E4" w:rsidRPr="00EE0041" w:rsidRDefault="001C23E4" w:rsidP="001C23E4">
      <w:pPr>
        <w:pStyle w:val="3"/>
        <w:numPr>
          <w:ilvl w:val="2"/>
          <w:numId w:val="33"/>
        </w:numPr>
      </w:pPr>
      <w:r>
        <w:t>Amending the Safety Act</w:t>
      </w:r>
      <w:r w:rsidR="005A174A">
        <w:t xml:space="preserve"> or Decrees</w:t>
      </w:r>
    </w:p>
    <w:p w14:paraId="07CD3B21" w14:textId="6C7BBD29" w:rsidR="001C23E4" w:rsidRDefault="001C23E4" w:rsidP="001C23E4">
      <w:pPr>
        <w:pStyle w:val="a1"/>
      </w:pPr>
      <w:r w:rsidRPr="001C23E4">
        <w:t xml:space="preserve">Amending the Nuclear Safety Act is seen as a direct and effective way to include safeguards regulations from the initial design phase of nuclear power plants. Modifying Articles No. 10, 12, 15, and 20 to include necessary documentation for construction, standard design, and operation licensing could facilitate SBD implementation. Including MARN in the licensing documents would allow the SSAC to participate from the early design stages, assuming licensees submit safeguard-related information. Thus, </w:t>
      </w:r>
      <w:r w:rsidR="006036E4">
        <w:t xml:space="preserve">expanding </w:t>
      </w:r>
      <w:r w:rsidRPr="001C23E4">
        <w:t xml:space="preserve">MARN's content </w:t>
      </w:r>
      <w:r w:rsidR="006036E4">
        <w:t>can</w:t>
      </w:r>
      <w:r w:rsidRPr="001C23E4">
        <w:t xml:space="preserve"> be </w:t>
      </w:r>
      <w:r w:rsidR="006036E4">
        <w:t xml:space="preserve">a solution </w:t>
      </w:r>
      <w:r w:rsidRPr="001C23E4">
        <w:t xml:space="preserve">to support SBD practices effectively, including details on nuclear materials, spent fuel pool locations and capacities, and specifics on nuclear fuel transportation and storage. </w:t>
      </w:r>
    </w:p>
    <w:p w14:paraId="312143D2" w14:textId="3C8DDB1F" w:rsidR="00B518F6" w:rsidRDefault="006036E4" w:rsidP="006036E4">
      <w:pPr>
        <w:pStyle w:val="a1"/>
        <w:rPr>
          <w:lang w:eastAsia="ko-KR"/>
        </w:rPr>
      </w:pPr>
      <w:r>
        <w:rPr>
          <w:lang w:eastAsia="ko-KR"/>
        </w:rPr>
        <w:t>As another way for SBD implementation</w:t>
      </w:r>
      <w:r w:rsidR="00B518F6">
        <w:rPr>
          <w:lang w:eastAsia="ko-KR"/>
        </w:rPr>
        <w:t xml:space="preserve">, the most intuitive and direct </w:t>
      </w:r>
      <w:r>
        <w:rPr>
          <w:lang w:eastAsia="ko-KR"/>
        </w:rPr>
        <w:t>solution</w:t>
      </w:r>
      <w:r w:rsidR="00B518F6">
        <w:rPr>
          <w:lang w:eastAsia="ko-KR"/>
        </w:rPr>
        <w:t xml:space="preserve"> is addition of design information into article 12 of NSA. </w:t>
      </w:r>
      <w:r w:rsidR="00AD2259">
        <w:rPr>
          <w:lang w:eastAsia="ko-KR"/>
        </w:rPr>
        <w:t>Since the reporting of international strategic materials are mentioned in Article 98 and its related noti</w:t>
      </w:r>
      <w:r w:rsidR="00935D0C">
        <w:rPr>
          <w:lang w:eastAsia="ko-KR"/>
        </w:rPr>
        <w:t>fications</w:t>
      </w:r>
      <w:r w:rsidR="00AD2259">
        <w:rPr>
          <w:lang w:eastAsia="ko-KR"/>
        </w:rPr>
        <w:t>, a modification shown in table 2 can be considered.</w:t>
      </w:r>
      <w:r w:rsidR="007850E2">
        <w:rPr>
          <w:lang w:eastAsia="ko-KR"/>
        </w:rPr>
        <w:t xml:space="preserve"> </w:t>
      </w:r>
      <w:r w:rsidR="002A0800">
        <w:rPr>
          <w:lang w:eastAsia="ko-KR"/>
        </w:rPr>
        <w:t xml:space="preserve">Similarly, </w:t>
      </w:r>
      <w:r w:rsidR="004F238E">
        <w:rPr>
          <w:lang w:eastAsia="ko-KR"/>
        </w:rPr>
        <w:t xml:space="preserve">adding the design information or DIQ in decree level can also </w:t>
      </w:r>
      <w:r w:rsidR="009E704F">
        <w:rPr>
          <w:lang w:eastAsia="ko-KR"/>
        </w:rPr>
        <w:t xml:space="preserve">be </w:t>
      </w:r>
      <w:r w:rsidR="004F238E">
        <w:rPr>
          <w:lang w:eastAsia="ko-KR"/>
        </w:rPr>
        <w:t xml:space="preserve">considered. </w:t>
      </w:r>
      <w:r w:rsidR="007850E2">
        <w:rPr>
          <w:lang w:eastAsia="ko-KR"/>
        </w:rPr>
        <w:t xml:space="preserve">These ideas of amending legislation can be very authoritative, but they have the disadvantage of being complex, </w:t>
      </w:r>
      <w:r w:rsidR="005A174A">
        <w:rPr>
          <w:lang w:eastAsia="ko-KR"/>
        </w:rPr>
        <w:t>lengthy and requiring significant effort.</w:t>
      </w:r>
    </w:p>
    <w:p w14:paraId="290C7547" w14:textId="5DFC0081" w:rsidR="00B518F6" w:rsidRDefault="00B518F6" w:rsidP="001C23E4">
      <w:pPr>
        <w:pStyle w:val="a1"/>
        <w:rPr>
          <w:lang w:eastAsia="ko-KR"/>
        </w:rPr>
      </w:pPr>
    </w:p>
    <w:p w14:paraId="550199D5" w14:textId="721766A0" w:rsidR="00B518F6" w:rsidRPr="005B1EC6" w:rsidRDefault="00B518F6" w:rsidP="00B518F6">
      <w:pPr>
        <w:rPr>
          <w:sz w:val="20"/>
        </w:rPr>
      </w:pPr>
      <w:r w:rsidRPr="005B1EC6">
        <w:rPr>
          <w:sz w:val="20"/>
        </w:rPr>
        <w:lastRenderedPageBreak/>
        <w:t>TABLE 2.</w:t>
      </w:r>
      <w:r w:rsidRPr="005B1EC6">
        <w:rPr>
          <w:sz w:val="20"/>
        </w:rPr>
        <w:tab/>
      </w:r>
      <w:r w:rsidR="006D6E76">
        <w:rPr>
          <w:sz w:val="20"/>
        </w:rPr>
        <w:t xml:space="preserve">IDEAS </w:t>
      </w:r>
      <w:r w:rsidR="006D6E76">
        <w:rPr>
          <w:sz w:val="20"/>
          <w:lang w:eastAsia="ko-KR"/>
        </w:rPr>
        <w:t xml:space="preserve">FOR LEGISLATIVE </w:t>
      </w:r>
      <w:r>
        <w:rPr>
          <w:sz w:val="20"/>
          <w:lang w:eastAsia="ko-KR"/>
        </w:rPr>
        <w:t>IMPROVEMENTS F</w:t>
      </w:r>
      <w:r w:rsidR="006D6E76">
        <w:rPr>
          <w:sz w:val="20"/>
          <w:lang w:eastAsia="ko-KR"/>
        </w:rPr>
        <w:t>OR</w:t>
      </w:r>
      <w:r>
        <w:rPr>
          <w:sz w:val="20"/>
          <w:lang w:eastAsia="ko-KR"/>
        </w:rPr>
        <w:t xml:space="preserve"> </w:t>
      </w:r>
      <w:r>
        <w:rPr>
          <w:sz w:val="20"/>
        </w:rPr>
        <w:t>SBD</w:t>
      </w:r>
    </w:p>
    <w:p w14:paraId="27AC3B4B" w14:textId="5D287175" w:rsidR="00B518F6" w:rsidRDefault="00B518F6" w:rsidP="001C23E4">
      <w:pPr>
        <w:pStyle w:val="a1"/>
        <w:rPr>
          <w:lang w:eastAsia="ko-KR"/>
        </w:rPr>
      </w:pPr>
    </w:p>
    <w:tbl>
      <w:tblPr>
        <w:tblStyle w:val="ac"/>
        <w:tblW w:w="0" w:type="auto"/>
        <w:tblLook w:val="04A0" w:firstRow="1" w:lastRow="0" w:firstColumn="1" w:lastColumn="0" w:noHBand="0" w:noVBand="1"/>
      </w:tblPr>
      <w:tblGrid>
        <w:gridCol w:w="1146"/>
        <w:gridCol w:w="746"/>
        <w:gridCol w:w="4907"/>
        <w:gridCol w:w="2218"/>
      </w:tblGrid>
      <w:tr w:rsidR="00B518F6" w14:paraId="6BF04C8B" w14:textId="77777777" w:rsidTr="002855E6">
        <w:tc>
          <w:tcPr>
            <w:tcW w:w="1146" w:type="dxa"/>
          </w:tcPr>
          <w:p w14:paraId="5D45C8B2" w14:textId="392A26FC" w:rsidR="00B518F6" w:rsidRPr="00046B7E" w:rsidRDefault="00B518F6" w:rsidP="001C23E4">
            <w:pPr>
              <w:pStyle w:val="a1"/>
              <w:ind w:firstLine="0"/>
              <w:rPr>
                <w:b/>
                <w:sz w:val="18"/>
                <w:lang w:eastAsia="ko-KR"/>
              </w:rPr>
            </w:pPr>
            <w:r w:rsidRPr="00046B7E">
              <w:rPr>
                <w:rFonts w:hint="eastAsia"/>
                <w:b/>
                <w:sz w:val="18"/>
                <w:lang w:eastAsia="ko-KR"/>
              </w:rPr>
              <w:t>N</w:t>
            </w:r>
            <w:r w:rsidRPr="00046B7E">
              <w:rPr>
                <w:b/>
                <w:sz w:val="18"/>
                <w:lang w:eastAsia="ko-KR"/>
              </w:rPr>
              <w:t>SA procedure</w:t>
            </w:r>
          </w:p>
        </w:tc>
        <w:tc>
          <w:tcPr>
            <w:tcW w:w="746" w:type="dxa"/>
          </w:tcPr>
          <w:p w14:paraId="59313492" w14:textId="3E2FBB08" w:rsidR="00B518F6" w:rsidRPr="00046B7E" w:rsidRDefault="00B518F6" w:rsidP="001C23E4">
            <w:pPr>
              <w:pStyle w:val="a1"/>
              <w:ind w:firstLine="0"/>
              <w:rPr>
                <w:b/>
                <w:sz w:val="18"/>
                <w:lang w:eastAsia="ko-KR"/>
              </w:rPr>
            </w:pPr>
            <w:r w:rsidRPr="00046B7E">
              <w:rPr>
                <w:rFonts w:hint="eastAsia"/>
                <w:b/>
                <w:sz w:val="18"/>
                <w:lang w:eastAsia="ko-KR"/>
              </w:rPr>
              <w:t>A</w:t>
            </w:r>
            <w:r w:rsidRPr="00046B7E">
              <w:rPr>
                <w:b/>
                <w:sz w:val="18"/>
                <w:lang w:eastAsia="ko-KR"/>
              </w:rPr>
              <w:t>rticle No.</w:t>
            </w:r>
          </w:p>
        </w:tc>
        <w:tc>
          <w:tcPr>
            <w:tcW w:w="4907" w:type="dxa"/>
          </w:tcPr>
          <w:p w14:paraId="4FBAB20F" w14:textId="7FACCDB4" w:rsidR="00B518F6" w:rsidRPr="00046B7E" w:rsidRDefault="00B518F6" w:rsidP="001C23E4">
            <w:pPr>
              <w:pStyle w:val="a1"/>
              <w:ind w:firstLine="0"/>
              <w:rPr>
                <w:b/>
                <w:sz w:val="18"/>
                <w:lang w:eastAsia="ko-KR"/>
              </w:rPr>
            </w:pPr>
            <w:r w:rsidRPr="00046B7E">
              <w:rPr>
                <w:rFonts w:hint="eastAsia"/>
                <w:b/>
                <w:sz w:val="18"/>
                <w:lang w:eastAsia="ko-KR"/>
              </w:rPr>
              <w:t>C</w:t>
            </w:r>
            <w:r w:rsidRPr="00046B7E">
              <w:rPr>
                <w:b/>
                <w:sz w:val="18"/>
                <w:lang w:eastAsia="ko-KR"/>
              </w:rPr>
              <w:t>urrent Requirement</w:t>
            </w:r>
          </w:p>
        </w:tc>
        <w:tc>
          <w:tcPr>
            <w:tcW w:w="2218" w:type="dxa"/>
          </w:tcPr>
          <w:p w14:paraId="484DCE4D" w14:textId="7CB88524" w:rsidR="00B518F6" w:rsidRPr="00046B7E" w:rsidRDefault="00B518F6" w:rsidP="001C23E4">
            <w:pPr>
              <w:pStyle w:val="a1"/>
              <w:ind w:firstLine="0"/>
              <w:rPr>
                <w:b/>
                <w:sz w:val="18"/>
                <w:lang w:eastAsia="ko-KR"/>
              </w:rPr>
            </w:pPr>
            <w:r w:rsidRPr="00046B7E">
              <w:rPr>
                <w:rFonts w:hint="eastAsia"/>
                <w:b/>
                <w:sz w:val="18"/>
                <w:lang w:eastAsia="ko-KR"/>
              </w:rPr>
              <w:t>I</w:t>
            </w:r>
            <w:r w:rsidRPr="00046B7E">
              <w:rPr>
                <w:b/>
                <w:sz w:val="18"/>
                <w:lang w:eastAsia="ko-KR"/>
              </w:rPr>
              <w:t>mprovements</w:t>
            </w:r>
          </w:p>
        </w:tc>
      </w:tr>
      <w:tr w:rsidR="00B518F6" w14:paraId="72B9FB11" w14:textId="77777777" w:rsidTr="002C0D0D">
        <w:trPr>
          <w:trHeight w:val="2656"/>
        </w:trPr>
        <w:tc>
          <w:tcPr>
            <w:tcW w:w="1146" w:type="dxa"/>
          </w:tcPr>
          <w:p w14:paraId="7CB551E6" w14:textId="5BC729CE" w:rsidR="00B518F6" w:rsidRPr="00046B7E" w:rsidRDefault="00B518F6" w:rsidP="001C23E4">
            <w:pPr>
              <w:pStyle w:val="a1"/>
              <w:ind w:firstLine="0"/>
              <w:rPr>
                <w:sz w:val="18"/>
                <w:lang w:eastAsia="ko-KR"/>
              </w:rPr>
            </w:pPr>
            <w:r w:rsidRPr="00046B7E">
              <w:rPr>
                <w:rFonts w:hint="eastAsia"/>
                <w:sz w:val="18"/>
                <w:lang w:eastAsia="ko-KR"/>
              </w:rPr>
              <w:t>C</w:t>
            </w:r>
            <w:r w:rsidRPr="00046B7E">
              <w:rPr>
                <w:sz w:val="18"/>
                <w:lang w:eastAsia="ko-KR"/>
              </w:rPr>
              <w:t>onstruction Permit</w:t>
            </w:r>
          </w:p>
        </w:tc>
        <w:tc>
          <w:tcPr>
            <w:tcW w:w="746" w:type="dxa"/>
          </w:tcPr>
          <w:p w14:paraId="5313E9DA" w14:textId="41F4A01F" w:rsidR="00B518F6" w:rsidRPr="00046B7E" w:rsidRDefault="00B518F6" w:rsidP="001C23E4">
            <w:pPr>
              <w:pStyle w:val="a1"/>
              <w:ind w:firstLine="0"/>
              <w:rPr>
                <w:sz w:val="18"/>
                <w:lang w:eastAsia="ko-KR"/>
              </w:rPr>
            </w:pPr>
            <w:r w:rsidRPr="00046B7E">
              <w:rPr>
                <w:rFonts w:hint="eastAsia"/>
                <w:sz w:val="18"/>
                <w:lang w:eastAsia="ko-KR"/>
              </w:rPr>
              <w:t>1</w:t>
            </w:r>
            <w:r w:rsidRPr="00046B7E">
              <w:rPr>
                <w:sz w:val="18"/>
                <w:lang w:eastAsia="ko-KR"/>
              </w:rPr>
              <w:t>0</w:t>
            </w:r>
            <w:r w:rsidR="00515815" w:rsidRPr="00046B7E">
              <w:rPr>
                <w:sz w:val="18"/>
                <w:lang w:eastAsia="ko-KR"/>
              </w:rPr>
              <w:t xml:space="preserve">, </w:t>
            </w:r>
            <w:r w:rsidR="00515815" w:rsidRPr="00046B7E">
              <w:rPr>
                <w:rFonts w:ascii="맑은 고딕" w:eastAsia="맑은 고딕" w:hAnsi="맑은 고딕" w:hint="eastAsia"/>
                <w:sz w:val="18"/>
                <w:lang w:eastAsia="ko-KR"/>
              </w:rPr>
              <w:t>②</w:t>
            </w:r>
          </w:p>
        </w:tc>
        <w:tc>
          <w:tcPr>
            <w:tcW w:w="4907" w:type="dxa"/>
          </w:tcPr>
          <w:p w14:paraId="7686793F" w14:textId="77777777" w:rsidR="00B518F6" w:rsidRPr="00046B7E" w:rsidRDefault="00515815" w:rsidP="001C23E4">
            <w:pPr>
              <w:pStyle w:val="a1"/>
              <w:ind w:firstLine="0"/>
              <w:rPr>
                <w:sz w:val="18"/>
                <w:lang w:eastAsia="ko-KR"/>
              </w:rPr>
            </w:pPr>
            <w:r w:rsidRPr="00046B7E">
              <w:rPr>
                <w:sz w:val="18"/>
                <w:lang w:eastAsia="ko-KR"/>
              </w:rPr>
              <w:t>A permit application form with,</w:t>
            </w:r>
          </w:p>
          <w:p w14:paraId="5D50069F" w14:textId="76B8BD83" w:rsidR="00515815" w:rsidRPr="00046B7E" w:rsidRDefault="00515815" w:rsidP="00515815">
            <w:pPr>
              <w:pStyle w:val="a1"/>
              <w:ind w:firstLine="0"/>
              <w:rPr>
                <w:sz w:val="18"/>
                <w:lang w:eastAsia="ko-KR"/>
              </w:rPr>
            </w:pPr>
            <w:r w:rsidRPr="00046B7E">
              <w:rPr>
                <w:rFonts w:hint="eastAsia"/>
                <w:sz w:val="18"/>
                <w:lang w:eastAsia="ko-KR"/>
              </w:rPr>
              <w:t xml:space="preserve">- </w:t>
            </w:r>
            <w:r w:rsidRPr="00046B7E">
              <w:rPr>
                <w:sz w:val="18"/>
                <w:lang w:eastAsia="ko-KR"/>
              </w:rPr>
              <w:t>radiation environment impact assessment report</w:t>
            </w:r>
          </w:p>
          <w:p w14:paraId="3AA1A2B5" w14:textId="284B4207" w:rsidR="00515815" w:rsidRPr="00046B7E" w:rsidRDefault="00515815" w:rsidP="00515815">
            <w:pPr>
              <w:pStyle w:val="a1"/>
              <w:ind w:firstLine="0"/>
              <w:rPr>
                <w:sz w:val="18"/>
                <w:lang w:eastAsia="ko-KR"/>
              </w:rPr>
            </w:pPr>
            <w:r w:rsidRPr="00046B7E">
              <w:rPr>
                <w:rFonts w:hint="eastAsia"/>
                <w:sz w:val="18"/>
                <w:lang w:eastAsia="ko-KR"/>
              </w:rPr>
              <w:t>-</w:t>
            </w:r>
            <w:r w:rsidRPr="00046B7E">
              <w:rPr>
                <w:sz w:val="18"/>
                <w:lang w:eastAsia="ko-KR"/>
              </w:rPr>
              <w:t xml:space="preserve"> </w:t>
            </w:r>
            <w:r w:rsidR="00D23A18" w:rsidRPr="00046B7E">
              <w:rPr>
                <w:sz w:val="18"/>
                <w:lang w:eastAsia="ko-KR"/>
              </w:rPr>
              <w:t>preliminary safety analysis report</w:t>
            </w:r>
          </w:p>
          <w:p w14:paraId="16AF73D5" w14:textId="77777777" w:rsidR="00D23A18" w:rsidRPr="00046B7E" w:rsidRDefault="00D23A18" w:rsidP="00515815">
            <w:pPr>
              <w:pStyle w:val="a1"/>
              <w:ind w:firstLine="0"/>
              <w:rPr>
                <w:sz w:val="18"/>
                <w:lang w:eastAsia="ko-KR"/>
              </w:rPr>
            </w:pPr>
            <w:r w:rsidRPr="00046B7E">
              <w:rPr>
                <w:rFonts w:hint="eastAsia"/>
                <w:sz w:val="18"/>
                <w:lang w:eastAsia="ko-KR"/>
              </w:rPr>
              <w:t>-</w:t>
            </w:r>
            <w:r w:rsidRPr="00046B7E">
              <w:rPr>
                <w:sz w:val="18"/>
                <w:lang w:eastAsia="ko-KR"/>
              </w:rPr>
              <w:t xml:space="preserve"> quality assurance plan</w:t>
            </w:r>
          </w:p>
          <w:p w14:paraId="29003BE6" w14:textId="77777777" w:rsidR="00D23A18" w:rsidRPr="00046B7E" w:rsidRDefault="00D23A18" w:rsidP="00515815">
            <w:pPr>
              <w:pStyle w:val="a1"/>
              <w:ind w:firstLine="0"/>
              <w:rPr>
                <w:sz w:val="18"/>
                <w:lang w:eastAsia="ko-KR"/>
              </w:rPr>
            </w:pPr>
            <w:r w:rsidRPr="00046B7E">
              <w:rPr>
                <w:rFonts w:hint="eastAsia"/>
                <w:sz w:val="18"/>
                <w:lang w:eastAsia="ko-KR"/>
              </w:rPr>
              <w:t>-</w:t>
            </w:r>
            <w:r w:rsidRPr="00046B7E">
              <w:rPr>
                <w:sz w:val="18"/>
                <w:lang w:eastAsia="ko-KR"/>
              </w:rPr>
              <w:t xml:space="preserve"> dismantlement plan</w:t>
            </w:r>
          </w:p>
          <w:p w14:paraId="3DFF2F6E" w14:textId="09C986A3" w:rsidR="00D23A18" w:rsidRPr="00046B7E" w:rsidRDefault="00D23A18" w:rsidP="00515815">
            <w:pPr>
              <w:pStyle w:val="a1"/>
              <w:ind w:firstLine="0"/>
              <w:rPr>
                <w:sz w:val="18"/>
                <w:lang w:eastAsia="ko-KR"/>
              </w:rPr>
            </w:pPr>
            <w:r w:rsidRPr="00046B7E">
              <w:rPr>
                <w:rFonts w:hint="eastAsia"/>
                <w:sz w:val="18"/>
                <w:lang w:eastAsia="ko-KR"/>
              </w:rPr>
              <w:t>-</w:t>
            </w:r>
            <w:r w:rsidRPr="00046B7E">
              <w:rPr>
                <w:sz w:val="18"/>
                <w:lang w:eastAsia="ko-KR"/>
              </w:rPr>
              <w:t xml:space="preserve"> other documents specified by prime minister’s decree</w:t>
            </w:r>
          </w:p>
        </w:tc>
        <w:tc>
          <w:tcPr>
            <w:tcW w:w="2218" w:type="dxa"/>
          </w:tcPr>
          <w:p w14:paraId="4917619C" w14:textId="6AA3B40B" w:rsidR="00B518F6" w:rsidRPr="00046B7E" w:rsidRDefault="00D23A18" w:rsidP="001C23E4">
            <w:pPr>
              <w:pStyle w:val="a1"/>
              <w:ind w:firstLine="0"/>
              <w:rPr>
                <w:sz w:val="18"/>
                <w:lang w:eastAsia="ko-KR"/>
              </w:rPr>
            </w:pPr>
            <w:r w:rsidRPr="00046B7E">
              <w:rPr>
                <w:sz w:val="18"/>
                <w:lang w:eastAsia="ko-KR"/>
              </w:rPr>
              <w:t xml:space="preserve">Same as left, </w:t>
            </w:r>
          </w:p>
          <w:p w14:paraId="01CB63A2" w14:textId="2A37413B" w:rsidR="00D23A18" w:rsidRPr="00046B7E" w:rsidRDefault="00D23A18" w:rsidP="00D23A18">
            <w:pPr>
              <w:pStyle w:val="a1"/>
              <w:ind w:firstLine="0"/>
              <w:rPr>
                <w:sz w:val="18"/>
                <w:lang w:eastAsia="ko-KR"/>
              </w:rPr>
            </w:pPr>
            <w:r w:rsidRPr="00046B7E">
              <w:rPr>
                <w:rFonts w:hint="eastAsia"/>
                <w:sz w:val="18"/>
                <w:lang w:eastAsia="ko-KR"/>
              </w:rPr>
              <w:t>-</w:t>
            </w:r>
            <w:r w:rsidR="00767AB2" w:rsidRPr="00046B7E">
              <w:rPr>
                <w:sz w:val="18"/>
                <w:lang w:eastAsia="ko-KR"/>
              </w:rPr>
              <w:t xml:space="preserve"> adding</w:t>
            </w:r>
            <w:r w:rsidRPr="00046B7E">
              <w:rPr>
                <w:sz w:val="18"/>
                <w:lang w:eastAsia="ko-KR"/>
              </w:rPr>
              <w:t xml:space="preserve"> </w:t>
            </w:r>
            <w:r w:rsidRPr="00046B7E">
              <w:rPr>
                <w:sz w:val="18"/>
                <w:u w:val="single"/>
                <w:lang w:eastAsia="ko-KR"/>
              </w:rPr>
              <w:t>Preliminary design information</w:t>
            </w:r>
            <w:r w:rsidR="006036E4">
              <w:rPr>
                <w:sz w:val="18"/>
                <w:u w:val="single"/>
                <w:lang w:eastAsia="ko-KR"/>
              </w:rPr>
              <w:t xml:space="preserve"> or DIQ</w:t>
            </w:r>
            <w:r w:rsidRPr="00046B7E">
              <w:rPr>
                <w:sz w:val="18"/>
                <w:u w:val="single"/>
                <w:lang w:eastAsia="ko-KR"/>
              </w:rPr>
              <w:t xml:space="preserve"> by </w:t>
            </w:r>
            <w:r w:rsidR="003F2515">
              <w:rPr>
                <w:sz w:val="18"/>
                <w:u w:val="single"/>
                <w:lang w:eastAsia="ko-KR"/>
              </w:rPr>
              <w:t>A</w:t>
            </w:r>
            <w:r w:rsidRPr="00046B7E">
              <w:rPr>
                <w:sz w:val="18"/>
                <w:u w:val="single"/>
                <w:lang w:eastAsia="ko-KR"/>
              </w:rPr>
              <w:t>rticle 98</w:t>
            </w:r>
          </w:p>
        </w:tc>
      </w:tr>
      <w:tr w:rsidR="00B518F6" w14:paraId="3790880F" w14:textId="77777777" w:rsidTr="002C0D0D">
        <w:trPr>
          <w:trHeight w:val="1828"/>
        </w:trPr>
        <w:tc>
          <w:tcPr>
            <w:tcW w:w="1146" w:type="dxa"/>
          </w:tcPr>
          <w:p w14:paraId="63E1A460" w14:textId="5A235F3C" w:rsidR="00B518F6" w:rsidRPr="00046B7E" w:rsidRDefault="00B518F6" w:rsidP="001C23E4">
            <w:pPr>
              <w:pStyle w:val="a1"/>
              <w:ind w:firstLine="0"/>
              <w:rPr>
                <w:b/>
                <w:sz w:val="18"/>
                <w:lang w:eastAsia="ko-KR"/>
              </w:rPr>
            </w:pPr>
            <w:r w:rsidRPr="00046B7E">
              <w:rPr>
                <w:rFonts w:hint="eastAsia"/>
                <w:b/>
                <w:sz w:val="18"/>
                <w:lang w:eastAsia="ko-KR"/>
              </w:rPr>
              <w:t>S</w:t>
            </w:r>
            <w:r w:rsidRPr="00046B7E">
              <w:rPr>
                <w:b/>
                <w:sz w:val="18"/>
                <w:lang w:eastAsia="ko-KR"/>
              </w:rPr>
              <w:t>tandard Design Approval</w:t>
            </w:r>
          </w:p>
        </w:tc>
        <w:tc>
          <w:tcPr>
            <w:tcW w:w="746" w:type="dxa"/>
          </w:tcPr>
          <w:p w14:paraId="626BE8B0" w14:textId="420688B5" w:rsidR="00B518F6" w:rsidRPr="00046B7E" w:rsidRDefault="00B518F6" w:rsidP="001C23E4">
            <w:pPr>
              <w:pStyle w:val="a1"/>
              <w:ind w:firstLine="0"/>
              <w:rPr>
                <w:sz w:val="18"/>
                <w:lang w:eastAsia="ko-KR"/>
              </w:rPr>
            </w:pPr>
            <w:r w:rsidRPr="00046B7E">
              <w:rPr>
                <w:rFonts w:hint="eastAsia"/>
                <w:sz w:val="18"/>
                <w:lang w:eastAsia="ko-KR"/>
              </w:rPr>
              <w:t>1</w:t>
            </w:r>
            <w:r w:rsidRPr="00046B7E">
              <w:rPr>
                <w:sz w:val="18"/>
                <w:lang w:eastAsia="ko-KR"/>
              </w:rPr>
              <w:t>2</w:t>
            </w:r>
            <w:r w:rsidR="00D23A18" w:rsidRPr="00046B7E">
              <w:rPr>
                <w:sz w:val="18"/>
                <w:lang w:eastAsia="ko-KR"/>
              </w:rPr>
              <w:t xml:space="preserve">, </w:t>
            </w:r>
            <w:r w:rsidR="00E96522" w:rsidRPr="00046B7E">
              <w:rPr>
                <w:rFonts w:ascii="맑은 고딕" w:eastAsia="맑은 고딕" w:hAnsi="맑은 고딕" w:hint="eastAsia"/>
                <w:sz w:val="18"/>
                <w:lang w:eastAsia="ko-KR"/>
              </w:rPr>
              <w:t>②</w:t>
            </w:r>
          </w:p>
        </w:tc>
        <w:tc>
          <w:tcPr>
            <w:tcW w:w="4907" w:type="dxa"/>
          </w:tcPr>
          <w:p w14:paraId="49EE0BA0" w14:textId="77777777" w:rsidR="00641678" w:rsidRPr="00046B7E" w:rsidRDefault="00E96522" w:rsidP="001C23E4">
            <w:pPr>
              <w:pStyle w:val="a1"/>
              <w:ind w:firstLine="0"/>
              <w:rPr>
                <w:sz w:val="18"/>
                <w:lang w:eastAsia="ko-KR"/>
              </w:rPr>
            </w:pPr>
            <w:r w:rsidRPr="00046B7E">
              <w:rPr>
                <w:rFonts w:hint="eastAsia"/>
                <w:sz w:val="18"/>
                <w:lang w:eastAsia="ko-KR"/>
              </w:rPr>
              <w:t>A</w:t>
            </w:r>
            <w:r w:rsidR="00641678" w:rsidRPr="00046B7E">
              <w:rPr>
                <w:sz w:val="18"/>
                <w:lang w:eastAsia="ko-KR"/>
              </w:rPr>
              <w:t>n application form with,</w:t>
            </w:r>
          </w:p>
          <w:p w14:paraId="4C7BEA02" w14:textId="77777777" w:rsidR="00641678" w:rsidRPr="00046B7E" w:rsidRDefault="00641678" w:rsidP="00641678">
            <w:pPr>
              <w:pStyle w:val="a1"/>
              <w:ind w:firstLine="0"/>
              <w:rPr>
                <w:sz w:val="18"/>
                <w:lang w:eastAsia="ko-KR"/>
              </w:rPr>
            </w:pPr>
            <w:r w:rsidRPr="00046B7E">
              <w:rPr>
                <w:sz w:val="18"/>
                <w:lang w:eastAsia="ko-KR"/>
              </w:rPr>
              <w:t>- standard design documentation</w:t>
            </w:r>
          </w:p>
          <w:p w14:paraId="60CAA4C4" w14:textId="35233FFB" w:rsidR="00B518F6" w:rsidRPr="00046B7E" w:rsidRDefault="00641678" w:rsidP="00641678">
            <w:pPr>
              <w:pStyle w:val="a1"/>
              <w:ind w:firstLine="0"/>
              <w:rPr>
                <w:sz w:val="18"/>
                <w:lang w:eastAsia="ko-KR"/>
              </w:rPr>
            </w:pPr>
            <w:r w:rsidRPr="00046B7E">
              <w:rPr>
                <w:sz w:val="18"/>
                <w:lang w:eastAsia="ko-KR"/>
              </w:rPr>
              <w:t>- other documents prescribed by the prime ministerial decree</w:t>
            </w:r>
            <w:r w:rsidR="00E96522" w:rsidRPr="00046B7E">
              <w:rPr>
                <w:sz w:val="18"/>
                <w:lang w:eastAsia="ko-KR"/>
              </w:rPr>
              <w:t xml:space="preserve"> </w:t>
            </w:r>
          </w:p>
        </w:tc>
        <w:tc>
          <w:tcPr>
            <w:tcW w:w="2218" w:type="dxa"/>
          </w:tcPr>
          <w:p w14:paraId="73DEC385" w14:textId="77777777" w:rsidR="00A8483F" w:rsidRPr="00046B7E" w:rsidRDefault="00A8483F" w:rsidP="00A8483F">
            <w:pPr>
              <w:pStyle w:val="a1"/>
              <w:ind w:firstLine="0"/>
              <w:rPr>
                <w:sz w:val="18"/>
                <w:lang w:eastAsia="ko-KR"/>
              </w:rPr>
            </w:pPr>
            <w:r w:rsidRPr="00046B7E">
              <w:rPr>
                <w:sz w:val="18"/>
                <w:lang w:eastAsia="ko-KR"/>
              </w:rPr>
              <w:t xml:space="preserve">Same as left, </w:t>
            </w:r>
          </w:p>
          <w:p w14:paraId="591FE492" w14:textId="703EC8D1" w:rsidR="00B518F6" w:rsidRPr="00046B7E" w:rsidRDefault="00A8483F" w:rsidP="00A8483F">
            <w:pPr>
              <w:pStyle w:val="a1"/>
              <w:ind w:firstLine="0"/>
              <w:rPr>
                <w:sz w:val="18"/>
                <w:lang w:eastAsia="ko-KR"/>
              </w:rPr>
            </w:pPr>
            <w:r w:rsidRPr="00046B7E">
              <w:rPr>
                <w:rFonts w:hint="eastAsia"/>
                <w:sz w:val="18"/>
                <w:lang w:eastAsia="ko-KR"/>
              </w:rPr>
              <w:t>-</w:t>
            </w:r>
            <w:r w:rsidRPr="00046B7E">
              <w:rPr>
                <w:sz w:val="18"/>
                <w:lang w:eastAsia="ko-KR"/>
              </w:rPr>
              <w:t xml:space="preserve"> adding </w:t>
            </w:r>
            <w:r w:rsidRPr="00046B7E">
              <w:rPr>
                <w:b/>
                <w:sz w:val="18"/>
                <w:u w:val="single"/>
                <w:lang w:eastAsia="ko-KR"/>
              </w:rPr>
              <w:t xml:space="preserve">Preliminary design information by </w:t>
            </w:r>
            <w:r w:rsidR="003F2515">
              <w:rPr>
                <w:b/>
                <w:sz w:val="18"/>
                <w:u w:val="single"/>
                <w:lang w:eastAsia="ko-KR"/>
              </w:rPr>
              <w:t>A</w:t>
            </w:r>
            <w:r w:rsidRPr="00046B7E">
              <w:rPr>
                <w:b/>
                <w:sz w:val="18"/>
                <w:u w:val="single"/>
                <w:lang w:eastAsia="ko-KR"/>
              </w:rPr>
              <w:t>rticle 98</w:t>
            </w:r>
          </w:p>
        </w:tc>
      </w:tr>
      <w:tr w:rsidR="00B518F6" w14:paraId="78B48EC3" w14:textId="77777777" w:rsidTr="002C0D0D">
        <w:trPr>
          <w:trHeight w:val="4823"/>
        </w:trPr>
        <w:tc>
          <w:tcPr>
            <w:tcW w:w="1146" w:type="dxa"/>
          </w:tcPr>
          <w:p w14:paraId="3EC08B2E" w14:textId="59EB60C6" w:rsidR="00B518F6" w:rsidRPr="00046B7E" w:rsidRDefault="00B518F6" w:rsidP="001C23E4">
            <w:pPr>
              <w:pStyle w:val="a1"/>
              <w:ind w:firstLine="0"/>
              <w:rPr>
                <w:sz w:val="18"/>
                <w:lang w:eastAsia="ko-KR"/>
              </w:rPr>
            </w:pPr>
            <w:r w:rsidRPr="00046B7E">
              <w:rPr>
                <w:rFonts w:hint="eastAsia"/>
                <w:sz w:val="18"/>
                <w:lang w:eastAsia="ko-KR"/>
              </w:rPr>
              <w:t>O</w:t>
            </w:r>
            <w:r w:rsidRPr="00046B7E">
              <w:rPr>
                <w:sz w:val="18"/>
                <w:lang w:eastAsia="ko-KR"/>
              </w:rPr>
              <w:t>perati</w:t>
            </w:r>
            <w:r w:rsidR="00515815" w:rsidRPr="00046B7E">
              <w:rPr>
                <w:sz w:val="18"/>
                <w:lang w:eastAsia="ko-KR"/>
              </w:rPr>
              <w:t xml:space="preserve">ng </w:t>
            </w:r>
            <w:r w:rsidRPr="00046B7E">
              <w:rPr>
                <w:sz w:val="18"/>
                <w:lang w:eastAsia="ko-KR"/>
              </w:rPr>
              <w:t>Li</w:t>
            </w:r>
            <w:r w:rsidR="00515815" w:rsidRPr="00046B7E">
              <w:rPr>
                <w:sz w:val="18"/>
                <w:lang w:eastAsia="ko-KR"/>
              </w:rPr>
              <w:t>c</w:t>
            </w:r>
            <w:r w:rsidRPr="00046B7E">
              <w:rPr>
                <w:sz w:val="18"/>
                <w:lang w:eastAsia="ko-KR"/>
              </w:rPr>
              <w:t>en</w:t>
            </w:r>
            <w:r w:rsidR="00515815" w:rsidRPr="00046B7E">
              <w:rPr>
                <w:sz w:val="18"/>
                <w:lang w:eastAsia="ko-KR"/>
              </w:rPr>
              <w:t>s</w:t>
            </w:r>
            <w:r w:rsidRPr="00046B7E">
              <w:rPr>
                <w:sz w:val="18"/>
                <w:lang w:eastAsia="ko-KR"/>
              </w:rPr>
              <w:t>e</w:t>
            </w:r>
          </w:p>
        </w:tc>
        <w:tc>
          <w:tcPr>
            <w:tcW w:w="746" w:type="dxa"/>
          </w:tcPr>
          <w:p w14:paraId="7BA8347B" w14:textId="53A87893" w:rsidR="00B518F6" w:rsidRPr="00046B7E" w:rsidRDefault="00B518F6" w:rsidP="001C23E4">
            <w:pPr>
              <w:pStyle w:val="a1"/>
              <w:ind w:firstLine="0"/>
              <w:rPr>
                <w:sz w:val="18"/>
                <w:lang w:eastAsia="ko-KR"/>
              </w:rPr>
            </w:pPr>
            <w:r w:rsidRPr="00046B7E">
              <w:rPr>
                <w:rFonts w:hint="eastAsia"/>
                <w:sz w:val="18"/>
                <w:lang w:eastAsia="ko-KR"/>
              </w:rPr>
              <w:t>2</w:t>
            </w:r>
            <w:r w:rsidRPr="00046B7E">
              <w:rPr>
                <w:sz w:val="18"/>
                <w:lang w:eastAsia="ko-KR"/>
              </w:rPr>
              <w:t>0</w:t>
            </w:r>
            <w:r w:rsidR="00D23A18" w:rsidRPr="00046B7E">
              <w:rPr>
                <w:sz w:val="18"/>
                <w:lang w:eastAsia="ko-KR"/>
              </w:rPr>
              <w:t xml:space="preserve">, </w:t>
            </w:r>
            <w:r w:rsidR="00D23A18" w:rsidRPr="00046B7E">
              <w:rPr>
                <w:rFonts w:ascii="맑은 고딕" w:eastAsia="맑은 고딕" w:hAnsi="맑은 고딕" w:hint="eastAsia"/>
                <w:sz w:val="18"/>
                <w:lang w:eastAsia="ko-KR"/>
              </w:rPr>
              <w:t>②</w:t>
            </w:r>
          </w:p>
        </w:tc>
        <w:tc>
          <w:tcPr>
            <w:tcW w:w="4907" w:type="dxa"/>
          </w:tcPr>
          <w:p w14:paraId="120B9571" w14:textId="77777777" w:rsidR="00B518F6" w:rsidRPr="00046B7E" w:rsidRDefault="00641678" w:rsidP="001C23E4">
            <w:pPr>
              <w:pStyle w:val="a1"/>
              <w:ind w:firstLine="0"/>
              <w:rPr>
                <w:sz w:val="18"/>
                <w:lang w:eastAsia="ko-KR"/>
              </w:rPr>
            </w:pPr>
            <w:r w:rsidRPr="00046B7E">
              <w:rPr>
                <w:rFonts w:hint="eastAsia"/>
                <w:sz w:val="18"/>
                <w:lang w:eastAsia="ko-KR"/>
              </w:rPr>
              <w:t>A</w:t>
            </w:r>
            <w:r w:rsidRPr="00046B7E">
              <w:rPr>
                <w:sz w:val="18"/>
                <w:lang w:eastAsia="ko-KR"/>
              </w:rPr>
              <w:t>n application form with,</w:t>
            </w:r>
          </w:p>
          <w:p w14:paraId="41D41EDE" w14:textId="3E1FE185" w:rsidR="00641678" w:rsidRPr="00046B7E" w:rsidRDefault="00641678" w:rsidP="00641678">
            <w:pPr>
              <w:pStyle w:val="a1"/>
              <w:ind w:firstLine="0"/>
              <w:rPr>
                <w:sz w:val="18"/>
                <w:lang w:eastAsia="ko-KR"/>
              </w:rPr>
            </w:pPr>
            <w:r w:rsidRPr="00046B7E">
              <w:rPr>
                <w:rFonts w:hint="eastAsia"/>
                <w:sz w:val="18"/>
                <w:lang w:eastAsia="ko-KR"/>
              </w:rPr>
              <w:t xml:space="preserve">- </w:t>
            </w:r>
            <w:r w:rsidRPr="00046B7E">
              <w:rPr>
                <w:sz w:val="18"/>
                <w:lang w:eastAsia="ko-KR"/>
              </w:rPr>
              <w:t>operating technical guidelines for the nuclear power reactor and related facilities</w:t>
            </w:r>
          </w:p>
          <w:p w14:paraId="5FC2A07D" w14:textId="77777777" w:rsidR="00641678" w:rsidRPr="00046B7E" w:rsidRDefault="00641678" w:rsidP="00641678">
            <w:pPr>
              <w:pStyle w:val="a1"/>
              <w:ind w:firstLine="0"/>
              <w:rPr>
                <w:sz w:val="18"/>
                <w:lang w:eastAsia="ko-KR"/>
              </w:rPr>
            </w:pPr>
            <w:r w:rsidRPr="00046B7E">
              <w:rPr>
                <w:sz w:val="18"/>
                <w:lang w:eastAsia="ko-KR"/>
              </w:rPr>
              <w:t>- the final safety analysis report</w:t>
            </w:r>
          </w:p>
          <w:p w14:paraId="77290803" w14:textId="77777777" w:rsidR="00641678" w:rsidRPr="00046B7E" w:rsidRDefault="00641678" w:rsidP="00641678">
            <w:pPr>
              <w:pStyle w:val="a1"/>
              <w:ind w:firstLine="0"/>
              <w:rPr>
                <w:sz w:val="18"/>
                <w:lang w:eastAsia="ko-KR"/>
              </w:rPr>
            </w:pPr>
            <w:r w:rsidRPr="00046B7E">
              <w:rPr>
                <w:rFonts w:hint="eastAsia"/>
                <w:sz w:val="18"/>
                <w:lang w:eastAsia="ko-KR"/>
              </w:rPr>
              <w:t>-</w:t>
            </w:r>
            <w:r w:rsidRPr="00046B7E">
              <w:rPr>
                <w:sz w:val="18"/>
                <w:lang w:eastAsia="ko-KR"/>
              </w:rPr>
              <w:t xml:space="preserve"> the accident management plan (including the severe accident management plan)</w:t>
            </w:r>
          </w:p>
          <w:p w14:paraId="29C4A636" w14:textId="77777777" w:rsidR="00641678" w:rsidRPr="00046B7E" w:rsidRDefault="00641678" w:rsidP="00641678">
            <w:pPr>
              <w:pStyle w:val="a1"/>
              <w:ind w:firstLine="0"/>
              <w:rPr>
                <w:sz w:val="18"/>
                <w:lang w:eastAsia="ko-KR"/>
              </w:rPr>
            </w:pPr>
            <w:r w:rsidRPr="00046B7E">
              <w:rPr>
                <w:rFonts w:hint="eastAsia"/>
                <w:sz w:val="18"/>
                <w:lang w:eastAsia="ko-KR"/>
              </w:rPr>
              <w:t>-</w:t>
            </w:r>
            <w:r w:rsidRPr="00046B7E">
              <w:rPr>
                <w:sz w:val="18"/>
                <w:lang w:eastAsia="ko-KR"/>
              </w:rPr>
              <w:t xml:space="preserve"> the quality assurance plan for operation</w:t>
            </w:r>
          </w:p>
          <w:p w14:paraId="2C1707AE" w14:textId="0C1450AD" w:rsidR="00641678" w:rsidRPr="00046B7E" w:rsidRDefault="00641678" w:rsidP="00641678">
            <w:pPr>
              <w:pStyle w:val="a1"/>
              <w:ind w:firstLine="0"/>
              <w:rPr>
                <w:sz w:val="18"/>
                <w:lang w:eastAsia="ko-KR"/>
              </w:rPr>
            </w:pPr>
            <w:r w:rsidRPr="00046B7E">
              <w:rPr>
                <w:rFonts w:hint="eastAsia"/>
                <w:sz w:val="18"/>
                <w:lang w:eastAsia="ko-KR"/>
              </w:rPr>
              <w:t>-</w:t>
            </w:r>
            <w:r w:rsidRPr="00046B7E">
              <w:rPr>
                <w:sz w:val="18"/>
                <w:lang w:eastAsia="ko-KR"/>
              </w:rPr>
              <w:t xml:space="preserve"> the radiological environmental impact </w:t>
            </w:r>
            <w:r w:rsidR="00A8413D">
              <w:rPr>
                <w:sz w:val="18"/>
                <w:lang w:eastAsia="ko-KR"/>
              </w:rPr>
              <w:t xml:space="preserve">Assessment </w:t>
            </w:r>
            <w:r w:rsidRPr="00046B7E">
              <w:rPr>
                <w:sz w:val="18"/>
                <w:lang w:eastAsia="ko-KR"/>
              </w:rPr>
              <w:t xml:space="preserve">(only the parts that differ from the radiological environmental impact assessment submitted under Article 10, paragraph </w:t>
            </w:r>
            <w:r w:rsidR="00016BD1" w:rsidRPr="00046B7E">
              <w:rPr>
                <w:rFonts w:ascii="맑은 고딕" w:eastAsia="맑은 고딕" w:hAnsi="맑은 고딕" w:hint="eastAsia"/>
                <w:sz w:val="18"/>
                <w:lang w:eastAsia="ko-KR"/>
              </w:rPr>
              <w:t>②</w:t>
            </w:r>
            <w:r w:rsidRPr="00046B7E">
              <w:rPr>
                <w:sz w:val="18"/>
                <w:lang w:eastAsia="ko-KR"/>
              </w:rPr>
              <w:t>)</w:t>
            </w:r>
          </w:p>
          <w:p w14:paraId="459D5550" w14:textId="7DE7C59D" w:rsidR="00A8483F" w:rsidRPr="00046B7E" w:rsidRDefault="00A8483F" w:rsidP="00641678">
            <w:pPr>
              <w:pStyle w:val="a1"/>
              <w:ind w:firstLine="0"/>
              <w:rPr>
                <w:sz w:val="18"/>
                <w:lang w:eastAsia="ko-KR"/>
              </w:rPr>
            </w:pPr>
            <w:r w:rsidRPr="00046B7E">
              <w:rPr>
                <w:rFonts w:hint="eastAsia"/>
                <w:sz w:val="18"/>
                <w:lang w:eastAsia="ko-KR"/>
              </w:rPr>
              <w:t>-</w:t>
            </w:r>
            <w:r w:rsidRPr="00046B7E">
              <w:rPr>
                <w:sz w:val="18"/>
                <w:lang w:eastAsia="ko-KR"/>
              </w:rPr>
              <w:t xml:space="preserve"> the decommissioning plan for the nuclear power reactor and related facilities (only the parts that differ from the decommissioning plan submitted under Article 10, paragraph </w:t>
            </w:r>
            <w:r w:rsidR="00016BD1" w:rsidRPr="00046B7E">
              <w:rPr>
                <w:rFonts w:ascii="맑은 고딕" w:eastAsia="맑은 고딕" w:hAnsi="맑은 고딕" w:hint="eastAsia"/>
                <w:sz w:val="18"/>
                <w:lang w:eastAsia="ko-KR"/>
              </w:rPr>
              <w:t>②</w:t>
            </w:r>
            <w:r w:rsidRPr="00046B7E">
              <w:rPr>
                <w:sz w:val="18"/>
                <w:lang w:eastAsia="ko-KR"/>
              </w:rPr>
              <w:t>)</w:t>
            </w:r>
          </w:p>
          <w:p w14:paraId="66442775" w14:textId="77777777" w:rsidR="00A8483F" w:rsidRPr="00046B7E" w:rsidRDefault="00A8483F" w:rsidP="00641678">
            <w:pPr>
              <w:pStyle w:val="a1"/>
              <w:ind w:firstLine="0"/>
              <w:rPr>
                <w:sz w:val="18"/>
                <w:lang w:eastAsia="ko-KR"/>
              </w:rPr>
            </w:pPr>
            <w:r w:rsidRPr="00046B7E">
              <w:rPr>
                <w:sz w:val="18"/>
                <w:lang w:eastAsia="ko-KR"/>
              </w:rPr>
              <w:t xml:space="preserve">- the plan for the discharge of radioactive materials in liquid and gaseous states (including the total discharge amounts by site, period, and radionuclide group) </w:t>
            </w:r>
          </w:p>
          <w:p w14:paraId="7EF24B8A" w14:textId="2D8FD40C" w:rsidR="00A8483F" w:rsidRPr="00046B7E" w:rsidRDefault="00A8483F" w:rsidP="00641678">
            <w:pPr>
              <w:pStyle w:val="a1"/>
              <w:ind w:firstLine="0"/>
              <w:rPr>
                <w:sz w:val="18"/>
                <w:lang w:eastAsia="ko-KR"/>
              </w:rPr>
            </w:pPr>
            <w:r w:rsidRPr="00046B7E">
              <w:rPr>
                <w:sz w:val="18"/>
                <w:lang w:eastAsia="ko-KR"/>
              </w:rPr>
              <w:t>- other documents prescribed by the Prime Ministerial Decree.</w:t>
            </w:r>
          </w:p>
        </w:tc>
        <w:tc>
          <w:tcPr>
            <w:tcW w:w="2218" w:type="dxa"/>
          </w:tcPr>
          <w:p w14:paraId="1EE67002" w14:textId="77777777" w:rsidR="00A8483F" w:rsidRPr="00046B7E" w:rsidRDefault="00A8483F" w:rsidP="00A8483F">
            <w:pPr>
              <w:pStyle w:val="a1"/>
              <w:ind w:firstLine="0"/>
              <w:rPr>
                <w:sz w:val="18"/>
                <w:lang w:eastAsia="ko-KR"/>
              </w:rPr>
            </w:pPr>
            <w:r w:rsidRPr="00046B7E">
              <w:rPr>
                <w:sz w:val="18"/>
                <w:lang w:eastAsia="ko-KR"/>
              </w:rPr>
              <w:t xml:space="preserve">Same as left, </w:t>
            </w:r>
          </w:p>
          <w:p w14:paraId="3048ECE3" w14:textId="0B9A783E" w:rsidR="00B518F6" w:rsidRPr="00046B7E" w:rsidRDefault="00A8483F" w:rsidP="00A8483F">
            <w:pPr>
              <w:pStyle w:val="a1"/>
              <w:ind w:firstLine="0"/>
              <w:rPr>
                <w:sz w:val="18"/>
                <w:lang w:eastAsia="ko-KR"/>
              </w:rPr>
            </w:pPr>
            <w:r w:rsidRPr="00046B7E">
              <w:rPr>
                <w:rFonts w:hint="eastAsia"/>
                <w:sz w:val="18"/>
                <w:lang w:eastAsia="ko-KR"/>
              </w:rPr>
              <w:t>-</w:t>
            </w:r>
            <w:r w:rsidRPr="00046B7E">
              <w:rPr>
                <w:sz w:val="18"/>
                <w:lang w:eastAsia="ko-KR"/>
              </w:rPr>
              <w:t xml:space="preserve"> adding </w:t>
            </w:r>
            <w:r w:rsidR="006036E4">
              <w:rPr>
                <w:sz w:val="18"/>
                <w:u w:val="single"/>
                <w:lang w:eastAsia="ko-KR"/>
              </w:rPr>
              <w:t>D</w:t>
            </w:r>
            <w:r w:rsidRPr="00046B7E">
              <w:rPr>
                <w:sz w:val="18"/>
                <w:u w:val="single"/>
                <w:lang w:eastAsia="ko-KR"/>
              </w:rPr>
              <w:t xml:space="preserve">esign </w:t>
            </w:r>
            <w:r w:rsidR="006036E4">
              <w:rPr>
                <w:sz w:val="18"/>
                <w:u w:val="single"/>
                <w:lang w:eastAsia="ko-KR"/>
              </w:rPr>
              <w:t>I</w:t>
            </w:r>
            <w:r w:rsidRPr="00046B7E">
              <w:rPr>
                <w:sz w:val="18"/>
                <w:u w:val="single"/>
                <w:lang w:eastAsia="ko-KR"/>
              </w:rPr>
              <w:t xml:space="preserve">nformation </w:t>
            </w:r>
            <w:r w:rsidR="006036E4">
              <w:rPr>
                <w:sz w:val="18"/>
                <w:u w:val="single"/>
                <w:lang w:eastAsia="ko-KR"/>
              </w:rPr>
              <w:t xml:space="preserve">Questionnaire </w:t>
            </w:r>
            <w:r w:rsidRPr="00046B7E">
              <w:rPr>
                <w:sz w:val="18"/>
                <w:u w:val="single"/>
                <w:lang w:eastAsia="ko-KR"/>
              </w:rPr>
              <w:t xml:space="preserve">by </w:t>
            </w:r>
            <w:r w:rsidR="003F2515">
              <w:rPr>
                <w:sz w:val="18"/>
                <w:u w:val="single"/>
                <w:lang w:eastAsia="ko-KR"/>
              </w:rPr>
              <w:t>A</w:t>
            </w:r>
            <w:r w:rsidRPr="00046B7E">
              <w:rPr>
                <w:sz w:val="18"/>
                <w:u w:val="single"/>
                <w:lang w:eastAsia="ko-KR"/>
              </w:rPr>
              <w:t>rticle 98</w:t>
            </w:r>
          </w:p>
        </w:tc>
      </w:tr>
    </w:tbl>
    <w:p w14:paraId="64B32850" w14:textId="481E718F" w:rsidR="006F774F" w:rsidRPr="006036E4" w:rsidRDefault="006F774F" w:rsidP="001C23E4">
      <w:pPr>
        <w:pStyle w:val="a1"/>
        <w:rPr>
          <w:lang w:eastAsia="ko-KR"/>
        </w:rPr>
      </w:pPr>
    </w:p>
    <w:p w14:paraId="75939A04" w14:textId="37EC08FC" w:rsidR="006F774F" w:rsidRPr="00EE0041" w:rsidRDefault="006F774F" w:rsidP="006F774F">
      <w:pPr>
        <w:pStyle w:val="3"/>
        <w:numPr>
          <w:ilvl w:val="2"/>
          <w:numId w:val="33"/>
        </w:numPr>
      </w:pPr>
      <w:r>
        <w:t>Amending the noti</w:t>
      </w:r>
      <w:r w:rsidR="00935D0C">
        <w:t>fications</w:t>
      </w:r>
      <w:r>
        <w:t xml:space="preserve"> of Article 98</w:t>
      </w:r>
    </w:p>
    <w:p w14:paraId="6A23F44A" w14:textId="11039BCC" w:rsidR="005B5ACA" w:rsidRDefault="006F774F" w:rsidP="001C23E4">
      <w:pPr>
        <w:pStyle w:val="a1"/>
        <w:rPr>
          <w:lang w:eastAsia="ko-KR"/>
        </w:rPr>
      </w:pPr>
      <w:r>
        <w:t>Directly a</w:t>
      </w:r>
      <w:r w:rsidRPr="001C23E4">
        <w:t>mendin</w:t>
      </w:r>
      <w:r>
        <w:t>g</w:t>
      </w:r>
      <w:r w:rsidR="008C3745">
        <w:t xml:space="preserve"> the </w:t>
      </w:r>
      <w:r w:rsidR="002C184F">
        <w:t>noti</w:t>
      </w:r>
      <w:r w:rsidR="00935D0C">
        <w:t>fication</w:t>
      </w:r>
      <w:r w:rsidR="002C184F">
        <w:t>s of NSSC</w:t>
      </w:r>
      <w:r w:rsidR="008C3745">
        <w:t xml:space="preserve"> </w:t>
      </w:r>
      <w:r w:rsidR="002C184F">
        <w:t>related to</w:t>
      </w:r>
      <w:r w:rsidR="008C3745">
        <w:t xml:space="preserve"> </w:t>
      </w:r>
      <w:r>
        <w:t>Article 98</w:t>
      </w:r>
      <w:r w:rsidR="00D03E83">
        <w:t xml:space="preserve"> [3]</w:t>
      </w:r>
      <w:r>
        <w:t xml:space="preserve"> is also a good way to implement the SBD concept for SMRs. </w:t>
      </w:r>
      <w:r w:rsidR="003F2515">
        <w:t>Amending the relevant notification of Article 98 (as shown in Table 3) of the Nuclear Safety Act is one of the easiest way</w:t>
      </w:r>
      <w:r w:rsidR="00C64BD4">
        <w:t>s</w:t>
      </w:r>
      <w:r w:rsidR="003F2515">
        <w:t xml:space="preserve"> and most effective methods. However, there is an issue with this notification, as it</w:t>
      </w:r>
      <w:r w:rsidR="006036E4">
        <w:t xml:space="preserve"> currently</w:t>
      </w:r>
      <w:r w:rsidR="003F2515">
        <w:t xml:space="preserve"> defines the entities obligated to submit design information</w:t>
      </w:r>
      <w:r w:rsidR="001D0BC1">
        <w:t xml:space="preserve"> (DI)</w:t>
      </w:r>
      <w:r w:rsidR="003F2515">
        <w:t xml:space="preserve"> as speci</w:t>
      </w:r>
      <w:r w:rsidR="00E26004">
        <w:t>fic</w:t>
      </w:r>
      <w:r w:rsidR="003F2515">
        <w:t xml:space="preserve"> nuclear material users, making it unclear whether the applicant for standard design approval falls under this category.</w:t>
      </w:r>
    </w:p>
    <w:p w14:paraId="6FC7B8A2" w14:textId="3CC5CACF" w:rsidR="005B5ACA" w:rsidRDefault="00935D0C" w:rsidP="001C23E4">
      <w:pPr>
        <w:pStyle w:val="a1"/>
        <w:rPr>
          <w:lang w:eastAsia="ko-KR"/>
        </w:rPr>
      </w:pPr>
      <w:r>
        <w:rPr>
          <w:rFonts w:hint="eastAsia"/>
          <w:lang w:eastAsia="ko-KR"/>
        </w:rPr>
        <w:t>T</w:t>
      </w:r>
      <w:r>
        <w:rPr>
          <w:lang w:eastAsia="ko-KR"/>
        </w:rPr>
        <w:t xml:space="preserve">hinking conversely this situation, while it has traditionally acceptable to </w:t>
      </w:r>
      <w:r w:rsidR="00B96E87">
        <w:rPr>
          <w:lang w:eastAsia="ko-KR"/>
        </w:rPr>
        <w:t>prepare for the review of design information once the facility’s design has significantly processed, such as during construction or operation, the emergence of facilities like SMRs, where standardisation is crucial, has made it an important decision whether to include this safeguards-related information within the scope of this standardisation.</w:t>
      </w:r>
    </w:p>
    <w:p w14:paraId="7BFC9C8C" w14:textId="39FB2C65" w:rsidR="005B5ACA" w:rsidRDefault="005B5ACA" w:rsidP="001C23E4">
      <w:pPr>
        <w:pStyle w:val="a1"/>
        <w:rPr>
          <w:lang w:eastAsia="ko-KR"/>
        </w:rPr>
      </w:pPr>
    </w:p>
    <w:p w14:paraId="62EA07A8" w14:textId="7528A8A4" w:rsidR="009876BE" w:rsidRPr="005B1EC6" w:rsidRDefault="009876BE" w:rsidP="009876BE">
      <w:pPr>
        <w:rPr>
          <w:sz w:val="20"/>
        </w:rPr>
      </w:pPr>
      <w:r w:rsidRPr="005B1EC6">
        <w:rPr>
          <w:sz w:val="20"/>
        </w:rPr>
        <w:lastRenderedPageBreak/>
        <w:t xml:space="preserve">TABLE </w:t>
      </w:r>
      <w:r w:rsidR="003F2515">
        <w:rPr>
          <w:sz w:val="20"/>
        </w:rPr>
        <w:t>3</w:t>
      </w:r>
      <w:r w:rsidRPr="005B1EC6">
        <w:rPr>
          <w:sz w:val="20"/>
        </w:rPr>
        <w:t>.</w:t>
      </w:r>
      <w:r w:rsidRPr="005B1EC6">
        <w:rPr>
          <w:sz w:val="20"/>
        </w:rPr>
        <w:tab/>
      </w:r>
      <w:r>
        <w:rPr>
          <w:sz w:val="20"/>
        </w:rPr>
        <w:t>THE LIST OF NSSC NOTI</w:t>
      </w:r>
      <w:r w:rsidR="00935D0C">
        <w:rPr>
          <w:sz w:val="20"/>
        </w:rPr>
        <w:t>FI</w:t>
      </w:r>
      <w:r>
        <w:rPr>
          <w:sz w:val="20"/>
        </w:rPr>
        <w:t>C</w:t>
      </w:r>
      <w:r w:rsidR="00935D0C">
        <w:rPr>
          <w:sz w:val="20"/>
        </w:rPr>
        <w:t>ATION</w:t>
      </w:r>
      <w:r>
        <w:rPr>
          <w:sz w:val="20"/>
        </w:rPr>
        <w:t>S FOR SAFEGUARDS</w:t>
      </w:r>
    </w:p>
    <w:p w14:paraId="73E2E7F8" w14:textId="77777777" w:rsidR="009876BE" w:rsidRPr="009876BE" w:rsidRDefault="009876BE" w:rsidP="001C23E4">
      <w:pPr>
        <w:pStyle w:val="a1"/>
        <w:rPr>
          <w:lang w:eastAsia="ko-KR"/>
        </w:rPr>
      </w:pPr>
    </w:p>
    <w:tbl>
      <w:tblPr>
        <w:tblStyle w:val="ac"/>
        <w:tblW w:w="9067" w:type="dxa"/>
        <w:tblLook w:val="04A0" w:firstRow="1" w:lastRow="0" w:firstColumn="1" w:lastColumn="0" w:noHBand="0" w:noVBand="1"/>
      </w:tblPr>
      <w:tblGrid>
        <w:gridCol w:w="2497"/>
        <w:gridCol w:w="1442"/>
        <w:gridCol w:w="1136"/>
        <w:gridCol w:w="1066"/>
        <w:gridCol w:w="2926"/>
      </w:tblGrid>
      <w:tr w:rsidR="00B96E87" w14:paraId="63F40537" w14:textId="77777777" w:rsidTr="00B96E87">
        <w:trPr>
          <w:trHeight w:val="937"/>
        </w:trPr>
        <w:tc>
          <w:tcPr>
            <w:tcW w:w="2497" w:type="dxa"/>
          </w:tcPr>
          <w:p w14:paraId="4C2F4B12" w14:textId="76D4619B" w:rsidR="00B96E87" w:rsidRDefault="00B96E87" w:rsidP="00B96E87">
            <w:pPr>
              <w:pStyle w:val="a1"/>
              <w:ind w:firstLine="0"/>
              <w:jc w:val="center"/>
              <w:rPr>
                <w:lang w:eastAsia="ko-KR"/>
              </w:rPr>
            </w:pPr>
            <w:r w:rsidRPr="00A823DD">
              <w:rPr>
                <w:rFonts w:hint="eastAsia"/>
                <w:b/>
                <w:sz w:val="18"/>
                <w:lang w:eastAsia="ko-KR"/>
              </w:rPr>
              <w:t>N</w:t>
            </w:r>
            <w:r w:rsidRPr="00A823DD">
              <w:rPr>
                <w:b/>
                <w:sz w:val="18"/>
                <w:lang w:eastAsia="ko-KR"/>
              </w:rPr>
              <w:t>ame</w:t>
            </w:r>
            <w:r>
              <w:rPr>
                <w:b/>
                <w:sz w:val="18"/>
                <w:lang w:eastAsia="ko-KR"/>
              </w:rPr>
              <w:t xml:space="preserve"> of Notifications</w:t>
            </w:r>
          </w:p>
        </w:tc>
        <w:tc>
          <w:tcPr>
            <w:tcW w:w="1442" w:type="dxa"/>
          </w:tcPr>
          <w:p w14:paraId="4D5FC143" w14:textId="4A086588" w:rsidR="00B96E87" w:rsidRPr="00A823DD" w:rsidRDefault="00B96E87" w:rsidP="00B96E87">
            <w:pPr>
              <w:pStyle w:val="a1"/>
              <w:ind w:firstLine="0"/>
              <w:jc w:val="center"/>
              <w:rPr>
                <w:b/>
                <w:sz w:val="18"/>
                <w:lang w:eastAsia="ko-KR"/>
              </w:rPr>
            </w:pPr>
            <w:r>
              <w:rPr>
                <w:b/>
                <w:sz w:val="18"/>
                <w:lang w:eastAsia="ko-KR"/>
              </w:rPr>
              <w:t xml:space="preserve">Nuclear Safety </w:t>
            </w:r>
            <w:r w:rsidRPr="00A823DD">
              <w:rPr>
                <w:rFonts w:hint="eastAsia"/>
                <w:b/>
                <w:sz w:val="18"/>
                <w:lang w:eastAsia="ko-KR"/>
              </w:rPr>
              <w:t>A</w:t>
            </w:r>
            <w:r w:rsidRPr="00A823DD">
              <w:rPr>
                <w:b/>
                <w:sz w:val="18"/>
                <w:lang w:eastAsia="ko-KR"/>
              </w:rPr>
              <w:t>ct</w:t>
            </w:r>
          </w:p>
        </w:tc>
        <w:tc>
          <w:tcPr>
            <w:tcW w:w="1136" w:type="dxa"/>
          </w:tcPr>
          <w:p w14:paraId="6D860B5E" w14:textId="1F6F8803" w:rsidR="00B96E87" w:rsidRPr="00A823DD" w:rsidRDefault="00B96E87" w:rsidP="00B96E87">
            <w:pPr>
              <w:pStyle w:val="a1"/>
              <w:ind w:firstLine="0"/>
              <w:jc w:val="center"/>
              <w:rPr>
                <w:b/>
                <w:sz w:val="18"/>
                <w:lang w:eastAsia="ko-KR"/>
              </w:rPr>
            </w:pPr>
            <w:r w:rsidRPr="00A823DD">
              <w:rPr>
                <w:rFonts w:hint="eastAsia"/>
                <w:b/>
                <w:sz w:val="18"/>
                <w:lang w:eastAsia="ko-KR"/>
              </w:rPr>
              <w:t>P</w:t>
            </w:r>
            <w:r w:rsidRPr="00A823DD">
              <w:rPr>
                <w:b/>
                <w:sz w:val="18"/>
                <w:lang w:eastAsia="ko-KR"/>
              </w:rPr>
              <w:t>residential Decree</w:t>
            </w:r>
          </w:p>
        </w:tc>
        <w:tc>
          <w:tcPr>
            <w:tcW w:w="1066" w:type="dxa"/>
          </w:tcPr>
          <w:p w14:paraId="4A6F01CB" w14:textId="70537D46" w:rsidR="00B96E87" w:rsidRPr="00A823DD" w:rsidRDefault="00B96E87" w:rsidP="00B96E87">
            <w:pPr>
              <w:pStyle w:val="a1"/>
              <w:ind w:firstLine="0"/>
              <w:jc w:val="center"/>
              <w:rPr>
                <w:b/>
                <w:sz w:val="18"/>
                <w:lang w:eastAsia="ko-KR"/>
              </w:rPr>
            </w:pPr>
            <w:r w:rsidRPr="00A823DD">
              <w:rPr>
                <w:rFonts w:hint="eastAsia"/>
                <w:b/>
                <w:sz w:val="18"/>
                <w:lang w:eastAsia="ko-KR"/>
              </w:rPr>
              <w:t>P</w:t>
            </w:r>
            <w:r w:rsidRPr="00A823DD">
              <w:rPr>
                <w:b/>
                <w:sz w:val="18"/>
                <w:lang w:eastAsia="ko-KR"/>
              </w:rPr>
              <w:t>rime Ministerial Decree</w:t>
            </w:r>
          </w:p>
        </w:tc>
        <w:tc>
          <w:tcPr>
            <w:tcW w:w="2926" w:type="dxa"/>
          </w:tcPr>
          <w:p w14:paraId="0C318CD2" w14:textId="04C3D592" w:rsidR="00B96E87" w:rsidRDefault="00B96E87" w:rsidP="00B96E87">
            <w:pPr>
              <w:pStyle w:val="a1"/>
              <w:ind w:firstLine="0"/>
              <w:jc w:val="center"/>
              <w:rPr>
                <w:lang w:eastAsia="ko-KR"/>
              </w:rPr>
            </w:pPr>
            <w:r w:rsidRPr="00A823DD">
              <w:rPr>
                <w:rFonts w:hint="eastAsia"/>
                <w:b/>
                <w:sz w:val="18"/>
                <w:lang w:eastAsia="ko-KR"/>
              </w:rPr>
              <w:t>C</w:t>
            </w:r>
            <w:r w:rsidRPr="00A823DD">
              <w:rPr>
                <w:b/>
                <w:sz w:val="18"/>
                <w:lang w:eastAsia="ko-KR"/>
              </w:rPr>
              <w:t>ontents</w:t>
            </w:r>
          </w:p>
        </w:tc>
      </w:tr>
      <w:tr w:rsidR="00B96E87" w14:paraId="2FDDF581" w14:textId="77777777" w:rsidTr="000B6CCC">
        <w:trPr>
          <w:trHeight w:val="1102"/>
        </w:trPr>
        <w:tc>
          <w:tcPr>
            <w:tcW w:w="2497" w:type="dxa"/>
          </w:tcPr>
          <w:p w14:paraId="23790046" w14:textId="558F4B97" w:rsidR="00B96E87" w:rsidRPr="00A823DD" w:rsidRDefault="00B96E87" w:rsidP="00332C95">
            <w:pPr>
              <w:pStyle w:val="a1"/>
              <w:ind w:firstLine="0"/>
              <w:jc w:val="left"/>
              <w:rPr>
                <w:sz w:val="18"/>
                <w:lang w:eastAsia="ko-KR"/>
              </w:rPr>
            </w:pPr>
            <w:r w:rsidRPr="00A823DD">
              <w:rPr>
                <w:rFonts w:hint="eastAsia"/>
                <w:sz w:val="18"/>
                <w:lang w:eastAsia="ko-KR"/>
              </w:rPr>
              <w:t>R</w:t>
            </w:r>
            <w:r w:rsidRPr="00A823DD">
              <w:rPr>
                <w:sz w:val="18"/>
                <w:lang w:eastAsia="ko-KR"/>
              </w:rPr>
              <w:t xml:space="preserve">egulation on the </w:t>
            </w:r>
            <w:r w:rsidR="00332C95">
              <w:rPr>
                <w:sz w:val="18"/>
                <w:lang w:eastAsia="ko-KR"/>
              </w:rPr>
              <w:t>S</w:t>
            </w:r>
            <w:r w:rsidRPr="00A823DD">
              <w:rPr>
                <w:sz w:val="18"/>
                <w:lang w:eastAsia="ko-KR"/>
              </w:rPr>
              <w:t>ubject of International Strategic Materials</w:t>
            </w:r>
            <w:r>
              <w:rPr>
                <w:sz w:val="18"/>
                <w:lang w:eastAsia="ko-KR"/>
              </w:rPr>
              <w:t xml:space="preserve"> </w:t>
            </w:r>
            <w:r>
              <w:rPr>
                <w:rFonts w:hint="eastAsia"/>
                <w:sz w:val="18"/>
                <w:lang w:eastAsia="ko-KR"/>
              </w:rPr>
              <w:t>(</w:t>
            </w:r>
            <w:r>
              <w:rPr>
                <w:sz w:val="18"/>
                <w:lang w:eastAsia="ko-KR"/>
              </w:rPr>
              <w:t>No. 2017-81)</w:t>
            </w:r>
          </w:p>
        </w:tc>
        <w:tc>
          <w:tcPr>
            <w:tcW w:w="1442" w:type="dxa"/>
          </w:tcPr>
          <w:p w14:paraId="740C497B" w14:textId="337EB9AB" w:rsidR="00B96E87" w:rsidRPr="00A823DD" w:rsidRDefault="00B96E87" w:rsidP="00332C95">
            <w:pPr>
              <w:pStyle w:val="a1"/>
              <w:ind w:firstLine="0"/>
              <w:jc w:val="left"/>
              <w:rPr>
                <w:sz w:val="18"/>
                <w:lang w:eastAsia="ko-KR"/>
              </w:rPr>
            </w:pPr>
            <w:r w:rsidRPr="00A823DD">
              <w:rPr>
                <w:rFonts w:hint="eastAsia"/>
                <w:sz w:val="18"/>
                <w:lang w:eastAsia="ko-KR"/>
              </w:rPr>
              <w:t>A</w:t>
            </w:r>
            <w:r w:rsidRPr="00A823DD">
              <w:rPr>
                <w:sz w:val="18"/>
                <w:lang w:eastAsia="ko-KR"/>
              </w:rPr>
              <w:t>rticle 2</w:t>
            </w:r>
            <w:r>
              <w:rPr>
                <w:sz w:val="18"/>
                <w:lang w:eastAsia="ko-KR"/>
              </w:rPr>
              <w:t>, Item</w:t>
            </w:r>
            <w:r w:rsidRPr="00A823DD">
              <w:rPr>
                <w:sz w:val="18"/>
                <w:lang w:eastAsia="ko-KR"/>
              </w:rPr>
              <w:t xml:space="preserve"> 17</w:t>
            </w:r>
          </w:p>
        </w:tc>
        <w:tc>
          <w:tcPr>
            <w:tcW w:w="1136" w:type="dxa"/>
          </w:tcPr>
          <w:p w14:paraId="166BDB89" w14:textId="1AE1CE9C" w:rsidR="00B96E87" w:rsidRPr="00A823DD" w:rsidRDefault="00B96E87" w:rsidP="00332C95">
            <w:pPr>
              <w:pStyle w:val="a1"/>
              <w:ind w:firstLine="0"/>
              <w:jc w:val="left"/>
              <w:rPr>
                <w:sz w:val="18"/>
                <w:lang w:eastAsia="ko-KR"/>
              </w:rPr>
            </w:pPr>
            <w:r w:rsidRPr="00A823DD">
              <w:rPr>
                <w:rFonts w:hint="eastAsia"/>
                <w:sz w:val="18"/>
                <w:lang w:eastAsia="ko-KR"/>
              </w:rPr>
              <w:t>-</w:t>
            </w:r>
          </w:p>
        </w:tc>
        <w:tc>
          <w:tcPr>
            <w:tcW w:w="1066" w:type="dxa"/>
          </w:tcPr>
          <w:p w14:paraId="42D1E751" w14:textId="38749D03" w:rsidR="00B96E87" w:rsidRPr="00A823DD" w:rsidRDefault="00B96E87" w:rsidP="00332C95">
            <w:pPr>
              <w:pStyle w:val="a1"/>
              <w:ind w:firstLine="0"/>
              <w:jc w:val="left"/>
              <w:rPr>
                <w:sz w:val="18"/>
                <w:lang w:eastAsia="ko-KR"/>
              </w:rPr>
            </w:pPr>
            <w:r w:rsidRPr="00A823DD">
              <w:rPr>
                <w:rFonts w:hint="eastAsia"/>
                <w:sz w:val="18"/>
                <w:lang w:eastAsia="ko-KR"/>
              </w:rPr>
              <w:t>A</w:t>
            </w:r>
            <w:r w:rsidRPr="00A823DD">
              <w:rPr>
                <w:sz w:val="18"/>
                <w:lang w:eastAsia="ko-KR"/>
              </w:rPr>
              <w:t>rticle 3</w:t>
            </w:r>
          </w:p>
        </w:tc>
        <w:tc>
          <w:tcPr>
            <w:tcW w:w="2926" w:type="dxa"/>
          </w:tcPr>
          <w:p w14:paraId="719658EA" w14:textId="322590F9" w:rsidR="00B96E87" w:rsidRPr="00A823DD" w:rsidRDefault="00B96E87" w:rsidP="00332C95">
            <w:pPr>
              <w:pStyle w:val="a1"/>
              <w:ind w:firstLine="0"/>
              <w:jc w:val="left"/>
              <w:rPr>
                <w:sz w:val="18"/>
                <w:lang w:eastAsia="ko-KR"/>
              </w:rPr>
            </w:pPr>
            <w:r w:rsidRPr="00A823DD">
              <w:rPr>
                <w:sz w:val="18"/>
                <w:lang w:eastAsia="ko-KR"/>
              </w:rPr>
              <w:t>Nuclear materials, non-nuclear materials and equipment, definitions of other international strategic materials</w:t>
            </w:r>
          </w:p>
        </w:tc>
      </w:tr>
      <w:tr w:rsidR="00B96E87" w14:paraId="6EB85AE3" w14:textId="77777777" w:rsidTr="000B6CCC">
        <w:trPr>
          <w:trHeight w:val="1698"/>
        </w:trPr>
        <w:tc>
          <w:tcPr>
            <w:tcW w:w="2497" w:type="dxa"/>
          </w:tcPr>
          <w:p w14:paraId="62BE20CA" w14:textId="3A27E6B6" w:rsidR="00B96E87" w:rsidRDefault="00B96E87" w:rsidP="00332C95">
            <w:pPr>
              <w:pStyle w:val="a1"/>
              <w:ind w:firstLine="0"/>
              <w:jc w:val="left"/>
              <w:rPr>
                <w:sz w:val="18"/>
                <w:lang w:eastAsia="ko-KR"/>
              </w:rPr>
            </w:pPr>
            <w:r>
              <w:rPr>
                <w:sz w:val="18"/>
                <w:lang w:eastAsia="ko-KR"/>
              </w:rPr>
              <w:t xml:space="preserve">Regulation on the Preparation of </w:t>
            </w:r>
            <w:r>
              <w:rPr>
                <w:rFonts w:hint="eastAsia"/>
                <w:sz w:val="18"/>
                <w:lang w:eastAsia="ko-KR"/>
              </w:rPr>
              <w:t>M</w:t>
            </w:r>
            <w:r>
              <w:rPr>
                <w:sz w:val="18"/>
                <w:lang w:eastAsia="ko-KR"/>
              </w:rPr>
              <w:t>aterial Accounting Regulation for Speci</w:t>
            </w:r>
            <w:r w:rsidR="00E26004">
              <w:rPr>
                <w:sz w:val="18"/>
                <w:lang w:eastAsia="ko-KR"/>
              </w:rPr>
              <w:t>fic</w:t>
            </w:r>
            <w:r>
              <w:rPr>
                <w:sz w:val="18"/>
                <w:lang w:eastAsia="ko-KR"/>
              </w:rPr>
              <w:t xml:space="preserve"> Nuclear Materials</w:t>
            </w:r>
          </w:p>
          <w:p w14:paraId="7120304D" w14:textId="1C7526C2" w:rsidR="00B96E87" w:rsidRPr="00A823DD" w:rsidRDefault="00B96E87" w:rsidP="00332C95">
            <w:pPr>
              <w:pStyle w:val="a1"/>
              <w:ind w:firstLine="0"/>
              <w:jc w:val="left"/>
              <w:rPr>
                <w:sz w:val="18"/>
                <w:lang w:eastAsia="ko-KR"/>
              </w:rPr>
            </w:pPr>
            <w:r>
              <w:rPr>
                <w:rFonts w:hint="eastAsia"/>
                <w:sz w:val="18"/>
                <w:lang w:eastAsia="ko-KR"/>
              </w:rPr>
              <w:t>(</w:t>
            </w:r>
            <w:r>
              <w:rPr>
                <w:sz w:val="18"/>
                <w:lang w:eastAsia="ko-KR"/>
              </w:rPr>
              <w:t>No. 2017-82)</w:t>
            </w:r>
          </w:p>
        </w:tc>
        <w:tc>
          <w:tcPr>
            <w:tcW w:w="1442" w:type="dxa"/>
          </w:tcPr>
          <w:p w14:paraId="7AE9DD06" w14:textId="4967AC42" w:rsidR="00B96E87" w:rsidRPr="00046B7E" w:rsidRDefault="00B96E87" w:rsidP="00332C95">
            <w:pPr>
              <w:pStyle w:val="a1"/>
              <w:ind w:firstLine="0"/>
              <w:jc w:val="left"/>
              <w:rPr>
                <w:sz w:val="18"/>
                <w:lang w:eastAsia="ko-KR"/>
              </w:rPr>
            </w:pPr>
            <w:r>
              <w:rPr>
                <w:sz w:val="18"/>
                <w:lang w:eastAsia="ko-KR"/>
              </w:rPr>
              <w:t>Article 15, and provisions mutatis mutandis</w:t>
            </w:r>
          </w:p>
        </w:tc>
        <w:tc>
          <w:tcPr>
            <w:tcW w:w="1136" w:type="dxa"/>
          </w:tcPr>
          <w:p w14:paraId="78D13479" w14:textId="3AC175CA" w:rsidR="00B96E87" w:rsidRPr="007C6FE4" w:rsidRDefault="00B96E87" w:rsidP="00332C95">
            <w:pPr>
              <w:pStyle w:val="a1"/>
              <w:ind w:firstLine="0"/>
              <w:jc w:val="left"/>
              <w:rPr>
                <w:sz w:val="18"/>
                <w:lang w:eastAsia="ko-KR"/>
              </w:rPr>
            </w:pPr>
            <w:r>
              <w:rPr>
                <w:sz w:val="18"/>
                <w:lang w:eastAsia="ko-KR"/>
              </w:rPr>
              <w:t>Article 25, and provisions mutatis mutandis</w:t>
            </w:r>
          </w:p>
        </w:tc>
        <w:tc>
          <w:tcPr>
            <w:tcW w:w="1066" w:type="dxa"/>
          </w:tcPr>
          <w:p w14:paraId="0CD70B8F" w14:textId="40CEDEBB" w:rsidR="00B96E87" w:rsidRPr="00A823DD" w:rsidRDefault="00B96E87" w:rsidP="00332C95">
            <w:pPr>
              <w:pStyle w:val="a1"/>
              <w:ind w:firstLine="0"/>
              <w:jc w:val="left"/>
              <w:rPr>
                <w:sz w:val="18"/>
                <w:lang w:eastAsia="ko-KR"/>
              </w:rPr>
            </w:pPr>
            <w:r>
              <w:rPr>
                <w:rFonts w:hint="eastAsia"/>
                <w:sz w:val="18"/>
                <w:lang w:eastAsia="ko-KR"/>
              </w:rPr>
              <w:t>A</w:t>
            </w:r>
            <w:r>
              <w:rPr>
                <w:sz w:val="18"/>
                <w:lang w:eastAsia="ko-KR"/>
              </w:rPr>
              <w:t>rticle 13, 14</w:t>
            </w:r>
          </w:p>
        </w:tc>
        <w:tc>
          <w:tcPr>
            <w:tcW w:w="2926" w:type="dxa"/>
          </w:tcPr>
          <w:p w14:paraId="139C5011" w14:textId="2704225C" w:rsidR="00B96E87" w:rsidRPr="00A823DD" w:rsidRDefault="00B96E87" w:rsidP="00332C95">
            <w:pPr>
              <w:pStyle w:val="a1"/>
              <w:ind w:firstLine="0"/>
              <w:jc w:val="left"/>
              <w:rPr>
                <w:sz w:val="18"/>
                <w:lang w:eastAsia="ko-KR"/>
              </w:rPr>
            </w:pPr>
            <w:r>
              <w:rPr>
                <w:rFonts w:hint="eastAsia"/>
                <w:sz w:val="18"/>
                <w:lang w:eastAsia="ko-KR"/>
              </w:rPr>
              <w:t>G</w:t>
            </w:r>
            <w:r>
              <w:rPr>
                <w:sz w:val="18"/>
                <w:lang w:eastAsia="ko-KR"/>
              </w:rPr>
              <w:t>uidelines for the preparation the Material Accounting Regulation for Nuclear Facilities</w:t>
            </w:r>
            <w:r w:rsidR="001C71D4">
              <w:rPr>
                <w:sz w:val="18"/>
                <w:lang w:eastAsia="ko-KR"/>
              </w:rPr>
              <w:t xml:space="preserve"> </w:t>
            </w:r>
            <w:r>
              <w:rPr>
                <w:sz w:val="18"/>
                <w:lang w:eastAsia="ko-KR"/>
              </w:rPr>
              <w:t>(preparing MARN), notification of approving procedures, and reporting procedures for minor matters</w:t>
            </w:r>
          </w:p>
        </w:tc>
      </w:tr>
      <w:tr w:rsidR="00B96E87" w14:paraId="79E539B9" w14:textId="77777777" w:rsidTr="000B6CCC">
        <w:trPr>
          <w:trHeight w:val="1397"/>
        </w:trPr>
        <w:tc>
          <w:tcPr>
            <w:tcW w:w="2497" w:type="dxa"/>
          </w:tcPr>
          <w:p w14:paraId="5F67BDFD" w14:textId="523FAD2B" w:rsidR="00B96E87" w:rsidRDefault="00B96E87" w:rsidP="00332C95">
            <w:pPr>
              <w:pStyle w:val="a1"/>
              <w:ind w:firstLine="0"/>
              <w:jc w:val="left"/>
              <w:rPr>
                <w:sz w:val="18"/>
                <w:lang w:eastAsia="ko-KR"/>
              </w:rPr>
            </w:pPr>
            <w:r>
              <w:rPr>
                <w:sz w:val="18"/>
                <w:lang w:eastAsia="ko-KR"/>
              </w:rPr>
              <w:t xml:space="preserve">Regulation on the Inspection of </w:t>
            </w:r>
            <w:r>
              <w:rPr>
                <w:rFonts w:hint="eastAsia"/>
                <w:sz w:val="18"/>
                <w:lang w:eastAsia="ko-KR"/>
              </w:rPr>
              <w:t>M</w:t>
            </w:r>
            <w:r>
              <w:rPr>
                <w:sz w:val="18"/>
                <w:lang w:eastAsia="ko-KR"/>
              </w:rPr>
              <w:t>aterial Accounting Regulation for Speci</w:t>
            </w:r>
            <w:r w:rsidR="00E26004">
              <w:rPr>
                <w:sz w:val="18"/>
                <w:lang w:eastAsia="ko-KR"/>
              </w:rPr>
              <w:t>fic</w:t>
            </w:r>
            <w:r>
              <w:rPr>
                <w:sz w:val="18"/>
                <w:lang w:eastAsia="ko-KR"/>
              </w:rPr>
              <w:t xml:space="preserve"> Nuclear Materials</w:t>
            </w:r>
          </w:p>
          <w:p w14:paraId="2EDB5E6C" w14:textId="1F8C4E7D" w:rsidR="00B96E87" w:rsidRDefault="00B96E87" w:rsidP="00332C95">
            <w:pPr>
              <w:pStyle w:val="a1"/>
              <w:ind w:firstLine="0"/>
              <w:jc w:val="left"/>
              <w:rPr>
                <w:sz w:val="18"/>
                <w:lang w:eastAsia="ko-KR"/>
              </w:rPr>
            </w:pPr>
            <w:r>
              <w:rPr>
                <w:rFonts w:hint="eastAsia"/>
                <w:sz w:val="18"/>
                <w:lang w:eastAsia="ko-KR"/>
              </w:rPr>
              <w:t>(</w:t>
            </w:r>
            <w:r>
              <w:rPr>
                <w:sz w:val="18"/>
                <w:lang w:eastAsia="ko-KR"/>
              </w:rPr>
              <w:t>No. 2017-83)</w:t>
            </w:r>
          </w:p>
        </w:tc>
        <w:tc>
          <w:tcPr>
            <w:tcW w:w="1442" w:type="dxa"/>
          </w:tcPr>
          <w:p w14:paraId="30C21454" w14:textId="08B85884" w:rsidR="00B96E87" w:rsidRPr="00217536" w:rsidRDefault="00B96E87" w:rsidP="00332C95">
            <w:pPr>
              <w:pStyle w:val="a1"/>
              <w:ind w:firstLine="0"/>
              <w:jc w:val="left"/>
              <w:rPr>
                <w:sz w:val="18"/>
                <w:lang w:eastAsia="ko-KR"/>
              </w:rPr>
            </w:pPr>
            <w:r>
              <w:rPr>
                <w:sz w:val="18"/>
                <w:lang w:eastAsia="ko-KR"/>
              </w:rPr>
              <w:t>Article 16, and provisions mutatis mutandis</w:t>
            </w:r>
          </w:p>
        </w:tc>
        <w:tc>
          <w:tcPr>
            <w:tcW w:w="1136" w:type="dxa"/>
          </w:tcPr>
          <w:p w14:paraId="2092A2C0" w14:textId="55625693" w:rsidR="00B96E87" w:rsidRPr="00A823DD" w:rsidRDefault="00B96E87" w:rsidP="00332C95">
            <w:pPr>
              <w:pStyle w:val="a1"/>
              <w:ind w:firstLine="0"/>
              <w:jc w:val="left"/>
              <w:rPr>
                <w:sz w:val="18"/>
                <w:lang w:eastAsia="ko-KR"/>
              </w:rPr>
            </w:pPr>
            <w:r>
              <w:rPr>
                <w:rFonts w:hint="eastAsia"/>
                <w:sz w:val="18"/>
                <w:lang w:eastAsia="ko-KR"/>
              </w:rPr>
              <w:t>A</w:t>
            </w:r>
            <w:r>
              <w:rPr>
                <w:sz w:val="18"/>
                <w:lang w:eastAsia="ko-KR"/>
              </w:rPr>
              <w:t>rticle 26, and provisions mutatis mutandis</w:t>
            </w:r>
          </w:p>
        </w:tc>
        <w:tc>
          <w:tcPr>
            <w:tcW w:w="1066" w:type="dxa"/>
          </w:tcPr>
          <w:p w14:paraId="347A571F" w14:textId="38A01F04" w:rsidR="00B96E87" w:rsidRPr="00A823DD" w:rsidRDefault="00B96E87" w:rsidP="00332C95">
            <w:pPr>
              <w:pStyle w:val="a1"/>
              <w:ind w:firstLine="0"/>
              <w:jc w:val="left"/>
              <w:rPr>
                <w:sz w:val="18"/>
                <w:lang w:eastAsia="ko-KR"/>
              </w:rPr>
            </w:pPr>
            <w:r>
              <w:rPr>
                <w:rFonts w:hint="eastAsia"/>
                <w:sz w:val="18"/>
                <w:lang w:eastAsia="ko-KR"/>
              </w:rPr>
              <w:t>-</w:t>
            </w:r>
          </w:p>
        </w:tc>
        <w:tc>
          <w:tcPr>
            <w:tcW w:w="2926" w:type="dxa"/>
          </w:tcPr>
          <w:p w14:paraId="546D2304" w14:textId="0651E258" w:rsidR="00B96E87" w:rsidRPr="00A823DD" w:rsidRDefault="00B96E87" w:rsidP="00332C95">
            <w:pPr>
              <w:pStyle w:val="a1"/>
              <w:ind w:firstLine="0"/>
              <w:jc w:val="left"/>
              <w:rPr>
                <w:sz w:val="18"/>
                <w:lang w:eastAsia="ko-KR"/>
              </w:rPr>
            </w:pPr>
            <w:r>
              <w:rPr>
                <w:rFonts w:hint="eastAsia"/>
                <w:sz w:val="18"/>
                <w:lang w:eastAsia="ko-KR"/>
              </w:rPr>
              <w:t>T</w:t>
            </w:r>
            <w:r>
              <w:rPr>
                <w:sz w:val="18"/>
                <w:lang w:eastAsia="ko-KR"/>
              </w:rPr>
              <w:t>ypes, scopes, frequencies and others of inspections</w:t>
            </w:r>
          </w:p>
        </w:tc>
      </w:tr>
      <w:tr w:rsidR="00B96E87" w14:paraId="5D529192" w14:textId="77777777" w:rsidTr="000B6CCC">
        <w:trPr>
          <w:trHeight w:val="1119"/>
        </w:trPr>
        <w:tc>
          <w:tcPr>
            <w:tcW w:w="2497" w:type="dxa"/>
          </w:tcPr>
          <w:p w14:paraId="2E117A1A" w14:textId="7684100E" w:rsidR="00B96E87" w:rsidRDefault="00B96E87" w:rsidP="00332C95">
            <w:pPr>
              <w:pStyle w:val="a1"/>
              <w:ind w:firstLine="0"/>
              <w:jc w:val="left"/>
              <w:rPr>
                <w:sz w:val="18"/>
                <w:lang w:eastAsia="ko-KR"/>
              </w:rPr>
            </w:pPr>
            <w:r>
              <w:rPr>
                <w:rFonts w:hint="eastAsia"/>
                <w:sz w:val="18"/>
                <w:lang w:eastAsia="ko-KR"/>
              </w:rPr>
              <w:t>R</w:t>
            </w:r>
            <w:r>
              <w:rPr>
                <w:sz w:val="18"/>
                <w:lang w:eastAsia="ko-KR"/>
              </w:rPr>
              <w:t xml:space="preserve">egulation on </w:t>
            </w:r>
            <w:r w:rsidR="00332C95">
              <w:rPr>
                <w:sz w:val="18"/>
                <w:lang w:eastAsia="ko-KR"/>
              </w:rPr>
              <w:t>R</w:t>
            </w:r>
            <w:r>
              <w:rPr>
                <w:sz w:val="18"/>
                <w:lang w:eastAsia="ko-KR"/>
              </w:rPr>
              <w:t>eporting of International Strategic Material and others</w:t>
            </w:r>
            <w:r w:rsidR="00D03E83">
              <w:rPr>
                <w:sz w:val="18"/>
                <w:lang w:eastAsia="ko-KR"/>
              </w:rPr>
              <w:t xml:space="preserve"> [3]</w:t>
            </w:r>
          </w:p>
          <w:p w14:paraId="3183B7F1" w14:textId="3C116BC7" w:rsidR="00B96E87" w:rsidRPr="00A823DD" w:rsidRDefault="00B96E87" w:rsidP="00332C95">
            <w:pPr>
              <w:pStyle w:val="a1"/>
              <w:ind w:firstLine="0"/>
              <w:jc w:val="left"/>
              <w:rPr>
                <w:sz w:val="18"/>
                <w:lang w:eastAsia="ko-KR"/>
              </w:rPr>
            </w:pPr>
            <w:r>
              <w:rPr>
                <w:rFonts w:hint="eastAsia"/>
                <w:sz w:val="18"/>
                <w:lang w:eastAsia="ko-KR"/>
              </w:rPr>
              <w:t>(</w:t>
            </w:r>
            <w:r>
              <w:rPr>
                <w:sz w:val="18"/>
                <w:lang w:eastAsia="ko-KR"/>
              </w:rPr>
              <w:t>No. 2017-84)</w:t>
            </w:r>
          </w:p>
        </w:tc>
        <w:tc>
          <w:tcPr>
            <w:tcW w:w="1442" w:type="dxa"/>
          </w:tcPr>
          <w:p w14:paraId="25346D99" w14:textId="62DF4604" w:rsidR="00B96E87" w:rsidRPr="006D2D1D" w:rsidRDefault="00B96E87" w:rsidP="00332C95">
            <w:pPr>
              <w:pStyle w:val="a1"/>
              <w:ind w:firstLine="0"/>
              <w:jc w:val="left"/>
              <w:rPr>
                <w:b/>
                <w:sz w:val="18"/>
                <w:u w:val="single"/>
                <w:lang w:eastAsia="ko-KR"/>
              </w:rPr>
            </w:pPr>
            <w:r w:rsidRPr="006D2D1D">
              <w:rPr>
                <w:rFonts w:hint="eastAsia"/>
                <w:b/>
                <w:sz w:val="18"/>
                <w:u w:val="single"/>
                <w:lang w:eastAsia="ko-KR"/>
              </w:rPr>
              <w:t>A</w:t>
            </w:r>
            <w:r w:rsidRPr="006D2D1D">
              <w:rPr>
                <w:b/>
                <w:sz w:val="18"/>
                <w:u w:val="single"/>
                <w:lang w:eastAsia="ko-KR"/>
              </w:rPr>
              <w:t>rticle 98</w:t>
            </w:r>
          </w:p>
        </w:tc>
        <w:tc>
          <w:tcPr>
            <w:tcW w:w="1136" w:type="dxa"/>
          </w:tcPr>
          <w:p w14:paraId="675D4046" w14:textId="07657EA2" w:rsidR="00B96E87" w:rsidRPr="00A823DD" w:rsidRDefault="00B96E87" w:rsidP="00332C95">
            <w:pPr>
              <w:pStyle w:val="a1"/>
              <w:ind w:firstLine="0"/>
              <w:jc w:val="left"/>
              <w:rPr>
                <w:sz w:val="18"/>
                <w:lang w:eastAsia="ko-KR"/>
              </w:rPr>
            </w:pPr>
            <w:r>
              <w:rPr>
                <w:rFonts w:hint="eastAsia"/>
                <w:sz w:val="18"/>
                <w:lang w:eastAsia="ko-KR"/>
              </w:rPr>
              <w:t>A</w:t>
            </w:r>
            <w:r>
              <w:rPr>
                <w:sz w:val="18"/>
                <w:lang w:eastAsia="ko-KR"/>
              </w:rPr>
              <w:t>rticle 138 or 142</w:t>
            </w:r>
          </w:p>
        </w:tc>
        <w:tc>
          <w:tcPr>
            <w:tcW w:w="1066" w:type="dxa"/>
          </w:tcPr>
          <w:p w14:paraId="7F77B862" w14:textId="3D3B9D31" w:rsidR="00B96E87" w:rsidRPr="00A823DD" w:rsidRDefault="00B96E87" w:rsidP="00332C95">
            <w:pPr>
              <w:pStyle w:val="a1"/>
              <w:ind w:firstLine="0"/>
              <w:jc w:val="left"/>
              <w:rPr>
                <w:sz w:val="18"/>
                <w:lang w:eastAsia="ko-KR"/>
              </w:rPr>
            </w:pPr>
            <w:r>
              <w:rPr>
                <w:rFonts w:hint="eastAsia"/>
                <w:sz w:val="18"/>
                <w:lang w:eastAsia="ko-KR"/>
              </w:rPr>
              <w:t>A</w:t>
            </w:r>
            <w:r>
              <w:rPr>
                <w:sz w:val="18"/>
                <w:lang w:eastAsia="ko-KR"/>
              </w:rPr>
              <w:t>rticle 127, 129, 130</w:t>
            </w:r>
          </w:p>
        </w:tc>
        <w:tc>
          <w:tcPr>
            <w:tcW w:w="2926" w:type="dxa"/>
          </w:tcPr>
          <w:p w14:paraId="507616B9" w14:textId="4C4939D7" w:rsidR="00B96E87" w:rsidRPr="00A823DD" w:rsidRDefault="00B96E87" w:rsidP="00332C95">
            <w:pPr>
              <w:pStyle w:val="a1"/>
              <w:ind w:firstLine="0"/>
              <w:jc w:val="left"/>
              <w:rPr>
                <w:sz w:val="18"/>
                <w:lang w:eastAsia="ko-KR"/>
              </w:rPr>
            </w:pPr>
            <w:r>
              <w:rPr>
                <w:rFonts w:hint="eastAsia"/>
                <w:sz w:val="18"/>
                <w:lang w:eastAsia="ko-KR"/>
              </w:rPr>
              <w:t>T</w:t>
            </w:r>
            <w:r>
              <w:rPr>
                <w:sz w:val="18"/>
                <w:lang w:eastAsia="ko-KR"/>
              </w:rPr>
              <w:t>he scope of reporting entities, reporting items, deadlines, verification of reporting content, and the basis for inspection by the IAEA</w:t>
            </w:r>
          </w:p>
        </w:tc>
      </w:tr>
      <w:tr w:rsidR="00B96E87" w14:paraId="7BE961B9" w14:textId="77777777" w:rsidTr="000B6CCC">
        <w:trPr>
          <w:trHeight w:val="686"/>
        </w:trPr>
        <w:tc>
          <w:tcPr>
            <w:tcW w:w="2497" w:type="dxa"/>
          </w:tcPr>
          <w:p w14:paraId="43A76A20" w14:textId="3646028F" w:rsidR="00B96E87" w:rsidRPr="00A823DD" w:rsidRDefault="00B96E87" w:rsidP="00332C95">
            <w:pPr>
              <w:pStyle w:val="a1"/>
              <w:ind w:firstLine="0"/>
              <w:jc w:val="left"/>
              <w:rPr>
                <w:sz w:val="18"/>
                <w:lang w:eastAsia="ko-KR"/>
              </w:rPr>
            </w:pPr>
            <w:r>
              <w:rPr>
                <w:rFonts w:hint="eastAsia"/>
                <w:sz w:val="18"/>
                <w:lang w:eastAsia="ko-KR"/>
              </w:rPr>
              <w:t>R</w:t>
            </w:r>
            <w:r>
              <w:rPr>
                <w:sz w:val="18"/>
                <w:lang w:eastAsia="ko-KR"/>
              </w:rPr>
              <w:t xml:space="preserve">egulation on </w:t>
            </w:r>
            <w:r w:rsidR="00332C95">
              <w:rPr>
                <w:sz w:val="18"/>
                <w:lang w:eastAsia="ko-KR"/>
              </w:rPr>
              <w:t>T</w:t>
            </w:r>
            <w:r>
              <w:rPr>
                <w:sz w:val="18"/>
                <w:lang w:eastAsia="ko-KR"/>
              </w:rPr>
              <w:t xml:space="preserve">raining of the </w:t>
            </w:r>
            <w:r w:rsidR="00332C95">
              <w:rPr>
                <w:sz w:val="18"/>
                <w:lang w:eastAsia="ko-KR"/>
              </w:rPr>
              <w:t>N</w:t>
            </w:r>
            <w:r>
              <w:rPr>
                <w:sz w:val="18"/>
                <w:lang w:eastAsia="ko-KR"/>
              </w:rPr>
              <w:t xml:space="preserve">uclear </w:t>
            </w:r>
            <w:r w:rsidR="00332C95">
              <w:rPr>
                <w:sz w:val="18"/>
                <w:lang w:eastAsia="ko-KR"/>
              </w:rPr>
              <w:t>C</w:t>
            </w:r>
            <w:r>
              <w:rPr>
                <w:sz w:val="18"/>
                <w:lang w:eastAsia="ko-KR"/>
              </w:rPr>
              <w:t>ontrol</w:t>
            </w:r>
          </w:p>
        </w:tc>
        <w:tc>
          <w:tcPr>
            <w:tcW w:w="1442" w:type="dxa"/>
          </w:tcPr>
          <w:p w14:paraId="089F3089" w14:textId="69930F40" w:rsidR="00B96E87" w:rsidRPr="006D2D1D" w:rsidRDefault="00B96E87" w:rsidP="00332C95">
            <w:pPr>
              <w:pStyle w:val="a1"/>
              <w:ind w:firstLine="0"/>
              <w:jc w:val="left"/>
              <w:rPr>
                <w:sz w:val="18"/>
                <w:lang w:eastAsia="ko-KR"/>
              </w:rPr>
            </w:pPr>
            <w:r>
              <w:rPr>
                <w:rFonts w:hint="eastAsia"/>
                <w:sz w:val="18"/>
                <w:lang w:eastAsia="ko-KR"/>
              </w:rPr>
              <w:t>A</w:t>
            </w:r>
            <w:r>
              <w:rPr>
                <w:sz w:val="18"/>
                <w:lang w:eastAsia="ko-KR"/>
              </w:rPr>
              <w:t>rticle 106</w:t>
            </w:r>
          </w:p>
        </w:tc>
        <w:tc>
          <w:tcPr>
            <w:tcW w:w="1136" w:type="dxa"/>
          </w:tcPr>
          <w:p w14:paraId="5E15A241" w14:textId="588249A9" w:rsidR="00B96E87" w:rsidRPr="00A823DD" w:rsidRDefault="00B96E87" w:rsidP="00332C95">
            <w:pPr>
              <w:pStyle w:val="a1"/>
              <w:ind w:firstLine="0"/>
              <w:jc w:val="left"/>
              <w:rPr>
                <w:sz w:val="18"/>
                <w:lang w:eastAsia="ko-KR"/>
              </w:rPr>
            </w:pPr>
            <w:r>
              <w:rPr>
                <w:rFonts w:hint="eastAsia"/>
                <w:sz w:val="18"/>
                <w:lang w:eastAsia="ko-KR"/>
              </w:rPr>
              <w:t>A</w:t>
            </w:r>
            <w:r>
              <w:rPr>
                <w:sz w:val="18"/>
                <w:lang w:eastAsia="ko-KR"/>
              </w:rPr>
              <w:t>rticle 150</w:t>
            </w:r>
          </w:p>
        </w:tc>
        <w:tc>
          <w:tcPr>
            <w:tcW w:w="1066" w:type="dxa"/>
          </w:tcPr>
          <w:p w14:paraId="7EFE7113" w14:textId="25E7B508" w:rsidR="00B96E87" w:rsidRPr="00A823DD" w:rsidRDefault="00B96E87" w:rsidP="00332C95">
            <w:pPr>
              <w:pStyle w:val="a1"/>
              <w:ind w:firstLine="0"/>
              <w:jc w:val="left"/>
              <w:rPr>
                <w:sz w:val="18"/>
                <w:lang w:eastAsia="ko-KR"/>
              </w:rPr>
            </w:pPr>
            <w:r>
              <w:rPr>
                <w:rFonts w:hint="eastAsia"/>
                <w:sz w:val="18"/>
                <w:lang w:eastAsia="ko-KR"/>
              </w:rPr>
              <w:t>A</w:t>
            </w:r>
            <w:r>
              <w:rPr>
                <w:sz w:val="18"/>
                <w:lang w:eastAsia="ko-KR"/>
              </w:rPr>
              <w:t>rticle 141</w:t>
            </w:r>
          </w:p>
        </w:tc>
        <w:tc>
          <w:tcPr>
            <w:tcW w:w="2926" w:type="dxa"/>
          </w:tcPr>
          <w:p w14:paraId="278A3393" w14:textId="504233DD" w:rsidR="00B96E87" w:rsidRPr="00A823DD" w:rsidRDefault="00B96E87" w:rsidP="00332C95">
            <w:pPr>
              <w:pStyle w:val="a1"/>
              <w:ind w:firstLine="0"/>
              <w:jc w:val="left"/>
              <w:rPr>
                <w:sz w:val="18"/>
                <w:lang w:eastAsia="ko-KR"/>
              </w:rPr>
            </w:pPr>
            <w:r>
              <w:rPr>
                <w:sz w:val="18"/>
                <w:lang w:eastAsia="ko-KR"/>
              </w:rPr>
              <w:t xml:space="preserve">Training participants, training hours, methods and contents </w:t>
            </w:r>
          </w:p>
        </w:tc>
      </w:tr>
    </w:tbl>
    <w:p w14:paraId="3CACB199" w14:textId="5699BB15" w:rsidR="009876BE" w:rsidRDefault="009876BE" w:rsidP="00B96E87">
      <w:pPr>
        <w:pStyle w:val="a1"/>
        <w:ind w:firstLine="0"/>
        <w:rPr>
          <w:lang w:eastAsia="ko-KR"/>
        </w:rPr>
      </w:pPr>
    </w:p>
    <w:p w14:paraId="17634B10" w14:textId="310E72E2" w:rsidR="002F5218" w:rsidRDefault="002F5218" w:rsidP="002F5218">
      <w:pPr>
        <w:pStyle w:val="a1"/>
        <w:rPr>
          <w:lang w:eastAsia="ko-KR"/>
        </w:rPr>
      </w:pPr>
      <w:r>
        <w:t>Moreover, Notification 2017-84 related to Article 98 explains the types of D</w:t>
      </w:r>
      <w:r w:rsidR="009E704F">
        <w:t>I</w:t>
      </w:r>
      <w:r>
        <w:t xml:space="preserve">s and DIQs, but does not specify </w:t>
      </w:r>
      <w:r w:rsidR="006D680C">
        <w:t>the detailed information that should be included. Therefore, it is necessary to clearly explain what specific contents should be included in DIs (or DIQs) to ensure it aligns well with the IAEA’s DIQ</w:t>
      </w:r>
      <w:r w:rsidR="001A0F8F">
        <w:t xml:space="preserve"> [4]</w:t>
      </w:r>
      <w:r w:rsidR="006D680C">
        <w:t>. Thus, it is also necessary to add the following phrase to the enforcement decree or notification.</w:t>
      </w:r>
    </w:p>
    <w:p w14:paraId="3C7C6238" w14:textId="77777777" w:rsidR="006D680C" w:rsidRDefault="006D680C" w:rsidP="006D680C">
      <w:pPr>
        <w:pStyle w:val="a1"/>
      </w:pPr>
    </w:p>
    <w:p w14:paraId="1A7EE37D" w14:textId="202D0AF1" w:rsidR="006D680C" w:rsidRPr="001A0F8F" w:rsidRDefault="006D680C" w:rsidP="006D680C">
      <w:pPr>
        <w:pStyle w:val="a1"/>
        <w:rPr>
          <w:i/>
        </w:rPr>
      </w:pPr>
      <w:r w:rsidRPr="001A0F8F">
        <w:rPr>
          <w:i/>
        </w:rPr>
        <w:t xml:space="preserve">The design information or design information questionnaire related to the management of </w:t>
      </w:r>
      <w:r w:rsidR="001A0F8F" w:rsidRPr="001A0F8F">
        <w:rPr>
          <w:i/>
        </w:rPr>
        <w:t>international strategic materials must include the following items in accordance with the guidelines established and notified by NSSC</w:t>
      </w:r>
      <w:r w:rsidRPr="001A0F8F">
        <w:rPr>
          <w:i/>
        </w:rPr>
        <w:t>:</w:t>
      </w:r>
    </w:p>
    <w:p w14:paraId="7B099617" w14:textId="5ECEBDD7" w:rsidR="001A0F8F" w:rsidRPr="001A0F8F" w:rsidRDefault="001A0F8F" w:rsidP="001A0F8F">
      <w:pPr>
        <w:pStyle w:val="a1"/>
        <w:numPr>
          <w:ilvl w:val="0"/>
          <w:numId w:val="47"/>
        </w:numPr>
        <w:rPr>
          <w:i/>
          <w:lang w:eastAsia="ko-KR"/>
        </w:rPr>
      </w:pPr>
      <w:r w:rsidRPr="001A0F8F">
        <w:rPr>
          <w:i/>
          <w:lang w:eastAsia="ko-KR"/>
        </w:rPr>
        <w:t>General information about the facility and reactor, and their intended use.</w:t>
      </w:r>
    </w:p>
    <w:p w14:paraId="228B8DE1" w14:textId="438853C5" w:rsidR="001A0F8F" w:rsidRPr="001A0F8F" w:rsidRDefault="001A0F8F" w:rsidP="001A0F8F">
      <w:pPr>
        <w:pStyle w:val="a1"/>
        <w:numPr>
          <w:ilvl w:val="0"/>
          <w:numId w:val="47"/>
        </w:numPr>
        <w:rPr>
          <w:i/>
          <w:lang w:eastAsia="ko-KR"/>
        </w:rPr>
      </w:pPr>
      <w:r w:rsidRPr="001A0F8F">
        <w:rPr>
          <w:i/>
          <w:lang w:eastAsia="ko-KR"/>
        </w:rPr>
        <w:t>Detailed design information related to nuclear material</w:t>
      </w:r>
      <w:r>
        <w:rPr>
          <w:i/>
          <w:lang w:eastAsia="ko-KR"/>
        </w:rPr>
        <w:t>, fuel assemblies</w:t>
      </w:r>
      <w:r w:rsidRPr="001A0F8F">
        <w:rPr>
          <w:i/>
          <w:lang w:eastAsia="ko-KR"/>
        </w:rPr>
        <w:t>, paths, and relevant diagrams</w:t>
      </w:r>
    </w:p>
    <w:p w14:paraId="4F6ADA01" w14:textId="15F6FE97" w:rsidR="001A0F8F" w:rsidRDefault="001A0F8F" w:rsidP="001A0F8F">
      <w:pPr>
        <w:pStyle w:val="a1"/>
        <w:numPr>
          <w:ilvl w:val="0"/>
          <w:numId w:val="47"/>
        </w:numPr>
        <w:rPr>
          <w:i/>
          <w:lang w:eastAsia="ko-KR"/>
        </w:rPr>
      </w:pPr>
      <w:r>
        <w:rPr>
          <w:i/>
          <w:lang w:eastAsia="ko-KR"/>
        </w:rPr>
        <w:t>Systems for the transfer of nuclear material and main storage locations, along with related diagrams</w:t>
      </w:r>
    </w:p>
    <w:p w14:paraId="3F91A738" w14:textId="6FA71395" w:rsidR="001A0F8F" w:rsidRDefault="000B6CCC" w:rsidP="001A0F8F">
      <w:pPr>
        <w:pStyle w:val="a1"/>
        <w:numPr>
          <w:ilvl w:val="0"/>
          <w:numId w:val="47"/>
        </w:numPr>
        <w:rPr>
          <w:i/>
          <w:lang w:eastAsia="ko-KR"/>
        </w:rPr>
      </w:pPr>
      <w:r>
        <w:rPr>
          <w:rFonts w:hint="eastAsia"/>
          <w:i/>
          <w:lang w:eastAsia="ko-KR"/>
        </w:rPr>
        <w:t>C</w:t>
      </w:r>
      <w:r>
        <w:rPr>
          <w:i/>
          <w:lang w:eastAsia="ko-KR"/>
        </w:rPr>
        <w:t>oolant information and diagrams for estimating core powers and operational status</w:t>
      </w:r>
    </w:p>
    <w:p w14:paraId="77A73B54" w14:textId="664AD8A6" w:rsidR="000B6CCC" w:rsidRDefault="000B6CCC" w:rsidP="001A0F8F">
      <w:pPr>
        <w:pStyle w:val="a1"/>
        <w:numPr>
          <w:ilvl w:val="0"/>
          <w:numId w:val="47"/>
        </w:numPr>
        <w:rPr>
          <w:i/>
          <w:lang w:eastAsia="ko-KR"/>
        </w:rPr>
      </w:pPr>
      <w:r>
        <w:rPr>
          <w:i/>
          <w:lang w:eastAsia="ko-KR"/>
        </w:rPr>
        <w:t>Management plans and diagrams for nuclear material accountancy</w:t>
      </w:r>
    </w:p>
    <w:p w14:paraId="3BD1963F" w14:textId="5CFF5354" w:rsidR="000B6CCC" w:rsidRDefault="000B6CCC" w:rsidP="001A0F8F">
      <w:pPr>
        <w:pStyle w:val="a1"/>
        <w:numPr>
          <w:ilvl w:val="0"/>
          <w:numId w:val="47"/>
        </w:numPr>
        <w:rPr>
          <w:i/>
          <w:lang w:eastAsia="ko-KR"/>
        </w:rPr>
      </w:pPr>
      <w:r>
        <w:rPr>
          <w:rFonts w:hint="eastAsia"/>
          <w:i/>
          <w:lang w:eastAsia="ko-KR"/>
        </w:rPr>
        <w:t>P</w:t>
      </w:r>
      <w:r>
        <w:rPr>
          <w:i/>
          <w:lang w:eastAsia="ko-KR"/>
        </w:rPr>
        <w:t>rotection and safety measures for the facility</w:t>
      </w:r>
    </w:p>
    <w:p w14:paraId="4A2C964E" w14:textId="36791EBC" w:rsidR="000B6CCC" w:rsidRPr="001A0F8F" w:rsidRDefault="000B6CCC" w:rsidP="001A0F8F">
      <w:pPr>
        <w:pStyle w:val="a1"/>
        <w:numPr>
          <w:ilvl w:val="0"/>
          <w:numId w:val="47"/>
        </w:numPr>
        <w:rPr>
          <w:i/>
          <w:lang w:eastAsia="ko-KR"/>
        </w:rPr>
      </w:pPr>
      <w:r>
        <w:rPr>
          <w:i/>
          <w:lang w:eastAsia="ko-KR"/>
        </w:rPr>
        <w:t>Facility decommissioning plan, including methods for nuclear material removal and recovery</w:t>
      </w:r>
    </w:p>
    <w:p w14:paraId="1E2733B5" w14:textId="77777777" w:rsidR="002C0D0D" w:rsidRPr="006F774F" w:rsidRDefault="002C0D0D" w:rsidP="006D680C">
      <w:pPr>
        <w:pStyle w:val="a1"/>
      </w:pPr>
    </w:p>
    <w:p w14:paraId="6F593958" w14:textId="705E3FF1" w:rsidR="001C23E4" w:rsidRPr="00EE0041" w:rsidRDefault="001C23E4" w:rsidP="001C23E4">
      <w:pPr>
        <w:pStyle w:val="3"/>
      </w:pPr>
      <w:r>
        <w:t>Using Existing Regulation</w:t>
      </w:r>
    </w:p>
    <w:p w14:paraId="339D3AE4" w14:textId="20034C39" w:rsidR="00865650" w:rsidRDefault="001C23E4" w:rsidP="00F94B24">
      <w:pPr>
        <w:pStyle w:val="a1"/>
      </w:pPr>
      <w:r w:rsidRPr="001C23E4">
        <w:t xml:space="preserve">Table </w:t>
      </w:r>
      <w:r w:rsidR="003F2515">
        <w:t>4</w:t>
      </w:r>
      <w:r w:rsidRPr="001C23E4">
        <w:t xml:space="preserve"> shows that licensees are required to submit Design Information (DI) or DIQ at each nuclear power plant construction stage. The SSAC may request these documents one month earlier than specified in the subsidiary arrangement for timely review before IAEA submission. The Regulation on the Report of International Strategic Materials (RISM) outlines document submission deadlines. </w:t>
      </w:r>
    </w:p>
    <w:p w14:paraId="2114F3FF" w14:textId="77777777" w:rsidR="001C23E4" w:rsidRDefault="001C23E4" w:rsidP="00865650"/>
    <w:p w14:paraId="5598F57B" w14:textId="0A26AB66" w:rsidR="00865650" w:rsidRPr="005B1EC6" w:rsidRDefault="000F6689" w:rsidP="00865650">
      <w:pPr>
        <w:rPr>
          <w:sz w:val="20"/>
        </w:rPr>
      </w:pPr>
      <w:r w:rsidRPr="005B1EC6">
        <w:rPr>
          <w:sz w:val="20"/>
        </w:rPr>
        <w:t xml:space="preserve">TABLE </w:t>
      </w:r>
      <w:r w:rsidR="003F2515">
        <w:rPr>
          <w:sz w:val="20"/>
        </w:rPr>
        <w:t>4</w:t>
      </w:r>
      <w:r w:rsidRPr="005B1EC6">
        <w:rPr>
          <w:sz w:val="20"/>
        </w:rPr>
        <w:t>.</w:t>
      </w:r>
      <w:r w:rsidRPr="005B1EC6">
        <w:rPr>
          <w:sz w:val="20"/>
        </w:rPr>
        <w:tab/>
      </w:r>
      <w:r w:rsidR="001C23E4" w:rsidRPr="005B1EC6">
        <w:rPr>
          <w:sz w:val="20"/>
        </w:rPr>
        <w:t xml:space="preserve">DOCUMENT SUBMISSION TIMELINE </w:t>
      </w:r>
    </w:p>
    <w:p w14:paraId="3429E25D" w14:textId="77777777" w:rsidR="000F6689" w:rsidRPr="00865650" w:rsidRDefault="000F6689" w:rsidP="00865650"/>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692"/>
        <w:gridCol w:w="2692"/>
      </w:tblGrid>
      <w:tr w:rsidR="00865650" w:rsidRPr="00A555BF" w14:paraId="335A1D1A" w14:textId="77777777" w:rsidTr="001C23E4">
        <w:trPr>
          <w:jc w:val="center"/>
        </w:trPr>
        <w:tc>
          <w:tcPr>
            <w:tcW w:w="2691" w:type="dxa"/>
            <w:shd w:val="clear" w:color="auto" w:fill="auto"/>
          </w:tcPr>
          <w:p w14:paraId="6C711731" w14:textId="77777777" w:rsidR="00865650" w:rsidRPr="003446D8" w:rsidRDefault="00865650" w:rsidP="00F6649F">
            <w:pPr>
              <w:pStyle w:val="para1MSMinchoMSMinc"/>
              <w:ind w:firstLineChars="0" w:firstLine="0"/>
              <w:jc w:val="center"/>
              <w:rPr>
                <w:rFonts w:ascii="TimesNewRoman" w:eastAsia="바탕" w:hAnsi="TimesNewRoman"/>
                <w:b/>
                <w:sz w:val="18"/>
                <w:szCs w:val="18"/>
                <w:lang w:eastAsia="ko-KR"/>
              </w:rPr>
            </w:pPr>
            <w:r w:rsidRPr="003446D8">
              <w:rPr>
                <w:rFonts w:ascii="TimesNewRoman" w:eastAsia="바탕" w:hAnsi="TimesNewRoman" w:hint="eastAsia"/>
                <w:b/>
                <w:sz w:val="18"/>
                <w:szCs w:val="18"/>
                <w:lang w:eastAsia="ko-KR"/>
              </w:rPr>
              <w:t>S</w:t>
            </w:r>
            <w:r w:rsidRPr="003446D8">
              <w:rPr>
                <w:rFonts w:ascii="TimesNewRoman" w:eastAsia="바탕" w:hAnsi="TimesNewRoman"/>
                <w:b/>
                <w:sz w:val="18"/>
                <w:szCs w:val="18"/>
                <w:lang w:eastAsia="ko-KR"/>
              </w:rPr>
              <w:t>ubject</w:t>
            </w:r>
          </w:p>
        </w:tc>
        <w:tc>
          <w:tcPr>
            <w:tcW w:w="2692" w:type="dxa"/>
            <w:shd w:val="clear" w:color="auto" w:fill="auto"/>
          </w:tcPr>
          <w:p w14:paraId="4993AD4F" w14:textId="77777777" w:rsidR="00865650" w:rsidRPr="003446D8" w:rsidRDefault="00865650" w:rsidP="00F6649F">
            <w:pPr>
              <w:pStyle w:val="para1MSMinchoMSMinc"/>
              <w:ind w:firstLineChars="0" w:firstLine="0"/>
              <w:jc w:val="center"/>
              <w:rPr>
                <w:rFonts w:ascii="TimesNewRoman" w:eastAsia="바탕" w:hAnsi="TimesNewRoman"/>
                <w:b/>
                <w:sz w:val="18"/>
                <w:szCs w:val="18"/>
                <w:lang w:eastAsia="ko-KR"/>
              </w:rPr>
            </w:pPr>
            <w:r w:rsidRPr="003446D8">
              <w:rPr>
                <w:rFonts w:ascii="TimesNewRoman" w:eastAsia="바탕" w:hAnsi="TimesNewRoman" w:hint="eastAsia"/>
                <w:b/>
                <w:sz w:val="18"/>
                <w:szCs w:val="18"/>
                <w:lang w:eastAsia="ko-KR"/>
              </w:rPr>
              <w:t>S</w:t>
            </w:r>
            <w:r w:rsidRPr="003446D8">
              <w:rPr>
                <w:rFonts w:ascii="TimesNewRoman" w:eastAsia="바탕" w:hAnsi="TimesNewRoman"/>
                <w:b/>
                <w:sz w:val="18"/>
                <w:szCs w:val="18"/>
                <w:lang w:eastAsia="ko-KR"/>
              </w:rPr>
              <w:t>ubsidiary</w:t>
            </w:r>
          </w:p>
          <w:p w14:paraId="416C88F0" w14:textId="77777777" w:rsidR="00865650" w:rsidRPr="003446D8" w:rsidRDefault="00865650" w:rsidP="00F6649F">
            <w:pPr>
              <w:pStyle w:val="para1MSMinchoMSMinc"/>
              <w:ind w:firstLineChars="0" w:firstLine="0"/>
              <w:jc w:val="center"/>
              <w:rPr>
                <w:rFonts w:ascii="TimesNewRoman" w:eastAsia="바탕" w:hAnsi="TimesNewRoman"/>
                <w:b/>
                <w:sz w:val="18"/>
                <w:szCs w:val="18"/>
                <w:lang w:eastAsia="ko-KR"/>
              </w:rPr>
            </w:pPr>
            <w:r>
              <w:rPr>
                <w:rFonts w:ascii="TimesNewRoman" w:eastAsia="바탕" w:hAnsi="TimesNewRoman" w:hint="eastAsia"/>
                <w:b/>
                <w:sz w:val="18"/>
                <w:szCs w:val="18"/>
                <w:lang w:eastAsia="ko-KR"/>
              </w:rPr>
              <w:t>A</w:t>
            </w:r>
            <w:r>
              <w:rPr>
                <w:rFonts w:ascii="TimesNewRoman" w:eastAsia="바탕" w:hAnsi="TimesNewRoman"/>
                <w:b/>
                <w:sz w:val="18"/>
                <w:szCs w:val="18"/>
                <w:lang w:eastAsia="ko-KR"/>
              </w:rPr>
              <w:t>rrangement</w:t>
            </w:r>
          </w:p>
        </w:tc>
        <w:tc>
          <w:tcPr>
            <w:tcW w:w="2692" w:type="dxa"/>
            <w:shd w:val="clear" w:color="auto" w:fill="auto"/>
          </w:tcPr>
          <w:p w14:paraId="7BCE45D6" w14:textId="77777777" w:rsidR="00865650" w:rsidRPr="003446D8" w:rsidRDefault="00865650" w:rsidP="00F6649F">
            <w:pPr>
              <w:pStyle w:val="para1MSMinchoMSMinc"/>
              <w:ind w:firstLineChars="0" w:firstLine="0"/>
              <w:jc w:val="center"/>
              <w:rPr>
                <w:rFonts w:ascii="TimesNewRoman" w:eastAsia="바탕" w:hAnsi="TimesNewRoman"/>
                <w:b/>
                <w:sz w:val="18"/>
                <w:szCs w:val="18"/>
                <w:lang w:eastAsia="ko-KR"/>
              </w:rPr>
            </w:pPr>
            <w:r>
              <w:rPr>
                <w:rFonts w:ascii="TimesNewRoman" w:eastAsia="바탕" w:hAnsi="TimesNewRoman" w:hint="eastAsia"/>
                <w:b/>
                <w:sz w:val="18"/>
                <w:szCs w:val="18"/>
                <w:lang w:eastAsia="ko-KR"/>
              </w:rPr>
              <w:t>R</w:t>
            </w:r>
            <w:r>
              <w:rPr>
                <w:rFonts w:ascii="TimesNewRoman" w:eastAsia="바탕" w:hAnsi="TimesNewRoman"/>
                <w:b/>
                <w:sz w:val="18"/>
                <w:szCs w:val="18"/>
                <w:lang w:eastAsia="ko-KR"/>
              </w:rPr>
              <w:t>ISM</w:t>
            </w:r>
          </w:p>
        </w:tc>
      </w:tr>
      <w:tr w:rsidR="00865650" w:rsidRPr="00A555BF" w14:paraId="5684E5B0" w14:textId="77777777" w:rsidTr="000B6CCC">
        <w:trPr>
          <w:trHeight w:val="1098"/>
          <w:jc w:val="center"/>
        </w:trPr>
        <w:tc>
          <w:tcPr>
            <w:tcW w:w="2691" w:type="dxa"/>
            <w:shd w:val="clear" w:color="auto" w:fill="auto"/>
          </w:tcPr>
          <w:p w14:paraId="231B39C0" w14:textId="77777777" w:rsidR="00865650" w:rsidRPr="000B6CCC" w:rsidRDefault="00865650" w:rsidP="000B6CCC">
            <w:pPr>
              <w:pStyle w:val="a1"/>
              <w:ind w:firstLine="0"/>
              <w:jc w:val="left"/>
              <w:rPr>
                <w:sz w:val="18"/>
                <w:lang w:eastAsia="ko-KR"/>
              </w:rPr>
            </w:pPr>
            <w:r w:rsidRPr="000B6CCC">
              <w:rPr>
                <w:rFonts w:hint="eastAsia"/>
                <w:sz w:val="18"/>
                <w:lang w:eastAsia="ko-KR"/>
              </w:rPr>
              <w:t>P</w:t>
            </w:r>
            <w:r w:rsidRPr="000B6CCC">
              <w:rPr>
                <w:sz w:val="18"/>
                <w:lang w:eastAsia="ko-KR"/>
              </w:rPr>
              <w:t>rovision of preliminary design information for new facilities</w:t>
            </w:r>
          </w:p>
        </w:tc>
        <w:tc>
          <w:tcPr>
            <w:tcW w:w="2692" w:type="dxa"/>
            <w:shd w:val="clear" w:color="auto" w:fill="auto"/>
          </w:tcPr>
          <w:p w14:paraId="66834347" w14:textId="77777777" w:rsidR="00865650" w:rsidRPr="000B6CCC" w:rsidRDefault="00865650" w:rsidP="000B6CCC">
            <w:pPr>
              <w:pStyle w:val="a1"/>
              <w:ind w:firstLine="0"/>
              <w:jc w:val="left"/>
              <w:rPr>
                <w:sz w:val="18"/>
                <w:lang w:eastAsia="ko-KR"/>
              </w:rPr>
            </w:pPr>
            <w:r w:rsidRPr="000B6CCC">
              <w:rPr>
                <w:rFonts w:hint="eastAsia"/>
                <w:sz w:val="18"/>
                <w:lang w:eastAsia="ko-KR"/>
              </w:rPr>
              <w:t>A</w:t>
            </w:r>
            <w:r w:rsidRPr="000B6CCC">
              <w:rPr>
                <w:sz w:val="18"/>
                <w:lang w:eastAsia="ko-KR"/>
              </w:rPr>
              <w:t>s soon as the decision to construct or authorize construction has been taken, whichever is earlier</w:t>
            </w:r>
          </w:p>
        </w:tc>
        <w:tc>
          <w:tcPr>
            <w:tcW w:w="2692" w:type="dxa"/>
            <w:shd w:val="clear" w:color="auto" w:fill="auto"/>
          </w:tcPr>
          <w:p w14:paraId="54B8F467" w14:textId="2FBCD5B7" w:rsidR="00865650" w:rsidRPr="000B6CCC" w:rsidRDefault="00865650" w:rsidP="000B6CCC">
            <w:pPr>
              <w:pStyle w:val="a1"/>
              <w:ind w:firstLine="0"/>
              <w:jc w:val="left"/>
              <w:rPr>
                <w:sz w:val="18"/>
                <w:lang w:eastAsia="ko-KR"/>
              </w:rPr>
            </w:pPr>
            <w:r w:rsidRPr="000B6CCC">
              <w:rPr>
                <w:sz w:val="18"/>
                <w:lang w:eastAsia="ko-KR"/>
              </w:rPr>
              <w:t xml:space="preserve">Within one month after </w:t>
            </w:r>
            <w:r w:rsidR="00562A10">
              <w:rPr>
                <w:sz w:val="18"/>
                <w:lang w:eastAsia="ko-KR"/>
              </w:rPr>
              <w:t xml:space="preserve">the </w:t>
            </w:r>
            <w:r w:rsidRPr="000B6CCC">
              <w:rPr>
                <w:sz w:val="18"/>
                <w:lang w:eastAsia="ko-KR"/>
              </w:rPr>
              <w:t>construction plan or authoriz</w:t>
            </w:r>
            <w:r w:rsidR="00562A10">
              <w:rPr>
                <w:sz w:val="18"/>
                <w:lang w:eastAsia="ko-KR"/>
              </w:rPr>
              <w:t>ation</w:t>
            </w:r>
          </w:p>
        </w:tc>
      </w:tr>
      <w:tr w:rsidR="00865650" w:rsidRPr="00A555BF" w14:paraId="1A1A9751" w14:textId="77777777" w:rsidTr="000B6CCC">
        <w:trPr>
          <w:trHeight w:val="1411"/>
          <w:jc w:val="center"/>
        </w:trPr>
        <w:tc>
          <w:tcPr>
            <w:tcW w:w="2691" w:type="dxa"/>
            <w:shd w:val="clear" w:color="auto" w:fill="auto"/>
          </w:tcPr>
          <w:p w14:paraId="436C7BB6" w14:textId="77777777" w:rsidR="00865650" w:rsidRPr="000B6CCC" w:rsidRDefault="00865650" w:rsidP="000B6CCC">
            <w:pPr>
              <w:pStyle w:val="a1"/>
              <w:ind w:firstLine="0"/>
              <w:jc w:val="left"/>
              <w:rPr>
                <w:sz w:val="18"/>
                <w:lang w:eastAsia="ko-KR"/>
              </w:rPr>
            </w:pPr>
            <w:r w:rsidRPr="000B6CCC">
              <w:rPr>
                <w:rFonts w:hint="eastAsia"/>
                <w:sz w:val="18"/>
                <w:lang w:eastAsia="ko-KR"/>
              </w:rPr>
              <w:t>P</w:t>
            </w:r>
            <w:r w:rsidRPr="000B6CCC">
              <w:rPr>
                <w:sz w:val="18"/>
                <w:lang w:eastAsia="ko-KR"/>
              </w:rPr>
              <w:t>rovision of further information designs of new facilities</w:t>
            </w:r>
          </w:p>
        </w:tc>
        <w:tc>
          <w:tcPr>
            <w:tcW w:w="2692" w:type="dxa"/>
            <w:shd w:val="clear" w:color="auto" w:fill="auto"/>
          </w:tcPr>
          <w:p w14:paraId="33D2C8BD" w14:textId="77777777" w:rsidR="00865650" w:rsidRPr="000B6CCC" w:rsidRDefault="00865650" w:rsidP="000B6CCC">
            <w:pPr>
              <w:pStyle w:val="a1"/>
              <w:ind w:firstLine="0"/>
              <w:jc w:val="left"/>
              <w:rPr>
                <w:sz w:val="18"/>
                <w:lang w:eastAsia="ko-KR"/>
              </w:rPr>
            </w:pPr>
            <w:r w:rsidRPr="000B6CCC">
              <w:rPr>
                <w:rFonts w:hint="eastAsia"/>
                <w:sz w:val="18"/>
                <w:lang w:eastAsia="ko-KR"/>
              </w:rPr>
              <w:t>A</w:t>
            </w:r>
            <w:r w:rsidRPr="000B6CCC">
              <w:rPr>
                <w:sz w:val="18"/>
                <w:lang w:eastAsia="ko-KR"/>
              </w:rPr>
              <w:t>s design is developed. Information to be provided early in the project definition, preliminary design, construction and commissioning phases.</w:t>
            </w:r>
          </w:p>
        </w:tc>
        <w:tc>
          <w:tcPr>
            <w:tcW w:w="2692" w:type="dxa"/>
            <w:shd w:val="clear" w:color="auto" w:fill="auto"/>
          </w:tcPr>
          <w:p w14:paraId="386BC969" w14:textId="77777777" w:rsidR="00865650" w:rsidRPr="000B6CCC" w:rsidRDefault="00865650" w:rsidP="000B6CCC">
            <w:pPr>
              <w:pStyle w:val="a1"/>
              <w:ind w:firstLine="0"/>
              <w:jc w:val="left"/>
              <w:rPr>
                <w:sz w:val="18"/>
                <w:lang w:eastAsia="ko-KR"/>
              </w:rPr>
            </w:pPr>
            <w:r w:rsidRPr="000B6CCC">
              <w:rPr>
                <w:sz w:val="18"/>
                <w:lang w:eastAsia="ko-KR"/>
              </w:rPr>
              <w:t>Within one month after design is developed and further detailed design is determined</w:t>
            </w:r>
          </w:p>
        </w:tc>
      </w:tr>
      <w:tr w:rsidR="00865650" w:rsidRPr="00A555BF" w14:paraId="5D1F016D" w14:textId="77777777" w:rsidTr="000B6CCC">
        <w:trPr>
          <w:trHeight w:val="1119"/>
          <w:jc w:val="center"/>
        </w:trPr>
        <w:tc>
          <w:tcPr>
            <w:tcW w:w="2691" w:type="dxa"/>
            <w:shd w:val="clear" w:color="auto" w:fill="auto"/>
          </w:tcPr>
          <w:p w14:paraId="092BAD8F" w14:textId="77777777" w:rsidR="00865650" w:rsidRPr="000B6CCC" w:rsidRDefault="00865650" w:rsidP="000B6CCC">
            <w:pPr>
              <w:pStyle w:val="a1"/>
              <w:ind w:firstLine="0"/>
              <w:jc w:val="left"/>
              <w:rPr>
                <w:sz w:val="18"/>
                <w:lang w:eastAsia="ko-KR"/>
              </w:rPr>
            </w:pPr>
            <w:r w:rsidRPr="000B6CCC">
              <w:rPr>
                <w:rFonts w:hint="eastAsia"/>
                <w:sz w:val="18"/>
                <w:lang w:eastAsia="ko-KR"/>
              </w:rPr>
              <w:t>P</w:t>
            </w:r>
            <w:r w:rsidRPr="000B6CCC">
              <w:rPr>
                <w:sz w:val="18"/>
                <w:lang w:eastAsia="ko-KR"/>
              </w:rPr>
              <w:t>rovision of completed Agency design information questionnaire for new facilities based on preliminary construction plans</w:t>
            </w:r>
          </w:p>
        </w:tc>
        <w:tc>
          <w:tcPr>
            <w:tcW w:w="2692" w:type="dxa"/>
            <w:shd w:val="clear" w:color="auto" w:fill="auto"/>
          </w:tcPr>
          <w:p w14:paraId="6BAE0417" w14:textId="77777777" w:rsidR="00865650" w:rsidRPr="000B6CCC" w:rsidRDefault="00865650" w:rsidP="000B6CCC">
            <w:pPr>
              <w:pStyle w:val="a1"/>
              <w:ind w:firstLine="0"/>
              <w:jc w:val="left"/>
              <w:rPr>
                <w:sz w:val="18"/>
                <w:lang w:eastAsia="ko-KR"/>
              </w:rPr>
            </w:pPr>
            <w:r w:rsidRPr="000B6CCC">
              <w:rPr>
                <w:rFonts w:hint="eastAsia"/>
                <w:sz w:val="18"/>
                <w:lang w:eastAsia="ko-KR"/>
              </w:rPr>
              <w:t>A</w:t>
            </w:r>
            <w:r w:rsidRPr="000B6CCC">
              <w:rPr>
                <w:sz w:val="18"/>
                <w:lang w:eastAsia="ko-KR"/>
              </w:rPr>
              <w:t>s early as possibly, and in any event not later than 180 days prior to the start of construction.</w:t>
            </w:r>
          </w:p>
        </w:tc>
        <w:tc>
          <w:tcPr>
            <w:tcW w:w="2692" w:type="dxa"/>
            <w:shd w:val="clear" w:color="auto" w:fill="auto"/>
          </w:tcPr>
          <w:p w14:paraId="0DDFC897" w14:textId="77777777" w:rsidR="00865650" w:rsidRPr="000B6CCC" w:rsidRDefault="00865650" w:rsidP="000B6CCC">
            <w:pPr>
              <w:pStyle w:val="a1"/>
              <w:ind w:firstLine="0"/>
              <w:jc w:val="left"/>
              <w:rPr>
                <w:sz w:val="18"/>
                <w:lang w:eastAsia="ko-KR"/>
              </w:rPr>
            </w:pPr>
            <w:r w:rsidRPr="000B6CCC">
              <w:rPr>
                <w:sz w:val="18"/>
                <w:lang w:eastAsia="ko-KR"/>
              </w:rPr>
              <w:t xml:space="preserve">Not later than 7 months prior to the start of construction. </w:t>
            </w:r>
          </w:p>
        </w:tc>
      </w:tr>
      <w:tr w:rsidR="00865650" w:rsidRPr="00A555BF" w14:paraId="0DFFB830" w14:textId="77777777" w:rsidTr="00E26004">
        <w:trPr>
          <w:trHeight w:val="1135"/>
          <w:jc w:val="center"/>
        </w:trPr>
        <w:tc>
          <w:tcPr>
            <w:tcW w:w="2691" w:type="dxa"/>
            <w:shd w:val="clear" w:color="auto" w:fill="auto"/>
          </w:tcPr>
          <w:p w14:paraId="098691C3" w14:textId="77777777" w:rsidR="00865650" w:rsidRPr="000B6CCC" w:rsidRDefault="00865650" w:rsidP="000B6CCC">
            <w:pPr>
              <w:pStyle w:val="a1"/>
              <w:ind w:firstLine="0"/>
              <w:jc w:val="left"/>
              <w:rPr>
                <w:sz w:val="18"/>
                <w:lang w:eastAsia="ko-KR"/>
              </w:rPr>
            </w:pPr>
            <w:r w:rsidRPr="000B6CCC">
              <w:rPr>
                <w:rFonts w:hint="eastAsia"/>
                <w:sz w:val="18"/>
                <w:lang w:eastAsia="ko-KR"/>
              </w:rPr>
              <w:t>P</w:t>
            </w:r>
            <w:r w:rsidRPr="000B6CCC">
              <w:rPr>
                <w:sz w:val="18"/>
                <w:lang w:eastAsia="ko-KR"/>
              </w:rPr>
              <w:t>rovision of completed Agency design information questionnaire for new facilities based on “as-built” design</w:t>
            </w:r>
          </w:p>
        </w:tc>
        <w:tc>
          <w:tcPr>
            <w:tcW w:w="2692" w:type="dxa"/>
            <w:shd w:val="clear" w:color="auto" w:fill="auto"/>
          </w:tcPr>
          <w:p w14:paraId="0A928D2E" w14:textId="77777777" w:rsidR="00865650" w:rsidRPr="000B6CCC" w:rsidRDefault="00865650" w:rsidP="000B6CCC">
            <w:pPr>
              <w:pStyle w:val="a1"/>
              <w:ind w:firstLine="0"/>
              <w:jc w:val="left"/>
              <w:rPr>
                <w:sz w:val="18"/>
                <w:lang w:eastAsia="ko-KR"/>
              </w:rPr>
            </w:pPr>
            <w:r w:rsidRPr="000B6CCC">
              <w:rPr>
                <w:sz w:val="18"/>
                <w:lang w:eastAsia="ko-KR"/>
              </w:rPr>
              <w:t>As early as possibly, and in any event not later than 180 days before the first receipt of nuclear material at the facility</w:t>
            </w:r>
          </w:p>
        </w:tc>
        <w:tc>
          <w:tcPr>
            <w:tcW w:w="2692" w:type="dxa"/>
            <w:shd w:val="clear" w:color="auto" w:fill="auto"/>
          </w:tcPr>
          <w:p w14:paraId="333EDF0D" w14:textId="77777777" w:rsidR="00865650" w:rsidRPr="000B6CCC" w:rsidRDefault="00865650" w:rsidP="000B6CCC">
            <w:pPr>
              <w:pStyle w:val="a1"/>
              <w:ind w:firstLine="0"/>
              <w:jc w:val="left"/>
              <w:rPr>
                <w:sz w:val="18"/>
                <w:lang w:eastAsia="ko-KR"/>
              </w:rPr>
            </w:pPr>
            <w:r w:rsidRPr="000B6CCC">
              <w:rPr>
                <w:sz w:val="18"/>
                <w:lang w:eastAsia="ko-KR"/>
              </w:rPr>
              <w:t>Not later than 7 months before the first receipt of nuclear material at the facility</w:t>
            </w:r>
          </w:p>
        </w:tc>
      </w:tr>
    </w:tbl>
    <w:p w14:paraId="1A2062FE" w14:textId="77777777" w:rsidR="000B6CCC" w:rsidRDefault="000B6CCC" w:rsidP="00B96E87">
      <w:pPr>
        <w:pStyle w:val="a1"/>
      </w:pPr>
    </w:p>
    <w:p w14:paraId="644955E5" w14:textId="70B63BC8" w:rsidR="00865650" w:rsidRDefault="00B96E87" w:rsidP="00B96E87">
      <w:pPr>
        <w:pStyle w:val="a1"/>
      </w:pPr>
      <w:r w:rsidRPr="001C23E4">
        <w:t>Currently, licensees submit only the DI, pre-DIQ, and final DIQ. The SSAC can request design updates as further details are established, following RISM provisions. Thus, effectively using subsidiary arrangements and RISM can facilitate SBD implementation. This approach demands proactive collaboration and support from licensees, as the current regulatory framework lacks specific penalties for non-compliance with design change disclosures.</w:t>
      </w:r>
    </w:p>
    <w:p w14:paraId="0277299E" w14:textId="77777777" w:rsidR="00F47E61" w:rsidRPr="00B96E87" w:rsidRDefault="00F47E61" w:rsidP="00B96E87">
      <w:pPr>
        <w:pStyle w:val="a1"/>
      </w:pPr>
    </w:p>
    <w:p w14:paraId="7B29C0F0" w14:textId="0C85D466" w:rsidR="00F004EE" w:rsidRDefault="007836ED" w:rsidP="00537496">
      <w:pPr>
        <w:pStyle w:val="2"/>
      </w:pPr>
      <w:r>
        <w:t>conclusions</w:t>
      </w:r>
    </w:p>
    <w:p w14:paraId="0BDB9FA4" w14:textId="436D338B" w:rsidR="001308F2" w:rsidRDefault="007836ED" w:rsidP="00537496">
      <w:pPr>
        <w:pStyle w:val="a1"/>
      </w:pPr>
      <w:r w:rsidRPr="007836ED">
        <w:t>This discussion explores SBD implementation for new reactors, highlighting the challenges within current licensing processes across design and construction stages. The lack of a legal framework to enforce safeguards within the licensing process is a significant challenge. Incorporating safeguards into the licensing process through amendments to Articles No. 10, 12, and 20 of the</w:t>
      </w:r>
      <w:r w:rsidR="00D30A0A">
        <w:t xml:space="preserve"> Nuclear</w:t>
      </w:r>
      <w:r w:rsidRPr="007836ED">
        <w:t xml:space="preserve"> Safety Act could enable the submission of safeguards-related information by licensees. However, amending the Act faces </w:t>
      </w:r>
      <w:r w:rsidR="00D30A0A">
        <w:t xml:space="preserve">many </w:t>
      </w:r>
      <w:r w:rsidRPr="007836ED">
        <w:t>challenges. Alternatively, leveraging existing regulations on safeguards by requesting documentation at each design stage, as designs are finalized according to subsidiary arrangements and RISM, allows the SSAC to engage from the initial design phase to the operation of the nuclear power plant. This strategy emphasizes the need for close collaboration with licensees to ensure successful SBD implementation.</w:t>
      </w:r>
    </w:p>
    <w:p w14:paraId="4F5F3FE6" w14:textId="24429FAC" w:rsidR="00455BCE" w:rsidRDefault="00455BCE" w:rsidP="00537496">
      <w:pPr>
        <w:pStyle w:val="a1"/>
        <w:rPr>
          <w:lang w:eastAsia="ko-KR"/>
        </w:rPr>
      </w:pPr>
      <w:r>
        <w:rPr>
          <w:rFonts w:hint="eastAsia"/>
          <w:lang w:eastAsia="ko-KR"/>
        </w:rPr>
        <w:t>N</w:t>
      </w:r>
      <w:r>
        <w:rPr>
          <w:lang w:eastAsia="ko-KR"/>
        </w:rPr>
        <w:t>everth</w:t>
      </w:r>
      <w:r w:rsidR="00407727">
        <w:rPr>
          <w:lang w:eastAsia="ko-KR"/>
        </w:rPr>
        <w:t>eless, it is anticipated that effective application of SBD principles will be achieved by linking the provision of DI for safeguards to the standard design approval process for SMRs. If mandating the provision of DI as part of the licensing documents is too burdensome, it could be considered to add the timing of the information provision at the notification level, like discussed earlier. Additional research will provide various alternatives to the government.</w:t>
      </w:r>
    </w:p>
    <w:p w14:paraId="15F4F300" w14:textId="77777777" w:rsidR="00285755" w:rsidRDefault="00285755" w:rsidP="00537496">
      <w:pPr>
        <w:pStyle w:val="Otherunnumberedheadings"/>
        <w:rPr>
          <w:rFonts w:hint="eastAsia"/>
        </w:rPr>
      </w:pPr>
      <w:r w:rsidRPr="00285755">
        <w:t>ACKNOWLEDGEMENTS</w:t>
      </w:r>
    </w:p>
    <w:p w14:paraId="711AF860" w14:textId="05E9DF71" w:rsidR="00D26ADA" w:rsidRDefault="00463CD1" w:rsidP="00332C95">
      <w:pPr>
        <w:pStyle w:val="a1"/>
      </w:pPr>
      <w:r w:rsidRPr="00463CD1">
        <w:t xml:space="preserve">This work was supported by the Nuclear Safety Research Program through the Korea Foundation </w:t>
      </w:r>
      <w:proofErr w:type="gramStart"/>
      <w:r w:rsidRPr="00463CD1">
        <w:t>Of</w:t>
      </w:r>
      <w:proofErr w:type="gramEnd"/>
      <w:r w:rsidRPr="00463CD1">
        <w:t xml:space="preserve"> Nuclear Safety (KOFONS) using the financial resource granted by the Nuclear Safety and Security Commission (NSSC) of the Republic of Korea. (No. 2207007</w:t>
      </w:r>
      <w:r w:rsidR="007836ED">
        <w:t xml:space="preserve"> and No.</w:t>
      </w:r>
      <w:r w:rsidR="00D92FA0">
        <w:t>2106018</w:t>
      </w:r>
      <w:r w:rsidRPr="00463CD1">
        <w:t>)</w:t>
      </w:r>
    </w:p>
    <w:p w14:paraId="32B76F9D" w14:textId="77777777" w:rsidR="00D26ADA" w:rsidRPr="00285755" w:rsidRDefault="00D26ADA" w:rsidP="00537496">
      <w:pPr>
        <w:pStyle w:val="Otherunnumberedheadings"/>
        <w:rPr>
          <w:rFonts w:hint="eastAsia"/>
        </w:rPr>
      </w:pPr>
      <w:r>
        <w:lastRenderedPageBreak/>
        <w:t>References</w:t>
      </w:r>
    </w:p>
    <w:p w14:paraId="5542CE04" w14:textId="2AE7073F" w:rsidR="0010108A" w:rsidRDefault="0010108A" w:rsidP="0010108A">
      <w:pPr>
        <w:pStyle w:val="Referencelist"/>
      </w:pPr>
      <w:r>
        <w:t>Nuclear Safety Act, ROK</w:t>
      </w:r>
      <w:r w:rsidR="00146BE9">
        <w:t xml:space="preserve"> </w:t>
      </w:r>
      <w:r>
        <w:t>(2020).</w:t>
      </w:r>
    </w:p>
    <w:p w14:paraId="5D71C5F2" w14:textId="782DAF1D" w:rsidR="0010108A" w:rsidRDefault="0010108A" w:rsidP="0010108A">
      <w:pPr>
        <w:pStyle w:val="Referencelist"/>
      </w:pPr>
      <w:r>
        <w:t xml:space="preserve">Subsidiary arrangement to the agreement between the government of the </w:t>
      </w:r>
      <w:r w:rsidR="00BE39D6">
        <w:t>r</w:t>
      </w:r>
      <w:r>
        <w:t xml:space="preserve">epublic of </w:t>
      </w:r>
      <w:r w:rsidR="00BE39D6">
        <w:t>k</w:t>
      </w:r>
      <w:r>
        <w:t xml:space="preserve">orea and the international atomic energy agency for the application of safeguards in connection with the treaty on the non-proliferation of nuclear weapons </w:t>
      </w:r>
      <w:r w:rsidR="00E157AB">
        <w:t>(</w:t>
      </w:r>
      <w:r>
        <w:t>2007).</w:t>
      </w:r>
    </w:p>
    <w:p w14:paraId="4241B3E0" w14:textId="60F75A3A" w:rsidR="00285755" w:rsidRDefault="00E157AB" w:rsidP="00537496">
      <w:pPr>
        <w:pStyle w:val="Referencelist"/>
      </w:pPr>
      <w:r>
        <w:t>Regulation on Report</w:t>
      </w:r>
      <w:r w:rsidR="00332C95">
        <w:t>ing</w:t>
      </w:r>
      <w:r>
        <w:t xml:space="preserve"> of International Strategic Materials</w:t>
      </w:r>
      <w:r w:rsidR="00332C95">
        <w:t xml:space="preserve"> and others</w:t>
      </w:r>
      <w:r>
        <w:t xml:space="preserve">, </w:t>
      </w:r>
      <w:r w:rsidR="00332C95">
        <w:t>ROK</w:t>
      </w:r>
      <w:r w:rsidR="00146BE9">
        <w:t xml:space="preserve"> </w:t>
      </w:r>
      <w:r w:rsidR="00D26ADA" w:rsidRPr="00D26ADA">
        <w:t>(</w:t>
      </w:r>
      <w:r w:rsidR="00332C95">
        <w:t>2017</w:t>
      </w:r>
      <w:r w:rsidR="00D26ADA" w:rsidRPr="00D26ADA">
        <w:t>).</w:t>
      </w:r>
    </w:p>
    <w:p w14:paraId="0C4D5B1C" w14:textId="769F95CD" w:rsidR="002C0D0D" w:rsidRDefault="002F5218" w:rsidP="00537496">
      <w:pPr>
        <w:pStyle w:val="Referencelist"/>
      </w:pPr>
      <w:r>
        <w:rPr>
          <w:lang w:eastAsia="ko-KR"/>
        </w:rPr>
        <w:t xml:space="preserve">IAEA Design Information Questionnaire Research and Power Reactors, </w:t>
      </w:r>
      <w:r>
        <w:rPr>
          <w:rFonts w:hint="eastAsia"/>
          <w:lang w:eastAsia="ko-KR"/>
        </w:rPr>
        <w:t xml:space="preserve">IAEA </w:t>
      </w:r>
      <w:r>
        <w:rPr>
          <w:lang w:eastAsia="ko-KR"/>
        </w:rPr>
        <w:t>Form N-72, US NRC, nrc.gov/reading-rm/doc-collections/forms/iaea_n72info.html (2024)</w:t>
      </w:r>
    </w:p>
    <w:p w14:paraId="3BA56E06" w14:textId="77777777" w:rsidR="00F45EEE" w:rsidRPr="00662532" w:rsidRDefault="00F45EEE" w:rsidP="00537496">
      <w:pPr>
        <w:pStyle w:val="a1"/>
        <w:ind w:firstLine="0"/>
        <w:jc w:val="left"/>
      </w:pPr>
    </w:p>
    <w:sectPr w:rsidR="00F45EEE" w:rsidRPr="00662532"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A81F" w14:textId="77777777" w:rsidR="00FF6F52" w:rsidRDefault="00FF6F52">
      <w:r>
        <w:separator/>
      </w:r>
    </w:p>
  </w:endnote>
  <w:endnote w:type="continuationSeparator" w:id="0">
    <w:p w14:paraId="073EC319" w14:textId="77777777" w:rsidR="00FF6F52" w:rsidRDefault="00FF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F961" w14:textId="78E03D83" w:rsidR="00E20E70" w:rsidRDefault="00E20E70">
    <w:pPr>
      <w:pStyle w:val="zyxClassification1"/>
    </w:pPr>
    <w:r>
      <w:fldChar w:fldCharType="begin"/>
    </w:r>
    <w:r>
      <w:instrText xml:space="preserve"> DOCPROPERTY "IaeaClassification"  \* MERGEFORMAT </w:instrText>
    </w:r>
    <w:r>
      <w:fldChar w:fldCharType="end"/>
    </w:r>
  </w:p>
  <w:p w14:paraId="1FDEB1B7" w14:textId="45104A8F"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308E" w14:textId="065AFC1D" w:rsidR="00E20E70" w:rsidRDefault="00E20E70">
    <w:pPr>
      <w:pStyle w:val="zyxClassification1"/>
    </w:pPr>
    <w:r>
      <w:fldChar w:fldCharType="begin"/>
    </w:r>
    <w:r>
      <w:instrText xml:space="preserve"> DOCPROPERTY "IaeaClassification"  \* MERGEFORMAT </w:instrText>
    </w:r>
    <w:r>
      <w:fldChar w:fldCharType="end"/>
    </w:r>
  </w:p>
  <w:p w14:paraId="7E32AC2C" w14:textId="28203EA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41713E08"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41099A19"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72B020AA"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1890380"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0EF3A713" w:rsidR="00E20E70" w:rsidRDefault="00E20E70">
    <w:r>
      <w:rPr>
        <w:sz w:val="16"/>
      </w:rPr>
      <w:fldChar w:fldCharType="begin"/>
    </w:r>
    <w:r>
      <w:rPr>
        <w:sz w:val="16"/>
      </w:rPr>
      <w:instrText xml:space="preserve"> FILENAME \* MERGEFORMAT </w:instrText>
    </w:r>
    <w:r>
      <w:rPr>
        <w:sz w:val="16"/>
      </w:rPr>
      <w:fldChar w:fldCharType="separate"/>
    </w:r>
    <w:r w:rsidR="00223D62">
      <w:rPr>
        <w:noProof/>
        <w:sz w:val="16"/>
      </w:rPr>
      <w:t>Regulation on Safeguards for SMR_cn327_217_v03</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8C5CD" w14:textId="77777777" w:rsidR="00FF6F52" w:rsidRDefault="00FF6F52">
      <w:r>
        <w:t>___________________________________________________________________________</w:t>
      </w:r>
    </w:p>
  </w:footnote>
  <w:footnote w:type="continuationSeparator" w:id="0">
    <w:p w14:paraId="6EEEF3B3" w14:textId="77777777" w:rsidR="00FF6F52" w:rsidRDefault="00FF6F52">
      <w:r>
        <w:t>___________________________________________________________________________</w:t>
      </w:r>
    </w:p>
  </w:footnote>
  <w:footnote w:type="continuationNotice" w:id="1">
    <w:p w14:paraId="32A3B297" w14:textId="77777777" w:rsidR="00FF6F52" w:rsidRDefault="00FF6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9A0F" w14:textId="5FFADA12" w:rsidR="00E20E70" w:rsidRDefault="00CF7AF3" w:rsidP="00656CDB">
    <w:pPr>
      <w:pStyle w:val="Runninghead"/>
    </w:pPr>
    <w:r>
      <w:tab/>
      <w:t>IAEA-CN-3</w:t>
    </w:r>
    <w:r w:rsidR="004D350C">
      <w:t>27</w:t>
    </w:r>
    <w:r>
      <w:t>/</w:t>
    </w:r>
    <w:r w:rsidR="004D350C">
      <w:t>217</w:t>
    </w:r>
    <w:r>
      <w:tab/>
    </w:r>
    <w:r w:rsidR="00E20E70">
      <w:fldChar w:fldCharType="begin"/>
    </w:r>
    <w:r w:rsidR="00E20E70">
      <w:instrText xml:space="preserve"> DOCPROPERTY "IaeaClassification"  \* MERGEFORMAT </w:instrText>
    </w:r>
    <w:r w:rsidR="00E20E70">
      <w:fldChar w:fldCharType="end"/>
    </w:r>
  </w:p>
  <w:p w14:paraId="09E92CEF" w14:textId="6F3E5BD8"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C4E1" w14:textId="72375C5C" w:rsidR="00E20E70" w:rsidRDefault="000229FE" w:rsidP="00B82FA5">
    <w:pPr>
      <w:pStyle w:val="Runninghead"/>
    </w:pPr>
    <w:proofErr w:type="spellStart"/>
    <w:r>
      <w:t>Hosik</w:t>
    </w:r>
    <w:proofErr w:type="spellEnd"/>
    <w:r>
      <w:t xml:space="preserve"> YOO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05816AC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D62A3A6"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0E4795"/>
    <w:multiLevelType w:val="hybridMultilevel"/>
    <w:tmpl w:val="29CE40A8"/>
    <w:lvl w:ilvl="0" w:tplc="7E7A6CE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F5D4063"/>
    <w:multiLevelType w:val="hybridMultilevel"/>
    <w:tmpl w:val="1E5C0D4E"/>
    <w:lvl w:ilvl="0" w:tplc="FC2825E4">
      <w:start w:val="1"/>
      <w:numFmt w:val="bullet"/>
      <w:lvlText w:val="-"/>
      <w:lvlJc w:val="left"/>
      <w:pPr>
        <w:ind w:left="760" w:hanging="360"/>
      </w:pPr>
      <w:rPr>
        <w:rFonts w:ascii="TimesNewRoman" w:eastAsia="바탕" w:hAnsi="TimesNew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2CF5E43"/>
    <w:multiLevelType w:val="hybridMultilevel"/>
    <w:tmpl w:val="E20EF37C"/>
    <w:lvl w:ilvl="0" w:tplc="37063AD2">
      <w:start w:val="1"/>
      <w:numFmt w:val="bullet"/>
      <w:lvlText w:val="-"/>
      <w:lvlJc w:val="left"/>
      <w:pPr>
        <w:ind w:left="760" w:hanging="360"/>
      </w:pPr>
      <w:rPr>
        <w:rFonts w:ascii="TimesNewRoman" w:eastAsia="바탕" w:hAnsi="TimesNew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C553F6A"/>
    <w:multiLevelType w:val="hybridMultilevel"/>
    <w:tmpl w:val="0A907028"/>
    <w:lvl w:ilvl="0" w:tplc="6082CB76">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BF269D"/>
    <w:multiLevelType w:val="hybridMultilevel"/>
    <w:tmpl w:val="2DC68E0A"/>
    <w:lvl w:ilvl="0" w:tplc="AD2864A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4470775"/>
    <w:multiLevelType w:val="hybridMultilevel"/>
    <w:tmpl w:val="1B9CB77C"/>
    <w:lvl w:ilvl="0" w:tplc="FE42E6F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053926"/>
    <w:multiLevelType w:val="hybridMultilevel"/>
    <w:tmpl w:val="A4549630"/>
    <w:lvl w:ilvl="0" w:tplc="409ADC22">
      <w:start w:val="1"/>
      <w:numFmt w:val="bullet"/>
      <w:lvlText w:val="-"/>
      <w:lvlJc w:val="left"/>
      <w:pPr>
        <w:ind w:left="450" w:hanging="360"/>
      </w:pPr>
      <w:rPr>
        <w:rFonts w:ascii="TimesNewRoman" w:eastAsia="바탕" w:hAnsi="TimesNewRoman"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4" w15:restartNumberingAfterBreak="0">
    <w:nsid w:val="4E7A5F4C"/>
    <w:multiLevelType w:val="hybridMultilevel"/>
    <w:tmpl w:val="6DF4AD3C"/>
    <w:lvl w:ilvl="0" w:tplc="9926BEB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470B9F"/>
    <w:multiLevelType w:val="hybridMultilevel"/>
    <w:tmpl w:val="A13E386C"/>
    <w:lvl w:ilvl="0" w:tplc="E4841CC2">
      <w:start w:val="1"/>
      <w:numFmt w:val="bullet"/>
      <w:lvlText w:val="-"/>
      <w:lvlJc w:val="left"/>
      <w:pPr>
        <w:ind w:left="760" w:hanging="360"/>
      </w:pPr>
      <w:rPr>
        <w:rFonts w:ascii="TimesNewRoman" w:eastAsia="바탕" w:hAnsi="TimesNew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87079"/>
    <w:multiLevelType w:val="hybridMultilevel"/>
    <w:tmpl w:val="04C07E9C"/>
    <w:lvl w:ilvl="0" w:tplc="EF842D1C">
      <w:start w:val="1"/>
      <w:numFmt w:val="bullet"/>
      <w:lvlText w:val="-"/>
      <w:lvlJc w:val="left"/>
      <w:pPr>
        <w:ind w:left="760" w:hanging="360"/>
      </w:pPr>
      <w:rPr>
        <w:rFonts w:ascii="TimesNewRoman" w:eastAsia="바탕" w:hAnsi="TimesNew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F0049DD"/>
    <w:multiLevelType w:val="hybridMultilevel"/>
    <w:tmpl w:val="14B01B6C"/>
    <w:lvl w:ilvl="0" w:tplc="3D2AD7D2">
      <w:start w:val="1"/>
      <w:numFmt w:val="bullet"/>
      <w:lvlText w:val="-"/>
      <w:lvlJc w:val="left"/>
      <w:pPr>
        <w:ind w:left="760" w:hanging="360"/>
      </w:pPr>
      <w:rPr>
        <w:rFonts w:ascii="TimesNewRoman" w:eastAsia="바탕" w:hAnsi="TimesNew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FD66FA0"/>
    <w:multiLevelType w:val="hybridMultilevel"/>
    <w:tmpl w:val="83560C22"/>
    <w:lvl w:ilvl="0" w:tplc="7CF65132">
      <w:start w:val="1"/>
      <w:numFmt w:val="bullet"/>
      <w:lvlText w:val="-"/>
      <w:lvlJc w:val="left"/>
      <w:pPr>
        <w:ind w:left="760" w:hanging="360"/>
      </w:pPr>
      <w:rPr>
        <w:rFonts w:ascii="TimesNewRoman" w:eastAsia="바탕" w:hAnsi="TimesNew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3" w15:restartNumberingAfterBreak="0">
    <w:nsid w:val="76015AF8"/>
    <w:multiLevelType w:val="hybridMultilevel"/>
    <w:tmpl w:val="ABB267D4"/>
    <w:lvl w:ilvl="0" w:tplc="1846A8B4">
      <w:start w:val="1"/>
      <w:numFmt w:val="bullet"/>
      <w:lvlText w:val="-"/>
      <w:lvlJc w:val="left"/>
      <w:pPr>
        <w:ind w:left="450" w:hanging="360"/>
      </w:pPr>
      <w:rPr>
        <w:rFonts w:ascii="TimesNewRoman" w:eastAsia="바탕" w:hAnsi="TimesNewRoman"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2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D450F1F"/>
    <w:multiLevelType w:val="hybridMultilevel"/>
    <w:tmpl w:val="CE2AAEBC"/>
    <w:lvl w:ilvl="0" w:tplc="E6A60406">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4"/>
  </w:num>
  <w:num w:numId="3">
    <w:abstractNumId w:val="22"/>
  </w:num>
  <w:num w:numId="4">
    <w:abstractNumId w:val="22"/>
  </w:num>
  <w:num w:numId="5">
    <w:abstractNumId w:val="22"/>
  </w:num>
  <w:num w:numId="6">
    <w:abstractNumId w:val="7"/>
  </w:num>
  <w:num w:numId="7">
    <w:abstractNumId w:val="17"/>
  </w:num>
  <w:num w:numId="8">
    <w:abstractNumId w:val="24"/>
  </w:num>
  <w:num w:numId="9">
    <w:abstractNumId w:val="1"/>
  </w:num>
  <w:num w:numId="10">
    <w:abstractNumId w:val="2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22"/>
  </w:num>
  <w:num w:numId="12">
    <w:abstractNumId w:val="22"/>
  </w:num>
  <w:num w:numId="13">
    <w:abstractNumId w:val="22"/>
  </w:num>
  <w:num w:numId="14">
    <w:abstractNumId w:val="2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22"/>
  </w:num>
  <w:num w:numId="16">
    <w:abstractNumId w:val="22"/>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
  </w:num>
  <w:num w:numId="21">
    <w:abstractNumId w:val="22"/>
  </w:num>
  <w:num w:numId="22">
    <w:abstractNumId w:val="3"/>
  </w:num>
  <w:num w:numId="23">
    <w:abstractNumId w:val="0"/>
  </w:num>
  <w:num w:numId="24">
    <w:abstractNumId w:val="21"/>
  </w:num>
  <w:num w:numId="25">
    <w:abstractNumId w:val="22"/>
  </w:num>
  <w:num w:numId="26">
    <w:abstractNumId w:val="22"/>
  </w:num>
  <w:num w:numId="27">
    <w:abstractNumId w:val="22"/>
  </w:num>
  <w:num w:numId="28">
    <w:abstractNumId w:val="22"/>
  </w:num>
  <w:num w:numId="29">
    <w:abstractNumId w:val="22"/>
  </w:num>
  <w:num w:numId="30">
    <w:abstractNumId w:val="10"/>
  </w:num>
  <w:num w:numId="31">
    <w:abstractNumId w:val="10"/>
  </w:num>
  <w:num w:numId="32">
    <w:abstractNumId w:val="22"/>
  </w:num>
  <w:num w:numId="33">
    <w:abstractNumId w:val="22"/>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abstractNumId w:val="19"/>
  </w:num>
  <w:num w:numId="35">
    <w:abstractNumId w:val="20"/>
  </w:num>
  <w:num w:numId="36">
    <w:abstractNumId w:val="23"/>
  </w:num>
  <w:num w:numId="37">
    <w:abstractNumId w:val="13"/>
  </w:num>
  <w:num w:numId="38">
    <w:abstractNumId w:val="6"/>
  </w:num>
  <w:num w:numId="39">
    <w:abstractNumId w:val="18"/>
  </w:num>
  <w:num w:numId="40">
    <w:abstractNumId w:val="8"/>
  </w:num>
  <w:num w:numId="41">
    <w:abstractNumId w:val="15"/>
  </w:num>
  <w:num w:numId="42">
    <w:abstractNumId w:val="25"/>
  </w:num>
  <w:num w:numId="43">
    <w:abstractNumId w:val="12"/>
  </w:num>
  <w:num w:numId="44">
    <w:abstractNumId w:val="5"/>
  </w:num>
  <w:num w:numId="45">
    <w:abstractNumId w:val="11"/>
  </w:num>
  <w:num w:numId="46">
    <w:abstractNumId w:val="1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6BD1"/>
    <w:rsid w:val="000229AB"/>
    <w:rsid w:val="000229FE"/>
    <w:rsid w:val="0002569A"/>
    <w:rsid w:val="00037321"/>
    <w:rsid w:val="000376C0"/>
    <w:rsid w:val="00046B7E"/>
    <w:rsid w:val="000A0299"/>
    <w:rsid w:val="000B6CCC"/>
    <w:rsid w:val="000C6F25"/>
    <w:rsid w:val="000F6689"/>
    <w:rsid w:val="000F7E94"/>
    <w:rsid w:val="0010108A"/>
    <w:rsid w:val="00103F0A"/>
    <w:rsid w:val="001119D6"/>
    <w:rsid w:val="00120856"/>
    <w:rsid w:val="00125696"/>
    <w:rsid w:val="001308F2"/>
    <w:rsid w:val="001313E8"/>
    <w:rsid w:val="00146BE9"/>
    <w:rsid w:val="001923E5"/>
    <w:rsid w:val="001A0F8F"/>
    <w:rsid w:val="001C23E4"/>
    <w:rsid w:val="001C58F5"/>
    <w:rsid w:val="001C71D4"/>
    <w:rsid w:val="001D0BC1"/>
    <w:rsid w:val="001D5CEE"/>
    <w:rsid w:val="00201DE8"/>
    <w:rsid w:val="002071D9"/>
    <w:rsid w:val="00207C9E"/>
    <w:rsid w:val="00217536"/>
    <w:rsid w:val="00223D62"/>
    <w:rsid w:val="00256822"/>
    <w:rsid w:val="0026525A"/>
    <w:rsid w:val="00274790"/>
    <w:rsid w:val="002855E6"/>
    <w:rsid w:val="00285755"/>
    <w:rsid w:val="002A0800"/>
    <w:rsid w:val="002A1F9C"/>
    <w:rsid w:val="002B29C2"/>
    <w:rsid w:val="002C0D0D"/>
    <w:rsid w:val="002C184F"/>
    <w:rsid w:val="002C4208"/>
    <w:rsid w:val="002D0B67"/>
    <w:rsid w:val="002E06BD"/>
    <w:rsid w:val="002F5218"/>
    <w:rsid w:val="002F58BA"/>
    <w:rsid w:val="00332C95"/>
    <w:rsid w:val="00352DE1"/>
    <w:rsid w:val="003728E6"/>
    <w:rsid w:val="00375741"/>
    <w:rsid w:val="003B5E0E"/>
    <w:rsid w:val="003D255A"/>
    <w:rsid w:val="003D346C"/>
    <w:rsid w:val="003E13E7"/>
    <w:rsid w:val="003F2515"/>
    <w:rsid w:val="00407727"/>
    <w:rsid w:val="00416949"/>
    <w:rsid w:val="004370D8"/>
    <w:rsid w:val="00455BCE"/>
    <w:rsid w:val="00461EB5"/>
    <w:rsid w:val="004639A8"/>
    <w:rsid w:val="00463CD1"/>
    <w:rsid w:val="00472C43"/>
    <w:rsid w:val="00490B6E"/>
    <w:rsid w:val="00497FC7"/>
    <w:rsid w:val="004B3170"/>
    <w:rsid w:val="004B40B8"/>
    <w:rsid w:val="004C3BB5"/>
    <w:rsid w:val="004D350C"/>
    <w:rsid w:val="004F238E"/>
    <w:rsid w:val="00515815"/>
    <w:rsid w:val="00537496"/>
    <w:rsid w:val="00544ED3"/>
    <w:rsid w:val="00562A10"/>
    <w:rsid w:val="0057731E"/>
    <w:rsid w:val="0058477B"/>
    <w:rsid w:val="0058654F"/>
    <w:rsid w:val="00596ACA"/>
    <w:rsid w:val="005A174A"/>
    <w:rsid w:val="005B1EC6"/>
    <w:rsid w:val="005B5ACA"/>
    <w:rsid w:val="005E39BC"/>
    <w:rsid w:val="005F00A0"/>
    <w:rsid w:val="006036E4"/>
    <w:rsid w:val="00641678"/>
    <w:rsid w:val="0064348A"/>
    <w:rsid w:val="00647F33"/>
    <w:rsid w:val="0065511C"/>
    <w:rsid w:val="00656CDB"/>
    <w:rsid w:val="00662532"/>
    <w:rsid w:val="006A35B7"/>
    <w:rsid w:val="006A3B9C"/>
    <w:rsid w:val="006B2274"/>
    <w:rsid w:val="006D2D1D"/>
    <w:rsid w:val="006D680C"/>
    <w:rsid w:val="006D6E76"/>
    <w:rsid w:val="006F774F"/>
    <w:rsid w:val="00717C6F"/>
    <w:rsid w:val="00741DB0"/>
    <w:rsid w:val="007445DA"/>
    <w:rsid w:val="00754204"/>
    <w:rsid w:val="00763B41"/>
    <w:rsid w:val="00767AB2"/>
    <w:rsid w:val="007836ED"/>
    <w:rsid w:val="007850E2"/>
    <w:rsid w:val="00792C28"/>
    <w:rsid w:val="007B4699"/>
    <w:rsid w:val="007B4FD1"/>
    <w:rsid w:val="007C6FE4"/>
    <w:rsid w:val="007F5A37"/>
    <w:rsid w:val="00802381"/>
    <w:rsid w:val="00865650"/>
    <w:rsid w:val="00883848"/>
    <w:rsid w:val="00890FE3"/>
    <w:rsid w:val="00897ED5"/>
    <w:rsid w:val="008B44BB"/>
    <w:rsid w:val="008B4CAB"/>
    <w:rsid w:val="008B6BB9"/>
    <w:rsid w:val="008C3745"/>
    <w:rsid w:val="008E4111"/>
    <w:rsid w:val="00911543"/>
    <w:rsid w:val="00935D0C"/>
    <w:rsid w:val="009519C9"/>
    <w:rsid w:val="00970DF7"/>
    <w:rsid w:val="009876BE"/>
    <w:rsid w:val="009D0B86"/>
    <w:rsid w:val="009E0D5B"/>
    <w:rsid w:val="009E1558"/>
    <w:rsid w:val="009E704F"/>
    <w:rsid w:val="00A414D9"/>
    <w:rsid w:val="00A42898"/>
    <w:rsid w:val="00A823DD"/>
    <w:rsid w:val="00A8413D"/>
    <w:rsid w:val="00A8483F"/>
    <w:rsid w:val="00A906A1"/>
    <w:rsid w:val="00AB6ACE"/>
    <w:rsid w:val="00AC5A3A"/>
    <w:rsid w:val="00AD1535"/>
    <w:rsid w:val="00AD2259"/>
    <w:rsid w:val="00AE7806"/>
    <w:rsid w:val="00B518F6"/>
    <w:rsid w:val="00B82FA5"/>
    <w:rsid w:val="00B96E87"/>
    <w:rsid w:val="00BC7CEF"/>
    <w:rsid w:val="00BD1400"/>
    <w:rsid w:val="00BD605C"/>
    <w:rsid w:val="00BE2A76"/>
    <w:rsid w:val="00BE39D6"/>
    <w:rsid w:val="00BE74E0"/>
    <w:rsid w:val="00C0698A"/>
    <w:rsid w:val="00C07155"/>
    <w:rsid w:val="00C64BD4"/>
    <w:rsid w:val="00C65E60"/>
    <w:rsid w:val="00CA6969"/>
    <w:rsid w:val="00CE29B0"/>
    <w:rsid w:val="00CE5A52"/>
    <w:rsid w:val="00CF7AF3"/>
    <w:rsid w:val="00D03E83"/>
    <w:rsid w:val="00D23A18"/>
    <w:rsid w:val="00D26ADA"/>
    <w:rsid w:val="00D30A0A"/>
    <w:rsid w:val="00D35A78"/>
    <w:rsid w:val="00D555A1"/>
    <w:rsid w:val="00D64DC2"/>
    <w:rsid w:val="00D76126"/>
    <w:rsid w:val="00D92FA0"/>
    <w:rsid w:val="00D9455B"/>
    <w:rsid w:val="00DA46CA"/>
    <w:rsid w:val="00DF21EB"/>
    <w:rsid w:val="00E064A4"/>
    <w:rsid w:val="00E157AB"/>
    <w:rsid w:val="00E20E70"/>
    <w:rsid w:val="00E25B68"/>
    <w:rsid w:val="00E26004"/>
    <w:rsid w:val="00E84003"/>
    <w:rsid w:val="00E96522"/>
    <w:rsid w:val="00EC10FC"/>
    <w:rsid w:val="00EE0041"/>
    <w:rsid w:val="00EE209E"/>
    <w:rsid w:val="00EE29B9"/>
    <w:rsid w:val="00EE7348"/>
    <w:rsid w:val="00F004EE"/>
    <w:rsid w:val="00F018C2"/>
    <w:rsid w:val="00F42E23"/>
    <w:rsid w:val="00F45EEE"/>
    <w:rsid w:val="00F47E61"/>
    <w:rsid w:val="00F51E9C"/>
    <w:rsid w:val="00F523CA"/>
    <w:rsid w:val="00F55F2C"/>
    <w:rsid w:val="00F74A9D"/>
    <w:rsid w:val="00F93C6A"/>
    <w:rsid w:val="00F94B24"/>
    <w:rsid w:val="00FA1A31"/>
    <w:rsid w:val="00FB118A"/>
    <w:rsid w:val="00FF386F"/>
    <w:rsid w:val="00FF6F19"/>
    <w:rsid w:val="00FF6F5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0"/>
    <w:lsdException w:name="header" w:locked="0" w:uiPriority="0"/>
    <w:lsdException w:name="footer" w:locked="0" w:uiPriority="99"/>
    <w:lsdException w:name="caption" w:locked="0"/>
    <w:lsdException w:name="footnote reference" w:locked="0" w:uiPriority="0"/>
    <w:lsdException w:name="annotation reference"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paragraph" w:customStyle="1" w:styleId="MainTitle">
    <w:name w:val="Main Title"/>
    <w:basedOn w:val="a"/>
    <w:rsid w:val="00F93C6A"/>
    <w:pPr>
      <w:overflowPunct/>
      <w:autoSpaceDE/>
      <w:autoSpaceDN/>
      <w:adjustRightInd/>
      <w:jc w:val="center"/>
      <w:textAlignment w:val="auto"/>
    </w:pPr>
    <w:rPr>
      <w:b/>
      <w:sz w:val="24"/>
      <w:szCs w:val="24"/>
      <w:lang w:val="en-US"/>
    </w:rPr>
  </w:style>
  <w:style w:type="paragraph" w:customStyle="1" w:styleId="para1MSMinchoMSMinc">
    <w:name w:val="스타일 스타일 스타일 스타일 para + 첫 줄:  1 글자 + (한글) MS Mincho + (한글) MS Minc..."/>
    <w:basedOn w:val="a"/>
    <w:rsid w:val="00F93C6A"/>
    <w:pPr>
      <w:overflowPunct/>
      <w:autoSpaceDE/>
      <w:autoSpaceDN/>
      <w:snapToGrid w:val="0"/>
      <w:ind w:firstLineChars="100" w:firstLine="200"/>
      <w:jc w:val="both"/>
      <w:textAlignment w:val="auto"/>
    </w:pPr>
    <w:rPr>
      <w:rFonts w:eastAsia="MS Mincho"/>
      <w:sz w:val="20"/>
      <w:lang w:val="en-US"/>
    </w:rPr>
  </w:style>
  <w:style w:type="character" w:styleId="ae">
    <w:name w:val="annotation reference"/>
    <w:locked/>
    <w:rsid w:val="00AD1535"/>
    <w:rPr>
      <w:sz w:val="18"/>
      <w:szCs w:val="18"/>
    </w:rPr>
  </w:style>
  <w:style w:type="paragraph" w:styleId="af">
    <w:name w:val="annotation text"/>
    <w:basedOn w:val="a"/>
    <w:link w:val="Char2"/>
    <w:locked/>
    <w:rsid w:val="00AD1535"/>
    <w:pPr>
      <w:overflowPunct/>
      <w:autoSpaceDE/>
      <w:autoSpaceDN/>
      <w:adjustRightInd/>
      <w:textAlignment w:val="auto"/>
    </w:pPr>
    <w:rPr>
      <w:rFonts w:eastAsia="MS Mincho"/>
      <w:sz w:val="24"/>
      <w:lang w:val="en-US"/>
    </w:rPr>
  </w:style>
  <w:style w:type="character" w:customStyle="1" w:styleId="Char2">
    <w:name w:val="메모 텍스트 Char"/>
    <w:basedOn w:val="a2"/>
    <w:link w:val="af"/>
    <w:rsid w:val="00AD1535"/>
    <w:rPr>
      <w:rFonts w:eastAsia="MS Mincho"/>
      <w:sz w:val="24"/>
      <w:lang w:val="en-US" w:eastAsia="en-US"/>
    </w:rPr>
  </w:style>
  <w:style w:type="paragraph" w:customStyle="1" w:styleId="SecondHeading">
    <w:name w:val="Second Heading"/>
    <w:basedOn w:val="a"/>
    <w:rsid w:val="001C23E4"/>
    <w:pPr>
      <w:overflowPunct/>
      <w:autoSpaceDE/>
      <w:autoSpaceDN/>
      <w:snapToGrid w:val="0"/>
      <w:jc w:val="both"/>
      <w:textAlignment w:val="auto"/>
    </w:pPr>
    <w:rPr>
      <w:rFonts w:eastAsia="Times New Roman"/>
      <w:i/>
      <w:sz w:val="20"/>
      <w:lang w:val="en-US"/>
    </w:rPr>
  </w:style>
  <w:style w:type="paragraph" w:styleId="af0">
    <w:name w:val="List Paragraph"/>
    <w:basedOn w:val="a"/>
    <w:uiPriority w:val="49"/>
    <w:locked/>
    <w:rsid w:val="004B317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7D9413B9-2C33-4FAF-8C3D-A7641D6B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213</TotalTime>
  <Pages>7</Pages>
  <Words>2889</Words>
  <Characters>16468</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user</cp:lastModifiedBy>
  <cp:revision>7</cp:revision>
  <cp:lastPrinted>2024-05-30T01:40:00Z</cp:lastPrinted>
  <dcterms:created xsi:type="dcterms:W3CDTF">2024-05-28T04:47:00Z</dcterms:created>
  <dcterms:modified xsi:type="dcterms:W3CDTF">2024-05-30T01:55:00Z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