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7F150" w14:textId="77777777" w:rsidR="00B07B7B" w:rsidRDefault="00B07B7B" w:rsidP="00537496">
      <w:pPr>
        <w:pStyle w:val="Subtitle"/>
        <w:rPr>
          <w:rFonts w:ascii="Times New Roman Bold" w:hAnsi="Times New Roman Bold" w:cs="Times New Roman"/>
          <w:i w:val="0"/>
          <w:caps/>
          <w:szCs w:val="20"/>
        </w:rPr>
      </w:pPr>
      <w:r w:rsidRPr="00B07B7B">
        <w:rPr>
          <w:rFonts w:ascii="Times New Roman Bold" w:hAnsi="Times New Roman Bold" w:cs="Times New Roman"/>
          <w:i w:val="0"/>
          <w:caps/>
          <w:szCs w:val="20"/>
        </w:rPr>
        <w:t xml:space="preserve">Applying 3S Lessons: Using Safety </w:t>
      </w:r>
    </w:p>
    <w:p w14:paraId="4E200D80" w14:textId="77777777" w:rsidR="00B07B7B" w:rsidRDefault="00B07B7B" w:rsidP="00537496">
      <w:pPr>
        <w:pStyle w:val="Subtitle"/>
        <w:rPr>
          <w:rFonts w:ascii="Times New Roman Bold" w:hAnsi="Times New Roman Bold" w:cs="Times New Roman"/>
          <w:i w:val="0"/>
          <w:caps/>
          <w:szCs w:val="20"/>
        </w:rPr>
      </w:pPr>
      <w:r w:rsidRPr="00B07B7B">
        <w:rPr>
          <w:rFonts w:ascii="Times New Roman Bold" w:hAnsi="Times New Roman Bold" w:cs="Times New Roman"/>
          <w:i w:val="0"/>
          <w:caps/>
          <w:szCs w:val="20"/>
        </w:rPr>
        <w:t xml:space="preserve">Concepts to Develop </w:t>
      </w:r>
    </w:p>
    <w:p w14:paraId="6B8A6E72" w14:textId="77777777" w:rsidR="00B07B7B" w:rsidRDefault="00B07B7B" w:rsidP="00537496">
      <w:pPr>
        <w:pStyle w:val="Subtitle"/>
        <w:rPr>
          <w:rFonts w:ascii="Times New Roman Bold" w:hAnsi="Times New Roman Bold" w:cs="Times New Roman"/>
          <w:i w:val="0"/>
          <w:caps/>
          <w:szCs w:val="20"/>
        </w:rPr>
      </w:pPr>
      <w:r w:rsidRPr="00B07B7B">
        <w:rPr>
          <w:rFonts w:ascii="Times New Roman Bold" w:hAnsi="Times New Roman Bold" w:cs="Times New Roman"/>
          <w:i w:val="0"/>
          <w:caps/>
          <w:szCs w:val="20"/>
        </w:rPr>
        <w:t xml:space="preserve">"Risk-Informed Safeguards" for </w:t>
      </w:r>
    </w:p>
    <w:p w14:paraId="3C3C6735" w14:textId="3EB2C709" w:rsidR="00B07B7B" w:rsidRDefault="00B07B7B" w:rsidP="00537496">
      <w:pPr>
        <w:pStyle w:val="Subtitle"/>
        <w:rPr>
          <w:rFonts w:ascii="Times New Roman Bold" w:hAnsi="Times New Roman Bold" w:cs="Times New Roman"/>
          <w:i w:val="0"/>
          <w:caps/>
          <w:szCs w:val="20"/>
        </w:rPr>
      </w:pPr>
      <w:r w:rsidRPr="00B07B7B">
        <w:rPr>
          <w:rFonts w:ascii="Times New Roman Bold" w:hAnsi="Times New Roman Bold" w:cs="Times New Roman"/>
          <w:i w:val="0"/>
          <w:caps/>
          <w:szCs w:val="20"/>
        </w:rPr>
        <w:t>Small Modular Reactors</w:t>
      </w:r>
    </w:p>
    <w:p w14:paraId="4D1B799F" w14:textId="77777777" w:rsidR="00802381" w:rsidRDefault="00802381" w:rsidP="00537496">
      <w:pPr>
        <w:pStyle w:val="Authornameandaffiliation"/>
      </w:pPr>
    </w:p>
    <w:p w14:paraId="32159D0F" w14:textId="6816BA57" w:rsidR="003B5E0E" w:rsidRDefault="002B21C9" w:rsidP="00537496">
      <w:pPr>
        <w:pStyle w:val="Authornameandaffiliation"/>
      </w:pPr>
      <w:r>
        <w:t xml:space="preserve">C.A. FAUCETT </w:t>
      </w:r>
    </w:p>
    <w:p w14:paraId="02370931" w14:textId="0EFF6355" w:rsidR="00FF386F" w:rsidRDefault="002B21C9" w:rsidP="00537496">
      <w:pPr>
        <w:pStyle w:val="Authornameandaffiliation"/>
      </w:pPr>
      <w:r>
        <w:t>Sandia National Laboratories</w:t>
      </w:r>
    </w:p>
    <w:p w14:paraId="14684DE2" w14:textId="1B3F3CB3" w:rsidR="00FF386F" w:rsidRDefault="00B07B7B" w:rsidP="00537496">
      <w:pPr>
        <w:pStyle w:val="Authornameandaffiliation"/>
      </w:pPr>
      <w:r>
        <w:t>Albuquerque, NM</w:t>
      </w:r>
      <w:r w:rsidR="00FF386F">
        <w:t xml:space="preserve">, </w:t>
      </w:r>
      <w:r>
        <w:t>United States of America</w:t>
      </w:r>
    </w:p>
    <w:p w14:paraId="0080899C" w14:textId="1630D2BD" w:rsidR="00FF386F" w:rsidRDefault="00FF386F" w:rsidP="00537496">
      <w:pPr>
        <w:pStyle w:val="Authornameandaffiliation"/>
      </w:pPr>
      <w:r>
        <w:t xml:space="preserve">Email: </w:t>
      </w:r>
      <w:r w:rsidR="00ED0EAC">
        <w:t>cfaucet@sandia.gov</w:t>
      </w:r>
    </w:p>
    <w:p w14:paraId="5E2BDA1F" w14:textId="77777777" w:rsidR="00FF386F" w:rsidRDefault="00FF386F" w:rsidP="00537496">
      <w:pPr>
        <w:pStyle w:val="Authornameandaffiliation"/>
      </w:pPr>
    </w:p>
    <w:p w14:paraId="535BB6CC" w14:textId="4650C7AE" w:rsidR="00FF386F" w:rsidRPr="00FF386F" w:rsidRDefault="002B21C9" w:rsidP="00537496">
      <w:pPr>
        <w:pStyle w:val="Authornameandaffiliation"/>
      </w:pPr>
      <w:r>
        <w:t>A.D. WILLIAMS</w:t>
      </w:r>
    </w:p>
    <w:p w14:paraId="008085C2" w14:textId="4E4412D1" w:rsidR="00FF386F" w:rsidRPr="00FF386F" w:rsidRDefault="00B07B7B" w:rsidP="00537496">
      <w:pPr>
        <w:pStyle w:val="Authornameandaffiliation"/>
      </w:pPr>
      <w:r>
        <w:t>Sandia National Laboratories</w:t>
      </w:r>
    </w:p>
    <w:p w14:paraId="2DF314CE" w14:textId="77777777" w:rsidR="00B07B7B" w:rsidRDefault="00B07B7B" w:rsidP="00B07B7B">
      <w:pPr>
        <w:pStyle w:val="Authornameandaffiliation"/>
      </w:pPr>
      <w:r>
        <w:t>Albuquerque, NM, United States of America</w:t>
      </w:r>
    </w:p>
    <w:p w14:paraId="2C7F19CB" w14:textId="77777777" w:rsidR="00FF386F" w:rsidRDefault="00FF386F" w:rsidP="00537496">
      <w:pPr>
        <w:pStyle w:val="Authornameandaffiliation"/>
      </w:pPr>
    </w:p>
    <w:p w14:paraId="230D4575" w14:textId="36DFA9DF" w:rsidR="00647F33" w:rsidRPr="00647F33" w:rsidRDefault="00647F33" w:rsidP="00537496">
      <w:pPr>
        <w:pStyle w:val="Authornameandaffiliation"/>
        <w:rPr>
          <w:b/>
        </w:rPr>
      </w:pPr>
      <w:r w:rsidRPr="00647F33">
        <w:rPr>
          <w:b/>
        </w:rPr>
        <w:t>Abstract</w:t>
      </w:r>
    </w:p>
    <w:p w14:paraId="4F2E62A2" w14:textId="77777777" w:rsidR="00647F33" w:rsidRDefault="00647F33" w:rsidP="00537496">
      <w:pPr>
        <w:pStyle w:val="Authornameandaffiliation"/>
      </w:pPr>
    </w:p>
    <w:p w14:paraId="297896F5" w14:textId="3DEE6AE9" w:rsidR="00E63D66" w:rsidRDefault="00901FD6" w:rsidP="00E63D66">
      <w:pPr>
        <w:pStyle w:val="Abstracttext"/>
      </w:pPr>
      <w:r>
        <w:t>The</w:t>
      </w:r>
      <w:r w:rsidR="00B07B7B">
        <w:t xml:space="preserve"> paper introduces an alternate perspective</w:t>
      </w:r>
      <w:r w:rsidR="00CD53FD">
        <w:t xml:space="preserve"> to </w:t>
      </w:r>
      <w:r w:rsidR="003D074A">
        <w:t xml:space="preserve">integrating </w:t>
      </w:r>
      <w:r w:rsidR="00CD53FD">
        <w:t>security/safety/safeguards where</w:t>
      </w:r>
      <w:r w:rsidR="00B07B7B">
        <w:t xml:space="preserve"> concepts from nuclear safety </w:t>
      </w:r>
      <w:r w:rsidR="00CD53FD">
        <w:t xml:space="preserve">are explored </w:t>
      </w:r>
      <w:r w:rsidR="00B07B7B">
        <w:t xml:space="preserve">to better communicate risks in the </w:t>
      </w:r>
      <w:r w:rsidR="00CD53FD">
        <w:t xml:space="preserve">international </w:t>
      </w:r>
      <w:proofErr w:type="gramStart"/>
      <w:r w:rsidR="00CD53FD">
        <w:t>safeguards</w:t>
      </w:r>
      <w:proofErr w:type="gramEnd"/>
      <w:r w:rsidR="00B07B7B">
        <w:t xml:space="preserve"> domain. Recently, the safety concept of risk significance (defined as a level of risk exceeding a predetermined threshold) and organizational gradients was used to develop a conceptual “insider risk significance” framework for multi-insider threats. Using key similarities between State-level diversion and subnational theft, this paper conceptualizes a similar “safeguards risk significance” framework for better characterizing safeguards risks for </w:t>
      </w:r>
      <w:r w:rsidR="00CD53FD">
        <w:t>small modular reactor</w:t>
      </w:r>
      <w:r w:rsidR="00B07B7B">
        <w:t xml:space="preserve"> deployment. While development of this framework is preliminary, the concepts presented have potential to enhance communication of safeguards risks to security and safety experts.</w:t>
      </w:r>
    </w:p>
    <w:p w14:paraId="03C6D75B" w14:textId="319F32B4" w:rsidR="00647F33" w:rsidRDefault="00F91204" w:rsidP="00537496">
      <w:pPr>
        <w:pStyle w:val="Heading2"/>
        <w:numPr>
          <w:ilvl w:val="1"/>
          <w:numId w:val="10"/>
        </w:numPr>
      </w:pPr>
      <w:r>
        <w:t>Introduction</w:t>
      </w:r>
    </w:p>
    <w:p w14:paraId="452C7422" w14:textId="67537AA5" w:rsidR="00ED0EAC" w:rsidRPr="00901FD6" w:rsidRDefault="0084076B" w:rsidP="001B531C">
      <w:pPr>
        <w:pStyle w:val="BodyText"/>
      </w:pPr>
      <w:r>
        <w:t>As evidenced by multiple evaluation approaches, the risks associated with the failure to safeguard nuclear technology</w:t>
      </w:r>
      <w:r w:rsidR="00B451D5">
        <w:t>—sometimes referred to as “</w:t>
      </w:r>
      <w:r>
        <w:t>proliferation risk</w:t>
      </w:r>
      <w:r w:rsidR="00B451D5">
        <w:t xml:space="preserve">”—is </w:t>
      </w:r>
      <w:r>
        <w:t xml:space="preserve">a deeply studied, well-understood phenomenon. Yet, in </w:t>
      </w:r>
      <w:r w:rsidR="00A7166F">
        <w:t>safety, security, and safeguards</w:t>
      </w:r>
      <w:r w:rsidR="00A7166F">
        <w:t xml:space="preserve"> </w:t>
      </w:r>
      <w:r>
        <w:t xml:space="preserve">literature, </w:t>
      </w:r>
      <w:r w:rsidRPr="00901FD6">
        <w:t xml:space="preserve">safeguards </w:t>
      </w:r>
      <w:proofErr w:type="gramStart"/>
      <w:r w:rsidR="00B451D5">
        <w:t>is</w:t>
      </w:r>
      <w:proofErr w:type="gramEnd"/>
      <w:r w:rsidR="00B451D5">
        <w:t xml:space="preserve"> often </w:t>
      </w:r>
      <w:r w:rsidRPr="00901FD6">
        <w:t xml:space="preserve">perceived as the least important of the </w:t>
      </w:r>
      <w:r w:rsidR="00B8404E">
        <w:t>3S</w:t>
      </w:r>
      <w:r>
        <w:t xml:space="preserve"> domains </w:t>
      </w:r>
      <w:r w:rsidRPr="00901FD6">
        <w:t>despite its potential for extraordinarily high consequence</w:t>
      </w:r>
      <w:r>
        <w:t xml:space="preserve">s </w:t>
      </w:r>
      <w:r w:rsidRPr="00901FD6">
        <w:t>if neglected</w:t>
      </w:r>
      <w:r>
        <w:t xml:space="preserve">. This is not to say that safeguards </w:t>
      </w:r>
      <w:proofErr w:type="gramStart"/>
      <w:r>
        <w:t>is</w:t>
      </w:r>
      <w:proofErr w:type="gramEnd"/>
      <w:r>
        <w:t xml:space="preserve"> unappreciated by non-subject matter experts</w:t>
      </w:r>
      <w:r w:rsidR="00B451D5">
        <w:t>. Rather,</w:t>
      </w:r>
      <w:r>
        <w:t xml:space="preserve"> because of natural parallels between safety and security (e.g., similar perception of consequences and owner/operator responsibilities) safeguards may not receive </w:t>
      </w:r>
      <w:r w:rsidR="00B451D5">
        <w:t xml:space="preserve">adequate </w:t>
      </w:r>
      <w:r>
        <w:t xml:space="preserve">attention in a </w:t>
      </w:r>
      <w:r w:rsidR="00A7166F">
        <w:t>cross-domain</w:t>
      </w:r>
      <w:r w:rsidR="00A7166F">
        <w:t xml:space="preserve"> </w:t>
      </w:r>
      <w:r>
        <w:t xml:space="preserve">context. </w:t>
      </w:r>
      <w:r w:rsidR="001B531C">
        <w:t>D</w:t>
      </w:r>
      <w:r w:rsidR="00901FD6" w:rsidRPr="00901FD6">
        <w:t>eveloping clearer descriptions of the potential for incredibl</w:t>
      </w:r>
      <w:r w:rsidR="00B451D5">
        <w:t>y</w:t>
      </w:r>
      <w:r w:rsidR="00901FD6" w:rsidRPr="00901FD6">
        <w:t xml:space="preserve"> high consequence events related to safeguards </w:t>
      </w:r>
      <w:r w:rsidR="00B451D5">
        <w:t xml:space="preserve">and better characterizing </w:t>
      </w:r>
      <w:r w:rsidR="00901FD6" w:rsidRPr="00901FD6">
        <w:t xml:space="preserve">the importance of safeguards-by-design </w:t>
      </w:r>
      <w:r w:rsidR="00B451D5">
        <w:t xml:space="preserve">can </w:t>
      </w:r>
      <w:r w:rsidR="00901FD6" w:rsidRPr="00901FD6">
        <w:t>help support the responsible development of advanced or small modular reactors.</w:t>
      </w:r>
    </w:p>
    <w:p w14:paraId="5FE7793F" w14:textId="4200104D" w:rsidR="001B531C" w:rsidRDefault="00570295" w:rsidP="001B531C">
      <w:pPr>
        <w:pStyle w:val="BodyText"/>
      </w:pPr>
      <w:r>
        <w:t>To this end</w:t>
      </w:r>
      <w:r w:rsidR="00901FD6">
        <w:t>,</w:t>
      </w:r>
      <w:r w:rsidR="00ED0EAC">
        <w:t xml:space="preserve"> this </w:t>
      </w:r>
      <w:r w:rsidR="003D074A">
        <w:t xml:space="preserve">paper </w:t>
      </w:r>
      <w:r w:rsidR="00ED0EAC">
        <w:t xml:space="preserve">presents </w:t>
      </w:r>
      <w:r w:rsidR="001B531C">
        <w:t>an alternate perspective</w:t>
      </w:r>
      <w:r w:rsidR="00901FD6">
        <w:t xml:space="preserve"> of</w:t>
      </w:r>
      <w:r w:rsidR="001B531C">
        <w:t xml:space="preserve"> </w:t>
      </w:r>
      <w:r w:rsidR="00A7166F">
        <w:t xml:space="preserve">safety, security, and safeguards </w:t>
      </w:r>
      <w:r w:rsidR="00B451D5">
        <w:t>that focuses more specifically on</w:t>
      </w:r>
      <w:r w:rsidR="00ED0EAC">
        <w:t xml:space="preserve"> how </w:t>
      </w:r>
      <w:r w:rsidR="00901FD6">
        <w:t xml:space="preserve">concepts or terminology from one </w:t>
      </w:r>
      <w:r>
        <w:t>domain</w:t>
      </w:r>
      <w:r w:rsidR="00901FD6">
        <w:t xml:space="preserve"> can be used to facilitate a common understanding of risk between </w:t>
      </w:r>
      <w:r>
        <w:t xml:space="preserve">the other </w:t>
      </w:r>
      <w:r w:rsidR="00B451D5">
        <w:t>domain</w:t>
      </w:r>
      <w:r>
        <w:t>s</w:t>
      </w:r>
      <w:r w:rsidR="00901FD6">
        <w:t xml:space="preserve">. </w:t>
      </w:r>
      <w:r w:rsidR="00901FD6" w:rsidRPr="0084100D">
        <w:t xml:space="preserve">Specifically, this paper will discuss how </w:t>
      </w:r>
      <w:r w:rsidR="00B451D5" w:rsidRPr="00EA0C1D">
        <w:t xml:space="preserve">the concept of </w:t>
      </w:r>
      <w:r w:rsidR="00901FD6" w:rsidRPr="0084100D">
        <w:t>“risk significance</w:t>
      </w:r>
      <w:r w:rsidR="00B451D5" w:rsidRPr="00EA0C1D">
        <w:t>,</w:t>
      </w:r>
      <w:r w:rsidR="00901FD6" w:rsidRPr="0084100D">
        <w:t>”</w:t>
      </w:r>
      <w:r w:rsidR="00B451D5" w:rsidRPr="00EA0C1D">
        <w:t xml:space="preserve"> which is commonly</w:t>
      </w:r>
      <w:r w:rsidR="00C139AB" w:rsidRPr="0084100D">
        <w:t xml:space="preserve"> </w:t>
      </w:r>
      <w:r w:rsidR="00901FD6" w:rsidRPr="0084100D">
        <w:t xml:space="preserve">used in nuclear safety </w:t>
      </w:r>
      <w:r w:rsidR="00B451D5" w:rsidRPr="00EA0C1D">
        <w:t xml:space="preserve">but recently </w:t>
      </w:r>
      <w:r w:rsidR="00901FD6" w:rsidRPr="0084100D">
        <w:t xml:space="preserve">has been </w:t>
      </w:r>
      <w:r w:rsidR="00B451D5" w:rsidRPr="00EA0C1D">
        <w:t xml:space="preserve">applied </w:t>
      </w:r>
      <w:r w:rsidR="00901FD6" w:rsidRPr="0084100D">
        <w:t xml:space="preserve">to characterize security risks </w:t>
      </w:r>
      <w:r w:rsidRPr="0084100D">
        <w:t>from insider threats</w:t>
      </w:r>
      <w:r w:rsidR="00B451D5" w:rsidRPr="00EA0C1D">
        <w:t>,</w:t>
      </w:r>
      <w:r w:rsidRPr="0084100D">
        <w:t xml:space="preserve"> </w:t>
      </w:r>
      <w:r w:rsidR="00901FD6" w:rsidRPr="0084100D">
        <w:t>could be used to enhance communication of</w:t>
      </w:r>
      <w:r w:rsidR="00EE2006" w:rsidRPr="0084100D">
        <w:t xml:space="preserve"> safeguards</w:t>
      </w:r>
      <w:r w:rsidR="001B531C" w:rsidRPr="0084100D">
        <w:t xml:space="preserve"> or </w:t>
      </w:r>
      <w:r w:rsidR="00EE2006" w:rsidRPr="0084100D">
        <w:t>proliferation risk.</w:t>
      </w:r>
      <w:r w:rsidRPr="0084100D">
        <w:t xml:space="preserve"> </w:t>
      </w:r>
      <w:r>
        <w:t xml:space="preserve">The objective of this paper is not to </w:t>
      </w:r>
      <w:r w:rsidR="00C139AB">
        <w:t xml:space="preserve">present </w:t>
      </w:r>
      <w:r>
        <w:t xml:space="preserve">a </w:t>
      </w:r>
      <w:r w:rsidR="00C139AB">
        <w:t>completed s</w:t>
      </w:r>
      <w:r>
        <w:t>afeguards risk significance model</w:t>
      </w:r>
      <w:r w:rsidR="001B531C">
        <w:t xml:space="preserve">. Instead, this paper explores </w:t>
      </w:r>
      <w:r w:rsidR="00CD53FD">
        <w:t>how</w:t>
      </w:r>
      <w:r w:rsidR="00C139AB">
        <w:t xml:space="preserve"> </w:t>
      </w:r>
      <w:r w:rsidR="001B531C">
        <w:t>a concept</w:t>
      </w:r>
      <w:r w:rsidR="00C139AB">
        <w:t xml:space="preserve"> like risk significance </w:t>
      </w:r>
      <w:r w:rsidR="001B531C">
        <w:t xml:space="preserve">can be used to </w:t>
      </w:r>
      <w:r w:rsidR="00B451D5">
        <w:t xml:space="preserve">more clearly and completely </w:t>
      </w:r>
      <w:r w:rsidR="001B531C">
        <w:t>express safeguards risk to security, safety, or other non-safeguards experts.</w:t>
      </w:r>
    </w:p>
    <w:p w14:paraId="72BAAAB3" w14:textId="5D463332" w:rsidR="00C139AB" w:rsidRDefault="00C139AB" w:rsidP="001B531C">
      <w:pPr>
        <w:pStyle w:val="BodyText"/>
      </w:pPr>
      <w:r>
        <w:t xml:space="preserve">This paper </w:t>
      </w:r>
      <w:r w:rsidR="00B8404E">
        <w:t xml:space="preserve">is organized into a single primary section where the concept of risk significance is introduced, and an overview of how risk significance was used to model insider threats at nuclear facilities is presented. Then, discussion is provided about how risk significance </w:t>
      </w:r>
      <w:proofErr w:type="gramStart"/>
      <w:r w:rsidR="00B8404E">
        <w:t>could be similarly be</w:t>
      </w:r>
      <w:proofErr w:type="gramEnd"/>
      <w:r w:rsidR="00B8404E">
        <w:t xml:space="preserve"> applied to the safeguards domains and what some of the challenges in doing so may be. After this section, a brief conclusion is provided. </w:t>
      </w:r>
    </w:p>
    <w:p w14:paraId="6C7B6344" w14:textId="468610F1" w:rsidR="00B8404E" w:rsidRPr="00B8404E" w:rsidRDefault="00F91204" w:rsidP="00B8404E">
      <w:pPr>
        <w:pStyle w:val="Heading2"/>
      </w:pPr>
      <w:r>
        <w:t>Safeguards Risk Significance</w:t>
      </w:r>
    </w:p>
    <w:p w14:paraId="74CD1556" w14:textId="29EA305D" w:rsidR="00E25B68" w:rsidRDefault="00AC2503" w:rsidP="00F91204">
      <w:pPr>
        <w:pStyle w:val="Heading3"/>
      </w:pPr>
      <w:r>
        <w:t xml:space="preserve">Risk and </w:t>
      </w:r>
      <w:r w:rsidR="00901FD6">
        <w:t xml:space="preserve">Risk </w:t>
      </w:r>
      <w:r w:rsidR="00C139AB">
        <w:t xml:space="preserve">Significance </w:t>
      </w:r>
    </w:p>
    <w:p w14:paraId="5E4DB3F1" w14:textId="77777777" w:rsidR="00CD3021" w:rsidRDefault="00AC2503" w:rsidP="00A7213F">
      <w:pPr>
        <w:pStyle w:val="BodyText"/>
      </w:pPr>
      <w:r>
        <w:t xml:space="preserve">A </w:t>
      </w:r>
      <w:proofErr w:type="gramStart"/>
      <w:r>
        <w:t>commonly-accepted</w:t>
      </w:r>
      <w:proofErr w:type="gramEnd"/>
      <w:r>
        <w:t xml:space="preserve"> definition of risk is that risk is a triplet of three questions</w:t>
      </w:r>
      <w:r w:rsidR="00CD3021">
        <w:t xml:space="preserve"> [1]:</w:t>
      </w:r>
    </w:p>
    <w:p w14:paraId="7EE74F4F" w14:textId="77777777" w:rsidR="00CD3021" w:rsidRDefault="00CD3021" w:rsidP="00EA0C1D">
      <w:pPr>
        <w:pStyle w:val="BodyText"/>
        <w:ind w:left="927" w:firstLine="0"/>
      </w:pPr>
    </w:p>
    <w:p w14:paraId="7E39112A" w14:textId="57E6FC16" w:rsidR="00CD3021" w:rsidRDefault="00D352EE" w:rsidP="00EA0C1D">
      <w:pPr>
        <w:pStyle w:val="BodyText"/>
        <w:numPr>
          <w:ilvl w:val="0"/>
          <w:numId w:val="34"/>
        </w:numPr>
      </w:pPr>
      <w:r>
        <w:t>W</w:t>
      </w:r>
      <w:r w:rsidR="00AC2503">
        <w:t>hat can go wrong?</w:t>
      </w:r>
    </w:p>
    <w:p w14:paraId="0C6FBAA1" w14:textId="691205F7" w:rsidR="00CD3021" w:rsidRDefault="00D352EE" w:rsidP="00EA0C1D">
      <w:pPr>
        <w:pStyle w:val="BodyText"/>
        <w:numPr>
          <w:ilvl w:val="0"/>
          <w:numId w:val="34"/>
        </w:numPr>
      </w:pPr>
      <w:r>
        <w:t>H</w:t>
      </w:r>
      <w:r w:rsidR="00AC2503">
        <w:t>ow likely is it?</w:t>
      </w:r>
    </w:p>
    <w:p w14:paraId="296AD90E" w14:textId="28A1CE0A" w:rsidR="00CD3021" w:rsidRDefault="00D352EE" w:rsidP="00EA0C1D">
      <w:pPr>
        <w:pStyle w:val="BodyText"/>
        <w:numPr>
          <w:ilvl w:val="0"/>
          <w:numId w:val="34"/>
        </w:numPr>
      </w:pPr>
      <w:r>
        <w:t>W</w:t>
      </w:r>
      <w:r w:rsidR="00AC2503">
        <w:t>hat the consequences if it does</w:t>
      </w:r>
      <w:r w:rsidR="00C302AF">
        <w:t>?</w:t>
      </w:r>
    </w:p>
    <w:p w14:paraId="272D2E98" w14:textId="77777777" w:rsidR="00CD3021" w:rsidRDefault="00CD3021" w:rsidP="00EA0C1D">
      <w:pPr>
        <w:pStyle w:val="BodyText"/>
        <w:ind w:firstLine="0"/>
      </w:pPr>
    </w:p>
    <w:p w14:paraId="6D537C22" w14:textId="459CE80A" w:rsidR="00A7213F" w:rsidRDefault="00C302AF" w:rsidP="00EA0C1D">
      <w:pPr>
        <w:pStyle w:val="BodyText"/>
        <w:ind w:firstLine="0"/>
      </w:pPr>
      <w:r>
        <w:t>The information provided by answering this triplet of questions can be used by decision makers to establish whether a system is “</w:t>
      </w:r>
      <w:r w:rsidR="00CD3021">
        <w:t xml:space="preserve">good </w:t>
      </w:r>
      <w:r>
        <w:t xml:space="preserve">enough” </w:t>
      </w:r>
      <w:r w:rsidR="00CD3021">
        <w:t xml:space="preserve">to mitigate risks of concern </w:t>
      </w:r>
      <w:r>
        <w:t xml:space="preserve">as defined by the various decision makers or governing regulatory bodies. </w:t>
      </w:r>
      <w:r w:rsidR="00CD3021">
        <w:t>For example, d</w:t>
      </w:r>
      <w:r>
        <w:t>etermining whether a system is “safe enough” requires a threshold</w:t>
      </w:r>
      <w:r w:rsidR="00CD3021">
        <w:t xml:space="preserve">. For nuclear safety in the U.S., </w:t>
      </w:r>
      <w:proofErr w:type="gramStart"/>
      <w:r w:rsidR="00CD3021">
        <w:t xml:space="preserve">the </w:t>
      </w:r>
      <w:r>
        <w:t xml:space="preserve"> Nuclear</w:t>
      </w:r>
      <w:proofErr w:type="gramEnd"/>
      <w:r>
        <w:t xml:space="preserve"> Regulatory Commission (NRC)</w:t>
      </w:r>
      <w:r w:rsidR="00CD3021">
        <w:t xml:space="preserve"> uses the concept of </w:t>
      </w:r>
      <w:r w:rsidR="00A7213F">
        <w:t>risk significance</w:t>
      </w:r>
      <w:r w:rsidR="00CD3021">
        <w:t xml:space="preserve"> to identify “safe enough.” More specifically, </w:t>
      </w:r>
      <w:r w:rsidR="00AC2503">
        <w:t xml:space="preserve">the </w:t>
      </w:r>
      <w:r w:rsidR="00A7213F">
        <w:t>NRC</w:t>
      </w:r>
      <w:r w:rsidR="00CD3021">
        <w:t xml:space="preserve"> </w:t>
      </w:r>
      <w:proofErr w:type="gramStart"/>
      <w:r w:rsidR="00CD3021">
        <w:t xml:space="preserve">defines </w:t>
      </w:r>
      <w:r w:rsidR="00AC2503">
        <w:t xml:space="preserve"> risk</w:t>
      </w:r>
      <w:proofErr w:type="gramEnd"/>
      <w:r w:rsidR="00AC2503">
        <w:t xml:space="preserve"> significant </w:t>
      </w:r>
      <w:r w:rsidR="00CD3021">
        <w:t xml:space="preserve">as </w:t>
      </w:r>
      <w:r w:rsidR="00AC2503">
        <w:t xml:space="preserve">either a system, structure, component, or accident sequence that exceeds a predetermined </w:t>
      </w:r>
      <w:r w:rsidR="002E33F7">
        <w:t>risk contribution level for a facility or a level of risk that exceeds an established level of significance</w:t>
      </w:r>
      <w:r w:rsidR="00DA5B1F">
        <w:t xml:space="preserve"> [2]</w:t>
      </w:r>
      <w:r w:rsidR="002E33F7">
        <w:t xml:space="preserve">. </w:t>
      </w:r>
    </w:p>
    <w:p w14:paraId="749F8E4C" w14:textId="1E8A38FB" w:rsidR="00D352EE" w:rsidRDefault="00CD3021" w:rsidP="00D352EE">
      <w:pPr>
        <w:pStyle w:val="BodyText"/>
      </w:pPr>
      <w:r>
        <w:t xml:space="preserve">Similarly, </w:t>
      </w:r>
      <w:r w:rsidR="002E33F7">
        <w:t>a publication by the Nuclear Energy Institute (NEI)</w:t>
      </w:r>
      <w:r>
        <w:t>—titled “Risk-Informed Performance-Based Technology Inclusive Guidance for Non-Light Water Reactor Licensing Basis Development” (NEI 18-04)—</w:t>
      </w:r>
      <w:r w:rsidR="00A7213F">
        <w:t>uses the concept of</w:t>
      </w:r>
      <w:r w:rsidR="00C302AF">
        <w:t xml:space="preserve"> risk significance to </w:t>
      </w:r>
      <w:r w:rsidR="00A7213F">
        <w:t>establish design objectives for nuclear safety</w:t>
      </w:r>
      <w:r w:rsidR="00DA5B1F">
        <w:t xml:space="preserve"> [3]</w:t>
      </w:r>
      <w:r w:rsidR="00A7213F">
        <w:t xml:space="preserve">. </w:t>
      </w:r>
      <w:proofErr w:type="gramStart"/>
      <w:r w:rsidR="00A7213F">
        <w:t>Summarized briefly</w:t>
      </w:r>
      <w:proofErr w:type="gramEnd"/>
      <w:r w:rsidR="00A7213F">
        <w:t xml:space="preserve">, NEI 18-04 </w:t>
      </w:r>
      <w:r w:rsidRPr="00CD3021">
        <w:t>provides guidance for risk-informed, technology neutral, and performance-based reactor licensing</w:t>
      </w:r>
      <w:r>
        <w:t xml:space="preserve"> in terms of </w:t>
      </w:r>
      <w:r w:rsidR="00A7213F">
        <w:t>a two-dimensional risk space</w:t>
      </w:r>
      <w:r>
        <w:t xml:space="preserve">. This risk space, illustrated in </w:t>
      </w:r>
      <w:r w:rsidR="00FA073E">
        <w:rPr>
          <w:highlight w:val="yellow"/>
        </w:rPr>
        <w:fldChar w:fldCharType="begin"/>
      </w:r>
      <w:r w:rsidR="00FA073E">
        <w:instrText xml:space="preserve"> REF _Ref169298111 \h </w:instrText>
      </w:r>
      <w:r w:rsidR="00FA073E">
        <w:rPr>
          <w:highlight w:val="yellow"/>
        </w:rPr>
      </w:r>
      <w:r w:rsidR="00FA073E">
        <w:rPr>
          <w:highlight w:val="yellow"/>
        </w:rPr>
        <w:fldChar w:fldCharType="separate"/>
      </w:r>
      <w:r w:rsidR="00FA073E">
        <w:t xml:space="preserve">Figure </w:t>
      </w:r>
      <w:r w:rsidR="00FA073E">
        <w:rPr>
          <w:noProof/>
        </w:rPr>
        <w:t>1</w:t>
      </w:r>
      <w:r w:rsidR="00FA073E">
        <w:rPr>
          <w:highlight w:val="yellow"/>
        </w:rPr>
        <w:fldChar w:fldCharType="end"/>
      </w:r>
      <w:r w:rsidR="00A7166F">
        <w:t xml:space="preserve"> (recreated in </w:t>
      </w:r>
      <w:r w:rsidR="00A7166F">
        <w:fldChar w:fldCharType="begin"/>
      </w:r>
      <w:r w:rsidR="00A7166F">
        <w:instrText xml:space="preserve"> REF _Ref169296870 \n \h </w:instrText>
      </w:r>
      <w:r w:rsidR="00A7166F">
        <w:fldChar w:fldCharType="separate"/>
      </w:r>
      <w:r w:rsidR="00A7166F">
        <w:t>[4]</w:t>
      </w:r>
      <w:r w:rsidR="00A7166F">
        <w:fldChar w:fldCharType="end"/>
      </w:r>
      <w:r w:rsidR="00A7166F">
        <w:t xml:space="preserve"> from </w:t>
      </w:r>
      <w:r w:rsidR="00A7166F">
        <w:rPr>
          <w:highlight w:val="yellow"/>
        </w:rPr>
        <w:fldChar w:fldCharType="begin"/>
      </w:r>
      <w:r w:rsidR="00A7166F">
        <w:instrText xml:space="preserve"> REF _Ref169297342 \n \h </w:instrText>
      </w:r>
      <w:r w:rsidR="00A7166F">
        <w:rPr>
          <w:highlight w:val="yellow"/>
        </w:rPr>
      </w:r>
      <w:r w:rsidR="00A7166F">
        <w:rPr>
          <w:highlight w:val="yellow"/>
        </w:rPr>
        <w:fldChar w:fldCharType="separate"/>
      </w:r>
      <w:r w:rsidR="00A7166F">
        <w:t>[2]</w:t>
      </w:r>
      <w:r w:rsidR="00A7166F">
        <w:rPr>
          <w:highlight w:val="yellow"/>
        </w:rPr>
        <w:fldChar w:fldCharType="end"/>
      </w:r>
      <w:r w:rsidR="00A7166F">
        <w:t>)</w:t>
      </w:r>
      <w:r>
        <w:t>, is</w:t>
      </w:r>
      <w:r w:rsidR="00A7213F">
        <w:t xml:space="preserve"> bounded by axes for event frequency in units of yr</w:t>
      </w:r>
      <w:r w:rsidR="00A7213F">
        <w:rPr>
          <w:vertAlign w:val="superscript"/>
        </w:rPr>
        <w:t>-1</w:t>
      </w:r>
      <w:r w:rsidR="00A7213F">
        <w:t xml:space="preserve"> and consequences with units of dose. In this risk space, quantitative anchors for regulatory event frequencies and dose limits are used to create a frequency-consequence (F-C) target line. NEI 18-04 then defines risk-significant licensing basis events as events with frequencies within 1% of the F-C target line</w:t>
      </w:r>
      <w:r w:rsidR="004A7921">
        <w:t xml:space="preserve"> with site boundary doses exceeding 2.5 mrem. The F-C line is not a </w:t>
      </w:r>
      <w:proofErr w:type="spellStart"/>
      <w:r w:rsidR="004A7921">
        <w:t>cutoff</w:t>
      </w:r>
      <w:proofErr w:type="spellEnd"/>
      <w:r w:rsidR="004A7921">
        <w:t xml:space="preserve">, but rather an objective for </w:t>
      </w:r>
      <w:r w:rsidR="009E3506">
        <w:t xml:space="preserve">nuclear facility </w:t>
      </w:r>
      <w:r w:rsidR="004A7921">
        <w:t xml:space="preserve">design </w:t>
      </w:r>
      <w:r w:rsidR="00216C54">
        <w:t xml:space="preserve">i.e., </w:t>
      </w:r>
      <w:r w:rsidR="009E3506">
        <w:t xml:space="preserve">reactor </w:t>
      </w:r>
      <w:r w:rsidR="004A7921">
        <w:t>systems should be designed such that licensing events are</w:t>
      </w:r>
      <w:r w:rsidR="009E3506">
        <w:t xml:space="preserve"> below this F-C line</w:t>
      </w:r>
      <w:r w:rsidR="003D074A">
        <w:t xml:space="preserve"> </w:t>
      </w:r>
      <w:r w:rsidR="009E3506">
        <w:t>and therefore</w:t>
      </w:r>
      <w:r w:rsidR="004A7921">
        <w:t xml:space="preserve"> not risk significant. </w:t>
      </w:r>
    </w:p>
    <w:p w14:paraId="2F0F190D" w14:textId="7CCF7C69" w:rsidR="007E5793" w:rsidRDefault="007E5793" w:rsidP="00D352EE">
      <w:pPr>
        <w:pStyle w:val="BodyText"/>
      </w:pPr>
    </w:p>
    <w:p w14:paraId="61B4593E" w14:textId="77777777" w:rsidR="007E5793" w:rsidRDefault="007E5793" w:rsidP="00EA0C1D">
      <w:pPr>
        <w:pStyle w:val="BodyText"/>
        <w:keepNext/>
        <w:jc w:val="center"/>
      </w:pPr>
      <w:r>
        <w:rPr>
          <w:noProof/>
        </w:rPr>
        <w:drawing>
          <wp:inline distT="0" distB="0" distL="0" distR="0" wp14:anchorId="03545163" wp14:editId="3ABF4861">
            <wp:extent cx="2443792" cy="2380614"/>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8"/>
                    <a:stretch>
                      <a:fillRect/>
                    </a:stretch>
                  </pic:blipFill>
                  <pic:spPr>
                    <a:xfrm>
                      <a:off x="0" y="0"/>
                      <a:ext cx="2449999" cy="2386661"/>
                    </a:xfrm>
                    <a:prstGeom prst="rect">
                      <a:avLst/>
                    </a:prstGeom>
                  </pic:spPr>
                </pic:pic>
              </a:graphicData>
            </a:graphic>
          </wp:inline>
        </w:drawing>
      </w:r>
    </w:p>
    <w:p w14:paraId="3EE4C02E" w14:textId="4465EDA7" w:rsidR="007E5793" w:rsidRDefault="007E5793" w:rsidP="00EA0C1D">
      <w:pPr>
        <w:pStyle w:val="Caption"/>
        <w:jc w:val="center"/>
      </w:pPr>
      <w:bookmarkStart w:id="0" w:name="_Ref169298111"/>
      <w:r>
        <w:t xml:space="preserve">Figure </w:t>
      </w:r>
      <w:r>
        <w:fldChar w:fldCharType="begin"/>
      </w:r>
      <w:r>
        <w:instrText xml:space="preserve"> SEQ Figure \* ARABIC </w:instrText>
      </w:r>
      <w:r>
        <w:fldChar w:fldCharType="separate"/>
      </w:r>
      <w:r>
        <w:rPr>
          <w:noProof/>
        </w:rPr>
        <w:t>1</w:t>
      </w:r>
      <w:r>
        <w:fldChar w:fldCharType="end"/>
      </w:r>
      <w:bookmarkEnd w:id="0"/>
      <w:r>
        <w:t>. Illustration of Frequency-Consequence curve</w:t>
      </w:r>
      <w:r>
        <w:t xml:space="preserve"> (</w:t>
      </w:r>
      <w:r>
        <w:t xml:space="preserve">recreated in </w:t>
      </w:r>
      <w:r>
        <w:fldChar w:fldCharType="begin"/>
      </w:r>
      <w:r>
        <w:instrText xml:space="preserve"> REF _Ref169296870 \n \h </w:instrText>
      </w:r>
      <w:r>
        <w:fldChar w:fldCharType="separate"/>
      </w:r>
      <w:r>
        <w:t>[4]</w:t>
      </w:r>
      <w:r>
        <w:fldChar w:fldCharType="end"/>
      </w:r>
      <w:r>
        <w:t xml:space="preserve"> from </w:t>
      </w:r>
      <w:r>
        <w:rPr>
          <w:highlight w:val="yellow"/>
        </w:rPr>
        <w:fldChar w:fldCharType="begin"/>
      </w:r>
      <w:r>
        <w:instrText xml:space="preserve"> REF _Ref169297342 \n \h </w:instrText>
      </w:r>
      <w:r>
        <w:rPr>
          <w:highlight w:val="yellow"/>
        </w:rPr>
      </w:r>
      <w:r>
        <w:rPr>
          <w:highlight w:val="yellow"/>
        </w:rPr>
        <w:fldChar w:fldCharType="separate"/>
      </w:r>
      <w:r>
        <w:t>[2]</w:t>
      </w:r>
      <w:r>
        <w:rPr>
          <w:highlight w:val="yellow"/>
        </w:rPr>
        <w:fldChar w:fldCharType="end"/>
      </w:r>
      <w:r>
        <w:t>)</w:t>
      </w:r>
      <w:r>
        <w:t>.</w:t>
      </w:r>
    </w:p>
    <w:p w14:paraId="0861AC44" w14:textId="1E4FA22B" w:rsidR="00C139AB" w:rsidRDefault="00E63D66" w:rsidP="00F91204">
      <w:pPr>
        <w:pStyle w:val="Heading3"/>
      </w:pPr>
      <w:r>
        <w:t>Insider Security Risk Significance Model</w:t>
      </w:r>
    </w:p>
    <w:p w14:paraId="55C6A685" w14:textId="278E1F95" w:rsidR="009E3506" w:rsidRDefault="003D2493" w:rsidP="00B75706">
      <w:pPr>
        <w:pStyle w:val="BodyText"/>
      </w:pPr>
      <w:r>
        <w:t xml:space="preserve">Although the risk significance concept is rooted in nuclear safety, recent </w:t>
      </w:r>
      <w:r w:rsidR="009E3506">
        <w:t xml:space="preserve">nuclear security </w:t>
      </w:r>
      <w:r>
        <w:t xml:space="preserve">research found that risk significance had utility for </w:t>
      </w:r>
      <w:r w:rsidR="0029270B">
        <w:t xml:space="preserve">explaining </w:t>
      </w:r>
      <w:r w:rsidR="009E3506">
        <w:t>multi-insider security threat risks</w:t>
      </w:r>
      <w:r>
        <w:t xml:space="preserve">. </w:t>
      </w:r>
      <w:proofErr w:type="gramStart"/>
      <w:r>
        <w:t xml:space="preserve">In </w:t>
      </w:r>
      <w:r w:rsidR="001B531C">
        <w:t>studying why certain combinations of personnel present greater potential for undesirable consequences as multi-insider threats, it</w:t>
      </w:r>
      <w:proofErr w:type="gramEnd"/>
      <w:r w:rsidR="001B531C">
        <w:t xml:space="preserve"> was found that </w:t>
      </w:r>
      <w:r>
        <w:t xml:space="preserve">risk significance </w:t>
      </w:r>
      <w:r w:rsidR="001B531C">
        <w:t xml:space="preserve">can be borrowed </w:t>
      </w:r>
      <w:r>
        <w:t>from nuclear safety</w:t>
      </w:r>
      <w:r w:rsidR="001907E1">
        <w:t xml:space="preserve"> to help </w:t>
      </w:r>
      <w:r w:rsidR="009E3506">
        <w:t xml:space="preserve">more clearly and comprehensively </w:t>
      </w:r>
      <w:r w:rsidR="001907E1">
        <w:t xml:space="preserve">characterize insider </w:t>
      </w:r>
      <w:r w:rsidR="009E3506">
        <w:t xml:space="preserve">threat mitigation efforts </w:t>
      </w:r>
      <w:r w:rsidR="00DA5B1F">
        <w:t>[4]</w:t>
      </w:r>
      <w:r w:rsidR="001907E1">
        <w:t>.</w:t>
      </w:r>
      <w:r>
        <w:t xml:space="preserve"> </w:t>
      </w:r>
    </w:p>
    <w:p w14:paraId="67FC072D" w14:textId="10166DC9" w:rsidR="009E3506" w:rsidRDefault="003D2493" w:rsidP="00B75706">
      <w:pPr>
        <w:pStyle w:val="BodyText"/>
      </w:pPr>
      <w:r>
        <w:t xml:space="preserve">Drawing </w:t>
      </w:r>
      <w:r w:rsidR="009E3506">
        <w:t xml:space="preserve">on these </w:t>
      </w:r>
      <w:r>
        <w:t>parallels between radiological consequences in safety and security</w:t>
      </w:r>
      <w:r w:rsidR="00B80383">
        <w:t xml:space="preserve">, </w:t>
      </w:r>
      <w:r w:rsidR="00DA5B1F">
        <w:t>Faucett</w:t>
      </w:r>
      <w:r w:rsidR="00B80383">
        <w:t xml:space="preserve"> </w:t>
      </w:r>
      <w:r w:rsidR="00567EBB">
        <w:t xml:space="preserve">defined </w:t>
      </w:r>
      <w:r w:rsidR="00567EBB" w:rsidRPr="00567EBB">
        <w:rPr>
          <w:i/>
          <w:iCs/>
        </w:rPr>
        <w:t>risk</w:t>
      </w:r>
      <w:r w:rsidR="00B80383" w:rsidRPr="00EA0C1D">
        <w:rPr>
          <w:i/>
        </w:rPr>
        <w:t xml:space="preserve"> significant insider threat</w:t>
      </w:r>
      <w:r w:rsidR="00B80383">
        <w:t xml:space="preserve"> </w:t>
      </w:r>
      <w:r w:rsidR="009E3506">
        <w:t xml:space="preserve">in terms of </w:t>
      </w:r>
      <w:r w:rsidR="00B80383">
        <w:t xml:space="preserve">an insider whose capabilities to create undesirable consequences exceeded the </w:t>
      </w:r>
      <w:r w:rsidR="009E3506">
        <w:t xml:space="preserve">relevant </w:t>
      </w:r>
      <w:r w:rsidR="00B80383">
        <w:t>security measures at a facility (e.g., access control</w:t>
      </w:r>
      <w:r>
        <w:t>, separation of duties)</w:t>
      </w:r>
      <w:r w:rsidR="000A608B">
        <w:t xml:space="preserve"> </w:t>
      </w:r>
      <w:r w:rsidR="000A608B">
        <w:fldChar w:fldCharType="begin"/>
      </w:r>
      <w:r w:rsidR="000A608B">
        <w:instrText xml:space="preserve"> REF _Ref169296870 \n \h </w:instrText>
      </w:r>
      <w:r w:rsidR="000A608B">
        <w:fldChar w:fldCharType="separate"/>
      </w:r>
      <w:r w:rsidR="000A608B">
        <w:t>[4]</w:t>
      </w:r>
      <w:r w:rsidR="000A608B">
        <w:fldChar w:fldCharType="end"/>
      </w:r>
      <w:r>
        <w:t>.</w:t>
      </w:r>
      <w:r w:rsidR="0084076B">
        <w:t xml:space="preserve"> Like safety</w:t>
      </w:r>
      <w:r w:rsidR="009E3506">
        <w:t>,</w:t>
      </w:r>
      <w:r w:rsidR="0084076B">
        <w:t xml:space="preserve"> where the design objective is to move events away from a risk significance boundary, the objective of insider </w:t>
      </w:r>
      <w:r w:rsidR="003D074A">
        <w:t xml:space="preserve">threat mitigation </w:t>
      </w:r>
      <w:r w:rsidR="0084076B">
        <w:t xml:space="preserve">is </w:t>
      </w:r>
      <w:r w:rsidR="009E3506">
        <w:t>framed as</w:t>
      </w:r>
      <w:r w:rsidR="0084076B">
        <w:t xml:space="preserve"> apply</w:t>
      </w:r>
      <w:r w:rsidR="009E3506">
        <w:t>ing</w:t>
      </w:r>
      <w:r w:rsidR="0084076B">
        <w:t xml:space="preserve"> security measures such that all facility personnel are far removed from </w:t>
      </w:r>
      <w:r w:rsidR="009E3506">
        <w:rPr>
          <w:i/>
        </w:rPr>
        <w:t xml:space="preserve">insider </w:t>
      </w:r>
      <w:r w:rsidR="0084076B">
        <w:lastRenderedPageBreak/>
        <w:t>risk significance.</w:t>
      </w:r>
      <w:r w:rsidR="0029270B">
        <w:t xml:space="preserve"> In this way, risk significance provided an intuitive way to describe insider </w:t>
      </w:r>
      <w:r w:rsidR="009E3506">
        <w:t xml:space="preserve">threat </w:t>
      </w:r>
      <w:r w:rsidR="0029270B">
        <w:t>mitigation</w:t>
      </w:r>
      <w:r w:rsidR="009E3506">
        <w:t xml:space="preserve"> initiatives</w:t>
      </w:r>
      <w:r w:rsidR="0029270B">
        <w:t>.</w:t>
      </w:r>
      <w:r w:rsidR="00B75706">
        <w:t xml:space="preserve"> </w:t>
      </w:r>
    </w:p>
    <w:p w14:paraId="3CBB0F38" w14:textId="5F089166" w:rsidR="00B75706" w:rsidRDefault="00B75706" w:rsidP="00B75706">
      <w:pPr>
        <w:pStyle w:val="BodyText"/>
      </w:pPr>
      <w:r>
        <w:t>However, u</w:t>
      </w:r>
      <w:r w:rsidR="00B80383">
        <w:t>nlike nuclear safety where historical data and performance testing can be used to quantify risk metrics</w:t>
      </w:r>
      <w:r w:rsidR="009E3506">
        <w:t>,</w:t>
      </w:r>
      <w:r w:rsidR="00B80383">
        <w:t xml:space="preserve"> including frequency and dose, there</w:t>
      </w:r>
      <w:r w:rsidR="003D2493">
        <w:t xml:space="preserve"> is virtually no data for nuclear insider threats</w:t>
      </w:r>
      <w:r w:rsidR="001F58F6">
        <w:t xml:space="preserve"> from which a quantitative risk significance threshold can be defined</w:t>
      </w:r>
      <w:r w:rsidR="000A608B">
        <w:t xml:space="preserve"> (</w:t>
      </w:r>
      <w:r w:rsidR="009E3506">
        <w:t xml:space="preserve">let </w:t>
      </w:r>
      <w:r w:rsidR="0029270B">
        <w:t xml:space="preserve">alone insider attacks involving more than one </w:t>
      </w:r>
      <w:r w:rsidR="002033DC">
        <w:t>insider</w:t>
      </w:r>
      <w:r w:rsidR="000A608B">
        <w:t>)</w:t>
      </w:r>
      <w:r w:rsidR="003D2493">
        <w:t>.</w:t>
      </w:r>
      <w:r w:rsidR="001907E1">
        <w:t xml:space="preserve"> </w:t>
      </w:r>
      <w:r w:rsidR="0029270B">
        <w:t xml:space="preserve">Additionally, quantitative objectives are difficult to define for insider </w:t>
      </w:r>
      <w:r w:rsidR="003D074A">
        <w:t>threat mitigation</w:t>
      </w:r>
      <w:r w:rsidR="00566F50">
        <w:t>. U</w:t>
      </w:r>
      <w:r w:rsidR="0029270B">
        <w:t xml:space="preserve">nlike </w:t>
      </w:r>
      <w:r w:rsidR="00566F50">
        <w:t xml:space="preserve">nuclear </w:t>
      </w:r>
      <w:r w:rsidR="0029270B">
        <w:t>safety,</w:t>
      </w:r>
      <w:r w:rsidR="00566F50">
        <w:t xml:space="preserve"> even</w:t>
      </w:r>
      <w:r w:rsidR="0029270B">
        <w:t xml:space="preserve"> </w:t>
      </w:r>
      <w:r w:rsidR="00566F50">
        <w:t>“</w:t>
      </w:r>
      <w:r w:rsidR="0029270B">
        <w:t>minor</w:t>
      </w:r>
      <w:r w:rsidR="00566F50">
        <w:t>” or</w:t>
      </w:r>
      <w:r w:rsidR="0029270B">
        <w:t xml:space="preserve"> </w:t>
      </w:r>
      <w:r w:rsidR="00566F50">
        <w:t>“</w:t>
      </w:r>
      <w:r w:rsidR="0029270B">
        <w:t>low</w:t>
      </w:r>
      <w:r w:rsidR="00566F50">
        <w:t>”</w:t>
      </w:r>
      <w:r w:rsidR="0029270B">
        <w:t xml:space="preserve"> consequence insider </w:t>
      </w:r>
      <w:r w:rsidR="00566F50">
        <w:t xml:space="preserve">threat </w:t>
      </w:r>
      <w:r w:rsidR="0029270B">
        <w:t>events</w:t>
      </w:r>
      <w:r w:rsidR="002B3CB0">
        <w:t xml:space="preserve"> (i.e., analogous to anticipated operational occurrences)</w:t>
      </w:r>
      <w:r w:rsidR="0029270B">
        <w:t xml:space="preserve"> are </w:t>
      </w:r>
      <w:r w:rsidR="002033DC">
        <w:t xml:space="preserve">generally not </w:t>
      </w:r>
      <w:r w:rsidR="0029270B">
        <w:t>considered acceptable</w:t>
      </w:r>
      <w:r w:rsidR="00566F50">
        <w:t xml:space="preserve">. This indicates that </w:t>
      </w:r>
      <w:r w:rsidR="002033DC">
        <w:t>the only obvious quantitative objective is zero unmitigated insider threats</w:t>
      </w:r>
      <w:r w:rsidR="000A608B">
        <w:t xml:space="preserve">. </w:t>
      </w:r>
      <w:r w:rsidR="00B763B4">
        <w:t>Because of this, creating a quantitative threshold for insider security analogous to an F-C curve is difficult</w:t>
      </w:r>
      <w:r w:rsidR="008A78DB">
        <w:t>.</w:t>
      </w:r>
    </w:p>
    <w:p w14:paraId="1F3033F3" w14:textId="33F953F4" w:rsidR="00797322" w:rsidRDefault="002033DC">
      <w:pPr>
        <w:pStyle w:val="BodyText"/>
      </w:pPr>
      <w:r>
        <w:t>Because of the issues</w:t>
      </w:r>
      <w:r w:rsidR="00797322">
        <w:t xml:space="preserve"> related to establishing an insider risk significance threshold, </w:t>
      </w:r>
      <w:r w:rsidR="00566F50">
        <w:t xml:space="preserve">elements of Rasmussen’s abstraction of organizational safety were incorporated for </w:t>
      </w:r>
      <w:r w:rsidR="00797322">
        <w:t xml:space="preserve">an alternate interpretation of risk </w:t>
      </w:r>
      <w:r w:rsidR="00566F50">
        <w:t xml:space="preserve">within this </w:t>
      </w:r>
      <w:r w:rsidR="00797322">
        <w:t>insider risk significance model</w:t>
      </w:r>
      <w:r w:rsidR="00D352EE">
        <w:t xml:space="preserve"> </w:t>
      </w:r>
      <w:r w:rsidR="00D352EE">
        <w:t>[5]</w:t>
      </w:r>
      <w:r w:rsidR="00081A78">
        <w:t xml:space="preserve">. </w:t>
      </w:r>
      <w:r w:rsidR="00797322">
        <w:t>Rasmussen describes work activities as existing within a space of possibilities bounded by limits of functionally accepted performance</w:t>
      </w:r>
      <w:r w:rsidR="00D352EE">
        <w:t xml:space="preserve">, a recreation of which is shown in </w:t>
      </w:r>
      <w:r w:rsidR="00D352EE">
        <w:fldChar w:fldCharType="begin"/>
      </w:r>
      <w:r w:rsidR="00D352EE">
        <w:instrText xml:space="preserve"> REF _Ref169114789 \h </w:instrText>
      </w:r>
      <w:r w:rsidR="00D352EE">
        <w:fldChar w:fldCharType="separate"/>
      </w:r>
      <w:r w:rsidR="00FA073E">
        <w:t xml:space="preserve">Figure </w:t>
      </w:r>
      <w:r w:rsidR="00FA073E">
        <w:rPr>
          <w:noProof/>
        </w:rPr>
        <w:t>2</w:t>
      </w:r>
      <w:r w:rsidR="00D352EE">
        <w:fldChar w:fldCharType="end"/>
      </w:r>
      <w:r w:rsidR="00797322">
        <w:t>.</w:t>
      </w:r>
      <w:r w:rsidR="00863CDE">
        <w:t xml:space="preserve"> Over time, organizational dynamics</w:t>
      </w:r>
      <w:r w:rsidR="00D352EE">
        <w:t xml:space="preserve"> (</w:t>
      </w:r>
      <w:r w:rsidR="00863CDE">
        <w:t xml:space="preserve">namely the internal human tendency to achieve desired work objectives with the least amount of effort possible or </w:t>
      </w:r>
      <w:r w:rsidR="00995C52">
        <w:t>existence of management pressures for increased efficiencies</w:t>
      </w:r>
      <w:r w:rsidR="00D352EE">
        <w:t xml:space="preserve">) </w:t>
      </w:r>
      <w:r w:rsidR="00995C52">
        <w:t xml:space="preserve">can change how </w:t>
      </w:r>
      <w:r w:rsidR="00863CDE">
        <w:t xml:space="preserve">these work activities </w:t>
      </w:r>
      <w:r w:rsidR="00995C52">
        <w:t>are achieved</w:t>
      </w:r>
      <w:r w:rsidR="00863CDE">
        <w:t>.</w:t>
      </w:r>
      <w:r w:rsidR="00797322">
        <w:t xml:space="preserve"> Rasmussen </w:t>
      </w:r>
      <w:r w:rsidR="00863CDE">
        <w:t xml:space="preserve">further </w:t>
      </w:r>
      <w:r w:rsidR="00797322">
        <w:t xml:space="preserve">postulates that </w:t>
      </w:r>
      <w:r w:rsidR="00995C52">
        <w:t xml:space="preserve">such dynamics </w:t>
      </w:r>
      <w:r w:rsidR="00081A78">
        <w:t xml:space="preserve">create natural gradients </w:t>
      </w:r>
      <w:r w:rsidR="00CE4411">
        <w:t xml:space="preserve">in the Brownian motion of an organization </w:t>
      </w:r>
      <w:r w:rsidR="00081A78">
        <w:t>that draw work towards the acceptable performance boundary and can ultimately result in a safety accident when the boundary is crossed. Risk management</w:t>
      </w:r>
      <w:r w:rsidR="00995C52">
        <w:t>,</w:t>
      </w:r>
      <w:r w:rsidR="00081A78">
        <w:t xml:space="preserve"> therefore</w:t>
      </w:r>
      <w:r w:rsidR="00995C52">
        <w:t>,</w:t>
      </w:r>
      <w:r w:rsidR="00081A78">
        <w:t xml:space="preserve"> requires </w:t>
      </w:r>
      <w:r w:rsidR="00081A78" w:rsidRPr="00EA0C1D">
        <w:rPr>
          <w:i/>
        </w:rPr>
        <w:t>counter</w:t>
      </w:r>
      <w:r w:rsidR="00081A78">
        <w:t xml:space="preserve"> gradients in the form of safety awareness campaigns </w:t>
      </w:r>
      <w:r w:rsidR="00B66E9F">
        <w:t>or</w:t>
      </w:r>
      <w:r w:rsidR="00995C52">
        <w:t xml:space="preserve"> </w:t>
      </w:r>
      <w:r w:rsidR="00D352EE">
        <w:t>enhanced safety</w:t>
      </w:r>
      <w:r w:rsidR="00B66E9F">
        <w:t xml:space="preserve"> culture. </w:t>
      </w:r>
      <w:r w:rsidR="00995C52">
        <w:t>In terms of</w:t>
      </w:r>
      <w:r w:rsidR="00B66E9F">
        <w:t xml:space="preserve"> insider risk significance, a core component of Rasmussen’s abstraction is that movement towards or from the boundary of acceptable performance is more important than the boundary itself. Likewise, it was postulated in </w:t>
      </w:r>
      <w:r w:rsidR="00DA5B1F">
        <w:t>[4]</w:t>
      </w:r>
      <w:r w:rsidR="00B66E9F">
        <w:t xml:space="preserve"> that the threshold for insider risk significance is </w:t>
      </w:r>
      <w:r w:rsidR="00995C52" w:rsidRPr="00EA0C1D">
        <w:rPr>
          <w:i/>
        </w:rPr>
        <w:t>less</w:t>
      </w:r>
      <w:r w:rsidR="00995C52">
        <w:t xml:space="preserve"> </w:t>
      </w:r>
      <w:r w:rsidR="00B66E9F">
        <w:t xml:space="preserve">important if the “gradients” that move an insider towards risk significance are known. </w:t>
      </w:r>
    </w:p>
    <w:p w14:paraId="1C93AAAC" w14:textId="7126DADB" w:rsidR="00D352EE" w:rsidRDefault="00D352EE">
      <w:pPr>
        <w:pStyle w:val="BodyText"/>
      </w:pPr>
    </w:p>
    <w:p w14:paraId="51343DCE" w14:textId="77777777" w:rsidR="00D352EE" w:rsidRDefault="00D352EE" w:rsidP="00EA0C1D">
      <w:pPr>
        <w:pStyle w:val="BodyText"/>
        <w:keepNext/>
        <w:jc w:val="center"/>
      </w:pPr>
      <w:r w:rsidRPr="00D352EE">
        <w:drawing>
          <wp:inline distT="0" distB="0" distL="0" distR="0" wp14:anchorId="56CA080C" wp14:editId="4531D05B">
            <wp:extent cx="3567056" cy="1328906"/>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602780" cy="1342215"/>
                    </a:xfrm>
                    <a:prstGeom prst="rect">
                      <a:avLst/>
                    </a:prstGeom>
                  </pic:spPr>
                </pic:pic>
              </a:graphicData>
            </a:graphic>
          </wp:inline>
        </w:drawing>
      </w:r>
    </w:p>
    <w:p w14:paraId="7AA70362" w14:textId="21379C45" w:rsidR="00D352EE" w:rsidRDefault="00D352EE" w:rsidP="00D352EE">
      <w:pPr>
        <w:pStyle w:val="Caption"/>
        <w:jc w:val="center"/>
      </w:pPr>
      <w:bookmarkStart w:id="1" w:name="_Ref169114789"/>
      <w:r>
        <w:t xml:space="preserve">Figure </w:t>
      </w:r>
      <w:r>
        <w:fldChar w:fldCharType="begin"/>
      </w:r>
      <w:r>
        <w:instrText xml:space="preserve"> SEQ Figure \* ARABIC </w:instrText>
      </w:r>
      <w:r>
        <w:fldChar w:fldCharType="separate"/>
      </w:r>
      <w:r w:rsidR="00FA073E">
        <w:rPr>
          <w:noProof/>
        </w:rPr>
        <w:t>2</w:t>
      </w:r>
      <w:r>
        <w:fldChar w:fldCharType="end"/>
      </w:r>
      <w:bookmarkEnd w:id="1"/>
      <w:r>
        <w:t xml:space="preserve">. </w:t>
      </w:r>
      <w:r>
        <w:t>Representation</w:t>
      </w:r>
      <w:r>
        <w:t xml:space="preserve"> of Rasmussen's dynamic safety model (recreated from </w:t>
      </w:r>
      <w:r w:rsidR="00FA073E">
        <w:fldChar w:fldCharType="begin"/>
      </w:r>
      <w:r w:rsidR="00FA073E">
        <w:instrText xml:space="preserve"> REF _Ref169298137 \n \h </w:instrText>
      </w:r>
      <w:r w:rsidR="00FA073E">
        <w:fldChar w:fldCharType="separate"/>
      </w:r>
      <w:r w:rsidR="00FA073E">
        <w:t>[5]</w:t>
      </w:r>
      <w:r w:rsidR="00FA073E">
        <w:fldChar w:fldCharType="end"/>
      </w:r>
      <w:r>
        <w:t>).</w:t>
      </w:r>
    </w:p>
    <w:p w14:paraId="0470A9B9" w14:textId="77777777" w:rsidR="003C7088" w:rsidRDefault="003C7088" w:rsidP="00D352EE">
      <w:pPr>
        <w:pStyle w:val="BodyText"/>
        <w:rPr>
          <w:lang w:val="en-US"/>
        </w:rPr>
      </w:pPr>
    </w:p>
    <w:p w14:paraId="36EB1150" w14:textId="3EF7462E" w:rsidR="00D352EE" w:rsidRPr="00EA0C1D" w:rsidRDefault="003C7088" w:rsidP="00DE19C7">
      <w:pPr>
        <w:pStyle w:val="BodyText"/>
        <w:rPr>
          <w:lang w:val="en-US"/>
        </w:rPr>
      </w:pPr>
      <w:r>
        <w:rPr>
          <w:lang w:val="en-US"/>
        </w:rPr>
        <w:t>The final multi-insider risk model consisted of a two-dimensional space with a</w:t>
      </w:r>
      <w:r w:rsidR="003665BF">
        <w:rPr>
          <w:lang w:val="en-US"/>
        </w:rPr>
        <w:t xml:space="preserve">n </w:t>
      </w:r>
      <w:r>
        <w:rPr>
          <w:lang w:val="en-US"/>
        </w:rPr>
        <w:t xml:space="preserve">“insider risk significance” threshold </w:t>
      </w:r>
      <w:r w:rsidR="003665BF">
        <w:rPr>
          <w:lang w:val="en-US"/>
        </w:rPr>
        <w:t xml:space="preserve">not </w:t>
      </w:r>
      <w:r>
        <w:rPr>
          <w:lang w:val="en-US"/>
        </w:rPr>
        <w:t>like Rasmussen’s acceptable performance boundary.</w:t>
      </w:r>
      <w:r w:rsidR="003665BF">
        <w:rPr>
          <w:lang w:val="en-US"/>
        </w:rPr>
        <w:t xml:space="preserve"> Rather than a boundary of acceptable performance</w:t>
      </w:r>
      <w:r w:rsidR="00DE19C7">
        <w:rPr>
          <w:lang w:val="en-US"/>
        </w:rPr>
        <w:t xml:space="preserve">, the boundary </w:t>
      </w:r>
      <w:proofErr w:type="gramStart"/>
      <w:r w:rsidR="00DE19C7">
        <w:rPr>
          <w:lang w:val="en-US"/>
        </w:rPr>
        <w:t>represented</w:t>
      </w:r>
      <w:proofErr w:type="gramEnd"/>
      <w:r w:rsidR="00DE19C7">
        <w:rPr>
          <w:lang w:val="en-US"/>
        </w:rPr>
        <w:t xml:space="preserve"> a space in which an insider’s or insider pair’s capabilities could overcome preventative insider mitigation measures and allow them to successfully execute an attack i.e., </w:t>
      </w:r>
      <w:r w:rsidR="00D352EE">
        <w:rPr>
          <w:lang w:val="en-US"/>
        </w:rPr>
        <w:t>a “risk significant” insider</w:t>
      </w:r>
      <w:r w:rsidR="00DE19C7">
        <w:rPr>
          <w:lang w:val="en-US"/>
        </w:rPr>
        <w:t xml:space="preserve">. </w:t>
      </w:r>
      <w:r w:rsidR="00080256">
        <w:rPr>
          <w:lang w:val="en-US"/>
        </w:rPr>
        <w:t xml:space="preserve">By abstracting insider risk factors from literature, </w:t>
      </w:r>
      <w:r w:rsidR="008A78DB">
        <w:rPr>
          <w:lang w:val="en-US"/>
        </w:rPr>
        <w:t>the</w:t>
      </w:r>
      <w:r w:rsidR="00080256">
        <w:rPr>
          <w:lang w:val="en-US"/>
        </w:rPr>
        <w:t xml:space="preserve"> </w:t>
      </w:r>
      <w:r w:rsidR="00DE19C7">
        <w:rPr>
          <w:lang w:val="en-US"/>
        </w:rPr>
        <w:t xml:space="preserve">final </w:t>
      </w:r>
      <w:r w:rsidR="008A78DB">
        <w:rPr>
          <w:lang w:val="en-US"/>
        </w:rPr>
        <w:t xml:space="preserve">insider risk significance </w:t>
      </w:r>
      <w:r w:rsidR="00DE19C7">
        <w:rPr>
          <w:lang w:val="en-US"/>
        </w:rPr>
        <w:t xml:space="preserve">model considered two axes </w:t>
      </w:r>
      <w:proofErr w:type="gramStart"/>
      <w:r w:rsidR="00DE19C7">
        <w:rPr>
          <w:lang w:val="en-US"/>
        </w:rPr>
        <w:t>representing</w:t>
      </w:r>
      <w:proofErr w:type="gramEnd"/>
      <w:r w:rsidR="00DE19C7">
        <w:rPr>
          <w:lang w:val="en-US"/>
        </w:rPr>
        <w:t xml:space="preserve"> an insider’s ability to avoid detection prior to and after malicious actions had occurred, respectively</w:t>
      </w:r>
      <w:r w:rsidR="008A78DB">
        <w:rPr>
          <w:lang w:val="en-US"/>
        </w:rPr>
        <w:t xml:space="preserve">. Although the conceptual insider risk model could not be </w:t>
      </w:r>
      <w:proofErr w:type="gramStart"/>
      <w:r w:rsidR="008A78DB">
        <w:rPr>
          <w:lang w:val="en-US"/>
        </w:rPr>
        <w:t>validated</w:t>
      </w:r>
      <w:proofErr w:type="gramEnd"/>
      <w:r w:rsidR="008A78DB">
        <w:rPr>
          <w:lang w:val="en-US"/>
        </w:rPr>
        <w:t xml:space="preserve"> due to a lack of nuclear insider data, the model generated new insights into insider risk that helped explain findings from an artificial intelligence-based insider detection study which demonstrates the utility of such conceptual models.</w:t>
      </w:r>
    </w:p>
    <w:p w14:paraId="29BA022F" w14:textId="1A972E20" w:rsidR="002033DC" w:rsidRDefault="002033DC">
      <w:pPr>
        <w:pStyle w:val="Heading3"/>
      </w:pPr>
      <w:r>
        <w:t>Potential for Safeguards Risk Significance</w:t>
      </w:r>
    </w:p>
    <w:p w14:paraId="67E712B6" w14:textId="18A5CC1E" w:rsidR="00EF0838" w:rsidRDefault="00B66E9F" w:rsidP="002033DC">
      <w:pPr>
        <w:pStyle w:val="BodyText"/>
      </w:pPr>
      <w:r>
        <w:t>Thus far, this paper has focused on using safety concepts to describe security risks from insider threats. However, b</w:t>
      </w:r>
      <w:r w:rsidR="002033DC">
        <w:t xml:space="preserve">esides the obvious connection regarding unauthorized, covert movement of nuclear material, there are conceptual similarities between the insider theft and State-level diversion that </w:t>
      </w:r>
      <w:r>
        <w:t>suggest</w:t>
      </w:r>
      <w:r w:rsidR="002033DC">
        <w:t xml:space="preserve"> potential for a “safeguards risk significance” model</w:t>
      </w:r>
      <w:r w:rsidR="00EF0838">
        <w:t>.</w:t>
      </w:r>
    </w:p>
    <w:p w14:paraId="5334163A" w14:textId="337E1191" w:rsidR="00B66E9F" w:rsidRDefault="00B66E9F" w:rsidP="002033DC">
      <w:pPr>
        <w:pStyle w:val="BodyText"/>
      </w:pPr>
      <w:r>
        <w:t>Safeguards risks</w:t>
      </w:r>
      <w:r w:rsidR="00F73E32">
        <w:t xml:space="preserve"> </w:t>
      </w:r>
      <w:r>
        <w:t>may be best described using a gradient concept</w:t>
      </w:r>
      <w:r w:rsidR="00F73E32">
        <w:t xml:space="preserve"> as was done for insider risk significance</w:t>
      </w:r>
      <w:r>
        <w:t>.</w:t>
      </w:r>
      <w:r w:rsidR="00362779">
        <w:t xml:space="preserve"> </w:t>
      </w:r>
      <w:r w:rsidR="00520FC9">
        <w:t>As postulated by Rasmussen, there is benefit in using gradients to describe safe</w:t>
      </w:r>
      <w:r w:rsidR="00995C52">
        <w:t xml:space="preserve">guards </w:t>
      </w:r>
      <w:r w:rsidR="00520FC9">
        <w:t>as gradients</w:t>
      </w:r>
      <w:r w:rsidR="00995C52">
        <w:t>—facilitating</w:t>
      </w:r>
      <w:r w:rsidR="00520FC9">
        <w:t xml:space="preserve"> </w:t>
      </w:r>
      <w:r w:rsidR="00520FC9">
        <w:lastRenderedPageBreak/>
        <w:t>analysis of why safe</w:t>
      </w:r>
      <w:r w:rsidR="00995C52">
        <w:t>guards</w:t>
      </w:r>
      <w:r w:rsidR="00520FC9">
        <w:t xml:space="preserve"> events </w:t>
      </w:r>
      <w:proofErr w:type="gramStart"/>
      <w:r w:rsidR="00520FC9">
        <w:t>occur</w:t>
      </w:r>
      <w:proofErr w:type="gramEnd"/>
      <w:r w:rsidR="00520FC9">
        <w:t xml:space="preserve"> and attribut</w:t>
      </w:r>
      <w:r w:rsidR="00995C52">
        <w:t>ion mitigation effectiveness</w:t>
      </w:r>
      <w:r w:rsidR="00520FC9">
        <w:t xml:space="preserve"> leverage</w:t>
      </w:r>
      <w:r w:rsidR="00024781">
        <w:t>d</w:t>
      </w:r>
      <w:r w:rsidR="00520FC9">
        <w:t xml:space="preserve"> </w:t>
      </w:r>
      <w:r w:rsidR="00995C52">
        <w:t xml:space="preserve">against the safeguards </w:t>
      </w:r>
      <w:r w:rsidR="00520FC9">
        <w:t xml:space="preserve">risk significance </w:t>
      </w:r>
      <w:r w:rsidR="00995C52">
        <w:t>threshold</w:t>
      </w:r>
      <w:r w:rsidR="00520FC9">
        <w:t xml:space="preserve">. That is, </w:t>
      </w:r>
      <w:r w:rsidR="00024781">
        <w:t xml:space="preserve">treating risk as </w:t>
      </w:r>
      <w:r w:rsidR="00520FC9">
        <w:t xml:space="preserve">gradients </w:t>
      </w:r>
      <w:r w:rsidR="00024781">
        <w:t>towards or away from unacceptab</w:t>
      </w:r>
      <w:r w:rsidR="00995C52">
        <w:t>ility</w:t>
      </w:r>
      <w:r w:rsidR="00024781">
        <w:t xml:space="preserve"> can shift </w:t>
      </w:r>
      <w:r w:rsidR="00520FC9">
        <w:t xml:space="preserve">focus </w:t>
      </w:r>
      <w:r w:rsidR="00024781">
        <w:t>away from go/no-go performance boundaries such as whether proliferation has occurred.</w:t>
      </w:r>
    </w:p>
    <w:p w14:paraId="3E5A70E8" w14:textId="342CD565" w:rsidR="00B66E9F" w:rsidRDefault="00024781" w:rsidP="00B66E9F">
      <w:pPr>
        <w:pStyle w:val="BodyText"/>
      </w:pPr>
      <w:r>
        <w:t>Like insider threats, s</w:t>
      </w:r>
      <w:r w:rsidR="00B66E9F">
        <w:t>afeguards risk</w:t>
      </w:r>
      <w:r>
        <w:t xml:space="preserve"> is effectively about</w:t>
      </w:r>
      <w:r w:rsidR="00B66E9F">
        <w:t xml:space="preserve"> potential</w:t>
      </w:r>
      <w:r>
        <w:t xml:space="preserve"> for misuse</w:t>
      </w:r>
      <w:r w:rsidR="00B66E9F">
        <w:t>. Insider risk is unavoidable in that personnel must be granted special access, authority, or knowledge privileges for an organization to function</w:t>
      </w:r>
      <w:r w:rsidR="00AD1848">
        <w:t>. Yet</w:t>
      </w:r>
      <w:r w:rsidR="00B66E9F">
        <w:t xml:space="preserve">, </w:t>
      </w:r>
      <w:r w:rsidR="00AD1848">
        <w:t xml:space="preserve">it </w:t>
      </w:r>
      <w:proofErr w:type="gramStart"/>
      <w:r w:rsidR="00AD1848">
        <w:t>i</w:t>
      </w:r>
      <w:r w:rsidR="00B66E9F">
        <w:t xml:space="preserve">s </w:t>
      </w:r>
      <w:r w:rsidR="00AD1848">
        <w:t xml:space="preserve"> precisely</w:t>
      </w:r>
      <w:proofErr w:type="gramEnd"/>
      <w:r w:rsidR="00AD1848">
        <w:t xml:space="preserve"> </w:t>
      </w:r>
      <w:r w:rsidR="00B66E9F">
        <w:t>these privileges that enable insiders to perform malicious actions if they are motivated to do so. Similarly, signatories of the</w:t>
      </w:r>
      <w:r w:rsidR="00B66E9F" w:rsidRPr="00F91204">
        <w:t xml:space="preserve"> </w:t>
      </w:r>
      <w:r w:rsidR="00B66E9F">
        <w:t xml:space="preserve">Treaty on the </w:t>
      </w:r>
      <w:proofErr w:type="spellStart"/>
      <w:r w:rsidR="00B66E9F">
        <w:t>Nonproliferation</w:t>
      </w:r>
      <w:proofErr w:type="spellEnd"/>
      <w:r w:rsidR="00B66E9F">
        <w:t xml:space="preserve"> of </w:t>
      </w:r>
      <w:proofErr w:type="gramStart"/>
      <w:r w:rsidR="00B66E9F">
        <w:t>Nuclear Weapons</w:t>
      </w:r>
      <w:proofErr w:type="gramEnd"/>
      <w:r w:rsidR="00B66E9F">
        <w:t xml:space="preserve"> (NPT) have an inalienable right to the peaceful use of nuclear energy under Article IV</w:t>
      </w:r>
      <w:r w:rsidR="00362779">
        <w:t xml:space="preserve"> </w:t>
      </w:r>
      <w:r w:rsidR="00362779">
        <w:fldChar w:fldCharType="begin"/>
      </w:r>
      <w:r w:rsidR="00362779">
        <w:instrText xml:space="preserve"> REF _Ref169201146 \n \h </w:instrText>
      </w:r>
      <w:r w:rsidR="00362779">
        <w:fldChar w:fldCharType="separate"/>
      </w:r>
      <w:r w:rsidR="00362779">
        <w:t>[6]</w:t>
      </w:r>
      <w:r w:rsidR="00362779">
        <w:fldChar w:fldCharType="end"/>
      </w:r>
      <w:r w:rsidR="00AD1848">
        <w:t>.</w:t>
      </w:r>
      <w:r w:rsidR="00EF0838">
        <w:t xml:space="preserve"> </w:t>
      </w:r>
      <w:r w:rsidR="00AD1848">
        <w:t>Y</w:t>
      </w:r>
      <w:r w:rsidR="00EF0838">
        <w:t>et</w:t>
      </w:r>
      <w:r w:rsidR="00AD1848">
        <w:t>,</w:t>
      </w:r>
      <w:r w:rsidR="00EF0838">
        <w:t xml:space="preserve"> peaceful nuclear technology can easily be repurposed for </w:t>
      </w:r>
      <w:r w:rsidR="00F73E32">
        <w:t xml:space="preserve">non-peaceful </w:t>
      </w:r>
      <w:r w:rsidR="00EF0838">
        <w:t>purposes.</w:t>
      </w:r>
      <w:r>
        <w:t xml:space="preserve"> In this way, insider and safeguards risk share a commonality in that the risk is </w:t>
      </w:r>
      <w:r w:rsidR="00AD1848">
        <w:t xml:space="preserve">primarily </w:t>
      </w:r>
      <w:r>
        <w:t>driven by “what can go wrong?” versus “how likely is it?”.</w:t>
      </w:r>
    </w:p>
    <w:p w14:paraId="61692CEA" w14:textId="30AC238B" w:rsidR="00EF0838" w:rsidRDefault="00EF0838" w:rsidP="00B66E9F">
      <w:pPr>
        <w:pStyle w:val="BodyText"/>
      </w:pPr>
      <w:r>
        <w:t>Finally, in contrast to safety where quantitative approaches can be</w:t>
      </w:r>
      <w:r w:rsidR="00024781">
        <w:t xml:space="preserve"> used</w:t>
      </w:r>
      <w:r w:rsidR="00AD1848">
        <w:t xml:space="preserve"> to define acceptability thresholds</w:t>
      </w:r>
      <w:r w:rsidR="00024781">
        <w:t xml:space="preserve"> in a technically defensible manner</w:t>
      </w:r>
      <w:r>
        <w:t xml:space="preserve">, both insider security </w:t>
      </w:r>
      <w:r w:rsidR="00362779">
        <w:t xml:space="preserve">and </w:t>
      </w:r>
      <w:r>
        <w:t>safeguard risk evaluation</w:t>
      </w:r>
      <w:r w:rsidR="00F73E32">
        <w:t xml:space="preserve">s </w:t>
      </w:r>
      <w:r w:rsidR="00024781">
        <w:t xml:space="preserve">tend towards </w:t>
      </w:r>
      <w:r>
        <w:t>subjectiv</w:t>
      </w:r>
      <w:r w:rsidR="00024781">
        <w:t>ity</w:t>
      </w:r>
      <w:r w:rsidR="00AD1848">
        <w:t xml:space="preserve"> for defining such thresholds</w:t>
      </w:r>
      <w:r>
        <w:t xml:space="preserve">. </w:t>
      </w:r>
      <w:r w:rsidR="00F73E32">
        <w:t xml:space="preserve">Here, subjectivity is used to contrast with safety where probabilistic risk quantification approaches can be established </w:t>
      </w:r>
      <w:r w:rsidR="00AD1848">
        <w:t xml:space="preserve">based on </w:t>
      </w:r>
      <w:r w:rsidR="00F73E32">
        <w:t xml:space="preserve">real world performance and testing data. This is not to say that the </w:t>
      </w:r>
      <w:r>
        <w:t xml:space="preserve">factors that contribute to insider and safeguards risks are </w:t>
      </w:r>
      <w:r w:rsidR="00F73E32">
        <w:t xml:space="preserve">not </w:t>
      </w:r>
      <w:r>
        <w:t>well studied</w:t>
      </w:r>
      <w:r w:rsidR="00AD1848">
        <w:t>. Consider, for example, how</w:t>
      </w:r>
      <w:r>
        <w:t xml:space="preserve"> risks associated with an insider threat can be described using </w:t>
      </w:r>
      <w:r w:rsidR="00F73E32">
        <w:t>the</w:t>
      </w:r>
      <w:r>
        <w:t xml:space="preserve"> insider’s access, authority, and knowledge</w:t>
      </w:r>
      <w:r w:rsidR="00BD1432">
        <w:t xml:space="preserve"> </w:t>
      </w:r>
      <w:r w:rsidR="00AD1848">
        <w:t xml:space="preserve">or how </w:t>
      </w:r>
      <w:r>
        <w:t>non-proliferation risks can be expressed through metrics such as material attractiveness, reactor attributes such as neutron energy spectrum, or the safeguards agreements the owner/operator State has with the IAEA.</w:t>
      </w:r>
      <w:r w:rsidR="00F73E32">
        <w:t xml:space="preserve"> </w:t>
      </w:r>
      <w:r>
        <w:t xml:space="preserve"> </w:t>
      </w:r>
    </w:p>
    <w:p w14:paraId="46906538" w14:textId="093A788A" w:rsidR="0020434B" w:rsidRDefault="0020434B">
      <w:pPr>
        <w:pStyle w:val="Heading3"/>
      </w:pPr>
      <w:r>
        <w:t>Challenges with Safeguards Risk Significance Concept</w:t>
      </w:r>
    </w:p>
    <w:p w14:paraId="1ABDECF2" w14:textId="56DC55AD" w:rsidR="00D07ED5" w:rsidRDefault="00D07ED5" w:rsidP="0020434B">
      <w:pPr>
        <w:pStyle w:val="BodyText"/>
      </w:pPr>
      <w:r>
        <w:t xml:space="preserve">Although commonalities between insider theft and State-level diversion suggest potential for a safeguards risk significance model, there are certain attributes of safeguards risk that challenge the </w:t>
      </w:r>
      <w:r w:rsidR="006B3155">
        <w:t xml:space="preserve">appropriateness of the </w:t>
      </w:r>
      <w:r>
        <w:t xml:space="preserve">risk significance concept. </w:t>
      </w:r>
      <w:r w:rsidR="00582A5A">
        <w:t>These challenges, amongst others, will need to be considered should a safeguards risk significance model be further developed.</w:t>
      </w:r>
    </w:p>
    <w:p w14:paraId="6C4B09DC" w14:textId="143AEBE8" w:rsidR="00582A5A" w:rsidRDefault="00D07ED5" w:rsidP="00582A5A">
      <w:pPr>
        <w:pStyle w:val="BodyText"/>
      </w:pPr>
      <w:r>
        <w:t xml:space="preserve">One challenge in developing a </w:t>
      </w:r>
      <w:r w:rsidR="0020434B">
        <w:t xml:space="preserve">safeguards risk significance </w:t>
      </w:r>
      <w:r>
        <w:t xml:space="preserve">model </w:t>
      </w:r>
      <w:r w:rsidR="0020434B">
        <w:t xml:space="preserve">is </w:t>
      </w:r>
      <w:r>
        <w:t xml:space="preserve">how to </w:t>
      </w:r>
      <w:r w:rsidR="00362779">
        <w:t>verify and validate</w:t>
      </w:r>
      <w:r w:rsidR="00362779">
        <w:t xml:space="preserve"> </w:t>
      </w:r>
      <w:r w:rsidR="0020434B">
        <w:t>a target risk threshold</w:t>
      </w:r>
      <w:r>
        <w:t xml:space="preserve"> such as an F-C curve</w:t>
      </w:r>
      <w:r w:rsidR="00582A5A">
        <w:t xml:space="preserve"> to compare whether nuclear technology is </w:t>
      </w:r>
      <w:r w:rsidR="006B3155">
        <w:t xml:space="preserve">safeguards </w:t>
      </w:r>
      <w:r w:rsidR="00582A5A">
        <w:t xml:space="preserve">risk significant.  </w:t>
      </w:r>
      <w:r w:rsidR="0020434B">
        <w:t xml:space="preserve">The NPT establishes a universally agreed baseline for </w:t>
      </w:r>
      <w:r>
        <w:t xml:space="preserve">acceptable </w:t>
      </w:r>
      <w:r w:rsidR="0020434B">
        <w:t>safeguards risk in that, again, all signatories are entitled to the peaceful use of nuclear energy if the</w:t>
      </w:r>
      <w:r>
        <w:t xml:space="preserve"> nuclear</w:t>
      </w:r>
      <w:r w:rsidR="0020434B">
        <w:t xml:space="preserve"> material is placed under safeguard</w:t>
      </w:r>
      <w:r w:rsidR="00582A5A">
        <w:t xml:space="preserve">s. Appropriating safety parlance, this threshold would effectively need to </w:t>
      </w:r>
      <w:proofErr w:type="gramStart"/>
      <w:r w:rsidR="00582A5A">
        <w:t>answer</w:t>
      </w:r>
      <w:proofErr w:type="gramEnd"/>
      <w:r w:rsidR="00582A5A">
        <w:t xml:space="preserve"> “how </w:t>
      </w:r>
      <w:r w:rsidR="006B3155">
        <w:t xml:space="preserve">much </w:t>
      </w:r>
      <w:r w:rsidR="00582A5A">
        <w:t xml:space="preserve">is safeguarded enough?”. Given that the IAEA uses a risk-informed State-Level Concept, establishing </w:t>
      </w:r>
      <w:r w:rsidR="00742AA7">
        <w:t>a universal</w:t>
      </w:r>
      <w:r w:rsidR="00742AA7">
        <w:t xml:space="preserve"> </w:t>
      </w:r>
      <w:r w:rsidR="00582A5A">
        <w:t>threshold is not expected to be straightforward.</w:t>
      </w:r>
    </w:p>
    <w:p w14:paraId="5E426B09" w14:textId="3CC859AD" w:rsidR="0020434B" w:rsidRDefault="0020434B" w:rsidP="0020434B">
      <w:pPr>
        <w:pStyle w:val="BodyText"/>
      </w:pPr>
      <w:r>
        <w:t xml:space="preserve">A </w:t>
      </w:r>
      <w:r w:rsidR="00D07ED5">
        <w:t>second</w:t>
      </w:r>
      <w:r>
        <w:t xml:space="preserve"> barrier to safeguards risk significance that safeguards/non-proliferation risk is a complex blend of fundamental nuclear physics, State technological capabilities, safeguards agreements between States and the IAEA, and interregional/international geopolitics. This </w:t>
      </w:r>
      <w:r w:rsidR="006B3155">
        <w:t xml:space="preserve">suggests that describing </w:t>
      </w:r>
      <w:r>
        <w:t xml:space="preserve">safeguards risk </w:t>
      </w:r>
      <w:r w:rsidR="006B3155">
        <w:t xml:space="preserve">comprehensively </w:t>
      </w:r>
      <w:r>
        <w:t>may require more granularity</w:t>
      </w:r>
      <w:r w:rsidR="006B3155">
        <w:t xml:space="preserve"> or multidisciplinary coordination</w:t>
      </w:r>
      <w:r>
        <w:t xml:space="preserve"> </w:t>
      </w:r>
      <w:r w:rsidR="00582A5A">
        <w:t xml:space="preserve">than </w:t>
      </w:r>
      <w:r w:rsidR="006B3155">
        <w:t xml:space="preserve">the probabilistic or </w:t>
      </w:r>
      <w:r>
        <w:t>organizational gradient analogues</w:t>
      </w:r>
      <w:r w:rsidR="00582A5A">
        <w:t xml:space="preserve"> </w:t>
      </w:r>
      <w:r w:rsidR="006B3155">
        <w:t xml:space="preserve">from other risk significance models </w:t>
      </w:r>
      <w:r w:rsidR="00582A5A">
        <w:t>can provide</w:t>
      </w:r>
      <w:r w:rsidR="00D07ED5">
        <w:t>.</w:t>
      </w:r>
    </w:p>
    <w:p w14:paraId="68AC0202" w14:textId="45B658B6" w:rsidR="0097343F" w:rsidRDefault="0020434B" w:rsidP="0020434B">
      <w:pPr>
        <w:pStyle w:val="BodyText"/>
      </w:pPr>
      <w:r>
        <w:t xml:space="preserve">Finally, and unique to safeguards, a State may exercise its sovereignty and withdraw from the NPT under Article X.1, terminating its safeguards agreements with the IAEA </w:t>
      </w:r>
      <w:r w:rsidR="00DA5B1F">
        <w:t>[6]</w:t>
      </w:r>
      <w:r>
        <w:t xml:space="preserve">. </w:t>
      </w:r>
      <w:r w:rsidR="0097343F">
        <w:t>Considering a State’s right to withdraw from the NPT complicates defining an unacceptable risk threshold as it could be argued that any transfer of nuclear power technology capable of producing weapons useable nuclear material is “risk significant”. Furthermore, there is no analogue in the security or safeguards domains</w:t>
      </w:r>
      <w:r w:rsidR="006C0A33">
        <w:t xml:space="preserve"> that could be leveraged to represent this risk</w:t>
      </w:r>
      <w:r w:rsidR="0097343F">
        <w:t xml:space="preserve"> </w:t>
      </w:r>
      <w:r w:rsidR="00AB4692">
        <w:t>i.e., an insider cannot declare security measures no longer apply</w:t>
      </w:r>
      <w:r w:rsidR="006C0A33">
        <w:t xml:space="preserve"> and freely commit malicious actions.</w:t>
      </w:r>
      <w:r w:rsidR="00FA626D">
        <w:t xml:space="preserve"> It is therefore </w:t>
      </w:r>
      <w:r w:rsidR="00CE4411">
        <w:t xml:space="preserve">presently </w:t>
      </w:r>
      <w:r w:rsidR="00FA626D">
        <w:t>unknown how this risk could be represented in a safeguards risk significance model</w:t>
      </w:r>
      <w:r w:rsidR="00CE4411">
        <w:t xml:space="preserve"> or what frameworks would be required to do so. </w:t>
      </w:r>
    </w:p>
    <w:p w14:paraId="2F836970" w14:textId="59601F71" w:rsidR="00E63D66" w:rsidRDefault="00E63D66">
      <w:pPr>
        <w:pStyle w:val="Heading2"/>
      </w:pPr>
      <w:r>
        <w:t xml:space="preserve">Conclusion </w:t>
      </w:r>
    </w:p>
    <w:p w14:paraId="4E6B42F9" w14:textId="1987E0B3" w:rsidR="000B483F" w:rsidRDefault="00582A5A" w:rsidP="00582A5A">
      <w:pPr>
        <w:pStyle w:val="BodyText"/>
      </w:pPr>
      <w:r>
        <w:t xml:space="preserve">This paper presented high-level discussion regarding </w:t>
      </w:r>
      <w:r w:rsidR="000B483F">
        <w:t xml:space="preserve">how well </w:t>
      </w:r>
      <w:r>
        <w:t xml:space="preserve">the safety concept of risk significance could be </w:t>
      </w:r>
      <w:r w:rsidR="000B483F">
        <w:t xml:space="preserve">applied </w:t>
      </w:r>
      <w:r>
        <w:t xml:space="preserve">to model or describe safeguards risks. Risk significance proved useful in characterizing risks associated with insider threats at nuclear facilities, and there are similarities between insider threats and State-level diversion that </w:t>
      </w:r>
      <w:r w:rsidR="00520FC9">
        <w:t>suggest potential for using risk significance to present safeguards risks</w:t>
      </w:r>
      <w:r w:rsidR="00236DF0">
        <w:t xml:space="preserve"> including the potential utility of a gradient-based approach to risk and challenges in establishing a quantitative risk significance threshold</w:t>
      </w:r>
      <w:r w:rsidR="00520FC9">
        <w:t xml:space="preserve">. </w:t>
      </w:r>
    </w:p>
    <w:p w14:paraId="6C0D69FF" w14:textId="0CC3EDD9" w:rsidR="00520FC9" w:rsidRDefault="00520FC9" w:rsidP="00582A5A">
      <w:pPr>
        <w:pStyle w:val="BodyText"/>
      </w:pPr>
      <w:r>
        <w:lastRenderedPageBreak/>
        <w:t>However, the safeguards domain faces unique challenges not seen in safety or security (notably the ability of States to withdraw from safeguards agreements) that complicate the use of risk significance for describing safeguards risks</w:t>
      </w:r>
      <w:r w:rsidR="00236DF0">
        <w:t>, notably the complexity of safeguards risk evaluations.</w:t>
      </w:r>
    </w:p>
    <w:p w14:paraId="78CA34C5" w14:textId="1033D72E" w:rsidR="000B483F" w:rsidRPr="00E63D66" w:rsidRDefault="00FA626D" w:rsidP="000A50DD">
      <w:pPr>
        <w:pStyle w:val="BodyText"/>
      </w:pPr>
      <w:r>
        <w:t xml:space="preserve">If successfully develop, a safeguards risk significance model could help communicate or explain safeguards risks to non-safeguards experts and facilitate more robust security-, safeguards-, and safety-by-design approaches for advanced reactors. To realize these benefits, the next steps in </w:t>
      </w:r>
      <w:r w:rsidR="00BD1432">
        <w:t xml:space="preserve">developing a fully realized safeguards risk significance model include </w:t>
      </w:r>
      <w:r w:rsidR="000A50DD">
        <w:t>structuring the abstract, conceptual model described in this paper into systems model that maps the relationships between safeguards risk factors and safeguards “risk significance”.</w:t>
      </w:r>
    </w:p>
    <w:p w14:paraId="70BE2415" w14:textId="77777777" w:rsidR="00E63D66" w:rsidRDefault="00E63D66" w:rsidP="00E63D66">
      <w:pPr>
        <w:pStyle w:val="Otherunnumberedheadings"/>
      </w:pPr>
      <w:r w:rsidRPr="00285755">
        <w:t>ACKNOWLEDGEMENTS</w:t>
      </w:r>
    </w:p>
    <w:p w14:paraId="497B36D5" w14:textId="71C08A5C" w:rsidR="00E63D66" w:rsidRDefault="00E63D66" w:rsidP="00E63D66">
      <w:pPr>
        <w:pStyle w:val="BodyText"/>
      </w:pPr>
      <w:r>
        <w:t>The authors gratefully thank the National Nuclear Security Administration’s Advanced Reactor International Safeguards Engagements program for</w:t>
      </w:r>
      <w:r w:rsidR="00024781">
        <w:t xml:space="preserve"> supporting </w:t>
      </w:r>
      <w:r w:rsidR="00B8404E">
        <w:t xml:space="preserve">authorship of </w:t>
      </w:r>
      <w:r w:rsidR="00024781">
        <w:t>this paper</w:t>
      </w:r>
      <w:r>
        <w:t xml:space="preserve">. </w:t>
      </w:r>
      <w:r w:rsidR="003B5A09" w:rsidRPr="003B5A09">
        <w:rPr>
          <w:rStyle w:val="Emphasis"/>
          <w:i w:val="0"/>
          <w:iCs w:val="0"/>
        </w:rPr>
        <w:t xml:space="preserve">Sandia National Laboratories is a </w:t>
      </w:r>
      <w:proofErr w:type="spellStart"/>
      <w:r w:rsidR="003B5A09" w:rsidRPr="003B5A09">
        <w:rPr>
          <w:rStyle w:val="Emphasis"/>
          <w:i w:val="0"/>
          <w:iCs w:val="0"/>
        </w:rPr>
        <w:t>multimission</w:t>
      </w:r>
      <w:proofErr w:type="spellEnd"/>
      <w:r w:rsidR="003B5A09" w:rsidRPr="003B5A09">
        <w:rPr>
          <w:rStyle w:val="Emphasis"/>
          <w:i w:val="0"/>
          <w:iCs w:val="0"/>
        </w:rPr>
        <w:t xml:space="preserve"> laboratory managed and operated by National Technology &amp; Engineering Solutions of Sandia, LLC, a wholly owned subsidiary of Honeywell International Inc., for the U.S. Department of Energy’s National Nuclear Security Administration under contract DE-NA0003525.</w:t>
      </w:r>
      <w:r w:rsidR="003B5A09">
        <w:rPr>
          <w:rStyle w:val="Emphasis"/>
          <w:i w:val="0"/>
          <w:iCs w:val="0"/>
        </w:rPr>
        <w:t xml:space="preserve"> </w:t>
      </w:r>
      <w:r w:rsidR="003B5A09" w:rsidRPr="003B5A09">
        <w:rPr>
          <w:rStyle w:val="Emphasis"/>
          <w:i w:val="0"/>
          <w:iCs w:val="0"/>
        </w:rPr>
        <w:t>This paper describes objective technical results and analysis. Any subjective views or opinions that might be expressed in the paper do not necessarily represent the views of the U.S. Department of Energy or the United States Government.</w:t>
      </w:r>
    </w:p>
    <w:p w14:paraId="16F3774D" w14:textId="77777777" w:rsidR="00E63D66" w:rsidRPr="00285755" w:rsidRDefault="00E63D66" w:rsidP="00E63D66">
      <w:pPr>
        <w:pStyle w:val="Otherunnumberedheadings"/>
      </w:pPr>
      <w:r>
        <w:t>References</w:t>
      </w:r>
    </w:p>
    <w:p w14:paraId="09F2813F" w14:textId="569834BA" w:rsidR="0039463F" w:rsidRDefault="0039463F" w:rsidP="0039463F">
      <w:pPr>
        <w:pStyle w:val="Referencelist"/>
      </w:pPr>
      <w:bookmarkStart w:id="2" w:name="_Hlk167156534"/>
      <w:r>
        <w:t xml:space="preserve">KAPLAN, S, GARRICK, B.J., On </w:t>
      </w:r>
      <w:proofErr w:type="gramStart"/>
      <w:r>
        <w:t>The</w:t>
      </w:r>
      <w:proofErr w:type="gramEnd"/>
      <w:r>
        <w:t xml:space="preserve"> Quantitative Definition of Risk, Risk Analysis </w:t>
      </w:r>
      <w:r>
        <w:rPr>
          <w:b/>
          <w:bCs/>
        </w:rPr>
        <w:t xml:space="preserve">1 </w:t>
      </w:r>
      <w:r>
        <w:t>1 (1981), 11-27.</w:t>
      </w:r>
    </w:p>
    <w:p w14:paraId="2B488212" w14:textId="38D9FDFA" w:rsidR="0039463F" w:rsidRPr="00F03911" w:rsidRDefault="0039463F" w:rsidP="0039463F">
      <w:pPr>
        <w:pStyle w:val="Referencelist"/>
      </w:pPr>
      <w:bookmarkStart w:id="3" w:name="_Ref169297342"/>
      <w:r>
        <w:t>Risk-Informed Performance-Based Technology Inclusive Guidance for Non-Light Water Reactor Licensing Basis Development, Nuclear Energy Institute (2019).</w:t>
      </w:r>
      <w:bookmarkEnd w:id="3"/>
    </w:p>
    <w:p w14:paraId="282B96E4" w14:textId="051FC8ED" w:rsidR="0039463F" w:rsidRDefault="0039463F" w:rsidP="0039463F">
      <w:pPr>
        <w:pStyle w:val="Referencelist"/>
      </w:pPr>
      <w:r>
        <w:t xml:space="preserve">United States Nuclear Regulatory Commission, </w:t>
      </w:r>
      <w:r w:rsidRPr="0039463F">
        <w:t>Risk significant</w:t>
      </w:r>
      <w:r>
        <w:t xml:space="preserve"> (2023), </w:t>
      </w:r>
      <w:hyperlink r:id="rId10" w:history="1">
        <w:r w:rsidRPr="002B2A03">
          <w:rPr>
            <w:rStyle w:val="Hyperlink"/>
          </w:rPr>
          <w:t>https://www.nrc.gov/reading-rm/basic-ref/glossary/risk-significant.html</w:t>
        </w:r>
      </w:hyperlink>
    </w:p>
    <w:p w14:paraId="0FD4F1C7" w14:textId="37CAB0F5" w:rsidR="0039463F" w:rsidRDefault="00DA5B1F" w:rsidP="0039463F">
      <w:pPr>
        <w:pStyle w:val="Referencelist"/>
      </w:pPr>
      <w:bookmarkStart w:id="4" w:name="_Ref169296870"/>
      <w:r>
        <w:t>FAUCETT, C., Development of a Conceptual Multi-Insider Risk Model for Nuclear Facilities, Texas A&amp;M University, College Station, TX (</w:t>
      </w:r>
      <w:proofErr w:type="spellStart"/>
      <w:r>
        <w:t>n.p.</w:t>
      </w:r>
      <w:proofErr w:type="spellEnd"/>
      <w:r>
        <w:t>)</w:t>
      </w:r>
      <w:bookmarkEnd w:id="4"/>
      <w:r>
        <w:t xml:space="preserve"> </w:t>
      </w:r>
    </w:p>
    <w:p w14:paraId="75F38B68" w14:textId="1D9282D7" w:rsidR="00DA5B1F" w:rsidRDefault="00DA5B1F" w:rsidP="0039463F">
      <w:pPr>
        <w:pStyle w:val="Referencelist"/>
      </w:pPr>
      <w:bookmarkStart w:id="5" w:name="_Ref169298137"/>
      <w:r>
        <w:t xml:space="preserve">RASMUSSEN, J., Risk management in a dynamic society: a modelling problem, Safety Science </w:t>
      </w:r>
      <w:r>
        <w:rPr>
          <w:b/>
          <w:bCs/>
        </w:rPr>
        <w:t>27</w:t>
      </w:r>
      <w:r>
        <w:t xml:space="preserve"> 2-3 (1997), 183-213.</w:t>
      </w:r>
      <w:bookmarkEnd w:id="5"/>
    </w:p>
    <w:p w14:paraId="18B2394A" w14:textId="5785985C" w:rsidR="00DA5B1F" w:rsidRPr="00F03911" w:rsidRDefault="00DA5B1F" w:rsidP="00DA5B1F">
      <w:pPr>
        <w:pStyle w:val="Referencelist"/>
      </w:pPr>
      <w:bookmarkStart w:id="6" w:name="_Ref169201146"/>
      <w:r>
        <w:t xml:space="preserve">Treaty on the Non-Proliferation of </w:t>
      </w:r>
      <w:proofErr w:type="gramStart"/>
      <w:r>
        <w:t>Nuclear Weapons</w:t>
      </w:r>
      <w:proofErr w:type="gramEnd"/>
      <w:r>
        <w:t>, INFCIRC/140, IAEA, Vienna (1970).</w:t>
      </w:r>
      <w:bookmarkEnd w:id="6"/>
    </w:p>
    <w:bookmarkEnd w:id="2"/>
    <w:p w14:paraId="387161B5" w14:textId="77777777" w:rsidR="00E63D66" w:rsidRPr="00E63D66" w:rsidRDefault="00E63D66" w:rsidP="00DA5B1F">
      <w:pPr>
        <w:pStyle w:val="BodyText"/>
        <w:ind w:firstLine="0"/>
      </w:pPr>
    </w:p>
    <w:sectPr w:rsidR="00E63D66" w:rsidRPr="00E63D66" w:rsidSect="0026525A">
      <w:headerReference w:type="even" r:id="rId11"/>
      <w:headerReference w:type="default" r:id="rId12"/>
      <w:footerReference w:type="even" r:id="rId13"/>
      <w:footerReference w:type="default" r:id="rId14"/>
      <w:headerReference w:type="first" r:id="rId15"/>
      <w:footerReference w:type="first" r:id="rId16"/>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8CD58" w14:textId="77777777" w:rsidR="0055738F" w:rsidRDefault="0055738F">
      <w:r>
        <w:separator/>
      </w:r>
    </w:p>
  </w:endnote>
  <w:endnote w:type="continuationSeparator" w:id="0">
    <w:p w14:paraId="06A087F8" w14:textId="77777777" w:rsidR="0055738F" w:rsidRDefault="00557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FF961" w14:textId="71EB65A1" w:rsidR="00E20E70" w:rsidRDefault="00E20E70">
    <w:pPr>
      <w:pStyle w:val="zyxClassification1"/>
    </w:pPr>
    <w:r>
      <w:fldChar w:fldCharType="begin"/>
    </w:r>
    <w:r>
      <w:instrText xml:space="preserve"> DOCPROPERTY "IaeaClassification"  \* MERGEFORMAT </w:instrText>
    </w:r>
    <w:r>
      <w:fldChar w:fldCharType="end"/>
    </w:r>
  </w:p>
  <w:p w14:paraId="1FDEB1B7" w14:textId="0ED3327B"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B308E" w14:textId="74B9F514" w:rsidR="00E20E70" w:rsidRDefault="00E20E70">
    <w:pPr>
      <w:pStyle w:val="zyxClassification1"/>
    </w:pPr>
    <w:r>
      <w:fldChar w:fldCharType="begin"/>
    </w:r>
    <w:r>
      <w:instrText xml:space="preserve"> DOCPROPERTY "IaeaClassification"  \* MERGEFORMAT </w:instrText>
    </w:r>
    <w:r>
      <w:fldChar w:fldCharType="end"/>
    </w:r>
  </w:p>
  <w:p w14:paraId="7E32AC2C" w14:textId="4652BC61"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0B483F">
      <w:rPr>
        <w:rFonts w:ascii="Times New Roman" w:hAnsi="Times New Roman" w:cs="Times New Roman"/>
        <w:noProof/>
        <w:sz w:val="20"/>
      </w:rPr>
      <w:t>3</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2AC0DA17" w14:textId="77777777">
      <w:trPr>
        <w:cantSplit/>
      </w:trPr>
      <w:tc>
        <w:tcPr>
          <w:tcW w:w="4644" w:type="dxa"/>
        </w:tcPr>
        <w:p w14:paraId="6CFF9F49" w14:textId="0172A26A"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258EA1F7" w14:textId="573F31D8"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8" w:name="DOC_bkmClassification2"/>
      <w:tc>
        <w:tcPr>
          <w:tcW w:w="5670" w:type="dxa"/>
          <w:tcMar>
            <w:right w:w="249" w:type="dxa"/>
          </w:tcMar>
        </w:tcPr>
        <w:p w14:paraId="6BE850AD" w14:textId="6BACBAB6"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8"/>
        <w:p w14:paraId="4A6BF5C8" w14:textId="4D4577F5"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9" w:name="DOC_bkmFileName"/>
  <w:p w14:paraId="437B756E" w14:textId="14A092E5" w:rsidR="00E20E70" w:rsidRDefault="00E20E70">
    <w:r>
      <w:rPr>
        <w:sz w:val="16"/>
      </w:rPr>
      <w:fldChar w:fldCharType="begin"/>
    </w:r>
    <w:r>
      <w:rPr>
        <w:sz w:val="16"/>
      </w:rPr>
      <w:instrText xml:space="preserve"> FILENAME \* MERGEFORMAT </w:instrText>
    </w:r>
    <w:r>
      <w:rPr>
        <w:sz w:val="16"/>
      </w:rPr>
      <w:fldChar w:fldCharType="separate"/>
    </w:r>
    <w:r w:rsidR="00FF6F19">
      <w:rPr>
        <w:noProof/>
        <w:sz w:val="16"/>
      </w:rPr>
      <w:t>Conference Proceedings_Example paper.docx</w:t>
    </w:r>
    <w:r>
      <w:rPr>
        <w:sz w:val="16"/>
      </w:rPr>
      <w:fldChar w:fldCharType="end"/>
    </w:r>
    <w:bookmarkEnd w:id="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605D3" w14:textId="77777777" w:rsidR="0055738F" w:rsidRDefault="0055738F">
      <w:r>
        <w:t>___________________________________________________________________________</w:t>
      </w:r>
    </w:p>
  </w:footnote>
  <w:footnote w:type="continuationSeparator" w:id="0">
    <w:p w14:paraId="1A4362DE" w14:textId="77777777" w:rsidR="0055738F" w:rsidRDefault="0055738F">
      <w:r>
        <w:t>___________________________________________________________________________</w:t>
      </w:r>
    </w:p>
  </w:footnote>
  <w:footnote w:type="continuationNotice" w:id="1">
    <w:p w14:paraId="4B1E588E" w14:textId="77777777" w:rsidR="0055738F" w:rsidRDefault="005573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F522D" w14:textId="7F99537A" w:rsidR="00CF7AF3" w:rsidRDefault="00CF7AF3" w:rsidP="00CF7AF3">
    <w:pPr>
      <w:pStyle w:val="Runninghead"/>
    </w:pPr>
    <w:r>
      <w:tab/>
      <w:t>IAEA-CN-</w:t>
    </w:r>
    <w:r w:rsidR="003E5765">
      <w:t>327</w:t>
    </w:r>
  </w:p>
  <w:p w14:paraId="6E7E9A0F" w14:textId="18B87A12" w:rsidR="00E20E70" w:rsidRDefault="00CF7AF3" w:rsidP="00EA0C1D">
    <w:r>
      <w:tab/>
    </w:r>
    <w:r w:rsidR="00E20E70">
      <w:fldChar w:fldCharType="begin"/>
    </w:r>
    <w:r w:rsidR="00E20E70">
      <w:instrText xml:space="preserve"> DOCPROPERTY "IaeaClassification"  \* MERGEFORMAT </w:instrText>
    </w:r>
    <w:r w:rsidR="00E20E70">
      <w:fldChar w:fldCharType="end"/>
    </w:r>
  </w:p>
  <w:p w14:paraId="09E92CEF" w14:textId="58EFCBEB" w:rsidR="00E20E70" w:rsidRDefault="00E20E70">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2EF17" w14:textId="7C975BE1" w:rsidR="00037321" w:rsidRPr="00570295" w:rsidRDefault="00570295" w:rsidP="00570295">
    <w:pPr>
      <w:pStyle w:val="Runninghead"/>
    </w:pPr>
    <w:r>
      <w:t xml:space="preserve">C.A. FAUCETT and A.D. WILLIAMS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2C69EA9B" w14:textId="77777777">
      <w:trPr>
        <w:cantSplit/>
        <w:trHeight w:val="716"/>
      </w:trPr>
      <w:tc>
        <w:tcPr>
          <w:tcW w:w="979" w:type="dxa"/>
          <w:vMerge w:val="restart"/>
        </w:tcPr>
        <w:p w14:paraId="2A6ADF80" w14:textId="77777777" w:rsidR="00E20E70" w:rsidRDefault="00E20E70">
          <w:pPr>
            <w:spacing w:before="180"/>
            <w:ind w:left="17"/>
          </w:pPr>
        </w:p>
      </w:tc>
      <w:tc>
        <w:tcPr>
          <w:tcW w:w="3638" w:type="dxa"/>
          <w:vAlign w:val="bottom"/>
        </w:tcPr>
        <w:p w14:paraId="610CF310" w14:textId="77777777" w:rsidR="00E20E70" w:rsidRDefault="00E20E70">
          <w:pPr>
            <w:spacing w:after="20"/>
          </w:pPr>
        </w:p>
      </w:tc>
      <w:bookmarkStart w:id="7" w:name="DOC_bkmClassification1"/>
      <w:tc>
        <w:tcPr>
          <w:tcW w:w="5702" w:type="dxa"/>
          <w:vMerge w:val="restart"/>
          <w:tcMar>
            <w:right w:w="193" w:type="dxa"/>
          </w:tcMar>
        </w:tcPr>
        <w:p w14:paraId="48D5842E" w14:textId="65BC9385"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7"/>
        <w:p w14:paraId="423CAA9C" w14:textId="4809B93E" w:rsidR="00E20E70" w:rsidRDefault="00E20E70">
          <w:pPr>
            <w:pStyle w:val="zyxConfid2Red"/>
          </w:pPr>
          <w:r>
            <w:fldChar w:fldCharType="begin"/>
          </w:r>
          <w:r>
            <w:instrText>DOCPROPERTY "IaeaClassification2"  \* MERGEFORMAT</w:instrText>
          </w:r>
          <w:r>
            <w:fldChar w:fldCharType="end"/>
          </w:r>
        </w:p>
      </w:tc>
    </w:tr>
    <w:tr w:rsidR="00E20E70" w14:paraId="7130D945" w14:textId="77777777">
      <w:trPr>
        <w:cantSplit/>
        <w:trHeight w:val="167"/>
      </w:trPr>
      <w:tc>
        <w:tcPr>
          <w:tcW w:w="979" w:type="dxa"/>
          <w:vMerge/>
        </w:tcPr>
        <w:p w14:paraId="7659FE2B" w14:textId="77777777" w:rsidR="00E20E70" w:rsidRDefault="00E20E70">
          <w:pPr>
            <w:spacing w:before="57"/>
          </w:pPr>
        </w:p>
      </w:tc>
      <w:tc>
        <w:tcPr>
          <w:tcW w:w="3638" w:type="dxa"/>
          <w:vAlign w:val="bottom"/>
        </w:tcPr>
        <w:p w14:paraId="7578AADC" w14:textId="77777777" w:rsidR="00E20E70" w:rsidRDefault="00E20E70">
          <w:pPr>
            <w:pStyle w:val="Heading9"/>
            <w:spacing w:before="0" w:after="10"/>
          </w:pPr>
        </w:p>
      </w:tc>
      <w:tc>
        <w:tcPr>
          <w:tcW w:w="5702" w:type="dxa"/>
          <w:vMerge/>
          <w:vAlign w:val="bottom"/>
        </w:tcPr>
        <w:p w14:paraId="313FA1D9" w14:textId="77777777" w:rsidR="00E20E70" w:rsidRDefault="00E20E70">
          <w:pPr>
            <w:pStyle w:val="Heading9"/>
            <w:spacing w:before="0" w:after="10"/>
          </w:pPr>
        </w:p>
      </w:tc>
    </w:tr>
  </w:tbl>
  <w:p w14:paraId="7A0C2B4B" w14:textId="77777777"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2" w15:restartNumberingAfterBreak="0">
    <w:nsid w:val="142E4BFD"/>
    <w:multiLevelType w:val="hybridMultilevel"/>
    <w:tmpl w:val="1C402886"/>
    <w:lvl w:ilvl="0" w:tplc="D900829C">
      <w:start w:val="22"/>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7"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9"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Heading2"/>
      <w:suff w:val="space"/>
      <w:lvlText w:val="%1%2."/>
      <w:lvlJc w:val="left"/>
      <w:pPr>
        <w:ind w:left="0" w:firstLine="0"/>
      </w:pPr>
      <w:rPr>
        <w:rFonts w:hint="default"/>
        <w:color w:val="auto"/>
      </w:rPr>
    </w:lvl>
    <w:lvl w:ilvl="2">
      <w:start w:val="1"/>
      <w:numFmt w:val="decimal"/>
      <w:lvlRestart w:val="0"/>
      <w:pStyle w:val="Heading3"/>
      <w:lvlText w:val="%1%2.%3."/>
      <w:lvlJc w:val="left"/>
      <w:pPr>
        <w:ind w:left="0" w:firstLine="0"/>
      </w:pPr>
      <w:rPr>
        <w:rFonts w:hint="default"/>
      </w:rPr>
    </w:lvl>
    <w:lvl w:ilvl="3">
      <w:start w:val="1"/>
      <w:numFmt w:val="decimal"/>
      <w:lvlRestart w:val="0"/>
      <w:pStyle w:val="Heading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2"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88543961">
    <w:abstractNumId w:val="8"/>
  </w:num>
  <w:num w:numId="2" w16cid:durableId="727152058">
    <w:abstractNumId w:val="5"/>
  </w:num>
  <w:num w:numId="3" w16cid:durableId="1958365994">
    <w:abstractNumId w:val="11"/>
  </w:num>
  <w:num w:numId="4" w16cid:durableId="1580600633">
    <w:abstractNumId w:val="11"/>
  </w:num>
  <w:num w:numId="5" w16cid:durableId="1137719213">
    <w:abstractNumId w:val="11"/>
  </w:num>
  <w:num w:numId="6" w16cid:durableId="1471050007">
    <w:abstractNumId w:val="6"/>
  </w:num>
  <w:num w:numId="7" w16cid:durableId="741951834">
    <w:abstractNumId w:val="9"/>
  </w:num>
  <w:num w:numId="8" w16cid:durableId="1233465966">
    <w:abstractNumId w:val="12"/>
  </w:num>
  <w:num w:numId="9" w16cid:durableId="78448717">
    <w:abstractNumId w:val="1"/>
  </w:num>
  <w:num w:numId="10" w16cid:durableId="540677629">
    <w:abstractNumId w:val="11"/>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lvlText w:val="%1%2."/>
        <w:lvlJc w:val="left"/>
        <w:pPr>
          <w:ind w:left="0" w:firstLine="0"/>
        </w:pPr>
        <w:rPr>
          <w:rFonts w:hint="default"/>
          <w:color w:val="auto"/>
        </w:rPr>
      </w:lvl>
    </w:lvlOverride>
    <w:lvlOverride w:ilvl="2">
      <w:lvl w:ilvl="2">
        <w:start w:val="1"/>
        <w:numFmt w:val="decimal"/>
        <w:lvlRestart w:val="0"/>
        <w:pStyle w:val="Heading3"/>
        <w:lvlText w:val="%1%2.%3."/>
        <w:lvlJc w:val="left"/>
        <w:pPr>
          <w:ind w:left="0" w:firstLine="0"/>
        </w:pPr>
        <w:rPr>
          <w:rFonts w:hint="default"/>
        </w:rPr>
      </w:lvl>
    </w:lvlOverride>
    <w:lvlOverride w:ilvl="3">
      <w:lvl w:ilvl="3">
        <w:start w:val="1"/>
        <w:numFmt w:val="none"/>
        <w:lvlRestart w:val="0"/>
        <w:pStyle w:val="Heading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16cid:durableId="109251020">
    <w:abstractNumId w:val="11"/>
  </w:num>
  <w:num w:numId="12" w16cid:durableId="609631314">
    <w:abstractNumId w:val="11"/>
  </w:num>
  <w:num w:numId="13" w16cid:durableId="306054811">
    <w:abstractNumId w:val="11"/>
  </w:num>
  <w:num w:numId="14" w16cid:durableId="1522209528">
    <w:abstractNumId w:val="11"/>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suff w:val="space"/>
        <w:lvlText w:val="%1%2."/>
        <w:lvlJc w:val="left"/>
        <w:pPr>
          <w:ind w:left="0" w:firstLine="0"/>
        </w:pPr>
        <w:rPr>
          <w:rFonts w:hint="default"/>
          <w:color w:val="auto"/>
        </w:rPr>
      </w:lvl>
    </w:lvlOverride>
    <w:lvlOverride w:ilvl="2">
      <w:lvl w:ilvl="2">
        <w:start w:val="1"/>
        <w:numFmt w:val="decimal"/>
        <w:lvlRestart w:val="0"/>
        <w:pStyle w:val="Heading3"/>
        <w:suff w:val="space"/>
        <w:lvlText w:val="%1%2.%3."/>
        <w:lvlJc w:val="left"/>
        <w:pPr>
          <w:ind w:left="0" w:firstLine="0"/>
        </w:pPr>
        <w:rPr>
          <w:rFonts w:hint="default"/>
        </w:rPr>
      </w:lvl>
    </w:lvlOverride>
    <w:lvlOverride w:ilvl="3">
      <w:lvl w:ilvl="3">
        <w:start w:val="1"/>
        <w:numFmt w:val="decimal"/>
        <w:lvlRestart w:val="0"/>
        <w:pStyle w:val="Heading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16cid:durableId="1184661486">
    <w:abstractNumId w:val="11"/>
  </w:num>
  <w:num w:numId="16" w16cid:durableId="889925519">
    <w:abstractNumId w:val="11"/>
  </w:num>
  <w:num w:numId="17" w16cid:durableId="1416900413">
    <w:abstractNumId w:val="11"/>
  </w:num>
  <w:num w:numId="18" w16cid:durableId="14030178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79689937">
    <w:abstractNumId w:val="11"/>
  </w:num>
  <w:num w:numId="20" w16cid:durableId="1826120866">
    <w:abstractNumId w:val="3"/>
  </w:num>
  <w:num w:numId="21" w16cid:durableId="1423603614">
    <w:abstractNumId w:val="11"/>
  </w:num>
  <w:num w:numId="22" w16cid:durableId="116611806">
    <w:abstractNumId w:val="4"/>
  </w:num>
  <w:num w:numId="23" w16cid:durableId="1488284884">
    <w:abstractNumId w:val="0"/>
  </w:num>
  <w:num w:numId="24" w16cid:durableId="1953590262">
    <w:abstractNumId w:val="10"/>
  </w:num>
  <w:num w:numId="25" w16cid:durableId="725951936">
    <w:abstractNumId w:val="11"/>
  </w:num>
  <w:num w:numId="26" w16cid:durableId="1933853346">
    <w:abstractNumId w:val="11"/>
  </w:num>
  <w:num w:numId="27" w16cid:durableId="318920227">
    <w:abstractNumId w:val="11"/>
  </w:num>
  <w:num w:numId="28" w16cid:durableId="1239364765">
    <w:abstractNumId w:val="11"/>
  </w:num>
  <w:num w:numId="29" w16cid:durableId="453719035">
    <w:abstractNumId w:val="11"/>
  </w:num>
  <w:num w:numId="30" w16cid:durableId="319966186">
    <w:abstractNumId w:val="7"/>
  </w:num>
  <w:num w:numId="31" w16cid:durableId="1821925934">
    <w:abstractNumId w:val="7"/>
  </w:num>
  <w:num w:numId="32" w16cid:durableId="2069106583">
    <w:abstractNumId w:val="11"/>
  </w:num>
  <w:num w:numId="33" w16cid:durableId="8321389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597373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229AB"/>
    <w:rsid w:val="00024781"/>
    <w:rsid w:val="0002569A"/>
    <w:rsid w:val="00037321"/>
    <w:rsid w:val="00080256"/>
    <w:rsid w:val="00081A78"/>
    <w:rsid w:val="000A0299"/>
    <w:rsid w:val="000A50DD"/>
    <w:rsid w:val="000A608B"/>
    <w:rsid w:val="000B483F"/>
    <w:rsid w:val="000C6F25"/>
    <w:rsid w:val="000F7E94"/>
    <w:rsid w:val="001119D6"/>
    <w:rsid w:val="00114C77"/>
    <w:rsid w:val="00127F88"/>
    <w:rsid w:val="001308F2"/>
    <w:rsid w:val="001313E8"/>
    <w:rsid w:val="001625CE"/>
    <w:rsid w:val="001907E1"/>
    <w:rsid w:val="001B531C"/>
    <w:rsid w:val="001C58F5"/>
    <w:rsid w:val="001D5CEE"/>
    <w:rsid w:val="001F58F6"/>
    <w:rsid w:val="002033DC"/>
    <w:rsid w:val="0020434B"/>
    <w:rsid w:val="002071D9"/>
    <w:rsid w:val="00216C54"/>
    <w:rsid w:val="00236DF0"/>
    <w:rsid w:val="00256822"/>
    <w:rsid w:val="0026525A"/>
    <w:rsid w:val="00274790"/>
    <w:rsid w:val="0028392A"/>
    <w:rsid w:val="00285755"/>
    <w:rsid w:val="0029270B"/>
    <w:rsid w:val="00294F64"/>
    <w:rsid w:val="002A1F9C"/>
    <w:rsid w:val="002B21C9"/>
    <w:rsid w:val="002B29C2"/>
    <w:rsid w:val="002B3CB0"/>
    <w:rsid w:val="002C4208"/>
    <w:rsid w:val="002D400A"/>
    <w:rsid w:val="002E33F7"/>
    <w:rsid w:val="00352DE1"/>
    <w:rsid w:val="00362779"/>
    <w:rsid w:val="003665BF"/>
    <w:rsid w:val="003728E6"/>
    <w:rsid w:val="0039463F"/>
    <w:rsid w:val="003B5A09"/>
    <w:rsid w:val="003B5E0E"/>
    <w:rsid w:val="003C7088"/>
    <w:rsid w:val="003D074A"/>
    <w:rsid w:val="003D2493"/>
    <w:rsid w:val="003D255A"/>
    <w:rsid w:val="003E5765"/>
    <w:rsid w:val="00416949"/>
    <w:rsid w:val="004370D8"/>
    <w:rsid w:val="00442E85"/>
    <w:rsid w:val="0046354A"/>
    <w:rsid w:val="00472C43"/>
    <w:rsid w:val="004A7921"/>
    <w:rsid w:val="004F0D23"/>
    <w:rsid w:val="00520FC9"/>
    <w:rsid w:val="00537496"/>
    <w:rsid w:val="00544ED3"/>
    <w:rsid w:val="0055738F"/>
    <w:rsid w:val="00566F50"/>
    <w:rsid w:val="00567EBB"/>
    <w:rsid w:val="00570295"/>
    <w:rsid w:val="00582A5A"/>
    <w:rsid w:val="0058477B"/>
    <w:rsid w:val="0058654F"/>
    <w:rsid w:val="00596ACA"/>
    <w:rsid w:val="005E39BC"/>
    <w:rsid w:val="005E53E0"/>
    <w:rsid w:val="005F00A0"/>
    <w:rsid w:val="005F7296"/>
    <w:rsid w:val="00647F33"/>
    <w:rsid w:val="00662532"/>
    <w:rsid w:val="006B2274"/>
    <w:rsid w:val="006B3155"/>
    <w:rsid w:val="006C0A33"/>
    <w:rsid w:val="00717C6F"/>
    <w:rsid w:val="00721978"/>
    <w:rsid w:val="00737019"/>
    <w:rsid w:val="00742AA7"/>
    <w:rsid w:val="007445DA"/>
    <w:rsid w:val="00754204"/>
    <w:rsid w:val="00754924"/>
    <w:rsid w:val="00797322"/>
    <w:rsid w:val="007B4FD1"/>
    <w:rsid w:val="007E5793"/>
    <w:rsid w:val="00802381"/>
    <w:rsid w:val="0084076B"/>
    <w:rsid w:val="0084100D"/>
    <w:rsid w:val="00862F22"/>
    <w:rsid w:val="00863CDE"/>
    <w:rsid w:val="0087012F"/>
    <w:rsid w:val="00883848"/>
    <w:rsid w:val="00897ED5"/>
    <w:rsid w:val="008A78DB"/>
    <w:rsid w:val="008B6BB9"/>
    <w:rsid w:val="00901FD6"/>
    <w:rsid w:val="00911543"/>
    <w:rsid w:val="009519C9"/>
    <w:rsid w:val="0097343F"/>
    <w:rsid w:val="00995C52"/>
    <w:rsid w:val="009D0B86"/>
    <w:rsid w:val="009E0D5B"/>
    <w:rsid w:val="009E1558"/>
    <w:rsid w:val="009E3506"/>
    <w:rsid w:val="009F497D"/>
    <w:rsid w:val="00A42898"/>
    <w:rsid w:val="00A7166F"/>
    <w:rsid w:val="00A7213F"/>
    <w:rsid w:val="00AB2BE5"/>
    <w:rsid w:val="00AB4692"/>
    <w:rsid w:val="00AB6ACE"/>
    <w:rsid w:val="00AC2503"/>
    <w:rsid w:val="00AC5A3A"/>
    <w:rsid w:val="00AD1848"/>
    <w:rsid w:val="00B07B7B"/>
    <w:rsid w:val="00B451D5"/>
    <w:rsid w:val="00B66E9F"/>
    <w:rsid w:val="00B75706"/>
    <w:rsid w:val="00B763B4"/>
    <w:rsid w:val="00B80383"/>
    <w:rsid w:val="00B81CCE"/>
    <w:rsid w:val="00B82FA5"/>
    <w:rsid w:val="00B8404E"/>
    <w:rsid w:val="00B92A90"/>
    <w:rsid w:val="00BD1400"/>
    <w:rsid w:val="00BD1432"/>
    <w:rsid w:val="00BD605C"/>
    <w:rsid w:val="00BE2A76"/>
    <w:rsid w:val="00C139AB"/>
    <w:rsid w:val="00C302AF"/>
    <w:rsid w:val="00C65E60"/>
    <w:rsid w:val="00C93435"/>
    <w:rsid w:val="00CD3021"/>
    <w:rsid w:val="00CD53FD"/>
    <w:rsid w:val="00CE4411"/>
    <w:rsid w:val="00CE5A52"/>
    <w:rsid w:val="00CF7AF3"/>
    <w:rsid w:val="00D07ED5"/>
    <w:rsid w:val="00D26ADA"/>
    <w:rsid w:val="00D352EE"/>
    <w:rsid w:val="00D35A78"/>
    <w:rsid w:val="00D555A1"/>
    <w:rsid w:val="00D64DC2"/>
    <w:rsid w:val="00DA46CA"/>
    <w:rsid w:val="00DA5B1F"/>
    <w:rsid w:val="00DA67E4"/>
    <w:rsid w:val="00DD0B40"/>
    <w:rsid w:val="00DD490D"/>
    <w:rsid w:val="00DE19C7"/>
    <w:rsid w:val="00DF21EB"/>
    <w:rsid w:val="00E20E70"/>
    <w:rsid w:val="00E25B68"/>
    <w:rsid w:val="00E63D66"/>
    <w:rsid w:val="00E648EA"/>
    <w:rsid w:val="00E84003"/>
    <w:rsid w:val="00E85E7B"/>
    <w:rsid w:val="00EA0C1D"/>
    <w:rsid w:val="00EC10FC"/>
    <w:rsid w:val="00ED0EAC"/>
    <w:rsid w:val="00EE0041"/>
    <w:rsid w:val="00EE2006"/>
    <w:rsid w:val="00EE29B9"/>
    <w:rsid w:val="00EF0838"/>
    <w:rsid w:val="00F004EE"/>
    <w:rsid w:val="00F42E23"/>
    <w:rsid w:val="00F45EEE"/>
    <w:rsid w:val="00F51E9C"/>
    <w:rsid w:val="00F523CA"/>
    <w:rsid w:val="00F73E32"/>
    <w:rsid w:val="00F74A9D"/>
    <w:rsid w:val="00F91204"/>
    <w:rsid w:val="00FA073E"/>
    <w:rsid w:val="00FA626D"/>
    <w:rsid w:val="00FE1857"/>
    <w:rsid w:val="00FF386F"/>
    <w:rsid w:val="00FF6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EFFAC"/>
  <w15:docId w15:val="{C79CF843-6D39-4B45-A59C-37FFC2E0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6">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uiPriority="0"/>
    <w:lsdException w:name="footnote reference" w:locked="0" w:uiPriority="0"/>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Emphasis" w:uiPriority="20" w:qFormat="1"/>
    <w:lsdException w:name="HTML Top of Form" w:locked="0" w:uiPriority="0"/>
    <w:lsdException w:name="HTML Bottom of Form" w:locked="0" w:uiPriority="0"/>
    <w:lsdException w:name="HTML Acronym" w:uiPriority="19"/>
    <w:lsdException w:name="HTML Address" w:uiPriority="19"/>
    <w:lsdException w:name="HTML Keyboard" w:semiHidden="1" w:unhideWhenUsed="1"/>
    <w:lsdException w:name="Normal Table" w:locked="0" w:semiHidden="1" w:uiPriority="0" w:unhideWhenUsed="1"/>
    <w:lsdException w:name="annotation subject" w:semiHidden="1" w:unhideWhenUsed="1"/>
    <w:lsdException w:name="No List" w:locked="0"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semiHidden="1" w:unhideWhenUsed="1"/>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Heading1">
    <w:name w:val="heading 1"/>
    <w:aliases w:val="Paper title"/>
    <w:next w:val="Subtitle"/>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Heading2">
    <w:name w:val="heading 2"/>
    <w:aliases w:val="1st level paper heading"/>
    <w:next w:val="BodyText"/>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Heading3">
    <w:name w:val="heading 3"/>
    <w:aliases w:val="2nd level paper heading"/>
    <w:next w:val="BodyText"/>
    <w:uiPriority w:val="4"/>
    <w:qFormat/>
    <w:rsid w:val="00897ED5"/>
    <w:pPr>
      <w:widowControl w:val="0"/>
      <w:numPr>
        <w:ilvl w:val="2"/>
        <w:numId w:val="12"/>
      </w:numPr>
      <w:spacing w:before="240" w:after="240" w:line="240" w:lineRule="exact"/>
      <w:outlineLvl w:val="2"/>
    </w:pPr>
    <w:rPr>
      <w:b/>
      <w:lang w:eastAsia="en-US"/>
    </w:rPr>
  </w:style>
  <w:style w:type="paragraph" w:styleId="Heading4">
    <w:name w:val="heading 4"/>
    <w:aliases w:val="3rd level paper heading"/>
    <w:basedOn w:val="Normal"/>
    <w:next w:val="BodyText"/>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Heading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47F33"/>
    <w:pPr>
      <w:spacing w:line="260" w:lineRule="atLeast"/>
      <w:ind w:firstLine="567"/>
      <w:contextualSpacing/>
      <w:jc w:val="both"/>
    </w:pPr>
    <w:rPr>
      <w:lang w:eastAsia="en-US"/>
    </w:rPr>
  </w:style>
  <w:style w:type="paragraph" w:styleId="BodyTextIndent">
    <w:name w:val="Body Text Indent"/>
    <w:basedOn w:val="BodyText"/>
    <w:uiPriority w:val="49"/>
    <w:locked/>
    <w:pPr>
      <w:ind w:left="1134" w:hanging="675"/>
    </w:pPr>
  </w:style>
  <w:style w:type="paragraph" w:customStyle="1" w:styleId="BodyTextMultiline">
    <w:name w:val="Body Text Multiline"/>
    <w:basedOn w:val="BodyText"/>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link w:val="FooterChar"/>
    <w:uiPriority w:val="99"/>
    <w:locked/>
    <w:pPr>
      <w:overflowPunct/>
      <w:autoSpaceDE/>
      <w:autoSpaceDN/>
      <w:adjustRightInd/>
      <w:textAlignment w:val="auto"/>
    </w:pPr>
    <w:rPr>
      <w:sz w:val="2"/>
      <w:lang w:val="en-US"/>
    </w:rPr>
  </w:style>
  <w:style w:type="paragraph" w:styleId="FootnoteText">
    <w:name w:val="footnote text"/>
    <w:link w:val="FootnoteTextChar"/>
    <w:semiHidden/>
    <w:locked/>
    <w:pPr>
      <w:tabs>
        <w:tab w:val="left" w:pos="459"/>
      </w:tabs>
      <w:spacing w:before="142"/>
      <w:ind w:left="459"/>
      <w:jc w:val="both"/>
    </w:pPr>
    <w:rPr>
      <w:sz w:val="18"/>
      <w:lang w:eastAsia="en-US"/>
    </w:rPr>
  </w:style>
  <w:style w:type="paragraph" w:styleId="Header">
    <w:name w:val="header"/>
    <w:next w:val="BodyText"/>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BodyText"/>
    <w:uiPriority w:val="6"/>
    <w:qFormat/>
    <w:rsid w:val="00717C6F"/>
    <w:pPr>
      <w:numPr>
        <w:numId w:val="20"/>
      </w:numPr>
      <w:ind w:left="709"/>
    </w:pPr>
  </w:style>
  <w:style w:type="paragraph" w:customStyle="1" w:styleId="ListNumbered">
    <w:name w:val="List Numbered"/>
    <w:basedOn w:val="BodyText"/>
    <w:uiPriority w:val="5"/>
    <w:qFormat/>
    <w:locked/>
    <w:rsid w:val="00717C6F"/>
    <w:pPr>
      <w:numPr>
        <w:numId w:val="22"/>
      </w:numPr>
    </w:pPr>
  </w:style>
  <w:style w:type="paragraph" w:styleId="Titl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FootnoteReference">
    <w:name w:val="footnote reference"/>
    <w:basedOn w:val="DefaultParagraphFont"/>
    <w:semiHidden/>
    <w:locked/>
    <w:rPr>
      <w:vertAlign w:val="superscript"/>
    </w:rPr>
  </w:style>
  <w:style w:type="paragraph" w:styleId="Subtitle">
    <w:name w:val="Subtitle"/>
    <w:next w:val="BodyText"/>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locked/>
    <w:pPr>
      <w:spacing w:line="280" w:lineRule="exact"/>
      <w:jc w:val="right"/>
    </w:pPr>
    <w:rPr>
      <w:rFonts w:ascii="Arial" w:hAnsi="Arial" w:cs="Arial"/>
      <w:b/>
      <w:bCs/>
      <w:caps/>
      <w:sz w:val="24"/>
    </w:rPr>
  </w:style>
  <w:style w:type="paragraph" w:customStyle="1" w:styleId="zyxClassification2">
    <w:name w:val="zyxClassification2"/>
    <w:basedOn w:val="Footer"/>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FooterChar">
    <w:name w:val="Footer Char"/>
    <w:basedOn w:val="DefaultParagraphFont"/>
    <w:link w:val="Footer"/>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DefaultParagraphFon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BodyTextChar">
    <w:name w:val="Body Text Char"/>
    <w:basedOn w:val="DefaultParagraphFont"/>
    <w:link w:val="BodyText"/>
    <w:rsid w:val="00647F33"/>
    <w:rPr>
      <w:lang w:eastAsia="en-US"/>
    </w:rPr>
  </w:style>
  <w:style w:type="character" w:customStyle="1" w:styleId="AuthornameandaffiliationChar">
    <w:name w:val="Author name and affiliation Char"/>
    <w:basedOn w:val="BodyTextChar"/>
    <w:link w:val="Authornameandaffiliation"/>
    <w:uiPriority w:val="49"/>
    <w:rsid w:val="00647F33"/>
    <w:rPr>
      <w:lang w:val="en-US" w:eastAsia="en-US"/>
    </w:rPr>
  </w:style>
  <w:style w:type="table" w:styleId="TableGrid">
    <w:name w:val="Table Grid"/>
    <w:basedOn w:val="TableNorma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BalloonText">
    <w:name w:val="Balloon Text"/>
    <w:basedOn w:val="Normal"/>
    <w:link w:val="BalloonTextChar"/>
    <w:uiPriority w:val="49"/>
    <w:locked/>
    <w:rsid w:val="005F00A0"/>
    <w:rPr>
      <w:rFonts w:ascii="Tahoma" w:hAnsi="Tahoma" w:cs="Tahoma"/>
      <w:sz w:val="16"/>
      <w:szCs w:val="16"/>
    </w:rPr>
  </w:style>
  <w:style w:type="character" w:customStyle="1" w:styleId="BalloonTextChar">
    <w:name w:val="Balloon Text Char"/>
    <w:basedOn w:val="DefaultParagraphFont"/>
    <w:link w:val="BalloonText"/>
    <w:uiPriority w:val="49"/>
    <w:rsid w:val="005F00A0"/>
    <w:rPr>
      <w:rFonts w:ascii="Tahoma" w:hAnsi="Tahoma" w:cs="Tahoma"/>
      <w:sz w:val="16"/>
      <w:szCs w:val="16"/>
      <w:lang w:eastAsia="en-US"/>
    </w:rPr>
  </w:style>
  <w:style w:type="paragraph" w:customStyle="1" w:styleId="Figurecaption">
    <w:name w:val="Figure caption"/>
    <w:basedOn w:val="BodyText"/>
    <w:link w:val="FigurecaptionChar"/>
    <w:uiPriority w:val="49"/>
    <w:qFormat/>
    <w:locked/>
    <w:rsid w:val="00717C6F"/>
    <w:pPr>
      <w:jc w:val="center"/>
    </w:pPr>
    <w:rPr>
      <w:i/>
      <w:sz w:val="18"/>
    </w:rPr>
  </w:style>
  <w:style w:type="paragraph" w:customStyle="1" w:styleId="Otherunnumberedheadings">
    <w:name w:val="Other unnumbered headings"/>
    <w:next w:val="BodyText"/>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BodyTextChar"/>
    <w:link w:val="Figurecaption"/>
    <w:uiPriority w:val="49"/>
    <w:rsid w:val="00717C6F"/>
    <w:rPr>
      <w:i/>
      <w:sz w:val="18"/>
      <w:lang w:eastAsia="en-US"/>
    </w:rPr>
  </w:style>
  <w:style w:type="paragraph" w:customStyle="1" w:styleId="Referencelist">
    <w:name w:val="Reference list"/>
    <w:basedOn w:val="BodyText"/>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BodyText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BodyTextChar"/>
    <w:link w:val="Referencelist"/>
    <w:uiPriority w:val="49"/>
    <w:rsid w:val="009E0D5B"/>
    <w:rPr>
      <w:sz w:val="18"/>
      <w:szCs w:val="18"/>
      <w:lang w:eastAsia="en-US"/>
    </w:rPr>
  </w:style>
  <w:style w:type="paragraph" w:customStyle="1" w:styleId="Tabletext">
    <w:name w:val="Table text"/>
    <w:basedOn w:val="BodyText"/>
    <w:link w:val="TabletextChar"/>
    <w:uiPriority w:val="49"/>
    <w:qFormat/>
    <w:rsid w:val="00883848"/>
    <w:pPr>
      <w:ind w:firstLine="0"/>
    </w:pPr>
  </w:style>
  <w:style w:type="character" w:customStyle="1" w:styleId="TabletextChar">
    <w:name w:val="Table text Char"/>
    <w:basedOn w:val="BodyTextChar"/>
    <w:link w:val="Tabletext"/>
    <w:uiPriority w:val="49"/>
    <w:rsid w:val="00883848"/>
    <w:rPr>
      <w:lang w:eastAsia="en-US"/>
    </w:rPr>
  </w:style>
  <w:style w:type="character" w:styleId="CommentReference">
    <w:name w:val="annotation reference"/>
    <w:basedOn w:val="DefaultParagraphFont"/>
    <w:uiPriority w:val="49"/>
    <w:locked/>
    <w:rsid w:val="00901FD6"/>
    <w:rPr>
      <w:sz w:val="16"/>
      <w:szCs w:val="16"/>
    </w:rPr>
  </w:style>
  <w:style w:type="paragraph" w:styleId="CommentText">
    <w:name w:val="annotation text"/>
    <w:basedOn w:val="Normal"/>
    <w:link w:val="CommentTextChar"/>
    <w:uiPriority w:val="49"/>
    <w:locked/>
    <w:rsid w:val="00901FD6"/>
    <w:rPr>
      <w:sz w:val="20"/>
    </w:rPr>
  </w:style>
  <w:style w:type="character" w:customStyle="1" w:styleId="CommentTextChar">
    <w:name w:val="Comment Text Char"/>
    <w:basedOn w:val="DefaultParagraphFont"/>
    <w:link w:val="CommentText"/>
    <w:uiPriority w:val="49"/>
    <w:rsid w:val="00901FD6"/>
    <w:rPr>
      <w:lang w:eastAsia="en-US"/>
    </w:rPr>
  </w:style>
  <w:style w:type="paragraph" w:styleId="CommentSubject">
    <w:name w:val="annotation subject"/>
    <w:basedOn w:val="CommentText"/>
    <w:next w:val="CommentText"/>
    <w:link w:val="CommentSubjectChar"/>
    <w:uiPriority w:val="49"/>
    <w:locked/>
    <w:rsid w:val="00901FD6"/>
    <w:rPr>
      <w:b/>
      <w:bCs/>
    </w:rPr>
  </w:style>
  <w:style w:type="character" w:customStyle="1" w:styleId="CommentSubjectChar">
    <w:name w:val="Comment Subject Char"/>
    <w:basedOn w:val="CommentTextChar"/>
    <w:link w:val="CommentSubject"/>
    <w:uiPriority w:val="49"/>
    <w:rsid w:val="00901FD6"/>
    <w:rPr>
      <w:b/>
      <w:bCs/>
      <w:lang w:eastAsia="en-US"/>
    </w:rPr>
  </w:style>
  <w:style w:type="character" w:customStyle="1" w:styleId="FootnoteTextChar">
    <w:name w:val="Footnote Text Char"/>
    <w:basedOn w:val="DefaultParagraphFont"/>
    <w:link w:val="FootnoteText"/>
    <w:semiHidden/>
    <w:rsid w:val="002033DC"/>
    <w:rPr>
      <w:sz w:val="18"/>
      <w:lang w:eastAsia="en-US"/>
    </w:rPr>
  </w:style>
  <w:style w:type="character" w:styleId="Hyperlink">
    <w:name w:val="Hyperlink"/>
    <w:basedOn w:val="DefaultParagraphFont"/>
    <w:uiPriority w:val="49"/>
    <w:locked/>
    <w:rsid w:val="0039463F"/>
    <w:rPr>
      <w:color w:val="0000FF" w:themeColor="hyperlink"/>
      <w:u w:val="single"/>
    </w:rPr>
  </w:style>
  <w:style w:type="character" w:customStyle="1" w:styleId="UnresolvedMention1">
    <w:name w:val="Unresolved Mention1"/>
    <w:basedOn w:val="DefaultParagraphFont"/>
    <w:uiPriority w:val="99"/>
    <w:semiHidden/>
    <w:unhideWhenUsed/>
    <w:rsid w:val="0039463F"/>
    <w:rPr>
      <w:color w:val="605E5C"/>
      <w:shd w:val="clear" w:color="auto" w:fill="E1DFDD"/>
    </w:rPr>
  </w:style>
  <w:style w:type="paragraph" w:styleId="Revision">
    <w:name w:val="Revision"/>
    <w:hidden/>
    <w:uiPriority w:val="99"/>
    <w:semiHidden/>
    <w:rsid w:val="003D074A"/>
    <w:rPr>
      <w:sz w:val="22"/>
      <w:lang w:eastAsia="en-US"/>
    </w:rPr>
  </w:style>
  <w:style w:type="character" w:styleId="Emphasis">
    <w:name w:val="Emphasis"/>
    <w:basedOn w:val="DefaultParagraphFont"/>
    <w:uiPriority w:val="20"/>
    <w:qFormat/>
    <w:locked/>
    <w:rsid w:val="003B5A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932342">
      <w:bodyDiv w:val="1"/>
      <w:marLeft w:val="0"/>
      <w:marRight w:val="0"/>
      <w:marTop w:val="0"/>
      <w:marBottom w:val="0"/>
      <w:divBdr>
        <w:top w:val="none" w:sz="0" w:space="0" w:color="auto"/>
        <w:left w:val="none" w:sz="0" w:space="0" w:color="auto"/>
        <w:bottom w:val="none" w:sz="0" w:space="0" w:color="auto"/>
        <w:right w:val="none" w:sz="0" w:space="0" w:color="auto"/>
      </w:divBdr>
    </w:div>
    <w:div w:id="1509556850">
      <w:bodyDiv w:val="1"/>
      <w:marLeft w:val="0"/>
      <w:marRight w:val="0"/>
      <w:marTop w:val="0"/>
      <w:marBottom w:val="0"/>
      <w:divBdr>
        <w:top w:val="none" w:sz="0" w:space="0" w:color="auto"/>
        <w:left w:val="none" w:sz="0" w:space="0" w:color="auto"/>
        <w:bottom w:val="none" w:sz="0" w:space="0" w:color="auto"/>
        <w:right w:val="none" w:sz="0" w:space="0" w:color="auto"/>
      </w:divBdr>
      <w:divsChild>
        <w:div w:id="482814894">
          <w:marLeft w:val="0"/>
          <w:marRight w:val="0"/>
          <w:marTop w:val="0"/>
          <w:marBottom w:val="0"/>
          <w:divBdr>
            <w:top w:val="none" w:sz="0" w:space="0" w:color="auto"/>
            <w:left w:val="none" w:sz="0" w:space="0" w:color="auto"/>
            <w:bottom w:val="none" w:sz="0" w:space="0" w:color="auto"/>
            <w:right w:val="none" w:sz="0" w:space="0" w:color="auto"/>
          </w:divBdr>
          <w:divsChild>
            <w:div w:id="571240360">
              <w:marLeft w:val="0"/>
              <w:marRight w:val="0"/>
              <w:marTop w:val="0"/>
              <w:marBottom w:val="0"/>
              <w:divBdr>
                <w:top w:val="none" w:sz="0" w:space="0" w:color="auto"/>
                <w:left w:val="none" w:sz="0" w:space="0" w:color="auto"/>
                <w:bottom w:val="none" w:sz="0" w:space="0" w:color="auto"/>
                <w:right w:val="none" w:sz="0" w:space="0" w:color="auto"/>
              </w:divBdr>
              <w:divsChild>
                <w:div w:id="1329166018">
                  <w:marLeft w:val="0"/>
                  <w:marRight w:val="0"/>
                  <w:marTop w:val="0"/>
                  <w:marBottom w:val="0"/>
                  <w:divBdr>
                    <w:top w:val="none" w:sz="0" w:space="0" w:color="auto"/>
                    <w:left w:val="none" w:sz="0" w:space="0" w:color="auto"/>
                    <w:bottom w:val="none" w:sz="0" w:space="0" w:color="auto"/>
                    <w:right w:val="none" w:sz="0" w:space="0" w:color="auto"/>
                  </w:divBdr>
                  <w:divsChild>
                    <w:div w:id="148014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nrc.gov/reading-rm/basic-ref/glossary/risk-significant.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4D22FDCD-C5CF-4B6D-8002-8F5F40791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(r01).dotx</Template>
  <TotalTime>12</TotalTime>
  <Pages>5</Pages>
  <Words>2750</Words>
  <Characters>15681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18395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Faucett, Chris Anthony</cp:lastModifiedBy>
  <cp:revision>10</cp:revision>
  <cp:lastPrinted>2024-03-19T13:52:00Z</cp:lastPrinted>
  <dcterms:created xsi:type="dcterms:W3CDTF">2024-06-15T04:53:00Z</dcterms:created>
  <dcterms:modified xsi:type="dcterms:W3CDTF">2024-06-15T05:05:00Z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ies>
</file>