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8D74A" w14:textId="1BA20675" w:rsidR="00874132" w:rsidRDefault="00874132" w:rsidP="00BC5B0D">
      <w:pPr>
        <w:pStyle w:val="1"/>
        <w:widowControl w:val="0"/>
        <w:spacing w:line="240" w:lineRule="auto"/>
        <w:rPr>
          <w:szCs w:val="24"/>
        </w:rPr>
      </w:pPr>
      <w:r w:rsidRPr="00882904">
        <w:rPr>
          <w:szCs w:val="24"/>
        </w:rPr>
        <w:t>PREPARATION OF REGULATORY FRAMEW</w:t>
      </w:r>
      <w:r>
        <w:rPr>
          <w:szCs w:val="24"/>
        </w:rPr>
        <w:t>ORK</w:t>
      </w:r>
    </w:p>
    <w:p w14:paraId="45A501F0" w14:textId="6C062290" w:rsidR="00E20E70" w:rsidRPr="00EE29B9" w:rsidRDefault="00874132" w:rsidP="00773840">
      <w:pPr>
        <w:pStyle w:val="1"/>
        <w:widowControl w:val="0"/>
        <w:spacing w:after="240"/>
      </w:pPr>
      <w:r>
        <w:rPr>
          <w:szCs w:val="24"/>
        </w:rPr>
        <w:t xml:space="preserve">FOR </w:t>
      </w:r>
      <w:r w:rsidRPr="00882904">
        <w:rPr>
          <w:szCs w:val="24"/>
        </w:rPr>
        <w:t>SMR DEPLOYMENT IN UKRAINE</w:t>
      </w:r>
    </w:p>
    <w:p w14:paraId="4D1B799F" w14:textId="77777777" w:rsidR="00802381" w:rsidRDefault="00802381" w:rsidP="00F017A3">
      <w:pPr>
        <w:pStyle w:val="Authornameandaffiliation"/>
        <w:widowControl w:val="0"/>
      </w:pPr>
    </w:p>
    <w:p w14:paraId="32159D0F" w14:textId="1EE9BACA" w:rsidR="003B5E0E" w:rsidRDefault="00874132" w:rsidP="00F017A3">
      <w:pPr>
        <w:pStyle w:val="Authornameandaffiliation"/>
        <w:widowControl w:val="0"/>
      </w:pPr>
      <w:r w:rsidRPr="00874132">
        <w:t xml:space="preserve">O. </w:t>
      </w:r>
      <w:r>
        <w:t>DYBACH</w:t>
      </w:r>
    </w:p>
    <w:p w14:paraId="02D3D85B" w14:textId="305C78CB" w:rsidR="00874132" w:rsidRDefault="00874132" w:rsidP="00F017A3">
      <w:pPr>
        <w:pStyle w:val="Authornameandaffiliation"/>
        <w:widowControl w:val="0"/>
      </w:pPr>
      <w:r w:rsidRPr="00874132">
        <w:t>State Scientific and Technical Center for Nuclear and Radiation Safety</w:t>
      </w:r>
    </w:p>
    <w:p w14:paraId="14684DE2" w14:textId="0DC9C1DB" w:rsidR="00FF386F" w:rsidRPr="00A65D9D" w:rsidRDefault="00874132" w:rsidP="00F017A3">
      <w:pPr>
        <w:pStyle w:val="Authornameandaffiliation"/>
        <w:widowControl w:val="0"/>
      </w:pPr>
      <w:r w:rsidRPr="00A65D9D">
        <w:t>Kyiv, Ukraine</w:t>
      </w:r>
    </w:p>
    <w:p w14:paraId="0080899C" w14:textId="621AA413" w:rsidR="00FF386F" w:rsidRDefault="00874132" w:rsidP="00F017A3">
      <w:pPr>
        <w:pStyle w:val="Authornameandaffiliation"/>
        <w:widowControl w:val="0"/>
        <w:rPr>
          <w:rStyle w:val="af3"/>
        </w:rPr>
      </w:pPr>
      <w:r w:rsidRPr="00A65D9D">
        <w:t xml:space="preserve">Email: </w:t>
      </w:r>
      <w:hyperlink r:id="rId10" w:history="1">
        <w:r w:rsidRPr="00A65D9D">
          <w:rPr>
            <w:rStyle w:val="af3"/>
          </w:rPr>
          <w:t>om_dybach@sstc.ua</w:t>
        </w:r>
      </w:hyperlink>
    </w:p>
    <w:p w14:paraId="5C59397F" w14:textId="77777777" w:rsidR="005B61BA" w:rsidRDefault="005B61BA" w:rsidP="005B61BA">
      <w:pPr>
        <w:pStyle w:val="Authornameandaffiliation"/>
      </w:pPr>
    </w:p>
    <w:p w14:paraId="65FFAB48" w14:textId="77777777" w:rsidR="005B61BA" w:rsidRPr="0028741E" w:rsidRDefault="005B61BA" w:rsidP="005B61BA">
      <w:pPr>
        <w:pStyle w:val="Authornameandaffiliation"/>
      </w:pPr>
      <w:r w:rsidRPr="0028741E">
        <w:t>A. SHEPITCHAK</w:t>
      </w:r>
    </w:p>
    <w:p w14:paraId="1C5AC373" w14:textId="77777777" w:rsidR="005B61BA" w:rsidRPr="0028741E" w:rsidRDefault="005B61BA" w:rsidP="005B61BA">
      <w:pPr>
        <w:pStyle w:val="Authornameandaffiliation"/>
      </w:pPr>
      <w:r w:rsidRPr="0028741E">
        <w:t>State Nuclear Regulatory Inspectorate of Ukraine (SNRIU)</w:t>
      </w:r>
    </w:p>
    <w:p w14:paraId="6108C188" w14:textId="77777777" w:rsidR="005B61BA" w:rsidRPr="0028741E" w:rsidRDefault="005B61BA" w:rsidP="005B61BA">
      <w:pPr>
        <w:pStyle w:val="Authornameandaffiliation"/>
      </w:pPr>
      <w:r w:rsidRPr="0028741E">
        <w:t>Kyiv, Ukraine</w:t>
      </w:r>
    </w:p>
    <w:p w14:paraId="2BF8BDCE" w14:textId="3976F47A" w:rsidR="005B61BA" w:rsidRPr="0028741E" w:rsidRDefault="005B61BA" w:rsidP="005B61BA">
      <w:pPr>
        <w:pStyle w:val="Authornameandaffiliation"/>
        <w:widowControl w:val="0"/>
        <w:rPr>
          <w:rStyle w:val="af3"/>
        </w:rPr>
      </w:pPr>
      <w:r w:rsidRPr="0028741E">
        <w:t xml:space="preserve">Email: </w:t>
      </w:r>
      <w:hyperlink r:id="rId11" w:history="1">
        <w:r w:rsidRPr="0028741E">
          <w:rPr>
            <w:rStyle w:val="af3"/>
          </w:rPr>
          <w:t>av.shepitchak@snriu.gov.ua</w:t>
        </w:r>
      </w:hyperlink>
      <w:r w:rsidRPr="0028741E">
        <w:t xml:space="preserve"> </w:t>
      </w:r>
    </w:p>
    <w:p w14:paraId="5E2BDA1F" w14:textId="77777777" w:rsidR="00FF386F" w:rsidRPr="0028741E" w:rsidRDefault="00FF386F" w:rsidP="00F017A3">
      <w:pPr>
        <w:pStyle w:val="Authornameandaffiliation"/>
        <w:widowControl w:val="0"/>
      </w:pPr>
    </w:p>
    <w:p w14:paraId="3C142E12" w14:textId="4AC4E0CD" w:rsidR="00874132" w:rsidRPr="0028741E" w:rsidRDefault="00874132" w:rsidP="00F017A3">
      <w:pPr>
        <w:pStyle w:val="Authornameandaffiliation"/>
        <w:widowControl w:val="0"/>
      </w:pPr>
      <w:r w:rsidRPr="0028741E">
        <w:rPr>
          <w:lang w:val="uk-UA"/>
        </w:rPr>
        <w:t>І</w:t>
      </w:r>
      <w:r w:rsidRPr="0028741E">
        <w:t>. SHEVCHENKO</w:t>
      </w:r>
    </w:p>
    <w:p w14:paraId="6D38345D" w14:textId="6692D32B" w:rsidR="00874132" w:rsidRPr="0028741E" w:rsidRDefault="00874132" w:rsidP="00F017A3">
      <w:pPr>
        <w:pStyle w:val="Authornameandaffiliation"/>
        <w:widowControl w:val="0"/>
      </w:pPr>
      <w:r w:rsidRPr="0028741E">
        <w:t>State Scientific and Technical Center for Nuclear and Radiation Safety</w:t>
      </w:r>
    </w:p>
    <w:p w14:paraId="2C7F19CB" w14:textId="57757C3C" w:rsidR="00FF386F" w:rsidRPr="0028741E" w:rsidRDefault="00874132" w:rsidP="00B6224B">
      <w:pPr>
        <w:pStyle w:val="Authornameandaffiliation"/>
        <w:widowControl w:val="0"/>
      </w:pPr>
      <w:r w:rsidRPr="0028741E">
        <w:t>Kyiv, Ukraine</w:t>
      </w:r>
    </w:p>
    <w:p w14:paraId="0A3A5466" w14:textId="439A0807" w:rsidR="00874132" w:rsidRPr="0028741E" w:rsidRDefault="00063715" w:rsidP="00F017A3">
      <w:pPr>
        <w:pStyle w:val="Authornameandaffiliation"/>
        <w:widowControl w:val="0"/>
      </w:pPr>
      <w:r w:rsidRPr="0028741E">
        <w:t xml:space="preserve">Email: </w:t>
      </w:r>
      <w:hyperlink r:id="rId12" w:history="1">
        <w:r w:rsidR="006A2CAB" w:rsidRPr="0028741E">
          <w:rPr>
            <w:rStyle w:val="af3"/>
          </w:rPr>
          <w:t>ia_shevchenko@sstc.ua</w:t>
        </w:r>
      </w:hyperlink>
    </w:p>
    <w:p w14:paraId="2C28238B" w14:textId="77777777" w:rsidR="00063715" w:rsidRPr="0028741E" w:rsidRDefault="00063715" w:rsidP="00F017A3">
      <w:pPr>
        <w:pStyle w:val="Authornameandaffiliation"/>
        <w:widowControl w:val="0"/>
      </w:pPr>
    </w:p>
    <w:p w14:paraId="21B5D170" w14:textId="6DF00870" w:rsidR="00874132" w:rsidRPr="0028741E" w:rsidRDefault="00874132" w:rsidP="00F017A3">
      <w:pPr>
        <w:pStyle w:val="Authornameandaffiliation"/>
        <w:widowControl w:val="0"/>
      </w:pPr>
      <w:r w:rsidRPr="0028741E">
        <w:t>O. PECHERYTSIA</w:t>
      </w:r>
    </w:p>
    <w:p w14:paraId="5730876F" w14:textId="29BC0724" w:rsidR="00874132" w:rsidRPr="0028741E" w:rsidRDefault="00874132" w:rsidP="00F017A3">
      <w:pPr>
        <w:pStyle w:val="Authornameandaffiliation"/>
        <w:widowControl w:val="0"/>
      </w:pPr>
      <w:r w:rsidRPr="0028741E">
        <w:t>State Scientific and Technical Center for Nuclear and Radiation Safety</w:t>
      </w:r>
    </w:p>
    <w:p w14:paraId="482F0E03" w14:textId="54AD8CF0" w:rsidR="008D2514" w:rsidRPr="0028741E" w:rsidRDefault="00874132" w:rsidP="00F14E39">
      <w:pPr>
        <w:pStyle w:val="Authornameandaffiliation"/>
        <w:widowControl w:val="0"/>
      </w:pPr>
      <w:r w:rsidRPr="0028741E">
        <w:t>Kyiv, Ukrain</w:t>
      </w:r>
      <w:r w:rsidR="00F14E39" w:rsidRPr="0028741E">
        <w:t>e</w:t>
      </w:r>
    </w:p>
    <w:p w14:paraId="562F6EDC" w14:textId="099A20C1" w:rsidR="00874132" w:rsidRPr="0028741E" w:rsidRDefault="00063715" w:rsidP="00F017A3">
      <w:pPr>
        <w:pStyle w:val="Authornameandaffiliation"/>
        <w:widowControl w:val="0"/>
      </w:pPr>
      <w:r w:rsidRPr="0028741E">
        <w:t xml:space="preserve">Email: </w:t>
      </w:r>
      <w:hyperlink r:id="rId13" w:history="1">
        <w:r w:rsidR="006A2CAB" w:rsidRPr="0028741E">
          <w:rPr>
            <w:rStyle w:val="af3"/>
          </w:rPr>
          <w:t>ov_pecherytsia@sstc.ua</w:t>
        </w:r>
      </w:hyperlink>
    </w:p>
    <w:p w14:paraId="7D059CE0" w14:textId="77777777" w:rsidR="00063715" w:rsidRPr="0028741E" w:rsidRDefault="00063715" w:rsidP="00F017A3">
      <w:pPr>
        <w:pStyle w:val="Authornameandaffiliation"/>
        <w:widowControl w:val="0"/>
      </w:pPr>
    </w:p>
    <w:p w14:paraId="19FDCAC1" w14:textId="087E56F3" w:rsidR="00874132" w:rsidRPr="0028741E" w:rsidRDefault="00874132" w:rsidP="00F017A3">
      <w:pPr>
        <w:pStyle w:val="Authornameandaffiliation"/>
        <w:widowControl w:val="0"/>
      </w:pPr>
      <w:r w:rsidRPr="0028741E">
        <w:t>O. ZHABIN</w:t>
      </w:r>
    </w:p>
    <w:p w14:paraId="385800C4" w14:textId="324D3321" w:rsidR="00874132" w:rsidRPr="0028741E" w:rsidRDefault="00874132" w:rsidP="00F017A3">
      <w:pPr>
        <w:pStyle w:val="Authornameandaffiliation"/>
        <w:widowControl w:val="0"/>
      </w:pPr>
      <w:r w:rsidRPr="0028741E">
        <w:t>State Scientific and Technical Center f</w:t>
      </w:r>
      <w:r w:rsidR="008D2514" w:rsidRPr="0028741E">
        <w:t>or Nuclear and Radiation Safety</w:t>
      </w:r>
    </w:p>
    <w:p w14:paraId="01E36DE5" w14:textId="033B8A2B" w:rsidR="00874132" w:rsidRPr="0028741E" w:rsidRDefault="00874132" w:rsidP="00F14E39">
      <w:pPr>
        <w:pStyle w:val="Authornameandaffiliation"/>
        <w:widowControl w:val="0"/>
      </w:pPr>
      <w:r w:rsidRPr="0028741E">
        <w:t>Kyiv, Ukraine</w:t>
      </w:r>
    </w:p>
    <w:p w14:paraId="2AD99DD5" w14:textId="73FC3927" w:rsidR="008D2514" w:rsidRPr="0028741E" w:rsidRDefault="00063715" w:rsidP="00F017A3">
      <w:pPr>
        <w:pStyle w:val="Authornameandaffiliation"/>
        <w:widowControl w:val="0"/>
        <w:rPr>
          <w:bCs/>
        </w:rPr>
      </w:pPr>
      <w:r w:rsidRPr="0028741E">
        <w:t xml:space="preserve">Email: </w:t>
      </w:r>
      <w:hyperlink r:id="rId14" w:history="1">
        <w:r w:rsidR="004A3920" w:rsidRPr="0028741E">
          <w:rPr>
            <w:rStyle w:val="af3"/>
          </w:rPr>
          <w:t>oi_zhabin@sstc.ua</w:t>
        </w:r>
      </w:hyperlink>
    </w:p>
    <w:p w14:paraId="58504DCB" w14:textId="77777777" w:rsidR="005B61BA" w:rsidRPr="0028741E" w:rsidRDefault="005B61BA" w:rsidP="005B61BA">
      <w:pPr>
        <w:pStyle w:val="Authornameandaffiliation"/>
      </w:pPr>
    </w:p>
    <w:p w14:paraId="0D334A1D" w14:textId="09568C48" w:rsidR="005B61BA" w:rsidRPr="0028741E" w:rsidRDefault="005B61BA" w:rsidP="005B61BA">
      <w:pPr>
        <w:pStyle w:val="Authornameandaffiliation"/>
      </w:pPr>
      <w:r w:rsidRPr="0028741E">
        <w:t>O. HORODNICHA</w:t>
      </w:r>
    </w:p>
    <w:p w14:paraId="03AEE912" w14:textId="77777777" w:rsidR="005B61BA" w:rsidRPr="0028741E" w:rsidRDefault="005B61BA" w:rsidP="005B61BA">
      <w:pPr>
        <w:pStyle w:val="Authornameandaffiliation"/>
      </w:pPr>
      <w:r w:rsidRPr="0028741E">
        <w:t>State Nuclear Regulatory Inspectorate of Ukraine (SNRIU)</w:t>
      </w:r>
    </w:p>
    <w:p w14:paraId="6830034C" w14:textId="77777777" w:rsidR="005B61BA" w:rsidRPr="0028741E" w:rsidRDefault="005B61BA" w:rsidP="005B61BA">
      <w:pPr>
        <w:pStyle w:val="Authornameandaffiliation"/>
      </w:pPr>
      <w:r w:rsidRPr="0028741E">
        <w:t>Kyiv, Ukraine</w:t>
      </w:r>
    </w:p>
    <w:p w14:paraId="14FB5773" w14:textId="1E1511E5" w:rsidR="005B61BA" w:rsidRDefault="005B61BA" w:rsidP="005B61BA">
      <w:pPr>
        <w:pStyle w:val="Authornameandaffiliation"/>
      </w:pPr>
      <w:r w:rsidRPr="0028741E">
        <w:t xml:space="preserve">Email: </w:t>
      </w:r>
      <w:hyperlink r:id="rId15" w:history="1">
        <w:r w:rsidRPr="0028741E">
          <w:rPr>
            <w:rStyle w:val="af3"/>
          </w:rPr>
          <w:t>os.horodnicha@snriu.gov.ua</w:t>
        </w:r>
      </w:hyperlink>
      <w:r>
        <w:t xml:space="preserve"> </w:t>
      </w:r>
    </w:p>
    <w:p w14:paraId="34829BE1" w14:textId="77777777" w:rsidR="00063715" w:rsidRPr="00A65D9D" w:rsidRDefault="00063715" w:rsidP="00F017A3">
      <w:pPr>
        <w:pStyle w:val="Authornameandaffiliation"/>
        <w:widowControl w:val="0"/>
        <w:rPr>
          <w:bCs/>
        </w:rPr>
      </w:pPr>
    </w:p>
    <w:p w14:paraId="230D4575" w14:textId="00ADE93E" w:rsidR="00647F33" w:rsidRPr="00647F33" w:rsidRDefault="00647F33" w:rsidP="000318FF">
      <w:pPr>
        <w:pStyle w:val="Authornameandaffiliation"/>
        <w:widowControl w:val="0"/>
        <w:spacing w:line="260" w:lineRule="atLeast"/>
        <w:rPr>
          <w:b/>
        </w:rPr>
      </w:pPr>
      <w:r w:rsidRPr="00647F33">
        <w:rPr>
          <w:b/>
        </w:rPr>
        <w:t>Abstract</w:t>
      </w:r>
    </w:p>
    <w:p w14:paraId="4F2E62A2" w14:textId="77777777" w:rsidR="00647F33" w:rsidRDefault="00647F33" w:rsidP="00F017A3">
      <w:pPr>
        <w:pStyle w:val="Authornameandaffiliation"/>
        <w:widowControl w:val="0"/>
      </w:pPr>
    </w:p>
    <w:p w14:paraId="2387FC15" w14:textId="4B923977" w:rsidR="00041164" w:rsidRDefault="00041164" w:rsidP="00F017A3">
      <w:pPr>
        <w:pStyle w:val="Abstracttext"/>
        <w:widowControl w:val="0"/>
        <w:jc w:val="both"/>
      </w:pPr>
      <w:r>
        <w:t>Small modular reactors are widely considered as an</w:t>
      </w:r>
      <w:r w:rsidRPr="00734E86">
        <w:t xml:space="preserve"> </w:t>
      </w:r>
      <w:r>
        <w:t xml:space="preserve">essential </w:t>
      </w:r>
      <w:r w:rsidRPr="008A3D49">
        <w:t>part</w:t>
      </w:r>
      <w:r>
        <w:t xml:space="preserve"> of an energy mix portfolio </w:t>
      </w:r>
      <w:r w:rsidRPr="008A3D49">
        <w:t xml:space="preserve">to reach the </w:t>
      </w:r>
      <w:r>
        <w:t>climate goals</w:t>
      </w:r>
      <w:r w:rsidRPr="008A3D49">
        <w:t>.</w:t>
      </w:r>
      <w:r w:rsidR="004F79BF">
        <w:t xml:space="preserve"> </w:t>
      </w:r>
      <w:r w:rsidRPr="008A3D49">
        <w:t xml:space="preserve">In addition to their </w:t>
      </w:r>
      <w:r>
        <w:t xml:space="preserve">announced </w:t>
      </w:r>
      <w:r w:rsidRPr="008A3D49">
        <w:t>ability to generate clean</w:t>
      </w:r>
      <w:r>
        <w:t>, affordable</w:t>
      </w:r>
      <w:r w:rsidRPr="008A3D49">
        <w:t xml:space="preserve"> and reliable power, </w:t>
      </w:r>
      <w:r>
        <w:t xml:space="preserve">Ukraine looks at SMRs also for decentralization the </w:t>
      </w:r>
      <w:r w:rsidRPr="00DA7A4A">
        <w:t>power system and to reduce its vulnerability to external impact</w:t>
      </w:r>
      <w:r>
        <w:t>s</w:t>
      </w:r>
      <w:r w:rsidRPr="00DA7A4A">
        <w:t>.</w:t>
      </w:r>
      <w:r>
        <w:t xml:space="preserve"> International experience shows the benefits of </w:t>
      </w:r>
      <w:r w:rsidR="00E81F02">
        <w:t>early engagement of the regulatory body into assessment of SMR design</w:t>
      </w:r>
      <w:r w:rsidR="00272CF6">
        <w:t>s</w:t>
      </w:r>
      <w:r w:rsidR="00E81F02">
        <w:t xml:space="preserve"> </w:t>
      </w:r>
      <w:r>
        <w:t>that could take different forms (design certification, generic design assessment, pre-licensing assessment, etc.) and the necessity for the regulator to advance prepare the framework for further regulating of new technologies. The Ukrainian national regulator SNRIU with assistance of its technical support organization SSTC NRS has been implementing a set of measures to prepare the national regulatory framework for SMR deployment. The specific guidance “</w:t>
      </w:r>
      <w:r w:rsidRPr="003C0F48">
        <w:t>Provisions for Pre-Licensing Revi</w:t>
      </w:r>
      <w:r>
        <w:t>ew of Nuclear Facility’s Design” was issued</w:t>
      </w:r>
      <w:r w:rsidR="00F00E34">
        <w:t xml:space="preserve"> in 2023 </w:t>
      </w:r>
      <w:r>
        <w:t xml:space="preserve">to outline a technical frame for </w:t>
      </w:r>
      <w:r w:rsidR="00F00E34">
        <w:t xml:space="preserve">the </w:t>
      </w:r>
      <w:r>
        <w:t>pre-licensing review</w:t>
      </w:r>
      <w:r w:rsidR="00E81F02" w:rsidRPr="00E81F02">
        <w:t xml:space="preserve"> </w:t>
      </w:r>
      <w:r w:rsidR="00E81F02">
        <w:t>in Ukraine</w:t>
      </w:r>
      <w:r>
        <w:t>. The paper presents the overview of the guidance on p</w:t>
      </w:r>
      <w:r w:rsidRPr="003C0F48">
        <w:t>re-</w:t>
      </w:r>
      <w:r>
        <w:t>l</w:t>
      </w:r>
      <w:r w:rsidRPr="003C0F48">
        <w:t>icensing</w:t>
      </w:r>
      <w:r w:rsidR="00957E19">
        <w:t xml:space="preserve"> review and </w:t>
      </w:r>
      <w:r w:rsidR="00072732">
        <w:t xml:space="preserve">first </w:t>
      </w:r>
      <w:r>
        <w:t>experience in its application.</w:t>
      </w:r>
    </w:p>
    <w:p w14:paraId="03C6D75B" w14:textId="77777777" w:rsidR="00647F33" w:rsidRDefault="00F523CA" w:rsidP="00F017A3">
      <w:pPr>
        <w:pStyle w:val="2"/>
        <w:numPr>
          <w:ilvl w:val="1"/>
          <w:numId w:val="10"/>
        </w:numPr>
      </w:pPr>
      <w:r>
        <w:t>INTRODUCTION</w:t>
      </w:r>
    </w:p>
    <w:p w14:paraId="1354FF9F" w14:textId="79C59DC7" w:rsidR="009A43FF" w:rsidRDefault="009A43FF" w:rsidP="003B77FE">
      <w:pPr>
        <w:pStyle w:val="a3"/>
        <w:widowControl w:val="0"/>
      </w:pPr>
      <w:r w:rsidRPr="009A43FF">
        <w:t>The Energy Strategy of Ukraine until 2050 sets ambitious targets for increasing of nuclear and renewable power generation capacity</w:t>
      </w:r>
      <w:r>
        <w:t xml:space="preserve"> </w:t>
      </w:r>
      <w:r w:rsidRPr="009A43FF">
        <w:t>in order to achieve carbon neutrality in the energy sector</w:t>
      </w:r>
      <w:r w:rsidR="00A8239C">
        <w:t xml:space="preserve"> </w:t>
      </w:r>
      <w:r w:rsidR="00A8239C">
        <w:fldChar w:fldCharType="begin"/>
      </w:r>
      <w:r w:rsidR="00A8239C">
        <w:instrText xml:space="preserve"> REF _Ref166430557 \r \h </w:instrText>
      </w:r>
      <w:r w:rsidR="00A8239C">
        <w:fldChar w:fldCharType="separate"/>
      </w:r>
      <w:r w:rsidR="00A514DB">
        <w:t>[1]</w:t>
      </w:r>
      <w:r w:rsidR="00A8239C">
        <w:fldChar w:fldCharType="end"/>
      </w:r>
      <w:r w:rsidRPr="009A43FF">
        <w:t xml:space="preserve">. Ukraine among </w:t>
      </w:r>
      <w:r w:rsidR="00640B63">
        <w:t>t</w:t>
      </w:r>
      <w:r w:rsidR="00640B63" w:rsidRPr="009A43FF">
        <w:t>wenty-two</w:t>
      </w:r>
      <w:r w:rsidRPr="009A43FF">
        <w:t xml:space="preserve"> countries ha</w:t>
      </w:r>
      <w:r w:rsidR="00640B63">
        <w:t xml:space="preserve">s </w:t>
      </w:r>
      <w:r w:rsidRPr="009A43FF">
        <w:t>signed up to the goal of tripling global nuclear energy capacity by 2050, at the 28th UN Climate Change Conference of the Parties (COP28)</w:t>
      </w:r>
      <w:r w:rsidR="00397B1E">
        <w:t xml:space="preserve"> </w:t>
      </w:r>
      <w:r w:rsidR="00397B1E">
        <w:fldChar w:fldCharType="begin"/>
      </w:r>
      <w:r w:rsidR="00397B1E">
        <w:instrText xml:space="preserve"> REF _Ref166431113 \r \h </w:instrText>
      </w:r>
      <w:r w:rsidR="00397B1E">
        <w:fldChar w:fldCharType="separate"/>
      </w:r>
      <w:r w:rsidR="00A514DB">
        <w:t>[2]</w:t>
      </w:r>
      <w:r w:rsidR="00397B1E">
        <w:fldChar w:fldCharType="end"/>
      </w:r>
      <w:r w:rsidR="00640B63">
        <w:t>.</w:t>
      </w:r>
    </w:p>
    <w:p w14:paraId="7E8FBCAC" w14:textId="599C8D4E" w:rsidR="00640B63" w:rsidRDefault="00640B63" w:rsidP="003B77FE">
      <w:pPr>
        <w:pStyle w:val="a3"/>
        <w:widowControl w:val="0"/>
      </w:pPr>
      <w:r w:rsidRPr="00640B63">
        <w:t>Small modular reactors</w:t>
      </w:r>
      <w:r>
        <w:t xml:space="preserve"> (SMRs)</w:t>
      </w:r>
      <w:r w:rsidRPr="00640B63">
        <w:t xml:space="preserve"> are </w:t>
      </w:r>
      <w:r w:rsidR="00D84EC0" w:rsidRPr="00640B63">
        <w:t>considered</w:t>
      </w:r>
      <w:r w:rsidR="00177471" w:rsidRPr="00177471">
        <w:rPr>
          <w:lang w:val="en-US"/>
        </w:rPr>
        <w:t xml:space="preserve"> </w:t>
      </w:r>
      <w:r w:rsidR="00177471">
        <w:rPr>
          <w:lang w:val="en-US"/>
        </w:rPr>
        <w:t>in Ukraine</w:t>
      </w:r>
      <w:r w:rsidR="00D84EC0">
        <w:t xml:space="preserve"> </w:t>
      </w:r>
      <w:r w:rsidR="002F3DEE">
        <w:t xml:space="preserve">alongside to conventional nuclear power plants.  </w:t>
      </w:r>
      <w:r w:rsidRPr="00640B63">
        <w:t xml:space="preserve">In addition to </w:t>
      </w:r>
      <w:r w:rsidR="002F3DEE">
        <w:t>SMRs</w:t>
      </w:r>
      <w:r w:rsidR="009A0C70">
        <w:t>’</w:t>
      </w:r>
      <w:r w:rsidRPr="00640B63">
        <w:t xml:space="preserve"> announced ability to generate clean, affordable and reliable power, Ukraine looks</w:t>
      </w:r>
      <w:r w:rsidR="00075A36">
        <w:t xml:space="preserve"> at SMRs also for decentralizing </w:t>
      </w:r>
      <w:r w:rsidRPr="00640B63">
        <w:t xml:space="preserve">the </w:t>
      </w:r>
      <w:r w:rsidR="009E435A">
        <w:t xml:space="preserve">national </w:t>
      </w:r>
      <w:r w:rsidRPr="00640B63">
        <w:t>power system</w:t>
      </w:r>
      <w:r w:rsidR="009A0C70">
        <w:t>, adding new load following capacities and</w:t>
      </w:r>
      <w:r w:rsidRPr="00640B63">
        <w:t xml:space="preserve"> </w:t>
      </w:r>
      <w:r w:rsidR="009A0C70">
        <w:t xml:space="preserve">increasing electricity grid resiliency to </w:t>
      </w:r>
      <w:r w:rsidRPr="00640B63">
        <w:t>external impacts.</w:t>
      </w:r>
    </w:p>
    <w:p w14:paraId="4E00502D" w14:textId="36E156DC" w:rsidR="00F017A3" w:rsidRDefault="00C24598" w:rsidP="003B77FE">
      <w:pPr>
        <w:pStyle w:val="a3"/>
        <w:widowControl w:val="0"/>
      </w:pPr>
      <w:r>
        <w:lastRenderedPageBreak/>
        <w:t xml:space="preserve">An </w:t>
      </w:r>
      <w:r w:rsidR="00C00EF3">
        <w:t xml:space="preserve">effective </w:t>
      </w:r>
      <w:r w:rsidR="00F017A3">
        <w:t xml:space="preserve">regulatory framework, including a </w:t>
      </w:r>
      <w:r w:rsidR="00C00EF3">
        <w:t>straightforward licensing process, is essential to the success of S</w:t>
      </w:r>
      <w:r w:rsidR="00F017A3">
        <w:t>MRs</w:t>
      </w:r>
      <w:r w:rsidR="00C00EF3">
        <w:t xml:space="preserve"> deployment</w:t>
      </w:r>
      <w:r w:rsidR="00F017A3">
        <w:t xml:space="preserve">. As the competent national regulatory body, the State Nuclear Regulatory Inspectorate of Ukraine (SNRIU), with assistance of its Technical Support Organization </w:t>
      </w:r>
      <w:r w:rsidR="00C00EF3">
        <w:t>(</w:t>
      </w:r>
      <w:r w:rsidR="00F017A3">
        <w:t>SSTC NRS</w:t>
      </w:r>
      <w:r w:rsidR="00C00EF3">
        <w:t>)</w:t>
      </w:r>
      <w:r w:rsidR="00F017A3">
        <w:t xml:space="preserve">, is preparing the national framework </w:t>
      </w:r>
      <w:r w:rsidR="00C00EF3">
        <w:t xml:space="preserve">suitable for </w:t>
      </w:r>
      <w:r w:rsidR="00F017A3">
        <w:t xml:space="preserve">SMR </w:t>
      </w:r>
      <w:r w:rsidR="00C00EF3">
        <w:t xml:space="preserve">while </w:t>
      </w:r>
      <w:r w:rsidR="00F017A3">
        <w:t xml:space="preserve">avoiding regulatory burdens for </w:t>
      </w:r>
      <w:r w:rsidR="00C00EF3">
        <w:t xml:space="preserve">implementation of </w:t>
      </w:r>
      <w:r w:rsidR="00F017A3">
        <w:t>novel technologies in Ukraine.</w:t>
      </w:r>
    </w:p>
    <w:p w14:paraId="6471F395" w14:textId="2EA45D9F" w:rsidR="00550F3C" w:rsidRDefault="0078771C" w:rsidP="003B77FE">
      <w:pPr>
        <w:pStyle w:val="a3"/>
        <w:widowControl w:val="0"/>
      </w:pPr>
      <w:r>
        <w:t>This paper outlines the recent SNRIU and SSTC NRS initiatives on developmen</w:t>
      </w:r>
      <w:r w:rsidR="00957E19">
        <w:t>t of the pre-licensing guidance and</w:t>
      </w:r>
      <w:r>
        <w:t xml:space="preserve"> first experience in its application.</w:t>
      </w:r>
    </w:p>
    <w:p w14:paraId="5B9C13CB" w14:textId="77777777" w:rsidR="00E60FDE" w:rsidRPr="00E60FDE" w:rsidRDefault="00E60FDE" w:rsidP="00550F3C">
      <w:pPr>
        <w:pStyle w:val="2"/>
        <w:numPr>
          <w:ilvl w:val="1"/>
          <w:numId w:val="10"/>
        </w:numPr>
      </w:pPr>
      <w:r>
        <w:t xml:space="preserve">ReGULATORY FRAMEWORK FOR </w:t>
      </w:r>
      <w:r w:rsidRPr="00E60FDE">
        <w:t>SMR DEPLOYMENT IN UKRAINE</w:t>
      </w:r>
    </w:p>
    <w:p w14:paraId="27C71A20" w14:textId="596787DD" w:rsidR="00E60FDE" w:rsidRDefault="00F017A3" w:rsidP="00E60FDE">
      <w:pPr>
        <w:pStyle w:val="a3"/>
        <w:widowControl w:val="0"/>
      </w:pPr>
      <w:r>
        <w:t xml:space="preserve">Given the growing interest in SMRs </w:t>
      </w:r>
      <w:r w:rsidR="00E81F02">
        <w:t xml:space="preserve">both globally </w:t>
      </w:r>
      <w:r>
        <w:t xml:space="preserve">and </w:t>
      </w:r>
      <w:r w:rsidR="00E81F02">
        <w:t xml:space="preserve">in </w:t>
      </w:r>
      <w:r>
        <w:t xml:space="preserve">Ukraine </w:t>
      </w:r>
      <w:r w:rsidR="00431928">
        <w:fldChar w:fldCharType="begin"/>
      </w:r>
      <w:r w:rsidR="00431928">
        <w:instrText xml:space="preserve"> REF _Ref166431372 \r \h </w:instrText>
      </w:r>
      <w:r w:rsidR="00431928">
        <w:fldChar w:fldCharType="separate"/>
      </w:r>
      <w:r w:rsidR="00431928">
        <w:t>[3]</w:t>
      </w:r>
      <w:r w:rsidR="00431928">
        <w:fldChar w:fldCharType="end"/>
      </w:r>
      <w:r w:rsidR="00431928">
        <w:t xml:space="preserve">, </w:t>
      </w:r>
      <w:r w:rsidR="00431928">
        <w:fldChar w:fldCharType="begin"/>
      </w:r>
      <w:r w:rsidR="00431928">
        <w:instrText xml:space="preserve"> REF _Ref166431374 \r \h </w:instrText>
      </w:r>
      <w:r w:rsidR="00431928">
        <w:fldChar w:fldCharType="separate"/>
      </w:r>
      <w:r w:rsidR="00431928">
        <w:t>[4]</w:t>
      </w:r>
      <w:r w:rsidR="00431928">
        <w:fldChar w:fldCharType="end"/>
      </w:r>
      <w:r w:rsidR="001C7B0B">
        <w:t xml:space="preserve">, </w:t>
      </w:r>
      <w:r>
        <w:t xml:space="preserve">SNRIU has initiated activities to prepare </w:t>
      </w:r>
      <w:r w:rsidR="00C00EF3">
        <w:t xml:space="preserve">the regulatory framework facilitating the further </w:t>
      </w:r>
      <w:r>
        <w:t>licensing of this emerging technology.</w:t>
      </w:r>
    </w:p>
    <w:p w14:paraId="34158EA0" w14:textId="007F7B00" w:rsidR="00E60FDE" w:rsidRPr="000B652C" w:rsidRDefault="00E60FDE" w:rsidP="00E60FDE">
      <w:pPr>
        <w:pStyle w:val="a3"/>
        <w:widowControl w:val="0"/>
        <w:rPr>
          <w:lang w:val="en-US"/>
        </w:rPr>
      </w:pPr>
      <w:r>
        <w:t xml:space="preserve">To outline the national regulatory framework </w:t>
      </w:r>
      <w:r w:rsidR="008937A1">
        <w:t>suitable</w:t>
      </w:r>
      <w:r>
        <w:t xml:space="preserve"> for SMRs, SNRIU </w:t>
      </w:r>
      <w:r w:rsidR="008937A1">
        <w:t xml:space="preserve">examines international practices on early regulatory </w:t>
      </w:r>
      <w:r w:rsidR="00B16DE1">
        <w:t>involvement</w:t>
      </w:r>
      <w:r w:rsidR="008937A1">
        <w:t xml:space="preserve"> in SMR reviews, which </w:t>
      </w:r>
      <w:r>
        <w:t xml:space="preserve">can take various forms such as design certification, </w:t>
      </w:r>
      <w:r w:rsidR="008937A1" w:rsidRPr="0028741E">
        <w:rPr>
          <w:shd w:val="clear" w:color="auto" w:fill="FFFFFF" w:themeFill="background1"/>
        </w:rPr>
        <w:t>generic design assessment,</w:t>
      </w:r>
      <w:r w:rsidRPr="0028741E">
        <w:rPr>
          <w:shd w:val="clear" w:color="auto" w:fill="FFFFFF" w:themeFill="background1"/>
        </w:rPr>
        <w:t xml:space="preserve"> pre-licensing</w:t>
      </w:r>
      <w:r w:rsidR="008937A1" w:rsidRPr="0028741E">
        <w:rPr>
          <w:shd w:val="clear" w:color="auto" w:fill="FFFFFF" w:themeFill="background1"/>
        </w:rPr>
        <w:t xml:space="preserve"> review and joint review by several regulators </w:t>
      </w:r>
      <w:r w:rsidR="008937A1" w:rsidRPr="0028741E">
        <w:rPr>
          <w:shd w:val="clear" w:color="auto" w:fill="FFFFFF" w:themeFill="background1"/>
          <w:lang w:val="en-US"/>
        </w:rPr>
        <w:fldChar w:fldCharType="begin"/>
      </w:r>
      <w:r w:rsidR="008937A1" w:rsidRPr="0028741E">
        <w:rPr>
          <w:shd w:val="clear" w:color="auto" w:fill="FFFFFF" w:themeFill="background1"/>
          <w:lang w:val="en-US"/>
        </w:rPr>
        <w:instrText xml:space="preserve"> REF _Ref167624532 \r \h </w:instrText>
      </w:r>
      <w:r w:rsidR="008937A1" w:rsidRPr="0028741E">
        <w:rPr>
          <w:shd w:val="clear" w:color="auto" w:fill="FFFFFF" w:themeFill="background1"/>
          <w:lang w:val="en-US"/>
        </w:rPr>
      </w:r>
      <w:r w:rsidR="00760101" w:rsidRPr="0028741E">
        <w:rPr>
          <w:shd w:val="clear" w:color="auto" w:fill="FFFFFF" w:themeFill="background1"/>
          <w:lang w:val="en-US"/>
        </w:rPr>
        <w:instrText xml:space="preserve"> \* MERGEFORMAT </w:instrText>
      </w:r>
      <w:r w:rsidR="008937A1" w:rsidRPr="0028741E">
        <w:rPr>
          <w:shd w:val="clear" w:color="auto" w:fill="FFFFFF" w:themeFill="background1"/>
          <w:lang w:val="en-US"/>
        </w:rPr>
        <w:fldChar w:fldCharType="separate"/>
      </w:r>
      <w:r w:rsidR="00A514DB" w:rsidRPr="0028741E">
        <w:rPr>
          <w:shd w:val="clear" w:color="auto" w:fill="FFFFFF" w:themeFill="background1"/>
          <w:lang w:val="en-US"/>
        </w:rPr>
        <w:t>[5]</w:t>
      </w:r>
      <w:r w:rsidR="008937A1" w:rsidRPr="0028741E">
        <w:rPr>
          <w:shd w:val="clear" w:color="auto" w:fill="FFFFFF" w:themeFill="background1"/>
          <w:lang w:val="en-US"/>
        </w:rPr>
        <w:fldChar w:fldCharType="end"/>
      </w:r>
      <w:r w:rsidR="008937A1" w:rsidRPr="0028741E">
        <w:rPr>
          <w:shd w:val="clear" w:color="auto" w:fill="FFFFFF" w:themeFill="background1"/>
        </w:rPr>
        <w:t xml:space="preserve">. </w:t>
      </w:r>
      <w:r w:rsidR="003C5BDB" w:rsidRPr="0028741E">
        <w:rPr>
          <w:shd w:val="clear" w:color="auto" w:fill="FFFFFF" w:themeFill="background1"/>
        </w:rPr>
        <w:t xml:space="preserve">SNRIU </w:t>
      </w:r>
      <w:r w:rsidR="00760101" w:rsidRPr="0028741E">
        <w:rPr>
          <w:shd w:val="clear" w:color="auto" w:fill="FFFFFF" w:themeFill="background1"/>
        </w:rPr>
        <w:t xml:space="preserve">and SSTC NRS </w:t>
      </w:r>
      <w:r w:rsidR="003C5BDB" w:rsidRPr="0028741E">
        <w:rPr>
          <w:shd w:val="clear" w:color="auto" w:fill="FFFFFF" w:themeFill="background1"/>
        </w:rPr>
        <w:t xml:space="preserve">engages in the </w:t>
      </w:r>
      <w:r w:rsidR="00E310A0" w:rsidRPr="0028741E">
        <w:rPr>
          <w:shd w:val="clear" w:color="auto" w:fill="FFFFFF" w:themeFill="background1"/>
        </w:rPr>
        <w:t xml:space="preserve">international activities </w:t>
      </w:r>
      <w:r w:rsidR="00760101" w:rsidRPr="0028741E">
        <w:rPr>
          <w:shd w:val="clear" w:color="auto" w:fill="FFFFFF" w:themeFill="background1"/>
        </w:rPr>
        <w:t>and</w:t>
      </w:r>
      <w:r w:rsidR="00760101" w:rsidRPr="0028741E">
        <w:rPr>
          <w:shd w:val="clear" w:color="auto" w:fill="FFFFFF" w:themeFill="background1"/>
        </w:rPr>
        <w:t xml:space="preserve"> </w:t>
      </w:r>
      <w:r w:rsidR="00E310A0" w:rsidRPr="0028741E">
        <w:rPr>
          <w:shd w:val="clear" w:color="auto" w:fill="FFFFFF" w:themeFill="background1"/>
        </w:rPr>
        <w:t>bilateral co-operation</w:t>
      </w:r>
      <w:r w:rsidR="00760101" w:rsidRPr="0028741E">
        <w:rPr>
          <w:shd w:val="clear" w:color="auto" w:fill="FFFFFF" w:themeFill="background1"/>
        </w:rPr>
        <w:t xml:space="preserve"> on SMRs</w:t>
      </w:r>
      <w:r w:rsidR="00E310A0" w:rsidRPr="0028741E">
        <w:rPr>
          <w:shd w:val="clear" w:color="auto" w:fill="FFFFFF" w:themeFill="background1"/>
        </w:rPr>
        <w:t>, utilizes outcomes from SMR Regulators Forum</w:t>
      </w:r>
      <w:r w:rsidR="00760101" w:rsidRPr="0028741E">
        <w:rPr>
          <w:shd w:val="clear" w:color="auto" w:fill="FFFFFF" w:themeFill="background1"/>
        </w:rPr>
        <w:t xml:space="preserve"> and WENRA</w:t>
      </w:r>
      <w:r w:rsidR="00E310A0" w:rsidRPr="0028741E">
        <w:rPr>
          <w:shd w:val="clear" w:color="auto" w:fill="FFFFFF" w:themeFill="background1"/>
        </w:rPr>
        <w:t xml:space="preserve">. </w:t>
      </w:r>
      <w:r w:rsidRPr="0028741E">
        <w:rPr>
          <w:shd w:val="clear" w:color="auto" w:fill="FFFFFF" w:themeFill="background1"/>
          <w:lang w:val="en-US"/>
        </w:rPr>
        <w:t xml:space="preserve">These efforts facilitate </w:t>
      </w:r>
      <w:r w:rsidR="00FA60D8" w:rsidRPr="0028741E">
        <w:rPr>
          <w:shd w:val="clear" w:color="auto" w:fill="FFFFFF" w:themeFill="background1"/>
          <w:lang w:val="en-US"/>
        </w:rPr>
        <w:t xml:space="preserve">international </w:t>
      </w:r>
      <w:r w:rsidRPr="0028741E">
        <w:rPr>
          <w:shd w:val="clear" w:color="auto" w:fill="FFFFFF" w:themeFill="background1"/>
          <w:lang w:val="en-US"/>
        </w:rPr>
        <w:t>cooperation and help establish common positions on regulatory issues associated with SMRs.</w:t>
      </w:r>
    </w:p>
    <w:p w14:paraId="70A25904" w14:textId="6EE5BFCF" w:rsidR="00E60FDE" w:rsidRDefault="004750FA" w:rsidP="00BF4011">
      <w:pPr>
        <w:pStyle w:val="a3"/>
        <w:widowControl w:val="0"/>
      </w:pPr>
      <w:r>
        <w:t>SNRIU is advancing in two princip</w:t>
      </w:r>
      <w:r w:rsidR="00E81F02">
        <w:t>a</w:t>
      </w:r>
      <w:r>
        <w:t xml:space="preserve">l aspects of </w:t>
      </w:r>
      <w:r w:rsidR="00087670">
        <w:t>t</w:t>
      </w:r>
      <w:r w:rsidR="00E60FDE">
        <w:t>he regulatory framework</w:t>
      </w:r>
      <w:r>
        <w:t xml:space="preserve"> for SMRs</w:t>
      </w:r>
      <w:r w:rsidR="00E60FDE">
        <w:t xml:space="preserve">: 1) </w:t>
      </w:r>
      <w:r w:rsidR="00BF4011">
        <w:t xml:space="preserve">development of </w:t>
      </w:r>
      <w:r w:rsidR="001C1043">
        <w:t>regulations</w:t>
      </w:r>
      <w:r w:rsidR="00BF4011" w:rsidRPr="00BF4011">
        <w:t xml:space="preserve"> and guidance, and 2) capacity building efforts aimed at ensuring the </w:t>
      </w:r>
      <w:r w:rsidR="001C1043">
        <w:t>availability</w:t>
      </w:r>
      <w:r w:rsidR="00BF4011" w:rsidRPr="00BF4011">
        <w:t xml:space="preserve"> of qualified and competent staff capable of effectively fulfilling </w:t>
      </w:r>
      <w:r w:rsidR="00E81F02">
        <w:t xml:space="preserve">the </w:t>
      </w:r>
      <w:r w:rsidR="00BF4011" w:rsidRPr="00BF4011">
        <w:t>regulatory functions in SMR licensing</w:t>
      </w:r>
      <w:r w:rsidR="00E60FDE">
        <w:t>.</w:t>
      </w:r>
    </w:p>
    <w:p w14:paraId="6154295A" w14:textId="4B17DF09" w:rsidR="001B2039" w:rsidRPr="00252875" w:rsidRDefault="00EE31B9" w:rsidP="00252875">
      <w:pPr>
        <w:pStyle w:val="a3"/>
        <w:widowControl w:val="0"/>
        <w:rPr>
          <w:lang w:val="uk-UA"/>
        </w:rPr>
      </w:pPr>
      <w:r>
        <w:t>Ukrain</w:t>
      </w:r>
      <w:r w:rsidR="00FA60D8">
        <w:t>ian</w:t>
      </w:r>
      <w:r w:rsidR="00252875">
        <w:t xml:space="preserve"> regulations primarily address light water reactors technology and are based on the experience of regulating the </w:t>
      </w:r>
      <w:r w:rsidR="001267CC">
        <w:t>current</w:t>
      </w:r>
      <w:r w:rsidR="00252875">
        <w:t xml:space="preserve"> generation of pressurized water reactors, specifically the VVER type reactors. </w:t>
      </w:r>
      <w:r w:rsidR="001B2039">
        <w:t xml:space="preserve">SNRIU regularly </w:t>
      </w:r>
      <w:r w:rsidR="00E81F02">
        <w:t>updates</w:t>
      </w:r>
      <w:r w:rsidR="001B2039">
        <w:t xml:space="preserve"> national r</w:t>
      </w:r>
      <w:r w:rsidR="002615AE">
        <w:t>equirements</w:t>
      </w:r>
      <w:r w:rsidR="001B2039">
        <w:t xml:space="preserve"> to implement WENRA reference levels, incorporate IAEA safety standards and consider relevant experience gained. </w:t>
      </w:r>
      <w:r w:rsidR="00252875">
        <w:t>In this process, particular attention is paid to ensure the regulations are technology-neutral, so they do not limit existing advanced and emerging technologies.</w:t>
      </w:r>
    </w:p>
    <w:p w14:paraId="203B5D57" w14:textId="4C8C1EE9" w:rsidR="00DD0923" w:rsidRDefault="00DD0923" w:rsidP="00DD0923">
      <w:pPr>
        <w:pStyle w:val="a3"/>
        <w:widowControl w:val="0"/>
        <w:rPr>
          <w:lang w:val="en-US"/>
        </w:rPr>
      </w:pPr>
      <w:r w:rsidRPr="00DD0923">
        <w:rPr>
          <w:lang w:val="en-US"/>
        </w:rPr>
        <w:t xml:space="preserve">As part of the ongoing </w:t>
      </w:r>
      <w:r w:rsidR="006D4428">
        <w:rPr>
          <w:lang w:val="en-US"/>
        </w:rPr>
        <w:t>efforts on</w:t>
      </w:r>
      <w:r w:rsidRPr="00DD0923">
        <w:rPr>
          <w:lang w:val="en-US"/>
        </w:rPr>
        <w:t xml:space="preserve"> revising regulations, a new v</w:t>
      </w:r>
      <w:r w:rsidR="002615AE">
        <w:rPr>
          <w:lang w:val="en-US"/>
        </w:rPr>
        <w:t>ersion</w:t>
      </w:r>
      <w:r w:rsidRPr="00DD0923">
        <w:rPr>
          <w:lang w:val="en-US"/>
        </w:rPr>
        <w:t xml:space="preserve"> o</w:t>
      </w:r>
      <w:r w:rsidR="00FA60D8">
        <w:rPr>
          <w:lang w:val="en-US"/>
        </w:rPr>
        <w:t xml:space="preserve">f the safety regulations </w:t>
      </w:r>
      <w:r w:rsidRPr="00DD0923">
        <w:rPr>
          <w:lang w:val="en-US"/>
        </w:rPr>
        <w:t>NP 306.2.245-2024 "General Provisions</w:t>
      </w:r>
      <w:r w:rsidR="00FA60D8">
        <w:rPr>
          <w:lang w:val="en-US"/>
        </w:rPr>
        <w:t xml:space="preserve"> on Nuclear Power Plants Safety</w:t>
      </w:r>
      <w:r w:rsidRPr="00DD0923">
        <w:rPr>
          <w:lang w:val="en-US"/>
        </w:rPr>
        <w:t>" was put into force in 2024. Issuing these new regulations is an important step towards updating the</w:t>
      </w:r>
      <w:r w:rsidR="00FA60D8">
        <w:rPr>
          <w:lang w:val="en-US"/>
        </w:rPr>
        <w:t xml:space="preserve"> basic</w:t>
      </w:r>
      <w:r w:rsidRPr="00DD0923">
        <w:rPr>
          <w:lang w:val="en-US"/>
        </w:rPr>
        <w:t xml:space="preserve"> safety requirements aligning them with state-of-the-art international standards. NP 306.2.245-2024 formally introduces refined safety criteria, such as practical elimination of large and early radioactive releases</w:t>
      </w:r>
      <w:r w:rsidR="006D4428">
        <w:rPr>
          <w:lang w:val="en-US"/>
        </w:rPr>
        <w:t xml:space="preserve"> for design extension conditions</w:t>
      </w:r>
      <w:r>
        <w:rPr>
          <w:lang w:val="en-US"/>
        </w:rPr>
        <w:t xml:space="preserve">, </w:t>
      </w:r>
      <w:r w:rsidR="006D4428">
        <w:rPr>
          <w:lang w:val="en-US"/>
        </w:rPr>
        <w:t xml:space="preserve">as well as </w:t>
      </w:r>
      <w:r w:rsidR="00FA60D8">
        <w:rPr>
          <w:lang w:val="en-US"/>
        </w:rPr>
        <w:t xml:space="preserve">several </w:t>
      </w:r>
      <w:r w:rsidR="0062403A">
        <w:rPr>
          <w:lang w:val="en-US"/>
        </w:rPr>
        <w:t xml:space="preserve">rather </w:t>
      </w:r>
      <w:r w:rsidR="00FA60D8">
        <w:rPr>
          <w:lang w:val="en-US"/>
        </w:rPr>
        <w:t xml:space="preserve">new design concepts - </w:t>
      </w:r>
      <w:r>
        <w:rPr>
          <w:lang w:val="en-US"/>
        </w:rPr>
        <w:t>fail-safe design, etc.</w:t>
      </w:r>
    </w:p>
    <w:p w14:paraId="7C586EFD" w14:textId="7AF3D736" w:rsidR="001B2039" w:rsidRDefault="00E81F02" w:rsidP="00DD0923">
      <w:pPr>
        <w:pStyle w:val="a3"/>
        <w:widowControl w:val="0"/>
        <w:rPr>
          <w:lang w:val="en-US"/>
        </w:rPr>
      </w:pPr>
      <w:r>
        <w:t>Additionally</w:t>
      </w:r>
      <w:r w:rsidR="009A07C5">
        <w:t>, NP</w:t>
      </w:r>
      <w:r w:rsidR="009A07C5" w:rsidRPr="00174F5D">
        <w:t xml:space="preserve"> 306.2.245-2024</w:t>
      </w:r>
      <w:r w:rsidR="009A07C5">
        <w:t xml:space="preserve"> reconsiders the previously established</w:t>
      </w:r>
      <w:r w:rsidR="007E477A">
        <w:t xml:space="preserve"> safety</w:t>
      </w:r>
      <w:r w:rsidR="009A07C5">
        <w:t xml:space="preserve"> principle of proven engineering practices </w:t>
      </w:r>
      <w:r w:rsidR="002B20EE">
        <w:rPr>
          <w:lang w:val="en-US"/>
        </w:rPr>
        <w:t xml:space="preserve">and allows the </w:t>
      </w:r>
      <w:r w:rsidR="00DD0923" w:rsidRPr="00DD0923">
        <w:t>application of new technical solutions justified by appropriate res</w:t>
      </w:r>
      <w:r w:rsidR="00DD0923">
        <w:t>earch and experimental programs</w:t>
      </w:r>
      <w:r w:rsidR="009A07C5" w:rsidRPr="007E477A">
        <w:rPr>
          <w:lang w:val="en-US"/>
        </w:rPr>
        <w:t>.</w:t>
      </w:r>
      <w:r w:rsidR="007E477A" w:rsidRPr="007E477A">
        <w:rPr>
          <w:lang w:val="en-US"/>
        </w:rPr>
        <w:t xml:space="preserve"> New revision </w:t>
      </w:r>
      <w:r w:rsidR="00DD0923">
        <w:rPr>
          <w:lang w:val="en-US"/>
        </w:rPr>
        <w:t>permits</w:t>
      </w:r>
      <w:r w:rsidR="007E477A" w:rsidRPr="007E477A">
        <w:rPr>
          <w:lang w:val="en-US"/>
        </w:rPr>
        <w:t xml:space="preserve"> using international codes and standards. The list</w:t>
      </w:r>
      <w:r w:rsidR="007E477A">
        <w:rPr>
          <w:lang w:val="en-US"/>
        </w:rPr>
        <w:t xml:space="preserve"> </w:t>
      </w:r>
      <w:r w:rsidR="00DD0923">
        <w:rPr>
          <w:lang w:val="en-US"/>
        </w:rPr>
        <w:t xml:space="preserve">of those </w:t>
      </w:r>
      <w:r w:rsidR="00DD0923" w:rsidRPr="007E477A">
        <w:rPr>
          <w:lang w:val="en-US"/>
        </w:rPr>
        <w:t>codes</w:t>
      </w:r>
      <w:r w:rsidR="007E477A" w:rsidRPr="007E477A">
        <w:rPr>
          <w:lang w:val="en-US"/>
        </w:rPr>
        <w:t xml:space="preserve"> and standards needs to be defined and justified by the licensee and</w:t>
      </w:r>
      <w:r w:rsidR="007E477A">
        <w:rPr>
          <w:lang w:val="en-US"/>
        </w:rPr>
        <w:t xml:space="preserve"> </w:t>
      </w:r>
      <w:r w:rsidR="007E477A" w:rsidRPr="007E477A">
        <w:rPr>
          <w:lang w:val="en-US"/>
        </w:rPr>
        <w:t>submitted for approval to the regulatory body</w:t>
      </w:r>
      <w:r w:rsidR="007E477A">
        <w:rPr>
          <w:lang w:val="en-US"/>
        </w:rPr>
        <w:t>.</w:t>
      </w:r>
    </w:p>
    <w:p w14:paraId="14E824AC" w14:textId="097CAF55" w:rsidR="007E477A" w:rsidRPr="007E477A" w:rsidRDefault="007E477A" w:rsidP="00D04D44">
      <w:pPr>
        <w:pStyle w:val="a3"/>
        <w:widowControl w:val="0"/>
        <w:rPr>
          <w:lang w:val="en-US"/>
        </w:rPr>
      </w:pPr>
      <w:r>
        <w:t xml:space="preserve">As a result, SNRIU </w:t>
      </w:r>
      <w:r w:rsidR="002615AE">
        <w:t>considers</w:t>
      </w:r>
      <w:r>
        <w:t xml:space="preserve"> the existing national legislation and regulations, which establish safety requirements and the licensing process</w:t>
      </w:r>
      <w:r w:rsidR="0035179F">
        <w:t xml:space="preserve"> for nuclear power plants</w:t>
      </w:r>
      <w:r>
        <w:t>, to be adequate and applicable for SMR designs intended for near-term deployment.</w:t>
      </w:r>
    </w:p>
    <w:p w14:paraId="52EC9C46" w14:textId="00050B1E" w:rsidR="001B2039" w:rsidRDefault="0035179F" w:rsidP="003B77FE">
      <w:pPr>
        <w:pStyle w:val="a3"/>
        <w:widowControl w:val="0"/>
      </w:pPr>
      <w:r>
        <w:t>To streamline the licensing process for new technologies in Ukraine, SNRIU has introduced a</w:t>
      </w:r>
      <w:r w:rsidR="00597AA7">
        <w:t xml:space="preserve"> </w:t>
      </w:r>
      <w:r>
        <w:t xml:space="preserve">pre-licensing review. </w:t>
      </w:r>
      <w:r w:rsidRPr="0028741E">
        <w:t>SNRIU</w:t>
      </w:r>
      <w:r w:rsidR="00E310A0" w:rsidRPr="0028741E">
        <w:t xml:space="preserve"> Board </w:t>
      </w:r>
      <w:r w:rsidRPr="0028741E">
        <w:t xml:space="preserve">approved the guidance document titled "Provisions for Pre-Licensing Review of Nuclear Facility Designs" </w:t>
      </w:r>
      <w:r w:rsidR="00E310A0" w:rsidRPr="0028741E">
        <w:t xml:space="preserve">at the meeting on 19 October 2023 </w:t>
      </w:r>
      <w:r w:rsidR="00E310A0" w:rsidRPr="0028741E">
        <w:fldChar w:fldCharType="begin"/>
      </w:r>
      <w:r w:rsidR="00E310A0" w:rsidRPr="0028741E">
        <w:instrText xml:space="preserve"> REF _Ref167653480 \n \h  \* MERGEFORMAT </w:instrText>
      </w:r>
      <w:r w:rsidR="00E310A0" w:rsidRPr="0028741E">
        <w:fldChar w:fldCharType="separate"/>
      </w:r>
      <w:r w:rsidR="00E310A0" w:rsidRPr="0028741E">
        <w:t>[7]</w:t>
      </w:r>
      <w:r w:rsidR="00E310A0" w:rsidRPr="0028741E">
        <w:fldChar w:fldCharType="end"/>
      </w:r>
      <w:r w:rsidRPr="0028741E">
        <w:t>.</w:t>
      </w:r>
      <w:r>
        <w:t xml:space="preserve"> </w:t>
      </w:r>
      <w:r w:rsidR="00A4666D">
        <w:t>The document was developed by the SSTC N</w:t>
      </w:r>
      <w:r w:rsidR="002615AE">
        <w:t>R</w:t>
      </w:r>
      <w:r w:rsidR="00A4666D">
        <w:t xml:space="preserve">S </w:t>
      </w:r>
      <w:r w:rsidR="00597AA7" w:rsidRPr="00597AA7">
        <w:t>at the insistence of</w:t>
      </w:r>
      <w:r w:rsidR="00597AA7">
        <w:t xml:space="preserve"> the </w:t>
      </w:r>
      <w:r w:rsidR="00597AA7" w:rsidRPr="00597AA7">
        <w:t>SNRIU</w:t>
      </w:r>
      <w:r w:rsidR="00597AA7">
        <w:t xml:space="preserve"> </w:t>
      </w:r>
      <w:r w:rsidR="00A4666D">
        <w:t>with the support of the U.S. Nuclear Regulatory Commission</w:t>
      </w:r>
      <w:r>
        <w:t>.</w:t>
      </w:r>
    </w:p>
    <w:p w14:paraId="38E75B8C" w14:textId="7A5ED451" w:rsidR="00E81F02" w:rsidRDefault="00E81F02" w:rsidP="00A4666D">
      <w:pPr>
        <w:pStyle w:val="a3"/>
        <w:widowControl w:val="0"/>
      </w:pPr>
      <w:r w:rsidRPr="00C04751">
        <w:t xml:space="preserve">Pre-licensing </w:t>
      </w:r>
      <w:r>
        <w:t xml:space="preserve">review </w:t>
      </w:r>
      <w:r w:rsidRPr="00C04751">
        <w:t xml:space="preserve">is an optional </w:t>
      </w:r>
      <w:r>
        <w:t xml:space="preserve">service provided by the SNRIU </w:t>
      </w:r>
      <w:r w:rsidRPr="00C04751">
        <w:t xml:space="preserve">and/or </w:t>
      </w:r>
      <w:r w:rsidR="00911F6F">
        <w:t>SSTC NRS</w:t>
      </w:r>
      <w:r>
        <w:t xml:space="preserve"> at the request of nuclear facility design organization, vendor, operating organization (utility) or other customer. It involves </w:t>
      </w:r>
      <w:r w:rsidRPr="00C04751">
        <w:t xml:space="preserve">providing </w:t>
      </w:r>
      <w:r>
        <w:t>the</w:t>
      </w:r>
      <w:r w:rsidRPr="00C04751">
        <w:t xml:space="preserve"> preliminary comments and conclusions regarding the compliance of the nuclear </w:t>
      </w:r>
      <w:r>
        <w:t xml:space="preserve">facility design </w:t>
      </w:r>
      <w:r w:rsidRPr="00C04751">
        <w:t xml:space="preserve">and safety justifications, </w:t>
      </w:r>
      <w:r>
        <w:t xml:space="preserve">management system documentation </w:t>
      </w:r>
      <w:r w:rsidRPr="00C04751">
        <w:t xml:space="preserve">related to </w:t>
      </w:r>
      <w:r>
        <w:t xml:space="preserve">preparation of a design </w:t>
      </w:r>
      <w:r w:rsidRPr="00C04751">
        <w:t xml:space="preserve">and safety justification, with the requirements of national nuclear safety </w:t>
      </w:r>
      <w:r>
        <w:t xml:space="preserve">laws and </w:t>
      </w:r>
      <w:r w:rsidRPr="00C04751">
        <w:t>regulations</w:t>
      </w:r>
      <w:r>
        <w:t>.</w:t>
      </w:r>
    </w:p>
    <w:p w14:paraId="6857FC15" w14:textId="514E0D49" w:rsidR="00911F6F" w:rsidRDefault="00911F6F" w:rsidP="00911F6F">
      <w:pPr>
        <w:pStyle w:val="a3"/>
      </w:pPr>
      <w:r w:rsidRPr="00B13116">
        <w:t xml:space="preserve">Pre-licensing </w:t>
      </w:r>
      <w:r>
        <w:t xml:space="preserve">review </w:t>
      </w:r>
      <w:r w:rsidRPr="00B13116">
        <w:t xml:space="preserve">is not </w:t>
      </w:r>
      <w:r>
        <w:t xml:space="preserve">a </w:t>
      </w:r>
      <w:r w:rsidRPr="00B13116">
        <w:t xml:space="preserve">part of the licensing process and does not </w:t>
      </w:r>
      <w:r>
        <w:t>affect SNRIU</w:t>
      </w:r>
      <w:r w:rsidRPr="00B13116">
        <w:t xml:space="preserve"> decision regarding the issuance of a license or any other regulatory</w:t>
      </w:r>
      <w:r>
        <w:t xml:space="preserve"> permit</w:t>
      </w:r>
      <w:r w:rsidRPr="00B13116">
        <w:t xml:space="preserve"> for </w:t>
      </w:r>
      <w:r>
        <w:t xml:space="preserve">the </w:t>
      </w:r>
      <w:r w:rsidRPr="00B13116">
        <w:t xml:space="preserve">activities related to a specific </w:t>
      </w:r>
      <w:r>
        <w:t xml:space="preserve">stage </w:t>
      </w:r>
      <w:r w:rsidRPr="00B13116">
        <w:t xml:space="preserve">of the nuclear </w:t>
      </w:r>
      <w:r>
        <w:t xml:space="preserve">facility </w:t>
      </w:r>
      <w:r w:rsidRPr="00B13116">
        <w:t>lifecycle.</w:t>
      </w:r>
      <w:r>
        <w:t xml:space="preserve"> Nevertheless, this review</w:t>
      </w:r>
      <w:r w:rsidRPr="002C7413">
        <w:t xml:space="preserve"> allows </w:t>
      </w:r>
      <w:r>
        <w:t xml:space="preserve">the </w:t>
      </w:r>
      <w:r w:rsidRPr="002C7413">
        <w:t xml:space="preserve">required corrective measures to be </w:t>
      </w:r>
      <w:r>
        <w:t>proposed and implemented</w:t>
      </w:r>
      <w:r w:rsidRPr="002C7413">
        <w:t xml:space="preserve"> before completion of the nuclear facility design phase and reduces regulatory uncertainties </w:t>
      </w:r>
      <w:r w:rsidRPr="002C7413">
        <w:lastRenderedPageBreak/>
        <w:t>associated with the implementation of novel technologies and design features with no or limited operating experience.</w:t>
      </w:r>
    </w:p>
    <w:p w14:paraId="626272F4" w14:textId="475B88D7" w:rsidR="00911F6F" w:rsidRPr="00911F6F" w:rsidRDefault="00911F6F" w:rsidP="00911F6F">
      <w:pPr>
        <w:pStyle w:val="a3"/>
        <w:rPr>
          <w:lang w:val="en-US"/>
        </w:rPr>
      </w:pPr>
      <w:r>
        <w:t xml:space="preserve">According to </w:t>
      </w:r>
      <w:r>
        <w:fldChar w:fldCharType="begin"/>
      </w:r>
      <w:r>
        <w:instrText xml:space="preserve"> REF _Ref167885526 \r \h </w:instrText>
      </w:r>
      <w:r>
        <w:fldChar w:fldCharType="separate"/>
      </w:r>
      <w:r>
        <w:t>[7]</w:t>
      </w:r>
      <w:r>
        <w:fldChar w:fldCharType="end"/>
      </w:r>
      <w:r>
        <w:t>, the main objective of pre-licensing review is to identify in a timely manner the potential issues related to the nuclear facility design and technologies applied, particularly the issues that may require significant changes to the design, methodology and the results of safety justification, and may significantly complicate or completely preclude licensing of construction and commissioning of the nuclear facility of this design.</w:t>
      </w:r>
    </w:p>
    <w:p w14:paraId="75E0E9FB" w14:textId="77777777" w:rsidR="00911F6F" w:rsidRDefault="00911F6F" w:rsidP="00911F6F">
      <w:pPr>
        <w:pStyle w:val="a3"/>
      </w:pPr>
      <w:r>
        <w:t>The main tasks of the pre-licensing review are:</w:t>
      </w:r>
    </w:p>
    <w:p w14:paraId="507D3F3D" w14:textId="04788FD8" w:rsidR="00911F6F" w:rsidRPr="00911F6F" w:rsidRDefault="00911F6F" w:rsidP="00911F6F">
      <w:pPr>
        <w:pStyle w:val="a3"/>
        <w:widowControl w:val="0"/>
        <w:numPr>
          <w:ilvl w:val="0"/>
          <w:numId w:val="39"/>
        </w:numPr>
        <w:rPr>
          <w:lang w:val="en-US"/>
        </w:rPr>
      </w:pPr>
      <w:r w:rsidRPr="00911F6F">
        <w:rPr>
          <w:lang w:val="en-US"/>
        </w:rPr>
        <w:t>to confirm (taking into account the readiness, content, and scope of technical documentation provided for pre-licensing review) that the nuclear facility design and safety justifications adequately implements:</w:t>
      </w:r>
    </w:p>
    <w:p w14:paraId="6FEFE724" w14:textId="3A7F0EF8" w:rsidR="00911F6F" w:rsidRPr="00FF47FD" w:rsidRDefault="00911F6F" w:rsidP="00FF47FD">
      <w:pPr>
        <w:pStyle w:val="ListEmdash"/>
        <w:numPr>
          <w:ilvl w:val="0"/>
          <w:numId w:val="34"/>
        </w:numPr>
        <w:ind w:left="709"/>
        <w:rPr>
          <w:lang w:val="en-US"/>
        </w:rPr>
      </w:pPr>
      <w:r w:rsidRPr="00FF47FD">
        <w:rPr>
          <w:lang w:val="en-US"/>
        </w:rPr>
        <w:t>fundamental and general organizational and technical safety principles;</w:t>
      </w:r>
    </w:p>
    <w:p w14:paraId="61834411" w14:textId="01A87D6B" w:rsidR="00911F6F" w:rsidRPr="00FF47FD" w:rsidRDefault="00911F6F" w:rsidP="00FF47FD">
      <w:pPr>
        <w:pStyle w:val="ListEmdash"/>
        <w:numPr>
          <w:ilvl w:val="0"/>
          <w:numId w:val="34"/>
        </w:numPr>
        <w:ind w:left="709"/>
        <w:rPr>
          <w:lang w:val="en-US"/>
        </w:rPr>
      </w:pPr>
      <w:r w:rsidRPr="00FF47FD">
        <w:rPr>
          <w:lang w:val="en-US"/>
        </w:rPr>
        <w:t>requirements of national nuclear and radiation safety regulations and rules;</w:t>
      </w:r>
    </w:p>
    <w:p w14:paraId="03D720EA" w14:textId="5AC5AD8C" w:rsidR="00911F6F" w:rsidRPr="00FF47FD" w:rsidRDefault="00911F6F" w:rsidP="00FF47FD">
      <w:pPr>
        <w:pStyle w:val="ListEmdash"/>
        <w:numPr>
          <w:ilvl w:val="0"/>
          <w:numId w:val="34"/>
        </w:numPr>
        <w:ind w:left="709"/>
        <w:rPr>
          <w:lang w:val="en-US"/>
        </w:rPr>
      </w:pPr>
      <w:r w:rsidRPr="00FF47FD">
        <w:rPr>
          <w:lang w:val="en-US"/>
        </w:rPr>
        <w:t>applicable requirements and recommendations of international organization (if corresponding requirements in national regulations and rules are not detailed);</w:t>
      </w:r>
    </w:p>
    <w:p w14:paraId="6F165139" w14:textId="310855B6" w:rsidR="00911F6F" w:rsidRPr="00FF47FD" w:rsidRDefault="00911F6F" w:rsidP="00FF47FD">
      <w:pPr>
        <w:pStyle w:val="a3"/>
        <w:widowControl w:val="0"/>
        <w:numPr>
          <w:ilvl w:val="0"/>
          <w:numId w:val="39"/>
        </w:numPr>
        <w:rPr>
          <w:lang w:val="en-US"/>
        </w:rPr>
      </w:pPr>
      <w:r w:rsidRPr="00FF47FD">
        <w:rPr>
          <w:lang w:val="en-US"/>
        </w:rPr>
        <w:t>to identify:</w:t>
      </w:r>
    </w:p>
    <w:p w14:paraId="4636FBF5" w14:textId="120498FE" w:rsidR="00911F6F" w:rsidRPr="00911F6F" w:rsidRDefault="00911F6F" w:rsidP="00911F6F">
      <w:pPr>
        <w:pStyle w:val="ListEmdash"/>
        <w:numPr>
          <w:ilvl w:val="0"/>
          <w:numId w:val="34"/>
        </w:numPr>
        <w:ind w:left="709"/>
        <w:rPr>
          <w:lang w:val="en-US"/>
        </w:rPr>
      </w:pPr>
      <w:r w:rsidRPr="00911F6F">
        <w:rPr>
          <w:lang w:val="en-US"/>
        </w:rPr>
        <w:t>the list of topics / questions for which, based on the results of pre-licensing review, additional information and explanations regarding the nuclear facility design and safety justifications, documentation of the management system are deemed necessary;</w:t>
      </w:r>
    </w:p>
    <w:p w14:paraId="466CB068" w14:textId="0CA4645D" w:rsidR="00911F6F" w:rsidRPr="00911F6F" w:rsidRDefault="00911F6F" w:rsidP="00911F6F">
      <w:pPr>
        <w:pStyle w:val="ListEmdash"/>
        <w:numPr>
          <w:ilvl w:val="0"/>
          <w:numId w:val="34"/>
        </w:numPr>
        <w:ind w:left="709"/>
        <w:rPr>
          <w:lang w:val="en-US"/>
        </w:rPr>
      </w:pPr>
      <w:r w:rsidRPr="00911F6F">
        <w:rPr>
          <w:lang w:val="en-US"/>
        </w:rPr>
        <w:t>potential issues, that may require significant changes to the nuclear facility design, methodology and the results of safety justification, or may significantly complicate or completely preclude licensing of construction and commissioning of the nuclear facility of this design;</w:t>
      </w:r>
    </w:p>
    <w:p w14:paraId="3A607F77" w14:textId="4FB0A6ED" w:rsidR="00911F6F" w:rsidRPr="00911F6F" w:rsidRDefault="00911F6F" w:rsidP="00911F6F">
      <w:pPr>
        <w:pStyle w:val="ListEmdash"/>
        <w:numPr>
          <w:ilvl w:val="0"/>
          <w:numId w:val="34"/>
        </w:numPr>
        <w:ind w:left="709"/>
        <w:rPr>
          <w:lang w:val="en-US"/>
        </w:rPr>
      </w:pPr>
      <w:r w:rsidRPr="00911F6F">
        <w:rPr>
          <w:lang w:val="en-US"/>
        </w:rPr>
        <w:t>sufficiency of conducted or planned research and testing activities to confirm the applicability of design decisions and technologies with limited or no operating experience.</w:t>
      </w:r>
    </w:p>
    <w:p w14:paraId="00FE0140" w14:textId="75A67E41" w:rsidR="00362944" w:rsidRDefault="00362944" w:rsidP="00362944">
      <w:pPr>
        <w:pStyle w:val="a3"/>
        <w:widowControl w:val="0"/>
      </w:pPr>
      <w:r>
        <w:t>The main attributes of the established pre-licensing</w:t>
      </w:r>
      <w:r w:rsidR="009E54F0">
        <w:t xml:space="preserve"> review</w:t>
      </w:r>
      <w:r>
        <w:t xml:space="preserve"> process are as follows:</w:t>
      </w:r>
    </w:p>
    <w:p w14:paraId="1D520F88" w14:textId="3F599814" w:rsidR="004B1C2B" w:rsidRPr="00FF47FD" w:rsidRDefault="00362944" w:rsidP="00FF47FD">
      <w:pPr>
        <w:pStyle w:val="ListEmdash"/>
        <w:numPr>
          <w:ilvl w:val="0"/>
          <w:numId w:val="34"/>
        </w:numPr>
        <w:ind w:left="709"/>
        <w:rPr>
          <w:lang w:val="en-US"/>
        </w:rPr>
      </w:pPr>
      <w:r w:rsidRPr="004B1C2B">
        <w:rPr>
          <w:lang w:val="en-US"/>
        </w:rPr>
        <w:t>related to a conceptual/generic design (</w:t>
      </w:r>
      <w:r w:rsidRPr="00FF47FD">
        <w:rPr>
          <w:lang w:val="en-US"/>
        </w:rPr>
        <w:t xml:space="preserve">several subsequent review steps may occur </w:t>
      </w:r>
      <w:r w:rsidR="00FF47FD" w:rsidRPr="00FF47FD">
        <w:rPr>
          <w:lang w:val="en-US"/>
        </w:rPr>
        <w:t>with each new step requiring higher completeness level of design documentation and safety justifications)</w:t>
      </w:r>
      <w:r w:rsidRPr="004B1C2B">
        <w:rPr>
          <w:lang w:val="en-US"/>
        </w:rPr>
        <w:t>;</w:t>
      </w:r>
    </w:p>
    <w:p w14:paraId="5051E85A" w14:textId="65030F0C" w:rsidR="00E36E9D" w:rsidRPr="00E36E9D" w:rsidRDefault="00362944" w:rsidP="00E36E9D">
      <w:pPr>
        <w:pStyle w:val="ListEmdash"/>
        <w:numPr>
          <w:ilvl w:val="0"/>
          <w:numId w:val="34"/>
        </w:numPr>
        <w:ind w:left="709"/>
      </w:pPr>
      <w:r w:rsidRPr="004B1C2B">
        <w:rPr>
          <w:lang w:val="en-US"/>
        </w:rPr>
        <w:t xml:space="preserve">19 technical </w:t>
      </w:r>
      <w:r w:rsidR="00FA60D8" w:rsidRPr="004B1C2B">
        <w:rPr>
          <w:lang w:val="en-US"/>
        </w:rPr>
        <w:t xml:space="preserve">review </w:t>
      </w:r>
      <w:r w:rsidRPr="004B1C2B">
        <w:rPr>
          <w:lang w:val="en-US"/>
        </w:rPr>
        <w:t xml:space="preserve">areas, covering all principal safety related aspects (show on </w:t>
      </w:r>
      <w:r w:rsidRPr="004B1C2B">
        <w:rPr>
          <w:lang w:val="en-US"/>
        </w:rPr>
        <w:fldChar w:fldCharType="begin"/>
      </w:r>
      <w:r w:rsidRPr="004B1C2B">
        <w:rPr>
          <w:lang w:val="en-US"/>
        </w:rPr>
        <w:instrText xml:space="preserve"> REF _Ref167635403 \h  \* MERGEFORMAT </w:instrText>
      </w:r>
      <w:r w:rsidRPr="004B1C2B">
        <w:rPr>
          <w:lang w:val="en-US"/>
        </w:rPr>
      </w:r>
      <w:r w:rsidRPr="004B1C2B">
        <w:rPr>
          <w:lang w:val="en-US"/>
        </w:rPr>
        <w:fldChar w:fldCharType="separate"/>
      </w:r>
      <w:r w:rsidR="00A514DB" w:rsidRPr="00DA23E8">
        <w:t>Fig</w:t>
      </w:r>
      <w:r w:rsidR="00A71BA0">
        <w:t>.</w:t>
      </w:r>
      <w:r w:rsidR="00A514DB" w:rsidRPr="00DA23E8">
        <w:t xml:space="preserve"> </w:t>
      </w:r>
      <w:r w:rsidR="00A514DB" w:rsidRPr="00DA23E8">
        <w:rPr>
          <w:noProof/>
        </w:rPr>
        <w:t>1</w:t>
      </w:r>
      <w:r w:rsidRPr="004B1C2B">
        <w:rPr>
          <w:lang w:val="en-US"/>
        </w:rPr>
        <w:fldChar w:fldCharType="end"/>
      </w:r>
      <w:r w:rsidRPr="004B1C2B">
        <w:rPr>
          <w:lang w:val="en-US"/>
        </w:rPr>
        <w:t>);</w:t>
      </w:r>
    </w:p>
    <w:p w14:paraId="0DDF1B66" w14:textId="4CB17E95" w:rsidR="00362944" w:rsidRPr="00E36E9D" w:rsidRDefault="00362944" w:rsidP="00E36E9D">
      <w:pPr>
        <w:pStyle w:val="ListEmdash"/>
        <w:numPr>
          <w:ilvl w:val="0"/>
          <w:numId w:val="34"/>
        </w:numPr>
        <w:ind w:left="709"/>
      </w:pPr>
      <w:r>
        <w:t>not addressing site specific issues.</w:t>
      </w:r>
    </w:p>
    <w:p w14:paraId="1CF9E9CA" w14:textId="454F40F0" w:rsidR="000906AD" w:rsidRPr="006D4428" w:rsidRDefault="008118D1" w:rsidP="0028741E">
      <w:pPr>
        <w:pStyle w:val="a3"/>
        <w:widowControl w:val="0"/>
        <w:ind w:firstLine="0"/>
        <w:jc w:val="center"/>
      </w:pPr>
      <w:r>
        <w:rPr>
          <w:noProof/>
          <w:lang w:val="uk-UA" w:eastAsia="uk-UA"/>
        </w:rPr>
        <w:drawing>
          <wp:inline distT="0" distB="0" distL="0" distR="0" wp14:anchorId="0C7B0B69" wp14:editId="22B8846E">
            <wp:extent cx="5134560" cy="386442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4195" cy="3879207"/>
                    </a:xfrm>
                    <a:prstGeom prst="rect">
                      <a:avLst/>
                    </a:prstGeom>
                  </pic:spPr>
                </pic:pic>
              </a:graphicData>
            </a:graphic>
          </wp:inline>
        </w:drawing>
      </w:r>
    </w:p>
    <w:p w14:paraId="7456B75E" w14:textId="673C21BF" w:rsidR="00362944" w:rsidRPr="00DB4746" w:rsidRDefault="00362944" w:rsidP="00362944">
      <w:pPr>
        <w:pStyle w:val="a9"/>
        <w:jc w:val="center"/>
        <w:rPr>
          <w:bCs w:val="0"/>
          <w:i/>
          <w:iCs/>
          <w:szCs w:val="18"/>
        </w:rPr>
      </w:pPr>
      <w:bookmarkStart w:id="0" w:name="_Ref167635403"/>
      <w:r w:rsidRPr="00DB4746">
        <w:rPr>
          <w:bCs w:val="0"/>
          <w:i/>
          <w:iCs/>
          <w:szCs w:val="18"/>
        </w:rPr>
        <w:t>F</w:t>
      </w:r>
      <w:r w:rsidR="007A7C9F">
        <w:rPr>
          <w:bCs w:val="0"/>
          <w:i/>
          <w:iCs/>
          <w:szCs w:val="18"/>
        </w:rPr>
        <w:t>IG</w:t>
      </w:r>
      <w:r w:rsidR="007531C6" w:rsidRPr="00DB4746">
        <w:rPr>
          <w:bCs w:val="0"/>
          <w:i/>
          <w:iCs/>
          <w:szCs w:val="18"/>
        </w:rPr>
        <w:t>.</w:t>
      </w:r>
      <w:r w:rsidRPr="00DB4746">
        <w:rPr>
          <w:bCs w:val="0"/>
          <w:i/>
          <w:iCs/>
          <w:szCs w:val="18"/>
        </w:rPr>
        <w:t xml:space="preserve"> </w:t>
      </w:r>
      <w:r w:rsidRPr="00DB4746">
        <w:rPr>
          <w:bCs w:val="0"/>
          <w:i/>
          <w:iCs/>
          <w:szCs w:val="18"/>
        </w:rPr>
        <w:fldChar w:fldCharType="begin"/>
      </w:r>
      <w:r w:rsidRPr="00DB4746">
        <w:rPr>
          <w:bCs w:val="0"/>
          <w:i/>
          <w:iCs/>
          <w:szCs w:val="18"/>
        </w:rPr>
        <w:instrText xml:space="preserve"> SEQ Figure \* ARABIC </w:instrText>
      </w:r>
      <w:r w:rsidRPr="00DB4746">
        <w:rPr>
          <w:bCs w:val="0"/>
          <w:i/>
          <w:iCs/>
          <w:szCs w:val="18"/>
        </w:rPr>
        <w:fldChar w:fldCharType="separate"/>
      </w:r>
      <w:r w:rsidR="00A514DB" w:rsidRPr="00DB4746">
        <w:rPr>
          <w:bCs w:val="0"/>
          <w:i/>
          <w:iCs/>
          <w:noProof/>
          <w:szCs w:val="18"/>
        </w:rPr>
        <w:t>1</w:t>
      </w:r>
      <w:r w:rsidRPr="00DB4746">
        <w:rPr>
          <w:bCs w:val="0"/>
          <w:i/>
          <w:iCs/>
          <w:szCs w:val="18"/>
        </w:rPr>
        <w:fldChar w:fldCharType="end"/>
      </w:r>
      <w:bookmarkEnd w:id="0"/>
      <w:r w:rsidR="00287FEA">
        <w:rPr>
          <w:bCs w:val="0"/>
          <w:i/>
          <w:iCs/>
          <w:szCs w:val="18"/>
        </w:rPr>
        <w:t xml:space="preserve">. </w:t>
      </w:r>
      <w:r w:rsidRPr="00DB4746">
        <w:rPr>
          <w:bCs w:val="0"/>
          <w:i/>
          <w:iCs/>
          <w:szCs w:val="18"/>
        </w:rPr>
        <w:t>Technical areas for pre-licensing review</w:t>
      </w:r>
      <w:r w:rsidR="00DD5FB6">
        <w:rPr>
          <w:bCs w:val="0"/>
          <w:i/>
          <w:iCs/>
          <w:szCs w:val="18"/>
        </w:rPr>
        <w:t>.</w:t>
      </w:r>
    </w:p>
    <w:p w14:paraId="3D9847A4" w14:textId="1BD4B5A1" w:rsidR="00FF47FD" w:rsidRPr="00FF47FD" w:rsidRDefault="00FF47FD" w:rsidP="00FF47FD">
      <w:pPr>
        <w:pStyle w:val="a3"/>
        <w:widowControl w:val="0"/>
      </w:pPr>
      <w:r>
        <w:rPr>
          <w:lang w:val="en-US"/>
        </w:rPr>
        <w:lastRenderedPageBreak/>
        <w:t>There are three</w:t>
      </w:r>
      <w:r w:rsidRPr="00FF47FD">
        <w:t xml:space="preserve"> stages of the pre-licensing review:</w:t>
      </w:r>
    </w:p>
    <w:p w14:paraId="16013041" w14:textId="77777777" w:rsidR="00FF47FD" w:rsidRPr="00FF47FD" w:rsidRDefault="00FF47FD" w:rsidP="00FF47FD">
      <w:pPr>
        <w:pStyle w:val="ListEmdash"/>
        <w:numPr>
          <w:ilvl w:val="0"/>
          <w:numId w:val="34"/>
        </w:numPr>
        <w:ind w:left="709"/>
        <w:rPr>
          <w:lang w:val="en-US"/>
        </w:rPr>
      </w:pPr>
      <w:r w:rsidRPr="00FF47FD">
        <w:rPr>
          <w:lang w:val="en-US"/>
        </w:rPr>
        <w:t>Evaluation of the conceptual design of the nuclear facility;</w:t>
      </w:r>
    </w:p>
    <w:p w14:paraId="46A4E0A4" w14:textId="77777777" w:rsidR="00FF47FD" w:rsidRPr="00FF47FD" w:rsidRDefault="00FF47FD" w:rsidP="00FF47FD">
      <w:pPr>
        <w:pStyle w:val="ListEmdash"/>
        <w:numPr>
          <w:ilvl w:val="0"/>
          <w:numId w:val="34"/>
        </w:numPr>
        <w:ind w:left="709"/>
        <w:rPr>
          <w:lang w:val="en-US"/>
        </w:rPr>
      </w:pPr>
      <w:r w:rsidRPr="00FF47FD">
        <w:rPr>
          <w:lang w:val="en-US"/>
        </w:rPr>
        <w:t>General evaluation of the nuclear facility design;</w:t>
      </w:r>
    </w:p>
    <w:p w14:paraId="3E4AC1CE" w14:textId="77777777" w:rsidR="00FF47FD" w:rsidRPr="00FF47FD" w:rsidRDefault="00FF47FD" w:rsidP="00FF47FD">
      <w:pPr>
        <w:pStyle w:val="ListEmdash"/>
        <w:numPr>
          <w:ilvl w:val="0"/>
          <w:numId w:val="34"/>
        </w:numPr>
        <w:ind w:left="709"/>
        <w:rPr>
          <w:lang w:val="en-US"/>
        </w:rPr>
      </w:pPr>
      <w:r w:rsidRPr="00FF47FD">
        <w:rPr>
          <w:lang w:val="en-US"/>
        </w:rPr>
        <w:t>Detailed evaluation of the nuclear facility design in specific areas.</w:t>
      </w:r>
    </w:p>
    <w:p w14:paraId="54F9C796" w14:textId="77777777" w:rsidR="00FF47FD" w:rsidRPr="00FF47FD" w:rsidRDefault="00FF47FD" w:rsidP="00FF47FD">
      <w:pPr>
        <w:pStyle w:val="a3"/>
        <w:widowControl w:val="0"/>
      </w:pPr>
      <w:r w:rsidRPr="00FF47FD">
        <w:t>As with the pre-licensing review as a whole, none of the stages are mandatory, and the need for their implementation is determined by the designer, vendor or other organization requesting the review. At each subsequent stage of the evaluation, the required level of readiness of design documentation and the detail of the nuclear facility safety justifications increase.</w:t>
      </w:r>
    </w:p>
    <w:p w14:paraId="0D6AB7D6" w14:textId="77777777" w:rsidR="00FF47FD" w:rsidRPr="00FF47FD" w:rsidRDefault="00FF47FD" w:rsidP="00FF47FD">
      <w:pPr>
        <w:pStyle w:val="a3"/>
        <w:widowControl w:val="0"/>
      </w:pPr>
      <w:r w:rsidRPr="00FF47FD">
        <w:t>In the first stage, a familiarization with the nuclear facility design is conducted. This includes understanding the fundamental decisions and approaches underlying the design, the purpose, principles, and operating modes of the main systems and components, and the documentation of the management system, including the methodologies and guidelines used or planned to be used in the development of the design and the safety justifications. Their compliance with the main safety principles and criteria, as well as with the general safety provisions for nuclear facilities of the relevant type, is evaluated. It is verified that the documentation provided for this stage of the pre-licensing review outlines acceptable intents and approaches for adequately addressing the requirements of national regulations into the nuclear facility design.</w:t>
      </w:r>
    </w:p>
    <w:p w14:paraId="7B89A9DB" w14:textId="77777777" w:rsidR="00FF47FD" w:rsidRPr="00FF47FD" w:rsidRDefault="00FF47FD" w:rsidP="00FF47FD">
      <w:pPr>
        <w:pStyle w:val="a3"/>
        <w:widowControl w:val="0"/>
      </w:pPr>
      <w:r w:rsidRPr="00FF47FD">
        <w:t>The second stage of the review involves evaluation of compliance of design documentation with national safety regulations and rules, or, in their absence on specific issues, with the requirements and recommendations of international organizations (IAEA, WENRA). The acceptability of the information provided regarding the planned scope, approaches, and methods for completing the work on the development and justification of the nuclear facility safety is determined.</w:t>
      </w:r>
    </w:p>
    <w:p w14:paraId="2FAD1F9B" w14:textId="1E855746" w:rsidR="00FF47FD" w:rsidRDefault="00FF47FD" w:rsidP="00FF47FD">
      <w:pPr>
        <w:pStyle w:val="a3"/>
        <w:widowControl w:val="0"/>
      </w:pPr>
      <w:r w:rsidRPr="00FF47FD">
        <w:t>In the final, third stage of the review, documentation is examined in specific technical areas where potential issues were identified in the previous stages. These issues might require significant changes to the nuclear facility design, the methodology, and the results of the safety justifications. The scope of the pre-licensing review conducted at this stage may be supplemented with additional technical areas at the request of the organization requesting the review</w:t>
      </w:r>
      <w:r w:rsidR="00B106EA">
        <w:t>.</w:t>
      </w:r>
    </w:p>
    <w:p w14:paraId="61024E04" w14:textId="080E3C89" w:rsidR="005800B2" w:rsidRDefault="005800B2" w:rsidP="005800B2">
      <w:pPr>
        <w:pStyle w:val="2"/>
        <w:numPr>
          <w:ilvl w:val="1"/>
          <w:numId w:val="10"/>
        </w:numPr>
      </w:pPr>
      <w:r>
        <w:t>FIRST INSIGHTS FROM THE PRE-LICENSING REVIEW GUIDANCE APPLICATION</w:t>
      </w:r>
    </w:p>
    <w:p w14:paraId="5E7842FE" w14:textId="77777777" w:rsidR="00B106EA" w:rsidRPr="004455E9" w:rsidRDefault="00B106EA" w:rsidP="00B106EA">
      <w:pPr>
        <w:pStyle w:val="a3"/>
        <w:widowControl w:val="0"/>
      </w:pPr>
      <w:r w:rsidRPr="0028741E">
        <w:t>As part of international cooperation, some pilot review activities are currently being conducted to enable practical application of the guidance document for SMRs (LWR design), providing feedback for its further improvement.</w:t>
      </w:r>
    </w:p>
    <w:p w14:paraId="7C17EAD2" w14:textId="15063159" w:rsidR="00246DF6" w:rsidRDefault="005A777F" w:rsidP="00362944">
      <w:pPr>
        <w:pStyle w:val="a3"/>
        <w:widowControl w:val="0"/>
        <w:rPr>
          <w:lang w:val="en-US"/>
        </w:rPr>
      </w:pPr>
      <w:r>
        <w:rPr>
          <w:lang w:val="en-US"/>
        </w:rPr>
        <w:t>The pre-licensing review is limited by several focus</w:t>
      </w:r>
      <w:r w:rsidR="00246DF6" w:rsidRPr="00246DF6">
        <w:rPr>
          <w:lang w:val="en-US"/>
        </w:rPr>
        <w:t xml:space="preserve"> </w:t>
      </w:r>
      <w:r w:rsidRPr="00246DF6">
        <w:rPr>
          <w:lang w:val="en-US"/>
        </w:rPr>
        <w:t>areas</w:t>
      </w:r>
      <w:r w:rsidR="00242DCB">
        <w:rPr>
          <w:lang w:val="en-US"/>
        </w:rPr>
        <w:t>, including the following</w:t>
      </w:r>
      <w:r>
        <w:rPr>
          <w:lang w:val="en-US"/>
        </w:rPr>
        <w:t>:</w:t>
      </w:r>
    </w:p>
    <w:p w14:paraId="26E30839" w14:textId="0CD3C1AE" w:rsidR="005A777F" w:rsidRDefault="00742EEA" w:rsidP="0099770C">
      <w:pPr>
        <w:pStyle w:val="ListEmdash"/>
        <w:numPr>
          <w:ilvl w:val="0"/>
          <w:numId w:val="34"/>
        </w:numPr>
        <w:ind w:left="709"/>
      </w:pPr>
      <w:r>
        <w:t>g</w:t>
      </w:r>
      <w:r w:rsidRPr="00742EEA">
        <w:t xml:space="preserve">eneral </w:t>
      </w:r>
      <w:r>
        <w:t>a</w:t>
      </w:r>
      <w:r w:rsidRPr="00742EEA">
        <w:t xml:space="preserve">spects of </w:t>
      </w:r>
      <w:r>
        <w:t>s</w:t>
      </w:r>
      <w:r w:rsidRPr="00742EEA">
        <w:t xml:space="preserve">afety </w:t>
      </w:r>
      <w:r>
        <w:t>analysis</w:t>
      </w:r>
      <w:r w:rsidR="005A777F">
        <w:t>: this area</w:t>
      </w:r>
      <w:r w:rsidR="005A777F" w:rsidRPr="005A777F">
        <w:t xml:space="preserve"> cover</w:t>
      </w:r>
      <w:r w:rsidR="00242DCB">
        <w:t>s</w:t>
      </w:r>
      <w:r w:rsidR="005A777F" w:rsidRPr="005A777F">
        <w:t xml:space="preserve"> </w:t>
      </w:r>
      <w:r w:rsidR="005A777F">
        <w:t>both deterministic and probabilistic analysis, respective acceptance criteria, identification of postulated initiating events and accident scenarios</w:t>
      </w:r>
      <w:r w:rsidR="005A777F" w:rsidRPr="005A777F">
        <w:t>,</w:t>
      </w:r>
      <w:r w:rsidR="005A777F">
        <w:t xml:space="preserve"> methodology</w:t>
      </w:r>
      <w:r w:rsidR="00242DCB">
        <w:t>, documentation</w:t>
      </w:r>
      <w:r w:rsidR="005A777F">
        <w:t xml:space="preserve"> etc.</w:t>
      </w:r>
      <w:r w:rsidR="00704226">
        <w:t>;</w:t>
      </w:r>
    </w:p>
    <w:p w14:paraId="2A5D759B" w14:textId="0906DC7D" w:rsidR="00742EEA" w:rsidRPr="00742EEA" w:rsidRDefault="00242DCB" w:rsidP="00455116">
      <w:pPr>
        <w:pStyle w:val="ListEmdash"/>
        <w:numPr>
          <w:ilvl w:val="0"/>
          <w:numId w:val="34"/>
        </w:numPr>
        <w:ind w:left="709"/>
      </w:pPr>
      <w:r>
        <w:t>d</w:t>
      </w:r>
      <w:r w:rsidR="00742EEA" w:rsidRPr="00742EEA">
        <w:t xml:space="preserve">esign </w:t>
      </w:r>
      <w:r>
        <w:t>e</w:t>
      </w:r>
      <w:r w:rsidR="00742EEA" w:rsidRPr="00742EEA">
        <w:t xml:space="preserve">xtension </w:t>
      </w:r>
      <w:r>
        <w:t>c</w:t>
      </w:r>
      <w:r w:rsidR="00742EEA" w:rsidRPr="00742EEA">
        <w:t>onditions:</w:t>
      </w:r>
      <w:r>
        <w:t xml:space="preserve"> this area presents review </w:t>
      </w:r>
      <w:r w:rsidR="00704226">
        <w:t>of methods of identification and completeness of selected d</w:t>
      </w:r>
      <w:r w:rsidR="00EE348A">
        <w:t xml:space="preserve">esign extension conditions </w:t>
      </w:r>
      <w:r w:rsidR="00704226">
        <w:t xml:space="preserve">without significant fuel degradation (DEC-A) and with fuel melting (DEC-B), phenomenology of severe accidents, </w:t>
      </w:r>
      <w:r w:rsidR="00742EEA" w:rsidRPr="00742EEA">
        <w:t xml:space="preserve">adequacy of design features for </w:t>
      </w:r>
      <w:r w:rsidR="00FF47FD" w:rsidRPr="00FF47FD">
        <w:t>confining radioactive material, control and limitation of radioactive releases</w:t>
      </w:r>
      <w:r w:rsidR="00FF47FD">
        <w:t xml:space="preserve"> </w:t>
      </w:r>
      <w:r w:rsidR="00704226">
        <w:t>etc.;</w:t>
      </w:r>
    </w:p>
    <w:p w14:paraId="5E7576A6" w14:textId="4CAAC41F" w:rsidR="00742EEA" w:rsidRPr="00742EEA" w:rsidRDefault="00EE348A" w:rsidP="0099770C">
      <w:pPr>
        <w:pStyle w:val="ListEmdash"/>
        <w:numPr>
          <w:ilvl w:val="0"/>
          <w:numId w:val="34"/>
        </w:numPr>
        <w:ind w:left="709"/>
      </w:pPr>
      <w:r>
        <w:t>r</w:t>
      </w:r>
      <w:r w:rsidR="00742EEA" w:rsidRPr="00742EEA">
        <w:t xml:space="preserve">eactor </w:t>
      </w:r>
      <w:r>
        <w:t>c</w:t>
      </w:r>
      <w:r w:rsidR="00742EEA" w:rsidRPr="00742EEA">
        <w:t xml:space="preserve">ore and </w:t>
      </w:r>
      <w:r>
        <w:t>f</w:t>
      </w:r>
      <w:r w:rsidR="00742EEA" w:rsidRPr="00742EEA">
        <w:t xml:space="preserve">uel </w:t>
      </w:r>
      <w:r>
        <w:t>m</w:t>
      </w:r>
      <w:r w:rsidR="00742EEA" w:rsidRPr="00742EEA">
        <w:t xml:space="preserve">anagement: </w:t>
      </w:r>
      <w:r w:rsidR="00704226">
        <w:t xml:space="preserve">this area covers the review of </w:t>
      </w:r>
      <w:r w:rsidR="00704226" w:rsidRPr="00A46BBD">
        <w:rPr>
          <w:lang w:val="en-US"/>
        </w:rPr>
        <w:t>design of fuel elements and fuel assemblies</w:t>
      </w:r>
      <w:r w:rsidR="00704226">
        <w:rPr>
          <w:lang w:val="en-US"/>
        </w:rPr>
        <w:t xml:space="preserve">, </w:t>
      </w:r>
      <w:r w:rsidR="00704226" w:rsidRPr="00A46BBD">
        <w:rPr>
          <w:lang w:val="en-US"/>
        </w:rPr>
        <w:t>qualification program of nuclear fuel</w:t>
      </w:r>
      <w:r w:rsidR="00704226">
        <w:rPr>
          <w:lang w:val="en-US"/>
        </w:rPr>
        <w:t>, etc.</w:t>
      </w:r>
    </w:p>
    <w:p w14:paraId="2DAA714B" w14:textId="64A447C1" w:rsidR="002D41AF" w:rsidRDefault="00704226" w:rsidP="00362944">
      <w:pPr>
        <w:pStyle w:val="a3"/>
        <w:widowControl w:val="0"/>
        <w:rPr>
          <w:lang w:val="en-US"/>
        </w:rPr>
      </w:pPr>
      <w:r>
        <w:rPr>
          <w:lang w:val="en-US"/>
        </w:rPr>
        <w:t>At the beginning of the review process</w:t>
      </w:r>
      <w:r w:rsidR="00F817F3" w:rsidRPr="00F817F3">
        <w:rPr>
          <w:lang w:val="en-US"/>
        </w:rPr>
        <w:t>, a comprehensive set of national regulations and international standards has been established, ser</w:t>
      </w:r>
      <w:r w:rsidR="00F817F3">
        <w:rPr>
          <w:lang w:val="en-US"/>
        </w:rPr>
        <w:t>ving as a basis for defining review criteria</w:t>
      </w:r>
      <w:r w:rsidR="00F817F3" w:rsidRPr="00F817F3">
        <w:rPr>
          <w:lang w:val="en-US"/>
        </w:rPr>
        <w:t xml:space="preserve"> </w:t>
      </w:r>
      <w:r>
        <w:rPr>
          <w:lang w:val="en-US"/>
        </w:rPr>
        <w:t>(</w:t>
      </w:r>
      <w:r w:rsidRPr="00E357BD">
        <w:rPr>
          <w:lang w:val="en-US"/>
        </w:rPr>
        <w:t xml:space="preserve">example </w:t>
      </w:r>
      <w:r w:rsidR="002D41AF" w:rsidRPr="00E357BD">
        <w:rPr>
          <w:lang w:val="en-US"/>
        </w:rPr>
        <w:t xml:space="preserve">for DEC review is shown on </w:t>
      </w:r>
      <w:r w:rsidR="002D41AF" w:rsidRPr="00E357BD">
        <w:rPr>
          <w:lang w:val="en-US"/>
        </w:rPr>
        <w:fldChar w:fldCharType="begin"/>
      </w:r>
      <w:r w:rsidR="002D41AF" w:rsidRPr="00E357BD">
        <w:rPr>
          <w:lang w:val="en-US"/>
        </w:rPr>
        <w:instrText xml:space="preserve"> REF _Ref167715240 \h  \* MERGEFORMAT </w:instrText>
      </w:r>
      <w:r w:rsidR="002D41AF" w:rsidRPr="00E357BD">
        <w:rPr>
          <w:lang w:val="en-US"/>
        </w:rPr>
      </w:r>
      <w:r w:rsidR="002D41AF" w:rsidRPr="00E357BD">
        <w:rPr>
          <w:lang w:val="en-US"/>
        </w:rPr>
        <w:fldChar w:fldCharType="separate"/>
      </w:r>
      <w:r w:rsidR="002D41AF" w:rsidRPr="00E357BD">
        <w:rPr>
          <w:lang w:val="en-US"/>
        </w:rPr>
        <w:t>Fig</w:t>
      </w:r>
      <w:r w:rsidR="00292F8D">
        <w:rPr>
          <w:lang w:val="en-US"/>
        </w:rPr>
        <w:t>.</w:t>
      </w:r>
      <w:r w:rsidR="002D41AF" w:rsidRPr="00E357BD">
        <w:rPr>
          <w:lang w:val="en-US"/>
        </w:rPr>
        <w:t xml:space="preserve"> 2</w:t>
      </w:r>
      <w:r w:rsidR="002D41AF" w:rsidRPr="00E357BD">
        <w:rPr>
          <w:lang w:val="en-US"/>
        </w:rPr>
        <w:fldChar w:fldCharType="end"/>
      </w:r>
      <w:r w:rsidR="002D41AF" w:rsidRPr="00E357BD">
        <w:rPr>
          <w:lang w:val="en-US"/>
        </w:rPr>
        <w:t>).</w:t>
      </w:r>
    </w:p>
    <w:p w14:paraId="73672407" w14:textId="533C53F3" w:rsidR="001A6951" w:rsidRDefault="008118D1" w:rsidP="00D016A9">
      <w:pPr>
        <w:pStyle w:val="a3"/>
        <w:widowControl w:val="0"/>
        <w:ind w:firstLine="0"/>
        <w:jc w:val="center"/>
      </w:pPr>
      <w:r>
        <w:rPr>
          <w:noProof/>
          <w:lang w:val="uk-UA" w:eastAsia="uk-UA"/>
        </w:rPr>
        <w:lastRenderedPageBreak/>
        <w:drawing>
          <wp:inline distT="0" distB="0" distL="0" distR="0" wp14:anchorId="4C6D7EE6" wp14:editId="245FED9B">
            <wp:extent cx="5732145" cy="446468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4464685"/>
                    </a:xfrm>
                    <a:prstGeom prst="rect">
                      <a:avLst/>
                    </a:prstGeom>
                  </pic:spPr>
                </pic:pic>
              </a:graphicData>
            </a:graphic>
          </wp:inline>
        </w:drawing>
      </w:r>
    </w:p>
    <w:p w14:paraId="6A58827C" w14:textId="5282BB53" w:rsidR="00704226" w:rsidRPr="00DB25EE" w:rsidRDefault="00704226" w:rsidP="00704226">
      <w:pPr>
        <w:pStyle w:val="a9"/>
        <w:jc w:val="center"/>
        <w:rPr>
          <w:bCs w:val="0"/>
          <w:i/>
          <w:iCs/>
          <w:szCs w:val="18"/>
        </w:rPr>
      </w:pPr>
      <w:bookmarkStart w:id="1" w:name="_Ref167715240"/>
      <w:r w:rsidRPr="00DB25EE">
        <w:rPr>
          <w:bCs w:val="0"/>
          <w:i/>
          <w:iCs/>
          <w:szCs w:val="18"/>
        </w:rPr>
        <w:t>F</w:t>
      </w:r>
      <w:r w:rsidR="007A7C9F">
        <w:rPr>
          <w:bCs w:val="0"/>
          <w:i/>
          <w:iCs/>
          <w:szCs w:val="18"/>
        </w:rPr>
        <w:t>IG</w:t>
      </w:r>
      <w:r w:rsidR="007531C6" w:rsidRPr="00DB25EE">
        <w:rPr>
          <w:bCs w:val="0"/>
          <w:i/>
          <w:iCs/>
          <w:szCs w:val="18"/>
        </w:rPr>
        <w:t>.</w:t>
      </w:r>
      <w:r w:rsidRPr="00DB25EE">
        <w:rPr>
          <w:bCs w:val="0"/>
          <w:i/>
          <w:iCs/>
          <w:szCs w:val="18"/>
        </w:rPr>
        <w:t xml:space="preserve"> </w:t>
      </w:r>
      <w:r w:rsidRPr="00DB25EE">
        <w:rPr>
          <w:bCs w:val="0"/>
          <w:i/>
          <w:iCs/>
          <w:szCs w:val="18"/>
        </w:rPr>
        <w:fldChar w:fldCharType="begin"/>
      </w:r>
      <w:r w:rsidRPr="00DB25EE">
        <w:rPr>
          <w:bCs w:val="0"/>
          <w:i/>
          <w:iCs/>
          <w:szCs w:val="18"/>
        </w:rPr>
        <w:instrText xml:space="preserve"> SEQ Figure \* ARABIC </w:instrText>
      </w:r>
      <w:r w:rsidRPr="00DB25EE">
        <w:rPr>
          <w:bCs w:val="0"/>
          <w:i/>
          <w:iCs/>
          <w:szCs w:val="18"/>
        </w:rPr>
        <w:fldChar w:fldCharType="separate"/>
      </w:r>
      <w:r w:rsidRPr="00DB25EE">
        <w:rPr>
          <w:bCs w:val="0"/>
          <w:i/>
          <w:iCs/>
          <w:noProof/>
          <w:szCs w:val="18"/>
        </w:rPr>
        <w:t>2</w:t>
      </w:r>
      <w:r w:rsidRPr="00DB25EE">
        <w:rPr>
          <w:bCs w:val="0"/>
          <w:i/>
          <w:iCs/>
          <w:szCs w:val="18"/>
        </w:rPr>
        <w:fldChar w:fldCharType="end"/>
      </w:r>
      <w:bookmarkEnd w:id="1"/>
      <w:r w:rsidR="00DB25EE">
        <w:rPr>
          <w:bCs w:val="0"/>
          <w:i/>
          <w:iCs/>
          <w:szCs w:val="18"/>
        </w:rPr>
        <w:t xml:space="preserve">. </w:t>
      </w:r>
      <w:r w:rsidRPr="00DB25EE">
        <w:rPr>
          <w:bCs w:val="0"/>
          <w:i/>
          <w:iCs/>
          <w:szCs w:val="18"/>
        </w:rPr>
        <w:t xml:space="preserve">National regulations/international standards </w:t>
      </w:r>
      <w:r w:rsidR="00835594" w:rsidRPr="00DB25EE">
        <w:rPr>
          <w:bCs w:val="0"/>
          <w:i/>
          <w:iCs/>
          <w:szCs w:val="18"/>
        </w:rPr>
        <w:t xml:space="preserve">basis </w:t>
      </w:r>
      <w:r w:rsidRPr="00DB25EE">
        <w:rPr>
          <w:bCs w:val="0"/>
          <w:i/>
          <w:iCs/>
          <w:szCs w:val="18"/>
        </w:rPr>
        <w:t>for pre-licensing review of design extension conditions</w:t>
      </w:r>
      <w:r w:rsidR="007A7C9F">
        <w:rPr>
          <w:bCs w:val="0"/>
          <w:i/>
          <w:iCs/>
          <w:szCs w:val="18"/>
        </w:rPr>
        <w:t>.</w:t>
      </w:r>
    </w:p>
    <w:p w14:paraId="7F1E3EF4" w14:textId="77777777" w:rsidR="00F30757" w:rsidRDefault="00F30757" w:rsidP="002D41AF">
      <w:pPr>
        <w:pStyle w:val="a3"/>
        <w:widowControl w:val="0"/>
        <w:rPr>
          <w:lang w:val="en-US"/>
        </w:rPr>
      </w:pPr>
    </w:p>
    <w:p w14:paraId="39027199" w14:textId="47C61D5E" w:rsidR="00F30757" w:rsidRPr="00F30757" w:rsidRDefault="008E6763" w:rsidP="00F30757">
      <w:pPr>
        <w:pStyle w:val="a3"/>
        <w:widowControl w:val="0"/>
        <w:rPr>
          <w:lang w:val="en-US"/>
        </w:rPr>
      </w:pPr>
      <w:r>
        <w:rPr>
          <w:lang w:val="en-US"/>
        </w:rPr>
        <w:t>T</w:t>
      </w:r>
      <w:r w:rsidRPr="008E6763">
        <w:rPr>
          <w:lang w:val="en-US"/>
        </w:rPr>
        <w:t xml:space="preserve">he </w:t>
      </w:r>
      <w:r w:rsidR="00FE4CE4">
        <w:rPr>
          <w:lang w:val="en-US"/>
        </w:rPr>
        <w:t xml:space="preserve">on-going </w:t>
      </w:r>
      <w:r w:rsidRPr="008E6763">
        <w:rPr>
          <w:lang w:val="en-US"/>
        </w:rPr>
        <w:t>pre-licensing rev</w:t>
      </w:r>
      <w:r>
        <w:rPr>
          <w:lang w:val="en-US"/>
        </w:rPr>
        <w:t xml:space="preserve">iew </w:t>
      </w:r>
      <w:r w:rsidRPr="008E6763">
        <w:rPr>
          <w:lang w:val="en-US"/>
        </w:rPr>
        <w:t xml:space="preserve">has unveiled several potential issues, as outlined in </w:t>
      </w:r>
      <w:r w:rsidR="00F30757">
        <w:rPr>
          <w:lang w:val="en-US"/>
        </w:rPr>
        <w:fldChar w:fldCharType="begin"/>
      </w:r>
      <w:r w:rsidR="00F30757">
        <w:rPr>
          <w:lang w:val="en-US"/>
        </w:rPr>
        <w:instrText xml:space="preserve"> REF _Ref167715574 \h  \* MERGEFORMAT </w:instrText>
      </w:r>
      <w:r w:rsidR="00F30757">
        <w:rPr>
          <w:lang w:val="en-US"/>
        </w:rPr>
      </w:r>
      <w:r w:rsidR="00F30757">
        <w:rPr>
          <w:lang w:val="en-US"/>
        </w:rPr>
        <w:fldChar w:fldCharType="separate"/>
      </w:r>
      <w:r w:rsidR="00F30757" w:rsidRPr="00F30757">
        <w:rPr>
          <w:lang w:val="en-US"/>
        </w:rPr>
        <w:t>Table 1</w:t>
      </w:r>
      <w:r w:rsidR="00F30757">
        <w:rPr>
          <w:lang w:val="en-US"/>
        </w:rPr>
        <w:fldChar w:fldCharType="end"/>
      </w:r>
      <w:r w:rsidR="00F30757">
        <w:rPr>
          <w:lang w:val="en-US"/>
        </w:rPr>
        <w:t>.</w:t>
      </w:r>
    </w:p>
    <w:p w14:paraId="2B8DEEC6" w14:textId="100AF2C0" w:rsidR="008E6763" w:rsidRDefault="00F30757" w:rsidP="00F817F3">
      <w:pPr>
        <w:pStyle w:val="a3"/>
        <w:widowControl w:val="0"/>
        <w:rPr>
          <w:lang w:val="en-US"/>
        </w:rPr>
      </w:pPr>
      <w:r>
        <w:rPr>
          <w:lang w:val="en-US"/>
        </w:rPr>
        <w:t xml:space="preserve">Another </w:t>
      </w:r>
      <w:r w:rsidR="008E6763">
        <w:rPr>
          <w:lang w:val="en-US"/>
        </w:rPr>
        <w:t xml:space="preserve">inherent for SMRs design topic pointed out </w:t>
      </w:r>
      <w:r w:rsidR="00F817F3">
        <w:rPr>
          <w:lang w:val="en-US"/>
        </w:rPr>
        <w:t>in the course of pre-licensing review is the consideration of multi-</w:t>
      </w:r>
      <w:r w:rsidR="008E6763">
        <w:rPr>
          <w:lang w:val="en-US"/>
        </w:rPr>
        <w:t>module</w:t>
      </w:r>
      <w:r w:rsidR="00F817F3">
        <w:rPr>
          <w:lang w:val="en-US"/>
        </w:rPr>
        <w:t xml:space="preserve"> effects</w:t>
      </w:r>
      <w:r w:rsidR="008E6763">
        <w:rPr>
          <w:lang w:val="en-US"/>
        </w:rPr>
        <w:t xml:space="preserve">. </w:t>
      </w:r>
      <w:r w:rsidR="00445BC4" w:rsidRPr="00445BC4">
        <w:rPr>
          <w:lang w:val="en-US"/>
        </w:rPr>
        <w:t xml:space="preserve">Multi-module </w:t>
      </w:r>
      <w:r w:rsidR="009F1F74">
        <w:rPr>
          <w:lang w:val="en-US"/>
        </w:rPr>
        <w:t xml:space="preserve">SMR </w:t>
      </w:r>
      <w:r w:rsidR="00445BC4">
        <w:rPr>
          <w:lang w:val="en-US"/>
        </w:rPr>
        <w:t>design</w:t>
      </w:r>
      <w:r w:rsidR="00445BC4" w:rsidRPr="00445BC4">
        <w:rPr>
          <w:lang w:val="en-US"/>
        </w:rPr>
        <w:t xml:space="preserve"> can offer </w:t>
      </w:r>
      <w:r w:rsidR="00445BC4">
        <w:rPr>
          <w:lang w:val="en-US"/>
        </w:rPr>
        <w:t xml:space="preserve">some </w:t>
      </w:r>
      <w:r w:rsidR="00445BC4" w:rsidRPr="00445BC4">
        <w:rPr>
          <w:lang w:val="en-US"/>
        </w:rPr>
        <w:t>safety advantages through enhanced availability and reliability of support services.</w:t>
      </w:r>
      <w:r w:rsidR="00445BC4">
        <w:rPr>
          <w:lang w:val="en-US"/>
        </w:rPr>
        <w:t xml:space="preserve"> </w:t>
      </w:r>
      <w:r w:rsidR="008E6763" w:rsidRPr="00612FFE">
        <w:rPr>
          <w:lang w:val="en-US"/>
        </w:rPr>
        <w:t xml:space="preserve">On the other hand, </w:t>
      </w:r>
      <w:r w:rsidR="00445BC4">
        <w:rPr>
          <w:lang w:val="en-US"/>
        </w:rPr>
        <w:t xml:space="preserve">it </w:t>
      </w:r>
      <w:r w:rsidR="008E6763">
        <w:rPr>
          <w:lang w:val="en-US"/>
        </w:rPr>
        <w:t xml:space="preserve">may require specific </w:t>
      </w:r>
      <w:r w:rsidR="009F1F74">
        <w:rPr>
          <w:lang w:val="en-US"/>
        </w:rPr>
        <w:t xml:space="preserve">safety </w:t>
      </w:r>
      <w:r w:rsidR="008E6763">
        <w:rPr>
          <w:lang w:val="en-US"/>
        </w:rPr>
        <w:t>justification</w:t>
      </w:r>
      <w:r w:rsidR="008E6763" w:rsidRPr="00612FFE">
        <w:rPr>
          <w:lang w:val="en-US"/>
        </w:rPr>
        <w:t xml:space="preserve"> </w:t>
      </w:r>
      <w:r w:rsidR="001C67EB">
        <w:rPr>
          <w:lang w:val="en-US"/>
        </w:rPr>
        <w:t>i</w:t>
      </w:r>
      <w:r w:rsidR="00445BC4">
        <w:rPr>
          <w:lang w:val="en-US"/>
        </w:rPr>
        <w:t>n</w:t>
      </w:r>
      <w:r w:rsidR="001C67EB">
        <w:rPr>
          <w:lang w:val="en-US"/>
        </w:rPr>
        <w:t xml:space="preserve"> some specific </w:t>
      </w:r>
      <w:r w:rsidR="009F1F74">
        <w:rPr>
          <w:lang w:val="en-US"/>
        </w:rPr>
        <w:t>aspects</w:t>
      </w:r>
      <w:r w:rsidR="00DE2ED4">
        <w:rPr>
          <w:lang w:val="en-US"/>
        </w:rPr>
        <w:t>, such as</w:t>
      </w:r>
      <w:r w:rsidR="001C67EB">
        <w:rPr>
          <w:lang w:val="en-US"/>
        </w:rPr>
        <w:t>:</w:t>
      </w:r>
    </w:p>
    <w:p w14:paraId="11A39636" w14:textId="492968C5" w:rsidR="001C67EB" w:rsidRDefault="00980081" w:rsidP="008118D1">
      <w:pPr>
        <w:pStyle w:val="a3"/>
        <w:widowControl w:val="0"/>
        <w:numPr>
          <w:ilvl w:val="0"/>
          <w:numId w:val="43"/>
        </w:numPr>
        <w:rPr>
          <w:lang w:val="en-US"/>
        </w:rPr>
      </w:pPr>
      <w:r>
        <w:rPr>
          <w:lang w:val="en-US"/>
        </w:rPr>
        <w:t>Use of s</w:t>
      </w:r>
      <w:r w:rsidR="00F817F3" w:rsidRPr="00F817F3">
        <w:rPr>
          <w:lang w:val="en-US"/>
        </w:rPr>
        <w:t xml:space="preserve">hared system important to safety. </w:t>
      </w:r>
      <w:r w:rsidR="00F817F3">
        <w:rPr>
          <w:lang w:val="en-US"/>
        </w:rPr>
        <w:t>Shared systems should not</w:t>
      </w:r>
      <w:r w:rsidR="00F817F3" w:rsidRPr="00F817F3">
        <w:rPr>
          <w:lang w:val="en-US"/>
        </w:rPr>
        <w:t xml:space="preserve"> compromise overall</w:t>
      </w:r>
      <w:r w:rsidR="001C67EB">
        <w:rPr>
          <w:lang w:val="en-US"/>
        </w:rPr>
        <w:t xml:space="preserve"> plant</w:t>
      </w:r>
      <w:r w:rsidR="00F817F3" w:rsidRPr="00F817F3">
        <w:rPr>
          <w:lang w:val="en-US"/>
        </w:rPr>
        <w:t xml:space="preserve"> safet</w:t>
      </w:r>
      <w:r w:rsidR="00F817F3">
        <w:rPr>
          <w:lang w:val="en-US"/>
        </w:rPr>
        <w:t>y and</w:t>
      </w:r>
      <w:r w:rsidR="00F817F3" w:rsidRPr="00F817F3">
        <w:rPr>
          <w:lang w:val="en-US"/>
        </w:rPr>
        <w:t xml:space="preserve"> safety function they are intended</w:t>
      </w:r>
      <w:r w:rsidR="008E6763">
        <w:rPr>
          <w:lang w:val="en-US"/>
        </w:rPr>
        <w:t xml:space="preserve"> to provide </w:t>
      </w:r>
      <w:r w:rsidR="009F1F74">
        <w:rPr>
          <w:lang w:val="en-US"/>
        </w:rPr>
        <w:t>is to b</w:t>
      </w:r>
      <w:r w:rsidR="008E6763">
        <w:rPr>
          <w:lang w:val="en-US"/>
        </w:rPr>
        <w:t>e ensured for all</w:t>
      </w:r>
      <w:r w:rsidR="001C67EB">
        <w:rPr>
          <w:lang w:val="en-US"/>
        </w:rPr>
        <w:t xml:space="preserve"> </w:t>
      </w:r>
      <w:r w:rsidR="00DE2ED4">
        <w:rPr>
          <w:lang w:val="en-US"/>
        </w:rPr>
        <w:t xml:space="preserve">accident </w:t>
      </w:r>
      <w:r w:rsidR="001C67EB">
        <w:rPr>
          <w:lang w:val="en-US"/>
        </w:rPr>
        <w:t xml:space="preserve">scenarios and for each module. There is </w:t>
      </w:r>
      <w:r w:rsidR="009F1F74">
        <w:rPr>
          <w:lang w:val="en-US"/>
        </w:rPr>
        <w:t xml:space="preserve">specific </w:t>
      </w:r>
      <w:r w:rsidR="001C67EB">
        <w:rPr>
          <w:lang w:val="en-US"/>
        </w:rPr>
        <w:t xml:space="preserve">requirement in </w:t>
      </w:r>
      <w:r w:rsidR="001C67EB" w:rsidRPr="001C67EB">
        <w:rPr>
          <w:lang w:val="en-US"/>
        </w:rPr>
        <w:t xml:space="preserve">NP 306.2.245-2024 </w:t>
      </w:r>
      <w:r w:rsidR="001C67EB">
        <w:rPr>
          <w:lang w:val="en-US"/>
        </w:rPr>
        <w:fldChar w:fldCharType="begin"/>
      </w:r>
      <w:r w:rsidR="001C67EB">
        <w:rPr>
          <w:lang w:val="en-US"/>
        </w:rPr>
        <w:instrText xml:space="preserve"> REF _Ref167698400 \r \h </w:instrText>
      </w:r>
      <w:r w:rsidR="001C67EB">
        <w:rPr>
          <w:lang w:val="en-US"/>
        </w:rPr>
      </w:r>
      <w:r w:rsidR="001C67EB">
        <w:rPr>
          <w:lang w:val="en-US"/>
        </w:rPr>
        <w:fldChar w:fldCharType="separate"/>
      </w:r>
      <w:r w:rsidR="001C67EB">
        <w:rPr>
          <w:lang w:val="en-US"/>
        </w:rPr>
        <w:t>[6]</w:t>
      </w:r>
      <w:r w:rsidR="001C67EB">
        <w:rPr>
          <w:lang w:val="en-US"/>
        </w:rPr>
        <w:fldChar w:fldCharType="end"/>
      </w:r>
      <w:r w:rsidR="001C67EB">
        <w:rPr>
          <w:lang w:val="en-US"/>
        </w:rPr>
        <w:t xml:space="preserve"> for multi-unit site that could be applied for multi-module </w:t>
      </w:r>
      <w:r w:rsidR="00DE2ED4">
        <w:rPr>
          <w:lang w:val="en-US"/>
        </w:rPr>
        <w:t xml:space="preserve">SMR </w:t>
      </w:r>
      <w:r w:rsidR="001C67EB">
        <w:rPr>
          <w:lang w:val="en-US"/>
        </w:rPr>
        <w:t>design with due consideration of modules proximity, integration etc.</w:t>
      </w:r>
    </w:p>
    <w:p w14:paraId="634F1C44" w14:textId="768EE7F5" w:rsidR="001C67EB" w:rsidRDefault="001C67EB" w:rsidP="001C67EB">
      <w:pPr>
        <w:pStyle w:val="a3"/>
        <w:widowControl w:val="0"/>
        <w:ind w:left="927" w:firstLine="0"/>
        <w:rPr>
          <w:lang w:val="en-US"/>
        </w:rPr>
      </w:pPr>
      <w:r w:rsidRPr="001C67EB">
        <w:rPr>
          <w:lang w:val="en-US"/>
        </w:rPr>
        <w:t>An exam</w:t>
      </w:r>
      <w:r>
        <w:rPr>
          <w:lang w:val="en-US"/>
        </w:rPr>
        <w:t xml:space="preserve">ple of a shared </w:t>
      </w:r>
      <w:r w:rsidR="00DE2ED4">
        <w:rPr>
          <w:lang w:val="en-US"/>
        </w:rPr>
        <w:t>system important to safety</w:t>
      </w:r>
      <w:r>
        <w:rPr>
          <w:lang w:val="en-US"/>
        </w:rPr>
        <w:t xml:space="preserve"> in </w:t>
      </w:r>
      <w:r w:rsidR="00445BC4">
        <w:rPr>
          <w:lang w:val="en-US"/>
        </w:rPr>
        <w:t xml:space="preserve">certain </w:t>
      </w:r>
      <w:r w:rsidRPr="001C67EB">
        <w:rPr>
          <w:lang w:val="en-US"/>
        </w:rPr>
        <w:t>SMR design</w:t>
      </w:r>
      <w:r>
        <w:rPr>
          <w:lang w:val="en-US"/>
        </w:rPr>
        <w:t>s</w:t>
      </w:r>
      <w:r w:rsidRPr="001C67EB">
        <w:rPr>
          <w:lang w:val="en-US"/>
        </w:rPr>
        <w:t xml:space="preserve"> </w:t>
      </w:r>
      <w:r w:rsidR="00DE2ED4">
        <w:rPr>
          <w:lang w:val="en-US"/>
        </w:rPr>
        <w:t xml:space="preserve">is a </w:t>
      </w:r>
      <w:r w:rsidR="00980081">
        <w:rPr>
          <w:lang w:val="en-US"/>
        </w:rPr>
        <w:t xml:space="preserve">common </w:t>
      </w:r>
      <w:r w:rsidRPr="001C67EB">
        <w:rPr>
          <w:lang w:val="en-US"/>
        </w:rPr>
        <w:t>UHS</w:t>
      </w:r>
      <w:r w:rsidR="00DE2ED4">
        <w:rPr>
          <w:lang w:val="en-US"/>
        </w:rPr>
        <w:t xml:space="preserve"> system for all modules</w:t>
      </w:r>
      <w:r w:rsidRPr="001C67EB">
        <w:rPr>
          <w:lang w:val="en-US"/>
        </w:rPr>
        <w:t xml:space="preserve">. </w:t>
      </w:r>
      <w:r w:rsidR="00DE2ED4">
        <w:rPr>
          <w:lang w:val="en-US"/>
        </w:rPr>
        <w:t>I</w:t>
      </w:r>
      <w:r w:rsidRPr="001C67EB">
        <w:rPr>
          <w:lang w:val="en-US"/>
        </w:rPr>
        <w:t xml:space="preserve">n this case, the UHS should be capable of providing sufficient cooling to </w:t>
      </w:r>
      <w:r w:rsidR="00DE2ED4">
        <w:rPr>
          <w:lang w:val="en-US"/>
        </w:rPr>
        <w:t xml:space="preserve">remove </w:t>
      </w:r>
      <w:r w:rsidRPr="001C67EB">
        <w:rPr>
          <w:lang w:val="en-US"/>
        </w:rPr>
        <w:t xml:space="preserve">heat from </w:t>
      </w:r>
      <w:r w:rsidR="00DE2ED4">
        <w:rPr>
          <w:lang w:val="en-US"/>
        </w:rPr>
        <w:t>all modules (and spent fuel pool if relies on the same UHS) in case of accident conditions</w:t>
      </w:r>
      <w:r w:rsidRPr="001C67EB">
        <w:rPr>
          <w:lang w:val="en-US"/>
        </w:rPr>
        <w:t>.</w:t>
      </w:r>
    </w:p>
    <w:p w14:paraId="254694E6" w14:textId="02498088" w:rsidR="00A736CF" w:rsidRPr="00A736CF" w:rsidRDefault="00980081" w:rsidP="008118D1">
      <w:pPr>
        <w:pStyle w:val="a3"/>
        <w:widowControl w:val="0"/>
        <w:numPr>
          <w:ilvl w:val="0"/>
          <w:numId w:val="43"/>
        </w:numPr>
        <w:rPr>
          <w:lang w:val="en-US"/>
        </w:rPr>
      </w:pPr>
      <w:r>
        <w:rPr>
          <w:lang w:val="en-US"/>
        </w:rPr>
        <w:t>P</w:t>
      </w:r>
      <w:r w:rsidRPr="00C06067">
        <w:rPr>
          <w:lang w:val="en-US"/>
        </w:rPr>
        <w:t>otential impact/interaction between different modules</w:t>
      </w:r>
      <w:r w:rsidR="00FE4CE4" w:rsidRPr="00FE4CE4">
        <w:rPr>
          <w:lang w:val="en-US"/>
        </w:rPr>
        <w:t xml:space="preserve">. </w:t>
      </w:r>
      <w:r w:rsidR="009F1F74" w:rsidRPr="009F1F74">
        <w:rPr>
          <w:lang w:val="en-US"/>
        </w:rPr>
        <w:t xml:space="preserve">Accident conditions in one module could trigger adverse effects in others or initiate events in </w:t>
      </w:r>
      <w:r w:rsidR="009F1F74">
        <w:rPr>
          <w:lang w:val="en-US"/>
        </w:rPr>
        <w:t>other modules</w:t>
      </w:r>
      <w:r w:rsidR="009F1F74" w:rsidRPr="009F1F74">
        <w:rPr>
          <w:lang w:val="en-US"/>
        </w:rPr>
        <w:t xml:space="preserve">. When selecting initiating events, </w:t>
      </w:r>
      <w:r w:rsidR="009F1F74">
        <w:rPr>
          <w:lang w:val="en-US"/>
        </w:rPr>
        <w:t xml:space="preserve">it </w:t>
      </w:r>
      <w:r>
        <w:rPr>
          <w:lang w:val="en-US"/>
        </w:rPr>
        <w:t>is needed</w:t>
      </w:r>
      <w:r w:rsidR="009F1F74" w:rsidRPr="009F1F74">
        <w:rPr>
          <w:lang w:val="en-US"/>
        </w:rPr>
        <w:t xml:space="preserve"> to account for </w:t>
      </w:r>
      <w:r w:rsidR="009F1F74">
        <w:rPr>
          <w:lang w:val="en-US"/>
        </w:rPr>
        <w:t>failures</w:t>
      </w:r>
      <w:r w:rsidR="009F1F74" w:rsidRPr="009F1F74">
        <w:rPr>
          <w:lang w:val="en-US"/>
        </w:rPr>
        <w:t xml:space="preserve"> originating in shared systems utilized by multiple modules. Safety justifications should include thorough analyses of the potential impact of accidents in one module on others, </w:t>
      </w:r>
      <w:r w:rsidR="009F1F74">
        <w:rPr>
          <w:lang w:val="en-US"/>
        </w:rPr>
        <w:t xml:space="preserve">including </w:t>
      </w:r>
      <w:r w:rsidR="009F1F74" w:rsidRPr="009F1F74">
        <w:rPr>
          <w:lang w:val="en-US"/>
        </w:rPr>
        <w:t>scenarios involving containment bypass and severe accidents.</w:t>
      </w:r>
    </w:p>
    <w:p w14:paraId="53F10212" w14:textId="72A879D2" w:rsidR="00A736CF" w:rsidRDefault="00A736CF" w:rsidP="00C05906">
      <w:pPr>
        <w:pStyle w:val="a3"/>
        <w:widowControl w:val="0"/>
        <w:ind w:firstLine="0"/>
        <w:rPr>
          <w:sz w:val="18"/>
          <w:szCs w:val="18"/>
          <w:lang w:val="en-US"/>
        </w:rPr>
      </w:pPr>
      <w:bookmarkStart w:id="2" w:name="_Ref167715574"/>
    </w:p>
    <w:p w14:paraId="1A785B78" w14:textId="3FECE351" w:rsidR="00362944" w:rsidRDefault="002D5DAB" w:rsidP="007E6641">
      <w:pPr>
        <w:pStyle w:val="a3"/>
        <w:widowControl w:val="0"/>
        <w:ind w:firstLine="0"/>
        <w:rPr>
          <w:sz w:val="18"/>
          <w:szCs w:val="18"/>
          <w:lang w:val="en-US"/>
        </w:rPr>
      </w:pPr>
      <w:r w:rsidRPr="007E6641">
        <w:rPr>
          <w:sz w:val="18"/>
          <w:szCs w:val="18"/>
          <w:lang w:val="en-US"/>
        </w:rPr>
        <w:t xml:space="preserve">TABLE </w:t>
      </w:r>
      <w:r w:rsidR="00636474" w:rsidRPr="007E6641">
        <w:rPr>
          <w:sz w:val="18"/>
          <w:szCs w:val="18"/>
          <w:lang w:val="en-US"/>
        </w:rPr>
        <w:fldChar w:fldCharType="begin"/>
      </w:r>
      <w:r w:rsidR="00636474" w:rsidRPr="007E6641">
        <w:rPr>
          <w:sz w:val="18"/>
          <w:szCs w:val="18"/>
          <w:lang w:val="en-US"/>
        </w:rPr>
        <w:instrText xml:space="preserve"> SEQ Table \* ARABIC </w:instrText>
      </w:r>
      <w:r w:rsidR="00636474" w:rsidRPr="007E6641">
        <w:rPr>
          <w:sz w:val="18"/>
          <w:szCs w:val="18"/>
          <w:lang w:val="en-US"/>
        </w:rPr>
        <w:fldChar w:fldCharType="separate"/>
      </w:r>
      <w:r w:rsidRPr="007E6641">
        <w:rPr>
          <w:sz w:val="18"/>
          <w:szCs w:val="18"/>
          <w:lang w:val="en-US"/>
        </w:rPr>
        <w:t>1</w:t>
      </w:r>
      <w:r w:rsidR="00636474" w:rsidRPr="007E6641">
        <w:rPr>
          <w:sz w:val="18"/>
          <w:szCs w:val="18"/>
          <w:lang w:val="en-US"/>
        </w:rPr>
        <w:fldChar w:fldCharType="end"/>
      </w:r>
      <w:bookmarkEnd w:id="2"/>
      <w:r w:rsidRPr="007E6641">
        <w:rPr>
          <w:sz w:val="18"/>
          <w:szCs w:val="18"/>
          <w:lang w:val="en-US"/>
        </w:rPr>
        <w:t>.</w:t>
      </w:r>
      <w:r w:rsidR="00155E8D">
        <w:rPr>
          <w:sz w:val="18"/>
          <w:szCs w:val="18"/>
          <w:lang w:val="uk-UA"/>
        </w:rPr>
        <w:tab/>
      </w:r>
      <w:r w:rsidRPr="007E6641">
        <w:rPr>
          <w:sz w:val="18"/>
          <w:szCs w:val="18"/>
          <w:lang w:val="en-US"/>
        </w:rPr>
        <w:t>DISCUSSION OF THE POTENTIAL ISSUES AS THE FIRST INSIGHT FROM THE PRE-LICENSING REVIEW (NON-EXHAUSTIVE LIST)</w:t>
      </w:r>
    </w:p>
    <w:p w14:paraId="2ADA157F" w14:textId="77777777" w:rsidR="00C05906" w:rsidRPr="007E6641" w:rsidRDefault="00C05906" w:rsidP="007E6641">
      <w:pPr>
        <w:pStyle w:val="a3"/>
        <w:widowControl w:val="0"/>
        <w:ind w:firstLine="0"/>
        <w:rPr>
          <w:sz w:val="18"/>
          <w:szCs w:val="18"/>
          <w:lang w:val="en-US"/>
        </w:rPr>
      </w:pPr>
    </w:p>
    <w:tbl>
      <w:tblPr>
        <w:tblStyle w:val="af0"/>
        <w:tblW w:w="8222"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417"/>
        <w:gridCol w:w="2844"/>
        <w:gridCol w:w="4961"/>
      </w:tblGrid>
      <w:tr w:rsidR="006C4A87" w:rsidRPr="002C10C0" w14:paraId="3564F10F" w14:textId="77777777" w:rsidTr="002B20EE">
        <w:trPr>
          <w:trHeight w:val="392"/>
          <w:tblHeader/>
          <w:jc w:val="center"/>
        </w:trPr>
        <w:tc>
          <w:tcPr>
            <w:tcW w:w="417" w:type="dxa"/>
            <w:vAlign w:val="center"/>
          </w:tcPr>
          <w:p w14:paraId="12A638E5" w14:textId="71FAD375" w:rsidR="006C4A87" w:rsidRPr="00A2680C" w:rsidRDefault="0070288B" w:rsidP="007E6641">
            <w:pPr>
              <w:pStyle w:val="a3"/>
              <w:widowControl w:val="0"/>
              <w:ind w:firstLine="0"/>
              <w:rPr>
                <w:b/>
                <w:bCs/>
                <w:sz w:val="18"/>
                <w:szCs w:val="18"/>
                <w:lang w:val="en-US"/>
              </w:rPr>
            </w:pPr>
            <w:r w:rsidRPr="00A2680C">
              <w:rPr>
                <w:b/>
                <w:bCs/>
                <w:sz w:val="18"/>
                <w:szCs w:val="18"/>
                <w:lang w:val="en-US"/>
              </w:rPr>
              <w:t>#</w:t>
            </w:r>
          </w:p>
        </w:tc>
        <w:tc>
          <w:tcPr>
            <w:tcW w:w="2844" w:type="dxa"/>
            <w:vAlign w:val="center"/>
          </w:tcPr>
          <w:p w14:paraId="0DE1594C" w14:textId="35E028D5" w:rsidR="006C4A87" w:rsidRPr="00A2680C" w:rsidRDefault="0070288B" w:rsidP="00FE4CE4">
            <w:pPr>
              <w:pStyle w:val="a3"/>
              <w:keepNext/>
              <w:widowControl w:val="0"/>
              <w:ind w:firstLine="0"/>
              <w:jc w:val="left"/>
              <w:rPr>
                <w:b/>
                <w:bCs/>
                <w:sz w:val="18"/>
                <w:szCs w:val="18"/>
                <w:lang w:val="en-US"/>
              </w:rPr>
            </w:pPr>
            <w:r w:rsidRPr="00A2680C">
              <w:rPr>
                <w:b/>
                <w:bCs/>
                <w:sz w:val="18"/>
                <w:szCs w:val="18"/>
                <w:lang w:val="en-US"/>
              </w:rPr>
              <w:t>POTENTIAL ISSUE</w:t>
            </w:r>
          </w:p>
        </w:tc>
        <w:tc>
          <w:tcPr>
            <w:tcW w:w="4961" w:type="dxa"/>
            <w:vAlign w:val="center"/>
          </w:tcPr>
          <w:p w14:paraId="192B839E" w14:textId="179A4AD9" w:rsidR="006C4A87" w:rsidRPr="00A2680C" w:rsidRDefault="0070288B" w:rsidP="00BA3880">
            <w:pPr>
              <w:pStyle w:val="a3"/>
              <w:keepNext/>
              <w:widowControl w:val="0"/>
              <w:ind w:firstLine="0"/>
              <w:jc w:val="left"/>
              <w:rPr>
                <w:b/>
                <w:bCs/>
                <w:sz w:val="18"/>
                <w:szCs w:val="18"/>
                <w:lang w:val="en-US"/>
              </w:rPr>
            </w:pPr>
            <w:r w:rsidRPr="00A2680C">
              <w:rPr>
                <w:b/>
                <w:bCs/>
                <w:sz w:val="18"/>
                <w:szCs w:val="18"/>
                <w:lang w:val="en-US"/>
              </w:rPr>
              <w:t>DISCUSSION</w:t>
            </w:r>
          </w:p>
        </w:tc>
      </w:tr>
      <w:tr w:rsidR="00533C40" w:rsidRPr="002C10C0" w14:paraId="0ACE2791" w14:textId="77777777" w:rsidTr="002B20EE">
        <w:trPr>
          <w:trHeight w:val="392"/>
          <w:jc w:val="center"/>
        </w:trPr>
        <w:tc>
          <w:tcPr>
            <w:tcW w:w="417" w:type="dxa"/>
          </w:tcPr>
          <w:p w14:paraId="3CF411B2" w14:textId="4A315D91" w:rsidR="00533C40" w:rsidRPr="00424CF9" w:rsidRDefault="00533C40" w:rsidP="007E6641">
            <w:pPr>
              <w:pStyle w:val="a3"/>
              <w:widowControl w:val="0"/>
              <w:ind w:firstLine="0"/>
              <w:rPr>
                <w:b/>
                <w:bCs/>
                <w:sz w:val="18"/>
                <w:szCs w:val="18"/>
                <w:lang w:val="en-US"/>
              </w:rPr>
            </w:pPr>
            <w:r w:rsidRPr="007E6641">
              <w:rPr>
                <w:sz w:val="18"/>
                <w:szCs w:val="18"/>
                <w:lang w:val="en-US"/>
              </w:rPr>
              <w:t>1</w:t>
            </w:r>
          </w:p>
        </w:tc>
        <w:tc>
          <w:tcPr>
            <w:tcW w:w="2844" w:type="dxa"/>
          </w:tcPr>
          <w:p w14:paraId="7A57AD0E" w14:textId="0CF1804E" w:rsidR="00533C40" w:rsidRPr="00424CF9" w:rsidRDefault="00533C40" w:rsidP="00FE4CE4">
            <w:pPr>
              <w:pStyle w:val="a3"/>
              <w:keepNext/>
              <w:widowControl w:val="0"/>
              <w:ind w:firstLine="0"/>
              <w:jc w:val="left"/>
              <w:rPr>
                <w:b/>
                <w:bCs/>
                <w:sz w:val="18"/>
                <w:szCs w:val="18"/>
                <w:lang w:val="en-US"/>
              </w:rPr>
            </w:pPr>
            <w:r w:rsidRPr="00424CF9">
              <w:rPr>
                <w:sz w:val="18"/>
                <w:szCs w:val="18"/>
                <w:lang w:val="en-US"/>
              </w:rPr>
              <w:t>Safety criteria</w:t>
            </w:r>
          </w:p>
        </w:tc>
        <w:tc>
          <w:tcPr>
            <w:tcW w:w="4961" w:type="dxa"/>
          </w:tcPr>
          <w:p w14:paraId="182BD4E1" w14:textId="359E566A" w:rsidR="00533C40" w:rsidRPr="00424CF9" w:rsidRDefault="00533C40" w:rsidP="001C0988">
            <w:pPr>
              <w:pStyle w:val="a3"/>
              <w:keepNext/>
              <w:widowControl w:val="0"/>
              <w:ind w:firstLine="0"/>
              <w:rPr>
                <w:sz w:val="18"/>
                <w:szCs w:val="18"/>
                <w:lang w:val="en-US"/>
              </w:rPr>
            </w:pPr>
            <w:r w:rsidRPr="00424CF9">
              <w:rPr>
                <w:sz w:val="18"/>
                <w:szCs w:val="18"/>
                <w:lang w:val="en-US"/>
              </w:rPr>
              <w:t>National regulations</w:t>
            </w:r>
            <w:r w:rsidR="00432972" w:rsidRPr="00424CF9">
              <w:rPr>
                <w:sz w:val="18"/>
                <w:szCs w:val="18"/>
                <w:lang w:val="en-US"/>
              </w:rPr>
              <w:t xml:space="preserve"> </w:t>
            </w:r>
            <w:r w:rsidR="00432972" w:rsidRPr="00424CF9">
              <w:rPr>
                <w:sz w:val="18"/>
                <w:szCs w:val="18"/>
                <w:lang w:val="en-US"/>
              </w:rPr>
              <w:fldChar w:fldCharType="begin"/>
            </w:r>
            <w:r w:rsidR="00432972" w:rsidRPr="00424CF9">
              <w:rPr>
                <w:sz w:val="18"/>
                <w:szCs w:val="18"/>
                <w:lang w:val="en-US"/>
              </w:rPr>
              <w:instrText xml:space="preserve"> REF _Ref167698400 \r \h </w:instrText>
            </w:r>
            <w:r w:rsidR="002C10C0" w:rsidRPr="00424CF9">
              <w:rPr>
                <w:sz w:val="18"/>
                <w:szCs w:val="18"/>
                <w:lang w:val="en-US"/>
              </w:rPr>
              <w:instrText xml:space="preserve"> \* MERGEFORMAT </w:instrText>
            </w:r>
            <w:r w:rsidR="00432972" w:rsidRPr="00424CF9">
              <w:rPr>
                <w:sz w:val="18"/>
                <w:szCs w:val="18"/>
                <w:lang w:val="en-US"/>
              </w:rPr>
            </w:r>
            <w:r w:rsidR="00432972" w:rsidRPr="00424CF9">
              <w:rPr>
                <w:sz w:val="18"/>
                <w:szCs w:val="18"/>
                <w:lang w:val="en-US"/>
              </w:rPr>
              <w:fldChar w:fldCharType="separate"/>
            </w:r>
            <w:r w:rsidR="00A514DB" w:rsidRPr="00424CF9">
              <w:rPr>
                <w:sz w:val="18"/>
                <w:szCs w:val="18"/>
                <w:lang w:val="en-US"/>
              </w:rPr>
              <w:t>[6]</w:t>
            </w:r>
            <w:r w:rsidR="00432972" w:rsidRPr="00424CF9">
              <w:rPr>
                <w:sz w:val="18"/>
                <w:szCs w:val="18"/>
                <w:lang w:val="en-US"/>
              </w:rPr>
              <w:fldChar w:fldCharType="end"/>
            </w:r>
            <w:r w:rsidR="00432972" w:rsidRPr="00424CF9">
              <w:rPr>
                <w:sz w:val="18"/>
                <w:szCs w:val="18"/>
                <w:lang w:val="en-US"/>
              </w:rPr>
              <w:t xml:space="preserve"> </w:t>
            </w:r>
            <w:r w:rsidR="00E535AD" w:rsidRPr="00424CF9">
              <w:rPr>
                <w:sz w:val="18"/>
                <w:szCs w:val="18"/>
                <w:lang w:val="en-US"/>
              </w:rPr>
              <w:t>include</w:t>
            </w:r>
            <w:r w:rsidRPr="00424CF9">
              <w:rPr>
                <w:sz w:val="18"/>
                <w:szCs w:val="18"/>
                <w:lang w:val="en-US"/>
              </w:rPr>
              <w:t xml:space="preserve"> two princip</w:t>
            </w:r>
            <w:r w:rsidR="00760101">
              <w:rPr>
                <w:sz w:val="18"/>
                <w:szCs w:val="18"/>
                <w:lang w:val="en-US"/>
              </w:rPr>
              <w:t>a</w:t>
            </w:r>
            <w:r w:rsidRPr="00424CF9">
              <w:rPr>
                <w:sz w:val="18"/>
                <w:szCs w:val="18"/>
                <w:lang w:val="en-US"/>
              </w:rPr>
              <w:t>l group</w:t>
            </w:r>
            <w:r w:rsidR="00E535AD" w:rsidRPr="00424CF9">
              <w:rPr>
                <w:sz w:val="18"/>
                <w:szCs w:val="18"/>
                <w:lang w:val="en-US"/>
              </w:rPr>
              <w:t>s</w:t>
            </w:r>
            <w:r w:rsidRPr="00424CF9">
              <w:rPr>
                <w:sz w:val="18"/>
                <w:szCs w:val="18"/>
                <w:lang w:val="en-US"/>
              </w:rPr>
              <w:t xml:space="preserve"> of the safety </w:t>
            </w:r>
            <w:r w:rsidRPr="00424CF9">
              <w:rPr>
                <w:sz w:val="18"/>
                <w:szCs w:val="18"/>
                <w:lang w:val="en-US"/>
              </w:rPr>
              <w:lastRenderedPageBreak/>
              <w:t>criteria –</w:t>
            </w:r>
            <w:r w:rsidR="00724A56" w:rsidRPr="00424CF9">
              <w:rPr>
                <w:sz w:val="18"/>
                <w:szCs w:val="18"/>
                <w:lang w:val="en-US"/>
              </w:rPr>
              <w:t xml:space="preserve"> </w:t>
            </w:r>
            <w:r w:rsidR="00E535AD" w:rsidRPr="00424CF9">
              <w:rPr>
                <w:sz w:val="18"/>
                <w:szCs w:val="18"/>
                <w:lang w:val="en-US"/>
              </w:rPr>
              <w:t>probabilistic</w:t>
            </w:r>
            <w:r w:rsidR="00724A56" w:rsidRPr="00424CF9">
              <w:rPr>
                <w:sz w:val="18"/>
                <w:szCs w:val="18"/>
                <w:lang w:val="en-US"/>
              </w:rPr>
              <w:t xml:space="preserve"> and deterministic</w:t>
            </w:r>
            <w:r w:rsidR="00E535AD" w:rsidRPr="00424CF9">
              <w:rPr>
                <w:sz w:val="18"/>
                <w:szCs w:val="18"/>
                <w:lang w:val="en-US"/>
              </w:rPr>
              <w:t>.</w:t>
            </w:r>
          </w:p>
          <w:p w14:paraId="57339F11" w14:textId="072ABE03" w:rsidR="00E535AD" w:rsidRPr="00424CF9" w:rsidRDefault="00173FA6" w:rsidP="001C1043">
            <w:pPr>
              <w:pStyle w:val="a3"/>
              <w:keepNext/>
              <w:widowControl w:val="0"/>
              <w:ind w:firstLine="0"/>
              <w:rPr>
                <w:sz w:val="18"/>
                <w:szCs w:val="18"/>
                <w:lang w:val="en-US"/>
              </w:rPr>
            </w:pPr>
            <w:r>
              <w:rPr>
                <w:sz w:val="18"/>
                <w:szCs w:val="18"/>
                <w:lang w:val="en-US"/>
              </w:rPr>
              <w:t>(</w:t>
            </w:r>
            <w:r w:rsidR="00E535AD" w:rsidRPr="00424CF9">
              <w:rPr>
                <w:sz w:val="18"/>
                <w:szCs w:val="18"/>
                <w:lang w:val="en-US"/>
              </w:rPr>
              <w:t xml:space="preserve">1) The probabilistic safety criteria are established in terms of integral (total) core damage frequency and large release frequency referring to </w:t>
            </w:r>
            <w:r w:rsidR="00DD7536" w:rsidRPr="00424CF9">
              <w:rPr>
                <w:sz w:val="18"/>
                <w:szCs w:val="18"/>
                <w:lang w:val="en-US"/>
              </w:rPr>
              <w:t xml:space="preserve">the </w:t>
            </w:r>
            <w:r w:rsidR="00E535AD" w:rsidRPr="00424CF9">
              <w:rPr>
                <w:sz w:val="18"/>
                <w:szCs w:val="18"/>
                <w:lang w:val="en-US"/>
              </w:rPr>
              <w:t>full scope PSA (internal and external events, full power and shutdown</w:t>
            </w:r>
            <w:r w:rsidR="0083484E" w:rsidRPr="00424CF9">
              <w:rPr>
                <w:sz w:val="18"/>
                <w:szCs w:val="18"/>
                <w:lang w:val="en-US"/>
              </w:rPr>
              <w:t xml:space="preserve"> </w:t>
            </w:r>
            <w:r w:rsidR="00E535AD" w:rsidRPr="00424CF9">
              <w:rPr>
                <w:sz w:val="18"/>
                <w:szCs w:val="18"/>
                <w:lang w:val="en-US"/>
              </w:rPr>
              <w:t xml:space="preserve">operating modes). </w:t>
            </w:r>
          </w:p>
          <w:p w14:paraId="559E730E" w14:textId="6B90B35B" w:rsidR="00DD7536" w:rsidRPr="00424CF9" w:rsidRDefault="00DD7536" w:rsidP="001C1043">
            <w:pPr>
              <w:pStyle w:val="a3"/>
              <w:keepNext/>
              <w:widowControl w:val="0"/>
              <w:ind w:firstLine="0"/>
              <w:rPr>
                <w:sz w:val="18"/>
                <w:szCs w:val="18"/>
                <w:lang w:val="en-US"/>
              </w:rPr>
            </w:pPr>
            <w:r w:rsidRPr="00424CF9">
              <w:rPr>
                <w:sz w:val="18"/>
                <w:szCs w:val="18"/>
                <w:lang w:val="en-US"/>
              </w:rPr>
              <w:t xml:space="preserve">International practice shows that there may be differences </w:t>
            </w:r>
            <w:r w:rsidR="00980081">
              <w:rPr>
                <w:sz w:val="18"/>
                <w:szCs w:val="18"/>
                <w:lang w:val="en-US"/>
              </w:rPr>
              <w:t>in required</w:t>
            </w:r>
            <w:r w:rsidRPr="00424CF9">
              <w:rPr>
                <w:sz w:val="18"/>
                <w:szCs w:val="18"/>
                <w:lang w:val="en-US"/>
              </w:rPr>
              <w:t xml:space="preserve"> PSA scope and elements, risk aggregation methods, definition of large releases, etc. </w:t>
            </w:r>
            <w:r w:rsidR="00980081">
              <w:rPr>
                <w:sz w:val="18"/>
                <w:szCs w:val="18"/>
                <w:lang w:val="en-US"/>
              </w:rPr>
              <w:t xml:space="preserve">that </w:t>
            </w:r>
            <w:r w:rsidRPr="00424CF9">
              <w:rPr>
                <w:sz w:val="18"/>
                <w:szCs w:val="18"/>
                <w:lang w:val="en-US"/>
              </w:rPr>
              <w:t>need to be considered when comparing with established probabilistic criteria.</w:t>
            </w:r>
          </w:p>
          <w:p w14:paraId="47BBDA5F" w14:textId="0DC83BDB" w:rsidR="00E535AD" w:rsidRPr="00424CF9" w:rsidRDefault="00173FA6" w:rsidP="001C1043">
            <w:pPr>
              <w:pStyle w:val="a3"/>
              <w:keepNext/>
              <w:widowControl w:val="0"/>
              <w:ind w:firstLine="0"/>
              <w:rPr>
                <w:sz w:val="18"/>
                <w:szCs w:val="18"/>
                <w:lang w:val="en-US"/>
              </w:rPr>
            </w:pPr>
            <w:r>
              <w:rPr>
                <w:sz w:val="18"/>
                <w:szCs w:val="18"/>
                <w:lang w:val="en-US"/>
              </w:rPr>
              <w:t>(</w:t>
            </w:r>
            <w:r w:rsidR="00DD7536" w:rsidRPr="00424CF9">
              <w:rPr>
                <w:sz w:val="18"/>
                <w:szCs w:val="18"/>
                <w:lang w:val="en-US"/>
              </w:rPr>
              <w:t xml:space="preserve">2) </w:t>
            </w:r>
            <w:r w:rsidR="0083484E" w:rsidRPr="00424CF9">
              <w:rPr>
                <w:sz w:val="18"/>
                <w:szCs w:val="18"/>
                <w:lang w:val="en-US"/>
              </w:rPr>
              <w:t>Radiological safety criteria, serve as acceptance criteria for deterministic safety analysis, are established in alignment with national radiation protection norms</w:t>
            </w:r>
            <w:r w:rsidR="00432972" w:rsidRPr="00424CF9">
              <w:rPr>
                <w:sz w:val="18"/>
                <w:szCs w:val="18"/>
                <w:lang w:val="en-US"/>
              </w:rPr>
              <w:t xml:space="preserve"> </w:t>
            </w:r>
            <w:r w:rsidR="00432972" w:rsidRPr="00424CF9">
              <w:rPr>
                <w:sz w:val="18"/>
                <w:szCs w:val="18"/>
                <w:lang w:val="en-US"/>
              </w:rPr>
              <w:fldChar w:fldCharType="begin"/>
            </w:r>
            <w:r w:rsidR="00432972" w:rsidRPr="00424CF9">
              <w:rPr>
                <w:sz w:val="18"/>
                <w:szCs w:val="18"/>
                <w:lang w:val="en-US"/>
              </w:rPr>
              <w:instrText xml:space="preserve"> REF _Ref167699107 \r \h </w:instrText>
            </w:r>
            <w:r w:rsidR="002C10C0" w:rsidRPr="00424CF9">
              <w:rPr>
                <w:sz w:val="18"/>
                <w:szCs w:val="18"/>
                <w:lang w:val="en-US"/>
              </w:rPr>
              <w:instrText xml:space="preserve"> \* MERGEFORMAT </w:instrText>
            </w:r>
            <w:r w:rsidR="00432972" w:rsidRPr="00424CF9">
              <w:rPr>
                <w:sz w:val="18"/>
                <w:szCs w:val="18"/>
                <w:lang w:val="en-US"/>
              </w:rPr>
            </w:r>
            <w:r w:rsidR="00432972" w:rsidRPr="00424CF9">
              <w:rPr>
                <w:sz w:val="18"/>
                <w:szCs w:val="18"/>
                <w:lang w:val="en-US"/>
              </w:rPr>
              <w:fldChar w:fldCharType="separate"/>
            </w:r>
            <w:r w:rsidR="00A514DB" w:rsidRPr="00424CF9">
              <w:rPr>
                <w:sz w:val="18"/>
                <w:szCs w:val="18"/>
                <w:lang w:val="en-US"/>
              </w:rPr>
              <w:t>[8]</w:t>
            </w:r>
            <w:r w:rsidR="00432972" w:rsidRPr="00424CF9">
              <w:rPr>
                <w:sz w:val="18"/>
                <w:szCs w:val="18"/>
                <w:lang w:val="en-US"/>
              </w:rPr>
              <w:fldChar w:fldCharType="end"/>
            </w:r>
            <w:r w:rsidR="0083484E" w:rsidRPr="00424CF9">
              <w:rPr>
                <w:sz w:val="18"/>
                <w:szCs w:val="18"/>
                <w:lang w:val="en-US"/>
              </w:rPr>
              <w:t xml:space="preserve">. For the design extension conditions these criteria are based on adverse doses for prompt and long-term protective measures </w:t>
            </w:r>
            <w:r w:rsidR="00724A56" w:rsidRPr="00424CF9">
              <w:rPr>
                <w:sz w:val="18"/>
                <w:szCs w:val="18"/>
                <w:lang w:val="en-US"/>
              </w:rPr>
              <w:t>ensuring practical elimination of</w:t>
            </w:r>
            <w:r w:rsidR="0083484E" w:rsidRPr="00424CF9">
              <w:rPr>
                <w:sz w:val="18"/>
                <w:szCs w:val="18"/>
                <w:lang w:val="en-US"/>
              </w:rPr>
              <w:t xml:space="preserve"> early and large radioactive releases. </w:t>
            </w:r>
          </w:p>
          <w:p w14:paraId="1096F8A9" w14:textId="01BB4270" w:rsidR="0083484E" w:rsidRPr="00424CF9" w:rsidRDefault="00724A56" w:rsidP="001C1043">
            <w:pPr>
              <w:pStyle w:val="a3"/>
              <w:keepNext/>
              <w:widowControl w:val="0"/>
              <w:ind w:firstLine="0"/>
              <w:rPr>
                <w:sz w:val="18"/>
                <w:szCs w:val="18"/>
                <w:lang w:val="en-US"/>
              </w:rPr>
            </w:pPr>
            <w:r w:rsidRPr="00424CF9">
              <w:rPr>
                <w:sz w:val="18"/>
                <w:szCs w:val="18"/>
                <w:lang w:val="en-US"/>
              </w:rPr>
              <w:t xml:space="preserve">International practices reveal variations in dose boundaries across different accident categories, underscoring the importance of properly accounting for these differences when justifying compliance with safety criteria. </w:t>
            </w:r>
          </w:p>
        </w:tc>
      </w:tr>
      <w:tr w:rsidR="00724A56" w:rsidRPr="002C10C0" w14:paraId="31AAEB1C" w14:textId="77777777" w:rsidTr="002B20EE">
        <w:trPr>
          <w:trHeight w:val="392"/>
          <w:jc w:val="center"/>
        </w:trPr>
        <w:tc>
          <w:tcPr>
            <w:tcW w:w="417" w:type="dxa"/>
          </w:tcPr>
          <w:p w14:paraId="64BF1CAA" w14:textId="722D421E" w:rsidR="00724A56" w:rsidRPr="00424CF9" w:rsidRDefault="00724A56" w:rsidP="00533C40">
            <w:pPr>
              <w:pStyle w:val="a3"/>
              <w:widowControl w:val="0"/>
              <w:ind w:firstLine="0"/>
              <w:rPr>
                <w:sz w:val="18"/>
                <w:szCs w:val="18"/>
                <w:lang w:val="en-US"/>
              </w:rPr>
            </w:pPr>
            <w:r w:rsidRPr="00424CF9">
              <w:rPr>
                <w:sz w:val="18"/>
                <w:szCs w:val="18"/>
                <w:lang w:val="en-US"/>
              </w:rPr>
              <w:lastRenderedPageBreak/>
              <w:t>2</w:t>
            </w:r>
          </w:p>
        </w:tc>
        <w:tc>
          <w:tcPr>
            <w:tcW w:w="2844" w:type="dxa"/>
          </w:tcPr>
          <w:p w14:paraId="12BB96D4" w14:textId="64B475DC" w:rsidR="00724A56" w:rsidRPr="00424CF9" w:rsidRDefault="00724A56" w:rsidP="00533C40">
            <w:pPr>
              <w:pStyle w:val="a3"/>
              <w:widowControl w:val="0"/>
              <w:ind w:firstLine="0"/>
              <w:rPr>
                <w:sz w:val="18"/>
                <w:szCs w:val="18"/>
                <w:lang w:val="en-US"/>
              </w:rPr>
            </w:pPr>
            <w:r w:rsidRPr="00424CF9">
              <w:rPr>
                <w:sz w:val="18"/>
                <w:szCs w:val="18"/>
                <w:lang w:val="en-US"/>
              </w:rPr>
              <w:t>Safety classification</w:t>
            </w:r>
          </w:p>
        </w:tc>
        <w:tc>
          <w:tcPr>
            <w:tcW w:w="4961" w:type="dxa"/>
          </w:tcPr>
          <w:p w14:paraId="61BD87B1" w14:textId="77777777" w:rsidR="00980081" w:rsidRPr="00980081" w:rsidRDefault="00980081" w:rsidP="00980081">
            <w:pPr>
              <w:pStyle w:val="a3"/>
              <w:keepNext/>
              <w:widowControl w:val="0"/>
              <w:ind w:firstLine="0"/>
              <w:rPr>
                <w:sz w:val="18"/>
                <w:szCs w:val="18"/>
                <w:lang w:val="en-US"/>
              </w:rPr>
            </w:pPr>
            <w:r w:rsidRPr="00980081">
              <w:rPr>
                <w:sz w:val="18"/>
                <w:szCs w:val="18"/>
                <w:lang w:val="en-US"/>
              </w:rPr>
              <w:t xml:space="preserve">The difference in approaches used to develop the safety classification of SSCs could have a significant impact on SMR design and equipment supply. </w:t>
            </w:r>
          </w:p>
          <w:p w14:paraId="4195FA2A" w14:textId="2275D869" w:rsidR="00432972" w:rsidRPr="00424CF9" w:rsidRDefault="00980081" w:rsidP="00980081">
            <w:pPr>
              <w:pStyle w:val="a3"/>
              <w:keepNext/>
              <w:widowControl w:val="0"/>
              <w:ind w:firstLine="0"/>
              <w:rPr>
                <w:rFonts w:cs="Swis721 Lt TL"/>
                <w:color w:val="000000"/>
                <w:sz w:val="18"/>
                <w:szCs w:val="18"/>
              </w:rPr>
            </w:pPr>
            <w:r w:rsidRPr="00980081">
              <w:rPr>
                <w:sz w:val="18"/>
                <w:szCs w:val="18"/>
                <w:lang w:val="en-US"/>
              </w:rPr>
              <w:t xml:space="preserve">For existing NPPs, Ukrainian regulations </w:t>
            </w:r>
            <w:r w:rsidRPr="00980081">
              <w:rPr>
                <w:sz w:val="18"/>
                <w:szCs w:val="18"/>
                <w:lang w:val="en-US"/>
              </w:rPr>
              <w:fldChar w:fldCharType="begin"/>
            </w:r>
            <w:r w:rsidRPr="00980081">
              <w:rPr>
                <w:sz w:val="18"/>
                <w:szCs w:val="18"/>
                <w:lang w:val="en-US"/>
              </w:rPr>
              <w:instrText xml:space="preserve"> REF _Ref167698400 \r \h  \* MERGEFORMAT </w:instrText>
            </w:r>
            <w:r w:rsidRPr="00980081">
              <w:rPr>
                <w:sz w:val="18"/>
                <w:szCs w:val="18"/>
                <w:lang w:val="en-US"/>
              </w:rPr>
            </w:r>
            <w:r w:rsidRPr="00980081">
              <w:rPr>
                <w:sz w:val="18"/>
                <w:szCs w:val="18"/>
                <w:lang w:val="en-US"/>
              </w:rPr>
              <w:fldChar w:fldCharType="separate"/>
            </w:r>
            <w:r w:rsidRPr="00980081">
              <w:rPr>
                <w:sz w:val="18"/>
                <w:szCs w:val="18"/>
                <w:lang w:val="en-US"/>
              </w:rPr>
              <w:t>[6]</w:t>
            </w:r>
            <w:r w:rsidRPr="00980081">
              <w:rPr>
                <w:sz w:val="18"/>
                <w:szCs w:val="18"/>
                <w:lang w:val="en-US"/>
              </w:rPr>
              <w:fldChar w:fldCharType="end"/>
            </w:r>
            <w:r w:rsidRPr="00980081">
              <w:rPr>
                <w:sz w:val="18"/>
                <w:szCs w:val="18"/>
                <w:lang w:val="en-US"/>
              </w:rPr>
              <w:t xml:space="preserve"> establish a tw</w:t>
            </w:r>
            <w:bookmarkStart w:id="3" w:name="Last_Pos"/>
            <w:bookmarkEnd w:id="3"/>
            <w:r w:rsidRPr="00980081">
              <w:rPr>
                <w:sz w:val="18"/>
                <w:szCs w:val="18"/>
                <w:lang w:val="en-US"/>
              </w:rPr>
              <w:t>o-group classification system based on the impact on safety: important to safety and non-important to safety, further categorized into Safety Classes 1-4 primarily through deterministic judgements. For new NPPs, the recently updated version of regulations accounts requirement 22 IAEA SSR-2/1 (Rev.1) that allows more flexible approach, though the principles of classification, as well as classification of SSC itself, shall be justified by the operating organization and agreed upon with the regulatory body.</w:t>
            </w:r>
          </w:p>
        </w:tc>
      </w:tr>
      <w:tr w:rsidR="00724A56" w:rsidRPr="002C10C0" w14:paraId="6B0F48BF" w14:textId="77777777" w:rsidTr="002B20EE">
        <w:trPr>
          <w:trHeight w:val="1477"/>
          <w:jc w:val="center"/>
        </w:trPr>
        <w:tc>
          <w:tcPr>
            <w:tcW w:w="417" w:type="dxa"/>
          </w:tcPr>
          <w:p w14:paraId="66B5D30C" w14:textId="164E895D" w:rsidR="00724A56" w:rsidRPr="00424CF9" w:rsidRDefault="00724A56" w:rsidP="00533C40">
            <w:pPr>
              <w:pStyle w:val="a3"/>
              <w:widowControl w:val="0"/>
              <w:ind w:firstLine="0"/>
              <w:rPr>
                <w:sz w:val="18"/>
                <w:szCs w:val="18"/>
                <w:lang w:val="en-US"/>
              </w:rPr>
            </w:pPr>
            <w:r w:rsidRPr="00424CF9">
              <w:rPr>
                <w:sz w:val="18"/>
                <w:szCs w:val="18"/>
                <w:lang w:val="en-US"/>
              </w:rPr>
              <w:t>3</w:t>
            </w:r>
          </w:p>
        </w:tc>
        <w:tc>
          <w:tcPr>
            <w:tcW w:w="2844" w:type="dxa"/>
          </w:tcPr>
          <w:p w14:paraId="686E542A" w14:textId="7FD9D340" w:rsidR="00724A56" w:rsidRPr="00424CF9" w:rsidRDefault="00227D38" w:rsidP="0021586D">
            <w:pPr>
              <w:pStyle w:val="a3"/>
              <w:widowControl w:val="0"/>
              <w:ind w:firstLine="0"/>
              <w:rPr>
                <w:sz w:val="18"/>
                <w:szCs w:val="18"/>
                <w:lang w:val="en-US"/>
              </w:rPr>
            </w:pPr>
            <w:r w:rsidRPr="00424CF9">
              <w:rPr>
                <w:sz w:val="18"/>
                <w:szCs w:val="18"/>
                <w:lang w:val="en-US"/>
              </w:rPr>
              <w:t xml:space="preserve">Principles of </w:t>
            </w:r>
            <w:r w:rsidR="006A4D73" w:rsidRPr="00424CF9">
              <w:rPr>
                <w:sz w:val="18"/>
                <w:szCs w:val="18"/>
                <w:lang w:val="en-US"/>
              </w:rPr>
              <w:t>safety/</w:t>
            </w:r>
            <w:r w:rsidR="0021586D" w:rsidRPr="00424CF9">
              <w:rPr>
                <w:sz w:val="18"/>
                <w:szCs w:val="18"/>
                <w:lang w:val="en-US"/>
              </w:rPr>
              <w:t xml:space="preserve">important to safety </w:t>
            </w:r>
            <w:r w:rsidRPr="00424CF9">
              <w:rPr>
                <w:sz w:val="18"/>
                <w:szCs w:val="18"/>
                <w:lang w:val="en-US"/>
              </w:rPr>
              <w:t>system</w:t>
            </w:r>
            <w:r w:rsidR="0021586D" w:rsidRPr="00424CF9">
              <w:rPr>
                <w:sz w:val="18"/>
                <w:szCs w:val="18"/>
                <w:lang w:val="en-US"/>
              </w:rPr>
              <w:t>s</w:t>
            </w:r>
            <w:r w:rsidRPr="00424CF9">
              <w:rPr>
                <w:sz w:val="18"/>
                <w:szCs w:val="18"/>
                <w:lang w:val="en-US"/>
              </w:rPr>
              <w:t xml:space="preserve"> design</w:t>
            </w:r>
          </w:p>
        </w:tc>
        <w:tc>
          <w:tcPr>
            <w:tcW w:w="4961" w:type="dxa"/>
          </w:tcPr>
          <w:p w14:paraId="7A4ED3C3" w14:textId="41846A15" w:rsidR="00724A56" w:rsidRPr="00424CF9" w:rsidRDefault="006A4D73" w:rsidP="001C1043">
            <w:pPr>
              <w:pStyle w:val="a3"/>
              <w:widowControl w:val="0"/>
              <w:ind w:firstLine="0"/>
              <w:rPr>
                <w:sz w:val="18"/>
                <w:szCs w:val="18"/>
                <w:lang w:val="en-US"/>
              </w:rPr>
            </w:pPr>
            <w:r w:rsidRPr="00424CF9">
              <w:rPr>
                <w:sz w:val="18"/>
                <w:szCs w:val="18"/>
                <w:lang w:val="en-US"/>
              </w:rPr>
              <w:t xml:space="preserve">National regulations </w:t>
            </w:r>
            <w:r w:rsidRPr="00424CF9">
              <w:rPr>
                <w:sz w:val="18"/>
                <w:szCs w:val="18"/>
                <w:lang w:val="en-US"/>
              </w:rPr>
              <w:fldChar w:fldCharType="begin"/>
            </w:r>
            <w:r w:rsidRPr="00424CF9">
              <w:rPr>
                <w:sz w:val="18"/>
                <w:szCs w:val="18"/>
                <w:lang w:val="en-US"/>
              </w:rPr>
              <w:instrText xml:space="preserve"> REF _Ref167698400 \r \h </w:instrText>
            </w:r>
            <w:r w:rsidR="002C10C0" w:rsidRPr="00424CF9">
              <w:rPr>
                <w:sz w:val="18"/>
                <w:szCs w:val="18"/>
                <w:lang w:val="en-US"/>
              </w:rPr>
              <w:instrText xml:space="preserve"> \* MERGEFORMAT </w:instrText>
            </w:r>
            <w:r w:rsidRPr="00424CF9">
              <w:rPr>
                <w:sz w:val="18"/>
                <w:szCs w:val="18"/>
                <w:lang w:val="en-US"/>
              </w:rPr>
            </w:r>
            <w:r w:rsidRPr="00424CF9">
              <w:rPr>
                <w:sz w:val="18"/>
                <w:szCs w:val="18"/>
                <w:lang w:val="en-US"/>
              </w:rPr>
              <w:fldChar w:fldCharType="separate"/>
            </w:r>
            <w:r w:rsidR="00A514DB" w:rsidRPr="00424CF9">
              <w:rPr>
                <w:sz w:val="18"/>
                <w:szCs w:val="18"/>
                <w:lang w:val="en-US"/>
              </w:rPr>
              <w:t>[6]</w:t>
            </w:r>
            <w:r w:rsidRPr="00424CF9">
              <w:rPr>
                <w:sz w:val="18"/>
                <w:szCs w:val="18"/>
                <w:lang w:val="en-US"/>
              </w:rPr>
              <w:fldChar w:fldCharType="end"/>
            </w:r>
            <w:r w:rsidRPr="00424CF9">
              <w:rPr>
                <w:sz w:val="18"/>
                <w:szCs w:val="18"/>
                <w:lang w:val="en-US"/>
              </w:rPr>
              <w:t xml:space="preserve"> require the application of </w:t>
            </w:r>
            <w:r w:rsidR="001A6951" w:rsidRPr="00424CF9">
              <w:rPr>
                <w:sz w:val="18"/>
                <w:szCs w:val="18"/>
                <w:lang w:val="en-US"/>
              </w:rPr>
              <w:t>set of principles</w:t>
            </w:r>
            <w:r w:rsidRPr="00424CF9">
              <w:rPr>
                <w:sz w:val="18"/>
                <w:szCs w:val="18"/>
                <w:lang w:val="en-US"/>
              </w:rPr>
              <w:t xml:space="preserve"> </w:t>
            </w:r>
            <w:r w:rsidR="001A6951" w:rsidRPr="00424CF9">
              <w:rPr>
                <w:sz w:val="18"/>
                <w:szCs w:val="18"/>
                <w:lang w:val="en-US"/>
              </w:rPr>
              <w:t xml:space="preserve">in design of </w:t>
            </w:r>
            <w:r w:rsidRPr="00424CF9">
              <w:rPr>
                <w:sz w:val="18"/>
                <w:szCs w:val="18"/>
                <w:lang w:val="en-US"/>
              </w:rPr>
              <w:t>safety systems: diversity, redundancy, physical separation and functional independence, single failure.</w:t>
            </w:r>
            <w:r w:rsidR="001A6951" w:rsidRPr="00424CF9">
              <w:rPr>
                <w:sz w:val="18"/>
                <w:szCs w:val="18"/>
                <w:lang w:val="en-US"/>
              </w:rPr>
              <w:t xml:space="preserve"> Also, the concept of fail-safe design shall be incorporated, as appropriate, into the design of systems important to safety.</w:t>
            </w:r>
          </w:p>
          <w:p w14:paraId="6B9FC32B" w14:textId="104FF94A" w:rsidR="006A4D73" w:rsidRPr="00424CF9" w:rsidRDefault="001A6951" w:rsidP="001C1043">
            <w:pPr>
              <w:pStyle w:val="a3"/>
              <w:widowControl w:val="0"/>
              <w:ind w:firstLine="0"/>
              <w:rPr>
                <w:sz w:val="18"/>
                <w:szCs w:val="18"/>
                <w:lang w:val="en-US"/>
              </w:rPr>
            </w:pPr>
            <w:r w:rsidRPr="00424CF9">
              <w:rPr>
                <w:sz w:val="18"/>
                <w:szCs w:val="18"/>
                <w:lang w:val="en-US"/>
              </w:rPr>
              <w:t xml:space="preserve">International practices reveal that vendors may apply these principles differently, taking into account the specifics of the technology. This variability in application can require additional justifications. </w:t>
            </w:r>
          </w:p>
        </w:tc>
      </w:tr>
      <w:tr w:rsidR="006C4A87" w:rsidRPr="002C10C0" w14:paraId="6C50FAAC" w14:textId="77777777" w:rsidTr="002B20EE">
        <w:trPr>
          <w:trHeight w:val="761"/>
          <w:jc w:val="center"/>
        </w:trPr>
        <w:tc>
          <w:tcPr>
            <w:tcW w:w="417" w:type="dxa"/>
            <w:shd w:val="clear" w:color="auto" w:fill="FFFFFF" w:themeFill="background1"/>
          </w:tcPr>
          <w:p w14:paraId="7C8089D0" w14:textId="799678CF" w:rsidR="006C4A87" w:rsidRPr="00424CF9" w:rsidRDefault="00227D38" w:rsidP="00F017A3">
            <w:pPr>
              <w:pStyle w:val="a3"/>
              <w:widowControl w:val="0"/>
              <w:ind w:firstLine="0"/>
              <w:rPr>
                <w:sz w:val="18"/>
                <w:szCs w:val="18"/>
                <w:lang w:val="en-US"/>
              </w:rPr>
            </w:pPr>
            <w:r w:rsidRPr="00424CF9">
              <w:rPr>
                <w:sz w:val="18"/>
                <w:szCs w:val="18"/>
                <w:lang w:val="en-US"/>
              </w:rPr>
              <w:t>4</w:t>
            </w:r>
          </w:p>
        </w:tc>
        <w:tc>
          <w:tcPr>
            <w:tcW w:w="2844" w:type="dxa"/>
            <w:shd w:val="clear" w:color="auto" w:fill="FFFFFF" w:themeFill="background1"/>
          </w:tcPr>
          <w:p w14:paraId="6A33E7B2" w14:textId="4C79268A" w:rsidR="006C4A87" w:rsidRPr="00424CF9" w:rsidRDefault="00083625" w:rsidP="00F017A3">
            <w:pPr>
              <w:pStyle w:val="a3"/>
              <w:widowControl w:val="0"/>
              <w:ind w:firstLine="0"/>
              <w:rPr>
                <w:sz w:val="18"/>
                <w:szCs w:val="18"/>
                <w:lang w:val="en-US"/>
              </w:rPr>
            </w:pPr>
            <w:r w:rsidRPr="00424CF9">
              <w:rPr>
                <w:sz w:val="18"/>
                <w:szCs w:val="18"/>
                <w:lang w:val="en-US"/>
              </w:rPr>
              <w:t>Qualification of the computer codes</w:t>
            </w:r>
          </w:p>
        </w:tc>
        <w:tc>
          <w:tcPr>
            <w:tcW w:w="4961" w:type="dxa"/>
            <w:shd w:val="clear" w:color="auto" w:fill="FFFFFF" w:themeFill="background1"/>
          </w:tcPr>
          <w:p w14:paraId="3D56FD78" w14:textId="77777777" w:rsidR="002B20EE" w:rsidRPr="002B20EE" w:rsidRDefault="002B20EE" w:rsidP="002B20EE">
            <w:pPr>
              <w:pStyle w:val="a3"/>
              <w:widowControl w:val="0"/>
              <w:ind w:firstLine="0"/>
              <w:rPr>
                <w:sz w:val="18"/>
                <w:szCs w:val="18"/>
                <w:lang w:val="en-US"/>
              </w:rPr>
            </w:pPr>
            <w:r w:rsidRPr="002B20EE">
              <w:rPr>
                <w:sz w:val="18"/>
                <w:szCs w:val="18"/>
                <w:lang w:val="en-US"/>
              </w:rPr>
              <w:t xml:space="preserve">Computer codes and associated models need to be developed according to quality assurance procedures and validated versus experimental test data (separate effect tests and integral facilities tests) to prove their capabilities to adequately simulate the phenomena expected to occur in the facility during normal operation, AOO, DBA and DEC taking into account the specifics of the particular facility design.   </w:t>
            </w:r>
          </w:p>
          <w:p w14:paraId="6856FDBC" w14:textId="49450B87" w:rsidR="00DD66FC" w:rsidRPr="00424CF9" w:rsidRDefault="00DD66FC" w:rsidP="002B20EE">
            <w:pPr>
              <w:pStyle w:val="a3"/>
              <w:widowControl w:val="0"/>
              <w:ind w:firstLine="0"/>
              <w:rPr>
                <w:sz w:val="18"/>
                <w:szCs w:val="18"/>
                <w:lang w:val="en-US"/>
              </w:rPr>
            </w:pPr>
            <w:r w:rsidRPr="00424CF9">
              <w:rPr>
                <w:sz w:val="18"/>
                <w:szCs w:val="18"/>
                <w:lang w:val="en-US"/>
              </w:rPr>
              <w:t>There is a list of computer codes permitted for use in safety justifications</w:t>
            </w:r>
            <w:r w:rsidR="00597AA7">
              <w:rPr>
                <w:sz w:val="18"/>
                <w:szCs w:val="18"/>
                <w:lang w:val="en-US"/>
              </w:rPr>
              <w:t xml:space="preserve"> maintaining by the </w:t>
            </w:r>
            <w:r w:rsidR="00597AA7" w:rsidRPr="002B20EE">
              <w:rPr>
                <w:sz w:val="18"/>
                <w:szCs w:val="18"/>
                <w:lang w:val="en-US"/>
              </w:rPr>
              <w:t>state operating organization</w:t>
            </w:r>
            <w:r w:rsidR="00597AA7">
              <w:rPr>
                <w:sz w:val="18"/>
                <w:szCs w:val="18"/>
                <w:lang w:val="en-US"/>
              </w:rPr>
              <w:t xml:space="preserve"> in Ukraine</w:t>
            </w:r>
            <w:r w:rsidRPr="00424CF9">
              <w:rPr>
                <w:sz w:val="18"/>
                <w:szCs w:val="18"/>
                <w:lang w:val="en-US"/>
              </w:rPr>
              <w:t xml:space="preserve"> </w:t>
            </w:r>
            <w:r w:rsidRPr="00424CF9">
              <w:rPr>
                <w:sz w:val="18"/>
                <w:szCs w:val="18"/>
                <w:lang w:val="en-US"/>
              </w:rPr>
              <w:fldChar w:fldCharType="begin"/>
            </w:r>
            <w:r w:rsidRPr="00424CF9">
              <w:rPr>
                <w:sz w:val="18"/>
                <w:szCs w:val="18"/>
                <w:lang w:val="en-US"/>
              </w:rPr>
              <w:instrText xml:space="preserve"> REF _Ref167695396 \r \h </w:instrText>
            </w:r>
            <w:r w:rsidR="002C10C0" w:rsidRPr="00424CF9">
              <w:rPr>
                <w:sz w:val="18"/>
                <w:szCs w:val="18"/>
                <w:lang w:val="en-US"/>
              </w:rPr>
              <w:instrText xml:space="preserve"> \* MERGEFORMAT </w:instrText>
            </w:r>
            <w:r w:rsidRPr="00424CF9">
              <w:rPr>
                <w:sz w:val="18"/>
                <w:szCs w:val="18"/>
                <w:lang w:val="en-US"/>
              </w:rPr>
            </w:r>
            <w:r w:rsidRPr="00424CF9">
              <w:rPr>
                <w:sz w:val="18"/>
                <w:szCs w:val="18"/>
                <w:lang w:val="en-US"/>
              </w:rPr>
              <w:fldChar w:fldCharType="separate"/>
            </w:r>
            <w:r w:rsidR="00A514DB" w:rsidRPr="00424CF9">
              <w:rPr>
                <w:sz w:val="18"/>
                <w:szCs w:val="18"/>
                <w:lang w:val="en-US"/>
              </w:rPr>
              <w:t>[9]</w:t>
            </w:r>
            <w:r w:rsidRPr="00424CF9">
              <w:rPr>
                <w:sz w:val="18"/>
                <w:szCs w:val="18"/>
                <w:lang w:val="en-US"/>
              </w:rPr>
              <w:fldChar w:fldCharType="end"/>
            </w:r>
            <w:r w:rsidRPr="00424CF9">
              <w:rPr>
                <w:sz w:val="18"/>
                <w:szCs w:val="18"/>
                <w:lang w:val="en-US"/>
              </w:rPr>
              <w:t xml:space="preserve">. The computer codes applied for SMRs need to be justified for inclusion into the list. </w:t>
            </w:r>
          </w:p>
        </w:tc>
      </w:tr>
      <w:tr w:rsidR="00DD66FC" w:rsidRPr="002C10C0" w14:paraId="4F4668E6" w14:textId="77777777" w:rsidTr="002B20EE">
        <w:trPr>
          <w:trHeight w:val="761"/>
          <w:jc w:val="center"/>
        </w:trPr>
        <w:tc>
          <w:tcPr>
            <w:tcW w:w="417" w:type="dxa"/>
            <w:shd w:val="clear" w:color="auto" w:fill="FFFFFF" w:themeFill="background1"/>
          </w:tcPr>
          <w:p w14:paraId="2B257278" w14:textId="24595D8B" w:rsidR="00DD66FC" w:rsidRPr="00424CF9" w:rsidRDefault="00227D38" w:rsidP="00F017A3">
            <w:pPr>
              <w:pStyle w:val="a3"/>
              <w:widowControl w:val="0"/>
              <w:ind w:firstLine="0"/>
              <w:rPr>
                <w:sz w:val="18"/>
                <w:szCs w:val="18"/>
              </w:rPr>
            </w:pPr>
            <w:r w:rsidRPr="00424CF9">
              <w:rPr>
                <w:sz w:val="18"/>
                <w:szCs w:val="18"/>
              </w:rPr>
              <w:lastRenderedPageBreak/>
              <w:t>5</w:t>
            </w:r>
          </w:p>
        </w:tc>
        <w:tc>
          <w:tcPr>
            <w:tcW w:w="2844" w:type="dxa"/>
            <w:shd w:val="clear" w:color="auto" w:fill="FFFFFF" w:themeFill="background1"/>
          </w:tcPr>
          <w:p w14:paraId="56A51DF0" w14:textId="7F6B7860" w:rsidR="00DD66FC" w:rsidRPr="00424CF9" w:rsidRDefault="00DD66FC" w:rsidP="00DD66FC">
            <w:pPr>
              <w:pStyle w:val="a3"/>
              <w:widowControl w:val="0"/>
              <w:ind w:firstLine="0"/>
              <w:rPr>
                <w:sz w:val="18"/>
                <w:szCs w:val="18"/>
                <w:lang w:val="en-US"/>
              </w:rPr>
            </w:pPr>
            <w:r w:rsidRPr="00424CF9">
              <w:rPr>
                <w:sz w:val="18"/>
                <w:szCs w:val="18"/>
                <w:lang w:val="en-US"/>
              </w:rPr>
              <w:t>Codes and standards</w:t>
            </w:r>
          </w:p>
        </w:tc>
        <w:tc>
          <w:tcPr>
            <w:tcW w:w="4961" w:type="dxa"/>
            <w:shd w:val="clear" w:color="auto" w:fill="FFFFFF" w:themeFill="background1"/>
          </w:tcPr>
          <w:p w14:paraId="23816305" w14:textId="6799D8C3" w:rsidR="00DD66FC" w:rsidRPr="00424CF9" w:rsidRDefault="004B5E9C" w:rsidP="001C1043">
            <w:pPr>
              <w:pStyle w:val="a3"/>
              <w:widowControl w:val="0"/>
              <w:ind w:firstLine="0"/>
              <w:rPr>
                <w:sz w:val="18"/>
                <w:szCs w:val="18"/>
                <w:lang w:val="en-US"/>
              </w:rPr>
            </w:pPr>
            <w:r w:rsidRPr="00424CF9">
              <w:rPr>
                <w:sz w:val="18"/>
                <w:szCs w:val="18"/>
                <w:lang w:val="en-US"/>
              </w:rPr>
              <w:t>The codes and standards contribute to prove that safety related structures, systems and components will perform their safety functions with a required level of reliability.</w:t>
            </w:r>
          </w:p>
          <w:p w14:paraId="177A70CF" w14:textId="596B357F" w:rsidR="004B5E9C" w:rsidRPr="002B20EE" w:rsidRDefault="00533C40" w:rsidP="002B20EE">
            <w:pPr>
              <w:pStyle w:val="a3"/>
              <w:widowControl w:val="0"/>
              <w:ind w:firstLine="0"/>
              <w:rPr>
                <w:sz w:val="18"/>
                <w:szCs w:val="18"/>
                <w:lang w:val="en-US"/>
              </w:rPr>
            </w:pPr>
            <w:r w:rsidRPr="00424CF9">
              <w:rPr>
                <w:sz w:val="18"/>
                <w:szCs w:val="18"/>
                <w:lang w:val="en-US"/>
              </w:rPr>
              <w:t xml:space="preserve">There is a national system of codes and standards (DSTU) and set of </w:t>
            </w:r>
            <w:r w:rsidR="002B20EE" w:rsidRPr="002B20EE">
              <w:rPr>
                <w:sz w:val="18"/>
                <w:szCs w:val="18"/>
                <w:lang w:val="en-US"/>
              </w:rPr>
              <w:t>non-binding guides, developed by the state operating organization</w:t>
            </w:r>
            <w:r w:rsidRPr="00424CF9">
              <w:rPr>
                <w:sz w:val="18"/>
                <w:szCs w:val="18"/>
                <w:lang w:val="en-US"/>
              </w:rPr>
              <w:t xml:space="preserve"> (SOU). The utilization of international or vendor country codes and standards</w:t>
            </w:r>
            <w:r w:rsidR="002B20EE" w:rsidRPr="002B20EE">
              <w:rPr>
                <w:sz w:val="18"/>
                <w:szCs w:val="18"/>
                <w:lang w:val="en-US"/>
              </w:rPr>
              <w:t xml:space="preserve"> needs to be justified by the licensee</w:t>
            </w:r>
            <w:r w:rsidR="002B20EE">
              <w:rPr>
                <w:sz w:val="18"/>
                <w:szCs w:val="18"/>
                <w:lang w:val="en-US"/>
              </w:rPr>
              <w:t>.</w:t>
            </w:r>
          </w:p>
        </w:tc>
      </w:tr>
    </w:tbl>
    <w:p w14:paraId="0B515200" w14:textId="2B86FE5C" w:rsidR="0055346E" w:rsidRDefault="0055346E" w:rsidP="006C1AF3">
      <w:pPr>
        <w:pStyle w:val="2"/>
        <w:numPr>
          <w:ilvl w:val="1"/>
          <w:numId w:val="10"/>
        </w:numPr>
      </w:pPr>
      <w:r>
        <w:t>CONCLUSIONS</w:t>
      </w:r>
    </w:p>
    <w:p w14:paraId="55C62C52" w14:textId="540BBE4B" w:rsidR="00145F32" w:rsidRDefault="00145F32" w:rsidP="003B77FE">
      <w:pPr>
        <w:pStyle w:val="a3"/>
      </w:pPr>
      <w:r>
        <w:t xml:space="preserve">SNRIU </w:t>
      </w:r>
      <w:r w:rsidR="00341D21">
        <w:t xml:space="preserve">prepares the </w:t>
      </w:r>
      <w:r>
        <w:t>regulatory framework for SMR deployment in Ukraine establishing the pre-licensing review process and strengthening capability in review and assessment of the emerging SMR designs.</w:t>
      </w:r>
    </w:p>
    <w:p w14:paraId="4ECCB274" w14:textId="707BD38C" w:rsidR="00F017A3" w:rsidRDefault="00145F32" w:rsidP="000868E9">
      <w:pPr>
        <w:pStyle w:val="a3"/>
      </w:pPr>
      <w:r w:rsidRPr="00145F32">
        <w:t xml:space="preserve">The designs of </w:t>
      </w:r>
      <w:r>
        <w:t>SMRs</w:t>
      </w:r>
      <w:r w:rsidRPr="00145F32">
        <w:t xml:space="preserve"> incorporate smaller radioactive inventories and employ innovative technologies with inherent and advanced passive safety features. Nevertheless, the primary objective of regulatory requirements remains consistent:</w:t>
      </w:r>
      <w:r w:rsidR="00F017A3" w:rsidRPr="009F7847">
        <w:t xml:space="preserve"> ensuring the protection of people and the environment </w:t>
      </w:r>
      <w:r w:rsidR="00F017A3">
        <w:t xml:space="preserve">from harmful effects of </w:t>
      </w:r>
      <w:r w:rsidR="00760101">
        <w:rPr>
          <w:lang w:val="en-US"/>
        </w:rPr>
        <w:t>ionizing</w:t>
      </w:r>
      <w:r w:rsidR="00760101" w:rsidRPr="00F21455">
        <w:rPr>
          <w:lang w:val="uk-UA"/>
        </w:rPr>
        <w:t xml:space="preserve"> </w:t>
      </w:r>
      <w:r w:rsidR="00F017A3">
        <w:t>radiation.</w:t>
      </w:r>
      <w:r w:rsidR="00760101">
        <w:t xml:space="preserve"> </w:t>
      </w:r>
    </w:p>
    <w:p w14:paraId="3E4E030A" w14:textId="527B7CD1" w:rsidR="0055346E" w:rsidRPr="0055346E" w:rsidRDefault="00D01B8E" w:rsidP="000868E9">
      <w:pPr>
        <w:pStyle w:val="a3"/>
      </w:pPr>
      <w:r>
        <w:t>E</w:t>
      </w:r>
      <w:r w:rsidR="007B58F1" w:rsidRPr="007B58F1">
        <w:t xml:space="preserve">arly pre-licensing engagements have demonstrated mutual benefits for both SMR vendors and regulatory authorities. </w:t>
      </w:r>
      <w:r w:rsidR="002B20EE" w:rsidRPr="007B58F1">
        <w:t xml:space="preserve">By conducting pre-licensing reviews of SMR designs, potential issues can be identified at an early stage, facilitating </w:t>
      </w:r>
      <w:r w:rsidR="002B20EE">
        <w:t xml:space="preserve">identification of </w:t>
      </w:r>
      <w:r w:rsidR="002B20EE" w:rsidRPr="007B58F1">
        <w:t>need</w:t>
      </w:r>
      <w:r w:rsidR="002B20EE">
        <w:t>s</w:t>
      </w:r>
      <w:r w:rsidR="002B20EE" w:rsidRPr="007B58F1">
        <w:t xml:space="preserve"> for </w:t>
      </w:r>
      <w:r w:rsidR="002B20EE">
        <w:t xml:space="preserve">design changes and </w:t>
      </w:r>
      <w:r w:rsidR="002B20EE" w:rsidRPr="007B58F1">
        <w:t xml:space="preserve">additional </w:t>
      </w:r>
      <w:r w:rsidR="002B20EE">
        <w:t xml:space="preserve">safety </w:t>
      </w:r>
      <w:r w:rsidR="002B20EE" w:rsidRPr="007B58F1">
        <w:t>justifications</w:t>
      </w:r>
      <w:r w:rsidR="002B20EE">
        <w:t xml:space="preserve"> to meet the requirements of national regulations and expectations of the regulatory body</w:t>
      </w:r>
      <w:r w:rsidR="002B20EE" w:rsidRPr="007B58F1">
        <w:t xml:space="preserve">. This proactive approach fosters greater confidence in </w:t>
      </w:r>
      <w:r w:rsidR="002B20EE">
        <w:t>further formal licensing process</w:t>
      </w:r>
      <w:r w:rsidR="002B20EE" w:rsidRPr="00145F32">
        <w:t>.</w:t>
      </w:r>
    </w:p>
    <w:p w14:paraId="65038522" w14:textId="0DF857EA" w:rsidR="00717C6F" w:rsidRDefault="00717C6F" w:rsidP="00AE12AB">
      <w:pPr>
        <w:pStyle w:val="Otherunnumberedheadings"/>
      </w:pPr>
      <w:r w:rsidRPr="00AE12AB">
        <w:t>REFERENCES</w:t>
      </w:r>
    </w:p>
    <w:p w14:paraId="60407CFC" w14:textId="3DCFB70C" w:rsidR="00A8239C" w:rsidRDefault="005037EB" w:rsidP="00B6053B">
      <w:pPr>
        <w:pStyle w:val="Referencelist"/>
        <w:numPr>
          <w:ilvl w:val="0"/>
          <w:numId w:val="33"/>
        </w:numPr>
        <w:spacing w:line="240" w:lineRule="atLeast"/>
        <w:ind w:left="714" w:hanging="357"/>
      </w:pPr>
      <w:bookmarkStart w:id="4" w:name="_Ref166430557"/>
      <w:r>
        <w:t>CABINET OF MINISTERS OF UKRAINE</w:t>
      </w:r>
      <w:r>
        <w:rPr>
          <w:lang w:val="uk-UA"/>
        </w:rPr>
        <w:t>.</w:t>
      </w:r>
      <w:r>
        <w:t xml:space="preserve"> </w:t>
      </w:r>
      <w:r w:rsidR="00A8239C" w:rsidRPr="009A43FF">
        <w:t>The Energy Strategy of Ukraine until 2050</w:t>
      </w:r>
      <w:r w:rsidR="00E255C2">
        <w:rPr>
          <w:lang w:val="uk-UA"/>
        </w:rPr>
        <w:t>, 2023.</w:t>
      </w:r>
      <w:r w:rsidR="00A8239C">
        <w:t xml:space="preserve"> </w:t>
      </w:r>
      <w:bookmarkEnd w:id="4"/>
    </w:p>
    <w:p w14:paraId="2A4CD076" w14:textId="736FAAD3" w:rsidR="00397B1E" w:rsidRDefault="005037EB" w:rsidP="00B6053B">
      <w:pPr>
        <w:pStyle w:val="Referencelist"/>
        <w:numPr>
          <w:ilvl w:val="0"/>
          <w:numId w:val="33"/>
        </w:numPr>
        <w:spacing w:line="240" w:lineRule="atLeast"/>
        <w:ind w:left="714" w:hanging="357"/>
      </w:pPr>
      <w:bookmarkStart w:id="5" w:name="_Ref166431113"/>
      <w:r w:rsidRPr="00BF275F">
        <w:t>US DEPARTMENT OF ENERGY</w:t>
      </w:r>
      <w:r>
        <w:t xml:space="preserve">, </w:t>
      </w:r>
      <w:r w:rsidR="00397B1E" w:rsidRPr="00397B1E">
        <w:t>Declaration to Triple Nuclear Energy</w:t>
      </w:r>
      <w:r w:rsidR="009034C8">
        <w:t xml:space="preserve"> (2023)</w:t>
      </w:r>
      <w:r w:rsidR="004F5105">
        <w:t>,</w:t>
      </w:r>
      <w:r w:rsidR="00E72EA0">
        <w:t xml:space="preserve"> </w:t>
      </w:r>
      <w:hyperlink r:id="rId18" w:history="1">
        <w:r w:rsidR="0003652F" w:rsidRPr="006D08DC">
          <w:rPr>
            <w:rStyle w:val="af3"/>
          </w:rPr>
          <w:t>https://www.energy.gov/articles/cop28-countries-launch-declaration-triple-nuclear-energy-capacity-2050-recognizing-key</w:t>
        </w:r>
      </w:hyperlink>
      <w:r w:rsidR="00397B1E">
        <w:t>.</w:t>
      </w:r>
      <w:bookmarkEnd w:id="5"/>
    </w:p>
    <w:p w14:paraId="55D01C03" w14:textId="7799E1D7" w:rsidR="00900363" w:rsidRDefault="00E255C2" w:rsidP="00B6053B">
      <w:pPr>
        <w:pStyle w:val="Referencelist"/>
        <w:numPr>
          <w:ilvl w:val="0"/>
          <w:numId w:val="33"/>
        </w:numPr>
        <w:spacing w:line="240" w:lineRule="atLeast"/>
        <w:ind w:left="714" w:hanging="357"/>
      </w:pPr>
      <w:bookmarkStart w:id="6" w:name="_Ref166431372"/>
      <w:r w:rsidRPr="006D0FAF">
        <w:t xml:space="preserve">WORLD NUCLEAR NEWS </w:t>
      </w:r>
      <w:r>
        <w:t xml:space="preserve">(WNN), </w:t>
      </w:r>
      <w:r w:rsidR="00397B1E" w:rsidRPr="00397B1E">
        <w:t>Mass deployment of Holtec SMRs in Ukraine is part of accord's aims</w:t>
      </w:r>
      <w:r w:rsidR="00FE034E">
        <w:t xml:space="preserve"> (2023)</w:t>
      </w:r>
      <w:r w:rsidR="00683046">
        <w:t>,</w:t>
      </w:r>
      <w:r w:rsidR="00900363">
        <w:t xml:space="preserve"> </w:t>
      </w:r>
      <w:hyperlink r:id="rId19" w:history="1">
        <w:r w:rsidR="00F72111" w:rsidRPr="006D08DC">
          <w:rPr>
            <w:rStyle w:val="af3"/>
          </w:rPr>
          <w:t>https://world-nuclear-news.org/Articles/Accord-sees-mass-deployment-of-Holtec-SMRs-in-Ukra</w:t>
        </w:r>
      </w:hyperlink>
      <w:r w:rsidR="00900363">
        <w:t>.</w:t>
      </w:r>
      <w:bookmarkEnd w:id="6"/>
    </w:p>
    <w:p w14:paraId="531761E9" w14:textId="535A93CF" w:rsidR="00537496" w:rsidRDefault="005944EE" w:rsidP="00B6053B">
      <w:pPr>
        <w:pStyle w:val="Referencelist"/>
        <w:numPr>
          <w:ilvl w:val="0"/>
          <w:numId w:val="33"/>
        </w:numPr>
        <w:spacing w:line="240" w:lineRule="atLeast"/>
        <w:ind w:left="714" w:hanging="357"/>
      </w:pPr>
      <w:bookmarkStart w:id="7" w:name="_Ref166431374"/>
      <w:r w:rsidRPr="001A6FA5">
        <w:t>NUSCALE POWER</w:t>
      </w:r>
      <w:r w:rsidR="001A6FA5">
        <w:t xml:space="preserve">, </w:t>
      </w:r>
      <w:r w:rsidR="00A8239C">
        <w:t>NuScale Power Signs Memorandum of Understanding with Energoatom to Explore SMR Deployment in Ukraine</w:t>
      </w:r>
      <w:r w:rsidR="001A6FA5">
        <w:t xml:space="preserve"> (2021),</w:t>
      </w:r>
      <w:r w:rsidR="00A8239C">
        <w:t xml:space="preserve"> </w:t>
      </w:r>
      <w:hyperlink r:id="rId20" w:history="1">
        <w:r w:rsidR="00FF1CA1" w:rsidRPr="006D08DC">
          <w:rPr>
            <w:rStyle w:val="af3"/>
          </w:rPr>
          <w:t>https://www.nuscalepower.com/en/news/press-releases/2021/nuscale-power-signs-mou-with-energoatom-to-explore-smr-deployment-in-ukraine</w:t>
        </w:r>
      </w:hyperlink>
      <w:r w:rsidR="00A8239C">
        <w:t>.</w:t>
      </w:r>
      <w:bookmarkEnd w:id="7"/>
    </w:p>
    <w:p w14:paraId="2281DF66" w14:textId="4403E62F" w:rsidR="00DB60A6" w:rsidRDefault="00DB60A6" w:rsidP="00B6053B">
      <w:pPr>
        <w:pStyle w:val="Referencelist"/>
        <w:numPr>
          <w:ilvl w:val="0"/>
          <w:numId w:val="33"/>
        </w:numPr>
        <w:spacing w:line="240" w:lineRule="atLeast"/>
        <w:ind w:left="714" w:hanging="357"/>
      </w:pPr>
      <w:bookmarkStart w:id="8" w:name="_Ref167624532"/>
      <w:r>
        <w:t>NUWARD SMR Joint Early Review</w:t>
      </w:r>
      <w:r w:rsidR="007103AD">
        <w:rPr>
          <w:lang w:val="uk-UA"/>
        </w:rPr>
        <w:t>,</w:t>
      </w:r>
      <w:r>
        <w:t xml:space="preserve"> Pilot Phase Closure Report, 2023.</w:t>
      </w:r>
      <w:bookmarkEnd w:id="8"/>
    </w:p>
    <w:p w14:paraId="7D513571" w14:textId="26534F08" w:rsidR="00174F5D" w:rsidRDefault="00174F5D" w:rsidP="00B6053B">
      <w:pPr>
        <w:pStyle w:val="Referencelist"/>
        <w:numPr>
          <w:ilvl w:val="0"/>
          <w:numId w:val="33"/>
        </w:numPr>
        <w:spacing w:line="240" w:lineRule="atLeast"/>
        <w:ind w:left="714" w:hanging="357"/>
      </w:pPr>
      <w:bookmarkStart w:id="9" w:name="_Ref167698400"/>
      <w:r>
        <w:t>General Provisions</w:t>
      </w:r>
      <w:r w:rsidR="00BA4E0C">
        <w:t xml:space="preserve"> on Nuclear Power Plant Safety</w:t>
      </w:r>
      <w:r w:rsidR="004B422F">
        <w:t>, NP</w:t>
      </w:r>
      <w:r w:rsidR="004B422F" w:rsidRPr="00174F5D">
        <w:t xml:space="preserve"> 306.2.245-2024</w:t>
      </w:r>
      <w:r w:rsidR="004B422F">
        <w:t>,</w:t>
      </w:r>
      <w:r w:rsidR="00BA4E0C">
        <w:t xml:space="preserve"> 2024.</w:t>
      </w:r>
      <w:bookmarkEnd w:id="9"/>
    </w:p>
    <w:p w14:paraId="32167CED" w14:textId="2A86931D" w:rsidR="00BA4E0C" w:rsidRDefault="00BA4E0C" w:rsidP="00B6053B">
      <w:pPr>
        <w:pStyle w:val="Referencelist"/>
        <w:numPr>
          <w:ilvl w:val="0"/>
          <w:numId w:val="33"/>
        </w:numPr>
        <w:spacing w:line="240" w:lineRule="atLeast"/>
        <w:ind w:left="714" w:hanging="357"/>
      </w:pPr>
      <w:bookmarkStart w:id="10" w:name="_Ref167653480"/>
      <w:bookmarkStart w:id="11" w:name="_Ref167885526"/>
      <w:r w:rsidRPr="00BA4E0C">
        <w:t>Provisions for pre-licensing review of nuclear facility’s design</w:t>
      </w:r>
      <w:r w:rsidR="00492951">
        <w:t>,</w:t>
      </w:r>
      <w:r>
        <w:t xml:space="preserve"> </w:t>
      </w:r>
      <w:r w:rsidR="004B422F" w:rsidRPr="004B422F">
        <w:t>SSTC NRS</w:t>
      </w:r>
      <w:r w:rsidR="004B422F">
        <w:t xml:space="preserve">, </w:t>
      </w:r>
      <w:r>
        <w:t>20</w:t>
      </w:r>
      <w:r w:rsidRPr="002B0495">
        <w:t>2</w:t>
      </w:r>
      <w:r>
        <w:t>3</w:t>
      </w:r>
      <w:bookmarkEnd w:id="10"/>
      <w:r w:rsidR="001172F0">
        <w:t>.</w:t>
      </w:r>
      <w:bookmarkEnd w:id="11"/>
    </w:p>
    <w:p w14:paraId="7785E33E" w14:textId="3B82E95F" w:rsidR="00432972" w:rsidRDefault="00432972" w:rsidP="00B6053B">
      <w:pPr>
        <w:pStyle w:val="Referencelist"/>
        <w:numPr>
          <w:ilvl w:val="0"/>
          <w:numId w:val="33"/>
        </w:numPr>
        <w:spacing w:line="240" w:lineRule="atLeast"/>
        <w:ind w:left="714" w:hanging="357"/>
      </w:pPr>
      <w:bookmarkStart w:id="12" w:name="_Ref167699107"/>
      <w:r w:rsidRPr="00432972">
        <w:t>Norms of Radiation Safety (NRBU-97)</w:t>
      </w:r>
      <w:r>
        <w:t>, 1997.</w:t>
      </w:r>
      <w:bookmarkEnd w:id="12"/>
    </w:p>
    <w:p w14:paraId="0F847E5B" w14:textId="12F67E46" w:rsidR="000E7413" w:rsidRPr="00537496" w:rsidRDefault="00DF654A" w:rsidP="00B6053B">
      <w:pPr>
        <w:pStyle w:val="Referencelist"/>
        <w:numPr>
          <w:ilvl w:val="0"/>
          <w:numId w:val="33"/>
        </w:numPr>
        <w:spacing w:line="240" w:lineRule="atLeast"/>
        <w:ind w:left="714" w:hanging="357"/>
      </w:pPr>
      <w:bookmarkStart w:id="13" w:name="_Ref167695396"/>
      <w:r w:rsidRPr="00183A99">
        <w:t>JOINT STOCK COMPANY "NATIONAL NUCLEAR ENERGY GENERATING COMPANY "ENERGOATOM"</w:t>
      </w:r>
      <w:r>
        <w:t xml:space="preserve">, </w:t>
      </w:r>
      <w:r w:rsidR="00DD66FC">
        <w:t>Safety a</w:t>
      </w:r>
      <w:r w:rsidR="00DD66FC" w:rsidRPr="00DD66FC">
        <w:t xml:space="preserve">nalysis and assessment. The procedure for using software to justify safety of nuclear power plants. Methodical </w:t>
      </w:r>
      <w:r w:rsidR="00DD66FC">
        <w:t>guidance</w:t>
      </w:r>
      <w:bookmarkEnd w:id="13"/>
      <w:r w:rsidR="002330C1">
        <w:t xml:space="preserve">, </w:t>
      </w:r>
      <w:r w:rsidR="002330C1" w:rsidRPr="00DD66FC">
        <w:t>STP 0.41.076-2008</w:t>
      </w:r>
      <w:r w:rsidR="002C38DD">
        <w:t>,</w:t>
      </w:r>
      <w:r w:rsidR="002330C1">
        <w:t xml:space="preserve"> 2008.</w:t>
      </w:r>
      <w:bookmarkStart w:id="14" w:name="_GoBack"/>
      <w:bookmarkEnd w:id="14"/>
    </w:p>
    <w:sectPr w:rsidR="000E7413" w:rsidRPr="00537496" w:rsidSect="00546BA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3A04" w16cex:dateUtc="2024-05-31T08:59:00Z"/>
  <w16cex:commentExtensible w16cex:durableId="2A043916" w16cex:dateUtc="2024-05-31T08:55:00Z"/>
  <w16cex:commentExtensible w16cex:durableId="2A043942" w16cex:dateUtc="2024-05-3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79EE5" w16cid:durableId="2A043A04"/>
  <w16cid:commentId w16cid:paraId="60D6F135" w16cid:durableId="2A043916"/>
  <w16cid:commentId w16cid:paraId="296C8376" w16cid:durableId="2A0439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D9FC" w14:textId="77777777" w:rsidR="000906EE" w:rsidRDefault="000906EE">
      <w:r>
        <w:separator/>
      </w:r>
    </w:p>
  </w:endnote>
  <w:endnote w:type="continuationSeparator" w:id="0">
    <w:p w14:paraId="3230D373" w14:textId="77777777" w:rsidR="000906EE" w:rsidRDefault="0009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wis721 Lt TL">
    <w:altName w:val="Swis721 Lt T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6D1A9A90" w:rsidR="00432972" w:rsidRDefault="00432972">
    <w:pPr>
      <w:pStyle w:val="zyxClassification1"/>
    </w:pPr>
    <w:r>
      <w:fldChar w:fldCharType="begin"/>
    </w:r>
    <w:r>
      <w:instrText xml:space="preserve"> DOCPROPERTY "IaeaClassification"  \* MERGEFORMAT </w:instrText>
    </w:r>
    <w:r>
      <w:fldChar w:fldCharType="end"/>
    </w:r>
  </w:p>
  <w:p w14:paraId="1FDEB1B7" w14:textId="4B65B153" w:rsidR="00432972" w:rsidRDefault="00432972">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09FF7CF9" w:rsidR="00432972" w:rsidRDefault="00432972">
    <w:pPr>
      <w:pStyle w:val="zyxClassification1"/>
    </w:pPr>
    <w:r>
      <w:fldChar w:fldCharType="begin"/>
    </w:r>
    <w:r>
      <w:instrText xml:space="preserve"> DOCPROPERTY "IaeaClassification"  \* MERGEFORMAT </w:instrText>
    </w:r>
    <w:r>
      <w:fldChar w:fldCharType="end"/>
    </w:r>
  </w:p>
  <w:p w14:paraId="7E32AC2C" w14:textId="0FD5BEEC" w:rsidR="00432972" w:rsidRPr="00037321" w:rsidRDefault="00432972">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8741E">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432972" w14:paraId="2AC0DA17" w14:textId="77777777">
      <w:trPr>
        <w:cantSplit/>
      </w:trPr>
      <w:tc>
        <w:tcPr>
          <w:tcW w:w="4644" w:type="dxa"/>
        </w:tcPr>
        <w:p w14:paraId="6CFF9F49" w14:textId="29885AF9" w:rsidR="00432972" w:rsidRDefault="00432972">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6CCB24B" w:rsidR="00432972" w:rsidRDefault="00432972">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6" w:name="DOC_bkmClassification2"/>
      <w:tc>
        <w:tcPr>
          <w:tcW w:w="5670" w:type="dxa"/>
          <w:tcMar>
            <w:right w:w="249" w:type="dxa"/>
          </w:tcMar>
        </w:tcPr>
        <w:p w14:paraId="6BE850AD" w14:textId="1E670C1C" w:rsidR="00432972" w:rsidRDefault="004329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6"/>
        <w:p w14:paraId="4A6BF5C8" w14:textId="509ACA59" w:rsidR="00432972" w:rsidRDefault="00432972">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7" w:name="DOC_bkmFileName"/>
  <w:p w14:paraId="437B756E" w14:textId="1FABD947" w:rsidR="00432972" w:rsidRDefault="00432972">
    <w:r>
      <w:rPr>
        <w:sz w:val="16"/>
      </w:rPr>
      <w:fldChar w:fldCharType="begin"/>
    </w:r>
    <w:r>
      <w:rPr>
        <w:sz w:val="16"/>
      </w:rPr>
      <w:instrText xml:space="preserve"> FILENAME \* MERGEFORMAT </w:instrText>
    </w:r>
    <w:r>
      <w:rPr>
        <w:sz w:val="16"/>
      </w:rPr>
      <w:fldChar w:fldCharType="separate"/>
    </w:r>
    <w:r w:rsidR="00A514DB">
      <w:rPr>
        <w:noProof/>
        <w:sz w:val="16"/>
      </w:rPr>
      <w:t>Paper_Preparation of regulatory framework for SMR deployment in Ukraine_27 May 2024</w:t>
    </w:r>
    <w:r>
      <w:rPr>
        <w:sz w:val="16"/>
      </w:rPr>
      <w:fldChar w:fldCharType="end"/>
    </w:r>
    <w:bookmarkEnd w:id="17"/>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5580" w14:textId="77777777" w:rsidR="000906EE" w:rsidRDefault="000906EE">
      <w:r>
        <w:t>___________________________________________________________________________</w:t>
      </w:r>
    </w:p>
  </w:footnote>
  <w:footnote w:type="continuationSeparator" w:id="0">
    <w:p w14:paraId="3BAD2D96" w14:textId="77777777" w:rsidR="000906EE" w:rsidRDefault="000906EE">
      <w:r>
        <w:t>___________________________________________________________________________</w:t>
      </w:r>
    </w:p>
  </w:footnote>
  <w:footnote w:type="continuationNotice" w:id="1">
    <w:p w14:paraId="7A42ADF5" w14:textId="77777777" w:rsidR="000906EE" w:rsidRDefault="000906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4CA5AF38" w:rsidR="000A5A52" w:rsidRDefault="00432972" w:rsidP="000A5A52">
    <w:pPr>
      <w:pStyle w:val="Runninghead"/>
    </w:pPr>
    <w:r>
      <w:t>IAEA-CN-123/45</w:t>
    </w:r>
    <w:r>
      <w:fldChar w:fldCharType="begin"/>
    </w:r>
    <w:r>
      <w:instrText xml:space="preserve"> DOCPROPERTY "IaeaClassification"  \* MERGEFORMAT </w:instrText>
    </w:r>
    <w:r>
      <w:fldChar w:fldCharType="end"/>
    </w:r>
  </w:p>
  <w:p w14:paraId="09E92CEF" w14:textId="44D1340A" w:rsidR="00432972" w:rsidRDefault="00432972" w:rsidP="000A5A52">
    <w:pPr>
      <w:pStyle w:val="zyxClassification2"/>
      <w:ind w:right="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7D7670D8" w:rsidR="00432972" w:rsidRDefault="00432972" w:rsidP="00B82FA5">
    <w:pPr>
      <w:pStyle w:val="Runninghead"/>
    </w:pPr>
    <w:r>
      <w:t>DYBACH</w:t>
    </w:r>
    <w:r w:rsidR="00CC4374">
      <w:t xml:space="preserve"> et 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32972" w14:paraId="2C69EA9B" w14:textId="77777777">
      <w:trPr>
        <w:cantSplit/>
        <w:trHeight w:val="716"/>
      </w:trPr>
      <w:tc>
        <w:tcPr>
          <w:tcW w:w="979" w:type="dxa"/>
          <w:vMerge w:val="restart"/>
        </w:tcPr>
        <w:p w14:paraId="2A6ADF80" w14:textId="77777777" w:rsidR="00432972" w:rsidRDefault="00432972">
          <w:pPr>
            <w:spacing w:before="180"/>
            <w:ind w:left="17"/>
          </w:pPr>
        </w:p>
      </w:tc>
      <w:tc>
        <w:tcPr>
          <w:tcW w:w="3638" w:type="dxa"/>
          <w:vAlign w:val="bottom"/>
        </w:tcPr>
        <w:p w14:paraId="610CF310" w14:textId="77777777" w:rsidR="00432972" w:rsidRDefault="00432972">
          <w:pPr>
            <w:spacing w:after="20"/>
          </w:pPr>
        </w:p>
      </w:tc>
      <w:bookmarkStart w:id="15" w:name="DOC_bkmClassification1"/>
      <w:tc>
        <w:tcPr>
          <w:tcW w:w="5702" w:type="dxa"/>
          <w:vMerge w:val="restart"/>
          <w:tcMar>
            <w:right w:w="193" w:type="dxa"/>
          </w:tcMar>
        </w:tcPr>
        <w:p w14:paraId="48D5842E" w14:textId="41AE4900" w:rsidR="00432972" w:rsidRDefault="004329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5"/>
        <w:p w14:paraId="423CAA9C" w14:textId="5869AE5C" w:rsidR="00432972" w:rsidRDefault="00432972">
          <w:pPr>
            <w:pStyle w:val="zyxConfid2Red"/>
          </w:pPr>
          <w:r>
            <w:fldChar w:fldCharType="begin"/>
          </w:r>
          <w:r>
            <w:instrText>DOCPROPERTY "IaeaClassification2"  \* MERGEFORMAT</w:instrText>
          </w:r>
          <w:r>
            <w:fldChar w:fldCharType="end"/>
          </w:r>
        </w:p>
      </w:tc>
    </w:tr>
    <w:tr w:rsidR="00432972" w14:paraId="7130D945" w14:textId="77777777">
      <w:trPr>
        <w:cantSplit/>
        <w:trHeight w:val="167"/>
      </w:trPr>
      <w:tc>
        <w:tcPr>
          <w:tcW w:w="979" w:type="dxa"/>
          <w:vMerge/>
        </w:tcPr>
        <w:p w14:paraId="7659FE2B" w14:textId="77777777" w:rsidR="00432972" w:rsidRDefault="00432972">
          <w:pPr>
            <w:spacing w:before="57"/>
          </w:pPr>
        </w:p>
      </w:tc>
      <w:tc>
        <w:tcPr>
          <w:tcW w:w="3638" w:type="dxa"/>
          <w:vAlign w:val="bottom"/>
        </w:tcPr>
        <w:p w14:paraId="7578AADC" w14:textId="77777777" w:rsidR="00432972" w:rsidRDefault="00432972">
          <w:pPr>
            <w:pStyle w:val="9"/>
            <w:spacing w:before="0" w:after="10"/>
          </w:pPr>
        </w:p>
      </w:tc>
      <w:tc>
        <w:tcPr>
          <w:tcW w:w="5702" w:type="dxa"/>
          <w:vMerge/>
          <w:vAlign w:val="bottom"/>
        </w:tcPr>
        <w:p w14:paraId="313FA1D9" w14:textId="77777777" w:rsidR="00432972" w:rsidRDefault="00432972">
          <w:pPr>
            <w:pStyle w:val="9"/>
            <w:spacing w:before="0" w:after="10"/>
          </w:pPr>
        </w:p>
      </w:tc>
    </w:tr>
  </w:tbl>
  <w:p w14:paraId="7A0C2B4B" w14:textId="77777777" w:rsidR="00432972" w:rsidRDefault="004329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61E2EFE"/>
    <w:multiLevelType w:val="hybridMultilevel"/>
    <w:tmpl w:val="178E29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D428EA"/>
    <w:multiLevelType w:val="hybridMultilevel"/>
    <w:tmpl w:val="DC564958"/>
    <w:lvl w:ilvl="0" w:tplc="3DAA358E">
      <w:start w:val="1"/>
      <w:numFmt w:val="decimal"/>
      <w:pStyle w:val="a"/>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2682D"/>
    <w:multiLevelType w:val="hybridMultilevel"/>
    <w:tmpl w:val="A9584A10"/>
    <w:lvl w:ilvl="0" w:tplc="FEBAE0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C9C5284"/>
    <w:multiLevelType w:val="hybridMultilevel"/>
    <w:tmpl w:val="A9584A10"/>
    <w:lvl w:ilvl="0" w:tplc="FEBAE0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1C94D19"/>
    <w:multiLevelType w:val="hybridMultilevel"/>
    <w:tmpl w:val="F0FECACC"/>
    <w:lvl w:ilvl="0" w:tplc="6E2AA084">
      <w:start w:val="1"/>
      <w:numFmt w:val="bullet"/>
      <w:lvlText w:val="—"/>
      <w:lvlJc w:val="left"/>
      <w:pPr>
        <w:ind w:left="3763" w:hanging="360"/>
      </w:pPr>
      <w:rPr>
        <w:rFonts w:ascii="Times New Roman" w:hAnsi="Times New Roman" w:cs="Times New Roman"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01C30"/>
    <w:multiLevelType w:val="hybridMultilevel"/>
    <w:tmpl w:val="A434FC26"/>
    <w:lvl w:ilvl="0" w:tplc="1FC06C2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A4DE5"/>
    <w:multiLevelType w:val="hybridMultilevel"/>
    <w:tmpl w:val="C8864324"/>
    <w:lvl w:ilvl="0" w:tplc="2CD2E088">
      <w:start w:val="1"/>
      <w:numFmt w:val="bullet"/>
      <w:pStyle w:val="a0"/>
      <w:lvlText w:val="-"/>
      <w:lvlJc w:val="left"/>
      <w:pPr>
        <w:ind w:left="927" w:hanging="360"/>
      </w:pPr>
      <w:rPr>
        <w:rFonts w:ascii="Courier New" w:hAnsi="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6"/>
  </w:num>
  <w:num w:numId="3">
    <w:abstractNumId w:val="17"/>
  </w:num>
  <w:num w:numId="4">
    <w:abstractNumId w:val="17"/>
  </w:num>
  <w:num w:numId="5">
    <w:abstractNumId w:val="17"/>
  </w:num>
  <w:num w:numId="6">
    <w:abstractNumId w:val="7"/>
  </w:num>
  <w:num w:numId="7">
    <w:abstractNumId w:val="13"/>
  </w:num>
  <w:num w:numId="8">
    <w:abstractNumId w:val="18"/>
  </w:num>
  <w:num w:numId="9">
    <w:abstractNumId w:val="1"/>
  </w:num>
  <w:num w:numId="10">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7"/>
  </w:num>
  <w:num w:numId="12">
    <w:abstractNumId w:val="17"/>
  </w:num>
  <w:num w:numId="13">
    <w:abstractNumId w:val="17"/>
  </w:num>
  <w:num w:numId="14">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7"/>
  </w:num>
  <w:num w:numId="22">
    <w:abstractNumId w:val="5"/>
  </w:num>
  <w:num w:numId="23">
    <w:abstractNumId w:val="0"/>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8"/>
  </w:num>
  <w:num w:numId="31">
    <w:abstractNumId w:val="8"/>
  </w:num>
  <w:num w:numId="32">
    <w:abstractNumId w:val="17"/>
  </w:num>
  <w:num w:numId="33">
    <w:abstractNumId w:val="14"/>
  </w:num>
  <w:num w:numId="34">
    <w:abstractNumId w:val="12"/>
  </w:num>
  <w:num w:numId="35">
    <w:abstractNumId w:val="17"/>
  </w:num>
  <w:num w:numId="36">
    <w:abstractNumId w:val="15"/>
  </w:num>
  <w:num w:numId="37">
    <w:abstractNumId w:val="4"/>
    <w:lvlOverride w:ilvl="0">
      <w:startOverride w:val="1"/>
    </w:lvlOverride>
  </w:num>
  <w:num w:numId="38">
    <w:abstractNumId w:val="4"/>
  </w:num>
  <w:num w:numId="39">
    <w:abstractNumId w:val="9"/>
  </w:num>
  <w:num w:numId="40">
    <w:abstractNumId w:val="17"/>
  </w:num>
  <w:num w:numId="41">
    <w:abstractNumId w:val="17"/>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AC"/>
    <w:rsid w:val="00016DE3"/>
    <w:rsid w:val="00020EA3"/>
    <w:rsid w:val="000229AB"/>
    <w:rsid w:val="00024A65"/>
    <w:rsid w:val="0002569A"/>
    <w:rsid w:val="000318FF"/>
    <w:rsid w:val="00035A8D"/>
    <w:rsid w:val="0003652F"/>
    <w:rsid w:val="00037321"/>
    <w:rsid w:val="00041164"/>
    <w:rsid w:val="000510CC"/>
    <w:rsid w:val="00063715"/>
    <w:rsid w:val="00064DEE"/>
    <w:rsid w:val="00071F75"/>
    <w:rsid w:val="00072732"/>
    <w:rsid w:val="00075A36"/>
    <w:rsid w:val="00083625"/>
    <w:rsid w:val="000868E9"/>
    <w:rsid w:val="00087670"/>
    <w:rsid w:val="000906AD"/>
    <w:rsid w:val="000906EE"/>
    <w:rsid w:val="00093C5D"/>
    <w:rsid w:val="00097CFD"/>
    <w:rsid w:val="000A0299"/>
    <w:rsid w:val="000A535F"/>
    <w:rsid w:val="000A5A52"/>
    <w:rsid w:val="000A6971"/>
    <w:rsid w:val="000B652C"/>
    <w:rsid w:val="000C6F25"/>
    <w:rsid w:val="000D24DF"/>
    <w:rsid w:val="000E6E0C"/>
    <w:rsid w:val="000E7413"/>
    <w:rsid w:val="000F51FD"/>
    <w:rsid w:val="000F7E94"/>
    <w:rsid w:val="00103D52"/>
    <w:rsid w:val="001119D6"/>
    <w:rsid w:val="00115AD8"/>
    <w:rsid w:val="001172F0"/>
    <w:rsid w:val="00124110"/>
    <w:rsid w:val="00126442"/>
    <w:rsid w:val="001267CC"/>
    <w:rsid w:val="001308F2"/>
    <w:rsid w:val="001313E8"/>
    <w:rsid w:val="001315A6"/>
    <w:rsid w:val="00133AE9"/>
    <w:rsid w:val="00134304"/>
    <w:rsid w:val="00145F32"/>
    <w:rsid w:val="00155E8D"/>
    <w:rsid w:val="00156C10"/>
    <w:rsid w:val="00172236"/>
    <w:rsid w:val="00173FA6"/>
    <w:rsid w:val="00174F5D"/>
    <w:rsid w:val="00177471"/>
    <w:rsid w:val="00183A99"/>
    <w:rsid w:val="00194C64"/>
    <w:rsid w:val="001A6951"/>
    <w:rsid w:val="001A6FA5"/>
    <w:rsid w:val="001B2039"/>
    <w:rsid w:val="001B2487"/>
    <w:rsid w:val="001C0988"/>
    <w:rsid w:val="001C1043"/>
    <w:rsid w:val="001C57B0"/>
    <w:rsid w:val="001C58F5"/>
    <w:rsid w:val="001C67EB"/>
    <w:rsid w:val="001C7B0B"/>
    <w:rsid w:val="001D5CEE"/>
    <w:rsid w:val="002041CE"/>
    <w:rsid w:val="00205F03"/>
    <w:rsid w:val="002071D9"/>
    <w:rsid w:val="00212CA6"/>
    <w:rsid w:val="0021586D"/>
    <w:rsid w:val="00217ADF"/>
    <w:rsid w:val="00227D38"/>
    <w:rsid w:val="002330C1"/>
    <w:rsid w:val="00242DCB"/>
    <w:rsid w:val="0024307E"/>
    <w:rsid w:val="0024392C"/>
    <w:rsid w:val="00243B4C"/>
    <w:rsid w:val="00245FD9"/>
    <w:rsid w:val="00246DF6"/>
    <w:rsid w:val="00252875"/>
    <w:rsid w:val="0025533C"/>
    <w:rsid w:val="00256822"/>
    <w:rsid w:val="002615AE"/>
    <w:rsid w:val="00264229"/>
    <w:rsid w:val="0026525A"/>
    <w:rsid w:val="002659C0"/>
    <w:rsid w:val="00272CF6"/>
    <w:rsid w:val="00274790"/>
    <w:rsid w:val="00285755"/>
    <w:rsid w:val="0028741E"/>
    <w:rsid w:val="00287FEA"/>
    <w:rsid w:val="00292F8D"/>
    <w:rsid w:val="002A1F9C"/>
    <w:rsid w:val="002B0495"/>
    <w:rsid w:val="002B20EE"/>
    <w:rsid w:val="002B29C2"/>
    <w:rsid w:val="002C10C0"/>
    <w:rsid w:val="002C38DD"/>
    <w:rsid w:val="002C4208"/>
    <w:rsid w:val="002D41AF"/>
    <w:rsid w:val="002D5DAB"/>
    <w:rsid w:val="002F3DEE"/>
    <w:rsid w:val="00311BCE"/>
    <w:rsid w:val="00315AEA"/>
    <w:rsid w:val="003211D5"/>
    <w:rsid w:val="00341D21"/>
    <w:rsid w:val="00342D36"/>
    <w:rsid w:val="0035179F"/>
    <w:rsid w:val="00352DE1"/>
    <w:rsid w:val="00362944"/>
    <w:rsid w:val="003728E6"/>
    <w:rsid w:val="00386F81"/>
    <w:rsid w:val="00390645"/>
    <w:rsid w:val="00397B1E"/>
    <w:rsid w:val="003B5E0E"/>
    <w:rsid w:val="003B738E"/>
    <w:rsid w:val="003B77FE"/>
    <w:rsid w:val="003C5BDB"/>
    <w:rsid w:val="003D255A"/>
    <w:rsid w:val="003E372F"/>
    <w:rsid w:val="003E3EC7"/>
    <w:rsid w:val="003E4476"/>
    <w:rsid w:val="0040300C"/>
    <w:rsid w:val="00406D27"/>
    <w:rsid w:val="00414D64"/>
    <w:rsid w:val="00416949"/>
    <w:rsid w:val="00424CF9"/>
    <w:rsid w:val="0042700B"/>
    <w:rsid w:val="00431928"/>
    <w:rsid w:val="00432972"/>
    <w:rsid w:val="004370D8"/>
    <w:rsid w:val="004445B9"/>
    <w:rsid w:val="00445BC4"/>
    <w:rsid w:val="00472C43"/>
    <w:rsid w:val="004750FA"/>
    <w:rsid w:val="00492951"/>
    <w:rsid w:val="004A3920"/>
    <w:rsid w:val="004B1C2B"/>
    <w:rsid w:val="004B4130"/>
    <w:rsid w:val="004B422F"/>
    <w:rsid w:val="004B5E9C"/>
    <w:rsid w:val="004D0C42"/>
    <w:rsid w:val="004D742E"/>
    <w:rsid w:val="004E15B9"/>
    <w:rsid w:val="004E389E"/>
    <w:rsid w:val="004E7233"/>
    <w:rsid w:val="004F5105"/>
    <w:rsid w:val="004F79BF"/>
    <w:rsid w:val="0050213C"/>
    <w:rsid w:val="005037EB"/>
    <w:rsid w:val="00506040"/>
    <w:rsid w:val="0051204D"/>
    <w:rsid w:val="00515906"/>
    <w:rsid w:val="005254ED"/>
    <w:rsid w:val="00533C40"/>
    <w:rsid w:val="005352BB"/>
    <w:rsid w:val="00537496"/>
    <w:rsid w:val="00544ED3"/>
    <w:rsid w:val="00546BA2"/>
    <w:rsid w:val="00550F3C"/>
    <w:rsid w:val="0055346E"/>
    <w:rsid w:val="005627A7"/>
    <w:rsid w:val="005665FA"/>
    <w:rsid w:val="005800B2"/>
    <w:rsid w:val="0058477B"/>
    <w:rsid w:val="0058654F"/>
    <w:rsid w:val="00586A8D"/>
    <w:rsid w:val="005944EE"/>
    <w:rsid w:val="00596ACA"/>
    <w:rsid w:val="00597AA7"/>
    <w:rsid w:val="005A279C"/>
    <w:rsid w:val="005A310F"/>
    <w:rsid w:val="005A3FD7"/>
    <w:rsid w:val="005A777F"/>
    <w:rsid w:val="005B61BA"/>
    <w:rsid w:val="005C535A"/>
    <w:rsid w:val="005C7CB5"/>
    <w:rsid w:val="005D335F"/>
    <w:rsid w:val="005E39BC"/>
    <w:rsid w:val="005F00A0"/>
    <w:rsid w:val="005F5700"/>
    <w:rsid w:val="00612FFE"/>
    <w:rsid w:val="00616260"/>
    <w:rsid w:val="0062403A"/>
    <w:rsid w:val="00636474"/>
    <w:rsid w:val="00640B63"/>
    <w:rsid w:val="00647F33"/>
    <w:rsid w:val="0065307A"/>
    <w:rsid w:val="00655B7F"/>
    <w:rsid w:val="00661EED"/>
    <w:rsid w:val="00662532"/>
    <w:rsid w:val="00674442"/>
    <w:rsid w:val="00674BB7"/>
    <w:rsid w:val="00683046"/>
    <w:rsid w:val="00683C5F"/>
    <w:rsid w:val="00693669"/>
    <w:rsid w:val="006A2CAB"/>
    <w:rsid w:val="006A4D73"/>
    <w:rsid w:val="006A7D4E"/>
    <w:rsid w:val="006B2274"/>
    <w:rsid w:val="006C0266"/>
    <w:rsid w:val="006C1AF3"/>
    <w:rsid w:val="006C36C8"/>
    <w:rsid w:val="006C4A87"/>
    <w:rsid w:val="006C561E"/>
    <w:rsid w:val="006D0FAF"/>
    <w:rsid w:val="006D1D04"/>
    <w:rsid w:val="006D4428"/>
    <w:rsid w:val="006D7D15"/>
    <w:rsid w:val="006F51BD"/>
    <w:rsid w:val="0070288B"/>
    <w:rsid w:val="00704226"/>
    <w:rsid w:val="007103AD"/>
    <w:rsid w:val="00717C6F"/>
    <w:rsid w:val="00724438"/>
    <w:rsid w:val="00724A56"/>
    <w:rsid w:val="00733E4C"/>
    <w:rsid w:val="00742EEA"/>
    <w:rsid w:val="007445DA"/>
    <w:rsid w:val="00751E82"/>
    <w:rsid w:val="007531C6"/>
    <w:rsid w:val="00754204"/>
    <w:rsid w:val="00760101"/>
    <w:rsid w:val="00762E5F"/>
    <w:rsid w:val="00773840"/>
    <w:rsid w:val="00784A1D"/>
    <w:rsid w:val="0078771C"/>
    <w:rsid w:val="007A0044"/>
    <w:rsid w:val="007A7C9F"/>
    <w:rsid w:val="007B4FD1"/>
    <w:rsid w:val="007B58F1"/>
    <w:rsid w:val="007C63FA"/>
    <w:rsid w:val="007D0A64"/>
    <w:rsid w:val="007E477A"/>
    <w:rsid w:val="007E554E"/>
    <w:rsid w:val="007E6641"/>
    <w:rsid w:val="007F0503"/>
    <w:rsid w:val="007F61C4"/>
    <w:rsid w:val="00802381"/>
    <w:rsid w:val="008118D1"/>
    <w:rsid w:val="008179C7"/>
    <w:rsid w:val="00820E3A"/>
    <w:rsid w:val="00833921"/>
    <w:rsid w:val="00833B0D"/>
    <w:rsid w:val="0083484E"/>
    <w:rsid w:val="00835594"/>
    <w:rsid w:val="00835EBA"/>
    <w:rsid w:val="00874132"/>
    <w:rsid w:val="00876DF0"/>
    <w:rsid w:val="00883848"/>
    <w:rsid w:val="008937A1"/>
    <w:rsid w:val="008940E5"/>
    <w:rsid w:val="00897ED5"/>
    <w:rsid w:val="008A0483"/>
    <w:rsid w:val="008B246A"/>
    <w:rsid w:val="008B6BB9"/>
    <w:rsid w:val="008C03A8"/>
    <w:rsid w:val="008C7BF0"/>
    <w:rsid w:val="008D2514"/>
    <w:rsid w:val="008E6763"/>
    <w:rsid w:val="00900363"/>
    <w:rsid w:val="009034C8"/>
    <w:rsid w:val="009036FF"/>
    <w:rsid w:val="0091125C"/>
    <w:rsid w:val="00911543"/>
    <w:rsid w:val="00911F6F"/>
    <w:rsid w:val="009249CD"/>
    <w:rsid w:val="009273C0"/>
    <w:rsid w:val="009519C9"/>
    <w:rsid w:val="00957E19"/>
    <w:rsid w:val="0096114E"/>
    <w:rsid w:val="00967245"/>
    <w:rsid w:val="00980081"/>
    <w:rsid w:val="0099292F"/>
    <w:rsid w:val="0099770C"/>
    <w:rsid w:val="009A07C5"/>
    <w:rsid w:val="009A0C70"/>
    <w:rsid w:val="009A43FF"/>
    <w:rsid w:val="009B3037"/>
    <w:rsid w:val="009C436D"/>
    <w:rsid w:val="009C6786"/>
    <w:rsid w:val="009D0B86"/>
    <w:rsid w:val="009D22CB"/>
    <w:rsid w:val="009E0D5B"/>
    <w:rsid w:val="009E1558"/>
    <w:rsid w:val="009E3497"/>
    <w:rsid w:val="009E435A"/>
    <w:rsid w:val="009E54F0"/>
    <w:rsid w:val="009E6A37"/>
    <w:rsid w:val="009F0BF6"/>
    <w:rsid w:val="009F1F74"/>
    <w:rsid w:val="009F7847"/>
    <w:rsid w:val="00A10CCC"/>
    <w:rsid w:val="00A11199"/>
    <w:rsid w:val="00A16677"/>
    <w:rsid w:val="00A2680C"/>
    <w:rsid w:val="00A339DA"/>
    <w:rsid w:val="00A42898"/>
    <w:rsid w:val="00A4666D"/>
    <w:rsid w:val="00A514DB"/>
    <w:rsid w:val="00A65D9D"/>
    <w:rsid w:val="00A71142"/>
    <w:rsid w:val="00A71BA0"/>
    <w:rsid w:val="00A736CF"/>
    <w:rsid w:val="00A76DD4"/>
    <w:rsid w:val="00A8239C"/>
    <w:rsid w:val="00A83913"/>
    <w:rsid w:val="00A87CC6"/>
    <w:rsid w:val="00AA1714"/>
    <w:rsid w:val="00AB6ACE"/>
    <w:rsid w:val="00AC09B5"/>
    <w:rsid w:val="00AC28C5"/>
    <w:rsid w:val="00AC5995"/>
    <w:rsid w:val="00AC5A3A"/>
    <w:rsid w:val="00AD7F66"/>
    <w:rsid w:val="00AE12AB"/>
    <w:rsid w:val="00AE2278"/>
    <w:rsid w:val="00AE2F39"/>
    <w:rsid w:val="00B03AA4"/>
    <w:rsid w:val="00B106EA"/>
    <w:rsid w:val="00B16DE1"/>
    <w:rsid w:val="00B21F53"/>
    <w:rsid w:val="00B26DA1"/>
    <w:rsid w:val="00B33837"/>
    <w:rsid w:val="00B6053B"/>
    <w:rsid w:val="00B6224B"/>
    <w:rsid w:val="00B82FA5"/>
    <w:rsid w:val="00BA3880"/>
    <w:rsid w:val="00BA4E0C"/>
    <w:rsid w:val="00BC0411"/>
    <w:rsid w:val="00BC2182"/>
    <w:rsid w:val="00BC2B67"/>
    <w:rsid w:val="00BC5B0D"/>
    <w:rsid w:val="00BD1400"/>
    <w:rsid w:val="00BD5844"/>
    <w:rsid w:val="00BD605C"/>
    <w:rsid w:val="00BE2A76"/>
    <w:rsid w:val="00BF275F"/>
    <w:rsid w:val="00BF4011"/>
    <w:rsid w:val="00C00EF3"/>
    <w:rsid w:val="00C03AD4"/>
    <w:rsid w:val="00C05906"/>
    <w:rsid w:val="00C20F0A"/>
    <w:rsid w:val="00C24598"/>
    <w:rsid w:val="00C50774"/>
    <w:rsid w:val="00C65E60"/>
    <w:rsid w:val="00C807B7"/>
    <w:rsid w:val="00C92D62"/>
    <w:rsid w:val="00CB3926"/>
    <w:rsid w:val="00CC4374"/>
    <w:rsid w:val="00CC5839"/>
    <w:rsid w:val="00CE5A52"/>
    <w:rsid w:val="00CF0D9A"/>
    <w:rsid w:val="00CF6A9C"/>
    <w:rsid w:val="00CF7AF3"/>
    <w:rsid w:val="00D016A9"/>
    <w:rsid w:val="00D01B8E"/>
    <w:rsid w:val="00D04D44"/>
    <w:rsid w:val="00D152F4"/>
    <w:rsid w:val="00D231E0"/>
    <w:rsid w:val="00D26ADA"/>
    <w:rsid w:val="00D31FB9"/>
    <w:rsid w:val="00D35A78"/>
    <w:rsid w:val="00D463CE"/>
    <w:rsid w:val="00D555A1"/>
    <w:rsid w:val="00D57526"/>
    <w:rsid w:val="00D64DC2"/>
    <w:rsid w:val="00D66EE1"/>
    <w:rsid w:val="00D84EC0"/>
    <w:rsid w:val="00DA23E8"/>
    <w:rsid w:val="00DA36C9"/>
    <w:rsid w:val="00DA3B78"/>
    <w:rsid w:val="00DA46CA"/>
    <w:rsid w:val="00DB25EE"/>
    <w:rsid w:val="00DB4746"/>
    <w:rsid w:val="00DB60A6"/>
    <w:rsid w:val="00DD0923"/>
    <w:rsid w:val="00DD5FB6"/>
    <w:rsid w:val="00DD66FC"/>
    <w:rsid w:val="00DD7536"/>
    <w:rsid w:val="00DE2ED4"/>
    <w:rsid w:val="00DF21EB"/>
    <w:rsid w:val="00DF654A"/>
    <w:rsid w:val="00E009C0"/>
    <w:rsid w:val="00E05E76"/>
    <w:rsid w:val="00E15386"/>
    <w:rsid w:val="00E20E70"/>
    <w:rsid w:val="00E255C2"/>
    <w:rsid w:val="00E25B68"/>
    <w:rsid w:val="00E310A0"/>
    <w:rsid w:val="00E357BD"/>
    <w:rsid w:val="00E35E33"/>
    <w:rsid w:val="00E36E9D"/>
    <w:rsid w:val="00E4552B"/>
    <w:rsid w:val="00E535AD"/>
    <w:rsid w:val="00E57D71"/>
    <w:rsid w:val="00E60FDE"/>
    <w:rsid w:val="00E71A23"/>
    <w:rsid w:val="00E72EA0"/>
    <w:rsid w:val="00E80AED"/>
    <w:rsid w:val="00E81F02"/>
    <w:rsid w:val="00E8237E"/>
    <w:rsid w:val="00E84003"/>
    <w:rsid w:val="00E9256C"/>
    <w:rsid w:val="00EA66D0"/>
    <w:rsid w:val="00EB3DC9"/>
    <w:rsid w:val="00EC10FC"/>
    <w:rsid w:val="00EE0041"/>
    <w:rsid w:val="00EE29B9"/>
    <w:rsid w:val="00EE31B9"/>
    <w:rsid w:val="00EE348A"/>
    <w:rsid w:val="00EF2700"/>
    <w:rsid w:val="00EF74C7"/>
    <w:rsid w:val="00F004EE"/>
    <w:rsid w:val="00F00E34"/>
    <w:rsid w:val="00F017A3"/>
    <w:rsid w:val="00F14E39"/>
    <w:rsid w:val="00F16753"/>
    <w:rsid w:val="00F171F0"/>
    <w:rsid w:val="00F2213C"/>
    <w:rsid w:val="00F30757"/>
    <w:rsid w:val="00F309C4"/>
    <w:rsid w:val="00F3392C"/>
    <w:rsid w:val="00F34DB6"/>
    <w:rsid w:val="00F42E23"/>
    <w:rsid w:val="00F45EEE"/>
    <w:rsid w:val="00F47CA0"/>
    <w:rsid w:val="00F50E9B"/>
    <w:rsid w:val="00F51E9C"/>
    <w:rsid w:val="00F523CA"/>
    <w:rsid w:val="00F6371A"/>
    <w:rsid w:val="00F72111"/>
    <w:rsid w:val="00F74A9D"/>
    <w:rsid w:val="00F817F3"/>
    <w:rsid w:val="00F85987"/>
    <w:rsid w:val="00F93A44"/>
    <w:rsid w:val="00F95332"/>
    <w:rsid w:val="00FA16E4"/>
    <w:rsid w:val="00FA60D8"/>
    <w:rsid w:val="00FB2CD7"/>
    <w:rsid w:val="00FD2EFF"/>
    <w:rsid w:val="00FD3A4E"/>
    <w:rsid w:val="00FE034E"/>
    <w:rsid w:val="00FE4CE4"/>
    <w:rsid w:val="00FF1056"/>
    <w:rsid w:val="00FF1CA1"/>
    <w:rsid w:val="00FF386F"/>
    <w:rsid w:val="00FF47FD"/>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w:uiPriority="99"/>
    <w:lsdException w:name="List Bullet" w:locked="0" w:uiPriority="99"/>
    <w:lsdException w:name="List Number" w:uiPriority="99"/>
    <w:lsdException w:name="List Bullet 2" w:uiPriority="99"/>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1">
    <w:name w:val="Normal"/>
    <w:uiPriority w:val="49"/>
    <w:rsid w:val="000A6971"/>
    <w:pPr>
      <w:overflowPunct w:val="0"/>
      <w:autoSpaceDE w:val="0"/>
      <w:autoSpaceDN w:val="0"/>
      <w:adjustRightInd w:val="0"/>
      <w:textAlignment w:val="baseline"/>
    </w:pPr>
    <w:rPr>
      <w:sz w:val="22"/>
      <w:lang w:eastAsia="en-US"/>
    </w:rPr>
  </w:style>
  <w:style w:type="paragraph" w:styleId="1">
    <w:name w:val="heading 1"/>
    <w:aliases w:val="Paper title"/>
    <w:next w:val="a2"/>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3"/>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3"/>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1"/>
    <w:next w:val="a3"/>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1"/>
    <w:next w:val="a1"/>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1"/>
    <w:next w:val="a1"/>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1"/>
    <w:next w:val="a1"/>
    <w:uiPriority w:val="19"/>
    <w:locked/>
    <w:pPr>
      <w:overflowPunct/>
      <w:autoSpaceDE/>
      <w:autoSpaceDN/>
      <w:adjustRightInd/>
      <w:spacing w:before="240" w:after="60"/>
      <w:textAlignment w:val="auto"/>
      <w:outlineLvl w:val="6"/>
    </w:pPr>
    <w:rPr>
      <w:szCs w:val="24"/>
      <w:lang w:val="en-US"/>
    </w:rPr>
  </w:style>
  <w:style w:type="paragraph" w:styleId="8">
    <w:name w:val="heading 8"/>
    <w:basedOn w:val="a1"/>
    <w:next w:val="a1"/>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1"/>
    <w:next w:val="a1"/>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link w:val="a7"/>
    <w:qFormat/>
    <w:rsid w:val="00647F33"/>
    <w:pPr>
      <w:spacing w:line="260" w:lineRule="atLeast"/>
      <w:ind w:firstLine="567"/>
      <w:contextualSpacing/>
      <w:jc w:val="both"/>
    </w:pPr>
    <w:rPr>
      <w:lang w:eastAsia="en-US"/>
    </w:rPr>
  </w:style>
  <w:style w:type="paragraph" w:styleId="a8">
    <w:name w:val="Body Text Indent"/>
    <w:basedOn w:val="a3"/>
    <w:uiPriority w:val="49"/>
    <w:locked/>
    <w:pPr>
      <w:ind w:left="1134" w:hanging="675"/>
    </w:pPr>
  </w:style>
  <w:style w:type="paragraph" w:customStyle="1" w:styleId="BodyTextMultiline">
    <w:name w:val="Body Text Multiline"/>
    <w:basedOn w:val="a3"/>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9">
    <w:name w:val="caption"/>
    <w:next w:val="a1"/>
    <w:uiPriority w:val="49"/>
    <w:pPr>
      <w:spacing w:after="85"/>
    </w:pPr>
    <w:rPr>
      <w:bCs/>
      <w:sz w:val="18"/>
      <w:lang w:val="en-US" w:eastAsia="en-US"/>
    </w:rPr>
  </w:style>
  <w:style w:type="paragraph" w:styleId="aa">
    <w:name w:val="footer"/>
    <w:basedOn w:val="a1"/>
    <w:link w:val="ab"/>
    <w:uiPriority w:val="99"/>
    <w:locked/>
    <w:pPr>
      <w:overflowPunct/>
      <w:autoSpaceDE/>
      <w:autoSpaceDN/>
      <w:adjustRightInd/>
      <w:textAlignment w:val="auto"/>
    </w:pPr>
    <w:rPr>
      <w:sz w:val="2"/>
      <w:lang w:val="en-US"/>
    </w:rPr>
  </w:style>
  <w:style w:type="paragraph" w:styleId="ac">
    <w:name w:val="footnote text"/>
    <w:semiHidden/>
    <w:locked/>
    <w:pPr>
      <w:tabs>
        <w:tab w:val="left" w:pos="459"/>
      </w:tabs>
      <w:spacing w:before="142"/>
      <w:ind w:left="459"/>
      <w:jc w:val="both"/>
    </w:pPr>
    <w:rPr>
      <w:sz w:val="18"/>
      <w:lang w:eastAsia="en-US"/>
    </w:rPr>
  </w:style>
  <w:style w:type="paragraph" w:styleId="ad">
    <w:name w:val="header"/>
    <w:next w:val="a3"/>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3"/>
    <w:uiPriority w:val="6"/>
    <w:qFormat/>
    <w:rsid w:val="00717C6F"/>
    <w:pPr>
      <w:ind w:firstLine="0"/>
    </w:pPr>
  </w:style>
  <w:style w:type="paragraph" w:customStyle="1" w:styleId="ListNumbered">
    <w:name w:val="List Numbered"/>
    <w:basedOn w:val="a3"/>
    <w:uiPriority w:val="5"/>
    <w:qFormat/>
    <w:locked/>
    <w:rsid w:val="00717C6F"/>
    <w:pPr>
      <w:numPr>
        <w:numId w:val="22"/>
      </w:numPr>
    </w:pPr>
  </w:style>
  <w:style w:type="paragraph" w:styleId="a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1"/>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1"/>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1"/>
    <w:uiPriority w:val="49"/>
    <w:locked/>
    <w:pPr>
      <w:keepNext/>
      <w:spacing w:after="10"/>
    </w:pPr>
    <w:rPr>
      <w:rFonts w:ascii="Arial" w:hAnsi="Arial"/>
      <w:b/>
      <w:sz w:val="13"/>
    </w:rPr>
  </w:style>
  <w:style w:type="paragraph" w:customStyle="1" w:styleId="zyxP1Footer">
    <w:name w:val="zyxP1_Footer"/>
    <w:basedOn w:val="a1"/>
    <w:uiPriority w:val="49"/>
    <w:locked/>
    <w:pPr>
      <w:widowControl w:val="0"/>
      <w:spacing w:line="160" w:lineRule="exact"/>
      <w:ind w:left="108"/>
    </w:pPr>
    <w:rPr>
      <w:sz w:val="14"/>
    </w:rPr>
  </w:style>
  <w:style w:type="paragraph" w:customStyle="1" w:styleId="zyxSensitivity">
    <w:name w:val="zyxSensitivity"/>
    <w:basedOn w:val="a1"/>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1"/>
    <w:uiPriority w:val="49"/>
    <w:locked/>
    <w:pPr>
      <w:keepNext/>
      <w:spacing w:line="420" w:lineRule="exact"/>
    </w:pPr>
    <w:rPr>
      <w:rFonts w:ascii="Arial" w:hAnsi="Arial"/>
      <w:sz w:val="40"/>
    </w:rPr>
  </w:style>
  <w:style w:type="character" w:styleId="af">
    <w:name w:val="footnote reference"/>
    <w:basedOn w:val="a4"/>
    <w:semiHidden/>
    <w:locked/>
    <w:rPr>
      <w:vertAlign w:val="superscript"/>
    </w:rPr>
  </w:style>
  <w:style w:type="paragraph" w:styleId="a2">
    <w:name w:val="Subtitle"/>
    <w:next w:val="a3"/>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3"/>
    <w:uiPriority w:val="49"/>
    <w:locked/>
    <w:pPr>
      <w:spacing w:line="280" w:lineRule="exact"/>
      <w:jc w:val="right"/>
    </w:pPr>
    <w:rPr>
      <w:rFonts w:ascii="Arial" w:hAnsi="Arial" w:cs="Arial"/>
      <w:b/>
      <w:bCs/>
      <w:caps/>
      <w:sz w:val="24"/>
    </w:rPr>
  </w:style>
  <w:style w:type="paragraph" w:customStyle="1" w:styleId="zyxClassification2">
    <w:name w:val="zyxClassification2"/>
    <w:basedOn w:val="a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b">
    <w:name w:val="Нижній колонтитул Знак"/>
    <w:basedOn w:val="a4"/>
    <w:link w:val="aa"/>
    <w:uiPriority w:val="99"/>
    <w:rsid w:val="00037321"/>
    <w:rPr>
      <w:sz w:val="2"/>
      <w:lang w:val="en-US" w:eastAsia="en-US"/>
    </w:rPr>
  </w:style>
  <w:style w:type="paragraph" w:customStyle="1" w:styleId="Runninghead">
    <w:name w:val="Running head"/>
    <w:basedOn w:val="a1"/>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4"/>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7">
    <w:name w:val="Основний текст Знак"/>
    <w:basedOn w:val="a4"/>
    <w:link w:val="a3"/>
    <w:rsid w:val="00647F33"/>
    <w:rPr>
      <w:lang w:eastAsia="en-US"/>
    </w:rPr>
  </w:style>
  <w:style w:type="character" w:customStyle="1" w:styleId="AuthornameandaffiliationChar">
    <w:name w:val="Author name and affiliation Char"/>
    <w:basedOn w:val="a7"/>
    <w:link w:val="Authornameandaffiliation"/>
    <w:uiPriority w:val="49"/>
    <w:rsid w:val="00647F33"/>
    <w:rPr>
      <w:lang w:val="en-US" w:eastAsia="en-US"/>
    </w:rPr>
  </w:style>
  <w:style w:type="table" w:styleId="af0">
    <w:name w:val="Table Grid"/>
    <w:basedOn w:val="a5"/>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1">
    <w:name w:val="Balloon Text"/>
    <w:basedOn w:val="a1"/>
    <w:link w:val="af2"/>
    <w:uiPriority w:val="49"/>
    <w:locked/>
    <w:rsid w:val="005F00A0"/>
    <w:rPr>
      <w:rFonts w:ascii="Tahoma" w:hAnsi="Tahoma" w:cs="Tahoma"/>
      <w:sz w:val="16"/>
      <w:szCs w:val="16"/>
    </w:rPr>
  </w:style>
  <w:style w:type="character" w:customStyle="1" w:styleId="af2">
    <w:name w:val="Текст у виносці Знак"/>
    <w:basedOn w:val="a4"/>
    <w:link w:val="af1"/>
    <w:uiPriority w:val="49"/>
    <w:rsid w:val="005F00A0"/>
    <w:rPr>
      <w:rFonts w:ascii="Tahoma" w:hAnsi="Tahoma" w:cs="Tahoma"/>
      <w:sz w:val="16"/>
      <w:szCs w:val="16"/>
      <w:lang w:eastAsia="en-US"/>
    </w:rPr>
  </w:style>
  <w:style w:type="paragraph" w:customStyle="1" w:styleId="Figurecaption">
    <w:name w:val="Figure caption"/>
    <w:basedOn w:val="a3"/>
    <w:link w:val="FigurecaptionChar"/>
    <w:uiPriority w:val="49"/>
    <w:qFormat/>
    <w:locked/>
    <w:rsid w:val="00717C6F"/>
    <w:pPr>
      <w:jc w:val="center"/>
    </w:pPr>
    <w:rPr>
      <w:i/>
      <w:sz w:val="18"/>
    </w:rPr>
  </w:style>
  <w:style w:type="paragraph" w:customStyle="1" w:styleId="Otherunnumberedheadings">
    <w:name w:val="Other unnumbered headings"/>
    <w:next w:val="a3"/>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7"/>
    <w:link w:val="Figurecaption"/>
    <w:uiPriority w:val="49"/>
    <w:rsid w:val="00717C6F"/>
    <w:rPr>
      <w:i/>
      <w:sz w:val="18"/>
      <w:lang w:eastAsia="en-US"/>
    </w:rPr>
  </w:style>
  <w:style w:type="paragraph" w:customStyle="1" w:styleId="Referencelist">
    <w:name w:val="Reference list"/>
    <w:basedOn w:val="a3"/>
    <w:link w:val="ReferencelistChar"/>
    <w:uiPriority w:val="49"/>
    <w:qFormat/>
    <w:rsid w:val="009E0D5B"/>
    <w:pPr>
      <w:ind w:firstLine="0"/>
    </w:pPr>
    <w:rPr>
      <w:sz w:val="18"/>
      <w:szCs w:val="18"/>
    </w:rPr>
  </w:style>
  <w:style w:type="character" w:customStyle="1" w:styleId="OtherunnumberedheadingsChar">
    <w:name w:val="Other unnumbered headings Char"/>
    <w:basedOn w:val="a7"/>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7"/>
    <w:link w:val="Referencelist"/>
    <w:uiPriority w:val="49"/>
    <w:rsid w:val="009E0D5B"/>
    <w:rPr>
      <w:sz w:val="18"/>
      <w:szCs w:val="18"/>
      <w:lang w:eastAsia="en-US"/>
    </w:rPr>
  </w:style>
  <w:style w:type="paragraph" w:customStyle="1" w:styleId="Tabletext">
    <w:name w:val="Table text"/>
    <w:basedOn w:val="a3"/>
    <w:link w:val="TabletextChar"/>
    <w:uiPriority w:val="49"/>
    <w:qFormat/>
    <w:rsid w:val="00883848"/>
    <w:pPr>
      <w:ind w:firstLine="0"/>
    </w:pPr>
  </w:style>
  <w:style w:type="character" w:customStyle="1" w:styleId="TabletextChar">
    <w:name w:val="Table text Char"/>
    <w:basedOn w:val="a7"/>
    <w:link w:val="Tabletext"/>
    <w:uiPriority w:val="49"/>
    <w:rsid w:val="00883848"/>
    <w:rPr>
      <w:lang w:eastAsia="en-US"/>
    </w:rPr>
  </w:style>
  <w:style w:type="character" w:styleId="af3">
    <w:name w:val="Hyperlink"/>
    <w:basedOn w:val="a4"/>
    <w:uiPriority w:val="49"/>
    <w:locked/>
    <w:rsid w:val="00874132"/>
    <w:rPr>
      <w:color w:val="0000FF" w:themeColor="hyperlink"/>
      <w:u w:val="single"/>
    </w:rPr>
  </w:style>
  <w:style w:type="paragraph" w:styleId="af4">
    <w:name w:val="Normal (Web)"/>
    <w:basedOn w:val="a1"/>
    <w:uiPriority w:val="99"/>
    <w:unhideWhenUsed/>
    <w:locked/>
    <w:rsid w:val="009F7847"/>
    <w:pPr>
      <w:overflowPunct/>
      <w:autoSpaceDE/>
      <w:autoSpaceDN/>
      <w:adjustRightInd/>
      <w:spacing w:before="100" w:beforeAutospacing="1" w:after="100" w:afterAutospacing="1"/>
      <w:textAlignment w:val="auto"/>
    </w:pPr>
    <w:rPr>
      <w:sz w:val="24"/>
      <w:szCs w:val="24"/>
      <w:lang w:val="uk-UA" w:eastAsia="uk-UA"/>
    </w:rPr>
  </w:style>
  <w:style w:type="paragraph" w:styleId="af5">
    <w:name w:val="List Paragraph"/>
    <w:basedOn w:val="a1"/>
    <w:uiPriority w:val="49"/>
    <w:locked/>
    <w:rsid w:val="00174F5D"/>
    <w:pPr>
      <w:ind w:left="720"/>
      <w:contextualSpacing/>
    </w:pPr>
  </w:style>
  <w:style w:type="paragraph" w:styleId="a0">
    <w:name w:val="List Bullet"/>
    <w:basedOn w:val="a1"/>
    <w:uiPriority w:val="99"/>
    <w:unhideWhenUsed/>
    <w:rsid w:val="004E7233"/>
    <w:pPr>
      <w:numPr>
        <w:numId w:val="36"/>
      </w:numPr>
      <w:overflowPunct/>
      <w:autoSpaceDE/>
      <w:autoSpaceDN/>
      <w:adjustRightInd/>
      <w:spacing w:line="360" w:lineRule="auto"/>
      <w:contextualSpacing/>
      <w:jc w:val="both"/>
      <w:textAlignment w:val="auto"/>
    </w:pPr>
    <w:rPr>
      <w:rFonts w:eastAsiaTheme="minorHAnsi"/>
      <w:sz w:val="28"/>
      <w:szCs w:val="28"/>
      <w:lang w:val="uk-UA"/>
    </w:rPr>
  </w:style>
  <w:style w:type="paragraph" w:styleId="a">
    <w:name w:val="List Number"/>
    <w:basedOn w:val="a3"/>
    <w:uiPriority w:val="99"/>
    <w:unhideWhenUsed/>
    <w:locked/>
    <w:rsid w:val="004E7233"/>
    <w:pPr>
      <w:numPr>
        <w:numId w:val="37"/>
      </w:numPr>
      <w:spacing w:line="360" w:lineRule="auto"/>
    </w:pPr>
    <w:rPr>
      <w:rFonts w:eastAsiaTheme="minorHAnsi"/>
      <w:sz w:val="28"/>
      <w:szCs w:val="28"/>
      <w:lang w:val="uk-UA"/>
    </w:rPr>
  </w:style>
  <w:style w:type="paragraph" w:styleId="af6">
    <w:name w:val="List"/>
    <w:basedOn w:val="a0"/>
    <w:uiPriority w:val="99"/>
    <w:unhideWhenUsed/>
    <w:locked/>
    <w:rsid w:val="004E7233"/>
    <w:pPr>
      <w:numPr>
        <w:numId w:val="0"/>
      </w:numPr>
    </w:pPr>
  </w:style>
  <w:style w:type="paragraph" w:styleId="20">
    <w:name w:val="List Bullet 2"/>
    <w:basedOn w:val="a0"/>
    <w:uiPriority w:val="99"/>
    <w:unhideWhenUsed/>
    <w:locked/>
    <w:rsid w:val="004E7233"/>
  </w:style>
  <w:style w:type="character" w:styleId="af7">
    <w:name w:val="annotation reference"/>
    <w:basedOn w:val="a4"/>
    <w:uiPriority w:val="49"/>
    <w:locked/>
    <w:rsid w:val="00820E3A"/>
    <w:rPr>
      <w:sz w:val="16"/>
      <w:szCs w:val="16"/>
    </w:rPr>
  </w:style>
  <w:style w:type="paragraph" w:styleId="af8">
    <w:name w:val="annotation text"/>
    <w:basedOn w:val="a1"/>
    <w:link w:val="af9"/>
    <w:uiPriority w:val="49"/>
    <w:locked/>
    <w:rsid w:val="00820E3A"/>
    <w:rPr>
      <w:sz w:val="20"/>
    </w:rPr>
  </w:style>
  <w:style w:type="character" w:customStyle="1" w:styleId="af9">
    <w:name w:val="Текст примітки Знак"/>
    <w:basedOn w:val="a4"/>
    <w:link w:val="af8"/>
    <w:uiPriority w:val="49"/>
    <w:rsid w:val="00820E3A"/>
    <w:rPr>
      <w:lang w:eastAsia="en-US"/>
    </w:rPr>
  </w:style>
  <w:style w:type="paragraph" w:styleId="afa">
    <w:name w:val="annotation subject"/>
    <w:basedOn w:val="af8"/>
    <w:next w:val="af8"/>
    <w:link w:val="afb"/>
    <w:uiPriority w:val="49"/>
    <w:locked/>
    <w:rsid w:val="00820E3A"/>
    <w:rPr>
      <w:b/>
      <w:bCs/>
    </w:rPr>
  </w:style>
  <w:style w:type="character" w:customStyle="1" w:styleId="afb">
    <w:name w:val="Тема примітки Знак"/>
    <w:basedOn w:val="af9"/>
    <w:link w:val="afa"/>
    <w:uiPriority w:val="49"/>
    <w:rsid w:val="00820E3A"/>
    <w:rPr>
      <w:b/>
      <w:bCs/>
      <w:lang w:eastAsia="en-US"/>
    </w:rPr>
  </w:style>
  <w:style w:type="character" w:customStyle="1" w:styleId="10">
    <w:name w:val="Незакрита згадка1"/>
    <w:basedOn w:val="a4"/>
    <w:uiPriority w:val="99"/>
    <w:semiHidden/>
    <w:unhideWhenUsed/>
    <w:rsid w:val="0065307A"/>
    <w:rPr>
      <w:color w:val="605E5C"/>
      <w:shd w:val="clear" w:color="auto" w:fill="E1DFDD"/>
    </w:rPr>
  </w:style>
  <w:style w:type="character" w:styleId="afc">
    <w:name w:val="FollowedHyperlink"/>
    <w:basedOn w:val="a4"/>
    <w:uiPriority w:val="49"/>
    <w:locked/>
    <w:rsid w:val="005944EE"/>
    <w:rPr>
      <w:color w:val="800080" w:themeColor="followedHyperlink"/>
      <w:u w:val="single"/>
    </w:rPr>
  </w:style>
  <w:style w:type="character" w:customStyle="1" w:styleId="UnresolvedMention">
    <w:name w:val="Unresolved Mention"/>
    <w:basedOn w:val="a4"/>
    <w:uiPriority w:val="99"/>
    <w:semiHidden/>
    <w:unhideWhenUsed/>
    <w:rsid w:val="005B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841">
      <w:bodyDiv w:val="1"/>
      <w:marLeft w:val="0"/>
      <w:marRight w:val="0"/>
      <w:marTop w:val="0"/>
      <w:marBottom w:val="0"/>
      <w:divBdr>
        <w:top w:val="none" w:sz="0" w:space="0" w:color="auto"/>
        <w:left w:val="none" w:sz="0" w:space="0" w:color="auto"/>
        <w:bottom w:val="none" w:sz="0" w:space="0" w:color="auto"/>
        <w:right w:val="none" w:sz="0" w:space="0" w:color="auto"/>
      </w:divBdr>
    </w:div>
    <w:div w:id="54667743">
      <w:bodyDiv w:val="1"/>
      <w:marLeft w:val="0"/>
      <w:marRight w:val="0"/>
      <w:marTop w:val="0"/>
      <w:marBottom w:val="0"/>
      <w:divBdr>
        <w:top w:val="none" w:sz="0" w:space="0" w:color="auto"/>
        <w:left w:val="none" w:sz="0" w:space="0" w:color="auto"/>
        <w:bottom w:val="none" w:sz="0" w:space="0" w:color="auto"/>
        <w:right w:val="none" w:sz="0" w:space="0" w:color="auto"/>
      </w:divBdr>
    </w:div>
    <w:div w:id="100953926">
      <w:bodyDiv w:val="1"/>
      <w:marLeft w:val="0"/>
      <w:marRight w:val="0"/>
      <w:marTop w:val="0"/>
      <w:marBottom w:val="0"/>
      <w:divBdr>
        <w:top w:val="none" w:sz="0" w:space="0" w:color="auto"/>
        <w:left w:val="none" w:sz="0" w:space="0" w:color="auto"/>
        <w:bottom w:val="none" w:sz="0" w:space="0" w:color="auto"/>
        <w:right w:val="none" w:sz="0" w:space="0" w:color="auto"/>
      </w:divBdr>
    </w:div>
    <w:div w:id="175584271">
      <w:bodyDiv w:val="1"/>
      <w:marLeft w:val="0"/>
      <w:marRight w:val="0"/>
      <w:marTop w:val="0"/>
      <w:marBottom w:val="0"/>
      <w:divBdr>
        <w:top w:val="none" w:sz="0" w:space="0" w:color="auto"/>
        <w:left w:val="none" w:sz="0" w:space="0" w:color="auto"/>
        <w:bottom w:val="none" w:sz="0" w:space="0" w:color="auto"/>
        <w:right w:val="none" w:sz="0" w:space="0" w:color="auto"/>
      </w:divBdr>
    </w:div>
    <w:div w:id="286855767">
      <w:bodyDiv w:val="1"/>
      <w:marLeft w:val="0"/>
      <w:marRight w:val="0"/>
      <w:marTop w:val="0"/>
      <w:marBottom w:val="0"/>
      <w:divBdr>
        <w:top w:val="none" w:sz="0" w:space="0" w:color="auto"/>
        <w:left w:val="none" w:sz="0" w:space="0" w:color="auto"/>
        <w:bottom w:val="none" w:sz="0" w:space="0" w:color="auto"/>
        <w:right w:val="none" w:sz="0" w:space="0" w:color="auto"/>
      </w:divBdr>
    </w:div>
    <w:div w:id="390538703">
      <w:bodyDiv w:val="1"/>
      <w:marLeft w:val="0"/>
      <w:marRight w:val="0"/>
      <w:marTop w:val="0"/>
      <w:marBottom w:val="0"/>
      <w:divBdr>
        <w:top w:val="none" w:sz="0" w:space="0" w:color="auto"/>
        <w:left w:val="none" w:sz="0" w:space="0" w:color="auto"/>
        <w:bottom w:val="none" w:sz="0" w:space="0" w:color="auto"/>
        <w:right w:val="none" w:sz="0" w:space="0" w:color="auto"/>
      </w:divBdr>
      <w:divsChild>
        <w:div w:id="246960961">
          <w:marLeft w:val="0"/>
          <w:marRight w:val="0"/>
          <w:marTop w:val="0"/>
          <w:marBottom w:val="0"/>
          <w:divBdr>
            <w:top w:val="none" w:sz="0" w:space="0" w:color="auto"/>
            <w:left w:val="none" w:sz="0" w:space="0" w:color="auto"/>
            <w:bottom w:val="none" w:sz="0" w:space="0" w:color="auto"/>
            <w:right w:val="none" w:sz="0" w:space="0" w:color="auto"/>
          </w:divBdr>
          <w:divsChild>
            <w:div w:id="616832696">
              <w:marLeft w:val="0"/>
              <w:marRight w:val="0"/>
              <w:marTop w:val="0"/>
              <w:marBottom w:val="0"/>
              <w:divBdr>
                <w:top w:val="none" w:sz="0" w:space="0" w:color="auto"/>
                <w:left w:val="none" w:sz="0" w:space="0" w:color="auto"/>
                <w:bottom w:val="none" w:sz="0" w:space="0" w:color="auto"/>
                <w:right w:val="none" w:sz="0" w:space="0" w:color="auto"/>
              </w:divBdr>
              <w:divsChild>
                <w:div w:id="1342587789">
                  <w:marLeft w:val="0"/>
                  <w:marRight w:val="0"/>
                  <w:marTop w:val="0"/>
                  <w:marBottom w:val="0"/>
                  <w:divBdr>
                    <w:top w:val="none" w:sz="0" w:space="0" w:color="auto"/>
                    <w:left w:val="none" w:sz="0" w:space="0" w:color="auto"/>
                    <w:bottom w:val="none" w:sz="0" w:space="0" w:color="auto"/>
                    <w:right w:val="none" w:sz="0" w:space="0" w:color="auto"/>
                  </w:divBdr>
                  <w:divsChild>
                    <w:div w:id="657540687">
                      <w:marLeft w:val="0"/>
                      <w:marRight w:val="0"/>
                      <w:marTop w:val="0"/>
                      <w:marBottom w:val="0"/>
                      <w:divBdr>
                        <w:top w:val="none" w:sz="0" w:space="0" w:color="auto"/>
                        <w:left w:val="none" w:sz="0" w:space="0" w:color="auto"/>
                        <w:bottom w:val="none" w:sz="0" w:space="0" w:color="auto"/>
                        <w:right w:val="none" w:sz="0" w:space="0" w:color="auto"/>
                      </w:divBdr>
                      <w:divsChild>
                        <w:div w:id="1901943995">
                          <w:marLeft w:val="0"/>
                          <w:marRight w:val="0"/>
                          <w:marTop w:val="0"/>
                          <w:marBottom w:val="0"/>
                          <w:divBdr>
                            <w:top w:val="none" w:sz="0" w:space="0" w:color="auto"/>
                            <w:left w:val="none" w:sz="0" w:space="0" w:color="auto"/>
                            <w:bottom w:val="none" w:sz="0" w:space="0" w:color="auto"/>
                            <w:right w:val="none" w:sz="0" w:space="0" w:color="auto"/>
                          </w:divBdr>
                          <w:divsChild>
                            <w:div w:id="7621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50090">
      <w:bodyDiv w:val="1"/>
      <w:marLeft w:val="0"/>
      <w:marRight w:val="0"/>
      <w:marTop w:val="0"/>
      <w:marBottom w:val="0"/>
      <w:divBdr>
        <w:top w:val="none" w:sz="0" w:space="0" w:color="auto"/>
        <w:left w:val="none" w:sz="0" w:space="0" w:color="auto"/>
        <w:bottom w:val="none" w:sz="0" w:space="0" w:color="auto"/>
        <w:right w:val="none" w:sz="0" w:space="0" w:color="auto"/>
      </w:divBdr>
    </w:div>
    <w:div w:id="599684013">
      <w:bodyDiv w:val="1"/>
      <w:marLeft w:val="0"/>
      <w:marRight w:val="0"/>
      <w:marTop w:val="0"/>
      <w:marBottom w:val="0"/>
      <w:divBdr>
        <w:top w:val="none" w:sz="0" w:space="0" w:color="auto"/>
        <w:left w:val="none" w:sz="0" w:space="0" w:color="auto"/>
        <w:bottom w:val="none" w:sz="0" w:space="0" w:color="auto"/>
        <w:right w:val="none" w:sz="0" w:space="0" w:color="auto"/>
      </w:divBdr>
    </w:div>
    <w:div w:id="650063704">
      <w:bodyDiv w:val="1"/>
      <w:marLeft w:val="0"/>
      <w:marRight w:val="0"/>
      <w:marTop w:val="0"/>
      <w:marBottom w:val="0"/>
      <w:divBdr>
        <w:top w:val="none" w:sz="0" w:space="0" w:color="auto"/>
        <w:left w:val="none" w:sz="0" w:space="0" w:color="auto"/>
        <w:bottom w:val="none" w:sz="0" w:space="0" w:color="auto"/>
        <w:right w:val="none" w:sz="0" w:space="0" w:color="auto"/>
      </w:divBdr>
      <w:divsChild>
        <w:div w:id="491681414">
          <w:marLeft w:val="0"/>
          <w:marRight w:val="0"/>
          <w:marTop w:val="0"/>
          <w:marBottom w:val="0"/>
          <w:divBdr>
            <w:top w:val="none" w:sz="0" w:space="0" w:color="auto"/>
            <w:left w:val="none" w:sz="0" w:space="0" w:color="auto"/>
            <w:bottom w:val="none" w:sz="0" w:space="0" w:color="auto"/>
            <w:right w:val="none" w:sz="0" w:space="0" w:color="auto"/>
          </w:divBdr>
          <w:divsChild>
            <w:div w:id="1451239571">
              <w:marLeft w:val="0"/>
              <w:marRight w:val="0"/>
              <w:marTop w:val="0"/>
              <w:marBottom w:val="0"/>
              <w:divBdr>
                <w:top w:val="none" w:sz="0" w:space="0" w:color="auto"/>
                <w:left w:val="none" w:sz="0" w:space="0" w:color="auto"/>
                <w:bottom w:val="none" w:sz="0" w:space="0" w:color="auto"/>
                <w:right w:val="none" w:sz="0" w:space="0" w:color="auto"/>
              </w:divBdr>
              <w:divsChild>
                <w:div w:id="930626476">
                  <w:marLeft w:val="0"/>
                  <w:marRight w:val="0"/>
                  <w:marTop w:val="0"/>
                  <w:marBottom w:val="0"/>
                  <w:divBdr>
                    <w:top w:val="none" w:sz="0" w:space="0" w:color="auto"/>
                    <w:left w:val="none" w:sz="0" w:space="0" w:color="auto"/>
                    <w:bottom w:val="none" w:sz="0" w:space="0" w:color="auto"/>
                    <w:right w:val="none" w:sz="0" w:space="0" w:color="auto"/>
                  </w:divBdr>
                  <w:divsChild>
                    <w:div w:id="41447313">
                      <w:marLeft w:val="0"/>
                      <w:marRight w:val="0"/>
                      <w:marTop w:val="0"/>
                      <w:marBottom w:val="0"/>
                      <w:divBdr>
                        <w:top w:val="none" w:sz="0" w:space="0" w:color="auto"/>
                        <w:left w:val="none" w:sz="0" w:space="0" w:color="auto"/>
                        <w:bottom w:val="none" w:sz="0" w:space="0" w:color="auto"/>
                        <w:right w:val="none" w:sz="0" w:space="0" w:color="auto"/>
                      </w:divBdr>
                      <w:divsChild>
                        <w:div w:id="2146388016">
                          <w:marLeft w:val="0"/>
                          <w:marRight w:val="0"/>
                          <w:marTop w:val="0"/>
                          <w:marBottom w:val="0"/>
                          <w:divBdr>
                            <w:top w:val="none" w:sz="0" w:space="0" w:color="auto"/>
                            <w:left w:val="none" w:sz="0" w:space="0" w:color="auto"/>
                            <w:bottom w:val="none" w:sz="0" w:space="0" w:color="auto"/>
                            <w:right w:val="none" w:sz="0" w:space="0" w:color="auto"/>
                          </w:divBdr>
                          <w:divsChild>
                            <w:div w:id="625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725909">
      <w:bodyDiv w:val="1"/>
      <w:marLeft w:val="0"/>
      <w:marRight w:val="0"/>
      <w:marTop w:val="0"/>
      <w:marBottom w:val="0"/>
      <w:divBdr>
        <w:top w:val="none" w:sz="0" w:space="0" w:color="auto"/>
        <w:left w:val="none" w:sz="0" w:space="0" w:color="auto"/>
        <w:bottom w:val="none" w:sz="0" w:space="0" w:color="auto"/>
        <w:right w:val="none" w:sz="0" w:space="0" w:color="auto"/>
      </w:divBdr>
    </w:div>
    <w:div w:id="781386207">
      <w:bodyDiv w:val="1"/>
      <w:marLeft w:val="0"/>
      <w:marRight w:val="0"/>
      <w:marTop w:val="0"/>
      <w:marBottom w:val="0"/>
      <w:divBdr>
        <w:top w:val="none" w:sz="0" w:space="0" w:color="auto"/>
        <w:left w:val="none" w:sz="0" w:space="0" w:color="auto"/>
        <w:bottom w:val="none" w:sz="0" w:space="0" w:color="auto"/>
        <w:right w:val="none" w:sz="0" w:space="0" w:color="auto"/>
      </w:divBdr>
    </w:div>
    <w:div w:id="823007630">
      <w:bodyDiv w:val="1"/>
      <w:marLeft w:val="0"/>
      <w:marRight w:val="0"/>
      <w:marTop w:val="0"/>
      <w:marBottom w:val="0"/>
      <w:divBdr>
        <w:top w:val="none" w:sz="0" w:space="0" w:color="auto"/>
        <w:left w:val="none" w:sz="0" w:space="0" w:color="auto"/>
        <w:bottom w:val="none" w:sz="0" w:space="0" w:color="auto"/>
        <w:right w:val="none" w:sz="0" w:space="0" w:color="auto"/>
      </w:divBdr>
    </w:div>
    <w:div w:id="838733730">
      <w:bodyDiv w:val="1"/>
      <w:marLeft w:val="0"/>
      <w:marRight w:val="0"/>
      <w:marTop w:val="0"/>
      <w:marBottom w:val="0"/>
      <w:divBdr>
        <w:top w:val="none" w:sz="0" w:space="0" w:color="auto"/>
        <w:left w:val="none" w:sz="0" w:space="0" w:color="auto"/>
        <w:bottom w:val="none" w:sz="0" w:space="0" w:color="auto"/>
        <w:right w:val="none" w:sz="0" w:space="0" w:color="auto"/>
      </w:divBdr>
      <w:divsChild>
        <w:div w:id="1936161178">
          <w:marLeft w:val="0"/>
          <w:marRight w:val="0"/>
          <w:marTop w:val="0"/>
          <w:marBottom w:val="0"/>
          <w:divBdr>
            <w:top w:val="none" w:sz="0" w:space="0" w:color="auto"/>
            <w:left w:val="none" w:sz="0" w:space="0" w:color="auto"/>
            <w:bottom w:val="none" w:sz="0" w:space="0" w:color="auto"/>
            <w:right w:val="none" w:sz="0" w:space="0" w:color="auto"/>
          </w:divBdr>
          <w:divsChild>
            <w:div w:id="1516115906">
              <w:marLeft w:val="0"/>
              <w:marRight w:val="0"/>
              <w:marTop w:val="0"/>
              <w:marBottom w:val="0"/>
              <w:divBdr>
                <w:top w:val="none" w:sz="0" w:space="0" w:color="auto"/>
                <w:left w:val="none" w:sz="0" w:space="0" w:color="auto"/>
                <w:bottom w:val="none" w:sz="0" w:space="0" w:color="auto"/>
                <w:right w:val="none" w:sz="0" w:space="0" w:color="auto"/>
              </w:divBdr>
              <w:divsChild>
                <w:div w:id="1730811177">
                  <w:marLeft w:val="0"/>
                  <w:marRight w:val="0"/>
                  <w:marTop w:val="0"/>
                  <w:marBottom w:val="0"/>
                  <w:divBdr>
                    <w:top w:val="none" w:sz="0" w:space="0" w:color="auto"/>
                    <w:left w:val="none" w:sz="0" w:space="0" w:color="auto"/>
                    <w:bottom w:val="none" w:sz="0" w:space="0" w:color="auto"/>
                    <w:right w:val="none" w:sz="0" w:space="0" w:color="auto"/>
                  </w:divBdr>
                  <w:divsChild>
                    <w:div w:id="1581602301">
                      <w:marLeft w:val="0"/>
                      <w:marRight w:val="0"/>
                      <w:marTop w:val="0"/>
                      <w:marBottom w:val="0"/>
                      <w:divBdr>
                        <w:top w:val="none" w:sz="0" w:space="0" w:color="auto"/>
                        <w:left w:val="none" w:sz="0" w:space="0" w:color="auto"/>
                        <w:bottom w:val="none" w:sz="0" w:space="0" w:color="auto"/>
                        <w:right w:val="none" w:sz="0" w:space="0" w:color="auto"/>
                      </w:divBdr>
                      <w:divsChild>
                        <w:div w:id="1247953747">
                          <w:marLeft w:val="0"/>
                          <w:marRight w:val="0"/>
                          <w:marTop w:val="0"/>
                          <w:marBottom w:val="0"/>
                          <w:divBdr>
                            <w:top w:val="none" w:sz="0" w:space="0" w:color="auto"/>
                            <w:left w:val="none" w:sz="0" w:space="0" w:color="auto"/>
                            <w:bottom w:val="none" w:sz="0" w:space="0" w:color="auto"/>
                            <w:right w:val="none" w:sz="0" w:space="0" w:color="auto"/>
                          </w:divBdr>
                          <w:divsChild>
                            <w:div w:id="1763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4515">
      <w:bodyDiv w:val="1"/>
      <w:marLeft w:val="0"/>
      <w:marRight w:val="0"/>
      <w:marTop w:val="0"/>
      <w:marBottom w:val="0"/>
      <w:divBdr>
        <w:top w:val="none" w:sz="0" w:space="0" w:color="auto"/>
        <w:left w:val="none" w:sz="0" w:space="0" w:color="auto"/>
        <w:bottom w:val="none" w:sz="0" w:space="0" w:color="auto"/>
        <w:right w:val="none" w:sz="0" w:space="0" w:color="auto"/>
      </w:divBdr>
    </w:div>
    <w:div w:id="909657286">
      <w:bodyDiv w:val="1"/>
      <w:marLeft w:val="0"/>
      <w:marRight w:val="0"/>
      <w:marTop w:val="0"/>
      <w:marBottom w:val="0"/>
      <w:divBdr>
        <w:top w:val="none" w:sz="0" w:space="0" w:color="auto"/>
        <w:left w:val="none" w:sz="0" w:space="0" w:color="auto"/>
        <w:bottom w:val="none" w:sz="0" w:space="0" w:color="auto"/>
        <w:right w:val="none" w:sz="0" w:space="0" w:color="auto"/>
      </w:divBdr>
    </w:div>
    <w:div w:id="935871775">
      <w:bodyDiv w:val="1"/>
      <w:marLeft w:val="0"/>
      <w:marRight w:val="0"/>
      <w:marTop w:val="0"/>
      <w:marBottom w:val="0"/>
      <w:divBdr>
        <w:top w:val="none" w:sz="0" w:space="0" w:color="auto"/>
        <w:left w:val="none" w:sz="0" w:space="0" w:color="auto"/>
        <w:bottom w:val="none" w:sz="0" w:space="0" w:color="auto"/>
        <w:right w:val="none" w:sz="0" w:space="0" w:color="auto"/>
      </w:divBdr>
    </w:div>
    <w:div w:id="1220359114">
      <w:bodyDiv w:val="1"/>
      <w:marLeft w:val="0"/>
      <w:marRight w:val="0"/>
      <w:marTop w:val="0"/>
      <w:marBottom w:val="0"/>
      <w:divBdr>
        <w:top w:val="none" w:sz="0" w:space="0" w:color="auto"/>
        <w:left w:val="none" w:sz="0" w:space="0" w:color="auto"/>
        <w:bottom w:val="none" w:sz="0" w:space="0" w:color="auto"/>
        <w:right w:val="none" w:sz="0" w:space="0" w:color="auto"/>
      </w:divBdr>
    </w:div>
    <w:div w:id="1285191542">
      <w:bodyDiv w:val="1"/>
      <w:marLeft w:val="0"/>
      <w:marRight w:val="0"/>
      <w:marTop w:val="0"/>
      <w:marBottom w:val="0"/>
      <w:divBdr>
        <w:top w:val="none" w:sz="0" w:space="0" w:color="auto"/>
        <w:left w:val="none" w:sz="0" w:space="0" w:color="auto"/>
        <w:bottom w:val="none" w:sz="0" w:space="0" w:color="auto"/>
        <w:right w:val="none" w:sz="0" w:space="0" w:color="auto"/>
      </w:divBdr>
    </w:div>
    <w:div w:id="1357997425">
      <w:bodyDiv w:val="1"/>
      <w:marLeft w:val="0"/>
      <w:marRight w:val="0"/>
      <w:marTop w:val="0"/>
      <w:marBottom w:val="0"/>
      <w:divBdr>
        <w:top w:val="none" w:sz="0" w:space="0" w:color="auto"/>
        <w:left w:val="none" w:sz="0" w:space="0" w:color="auto"/>
        <w:bottom w:val="none" w:sz="0" w:space="0" w:color="auto"/>
        <w:right w:val="none" w:sz="0" w:space="0" w:color="auto"/>
      </w:divBdr>
    </w:div>
    <w:div w:id="1757431970">
      <w:bodyDiv w:val="1"/>
      <w:marLeft w:val="0"/>
      <w:marRight w:val="0"/>
      <w:marTop w:val="0"/>
      <w:marBottom w:val="0"/>
      <w:divBdr>
        <w:top w:val="none" w:sz="0" w:space="0" w:color="auto"/>
        <w:left w:val="none" w:sz="0" w:space="0" w:color="auto"/>
        <w:bottom w:val="none" w:sz="0" w:space="0" w:color="auto"/>
        <w:right w:val="none" w:sz="0" w:space="0" w:color="auto"/>
      </w:divBdr>
    </w:div>
    <w:div w:id="1870221167">
      <w:bodyDiv w:val="1"/>
      <w:marLeft w:val="0"/>
      <w:marRight w:val="0"/>
      <w:marTop w:val="0"/>
      <w:marBottom w:val="0"/>
      <w:divBdr>
        <w:top w:val="none" w:sz="0" w:space="0" w:color="auto"/>
        <w:left w:val="none" w:sz="0" w:space="0" w:color="auto"/>
        <w:bottom w:val="none" w:sz="0" w:space="0" w:color="auto"/>
        <w:right w:val="none" w:sz="0" w:space="0" w:color="auto"/>
      </w:divBdr>
    </w:div>
    <w:div w:id="1890611900">
      <w:bodyDiv w:val="1"/>
      <w:marLeft w:val="0"/>
      <w:marRight w:val="0"/>
      <w:marTop w:val="0"/>
      <w:marBottom w:val="0"/>
      <w:divBdr>
        <w:top w:val="none" w:sz="0" w:space="0" w:color="auto"/>
        <w:left w:val="none" w:sz="0" w:space="0" w:color="auto"/>
        <w:bottom w:val="none" w:sz="0" w:space="0" w:color="auto"/>
        <w:right w:val="none" w:sz="0" w:space="0" w:color="auto"/>
      </w:divBdr>
      <w:divsChild>
        <w:div w:id="1100033137">
          <w:marLeft w:val="0"/>
          <w:marRight w:val="0"/>
          <w:marTop w:val="0"/>
          <w:marBottom w:val="0"/>
          <w:divBdr>
            <w:top w:val="none" w:sz="0" w:space="0" w:color="auto"/>
            <w:left w:val="none" w:sz="0" w:space="0" w:color="auto"/>
            <w:bottom w:val="none" w:sz="0" w:space="0" w:color="auto"/>
            <w:right w:val="none" w:sz="0" w:space="0" w:color="auto"/>
          </w:divBdr>
          <w:divsChild>
            <w:div w:id="1524903807">
              <w:marLeft w:val="0"/>
              <w:marRight w:val="0"/>
              <w:marTop w:val="0"/>
              <w:marBottom w:val="0"/>
              <w:divBdr>
                <w:top w:val="none" w:sz="0" w:space="0" w:color="auto"/>
                <w:left w:val="none" w:sz="0" w:space="0" w:color="auto"/>
                <w:bottom w:val="none" w:sz="0" w:space="0" w:color="auto"/>
                <w:right w:val="none" w:sz="0" w:space="0" w:color="auto"/>
              </w:divBdr>
              <w:divsChild>
                <w:div w:id="1826697562">
                  <w:marLeft w:val="0"/>
                  <w:marRight w:val="0"/>
                  <w:marTop w:val="0"/>
                  <w:marBottom w:val="0"/>
                  <w:divBdr>
                    <w:top w:val="none" w:sz="0" w:space="0" w:color="auto"/>
                    <w:left w:val="none" w:sz="0" w:space="0" w:color="auto"/>
                    <w:bottom w:val="none" w:sz="0" w:space="0" w:color="auto"/>
                    <w:right w:val="none" w:sz="0" w:space="0" w:color="auto"/>
                  </w:divBdr>
                  <w:divsChild>
                    <w:div w:id="887838539">
                      <w:marLeft w:val="0"/>
                      <w:marRight w:val="0"/>
                      <w:marTop w:val="0"/>
                      <w:marBottom w:val="0"/>
                      <w:divBdr>
                        <w:top w:val="none" w:sz="0" w:space="0" w:color="auto"/>
                        <w:left w:val="none" w:sz="0" w:space="0" w:color="auto"/>
                        <w:bottom w:val="none" w:sz="0" w:space="0" w:color="auto"/>
                        <w:right w:val="none" w:sz="0" w:space="0" w:color="auto"/>
                      </w:divBdr>
                      <w:divsChild>
                        <w:div w:id="601651160">
                          <w:marLeft w:val="0"/>
                          <w:marRight w:val="0"/>
                          <w:marTop w:val="0"/>
                          <w:marBottom w:val="0"/>
                          <w:divBdr>
                            <w:top w:val="none" w:sz="0" w:space="0" w:color="auto"/>
                            <w:left w:val="none" w:sz="0" w:space="0" w:color="auto"/>
                            <w:bottom w:val="none" w:sz="0" w:space="0" w:color="auto"/>
                            <w:right w:val="none" w:sz="0" w:space="0" w:color="auto"/>
                          </w:divBdr>
                          <w:divsChild>
                            <w:div w:id="1214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v_pecherytsia@sstc.ua" TargetMode="External"/><Relationship Id="rId18" Type="http://schemas.openxmlformats.org/officeDocument/2006/relationships/hyperlink" Target="https://www.energy.gov/articles/cop28-countries-launch-declaration-triple-nuclear-energy-capacity-2050-recognizing-ke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ia_shevchenko@sstc.ua"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uscalepower.com/en/news/press-releases/2021/nuscale-power-signs-mou-with-energoatom-to-explore-smr-deployment-in-ukraine"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shepitchak@snriu.gov.ua"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os.horodnicha@snriu.gov.u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m_dybach@sstc.ua" TargetMode="External"/><Relationship Id="rId19" Type="http://schemas.openxmlformats.org/officeDocument/2006/relationships/hyperlink" Target="https://world-nuclear-news.org/Articles/Accord-sees-mass-deployment-of-Holtec-SMRs-in-Uk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i_zhabin@sstc.ua"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C3D2602A-928A-4A99-A352-36658CD5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44</TotalTime>
  <Pages>7</Pages>
  <Words>3266</Words>
  <Characters>19596</Characters>
  <Application>Microsoft Office Word</Application>
  <DocSecurity>0</DocSecurity>
  <Lines>489</Lines>
  <Paragraphs>300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Oleksii Dybach (Олексій Дибач)</cp:lastModifiedBy>
  <cp:revision>18</cp:revision>
  <cp:lastPrinted>2024-05-27T11:44:00Z</cp:lastPrinted>
  <dcterms:created xsi:type="dcterms:W3CDTF">2024-05-30T07:38:00Z</dcterms:created>
  <dcterms:modified xsi:type="dcterms:W3CDTF">2024-05-31T12:54:00Z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6379b7478204a8020689ad0cca70cf391d4a4eaf4e47a5bc6775c3845b22885f</vt:lpwstr>
  </property>
</Properties>
</file>