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78316" w14:textId="77777777" w:rsidR="007C6A4A" w:rsidRDefault="007C6A4A" w:rsidP="00537496">
      <w:pPr>
        <w:pStyle w:val="Heading1"/>
      </w:pPr>
      <w:r w:rsidRPr="007C6A4A">
        <w:t xml:space="preserve">Design of a reusable Materials </w:t>
      </w:r>
    </w:p>
    <w:p w14:paraId="6C0BD34F" w14:textId="53E08451" w:rsidR="007C6A4A" w:rsidRDefault="007C6A4A" w:rsidP="00537496">
      <w:pPr>
        <w:pStyle w:val="Heading1"/>
      </w:pPr>
      <w:r w:rsidRPr="007C6A4A">
        <w:t xml:space="preserve">Irradiation DevIce (MIDI) in </w:t>
      </w:r>
      <w:r w:rsidR="00F47DC5">
        <w:t xml:space="preserve">the </w:t>
      </w:r>
      <w:r w:rsidRPr="007C6A4A">
        <w:t>High Flux</w:t>
      </w:r>
    </w:p>
    <w:p w14:paraId="2391928B" w14:textId="059BD053" w:rsidR="00B82FA5" w:rsidRPr="00EE29B9" w:rsidRDefault="007C6A4A" w:rsidP="00537496">
      <w:pPr>
        <w:pStyle w:val="Heading1"/>
      </w:pPr>
      <w:r w:rsidRPr="007C6A4A">
        <w:t>Reactor in Petten for testing and</w:t>
      </w:r>
    </w:p>
    <w:p w14:paraId="45A501F0" w14:textId="1C7FD430" w:rsidR="00E20E70" w:rsidRPr="007C6A4A" w:rsidRDefault="007C6A4A" w:rsidP="00537496">
      <w:pPr>
        <w:pStyle w:val="Heading1"/>
        <w:rPr>
          <w:lang w:val="en-GB"/>
        </w:rPr>
      </w:pPr>
      <w:r w:rsidRPr="007C6A4A">
        <w:t>qualification of SMR materials</w:t>
      </w:r>
    </w:p>
    <w:p w14:paraId="4D1B799F" w14:textId="77777777" w:rsidR="00802381" w:rsidRDefault="00802381" w:rsidP="00537496">
      <w:pPr>
        <w:pStyle w:val="Authornameandaffiliation"/>
      </w:pPr>
    </w:p>
    <w:p w14:paraId="32159D0F" w14:textId="22900514" w:rsidR="003B5E0E" w:rsidRDefault="00471EE3" w:rsidP="00537496">
      <w:pPr>
        <w:pStyle w:val="Authornameandaffiliation"/>
      </w:pPr>
      <w:r>
        <w:t>N.J. BARRON</w:t>
      </w:r>
    </w:p>
    <w:p w14:paraId="02370931" w14:textId="3585CA73" w:rsidR="00FF386F" w:rsidRDefault="00F114CD" w:rsidP="00537496">
      <w:pPr>
        <w:pStyle w:val="Authornameandaffiliation"/>
      </w:pPr>
      <w:r w:rsidRPr="00F114CD">
        <w:t>Nuclear Research &amp; consultancy Group (NRG</w:t>
      </w:r>
      <w:r>
        <w:t>)</w:t>
      </w:r>
    </w:p>
    <w:p w14:paraId="14684DE2" w14:textId="0492A7C9" w:rsidR="00FF386F" w:rsidRDefault="00F114CD" w:rsidP="00537496">
      <w:pPr>
        <w:pStyle w:val="Authornameandaffiliation"/>
      </w:pPr>
      <w:r>
        <w:t>Petten</w:t>
      </w:r>
      <w:r w:rsidR="00FF386F">
        <w:t xml:space="preserve">, </w:t>
      </w:r>
      <w:r>
        <w:t>The Netherlands</w:t>
      </w:r>
    </w:p>
    <w:p w14:paraId="0080899C" w14:textId="4F700F62" w:rsidR="00FF386F" w:rsidRDefault="00FF386F" w:rsidP="00537496">
      <w:pPr>
        <w:pStyle w:val="Authornameandaffiliation"/>
      </w:pPr>
      <w:r>
        <w:t xml:space="preserve">Email: </w:t>
      </w:r>
      <w:hyperlink r:id="rId8" w:history="1">
        <w:r w:rsidR="00AE2DCC" w:rsidRPr="00253E2D">
          <w:rPr>
            <w:rStyle w:val="Hyperlink"/>
          </w:rPr>
          <w:t>barron@nrg.eu</w:t>
        </w:r>
      </w:hyperlink>
    </w:p>
    <w:p w14:paraId="5E2BDA1F" w14:textId="77777777" w:rsidR="00FF386F" w:rsidRDefault="00FF386F" w:rsidP="00537496">
      <w:pPr>
        <w:pStyle w:val="Authornameandaffiliation"/>
      </w:pPr>
    </w:p>
    <w:p w14:paraId="535BB6CC" w14:textId="260C00C2" w:rsidR="00FF386F" w:rsidRPr="00C0273F" w:rsidRDefault="00F114CD" w:rsidP="00537496">
      <w:pPr>
        <w:pStyle w:val="Authornameandaffiliation"/>
        <w:rPr>
          <w:lang w:val="nl-NL"/>
        </w:rPr>
      </w:pPr>
      <w:r w:rsidRPr="00C0273F">
        <w:rPr>
          <w:lang w:val="nl-NL"/>
        </w:rPr>
        <w:t>F</w:t>
      </w:r>
      <w:r w:rsidR="00FF386F" w:rsidRPr="00C0273F">
        <w:rPr>
          <w:lang w:val="nl-NL"/>
        </w:rPr>
        <w:t>.</w:t>
      </w:r>
      <w:r w:rsidRPr="00C0273F">
        <w:rPr>
          <w:lang w:val="nl-NL"/>
        </w:rPr>
        <w:t xml:space="preserve"> </w:t>
      </w:r>
      <w:r w:rsidR="00FF386F" w:rsidRPr="00C0273F">
        <w:rPr>
          <w:lang w:val="nl-NL"/>
        </w:rPr>
        <w:t>N</w:t>
      </w:r>
      <w:r w:rsidRPr="00C0273F">
        <w:rPr>
          <w:lang w:val="nl-NL"/>
        </w:rPr>
        <w:t>AZIRIS</w:t>
      </w:r>
    </w:p>
    <w:p w14:paraId="008085C2" w14:textId="4B62910A" w:rsidR="00FF386F" w:rsidRPr="00C0273F" w:rsidRDefault="00F114CD" w:rsidP="00537496">
      <w:pPr>
        <w:pStyle w:val="Authornameandaffiliation"/>
        <w:rPr>
          <w:lang w:val="nl-NL"/>
        </w:rPr>
      </w:pPr>
      <w:r w:rsidRPr="00C0273F">
        <w:rPr>
          <w:lang w:val="nl-NL"/>
        </w:rPr>
        <w:t>NRG</w:t>
      </w:r>
    </w:p>
    <w:p w14:paraId="5D980831" w14:textId="6E05ECDE" w:rsidR="00FF386F" w:rsidRPr="00C0273F" w:rsidRDefault="00F114CD" w:rsidP="00537496">
      <w:pPr>
        <w:pStyle w:val="Authornameandaffiliation"/>
        <w:rPr>
          <w:lang w:val="nl-NL"/>
        </w:rPr>
      </w:pPr>
      <w:r w:rsidRPr="00C0273F">
        <w:rPr>
          <w:lang w:val="nl-NL"/>
        </w:rPr>
        <w:t>Petten</w:t>
      </w:r>
      <w:r w:rsidR="00FF386F" w:rsidRPr="00C0273F">
        <w:rPr>
          <w:lang w:val="nl-NL"/>
        </w:rPr>
        <w:t xml:space="preserve">, </w:t>
      </w:r>
      <w:r w:rsidRPr="00C0273F">
        <w:rPr>
          <w:lang w:val="nl-NL"/>
        </w:rPr>
        <w:t>The Netherlands</w:t>
      </w:r>
    </w:p>
    <w:p w14:paraId="2D025372" w14:textId="77777777" w:rsidR="00F114CD" w:rsidRPr="00C0273F" w:rsidRDefault="00F114CD" w:rsidP="00537496">
      <w:pPr>
        <w:pStyle w:val="Authornameandaffiliation"/>
        <w:rPr>
          <w:lang w:val="nl-NL"/>
        </w:rPr>
      </w:pPr>
    </w:p>
    <w:p w14:paraId="5A974D90" w14:textId="44A4C9D3" w:rsidR="00F114CD" w:rsidRPr="00C0273F" w:rsidRDefault="00F114CD" w:rsidP="00F114CD">
      <w:pPr>
        <w:pStyle w:val="Authornameandaffiliation"/>
        <w:rPr>
          <w:lang w:val="nl-NL"/>
        </w:rPr>
      </w:pPr>
      <w:r w:rsidRPr="00C0273F">
        <w:rPr>
          <w:lang w:val="nl-NL"/>
        </w:rPr>
        <w:t>D. VERBRUGGEN</w:t>
      </w:r>
    </w:p>
    <w:p w14:paraId="79876786" w14:textId="77777777" w:rsidR="00F114CD" w:rsidRPr="00FF386F" w:rsidRDefault="00F114CD" w:rsidP="00F114CD">
      <w:pPr>
        <w:pStyle w:val="Authornameandaffiliation"/>
      </w:pPr>
      <w:r>
        <w:t>NRG</w:t>
      </w:r>
    </w:p>
    <w:p w14:paraId="5A9B7431" w14:textId="77777777" w:rsidR="00F114CD" w:rsidRDefault="00F114CD" w:rsidP="00F114CD">
      <w:pPr>
        <w:pStyle w:val="Authornameandaffiliation"/>
      </w:pPr>
      <w:r>
        <w:t>Petten</w:t>
      </w:r>
      <w:r w:rsidRPr="00FF386F">
        <w:t xml:space="preserve">, </w:t>
      </w:r>
      <w:r>
        <w:t>The Netherlands</w:t>
      </w:r>
    </w:p>
    <w:p w14:paraId="60C15656" w14:textId="77777777" w:rsidR="00F114CD" w:rsidRDefault="00F114CD" w:rsidP="00537496">
      <w:pPr>
        <w:pStyle w:val="Authornameandaffiliation"/>
      </w:pPr>
    </w:p>
    <w:p w14:paraId="22338274" w14:textId="16FB7E30" w:rsidR="00F114CD" w:rsidRPr="00FF386F" w:rsidRDefault="00F114CD" w:rsidP="00F114CD">
      <w:pPr>
        <w:pStyle w:val="Authornameandaffiliation"/>
      </w:pPr>
      <w:r>
        <w:t>E. D’AGATA</w:t>
      </w:r>
    </w:p>
    <w:p w14:paraId="4A795B97" w14:textId="1A1E4C06" w:rsidR="001F6A52" w:rsidRDefault="001F6A52" w:rsidP="001F6A52">
      <w:pPr>
        <w:pStyle w:val="Authornameandaffiliation"/>
      </w:pPr>
      <w:r w:rsidRPr="001F6A52">
        <w:t>European Commission - Joint Research Centre</w:t>
      </w:r>
      <w:r>
        <w:t xml:space="preserve"> (</w:t>
      </w:r>
      <w:r w:rsidR="00F47DC5">
        <w:t>EC-</w:t>
      </w:r>
      <w:r>
        <w:t>JRC)</w:t>
      </w:r>
    </w:p>
    <w:p w14:paraId="50721A55" w14:textId="77777777" w:rsidR="00F114CD" w:rsidRDefault="00F114CD" w:rsidP="00F114CD">
      <w:pPr>
        <w:pStyle w:val="Authornameandaffiliation"/>
      </w:pPr>
      <w:r>
        <w:t>Petten</w:t>
      </w:r>
      <w:r w:rsidRPr="00FF386F">
        <w:t xml:space="preserve">, </w:t>
      </w:r>
      <w:r>
        <w:t>The Netherlands</w:t>
      </w:r>
    </w:p>
    <w:p w14:paraId="1F122B43" w14:textId="77777777" w:rsidR="00F114CD" w:rsidRDefault="00F114CD" w:rsidP="00F114CD">
      <w:pPr>
        <w:pStyle w:val="Authornameandaffiliation"/>
      </w:pPr>
    </w:p>
    <w:p w14:paraId="4CB5D139" w14:textId="35CE8E02" w:rsidR="00F114CD" w:rsidRPr="00FF386F" w:rsidRDefault="00725797" w:rsidP="00F114CD">
      <w:pPr>
        <w:pStyle w:val="Authornameandaffiliation"/>
      </w:pPr>
      <w:r>
        <w:t>O</w:t>
      </w:r>
      <w:r w:rsidR="00F114CD">
        <w:t xml:space="preserve">. </w:t>
      </w:r>
      <w:r>
        <w:t>MARTIN</w:t>
      </w:r>
    </w:p>
    <w:p w14:paraId="1218367E" w14:textId="7AFCBF1F" w:rsidR="001F6A52" w:rsidRDefault="00697644" w:rsidP="00F114CD">
      <w:pPr>
        <w:pStyle w:val="Authornameandaffiliation"/>
      </w:pPr>
      <w:r>
        <w:t>EC-</w:t>
      </w:r>
      <w:r w:rsidR="001F6A52">
        <w:t>JRC</w:t>
      </w:r>
    </w:p>
    <w:p w14:paraId="068D79DA" w14:textId="74418F02" w:rsidR="00F114CD" w:rsidRDefault="00F114CD" w:rsidP="00F114CD">
      <w:pPr>
        <w:pStyle w:val="Authornameandaffiliation"/>
      </w:pPr>
      <w:r>
        <w:t>Petten</w:t>
      </w:r>
      <w:r w:rsidRPr="00FF386F">
        <w:t xml:space="preserve">, </w:t>
      </w:r>
      <w:r>
        <w:t>The Netherlands</w:t>
      </w:r>
    </w:p>
    <w:p w14:paraId="29224165" w14:textId="77777777" w:rsidR="00F114CD" w:rsidRDefault="00F114CD" w:rsidP="00537496">
      <w:pPr>
        <w:pStyle w:val="Authornameandaffiliation"/>
      </w:pPr>
    </w:p>
    <w:p w14:paraId="334878BA" w14:textId="5AE4B6DE" w:rsidR="00F114CD" w:rsidRPr="00FF386F" w:rsidRDefault="00471EE3" w:rsidP="00F114CD">
      <w:pPr>
        <w:pStyle w:val="Authornameandaffiliation"/>
      </w:pPr>
      <w:r>
        <w:t>N.V.V.R.M.</w:t>
      </w:r>
      <w:r w:rsidRPr="00FF386F">
        <w:t xml:space="preserve"> </w:t>
      </w:r>
      <w:r>
        <w:t>KOLLURI</w:t>
      </w:r>
    </w:p>
    <w:p w14:paraId="7E4C56F3" w14:textId="77777777" w:rsidR="00F114CD" w:rsidRPr="00FF386F" w:rsidRDefault="00F114CD" w:rsidP="00F114CD">
      <w:pPr>
        <w:pStyle w:val="Authornameandaffiliation"/>
      </w:pPr>
      <w:r>
        <w:t>NRG</w:t>
      </w:r>
    </w:p>
    <w:p w14:paraId="51B0B13F" w14:textId="77777777" w:rsidR="00F114CD" w:rsidRDefault="00F114CD" w:rsidP="00F114CD">
      <w:pPr>
        <w:pStyle w:val="Authornameandaffiliation"/>
      </w:pPr>
      <w:r>
        <w:t>Petten</w:t>
      </w:r>
      <w:r w:rsidRPr="00FF386F">
        <w:t xml:space="preserve">, </w:t>
      </w:r>
      <w:r>
        <w:t>The Netherlands</w:t>
      </w:r>
    </w:p>
    <w:p w14:paraId="2C7F19CB" w14:textId="77777777" w:rsidR="00FF386F" w:rsidRDefault="00FF386F" w:rsidP="00537496">
      <w:pPr>
        <w:pStyle w:val="Authornameandaffiliation"/>
      </w:pPr>
    </w:p>
    <w:p w14:paraId="230D4575" w14:textId="77777777" w:rsidR="00647F33" w:rsidRPr="00647F33" w:rsidRDefault="00647F33" w:rsidP="00537496">
      <w:pPr>
        <w:pStyle w:val="Authornameandaffiliation"/>
        <w:rPr>
          <w:b/>
        </w:rPr>
      </w:pPr>
      <w:r w:rsidRPr="00647F33">
        <w:rPr>
          <w:b/>
        </w:rPr>
        <w:t>Abstract</w:t>
      </w:r>
    </w:p>
    <w:p w14:paraId="4F2E62A2" w14:textId="77777777" w:rsidR="00647F33" w:rsidRDefault="00647F33" w:rsidP="00537496">
      <w:pPr>
        <w:pStyle w:val="Authornameandaffiliation"/>
      </w:pPr>
    </w:p>
    <w:p w14:paraId="418AC57B" w14:textId="1D3A739D" w:rsidR="00647F33" w:rsidRPr="00BD605C" w:rsidRDefault="007C6A4A" w:rsidP="00537496">
      <w:pPr>
        <w:pStyle w:val="Abstracttext"/>
      </w:pPr>
      <w:r w:rsidRPr="007C6A4A">
        <w:t xml:space="preserve">Irradiation testing of novel and established materials is a crucial step to enable the deployment of SMRs utilizing new materials and/or manufacturing processes to meet hypothetical SMR construction timeframes and realize the complex integrated features of several designs. The High Flux Reactor (HFR) in Petten has played a substantial role in contributing to the irradiation testing of materials and fuels. Several hundred irradiation experiments have been performed over the decades, including the LYRA irradiations. LYRA was a re-usable irradiation facility in the HFR which has been extensively used for irradiation of </w:t>
      </w:r>
      <w:r w:rsidR="00B24F73">
        <w:t xml:space="preserve">reactor </w:t>
      </w:r>
      <w:r w:rsidRPr="007C6A4A">
        <w:t xml:space="preserve">pressure vessel steels and other structural materials to support LTO-research and qualification of new materials. After its 10th irradiation campaign, the LYRA facility was dismantled and a project begun to replace it that incorporated this multi-year learning. This new, reusable </w:t>
      </w:r>
      <w:r w:rsidRPr="007C6A4A">
        <w:rPr>
          <w:b/>
          <w:bCs/>
        </w:rPr>
        <w:t>M</w:t>
      </w:r>
      <w:r w:rsidRPr="007C6A4A">
        <w:t xml:space="preserve">aterials </w:t>
      </w:r>
      <w:r w:rsidRPr="007C6A4A">
        <w:rPr>
          <w:b/>
          <w:bCs/>
        </w:rPr>
        <w:t>I</w:t>
      </w:r>
      <w:r w:rsidRPr="007C6A4A">
        <w:t xml:space="preserve">rradiation </w:t>
      </w:r>
      <w:proofErr w:type="spellStart"/>
      <w:r w:rsidRPr="007C6A4A">
        <w:rPr>
          <w:b/>
          <w:bCs/>
        </w:rPr>
        <w:t>D</w:t>
      </w:r>
      <w:r w:rsidRPr="007C6A4A">
        <w:t>ev</w:t>
      </w:r>
      <w:r w:rsidRPr="007C6A4A">
        <w:rPr>
          <w:b/>
          <w:bCs/>
        </w:rPr>
        <w:t>I</w:t>
      </w:r>
      <w:r w:rsidRPr="007C6A4A">
        <w:t>ce</w:t>
      </w:r>
      <w:proofErr w:type="spellEnd"/>
      <w:r w:rsidRPr="007C6A4A">
        <w:t xml:space="preserve"> (MIDI) is being designed and developed in collaboration with the </w:t>
      </w:r>
      <w:r w:rsidR="00B24F73">
        <w:t xml:space="preserve">European Commission - </w:t>
      </w:r>
      <w:r w:rsidRPr="007C6A4A">
        <w:t>Joint Research Centre (</w:t>
      </w:r>
      <w:r w:rsidR="00B24F73">
        <w:t>EC-</w:t>
      </w:r>
      <w:r w:rsidRPr="007C6A4A">
        <w:t>JRC) Petten as part of the Dutch government funded PIONEER program. This paper will present the work to-date in developing the engineering design and specifications of the MIDI device, how learning from LYRA has been incorporated, and how the MIDI facility will support the irradiation testing of materials for selected SMR concepts.</w:t>
      </w:r>
    </w:p>
    <w:p w14:paraId="03C6D75B" w14:textId="77777777" w:rsidR="00647F33" w:rsidRDefault="00F523CA" w:rsidP="00537496">
      <w:pPr>
        <w:pStyle w:val="Heading2"/>
        <w:numPr>
          <w:ilvl w:val="1"/>
          <w:numId w:val="10"/>
        </w:numPr>
      </w:pPr>
      <w:r>
        <w:t>INTRODUCTION</w:t>
      </w:r>
    </w:p>
    <w:p w14:paraId="097D668F" w14:textId="177116B2" w:rsidR="002D433F" w:rsidRDefault="00C0273F" w:rsidP="002D433F">
      <w:pPr>
        <w:pStyle w:val="BodyText"/>
      </w:pPr>
      <w:r>
        <w:t>The climate cris</w:t>
      </w:r>
      <w:r w:rsidR="00AE2DCC">
        <w:t>is</w:t>
      </w:r>
      <w:r>
        <w:t xml:space="preserve">, </w:t>
      </w:r>
      <w:r w:rsidR="00B27C8F">
        <w:t>driver</w:t>
      </w:r>
      <w:r>
        <w:t xml:space="preserve"> to “on-shore” energy production and industrialisation of developing nations presents a generational opportunity for nuclear to support nations meet their low carbon energy needs</w:t>
      </w:r>
      <w:sdt>
        <w:sdtPr>
          <w:id w:val="-767850935"/>
          <w:citation/>
        </w:sdtPr>
        <w:sdtEndPr/>
        <w:sdtContent>
          <w:r w:rsidR="005C1ED1">
            <w:fldChar w:fldCharType="begin"/>
          </w:r>
          <w:r w:rsidR="005C1ED1">
            <w:rPr>
              <w:lang w:val="en-US"/>
            </w:rPr>
            <w:instrText xml:space="preserve"> CITATION Int22 \l 1033 </w:instrText>
          </w:r>
          <w:r w:rsidR="005C1ED1">
            <w:fldChar w:fldCharType="separate"/>
          </w:r>
          <w:r w:rsidR="006E2916">
            <w:rPr>
              <w:noProof/>
              <w:lang w:val="en-US"/>
            </w:rPr>
            <w:t xml:space="preserve"> </w:t>
          </w:r>
          <w:r w:rsidR="006E2916" w:rsidRPr="006E2916">
            <w:rPr>
              <w:noProof/>
              <w:lang w:val="en-US"/>
            </w:rPr>
            <w:t>[1]</w:t>
          </w:r>
          <w:r w:rsidR="005C1ED1">
            <w:fldChar w:fldCharType="end"/>
          </w:r>
        </w:sdtContent>
      </w:sdt>
      <w:r>
        <w:t>.</w:t>
      </w:r>
      <w:r w:rsidR="005C1ED1">
        <w:t xml:space="preserve"> Modern</w:t>
      </w:r>
      <w:r w:rsidR="00EA3D31">
        <w:t>,</w:t>
      </w:r>
      <w:r w:rsidR="00443532">
        <w:t xml:space="preserve"> </w:t>
      </w:r>
      <w:r w:rsidR="00DE5995">
        <w:t>s</w:t>
      </w:r>
      <w:r w:rsidR="00443532">
        <w:t xml:space="preserve">maller </w:t>
      </w:r>
      <w:r w:rsidR="005C1ED1">
        <w:t xml:space="preserve">designs are </w:t>
      </w:r>
      <w:r w:rsidR="00B27C8F">
        <w:t xml:space="preserve">also </w:t>
      </w:r>
      <w:r w:rsidR="005C1ED1">
        <w:t xml:space="preserve">seeking to </w:t>
      </w:r>
      <w:r w:rsidR="00B27C8F">
        <w:t>go beyond more traditional</w:t>
      </w:r>
      <w:r w:rsidR="005C1ED1">
        <w:t xml:space="preserve"> baseload </w:t>
      </w:r>
      <w:r w:rsidR="00B27C8F">
        <w:t>generation, providing a flexible capacity that integrates with renewables as well as provide</w:t>
      </w:r>
      <w:r w:rsidR="005C1ED1">
        <w:t xml:space="preserve"> the ability to decarbonise the more hard to abate </w:t>
      </w:r>
      <w:r w:rsidR="00B27C8F">
        <w:t xml:space="preserve">industrial and </w:t>
      </w:r>
      <w:r w:rsidR="005C1ED1">
        <w:t xml:space="preserve">process heat (non-electric energy vectors) </w:t>
      </w:r>
      <w:r w:rsidR="00B27C8F">
        <w:t xml:space="preserve">applications </w:t>
      </w:r>
      <w:r w:rsidR="005C1ED1">
        <w:t>such as steel making or green hydrogen production.</w:t>
      </w:r>
      <w:r w:rsidR="00B27C8F">
        <w:t xml:space="preserve"> </w:t>
      </w:r>
      <w:r w:rsidR="00443532">
        <w:t xml:space="preserve">To best integrate with existing industrial users, and support deployment on the timescales necessary will require </w:t>
      </w:r>
      <w:r w:rsidR="007C4A05">
        <w:t xml:space="preserve">new </w:t>
      </w:r>
      <w:r w:rsidR="00443532">
        <w:t>reactors ranging from the micro (&lt;</w:t>
      </w:r>
      <w:r w:rsidR="00B24F73">
        <w:t>20</w:t>
      </w:r>
      <w:r w:rsidR="00443532">
        <w:t xml:space="preserve"> MW) to </w:t>
      </w:r>
      <w:r w:rsidR="00B24F73">
        <w:t>macro</w:t>
      </w:r>
      <w:r w:rsidR="00443532">
        <w:t xml:space="preserve"> (</w:t>
      </w:r>
      <w:r w:rsidR="00B24F73">
        <w:t>&gt;2</w:t>
      </w:r>
      <w:r w:rsidR="00443532">
        <w:t>0 MW). It is expected that Small Modular Reactors (SMRs), encompassing both water and non-</w:t>
      </w:r>
      <w:r w:rsidR="00B24F73">
        <w:t xml:space="preserve">water </w:t>
      </w:r>
      <w:r w:rsidR="00443532">
        <w:t>(gas, liquid metal and molten salt) coolants will play a significant role</w:t>
      </w:r>
      <w:r w:rsidR="007C4A05">
        <w:t xml:space="preserve"> in this given the various benefits they provide</w:t>
      </w:r>
      <w:sdt>
        <w:sdtPr>
          <w:id w:val="1968856733"/>
          <w:citation/>
        </w:sdtPr>
        <w:sdtEndPr/>
        <w:sdtContent>
          <w:r w:rsidR="007C4A05">
            <w:fldChar w:fldCharType="begin"/>
          </w:r>
          <w:r w:rsidR="007C4A05">
            <w:rPr>
              <w:lang w:val="en-US"/>
            </w:rPr>
            <w:instrText xml:space="preserve"> CITATION Int23 \l 1033 </w:instrText>
          </w:r>
          <w:r w:rsidR="007C4A05">
            <w:fldChar w:fldCharType="separate"/>
          </w:r>
          <w:r w:rsidR="006E2916">
            <w:rPr>
              <w:noProof/>
              <w:lang w:val="en-US"/>
            </w:rPr>
            <w:t xml:space="preserve"> </w:t>
          </w:r>
          <w:r w:rsidR="006E2916" w:rsidRPr="006E2916">
            <w:rPr>
              <w:noProof/>
              <w:lang w:val="en-US"/>
            </w:rPr>
            <w:t>[2]</w:t>
          </w:r>
          <w:r w:rsidR="007C4A05">
            <w:fldChar w:fldCharType="end"/>
          </w:r>
        </w:sdtContent>
      </w:sdt>
      <w:r w:rsidR="00443532">
        <w:t>.</w:t>
      </w:r>
      <w:r w:rsidR="007841EF">
        <w:t xml:space="preserve"> </w:t>
      </w:r>
    </w:p>
    <w:p w14:paraId="68D896CE" w14:textId="4613D936" w:rsidR="00EA2048" w:rsidRPr="002D433F" w:rsidRDefault="00EA2048" w:rsidP="002D433F">
      <w:pPr>
        <w:pStyle w:val="BodyText"/>
      </w:pPr>
      <w:r>
        <w:lastRenderedPageBreak/>
        <w:t xml:space="preserve">Many SMR concepts exist at various levels of development, with more mature designs based on widely established technologies. Yet even these systems are likely to place additional demands on structural materials due to the more compact cores and load following. Wider advances in manufacturing, such as Hot Isostatic Pressing (HIP), Additive Manufacture (AM) and electron beam (e-beam) welding offer the ability to further accelerate deployment and reduce the cost of SMRs but utilise processes that are often not </w:t>
      </w:r>
      <w:r w:rsidR="00B24F73">
        <w:t xml:space="preserve">fully </w:t>
      </w:r>
      <w:r>
        <w:t xml:space="preserve">qualified for a nuclear environment. To support the development </w:t>
      </w:r>
      <w:r w:rsidR="00FE5FAB">
        <w:t>and deployment of SMRs globally, NRG and the European Commission</w:t>
      </w:r>
      <w:r w:rsidR="00B24F73">
        <w:t>’</w:t>
      </w:r>
      <w:r w:rsidR="00FE5FAB">
        <w:t>s JRC have brought their strong history of materials irradiation and collaboration to develop the MIDI (</w:t>
      </w:r>
      <w:r w:rsidR="00FE5FAB" w:rsidRPr="007C6A4A">
        <w:rPr>
          <w:b/>
          <w:bCs/>
        </w:rPr>
        <w:t>M</w:t>
      </w:r>
      <w:r w:rsidR="00FE5FAB" w:rsidRPr="007C6A4A">
        <w:t xml:space="preserve">aterials </w:t>
      </w:r>
      <w:r w:rsidR="00FE5FAB" w:rsidRPr="007C6A4A">
        <w:rPr>
          <w:b/>
          <w:bCs/>
        </w:rPr>
        <w:t>I</w:t>
      </w:r>
      <w:r w:rsidR="00FE5FAB" w:rsidRPr="007C6A4A">
        <w:t xml:space="preserve">rradiation </w:t>
      </w:r>
      <w:proofErr w:type="spellStart"/>
      <w:r w:rsidR="00FE5FAB" w:rsidRPr="007C6A4A">
        <w:rPr>
          <w:b/>
          <w:bCs/>
        </w:rPr>
        <w:t>D</w:t>
      </w:r>
      <w:r w:rsidR="00FE5FAB" w:rsidRPr="007C6A4A">
        <w:t>ev</w:t>
      </w:r>
      <w:r w:rsidR="00FE5FAB" w:rsidRPr="007C6A4A">
        <w:rPr>
          <w:b/>
          <w:bCs/>
        </w:rPr>
        <w:t>I</w:t>
      </w:r>
      <w:r w:rsidR="00FE5FAB" w:rsidRPr="007C6A4A">
        <w:t>ce</w:t>
      </w:r>
      <w:proofErr w:type="spellEnd"/>
      <w:r w:rsidR="00FE5FAB">
        <w:t>) facility for irradiation of SMR structural materials and materials fabricated via advanced manufacturing.</w:t>
      </w:r>
      <w:r w:rsidR="008218E8">
        <w:t xml:space="preserve"> The remainder of this paper will briefly provide an overview of materials research conducted at the High Flux Reactor (HFR) by NRG and JRC, before providing details of the MIDI facility. </w:t>
      </w:r>
    </w:p>
    <w:p w14:paraId="2942F5F0" w14:textId="4C7B1463" w:rsidR="002D433F" w:rsidRDefault="002D433F" w:rsidP="002D433F">
      <w:pPr>
        <w:pStyle w:val="Heading2"/>
        <w:numPr>
          <w:ilvl w:val="1"/>
          <w:numId w:val="10"/>
        </w:numPr>
      </w:pPr>
      <w:r>
        <w:t xml:space="preserve">History of materials </w:t>
      </w:r>
      <w:r w:rsidR="00D815A4">
        <w:t xml:space="preserve">RESEARCH </w:t>
      </w:r>
      <w:r>
        <w:t>at hfr</w:t>
      </w:r>
    </w:p>
    <w:p w14:paraId="2D1892A7" w14:textId="112725CA" w:rsidR="002D433F" w:rsidRPr="00EE0041" w:rsidRDefault="002D433F" w:rsidP="002D433F">
      <w:pPr>
        <w:pStyle w:val="Heading3"/>
      </w:pPr>
      <w:r>
        <w:t>Overview of HFR</w:t>
      </w:r>
    </w:p>
    <w:p w14:paraId="309BD426" w14:textId="04883324" w:rsidR="000B43E9" w:rsidRPr="000B43E9" w:rsidRDefault="000B43E9" w:rsidP="00875BC3">
      <w:pPr>
        <w:pStyle w:val="BodyText"/>
        <w:spacing w:after="240"/>
      </w:pPr>
      <w:r w:rsidRPr="000B43E9">
        <w:t xml:space="preserve">The High Flux Reactor (HFR) is a versatile </w:t>
      </w:r>
      <w:r w:rsidR="00B42E88">
        <w:t>45 </w:t>
      </w:r>
      <w:proofErr w:type="spellStart"/>
      <w:r w:rsidR="00B42E88">
        <w:t>MWth</w:t>
      </w:r>
      <w:proofErr w:type="spellEnd"/>
      <w:r w:rsidR="00B42E88">
        <w:t xml:space="preserve"> </w:t>
      </w:r>
      <w:r>
        <w:t xml:space="preserve">materials </w:t>
      </w:r>
      <w:r w:rsidRPr="000B43E9">
        <w:t xml:space="preserve">test reactor </w:t>
      </w:r>
      <w:r>
        <w:t xml:space="preserve">that </w:t>
      </w:r>
      <w:r w:rsidR="00B42E88">
        <w:t>began</w:t>
      </w:r>
      <w:r>
        <w:t xml:space="preserve"> operating </w:t>
      </w:r>
      <w:r w:rsidR="00B42E88">
        <w:t>in 1961</w:t>
      </w:r>
      <w:r w:rsidR="00AE2DCC">
        <w:t xml:space="preserve"> and is owned by the</w:t>
      </w:r>
      <w:r w:rsidR="00AE2DCC" w:rsidRPr="00AE2DCC">
        <w:t xml:space="preserve"> </w:t>
      </w:r>
      <w:r w:rsidR="00AE2DCC">
        <w:t>European Commission</w:t>
      </w:r>
      <w:r w:rsidR="00641D20">
        <w:t>’</w:t>
      </w:r>
      <w:r w:rsidR="00AE2DCC">
        <w:t>s Joint Research Centre Petten (</w:t>
      </w:r>
      <w:r w:rsidR="0059531F">
        <w:t>EC-</w:t>
      </w:r>
      <w:r w:rsidR="00AE2DCC">
        <w:t>JRC) and operated by</w:t>
      </w:r>
      <w:r w:rsidR="00EA3D31">
        <w:t xml:space="preserve"> the</w:t>
      </w:r>
      <w:r w:rsidR="00AE2DCC">
        <w:t xml:space="preserve"> </w:t>
      </w:r>
      <w:r w:rsidR="00AE2DCC" w:rsidRPr="00F114CD">
        <w:t xml:space="preserve">Nuclear Research &amp; consultancy Group </w:t>
      </w:r>
      <w:r w:rsidR="00AE2DCC">
        <w:t xml:space="preserve">(NRG). </w:t>
      </w:r>
      <w:r>
        <w:t xml:space="preserve">The HFR is located at the Energy and Health Campus, </w:t>
      </w:r>
      <w:r w:rsidR="00641D20">
        <w:t xml:space="preserve">Petten, the Netherlands </w:t>
      </w:r>
      <w:r>
        <w:t>a</w:t>
      </w:r>
      <w:r w:rsidR="00AE2DCC">
        <w:t>long with</w:t>
      </w:r>
      <w:r>
        <w:t xml:space="preserve"> many other nuclear facilities</w:t>
      </w:r>
      <w:r w:rsidR="0059531F">
        <w:t>,</w:t>
      </w:r>
      <w:r w:rsidR="00AE2DCC">
        <w:t xml:space="preserve"> energy and health organisations</w:t>
      </w:r>
      <w:r>
        <w:t xml:space="preserve">. </w:t>
      </w:r>
      <w:r w:rsidR="00950FE1">
        <w:t>Various re-usable facilities exist that enable irradiation of samples in both in-core and out of core positions</w:t>
      </w:r>
      <w:r w:rsidRPr="000B43E9">
        <w:t>, in the so-called Pool Side Facility (PSF) (</w:t>
      </w:r>
      <w:r>
        <w:fldChar w:fldCharType="begin"/>
      </w:r>
      <w:r>
        <w:instrText xml:space="preserve"> REF _Ref168042977 \h </w:instrText>
      </w:r>
      <w:r>
        <w:fldChar w:fldCharType="separate"/>
      </w:r>
      <w:r w:rsidR="006E2916" w:rsidRPr="0060464B">
        <w:t>F</w:t>
      </w:r>
      <w:r w:rsidR="006E2916">
        <w:t xml:space="preserve">IG </w:t>
      </w:r>
      <w:r w:rsidR="006E2916">
        <w:rPr>
          <w:noProof/>
        </w:rPr>
        <w:t>1</w:t>
      </w:r>
      <w:r>
        <w:fldChar w:fldCharType="end"/>
      </w:r>
      <w:r w:rsidRPr="000B43E9">
        <w:t>).</w:t>
      </w:r>
      <w:r w:rsidR="00B42E88">
        <w:t xml:space="preserve"> HFR is an open pool type reactor with a unique design that enables a particularly high flux that is able to meet both the needs of research as well as medical radioisotope production capabilities</w:t>
      </w:r>
      <w:sdt>
        <w:sdtPr>
          <w:id w:val="1523210582"/>
          <w:citation/>
        </w:sdtPr>
        <w:sdtEndPr/>
        <w:sdtContent>
          <w:r w:rsidR="00647D85">
            <w:fldChar w:fldCharType="begin"/>
          </w:r>
          <w:r w:rsidR="00647D85">
            <w:rPr>
              <w:lang w:val="en-US"/>
            </w:rPr>
            <w:instrText xml:space="preserve"> CITATION NRG24 \l 1033 </w:instrText>
          </w:r>
          <w:r w:rsidR="00647D85">
            <w:fldChar w:fldCharType="separate"/>
          </w:r>
          <w:r w:rsidR="006E2916">
            <w:rPr>
              <w:noProof/>
              <w:lang w:val="en-US"/>
            </w:rPr>
            <w:t xml:space="preserve"> </w:t>
          </w:r>
          <w:r w:rsidR="006E2916" w:rsidRPr="006E2916">
            <w:rPr>
              <w:noProof/>
              <w:lang w:val="en-US"/>
            </w:rPr>
            <w:t>[3]</w:t>
          </w:r>
          <w:r w:rsidR="00647D85">
            <w:fldChar w:fldCharType="end"/>
          </w:r>
        </w:sdtContent>
      </w:sdt>
      <w:r w:rsidR="00B42E88">
        <w:t xml:space="preserve">. </w:t>
      </w:r>
    </w:p>
    <w:p w14:paraId="1039C2F5" w14:textId="10CB24E1" w:rsidR="000B43E9" w:rsidRDefault="002C6DC8" w:rsidP="00755A2A">
      <w:pPr>
        <w:spacing w:line="480" w:lineRule="auto"/>
        <w:jc w:val="center"/>
        <w:rPr>
          <w:rFonts w:eastAsia="MS Mincho"/>
        </w:rPr>
      </w:pPr>
      <w:r w:rsidRPr="002C6DC8">
        <w:rPr>
          <w:rFonts w:eastAsia="MS Mincho"/>
          <w:noProof/>
        </w:rPr>
        <w:drawing>
          <wp:inline distT="0" distB="0" distL="0" distR="0" wp14:anchorId="5C503510" wp14:editId="2A6C79B5">
            <wp:extent cx="5608353" cy="2784475"/>
            <wp:effectExtent l="0" t="0" r="0" b="0"/>
            <wp:docPr id="31" name="Picture 30">
              <a:extLst xmlns:a="http://schemas.openxmlformats.org/drawingml/2006/main">
                <a:ext uri="{FF2B5EF4-FFF2-40B4-BE49-F238E27FC236}">
                  <a16:creationId xmlns:a16="http://schemas.microsoft.com/office/drawing/2014/main" id="{68B6A909-93D3-A0A2-6075-62029F341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8B6A909-93D3-A0A2-6075-62029F34182E}"/>
                        </a:ext>
                      </a:extLst>
                    </pic:cNvPr>
                    <pic:cNvPicPr>
                      <a:picLocks noChangeAspect="1"/>
                    </pic:cNvPicPr>
                  </pic:nvPicPr>
                  <pic:blipFill>
                    <a:blip r:embed="rId9"/>
                    <a:stretch>
                      <a:fillRect/>
                    </a:stretch>
                  </pic:blipFill>
                  <pic:spPr>
                    <a:xfrm>
                      <a:off x="0" y="0"/>
                      <a:ext cx="5619255" cy="2789888"/>
                    </a:xfrm>
                    <a:prstGeom prst="rect">
                      <a:avLst/>
                    </a:prstGeom>
                  </pic:spPr>
                </pic:pic>
              </a:graphicData>
            </a:graphic>
          </wp:inline>
        </w:drawing>
      </w:r>
    </w:p>
    <w:p w14:paraId="12F8EB27" w14:textId="5B1A09AD" w:rsidR="000B43E9" w:rsidRPr="0060464B" w:rsidRDefault="000B43E9" w:rsidP="000B43E9">
      <w:pPr>
        <w:pStyle w:val="Figurecaption"/>
      </w:pPr>
      <w:bookmarkStart w:id="0" w:name="_Ref168042977"/>
      <w:r w:rsidRPr="0060464B">
        <w:t>F</w:t>
      </w:r>
      <w:r>
        <w:t xml:space="preserve">IG </w:t>
      </w:r>
      <w:r w:rsidR="00A01872">
        <w:fldChar w:fldCharType="begin"/>
      </w:r>
      <w:r w:rsidR="00A01872">
        <w:instrText xml:space="preserve"> SEQ Figure \* ARABIC </w:instrText>
      </w:r>
      <w:r w:rsidR="00A01872">
        <w:fldChar w:fldCharType="separate"/>
      </w:r>
      <w:r w:rsidR="001C7D60">
        <w:rPr>
          <w:noProof/>
        </w:rPr>
        <w:t>1</w:t>
      </w:r>
      <w:r w:rsidR="00A01872">
        <w:rPr>
          <w:noProof/>
        </w:rPr>
        <w:fldChar w:fldCharType="end"/>
      </w:r>
      <w:bookmarkEnd w:id="0"/>
      <w:r w:rsidRPr="0060464B">
        <w:t xml:space="preserve">: </w:t>
      </w:r>
      <w:r w:rsidRPr="000B43E9">
        <w:t>Layout</w:t>
      </w:r>
      <w:r>
        <w:t xml:space="preserve"> of the HFR</w:t>
      </w:r>
    </w:p>
    <w:p w14:paraId="501C4C1E" w14:textId="6DBFF4CD" w:rsidR="00950FE1" w:rsidRPr="00950FE1" w:rsidRDefault="00B42E88" w:rsidP="00875BC3">
      <w:pPr>
        <w:pStyle w:val="BodyText"/>
        <w:spacing w:before="240"/>
      </w:pPr>
      <w:r>
        <w:t xml:space="preserve">The HFR has contributed to national, European and global research endeavours during its life that include the </w:t>
      </w:r>
      <w:r w:rsidRPr="000B43E9">
        <w:t>testing of fuels and materials for current and next generation nuclear reactors.</w:t>
      </w:r>
      <w:r>
        <w:t xml:space="preserve"> </w:t>
      </w:r>
      <w:r w:rsidR="00950FE1">
        <w:t>As HFR approaches the end of its operation life, design endeavours began and in spring 2023 groundwork started for the construction of the HFR replacement, the PALLAS reactor</w:t>
      </w:r>
      <w:sdt>
        <w:sdtPr>
          <w:id w:val="-1697458958"/>
          <w:citation/>
        </w:sdtPr>
        <w:sdtEndPr/>
        <w:sdtContent>
          <w:r w:rsidR="000D644A">
            <w:fldChar w:fldCharType="begin"/>
          </w:r>
          <w:r w:rsidR="000D644A">
            <w:rPr>
              <w:lang w:val="en-US"/>
            </w:rPr>
            <w:instrText xml:space="preserve"> CITATION Roe24 \l 1033 </w:instrText>
          </w:r>
          <w:r w:rsidR="000D644A">
            <w:fldChar w:fldCharType="separate"/>
          </w:r>
          <w:r w:rsidR="000D644A">
            <w:rPr>
              <w:noProof/>
              <w:lang w:val="en-US"/>
            </w:rPr>
            <w:t xml:space="preserve"> </w:t>
          </w:r>
          <w:r w:rsidR="000D644A" w:rsidRPr="000D644A">
            <w:rPr>
              <w:noProof/>
              <w:lang w:val="en-US"/>
            </w:rPr>
            <w:t>[4]</w:t>
          </w:r>
          <w:r w:rsidR="000D644A">
            <w:fldChar w:fldCharType="end"/>
          </w:r>
        </w:sdtContent>
      </w:sdt>
      <w:r w:rsidR="00950FE1">
        <w:t>.</w:t>
      </w:r>
    </w:p>
    <w:p w14:paraId="682A8588" w14:textId="0C6CE190" w:rsidR="00D815A4" w:rsidRDefault="00D815A4" w:rsidP="00D815A4">
      <w:pPr>
        <w:pStyle w:val="Heading3"/>
      </w:pPr>
      <w:r>
        <w:t>BRIEF HISTORY OF HFR IRRADIATIONS</w:t>
      </w:r>
    </w:p>
    <w:p w14:paraId="2F586468" w14:textId="24DB4F52" w:rsidR="00875BC3" w:rsidRPr="00875BC3" w:rsidRDefault="00875BC3" w:rsidP="00875BC3">
      <w:pPr>
        <w:pStyle w:val="BodyText"/>
      </w:pPr>
      <w:r>
        <w:t xml:space="preserve">NRG conducts research on behalf of the Dutch state, as part of European programmes and for commercial organisations. Alongside supporting research into more traditional nuclear systems, such as lifetime extensions in the </w:t>
      </w:r>
      <w:r w:rsidR="00641D20">
        <w:t xml:space="preserve">project </w:t>
      </w:r>
      <w:proofErr w:type="spellStart"/>
      <w:r w:rsidRPr="00052F94">
        <w:rPr>
          <w:lang w:eastAsia="ja-JP"/>
        </w:rPr>
        <w:t>STRUctural</w:t>
      </w:r>
      <w:proofErr w:type="spellEnd"/>
      <w:r w:rsidRPr="00052F94">
        <w:rPr>
          <w:lang w:eastAsia="ja-JP"/>
        </w:rPr>
        <w:t xml:space="preserve"> </w:t>
      </w:r>
      <w:proofErr w:type="spellStart"/>
      <w:r w:rsidRPr="00052F94">
        <w:rPr>
          <w:lang w:eastAsia="ja-JP"/>
        </w:rPr>
        <w:t>MATerials</w:t>
      </w:r>
      <w:proofErr w:type="spellEnd"/>
      <w:r w:rsidRPr="00052F94">
        <w:rPr>
          <w:lang w:eastAsia="ja-JP"/>
        </w:rPr>
        <w:t xml:space="preserve"> research for safe Long Term Operation of L</w:t>
      </w:r>
      <w:r>
        <w:rPr>
          <w:lang w:eastAsia="ja-JP"/>
        </w:rPr>
        <w:t xml:space="preserve">ight </w:t>
      </w:r>
      <w:r w:rsidRPr="00052F94">
        <w:rPr>
          <w:lang w:eastAsia="ja-JP"/>
        </w:rPr>
        <w:t>W</w:t>
      </w:r>
      <w:r>
        <w:rPr>
          <w:lang w:eastAsia="ja-JP"/>
        </w:rPr>
        <w:t xml:space="preserve">ater </w:t>
      </w:r>
      <w:r w:rsidRPr="00052F94">
        <w:rPr>
          <w:lang w:eastAsia="ja-JP"/>
        </w:rPr>
        <w:t>R</w:t>
      </w:r>
      <w:r>
        <w:rPr>
          <w:lang w:eastAsia="ja-JP"/>
        </w:rPr>
        <w:t>eactors (STRUMAT-LTO), NRG have conducted multiple public irradiation campaigns into advanced fuels and materials</w:t>
      </w:r>
      <w:r w:rsidR="007C3E19">
        <w:rPr>
          <w:lang w:eastAsia="ja-JP"/>
        </w:rPr>
        <w:t xml:space="preserve"> </w:t>
      </w:r>
      <w:r>
        <w:rPr>
          <w:lang w:eastAsia="ja-JP"/>
        </w:rPr>
        <w:t xml:space="preserve">since 2000 </w:t>
      </w:r>
      <w:r w:rsidR="007C3E19">
        <w:rPr>
          <w:lang w:eastAsia="ja-JP"/>
        </w:rPr>
        <w:lastRenderedPageBreak/>
        <w:t>(</w:t>
      </w:r>
      <w:r w:rsidR="00620781">
        <w:rPr>
          <w:lang w:eastAsia="ja-JP"/>
        </w:rPr>
        <w:fldChar w:fldCharType="begin"/>
      </w:r>
      <w:r w:rsidR="00620781">
        <w:rPr>
          <w:lang w:eastAsia="ja-JP"/>
        </w:rPr>
        <w:instrText xml:space="preserve"> REF _Ref168051339 \h </w:instrText>
      </w:r>
      <w:r w:rsidR="00620781">
        <w:rPr>
          <w:lang w:eastAsia="ja-JP"/>
        </w:rPr>
      </w:r>
      <w:r w:rsidR="00620781">
        <w:rPr>
          <w:lang w:eastAsia="ja-JP"/>
        </w:rPr>
        <w:fldChar w:fldCharType="separate"/>
      </w:r>
      <w:r w:rsidR="006E2916">
        <w:t xml:space="preserve">Table </w:t>
      </w:r>
      <w:r w:rsidR="006E2916">
        <w:rPr>
          <w:noProof/>
        </w:rPr>
        <w:t>1</w:t>
      </w:r>
      <w:r w:rsidR="00620781">
        <w:rPr>
          <w:lang w:eastAsia="ja-JP"/>
        </w:rPr>
        <w:fldChar w:fldCharType="end"/>
      </w:r>
      <w:r w:rsidR="007C3E19">
        <w:rPr>
          <w:lang w:eastAsia="ja-JP"/>
        </w:rPr>
        <w:t xml:space="preserve">) </w:t>
      </w:r>
      <w:r>
        <w:rPr>
          <w:lang w:eastAsia="ja-JP"/>
        </w:rPr>
        <w:t xml:space="preserve">as well as more recent endeavours to irradiate molten salts </w:t>
      </w:r>
      <w:r w:rsidR="00620781">
        <w:rPr>
          <w:lang w:eastAsia="ja-JP"/>
        </w:rPr>
        <w:t>as part of the SALIENT experiments</w:t>
      </w:r>
      <w:sdt>
        <w:sdtPr>
          <w:rPr>
            <w:lang w:eastAsia="ja-JP"/>
          </w:rPr>
          <w:id w:val="292798432"/>
          <w:citation/>
        </w:sdtPr>
        <w:sdtEndPr/>
        <w:sdtContent>
          <w:r>
            <w:rPr>
              <w:lang w:eastAsia="ja-JP"/>
            </w:rPr>
            <w:fldChar w:fldCharType="begin"/>
          </w:r>
          <w:r>
            <w:rPr>
              <w:lang w:val="en-US" w:eastAsia="ja-JP"/>
            </w:rPr>
            <w:instrText xml:space="preserve"> CITATION DAg24 \l 1033 </w:instrText>
          </w:r>
          <w:r w:rsidR="007C3E19">
            <w:rPr>
              <w:lang w:val="en-US" w:eastAsia="ja-JP"/>
            </w:rPr>
            <w:instrText xml:space="preserve"> \m Roe24 \m Han24</w:instrText>
          </w:r>
          <w:r>
            <w:rPr>
              <w:lang w:eastAsia="ja-JP"/>
            </w:rPr>
            <w:fldChar w:fldCharType="separate"/>
          </w:r>
          <w:r w:rsidR="006E2916">
            <w:rPr>
              <w:noProof/>
              <w:lang w:val="en-US" w:eastAsia="ja-JP"/>
            </w:rPr>
            <w:t xml:space="preserve"> </w:t>
          </w:r>
          <w:r w:rsidR="006E2916" w:rsidRPr="006E2916">
            <w:rPr>
              <w:noProof/>
              <w:lang w:val="en-US" w:eastAsia="ja-JP"/>
            </w:rPr>
            <w:t>[4, 5, 6]</w:t>
          </w:r>
          <w:r>
            <w:rPr>
              <w:lang w:eastAsia="ja-JP"/>
            </w:rPr>
            <w:fldChar w:fldCharType="end"/>
          </w:r>
        </w:sdtContent>
      </w:sdt>
      <w:r>
        <w:rPr>
          <w:lang w:eastAsia="ja-JP"/>
        </w:rPr>
        <w:t>.</w:t>
      </w:r>
      <w:r w:rsidR="00CC3443">
        <w:rPr>
          <w:lang w:eastAsia="ja-JP"/>
        </w:rPr>
        <w:t xml:space="preserve"> </w:t>
      </w:r>
      <w:r w:rsidR="001F0390">
        <w:rPr>
          <w:lang w:eastAsia="ja-JP"/>
        </w:rPr>
        <w:t xml:space="preserve">Most </w:t>
      </w:r>
      <w:r w:rsidR="00CC3443">
        <w:rPr>
          <w:lang w:eastAsia="ja-JP"/>
        </w:rPr>
        <w:t>of these projects are in collaboration with the JRC who bri</w:t>
      </w:r>
      <w:r w:rsidR="00CC3443" w:rsidRPr="00CC3443">
        <w:rPr>
          <w:lang w:eastAsia="ja-JP"/>
        </w:rPr>
        <w:t>ngs together multi-disciplinary expertise providing European policy support and technology innovation</w:t>
      </w:r>
      <w:r w:rsidR="00CC3443">
        <w:rPr>
          <w:lang w:eastAsia="ja-JP"/>
        </w:rPr>
        <w:t>.</w:t>
      </w:r>
    </w:p>
    <w:p w14:paraId="128E4ADB" w14:textId="77777777" w:rsidR="00D815A4" w:rsidRDefault="00D815A4" w:rsidP="00D815A4">
      <w:pPr>
        <w:pStyle w:val="BodyText"/>
      </w:pPr>
    </w:p>
    <w:p w14:paraId="02905E9E" w14:textId="43ED90F0" w:rsidR="007C3E19" w:rsidRDefault="007C3E19" w:rsidP="007C3E19">
      <w:pPr>
        <w:pStyle w:val="Caption"/>
        <w:keepNext/>
      </w:pPr>
      <w:bookmarkStart w:id="1" w:name="_Ref168051339"/>
      <w:r>
        <w:t xml:space="preserve">Table </w:t>
      </w:r>
      <w:r>
        <w:fldChar w:fldCharType="begin"/>
      </w:r>
      <w:r>
        <w:instrText xml:space="preserve"> SEQ Table \* ARABIC </w:instrText>
      </w:r>
      <w:r>
        <w:fldChar w:fldCharType="separate"/>
      </w:r>
      <w:r w:rsidR="006E2916">
        <w:rPr>
          <w:noProof/>
        </w:rPr>
        <w:t>1</w:t>
      </w:r>
      <w:r>
        <w:fldChar w:fldCharType="end"/>
      </w:r>
      <w:bookmarkEnd w:id="1"/>
      <w:r>
        <w:t>: Overview of selected Fuel and Material Irradiations</w:t>
      </w:r>
      <w:r>
        <w:rPr>
          <w:noProof/>
        </w:rPr>
        <w:t xml:space="preserve"> in HFR since 2000</w:t>
      </w:r>
    </w:p>
    <w:tbl>
      <w:tblPr>
        <w:tblStyle w:val="TableGrid"/>
        <w:tblW w:w="9175" w:type="dxa"/>
        <w:tblLook w:val="04A0" w:firstRow="1" w:lastRow="0" w:firstColumn="1" w:lastColumn="0" w:noHBand="0" w:noVBand="1"/>
      </w:tblPr>
      <w:tblGrid>
        <w:gridCol w:w="1871"/>
        <w:gridCol w:w="2665"/>
        <w:gridCol w:w="1871"/>
        <w:gridCol w:w="2768"/>
      </w:tblGrid>
      <w:tr w:rsidR="00D150D8" w:rsidRPr="00D150D8" w14:paraId="2D30606B" w14:textId="77777777" w:rsidTr="00697644">
        <w:tc>
          <w:tcPr>
            <w:tcW w:w="4536" w:type="dxa"/>
            <w:gridSpan w:val="2"/>
            <w:tcBorders>
              <w:top w:val="single" w:sz="4" w:space="0" w:color="auto"/>
              <w:bottom w:val="nil"/>
            </w:tcBorders>
          </w:tcPr>
          <w:p w14:paraId="5B7E7CDF" w14:textId="61D7D451" w:rsidR="00D150D8" w:rsidRPr="00D150D8" w:rsidRDefault="00D150D8" w:rsidP="00131794">
            <w:pPr>
              <w:pStyle w:val="BodyText"/>
              <w:ind w:firstLine="0"/>
              <w:jc w:val="center"/>
              <w:rPr>
                <w:b/>
                <w:bCs/>
              </w:rPr>
            </w:pPr>
            <w:r w:rsidRPr="00D150D8">
              <w:rPr>
                <w:b/>
                <w:bCs/>
              </w:rPr>
              <w:t>Fuel Irradiations</w:t>
            </w:r>
          </w:p>
        </w:tc>
        <w:tc>
          <w:tcPr>
            <w:tcW w:w="4639" w:type="dxa"/>
            <w:gridSpan w:val="2"/>
            <w:tcBorders>
              <w:top w:val="single" w:sz="4" w:space="0" w:color="auto"/>
              <w:bottom w:val="nil"/>
            </w:tcBorders>
          </w:tcPr>
          <w:p w14:paraId="15EC817D" w14:textId="1DF8E90D" w:rsidR="00D150D8" w:rsidRPr="00D150D8" w:rsidRDefault="00D150D8" w:rsidP="00131794">
            <w:pPr>
              <w:pStyle w:val="BodyText"/>
              <w:ind w:firstLine="0"/>
              <w:jc w:val="center"/>
              <w:rPr>
                <w:b/>
                <w:bCs/>
              </w:rPr>
            </w:pPr>
            <w:r w:rsidRPr="00D150D8">
              <w:rPr>
                <w:b/>
                <w:bCs/>
              </w:rPr>
              <w:t>Materials Irradiations</w:t>
            </w:r>
          </w:p>
        </w:tc>
      </w:tr>
      <w:tr w:rsidR="0021022A" w14:paraId="34E95DDD" w14:textId="77777777" w:rsidTr="00697644">
        <w:tc>
          <w:tcPr>
            <w:tcW w:w="1871" w:type="dxa"/>
            <w:tcBorders>
              <w:top w:val="nil"/>
              <w:bottom w:val="single" w:sz="4" w:space="0" w:color="auto"/>
              <w:right w:val="nil"/>
            </w:tcBorders>
          </w:tcPr>
          <w:p w14:paraId="0B1408A8" w14:textId="36A24A81" w:rsidR="0021022A" w:rsidRDefault="0021022A" w:rsidP="0021022A">
            <w:pPr>
              <w:pStyle w:val="BodyText"/>
              <w:ind w:firstLine="0"/>
            </w:pPr>
            <w:r>
              <w:t>Name</w:t>
            </w:r>
          </w:p>
        </w:tc>
        <w:tc>
          <w:tcPr>
            <w:tcW w:w="2665" w:type="dxa"/>
            <w:tcBorders>
              <w:top w:val="nil"/>
              <w:left w:val="nil"/>
              <w:bottom w:val="single" w:sz="4" w:space="0" w:color="auto"/>
            </w:tcBorders>
          </w:tcPr>
          <w:p w14:paraId="1A9CD147" w14:textId="0B111953" w:rsidR="0021022A" w:rsidRDefault="0021022A" w:rsidP="0021022A">
            <w:pPr>
              <w:pStyle w:val="BodyText"/>
              <w:ind w:firstLine="0"/>
              <w:jc w:val="center"/>
            </w:pPr>
            <w:r>
              <w:t>Description</w:t>
            </w:r>
          </w:p>
        </w:tc>
        <w:tc>
          <w:tcPr>
            <w:tcW w:w="1871" w:type="dxa"/>
            <w:tcBorders>
              <w:top w:val="nil"/>
              <w:bottom w:val="single" w:sz="4" w:space="0" w:color="auto"/>
              <w:right w:val="nil"/>
            </w:tcBorders>
          </w:tcPr>
          <w:p w14:paraId="0D1545C5" w14:textId="2A052C31" w:rsidR="0021022A" w:rsidRDefault="0021022A" w:rsidP="0021022A">
            <w:pPr>
              <w:pStyle w:val="BodyText"/>
              <w:ind w:firstLine="0"/>
            </w:pPr>
            <w:r>
              <w:t>Name</w:t>
            </w:r>
          </w:p>
        </w:tc>
        <w:tc>
          <w:tcPr>
            <w:tcW w:w="2768" w:type="dxa"/>
            <w:tcBorders>
              <w:top w:val="nil"/>
              <w:left w:val="nil"/>
              <w:bottom w:val="single" w:sz="4" w:space="0" w:color="auto"/>
            </w:tcBorders>
          </w:tcPr>
          <w:p w14:paraId="04225A28" w14:textId="237D1FA1" w:rsidR="0021022A" w:rsidRDefault="0021022A" w:rsidP="0021022A">
            <w:pPr>
              <w:pStyle w:val="BodyText"/>
              <w:ind w:firstLine="0"/>
              <w:jc w:val="center"/>
            </w:pPr>
            <w:r>
              <w:t>Description</w:t>
            </w:r>
          </w:p>
        </w:tc>
      </w:tr>
      <w:tr w:rsidR="0021022A" w14:paraId="5F8A8685" w14:textId="77777777" w:rsidTr="00697644">
        <w:trPr>
          <w:trHeight w:val="113"/>
        </w:trPr>
        <w:tc>
          <w:tcPr>
            <w:tcW w:w="1871" w:type="dxa"/>
            <w:tcBorders>
              <w:bottom w:val="nil"/>
              <w:right w:val="nil"/>
            </w:tcBorders>
            <w:vAlign w:val="center"/>
          </w:tcPr>
          <w:p w14:paraId="33EFB1B4" w14:textId="67D7A515" w:rsidR="0021022A" w:rsidRDefault="0021022A" w:rsidP="0021022A">
            <w:pPr>
              <w:pStyle w:val="BodyText"/>
              <w:ind w:firstLine="0"/>
              <w:jc w:val="left"/>
            </w:pPr>
            <w:r>
              <w:t>OTTO</w:t>
            </w:r>
          </w:p>
        </w:tc>
        <w:tc>
          <w:tcPr>
            <w:tcW w:w="2665" w:type="dxa"/>
            <w:tcBorders>
              <w:left w:val="nil"/>
              <w:bottom w:val="nil"/>
            </w:tcBorders>
            <w:vAlign w:val="center"/>
          </w:tcPr>
          <w:p w14:paraId="0D810F26" w14:textId="34067E88" w:rsidR="0021022A" w:rsidRDefault="0021022A" w:rsidP="0021022A">
            <w:pPr>
              <w:pStyle w:val="BodyText"/>
              <w:spacing w:after="60" w:line="240" w:lineRule="auto"/>
              <w:ind w:firstLine="0"/>
              <w:jc w:val="center"/>
            </w:pPr>
            <w:r>
              <w:t>Once through plutonium transmutation</w:t>
            </w:r>
          </w:p>
        </w:tc>
        <w:tc>
          <w:tcPr>
            <w:tcW w:w="1871" w:type="dxa"/>
            <w:tcBorders>
              <w:bottom w:val="nil"/>
              <w:right w:val="nil"/>
            </w:tcBorders>
            <w:vAlign w:val="center"/>
          </w:tcPr>
          <w:p w14:paraId="2B2EE698" w14:textId="18C602B9" w:rsidR="0021022A" w:rsidRDefault="0021022A" w:rsidP="0021022A">
            <w:pPr>
              <w:pStyle w:val="BodyText"/>
              <w:ind w:firstLine="0"/>
              <w:jc w:val="left"/>
            </w:pPr>
            <w:r>
              <w:t>CIWI</w:t>
            </w:r>
          </w:p>
        </w:tc>
        <w:tc>
          <w:tcPr>
            <w:tcW w:w="2768" w:type="dxa"/>
            <w:tcBorders>
              <w:left w:val="nil"/>
              <w:bottom w:val="nil"/>
            </w:tcBorders>
            <w:vAlign w:val="center"/>
          </w:tcPr>
          <w:p w14:paraId="41511B21" w14:textId="0182EED3" w:rsidR="0021022A" w:rsidRDefault="0021022A" w:rsidP="0021022A">
            <w:pPr>
              <w:pStyle w:val="BodyText"/>
              <w:ind w:firstLine="0"/>
              <w:jc w:val="center"/>
            </w:pPr>
            <w:r>
              <w:t>BWR core shroud welds</w:t>
            </w:r>
          </w:p>
        </w:tc>
      </w:tr>
      <w:tr w:rsidR="0021022A" w14:paraId="063827A1" w14:textId="77777777" w:rsidTr="00697644">
        <w:trPr>
          <w:trHeight w:val="113"/>
        </w:trPr>
        <w:tc>
          <w:tcPr>
            <w:tcW w:w="1871" w:type="dxa"/>
            <w:tcBorders>
              <w:top w:val="nil"/>
              <w:bottom w:val="nil"/>
              <w:right w:val="nil"/>
            </w:tcBorders>
            <w:vAlign w:val="center"/>
          </w:tcPr>
          <w:p w14:paraId="60578BBC" w14:textId="29A1E084" w:rsidR="0021022A" w:rsidRDefault="0021022A" w:rsidP="0021022A">
            <w:pPr>
              <w:pStyle w:val="BodyText"/>
              <w:ind w:firstLine="0"/>
              <w:jc w:val="left"/>
            </w:pPr>
            <w:r>
              <w:t>THORIUM CYCLE</w:t>
            </w:r>
          </w:p>
        </w:tc>
        <w:tc>
          <w:tcPr>
            <w:tcW w:w="2665" w:type="dxa"/>
            <w:tcBorders>
              <w:top w:val="nil"/>
              <w:left w:val="nil"/>
              <w:bottom w:val="nil"/>
            </w:tcBorders>
            <w:vAlign w:val="center"/>
          </w:tcPr>
          <w:p w14:paraId="199888F6" w14:textId="4AA32CED" w:rsidR="0021022A" w:rsidRDefault="0021022A" w:rsidP="0021022A">
            <w:pPr>
              <w:pStyle w:val="BodyText"/>
              <w:spacing w:after="60" w:line="240" w:lineRule="auto"/>
              <w:ind w:firstLine="0"/>
              <w:jc w:val="center"/>
            </w:pPr>
            <w:r>
              <w:t>Thorium fuel</w:t>
            </w:r>
          </w:p>
        </w:tc>
        <w:tc>
          <w:tcPr>
            <w:tcW w:w="1871" w:type="dxa"/>
            <w:tcBorders>
              <w:top w:val="nil"/>
              <w:bottom w:val="nil"/>
              <w:right w:val="nil"/>
            </w:tcBorders>
            <w:vAlign w:val="center"/>
          </w:tcPr>
          <w:p w14:paraId="0BCAFACB" w14:textId="76A4819C" w:rsidR="0021022A" w:rsidRDefault="0021022A" w:rsidP="0021022A">
            <w:pPr>
              <w:pStyle w:val="BodyText"/>
              <w:ind w:firstLine="0"/>
              <w:jc w:val="left"/>
            </w:pPr>
            <w:r>
              <w:t>IBIS</w:t>
            </w:r>
          </w:p>
        </w:tc>
        <w:tc>
          <w:tcPr>
            <w:tcW w:w="2768" w:type="dxa"/>
            <w:tcBorders>
              <w:top w:val="nil"/>
              <w:left w:val="nil"/>
              <w:bottom w:val="nil"/>
            </w:tcBorders>
            <w:vAlign w:val="center"/>
          </w:tcPr>
          <w:p w14:paraId="050404C8" w14:textId="53212549" w:rsidR="0021022A" w:rsidRDefault="0021022A" w:rsidP="0021022A">
            <w:pPr>
              <w:pStyle w:val="BodyText"/>
              <w:ind w:firstLine="0"/>
              <w:jc w:val="center"/>
            </w:pPr>
            <w:r>
              <w:t>Material in lead-bismuth</w:t>
            </w:r>
          </w:p>
        </w:tc>
      </w:tr>
      <w:tr w:rsidR="0021022A" w14:paraId="17F8CF21" w14:textId="77777777" w:rsidTr="00697644">
        <w:trPr>
          <w:trHeight w:val="113"/>
        </w:trPr>
        <w:tc>
          <w:tcPr>
            <w:tcW w:w="1871" w:type="dxa"/>
            <w:tcBorders>
              <w:top w:val="nil"/>
              <w:bottom w:val="nil"/>
              <w:right w:val="nil"/>
            </w:tcBorders>
            <w:vAlign w:val="center"/>
          </w:tcPr>
          <w:p w14:paraId="3354FD18" w14:textId="6033D5FB" w:rsidR="0021022A" w:rsidRDefault="0021022A" w:rsidP="0021022A">
            <w:pPr>
              <w:pStyle w:val="BodyText"/>
              <w:ind w:firstLine="0"/>
              <w:jc w:val="left"/>
            </w:pPr>
            <w:r>
              <w:t>EFFTRA</w:t>
            </w:r>
          </w:p>
        </w:tc>
        <w:tc>
          <w:tcPr>
            <w:tcW w:w="2665" w:type="dxa"/>
            <w:tcBorders>
              <w:top w:val="nil"/>
              <w:left w:val="nil"/>
              <w:bottom w:val="nil"/>
            </w:tcBorders>
            <w:vAlign w:val="center"/>
          </w:tcPr>
          <w:p w14:paraId="5E7E3EA2" w14:textId="4B3B0C64" w:rsidR="0021022A" w:rsidRDefault="0021022A" w:rsidP="0021022A">
            <w:pPr>
              <w:pStyle w:val="BodyText"/>
              <w:spacing w:after="60" w:line="240" w:lineRule="auto"/>
              <w:ind w:firstLine="0"/>
              <w:jc w:val="center"/>
            </w:pPr>
            <w:r>
              <w:t>Transmutation</w:t>
            </w:r>
          </w:p>
        </w:tc>
        <w:tc>
          <w:tcPr>
            <w:tcW w:w="1871" w:type="dxa"/>
            <w:tcBorders>
              <w:top w:val="nil"/>
              <w:bottom w:val="nil"/>
              <w:right w:val="nil"/>
            </w:tcBorders>
            <w:vAlign w:val="center"/>
          </w:tcPr>
          <w:p w14:paraId="2C35C08B" w14:textId="2EA4DB16" w:rsidR="0021022A" w:rsidRDefault="0021022A" w:rsidP="0021022A">
            <w:pPr>
              <w:pStyle w:val="BodyText"/>
              <w:ind w:firstLine="0"/>
              <w:jc w:val="left"/>
            </w:pPr>
            <w:r>
              <w:t>ENICKMA</w:t>
            </w:r>
          </w:p>
        </w:tc>
        <w:tc>
          <w:tcPr>
            <w:tcW w:w="2768" w:type="dxa"/>
            <w:tcBorders>
              <w:top w:val="nil"/>
              <w:left w:val="nil"/>
              <w:bottom w:val="nil"/>
            </w:tcBorders>
            <w:vAlign w:val="center"/>
          </w:tcPr>
          <w:p w14:paraId="2528595B" w14:textId="631F7CA8" w:rsidR="0021022A" w:rsidRDefault="0021022A" w:rsidP="0021022A">
            <w:pPr>
              <w:pStyle w:val="BodyText"/>
              <w:ind w:firstLine="0"/>
              <w:jc w:val="center"/>
            </w:pPr>
            <w:r>
              <w:t>Ni-based alloys</w:t>
            </w:r>
            <w:r w:rsidR="000D644A">
              <w:t xml:space="preserve"> for use in molten salt reactors</w:t>
            </w:r>
          </w:p>
        </w:tc>
      </w:tr>
      <w:tr w:rsidR="0021022A" w14:paraId="481D29F3" w14:textId="77777777" w:rsidTr="00697644">
        <w:trPr>
          <w:trHeight w:val="113"/>
        </w:trPr>
        <w:tc>
          <w:tcPr>
            <w:tcW w:w="1871" w:type="dxa"/>
            <w:tcBorders>
              <w:top w:val="nil"/>
              <w:bottom w:val="nil"/>
              <w:right w:val="nil"/>
            </w:tcBorders>
            <w:vAlign w:val="center"/>
          </w:tcPr>
          <w:p w14:paraId="16FC3A47" w14:textId="40949B8B" w:rsidR="0021022A" w:rsidRDefault="0021022A" w:rsidP="0021022A">
            <w:pPr>
              <w:pStyle w:val="BodyText"/>
              <w:ind w:firstLine="0"/>
              <w:jc w:val="left"/>
            </w:pPr>
            <w:r>
              <w:t>HELIOS</w:t>
            </w:r>
          </w:p>
        </w:tc>
        <w:tc>
          <w:tcPr>
            <w:tcW w:w="2665" w:type="dxa"/>
            <w:tcBorders>
              <w:top w:val="nil"/>
              <w:left w:val="nil"/>
              <w:bottom w:val="nil"/>
            </w:tcBorders>
            <w:vAlign w:val="center"/>
          </w:tcPr>
          <w:p w14:paraId="6554721C" w14:textId="3AC73FCE" w:rsidR="0021022A" w:rsidRDefault="0021022A" w:rsidP="0021022A">
            <w:pPr>
              <w:pStyle w:val="BodyText"/>
              <w:spacing w:after="60" w:line="240" w:lineRule="auto"/>
              <w:ind w:firstLine="0"/>
              <w:jc w:val="center"/>
            </w:pPr>
            <w:r>
              <w:t>Minor actinide fuels &amp; targets</w:t>
            </w:r>
          </w:p>
        </w:tc>
        <w:tc>
          <w:tcPr>
            <w:tcW w:w="1871" w:type="dxa"/>
            <w:tcBorders>
              <w:top w:val="nil"/>
              <w:bottom w:val="nil"/>
              <w:right w:val="nil"/>
            </w:tcBorders>
            <w:vAlign w:val="center"/>
          </w:tcPr>
          <w:p w14:paraId="73AA7E7A" w14:textId="0FEEFDD2" w:rsidR="0021022A" w:rsidRDefault="0021022A" w:rsidP="0021022A">
            <w:pPr>
              <w:pStyle w:val="BodyText"/>
              <w:ind w:firstLine="0"/>
              <w:jc w:val="left"/>
            </w:pPr>
            <w:r>
              <w:t>EXTREMAT</w:t>
            </w:r>
          </w:p>
        </w:tc>
        <w:tc>
          <w:tcPr>
            <w:tcW w:w="2768" w:type="dxa"/>
            <w:tcBorders>
              <w:top w:val="nil"/>
              <w:left w:val="nil"/>
              <w:bottom w:val="nil"/>
            </w:tcBorders>
            <w:vAlign w:val="center"/>
          </w:tcPr>
          <w:p w14:paraId="6EC2F425" w14:textId="5E8C2061" w:rsidR="0021022A" w:rsidRDefault="0021022A" w:rsidP="0021022A">
            <w:pPr>
              <w:pStyle w:val="BodyText"/>
              <w:ind w:firstLine="0"/>
              <w:jc w:val="center"/>
            </w:pPr>
            <w:r>
              <w:t>High temperature advanced materials</w:t>
            </w:r>
          </w:p>
        </w:tc>
      </w:tr>
      <w:tr w:rsidR="0021022A" w14:paraId="3D3AF2C4" w14:textId="77777777" w:rsidTr="00697644">
        <w:trPr>
          <w:trHeight w:val="113"/>
        </w:trPr>
        <w:tc>
          <w:tcPr>
            <w:tcW w:w="1871" w:type="dxa"/>
            <w:tcBorders>
              <w:top w:val="nil"/>
              <w:bottom w:val="nil"/>
              <w:right w:val="nil"/>
            </w:tcBorders>
            <w:vAlign w:val="center"/>
          </w:tcPr>
          <w:p w14:paraId="6DF973CD" w14:textId="651EBB4D" w:rsidR="0021022A" w:rsidRDefault="0021022A" w:rsidP="0021022A">
            <w:pPr>
              <w:pStyle w:val="BodyText"/>
              <w:ind w:firstLine="0"/>
              <w:jc w:val="left"/>
            </w:pPr>
            <w:r>
              <w:t>CONFIRM</w:t>
            </w:r>
          </w:p>
        </w:tc>
        <w:tc>
          <w:tcPr>
            <w:tcW w:w="2665" w:type="dxa"/>
            <w:tcBorders>
              <w:top w:val="nil"/>
              <w:left w:val="nil"/>
              <w:bottom w:val="nil"/>
            </w:tcBorders>
            <w:vAlign w:val="center"/>
          </w:tcPr>
          <w:p w14:paraId="15DC823A" w14:textId="160FFBDE" w:rsidR="0021022A" w:rsidRDefault="0021022A" w:rsidP="0021022A">
            <w:pPr>
              <w:pStyle w:val="BodyText"/>
              <w:spacing w:after="60" w:line="240" w:lineRule="auto"/>
              <w:ind w:firstLine="0"/>
              <w:jc w:val="center"/>
            </w:pPr>
            <w:r>
              <w:t>Nitride fuels</w:t>
            </w:r>
          </w:p>
        </w:tc>
        <w:tc>
          <w:tcPr>
            <w:tcW w:w="1871" w:type="dxa"/>
            <w:tcBorders>
              <w:top w:val="nil"/>
              <w:bottom w:val="nil"/>
              <w:right w:val="nil"/>
            </w:tcBorders>
            <w:vAlign w:val="center"/>
          </w:tcPr>
          <w:p w14:paraId="477C9D32" w14:textId="40C300D4" w:rsidR="0021022A" w:rsidRDefault="0021022A" w:rsidP="0021022A">
            <w:pPr>
              <w:pStyle w:val="BodyText"/>
              <w:ind w:firstLine="0"/>
              <w:jc w:val="left"/>
            </w:pPr>
            <w:r>
              <w:t>EXOTIC</w:t>
            </w:r>
          </w:p>
        </w:tc>
        <w:tc>
          <w:tcPr>
            <w:tcW w:w="2768" w:type="dxa"/>
            <w:tcBorders>
              <w:top w:val="nil"/>
              <w:left w:val="nil"/>
              <w:bottom w:val="nil"/>
            </w:tcBorders>
            <w:vAlign w:val="center"/>
          </w:tcPr>
          <w:p w14:paraId="12A774DD" w14:textId="1403ABD2" w:rsidR="0021022A" w:rsidRDefault="0021022A" w:rsidP="0021022A">
            <w:pPr>
              <w:pStyle w:val="BodyText"/>
              <w:ind w:firstLine="0"/>
              <w:jc w:val="center"/>
            </w:pPr>
            <w:r>
              <w:t>Solid tritium breeder materials</w:t>
            </w:r>
          </w:p>
        </w:tc>
      </w:tr>
      <w:tr w:rsidR="0021022A" w14:paraId="3CA35664" w14:textId="77777777" w:rsidTr="00697644">
        <w:trPr>
          <w:trHeight w:val="113"/>
        </w:trPr>
        <w:tc>
          <w:tcPr>
            <w:tcW w:w="1871" w:type="dxa"/>
            <w:tcBorders>
              <w:top w:val="nil"/>
              <w:bottom w:val="nil"/>
              <w:right w:val="nil"/>
            </w:tcBorders>
            <w:vAlign w:val="center"/>
          </w:tcPr>
          <w:p w14:paraId="1F397F3D" w14:textId="38190976" w:rsidR="0021022A" w:rsidRDefault="0021022A" w:rsidP="0021022A">
            <w:pPr>
              <w:pStyle w:val="BodyText"/>
              <w:ind w:firstLine="0"/>
              <w:jc w:val="left"/>
            </w:pPr>
            <w:r>
              <w:t>FUJI</w:t>
            </w:r>
          </w:p>
        </w:tc>
        <w:tc>
          <w:tcPr>
            <w:tcW w:w="2665" w:type="dxa"/>
            <w:tcBorders>
              <w:top w:val="nil"/>
              <w:left w:val="nil"/>
              <w:bottom w:val="nil"/>
            </w:tcBorders>
            <w:vAlign w:val="center"/>
          </w:tcPr>
          <w:p w14:paraId="7BD31755" w14:textId="2F2C0E85" w:rsidR="0021022A" w:rsidRDefault="0021022A" w:rsidP="0021022A">
            <w:pPr>
              <w:pStyle w:val="BodyText"/>
              <w:spacing w:after="60" w:line="240" w:lineRule="auto"/>
              <w:ind w:firstLine="0"/>
              <w:jc w:val="center"/>
            </w:pPr>
            <w:r>
              <w:t>Breeder reactor fuels</w:t>
            </w:r>
          </w:p>
        </w:tc>
        <w:tc>
          <w:tcPr>
            <w:tcW w:w="1871" w:type="dxa"/>
            <w:tcBorders>
              <w:top w:val="nil"/>
              <w:bottom w:val="nil"/>
              <w:right w:val="nil"/>
            </w:tcBorders>
            <w:vAlign w:val="center"/>
          </w:tcPr>
          <w:p w14:paraId="6C32FF5A" w14:textId="23308B5C" w:rsidR="0021022A" w:rsidRDefault="0021022A" w:rsidP="0021022A">
            <w:pPr>
              <w:pStyle w:val="BodyText"/>
              <w:ind w:firstLine="0"/>
              <w:jc w:val="left"/>
            </w:pPr>
            <w:r>
              <w:t>HICU</w:t>
            </w:r>
          </w:p>
        </w:tc>
        <w:tc>
          <w:tcPr>
            <w:tcW w:w="2768" w:type="dxa"/>
            <w:tcBorders>
              <w:top w:val="nil"/>
              <w:left w:val="nil"/>
              <w:bottom w:val="nil"/>
            </w:tcBorders>
            <w:vAlign w:val="center"/>
          </w:tcPr>
          <w:p w14:paraId="7B7B1A0D" w14:textId="185F1095" w:rsidR="0021022A" w:rsidRDefault="0021022A" w:rsidP="0021022A">
            <w:pPr>
              <w:pStyle w:val="BodyText"/>
              <w:ind w:firstLine="0"/>
              <w:jc w:val="center"/>
            </w:pPr>
            <w:r>
              <w:t>Breeder materials for fusion</w:t>
            </w:r>
          </w:p>
        </w:tc>
      </w:tr>
      <w:tr w:rsidR="0021022A" w14:paraId="20BDA1C9" w14:textId="77777777" w:rsidTr="00697644">
        <w:trPr>
          <w:trHeight w:val="80"/>
        </w:trPr>
        <w:tc>
          <w:tcPr>
            <w:tcW w:w="1871" w:type="dxa"/>
            <w:tcBorders>
              <w:top w:val="nil"/>
              <w:bottom w:val="nil"/>
              <w:right w:val="nil"/>
            </w:tcBorders>
            <w:vAlign w:val="center"/>
          </w:tcPr>
          <w:p w14:paraId="319A6358" w14:textId="637A77C3" w:rsidR="0021022A" w:rsidRDefault="0021022A" w:rsidP="0021022A">
            <w:pPr>
              <w:pStyle w:val="BodyText"/>
              <w:ind w:firstLine="0"/>
              <w:jc w:val="left"/>
            </w:pPr>
            <w:r>
              <w:t>MARIOS</w:t>
            </w:r>
          </w:p>
        </w:tc>
        <w:tc>
          <w:tcPr>
            <w:tcW w:w="2665" w:type="dxa"/>
            <w:tcBorders>
              <w:top w:val="nil"/>
              <w:left w:val="nil"/>
              <w:bottom w:val="nil"/>
            </w:tcBorders>
            <w:vAlign w:val="center"/>
          </w:tcPr>
          <w:p w14:paraId="0AE2048F" w14:textId="050B5B72" w:rsidR="0021022A" w:rsidRDefault="0021022A" w:rsidP="0021022A">
            <w:pPr>
              <w:pStyle w:val="BodyText"/>
              <w:spacing w:after="60" w:line="240" w:lineRule="auto"/>
              <w:ind w:firstLine="0"/>
              <w:jc w:val="center"/>
            </w:pPr>
            <w:r>
              <w:t>Minor actinide fuels</w:t>
            </w:r>
          </w:p>
        </w:tc>
        <w:tc>
          <w:tcPr>
            <w:tcW w:w="1871" w:type="dxa"/>
            <w:tcBorders>
              <w:top w:val="nil"/>
              <w:bottom w:val="nil"/>
              <w:right w:val="nil"/>
            </w:tcBorders>
            <w:vAlign w:val="center"/>
          </w:tcPr>
          <w:p w14:paraId="1BD59068" w14:textId="120BD489" w:rsidR="0021022A" w:rsidRDefault="0021022A" w:rsidP="0021022A">
            <w:pPr>
              <w:pStyle w:val="BodyText"/>
              <w:ind w:firstLine="0"/>
              <w:jc w:val="left"/>
            </w:pPr>
            <w:r>
              <w:t>INNOGRAPH</w:t>
            </w:r>
          </w:p>
        </w:tc>
        <w:tc>
          <w:tcPr>
            <w:tcW w:w="2768" w:type="dxa"/>
            <w:tcBorders>
              <w:top w:val="nil"/>
              <w:left w:val="nil"/>
              <w:bottom w:val="nil"/>
            </w:tcBorders>
            <w:vAlign w:val="center"/>
          </w:tcPr>
          <w:p w14:paraId="6B11B0EF" w14:textId="6AE54C48" w:rsidR="0021022A" w:rsidRDefault="0021022A" w:rsidP="0021022A">
            <w:pPr>
              <w:pStyle w:val="BodyText"/>
              <w:ind w:firstLine="0"/>
              <w:jc w:val="center"/>
            </w:pPr>
            <w:r>
              <w:t>HTR graphite</w:t>
            </w:r>
          </w:p>
        </w:tc>
      </w:tr>
      <w:tr w:rsidR="0021022A" w14:paraId="62678365" w14:textId="77777777" w:rsidTr="00697644">
        <w:trPr>
          <w:trHeight w:val="113"/>
        </w:trPr>
        <w:tc>
          <w:tcPr>
            <w:tcW w:w="1871" w:type="dxa"/>
            <w:tcBorders>
              <w:top w:val="nil"/>
              <w:bottom w:val="nil"/>
              <w:right w:val="nil"/>
            </w:tcBorders>
            <w:vAlign w:val="center"/>
          </w:tcPr>
          <w:p w14:paraId="3F2EDB03" w14:textId="1F7C7EE5" w:rsidR="0021022A" w:rsidRDefault="0021022A" w:rsidP="0021022A">
            <w:pPr>
              <w:pStyle w:val="BodyText"/>
              <w:ind w:firstLine="0"/>
              <w:jc w:val="left"/>
            </w:pPr>
            <w:r>
              <w:t>INET</w:t>
            </w:r>
          </w:p>
        </w:tc>
        <w:tc>
          <w:tcPr>
            <w:tcW w:w="2665" w:type="dxa"/>
            <w:tcBorders>
              <w:top w:val="nil"/>
              <w:left w:val="nil"/>
              <w:bottom w:val="nil"/>
            </w:tcBorders>
            <w:vAlign w:val="center"/>
          </w:tcPr>
          <w:p w14:paraId="0394DA82" w14:textId="64A44229" w:rsidR="0021022A" w:rsidRDefault="0021022A" w:rsidP="0021022A">
            <w:pPr>
              <w:pStyle w:val="BodyText"/>
              <w:spacing w:after="60" w:line="240" w:lineRule="auto"/>
              <w:ind w:firstLine="0"/>
              <w:jc w:val="center"/>
            </w:pPr>
            <w:r>
              <w:t>HTR-PM fuel qualification</w:t>
            </w:r>
          </w:p>
        </w:tc>
        <w:tc>
          <w:tcPr>
            <w:tcW w:w="1871" w:type="dxa"/>
            <w:tcBorders>
              <w:top w:val="nil"/>
              <w:bottom w:val="nil"/>
              <w:right w:val="nil"/>
            </w:tcBorders>
            <w:vAlign w:val="center"/>
          </w:tcPr>
          <w:p w14:paraId="008F6D98" w14:textId="12A48C36" w:rsidR="0021022A" w:rsidRDefault="0021022A" w:rsidP="0021022A">
            <w:pPr>
              <w:pStyle w:val="BodyText"/>
              <w:ind w:firstLine="0"/>
              <w:jc w:val="left"/>
            </w:pPr>
            <w:r>
              <w:t>LYRA</w:t>
            </w:r>
          </w:p>
        </w:tc>
        <w:tc>
          <w:tcPr>
            <w:tcW w:w="2768" w:type="dxa"/>
            <w:tcBorders>
              <w:top w:val="nil"/>
              <w:left w:val="nil"/>
              <w:bottom w:val="nil"/>
            </w:tcBorders>
            <w:vAlign w:val="center"/>
          </w:tcPr>
          <w:p w14:paraId="196C14D2" w14:textId="4AD349DF" w:rsidR="0021022A" w:rsidRDefault="0021022A" w:rsidP="0021022A">
            <w:pPr>
              <w:pStyle w:val="BodyText"/>
              <w:ind w:firstLine="0"/>
              <w:jc w:val="center"/>
            </w:pPr>
            <w:r>
              <w:t>Reactor Pressure Vessel Steel</w:t>
            </w:r>
            <w:r w:rsidR="00657AB6">
              <w:t>s</w:t>
            </w:r>
          </w:p>
        </w:tc>
      </w:tr>
      <w:tr w:rsidR="0021022A" w14:paraId="78DDD1FB" w14:textId="77777777" w:rsidTr="00697644">
        <w:trPr>
          <w:trHeight w:val="113"/>
        </w:trPr>
        <w:tc>
          <w:tcPr>
            <w:tcW w:w="1871" w:type="dxa"/>
            <w:tcBorders>
              <w:top w:val="nil"/>
              <w:bottom w:val="nil"/>
              <w:right w:val="nil"/>
            </w:tcBorders>
            <w:vAlign w:val="center"/>
          </w:tcPr>
          <w:p w14:paraId="3828AD7E" w14:textId="6B93478A" w:rsidR="0021022A" w:rsidRDefault="0021022A" w:rsidP="0021022A">
            <w:pPr>
              <w:pStyle w:val="BodyText"/>
              <w:ind w:firstLine="0"/>
              <w:jc w:val="left"/>
            </w:pPr>
            <w:r>
              <w:t>HFR-EU1(is)</w:t>
            </w:r>
          </w:p>
        </w:tc>
        <w:tc>
          <w:tcPr>
            <w:tcW w:w="2665" w:type="dxa"/>
            <w:tcBorders>
              <w:top w:val="nil"/>
              <w:left w:val="nil"/>
              <w:bottom w:val="nil"/>
            </w:tcBorders>
            <w:vAlign w:val="center"/>
          </w:tcPr>
          <w:p w14:paraId="0B949D3C" w14:textId="2D2FAFCA" w:rsidR="0021022A" w:rsidRDefault="0021022A" w:rsidP="0021022A">
            <w:pPr>
              <w:pStyle w:val="BodyText"/>
              <w:spacing w:after="60" w:line="240" w:lineRule="auto"/>
              <w:ind w:firstLine="0"/>
              <w:jc w:val="center"/>
            </w:pPr>
            <w:r>
              <w:t>HTR pebbles</w:t>
            </w:r>
          </w:p>
        </w:tc>
        <w:tc>
          <w:tcPr>
            <w:tcW w:w="1871" w:type="dxa"/>
            <w:tcBorders>
              <w:top w:val="nil"/>
              <w:bottom w:val="nil"/>
              <w:right w:val="nil"/>
            </w:tcBorders>
            <w:vAlign w:val="center"/>
          </w:tcPr>
          <w:p w14:paraId="5F60ADD5" w14:textId="7A85F3AE" w:rsidR="0021022A" w:rsidRDefault="0021022A" w:rsidP="0021022A">
            <w:pPr>
              <w:pStyle w:val="BodyText"/>
              <w:ind w:firstLine="0"/>
              <w:jc w:val="left"/>
            </w:pPr>
            <w:r>
              <w:t>PARIDE</w:t>
            </w:r>
          </w:p>
        </w:tc>
        <w:tc>
          <w:tcPr>
            <w:tcW w:w="2768" w:type="dxa"/>
            <w:tcBorders>
              <w:top w:val="nil"/>
              <w:left w:val="nil"/>
              <w:bottom w:val="nil"/>
            </w:tcBorders>
            <w:vAlign w:val="center"/>
          </w:tcPr>
          <w:p w14:paraId="1AF9B692" w14:textId="765F4425" w:rsidR="0021022A" w:rsidRDefault="0021022A" w:rsidP="0021022A">
            <w:pPr>
              <w:pStyle w:val="BodyText"/>
              <w:ind w:firstLine="0"/>
              <w:jc w:val="center"/>
            </w:pPr>
            <w:r>
              <w:t>ITER first wall and divertor</w:t>
            </w:r>
          </w:p>
        </w:tc>
      </w:tr>
      <w:tr w:rsidR="0021022A" w14:paraId="280FF836" w14:textId="77777777" w:rsidTr="00697644">
        <w:trPr>
          <w:trHeight w:val="113"/>
        </w:trPr>
        <w:tc>
          <w:tcPr>
            <w:tcW w:w="1871" w:type="dxa"/>
            <w:tcBorders>
              <w:top w:val="nil"/>
              <w:bottom w:val="nil"/>
              <w:right w:val="nil"/>
            </w:tcBorders>
            <w:vAlign w:val="center"/>
          </w:tcPr>
          <w:p w14:paraId="70CD8D4E" w14:textId="3C5010FD" w:rsidR="0021022A" w:rsidRDefault="0021022A" w:rsidP="0021022A">
            <w:pPr>
              <w:pStyle w:val="BodyText"/>
              <w:ind w:firstLine="0"/>
              <w:jc w:val="left"/>
            </w:pPr>
            <w:r>
              <w:t>SMART</w:t>
            </w:r>
          </w:p>
        </w:tc>
        <w:tc>
          <w:tcPr>
            <w:tcW w:w="2665" w:type="dxa"/>
            <w:tcBorders>
              <w:top w:val="nil"/>
              <w:left w:val="nil"/>
              <w:bottom w:val="nil"/>
            </w:tcBorders>
            <w:vAlign w:val="center"/>
          </w:tcPr>
          <w:p w14:paraId="18B2E4BF" w14:textId="77C6D388" w:rsidR="0021022A" w:rsidRDefault="0021022A" w:rsidP="0021022A">
            <w:pPr>
              <w:pStyle w:val="BodyText"/>
              <w:spacing w:after="60" w:line="240" w:lineRule="auto"/>
              <w:ind w:firstLine="0"/>
              <w:jc w:val="center"/>
            </w:pPr>
            <w:r>
              <w:t>Nitride fuels</w:t>
            </w:r>
          </w:p>
        </w:tc>
        <w:tc>
          <w:tcPr>
            <w:tcW w:w="1871" w:type="dxa"/>
            <w:tcBorders>
              <w:top w:val="nil"/>
              <w:bottom w:val="nil"/>
              <w:right w:val="nil"/>
            </w:tcBorders>
            <w:vAlign w:val="center"/>
          </w:tcPr>
          <w:p w14:paraId="21FE2D29" w14:textId="76C92ADB" w:rsidR="0021022A" w:rsidRDefault="00620781" w:rsidP="0021022A">
            <w:pPr>
              <w:pStyle w:val="BodyText"/>
              <w:ind w:firstLine="0"/>
              <w:jc w:val="left"/>
            </w:pPr>
            <w:r>
              <w:t>PYCASSO</w:t>
            </w:r>
          </w:p>
        </w:tc>
        <w:tc>
          <w:tcPr>
            <w:tcW w:w="2768" w:type="dxa"/>
            <w:tcBorders>
              <w:top w:val="nil"/>
              <w:left w:val="nil"/>
              <w:bottom w:val="nil"/>
            </w:tcBorders>
            <w:vAlign w:val="center"/>
          </w:tcPr>
          <w:p w14:paraId="2F173318" w14:textId="2EC15583" w:rsidR="0021022A" w:rsidRDefault="00620781" w:rsidP="0021022A">
            <w:pPr>
              <w:pStyle w:val="BodyText"/>
              <w:ind w:firstLine="0"/>
              <w:jc w:val="center"/>
            </w:pPr>
            <w:r>
              <w:t>HTR surrogate particles</w:t>
            </w:r>
          </w:p>
        </w:tc>
      </w:tr>
      <w:tr w:rsidR="00620781" w14:paraId="031E808D" w14:textId="77777777" w:rsidTr="00697644">
        <w:trPr>
          <w:trHeight w:val="113"/>
        </w:trPr>
        <w:tc>
          <w:tcPr>
            <w:tcW w:w="1871" w:type="dxa"/>
            <w:tcBorders>
              <w:top w:val="nil"/>
              <w:bottom w:val="nil"/>
              <w:right w:val="nil"/>
            </w:tcBorders>
            <w:vAlign w:val="center"/>
          </w:tcPr>
          <w:p w14:paraId="76B37166" w14:textId="7D2D2D13" w:rsidR="00620781" w:rsidRDefault="00620781" w:rsidP="00620781">
            <w:pPr>
              <w:pStyle w:val="BodyText"/>
              <w:ind w:firstLine="0"/>
              <w:jc w:val="left"/>
            </w:pPr>
            <w:r>
              <w:t>TRABANT</w:t>
            </w:r>
          </w:p>
        </w:tc>
        <w:tc>
          <w:tcPr>
            <w:tcW w:w="2665" w:type="dxa"/>
            <w:tcBorders>
              <w:top w:val="nil"/>
              <w:left w:val="nil"/>
              <w:bottom w:val="nil"/>
            </w:tcBorders>
            <w:vAlign w:val="center"/>
          </w:tcPr>
          <w:p w14:paraId="5D12526F" w14:textId="0C1F8381" w:rsidR="00620781" w:rsidRDefault="00620781" w:rsidP="00620781">
            <w:pPr>
              <w:pStyle w:val="BodyText"/>
              <w:spacing w:after="60" w:line="240" w:lineRule="auto"/>
              <w:ind w:firstLine="0"/>
              <w:jc w:val="center"/>
            </w:pPr>
            <w:r>
              <w:t>Fast breeder annular MOX</w:t>
            </w:r>
          </w:p>
        </w:tc>
        <w:tc>
          <w:tcPr>
            <w:tcW w:w="1871" w:type="dxa"/>
            <w:tcBorders>
              <w:top w:val="nil"/>
              <w:bottom w:val="nil"/>
              <w:right w:val="nil"/>
            </w:tcBorders>
            <w:vAlign w:val="center"/>
          </w:tcPr>
          <w:p w14:paraId="22F15A3F" w14:textId="5775FD5F" w:rsidR="00620781" w:rsidRDefault="00620781" w:rsidP="00620781">
            <w:pPr>
              <w:pStyle w:val="BodyText"/>
              <w:ind w:firstLine="0"/>
              <w:jc w:val="left"/>
            </w:pPr>
            <w:r>
              <w:t>SOSIA</w:t>
            </w:r>
          </w:p>
        </w:tc>
        <w:tc>
          <w:tcPr>
            <w:tcW w:w="2768" w:type="dxa"/>
            <w:tcBorders>
              <w:top w:val="nil"/>
              <w:left w:val="nil"/>
              <w:bottom w:val="nil"/>
            </w:tcBorders>
            <w:vAlign w:val="center"/>
          </w:tcPr>
          <w:p w14:paraId="201FE846" w14:textId="64861574" w:rsidR="00620781" w:rsidRDefault="00620781" w:rsidP="00620781">
            <w:pPr>
              <w:pStyle w:val="BodyText"/>
              <w:ind w:firstLine="0"/>
              <w:jc w:val="center"/>
            </w:pPr>
            <w:r>
              <w:t>9Cr creep and creep fatigue</w:t>
            </w:r>
          </w:p>
        </w:tc>
      </w:tr>
      <w:tr w:rsidR="00620781" w14:paraId="0ADE347E" w14:textId="77777777" w:rsidTr="00697644">
        <w:trPr>
          <w:trHeight w:val="113"/>
        </w:trPr>
        <w:tc>
          <w:tcPr>
            <w:tcW w:w="1871" w:type="dxa"/>
            <w:tcBorders>
              <w:top w:val="nil"/>
              <w:bottom w:val="nil"/>
              <w:right w:val="nil"/>
            </w:tcBorders>
            <w:vAlign w:val="center"/>
          </w:tcPr>
          <w:p w14:paraId="507D452F" w14:textId="7B6D664D" w:rsidR="00620781" w:rsidRDefault="00620781" w:rsidP="00620781">
            <w:pPr>
              <w:pStyle w:val="BodyText"/>
              <w:ind w:firstLine="0"/>
              <w:jc w:val="left"/>
            </w:pPr>
            <w:r>
              <w:t>SPHERE</w:t>
            </w:r>
          </w:p>
        </w:tc>
        <w:tc>
          <w:tcPr>
            <w:tcW w:w="2665" w:type="dxa"/>
            <w:tcBorders>
              <w:top w:val="nil"/>
              <w:left w:val="nil"/>
              <w:bottom w:val="nil"/>
            </w:tcBorders>
            <w:vAlign w:val="center"/>
          </w:tcPr>
          <w:p w14:paraId="70D4001A" w14:textId="4B1AAECE" w:rsidR="00620781" w:rsidRDefault="00620781" w:rsidP="00620781">
            <w:pPr>
              <w:pStyle w:val="BodyText"/>
              <w:spacing w:after="60" w:line="240" w:lineRule="auto"/>
              <w:ind w:firstLine="0"/>
              <w:jc w:val="center"/>
            </w:pPr>
            <w:r>
              <w:t>Minor actinide sphere-</w:t>
            </w:r>
            <w:proofErr w:type="spellStart"/>
            <w:r>
              <w:t>pac</w:t>
            </w:r>
            <w:proofErr w:type="spellEnd"/>
            <w:r>
              <w:t xml:space="preserve"> fuels</w:t>
            </w:r>
          </w:p>
        </w:tc>
        <w:tc>
          <w:tcPr>
            <w:tcW w:w="1871" w:type="dxa"/>
            <w:tcBorders>
              <w:top w:val="nil"/>
              <w:bottom w:val="nil"/>
              <w:right w:val="nil"/>
            </w:tcBorders>
            <w:vAlign w:val="center"/>
          </w:tcPr>
          <w:p w14:paraId="1014D218" w14:textId="06F1EB38" w:rsidR="00620781" w:rsidRDefault="00620781" w:rsidP="00620781">
            <w:pPr>
              <w:pStyle w:val="BodyText"/>
              <w:ind w:firstLine="0"/>
              <w:jc w:val="left"/>
            </w:pPr>
            <w:r>
              <w:t>SPICE</w:t>
            </w:r>
          </w:p>
        </w:tc>
        <w:tc>
          <w:tcPr>
            <w:tcW w:w="2768" w:type="dxa"/>
            <w:tcBorders>
              <w:top w:val="nil"/>
              <w:left w:val="nil"/>
              <w:bottom w:val="nil"/>
            </w:tcBorders>
            <w:vAlign w:val="center"/>
          </w:tcPr>
          <w:p w14:paraId="09CCA4E2" w14:textId="09D9824A" w:rsidR="00620781" w:rsidRDefault="00620781" w:rsidP="00620781">
            <w:pPr>
              <w:pStyle w:val="BodyText"/>
              <w:ind w:firstLine="0"/>
              <w:jc w:val="center"/>
            </w:pPr>
            <w:r>
              <w:t>RAFM steel</w:t>
            </w:r>
          </w:p>
        </w:tc>
      </w:tr>
      <w:tr w:rsidR="00620781" w14:paraId="0BBB3C56" w14:textId="77777777" w:rsidTr="00697644">
        <w:trPr>
          <w:trHeight w:val="113"/>
        </w:trPr>
        <w:tc>
          <w:tcPr>
            <w:tcW w:w="1871" w:type="dxa"/>
            <w:tcBorders>
              <w:top w:val="nil"/>
              <w:bottom w:val="nil"/>
              <w:right w:val="nil"/>
            </w:tcBorders>
            <w:vAlign w:val="center"/>
          </w:tcPr>
          <w:p w14:paraId="22EF5C5D" w14:textId="47B7EEE0" w:rsidR="00620781" w:rsidRDefault="00620781" w:rsidP="00620781">
            <w:pPr>
              <w:pStyle w:val="BodyText"/>
              <w:ind w:firstLine="0"/>
              <w:jc w:val="left"/>
            </w:pPr>
            <w:r>
              <w:t>MARINE</w:t>
            </w:r>
          </w:p>
        </w:tc>
        <w:tc>
          <w:tcPr>
            <w:tcW w:w="2665" w:type="dxa"/>
            <w:tcBorders>
              <w:top w:val="nil"/>
              <w:left w:val="nil"/>
              <w:bottom w:val="nil"/>
            </w:tcBorders>
            <w:vAlign w:val="center"/>
          </w:tcPr>
          <w:p w14:paraId="53B72597" w14:textId="602A652C" w:rsidR="00620781" w:rsidRDefault="00620781" w:rsidP="00620781">
            <w:pPr>
              <w:pStyle w:val="BodyText"/>
              <w:spacing w:after="60" w:line="240" w:lineRule="auto"/>
              <w:ind w:firstLine="0"/>
              <w:jc w:val="center"/>
            </w:pPr>
            <w:r>
              <w:t>Minor actinide pellet fuel</w:t>
            </w:r>
          </w:p>
        </w:tc>
        <w:tc>
          <w:tcPr>
            <w:tcW w:w="1871" w:type="dxa"/>
            <w:tcBorders>
              <w:top w:val="nil"/>
              <w:bottom w:val="nil"/>
              <w:right w:val="nil"/>
            </w:tcBorders>
            <w:vAlign w:val="center"/>
          </w:tcPr>
          <w:p w14:paraId="3429E879" w14:textId="7867F42C" w:rsidR="00620781" w:rsidRDefault="00620781" w:rsidP="00620781">
            <w:pPr>
              <w:pStyle w:val="BodyText"/>
              <w:ind w:firstLine="0"/>
              <w:jc w:val="left"/>
            </w:pPr>
            <w:r>
              <w:t>STROBO</w:t>
            </w:r>
          </w:p>
        </w:tc>
        <w:tc>
          <w:tcPr>
            <w:tcW w:w="2768" w:type="dxa"/>
            <w:tcBorders>
              <w:top w:val="nil"/>
              <w:left w:val="nil"/>
              <w:bottom w:val="nil"/>
            </w:tcBorders>
            <w:vAlign w:val="center"/>
          </w:tcPr>
          <w:p w14:paraId="46C842E6" w14:textId="470F2B07" w:rsidR="00620781" w:rsidRDefault="00620781" w:rsidP="00620781">
            <w:pPr>
              <w:pStyle w:val="BodyText"/>
              <w:ind w:firstLine="0"/>
              <w:jc w:val="center"/>
            </w:pPr>
            <w:r>
              <w:t>Stress relaxation of bolt materials</w:t>
            </w:r>
          </w:p>
        </w:tc>
      </w:tr>
      <w:tr w:rsidR="00620781" w14:paraId="70F8F5A5" w14:textId="77777777" w:rsidTr="00697644">
        <w:trPr>
          <w:trHeight w:val="113"/>
        </w:trPr>
        <w:tc>
          <w:tcPr>
            <w:tcW w:w="1871" w:type="dxa"/>
            <w:tcBorders>
              <w:top w:val="nil"/>
              <w:right w:val="nil"/>
            </w:tcBorders>
            <w:vAlign w:val="center"/>
          </w:tcPr>
          <w:p w14:paraId="49646062" w14:textId="03B3DD09" w:rsidR="00620781" w:rsidRDefault="00620781" w:rsidP="00620781">
            <w:pPr>
              <w:pStyle w:val="BodyText"/>
              <w:ind w:firstLine="0"/>
              <w:jc w:val="left"/>
            </w:pPr>
            <w:r>
              <w:t>Fuel CREEP</w:t>
            </w:r>
          </w:p>
        </w:tc>
        <w:tc>
          <w:tcPr>
            <w:tcW w:w="2665" w:type="dxa"/>
            <w:tcBorders>
              <w:top w:val="nil"/>
              <w:left w:val="nil"/>
            </w:tcBorders>
            <w:vAlign w:val="center"/>
          </w:tcPr>
          <w:p w14:paraId="2AD26A7E" w14:textId="6A78D125" w:rsidR="00620781" w:rsidRDefault="00620781" w:rsidP="00620781">
            <w:pPr>
              <w:pStyle w:val="BodyText"/>
              <w:spacing w:after="60" w:line="240" w:lineRule="auto"/>
              <w:ind w:firstLine="0"/>
              <w:jc w:val="center"/>
            </w:pPr>
            <w:r>
              <w:t>Online measurement of fuel creep</w:t>
            </w:r>
          </w:p>
        </w:tc>
        <w:tc>
          <w:tcPr>
            <w:tcW w:w="1871" w:type="dxa"/>
            <w:tcBorders>
              <w:top w:val="nil"/>
              <w:right w:val="nil"/>
            </w:tcBorders>
            <w:vAlign w:val="center"/>
          </w:tcPr>
          <w:p w14:paraId="654C23E9" w14:textId="2BF28CE0" w:rsidR="00620781" w:rsidRDefault="00620781" w:rsidP="00620781">
            <w:pPr>
              <w:pStyle w:val="BodyText"/>
              <w:ind w:firstLine="0"/>
              <w:jc w:val="left"/>
            </w:pPr>
            <w:r>
              <w:t>SUMO</w:t>
            </w:r>
          </w:p>
        </w:tc>
        <w:tc>
          <w:tcPr>
            <w:tcW w:w="2768" w:type="dxa"/>
            <w:tcBorders>
              <w:top w:val="nil"/>
              <w:left w:val="nil"/>
            </w:tcBorders>
            <w:vAlign w:val="center"/>
          </w:tcPr>
          <w:p w14:paraId="350A8E11" w14:textId="13134558" w:rsidR="00620781" w:rsidRDefault="00620781" w:rsidP="00620781">
            <w:pPr>
              <w:pStyle w:val="BodyText"/>
              <w:ind w:firstLine="0"/>
              <w:jc w:val="center"/>
            </w:pPr>
            <w:r>
              <w:t>9Cr steels and joints</w:t>
            </w:r>
          </w:p>
        </w:tc>
      </w:tr>
    </w:tbl>
    <w:p w14:paraId="1211260A" w14:textId="77777777" w:rsidR="00D815A4" w:rsidRPr="00D815A4" w:rsidRDefault="00D815A4" w:rsidP="00D815A4">
      <w:pPr>
        <w:pStyle w:val="BodyText"/>
      </w:pPr>
    </w:p>
    <w:p w14:paraId="05DD2108" w14:textId="28C9FE38" w:rsidR="00D815A4" w:rsidRPr="00EE0041" w:rsidRDefault="00D815A4" w:rsidP="00D815A4">
      <w:pPr>
        <w:pStyle w:val="Heading3"/>
      </w:pPr>
      <w:r>
        <w:t>LYRA EXPERIENCE</w:t>
      </w:r>
    </w:p>
    <w:p w14:paraId="6002EF73" w14:textId="3602E0B7" w:rsidR="00F120A2" w:rsidRDefault="006E2916" w:rsidP="002D433F">
      <w:pPr>
        <w:pStyle w:val="BodyText"/>
      </w:pPr>
      <w:r>
        <w:t xml:space="preserve">Between 1997 and 2018, the re-usable LYRA facility was a key research facility of the Ageing Materials European Strategy (AMES) Network. The purpose of AMES was to study the irradiation embrittlement behaviour of reactor pressure vessel </w:t>
      </w:r>
      <w:r w:rsidR="00B95582">
        <w:t xml:space="preserve">(RPV) </w:t>
      </w:r>
      <w:r>
        <w:t xml:space="preserve">steels </w:t>
      </w:r>
      <w:r w:rsidRPr="006E2916">
        <w:t>and the effectiveness of thermal annealing in mitigating</w:t>
      </w:r>
      <w:r w:rsidR="00461187">
        <w:t xml:space="preserve"> </w:t>
      </w:r>
      <w:r w:rsidRPr="006E2916">
        <w:t>RPV embrittlement</w:t>
      </w:r>
      <w:sdt>
        <w:sdtPr>
          <w:id w:val="627061986"/>
          <w:citation/>
        </w:sdtPr>
        <w:sdtEndPr/>
        <w:sdtContent>
          <w:r>
            <w:fldChar w:fldCharType="begin"/>
          </w:r>
          <w:r>
            <w:rPr>
              <w:lang w:val="en-US"/>
            </w:rPr>
            <w:instrText xml:space="preserve"> CITATION DAg24 \l 1033 </w:instrText>
          </w:r>
          <w:r>
            <w:fldChar w:fldCharType="separate"/>
          </w:r>
          <w:r>
            <w:rPr>
              <w:noProof/>
              <w:lang w:val="en-US"/>
            </w:rPr>
            <w:t xml:space="preserve"> </w:t>
          </w:r>
          <w:r w:rsidRPr="006E2916">
            <w:rPr>
              <w:noProof/>
              <w:lang w:val="en-US"/>
            </w:rPr>
            <w:t>[4]</w:t>
          </w:r>
          <w:r>
            <w:fldChar w:fldCharType="end"/>
          </w:r>
        </w:sdtContent>
      </w:sdt>
      <w:r>
        <w:t>.</w:t>
      </w:r>
      <w:r w:rsidR="00A31968">
        <w:t xml:space="preserve"> During this period, 10 irradiation campaigns were successfully completed that utilised bespoke sample holders that were housed within the LYRA facility</w:t>
      </w:r>
      <w:r w:rsidR="00F120A2">
        <w:t xml:space="preserve">, an example of the </w:t>
      </w:r>
      <w:r w:rsidR="00F120A2">
        <w:rPr>
          <w:noProof/>
        </w:rPr>
        <w:t xml:space="preserve">sample holder used in LYRA-10 is visible in </w:t>
      </w:r>
      <w:r w:rsidR="00F120A2">
        <w:rPr>
          <w:noProof/>
        </w:rPr>
        <w:fldChar w:fldCharType="begin"/>
      </w:r>
      <w:r w:rsidR="00F120A2">
        <w:rPr>
          <w:noProof/>
        </w:rPr>
        <w:instrText xml:space="preserve"> REF _Ref168053309 \h </w:instrText>
      </w:r>
      <w:r w:rsidR="00F120A2">
        <w:rPr>
          <w:noProof/>
        </w:rPr>
      </w:r>
      <w:r w:rsidR="00F120A2">
        <w:rPr>
          <w:noProof/>
        </w:rPr>
        <w:fldChar w:fldCharType="separate"/>
      </w:r>
      <w:r w:rsidR="00F120A2">
        <w:t xml:space="preserve">FIG </w:t>
      </w:r>
      <w:r w:rsidR="00F120A2">
        <w:rPr>
          <w:noProof/>
        </w:rPr>
        <w:t>2</w:t>
      </w:r>
      <w:r w:rsidR="00F120A2">
        <w:rPr>
          <w:noProof/>
        </w:rPr>
        <w:fldChar w:fldCharType="end"/>
      </w:r>
      <w:r w:rsidR="00F120A2">
        <w:rPr>
          <w:noProof/>
        </w:rPr>
        <w:t>b</w:t>
      </w:r>
      <w:r w:rsidR="00A31968">
        <w:t xml:space="preserve">. </w:t>
      </w:r>
    </w:p>
    <w:p w14:paraId="094911B1" w14:textId="77F8630A" w:rsidR="00A31968" w:rsidRDefault="00043A11" w:rsidP="002D433F">
      <w:pPr>
        <w:pStyle w:val="BodyText"/>
      </w:pPr>
      <w:r>
        <w:t>A brief summary of the LYRA experiments follows</w:t>
      </w:r>
      <w:r w:rsidR="001B4C62">
        <w:t xml:space="preserve"> to highlight the range of projects that utilised the facility</w:t>
      </w:r>
      <w:r>
        <w:t xml:space="preserve">, this is based on the recent review of </w:t>
      </w:r>
      <w:proofErr w:type="spellStart"/>
      <w:r>
        <w:t>D’Agata</w:t>
      </w:r>
      <w:proofErr w:type="spellEnd"/>
      <w:r>
        <w:t xml:space="preserve"> </w:t>
      </w:r>
      <w:r w:rsidRPr="00043A11">
        <w:rPr>
          <w:i/>
          <w:iCs/>
        </w:rPr>
        <w:t>et al.</w:t>
      </w:r>
      <w:r>
        <w:t xml:space="preserve"> which provides a more detailed content prior to reviewing the individual references</w:t>
      </w:r>
      <w:sdt>
        <w:sdtPr>
          <w:id w:val="-1189057627"/>
          <w:citation/>
        </w:sdtPr>
        <w:sdtEndPr/>
        <w:sdtContent>
          <w:r>
            <w:fldChar w:fldCharType="begin"/>
          </w:r>
          <w:r>
            <w:rPr>
              <w:lang w:val="en-US"/>
            </w:rPr>
            <w:instrText xml:space="preserve"> CITATION DAg24 \l 1033 </w:instrText>
          </w:r>
          <w:r>
            <w:fldChar w:fldCharType="separate"/>
          </w:r>
          <w:r>
            <w:rPr>
              <w:noProof/>
              <w:lang w:val="en-US"/>
            </w:rPr>
            <w:t xml:space="preserve"> </w:t>
          </w:r>
          <w:r w:rsidRPr="00043A11">
            <w:rPr>
              <w:noProof/>
              <w:lang w:val="en-US"/>
            </w:rPr>
            <w:t>[4]</w:t>
          </w:r>
          <w:r>
            <w:fldChar w:fldCharType="end"/>
          </w:r>
        </w:sdtContent>
      </w:sdt>
      <w:r>
        <w:t xml:space="preserve">. </w:t>
      </w:r>
      <w:r w:rsidR="00A31968">
        <w:t xml:space="preserve">The LYRA-1 and -2 experiments were part of the </w:t>
      </w:r>
      <w:r w:rsidR="00A31968" w:rsidRPr="00A31968">
        <w:rPr>
          <w:lang w:val="en-US"/>
        </w:rPr>
        <w:t>REFEREE and RESQUE projects</w:t>
      </w:r>
      <w:r w:rsidR="00A31968">
        <w:rPr>
          <w:lang w:val="en-US"/>
        </w:rPr>
        <w:t xml:space="preserve">, which differed from LYRA-3 which principally irradiated </w:t>
      </w:r>
      <w:r w:rsidR="00A31968" w:rsidRPr="00A31968">
        <w:rPr>
          <w:lang w:val="en-US"/>
        </w:rPr>
        <w:t>mini Charpy specimens (KLSTs</w:t>
      </w:r>
      <w:r w:rsidR="000D644A">
        <w:rPr>
          <w:lang w:val="en-US"/>
        </w:rPr>
        <w:t>, 3 x 4 27 mm</w:t>
      </w:r>
      <w:r w:rsidR="000D644A" w:rsidRPr="000D644A">
        <w:rPr>
          <w:vertAlign w:val="superscript"/>
          <w:lang w:val="en-US"/>
        </w:rPr>
        <w:t>3</w:t>
      </w:r>
      <w:r w:rsidR="00A31968" w:rsidRPr="00A31968">
        <w:rPr>
          <w:lang w:val="en-US"/>
        </w:rPr>
        <w:t>) for the MODEL ALLOY project</w:t>
      </w:r>
      <w:sdt>
        <w:sdtPr>
          <w:rPr>
            <w:lang w:val="en-US"/>
          </w:rPr>
          <w:id w:val="-1116594042"/>
          <w:citation/>
        </w:sdtPr>
        <w:sdtEndPr/>
        <w:sdtContent>
          <w:r w:rsidR="00A31968">
            <w:rPr>
              <w:lang w:val="en-US"/>
            </w:rPr>
            <w:fldChar w:fldCharType="begin"/>
          </w:r>
          <w:r w:rsidR="00F120A2">
            <w:rPr>
              <w:lang w:val="en-US"/>
            </w:rPr>
            <w:instrText xml:space="preserve">CITATION van21 \m Deb05 \l 1033 </w:instrText>
          </w:r>
          <w:r w:rsidR="00A31968">
            <w:rPr>
              <w:lang w:val="en-US"/>
            </w:rPr>
            <w:fldChar w:fldCharType="separate"/>
          </w:r>
          <w:r w:rsidR="00F120A2">
            <w:rPr>
              <w:noProof/>
              <w:lang w:val="en-US"/>
            </w:rPr>
            <w:t xml:space="preserve"> </w:t>
          </w:r>
          <w:r w:rsidR="00F120A2" w:rsidRPr="00F120A2">
            <w:rPr>
              <w:noProof/>
              <w:lang w:val="en-US"/>
            </w:rPr>
            <w:t>[7, 8]</w:t>
          </w:r>
          <w:r w:rsidR="00A31968">
            <w:rPr>
              <w:lang w:val="en-US"/>
            </w:rPr>
            <w:fldChar w:fldCharType="end"/>
          </w:r>
        </w:sdtContent>
      </w:sdt>
      <w:r w:rsidR="00A31968" w:rsidRPr="00A31968">
        <w:rPr>
          <w:lang w:val="en-US"/>
        </w:rPr>
        <w:t>.</w:t>
      </w:r>
      <w:r w:rsidR="001B4C62">
        <w:rPr>
          <w:lang w:val="en-US"/>
        </w:rPr>
        <w:t xml:space="preserve"> Irradiations for the </w:t>
      </w:r>
      <w:r w:rsidR="001B4C62" w:rsidRPr="00A31968">
        <w:rPr>
          <w:lang w:val="en-US"/>
        </w:rPr>
        <w:t>FRAME project (</w:t>
      </w:r>
      <w:proofErr w:type="spellStart"/>
      <w:r w:rsidR="001B4C62" w:rsidRPr="00A31968">
        <w:rPr>
          <w:lang w:val="en-US"/>
        </w:rPr>
        <w:t>FRActure</w:t>
      </w:r>
      <w:proofErr w:type="spellEnd"/>
      <w:r w:rsidR="001B4C62" w:rsidRPr="00A31968">
        <w:rPr>
          <w:lang w:val="en-US"/>
        </w:rPr>
        <w:t xml:space="preserve"> </w:t>
      </w:r>
      <w:proofErr w:type="spellStart"/>
      <w:r w:rsidR="001B4C62" w:rsidRPr="00A31968">
        <w:rPr>
          <w:lang w:val="en-US"/>
        </w:rPr>
        <w:t>MEchanics</w:t>
      </w:r>
      <w:proofErr w:type="spellEnd"/>
      <w:r w:rsidR="001B4C62" w:rsidRPr="00A31968">
        <w:rPr>
          <w:lang w:val="en-US"/>
        </w:rPr>
        <w:t xml:space="preserve"> based Embrittlement trend curves) </w:t>
      </w:r>
      <w:r w:rsidR="001B4C62">
        <w:rPr>
          <w:lang w:val="en-US"/>
        </w:rPr>
        <w:t>to</w:t>
      </w:r>
      <w:r w:rsidR="001B4C62" w:rsidRPr="00A31968">
        <w:rPr>
          <w:lang w:val="en-US"/>
        </w:rPr>
        <w:t xml:space="preserve"> characterization </w:t>
      </w:r>
      <w:r w:rsidR="00B95582">
        <w:rPr>
          <w:lang w:val="en-US"/>
        </w:rPr>
        <w:t>RPV</w:t>
      </w:r>
      <w:r w:rsidR="001B4C62" w:rsidRPr="00A31968">
        <w:rPr>
          <w:lang w:val="en-US"/>
        </w:rPr>
        <w:t xml:space="preserve"> materials</w:t>
      </w:r>
      <w:r w:rsidR="001B4C62">
        <w:rPr>
          <w:lang w:val="en-US"/>
        </w:rPr>
        <w:t xml:space="preserve"> were carried out in LYRA-4</w:t>
      </w:r>
      <w:sdt>
        <w:sdtPr>
          <w:rPr>
            <w:lang w:val="en-US"/>
          </w:rPr>
          <w:id w:val="-542744466"/>
          <w:citation/>
        </w:sdtPr>
        <w:sdtEndPr/>
        <w:sdtContent>
          <w:r w:rsidR="001B4C62">
            <w:rPr>
              <w:lang w:val="en-US"/>
            </w:rPr>
            <w:fldChar w:fldCharType="begin"/>
          </w:r>
          <w:r w:rsidR="001B4C62">
            <w:rPr>
              <w:lang w:val="en-US"/>
            </w:rPr>
            <w:instrText xml:space="preserve"> CITATION Val \l 1033 </w:instrText>
          </w:r>
          <w:r w:rsidR="001B4C62">
            <w:rPr>
              <w:lang w:val="en-US"/>
            </w:rPr>
            <w:fldChar w:fldCharType="separate"/>
          </w:r>
          <w:r w:rsidR="001B4C62">
            <w:rPr>
              <w:noProof/>
              <w:lang w:val="en-US"/>
            </w:rPr>
            <w:t xml:space="preserve"> </w:t>
          </w:r>
          <w:r w:rsidR="001B4C62" w:rsidRPr="001B4C62">
            <w:rPr>
              <w:noProof/>
              <w:lang w:val="en-US"/>
            </w:rPr>
            <w:t>[9]</w:t>
          </w:r>
          <w:r w:rsidR="001B4C62">
            <w:rPr>
              <w:lang w:val="en-US"/>
            </w:rPr>
            <w:fldChar w:fldCharType="end"/>
          </w:r>
        </w:sdtContent>
      </w:sdt>
      <w:r w:rsidR="001B4C62">
        <w:rPr>
          <w:lang w:val="en-US"/>
        </w:rPr>
        <w:t>.</w:t>
      </w:r>
      <w:r w:rsidR="00725797">
        <w:rPr>
          <w:lang w:val="en-US"/>
        </w:rPr>
        <w:t xml:space="preserve"> Irradiations into the influence of phosphorus on materials, as part of the PISA (</w:t>
      </w:r>
      <w:r w:rsidR="00725797">
        <w:t xml:space="preserve">Phosphorus Influence on Steels Ageing) were carried out in </w:t>
      </w:r>
      <w:r w:rsidR="00725797" w:rsidRPr="00A31968">
        <w:rPr>
          <w:lang w:val="en-US"/>
        </w:rPr>
        <w:t>LYRA-5, -6 and -7</w:t>
      </w:r>
      <w:sdt>
        <w:sdtPr>
          <w:rPr>
            <w:lang w:val="en-US"/>
          </w:rPr>
          <w:id w:val="-1619748489"/>
          <w:citation/>
        </w:sdtPr>
        <w:sdtEndPr/>
        <w:sdtContent>
          <w:r w:rsidR="00725797">
            <w:rPr>
              <w:lang w:val="en-US"/>
            </w:rPr>
            <w:fldChar w:fldCharType="begin"/>
          </w:r>
          <w:r w:rsidR="00725797">
            <w:rPr>
              <w:lang w:val="en-US"/>
            </w:rPr>
            <w:instrText xml:space="preserve"> CITATION Eur05 \l 1033 </w:instrText>
          </w:r>
          <w:r w:rsidR="00725797">
            <w:rPr>
              <w:lang w:val="en-US"/>
            </w:rPr>
            <w:fldChar w:fldCharType="separate"/>
          </w:r>
          <w:r w:rsidR="00725797">
            <w:rPr>
              <w:noProof/>
              <w:lang w:val="en-US"/>
            </w:rPr>
            <w:t xml:space="preserve"> </w:t>
          </w:r>
          <w:r w:rsidR="00725797" w:rsidRPr="00725797">
            <w:rPr>
              <w:noProof/>
              <w:lang w:val="en-US"/>
            </w:rPr>
            <w:t>[10]</w:t>
          </w:r>
          <w:r w:rsidR="00725797">
            <w:rPr>
              <w:lang w:val="en-US"/>
            </w:rPr>
            <w:fldChar w:fldCharType="end"/>
          </w:r>
        </w:sdtContent>
      </w:sdt>
      <w:r w:rsidR="00725797">
        <w:rPr>
          <w:lang w:val="en-US"/>
        </w:rPr>
        <w:t>.</w:t>
      </w:r>
      <w:r w:rsidR="00E734E2">
        <w:rPr>
          <w:lang w:val="en-US"/>
        </w:rPr>
        <w:t xml:space="preserve"> LYRA-8</w:t>
      </w:r>
      <w:r w:rsidR="00A45FC2">
        <w:rPr>
          <w:lang w:val="en-US"/>
        </w:rPr>
        <w:t xml:space="preserve"> and -9</w:t>
      </w:r>
      <w:r w:rsidR="00E734E2">
        <w:rPr>
          <w:lang w:val="en-US"/>
        </w:rPr>
        <w:t xml:space="preserve"> highlighted the versatility of the facility as it was used to support HTR structural material irradiations at elevated temperatures through the use of integrated heaters</w:t>
      </w:r>
      <w:r w:rsidR="00A45FC2">
        <w:rPr>
          <w:lang w:val="en-US"/>
        </w:rPr>
        <w:t xml:space="preserve">, and irradiation of base plate and weld material extracted from the </w:t>
      </w:r>
      <w:r w:rsidR="00B95582">
        <w:rPr>
          <w:lang w:val="en-US"/>
        </w:rPr>
        <w:t>RPV</w:t>
      </w:r>
      <w:r w:rsidR="00A45FC2">
        <w:rPr>
          <w:lang w:val="en-US"/>
        </w:rPr>
        <w:t xml:space="preserve"> of VVER-440 reactors</w:t>
      </w:r>
      <w:sdt>
        <w:sdtPr>
          <w:rPr>
            <w:lang w:val="en-US"/>
          </w:rPr>
          <w:id w:val="-959730096"/>
          <w:citation/>
        </w:sdtPr>
        <w:sdtEndPr/>
        <w:sdtContent>
          <w:r w:rsidR="00A45FC2">
            <w:rPr>
              <w:lang w:val="en-US"/>
            </w:rPr>
            <w:fldChar w:fldCharType="begin"/>
          </w:r>
          <w:r w:rsidR="00A45FC2">
            <w:rPr>
              <w:lang w:val="en-US"/>
            </w:rPr>
            <w:instrText xml:space="preserve"> CITATION DAg24 \l 1033 </w:instrText>
          </w:r>
          <w:r w:rsidR="00A45FC2">
            <w:rPr>
              <w:lang w:val="en-US"/>
            </w:rPr>
            <w:fldChar w:fldCharType="separate"/>
          </w:r>
          <w:r w:rsidR="00A45FC2">
            <w:rPr>
              <w:noProof/>
              <w:lang w:val="en-US"/>
            </w:rPr>
            <w:t xml:space="preserve"> </w:t>
          </w:r>
          <w:r w:rsidR="00A45FC2" w:rsidRPr="00A45FC2">
            <w:rPr>
              <w:noProof/>
              <w:lang w:val="en-US"/>
            </w:rPr>
            <w:t>[4]</w:t>
          </w:r>
          <w:r w:rsidR="00A45FC2">
            <w:rPr>
              <w:lang w:val="en-US"/>
            </w:rPr>
            <w:fldChar w:fldCharType="end"/>
          </w:r>
        </w:sdtContent>
      </w:sdt>
      <w:r w:rsidR="00A45FC2">
        <w:rPr>
          <w:lang w:val="en-US"/>
        </w:rPr>
        <w:t>.</w:t>
      </w:r>
    </w:p>
    <w:p w14:paraId="70BB3843" w14:textId="32F6BACC" w:rsidR="00F120A2" w:rsidRDefault="00461187" w:rsidP="00A31968">
      <w:pPr>
        <w:pStyle w:val="BodyText"/>
        <w:rPr>
          <w:lang w:val="en-US"/>
        </w:rPr>
      </w:pPr>
      <w:r>
        <w:t xml:space="preserve">LYRA-10 was the last irradiation campaign for the LYRA facility and was a joint JRC-NRG programme that irradiated more 600 specimens </w:t>
      </w:r>
      <w:r w:rsidRPr="00461187">
        <w:t xml:space="preserve">made of model base metal and weld alloys based on typical VVER-1000 </w:t>
      </w:r>
      <w:r w:rsidRPr="00896112">
        <w:t>and western Pressurized Water Reactors (PWR) RPV steels</w:t>
      </w:r>
      <w:r w:rsidR="00896112" w:rsidRPr="00896112">
        <w:t>.</w:t>
      </w:r>
      <w:r w:rsidR="00896112" w:rsidRPr="00896112">
        <w:rPr>
          <w:lang w:val="en-US"/>
        </w:rPr>
        <w:t xml:space="preserve"> Different specimens types (tensile, KLST, full-size Charpy, half-Charpy and slices for microscopy) were irradiated (see </w:t>
      </w:r>
      <w:r w:rsidR="00896112" w:rsidRPr="00896112">
        <w:rPr>
          <w:lang w:val="en-US"/>
        </w:rPr>
        <w:fldChar w:fldCharType="begin"/>
      </w:r>
      <w:r w:rsidR="00896112" w:rsidRPr="00896112">
        <w:rPr>
          <w:lang w:val="en-US"/>
        </w:rPr>
        <w:instrText xml:space="preserve"> REF _Ref168053309 \h </w:instrText>
      </w:r>
      <w:r w:rsidR="00896112">
        <w:rPr>
          <w:lang w:val="en-US"/>
        </w:rPr>
        <w:instrText xml:space="preserve"> \* MERGEFORMAT </w:instrText>
      </w:r>
      <w:r w:rsidR="00896112" w:rsidRPr="00896112">
        <w:rPr>
          <w:lang w:val="en-US"/>
        </w:rPr>
      </w:r>
      <w:r w:rsidR="00896112" w:rsidRPr="00896112">
        <w:rPr>
          <w:lang w:val="en-US"/>
        </w:rPr>
        <w:fldChar w:fldCharType="separate"/>
      </w:r>
      <w:r w:rsidR="00896112" w:rsidRPr="00896112">
        <w:t xml:space="preserve">FIG </w:t>
      </w:r>
      <w:r w:rsidR="00896112" w:rsidRPr="00896112">
        <w:rPr>
          <w:noProof/>
        </w:rPr>
        <w:t>2</w:t>
      </w:r>
      <w:r w:rsidR="00896112" w:rsidRPr="00896112">
        <w:rPr>
          <w:lang w:val="en-US"/>
        </w:rPr>
        <w:fldChar w:fldCharType="end"/>
      </w:r>
      <w:r w:rsidR="00896112" w:rsidRPr="00896112">
        <w:rPr>
          <w:lang w:val="en-US"/>
        </w:rPr>
        <w:t xml:space="preserve">b) and the unique flux of HFR resulted in the samples achieving the equivalent of </w:t>
      </w:r>
      <w:r w:rsidR="008803D2">
        <w:rPr>
          <w:lang w:val="en-US"/>
        </w:rPr>
        <w:t xml:space="preserve">more than </w:t>
      </w:r>
      <w:r w:rsidR="00896112" w:rsidRPr="00896112">
        <w:rPr>
          <w:lang w:val="en-US"/>
        </w:rPr>
        <w:t xml:space="preserve">80 years of reactor operation in order to study synergetic effects </w:t>
      </w:r>
      <w:r w:rsidR="00B95582">
        <w:rPr>
          <w:lang w:val="en-US"/>
        </w:rPr>
        <w:t xml:space="preserve">of certain alloying elements (Ni and Mn and to a smaller extent Si) </w:t>
      </w:r>
      <w:r w:rsidR="00896112" w:rsidRPr="00896112">
        <w:rPr>
          <w:lang w:val="en-US"/>
        </w:rPr>
        <w:t>on RPV embrittlement.</w:t>
      </w:r>
      <w:r w:rsidR="00896112">
        <w:rPr>
          <w:lang w:val="en-US"/>
        </w:rPr>
        <w:t xml:space="preserve"> The irradiation conditions and a description of the LYRA-10 experiment are covered in detail in the work of </w:t>
      </w:r>
      <w:proofErr w:type="spellStart"/>
      <w:r w:rsidR="00896112">
        <w:rPr>
          <w:lang w:val="en-US"/>
        </w:rPr>
        <w:t>D’Ag</w:t>
      </w:r>
      <w:r w:rsidR="001F0390">
        <w:rPr>
          <w:lang w:val="en-US"/>
        </w:rPr>
        <w:t>a</w:t>
      </w:r>
      <w:r w:rsidR="00896112">
        <w:rPr>
          <w:lang w:val="en-US"/>
        </w:rPr>
        <w:t>ta</w:t>
      </w:r>
      <w:proofErr w:type="spellEnd"/>
      <w:r w:rsidR="00896112" w:rsidRPr="00896112">
        <w:rPr>
          <w:i/>
          <w:iCs/>
          <w:lang w:val="en-US"/>
        </w:rPr>
        <w:t xml:space="preserve"> et al.</w:t>
      </w:r>
      <w:sdt>
        <w:sdtPr>
          <w:rPr>
            <w:lang w:val="en-US"/>
          </w:rPr>
          <w:id w:val="-828044471"/>
          <w:citation/>
        </w:sdtPr>
        <w:sdtEndPr/>
        <w:sdtContent>
          <w:r w:rsidR="00896112">
            <w:rPr>
              <w:lang w:val="en-US"/>
            </w:rPr>
            <w:fldChar w:fldCharType="begin"/>
          </w:r>
          <w:r w:rsidR="00896112">
            <w:rPr>
              <w:lang w:val="en-US"/>
            </w:rPr>
            <w:instrText xml:space="preserve"> CITATION DAg24 \l 1033 </w:instrText>
          </w:r>
          <w:r w:rsidR="00896112">
            <w:rPr>
              <w:lang w:val="en-US"/>
            </w:rPr>
            <w:fldChar w:fldCharType="separate"/>
          </w:r>
          <w:r w:rsidR="00896112">
            <w:rPr>
              <w:noProof/>
              <w:lang w:val="en-US"/>
            </w:rPr>
            <w:t xml:space="preserve"> </w:t>
          </w:r>
          <w:r w:rsidR="00896112" w:rsidRPr="00896112">
            <w:rPr>
              <w:noProof/>
              <w:lang w:val="en-US"/>
            </w:rPr>
            <w:t>[4]</w:t>
          </w:r>
          <w:r w:rsidR="00896112">
            <w:rPr>
              <w:lang w:val="en-US"/>
            </w:rPr>
            <w:fldChar w:fldCharType="end"/>
          </w:r>
        </w:sdtContent>
      </w:sdt>
      <w:r w:rsidR="00896112">
        <w:rPr>
          <w:lang w:val="en-US"/>
        </w:rPr>
        <w:t xml:space="preserve">. </w:t>
      </w:r>
    </w:p>
    <w:p w14:paraId="14654142" w14:textId="77777777" w:rsidR="006E2916" w:rsidRDefault="006E2916" w:rsidP="002D433F">
      <w:pPr>
        <w:pStyle w:val="BodyText"/>
      </w:pPr>
    </w:p>
    <w:p w14:paraId="77F1262E" w14:textId="57DCFA83" w:rsidR="006E2916" w:rsidRDefault="006D0250" w:rsidP="00755A2A">
      <w:pPr>
        <w:pStyle w:val="BodyText"/>
        <w:keepNext/>
        <w:ind w:firstLine="0"/>
        <w:jc w:val="center"/>
      </w:pPr>
      <w:r>
        <w:rPr>
          <w:noProof/>
        </w:rPr>
        <w:drawing>
          <wp:inline distT="0" distB="0" distL="0" distR="0" wp14:anchorId="2C8DD638" wp14:editId="6BD93FA0">
            <wp:extent cx="5715468" cy="54438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628" cy="5461168"/>
                    </a:xfrm>
                    <a:prstGeom prst="rect">
                      <a:avLst/>
                    </a:prstGeom>
                    <a:noFill/>
                  </pic:spPr>
                </pic:pic>
              </a:graphicData>
            </a:graphic>
          </wp:inline>
        </w:drawing>
      </w:r>
    </w:p>
    <w:p w14:paraId="115F4AA0" w14:textId="052F4ABD" w:rsidR="006E2916" w:rsidRPr="007E7EF1" w:rsidRDefault="006E2916" w:rsidP="001C7D60">
      <w:pPr>
        <w:pStyle w:val="Caption"/>
        <w:jc w:val="center"/>
        <w:rPr>
          <w:i/>
          <w:iCs/>
          <w:noProof/>
        </w:rPr>
      </w:pPr>
      <w:bookmarkStart w:id="2" w:name="_Ref168053309"/>
      <w:r w:rsidRPr="001C7D60">
        <w:rPr>
          <w:i/>
          <w:iCs/>
        </w:rPr>
        <w:t>F</w:t>
      </w:r>
      <w:r w:rsidR="009C021D" w:rsidRPr="001C7D60">
        <w:rPr>
          <w:i/>
          <w:iCs/>
        </w:rPr>
        <w:t>IG</w:t>
      </w:r>
      <w:r w:rsidRPr="001C7D60">
        <w:rPr>
          <w:i/>
          <w:iCs/>
        </w:rPr>
        <w:t xml:space="preserve"> </w:t>
      </w:r>
      <w:r w:rsidRPr="001C7D60">
        <w:rPr>
          <w:i/>
          <w:iCs/>
        </w:rPr>
        <w:fldChar w:fldCharType="begin"/>
      </w:r>
      <w:r w:rsidRPr="001C7D60">
        <w:rPr>
          <w:i/>
          <w:iCs/>
        </w:rPr>
        <w:instrText xml:space="preserve"> SEQ Figure \* ARABIC </w:instrText>
      </w:r>
      <w:r w:rsidRPr="001C7D60">
        <w:rPr>
          <w:i/>
          <w:iCs/>
        </w:rPr>
        <w:fldChar w:fldCharType="separate"/>
      </w:r>
      <w:r w:rsidR="001C7D60" w:rsidRPr="001C7D60">
        <w:rPr>
          <w:i/>
          <w:iCs/>
          <w:noProof/>
        </w:rPr>
        <w:t>2</w:t>
      </w:r>
      <w:r w:rsidRPr="001C7D60">
        <w:rPr>
          <w:i/>
          <w:iCs/>
        </w:rPr>
        <w:fldChar w:fldCharType="end"/>
      </w:r>
      <w:bookmarkEnd w:id="2"/>
      <w:r w:rsidRPr="001C7D60">
        <w:rPr>
          <w:i/>
          <w:iCs/>
        </w:rPr>
        <w:t>. a)</w:t>
      </w:r>
      <w:r w:rsidRPr="001C7D60">
        <w:rPr>
          <w:i/>
          <w:iCs/>
          <w:noProof/>
        </w:rPr>
        <w:t xml:space="preserve"> Schematic view of the LYRA facility; b)</w:t>
      </w:r>
      <w:r w:rsidR="009C021D" w:rsidRPr="001C7D60">
        <w:rPr>
          <w:i/>
          <w:iCs/>
          <w:noProof/>
        </w:rPr>
        <w:t xml:space="preserve"> loading of the sample holder in preparation for LYRA-10</w:t>
      </w:r>
      <w:sdt>
        <w:sdtPr>
          <w:rPr>
            <w:i/>
            <w:iCs/>
            <w:noProof/>
          </w:rPr>
          <w:id w:val="779606494"/>
          <w:citation/>
        </w:sdtPr>
        <w:sdtEndPr/>
        <w:sdtContent>
          <w:r w:rsidR="009C021D" w:rsidRPr="001C7D60">
            <w:rPr>
              <w:i/>
              <w:iCs/>
              <w:noProof/>
            </w:rPr>
            <w:fldChar w:fldCharType="begin"/>
          </w:r>
          <w:r w:rsidR="009C021D" w:rsidRPr="001C7D60">
            <w:rPr>
              <w:i/>
              <w:iCs/>
              <w:noProof/>
            </w:rPr>
            <w:instrText xml:space="preserve"> CITATION DAg24 \l 1033 </w:instrText>
          </w:r>
          <w:r w:rsidR="009C021D" w:rsidRPr="001C7D60">
            <w:rPr>
              <w:i/>
              <w:iCs/>
              <w:noProof/>
            </w:rPr>
            <w:fldChar w:fldCharType="separate"/>
          </w:r>
          <w:r w:rsidR="009C021D" w:rsidRPr="001C7D60">
            <w:rPr>
              <w:i/>
              <w:iCs/>
              <w:noProof/>
            </w:rPr>
            <w:t xml:space="preserve"> [4]</w:t>
          </w:r>
          <w:r w:rsidR="009C021D" w:rsidRPr="001C7D60">
            <w:rPr>
              <w:i/>
              <w:iCs/>
              <w:noProof/>
            </w:rPr>
            <w:fldChar w:fldCharType="end"/>
          </w:r>
        </w:sdtContent>
      </w:sdt>
      <w:r w:rsidR="00D94F18">
        <w:rPr>
          <w:i/>
          <w:iCs/>
          <w:noProof/>
        </w:rPr>
        <w:t>, courtesy of EC-JRC and NRG PALLAS</w:t>
      </w:r>
    </w:p>
    <w:p w14:paraId="3651078B" w14:textId="018112C4" w:rsidR="00D815A4" w:rsidRDefault="00D815A4" w:rsidP="00D815A4">
      <w:pPr>
        <w:pStyle w:val="Heading2"/>
        <w:numPr>
          <w:ilvl w:val="1"/>
          <w:numId w:val="10"/>
        </w:numPr>
      </w:pPr>
      <w:r>
        <w:t>MIDI</w:t>
      </w:r>
      <w:r w:rsidR="00204750">
        <w:t xml:space="preserve"> overview</w:t>
      </w:r>
    </w:p>
    <w:p w14:paraId="1E0FA9E0" w14:textId="54BA0191" w:rsidR="00F120A2" w:rsidRPr="00F120A2" w:rsidRDefault="00F120A2" w:rsidP="004A36E0">
      <w:pPr>
        <w:pStyle w:val="BodyText"/>
      </w:pPr>
      <w:r>
        <w:t xml:space="preserve">The irradiation experiments undertaken </w:t>
      </w:r>
      <w:r w:rsidR="004A36E0">
        <w:t xml:space="preserve">by NRG and in collaboration between NRG and JRC have resulted in thousands of samples for Post Irradiation Examination (PIE) and provided </w:t>
      </w:r>
      <w:r>
        <w:t xml:space="preserve">significant experience in the design and operation of a re-usable facility </w:t>
      </w:r>
      <w:r w:rsidR="004A36E0">
        <w:t>in HFR</w:t>
      </w:r>
      <w:r>
        <w:t>. This experience is being used as the basis for the design of a new facility to meet the immediate and increasing needs of the SMR and advanced manufacturing communities</w:t>
      </w:r>
      <w:r w:rsidR="004A36E0">
        <w:t xml:space="preserve"> given the demands that will be placed on structural materials.</w:t>
      </w:r>
      <w:r w:rsidR="00853A0F">
        <w:t xml:space="preserve"> Concept design activities are scheduled to complete in 2024, with a target date for first irradiation of the facility during 2026.</w:t>
      </w:r>
    </w:p>
    <w:p w14:paraId="43005582" w14:textId="66AFA20F" w:rsidR="00D815A4" w:rsidRDefault="00204750" w:rsidP="00D815A4">
      <w:pPr>
        <w:pStyle w:val="Heading3"/>
        <w:numPr>
          <w:ilvl w:val="2"/>
          <w:numId w:val="34"/>
        </w:numPr>
      </w:pPr>
      <w:r>
        <w:t xml:space="preserve">MIDI </w:t>
      </w:r>
      <w:r w:rsidR="00D815A4">
        <w:t>Capabilities</w:t>
      </w:r>
    </w:p>
    <w:p w14:paraId="23F902A8" w14:textId="3874A86A" w:rsidR="00073BD0" w:rsidRDefault="00E86AF7" w:rsidP="00073BD0">
      <w:pPr>
        <w:pStyle w:val="BodyText"/>
      </w:pPr>
      <w:r>
        <w:t xml:space="preserve">The capabilities of the MIDI facility are captured as a series of </w:t>
      </w:r>
      <w:r w:rsidR="0036346A">
        <w:t>needs</w:t>
      </w:r>
      <w:r>
        <w:t xml:space="preserve"> that </w:t>
      </w:r>
      <w:r w:rsidR="0036346A">
        <w:t xml:space="preserve">have influenced the concept design activities and </w:t>
      </w:r>
      <w:r>
        <w:t>span Irradiation Requirements, Functional Requirements and Sample Test needs</w:t>
      </w:r>
      <w:r w:rsidR="009E661D">
        <w:t>.</w:t>
      </w:r>
      <w:r>
        <w:t xml:space="preserve"> </w:t>
      </w:r>
      <w:r w:rsidR="009E661D">
        <w:t>A</w:t>
      </w:r>
      <w:r>
        <w:t xml:space="preserve">ll of these </w:t>
      </w:r>
      <w:r w:rsidR="009E661D">
        <w:t>needs</w:t>
      </w:r>
      <w:r>
        <w:t xml:space="preserve"> have </w:t>
      </w:r>
      <w:r w:rsidR="009E661D">
        <w:t xml:space="preserve">been defined based on </w:t>
      </w:r>
      <w:r w:rsidR="006E787C">
        <w:t xml:space="preserve">operating </w:t>
      </w:r>
      <w:r>
        <w:t xml:space="preserve">experience from the LYRA </w:t>
      </w:r>
      <w:r w:rsidR="009E661D">
        <w:t xml:space="preserve">facility, NRG’s wider irradiation </w:t>
      </w:r>
      <w:r w:rsidR="006E787C">
        <w:t>activities</w:t>
      </w:r>
      <w:r w:rsidR="009E661D">
        <w:t>,</w:t>
      </w:r>
      <w:r>
        <w:t xml:space="preserve"> and </w:t>
      </w:r>
      <w:r w:rsidR="009E661D">
        <w:t xml:space="preserve">the </w:t>
      </w:r>
      <w:r>
        <w:t xml:space="preserve">predicted needs of the </w:t>
      </w:r>
      <w:r w:rsidR="009E661D">
        <w:t>advanced reactor</w:t>
      </w:r>
      <w:r>
        <w:t xml:space="preserve"> sector.</w:t>
      </w:r>
      <w:r w:rsidR="009775CA">
        <w:t xml:space="preserve"> </w:t>
      </w:r>
      <w:r w:rsidR="006E787C">
        <w:t>A key need for the MIDI facility is that is re-usable, and has a design life of at least 5-years, as well as:</w:t>
      </w:r>
    </w:p>
    <w:p w14:paraId="659618AD" w14:textId="77777777" w:rsidR="0036346A" w:rsidRDefault="0036346A" w:rsidP="00073BD0">
      <w:pPr>
        <w:pStyle w:val="BodyText"/>
      </w:pPr>
    </w:p>
    <w:p w14:paraId="3920D4FE" w14:textId="1E063AFC" w:rsidR="006B5644" w:rsidRDefault="0036346A" w:rsidP="0036346A">
      <w:pPr>
        <w:pStyle w:val="ListEmdash"/>
        <w:ind w:left="709"/>
        <w:rPr>
          <w:lang w:val="en-US"/>
        </w:rPr>
      </w:pPr>
      <w:r w:rsidRPr="0036346A">
        <w:lastRenderedPageBreak/>
        <w:t>Nominal</w:t>
      </w:r>
      <w:r w:rsidRPr="0036346A">
        <w:rPr>
          <w:lang w:val="en-US"/>
        </w:rPr>
        <w:t xml:space="preserve"> irradiation temperature(s): 280 – 310°C</w:t>
      </w:r>
      <w:r>
        <w:rPr>
          <w:lang w:val="en-US"/>
        </w:rPr>
        <w:t xml:space="preserve"> with an inert atmosphere.</w:t>
      </w:r>
    </w:p>
    <w:p w14:paraId="5976AC16" w14:textId="70118B91" w:rsidR="0036346A" w:rsidRPr="0036346A" w:rsidRDefault="0036346A" w:rsidP="0036346A">
      <w:pPr>
        <w:pStyle w:val="ListEmdash"/>
        <w:ind w:left="709"/>
        <w:rPr>
          <w:lang w:val="en-US"/>
        </w:rPr>
      </w:pPr>
      <w:r w:rsidRPr="0036346A">
        <w:rPr>
          <w:lang w:val="en-US"/>
        </w:rPr>
        <w:t>Temperature gradients: ± 15°C</w:t>
      </w:r>
      <w:r>
        <w:rPr>
          <w:lang w:val="en-US"/>
        </w:rPr>
        <w:t>.</w:t>
      </w:r>
    </w:p>
    <w:p w14:paraId="38B4B277" w14:textId="6C243874" w:rsidR="0036346A" w:rsidRPr="0036346A" w:rsidRDefault="0036346A" w:rsidP="0036346A">
      <w:pPr>
        <w:pStyle w:val="ListEmdash"/>
        <w:ind w:left="709"/>
        <w:rPr>
          <w:lang w:val="en-US"/>
        </w:rPr>
      </w:pPr>
      <w:r w:rsidRPr="0036346A">
        <w:rPr>
          <w:lang w:val="en-US"/>
        </w:rPr>
        <w:t>Minimum fluence (E&gt; 1 MeV): 6 x 10</w:t>
      </w:r>
      <w:r w:rsidRPr="0036346A">
        <w:rPr>
          <w:vertAlign w:val="superscript"/>
          <w:lang w:val="en-US"/>
        </w:rPr>
        <w:t>19</w:t>
      </w:r>
      <w:r w:rsidRPr="0036346A">
        <w:rPr>
          <w:lang w:val="en-US"/>
        </w:rPr>
        <w:t xml:space="preserve"> n/cm</w:t>
      </w:r>
      <w:r w:rsidRPr="0036346A">
        <w:rPr>
          <w:vertAlign w:val="superscript"/>
          <w:lang w:val="en-US"/>
        </w:rPr>
        <w:t>2</w:t>
      </w:r>
      <w:r w:rsidRPr="0036346A">
        <w:rPr>
          <w:lang w:val="en-US"/>
        </w:rPr>
        <w:t>.</w:t>
      </w:r>
    </w:p>
    <w:p w14:paraId="072F5D58" w14:textId="77218F65" w:rsidR="0036346A" w:rsidRPr="0036346A" w:rsidRDefault="0036346A" w:rsidP="0036346A">
      <w:pPr>
        <w:pStyle w:val="ListEmdash"/>
        <w:ind w:left="709"/>
        <w:rPr>
          <w:lang w:val="en-US"/>
        </w:rPr>
      </w:pPr>
      <w:r w:rsidRPr="0036346A">
        <w:rPr>
          <w:lang w:val="en-US"/>
        </w:rPr>
        <w:t>Axial fluence gradients: Maximum 20%, depending on the length of the sample holder</w:t>
      </w:r>
      <w:r>
        <w:rPr>
          <w:lang w:val="en-US"/>
        </w:rPr>
        <w:t>.</w:t>
      </w:r>
    </w:p>
    <w:p w14:paraId="3F1CB1D7" w14:textId="5D872062" w:rsidR="0036346A" w:rsidRPr="0036346A" w:rsidRDefault="0036346A" w:rsidP="0036346A">
      <w:pPr>
        <w:pStyle w:val="ListEmdash"/>
        <w:ind w:left="709"/>
        <w:rPr>
          <w:lang w:val="en-US"/>
        </w:rPr>
      </w:pPr>
      <w:r w:rsidRPr="0036346A">
        <w:rPr>
          <w:lang w:val="en-US"/>
        </w:rPr>
        <w:t>Fluence gradients in the samples: &lt;5%</w:t>
      </w:r>
      <w:r>
        <w:rPr>
          <w:lang w:val="en-US"/>
        </w:rPr>
        <w:t>.</w:t>
      </w:r>
    </w:p>
    <w:p w14:paraId="7583E482" w14:textId="19399F0E" w:rsidR="0036346A" w:rsidRPr="0036346A" w:rsidRDefault="0036346A" w:rsidP="0036346A">
      <w:pPr>
        <w:pStyle w:val="ListEmdash"/>
        <w:ind w:left="709"/>
        <w:rPr>
          <w:lang w:val="en-US"/>
        </w:rPr>
      </w:pPr>
      <w:r w:rsidRPr="0036346A">
        <w:rPr>
          <w:lang w:val="en-US"/>
        </w:rPr>
        <w:t>Online temperature measurement at multiple defined locations with several thermocouples throughout the experiment.</w:t>
      </w:r>
    </w:p>
    <w:p w14:paraId="5FE2386D" w14:textId="5297A0F2" w:rsidR="0036346A" w:rsidRPr="0036346A" w:rsidRDefault="0036346A" w:rsidP="0036346A">
      <w:pPr>
        <w:pStyle w:val="ListEmdash"/>
        <w:ind w:left="709"/>
        <w:rPr>
          <w:lang w:val="en-US"/>
        </w:rPr>
      </w:pPr>
      <w:r w:rsidRPr="0036346A">
        <w:rPr>
          <w:lang w:val="en-US"/>
        </w:rPr>
        <w:t>Inclusion of activation monitor sets throughout the capsule for dosimetry analysis after irradiation.</w:t>
      </w:r>
    </w:p>
    <w:p w14:paraId="61902A8C" w14:textId="77777777" w:rsidR="0036346A" w:rsidRDefault="0036346A" w:rsidP="0036346A">
      <w:pPr>
        <w:pStyle w:val="ListEmdash"/>
        <w:numPr>
          <w:ilvl w:val="0"/>
          <w:numId w:val="0"/>
        </w:numPr>
        <w:ind w:left="1287" w:hanging="360"/>
        <w:rPr>
          <w:lang w:val="en-US"/>
        </w:rPr>
      </w:pPr>
    </w:p>
    <w:p w14:paraId="557851E8" w14:textId="08BB77D9" w:rsidR="00970817" w:rsidRDefault="006E787C" w:rsidP="006E787C">
      <w:pPr>
        <w:pStyle w:val="BodyText"/>
      </w:pPr>
      <w:r>
        <w:t xml:space="preserve">As is obvious from the </w:t>
      </w:r>
      <w:r w:rsidRPr="009775CA">
        <w:t xml:space="preserve">requirements of the MIDI facility, which are compulsory to be met, </w:t>
      </w:r>
      <w:r>
        <w:t>these were developed with the intention of supporting</w:t>
      </w:r>
      <w:r w:rsidRPr="009775CA">
        <w:t xml:space="preserve"> structural material qualification of </w:t>
      </w:r>
      <w:r>
        <w:t xml:space="preserve">Light Water </w:t>
      </w:r>
      <w:r w:rsidRPr="009775CA">
        <w:t xml:space="preserve">SMRs, irradiation testing of advanced manufactured components, ageing studies of RPV and reactor internals steels for LTO </w:t>
      </w:r>
      <w:r w:rsidR="006B2A7A">
        <w:t xml:space="preserve">of current LWRs </w:t>
      </w:r>
      <w:r w:rsidRPr="009775CA">
        <w:t>and research reactor materials</w:t>
      </w:r>
      <w:r>
        <w:t xml:space="preserve"> in mind</w:t>
      </w:r>
      <w:r w:rsidRPr="009775CA">
        <w:t>.</w:t>
      </w:r>
      <w:r>
        <w:t xml:space="preserve"> Yet, </w:t>
      </w:r>
      <w:r w:rsidR="00970817">
        <w:t>the concept design has incorporated</w:t>
      </w:r>
      <w:r>
        <w:t xml:space="preserve"> additional features, including</w:t>
      </w:r>
      <w:r w:rsidR="00970817">
        <w:t xml:space="preserve"> heaters to enable materials to be irradiated at higher temperatures of between 500°C and 900°C</w:t>
      </w:r>
      <w:r w:rsidR="00920029">
        <w:t xml:space="preserve"> (maximum irradiation temperature will be confirmed during </w:t>
      </w:r>
      <w:r w:rsidR="003C6397">
        <w:t>d</w:t>
      </w:r>
      <w:r w:rsidR="00920029">
        <w:t>etail</w:t>
      </w:r>
      <w:r w:rsidR="003C6397">
        <w:t>ed</w:t>
      </w:r>
      <w:r w:rsidR="00920029">
        <w:t xml:space="preserve"> </w:t>
      </w:r>
      <w:r w:rsidR="003C6397">
        <w:t>d</w:t>
      </w:r>
      <w:r w:rsidR="00920029">
        <w:t>esign)</w:t>
      </w:r>
      <w:r w:rsidR="00970817">
        <w:t xml:space="preserve"> which provides the ability for MIDI to support </w:t>
      </w:r>
      <w:r w:rsidR="00970817" w:rsidRPr="0036346A">
        <w:t>liquid metal</w:t>
      </w:r>
      <w:r w:rsidR="00970817">
        <w:t>, molten salt</w:t>
      </w:r>
      <w:r w:rsidR="00970817" w:rsidRPr="0036346A">
        <w:t xml:space="preserve"> cooled </w:t>
      </w:r>
      <w:r w:rsidR="00970817">
        <w:t xml:space="preserve">and high temperature gas-cooled </w:t>
      </w:r>
      <w:r w:rsidR="00970817" w:rsidRPr="0036346A">
        <w:t>SMRs</w:t>
      </w:r>
      <w:r w:rsidR="00970817">
        <w:t xml:space="preserve">, as well as </w:t>
      </w:r>
      <w:r w:rsidR="00970817" w:rsidRPr="0036346A">
        <w:t>perform in-situ thermal annealing studies on RPV steels.</w:t>
      </w:r>
      <w:r w:rsidR="00015F97">
        <w:t xml:space="preserve"> </w:t>
      </w:r>
      <w:r>
        <w:t>The MIDI concept design is also considering multiple temperature zones per irradiation capsule to provide additional flexibility and demonstrate the impact of temperature on materials during irradiation.</w:t>
      </w:r>
    </w:p>
    <w:p w14:paraId="70C843C6" w14:textId="181DC93D" w:rsidR="00920029" w:rsidRDefault="00920029" w:rsidP="006E787C">
      <w:pPr>
        <w:pStyle w:val="BodyText"/>
      </w:pPr>
      <w:r>
        <w:t>For MIDI, various sample holders are considered to gain as much information about the materials under irradiation as possible. This led to an additional requirement for MIDI that specifies the number and geometry of sample types required.</w:t>
      </w:r>
    </w:p>
    <w:p w14:paraId="1C424E01" w14:textId="77777777" w:rsidR="00920029" w:rsidRDefault="00920029" w:rsidP="006E787C">
      <w:pPr>
        <w:pStyle w:val="BodyText"/>
      </w:pPr>
    </w:p>
    <w:p w14:paraId="041CF56D" w14:textId="249B5DB3" w:rsidR="00920029" w:rsidRPr="00DD7D5A" w:rsidRDefault="00920029" w:rsidP="00920029">
      <w:pPr>
        <w:pStyle w:val="ListEmdash"/>
        <w:ind w:left="709"/>
        <w:rPr>
          <w:lang w:val="fr-FR"/>
        </w:rPr>
      </w:pPr>
      <w:r w:rsidRPr="00DD7D5A">
        <w:rPr>
          <w:lang w:val="fr-FR"/>
        </w:rPr>
        <w:t xml:space="preserve">24 </w:t>
      </w:r>
      <w:proofErr w:type="spellStart"/>
      <w:r w:rsidRPr="00DD7D5A">
        <w:rPr>
          <w:lang w:val="fr-FR"/>
        </w:rPr>
        <w:t>Tensile</w:t>
      </w:r>
      <w:proofErr w:type="spellEnd"/>
      <w:r w:rsidRPr="00DD7D5A">
        <w:rPr>
          <w:lang w:val="fr-FR"/>
        </w:rPr>
        <w:t xml:space="preserve">/Low Cycle Fatigue </w:t>
      </w:r>
      <w:proofErr w:type="spellStart"/>
      <w:r w:rsidRPr="00DD7D5A">
        <w:rPr>
          <w:lang w:val="fr-FR"/>
        </w:rPr>
        <w:t>specimens</w:t>
      </w:r>
      <w:proofErr w:type="spellEnd"/>
      <w:r w:rsidRPr="00DD7D5A">
        <w:rPr>
          <w:lang w:val="fr-FR"/>
        </w:rPr>
        <w:t xml:space="preserve"> (Ø6 x 45 mm).</w:t>
      </w:r>
    </w:p>
    <w:p w14:paraId="29EB73F3" w14:textId="23C3B746" w:rsidR="00920029" w:rsidRPr="00920029" w:rsidRDefault="00920029" w:rsidP="00920029">
      <w:pPr>
        <w:pStyle w:val="ListEmdash"/>
        <w:ind w:left="709"/>
        <w:rPr>
          <w:lang w:val="en-US"/>
        </w:rPr>
      </w:pPr>
      <w:r w:rsidRPr="00920029">
        <w:rPr>
          <w:lang w:val="en-US"/>
        </w:rPr>
        <w:t xml:space="preserve">24 </w:t>
      </w:r>
      <w:r>
        <w:rPr>
          <w:lang w:val="en-US"/>
        </w:rPr>
        <w:t>M</w:t>
      </w:r>
      <w:r w:rsidRPr="00920029">
        <w:rPr>
          <w:lang w:val="en-US"/>
        </w:rPr>
        <w:t>ini-CT specimens (10 x 9.6 x 4 mm); or 6 sub-size CT specimens (25 x 24 x 10 mm)</w:t>
      </w:r>
      <w:r>
        <w:rPr>
          <w:lang w:val="en-US"/>
        </w:rPr>
        <w:t>.</w:t>
      </w:r>
    </w:p>
    <w:p w14:paraId="51B76A6A" w14:textId="78E32902" w:rsidR="00920029" w:rsidRPr="00920029" w:rsidRDefault="00920029" w:rsidP="00920029">
      <w:pPr>
        <w:pStyle w:val="ListEmdash"/>
        <w:ind w:left="709"/>
        <w:rPr>
          <w:lang w:val="nl-NL"/>
        </w:rPr>
      </w:pPr>
      <w:r w:rsidRPr="00920029">
        <w:rPr>
          <w:lang w:val="nl-NL"/>
        </w:rPr>
        <w:t xml:space="preserve">24 KLST </w:t>
      </w:r>
      <w:proofErr w:type="spellStart"/>
      <w:r w:rsidRPr="00920029">
        <w:rPr>
          <w:lang w:val="nl-NL"/>
        </w:rPr>
        <w:t>specimens</w:t>
      </w:r>
      <w:proofErr w:type="spellEnd"/>
      <w:r w:rsidRPr="00920029">
        <w:rPr>
          <w:lang w:val="nl-NL"/>
        </w:rPr>
        <w:t xml:space="preserve"> (3 x 4 x 27 mm).</w:t>
      </w:r>
    </w:p>
    <w:p w14:paraId="5FF056ED" w14:textId="0A24A93D" w:rsidR="00920029" w:rsidRPr="00920029" w:rsidRDefault="00920029" w:rsidP="00920029">
      <w:pPr>
        <w:pStyle w:val="ListEmdash"/>
        <w:ind w:left="709"/>
      </w:pPr>
      <w:r w:rsidRPr="00920029">
        <w:t>20 Small Punch Test discs (Ø8 x 0.5 mm).</w:t>
      </w:r>
    </w:p>
    <w:p w14:paraId="190F5D5A" w14:textId="1D80398F" w:rsidR="00920029" w:rsidRPr="00920029" w:rsidRDefault="00920029" w:rsidP="00920029">
      <w:pPr>
        <w:pStyle w:val="ListEmdash"/>
        <w:ind w:left="709"/>
        <w:rPr>
          <w:lang w:val="en-US"/>
        </w:rPr>
      </w:pPr>
      <w:r w:rsidRPr="00920029">
        <w:rPr>
          <w:lang w:val="en-US"/>
        </w:rPr>
        <w:t>6 Thermal diffusivity discs (Ø8 x 1 mm)</w:t>
      </w:r>
      <w:r>
        <w:rPr>
          <w:lang w:val="en-US"/>
        </w:rPr>
        <w:t>.</w:t>
      </w:r>
    </w:p>
    <w:p w14:paraId="2DC1509F" w14:textId="5B2CEEA0" w:rsidR="00920029" w:rsidRDefault="00920029" w:rsidP="00920029">
      <w:pPr>
        <w:pStyle w:val="ListEmdash"/>
        <w:ind w:left="709"/>
      </w:pPr>
      <w:r w:rsidRPr="00920029">
        <w:rPr>
          <w:lang w:val="en-US"/>
        </w:rPr>
        <w:t>6 Thermal</w:t>
      </w:r>
      <w:r>
        <w:t xml:space="preserve"> expansion cylinders (Ø5 x 25 mm).</w:t>
      </w:r>
    </w:p>
    <w:p w14:paraId="092C1F34" w14:textId="220BE87E" w:rsidR="00D815A4" w:rsidRDefault="00204750" w:rsidP="00073BD0">
      <w:pPr>
        <w:pStyle w:val="Heading3"/>
        <w:numPr>
          <w:ilvl w:val="2"/>
          <w:numId w:val="34"/>
        </w:numPr>
      </w:pPr>
      <w:r>
        <w:t xml:space="preserve">MIDI </w:t>
      </w:r>
      <w:r w:rsidR="00D815A4">
        <w:t>Design</w:t>
      </w:r>
    </w:p>
    <w:p w14:paraId="5507D437" w14:textId="54338BBD" w:rsidR="00024403" w:rsidRPr="004A5E14" w:rsidRDefault="001C3508" w:rsidP="00AE2DCC">
      <w:pPr>
        <w:pStyle w:val="BodyText"/>
      </w:pPr>
      <w:r>
        <w:t xml:space="preserve">The MIDI facility will be designed to occupy two PSF positions (10 and 11) of the HFR. </w:t>
      </w:r>
      <w:r w:rsidR="005D6B38">
        <w:t xml:space="preserve">Similar to LYRA, it is planned to use the </w:t>
      </w:r>
      <w:r w:rsidR="000C7F32">
        <w:t>PSF</w:t>
      </w:r>
      <w:r w:rsidR="005D6B38">
        <w:t xml:space="preserve"> trolleys to adjust the distance between irradiation capsule from the core in order to tune the neutron flux on the sample. MIDI facility allows the periodic rotation of the sample holder (cycle by cycle) to achieve uniform distribution of neutron fluence on the sample holder. Unlike LYRA, MIDI facility will use the existing </w:t>
      </w:r>
      <w:r w:rsidR="00D105AD">
        <w:t xml:space="preserve">HFR connection head and </w:t>
      </w:r>
      <w:r w:rsidR="005D6B38">
        <w:t xml:space="preserve">irradiation devices, namely </w:t>
      </w:r>
      <w:r w:rsidR="00AE2DCC">
        <w:t>TRIO</w:t>
      </w:r>
      <w:r w:rsidR="005D6B38">
        <w:t xml:space="preserve"> </w:t>
      </w:r>
      <w:r w:rsidR="00AE2DCC">
        <w:t>(</w:t>
      </w:r>
      <w:r w:rsidR="00AE2DCC" w:rsidRPr="00AE2DCC">
        <w:fldChar w:fldCharType="begin"/>
      </w:r>
      <w:r w:rsidR="00AE2DCC" w:rsidRPr="00AE2DCC">
        <w:instrText xml:space="preserve"> REF _Ref168583442 \h  \* MERGEFORMAT </w:instrText>
      </w:r>
      <w:r w:rsidR="00AE2DCC" w:rsidRPr="00AE2DCC">
        <w:fldChar w:fldCharType="separate"/>
      </w:r>
      <w:r w:rsidR="00AE2DCC" w:rsidRPr="00AE2DCC">
        <w:t xml:space="preserve">FIG </w:t>
      </w:r>
      <w:r w:rsidR="00AE2DCC" w:rsidRPr="00AE2DCC">
        <w:rPr>
          <w:noProof/>
        </w:rPr>
        <w:t>3</w:t>
      </w:r>
      <w:r w:rsidR="00AE2DCC" w:rsidRPr="00AE2DCC">
        <w:fldChar w:fldCharType="end"/>
      </w:r>
      <w:r w:rsidR="00AE2DCC">
        <w:t>b) or REFA (</w:t>
      </w:r>
      <w:r w:rsidR="00AE2DCC" w:rsidRPr="00AE2DCC">
        <w:fldChar w:fldCharType="begin"/>
      </w:r>
      <w:r w:rsidR="00AE2DCC" w:rsidRPr="00AE2DCC">
        <w:instrText xml:space="preserve"> REF _Ref168583442 \h  \* MERGEFORMAT </w:instrText>
      </w:r>
      <w:r w:rsidR="00AE2DCC" w:rsidRPr="00AE2DCC">
        <w:fldChar w:fldCharType="separate"/>
      </w:r>
      <w:r w:rsidR="00AE2DCC" w:rsidRPr="00AE2DCC">
        <w:t xml:space="preserve">FIG </w:t>
      </w:r>
      <w:r w:rsidR="00AE2DCC" w:rsidRPr="00AE2DCC">
        <w:rPr>
          <w:noProof/>
        </w:rPr>
        <w:t>3</w:t>
      </w:r>
      <w:r w:rsidR="00AE2DCC" w:rsidRPr="00AE2DCC">
        <w:fldChar w:fldCharType="end"/>
      </w:r>
      <w:r w:rsidR="00AE2DCC" w:rsidRPr="00AE2DCC">
        <w:t>c</w:t>
      </w:r>
      <w:r w:rsidR="00AE2DCC">
        <w:t xml:space="preserve">) </w:t>
      </w:r>
      <w:r w:rsidR="000C7F32">
        <w:t xml:space="preserve">capsules </w:t>
      </w:r>
      <w:r w:rsidR="005D6B38">
        <w:t>as a starting point</w:t>
      </w:r>
      <w:r w:rsidR="00D105AD">
        <w:t xml:space="preserve"> in the design</w:t>
      </w:r>
      <w:r w:rsidR="005D6B38">
        <w:t>,</w:t>
      </w:r>
      <w:r w:rsidR="00D105AD">
        <w:t xml:space="preserve"> </w:t>
      </w:r>
      <w:r w:rsidR="005D6B38">
        <w:t>to minimise the design effort</w:t>
      </w:r>
      <w:r w:rsidR="00D105AD">
        <w:t xml:space="preserve">. The sample holders can be designed as per the irradiation requirements to fit the selected irradiation </w:t>
      </w:r>
      <w:r w:rsidR="000C7F32">
        <w:t>capsule</w:t>
      </w:r>
      <w:r w:rsidR="00D105AD">
        <w:t xml:space="preserve">. For example, the REFA </w:t>
      </w:r>
      <w:r w:rsidR="000C7F32">
        <w:t>capsule</w:t>
      </w:r>
      <w:r w:rsidR="00D105AD">
        <w:t xml:space="preserve"> allows inclusion of large number of samples at a selected irradiation temperature, while the azimuthal gradients in temperature and fluences will be high. On the other hand, </w:t>
      </w:r>
      <w:r w:rsidR="000C7F32">
        <w:t>the use</w:t>
      </w:r>
      <w:r w:rsidR="00D105AD">
        <w:t xml:space="preserve"> of </w:t>
      </w:r>
      <w:r w:rsidR="000C7F32">
        <w:t xml:space="preserve">a </w:t>
      </w:r>
      <w:r w:rsidR="00D105AD">
        <w:t xml:space="preserve">TRIO </w:t>
      </w:r>
      <w:r w:rsidR="000C7F32">
        <w:t>capsule</w:t>
      </w:r>
      <w:r w:rsidR="00D105AD">
        <w:t xml:space="preserve"> will allow implementation of different irradiation conditions in each of the 3 irradiation legs. Unlike LYRA, the heaters in MIDI will be decoupled from the re-usable facility and included in sample holder to prevent their failures determining operational life of MIDI.</w:t>
      </w:r>
      <w:r w:rsidR="00FE1434">
        <w:t xml:space="preserve"> MIDI’s instrumentation will</w:t>
      </w:r>
      <w:r w:rsidR="00697644">
        <w:t xml:space="preserve"> also</w:t>
      </w:r>
      <w:r w:rsidR="00FE1434">
        <w:t xml:space="preserve"> be integrated in the sample holder. </w:t>
      </w:r>
      <w:r w:rsidR="008B30F0">
        <w:t>Instrumentation might comprise</w:t>
      </w:r>
      <w:r w:rsidR="00FE1434">
        <w:t xml:space="preserve">: thermocouples </w:t>
      </w:r>
      <w:r w:rsidR="008B30F0">
        <w:t>(</w:t>
      </w:r>
      <w:r w:rsidR="00FE1434">
        <w:t>up to a maximum of 48 for the “REFA” configuration</w:t>
      </w:r>
      <w:r w:rsidR="008B30F0">
        <w:t>),</w:t>
      </w:r>
      <w:r w:rsidR="00FE1434">
        <w:t xml:space="preserve"> flux monitor</w:t>
      </w:r>
      <w:r w:rsidR="008B30F0">
        <w:t>s, pressure transducers (LVDT base technology) etc…</w:t>
      </w:r>
      <w:r w:rsidR="00D105AD">
        <w:t xml:space="preserve"> </w:t>
      </w:r>
      <w:r>
        <w:t xml:space="preserve">The first concept design drawings of the MIDI facility can be seen in </w:t>
      </w:r>
      <w:r w:rsidRPr="00824929">
        <w:fldChar w:fldCharType="begin"/>
      </w:r>
      <w:r w:rsidRPr="00824929">
        <w:instrText xml:space="preserve"> REF _Ref168583442 \h </w:instrText>
      </w:r>
      <w:r w:rsidR="00824929" w:rsidRPr="00824929">
        <w:instrText xml:space="preserve"> \* MERGEFORMAT </w:instrText>
      </w:r>
      <w:r w:rsidRPr="00824929">
        <w:fldChar w:fldCharType="separate"/>
      </w:r>
      <w:r w:rsidRPr="00824929">
        <w:t xml:space="preserve">FIG </w:t>
      </w:r>
      <w:r w:rsidRPr="00824929">
        <w:rPr>
          <w:noProof/>
        </w:rPr>
        <w:t>3</w:t>
      </w:r>
      <w:r w:rsidRPr="00824929">
        <w:fldChar w:fldCharType="end"/>
      </w:r>
      <w:r w:rsidR="00824929">
        <w:t>(a-c)</w:t>
      </w:r>
      <w:r>
        <w:t xml:space="preserve">. </w:t>
      </w:r>
    </w:p>
    <w:p w14:paraId="0FA48482" w14:textId="00D81886" w:rsidR="001C7D60" w:rsidRDefault="00697644" w:rsidP="00920029">
      <w:pPr>
        <w:pStyle w:val="BodyText"/>
        <w:keepNext/>
        <w:ind w:firstLine="0"/>
        <w:jc w:val="center"/>
      </w:pPr>
      <w:r>
        <w:rPr>
          <w:noProof/>
        </w:rPr>
        <w:lastRenderedPageBreak/>
        <w:drawing>
          <wp:inline distT="0" distB="0" distL="0" distR="0" wp14:anchorId="41A50582" wp14:editId="686A3D1A">
            <wp:extent cx="5697316" cy="40006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236" cy="4021628"/>
                    </a:xfrm>
                    <a:prstGeom prst="rect">
                      <a:avLst/>
                    </a:prstGeom>
                    <a:noFill/>
                  </pic:spPr>
                </pic:pic>
              </a:graphicData>
            </a:graphic>
          </wp:inline>
        </w:drawing>
      </w:r>
    </w:p>
    <w:p w14:paraId="2E15F13F" w14:textId="46D7223E" w:rsidR="00073BD0" w:rsidRDefault="001C7D60" w:rsidP="001C7D60">
      <w:pPr>
        <w:pStyle w:val="Caption"/>
        <w:jc w:val="center"/>
        <w:rPr>
          <w:i/>
          <w:iCs/>
        </w:rPr>
      </w:pPr>
      <w:bookmarkStart w:id="3" w:name="_Ref168583442"/>
      <w:r w:rsidRPr="001C7D60">
        <w:rPr>
          <w:i/>
          <w:iCs/>
        </w:rPr>
        <w:t xml:space="preserve">FIG </w:t>
      </w:r>
      <w:r w:rsidRPr="001C7D60">
        <w:rPr>
          <w:i/>
          <w:iCs/>
        </w:rPr>
        <w:fldChar w:fldCharType="begin"/>
      </w:r>
      <w:r w:rsidRPr="001C7D60">
        <w:rPr>
          <w:i/>
          <w:iCs/>
        </w:rPr>
        <w:instrText xml:space="preserve"> SEQ Figure \* ARABIC </w:instrText>
      </w:r>
      <w:r w:rsidRPr="001C7D60">
        <w:rPr>
          <w:i/>
          <w:iCs/>
        </w:rPr>
        <w:fldChar w:fldCharType="separate"/>
      </w:r>
      <w:r w:rsidRPr="001C7D60">
        <w:rPr>
          <w:i/>
          <w:iCs/>
          <w:noProof/>
        </w:rPr>
        <w:t>3</w:t>
      </w:r>
      <w:r w:rsidRPr="001C7D60">
        <w:rPr>
          <w:i/>
          <w:iCs/>
        </w:rPr>
        <w:fldChar w:fldCharType="end"/>
      </w:r>
      <w:bookmarkEnd w:id="3"/>
      <w:r w:rsidRPr="001C7D60">
        <w:rPr>
          <w:i/>
          <w:iCs/>
        </w:rPr>
        <w:t>.</w:t>
      </w:r>
      <w:r>
        <w:rPr>
          <w:i/>
          <w:iCs/>
        </w:rPr>
        <w:t xml:space="preserve"> Concept sketches of </w:t>
      </w:r>
      <w:r w:rsidR="00652F55">
        <w:rPr>
          <w:i/>
          <w:iCs/>
        </w:rPr>
        <w:t xml:space="preserve">MIDI </w:t>
      </w:r>
      <w:r w:rsidR="00D13792">
        <w:rPr>
          <w:i/>
          <w:iCs/>
        </w:rPr>
        <w:t>facility</w:t>
      </w:r>
      <w:r w:rsidR="00652F55">
        <w:rPr>
          <w:i/>
          <w:iCs/>
        </w:rPr>
        <w:t xml:space="preserve">, a) full concept based on TRIO facility; b) </w:t>
      </w:r>
      <w:r w:rsidR="00D13792">
        <w:rPr>
          <w:i/>
          <w:iCs/>
        </w:rPr>
        <w:t xml:space="preserve">cross section of 3-legged facility (TRIO) with </w:t>
      </w:r>
      <w:r w:rsidR="00652F55">
        <w:rPr>
          <w:i/>
          <w:iCs/>
        </w:rPr>
        <w:t xml:space="preserve">available space for samples </w:t>
      </w:r>
      <w:r w:rsidR="00D13792">
        <w:rPr>
          <w:i/>
          <w:iCs/>
        </w:rPr>
        <w:t xml:space="preserve">and sample holders </w:t>
      </w:r>
      <w:r w:rsidR="00652F55">
        <w:rPr>
          <w:i/>
          <w:iCs/>
        </w:rPr>
        <w:t xml:space="preserve">in </w:t>
      </w:r>
      <w:r w:rsidR="00D13792">
        <w:rPr>
          <w:i/>
          <w:iCs/>
        </w:rPr>
        <w:t>white</w:t>
      </w:r>
      <w:r w:rsidR="00652F55">
        <w:rPr>
          <w:i/>
          <w:iCs/>
        </w:rPr>
        <w:t>; c)</w:t>
      </w:r>
      <w:r w:rsidR="00652F55" w:rsidRPr="00652F55">
        <w:rPr>
          <w:i/>
          <w:iCs/>
        </w:rPr>
        <w:t xml:space="preserve"> </w:t>
      </w:r>
      <w:r w:rsidR="00D9490C">
        <w:rPr>
          <w:i/>
          <w:iCs/>
        </w:rPr>
        <w:t>cross section of 1-legged facility (REFA) with available space for samples and sample holders in white</w:t>
      </w:r>
      <w:r w:rsidR="00652F55">
        <w:rPr>
          <w:i/>
          <w:iCs/>
        </w:rPr>
        <w:t>.</w:t>
      </w:r>
    </w:p>
    <w:p w14:paraId="00C5B01D" w14:textId="048D2F3E" w:rsidR="004A5E14" w:rsidRDefault="004A5E14" w:rsidP="004A5E14">
      <w:pPr>
        <w:pStyle w:val="Heading2"/>
      </w:pPr>
      <w:r>
        <w:t>CONCLUSION</w:t>
      </w:r>
    </w:p>
    <w:p w14:paraId="7BF180B4" w14:textId="3322D1A6" w:rsidR="004A5E14" w:rsidRPr="004A5E14" w:rsidRDefault="004F3204" w:rsidP="004A5E14">
      <w:pPr>
        <w:pStyle w:val="BodyText"/>
      </w:pPr>
      <w:r>
        <w:t>NRG and JRC are developing a re-usable facility that offers the SMR community the ability to irradiate structural materials and materials produced via advanced manufacturing. The MIDI facility builds upon the design, operation, PIE and decommissioning experience of both organisations</w:t>
      </w:r>
      <w:r w:rsidR="00853A0F">
        <w:t xml:space="preserve"> and is expected to operate until the end of operations in HFR. </w:t>
      </w:r>
      <w:r w:rsidR="003F5410">
        <w:t>C</w:t>
      </w:r>
      <w:r w:rsidR="00D04EF8">
        <w:t>urrently</w:t>
      </w:r>
      <w:r w:rsidR="003F5410">
        <w:t>, concept design activities are ongoing</w:t>
      </w:r>
      <w:r w:rsidR="00D04EF8">
        <w:t xml:space="preserve"> and </w:t>
      </w:r>
      <w:r w:rsidR="003F5410">
        <w:t xml:space="preserve">on track for </w:t>
      </w:r>
      <w:r w:rsidR="00853A0F">
        <w:t>a first irradiation in 2026</w:t>
      </w:r>
      <w:r w:rsidR="00D04EF8">
        <w:t>, collaboration opportunities exist to maximise the benefits to the global nuclear sector of this facility and accelerate the development, qualification and ultimately deployment of SMRs.</w:t>
      </w:r>
    </w:p>
    <w:p w14:paraId="15F4F300" w14:textId="77777777" w:rsidR="00285755" w:rsidRDefault="00285755" w:rsidP="00537496">
      <w:pPr>
        <w:pStyle w:val="Otherunnumberedheadings"/>
      </w:pPr>
      <w:r w:rsidRPr="00285755">
        <w:t>ACKNOWLEDGEMENTS</w:t>
      </w:r>
    </w:p>
    <w:p w14:paraId="711AF860" w14:textId="6EFCE525" w:rsidR="00D26ADA" w:rsidRDefault="00285755" w:rsidP="00537496">
      <w:pPr>
        <w:pStyle w:val="BodyText"/>
      </w:pPr>
      <w:r>
        <w:t>The</w:t>
      </w:r>
      <w:r w:rsidR="0088575B" w:rsidRPr="0088575B">
        <w:t xml:space="preserve"> </w:t>
      </w:r>
      <w:r w:rsidR="0088575B" w:rsidRPr="002C0872">
        <w:t xml:space="preserve">work presented in this article is funded by the Dutch Ministry of Economic Affairs (EZS) and the Joint Research Centre of the European Commission. The work presented here is jointly performed by NRG and JRC </w:t>
      </w:r>
      <w:r w:rsidR="0088575B">
        <w:t>in the framework of collaboration agreement No: 33990</w:t>
      </w:r>
      <w:r w:rsidR="00D26ADA">
        <w:t>.</w:t>
      </w:r>
    </w:p>
    <w:p w14:paraId="68885B59" w14:textId="31493FC5" w:rsidR="00BE0475" w:rsidRPr="0088575B" w:rsidRDefault="00BE0475" w:rsidP="0088575B">
      <w:pPr>
        <w:pStyle w:val="Otherunnumberedheadings"/>
      </w:pPr>
      <w:r>
        <w:t>E</w:t>
      </w:r>
      <w:r w:rsidRPr="0088575B">
        <w:t>xport control note</w:t>
      </w:r>
    </w:p>
    <w:p w14:paraId="52256575" w14:textId="23C8782B" w:rsidR="00BE0475" w:rsidRPr="0088575B" w:rsidRDefault="00BE0475" w:rsidP="002C6DC8">
      <w:pPr>
        <w:pStyle w:val="BodyText"/>
      </w:pPr>
      <w:r w:rsidRPr="0088575B">
        <w:t xml:space="preserve">The content within this document is classified with the code </w:t>
      </w:r>
      <w:r w:rsidR="00DD7D5A" w:rsidRPr="0088575B">
        <w:t xml:space="preserve">European dual use code </w:t>
      </w:r>
      <w:r w:rsidR="00DD7D5A">
        <w:t>(</w:t>
      </w:r>
      <w:r w:rsidRPr="00DD7D5A">
        <w:rPr>
          <w:b/>
          <w:bCs/>
        </w:rPr>
        <w:t xml:space="preserve">EU </w:t>
      </w:r>
      <w:proofErr w:type="spellStart"/>
      <w:r w:rsidRPr="00DD7D5A">
        <w:rPr>
          <w:b/>
          <w:bCs/>
        </w:rPr>
        <w:t>DuC</w:t>
      </w:r>
      <w:proofErr w:type="spellEnd"/>
      <w:r w:rsidR="00DD7D5A">
        <w:t>)</w:t>
      </w:r>
      <w:r w:rsidRPr="0088575B">
        <w:t> = </w:t>
      </w:r>
      <w:r w:rsidRPr="00DD7D5A">
        <w:rPr>
          <w:b/>
          <w:bCs/>
        </w:rPr>
        <w:t>N</w:t>
      </w:r>
      <w:r w:rsidRPr="0088575B">
        <w:t xml:space="preserve">. </w:t>
      </w:r>
      <w:r w:rsidR="00DD7D5A" w:rsidRPr="00DD7D5A">
        <w:t xml:space="preserve">Goods labelled with an EU </w:t>
      </w:r>
      <w:proofErr w:type="spellStart"/>
      <w:r w:rsidR="00DD7D5A" w:rsidRPr="00DD7D5A">
        <w:t>DuC</w:t>
      </w:r>
      <w:proofErr w:type="spellEnd"/>
      <w:r w:rsidR="00DD7D5A" w:rsidRPr="00DD7D5A">
        <w:t xml:space="preserve"> (European Dual-use Codification) not equal to ‘N’ are subject to European and national export authorization when exported from the EU and may be subject to national export authorization when exported to another EU country as well. Even without an EU </w:t>
      </w:r>
      <w:proofErr w:type="spellStart"/>
      <w:r w:rsidR="00DD7D5A" w:rsidRPr="00DD7D5A">
        <w:t>DuC</w:t>
      </w:r>
      <w:proofErr w:type="spellEnd"/>
      <w:r w:rsidR="00DD7D5A" w:rsidRPr="00DD7D5A">
        <w:t xml:space="preserve">, or with EU </w:t>
      </w:r>
      <w:proofErr w:type="spellStart"/>
      <w:r w:rsidR="00DD7D5A" w:rsidRPr="00DD7D5A">
        <w:t>DuC</w:t>
      </w:r>
      <w:proofErr w:type="spellEnd"/>
      <w:r w:rsidR="00DD7D5A" w:rsidRPr="00DD7D5A">
        <w:t xml:space="preserve"> ‘N’, authorization may be required due to the final destination and purpose for which the goods are to be used. No rights may be derived from the specified EU </w:t>
      </w:r>
      <w:proofErr w:type="spellStart"/>
      <w:r w:rsidR="00DD7D5A" w:rsidRPr="00DD7D5A">
        <w:t>DuC</w:t>
      </w:r>
      <w:proofErr w:type="spellEnd"/>
      <w:r w:rsidR="00DD7D5A" w:rsidRPr="00DD7D5A">
        <w:t xml:space="preserve"> or absence of an EU </w:t>
      </w:r>
      <w:proofErr w:type="spellStart"/>
      <w:r w:rsidR="00DD7D5A" w:rsidRPr="00DD7D5A">
        <w:t>DuC</w:t>
      </w:r>
      <w:proofErr w:type="spellEnd"/>
      <w:r w:rsidR="00DD7D5A" w:rsidRPr="00DD7D5A">
        <w:t>."</w:t>
      </w:r>
    </w:p>
    <w:p w14:paraId="05975E67" w14:textId="77777777" w:rsidR="006D0250" w:rsidRDefault="006D0250">
      <w:pPr>
        <w:overflowPunct/>
        <w:autoSpaceDE/>
        <w:autoSpaceDN/>
        <w:adjustRightInd/>
        <w:textAlignment w:val="auto"/>
        <w:rPr>
          <w:rFonts w:ascii="Times New Roman Bold" w:hAnsi="Times New Roman Bold"/>
          <w:b/>
          <w:caps/>
          <w:sz w:val="20"/>
        </w:rPr>
      </w:pPr>
      <w:r>
        <w:br w:type="page"/>
      </w:r>
    </w:p>
    <w:p w14:paraId="79617713" w14:textId="49BDD525" w:rsidR="00744C92" w:rsidRDefault="00D26ADA" w:rsidP="006D0250">
      <w:pPr>
        <w:pStyle w:val="Otherunnumberedheadings"/>
        <w:rPr>
          <w:noProof/>
          <w:lang w:eastAsia="en-GB"/>
        </w:rPr>
      </w:pPr>
      <w:r>
        <w:lastRenderedPageBreak/>
        <w:t>References</w:t>
      </w:r>
      <w:r w:rsidR="008F7194">
        <w:fldChar w:fldCharType="begin"/>
      </w:r>
      <w:r w:rsidR="008F7194">
        <w:rPr>
          <w:lang w:val="en-US"/>
        </w:rPr>
        <w:instrText xml:space="preserve"> BIBLIOGRAPHY  \l 1033 </w:instrText>
      </w:r>
      <w:r w:rsidR="008F7194">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8652"/>
      </w:tblGrid>
      <w:tr w:rsidR="00744C92" w:rsidRPr="00D351B4" w14:paraId="11C33278" w14:textId="77777777">
        <w:trPr>
          <w:divId w:val="1596283861"/>
          <w:tblCellSpacing w:w="15" w:type="dxa"/>
        </w:trPr>
        <w:tc>
          <w:tcPr>
            <w:tcW w:w="50" w:type="pct"/>
            <w:hideMark/>
          </w:tcPr>
          <w:p w14:paraId="1F2D05D6" w14:textId="768C2482" w:rsidR="00744C92" w:rsidRPr="00744C92" w:rsidRDefault="00744C92">
            <w:pPr>
              <w:pStyle w:val="Bibliography"/>
              <w:rPr>
                <w:noProof/>
                <w:sz w:val="18"/>
                <w:szCs w:val="16"/>
                <w:lang w:val="en-US"/>
              </w:rPr>
            </w:pPr>
            <w:r w:rsidRPr="00744C92">
              <w:rPr>
                <w:noProof/>
                <w:sz w:val="18"/>
                <w:szCs w:val="16"/>
                <w:lang w:val="en-US"/>
              </w:rPr>
              <w:t xml:space="preserve">[1] </w:t>
            </w:r>
          </w:p>
        </w:tc>
        <w:tc>
          <w:tcPr>
            <w:tcW w:w="0" w:type="auto"/>
            <w:hideMark/>
          </w:tcPr>
          <w:p w14:paraId="1D45971F" w14:textId="77777777" w:rsidR="00744C92" w:rsidRPr="00DD7D5A" w:rsidRDefault="00744C92">
            <w:pPr>
              <w:pStyle w:val="Bibliography"/>
              <w:rPr>
                <w:noProof/>
                <w:sz w:val="18"/>
                <w:szCs w:val="16"/>
                <w:lang w:val="fr-FR"/>
              </w:rPr>
            </w:pPr>
            <w:r w:rsidRPr="00744C92">
              <w:rPr>
                <w:noProof/>
                <w:sz w:val="18"/>
                <w:szCs w:val="16"/>
                <w:lang w:val="en-US"/>
              </w:rPr>
              <w:t xml:space="preserve">International Energy Agency, "Nuclear power can play a major role in enabling secure transitions to low emissions energy systems," 30 June 2022. </w:t>
            </w:r>
            <w:r w:rsidRPr="00DD7D5A">
              <w:rPr>
                <w:noProof/>
                <w:sz w:val="18"/>
                <w:szCs w:val="16"/>
                <w:lang w:val="fr-FR"/>
              </w:rPr>
              <w:t>[Online]. Available: https://www.iea.org/news/nuclear-power-can-play-a-major-role-in-enabling-secure-transitions-to-low-emissions-energy-systems.</w:t>
            </w:r>
          </w:p>
        </w:tc>
      </w:tr>
      <w:tr w:rsidR="00744C92" w:rsidRPr="00D351B4" w14:paraId="781E92D7" w14:textId="77777777">
        <w:trPr>
          <w:divId w:val="1596283861"/>
          <w:tblCellSpacing w:w="15" w:type="dxa"/>
        </w:trPr>
        <w:tc>
          <w:tcPr>
            <w:tcW w:w="50" w:type="pct"/>
            <w:hideMark/>
          </w:tcPr>
          <w:p w14:paraId="0873CD89" w14:textId="77777777" w:rsidR="00744C92" w:rsidRPr="00744C92" w:rsidRDefault="00744C92">
            <w:pPr>
              <w:pStyle w:val="Bibliography"/>
              <w:rPr>
                <w:noProof/>
                <w:sz w:val="18"/>
                <w:szCs w:val="16"/>
                <w:lang w:val="en-US"/>
              </w:rPr>
            </w:pPr>
            <w:r w:rsidRPr="00744C92">
              <w:rPr>
                <w:noProof/>
                <w:sz w:val="18"/>
                <w:szCs w:val="16"/>
                <w:lang w:val="en-US"/>
              </w:rPr>
              <w:t xml:space="preserve">[2] </w:t>
            </w:r>
          </w:p>
        </w:tc>
        <w:tc>
          <w:tcPr>
            <w:tcW w:w="0" w:type="auto"/>
            <w:hideMark/>
          </w:tcPr>
          <w:p w14:paraId="5DA0AD20" w14:textId="77777777" w:rsidR="00744C92" w:rsidRPr="00DD7D5A" w:rsidRDefault="00744C92">
            <w:pPr>
              <w:pStyle w:val="Bibliography"/>
              <w:rPr>
                <w:noProof/>
                <w:sz w:val="18"/>
                <w:szCs w:val="16"/>
                <w:lang w:val="fr-FR"/>
              </w:rPr>
            </w:pPr>
            <w:r w:rsidRPr="00744C92">
              <w:rPr>
                <w:noProof/>
                <w:sz w:val="18"/>
                <w:szCs w:val="16"/>
                <w:lang w:val="en-US"/>
              </w:rPr>
              <w:t xml:space="preserve">International Atomic Energy Agency, "What are Small Modular Reactors (SMRs)?," IAEA, 13 September 2023. </w:t>
            </w:r>
            <w:r w:rsidRPr="00DD7D5A">
              <w:rPr>
                <w:noProof/>
                <w:sz w:val="18"/>
                <w:szCs w:val="16"/>
                <w:lang w:val="fr-FR"/>
              </w:rPr>
              <w:t>[Online]. Available: https://www.iaea.org/newscenter/news/what-are-small-modular-reactors-smrs.</w:t>
            </w:r>
          </w:p>
        </w:tc>
      </w:tr>
      <w:tr w:rsidR="00744C92" w:rsidRPr="00744C92" w14:paraId="52C2A2D1" w14:textId="77777777">
        <w:trPr>
          <w:divId w:val="1596283861"/>
          <w:tblCellSpacing w:w="15" w:type="dxa"/>
        </w:trPr>
        <w:tc>
          <w:tcPr>
            <w:tcW w:w="50" w:type="pct"/>
            <w:hideMark/>
          </w:tcPr>
          <w:p w14:paraId="47F449BA" w14:textId="77777777" w:rsidR="00744C92" w:rsidRPr="00744C92" w:rsidRDefault="00744C92">
            <w:pPr>
              <w:pStyle w:val="Bibliography"/>
              <w:rPr>
                <w:noProof/>
                <w:sz w:val="18"/>
                <w:szCs w:val="16"/>
                <w:lang w:val="en-US"/>
              </w:rPr>
            </w:pPr>
            <w:r w:rsidRPr="00744C92">
              <w:rPr>
                <w:noProof/>
                <w:sz w:val="18"/>
                <w:szCs w:val="16"/>
                <w:lang w:val="en-US"/>
              </w:rPr>
              <w:t xml:space="preserve">[3] </w:t>
            </w:r>
          </w:p>
        </w:tc>
        <w:tc>
          <w:tcPr>
            <w:tcW w:w="0" w:type="auto"/>
            <w:hideMark/>
          </w:tcPr>
          <w:p w14:paraId="01BD35B9" w14:textId="77777777" w:rsidR="00744C92" w:rsidRPr="00744C92" w:rsidRDefault="00744C92">
            <w:pPr>
              <w:pStyle w:val="Bibliography"/>
              <w:rPr>
                <w:noProof/>
                <w:sz w:val="18"/>
                <w:szCs w:val="16"/>
                <w:lang w:val="en-US"/>
              </w:rPr>
            </w:pPr>
            <w:r w:rsidRPr="00744C92">
              <w:rPr>
                <w:noProof/>
                <w:sz w:val="18"/>
                <w:szCs w:val="16"/>
                <w:lang w:val="en-US"/>
              </w:rPr>
              <w:t xml:space="preserve">NRG, "NRG. Nuclear for Life," NRG, 2024. </w:t>
            </w:r>
            <w:r w:rsidRPr="00DD7D5A">
              <w:rPr>
                <w:noProof/>
                <w:sz w:val="18"/>
                <w:szCs w:val="16"/>
                <w:lang w:val="fr-FR"/>
              </w:rPr>
              <w:t xml:space="preserve">[Online]. Available: https://www.nrg.eu/en. </w:t>
            </w:r>
            <w:r w:rsidRPr="00744C92">
              <w:rPr>
                <w:noProof/>
                <w:sz w:val="18"/>
                <w:szCs w:val="16"/>
                <w:lang w:val="en-US"/>
              </w:rPr>
              <w:t>[Accessed 30 May 2024].</w:t>
            </w:r>
          </w:p>
        </w:tc>
      </w:tr>
      <w:tr w:rsidR="00744C92" w:rsidRPr="00744C92" w14:paraId="0C2162EB" w14:textId="77777777">
        <w:trPr>
          <w:divId w:val="1596283861"/>
          <w:tblCellSpacing w:w="15" w:type="dxa"/>
        </w:trPr>
        <w:tc>
          <w:tcPr>
            <w:tcW w:w="50" w:type="pct"/>
            <w:hideMark/>
          </w:tcPr>
          <w:p w14:paraId="0FED1701" w14:textId="77777777" w:rsidR="00744C92" w:rsidRPr="00744C92" w:rsidRDefault="00744C92">
            <w:pPr>
              <w:pStyle w:val="Bibliography"/>
              <w:rPr>
                <w:noProof/>
                <w:sz w:val="18"/>
                <w:szCs w:val="16"/>
                <w:lang w:val="en-US"/>
              </w:rPr>
            </w:pPr>
            <w:r w:rsidRPr="00744C92">
              <w:rPr>
                <w:noProof/>
                <w:sz w:val="18"/>
                <w:szCs w:val="16"/>
                <w:lang w:val="en-US"/>
              </w:rPr>
              <w:t xml:space="preserve">[4] </w:t>
            </w:r>
          </w:p>
        </w:tc>
        <w:tc>
          <w:tcPr>
            <w:tcW w:w="0" w:type="auto"/>
            <w:hideMark/>
          </w:tcPr>
          <w:p w14:paraId="15983B23" w14:textId="77777777" w:rsidR="00744C92" w:rsidRPr="00744C92" w:rsidRDefault="00744C92">
            <w:pPr>
              <w:pStyle w:val="Bibliography"/>
              <w:rPr>
                <w:noProof/>
                <w:sz w:val="18"/>
                <w:szCs w:val="16"/>
                <w:lang w:val="en-US"/>
              </w:rPr>
            </w:pPr>
            <w:r w:rsidRPr="00744C92">
              <w:rPr>
                <w:noProof/>
                <w:sz w:val="18"/>
                <w:szCs w:val="16"/>
                <w:lang w:val="en-US"/>
              </w:rPr>
              <w:t xml:space="preserve">F. Roelofs, P. Breijder, R. Hania, G. de With, G.-J. de Haas, J. van den Broek and R. Schram, "Highlights and outlook of the Dutch PIONEER 2021–2024 R&amp;D program," </w:t>
            </w:r>
            <w:r w:rsidRPr="00744C92">
              <w:rPr>
                <w:i/>
                <w:iCs/>
                <w:noProof/>
                <w:sz w:val="18"/>
                <w:szCs w:val="16"/>
                <w:lang w:val="en-US"/>
              </w:rPr>
              <w:t xml:space="preserve">Nuclear Engineering and Design, </w:t>
            </w:r>
            <w:r w:rsidRPr="00744C92">
              <w:rPr>
                <w:noProof/>
                <w:sz w:val="18"/>
                <w:szCs w:val="16"/>
                <w:lang w:val="en-US"/>
              </w:rPr>
              <w:t xml:space="preserve">vol. 417, p. 112873, 2024. </w:t>
            </w:r>
          </w:p>
        </w:tc>
      </w:tr>
      <w:tr w:rsidR="00744C92" w:rsidRPr="00744C92" w14:paraId="5A009E38" w14:textId="77777777">
        <w:trPr>
          <w:divId w:val="1596283861"/>
          <w:tblCellSpacing w:w="15" w:type="dxa"/>
        </w:trPr>
        <w:tc>
          <w:tcPr>
            <w:tcW w:w="50" w:type="pct"/>
            <w:hideMark/>
          </w:tcPr>
          <w:p w14:paraId="77DC837F" w14:textId="77777777" w:rsidR="00744C92" w:rsidRPr="00744C92" w:rsidRDefault="00744C92">
            <w:pPr>
              <w:pStyle w:val="Bibliography"/>
              <w:rPr>
                <w:noProof/>
                <w:sz w:val="18"/>
                <w:szCs w:val="16"/>
                <w:lang w:val="en-US"/>
              </w:rPr>
            </w:pPr>
            <w:r w:rsidRPr="00744C92">
              <w:rPr>
                <w:noProof/>
                <w:sz w:val="18"/>
                <w:szCs w:val="16"/>
                <w:lang w:val="en-US"/>
              </w:rPr>
              <w:t xml:space="preserve">[5] </w:t>
            </w:r>
          </w:p>
        </w:tc>
        <w:tc>
          <w:tcPr>
            <w:tcW w:w="0" w:type="auto"/>
            <w:hideMark/>
          </w:tcPr>
          <w:p w14:paraId="61AD8CD4" w14:textId="77777777" w:rsidR="00744C92" w:rsidRPr="00744C92" w:rsidRDefault="00744C92">
            <w:pPr>
              <w:pStyle w:val="Bibliography"/>
              <w:rPr>
                <w:noProof/>
                <w:sz w:val="18"/>
                <w:szCs w:val="16"/>
                <w:lang w:val="en-US"/>
              </w:rPr>
            </w:pPr>
            <w:r w:rsidRPr="00744C92">
              <w:rPr>
                <w:noProof/>
                <w:sz w:val="18"/>
                <w:szCs w:val="16"/>
                <w:lang w:val="en-US"/>
              </w:rPr>
              <w:t xml:space="preserve">E. D'Agata, B. Acosta Iborra, A. J. Magielsen, M. Kolluri, O. Martin, C. Sciolla, R. F. Okel and B. T. Straathof, "The LYRA-10 experiment: Irradiation of Light Water Reactor Pressure Vessel with systematic variations in Ni, Mn and Si contents to assess Long Term Operation enhanced embrittlement," </w:t>
            </w:r>
            <w:r w:rsidRPr="00744C92">
              <w:rPr>
                <w:i/>
                <w:iCs/>
                <w:noProof/>
                <w:sz w:val="18"/>
                <w:szCs w:val="16"/>
                <w:lang w:val="en-US"/>
              </w:rPr>
              <w:t xml:space="preserve">TBC..., </w:t>
            </w:r>
            <w:r w:rsidRPr="00744C92">
              <w:rPr>
                <w:noProof/>
                <w:sz w:val="18"/>
                <w:szCs w:val="16"/>
                <w:lang w:val="en-US"/>
              </w:rPr>
              <w:t xml:space="preserve">vol. TBC..., no. TBC..., p. TBC..., 2024. </w:t>
            </w:r>
          </w:p>
        </w:tc>
      </w:tr>
      <w:tr w:rsidR="00744C92" w:rsidRPr="00744C92" w14:paraId="135F9996" w14:textId="77777777">
        <w:trPr>
          <w:divId w:val="1596283861"/>
          <w:tblCellSpacing w:w="15" w:type="dxa"/>
        </w:trPr>
        <w:tc>
          <w:tcPr>
            <w:tcW w:w="50" w:type="pct"/>
            <w:hideMark/>
          </w:tcPr>
          <w:p w14:paraId="64C2B830" w14:textId="77777777" w:rsidR="00744C92" w:rsidRPr="00744C92" w:rsidRDefault="00744C92">
            <w:pPr>
              <w:pStyle w:val="Bibliography"/>
              <w:rPr>
                <w:noProof/>
                <w:sz w:val="18"/>
                <w:szCs w:val="16"/>
                <w:lang w:val="en-US"/>
              </w:rPr>
            </w:pPr>
            <w:r w:rsidRPr="00744C92">
              <w:rPr>
                <w:noProof/>
                <w:sz w:val="18"/>
                <w:szCs w:val="16"/>
                <w:lang w:val="en-US"/>
              </w:rPr>
              <w:t xml:space="preserve">[6] </w:t>
            </w:r>
          </w:p>
        </w:tc>
        <w:tc>
          <w:tcPr>
            <w:tcW w:w="0" w:type="auto"/>
            <w:hideMark/>
          </w:tcPr>
          <w:p w14:paraId="1D20EE38" w14:textId="77777777" w:rsidR="00744C92" w:rsidRPr="00744C92" w:rsidRDefault="00744C92">
            <w:pPr>
              <w:pStyle w:val="Bibliography"/>
              <w:rPr>
                <w:noProof/>
                <w:sz w:val="18"/>
                <w:szCs w:val="16"/>
                <w:lang w:val="en-US"/>
              </w:rPr>
            </w:pPr>
            <w:r w:rsidRPr="00744C92">
              <w:rPr>
                <w:noProof/>
                <w:sz w:val="18"/>
                <w:szCs w:val="16"/>
                <w:lang w:val="en-US"/>
              </w:rPr>
              <w:t xml:space="preserve">P. R. Hania, J. L. Kloosterman, D. Lathouwers, Z. Perkó, F. Roelofs, M. Rohde, J. Sietsma and A. Smith, "Chapter 11 - Netherlands," in </w:t>
            </w:r>
            <w:r w:rsidRPr="00744C92">
              <w:rPr>
                <w:i/>
                <w:iCs/>
                <w:noProof/>
                <w:sz w:val="18"/>
                <w:szCs w:val="16"/>
                <w:lang w:val="en-US"/>
              </w:rPr>
              <w:t>Global Progress on Molten Salt Reactors (Second Edition)</w:t>
            </w:r>
            <w:r w:rsidRPr="00744C92">
              <w:rPr>
                <w:noProof/>
                <w:sz w:val="18"/>
                <w:szCs w:val="16"/>
                <w:lang w:val="en-US"/>
              </w:rPr>
              <w:t>, Woodhead Publishing Series in Energy, 2024, pp. 57-73.</w:t>
            </w:r>
          </w:p>
        </w:tc>
      </w:tr>
      <w:tr w:rsidR="00744C92" w:rsidRPr="00744C92" w14:paraId="1FBA408A" w14:textId="77777777">
        <w:trPr>
          <w:divId w:val="1596283861"/>
          <w:tblCellSpacing w:w="15" w:type="dxa"/>
        </w:trPr>
        <w:tc>
          <w:tcPr>
            <w:tcW w:w="50" w:type="pct"/>
            <w:hideMark/>
          </w:tcPr>
          <w:p w14:paraId="5593CEA8" w14:textId="77777777" w:rsidR="00744C92" w:rsidRPr="00744C92" w:rsidRDefault="00744C92">
            <w:pPr>
              <w:pStyle w:val="Bibliography"/>
              <w:rPr>
                <w:noProof/>
                <w:sz w:val="18"/>
                <w:szCs w:val="16"/>
                <w:lang w:val="en-US"/>
              </w:rPr>
            </w:pPr>
            <w:r w:rsidRPr="00744C92">
              <w:rPr>
                <w:noProof/>
                <w:sz w:val="18"/>
                <w:szCs w:val="16"/>
                <w:lang w:val="en-US"/>
              </w:rPr>
              <w:t xml:space="preserve">[7] </w:t>
            </w:r>
          </w:p>
        </w:tc>
        <w:tc>
          <w:tcPr>
            <w:tcW w:w="0" w:type="auto"/>
            <w:hideMark/>
          </w:tcPr>
          <w:p w14:paraId="226BE198" w14:textId="77777777" w:rsidR="00744C92" w:rsidRPr="00744C92" w:rsidRDefault="00744C92">
            <w:pPr>
              <w:pStyle w:val="Bibliography"/>
              <w:rPr>
                <w:noProof/>
                <w:sz w:val="18"/>
                <w:szCs w:val="16"/>
                <w:lang w:val="en-US"/>
              </w:rPr>
            </w:pPr>
            <w:r w:rsidRPr="00744C92">
              <w:rPr>
                <w:noProof/>
                <w:sz w:val="18"/>
                <w:szCs w:val="16"/>
                <w:lang w:val="en-US"/>
              </w:rPr>
              <w:t xml:space="preserve">E. van Walle and C. Bolton, Symposium on RESQUE and REFEREE, Book of Abstract. BLG-890, Mol, Belgium, September2021. </w:t>
            </w:r>
          </w:p>
        </w:tc>
      </w:tr>
      <w:tr w:rsidR="00744C92" w:rsidRPr="00744C92" w14:paraId="35365A01" w14:textId="77777777">
        <w:trPr>
          <w:divId w:val="1596283861"/>
          <w:tblCellSpacing w:w="15" w:type="dxa"/>
        </w:trPr>
        <w:tc>
          <w:tcPr>
            <w:tcW w:w="50" w:type="pct"/>
            <w:hideMark/>
          </w:tcPr>
          <w:p w14:paraId="474AAA13" w14:textId="77777777" w:rsidR="00744C92" w:rsidRPr="00744C92" w:rsidRDefault="00744C92">
            <w:pPr>
              <w:pStyle w:val="Bibliography"/>
              <w:rPr>
                <w:noProof/>
                <w:sz w:val="18"/>
                <w:szCs w:val="16"/>
                <w:lang w:val="en-US"/>
              </w:rPr>
            </w:pPr>
            <w:r w:rsidRPr="00744C92">
              <w:rPr>
                <w:noProof/>
                <w:sz w:val="18"/>
                <w:szCs w:val="16"/>
                <w:lang w:val="en-US"/>
              </w:rPr>
              <w:t xml:space="preserve">[8] </w:t>
            </w:r>
          </w:p>
        </w:tc>
        <w:tc>
          <w:tcPr>
            <w:tcW w:w="0" w:type="auto"/>
            <w:hideMark/>
          </w:tcPr>
          <w:p w14:paraId="166B80BC" w14:textId="77777777" w:rsidR="00744C92" w:rsidRPr="00744C92" w:rsidRDefault="00744C92">
            <w:pPr>
              <w:pStyle w:val="Bibliography"/>
              <w:rPr>
                <w:noProof/>
                <w:sz w:val="18"/>
                <w:szCs w:val="16"/>
                <w:lang w:val="en-US"/>
              </w:rPr>
            </w:pPr>
            <w:r w:rsidRPr="00744C92">
              <w:rPr>
                <w:noProof/>
                <w:sz w:val="18"/>
                <w:szCs w:val="16"/>
                <w:lang w:val="en-US"/>
              </w:rPr>
              <w:t xml:space="preserve">L. Debarberis, F. Sevini, B. Acosta Iborra, A. Kryuko and D. Frak, "Fluence Rate Effects on Irradiation Embrittlement of Model Alloys," </w:t>
            </w:r>
            <w:r w:rsidRPr="00744C92">
              <w:rPr>
                <w:i/>
                <w:iCs/>
                <w:noProof/>
                <w:sz w:val="18"/>
                <w:szCs w:val="16"/>
                <w:lang w:val="en-US"/>
              </w:rPr>
              <w:t xml:space="preserve">International Journal of Pressure Vessels and Piping, </w:t>
            </w:r>
            <w:r w:rsidRPr="00744C92">
              <w:rPr>
                <w:noProof/>
                <w:sz w:val="18"/>
                <w:szCs w:val="16"/>
                <w:lang w:val="en-US"/>
              </w:rPr>
              <w:t xml:space="preserve">vol. 82, pp. 373-378, 2005. </w:t>
            </w:r>
          </w:p>
        </w:tc>
      </w:tr>
      <w:tr w:rsidR="00744C92" w:rsidRPr="00744C92" w14:paraId="154DAADC" w14:textId="77777777">
        <w:trPr>
          <w:divId w:val="1596283861"/>
          <w:tblCellSpacing w:w="15" w:type="dxa"/>
        </w:trPr>
        <w:tc>
          <w:tcPr>
            <w:tcW w:w="50" w:type="pct"/>
            <w:hideMark/>
          </w:tcPr>
          <w:p w14:paraId="0127AA90" w14:textId="77777777" w:rsidR="00744C92" w:rsidRPr="00744C92" w:rsidRDefault="00744C92">
            <w:pPr>
              <w:pStyle w:val="Bibliography"/>
              <w:rPr>
                <w:noProof/>
                <w:sz w:val="18"/>
                <w:szCs w:val="16"/>
                <w:lang w:val="en-US"/>
              </w:rPr>
            </w:pPr>
            <w:r w:rsidRPr="00744C92">
              <w:rPr>
                <w:noProof/>
                <w:sz w:val="18"/>
                <w:szCs w:val="16"/>
                <w:lang w:val="en-US"/>
              </w:rPr>
              <w:t xml:space="preserve">[9] </w:t>
            </w:r>
          </w:p>
        </w:tc>
        <w:tc>
          <w:tcPr>
            <w:tcW w:w="0" w:type="auto"/>
            <w:hideMark/>
          </w:tcPr>
          <w:p w14:paraId="69C713C0" w14:textId="77777777" w:rsidR="00744C92" w:rsidRPr="00744C92" w:rsidRDefault="00744C92">
            <w:pPr>
              <w:pStyle w:val="Bibliography"/>
              <w:rPr>
                <w:noProof/>
                <w:sz w:val="18"/>
                <w:szCs w:val="16"/>
                <w:lang w:val="en-US"/>
              </w:rPr>
            </w:pPr>
            <w:r w:rsidRPr="00744C92">
              <w:rPr>
                <w:noProof/>
                <w:sz w:val="18"/>
                <w:szCs w:val="16"/>
                <w:lang w:val="en-US"/>
              </w:rPr>
              <w:t>M. Valo, E. Lucon, M. Brumovsky, B. Acosta, L. Debarberis, J. Kohopää, F. Gillemot, M. Horwath and U. Ehrnstén, "Fracture Mechanics Based Embrittlement Modelling (FRAME)," in nuclear science and technology.</w:t>
            </w:r>
          </w:p>
        </w:tc>
      </w:tr>
      <w:tr w:rsidR="00744C92" w:rsidRPr="00744C92" w14:paraId="78A8BFF5" w14:textId="77777777">
        <w:trPr>
          <w:divId w:val="1596283861"/>
          <w:tblCellSpacing w:w="15" w:type="dxa"/>
        </w:trPr>
        <w:tc>
          <w:tcPr>
            <w:tcW w:w="50" w:type="pct"/>
            <w:hideMark/>
          </w:tcPr>
          <w:p w14:paraId="5FA06D65" w14:textId="77777777" w:rsidR="00744C92" w:rsidRPr="00744C92" w:rsidRDefault="00744C92">
            <w:pPr>
              <w:pStyle w:val="Bibliography"/>
              <w:rPr>
                <w:noProof/>
                <w:sz w:val="18"/>
                <w:szCs w:val="16"/>
                <w:lang w:val="en-US"/>
              </w:rPr>
            </w:pPr>
            <w:r w:rsidRPr="00744C92">
              <w:rPr>
                <w:noProof/>
                <w:sz w:val="18"/>
                <w:szCs w:val="16"/>
                <w:lang w:val="en-US"/>
              </w:rPr>
              <w:t xml:space="preserve">[10] </w:t>
            </w:r>
          </w:p>
        </w:tc>
        <w:tc>
          <w:tcPr>
            <w:tcW w:w="0" w:type="auto"/>
            <w:hideMark/>
          </w:tcPr>
          <w:p w14:paraId="2891B3BA" w14:textId="77777777" w:rsidR="00744C92" w:rsidRPr="00744C92" w:rsidRDefault="00744C92">
            <w:pPr>
              <w:pStyle w:val="Bibliography"/>
              <w:rPr>
                <w:noProof/>
                <w:sz w:val="18"/>
                <w:szCs w:val="16"/>
                <w:lang w:val="en-US"/>
              </w:rPr>
            </w:pPr>
            <w:r w:rsidRPr="00744C92">
              <w:rPr>
                <w:noProof/>
                <w:sz w:val="18"/>
                <w:szCs w:val="16"/>
                <w:lang w:val="en-US"/>
              </w:rPr>
              <w:t>European Commission, "Phosphorus Influence on Steels Ageing (PISA)," nuclear science and technology, 2005.</w:t>
            </w:r>
          </w:p>
        </w:tc>
      </w:tr>
    </w:tbl>
    <w:p w14:paraId="7CD90E97" w14:textId="77777777" w:rsidR="00744C92" w:rsidRDefault="00744C92">
      <w:pPr>
        <w:divId w:val="1596283861"/>
        <w:rPr>
          <w:noProof/>
        </w:rPr>
      </w:pPr>
    </w:p>
    <w:p w14:paraId="4A61A328" w14:textId="5DA25C25" w:rsidR="008F7194" w:rsidRPr="008F7194" w:rsidRDefault="008F7194" w:rsidP="008F7194">
      <w:pPr>
        <w:pStyle w:val="Referencelist"/>
        <w:numPr>
          <w:ilvl w:val="0"/>
          <w:numId w:val="0"/>
        </w:numPr>
        <w:ind w:left="720" w:hanging="360"/>
      </w:pPr>
      <w:r>
        <w:fldChar w:fldCharType="end"/>
      </w:r>
    </w:p>
    <w:sectPr w:rsidR="008F7194" w:rsidRPr="008F7194" w:rsidSect="0026525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95105" w14:textId="77777777" w:rsidR="007B7D81" w:rsidRDefault="007B7D81">
      <w:r>
        <w:separator/>
      </w:r>
    </w:p>
  </w:endnote>
  <w:endnote w:type="continuationSeparator" w:id="0">
    <w:p w14:paraId="1275552B" w14:textId="77777777" w:rsidR="007B7D81" w:rsidRDefault="007B7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B308E" w14:textId="74B9F514" w:rsidR="00E20E70" w:rsidRDefault="00E20E70">
    <w:pPr>
      <w:pStyle w:val="zyxClassification1"/>
    </w:pPr>
    <w:r>
      <w:fldChar w:fldCharType="begin"/>
    </w:r>
    <w:r>
      <w:instrText xml:space="preserve"> DOCPROPERTY "IaeaClassification"  \* MERGEFORMAT </w:instrText>
    </w:r>
    <w:r>
      <w:fldChar w:fldCharType="end"/>
    </w:r>
  </w:p>
  <w:p w14:paraId="7E32AC2C" w14:textId="0B742939"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67470F">
      <w:rPr>
        <w:rFonts w:ascii="Times New Roman" w:hAnsi="Times New Roman" w:cs="Times New Roman"/>
        <w:noProof/>
        <w:sz w:val="20"/>
      </w:rPr>
      <w:t>7</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5"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6"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91EF9" w14:textId="77777777" w:rsidR="007B7D81" w:rsidRDefault="007B7D81">
      <w:r>
        <w:t>___________________________________________________________________________</w:t>
      </w:r>
    </w:p>
  </w:footnote>
  <w:footnote w:type="continuationSeparator" w:id="0">
    <w:p w14:paraId="1E114465" w14:textId="77777777" w:rsidR="007B7D81" w:rsidRDefault="007B7D81">
      <w:r>
        <w:t>___________________________________________________________________________</w:t>
      </w:r>
    </w:p>
  </w:footnote>
  <w:footnote w:type="continuationNotice" w:id="1">
    <w:p w14:paraId="2F120A23" w14:textId="77777777" w:rsidR="007B7D81" w:rsidRDefault="007B7D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F522D" w14:textId="592077FD" w:rsidR="00CF7AF3" w:rsidRDefault="00CF7AF3" w:rsidP="00CF7AF3">
    <w:pPr>
      <w:pStyle w:val="Runninghead"/>
    </w:pPr>
    <w:r>
      <w:tab/>
      <w:t>IAEA-CN-</w:t>
    </w:r>
    <w:r w:rsidR="007B44D1">
      <w:t>327</w:t>
    </w:r>
    <w:r>
      <w:t>/</w:t>
    </w:r>
    <w:r w:rsidR="007B44D1">
      <w:t>371</w:t>
    </w:r>
  </w:p>
  <w:p w14:paraId="6E7E9A0F" w14:textId="14674DA6" w:rsidR="00E20E70" w:rsidRDefault="00E20E70" w:rsidP="00CF7AF3">
    <w:pPr>
      <w:pStyle w:val="zyxClassification1"/>
      <w:tabs>
        <w:tab w:val="left" w:pos="3956"/>
        <w:tab w:val="right" w:pos="9071"/>
      </w:tabs>
      <w:jc w:val="left"/>
    </w:pPr>
    <w:r>
      <w:fldChar w:fldCharType="begin"/>
    </w:r>
    <w:r>
      <w:instrText xml:space="preserve"> DOCPROPERTY "IaeaClassification"  \* MERGEFORMAT </w:instrText>
    </w:r>
    <w:r>
      <w:fldChar w:fldCharType="end"/>
    </w:r>
  </w:p>
  <w:p w14:paraId="09E92CEF" w14:textId="58EFCBEB"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C4E1" w14:textId="5A845334" w:rsidR="00E20E70" w:rsidRDefault="006D0250" w:rsidP="00B82FA5">
    <w:pPr>
      <w:pStyle w:val="Runninghead"/>
    </w:pPr>
    <w:r>
      <w:t xml:space="preserve">BARRON </w:t>
    </w:r>
    <w:r w:rsidR="007B44D1">
      <w:t>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4"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1261B0"/>
    <w:multiLevelType w:val="hybridMultilevel"/>
    <w:tmpl w:val="B85AF34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77668C"/>
    <w:multiLevelType w:val="hybridMultilevel"/>
    <w:tmpl w:val="9EF80150"/>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337EDA88"/>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color w:val="auto"/>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14951937">
    <w:abstractNumId w:val="9"/>
  </w:num>
  <w:num w:numId="2" w16cid:durableId="968170594">
    <w:abstractNumId w:val="4"/>
  </w:num>
  <w:num w:numId="3" w16cid:durableId="1919829887">
    <w:abstractNumId w:val="12"/>
  </w:num>
  <w:num w:numId="4" w16cid:durableId="1701470905">
    <w:abstractNumId w:val="12"/>
  </w:num>
  <w:num w:numId="5" w16cid:durableId="262224147">
    <w:abstractNumId w:val="12"/>
  </w:num>
  <w:num w:numId="6" w16cid:durableId="321813624">
    <w:abstractNumId w:val="6"/>
  </w:num>
  <w:num w:numId="7" w16cid:durableId="707530284">
    <w:abstractNumId w:val="10"/>
  </w:num>
  <w:num w:numId="8" w16cid:durableId="469714913">
    <w:abstractNumId w:val="13"/>
  </w:num>
  <w:num w:numId="9" w16cid:durableId="649403440">
    <w:abstractNumId w:val="1"/>
  </w:num>
  <w:num w:numId="10" w16cid:durableId="214022437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2101482266">
    <w:abstractNumId w:val="12"/>
  </w:num>
  <w:num w:numId="12" w16cid:durableId="414673833">
    <w:abstractNumId w:val="12"/>
  </w:num>
  <w:num w:numId="13" w16cid:durableId="584263468">
    <w:abstractNumId w:val="12"/>
  </w:num>
  <w:num w:numId="14" w16cid:durableId="83652599">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356466438">
    <w:abstractNumId w:val="12"/>
  </w:num>
  <w:num w:numId="16" w16cid:durableId="1574972854">
    <w:abstractNumId w:val="12"/>
  </w:num>
  <w:num w:numId="17" w16cid:durableId="1090277908">
    <w:abstractNumId w:val="12"/>
  </w:num>
  <w:num w:numId="18" w16cid:durableId="21082308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71076893">
    <w:abstractNumId w:val="12"/>
  </w:num>
  <w:num w:numId="20" w16cid:durableId="294481758">
    <w:abstractNumId w:val="2"/>
  </w:num>
  <w:num w:numId="21" w16cid:durableId="100805473">
    <w:abstractNumId w:val="12"/>
  </w:num>
  <w:num w:numId="22" w16cid:durableId="253173027">
    <w:abstractNumId w:val="3"/>
  </w:num>
  <w:num w:numId="23" w16cid:durableId="92284204">
    <w:abstractNumId w:val="0"/>
  </w:num>
  <w:num w:numId="24" w16cid:durableId="1559702662">
    <w:abstractNumId w:val="11"/>
  </w:num>
  <w:num w:numId="25" w16cid:durableId="1966277604">
    <w:abstractNumId w:val="12"/>
  </w:num>
  <w:num w:numId="26" w16cid:durableId="1263420261">
    <w:abstractNumId w:val="12"/>
  </w:num>
  <w:num w:numId="27" w16cid:durableId="59792905">
    <w:abstractNumId w:val="12"/>
  </w:num>
  <w:num w:numId="28" w16cid:durableId="1272056428">
    <w:abstractNumId w:val="12"/>
  </w:num>
  <w:num w:numId="29" w16cid:durableId="1006711018">
    <w:abstractNumId w:val="12"/>
  </w:num>
  <w:num w:numId="30" w16cid:durableId="1971939377">
    <w:abstractNumId w:val="7"/>
  </w:num>
  <w:num w:numId="31" w16cid:durableId="1731075708">
    <w:abstractNumId w:val="7"/>
  </w:num>
  <w:num w:numId="32" w16cid:durableId="587151732">
    <w:abstractNumId w:val="12"/>
  </w:num>
  <w:num w:numId="33" w16cid:durableId="53967918">
    <w:abstractNumId w:val="12"/>
  </w:num>
  <w:num w:numId="34" w16cid:durableId="897129496">
    <w:abstractNumId w:val="12"/>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Heading2"/>
        <w:lvlText w:val="%1%2."/>
        <w:lvlJc w:val="left"/>
        <w:pPr>
          <w:ind w:left="0" w:firstLine="0"/>
        </w:pPr>
        <w:rPr>
          <w:rFonts w:hint="default"/>
          <w:color w:val="auto"/>
        </w:rPr>
      </w:lvl>
    </w:lvlOverride>
    <w:lvlOverride w:ilvl="2">
      <w:startOverride w:val="1"/>
      <w:lvl w:ilvl="2">
        <w:start w:val="1"/>
        <w:numFmt w:val="decimal"/>
        <w:lvlRestart w:val="0"/>
        <w:pStyle w:val="Heading3"/>
        <w:lvlText w:val="%1%2.%3."/>
        <w:lvlJc w:val="left"/>
        <w:pPr>
          <w:ind w:left="0" w:firstLine="0"/>
        </w:pPr>
        <w:rPr>
          <w:rFonts w:hint="default"/>
        </w:rPr>
      </w:lvl>
    </w:lvlOverride>
    <w:lvlOverride w:ilvl="3">
      <w:startOverride w:val="1"/>
      <w:lvl w:ilvl="3">
        <w:start w:val="1"/>
        <w:numFmt w:val="none"/>
        <w:lvlRestart w:val="0"/>
        <w:pStyle w:val="Heading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35" w16cid:durableId="1946620079">
    <w:abstractNumId w:val="12"/>
  </w:num>
  <w:num w:numId="36" w16cid:durableId="230192118">
    <w:abstractNumId w:val="12"/>
  </w:num>
  <w:num w:numId="37" w16cid:durableId="358241753">
    <w:abstractNumId w:val="8"/>
  </w:num>
  <w:num w:numId="38" w16cid:durableId="1017586173">
    <w:abstractNumId w:val="12"/>
  </w:num>
  <w:num w:numId="39" w16cid:durableId="2088965045">
    <w:abstractNumId w:val="5"/>
  </w:num>
  <w:num w:numId="40" w16cid:durableId="1211840001">
    <w:abstractNumId w:val="2"/>
  </w:num>
  <w:num w:numId="41" w16cid:durableId="900284390">
    <w:abstractNumId w:val="2"/>
  </w:num>
  <w:num w:numId="42" w16cid:durableId="13270568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nl-NL" w:vendorID="64" w:dllVersion="0" w:nlCheck="1" w:checkStyle="0"/>
  <w:activeWritingStyle w:appName="MSWord" w:lang="nl-NL" w:vendorID="64" w:dllVersion="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136B8"/>
    <w:rsid w:val="00015F97"/>
    <w:rsid w:val="000229AB"/>
    <w:rsid w:val="00024403"/>
    <w:rsid w:val="0002569A"/>
    <w:rsid w:val="00037321"/>
    <w:rsid w:val="00043A11"/>
    <w:rsid w:val="00073BD0"/>
    <w:rsid w:val="000A0299"/>
    <w:rsid w:val="000B41B8"/>
    <w:rsid w:val="000B43E9"/>
    <w:rsid w:val="000C2753"/>
    <w:rsid w:val="000C6F25"/>
    <w:rsid w:val="000C7F32"/>
    <w:rsid w:val="000D644A"/>
    <w:rsid w:val="000F7E94"/>
    <w:rsid w:val="001119D6"/>
    <w:rsid w:val="001308F2"/>
    <w:rsid w:val="001313E8"/>
    <w:rsid w:val="00131794"/>
    <w:rsid w:val="001B4C62"/>
    <w:rsid w:val="001C3508"/>
    <w:rsid w:val="001C58F5"/>
    <w:rsid w:val="001C7D60"/>
    <w:rsid w:val="001D5CEE"/>
    <w:rsid w:val="001F0390"/>
    <w:rsid w:val="001F0B8E"/>
    <w:rsid w:val="001F2608"/>
    <w:rsid w:val="001F6A52"/>
    <w:rsid w:val="00204750"/>
    <w:rsid w:val="002071D9"/>
    <w:rsid w:val="0021022A"/>
    <w:rsid w:val="00256822"/>
    <w:rsid w:val="0026525A"/>
    <w:rsid w:val="00274790"/>
    <w:rsid w:val="00285755"/>
    <w:rsid w:val="002A1F9C"/>
    <w:rsid w:val="002B29C2"/>
    <w:rsid w:val="002C0872"/>
    <w:rsid w:val="002C4208"/>
    <w:rsid w:val="002C6DC8"/>
    <w:rsid w:val="002D433F"/>
    <w:rsid w:val="0030333D"/>
    <w:rsid w:val="00352DE1"/>
    <w:rsid w:val="0036346A"/>
    <w:rsid w:val="003728E6"/>
    <w:rsid w:val="0037376D"/>
    <w:rsid w:val="003B5E0E"/>
    <w:rsid w:val="003C6397"/>
    <w:rsid w:val="003D255A"/>
    <w:rsid w:val="003F0A19"/>
    <w:rsid w:val="003F5410"/>
    <w:rsid w:val="00416949"/>
    <w:rsid w:val="004370D8"/>
    <w:rsid w:val="00443532"/>
    <w:rsid w:val="00461187"/>
    <w:rsid w:val="00463ABF"/>
    <w:rsid w:val="00471EE3"/>
    <w:rsid w:val="00472C43"/>
    <w:rsid w:val="004A36E0"/>
    <w:rsid w:val="004A5E14"/>
    <w:rsid w:val="004B5546"/>
    <w:rsid w:val="004C7C44"/>
    <w:rsid w:val="004F3204"/>
    <w:rsid w:val="00522FB9"/>
    <w:rsid w:val="00537496"/>
    <w:rsid w:val="00544ED3"/>
    <w:rsid w:val="0054653E"/>
    <w:rsid w:val="0058477B"/>
    <w:rsid w:val="0058654F"/>
    <w:rsid w:val="0059531F"/>
    <w:rsid w:val="00596ACA"/>
    <w:rsid w:val="005C1ED1"/>
    <w:rsid w:val="005D6B38"/>
    <w:rsid w:val="005E39BC"/>
    <w:rsid w:val="005F00A0"/>
    <w:rsid w:val="00602706"/>
    <w:rsid w:val="00620781"/>
    <w:rsid w:val="00641D20"/>
    <w:rsid w:val="00647D85"/>
    <w:rsid w:val="00647F33"/>
    <w:rsid w:val="00652F55"/>
    <w:rsid w:val="00657AB6"/>
    <w:rsid w:val="00662532"/>
    <w:rsid w:val="0067470F"/>
    <w:rsid w:val="00697644"/>
    <w:rsid w:val="006B2274"/>
    <w:rsid w:val="006B2A7A"/>
    <w:rsid w:val="006B5644"/>
    <w:rsid w:val="006B7706"/>
    <w:rsid w:val="006D0250"/>
    <w:rsid w:val="006E2916"/>
    <w:rsid w:val="006E787C"/>
    <w:rsid w:val="006F366D"/>
    <w:rsid w:val="00717C6F"/>
    <w:rsid w:val="00725797"/>
    <w:rsid w:val="007445DA"/>
    <w:rsid w:val="00744C92"/>
    <w:rsid w:val="007514B2"/>
    <w:rsid w:val="00754204"/>
    <w:rsid w:val="00755A2A"/>
    <w:rsid w:val="00766914"/>
    <w:rsid w:val="007841EF"/>
    <w:rsid w:val="007B44D1"/>
    <w:rsid w:val="007B4FD1"/>
    <w:rsid w:val="007B7D81"/>
    <w:rsid w:val="007C3E19"/>
    <w:rsid w:val="007C4A05"/>
    <w:rsid w:val="007C6552"/>
    <w:rsid w:val="007C6A4A"/>
    <w:rsid w:val="007E7EF1"/>
    <w:rsid w:val="00802381"/>
    <w:rsid w:val="008218E8"/>
    <w:rsid w:val="00824929"/>
    <w:rsid w:val="00853A0F"/>
    <w:rsid w:val="00875BC3"/>
    <w:rsid w:val="008803D2"/>
    <w:rsid w:val="00883848"/>
    <w:rsid w:val="0088575B"/>
    <w:rsid w:val="00893E88"/>
    <w:rsid w:val="00895FE1"/>
    <w:rsid w:val="00896112"/>
    <w:rsid w:val="00897ED5"/>
    <w:rsid w:val="008B30F0"/>
    <w:rsid w:val="008B6BB9"/>
    <w:rsid w:val="008F7194"/>
    <w:rsid w:val="00911543"/>
    <w:rsid w:val="00920029"/>
    <w:rsid w:val="00950FE1"/>
    <w:rsid w:val="009519C9"/>
    <w:rsid w:val="00970817"/>
    <w:rsid w:val="009775CA"/>
    <w:rsid w:val="00980259"/>
    <w:rsid w:val="009C021D"/>
    <w:rsid w:val="009C2081"/>
    <w:rsid w:val="009D0B86"/>
    <w:rsid w:val="009E0D5B"/>
    <w:rsid w:val="009E1558"/>
    <w:rsid w:val="009E661D"/>
    <w:rsid w:val="00A01872"/>
    <w:rsid w:val="00A22D45"/>
    <w:rsid w:val="00A31968"/>
    <w:rsid w:val="00A42898"/>
    <w:rsid w:val="00A45FC2"/>
    <w:rsid w:val="00A73120"/>
    <w:rsid w:val="00AA639C"/>
    <w:rsid w:val="00AB6ACE"/>
    <w:rsid w:val="00AC5A3A"/>
    <w:rsid w:val="00AE2DCC"/>
    <w:rsid w:val="00B02DEA"/>
    <w:rsid w:val="00B05522"/>
    <w:rsid w:val="00B24F73"/>
    <w:rsid w:val="00B27C8F"/>
    <w:rsid w:val="00B42E88"/>
    <w:rsid w:val="00B82FA5"/>
    <w:rsid w:val="00B839D7"/>
    <w:rsid w:val="00B95582"/>
    <w:rsid w:val="00BA1746"/>
    <w:rsid w:val="00BA6C26"/>
    <w:rsid w:val="00BD1400"/>
    <w:rsid w:val="00BD605C"/>
    <w:rsid w:val="00BE0475"/>
    <w:rsid w:val="00BE2A76"/>
    <w:rsid w:val="00C0273F"/>
    <w:rsid w:val="00C04EEA"/>
    <w:rsid w:val="00C4614D"/>
    <w:rsid w:val="00C65E60"/>
    <w:rsid w:val="00C747D8"/>
    <w:rsid w:val="00C86894"/>
    <w:rsid w:val="00C86E6C"/>
    <w:rsid w:val="00CC3443"/>
    <w:rsid w:val="00CC5715"/>
    <w:rsid w:val="00CC62A2"/>
    <w:rsid w:val="00CE5A52"/>
    <w:rsid w:val="00CF7AF3"/>
    <w:rsid w:val="00D04EF8"/>
    <w:rsid w:val="00D105AD"/>
    <w:rsid w:val="00D13792"/>
    <w:rsid w:val="00D150D8"/>
    <w:rsid w:val="00D26ADA"/>
    <w:rsid w:val="00D351B4"/>
    <w:rsid w:val="00D35A78"/>
    <w:rsid w:val="00D555A1"/>
    <w:rsid w:val="00D64DC2"/>
    <w:rsid w:val="00D66758"/>
    <w:rsid w:val="00D815A4"/>
    <w:rsid w:val="00D9490C"/>
    <w:rsid w:val="00D94F18"/>
    <w:rsid w:val="00DA46CA"/>
    <w:rsid w:val="00DD7D5A"/>
    <w:rsid w:val="00DE5995"/>
    <w:rsid w:val="00DF21EB"/>
    <w:rsid w:val="00E20E70"/>
    <w:rsid w:val="00E2297E"/>
    <w:rsid w:val="00E25B68"/>
    <w:rsid w:val="00E51A07"/>
    <w:rsid w:val="00E734E2"/>
    <w:rsid w:val="00E84003"/>
    <w:rsid w:val="00E86AF7"/>
    <w:rsid w:val="00EA2048"/>
    <w:rsid w:val="00EA3D31"/>
    <w:rsid w:val="00EC10FC"/>
    <w:rsid w:val="00EE0041"/>
    <w:rsid w:val="00EE29B9"/>
    <w:rsid w:val="00F004EE"/>
    <w:rsid w:val="00F114CD"/>
    <w:rsid w:val="00F120A2"/>
    <w:rsid w:val="00F42E23"/>
    <w:rsid w:val="00F45EEE"/>
    <w:rsid w:val="00F477BC"/>
    <w:rsid w:val="00F47DC5"/>
    <w:rsid w:val="00F51E9C"/>
    <w:rsid w:val="00F523CA"/>
    <w:rsid w:val="00F546CD"/>
    <w:rsid w:val="00F74A9D"/>
    <w:rsid w:val="00FA6D5B"/>
    <w:rsid w:val="00FE1434"/>
    <w:rsid w:val="00FE5FAB"/>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qFormat="1"/>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Normal (Web)" w:uiPriority="99"/>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49"/>
    <w:locked/>
    <w:rsid w:val="00F114CD"/>
    <w:rPr>
      <w:color w:val="0000FF" w:themeColor="hyperlink"/>
      <w:u w:val="single"/>
    </w:rPr>
  </w:style>
  <w:style w:type="character" w:customStyle="1" w:styleId="UnresolvedMention1">
    <w:name w:val="Unresolved Mention1"/>
    <w:basedOn w:val="DefaultParagraphFont"/>
    <w:uiPriority w:val="99"/>
    <w:semiHidden/>
    <w:unhideWhenUsed/>
    <w:rsid w:val="00F114CD"/>
    <w:rPr>
      <w:color w:val="605E5C"/>
      <w:shd w:val="clear" w:color="auto" w:fill="E1DFDD"/>
    </w:rPr>
  </w:style>
  <w:style w:type="character" w:styleId="CommentReference">
    <w:name w:val="annotation reference"/>
    <w:basedOn w:val="DefaultParagraphFont"/>
    <w:uiPriority w:val="49"/>
    <w:locked/>
    <w:rsid w:val="002D433F"/>
    <w:rPr>
      <w:sz w:val="16"/>
      <w:szCs w:val="16"/>
    </w:rPr>
  </w:style>
  <w:style w:type="paragraph" w:styleId="CommentText">
    <w:name w:val="annotation text"/>
    <w:basedOn w:val="Normal"/>
    <w:link w:val="CommentTextChar"/>
    <w:uiPriority w:val="49"/>
    <w:locked/>
    <w:rsid w:val="002D433F"/>
    <w:rPr>
      <w:sz w:val="20"/>
    </w:rPr>
  </w:style>
  <w:style w:type="character" w:customStyle="1" w:styleId="CommentTextChar">
    <w:name w:val="Comment Text Char"/>
    <w:basedOn w:val="DefaultParagraphFont"/>
    <w:link w:val="CommentText"/>
    <w:uiPriority w:val="49"/>
    <w:rsid w:val="002D433F"/>
    <w:rPr>
      <w:lang w:eastAsia="en-US"/>
    </w:rPr>
  </w:style>
  <w:style w:type="paragraph" w:styleId="CommentSubject">
    <w:name w:val="annotation subject"/>
    <w:basedOn w:val="CommentText"/>
    <w:next w:val="CommentText"/>
    <w:link w:val="CommentSubjectChar"/>
    <w:uiPriority w:val="49"/>
    <w:locked/>
    <w:rsid w:val="002D433F"/>
    <w:rPr>
      <w:b/>
      <w:bCs/>
    </w:rPr>
  </w:style>
  <w:style w:type="character" w:customStyle="1" w:styleId="CommentSubjectChar">
    <w:name w:val="Comment Subject Char"/>
    <w:basedOn w:val="CommentTextChar"/>
    <w:link w:val="CommentSubject"/>
    <w:uiPriority w:val="49"/>
    <w:rsid w:val="002D433F"/>
    <w:rPr>
      <w:b/>
      <w:bCs/>
      <w:lang w:eastAsia="en-US"/>
    </w:rPr>
  </w:style>
  <w:style w:type="table" w:styleId="PlainTable2">
    <w:name w:val="Plain Table 2"/>
    <w:basedOn w:val="TableNormal"/>
    <w:uiPriority w:val="42"/>
    <w:rsid w:val="000B41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locked/>
    <w:rsid w:val="008F7194"/>
  </w:style>
  <w:style w:type="paragraph" w:styleId="Revision">
    <w:name w:val="Revision"/>
    <w:hidden/>
    <w:uiPriority w:val="99"/>
    <w:semiHidden/>
    <w:rsid w:val="003F0A19"/>
    <w:rPr>
      <w:sz w:val="22"/>
      <w:lang w:eastAsia="en-US"/>
    </w:rPr>
  </w:style>
  <w:style w:type="paragraph" w:styleId="NormalWeb">
    <w:name w:val="Normal (Web)"/>
    <w:basedOn w:val="Normal"/>
    <w:uiPriority w:val="99"/>
    <w:unhideWhenUsed/>
    <w:locked/>
    <w:rsid w:val="00BE0475"/>
    <w:pPr>
      <w:overflowPunct/>
      <w:autoSpaceDE/>
      <w:autoSpaceDN/>
      <w:adjustRightInd/>
      <w:spacing w:before="100" w:beforeAutospacing="1" w:after="100" w:afterAutospacing="1"/>
      <w:textAlignment w:val="auto"/>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483022">
      <w:bodyDiv w:val="1"/>
      <w:marLeft w:val="0"/>
      <w:marRight w:val="0"/>
      <w:marTop w:val="0"/>
      <w:marBottom w:val="0"/>
      <w:divBdr>
        <w:top w:val="none" w:sz="0" w:space="0" w:color="auto"/>
        <w:left w:val="none" w:sz="0" w:space="0" w:color="auto"/>
        <w:bottom w:val="none" w:sz="0" w:space="0" w:color="auto"/>
        <w:right w:val="none" w:sz="0" w:space="0" w:color="auto"/>
      </w:divBdr>
    </w:div>
    <w:div w:id="85004919">
      <w:bodyDiv w:val="1"/>
      <w:marLeft w:val="0"/>
      <w:marRight w:val="0"/>
      <w:marTop w:val="0"/>
      <w:marBottom w:val="0"/>
      <w:divBdr>
        <w:top w:val="none" w:sz="0" w:space="0" w:color="auto"/>
        <w:left w:val="none" w:sz="0" w:space="0" w:color="auto"/>
        <w:bottom w:val="none" w:sz="0" w:space="0" w:color="auto"/>
        <w:right w:val="none" w:sz="0" w:space="0" w:color="auto"/>
      </w:divBdr>
    </w:div>
    <w:div w:id="109782688">
      <w:bodyDiv w:val="1"/>
      <w:marLeft w:val="0"/>
      <w:marRight w:val="0"/>
      <w:marTop w:val="0"/>
      <w:marBottom w:val="0"/>
      <w:divBdr>
        <w:top w:val="none" w:sz="0" w:space="0" w:color="auto"/>
        <w:left w:val="none" w:sz="0" w:space="0" w:color="auto"/>
        <w:bottom w:val="none" w:sz="0" w:space="0" w:color="auto"/>
        <w:right w:val="none" w:sz="0" w:space="0" w:color="auto"/>
      </w:divBdr>
    </w:div>
    <w:div w:id="133833252">
      <w:bodyDiv w:val="1"/>
      <w:marLeft w:val="0"/>
      <w:marRight w:val="0"/>
      <w:marTop w:val="0"/>
      <w:marBottom w:val="0"/>
      <w:divBdr>
        <w:top w:val="none" w:sz="0" w:space="0" w:color="auto"/>
        <w:left w:val="none" w:sz="0" w:space="0" w:color="auto"/>
        <w:bottom w:val="none" w:sz="0" w:space="0" w:color="auto"/>
        <w:right w:val="none" w:sz="0" w:space="0" w:color="auto"/>
      </w:divBdr>
    </w:div>
    <w:div w:id="160512507">
      <w:bodyDiv w:val="1"/>
      <w:marLeft w:val="0"/>
      <w:marRight w:val="0"/>
      <w:marTop w:val="0"/>
      <w:marBottom w:val="0"/>
      <w:divBdr>
        <w:top w:val="none" w:sz="0" w:space="0" w:color="auto"/>
        <w:left w:val="none" w:sz="0" w:space="0" w:color="auto"/>
        <w:bottom w:val="none" w:sz="0" w:space="0" w:color="auto"/>
        <w:right w:val="none" w:sz="0" w:space="0" w:color="auto"/>
      </w:divBdr>
    </w:div>
    <w:div w:id="210308903">
      <w:bodyDiv w:val="1"/>
      <w:marLeft w:val="0"/>
      <w:marRight w:val="0"/>
      <w:marTop w:val="0"/>
      <w:marBottom w:val="0"/>
      <w:divBdr>
        <w:top w:val="none" w:sz="0" w:space="0" w:color="auto"/>
        <w:left w:val="none" w:sz="0" w:space="0" w:color="auto"/>
        <w:bottom w:val="none" w:sz="0" w:space="0" w:color="auto"/>
        <w:right w:val="none" w:sz="0" w:space="0" w:color="auto"/>
      </w:divBdr>
    </w:div>
    <w:div w:id="244801989">
      <w:bodyDiv w:val="1"/>
      <w:marLeft w:val="0"/>
      <w:marRight w:val="0"/>
      <w:marTop w:val="0"/>
      <w:marBottom w:val="0"/>
      <w:divBdr>
        <w:top w:val="none" w:sz="0" w:space="0" w:color="auto"/>
        <w:left w:val="none" w:sz="0" w:space="0" w:color="auto"/>
        <w:bottom w:val="none" w:sz="0" w:space="0" w:color="auto"/>
        <w:right w:val="none" w:sz="0" w:space="0" w:color="auto"/>
      </w:divBdr>
    </w:div>
    <w:div w:id="509947555">
      <w:bodyDiv w:val="1"/>
      <w:marLeft w:val="0"/>
      <w:marRight w:val="0"/>
      <w:marTop w:val="0"/>
      <w:marBottom w:val="0"/>
      <w:divBdr>
        <w:top w:val="none" w:sz="0" w:space="0" w:color="auto"/>
        <w:left w:val="none" w:sz="0" w:space="0" w:color="auto"/>
        <w:bottom w:val="none" w:sz="0" w:space="0" w:color="auto"/>
        <w:right w:val="none" w:sz="0" w:space="0" w:color="auto"/>
      </w:divBdr>
    </w:div>
    <w:div w:id="517474787">
      <w:bodyDiv w:val="1"/>
      <w:marLeft w:val="0"/>
      <w:marRight w:val="0"/>
      <w:marTop w:val="0"/>
      <w:marBottom w:val="0"/>
      <w:divBdr>
        <w:top w:val="none" w:sz="0" w:space="0" w:color="auto"/>
        <w:left w:val="none" w:sz="0" w:space="0" w:color="auto"/>
        <w:bottom w:val="none" w:sz="0" w:space="0" w:color="auto"/>
        <w:right w:val="none" w:sz="0" w:space="0" w:color="auto"/>
      </w:divBdr>
    </w:div>
    <w:div w:id="533730804">
      <w:bodyDiv w:val="1"/>
      <w:marLeft w:val="0"/>
      <w:marRight w:val="0"/>
      <w:marTop w:val="0"/>
      <w:marBottom w:val="0"/>
      <w:divBdr>
        <w:top w:val="none" w:sz="0" w:space="0" w:color="auto"/>
        <w:left w:val="none" w:sz="0" w:space="0" w:color="auto"/>
        <w:bottom w:val="none" w:sz="0" w:space="0" w:color="auto"/>
        <w:right w:val="none" w:sz="0" w:space="0" w:color="auto"/>
      </w:divBdr>
    </w:div>
    <w:div w:id="543904689">
      <w:bodyDiv w:val="1"/>
      <w:marLeft w:val="0"/>
      <w:marRight w:val="0"/>
      <w:marTop w:val="0"/>
      <w:marBottom w:val="0"/>
      <w:divBdr>
        <w:top w:val="none" w:sz="0" w:space="0" w:color="auto"/>
        <w:left w:val="none" w:sz="0" w:space="0" w:color="auto"/>
        <w:bottom w:val="none" w:sz="0" w:space="0" w:color="auto"/>
        <w:right w:val="none" w:sz="0" w:space="0" w:color="auto"/>
      </w:divBdr>
    </w:div>
    <w:div w:id="619335922">
      <w:bodyDiv w:val="1"/>
      <w:marLeft w:val="0"/>
      <w:marRight w:val="0"/>
      <w:marTop w:val="0"/>
      <w:marBottom w:val="0"/>
      <w:divBdr>
        <w:top w:val="none" w:sz="0" w:space="0" w:color="auto"/>
        <w:left w:val="none" w:sz="0" w:space="0" w:color="auto"/>
        <w:bottom w:val="none" w:sz="0" w:space="0" w:color="auto"/>
        <w:right w:val="none" w:sz="0" w:space="0" w:color="auto"/>
      </w:divBdr>
    </w:div>
    <w:div w:id="625358347">
      <w:bodyDiv w:val="1"/>
      <w:marLeft w:val="0"/>
      <w:marRight w:val="0"/>
      <w:marTop w:val="0"/>
      <w:marBottom w:val="0"/>
      <w:divBdr>
        <w:top w:val="none" w:sz="0" w:space="0" w:color="auto"/>
        <w:left w:val="none" w:sz="0" w:space="0" w:color="auto"/>
        <w:bottom w:val="none" w:sz="0" w:space="0" w:color="auto"/>
        <w:right w:val="none" w:sz="0" w:space="0" w:color="auto"/>
      </w:divBdr>
    </w:div>
    <w:div w:id="634020543">
      <w:bodyDiv w:val="1"/>
      <w:marLeft w:val="0"/>
      <w:marRight w:val="0"/>
      <w:marTop w:val="0"/>
      <w:marBottom w:val="0"/>
      <w:divBdr>
        <w:top w:val="none" w:sz="0" w:space="0" w:color="auto"/>
        <w:left w:val="none" w:sz="0" w:space="0" w:color="auto"/>
        <w:bottom w:val="none" w:sz="0" w:space="0" w:color="auto"/>
        <w:right w:val="none" w:sz="0" w:space="0" w:color="auto"/>
      </w:divBdr>
    </w:div>
    <w:div w:id="700714214">
      <w:bodyDiv w:val="1"/>
      <w:marLeft w:val="0"/>
      <w:marRight w:val="0"/>
      <w:marTop w:val="0"/>
      <w:marBottom w:val="0"/>
      <w:divBdr>
        <w:top w:val="none" w:sz="0" w:space="0" w:color="auto"/>
        <w:left w:val="none" w:sz="0" w:space="0" w:color="auto"/>
        <w:bottom w:val="none" w:sz="0" w:space="0" w:color="auto"/>
        <w:right w:val="none" w:sz="0" w:space="0" w:color="auto"/>
      </w:divBdr>
    </w:div>
    <w:div w:id="734350742">
      <w:bodyDiv w:val="1"/>
      <w:marLeft w:val="0"/>
      <w:marRight w:val="0"/>
      <w:marTop w:val="0"/>
      <w:marBottom w:val="0"/>
      <w:divBdr>
        <w:top w:val="none" w:sz="0" w:space="0" w:color="auto"/>
        <w:left w:val="none" w:sz="0" w:space="0" w:color="auto"/>
        <w:bottom w:val="none" w:sz="0" w:space="0" w:color="auto"/>
        <w:right w:val="none" w:sz="0" w:space="0" w:color="auto"/>
      </w:divBdr>
    </w:div>
    <w:div w:id="750659472">
      <w:bodyDiv w:val="1"/>
      <w:marLeft w:val="0"/>
      <w:marRight w:val="0"/>
      <w:marTop w:val="0"/>
      <w:marBottom w:val="0"/>
      <w:divBdr>
        <w:top w:val="none" w:sz="0" w:space="0" w:color="auto"/>
        <w:left w:val="none" w:sz="0" w:space="0" w:color="auto"/>
        <w:bottom w:val="none" w:sz="0" w:space="0" w:color="auto"/>
        <w:right w:val="none" w:sz="0" w:space="0" w:color="auto"/>
      </w:divBdr>
    </w:div>
    <w:div w:id="764569958">
      <w:bodyDiv w:val="1"/>
      <w:marLeft w:val="0"/>
      <w:marRight w:val="0"/>
      <w:marTop w:val="0"/>
      <w:marBottom w:val="0"/>
      <w:divBdr>
        <w:top w:val="none" w:sz="0" w:space="0" w:color="auto"/>
        <w:left w:val="none" w:sz="0" w:space="0" w:color="auto"/>
        <w:bottom w:val="none" w:sz="0" w:space="0" w:color="auto"/>
        <w:right w:val="none" w:sz="0" w:space="0" w:color="auto"/>
      </w:divBdr>
    </w:div>
    <w:div w:id="829902082">
      <w:bodyDiv w:val="1"/>
      <w:marLeft w:val="0"/>
      <w:marRight w:val="0"/>
      <w:marTop w:val="0"/>
      <w:marBottom w:val="0"/>
      <w:divBdr>
        <w:top w:val="none" w:sz="0" w:space="0" w:color="auto"/>
        <w:left w:val="none" w:sz="0" w:space="0" w:color="auto"/>
        <w:bottom w:val="none" w:sz="0" w:space="0" w:color="auto"/>
        <w:right w:val="none" w:sz="0" w:space="0" w:color="auto"/>
      </w:divBdr>
    </w:div>
    <w:div w:id="852186630">
      <w:bodyDiv w:val="1"/>
      <w:marLeft w:val="0"/>
      <w:marRight w:val="0"/>
      <w:marTop w:val="0"/>
      <w:marBottom w:val="0"/>
      <w:divBdr>
        <w:top w:val="none" w:sz="0" w:space="0" w:color="auto"/>
        <w:left w:val="none" w:sz="0" w:space="0" w:color="auto"/>
        <w:bottom w:val="none" w:sz="0" w:space="0" w:color="auto"/>
        <w:right w:val="none" w:sz="0" w:space="0" w:color="auto"/>
      </w:divBdr>
    </w:div>
    <w:div w:id="884637041">
      <w:bodyDiv w:val="1"/>
      <w:marLeft w:val="0"/>
      <w:marRight w:val="0"/>
      <w:marTop w:val="0"/>
      <w:marBottom w:val="0"/>
      <w:divBdr>
        <w:top w:val="none" w:sz="0" w:space="0" w:color="auto"/>
        <w:left w:val="none" w:sz="0" w:space="0" w:color="auto"/>
        <w:bottom w:val="none" w:sz="0" w:space="0" w:color="auto"/>
        <w:right w:val="none" w:sz="0" w:space="0" w:color="auto"/>
      </w:divBdr>
    </w:div>
    <w:div w:id="886449798">
      <w:bodyDiv w:val="1"/>
      <w:marLeft w:val="0"/>
      <w:marRight w:val="0"/>
      <w:marTop w:val="0"/>
      <w:marBottom w:val="0"/>
      <w:divBdr>
        <w:top w:val="none" w:sz="0" w:space="0" w:color="auto"/>
        <w:left w:val="none" w:sz="0" w:space="0" w:color="auto"/>
        <w:bottom w:val="none" w:sz="0" w:space="0" w:color="auto"/>
        <w:right w:val="none" w:sz="0" w:space="0" w:color="auto"/>
      </w:divBdr>
    </w:div>
    <w:div w:id="897126326">
      <w:bodyDiv w:val="1"/>
      <w:marLeft w:val="0"/>
      <w:marRight w:val="0"/>
      <w:marTop w:val="0"/>
      <w:marBottom w:val="0"/>
      <w:divBdr>
        <w:top w:val="none" w:sz="0" w:space="0" w:color="auto"/>
        <w:left w:val="none" w:sz="0" w:space="0" w:color="auto"/>
        <w:bottom w:val="none" w:sz="0" w:space="0" w:color="auto"/>
        <w:right w:val="none" w:sz="0" w:space="0" w:color="auto"/>
      </w:divBdr>
    </w:div>
    <w:div w:id="932589674">
      <w:bodyDiv w:val="1"/>
      <w:marLeft w:val="0"/>
      <w:marRight w:val="0"/>
      <w:marTop w:val="0"/>
      <w:marBottom w:val="0"/>
      <w:divBdr>
        <w:top w:val="none" w:sz="0" w:space="0" w:color="auto"/>
        <w:left w:val="none" w:sz="0" w:space="0" w:color="auto"/>
        <w:bottom w:val="none" w:sz="0" w:space="0" w:color="auto"/>
        <w:right w:val="none" w:sz="0" w:space="0" w:color="auto"/>
      </w:divBdr>
    </w:div>
    <w:div w:id="932709821">
      <w:bodyDiv w:val="1"/>
      <w:marLeft w:val="0"/>
      <w:marRight w:val="0"/>
      <w:marTop w:val="0"/>
      <w:marBottom w:val="0"/>
      <w:divBdr>
        <w:top w:val="none" w:sz="0" w:space="0" w:color="auto"/>
        <w:left w:val="none" w:sz="0" w:space="0" w:color="auto"/>
        <w:bottom w:val="none" w:sz="0" w:space="0" w:color="auto"/>
        <w:right w:val="none" w:sz="0" w:space="0" w:color="auto"/>
      </w:divBdr>
    </w:div>
    <w:div w:id="956107084">
      <w:bodyDiv w:val="1"/>
      <w:marLeft w:val="0"/>
      <w:marRight w:val="0"/>
      <w:marTop w:val="0"/>
      <w:marBottom w:val="0"/>
      <w:divBdr>
        <w:top w:val="none" w:sz="0" w:space="0" w:color="auto"/>
        <w:left w:val="none" w:sz="0" w:space="0" w:color="auto"/>
        <w:bottom w:val="none" w:sz="0" w:space="0" w:color="auto"/>
        <w:right w:val="none" w:sz="0" w:space="0" w:color="auto"/>
      </w:divBdr>
    </w:div>
    <w:div w:id="965231914">
      <w:bodyDiv w:val="1"/>
      <w:marLeft w:val="0"/>
      <w:marRight w:val="0"/>
      <w:marTop w:val="0"/>
      <w:marBottom w:val="0"/>
      <w:divBdr>
        <w:top w:val="none" w:sz="0" w:space="0" w:color="auto"/>
        <w:left w:val="none" w:sz="0" w:space="0" w:color="auto"/>
        <w:bottom w:val="none" w:sz="0" w:space="0" w:color="auto"/>
        <w:right w:val="none" w:sz="0" w:space="0" w:color="auto"/>
      </w:divBdr>
    </w:div>
    <w:div w:id="983199775">
      <w:bodyDiv w:val="1"/>
      <w:marLeft w:val="0"/>
      <w:marRight w:val="0"/>
      <w:marTop w:val="0"/>
      <w:marBottom w:val="0"/>
      <w:divBdr>
        <w:top w:val="none" w:sz="0" w:space="0" w:color="auto"/>
        <w:left w:val="none" w:sz="0" w:space="0" w:color="auto"/>
        <w:bottom w:val="none" w:sz="0" w:space="0" w:color="auto"/>
        <w:right w:val="none" w:sz="0" w:space="0" w:color="auto"/>
      </w:divBdr>
    </w:div>
    <w:div w:id="1041827431">
      <w:bodyDiv w:val="1"/>
      <w:marLeft w:val="0"/>
      <w:marRight w:val="0"/>
      <w:marTop w:val="0"/>
      <w:marBottom w:val="0"/>
      <w:divBdr>
        <w:top w:val="none" w:sz="0" w:space="0" w:color="auto"/>
        <w:left w:val="none" w:sz="0" w:space="0" w:color="auto"/>
        <w:bottom w:val="none" w:sz="0" w:space="0" w:color="auto"/>
        <w:right w:val="none" w:sz="0" w:space="0" w:color="auto"/>
      </w:divBdr>
    </w:div>
    <w:div w:id="1148205082">
      <w:bodyDiv w:val="1"/>
      <w:marLeft w:val="0"/>
      <w:marRight w:val="0"/>
      <w:marTop w:val="0"/>
      <w:marBottom w:val="0"/>
      <w:divBdr>
        <w:top w:val="none" w:sz="0" w:space="0" w:color="auto"/>
        <w:left w:val="none" w:sz="0" w:space="0" w:color="auto"/>
        <w:bottom w:val="none" w:sz="0" w:space="0" w:color="auto"/>
        <w:right w:val="none" w:sz="0" w:space="0" w:color="auto"/>
      </w:divBdr>
    </w:div>
    <w:div w:id="1164857846">
      <w:bodyDiv w:val="1"/>
      <w:marLeft w:val="0"/>
      <w:marRight w:val="0"/>
      <w:marTop w:val="0"/>
      <w:marBottom w:val="0"/>
      <w:divBdr>
        <w:top w:val="none" w:sz="0" w:space="0" w:color="auto"/>
        <w:left w:val="none" w:sz="0" w:space="0" w:color="auto"/>
        <w:bottom w:val="none" w:sz="0" w:space="0" w:color="auto"/>
        <w:right w:val="none" w:sz="0" w:space="0" w:color="auto"/>
      </w:divBdr>
    </w:div>
    <w:div w:id="1188300063">
      <w:bodyDiv w:val="1"/>
      <w:marLeft w:val="0"/>
      <w:marRight w:val="0"/>
      <w:marTop w:val="0"/>
      <w:marBottom w:val="0"/>
      <w:divBdr>
        <w:top w:val="none" w:sz="0" w:space="0" w:color="auto"/>
        <w:left w:val="none" w:sz="0" w:space="0" w:color="auto"/>
        <w:bottom w:val="none" w:sz="0" w:space="0" w:color="auto"/>
        <w:right w:val="none" w:sz="0" w:space="0" w:color="auto"/>
      </w:divBdr>
    </w:div>
    <w:div w:id="1211187248">
      <w:bodyDiv w:val="1"/>
      <w:marLeft w:val="0"/>
      <w:marRight w:val="0"/>
      <w:marTop w:val="0"/>
      <w:marBottom w:val="0"/>
      <w:divBdr>
        <w:top w:val="none" w:sz="0" w:space="0" w:color="auto"/>
        <w:left w:val="none" w:sz="0" w:space="0" w:color="auto"/>
        <w:bottom w:val="none" w:sz="0" w:space="0" w:color="auto"/>
        <w:right w:val="none" w:sz="0" w:space="0" w:color="auto"/>
      </w:divBdr>
    </w:div>
    <w:div w:id="1264537021">
      <w:bodyDiv w:val="1"/>
      <w:marLeft w:val="0"/>
      <w:marRight w:val="0"/>
      <w:marTop w:val="0"/>
      <w:marBottom w:val="0"/>
      <w:divBdr>
        <w:top w:val="none" w:sz="0" w:space="0" w:color="auto"/>
        <w:left w:val="none" w:sz="0" w:space="0" w:color="auto"/>
        <w:bottom w:val="none" w:sz="0" w:space="0" w:color="auto"/>
        <w:right w:val="none" w:sz="0" w:space="0" w:color="auto"/>
      </w:divBdr>
    </w:div>
    <w:div w:id="1287279051">
      <w:bodyDiv w:val="1"/>
      <w:marLeft w:val="0"/>
      <w:marRight w:val="0"/>
      <w:marTop w:val="0"/>
      <w:marBottom w:val="0"/>
      <w:divBdr>
        <w:top w:val="none" w:sz="0" w:space="0" w:color="auto"/>
        <w:left w:val="none" w:sz="0" w:space="0" w:color="auto"/>
        <w:bottom w:val="none" w:sz="0" w:space="0" w:color="auto"/>
        <w:right w:val="none" w:sz="0" w:space="0" w:color="auto"/>
      </w:divBdr>
    </w:div>
    <w:div w:id="1491948589">
      <w:bodyDiv w:val="1"/>
      <w:marLeft w:val="0"/>
      <w:marRight w:val="0"/>
      <w:marTop w:val="0"/>
      <w:marBottom w:val="0"/>
      <w:divBdr>
        <w:top w:val="none" w:sz="0" w:space="0" w:color="auto"/>
        <w:left w:val="none" w:sz="0" w:space="0" w:color="auto"/>
        <w:bottom w:val="none" w:sz="0" w:space="0" w:color="auto"/>
        <w:right w:val="none" w:sz="0" w:space="0" w:color="auto"/>
      </w:divBdr>
    </w:div>
    <w:div w:id="1542664354">
      <w:bodyDiv w:val="1"/>
      <w:marLeft w:val="0"/>
      <w:marRight w:val="0"/>
      <w:marTop w:val="0"/>
      <w:marBottom w:val="0"/>
      <w:divBdr>
        <w:top w:val="none" w:sz="0" w:space="0" w:color="auto"/>
        <w:left w:val="none" w:sz="0" w:space="0" w:color="auto"/>
        <w:bottom w:val="none" w:sz="0" w:space="0" w:color="auto"/>
        <w:right w:val="none" w:sz="0" w:space="0" w:color="auto"/>
      </w:divBdr>
    </w:div>
    <w:div w:id="1596283861">
      <w:bodyDiv w:val="1"/>
      <w:marLeft w:val="0"/>
      <w:marRight w:val="0"/>
      <w:marTop w:val="0"/>
      <w:marBottom w:val="0"/>
      <w:divBdr>
        <w:top w:val="none" w:sz="0" w:space="0" w:color="auto"/>
        <w:left w:val="none" w:sz="0" w:space="0" w:color="auto"/>
        <w:bottom w:val="none" w:sz="0" w:space="0" w:color="auto"/>
        <w:right w:val="none" w:sz="0" w:space="0" w:color="auto"/>
      </w:divBdr>
    </w:div>
    <w:div w:id="1606839015">
      <w:bodyDiv w:val="1"/>
      <w:marLeft w:val="0"/>
      <w:marRight w:val="0"/>
      <w:marTop w:val="0"/>
      <w:marBottom w:val="0"/>
      <w:divBdr>
        <w:top w:val="none" w:sz="0" w:space="0" w:color="auto"/>
        <w:left w:val="none" w:sz="0" w:space="0" w:color="auto"/>
        <w:bottom w:val="none" w:sz="0" w:space="0" w:color="auto"/>
        <w:right w:val="none" w:sz="0" w:space="0" w:color="auto"/>
      </w:divBdr>
    </w:div>
    <w:div w:id="1607545601">
      <w:bodyDiv w:val="1"/>
      <w:marLeft w:val="0"/>
      <w:marRight w:val="0"/>
      <w:marTop w:val="0"/>
      <w:marBottom w:val="0"/>
      <w:divBdr>
        <w:top w:val="none" w:sz="0" w:space="0" w:color="auto"/>
        <w:left w:val="none" w:sz="0" w:space="0" w:color="auto"/>
        <w:bottom w:val="none" w:sz="0" w:space="0" w:color="auto"/>
        <w:right w:val="none" w:sz="0" w:space="0" w:color="auto"/>
      </w:divBdr>
    </w:div>
    <w:div w:id="1648782612">
      <w:bodyDiv w:val="1"/>
      <w:marLeft w:val="0"/>
      <w:marRight w:val="0"/>
      <w:marTop w:val="0"/>
      <w:marBottom w:val="0"/>
      <w:divBdr>
        <w:top w:val="none" w:sz="0" w:space="0" w:color="auto"/>
        <w:left w:val="none" w:sz="0" w:space="0" w:color="auto"/>
        <w:bottom w:val="none" w:sz="0" w:space="0" w:color="auto"/>
        <w:right w:val="none" w:sz="0" w:space="0" w:color="auto"/>
      </w:divBdr>
    </w:div>
    <w:div w:id="1796436829">
      <w:bodyDiv w:val="1"/>
      <w:marLeft w:val="0"/>
      <w:marRight w:val="0"/>
      <w:marTop w:val="0"/>
      <w:marBottom w:val="0"/>
      <w:divBdr>
        <w:top w:val="none" w:sz="0" w:space="0" w:color="auto"/>
        <w:left w:val="none" w:sz="0" w:space="0" w:color="auto"/>
        <w:bottom w:val="none" w:sz="0" w:space="0" w:color="auto"/>
        <w:right w:val="none" w:sz="0" w:space="0" w:color="auto"/>
      </w:divBdr>
    </w:div>
    <w:div w:id="1802840900">
      <w:bodyDiv w:val="1"/>
      <w:marLeft w:val="0"/>
      <w:marRight w:val="0"/>
      <w:marTop w:val="0"/>
      <w:marBottom w:val="0"/>
      <w:divBdr>
        <w:top w:val="none" w:sz="0" w:space="0" w:color="auto"/>
        <w:left w:val="none" w:sz="0" w:space="0" w:color="auto"/>
        <w:bottom w:val="none" w:sz="0" w:space="0" w:color="auto"/>
        <w:right w:val="none" w:sz="0" w:space="0" w:color="auto"/>
      </w:divBdr>
    </w:div>
    <w:div w:id="1835149467">
      <w:bodyDiv w:val="1"/>
      <w:marLeft w:val="0"/>
      <w:marRight w:val="0"/>
      <w:marTop w:val="0"/>
      <w:marBottom w:val="0"/>
      <w:divBdr>
        <w:top w:val="none" w:sz="0" w:space="0" w:color="auto"/>
        <w:left w:val="none" w:sz="0" w:space="0" w:color="auto"/>
        <w:bottom w:val="none" w:sz="0" w:space="0" w:color="auto"/>
        <w:right w:val="none" w:sz="0" w:space="0" w:color="auto"/>
      </w:divBdr>
    </w:div>
    <w:div w:id="1855656402">
      <w:bodyDiv w:val="1"/>
      <w:marLeft w:val="0"/>
      <w:marRight w:val="0"/>
      <w:marTop w:val="0"/>
      <w:marBottom w:val="0"/>
      <w:divBdr>
        <w:top w:val="none" w:sz="0" w:space="0" w:color="auto"/>
        <w:left w:val="none" w:sz="0" w:space="0" w:color="auto"/>
        <w:bottom w:val="none" w:sz="0" w:space="0" w:color="auto"/>
        <w:right w:val="none" w:sz="0" w:space="0" w:color="auto"/>
      </w:divBdr>
    </w:div>
    <w:div w:id="1862084849">
      <w:bodyDiv w:val="1"/>
      <w:marLeft w:val="0"/>
      <w:marRight w:val="0"/>
      <w:marTop w:val="0"/>
      <w:marBottom w:val="0"/>
      <w:divBdr>
        <w:top w:val="none" w:sz="0" w:space="0" w:color="auto"/>
        <w:left w:val="none" w:sz="0" w:space="0" w:color="auto"/>
        <w:bottom w:val="none" w:sz="0" w:space="0" w:color="auto"/>
        <w:right w:val="none" w:sz="0" w:space="0" w:color="auto"/>
      </w:divBdr>
    </w:div>
    <w:div w:id="1878740610">
      <w:bodyDiv w:val="1"/>
      <w:marLeft w:val="0"/>
      <w:marRight w:val="0"/>
      <w:marTop w:val="0"/>
      <w:marBottom w:val="0"/>
      <w:divBdr>
        <w:top w:val="none" w:sz="0" w:space="0" w:color="auto"/>
        <w:left w:val="none" w:sz="0" w:space="0" w:color="auto"/>
        <w:bottom w:val="none" w:sz="0" w:space="0" w:color="auto"/>
        <w:right w:val="none" w:sz="0" w:space="0" w:color="auto"/>
      </w:divBdr>
    </w:div>
    <w:div w:id="1892112619">
      <w:bodyDiv w:val="1"/>
      <w:marLeft w:val="0"/>
      <w:marRight w:val="0"/>
      <w:marTop w:val="0"/>
      <w:marBottom w:val="0"/>
      <w:divBdr>
        <w:top w:val="none" w:sz="0" w:space="0" w:color="auto"/>
        <w:left w:val="none" w:sz="0" w:space="0" w:color="auto"/>
        <w:bottom w:val="none" w:sz="0" w:space="0" w:color="auto"/>
        <w:right w:val="none" w:sz="0" w:space="0" w:color="auto"/>
      </w:divBdr>
    </w:div>
    <w:div w:id="1934893162">
      <w:bodyDiv w:val="1"/>
      <w:marLeft w:val="0"/>
      <w:marRight w:val="0"/>
      <w:marTop w:val="0"/>
      <w:marBottom w:val="0"/>
      <w:divBdr>
        <w:top w:val="none" w:sz="0" w:space="0" w:color="auto"/>
        <w:left w:val="none" w:sz="0" w:space="0" w:color="auto"/>
        <w:bottom w:val="none" w:sz="0" w:space="0" w:color="auto"/>
        <w:right w:val="none" w:sz="0" w:space="0" w:color="auto"/>
      </w:divBdr>
    </w:div>
    <w:div w:id="2001230158">
      <w:bodyDiv w:val="1"/>
      <w:marLeft w:val="0"/>
      <w:marRight w:val="0"/>
      <w:marTop w:val="0"/>
      <w:marBottom w:val="0"/>
      <w:divBdr>
        <w:top w:val="none" w:sz="0" w:space="0" w:color="auto"/>
        <w:left w:val="none" w:sz="0" w:space="0" w:color="auto"/>
        <w:bottom w:val="none" w:sz="0" w:space="0" w:color="auto"/>
        <w:right w:val="none" w:sz="0" w:space="0" w:color="auto"/>
      </w:divBdr>
    </w:div>
    <w:div w:id="2061517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arron@nrg.e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Int22</b:Tag>
    <b:SourceType>DocumentFromInternetSite</b:SourceType>
    <b:Guid>{4439CDE7-7212-4783-AF33-D9BB9952FAAF}</b:Guid>
    <b:Title>Nuclear power can play a major role in enabling secure transitions to low emissions energy systems</b:Title>
    <b:Year>2022</b:Year>
    <b:InternetSiteTitle>IEA</b:InternetSiteTitle>
    <b:Month>June</b:Month>
    <b:Day>30</b:Day>
    <b:URL>https://www.iea.org/news/nuclear-power-can-play-a-major-role-in-enabling-secure-transitions-to-low-emissions-energy-systems</b:URL>
    <b:Author>
      <b:Author>
        <b:Corporate>International Energy Agency</b:Corporate>
      </b:Author>
    </b:Author>
    <b:RefOrder>1</b:RefOrder>
  </b:Source>
  <b:Source>
    <b:Tag>Int23</b:Tag>
    <b:SourceType>InternetSite</b:SourceType>
    <b:Guid>{79B6A6D2-3A1F-4208-ACE4-48F6F6EC1D20}</b:Guid>
    <b:Title>What are Small Modular Reactors (SMRs)?</b:Title>
    <b:Year>2023</b:Year>
    <b:Month>September</b:Month>
    <b:Day>13</b:Day>
    <b:URL>https://www.iaea.org/newscenter/news/what-are-small-modular-reactors-smrs</b:URL>
    <b:Author>
      <b:Author>
        <b:Corporate>International Atomic Energy Agency</b:Corporate>
      </b:Author>
    </b:Author>
    <b:ProductionCompany>IAEA</b:ProductionCompany>
    <b:RefOrder>2</b:RefOrder>
  </b:Source>
  <b:Source>
    <b:Tag>DAg24</b:Tag>
    <b:SourceType>JournalArticle</b:SourceType>
    <b:Guid>{BE27962E-8A41-4DDE-83B2-CF38FF03926A}</b:Guid>
    <b:Title>The LYRA-10 experiment: Irradiation of Light Water Reactor Pressure Vessel with systematic variations in Ni, Mn and Si contents to assess Long Term Operation enhanced embrittlement</b:Title>
    <b:Year>2024</b:Year>
    <b:JournalName>TBC...</b:JournalName>
    <b:Pages>TBC...</b:Pages>
    <b:Volume>TBC...</b:Volume>
    <b:Issue>TBC...</b:Issue>
    <b:Author>
      <b:Author>
        <b:NameList>
          <b:Person>
            <b:Last>D'Agata</b:Last>
            <b:First>E</b:First>
          </b:Person>
          <b:Person>
            <b:Last>Acosta Iborra</b:Last>
            <b:First>B</b:First>
          </b:Person>
          <b:Person>
            <b:Last>Magielsen</b:Last>
            <b:Middle>J</b:Middle>
            <b:First>A</b:First>
          </b:Person>
          <b:Person>
            <b:Last>Kolluri</b:Last>
            <b:First>M</b:First>
          </b:Person>
          <b:Person>
            <b:Last>Martin</b:Last>
            <b:First>O</b:First>
          </b:Person>
          <b:Person>
            <b:Last>Sciolla</b:Last>
            <b:First>C</b:First>
          </b:Person>
          <b:Person>
            <b:Last>Okel</b:Last>
            <b:Middle>F</b:Middle>
            <b:First>R.A</b:First>
          </b:Person>
          <b:Person>
            <b:Last>Straathof</b:Last>
            <b:Middle>T</b:Middle>
            <b:First>B</b:First>
          </b:Person>
        </b:NameList>
      </b:Author>
    </b:Author>
    <b:RefOrder>5</b:RefOrder>
  </b:Source>
  <b:Source>
    <b:Tag>Roe24</b:Tag>
    <b:SourceType>JournalArticle</b:SourceType>
    <b:Guid>{0BFDD7FF-A1E1-4E95-8B5C-50DD09705707}</b:Guid>
    <b:Title>Highlights and outlook of the Dutch PIONEER 2021–2024 R&amp;D program</b:Title>
    <b:JournalName>Nuclear Engineering and Design</b:JournalName>
    <b:Year>2024</b:Year>
    <b:Pages>112873</b:Pages>
    <b:Volume>417</b:Volume>
    <b:Author>
      <b:Author>
        <b:NameList>
          <b:Person>
            <b:Last>Roelofs</b:Last>
            <b:First>Ferry</b:First>
          </b:Person>
          <b:Person>
            <b:Last>Breijder</b:Last>
            <b:First>Paul</b:First>
          </b:Person>
          <b:Person>
            <b:Last>Hania</b:Last>
            <b:First>Ralph</b:First>
          </b:Person>
          <b:Person>
            <b:Last>de With</b:Last>
            <b:First>Govert</b:First>
          </b:Person>
          <b:Person>
            <b:Last>de Haas</b:Last>
            <b:First>Geert-Jan</b:First>
          </b:Person>
          <b:Person>
            <b:Last>van den Broek</b:Last>
            <b:First>Joost</b:First>
          </b:Person>
          <b:Person>
            <b:Last>Schram</b:Last>
            <b:First>Ronald</b:First>
          </b:Person>
        </b:NameList>
      </b:Author>
    </b:Author>
    <b:RefOrder>4</b:RefOrder>
  </b:Source>
  <b:Source>
    <b:Tag>Han24</b:Tag>
    <b:SourceType>BookSection</b:SourceType>
    <b:Guid>{06DFD910-57C6-4035-BFCA-4C8FF96946CB}</b:Guid>
    <b:Title>Chapter 11 - Netherlands</b:Title>
    <b:Year>2024</b:Year>
    <b:Pages>57-73</b:Pages>
    <b:BookTitle>Global Progress on Molten Salt Reactors (Second Edition)</b:BookTitle>
    <b:Publisher>Woodhead Publishing Series in Energy</b:Publisher>
    <b:Author>
      <b:Author>
        <b:NameList>
          <b:Person>
            <b:Last>Hania</b:Last>
            <b:First>P. Ralph</b:First>
          </b:Person>
          <b:Person>
            <b:Last>Kloosterman</b:Last>
            <b:Middle>L</b:Middle>
            <b:First>Jan</b:First>
          </b:Person>
          <b:Person>
            <b:Last>Lathouwers</b:Last>
            <b:First>Danny</b:First>
          </b:Person>
          <b:Person>
            <b:Last>Perkó</b:Last>
            <b:First>Zoltán</b:First>
          </b:Person>
          <b:Person>
            <b:Last>Roelofs</b:Last>
            <b:First>Ferry</b:First>
          </b:Person>
          <b:Person>
            <b:Last>Rohde</b:Last>
            <b:First>Martin</b:First>
          </b:Person>
          <b:Person>
            <b:Last>Sietsma</b:Last>
            <b:First>Jilt</b:First>
          </b:Person>
          <b:Person>
            <b:Last>Smith</b:Last>
            <b:First>Anna</b:First>
          </b:Person>
        </b:NameList>
      </b:Author>
    </b:Author>
    <b:RefOrder>6</b:RefOrder>
  </b:Source>
  <b:Source>
    <b:Tag>NRG24</b:Tag>
    <b:SourceType>InternetSite</b:SourceType>
    <b:Guid>{E3579595-A745-4D31-B220-7DF99AB7A82B}</b:Guid>
    <b:Title>NRG. Nuclear for Life</b:Title>
    <b:Year>2024</b:Year>
    <b:Author>
      <b:Author>
        <b:Corporate>NRG</b:Corporate>
      </b:Author>
    </b:Author>
    <b:ProductionCompany>NRG</b:ProductionCompany>
    <b:YearAccessed>2024</b:YearAccessed>
    <b:MonthAccessed>May</b:MonthAccessed>
    <b:DayAccessed>30</b:DayAccessed>
    <b:URL>https://www.nrg.eu/en</b:URL>
    <b:RefOrder>3</b:RefOrder>
  </b:Source>
  <b:Source>
    <b:Tag>van21</b:Tag>
    <b:SourceType>Book</b:SourceType>
    <b:Guid>{E63971A7-D8B8-4ACB-9647-B3C7BE55FD83}</b:Guid>
    <b:Title>Symposium on RESQUE and REFEREE, Book of Abstract. BLG-890</b:Title>
    <b:Year>September2021</b:Year>
    <b:City>Mol, Belgium</b:City>
    <b:Author>
      <b:Author>
        <b:NameList>
          <b:Person>
            <b:Last>van Walle</b:Last>
            <b:First>Eric</b:First>
          </b:Person>
          <b:Person>
            <b:Last>Bolton</b:Last>
            <b:First>Chris</b:First>
          </b:Person>
        </b:NameList>
      </b:Author>
    </b:Author>
    <b:RefOrder>7</b:RefOrder>
  </b:Source>
  <b:Source>
    <b:Tag>Deb05</b:Tag>
    <b:SourceType>JournalArticle</b:SourceType>
    <b:Guid>{3CBF4263-4B1F-4C41-A67C-8A34CA0039B7}</b:Guid>
    <b:Title>Fluence Rate Effects on Irradiation Embrittlement of Model Alloys</b:Title>
    <b:Year>2005</b:Year>
    <b:JournalName>International Journal of Pressure Vessels and Piping</b:JournalName>
    <b:Pages>373-378</b:Pages>
    <b:Volume>82</b:Volume>
    <b:Author>
      <b:Author>
        <b:NameList>
          <b:Person>
            <b:Last>Debarberis</b:Last>
            <b:First>L</b:First>
          </b:Person>
          <b:Person>
            <b:Last>Sevini</b:Last>
            <b:First>F</b:First>
          </b:Person>
          <b:Person>
            <b:Last>Acosta Iborra</b:Last>
            <b:First>B</b:First>
          </b:Person>
          <b:Person>
            <b:Last>Kryuko</b:Last>
            <b:First>A</b:First>
          </b:Person>
          <b:Person>
            <b:Last>Frak</b:Last>
            <b:First>D</b:First>
          </b:Person>
        </b:NameList>
      </b:Author>
    </b:Author>
    <b:RefOrder>8</b:RefOrder>
  </b:Source>
  <b:Source>
    <b:Tag>Val</b:Tag>
    <b:SourceType>Report</b:SourceType>
    <b:Guid>{167804D3-7B72-46A9-82DD-01600351F079}</b:Guid>
    <b:Title>Fracture Mechanics Based Embrittlement Modelling (FRAME)</b:Title>
    <b:Publisher>in nuclear science and technology</b:Publisher>
    <b:Author>
      <b:Author>
        <b:NameList>
          <b:Person>
            <b:Last>Valo</b:Last>
            <b:First>Matti</b:First>
          </b:Person>
          <b:Person>
            <b:Last>Lucon</b:Last>
            <b:First>Enrico</b:First>
          </b:Person>
          <b:Person>
            <b:Last>Brumovsky</b:Last>
            <b:First>Milan</b:First>
          </b:Person>
          <b:Person>
            <b:Last>Acosta</b:Last>
            <b:First>Beatriz</b:First>
          </b:Person>
          <b:Person>
            <b:Last>Debarberis</b:Last>
            <b:First>Luigi</b:First>
          </b:Person>
          <b:Person>
            <b:Last>Kohopää</b:Last>
            <b:First>Jyrki</b:First>
          </b:Person>
          <b:Person>
            <b:Last>Gillemot</b:Last>
            <b:First>Ferenc</b:First>
          </b:Person>
          <b:Person>
            <b:Last>Horwath</b:Last>
            <b:First>Marta</b:First>
          </b:Person>
          <b:Person>
            <b:Last>Ehrnstén</b:Last>
            <b:First>Ulla</b:First>
          </b:Person>
        </b:NameList>
      </b:Author>
    </b:Author>
    <b:RefOrder>9</b:RefOrder>
  </b:Source>
  <b:Source>
    <b:Tag>Eur05</b:Tag>
    <b:SourceType>Report</b:SourceType>
    <b:Guid>{B31B5C88-ECAE-434F-8126-97D8CE6986CA}</b:Guid>
    <b:Author>
      <b:Author>
        <b:Corporate>European Commission</b:Corporate>
      </b:Author>
    </b:Author>
    <b:Title>Phosphorus Influence on Steels Ageing (PISA)</b:Title>
    <b:Year>2005</b:Year>
    <b:Publisher>nuclear science and technology</b:Publisher>
    <b:RefOrder>10</b:RefOrder>
  </b:Source>
</b:Sources>
</file>

<file path=customXml/itemProps1.xml><?xml version="1.0" encoding="utf-8"?>
<ds:datastoreItem xmlns:ds="http://schemas.openxmlformats.org/officeDocument/2006/customXml" ds:itemID="{83B96472-A890-4317-9B3E-6F6471963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40</TotalTime>
  <Pages>7</Pages>
  <Words>2785</Words>
  <Characters>16271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19018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Barron, N.J. (Nick)</cp:lastModifiedBy>
  <cp:revision>3</cp:revision>
  <cp:lastPrinted>2024-03-19T13:52:00Z</cp:lastPrinted>
  <dcterms:created xsi:type="dcterms:W3CDTF">2024-09-06T14:18:00Z</dcterms:created>
  <dcterms:modified xsi:type="dcterms:W3CDTF">2024-09-06T15:23:00Z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