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E50F87" w14:textId="389F2786" w:rsidR="003B5E0E" w:rsidRPr="003B5E0E" w:rsidRDefault="006519B8" w:rsidP="006519B8">
      <w:pPr>
        <w:pStyle w:val="Heading1"/>
      </w:pPr>
      <w:r w:rsidRPr="006519B8">
        <w:t>Advancing Nuclear Design: Optimizing Burnable Poison Configurations for Extended Cycle Small Modular Reactors</w:t>
      </w:r>
    </w:p>
    <w:p w14:paraId="21918FD4" w14:textId="77777777" w:rsidR="00802381" w:rsidRDefault="00802381" w:rsidP="00537496">
      <w:pPr>
        <w:pStyle w:val="Authornameandaffiliation"/>
      </w:pPr>
    </w:p>
    <w:p w14:paraId="68477887" w14:textId="4D3508F2" w:rsidR="003B5E0E" w:rsidRDefault="006519B8" w:rsidP="00537496">
      <w:pPr>
        <w:pStyle w:val="Authornameandaffiliation"/>
      </w:pPr>
      <w:bookmarkStart w:id="0" w:name="_Hlk158895777"/>
      <w:r w:rsidRPr="006519B8">
        <w:t>AIMAN DANDI</w:t>
      </w:r>
      <w:bookmarkEnd w:id="0"/>
    </w:p>
    <w:p w14:paraId="18E7BBF2" w14:textId="16A7ADD4" w:rsidR="00FF386F" w:rsidRDefault="006519B8" w:rsidP="00537496">
      <w:pPr>
        <w:pStyle w:val="Authornameandaffiliation"/>
      </w:pPr>
      <w:r w:rsidRPr="006519B8">
        <w:t>Libyan Atomic Energy Establishment</w:t>
      </w:r>
    </w:p>
    <w:p w14:paraId="0D21F1C8" w14:textId="04FA01DB" w:rsidR="00FF386F" w:rsidRDefault="006519B8" w:rsidP="00537496">
      <w:pPr>
        <w:pStyle w:val="Authornameandaffiliation"/>
      </w:pPr>
      <w:r w:rsidRPr="006519B8">
        <w:t>Sidi Abdeljaleel</w:t>
      </w:r>
      <w:r w:rsidR="00FF386F">
        <w:t>/</w:t>
      </w:r>
      <w:r w:rsidRPr="006519B8">
        <w:t>Janzour</w:t>
      </w:r>
      <w:r w:rsidR="00FF386F">
        <w:t xml:space="preserve">, </w:t>
      </w:r>
      <w:r w:rsidRPr="006519B8">
        <w:t>Libya</w:t>
      </w:r>
    </w:p>
    <w:p w14:paraId="6A454857" w14:textId="41F92548" w:rsidR="00FF386F" w:rsidRDefault="00FF386F" w:rsidP="00537496">
      <w:pPr>
        <w:pStyle w:val="Authornameandaffiliation"/>
      </w:pPr>
      <w:r>
        <w:t xml:space="preserve">Email: </w:t>
      </w:r>
      <w:r w:rsidR="006519B8">
        <w:t>aiman.dandi@gmail</w:t>
      </w:r>
      <w:r>
        <w:t>.com</w:t>
      </w:r>
    </w:p>
    <w:p w14:paraId="7599DF7C" w14:textId="77777777" w:rsidR="00FF386F" w:rsidRDefault="00FF386F" w:rsidP="00537496">
      <w:pPr>
        <w:pStyle w:val="Authornameandaffiliation"/>
      </w:pPr>
    </w:p>
    <w:p w14:paraId="2B1F9BEC" w14:textId="77777777" w:rsidR="00647F33" w:rsidRPr="00647F33" w:rsidRDefault="00647F33" w:rsidP="00537496">
      <w:pPr>
        <w:pStyle w:val="Authornameandaffiliation"/>
        <w:rPr>
          <w:b/>
        </w:rPr>
      </w:pPr>
      <w:r w:rsidRPr="00647F33">
        <w:rPr>
          <w:b/>
        </w:rPr>
        <w:t>Abstract</w:t>
      </w:r>
    </w:p>
    <w:p w14:paraId="76AD7A95" w14:textId="77777777" w:rsidR="00647F33" w:rsidRDefault="00647F33" w:rsidP="00537496">
      <w:pPr>
        <w:pStyle w:val="Authornameandaffiliation"/>
      </w:pPr>
    </w:p>
    <w:p w14:paraId="78449BC3" w14:textId="46875353" w:rsidR="00647F33" w:rsidRPr="00BD605C" w:rsidRDefault="006519B8" w:rsidP="007067BA">
      <w:pPr>
        <w:pStyle w:val="Abstracttext"/>
        <w:jc w:val="both"/>
      </w:pPr>
      <w:r w:rsidRPr="006519B8">
        <w:t>Th</w:t>
      </w:r>
      <w:r w:rsidR="007067BA">
        <w:t>e</w:t>
      </w:r>
      <w:r w:rsidRPr="006519B8">
        <w:t xml:space="preserve"> study introduces a novel application of a burnable poison (BP) known as Double Tube Burnable Poison (DTBP). Two design concepts of DTBP were tested in a small modular reactor (SMR) to extend the operating cycle while maintaining low soluble boron concentration. These concepts can be loaded in various locations in the fuel assembly, providing greater flexibility in nuclear design. The design's adaptability allows for an increased poison effect with the ability to control the depletion speed of its absorber materials. </w:t>
      </w:r>
      <w:r w:rsidR="00FC6111" w:rsidRPr="00FC6111">
        <w:t>By incorporating DTBP pins in combination with Erbia pins resulted in a smooth k-infinite letdown curve and a noteworthy decrease in excess reactivity</w:t>
      </w:r>
      <w:r w:rsidRPr="006519B8">
        <w:t xml:space="preserve">. DeCART2D and MASTER codes were used for assembly and core calculations. The results indicated that the DTBP and Erbia core combination achieved a cycle length exceeding 3.5 Effective Full Power Years. </w:t>
      </w:r>
      <w:r w:rsidR="00FC6111" w:rsidRPr="00FC6111">
        <w:t>Furthermore, the Critical Boron Concentration was lowered to 309 ppm, staying within the design constraints associated with the moderator temperature coefficient and maximum pin power peaking</w:t>
      </w:r>
      <w:r w:rsidRPr="006519B8">
        <w:t>.</w:t>
      </w:r>
    </w:p>
    <w:p w14:paraId="7B188EEF" w14:textId="77777777" w:rsidR="00647F33" w:rsidRDefault="00F523CA" w:rsidP="00537496">
      <w:pPr>
        <w:pStyle w:val="Heading2"/>
        <w:numPr>
          <w:ilvl w:val="1"/>
          <w:numId w:val="10"/>
        </w:numPr>
      </w:pPr>
      <w:r>
        <w:t>INTRODUCTION</w:t>
      </w:r>
    </w:p>
    <w:p w14:paraId="1E43FC0F" w14:textId="77777777" w:rsidR="00F85F05" w:rsidRDefault="00F85F05" w:rsidP="00F85F05">
      <w:pPr>
        <w:pStyle w:val="BodyText"/>
      </w:pPr>
      <w:r>
        <w:t>Burnable poisons (BPs) play a crucial role in controlling design parameters such as pin power peaking, core excess reactivity, and moderator temperature coefficient in pressurized water reactors (PWRs). Although existing BP designs have demonstrated satisfactory performance up to 18-month cycles, they face challenges in meeting the demands of extended 24-month cycles due to high excess reactivity. Conventional BP designs, including Integral Fuel Burnable Absorber (IFBA), Erbia, gadolinia (Gad), and Wet Annular Burnable Absorber (WABA), exhibit various drawbacks, such as rapid depletion, weak control of excess reactivity, and high power peaking [1-3].</w:t>
      </w:r>
    </w:p>
    <w:p w14:paraId="31298DC3" w14:textId="77777777" w:rsidR="00F85F05" w:rsidRDefault="00F85F05" w:rsidP="00F85F05">
      <w:pPr>
        <w:pStyle w:val="BodyText"/>
      </w:pPr>
      <w:r>
        <w:t>Efforts to address these issues led to the development of new BP designs focused on suppressing initial excess reactivity, maintaining a flat profile during burnup, and minimizing residual isotopes [4]. Some studies explored increasing the enrichment of poison isotopes [4,5], while others introduced sophisticated designs like Burnable absorber-Integrated Guide Thimble (BigT) [6], Burnable Poison Particles (BPPs) [7], Centrally-Shielded Burnable Absorber (CSBA) [8], Bi-ISOtropic particles of BP (BISO BP) [9], and Ring-type Burnable AbsorberS (R-BAs) [10]. However, the feasibility of the manufacturing process remains a common challenge.</w:t>
      </w:r>
    </w:p>
    <w:p w14:paraId="2230422A" w14:textId="71514848" w:rsidR="00F85F05" w:rsidRDefault="00F85F05" w:rsidP="00F85F05">
      <w:pPr>
        <w:pStyle w:val="BodyText"/>
      </w:pPr>
      <w:r>
        <w:t>Previous studies examined the combination of existing BP designs, with the WABA + Erbia core demonstrating promising results [11]. Another study introduced the Double Tube Burnable Poison (DTBP) concept, utilizing multiple tubes to control absorbent depletion speed. The DTBP design, with outer and inner tubes containing Gd</w:t>
      </w:r>
      <w:r w:rsidRPr="007067BA">
        <w:rPr>
          <w:vertAlign w:val="subscript"/>
        </w:rPr>
        <w:t>2</w:t>
      </w:r>
      <w:r>
        <w:t>O</w:t>
      </w:r>
      <w:r w:rsidRPr="007067BA">
        <w:rPr>
          <w:vertAlign w:val="subscript"/>
        </w:rPr>
        <w:t>3</w:t>
      </w:r>
      <w:r>
        <w:t xml:space="preserve"> and natural boron, respectively, showed improved performance for a 24-</w:t>
      </w:r>
      <w:r w:rsidRPr="00397CD7">
        <w:t xml:space="preserve">month </w:t>
      </w:r>
      <w:r w:rsidR="00146F40" w:rsidRPr="00397CD7">
        <w:t xml:space="preserve">large size </w:t>
      </w:r>
      <w:r>
        <w:t>PWR but had minor advantages over the WABA + Erbia core [12].</w:t>
      </w:r>
    </w:p>
    <w:p w14:paraId="3067144F" w14:textId="7AAEF3FE" w:rsidR="00F85F05" w:rsidRDefault="00445C91" w:rsidP="00F85F05">
      <w:pPr>
        <w:pStyle w:val="BodyText"/>
      </w:pPr>
      <w:r w:rsidRPr="00445C91">
        <w:t>This study is dedicated to testing the DTBP design under extreme conditions, encompassing high excess reactivity and neutron leakage, utilizing 9.90w/o High-Assay Low Enriched Uranium (HALEU) fuel [13-15]. The objective is to illustrate the advantages of the DTBP design in surmounting the drawbacks of conventional BP designs while fulfilling design goals and limitations. The feasibility study seeks to evaluate DTBP concepts for long-operating cycle small modular reactors (SMRs) with low soluble boron operation.</w:t>
      </w:r>
    </w:p>
    <w:p w14:paraId="797150FF" w14:textId="7C3AB4AA" w:rsidR="007067BA" w:rsidRPr="000C2977" w:rsidRDefault="00F85F05" w:rsidP="000C2977">
      <w:pPr>
        <w:pStyle w:val="BodyText"/>
      </w:pPr>
      <w:r>
        <w:t>The subsequent sections provide details on the reference core design, fuel assembly design, design goals, and the design code system used. The study then elaborates on two types of DTBP designs and discusses the results of assembly and core calculations, concluding with the overall findings.</w:t>
      </w:r>
    </w:p>
    <w:p w14:paraId="2AB7984F" w14:textId="58F2E613" w:rsidR="00E25B68" w:rsidRDefault="00F85F05" w:rsidP="0026525A">
      <w:pPr>
        <w:pStyle w:val="Heading2"/>
        <w:numPr>
          <w:ilvl w:val="1"/>
          <w:numId w:val="10"/>
        </w:numPr>
      </w:pPr>
      <w:r w:rsidRPr="00F85F05">
        <w:t>Reference Design and Computational Codes</w:t>
      </w:r>
    </w:p>
    <w:p w14:paraId="40D9CE2D" w14:textId="53B4A4B3" w:rsidR="00F26929" w:rsidRPr="004B1FF5" w:rsidRDefault="00F26929" w:rsidP="00F26929">
      <w:pPr>
        <w:pStyle w:val="BodyText"/>
      </w:pPr>
      <w:r w:rsidRPr="004B1FF5">
        <w:t>The SMART</w:t>
      </w:r>
      <w:r w:rsidR="00276A21" w:rsidRPr="004B1FF5">
        <w:t xml:space="preserve"> reactor</w:t>
      </w:r>
      <w:r w:rsidRPr="004B1FF5">
        <w:t xml:space="preserve"> is a compact advanced pressurized water reactor (PWR) with a power of 100 MWe. Besides power production, SMART</w:t>
      </w:r>
      <w:r w:rsidR="00276A21" w:rsidRPr="004B1FF5">
        <w:t xml:space="preserve"> reactor</w:t>
      </w:r>
      <w:r w:rsidRPr="004B1FF5">
        <w:t xml:space="preserve"> has applications in seawater desalination. Although the detailed </w:t>
      </w:r>
      <w:r w:rsidRPr="004B1FF5">
        <w:lastRenderedPageBreak/>
        <w:t>design features are not yet finalized, the system's standard design, licensed by the Korean regulatory body some years ago, serves as a useful reference core for this study. The SMART design employs a 17×17 Westinghouse (WH) type fuel assembly with an active height of 200 cm [16-19].</w:t>
      </w:r>
    </w:p>
    <w:p w14:paraId="7EC76664" w14:textId="00454BF2" w:rsidR="00F26929" w:rsidRPr="004B1FF5" w:rsidRDefault="00F26929" w:rsidP="00F26929">
      <w:pPr>
        <w:pStyle w:val="BodyText"/>
      </w:pPr>
      <w:r w:rsidRPr="004B1FF5">
        <w:t>For this study, the reference design was adapted by incorporating HALEU fuel, presenting challenges due to increased excess reactivity and neutron leakage. The primary objective is to showcase the advantages of the DTBP design, especially under extreme operating conditions where conventional BPs struggle.</w:t>
      </w:r>
    </w:p>
    <w:p w14:paraId="251B6970" w14:textId="2BDC64D2" w:rsidR="00F26929" w:rsidRDefault="00F26929" w:rsidP="00F26929">
      <w:pPr>
        <w:pStyle w:val="BodyText"/>
      </w:pPr>
      <w:r w:rsidRPr="004B1FF5">
        <w:t>Table 1 summarize</w:t>
      </w:r>
      <w:r w:rsidR="00FE6876">
        <w:t>s</w:t>
      </w:r>
      <w:r w:rsidRPr="004B1FF5">
        <w:t xml:space="preserve"> the design goals for this study, include increasing the maximum fuel enrichment to 9.90w/o for higher excess reactivity and an extended operating cycle. Additionally, a significant challenge is imposed on </w:t>
      </w:r>
      <w:r w:rsidR="004B1FF5" w:rsidRPr="004B1FF5">
        <w:t>DT</w:t>
      </w:r>
      <w:r w:rsidRPr="004B1FF5">
        <w:t xml:space="preserve">BP design by reducing the maximum Critical Boron Concentration (CBC) to less than 350 ppm, aiming for a cycle length exceeding the reference </w:t>
      </w:r>
      <w:r>
        <w:t>design by approximately one year, equivalent to 3.5 Effective Full Power Years (EFPY). Achieving these conditions proves to be highly challenging for conventional BP designs [20].</w:t>
      </w:r>
    </w:p>
    <w:p w14:paraId="51C7A59F" w14:textId="5AD6027D" w:rsidR="0043218B" w:rsidRDefault="0043218B" w:rsidP="00F26929">
      <w:pPr>
        <w:pStyle w:val="BodyText"/>
      </w:pPr>
      <w:r w:rsidRPr="0043218B">
        <w:t>The study utilizes the coupling of DeCART2D and MASTER codes for SMART core analysis [21,22].</w:t>
      </w:r>
    </w:p>
    <w:p w14:paraId="27A8B851" w14:textId="77777777" w:rsidR="00F26929" w:rsidRDefault="00F26929" w:rsidP="00F26929">
      <w:pPr>
        <w:pStyle w:val="BodyText"/>
      </w:pPr>
    </w:p>
    <w:p w14:paraId="0EB3D1F9" w14:textId="73FA7CE4" w:rsidR="00F26929" w:rsidRDefault="00F26929" w:rsidP="00F26929">
      <w:pPr>
        <w:pStyle w:val="BodyText"/>
        <w:ind w:firstLine="0"/>
      </w:pPr>
      <w:r>
        <w:t>TABLE 1.</w:t>
      </w:r>
      <w:r>
        <w:tab/>
      </w:r>
      <w:r w:rsidRPr="00F26929">
        <w:t>DESIGN GOALS FOR DEVELOPED SMART</w:t>
      </w:r>
      <w:r w:rsidR="00132246">
        <w:t xml:space="preserve"> REACTOR</w:t>
      </w:r>
    </w:p>
    <w:p w14:paraId="238AE911" w14:textId="77777777" w:rsidR="00F26929" w:rsidRDefault="00F26929" w:rsidP="00F26929">
      <w:pPr>
        <w:pStyle w:val="BodyText"/>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3"/>
        <w:gridCol w:w="3416"/>
      </w:tblGrid>
      <w:tr w:rsidR="00F26929" w14:paraId="511AD513" w14:textId="77777777" w:rsidTr="00F26929">
        <w:trPr>
          <w:jc w:val="center"/>
        </w:trPr>
        <w:tc>
          <w:tcPr>
            <w:tcW w:w="4423" w:type="dxa"/>
            <w:tcBorders>
              <w:top w:val="single" w:sz="4" w:space="0" w:color="auto"/>
              <w:bottom w:val="single" w:sz="4" w:space="0" w:color="auto"/>
            </w:tcBorders>
          </w:tcPr>
          <w:p w14:paraId="231C0014" w14:textId="3B0ADDD1" w:rsidR="00F26929" w:rsidRDefault="00F26929" w:rsidP="00F26929">
            <w:pPr>
              <w:pStyle w:val="BodyText"/>
              <w:ind w:firstLine="0"/>
            </w:pPr>
            <w:r w:rsidRPr="00473142">
              <w:t>Design Parameters</w:t>
            </w:r>
          </w:p>
        </w:tc>
        <w:tc>
          <w:tcPr>
            <w:tcW w:w="3416" w:type="dxa"/>
            <w:tcBorders>
              <w:top w:val="single" w:sz="4" w:space="0" w:color="auto"/>
              <w:bottom w:val="single" w:sz="4" w:space="0" w:color="auto"/>
            </w:tcBorders>
          </w:tcPr>
          <w:p w14:paraId="02CEC2FB" w14:textId="4D340A45" w:rsidR="00F26929" w:rsidRDefault="00F26929" w:rsidP="00F26929">
            <w:pPr>
              <w:pStyle w:val="BodyText"/>
              <w:ind w:firstLine="0"/>
              <w:jc w:val="center"/>
            </w:pPr>
            <w:r w:rsidRPr="00473142">
              <w:t>Limitation</w:t>
            </w:r>
          </w:p>
        </w:tc>
      </w:tr>
      <w:tr w:rsidR="00F26929" w14:paraId="7823AE64" w14:textId="77777777" w:rsidTr="00F26929">
        <w:trPr>
          <w:jc w:val="center"/>
        </w:trPr>
        <w:tc>
          <w:tcPr>
            <w:tcW w:w="4423" w:type="dxa"/>
            <w:tcBorders>
              <w:top w:val="single" w:sz="4" w:space="0" w:color="auto"/>
            </w:tcBorders>
          </w:tcPr>
          <w:p w14:paraId="0D6D1519" w14:textId="6402540E" w:rsidR="00F26929" w:rsidRDefault="00F26929" w:rsidP="00F26929">
            <w:pPr>
              <w:pStyle w:val="BodyText"/>
              <w:ind w:firstLine="0"/>
            </w:pPr>
            <w:r w:rsidRPr="00473142">
              <w:t>Max. fuel enrichment (w/o)</w:t>
            </w:r>
          </w:p>
        </w:tc>
        <w:tc>
          <w:tcPr>
            <w:tcW w:w="3416" w:type="dxa"/>
            <w:tcBorders>
              <w:top w:val="single" w:sz="4" w:space="0" w:color="auto"/>
            </w:tcBorders>
          </w:tcPr>
          <w:p w14:paraId="1D343D63" w14:textId="11FD6CCA" w:rsidR="00F26929" w:rsidRDefault="00F26929" w:rsidP="00F26929">
            <w:pPr>
              <w:pStyle w:val="BodyText"/>
              <w:ind w:firstLine="0"/>
              <w:jc w:val="center"/>
            </w:pPr>
            <w:r w:rsidRPr="00473142">
              <w:t>9.90</w:t>
            </w:r>
          </w:p>
        </w:tc>
      </w:tr>
      <w:tr w:rsidR="00F26929" w14:paraId="4AF70607" w14:textId="77777777" w:rsidTr="00F26929">
        <w:trPr>
          <w:jc w:val="center"/>
        </w:trPr>
        <w:tc>
          <w:tcPr>
            <w:tcW w:w="4423" w:type="dxa"/>
          </w:tcPr>
          <w:p w14:paraId="0BE631B6" w14:textId="2863A12E" w:rsidR="00F26929" w:rsidRDefault="00F26929" w:rsidP="00F26929">
            <w:pPr>
              <w:pStyle w:val="BodyText"/>
              <w:ind w:firstLine="0"/>
            </w:pPr>
            <w:r w:rsidRPr="00473142">
              <w:t>Min. cycle operating length (EFPY)</w:t>
            </w:r>
          </w:p>
        </w:tc>
        <w:tc>
          <w:tcPr>
            <w:tcW w:w="3416" w:type="dxa"/>
          </w:tcPr>
          <w:p w14:paraId="3F5214DC" w14:textId="40BB375D" w:rsidR="00F26929" w:rsidRDefault="00F26929" w:rsidP="00F26929">
            <w:pPr>
              <w:pStyle w:val="BodyText"/>
              <w:ind w:firstLine="0"/>
              <w:jc w:val="center"/>
            </w:pPr>
            <w:r w:rsidRPr="00473142">
              <w:t>3.5 (&gt; the reference design by ~ 1 year)</w:t>
            </w:r>
          </w:p>
        </w:tc>
      </w:tr>
      <w:tr w:rsidR="00F26929" w14:paraId="42DC6BBD" w14:textId="77777777" w:rsidTr="00F26929">
        <w:trPr>
          <w:jc w:val="center"/>
        </w:trPr>
        <w:tc>
          <w:tcPr>
            <w:tcW w:w="4423" w:type="dxa"/>
          </w:tcPr>
          <w:p w14:paraId="0A660605" w14:textId="6947BDBB" w:rsidR="00F26929" w:rsidRDefault="00F26929" w:rsidP="00F26929">
            <w:pPr>
              <w:pStyle w:val="BodyText"/>
              <w:ind w:firstLine="0"/>
            </w:pPr>
            <w:r w:rsidRPr="00473142">
              <w:t>Max. CBC (ppm)</w:t>
            </w:r>
          </w:p>
        </w:tc>
        <w:tc>
          <w:tcPr>
            <w:tcW w:w="3416" w:type="dxa"/>
          </w:tcPr>
          <w:p w14:paraId="6253C5E9" w14:textId="00468BB3" w:rsidR="00F26929" w:rsidRDefault="00F26929" w:rsidP="00F26929">
            <w:pPr>
              <w:pStyle w:val="BodyText"/>
              <w:ind w:firstLine="0"/>
              <w:jc w:val="center"/>
            </w:pPr>
            <w:r w:rsidRPr="00473142">
              <w:t>&lt; 350</w:t>
            </w:r>
          </w:p>
        </w:tc>
      </w:tr>
      <w:tr w:rsidR="00F26929" w14:paraId="039412BE" w14:textId="77777777" w:rsidTr="00F26929">
        <w:trPr>
          <w:jc w:val="center"/>
        </w:trPr>
        <w:tc>
          <w:tcPr>
            <w:tcW w:w="4423" w:type="dxa"/>
          </w:tcPr>
          <w:p w14:paraId="1AB4D987" w14:textId="2D6A008F" w:rsidR="00F26929" w:rsidRDefault="00F26929" w:rsidP="00F26929">
            <w:pPr>
              <w:pStyle w:val="BodyText"/>
              <w:ind w:firstLine="0"/>
            </w:pPr>
            <w:r w:rsidRPr="00473142">
              <w:t>Max. 2D power peaking factor (Fq-XY)</w:t>
            </w:r>
          </w:p>
        </w:tc>
        <w:tc>
          <w:tcPr>
            <w:tcW w:w="3416" w:type="dxa"/>
          </w:tcPr>
          <w:p w14:paraId="3D4B0F3B" w14:textId="56A44012" w:rsidR="00F26929" w:rsidRDefault="00F26929" w:rsidP="00F26929">
            <w:pPr>
              <w:pStyle w:val="BodyText"/>
              <w:ind w:firstLine="0"/>
              <w:jc w:val="center"/>
            </w:pPr>
            <w:r w:rsidRPr="00473142">
              <w:t>1.59</w:t>
            </w:r>
          </w:p>
        </w:tc>
      </w:tr>
      <w:tr w:rsidR="00F26929" w14:paraId="18F4B125" w14:textId="77777777" w:rsidTr="00F26929">
        <w:trPr>
          <w:jc w:val="center"/>
        </w:trPr>
        <w:tc>
          <w:tcPr>
            <w:tcW w:w="4423" w:type="dxa"/>
          </w:tcPr>
          <w:p w14:paraId="53993980" w14:textId="763ADDC2" w:rsidR="00F26929" w:rsidRDefault="00F26929" w:rsidP="00F26929">
            <w:pPr>
              <w:pStyle w:val="BodyText"/>
              <w:ind w:firstLine="0"/>
            </w:pPr>
            <w:r w:rsidRPr="00473142">
              <w:t>Max. 3D power peaking factor (Fq-XYZ)</w:t>
            </w:r>
          </w:p>
        </w:tc>
        <w:tc>
          <w:tcPr>
            <w:tcW w:w="3416" w:type="dxa"/>
          </w:tcPr>
          <w:p w14:paraId="0229CEF1" w14:textId="4B5A58E8" w:rsidR="00F26929" w:rsidRDefault="00F26929" w:rsidP="00F26929">
            <w:pPr>
              <w:pStyle w:val="BodyText"/>
              <w:ind w:firstLine="0"/>
              <w:jc w:val="center"/>
            </w:pPr>
            <w:r w:rsidRPr="00473142">
              <w:t>2.6</w:t>
            </w:r>
          </w:p>
        </w:tc>
      </w:tr>
      <w:tr w:rsidR="00F26929" w14:paraId="79E09E72" w14:textId="77777777" w:rsidTr="00F26929">
        <w:trPr>
          <w:jc w:val="center"/>
        </w:trPr>
        <w:tc>
          <w:tcPr>
            <w:tcW w:w="4423" w:type="dxa"/>
          </w:tcPr>
          <w:p w14:paraId="38E9EB9B" w14:textId="641198D1" w:rsidR="00F26929" w:rsidRDefault="00F26929" w:rsidP="00F26929">
            <w:pPr>
              <w:pStyle w:val="BodyText"/>
              <w:ind w:firstLine="0"/>
            </w:pPr>
            <w:r w:rsidRPr="00473142">
              <w:t>Moderator temperature coefficient (MTC) (pcm/</w:t>
            </w:r>
            <w:r w:rsidRPr="00473142">
              <w:rPr>
                <w:rFonts w:ascii="Cambria Math" w:hAnsi="Cambria Math" w:cs="Cambria Math"/>
              </w:rPr>
              <w:t>℃</w:t>
            </w:r>
            <w:r w:rsidRPr="00473142">
              <w:t>)</w:t>
            </w:r>
          </w:p>
        </w:tc>
        <w:tc>
          <w:tcPr>
            <w:tcW w:w="3416" w:type="dxa"/>
          </w:tcPr>
          <w:p w14:paraId="0A765D29" w14:textId="12207048" w:rsidR="00F26929" w:rsidRDefault="00F26929" w:rsidP="00F26929">
            <w:pPr>
              <w:pStyle w:val="BodyText"/>
              <w:ind w:firstLine="0"/>
              <w:jc w:val="center"/>
            </w:pPr>
            <w:r w:rsidRPr="00473142">
              <w:t>0 ~ -80</w:t>
            </w:r>
          </w:p>
        </w:tc>
      </w:tr>
    </w:tbl>
    <w:p w14:paraId="02A2B819" w14:textId="5F0C3437" w:rsidR="00EE0041" w:rsidRDefault="00F26929" w:rsidP="00F26929">
      <w:pPr>
        <w:pStyle w:val="Heading2"/>
        <w:numPr>
          <w:ilvl w:val="1"/>
          <w:numId w:val="10"/>
        </w:numPr>
      </w:pPr>
      <w:r w:rsidRPr="00F26929">
        <w:t>DTBP Design Concepts</w:t>
      </w:r>
    </w:p>
    <w:p w14:paraId="377D5B91" w14:textId="0FD51B38" w:rsidR="008B6BB9" w:rsidRPr="00EE0041" w:rsidRDefault="00F26929" w:rsidP="00537496">
      <w:pPr>
        <w:pStyle w:val="Heading3"/>
      </w:pPr>
      <w:r w:rsidRPr="00F26929">
        <w:t>DTBP-Wet and DTBP-Dry Configurations</w:t>
      </w:r>
    </w:p>
    <w:p w14:paraId="219589AE" w14:textId="77777777" w:rsidR="0043218B" w:rsidRDefault="0043218B" w:rsidP="0043218B">
      <w:pPr>
        <w:pStyle w:val="BodyText"/>
      </w:pPr>
      <w:r w:rsidRPr="0043218B">
        <w:t>Table 2 outlining the DTBP design parameters [12]. In a previous study, the DTBP design featured an outer tube containing 20w/o Gd</w:t>
      </w:r>
      <w:r w:rsidRPr="007067BA">
        <w:rPr>
          <w:vertAlign w:val="subscript"/>
        </w:rPr>
        <w:t>2</w:t>
      </w:r>
      <w:r w:rsidRPr="0043218B">
        <w:t>O</w:t>
      </w:r>
      <w:r w:rsidRPr="007067BA">
        <w:rPr>
          <w:vertAlign w:val="subscript"/>
        </w:rPr>
        <w:t>3</w:t>
      </w:r>
      <w:r w:rsidRPr="0043218B">
        <w:t xml:space="preserve"> and an inner tube containing natural boron, meeting design goals and limitations [12]. However, for the present study, to address the high excess reactivity of the developed SMART design and achieve a 3.5-year cycle with low soluble boron operation, modifications were necessary. The absorber material in the DTBP design was increased by using pure Gd</w:t>
      </w:r>
      <w:r w:rsidRPr="007067BA">
        <w:rPr>
          <w:vertAlign w:val="subscript"/>
        </w:rPr>
        <w:t>2</w:t>
      </w:r>
      <w:r w:rsidRPr="0043218B">
        <w:t>O</w:t>
      </w:r>
      <w:r w:rsidRPr="007067BA">
        <w:rPr>
          <w:vertAlign w:val="subscript"/>
        </w:rPr>
        <w:t>3</w:t>
      </w:r>
      <w:r w:rsidRPr="0043218B">
        <w:t xml:space="preserve"> in the outer tube. Although various methods exist for increasing absorber material, this approach was chosen for its simplicity and minimal modification to the original DTBP design. Two DTBP designs were utilized in this study: DTBP-Wet, featuring a water hole, and DTBP-Dry, with a ZIRLO rod replacing the water hole, enabling loading in fuel rod positions</w:t>
      </w:r>
      <w:r>
        <w:t>.</w:t>
      </w:r>
    </w:p>
    <w:p w14:paraId="7DB03D74" w14:textId="619C22B1" w:rsidR="006756D2" w:rsidRDefault="006756D2" w:rsidP="0043218B">
      <w:pPr>
        <w:pStyle w:val="BodyText"/>
      </w:pPr>
      <w:r w:rsidRPr="006756D2">
        <w:t>Figs. 1 and 2 illustrate DTBP-Wet and DTBP-Dry designs, respectively, along with examples of their potential loading positions. DTBP-Dry aims to maintain an under-moderated core design when loaded in fuel rod positions.</w:t>
      </w:r>
    </w:p>
    <w:p w14:paraId="00CF94E8" w14:textId="02A8A855" w:rsidR="00E47DE2" w:rsidRDefault="00E47DE2">
      <w:pPr>
        <w:overflowPunct/>
        <w:autoSpaceDE/>
        <w:autoSpaceDN/>
        <w:adjustRightInd/>
        <w:textAlignment w:val="auto"/>
        <w:rPr>
          <w:sz w:val="20"/>
        </w:rPr>
      </w:pPr>
    </w:p>
    <w:p w14:paraId="369040B4" w14:textId="01401B00" w:rsidR="0043218B" w:rsidRDefault="0043218B" w:rsidP="0043218B">
      <w:pPr>
        <w:pStyle w:val="BodyText"/>
        <w:ind w:firstLine="0"/>
      </w:pPr>
      <w:r>
        <w:t>TABLE 2.</w:t>
      </w:r>
      <w:r>
        <w:tab/>
      </w:r>
      <w:r w:rsidRPr="0043218B">
        <w:t>DESIGN PARAMETERS OF A DTBP DESIGN</w:t>
      </w:r>
    </w:p>
    <w:p w14:paraId="570F0A9D" w14:textId="77777777" w:rsidR="0043218B" w:rsidRDefault="0043218B" w:rsidP="0043218B">
      <w:pPr>
        <w:pStyle w:val="BodyText"/>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3"/>
        <w:gridCol w:w="3416"/>
      </w:tblGrid>
      <w:tr w:rsidR="0004058E" w14:paraId="5AECF5C8" w14:textId="77777777" w:rsidTr="00324FC1">
        <w:trPr>
          <w:jc w:val="center"/>
        </w:trPr>
        <w:tc>
          <w:tcPr>
            <w:tcW w:w="4423" w:type="dxa"/>
            <w:tcBorders>
              <w:top w:val="single" w:sz="4" w:space="0" w:color="auto"/>
              <w:bottom w:val="single" w:sz="4" w:space="0" w:color="auto"/>
            </w:tcBorders>
          </w:tcPr>
          <w:p w14:paraId="77170A70" w14:textId="03319AFE" w:rsidR="0004058E" w:rsidRDefault="0004058E" w:rsidP="0004058E">
            <w:pPr>
              <w:pStyle w:val="BodyText"/>
              <w:ind w:firstLine="0"/>
            </w:pPr>
            <w:r w:rsidRPr="0095445E">
              <w:t>Design Parameters</w:t>
            </w:r>
          </w:p>
        </w:tc>
        <w:tc>
          <w:tcPr>
            <w:tcW w:w="3416" w:type="dxa"/>
            <w:tcBorders>
              <w:top w:val="single" w:sz="4" w:space="0" w:color="auto"/>
              <w:bottom w:val="single" w:sz="4" w:space="0" w:color="auto"/>
            </w:tcBorders>
          </w:tcPr>
          <w:p w14:paraId="49F86FFC" w14:textId="0DF963DD" w:rsidR="0004058E" w:rsidRDefault="0004058E" w:rsidP="0004058E">
            <w:pPr>
              <w:pStyle w:val="BodyText"/>
              <w:ind w:firstLine="0"/>
              <w:jc w:val="center"/>
            </w:pPr>
            <w:r w:rsidRPr="0095445E">
              <w:t>DTBP</w:t>
            </w:r>
          </w:p>
        </w:tc>
      </w:tr>
      <w:tr w:rsidR="0004058E" w14:paraId="6BAAD421" w14:textId="77777777" w:rsidTr="00324FC1">
        <w:trPr>
          <w:jc w:val="center"/>
        </w:trPr>
        <w:tc>
          <w:tcPr>
            <w:tcW w:w="4423" w:type="dxa"/>
            <w:tcBorders>
              <w:top w:val="single" w:sz="4" w:space="0" w:color="auto"/>
            </w:tcBorders>
          </w:tcPr>
          <w:p w14:paraId="4F9DCE53" w14:textId="3EA610E3" w:rsidR="0004058E" w:rsidRDefault="0004058E" w:rsidP="0004058E">
            <w:pPr>
              <w:pStyle w:val="BodyText"/>
              <w:ind w:firstLine="0"/>
            </w:pPr>
            <w:r w:rsidRPr="0095445E">
              <w:t>Inner Cladding I.D. (cm)</w:t>
            </w:r>
          </w:p>
        </w:tc>
        <w:tc>
          <w:tcPr>
            <w:tcW w:w="3416" w:type="dxa"/>
            <w:tcBorders>
              <w:top w:val="single" w:sz="4" w:space="0" w:color="auto"/>
            </w:tcBorders>
          </w:tcPr>
          <w:p w14:paraId="740129BB" w14:textId="2A9BF421" w:rsidR="0004058E" w:rsidRDefault="0004058E" w:rsidP="0004058E">
            <w:pPr>
              <w:pStyle w:val="BodyText"/>
              <w:ind w:firstLine="0"/>
              <w:jc w:val="center"/>
            </w:pPr>
            <w:r w:rsidRPr="0095445E">
              <w:t>0.44196</w:t>
            </w:r>
          </w:p>
        </w:tc>
      </w:tr>
      <w:tr w:rsidR="0004058E" w14:paraId="758EDCE7" w14:textId="77777777" w:rsidTr="00324FC1">
        <w:trPr>
          <w:jc w:val="center"/>
        </w:trPr>
        <w:tc>
          <w:tcPr>
            <w:tcW w:w="4423" w:type="dxa"/>
          </w:tcPr>
          <w:p w14:paraId="1398F718" w14:textId="3702F935" w:rsidR="0004058E" w:rsidRDefault="0004058E" w:rsidP="0004058E">
            <w:pPr>
              <w:pStyle w:val="BodyText"/>
              <w:ind w:firstLine="0"/>
            </w:pPr>
            <w:r w:rsidRPr="0095445E">
              <w:t>Inner Cladding O.D. (cm)</w:t>
            </w:r>
          </w:p>
        </w:tc>
        <w:tc>
          <w:tcPr>
            <w:tcW w:w="3416" w:type="dxa"/>
          </w:tcPr>
          <w:p w14:paraId="6E4C05FE" w14:textId="31387269" w:rsidR="0004058E" w:rsidRDefault="0004058E" w:rsidP="0004058E">
            <w:pPr>
              <w:pStyle w:val="BodyText"/>
              <w:ind w:firstLine="0"/>
              <w:jc w:val="center"/>
            </w:pPr>
            <w:r w:rsidRPr="0095445E">
              <w:t>0.54864</w:t>
            </w:r>
          </w:p>
        </w:tc>
      </w:tr>
      <w:tr w:rsidR="0004058E" w14:paraId="650D8A44" w14:textId="77777777" w:rsidTr="00324FC1">
        <w:trPr>
          <w:jc w:val="center"/>
        </w:trPr>
        <w:tc>
          <w:tcPr>
            <w:tcW w:w="4423" w:type="dxa"/>
          </w:tcPr>
          <w:p w14:paraId="04BD7F09" w14:textId="1028CF80" w:rsidR="0004058E" w:rsidRDefault="0004058E" w:rsidP="0004058E">
            <w:pPr>
              <w:pStyle w:val="BodyText"/>
              <w:ind w:firstLine="0"/>
            </w:pPr>
            <w:r w:rsidRPr="0095445E">
              <w:t>Inner Tube O.D. (cm)</w:t>
            </w:r>
          </w:p>
        </w:tc>
        <w:tc>
          <w:tcPr>
            <w:tcW w:w="3416" w:type="dxa"/>
          </w:tcPr>
          <w:p w14:paraId="74BF2C25" w14:textId="74E7B705" w:rsidR="0004058E" w:rsidRDefault="0004058E" w:rsidP="0004058E">
            <w:pPr>
              <w:pStyle w:val="BodyText"/>
              <w:ind w:firstLine="0"/>
              <w:jc w:val="center"/>
            </w:pPr>
            <w:r w:rsidRPr="0095445E">
              <w:t>0.67818</w:t>
            </w:r>
          </w:p>
        </w:tc>
      </w:tr>
      <w:tr w:rsidR="0004058E" w14:paraId="3A6494B4" w14:textId="77777777" w:rsidTr="00324FC1">
        <w:trPr>
          <w:jc w:val="center"/>
        </w:trPr>
        <w:tc>
          <w:tcPr>
            <w:tcW w:w="4423" w:type="dxa"/>
          </w:tcPr>
          <w:p w14:paraId="537E323C" w14:textId="5F7BF637" w:rsidR="0004058E" w:rsidRDefault="0004058E" w:rsidP="0004058E">
            <w:pPr>
              <w:pStyle w:val="BodyText"/>
              <w:ind w:firstLine="0"/>
            </w:pPr>
            <w:r w:rsidRPr="0095445E">
              <w:t>Inner Tube Absorber Material</w:t>
            </w:r>
          </w:p>
        </w:tc>
        <w:tc>
          <w:tcPr>
            <w:tcW w:w="3416" w:type="dxa"/>
          </w:tcPr>
          <w:p w14:paraId="2B5A1857" w14:textId="1D84A4AF" w:rsidR="0004058E" w:rsidRDefault="0004058E" w:rsidP="0004058E">
            <w:pPr>
              <w:pStyle w:val="BodyText"/>
              <w:ind w:firstLine="0"/>
              <w:jc w:val="center"/>
            </w:pPr>
            <w:r w:rsidRPr="0095445E">
              <w:t>Al</w:t>
            </w:r>
            <w:r w:rsidRPr="007067BA">
              <w:rPr>
                <w:vertAlign w:val="subscript"/>
              </w:rPr>
              <w:t>2</w:t>
            </w:r>
            <w:r w:rsidRPr="0095445E">
              <w:t>O</w:t>
            </w:r>
            <w:r w:rsidRPr="007067BA">
              <w:rPr>
                <w:vertAlign w:val="subscript"/>
              </w:rPr>
              <w:t>3</w:t>
            </w:r>
            <w:r w:rsidRPr="0095445E">
              <w:t>-B</w:t>
            </w:r>
            <w:r w:rsidRPr="007067BA">
              <w:rPr>
                <w:vertAlign w:val="subscript"/>
              </w:rPr>
              <w:t>4</w:t>
            </w:r>
            <w:r w:rsidRPr="0095445E">
              <w:t>C</w:t>
            </w:r>
          </w:p>
        </w:tc>
      </w:tr>
      <w:tr w:rsidR="0004058E" w14:paraId="61B72293" w14:textId="77777777" w:rsidTr="00324FC1">
        <w:trPr>
          <w:jc w:val="center"/>
        </w:trPr>
        <w:tc>
          <w:tcPr>
            <w:tcW w:w="4423" w:type="dxa"/>
          </w:tcPr>
          <w:p w14:paraId="3FA981BA" w14:textId="36B354B9" w:rsidR="0004058E" w:rsidRDefault="0004058E" w:rsidP="0004058E">
            <w:pPr>
              <w:pStyle w:val="BodyText"/>
              <w:ind w:firstLine="0"/>
            </w:pPr>
            <w:r w:rsidRPr="0095445E">
              <w:t>Outer Tube O.D. (cm)</w:t>
            </w:r>
          </w:p>
        </w:tc>
        <w:tc>
          <w:tcPr>
            <w:tcW w:w="3416" w:type="dxa"/>
          </w:tcPr>
          <w:p w14:paraId="64E28938" w14:textId="7F559CB9" w:rsidR="0004058E" w:rsidRDefault="0004058E" w:rsidP="0004058E">
            <w:pPr>
              <w:pStyle w:val="BodyText"/>
              <w:ind w:firstLine="0"/>
              <w:jc w:val="center"/>
            </w:pPr>
            <w:r w:rsidRPr="0095445E">
              <w:t>0.80772</w:t>
            </w:r>
          </w:p>
        </w:tc>
      </w:tr>
      <w:tr w:rsidR="0004058E" w14:paraId="72E14879" w14:textId="77777777" w:rsidTr="00324FC1">
        <w:trPr>
          <w:jc w:val="center"/>
        </w:trPr>
        <w:tc>
          <w:tcPr>
            <w:tcW w:w="4423" w:type="dxa"/>
          </w:tcPr>
          <w:p w14:paraId="49B65D8F" w14:textId="14AA96F3" w:rsidR="0004058E" w:rsidRDefault="0004058E" w:rsidP="0004058E">
            <w:pPr>
              <w:pStyle w:val="BodyText"/>
              <w:ind w:firstLine="0"/>
            </w:pPr>
            <w:r w:rsidRPr="0095445E">
              <w:t>Outer Tube Absorber Material</w:t>
            </w:r>
          </w:p>
        </w:tc>
        <w:tc>
          <w:tcPr>
            <w:tcW w:w="3416" w:type="dxa"/>
          </w:tcPr>
          <w:p w14:paraId="74300FF6" w14:textId="5BDA62D3" w:rsidR="0004058E" w:rsidRDefault="0004058E" w:rsidP="0004058E">
            <w:pPr>
              <w:pStyle w:val="BodyText"/>
              <w:ind w:firstLine="0"/>
              <w:jc w:val="center"/>
            </w:pPr>
            <w:r w:rsidRPr="0095445E">
              <w:t>ZIRLO-Gd</w:t>
            </w:r>
            <w:r w:rsidRPr="007067BA">
              <w:rPr>
                <w:vertAlign w:val="subscript"/>
              </w:rPr>
              <w:t>2</w:t>
            </w:r>
            <w:r w:rsidRPr="0095445E">
              <w:t>O</w:t>
            </w:r>
            <w:r w:rsidRPr="007067BA">
              <w:rPr>
                <w:vertAlign w:val="subscript"/>
              </w:rPr>
              <w:t>3</w:t>
            </w:r>
          </w:p>
        </w:tc>
      </w:tr>
      <w:tr w:rsidR="0004058E" w14:paraId="78FD2676" w14:textId="77777777" w:rsidTr="00324FC1">
        <w:trPr>
          <w:jc w:val="center"/>
        </w:trPr>
        <w:tc>
          <w:tcPr>
            <w:tcW w:w="4423" w:type="dxa"/>
          </w:tcPr>
          <w:p w14:paraId="565651A4" w14:textId="640E2E10" w:rsidR="0004058E" w:rsidRPr="00473142" w:rsidRDefault="0004058E" w:rsidP="0004058E">
            <w:pPr>
              <w:pStyle w:val="BodyText"/>
              <w:ind w:firstLine="0"/>
            </w:pPr>
            <w:r w:rsidRPr="0095445E">
              <w:t>Outer Cladding O.D. (cm)</w:t>
            </w:r>
          </w:p>
        </w:tc>
        <w:tc>
          <w:tcPr>
            <w:tcW w:w="3416" w:type="dxa"/>
          </w:tcPr>
          <w:p w14:paraId="4886DDF0" w14:textId="0F0A0DDB" w:rsidR="0004058E" w:rsidRPr="00473142" w:rsidRDefault="0004058E" w:rsidP="0004058E">
            <w:pPr>
              <w:pStyle w:val="BodyText"/>
              <w:ind w:firstLine="0"/>
              <w:jc w:val="center"/>
            </w:pPr>
            <w:r w:rsidRPr="0095445E">
              <w:t>0.96774</w:t>
            </w:r>
          </w:p>
        </w:tc>
      </w:tr>
      <w:tr w:rsidR="0004058E" w14:paraId="28DB93F5" w14:textId="77777777" w:rsidTr="00324FC1">
        <w:trPr>
          <w:jc w:val="center"/>
        </w:trPr>
        <w:tc>
          <w:tcPr>
            <w:tcW w:w="4423" w:type="dxa"/>
          </w:tcPr>
          <w:p w14:paraId="5AB53765" w14:textId="0FC24F92" w:rsidR="0004058E" w:rsidRPr="00473142" w:rsidRDefault="0004058E" w:rsidP="0004058E">
            <w:pPr>
              <w:pStyle w:val="BodyText"/>
              <w:ind w:firstLine="0"/>
            </w:pPr>
            <w:r w:rsidRPr="0095445E">
              <w:t>Cladding Material</w:t>
            </w:r>
          </w:p>
        </w:tc>
        <w:tc>
          <w:tcPr>
            <w:tcW w:w="3416" w:type="dxa"/>
          </w:tcPr>
          <w:p w14:paraId="751B06AA" w14:textId="2C7352AE" w:rsidR="0004058E" w:rsidRPr="00473142" w:rsidRDefault="0004058E" w:rsidP="0004058E">
            <w:pPr>
              <w:pStyle w:val="BodyText"/>
              <w:ind w:firstLine="0"/>
              <w:jc w:val="center"/>
            </w:pPr>
            <w:r w:rsidRPr="0095445E">
              <w:t>ZIRLO</w:t>
            </w:r>
          </w:p>
        </w:tc>
      </w:tr>
      <w:tr w:rsidR="0004058E" w14:paraId="1C9B53BB" w14:textId="77777777" w:rsidTr="00324FC1">
        <w:trPr>
          <w:jc w:val="center"/>
        </w:trPr>
        <w:tc>
          <w:tcPr>
            <w:tcW w:w="4423" w:type="dxa"/>
          </w:tcPr>
          <w:p w14:paraId="44DA0D44" w14:textId="5F37B15B" w:rsidR="0004058E" w:rsidRPr="00473142" w:rsidRDefault="0004058E" w:rsidP="0004058E">
            <w:pPr>
              <w:pStyle w:val="BodyText"/>
              <w:ind w:firstLine="0"/>
            </w:pPr>
            <w:r w:rsidRPr="0095445E">
              <w:t>Gap Thickness (cm)</w:t>
            </w:r>
          </w:p>
        </w:tc>
        <w:tc>
          <w:tcPr>
            <w:tcW w:w="3416" w:type="dxa"/>
          </w:tcPr>
          <w:p w14:paraId="7C3BC902" w14:textId="769BC938" w:rsidR="0004058E" w:rsidRPr="00473142" w:rsidRDefault="0004058E" w:rsidP="0004058E">
            <w:pPr>
              <w:pStyle w:val="BodyText"/>
              <w:ind w:firstLine="0"/>
              <w:jc w:val="center"/>
            </w:pPr>
            <w:r w:rsidRPr="0095445E">
              <w:t>0.01397</w:t>
            </w:r>
          </w:p>
        </w:tc>
      </w:tr>
      <w:tr w:rsidR="0004058E" w14:paraId="574CB377" w14:textId="77777777" w:rsidTr="00324FC1">
        <w:trPr>
          <w:jc w:val="center"/>
        </w:trPr>
        <w:tc>
          <w:tcPr>
            <w:tcW w:w="4423" w:type="dxa"/>
          </w:tcPr>
          <w:p w14:paraId="29CFB402" w14:textId="51836F64" w:rsidR="0004058E" w:rsidRPr="00473142" w:rsidRDefault="0004058E" w:rsidP="0004058E">
            <w:pPr>
              <w:pStyle w:val="BodyText"/>
              <w:ind w:firstLine="0"/>
            </w:pPr>
            <w:r w:rsidRPr="0095445E">
              <w:t>Gap Material</w:t>
            </w:r>
          </w:p>
        </w:tc>
        <w:tc>
          <w:tcPr>
            <w:tcW w:w="3416" w:type="dxa"/>
          </w:tcPr>
          <w:p w14:paraId="20397510" w14:textId="3A552785" w:rsidR="0004058E" w:rsidRPr="00473142" w:rsidRDefault="0004058E" w:rsidP="0004058E">
            <w:pPr>
              <w:pStyle w:val="BodyText"/>
              <w:ind w:firstLine="0"/>
              <w:jc w:val="center"/>
            </w:pPr>
            <w:r w:rsidRPr="0095445E">
              <w:t>Air</w:t>
            </w:r>
          </w:p>
        </w:tc>
      </w:tr>
    </w:tbl>
    <w:p w14:paraId="77B44B98" w14:textId="41F55CC0" w:rsidR="0004058E" w:rsidRPr="00056FB4" w:rsidRDefault="003319E8" w:rsidP="00E35E34">
      <w:pPr>
        <w:jc w:val="center"/>
        <w:rPr>
          <w:rFonts w:asciiTheme="majorBidi" w:hAnsiTheme="majorBidi" w:cstheme="majorBidi"/>
          <w:sz w:val="24"/>
          <w:szCs w:val="24"/>
        </w:rPr>
      </w:pPr>
      <w:r>
        <w:rPr>
          <w:noProof/>
        </w:rPr>
        <w:lastRenderedPageBreak/>
        <w:drawing>
          <wp:inline distT="0" distB="0" distL="0" distR="0" wp14:anchorId="2D4CA2F2" wp14:editId="5BF8C11B">
            <wp:extent cx="3255264" cy="1920240"/>
            <wp:effectExtent l="0" t="0" r="2540" b="0"/>
            <wp:docPr id="68442989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5264" cy="1920240"/>
                    </a:xfrm>
                    <a:prstGeom prst="rect">
                      <a:avLst/>
                    </a:prstGeom>
                    <a:noFill/>
                    <a:ln>
                      <a:noFill/>
                    </a:ln>
                  </pic:spPr>
                </pic:pic>
              </a:graphicData>
            </a:graphic>
          </wp:inline>
        </w:drawing>
      </w:r>
    </w:p>
    <w:p w14:paraId="5AC50E4A" w14:textId="1747E2B0" w:rsidR="0004058E" w:rsidRPr="0004058E" w:rsidRDefault="0004058E" w:rsidP="00E35E34">
      <w:pPr>
        <w:ind w:firstLine="240"/>
        <w:jc w:val="center"/>
        <w:rPr>
          <w:rFonts w:asciiTheme="majorBidi" w:hAnsiTheme="majorBidi" w:cstheme="majorBidi"/>
          <w:i/>
          <w:iCs/>
          <w:sz w:val="18"/>
          <w:szCs w:val="18"/>
        </w:rPr>
      </w:pPr>
      <w:r w:rsidRPr="0004058E">
        <w:rPr>
          <w:rFonts w:asciiTheme="majorBidi" w:hAnsiTheme="majorBidi" w:cstheme="majorBidi"/>
          <w:i/>
          <w:iCs/>
          <w:sz w:val="18"/>
          <w:szCs w:val="18"/>
        </w:rPr>
        <w:t>FIG. 1. DTBP-Wet design</w:t>
      </w:r>
    </w:p>
    <w:p w14:paraId="6BF903A3" w14:textId="77777777" w:rsidR="006756D2" w:rsidRDefault="006756D2" w:rsidP="006756D2">
      <w:pPr>
        <w:ind w:firstLine="240"/>
        <w:jc w:val="center"/>
        <w:rPr>
          <w:rFonts w:asciiTheme="majorBidi" w:hAnsiTheme="majorBidi" w:cstheme="majorBidi"/>
          <w:sz w:val="24"/>
          <w:szCs w:val="24"/>
        </w:rPr>
      </w:pPr>
    </w:p>
    <w:p w14:paraId="54C20F43" w14:textId="5FD17DC6" w:rsidR="0004058E" w:rsidRPr="00056FB4" w:rsidRDefault="003319E8" w:rsidP="00E35E34">
      <w:pPr>
        <w:ind w:firstLine="240"/>
        <w:jc w:val="center"/>
        <w:rPr>
          <w:rFonts w:asciiTheme="majorBidi" w:hAnsiTheme="majorBidi" w:cstheme="majorBidi"/>
          <w:sz w:val="24"/>
          <w:szCs w:val="24"/>
        </w:rPr>
      </w:pPr>
      <w:r>
        <w:rPr>
          <w:noProof/>
        </w:rPr>
        <w:drawing>
          <wp:inline distT="0" distB="0" distL="0" distR="0" wp14:anchorId="30987221" wp14:editId="514F46BB">
            <wp:extent cx="3236976" cy="1920240"/>
            <wp:effectExtent l="0" t="0" r="1905" b="3810"/>
            <wp:docPr id="190603607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6976" cy="1920240"/>
                    </a:xfrm>
                    <a:prstGeom prst="rect">
                      <a:avLst/>
                    </a:prstGeom>
                    <a:noFill/>
                    <a:ln>
                      <a:noFill/>
                    </a:ln>
                  </pic:spPr>
                </pic:pic>
              </a:graphicData>
            </a:graphic>
          </wp:inline>
        </w:drawing>
      </w:r>
    </w:p>
    <w:p w14:paraId="4916EC4C" w14:textId="417D5C75" w:rsidR="0004058E" w:rsidRPr="0004058E" w:rsidRDefault="0004058E" w:rsidP="0004058E">
      <w:pPr>
        <w:pStyle w:val="BodyText"/>
        <w:jc w:val="center"/>
        <w:rPr>
          <w:i/>
          <w:iCs/>
          <w:sz w:val="18"/>
          <w:szCs w:val="18"/>
        </w:rPr>
      </w:pPr>
      <w:r w:rsidRPr="0004058E">
        <w:rPr>
          <w:rFonts w:asciiTheme="majorBidi" w:hAnsiTheme="majorBidi" w:cstheme="majorBidi"/>
          <w:i/>
          <w:iCs/>
          <w:sz w:val="18"/>
          <w:szCs w:val="18"/>
        </w:rPr>
        <w:t>FIG. 2. DTBP-Dry design</w:t>
      </w:r>
    </w:p>
    <w:p w14:paraId="0F73EB11" w14:textId="050B0F9D" w:rsidR="0004058E" w:rsidRPr="00EE0041" w:rsidRDefault="00B717FB" w:rsidP="0004058E">
      <w:pPr>
        <w:pStyle w:val="Heading3"/>
      </w:pPr>
      <w:r w:rsidRPr="00B717FB">
        <w:t>Optimizing k-Infinite Letdown Curve Procedures</w:t>
      </w:r>
    </w:p>
    <w:p w14:paraId="2A92E9DF" w14:textId="20DA6336" w:rsidR="00B717FB" w:rsidRDefault="00B717FB" w:rsidP="00B717FB">
      <w:pPr>
        <w:pStyle w:val="BodyText"/>
      </w:pPr>
      <w:r w:rsidRPr="00B717FB">
        <w:t>Two steps are involved in flattening the k-infinite letdown curve around a desired value. The first step achieves a flat curve at the End of Cycle (EOC) by increasing the Gd</w:t>
      </w:r>
      <w:r w:rsidRPr="007067BA">
        <w:rPr>
          <w:vertAlign w:val="subscript"/>
        </w:rPr>
        <w:t>2</w:t>
      </w:r>
      <w:r w:rsidRPr="00B717FB">
        <w:t>O</w:t>
      </w:r>
      <w:r w:rsidRPr="007067BA">
        <w:rPr>
          <w:vertAlign w:val="subscript"/>
        </w:rPr>
        <w:t>3</w:t>
      </w:r>
      <w:r w:rsidRPr="00B717FB">
        <w:t xml:space="preserve"> concentration. Fig. 3 compares the k-infinite letdown curve for different DTBP cases with varying Gd</w:t>
      </w:r>
      <w:r w:rsidRPr="007067BA">
        <w:rPr>
          <w:vertAlign w:val="subscript"/>
        </w:rPr>
        <w:t>2</w:t>
      </w:r>
      <w:r w:rsidRPr="00B717FB">
        <w:t>O</w:t>
      </w:r>
      <w:r w:rsidRPr="007067BA">
        <w:rPr>
          <w:vertAlign w:val="subscript"/>
        </w:rPr>
        <w:t>3</w:t>
      </w:r>
      <w:r w:rsidRPr="00B717FB">
        <w:t xml:space="preserve"> concentrations. </w:t>
      </w:r>
      <w:r w:rsidR="003B32A4">
        <w:t>Both</w:t>
      </w:r>
      <w:r w:rsidRPr="00B717FB">
        <w:t xml:space="preserve"> cases exhibit a gradual reduction in the k-infinite letdown curve at the Beginning of Cycle (BOC) and Middle of Cycle (MOC) due to the self-shielding effect of gadolinium. However, at the EOC, the curve becomes flat due to the extensive depletion of gadolinium at the outer tube and the effect of boron in the inner tube, preventing a sharp increase after the gadolinium depletion [12].</w:t>
      </w:r>
    </w:p>
    <w:p w14:paraId="2684C4C5" w14:textId="77777777" w:rsidR="00DC1A6F" w:rsidRDefault="00DC1A6F" w:rsidP="00B717FB">
      <w:pPr>
        <w:pStyle w:val="BodyText"/>
      </w:pPr>
    </w:p>
    <w:p w14:paraId="7AC1626B" w14:textId="6D396226" w:rsidR="00B717FB" w:rsidRPr="009E02C2" w:rsidRDefault="00420C4E" w:rsidP="00E35E34">
      <w:pPr>
        <w:pStyle w:val="para1MSMinchoMSMinc"/>
        <w:spacing w:before="0" w:beforeAutospacing="0" w:after="0" w:afterAutospacing="0"/>
        <w:ind w:firstLineChars="83" w:firstLine="199"/>
        <w:jc w:val="center"/>
        <w:rPr>
          <w:rFonts w:eastAsiaTheme="minorEastAsia"/>
          <w:sz w:val="24"/>
          <w:lang w:val="en-GB" w:eastAsia="ko-KR"/>
        </w:rPr>
      </w:pPr>
      <w:r w:rsidRPr="00420C4E">
        <w:rPr>
          <w:rFonts w:eastAsiaTheme="minorEastAsia"/>
          <w:noProof/>
          <w:sz w:val="24"/>
          <w:lang w:val="en-GB" w:eastAsia="ko-KR"/>
        </w:rPr>
        <w:drawing>
          <wp:inline distT="0" distB="0" distL="0" distR="0" wp14:anchorId="09F79C8A" wp14:editId="5015E98B">
            <wp:extent cx="3410712" cy="2560320"/>
            <wp:effectExtent l="0" t="0" r="0" b="0"/>
            <wp:docPr id="994783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0712" cy="2560320"/>
                    </a:xfrm>
                    <a:prstGeom prst="rect">
                      <a:avLst/>
                    </a:prstGeom>
                    <a:noFill/>
                    <a:ln>
                      <a:noFill/>
                    </a:ln>
                  </pic:spPr>
                </pic:pic>
              </a:graphicData>
            </a:graphic>
          </wp:inline>
        </w:drawing>
      </w:r>
    </w:p>
    <w:p w14:paraId="525D3D8C" w14:textId="676FD43F" w:rsidR="006756D2" w:rsidRPr="00DF4326" w:rsidRDefault="00B717FB" w:rsidP="00DF4326">
      <w:pPr>
        <w:pStyle w:val="BodyText"/>
        <w:jc w:val="center"/>
        <w:rPr>
          <w:i/>
          <w:iCs/>
          <w:sz w:val="18"/>
          <w:szCs w:val="18"/>
        </w:rPr>
      </w:pPr>
      <w:r w:rsidRPr="00B717FB">
        <w:rPr>
          <w:rFonts w:asciiTheme="majorBidi" w:hAnsiTheme="majorBidi" w:cstheme="majorBidi"/>
          <w:i/>
          <w:iCs/>
          <w:sz w:val="18"/>
          <w:szCs w:val="18"/>
        </w:rPr>
        <w:t>FIG. 3. Comparison of k-infinite letdown curve for different DTBP cases with different Gd</w:t>
      </w:r>
      <w:r w:rsidRPr="00B717FB">
        <w:rPr>
          <w:rFonts w:asciiTheme="majorBidi" w:hAnsiTheme="majorBidi" w:cstheme="majorBidi"/>
          <w:i/>
          <w:iCs/>
          <w:sz w:val="18"/>
          <w:szCs w:val="18"/>
          <w:vertAlign w:val="subscript"/>
        </w:rPr>
        <w:t>2</w:t>
      </w:r>
      <w:r w:rsidRPr="00B717FB">
        <w:rPr>
          <w:rFonts w:asciiTheme="majorBidi" w:hAnsiTheme="majorBidi" w:cstheme="majorBidi"/>
          <w:i/>
          <w:iCs/>
          <w:sz w:val="18"/>
          <w:szCs w:val="18"/>
        </w:rPr>
        <w:t>O</w:t>
      </w:r>
      <w:r w:rsidRPr="00B717FB">
        <w:rPr>
          <w:rFonts w:asciiTheme="majorBidi" w:hAnsiTheme="majorBidi" w:cstheme="majorBidi"/>
          <w:i/>
          <w:iCs/>
          <w:sz w:val="18"/>
          <w:szCs w:val="18"/>
          <w:vertAlign w:val="subscript"/>
        </w:rPr>
        <w:t>3</w:t>
      </w:r>
      <w:r w:rsidRPr="00B717FB">
        <w:rPr>
          <w:rFonts w:asciiTheme="majorBidi" w:hAnsiTheme="majorBidi" w:cstheme="majorBidi"/>
          <w:i/>
          <w:iCs/>
          <w:sz w:val="18"/>
          <w:szCs w:val="18"/>
        </w:rPr>
        <w:t xml:space="preserve"> concentrations</w:t>
      </w:r>
    </w:p>
    <w:p w14:paraId="4BFE15EA" w14:textId="182FF057" w:rsidR="00B717FB" w:rsidRDefault="00B717FB" w:rsidP="006540ED">
      <w:pPr>
        <w:pStyle w:val="BodyText"/>
      </w:pPr>
      <w:r>
        <w:lastRenderedPageBreak/>
        <w:t>For this study, the 100% Gd</w:t>
      </w:r>
      <w:r w:rsidRPr="00A153C3">
        <w:rPr>
          <w:vertAlign w:val="subscript"/>
        </w:rPr>
        <w:t>2</w:t>
      </w:r>
      <w:r>
        <w:t>O</w:t>
      </w:r>
      <w:r w:rsidRPr="00A153C3">
        <w:rPr>
          <w:vertAlign w:val="subscript"/>
        </w:rPr>
        <w:t>3</w:t>
      </w:r>
      <w:r>
        <w:t xml:space="preserve"> concentration case was chosen due to its achievement of the lowest k-infinite value with a positive margin, aligning with the study's design goals. The second step involves flattening the k-infinite letdown curve at the BOC and MOC by combining DTBP with Erbia in the same fuel assembly, as shown in Fig. 4. This combination results in an almost flat k-infinite letdown curve around a value of 1.05, slightly lower than the lowest value achieved by the 100% Gd</w:t>
      </w:r>
      <w:r w:rsidRPr="00A153C3">
        <w:rPr>
          <w:vertAlign w:val="subscript"/>
        </w:rPr>
        <w:t>2</w:t>
      </w:r>
      <w:r>
        <w:t>O</w:t>
      </w:r>
      <w:r w:rsidRPr="00A153C3">
        <w:rPr>
          <w:vertAlign w:val="subscript"/>
        </w:rPr>
        <w:t>3</w:t>
      </w:r>
      <w:r>
        <w:t xml:space="preserve"> DTBP case. The slow depletion of erbium contributes to this </w:t>
      </w:r>
      <w:r w:rsidR="00F93CCA">
        <w:t>behaviour</w:t>
      </w:r>
      <w:r>
        <w:t>, making the curve flat at a low k-infinite value.</w:t>
      </w:r>
    </w:p>
    <w:p w14:paraId="0258147C" w14:textId="77777777" w:rsidR="006756D2" w:rsidRPr="006540ED" w:rsidRDefault="006756D2" w:rsidP="006540ED">
      <w:pPr>
        <w:pStyle w:val="BodyText"/>
      </w:pPr>
    </w:p>
    <w:p w14:paraId="6D9B89AC" w14:textId="6811B4E1" w:rsidR="00B717FB" w:rsidRPr="00056FB4" w:rsidRDefault="00420C4E" w:rsidP="00E35E34">
      <w:pPr>
        <w:pStyle w:val="para1MSMinchoMSMinc"/>
        <w:spacing w:before="0" w:beforeAutospacing="0" w:after="0" w:afterAutospacing="0"/>
        <w:ind w:firstLineChars="83" w:firstLine="199"/>
        <w:jc w:val="center"/>
        <w:rPr>
          <w:sz w:val="24"/>
          <w:szCs w:val="24"/>
        </w:rPr>
      </w:pPr>
      <w:r w:rsidRPr="00420C4E">
        <w:rPr>
          <w:noProof/>
          <w:sz w:val="24"/>
          <w:szCs w:val="24"/>
        </w:rPr>
        <w:drawing>
          <wp:inline distT="0" distB="0" distL="0" distR="0" wp14:anchorId="2809CB25" wp14:editId="2F261B83">
            <wp:extent cx="3410712" cy="2560320"/>
            <wp:effectExtent l="0" t="0" r="0" b="0"/>
            <wp:docPr id="15345833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0712" cy="2560320"/>
                    </a:xfrm>
                    <a:prstGeom prst="rect">
                      <a:avLst/>
                    </a:prstGeom>
                    <a:noFill/>
                    <a:ln>
                      <a:noFill/>
                    </a:ln>
                  </pic:spPr>
                </pic:pic>
              </a:graphicData>
            </a:graphic>
          </wp:inline>
        </w:drawing>
      </w:r>
    </w:p>
    <w:p w14:paraId="01D94E74" w14:textId="3893E8C8" w:rsidR="00B717FB" w:rsidRPr="006540ED" w:rsidRDefault="00B717FB" w:rsidP="006540ED">
      <w:pPr>
        <w:pStyle w:val="BodyText"/>
        <w:jc w:val="left"/>
        <w:rPr>
          <w:i/>
          <w:iCs/>
          <w:sz w:val="18"/>
          <w:szCs w:val="18"/>
        </w:rPr>
      </w:pPr>
      <w:r w:rsidRPr="006540ED">
        <w:rPr>
          <w:rFonts w:asciiTheme="majorBidi" w:hAnsiTheme="majorBidi" w:cstheme="majorBidi"/>
          <w:i/>
          <w:iCs/>
          <w:sz w:val="18"/>
          <w:szCs w:val="18"/>
        </w:rPr>
        <w:t>FIG. 4. Comparison of k-infinite letdown curve for DTBP and DTBP+Erbia cases with the concentration of 100% Gd</w:t>
      </w:r>
      <w:r w:rsidRPr="006540ED">
        <w:rPr>
          <w:rFonts w:asciiTheme="majorBidi" w:hAnsiTheme="majorBidi" w:cstheme="majorBidi"/>
          <w:i/>
          <w:iCs/>
          <w:sz w:val="18"/>
          <w:szCs w:val="18"/>
          <w:vertAlign w:val="subscript"/>
        </w:rPr>
        <w:t>2</w:t>
      </w:r>
      <w:r w:rsidRPr="006540ED">
        <w:rPr>
          <w:rFonts w:asciiTheme="majorBidi" w:hAnsiTheme="majorBidi" w:cstheme="majorBidi"/>
          <w:i/>
          <w:iCs/>
          <w:sz w:val="18"/>
          <w:szCs w:val="18"/>
        </w:rPr>
        <w:t>O</w:t>
      </w:r>
      <w:r w:rsidRPr="006540ED">
        <w:rPr>
          <w:rFonts w:asciiTheme="majorBidi" w:hAnsiTheme="majorBidi" w:cstheme="majorBidi"/>
          <w:i/>
          <w:iCs/>
          <w:sz w:val="18"/>
          <w:szCs w:val="18"/>
          <w:vertAlign w:val="subscript"/>
        </w:rPr>
        <w:t>3</w:t>
      </w:r>
    </w:p>
    <w:p w14:paraId="64561FA3" w14:textId="77777777" w:rsidR="006756D2" w:rsidRDefault="006756D2" w:rsidP="006540ED">
      <w:pPr>
        <w:pStyle w:val="BodyText"/>
      </w:pPr>
    </w:p>
    <w:p w14:paraId="3FDD0113" w14:textId="08168E1A" w:rsidR="006540ED" w:rsidRDefault="00B717FB" w:rsidP="006540ED">
      <w:pPr>
        <w:pStyle w:val="BodyText"/>
      </w:pPr>
      <w:r>
        <w:t xml:space="preserve">While a similar outcome could be achieved by increasing the </w:t>
      </w:r>
      <w:r w:rsidRPr="00A153C3">
        <w:rPr>
          <w:vertAlign w:val="superscript"/>
        </w:rPr>
        <w:t>10</w:t>
      </w:r>
      <w:r>
        <w:t>B enrichment into 90w/o in the WABA design and combining it with Erbia, this option is not considered due to limitations in unoccupied Guide Tubes, high enrichment costs, and associated pressure concerns with helium gas</w:t>
      </w:r>
      <w:r w:rsidR="0004058E">
        <w:t>.</w:t>
      </w:r>
    </w:p>
    <w:p w14:paraId="770DABA3" w14:textId="005C758D" w:rsidR="00F004EE" w:rsidRDefault="006540ED" w:rsidP="00537496">
      <w:pPr>
        <w:pStyle w:val="Heading2"/>
      </w:pPr>
      <w:r w:rsidRPr="006540ED">
        <w:t>Results and discussion</w:t>
      </w:r>
    </w:p>
    <w:p w14:paraId="03DC3342" w14:textId="0292B1A3" w:rsidR="006540ED" w:rsidRPr="0026777E" w:rsidRDefault="006540ED" w:rsidP="006540ED">
      <w:pPr>
        <w:pStyle w:val="BodyText"/>
      </w:pPr>
      <w:r w:rsidRPr="0026777E">
        <w:t>The feasibility study utilizes a fresh SMART design core as the reference. The selected core design</w:t>
      </w:r>
      <w:r w:rsidR="008F4251" w:rsidRPr="0026777E">
        <w:t xml:space="preserve"> of </w:t>
      </w:r>
      <w:r w:rsidRPr="0026777E">
        <w:t>DTBP-Wet&amp;Dry + Erbia</w:t>
      </w:r>
      <w:r w:rsidR="008F4251" w:rsidRPr="0026777E">
        <w:t xml:space="preserve"> core</w:t>
      </w:r>
      <w:r w:rsidRPr="0026777E">
        <w:t xml:space="preserve"> aim to meet specific design goals, leading to increased fuel enrichment in two enrichment zoning (9.90w/o and 5.90w/o). The SMART core design details involve different fuel assembly types categorized into groups A and B, with fuel enrichments of 2.82w/o and 4.88w/o, respectively. Gad is chosen as the BP type, with an 8w/o concentration mixed with 1.8w/o of </w:t>
      </w:r>
      <w:r w:rsidRPr="0026777E">
        <w:rPr>
          <w:vertAlign w:val="superscript"/>
        </w:rPr>
        <w:t>235</w:t>
      </w:r>
      <w:r w:rsidRPr="0026777E">
        <w:t>U in the UO</w:t>
      </w:r>
      <w:r w:rsidRPr="0026777E">
        <w:rPr>
          <w:vertAlign w:val="subscript"/>
        </w:rPr>
        <w:t>2</w:t>
      </w:r>
      <w:r w:rsidRPr="0026777E">
        <w:t>- Gd</w:t>
      </w:r>
      <w:r w:rsidRPr="0026777E">
        <w:rPr>
          <w:vertAlign w:val="subscript"/>
        </w:rPr>
        <w:t>2</w:t>
      </w:r>
      <w:r w:rsidRPr="0026777E">
        <w:t>O</w:t>
      </w:r>
      <w:r w:rsidRPr="0026777E">
        <w:rPr>
          <w:vertAlign w:val="subscript"/>
        </w:rPr>
        <w:t>3</w:t>
      </w:r>
      <w:r w:rsidRPr="0026777E">
        <w:t xml:space="preserve"> form. The developed core, targeting higher performance, consist of two groups with fuel enrichments of 5.90w/o and 9.90w/o. Further, the </w:t>
      </w:r>
      <w:r w:rsidR="008F4251" w:rsidRPr="0026777E">
        <w:t>DTBP-Wet&amp;Dry + Erbia</w:t>
      </w:r>
      <w:r w:rsidRPr="0026777E">
        <w:t xml:space="preserve"> core design</w:t>
      </w:r>
      <w:r w:rsidR="008F4251" w:rsidRPr="0026777E">
        <w:t xml:space="preserve"> is </w:t>
      </w:r>
      <w:r w:rsidRPr="0026777E">
        <w:t xml:space="preserve">detailed with their respective BP concentrations, and distribution in Table 3, and Fig. 5. The subsequent calculations encompass CBC comparisons, depicted in Fig. </w:t>
      </w:r>
      <w:r w:rsidR="0009712A" w:rsidRPr="0026777E">
        <w:t>6</w:t>
      </w:r>
      <w:r w:rsidRPr="0026777E">
        <w:t xml:space="preserve">, which show that DTBP-Wet&amp;Dry + Erbia </w:t>
      </w:r>
      <w:r w:rsidR="008F4251" w:rsidRPr="0026777E">
        <w:t xml:space="preserve">core </w:t>
      </w:r>
      <w:r w:rsidRPr="0026777E">
        <w:t>achieves lowe</w:t>
      </w:r>
      <w:r w:rsidR="008F4251" w:rsidRPr="0026777E">
        <w:t>r</w:t>
      </w:r>
      <w:r w:rsidRPr="0026777E">
        <w:t xml:space="preserve"> CBC values, meeting design goals with a cycle length of 1295 Effective Full Power Days (EFPD). Additionally, MTC values for </w:t>
      </w:r>
      <w:r w:rsidR="008F4251" w:rsidRPr="0026777E">
        <w:t>both</w:t>
      </w:r>
      <w:r w:rsidRPr="0026777E">
        <w:t xml:space="preserve"> cores are presented in Fig. </w:t>
      </w:r>
      <w:r w:rsidR="0009712A" w:rsidRPr="0026777E">
        <w:t>7</w:t>
      </w:r>
      <w:r w:rsidRPr="0026777E">
        <w:t>, where DTBP-Wet&amp;Dry + Erbia core exhibit lower MTC values than the reference core, with</w:t>
      </w:r>
      <w:r w:rsidR="008F4251" w:rsidRPr="0026777E">
        <w:t>in</w:t>
      </w:r>
      <w:r w:rsidRPr="0026777E">
        <w:t xml:space="preserve"> the design </w:t>
      </w:r>
      <w:r w:rsidR="008F4251" w:rsidRPr="0026777E">
        <w:t>limitation</w:t>
      </w:r>
      <w:r w:rsidRPr="0026777E">
        <w:t xml:space="preserve"> of the lowest MTC value. Power peaking factor calculations, illustrated in Figs. </w:t>
      </w:r>
      <w:r w:rsidR="0009712A" w:rsidRPr="0026777E">
        <w:t>8</w:t>
      </w:r>
      <w:r w:rsidRPr="0026777E">
        <w:t xml:space="preserve"> and </w:t>
      </w:r>
      <w:r w:rsidR="0009712A" w:rsidRPr="0026777E">
        <w:t>9</w:t>
      </w:r>
      <w:r w:rsidRPr="0026777E">
        <w:t>, showcase 2D (Fq-XY) and 3D (Fq-XYZ) power peaking factor values for reference,</w:t>
      </w:r>
      <w:r w:rsidR="0026777E" w:rsidRPr="0026777E">
        <w:t xml:space="preserve"> </w:t>
      </w:r>
      <w:r w:rsidRPr="0026777E">
        <w:t xml:space="preserve">and DTBP-Wet&amp;Dry + Erbia cores. </w:t>
      </w:r>
      <w:r w:rsidR="0026777E" w:rsidRPr="0026777E">
        <w:t>The</w:t>
      </w:r>
      <w:r w:rsidRPr="0026777E">
        <w:t xml:space="preserve"> developed core exhibit values above the reference but remain within design limitations</w:t>
      </w:r>
      <w:r w:rsidR="00F004EE" w:rsidRPr="0026777E">
        <w:t>.</w:t>
      </w:r>
    </w:p>
    <w:p w14:paraId="3674A5E1" w14:textId="340C66B4" w:rsidR="006540ED" w:rsidRPr="00DF4326" w:rsidRDefault="00DF4326" w:rsidP="00DF4326">
      <w:pPr>
        <w:overflowPunct/>
        <w:autoSpaceDE/>
        <w:autoSpaceDN/>
        <w:adjustRightInd/>
        <w:textAlignment w:val="auto"/>
        <w:rPr>
          <w:sz w:val="20"/>
        </w:rPr>
      </w:pPr>
      <w:r>
        <w:br w:type="page"/>
      </w:r>
    </w:p>
    <w:p w14:paraId="73145C23" w14:textId="10B6A2BD" w:rsidR="006540ED" w:rsidRDefault="006540ED" w:rsidP="006540ED">
      <w:pPr>
        <w:pStyle w:val="BodyText"/>
        <w:ind w:firstLine="0"/>
      </w:pPr>
      <w:r>
        <w:lastRenderedPageBreak/>
        <w:t xml:space="preserve">TABLE </w:t>
      </w:r>
      <w:r w:rsidR="00825F89">
        <w:t>3</w:t>
      </w:r>
      <w:r>
        <w:t>.</w:t>
      </w:r>
      <w:r>
        <w:tab/>
      </w:r>
      <w:r w:rsidR="00825F89" w:rsidRPr="00825F89">
        <w:t>DESCRIPTION OF DTBP-WET&amp;DRY</w:t>
      </w:r>
      <w:r w:rsidR="00FE6876">
        <w:t xml:space="preserve"> </w:t>
      </w:r>
      <w:r w:rsidR="00825F89" w:rsidRPr="00825F89">
        <w:t>+</w:t>
      </w:r>
      <w:r w:rsidR="00FE6876">
        <w:t xml:space="preserve"> </w:t>
      </w:r>
      <w:r w:rsidR="00825F89" w:rsidRPr="00825F89">
        <w:t>ERBIA CORE</w:t>
      </w:r>
    </w:p>
    <w:p w14:paraId="6F1FA7EB" w14:textId="77777777" w:rsidR="006540ED" w:rsidRDefault="006540ED" w:rsidP="006540ED">
      <w:pPr>
        <w:pStyle w:val="BodyText"/>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1560"/>
        <w:gridCol w:w="1385"/>
        <w:gridCol w:w="1583"/>
        <w:gridCol w:w="1369"/>
        <w:gridCol w:w="1575"/>
      </w:tblGrid>
      <w:tr w:rsidR="00825F89" w14:paraId="5A4478E3" w14:textId="77777777" w:rsidTr="00A8311C">
        <w:trPr>
          <w:jc w:val="center"/>
        </w:trPr>
        <w:tc>
          <w:tcPr>
            <w:tcW w:w="1555" w:type="dxa"/>
            <w:tcBorders>
              <w:top w:val="single" w:sz="4" w:space="0" w:color="auto"/>
              <w:bottom w:val="single" w:sz="4" w:space="0" w:color="auto"/>
            </w:tcBorders>
          </w:tcPr>
          <w:p w14:paraId="2C79D04B" w14:textId="077E2FE2" w:rsidR="00825F89" w:rsidRDefault="00825F89" w:rsidP="00825F89">
            <w:pPr>
              <w:pStyle w:val="BodyText"/>
              <w:ind w:firstLine="0"/>
            </w:pPr>
            <w:r w:rsidRPr="00677EE8">
              <w:t>Assembly type</w:t>
            </w:r>
          </w:p>
        </w:tc>
        <w:tc>
          <w:tcPr>
            <w:tcW w:w="1560" w:type="dxa"/>
            <w:tcBorders>
              <w:top w:val="single" w:sz="4" w:space="0" w:color="auto"/>
              <w:bottom w:val="single" w:sz="4" w:space="0" w:color="auto"/>
            </w:tcBorders>
          </w:tcPr>
          <w:p w14:paraId="583892B4" w14:textId="035910E9" w:rsidR="00825F89" w:rsidRDefault="00825F89" w:rsidP="00825F89">
            <w:pPr>
              <w:pStyle w:val="BodyText"/>
              <w:ind w:firstLine="0"/>
              <w:jc w:val="center"/>
            </w:pPr>
            <w:r w:rsidRPr="00677EE8">
              <w:t># of assemblies</w:t>
            </w:r>
          </w:p>
        </w:tc>
        <w:tc>
          <w:tcPr>
            <w:tcW w:w="1385" w:type="dxa"/>
            <w:tcBorders>
              <w:top w:val="single" w:sz="4" w:space="0" w:color="auto"/>
              <w:bottom w:val="single" w:sz="4" w:space="0" w:color="auto"/>
            </w:tcBorders>
          </w:tcPr>
          <w:p w14:paraId="7E019399" w14:textId="0AEA79E3" w:rsidR="00825F89" w:rsidRDefault="00825F89" w:rsidP="00825F89">
            <w:pPr>
              <w:pStyle w:val="BodyText"/>
              <w:ind w:firstLine="0"/>
              <w:jc w:val="center"/>
            </w:pPr>
            <w:r w:rsidRPr="00677EE8">
              <w:t>Fuel enrichment</w:t>
            </w:r>
          </w:p>
        </w:tc>
        <w:tc>
          <w:tcPr>
            <w:tcW w:w="2952" w:type="dxa"/>
            <w:gridSpan w:val="2"/>
            <w:tcBorders>
              <w:top w:val="single" w:sz="4" w:space="0" w:color="auto"/>
              <w:bottom w:val="single" w:sz="4" w:space="0" w:color="auto"/>
            </w:tcBorders>
          </w:tcPr>
          <w:p w14:paraId="567CF96E" w14:textId="0A5F5E76" w:rsidR="00825F89" w:rsidRDefault="00825F89" w:rsidP="00825F89">
            <w:pPr>
              <w:pStyle w:val="BodyText"/>
              <w:ind w:firstLine="0"/>
              <w:jc w:val="center"/>
            </w:pPr>
            <w:r w:rsidRPr="00677EE8">
              <w:t># of BP pins</w:t>
            </w:r>
          </w:p>
        </w:tc>
        <w:tc>
          <w:tcPr>
            <w:tcW w:w="1575" w:type="dxa"/>
            <w:tcBorders>
              <w:top w:val="single" w:sz="4" w:space="0" w:color="auto"/>
              <w:bottom w:val="single" w:sz="4" w:space="0" w:color="auto"/>
            </w:tcBorders>
          </w:tcPr>
          <w:p w14:paraId="0D60EBD8" w14:textId="13241C2F" w:rsidR="00825F89" w:rsidRDefault="00825F89" w:rsidP="00825F89">
            <w:pPr>
              <w:pStyle w:val="BodyText"/>
              <w:ind w:firstLine="0"/>
              <w:jc w:val="center"/>
            </w:pPr>
            <w:r w:rsidRPr="00677EE8">
              <w:t>Erbia concentration</w:t>
            </w:r>
          </w:p>
        </w:tc>
      </w:tr>
      <w:tr w:rsidR="00825F89" w14:paraId="1AFB2331" w14:textId="77777777" w:rsidTr="00A8311C">
        <w:trPr>
          <w:jc w:val="center"/>
        </w:trPr>
        <w:tc>
          <w:tcPr>
            <w:tcW w:w="1555" w:type="dxa"/>
            <w:tcBorders>
              <w:top w:val="nil"/>
              <w:bottom w:val="nil"/>
            </w:tcBorders>
          </w:tcPr>
          <w:p w14:paraId="627DF120" w14:textId="4163FF89" w:rsidR="00825F89" w:rsidRDefault="00825F89" w:rsidP="00825F89">
            <w:pPr>
              <w:pStyle w:val="BodyText"/>
              <w:ind w:firstLine="0"/>
            </w:pPr>
          </w:p>
        </w:tc>
        <w:tc>
          <w:tcPr>
            <w:tcW w:w="1560" w:type="dxa"/>
            <w:tcBorders>
              <w:top w:val="nil"/>
              <w:bottom w:val="nil"/>
            </w:tcBorders>
          </w:tcPr>
          <w:p w14:paraId="14984041" w14:textId="344EF4F3" w:rsidR="00825F89" w:rsidRDefault="00825F89" w:rsidP="00825F89">
            <w:pPr>
              <w:pStyle w:val="BodyText"/>
              <w:ind w:firstLine="0"/>
              <w:jc w:val="center"/>
            </w:pPr>
          </w:p>
        </w:tc>
        <w:tc>
          <w:tcPr>
            <w:tcW w:w="1385" w:type="dxa"/>
            <w:tcBorders>
              <w:top w:val="single" w:sz="4" w:space="0" w:color="auto"/>
              <w:bottom w:val="single" w:sz="4" w:space="0" w:color="auto"/>
            </w:tcBorders>
          </w:tcPr>
          <w:p w14:paraId="314A0E1E" w14:textId="5417E15F" w:rsidR="00825F89" w:rsidRDefault="00825F89" w:rsidP="00825F89">
            <w:pPr>
              <w:pStyle w:val="BodyText"/>
              <w:ind w:firstLine="0"/>
              <w:jc w:val="center"/>
            </w:pPr>
            <w:r w:rsidRPr="00563E9C">
              <w:t>w/o</w:t>
            </w:r>
          </w:p>
        </w:tc>
        <w:tc>
          <w:tcPr>
            <w:tcW w:w="1583" w:type="dxa"/>
            <w:tcBorders>
              <w:top w:val="single" w:sz="4" w:space="0" w:color="auto"/>
              <w:bottom w:val="single" w:sz="4" w:space="0" w:color="auto"/>
            </w:tcBorders>
          </w:tcPr>
          <w:p w14:paraId="56938446" w14:textId="332DE436" w:rsidR="00825F89" w:rsidRDefault="00825F89" w:rsidP="00825F89">
            <w:pPr>
              <w:pStyle w:val="BodyText"/>
              <w:ind w:firstLine="0"/>
              <w:jc w:val="center"/>
            </w:pPr>
            <w:r w:rsidRPr="00563E9C">
              <w:t>DTBP</w:t>
            </w:r>
          </w:p>
        </w:tc>
        <w:tc>
          <w:tcPr>
            <w:tcW w:w="1369" w:type="dxa"/>
            <w:tcBorders>
              <w:top w:val="single" w:sz="4" w:space="0" w:color="auto"/>
              <w:bottom w:val="single" w:sz="4" w:space="0" w:color="auto"/>
            </w:tcBorders>
          </w:tcPr>
          <w:p w14:paraId="6C30565B" w14:textId="0298B846" w:rsidR="00825F89" w:rsidRDefault="00825F89" w:rsidP="00825F89">
            <w:pPr>
              <w:pStyle w:val="BodyText"/>
              <w:ind w:firstLine="0"/>
              <w:jc w:val="center"/>
            </w:pPr>
            <w:r w:rsidRPr="00563E9C">
              <w:t>Erbia</w:t>
            </w:r>
          </w:p>
        </w:tc>
        <w:tc>
          <w:tcPr>
            <w:tcW w:w="1575" w:type="dxa"/>
            <w:tcBorders>
              <w:top w:val="single" w:sz="4" w:space="0" w:color="auto"/>
              <w:bottom w:val="single" w:sz="4" w:space="0" w:color="auto"/>
            </w:tcBorders>
          </w:tcPr>
          <w:p w14:paraId="2FE5B91C" w14:textId="747129FB" w:rsidR="00825F89" w:rsidRDefault="00825F89" w:rsidP="00825F89">
            <w:pPr>
              <w:pStyle w:val="BodyText"/>
              <w:ind w:firstLine="0"/>
              <w:jc w:val="center"/>
            </w:pPr>
            <w:r w:rsidRPr="00563E9C">
              <w:t>w/o</w:t>
            </w:r>
          </w:p>
        </w:tc>
      </w:tr>
      <w:tr w:rsidR="00825F89" w14:paraId="2ACC2AE7" w14:textId="77777777" w:rsidTr="00A8311C">
        <w:trPr>
          <w:jc w:val="center"/>
        </w:trPr>
        <w:tc>
          <w:tcPr>
            <w:tcW w:w="1555" w:type="dxa"/>
            <w:tcBorders>
              <w:top w:val="single" w:sz="4" w:space="0" w:color="auto"/>
            </w:tcBorders>
          </w:tcPr>
          <w:p w14:paraId="5DFB9A09" w14:textId="43E224EA" w:rsidR="00825F89" w:rsidRDefault="00825F89" w:rsidP="00825F89">
            <w:pPr>
              <w:pStyle w:val="BodyText"/>
              <w:ind w:firstLine="0"/>
            </w:pPr>
            <w:r w:rsidRPr="00FB6F41">
              <w:t>6A13</w:t>
            </w:r>
          </w:p>
        </w:tc>
        <w:tc>
          <w:tcPr>
            <w:tcW w:w="1560" w:type="dxa"/>
            <w:tcBorders>
              <w:top w:val="single" w:sz="4" w:space="0" w:color="auto"/>
            </w:tcBorders>
          </w:tcPr>
          <w:p w14:paraId="18513E70" w14:textId="55AF00DE" w:rsidR="00825F89" w:rsidRDefault="00825F89" w:rsidP="00825F89">
            <w:pPr>
              <w:pStyle w:val="BodyText"/>
              <w:ind w:firstLine="0"/>
              <w:jc w:val="center"/>
            </w:pPr>
            <w:r w:rsidRPr="00FB6F41">
              <w:t>9</w:t>
            </w:r>
          </w:p>
        </w:tc>
        <w:tc>
          <w:tcPr>
            <w:tcW w:w="1385" w:type="dxa"/>
            <w:tcBorders>
              <w:top w:val="single" w:sz="4" w:space="0" w:color="auto"/>
            </w:tcBorders>
          </w:tcPr>
          <w:p w14:paraId="3A2099B3" w14:textId="35C13903" w:rsidR="00825F89" w:rsidRDefault="00825F89" w:rsidP="00825F89">
            <w:pPr>
              <w:pStyle w:val="BodyText"/>
              <w:ind w:firstLine="0"/>
              <w:jc w:val="center"/>
            </w:pPr>
            <w:r w:rsidRPr="00FB6F41">
              <w:t>5.90</w:t>
            </w:r>
          </w:p>
        </w:tc>
        <w:tc>
          <w:tcPr>
            <w:tcW w:w="1583" w:type="dxa"/>
            <w:tcBorders>
              <w:top w:val="single" w:sz="4" w:space="0" w:color="auto"/>
            </w:tcBorders>
          </w:tcPr>
          <w:p w14:paraId="05391AA1" w14:textId="50B5054D" w:rsidR="00825F89" w:rsidRDefault="00825F89" w:rsidP="00825F89">
            <w:pPr>
              <w:pStyle w:val="BodyText"/>
              <w:ind w:firstLine="0"/>
              <w:jc w:val="center"/>
            </w:pPr>
            <w:r w:rsidRPr="00FB6F41">
              <w:t>24 (DTBP-Dry)</w:t>
            </w:r>
          </w:p>
        </w:tc>
        <w:tc>
          <w:tcPr>
            <w:tcW w:w="1369" w:type="dxa"/>
            <w:tcBorders>
              <w:top w:val="single" w:sz="4" w:space="0" w:color="auto"/>
            </w:tcBorders>
          </w:tcPr>
          <w:p w14:paraId="7DE90538" w14:textId="4B993350" w:rsidR="00825F89" w:rsidRDefault="00825F89" w:rsidP="00825F89">
            <w:pPr>
              <w:pStyle w:val="BodyText"/>
              <w:ind w:firstLine="0"/>
              <w:jc w:val="center"/>
            </w:pPr>
            <w:r w:rsidRPr="00FB6F41">
              <w:t>52</w:t>
            </w:r>
          </w:p>
        </w:tc>
        <w:tc>
          <w:tcPr>
            <w:tcW w:w="1575" w:type="dxa"/>
            <w:tcBorders>
              <w:top w:val="single" w:sz="4" w:space="0" w:color="auto"/>
            </w:tcBorders>
          </w:tcPr>
          <w:p w14:paraId="7FD50921" w14:textId="4F5263D2" w:rsidR="00825F89" w:rsidRDefault="00825F89" w:rsidP="00825F89">
            <w:pPr>
              <w:pStyle w:val="BodyText"/>
              <w:ind w:firstLine="0"/>
              <w:jc w:val="center"/>
            </w:pPr>
            <w:r w:rsidRPr="00FB6F41">
              <w:t>2</w:t>
            </w:r>
          </w:p>
        </w:tc>
      </w:tr>
      <w:tr w:rsidR="00825F89" w14:paraId="45847AEE" w14:textId="77777777" w:rsidTr="00A8311C">
        <w:trPr>
          <w:jc w:val="center"/>
        </w:trPr>
        <w:tc>
          <w:tcPr>
            <w:tcW w:w="1555" w:type="dxa"/>
          </w:tcPr>
          <w:p w14:paraId="162A2C22" w14:textId="26CC4E60" w:rsidR="00825F89" w:rsidRDefault="00825F89" w:rsidP="00825F89">
            <w:pPr>
              <w:pStyle w:val="BodyText"/>
              <w:ind w:firstLine="0"/>
            </w:pPr>
            <w:r w:rsidRPr="00FB6F41">
              <w:t>6A15</w:t>
            </w:r>
          </w:p>
        </w:tc>
        <w:tc>
          <w:tcPr>
            <w:tcW w:w="1560" w:type="dxa"/>
          </w:tcPr>
          <w:p w14:paraId="6AEBD7DC" w14:textId="06E77F9C" w:rsidR="00825F89" w:rsidRDefault="00825F89" w:rsidP="00825F89">
            <w:pPr>
              <w:pStyle w:val="BodyText"/>
              <w:ind w:firstLine="0"/>
              <w:jc w:val="center"/>
            </w:pPr>
            <w:r w:rsidRPr="00FB6F41">
              <w:t>12</w:t>
            </w:r>
          </w:p>
        </w:tc>
        <w:tc>
          <w:tcPr>
            <w:tcW w:w="1385" w:type="dxa"/>
          </w:tcPr>
          <w:p w14:paraId="38730A66" w14:textId="7A174921" w:rsidR="00825F89" w:rsidRDefault="00825F89" w:rsidP="00825F89">
            <w:pPr>
              <w:pStyle w:val="BodyText"/>
              <w:ind w:firstLine="0"/>
              <w:jc w:val="center"/>
            </w:pPr>
            <w:r w:rsidRPr="00FB6F41">
              <w:t>5.90</w:t>
            </w:r>
          </w:p>
        </w:tc>
        <w:tc>
          <w:tcPr>
            <w:tcW w:w="1583" w:type="dxa"/>
          </w:tcPr>
          <w:p w14:paraId="16988A28" w14:textId="6A5D5F70" w:rsidR="00825F89" w:rsidRDefault="00825F89" w:rsidP="00825F89">
            <w:pPr>
              <w:pStyle w:val="BodyText"/>
              <w:ind w:firstLine="0"/>
              <w:jc w:val="center"/>
            </w:pPr>
            <w:r w:rsidRPr="00FB6F41">
              <w:t>24 (DTBP-Wet)</w:t>
            </w:r>
          </w:p>
        </w:tc>
        <w:tc>
          <w:tcPr>
            <w:tcW w:w="1369" w:type="dxa"/>
          </w:tcPr>
          <w:p w14:paraId="40143A35" w14:textId="1B232D9F" w:rsidR="00825F89" w:rsidRDefault="00825F89" w:rsidP="00825F89">
            <w:pPr>
              <w:pStyle w:val="BodyText"/>
              <w:ind w:firstLine="0"/>
              <w:jc w:val="center"/>
            </w:pPr>
            <w:r w:rsidRPr="00FB6F41">
              <w:t>60</w:t>
            </w:r>
          </w:p>
        </w:tc>
        <w:tc>
          <w:tcPr>
            <w:tcW w:w="1575" w:type="dxa"/>
          </w:tcPr>
          <w:p w14:paraId="74C50602" w14:textId="2F99EFC0" w:rsidR="00825F89" w:rsidRDefault="00825F89" w:rsidP="00825F89">
            <w:pPr>
              <w:pStyle w:val="BodyText"/>
              <w:ind w:firstLine="0"/>
              <w:jc w:val="center"/>
            </w:pPr>
            <w:r w:rsidRPr="00FB6F41">
              <w:t>2</w:t>
            </w:r>
          </w:p>
        </w:tc>
      </w:tr>
      <w:tr w:rsidR="00825F89" w14:paraId="2DAD811B" w14:textId="77777777" w:rsidTr="00A8311C">
        <w:trPr>
          <w:jc w:val="center"/>
        </w:trPr>
        <w:tc>
          <w:tcPr>
            <w:tcW w:w="1555" w:type="dxa"/>
          </w:tcPr>
          <w:p w14:paraId="08D970E3" w14:textId="3F8F5B10" w:rsidR="00825F89" w:rsidRDefault="00825F89" w:rsidP="00825F89">
            <w:pPr>
              <w:pStyle w:val="BodyText"/>
              <w:ind w:firstLine="0"/>
            </w:pPr>
            <w:r w:rsidRPr="00FB6F41">
              <w:t>4B39</w:t>
            </w:r>
          </w:p>
        </w:tc>
        <w:tc>
          <w:tcPr>
            <w:tcW w:w="1560" w:type="dxa"/>
          </w:tcPr>
          <w:p w14:paraId="18CC7654" w14:textId="79A54522" w:rsidR="00825F89" w:rsidRDefault="00825F89" w:rsidP="00825F89">
            <w:pPr>
              <w:pStyle w:val="BodyText"/>
              <w:ind w:firstLine="0"/>
              <w:jc w:val="center"/>
            </w:pPr>
            <w:r w:rsidRPr="00FB6F41">
              <w:t>16</w:t>
            </w:r>
          </w:p>
        </w:tc>
        <w:tc>
          <w:tcPr>
            <w:tcW w:w="1385" w:type="dxa"/>
          </w:tcPr>
          <w:p w14:paraId="55B892ED" w14:textId="545A1EC3" w:rsidR="00825F89" w:rsidRDefault="00825F89" w:rsidP="00825F89">
            <w:pPr>
              <w:pStyle w:val="BodyText"/>
              <w:ind w:firstLine="0"/>
              <w:jc w:val="center"/>
            </w:pPr>
            <w:r w:rsidRPr="00FB6F41">
              <w:t>9.90</w:t>
            </w:r>
          </w:p>
        </w:tc>
        <w:tc>
          <w:tcPr>
            <w:tcW w:w="1583" w:type="dxa"/>
          </w:tcPr>
          <w:p w14:paraId="09855B6B" w14:textId="205B10F5" w:rsidR="00825F89" w:rsidRDefault="00825F89" w:rsidP="00825F89">
            <w:pPr>
              <w:pStyle w:val="BodyText"/>
              <w:ind w:firstLine="0"/>
              <w:jc w:val="center"/>
            </w:pPr>
            <w:r w:rsidRPr="00FB6F41">
              <w:t>16 (DTBP-Dry)</w:t>
            </w:r>
          </w:p>
        </w:tc>
        <w:tc>
          <w:tcPr>
            <w:tcW w:w="1369" w:type="dxa"/>
          </w:tcPr>
          <w:p w14:paraId="0CC9EF84" w14:textId="60A652FB" w:rsidR="00825F89" w:rsidRDefault="00825F89" w:rsidP="00825F89">
            <w:pPr>
              <w:pStyle w:val="BodyText"/>
              <w:ind w:firstLine="0"/>
              <w:jc w:val="center"/>
            </w:pPr>
            <w:r w:rsidRPr="00FB6F41">
              <w:t>156</w:t>
            </w:r>
          </w:p>
        </w:tc>
        <w:tc>
          <w:tcPr>
            <w:tcW w:w="1575" w:type="dxa"/>
          </w:tcPr>
          <w:p w14:paraId="76E44164" w14:textId="67CA4810" w:rsidR="00825F89" w:rsidRDefault="00825F89" w:rsidP="00825F89">
            <w:pPr>
              <w:pStyle w:val="BodyText"/>
              <w:ind w:firstLine="0"/>
              <w:jc w:val="center"/>
            </w:pPr>
            <w:r w:rsidRPr="00FB6F41">
              <w:t>2</w:t>
            </w:r>
          </w:p>
        </w:tc>
      </w:tr>
      <w:tr w:rsidR="00825F89" w14:paraId="1E6684E6" w14:textId="77777777" w:rsidTr="00A8311C">
        <w:trPr>
          <w:jc w:val="center"/>
        </w:trPr>
        <w:tc>
          <w:tcPr>
            <w:tcW w:w="1555" w:type="dxa"/>
          </w:tcPr>
          <w:p w14:paraId="0B4E6CA5" w14:textId="563B88B2" w:rsidR="00825F89" w:rsidRDefault="00825F89" w:rsidP="00825F89">
            <w:pPr>
              <w:pStyle w:val="BodyText"/>
              <w:ind w:firstLine="0"/>
            </w:pPr>
            <w:r w:rsidRPr="00FB6F41">
              <w:t>6B45</w:t>
            </w:r>
          </w:p>
        </w:tc>
        <w:tc>
          <w:tcPr>
            <w:tcW w:w="1560" w:type="dxa"/>
          </w:tcPr>
          <w:p w14:paraId="5AAA9BC8" w14:textId="44F7EA4F" w:rsidR="00825F89" w:rsidRDefault="00825F89" w:rsidP="00825F89">
            <w:pPr>
              <w:pStyle w:val="BodyText"/>
              <w:ind w:firstLine="0"/>
              <w:jc w:val="center"/>
            </w:pPr>
            <w:r w:rsidRPr="00FB6F41">
              <w:t>20</w:t>
            </w:r>
          </w:p>
        </w:tc>
        <w:tc>
          <w:tcPr>
            <w:tcW w:w="1385" w:type="dxa"/>
          </w:tcPr>
          <w:p w14:paraId="2AFD0013" w14:textId="75E4A3C6" w:rsidR="00825F89" w:rsidRDefault="00825F89" w:rsidP="00825F89">
            <w:pPr>
              <w:pStyle w:val="BodyText"/>
              <w:ind w:firstLine="0"/>
              <w:jc w:val="center"/>
            </w:pPr>
            <w:r w:rsidRPr="00FB6F41">
              <w:t>9.90</w:t>
            </w:r>
          </w:p>
        </w:tc>
        <w:tc>
          <w:tcPr>
            <w:tcW w:w="1583" w:type="dxa"/>
          </w:tcPr>
          <w:p w14:paraId="0C69DA98" w14:textId="5F6BE348" w:rsidR="00825F89" w:rsidRDefault="00825F89" w:rsidP="00825F89">
            <w:pPr>
              <w:pStyle w:val="BodyText"/>
              <w:ind w:firstLine="0"/>
              <w:jc w:val="center"/>
            </w:pPr>
            <w:r w:rsidRPr="00FB6F41">
              <w:t>24 (DTBP-Wet)</w:t>
            </w:r>
          </w:p>
        </w:tc>
        <w:tc>
          <w:tcPr>
            <w:tcW w:w="1369" w:type="dxa"/>
          </w:tcPr>
          <w:p w14:paraId="37D2B327" w14:textId="48FB20D7" w:rsidR="00825F89" w:rsidRDefault="00825F89" w:rsidP="00825F89">
            <w:pPr>
              <w:pStyle w:val="BodyText"/>
              <w:ind w:firstLine="0"/>
              <w:jc w:val="center"/>
            </w:pPr>
            <w:r w:rsidRPr="00FB6F41">
              <w:t>180</w:t>
            </w:r>
          </w:p>
        </w:tc>
        <w:tc>
          <w:tcPr>
            <w:tcW w:w="1575" w:type="dxa"/>
          </w:tcPr>
          <w:p w14:paraId="5E272295" w14:textId="6527B038" w:rsidR="00825F89" w:rsidRDefault="00825F89" w:rsidP="00825F89">
            <w:pPr>
              <w:pStyle w:val="BodyText"/>
              <w:ind w:firstLine="0"/>
              <w:jc w:val="center"/>
            </w:pPr>
            <w:r w:rsidRPr="00FB6F41">
              <w:t>2</w:t>
            </w:r>
          </w:p>
        </w:tc>
      </w:tr>
    </w:tbl>
    <w:p w14:paraId="0E8142B8" w14:textId="77777777" w:rsidR="00DC1A6F" w:rsidRDefault="00DC1A6F" w:rsidP="00E35E34">
      <w:pPr>
        <w:ind w:firstLineChars="100" w:firstLine="220"/>
        <w:jc w:val="center"/>
        <w:rPr>
          <w:rFonts w:asciiTheme="majorBidi" w:hAnsiTheme="majorBidi" w:cstheme="majorBidi"/>
          <w:szCs w:val="24"/>
        </w:rPr>
      </w:pPr>
    </w:p>
    <w:p w14:paraId="2D473A0B" w14:textId="465223C9" w:rsidR="000A2CF3" w:rsidRPr="00056FB4" w:rsidRDefault="003319E8" w:rsidP="00E35E34">
      <w:pPr>
        <w:ind w:firstLineChars="100" w:firstLine="220"/>
        <w:jc w:val="center"/>
        <w:rPr>
          <w:rFonts w:asciiTheme="majorBidi" w:hAnsiTheme="majorBidi" w:cstheme="majorBidi"/>
          <w:szCs w:val="24"/>
        </w:rPr>
      </w:pPr>
      <w:r>
        <w:rPr>
          <w:noProof/>
        </w:rPr>
        <w:drawing>
          <wp:inline distT="0" distB="0" distL="0" distR="0" wp14:anchorId="03EC2D07" wp14:editId="2259F2FC">
            <wp:extent cx="4334256" cy="2743200"/>
            <wp:effectExtent l="0" t="0" r="0" b="0"/>
            <wp:docPr id="107399713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4256" cy="2743200"/>
                    </a:xfrm>
                    <a:prstGeom prst="rect">
                      <a:avLst/>
                    </a:prstGeom>
                    <a:noFill/>
                    <a:ln>
                      <a:noFill/>
                    </a:ln>
                  </pic:spPr>
                </pic:pic>
              </a:graphicData>
            </a:graphic>
          </wp:inline>
        </w:drawing>
      </w:r>
    </w:p>
    <w:p w14:paraId="208A72F8" w14:textId="30A15065" w:rsidR="000A2CF3" w:rsidRPr="000A2CF3" w:rsidRDefault="000A2CF3" w:rsidP="000A2CF3">
      <w:pPr>
        <w:jc w:val="center"/>
        <w:rPr>
          <w:rFonts w:asciiTheme="majorBidi" w:hAnsiTheme="majorBidi" w:cstheme="majorBidi"/>
          <w:i/>
          <w:iCs/>
          <w:sz w:val="18"/>
          <w:szCs w:val="18"/>
        </w:rPr>
      </w:pPr>
      <w:r w:rsidRPr="000A2CF3">
        <w:rPr>
          <w:rFonts w:asciiTheme="majorBidi" w:hAnsiTheme="majorBidi" w:cstheme="majorBidi"/>
          <w:i/>
          <w:iCs/>
          <w:sz w:val="18"/>
          <w:szCs w:val="18"/>
        </w:rPr>
        <w:t xml:space="preserve">Fig. </w:t>
      </w:r>
      <w:r w:rsidR="0009712A">
        <w:rPr>
          <w:rFonts w:asciiTheme="majorBidi" w:hAnsiTheme="majorBidi" w:cstheme="majorBidi"/>
          <w:i/>
          <w:iCs/>
          <w:sz w:val="18"/>
          <w:szCs w:val="18"/>
        </w:rPr>
        <w:t>5</w:t>
      </w:r>
      <w:r w:rsidRPr="000A2CF3">
        <w:rPr>
          <w:rFonts w:asciiTheme="majorBidi" w:hAnsiTheme="majorBidi" w:cstheme="majorBidi"/>
          <w:i/>
          <w:iCs/>
          <w:sz w:val="18"/>
          <w:szCs w:val="18"/>
        </w:rPr>
        <w:t>. BP location distribution in different fuel assembly types for DTBP-Wet&amp;Dry</w:t>
      </w:r>
      <w:r w:rsidR="00FE6876">
        <w:rPr>
          <w:rFonts w:asciiTheme="majorBidi" w:hAnsiTheme="majorBidi" w:cstheme="majorBidi"/>
          <w:i/>
          <w:iCs/>
          <w:sz w:val="18"/>
          <w:szCs w:val="18"/>
        </w:rPr>
        <w:t xml:space="preserve"> </w:t>
      </w:r>
      <w:r w:rsidRPr="000A2CF3">
        <w:rPr>
          <w:rFonts w:asciiTheme="majorBidi" w:hAnsiTheme="majorBidi" w:cstheme="majorBidi"/>
          <w:i/>
          <w:iCs/>
          <w:sz w:val="18"/>
          <w:szCs w:val="18"/>
        </w:rPr>
        <w:t>+</w:t>
      </w:r>
      <w:r w:rsidR="00FE6876">
        <w:rPr>
          <w:rFonts w:asciiTheme="majorBidi" w:hAnsiTheme="majorBidi" w:cstheme="majorBidi"/>
          <w:i/>
          <w:iCs/>
          <w:sz w:val="18"/>
          <w:szCs w:val="18"/>
        </w:rPr>
        <w:t xml:space="preserve"> </w:t>
      </w:r>
      <w:r w:rsidRPr="000A2CF3">
        <w:rPr>
          <w:rFonts w:asciiTheme="majorBidi" w:hAnsiTheme="majorBidi" w:cstheme="majorBidi"/>
          <w:i/>
          <w:iCs/>
          <w:sz w:val="18"/>
          <w:szCs w:val="18"/>
        </w:rPr>
        <w:t>Erbia</w:t>
      </w:r>
    </w:p>
    <w:p w14:paraId="667B3E03" w14:textId="77777777" w:rsidR="00DC1A6F" w:rsidRDefault="00DC1A6F" w:rsidP="00DC1A6F">
      <w:pPr>
        <w:ind w:firstLineChars="100" w:firstLine="240"/>
        <w:jc w:val="center"/>
        <w:rPr>
          <w:rFonts w:asciiTheme="majorBidi" w:hAnsiTheme="majorBidi" w:cstheme="majorBidi"/>
          <w:sz w:val="24"/>
          <w:szCs w:val="24"/>
        </w:rPr>
      </w:pPr>
    </w:p>
    <w:p w14:paraId="7A6945B1" w14:textId="1B9A2C8C" w:rsidR="000A2CF3" w:rsidRPr="00056FB4" w:rsidRDefault="00420C4E" w:rsidP="00DC1A6F">
      <w:pPr>
        <w:ind w:firstLineChars="100" w:firstLine="240"/>
        <w:jc w:val="center"/>
        <w:rPr>
          <w:rFonts w:asciiTheme="majorBidi" w:hAnsiTheme="majorBidi" w:cstheme="majorBidi"/>
          <w:sz w:val="24"/>
          <w:szCs w:val="24"/>
        </w:rPr>
      </w:pPr>
      <w:r w:rsidRPr="00420C4E">
        <w:rPr>
          <w:rFonts w:asciiTheme="majorBidi" w:hAnsiTheme="majorBidi" w:cstheme="majorBidi"/>
          <w:noProof/>
          <w:sz w:val="24"/>
          <w:szCs w:val="24"/>
        </w:rPr>
        <w:drawing>
          <wp:inline distT="0" distB="0" distL="0" distR="0" wp14:anchorId="7C30145A" wp14:editId="63FA360C">
            <wp:extent cx="3410712" cy="2560320"/>
            <wp:effectExtent l="0" t="0" r="0" b="0"/>
            <wp:docPr id="908427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0712" cy="2560320"/>
                    </a:xfrm>
                    <a:prstGeom prst="rect">
                      <a:avLst/>
                    </a:prstGeom>
                    <a:noFill/>
                    <a:ln>
                      <a:noFill/>
                    </a:ln>
                  </pic:spPr>
                </pic:pic>
              </a:graphicData>
            </a:graphic>
          </wp:inline>
        </w:drawing>
      </w:r>
    </w:p>
    <w:p w14:paraId="33A3A0F2" w14:textId="36B3AE40" w:rsidR="000A2CF3" w:rsidRPr="000A2CF3" w:rsidRDefault="000A2CF3" w:rsidP="000A2CF3">
      <w:pPr>
        <w:ind w:firstLineChars="100" w:firstLine="180"/>
        <w:jc w:val="center"/>
        <w:rPr>
          <w:rFonts w:asciiTheme="majorBidi" w:hAnsiTheme="majorBidi" w:cstheme="majorBidi"/>
          <w:i/>
          <w:iCs/>
          <w:sz w:val="18"/>
          <w:szCs w:val="18"/>
        </w:rPr>
      </w:pPr>
      <w:r w:rsidRPr="000A2CF3">
        <w:rPr>
          <w:rFonts w:asciiTheme="majorBidi" w:hAnsiTheme="majorBidi" w:cstheme="majorBidi"/>
          <w:i/>
          <w:iCs/>
          <w:sz w:val="18"/>
          <w:szCs w:val="18"/>
        </w:rPr>
        <w:t xml:space="preserve">Fig. </w:t>
      </w:r>
      <w:r w:rsidR="0009712A">
        <w:rPr>
          <w:rFonts w:asciiTheme="majorBidi" w:hAnsiTheme="majorBidi" w:cstheme="majorBidi"/>
          <w:i/>
          <w:iCs/>
          <w:sz w:val="18"/>
          <w:szCs w:val="18"/>
        </w:rPr>
        <w:t>6</w:t>
      </w:r>
      <w:r w:rsidRPr="000A2CF3">
        <w:rPr>
          <w:rFonts w:asciiTheme="majorBidi" w:hAnsiTheme="majorBidi" w:cstheme="majorBidi"/>
          <w:i/>
          <w:iCs/>
          <w:sz w:val="18"/>
          <w:szCs w:val="18"/>
        </w:rPr>
        <w:t>. Comparison of CBC for Reference, and DTBP-Wet&amp;Dry</w:t>
      </w:r>
      <w:r w:rsidR="00FE6876">
        <w:rPr>
          <w:rFonts w:asciiTheme="majorBidi" w:hAnsiTheme="majorBidi" w:cstheme="majorBidi"/>
          <w:i/>
          <w:iCs/>
          <w:sz w:val="18"/>
          <w:szCs w:val="18"/>
        </w:rPr>
        <w:t xml:space="preserve"> </w:t>
      </w:r>
      <w:r w:rsidRPr="000A2CF3">
        <w:rPr>
          <w:rFonts w:asciiTheme="majorBidi" w:hAnsiTheme="majorBidi" w:cstheme="majorBidi"/>
          <w:i/>
          <w:iCs/>
          <w:sz w:val="18"/>
          <w:szCs w:val="18"/>
        </w:rPr>
        <w:t>+</w:t>
      </w:r>
      <w:r w:rsidR="00FE6876">
        <w:rPr>
          <w:rFonts w:asciiTheme="majorBidi" w:hAnsiTheme="majorBidi" w:cstheme="majorBidi"/>
          <w:i/>
          <w:iCs/>
          <w:sz w:val="18"/>
          <w:szCs w:val="18"/>
        </w:rPr>
        <w:t xml:space="preserve"> </w:t>
      </w:r>
      <w:r w:rsidRPr="000A2CF3">
        <w:rPr>
          <w:rFonts w:asciiTheme="majorBidi" w:hAnsiTheme="majorBidi" w:cstheme="majorBidi"/>
          <w:i/>
          <w:iCs/>
          <w:sz w:val="18"/>
          <w:szCs w:val="18"/>
        </w:rPr>
        <w:t>Erbia cores</w:t>
      </w:r>
    </w:p>
    <w:p w14:paraId="5FEB46DA" w14:textId="77777777" w:rsidR="006756D2" w:rsidRDefault="006756D2" w:rsidP="006756D2">
      <w:pPr>
        <w:ind w:firstLineChars="100" w:firstLine="240"/>
        <w:jc w:val="center"/>
        <w:rPr>
          <w:rFonts w:asciiTheme="majorBidi" w:hAnsiTheme="majorBidi" w:cstheme="majorBidi"/>
          <w:sz w:val="24"/>
          <w:szCs w:val="24"/>
        </w:rPr>
      </w:pPr>
    </w:p>
    <w:p w14:paraId="27623151" w14:textId="7A39788A" w:rsidR="000A2CF3" w:rsidRPr="00056FB4" w:rsidRDefault="00420C4E" w:rsidP="00DC1A6F">
      <w:pPr>
        <w:ind w:firstLineChars="100" w:firstLine="240"/>
        <w:jc w:val="center"/>
        <w:rPr>
          <w:rFonts w:asciiTheme="majorBidi" w:hAnsiTheme="majorBidi" w:cstheme="majorBidi"/>
          <w:sz w:val="24"/>
          <w:szCs w:val="24"/>
        </w:rPr>
      </w:pPr>
      <w:r w:rsidRPr="00420C4E">
        <w:rPr>
          <w:rFonts w:asciiTheme="majorBidi" w:hAnsiTheme="majorBidi" w:cstheme="majorBidi"/>
          <w:noProof/>
          <w:sz w:val="24"/>
          <w:szCs w:val="24"/>
        </w:rPr>
        <w:lastRenderedPageBreak/>
        <w:drawing>
          <wp:inline distT="0" distB="0" distL="0" distR="0" wp14:anchorId="48901F08" wp14:editId="10F852D0">
            <wp:extent cx="3410712" cy="2560320"/>
            <wp:effectExtent l="0" t="0" r="0" b="0"/>
            <wp:docPr id="14306716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0712" cy="2560320"/>
                    </a:xfrm>
                    <a:prstGeom prst="rect">
                      <a:avLst/>
                    </a:prstGeom>
                    <a:noFill/>
                    <a:ln>
                      <a:noFill/>
                    </a:ln>
                  </pic:spPr>
                </pic:pic>
              </a:graphicData>
            </a:graphic>
          </wp:inline>
        </w:drawing>
      </w:r>
    </w:p>
    <w:p w14:paraId="7D0ABC40" w14:textId="2FED5BCE" w:rsidR="000A2CF3" w:rsidRPr="000A2CF3" w:rsidRDefault="000A2CF3" w:rsidP="000A2CF3">
      <w:pPr>
        <w:ind w:firstLineChars="100" w:firstLine="180"/>
        <w:jc w:val="center"/>
        <w:rPr>
          <w:rFonts w:asciiTheme="majorBidi" w:hAnsiTheme="majorBidi" w:cstheme="majorBidi"/>
          <w:i/>
          <w:iCs/>
          <w:sz w:val="18"/>
          <w:szCs w:val="18"/>
        </w:rPr>
      </w:pPr>
      <w:r w:rsidRPr="000A2CF3">
        <w:rPr>
          <w:rFonts w:asciiTheme="majorBidi" w:hAnsiTheme="majorBidi" w:cstheme="majorBidi"/>
          <w:i/>
          <w:iCs/>
          <w:sz w:val="18"/>
          <w:szCs w:val="18"/>
        </w:rPr>
        <w:t xml:space="preserve">Fig. </w:t>
      </w:r>
      <w:r w:rsidR="0009712A">
        <w:rPr>
          <w:rFonts w:asciiTheme="majorBidi" w:hAnsiTheme="majorBidi" w:cstheme="majorBidi"/>
          <w:i/>
          <w:iCs/>
          <w:sz w:val="18"/>
          <w:szCs w:val="18"/>
        </w:rPr>
        <w:t>7</w:t>
      </w:r>
      <w:r w:rsidRPr="000A2CF3">
        <w:rPr>
          <w:rFonts w:asciiTheme="majorBidi" w:hAnsiTheme="majorBidi" w:cstheme="majorBidi"/>
          <w:i/>
          <w:iCs/>
          <w:sz w:val="18"/>
          <w:szCs w:val="18"/>
        </w:rPr>
        <w:t>. Comparison of MTC for Reference, and DTBP-Wet&amp;Dry</w:t>
      </w:r>
      <w:r w:rsidR="00FE6876">
        <w:rPr>
          <w:rFonts w:asciiTheme="majorBidi" w:hAnsiTheme="majorBidi" w:cstheme="majorBidi"/>
          <w:i/>
          <w:iCs/>
          <w:sz w:val="18"/>
          <w:szCs w:val="18"/>
        </w:rPr>
        <w:t xml:space="preserve"> </w:t>
      </w:r>
      <w:r w:rsidRPr="000A2CF3">
        <w:rPr>
          <w:rFonts w:asciiTheme="majorBidi" w:hAnsiTheme="majorBidi" w:cstheme="majorBidi"/>
          <w:i/>
          <w:iCs/>
          <w:sz w:val="18"/>
          <w:szCs w:val="18"/>
        </w:rPr>
        <w:t>+</w:t>
      </w:r>
      <w:r w:rsidR="00FE6876">
        <w:rPr>
          <w:rFonts w:asciiTheme="majorBidi" w:hAnsiTheme="majorBidi" w:cstheme="majorBidi"/>
          <w:i/>
          <w:iCs/>
          <w:sz w:val="18"/>
          <w:szCs w:val="18"/>
        </w:rPr>
        <w:t xml:space="preserve"> </w:t>
      </w:r>
      <w:r w:rsidRPr="000A2CF3">
        <w:rPr>
          <w:rFonts w:asciiTheme="majorBidi" w:hAnsiTheme="majorBidi" w:cstheme="majorBidi"/>
          <w:i/>
          <w:iCs/>
          <w:sz w:val="18"/>
          <w:szCs w:val="18"/>
        </w:rPr>
        <w:t>Erbia cores</w:t>
      </w:r>
    </w:p>
    <w:p w14:paraId="1FE4DC90" w14:textId="77777777" w:rsidR="000A2CF3" w:rsidRPr="00056FB4" w:rsidRDefault="000A2CF3" w:rsidP="000A2CF3">
      <w:pPr>
        <w:ind w:firstLineChars="100" w:firstLine="240"/>
        <w:jc w:val="center"/>
        <w:rPr>
          <w:rFonts w:asciiTheme="majorBidi" w:hAnsiTheme="majorBidi" w:cstheme="majorBidi"/>
          <w:sz w:val="24"/>
          <w:szCs w:val="24"/>
        </w:rPr>
      </w:pPr>
    </w:p>
    <w:p w14:paraId="29EE36C9" w14:textId="00D76662" w:rsidR="000A2CF3" w:rsidRPr="00056FB4" w:rsidRDefault="00420C4E" w:rsidP="00DC1A6F">
      <w:pPr>
        <w:ind w:firstLineChars="100" w:firstLine="240"/>
        <w:jc w:val="center"/>
        <w:rPr>
          <w:rFonts w:asciiTheme="majorBidi" w:hAnsiTheme="majorBidi" w:cstheme="majorBidi"/>
          <w:sz w:val="24"/>
          <w:szCs w:val="24"/>
        </w:rPr>
      </w:pPr>
      <w:r w:rsidRPr="00420C4E">
        <w:rPr>
          <w:rFonts w:asciiTheme="majorBidi" w:hAnsiTheme="majorBidi" w:cstheme="majorBidi"/>
          <w:noProof/>
          <w:sz w:val="24"/>
          <w:szCs w:val="24"/>
        </w:rPr>
        <w:drawing>
          <wp:inline distT="0" distB="0" distL="0" distR="0" wp14:anchorId="30483800" wp14:editId="218DB0FC">
            <wp:extent cx="3410712" cy="2560320"/>
            <wp:effectExtent l="0" t="0" r="0" b="0"/>
            <wp:docPr id="3030913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0712" cy="2560320"/>
                    </a:xfrm>
                    <a:prstGeom prst="rect">
                      <a:avLst/>
                    </a:prstGeom>
                    <a:noFill/>
                    <a:ln>
                      <a:noFill/>
                    </a:ln>
                  </pic:spPr>
                </pic:pic>
              </a:graphicData>
            </a:graphic>
          </wp:inline>
        </w:drawing>
      </w:r>
    </w:p>
    <w:p w14:paraId="32B898E2" w14:textId="74F16F83" w:rsidR="000A2CF3" w:rsidRPr="000A2CF3" w:rsidRDefault="000A2CF3" w:rsidP="000A2CF3">
      <w:pPr>
        <w:ind w:firstLineChars="100" w:firstLine="180"/>
        <w:jc w:val="center"/>
        <w:rPr>
          <w:rFonts w:asciiTheme="majorBidi" w:hAnsiTheme="majorBidi" w:cstheme="majorBidi"/>
          <w:i/>
          <w:iCs/>
          <w:sz w:val="18"/>
          <w:szCs w:val="18"/>
        </w:rPr>
      </w:pPr>
      <w:r w:rsidRPr="000A2CF3">
        <w:rPr>
          <w:rFonts w:asciiTheme="majorBidi" w:hAnsiTheme="majorBidi" w:cstheme="majorBidi"/>
          <w:i/>
          <w:iCs/>
          <w:sz w:val="18"/>
          <w:szCs w:val="18"/>
        </w:rPr>
        <w:t xml:space="preserve">Fig. </w:t>
      </w:r>
      <w:r w:rsidR="0009712A">
        <w:rPr>
          <w:rFonts w:asciiTheme="majorBidi" w:hAnsiTheme="majorBidi" w:cstheme="majorBidi"/>
          <w:i/>
          <w:iCs/>
          <w:sz w:val="18"/>
          <w:szCs w:val="18"/>
        </w:rPr>
        <w:t>8</w:t>
      </w:r>
      <w:r w:rsidRPr="000A2CF3">
        <w:rPr>
          <w:rFonts w:asciiTheme="majorBidi" w:hAnsiTheme="majorBidi" w:cstheme="majorBidi"/>
          <w:i/>
          <w:iCs/>
          <w:sz w:val="18"/>
          <w:szCs w:val="18"/>
        </w:rPr>
        <w:t>. Comparison of Fq-XY for Reference,</w:t>
      </w:r>
      <w:r w:rsidR="00235FAF">
        <w:rPr>
          <w:rFonts w:asciiTheme="majorBidi" w:hAnsiTheme="majorBidi" w:cstheme="majorBidi"/>
          <w:i/>
          <w:iCs/>
          <w:sz w:val="18"/>
          <w:szCs w:val="18"/>
        </w:rPr>
        <w:t xml:space="preserve"> </w:t>
      </w:r>
      <w:r w:rsidRPr="000A2CF3">
        <w:rPr>
          <w:rFonts w:asciiTheme="majorBidi" w:hAnsiTheme="majorBidi" w:cstheme="majorBidi"/>
          <w:i/>
          <w:iCs/>
          <w:sz w:val="18"/>
          <w:szCs w:val="18"/>
        </w:rPr>
        <w:t>and DTBP-Wet&amp;Dry</w:t>
      </w:r>
      <w:r w:rsidR="00FE6876">
        <w:rPr>
          <w:rFonts w:asciiTheme="majorBidi" w:hAnsiTheme="majorBidi" w:cstheme="majorBidi"/>
          <w:i/>
          <w:iCs/>
          <w:sz w:val="18"/>
          <w:szCs w:val="18"/>
        </w:rPr>
        <w:t xml:space="preserve"> </w:t>
      </w:r>
      <w:r w:rsidRPr="000A2CF3">
        <w:rPr>
          <w:rFonts w:asciiTheme="majorBidi" w:hAnsiTheme="majorBidi" w:cstheme="majorBidi"/>
          <w:i/>
          <w:iCs/>
          <w:sz w:val="18"/>
          <w:szCs w:val="18"/>
        </w:rPr>
        <w:t>+</w:t>
      </w:r>
      <w:r w:rsidR="00FE6876">
        <w:rPr>
          <w:rFonts w:asciiTheme="majorBidi" w:hAnsiTheme="majorBidi" w:cstheme="majorBidi"/>
          <w:i/>
          <w:iCs/>
          <w:sz w:val="18"/>
          <w:szCs w:val="18"/>
        </w:rPr>
        <w:t xml:space="preserve"> </w:t>
      </w:r>
      <w:r w:rsidRPr="000A2CF3">
        <w:rPr>
          <w:rFonts w:asciiTheme="majorBidi" w:hAnsiTheme="majorBidi" w:cstheme="majorBidi"/>
          <w:i/>
          <w:iCs/>
          <w:sz w:val="18"/>
          <w:szCs w:val="18"/>
        </w:rPr>
        <w:t>Erbia cores</w:t>
      </w:r>
    </w:p>
    <w:p w14:paraId="6ECDE419" w14:textId="77777777" w:rsidR="000A2CF3" w:rsidRPr="00056FB4" w:rsidRDefault="000A2CF3" w:rsidP="000A2CF3">
      <w:pPr>
        <w:ind w:firstLineChars="100" w:firstLine="240"/>
        <w:jc w:val="center"/>
        <w:rPr>
          <w:rFonts w:asciiTheme="majorBidi" w:hAnsiTheme="majorBidi" w:cstheme="majorBidi"/>
          <w:sz w:val="24"/>
          <w:szCs w:val="24"/>
        </w:rPr>
      </w:pPr>
    </w:p>
    <w:p w14:paraId="6BB496A7" w14:textId="06A72B69" w:rsidR="000A2CF3" w:rsidRPr="00056FB4" w:rsidRDefault="00F229FA" w:rsidP="00DC1A6F">
      <w:pPr>
        <w:ind w:firstLineChars="100" w:firstLine="240"/>
        <w:jc w:val="center"/>
        <w:rPr>
          <w:rFonts w:asciiTheme="majorBidi" w:hAnsiTheme="majorBidi" w:cstheme="majorBidi"/>
          <w:sz w:val="24"/>
          <w:szCs w:val="24"/>
        </w:rPr>
      </w:pPr>
      <w:r w:rsidRPr="00F229FA">
        <w:rPr>
          <w:rFonts w:asciiTheme="majorBidi" w:hAnsiTheme="majorBidi" w:cstheme="majorBidi"/>
          <w:noProof/>
          <w:sz w:val="24"/>
          <w:szCs w:val="24"/>
        </w:rPr>
        <w:drawing>
          <wp:inline distT="0" distB="0" distL="0" distR="0" wp14:anchorId="26028873" wp14:editId="53CB6898">
            <wp:extent cx="3410712" cy="2560320"/>
            <wp:effectExtent l="0" t="0" r="0" b="0"/>
            <wp:docPr id="14491449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10712" cy="2560320"/>
                    </a:xfrm>
                    <a:prstGeom prst="rect">
                      <a:avLst/>
                    </a:prstGeom>
                    <a:noFill/>
                    <a:ln>
                      <a:noFill/>
                    </a:ln>
                  </pic:spPr>
                </pic:pic>
              </a:graphicData>
            </a:graphic>
          </wp:inline>
        </w:drawing>
      </w:r>
    </w:p>
    <w:p w14:paraId="627E8167" w14:textId="1BCA6A4F" w:rsidR="00DF4326" w:rsidRDefault="000A2CF3" w:rsidP="00235FAF">
      <w:pPr>
        <w:pStyle w:val="BodyText"/>
        <w:jc w:val="center"/>
        <w:rPr>
          <w:rFonts w:asciiTheme="majorBidi" w:hAnsiTheme="majorBidi" w:cstheme="majorBidi"/>
          <w:i/>
          <w:iCs/>
          <w:sz w:val="18"/>
          <w:szCs w:val="18"/>
        </w:rPr>
      </w:pPr>
      <w:r w:rsidRPr="000A2CF3">
        <w:rPr>
          <w:rFonts w:asciiTheme="majorBidi" w:hAnsiTheme="majorBidi" w:cstheme="majorBidi"/>
          <w:i/>
          <w:iCs/>
          <w:sz w:val="18"/>
          <w:szCs w:val="18"/>
        </w:rPr>
        <w:t xml:space="preserve">Fig. </w:t>
      </w:r>
      <w:r w:rsidR="0009712A">
        <w:rPr>
          <w:rFonts w:asciiTheme="majorBidi" w:hAnsiTheme="majorBidi" w:cstheme="majorBidi"/>
          <w:i/>
          <w:iCs/>
          <w:sz w:val="18"/>
          <w:szCs w:val="18"/>
        </w:rPr>
        <w:t>9</w:t>
      </w:r>
      <w:r w:rsidRPr="000A2CF3">
        <w:rPr>
          <w:rFonts w:asciiTheme="majorBidi" w:hAnsiTheme="majorBidi" w:cstheme="majorBidi"/>
          <w:i/>
          <w:iCs/>
          <w:sz w:val="18"/>
          <w:szCs w:val="18"/>
        </w:rPr>
        <w:t>. Comparison of Fq-XYZ for Reference, and DTBP-Wet&amp;Dry</w:t>
      </w:r>
      <w:r w:rsidR="00FE6876">
        <w:rPr>
          <w:rFonts w:asciiTheme="majorBidi" w:hAnsiTheme="majorBidi" w:cstheme="majorBidi"/>
          <w:i/>
          <w:iCs/>
          <w:sz w:val="18"/>
          <w:szCs w:val="18"/>
        </w:rPr>
        <w:t xml:space="preserve"> </w:t>
      </w:r>
      <w:r w:rsidRPr="000A2CF3">
        <w:rPr>
          <w:rFonts w:asciiTheme="majorBidi" w:hAnsiTheme="majorBidi" w:cstheme="majorBidi"/>
          <w:i/>
          <w:iCs/>
          <w:sz w:val="18"/>
          <w:szCs w:val="18"/>
        </w:rPr>
        <w:t>+</w:t>
      </w:r>
      <w:r w:rsidR="00FE6876">
        <w:rPr>
          <w:rFonts w:asciiTheme="majorBidi" w:hAnsiTheme="majorBidi" w:cstheme="majorBidi"/>
          <w:i/>
          <w:iCs/>
          <w:sz w:val="18"/>
          <w:szCs w:val="18"/>
        </w:rPr>
        <w:t xml:space="preserve"> </w:t>
      </w:r>
      <w:r w:rsidRPr="000A2CF3">
        <w:rPr>
          <w:rFonts w:asciiTheme="majorBidi" w:hAnsiTheme="majorBidi" w:cstheme="majorBidi"/>
          <w:i/>
          <w:iCs/>
          <w:sz w:val="18"/>
          <w:szCs w:val="18"/>
        </w:rPr>
        <w:t>Erbia cores</w:t>
      </w:r>
    </w:p>
    <w:p w14:paraId="5D26279C" w14:textId="15E2DD4C" w:rsidR="001308F2" w:rsidRDefault="00DF4326" w:rsidP="00DF4326">
      <w:pPr>
        <w:overflowPunct/>
        <w:autoSpaceDE/>
        <w:autoSpaceDN/>
        <w:adjustRightInd/>
        <w:textAlignment w:val="auto"/>
        <w:rPr>
          <w:rFonts w:asciiTheme="majorBidi" w:hAnsiTheme="majorBidi" w:cstheme="majorBidi"/>
          <w:i/>
          <w:iCs/>
          <w:sz w:val="18"/>
          <w:szCs w:val="18"/>
        </w:rPr>
      </w:pPr>
      <w:r>
        <w:rPr>
          <w:rFonts w:asciiTheme="majorBidi" w:hAnsiTheme="majorBidi" w:cstheme="majorBidi"/>
          <w:i/>
          <w:iCs/>
          <w:sz w:val="18"/>
          <w:szCs w:val="18"/>
        </w:rPr>
        <w:br w:type="page"/>
      </w:r>
    </w:p>
    <w:p w14:paraId="2A37298E" w14:textId="619897C5" w:rsidR="00E20E70" w:rsidRDefault="006540ED" w:rsidP="00537496">
      <w:pPr>
        <w:pStyle w:val="Heading2"/>
      </w:pPr>
      <w:r w:rsidRPr="006540ED">
        <w:lastRenderedPageBreak/>
        <w:t>Conclusion</w:t>
      </w:r>
    </w:p>
    <w:p w14:paraId="7BB883E1" w14:textId="6099AD1A" w:rsidR="00472C43" w:rsidRDefault="006540ED" w:rsidP="00FA001A">
      <w:pPr>
        <w:pStyle w:val="BodyText"/>
      </w:pPr>
      <w:r w:rsidRPr="006540ED">
        <w:t>The study modifies a SMART core design to create a challenging configuration, demonstrating the exceptional performance of DTBP designs. Two DTBP designs, DTBP-Wet and DTBP-Dry, are introduced. The study reveals that the DTBP-Wet&amp;Dry + Erbia core fulfills all design goals, proving the exceptional performance of the DTBP design. Future work may involve optimizing the design further</w:t>
      </w:r>
      <w:r w:rsidR="00472C43">
        <w:t>.</w:t>
      </w:r>
    </w:p>
    <w:p w14:paraId="16E56041" w14:textId="77777777" w:rsidR="00D26ADA" w:rsidRPr="00285755" w:rsidRDefault="00D26ADA" w:rsidP="00537496">
      <w:pPr>
        <w:pStyle w:val="Otherunnumberedheadings"/>
      </w:pPr>
      <w:r>
        <w:t>References</w:t>
      </w:r>
    </w:p>
    <w:p w14:paraId="78AA6458" w14:textId="085565FF" w:rsidR="00285755" w:rsidRDefault="000A2CF3" w:rsidP="00537496">
      <w:pPr>
        <w:pStyle w:val="Referencelist"/>
      </w:pPr>
      <w:r w:rsidRPr="000A2CF3">
        <w:t>Brown Jeffery A., Lam Ho Q., Hybrid IFBA Gad assembly designs for long PWR cycles. In: Water Reactor Fuel Performance Meeting, Ramada Plaza Jeju, Jeju Island, Korea, 2017. Sep. 10–14, 2017</w:t>
      </w:r>
      <w:r w:rsidR="00D26ADA" w:rsidRPr="00D26ADA">
        <w:t>.</w:t>
      </w:r>
    </w:p>
    <w:p w14:paraId="3BD86FCB" w14:textId="2AB57042" w:rsidR="009E0D5B" w:rsidRPr="009E0D5B" w:rsidRDefault="000A2CF3" w:rsidP="00537496">
      <w:pPr>
        <w:pStyle w:val="Referencelist"/>
      </w:pPr>
      <w:r w:rsidRPr="000A2CF3">
        <w:t>Secker J., Brown J., Westinghouse PWR burnable absorber evolution and usage, in: ANS Winter Meeting, Las Vegas, NV, USA, 2010. Nov. 7–11, 2010</w:t>
      </w:r>
      <w:r w:rsidR="00D26ADA" w:rsidRPr="009E0D5B">
        <w:t>.</w:t>
      </w:r>
    </w:p>
    <w:p w14:paraId="794580E8" w14:textId="293D3DB7" w:rsidR="009E0D5B" w:rsidRDefault="000A2CF3" w:rsidP="00537496">
      <w:pPr>
        <w:pStyle w:val="Referencelist"/>
      </w:pPr>
      <w:r w:rsidRPr="000A2CF3">
        <w:t>Dandi, A., Lee, MinJae, Kim, M.H., 2020. Feasibility of combinational burnable poison pins for 24-month cycle PWR reload core. Nucl. Eng. Technol. 52 (2), 238–247</w:t>
      </w:r>
      <w:r w:rsidR="009E0D5B">
        <w:t>.</w:t>
      </w:r>
    </w:p>
    <w:p w14:paraId="7A6F2D07" w14:textId="0A8FA250" w:rsidR="009E0D5B" w:rsidRDefault="000A2CF3" w:rsidP="00537496">
      <w:pPr>
        <w:pStyle w:val="Referencelist"/>
      </w:pPr>
      <w:r w:rsidRPr="000A2CF3">
        <w:t>Choe, J., Shin, H.C., Lee, D., 2016. New burnable absorber for long-cycle low boron operation of PWRs. Ann. Nucl. Energy 88, 272–279</w:t>
      </w:r>
      <w:r w:rsidR="009E0D5B">
        <w:t>.</w:t>
      </w:r>
    </w:p>
    <w:p w14:paraId="161F635A" w14:textId="470471B6" w:rsidR="009E0D5B" w:rsidRDefault="000A2CF3" w:rsidP="00537496">
      <w:pPr>
        <w:pStyle w:val="Referencelist"/>
      </w:pPr>
      <w:r w:rsidRPr="000A2CF3">
        <w:t>Renier J.P.A., Grossbeck M.L., Development of Improved Burnable Poisons for Commercial Nuclear Power Reactors, Oak Ridge National Laboratory, 2001. ORNL/TM-2001/238</w:t>
      </w:r>
      <w:r w:rsidR="00D26ADA" w:rsidRPr="009E0D5B">
        <w:t>.</w:t>
      </w:r>
    </w:p>
    <w:p w14:paraId="4D332645" w14:textId="2C7C1CDE" w:rsidR="009E0D5B" w:rsidRDefault="000A2CF3" w:rsidP="00537496">
      <w:pPr>
        <w:pStyle w:val="Referencelist"/>
      </w:pPr>
      <w:r w:rsidRPr="000A2CF3">
        <w:t>Yahya, M.S., Yu, H.Y., Kim, Y., 2014. A Burnable Absorber-integrated Control Rod Guide Thimble for PWR. Trans. Am. Nucl. Soc. 110, 593–594</w:t>
      </w:r>
      <w:r w:rsidR="00A42898">
        <w:t>.</w:t>
      </w:r>
    </w:p>
    <w:p w14:paraId="57A82360" w14:textId="18FE39EC" w:rsidR="000A2CF3" w:rsidRDefault="000A2CF3" w:rsidP="00537496">
      <w:pPr>
        <w:pStyle w:val="Referencelist"/>
      </w:pPr>
      <w:r w:rsidRPr="000A2CF3">
        <w:t>Tran, H.-N., Hoang, V.-K., Liem, P.H., Hoang, H.T.P., 2019. Neutronics design of VVER-1000 fuel assembly with burnable poison particles. Nucl. Eng. Technol. 51 (7), 1729–1737</w:t>
      </w:r>
      <w:r>
        <w:t>.</w:t>
      </w:r>
    </w:p>
    <w:p w14:paraId="75D1EB00" w14:textId="04F1C6FA" w:rsidR="000A2CF3" w:rsidRDefault="000A2CF3" w:rsidP="00537496">
      <w:pPr>
        <w:pStyle w:val="Referencelist"/>
      </w:pPr>
      <w:r w:rsidRPr="000A2CF3">
        <w:t>Nguyen, X.H., Kim, C.H., Kim, Y., 2019. An advanced core design for a soluble-boron-free small modular reactor ATOM with centrally-shielded burnable absorber. Nucl. Eng. Technol. 51 (2), 369–376.</w:t>
      </w:r>
    </w:p>
    <w:p w14:paraId="2C6A37DE" w14:textId="04794332" w:rsidR="000A2CF3" w:rsidRDefault="000A2CF3" w:rsidP="00537496">
      <w:pPr>
        <w:pStyle w:val="Referencelist"/>
      </w:pPr>
      <w:r w:rsidRPr="000A2CF3">
        <w:t>Yoo, H., Hwang, D.H., Hong, S.G., Shin, H.C., 2017. New long-cycle small modular PWR cores using particle type burnable poisons for low boron operation. Nucl. Eng. Design 314, 173–181.</w:t>
      </w:r>
    </w:p>
    <w:p w14:paraId="1B6BD7E0" w14:textId="6F706F6B" w:rsidR="000A2CF3" w:rsidRDefault="000A2CF3" w:rsidP="00537496">
      <w:pPr>
        <w:pStyle w:val="Referencelist"/>
      </w:pPr>
      <w:r w:rsidRPr="000A2CF3">
        <w:t>Jang, J., Choe, J., Choi, S., Lemaire, M., Lee, D., Shin, H.C., 2020. Conceptual design of long-cycle boron-free small modular pressurized water reactor with control rod operation. Int. J. Energy Res. 44 (8), 6463–6482.</w:t>
      </w:r>
    </w:p>
    <w:p w14:paraId="28D908C9" w14:textId="456ACC76" w:rsidR="000A2CF3" w:rsidRDefault="000A2CF3" w:rsidP="00537496">
      <w:pPr>
        <w:pStyle w:val="Referencelist"/>
      </w:pPr>
      <w:r w:rsidRPr="000A2CF3">
        <w:t>Dandi, A., Lee, MinJae, Kim, M.H., 2020. Feasibility of combinational burnable poison pins for 24-month cycle PWR reload core. Nucl. Eng. Technol. 52 (2), 238–247.</w:t>
      </w:r>
    </w:p>
    <w:p w14:paraId="0039AB4E" w14:textId="4C81FC4B" w:rsidR="000A2CF3" w:rsidRDefault="000A2CF3" w:rsidP="00537496">
      <w:pPr>
        <w:pStyle w:val="Referencelist"/>
      </w:pPr>
      <w:r w:rsidRPr="000A2CF3">
        <w:t>Dandi, A., Kim, M.H., 2022. Feasibility of innovative design concepts of Burnable poison pins for 24-month cycle PWR. Ann. Nucl. Energy 171, 109031.</w:t>
      </w:r>
    </w:p>
    <w:p w14:paraId="33E1853A" w14:textId="467215F9" w:rsidR="000A2CF3" w:rsidRDefault="000A2CF3" w:rsidP="00537496">
      <w:pPr>
        <w:pStyle w:val="Referencelist"/>
      </w:pPr>
      <w:r w:rsidRPr="000A2CF3">
        <w:t>Pierson, R., Tschiltz, M., 2018. Addressing the Challenges with Establishing the Infrastructure for the front-end of the Fuel Cycle for Advanced Reactors. NEI White Paper, Nuclear Energy Institute.</w:t>
      </w:r>
    </w:p>
    <w:p w14:paraId="67EC11C9" w14:textId="77777777" w:rsidR="00A964AF" w:rsidRDefault="000A2CF3" w:rsidP="00537496">
      <w:pPr>
        <w:pStyle w:val="Referencelist"/>
      </w:pPr>
      <w:r w:rsidRPr="000A2CF3">
        <w:t>Office of Nuclear Energy 2020, U.S. Department of Energy, accessed 14 May 2021,</w:t>
      </w:r>
    </w:p>
    <w:p w14:paraId="6099579C" w14:textId="6DF0CD6D" w:rsidR="00A964AF" w:rsidRDefault="000A2CF3" w:rsidP="00A964AF">
      <w:pPr>
        <w:pStyle w:val="Referencelist"/>
        <w:numPr>
          <w:ilvl w:val="0"/>
          <w:numId w:val="0"/>
        </w:numPr>
        <w:ind w:left="720"/>
      </w:pPr>
      <w:r w:rsidRPr="000A2CF3">
        <w:t xml:space="preserve"> https://www.energy.gov/ne/articles/what-high-assay-low-enriched-uraniumhaleu</w:t>
      </w:r>
    </w:p>
    <w:p w14:paraId="21DFA2C3" w14:textId="77777777" w:rsidR="00A964AF" w:rsidRDefault="00A964AF" w:rsidP="00537496">
      <w:pPr>
        <w:pStyle w:val="Referencelist"/>
      </w:pPr>
      <w:r w:rsidRPr="00A964AF">
        <w:t>Centrus Energy Corp. 2021, accessed 14 May 2021,</w:t>
      </w:r>
    </w:p>
    <w:p w14:paraId="3E501635" w14:textId="3C80523C" w:rsidR="00911543" w:rsidRDefault="00A964AF" w:rsidP="00A964AF">
      <w:pPr>
        <w:pStyle w:val="Referencelist"/>
        <w:numPr>
          <w:ilvl w:val="0"/>
          <w:numId w:val="0"/>
        </w:numPr>
        <w:ind w:left="720"/>
      </w:pPr>
      <w:r w:rsidRPr="00A964AF">
        <w:t xml:space="preserve"> https://www.centrusenergy.com/what-we-do/nuclear-fuel/high-assay-low-enriched-uranium</w:t>
      </w:r>
    </w:p>
    <w:p w14:paraId="00779D08" w14:textId="1E6CDF2B" w:rsidR="003728E6" w:rsidRDefault="00A964AF" w:rsidP="00537496">
      <w:pPr>
        <w:pStyle w:val="Referencelist"/>
      </w:pPr>
      <w:r w:rsidRPr="00A964AF">
        <w:t>Lee, K.H., Park, S.Y., Lee, C.C., Cho, J.Y., Song, J.S., Zee, S.Q., Kim, K.Y., 2012. The Nuclear Design Report for SMART Standard Design Cycle 1, KAERI/TR-4622/2012. Korea Atomic Energy Research Institute</w:t>
      </w:r>
      <w:r w:rsidR="003728E6" w:rsidRPr="003728E6">
        <w:t>.</w:t>
      </w:r>
    </w:p>
    <w:p w14:paraId="1CB6F497" w14:textId="645D7BA4" w:rsidR="00A964AF" w:rsidRDefault="00A964AF" w:rsidP="00537496">
      <w:pPr>
        <w:pStyle w:val="Referencelist"/>
      </w:pPr>
      <w:r w:rsidRPr="00A964AF">
        <w:t>IAEA, 2012. Status of Small and Medium Sized Reactor Designs: A Supplement to IAEA Advanced Reactors Information System (ARIS). http://aris.iaea.org. September 2012.</w:t>
      </w:r>
    </w:p>
    <w:p w14:paraId="3D1BB09F" w14:textId="6A64CF1B" w:rsidR="00A964AF" w:rsidRDefault="00A964AF" w:rsidP="00537496">
      <w:pPr>
        <w:pStyle w:val="Referencelist"/>
      </w:pPr>
      <w:r w:rsidRPr="00A964AF">
        <w:t>IAEA, 2018. Advances in Small Modular Reactor Technology Developments: A Supplement to IAEA Advanced Reactors Information System (ARIS). http://aris.iaea.org. September 2018.</w:t>
      </w:r>
    </w:p>
    <w:p w14:paraId="2785D1D5" w14:textId="5BB7EF57" w:rsidR="00A964AF" w:rsidRDefault="00A964AF" w:rsidP="00537496">
      <w:pPr>
        <w:pStyle w:val="Referencelist"/>
      </w:pPr>
      <w:r w:rsidRPr="00A964AF">
        <w:t>Jang, K., Young, L.J., Kyeong, 2010. In-reactor irradiation performances of advanced fuels, ACE7TM, for Westinghouse type nuclear power plants. Trans. Korean Soc. Mech. Eng. Spring Meet. 5, 343–344.</w:t>
      </w:r>
    </w:p>
    <w:p w14:paraId="1E64653B" w14:textId="07519D52" w:rsidR="00A964AF" w:rsidRDefault="00A964AF" w:rsidP="00537496">
      <w:pPr>
        <w:pStyle w:val="Referencelist"/>
      </w:pPr>
      <w:r w:rsidRPr="00A964AF">
        <w:t>Dandi, A., Kim, M.H., 2023. Conceptual design of the double tube burnable poison for the next generation small modular reactor. Ann. Nucl. Energy 186, 109776.</w:t>
      </w:r>
    </w:p>
    <w:p w14:paraId="69C804B2" w14:textId="42F0A413" w:rsidR="00A964AF" w:rsidRDefault="00A964AF" w:rsidP="00537496">
      <w:pPr>
        <w:pStyle w:val="Referencelist"/>
      </w:pPr>
      <w:r w:rsidRPr="00A964AF">
        <w:t>Cho J.Y., Lee J.C., Lee K.H., Park S.Y., Park H.J., Kim H.Y., Kim K.Y., Jung H.J., Song J.S., Zee S.Q., Jo C.K., Lee H.C., DeCART2D v1.0 User’s Manual, KAERI/TR-5116/2013, Korea Atomic Energy Research Institute, 2013.</w:t>
      </w:r>
    </w:p>
    <w:p w14:paraId="2E52C401" w14:textId="5A9B606C" w:rsidR="00F45EEE" w:rsidRPr="00662532" w:rsidRDefault="00A964AF" w:rsidP="00FA001A">
      <w:pPr>
        <w:pStyle w:val="Referencelist"/>
      </w:pPr>
      <w:r w:rsidRPr="00A964AF">
        <w:t>Cho, B.O., Joo, H.G., Cho, J.Y., Song, J.S., Zee, S.Q., 2002. MASTER-3.0: Multi-Purpose Analyzer for Static and Transient Effects of Reactors, KAERI/TR-2061/2002. Korea Atomic Energy Research Institute.</w:t>
      </w:r>
    </w:p>
    <w:sectPr w:rsidR="00F45EEE" w:rsidRPr="00662532" w:rsidSect="003E5A33">
      <w:headerReference w:type="even" r:id="rId17"/>
      <w:headerReference w:type="default" r:id="rId18"/>
      <w:footerReference w:type="even" r:id="rId19"/>
      <w:footerReference w:type="default" r:id="rId20"/>
      <w:headerReference w:type="first" r:id="rId21"/>
      <w:footerReference w:type="first" r:id="rId22"/>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92C302" w14:textId="77777777" w:rsidR="003E5A33" w:rsidRDefault="003E5A33">
      <w:r>
        <w:separator/>
      </w:r>
    </w:p>
  </w:endnote>
  <w:endnote w:type="continuationSeparator" w:id="0">
    <w:p w14:paraId="255E3C47" w14:textId="77777777" w:rsidR="003E5A33" w:rsidRDefault="003E5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D935A" w14:textId="068417FF" w:rsidR="00E20E70" w:rsidRDefault="00E20E70">
    <w:pPr>
      <w:pStyle w:val="zyxClassification1"/>
    </w:pPr>
    <w:r>
      <w:fldChar w:fldCharType="begin"/>
    </w:r>
    <w:r>
      <w:instrText xml:space="preserve"> DOCPROPERTY "IaeaClassification"  \* MERGEFORMAT </w:instrText>
    </w:r>
    <w:r>
      <w:fldChar w:fldCharType="end"/>
    </w:r>
  </w:p>
  <w:p w14:paraId="018AB48C" w14:textId="58EA3507"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6DF8F" w14:textId="43B0F7FB" w:rsidR="00E20E70" w:rsidRDefault="00E20E70">
    <w:pPr>
      <w:pStyle w:val="zyxClassification1"/>
    </w:pPr>
    <w:r>
      <w:fldChar w:fldCharType="begin"/>
    </w:r>
    <w:r>
      <w:instrText xml:space="preserve"> DOCPROPERTY "IaeaClassification"  \* MERGEFORMAT </w:instrText>
    </w:r>
    <w:r>
      <w:fldChar w:fldCharType="end"/>
    </w:r>
  </w:p>
  <w:p w14:paraId="5A1B6A68" w14:textId="0C5D4441"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26525A">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bookmarkStart w:id="1" w:name="DOC_bkmClassification1"/>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621481FD" w14:textId="77777777">
      <w:trPr>
        <w:cantSplit/>
      </w:trPr>
      <w:tc>
        <w:tcPr>
          <w:tcW w:w="4644" w:type="dxa"/>
        </w:tcPr>
        <w:p w14:paraId="3E44A08C" w14:textId="6AD114C1"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69CFF73E" w14:textId="58A46108"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14:paraId="6A4D044D" w14:textId="5CF1C56E"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27AAE4B3" w14:textId="7155D187"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14:paraId="47CBB461" w14:textId="283791A3" w:rsidR="00E20E70" w:rsidRDefault="00E20E70">
    <w:r>
      <w:rPr>
        <w:sz w:val="16"/>
      </w:rPr>
      <w:fldChar w:fldCharType="begin"/>
    </w:r>
    <w:r>
      <w:rPr>
        <w:sz w:val="16"/>
      </w:rPr>
      <w:instrText xml:space="preserve"> FILENAME \* MERGEFORMAT </w:instrText>
    </w:r>
    <w:r>
      <w:rPr>
        <w:sz w:val="16"/>
      </w:rPr>
      <w:fldChar w:fldCharType="separate"/>
    </w:r>
    <w:r w:rsidR="00DF4326">
      <w:rPr>
        <w:noProof/>
        <w:sz w:val="16"/>
      </w:rPr>
      <w:t>IAEA SMR paper-V14</w:t>
    </w:r>
    <w:r>
      <w:rPr>
        <w:sz w:val="16"/>
      </w:rPr>
      <w:fldChar w:fldCharType="end"/>
    </w:r>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A96245" w14:textId="77777777" w:rsidR="003E5A33" w:rsidRDefault="003E5A33">
      <w:r>
        <w:t>___________________________________________________________________________</w:t>
      </w:r>
    </w:p>
  </w:footnote>
  <w:footnote w:type="continuationSeparator" w:id="0">
    <w:p w14:paraId="0C7381BB" w14:textId="77777777" w:rsidR="003E5A33" w:rsidRDefault="003E5A33">
      <w:r>
        <w:t>___________________________________________________________________________</w:t>
      </w:r>
    </w:p>
  </w:footnote>
  <w:footnote w:type="continuationNotice" w:id="1">
    <w:p w14:paraId="4E7C40A3" w14:textId="77777777" w:rsidR="003E5A33" w:rsidRDefault="003E5A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589A2" w14:textId="3447006C" w:rsidR="00CF7AF3" w:rsidRPr="002571AB" w:rsidRDefault="00CF7AF3" w:rsidP="002571AB">
    <w:pPr>
      <w:pStyle w:val="Runninghead"/>
    </w:pPr>
    <w:r>
      <w:tab/>
      <w:t>IAEA-CN-</w:t>
    </w:r>
    <w:r w:rsidR="002571AB" w:rsidRPr="002571AB">
      <w:t>327</w:t>
    </w:r>
    <w:r>
      <w:t>/</w:t>
    </w:r>
    <w:r w:rsidR="002571AB" w:rsidRPr="002571AB">
      <w:t>181</w:t>
    </w:r>
  </w:p>
  <w:p w14:paraId="410DEBE9" w14:textId="1805DA59"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4E201E3D" w14:textId="253C547A"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CDED5" w14:textId="5FC11FE5" w:rsidR="00037321" w:rsidRPr="00771E31" w:rsidRDefault="00771E31" w:rsidP="00771E31">
    <w:pPr>
      <w:pStyle w:val="Runninghead"/>
    </w:pPr>
    <w:r w:rsidRPr="00771E31">
      <w:t>AIMAN DANDI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5C6B1706" w14:textId="77777777">
      <w:trPr>
        <w:cantSplit/>
        <w:trHeight w:val="716"/>
      </w:trPr>
      <w:tc>
        <w:tcPr>
          <w:tcW w:w="979" w:type="dxa"/>
          <w:vMerge w:val="restart"/>
        </w:tcPr>
        <w:p w14:paraId="4241F556" w14:textId="77777777" w:rsidR="00E20E70" w:rsidRDefault="00E20E70">
          <w:pPr>
            <w:spacing w:before="180"/>
            <w:ind w:left="17"/>
          </w:pPr>
        </w:p>
      </w:tc>
      <w:tc>
        <w:tcPr>
          <w:tcW w:w="3638" w:type="dxa"/>
          <w:vAlign w:val="bottom"/>
        </w:tcPr>
        <w:p w14:paraId="776DB71C" w14:textId="77777777" w:rsidR="00E20E70" w:rsidRDefault="00E20E70">
          <w:pPr>
            <w:spacing w:after="20"/>
          </w:pPr>
        </w:p>
      </w:tc>
      <w:tc>
        <w:tcPr>
          <w:tcW w:w="5702" w:type="dxa"/>
          <w:vMerge w:val="restart"/>
          <w:tcMar>
            <w:right w:w="193" w:type="dxa"/>
          </w:tcMar>
        </w:tcPr>
        <w:p w14:paraId="4716A954" w14:textId="16A78FC9"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p w14:paraId="4B6AD49B" w14:textId="044CE731" w:rsidR="00E20E70" w:rsidRDefault="00E20E70">
          <w:pPr>
            <w:pStyle w:val="zyxConfid2Red"/>
          </w:pPr>
          <w:r>
            <w:fldChar w:fldCharType="begin"/>
          </w:r>
          <w:r>
            <w:instrText>DOCPROPERTY "IaeaClassification2"  \* MERGEFORMAT</w:instrText>
          </w:r>
          <w:r>
            <w:fldChar w:fldCharType="end"/>
          </w:r>
        </w:p>
      </w:tc>
    </w:tr>
    <w:tr w:rsidR="00E20E70" w14:paraId="6ECDB12F" w14:textId="77777777">
      <w:trPr>
        <w:cantSplit/>
        <w:trHeight w:val="167"/>
      </w:trPr>
      <w:tc>
        <w:tcPr>
          <w:tcW w:w="979" w:type="dxa"/>
          <w:vMerge/>
        </w:tcPr>
        <w:p w14:paraId="135F1D6B" w14:textId="77777777" w:rsidR="00E20E70" w:rsidRDefault="00E20E70">
          <w:pPr>
            <w:spacing w:before="57"/>
          </w:pPr>
        </w:p>
      </w:tc>
      <w:tc>
        <w:tcPr>
          <w:tcW w:w="3638" w:type="dxa"/>
          <w:vAlign w:val="bottom"/>
        </w:tcPr>
        <w:p w14:paraId="42F85C5A" w14:textId="77777777" w:rsidR="00E20E70" w:rsidRDefault="00E20E70">
          <w:pPr>
            <w:pStyle w:val="Heading9"/>
            <w:spacing w:before="0" w:after="10"/>
          </w:pPr>
        </w:p>
      </w:tc>
      <w:tc>
        <w:tcPr>
          <w:tcW w:w="5702" w:type="dxa"/>
          <w:vMerge/>
          <w:vAlign w:val="bottom"/>
        </w:tcPr>
        <w:p w14:paraId="4CFBB14D" w14:textId="77777777" w:rsidR="00E20E70" w:rsidRDefault="00E20E70">
          <w:pPr>
            <w:pStyle w:val="Heading9"/>
            <w:spacing w:before="0" w:after="10"/>
          </w:pPr>
        </w:p>
      </w:tc>
    </w:tr>
  </w:tbl>
  <w:p w14:paraId="64134C96"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8D30942"/>
    <w:multiLevelType w:val="multilevel"/>
    <w:tmpl w:val="C17E9EC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2"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1491487632">
    <w:abstractNumId w:val="8"/>
  </w:num>
  <w:num w:numId="2" w16cid:durableId="1777672417">
    <w:abstractNumId w:val="5"/>
  </w:num>
  <w:num w:numId="3" w16cid:durableId="737438758">
    <w:abstractNumId w:val="11"/>
  </w:num>
  <w:num w:numId="4" w16cid:durableId="485828848">
    <w:abstractNumId w:val="11"/>
  </w:num>
  <w:num w:numId="5" w16cid:durableId="369185383">
    <w:abstractNumId w:val="11"/>
  </w:num>
  <w:num w:numId="6" w16cid:durableId="536085905">
    <w:abstractNumId w:val="6"/>
  </w:num>
  <w:num w:numId="7" w16cid:durableId="879054929">
    <w:abstractNumId w:val="9"/>
  </w:num>
  <w:num w:numId="8" w16cid:durableId="821000684">
    <w:abstractNumId w:val="12"/>
  </w:num>
  <w:num w:numId="9" w16cid:durableId="255526370">
    <w:abstractNumId w:val="1"/>
  </w:num>
  <w:num w:numId="10" w16cid:durableId="1701206453">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16cid:durableId="2020958141">
    <w:abstractNumId w:val="11"/>
  </w:num>
  <w:num w:numId="12" w16cid:durableId="1702708011">
    <w:abstractNumId w:val="11"/>
  </w:num>
  <w:num w:numId="13" w16cid:durableId="103155152">
    <w:abstractNumId w:val="11"/>
  </w:num>
  <w:num w:numId="14" w16cid:durableId="1890191971">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16cid:durableId="161512111">
    <w:abstractNumId w:val="11"/>
  </w:num>
  <w:num w:numId="16" w16cid:durableId="403528885">
    <w:abstractNumId w:val="11"/>
  </w:num>
  <w:num w:numId="17" w16cid:durableId="1166945165">
    <w:abstractNumId w:val="11"/>
  </w:num>
  <w:num w:numId="18" w16cid:durableId="59528770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24945338">
    <w:abstractNumId w:val="11"/>
  </w:num>
  <w:num w:numId="20" w16cid:durableId="1236009933">
    <w:abstractNumId w:val="2"/>
  </w:num>
  <w:num w:numId="21" w16cid:durableId="1568764435">
    <w:abstractNumId w:val="11"/>
  </w:num>
  <w:num w:numId="22" w16cid:durableId="1821731689">
    <w:abstractNumId w:val="4"/>
  </w:num>
  <w:num w:numId="23" w16cid:durableId="540291719">
    <w:abstractNumId w:val="0"/>
  </w:num>
  <w:num w:numId="24" w16cid:durableId="884607014">
    <w:abstractNumId w:val="10"/>
  </w:num>
  <w:num w:numId="25" w16cid:durableId="98523600">
    <w:abstractNumId w:val="11"/>
  </w:num>
  <w:num w:numId="26" w16cid:durableId="1848447412">
    <w:abstractNumId w:val="11"/>
  </w:num>
  <w:num w:numId="27" w16cid:durableId="829249201">
    <w:abstractNumId w:val="11"/>
  </w:num>
  <w:num w:numId="28" w16cid:durableId="1015959731">
    <w:abstractNumId w:val="11"/>
  </w:num>
  <w:num w:numId="29" w16cid:durableId="40977751">
    <w:abstractNumId w:val="11"/>
  </w:num>
  <w:num w:numId="30" w16cid:durableId="1895772188">
    <w:abstractNumId w:val="7"/>
  </w:num>
  <w:num w:numId="31" w16cid:durableId="985738087">
    <w:abstractNumId w:val="7"/>
  </w:num>
  <w:num w:numId="32" w16cid:durableId="1043863865">
    <w:abstractNumId w:val="11"/>
  </w:num>
  <w:num w:numId="33" w16cid:durableId="15028890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229AB"/>
    <w:rsid w:val="0002569A"/>
    <w:rsid w:val="00037321"/>
    <w:rsid w:val="0004058E"/>
    <w:rsid w:val="00091977"/>
    <w:rsid w:val="0009712A"/>
    <w:rsid w:val="000A0299"/>
    <w:rsid w:val="000A2CF3"/>
    <w:rsid w:val="000A577C"/>
    <w:rsid w:val="000C2977"/>
    <w:rsid w:val="000F7E94"/>
    <w:rsid w:val="001119D6"/>
    <w:rsid w:val="001308F2"/>
    <w:rsid w:val="001313E8"/>
    <w:rsid w:val="00132246"/>
    <w:rsid w:val="00146F40"/>
    <w:rsid w:val="00192AE5"/>
    <w:rsid w:val="001C58F5"/>
    <w:rsid w:val="001D5CEE"/>
    <w:rsid w:val="001E7A9A"/>
    <w:rsid w:val="001F0C12"/>
    <w:rsid w:val="001F2BFA"/>
    <w:rsid w:val="002071D9"/>
    <w:rsid w:val="00216F98"/>
    <w:rsid w:val="00235FAF"/>
    <w:rsid w:val="00256822"/>
    <w:rsid w:val="002571AB"/>
    <w:rsid w:val="0026525A"/>
    <w:rsid w:val="0026777E"/>
    <w:rsid w:val="00274790"/>
    <w:rsid w:val="00276A21"/>
    <w:rsid w:val="00285755"/>
    <w:rsid w:val="002A1F9C"/>
    <w:rsid w:val="002B29C2"/>
    <w:rsid w:val="002C4208"/>
    <w:rsid w:val="003319E8"/>
    <w:rsid w:val="00352DE1"/>
    <w:rsid w:val="003728E6"/>
    <w:rsid w:val="00397CD7"/>
    <w:rsid w:val="003B32A4"/>
    <w:rsid w:val="003B5E0E"/>
    <w:rsid w:val="003D255A"/>
    <w:rsid w:val="003E5A33"/>
    <w:rsid w:val="00416949"/>
    <w:rsid w:val="00420C4E"/>
    <w:rsid w:val="0043218B"/>
    <w:rsid w:val="004370D8"/>
    <w:rsid w:val="00445C91"/>
    <w:rsid w:val="00472C43"/>
    <w:rsid w:val="004B1FF5"/>
    <w:rsid w:val="00537496"/>
    <w:rsid w:val="00544ED3"/>
    <w:rsid w:val="0058477B"/>
    <w:rsid w:val="0058654F"/>
    <w:rsid w:val="00596ACA"/>
    <w:rsid w:val="005E39BC"/>
    <w:rsid w:val="005F00A0"/>
    <w:rsid w:val="0063538F"/>
    <w:rsid w:val="00647F33"/>
    <w:rsid w:val="006519B8"/>
    <w:rsid w:val="006540ED"/>
    <w:rsid w:val="00662532"/>
    <w:rsid w:val="006756D2"/>
    <w:rsid w:val="006905CD"/>
    <w:rsid w:val="006B2274"/>
    <w:rsid w:val="007067BA"/>
    <w:rsid w:val="0071784C"/>
    <w:rsid w:val="00717C6F"/>
    <w:rsid w:val="007445DA"/>
    <w:rsid w:val="00757911"/>
    <w:rsid w:val="00771E31"/>
    <w:rsid w:val="00782BB6"/>
    <w:rsid w:val="007B4FD1"/>
    <w:rsid w:val="007D02D3"/>
    <w:rsid w:val="00802381"/>
    <w:rsid w:val="00821D8B"/>
    <w:rsid w:val="00825F89"/>
    <w:rsid w:val="0084084F"/>
    <w:rsid w:val="0087679E"/>
    <w:rsid w:val="00883848"/>
    <w:rsid w:val="00897ED5"/>
    <w:rsid w:val="008B6BB9"/>
    <w:rsid w:val="008E70D5"/>
    <w:rsid w:val="008F4251"/>
    <w:rsid w:val="00911543"/>
    <w:rsid w:val="009519C9"/>
    <w:rsid w:val="009B08B8"/>
    <w:rsid w:val="009D0B86"/>
    <w:rsid w:val="009D7AF6"/>
    <w:rsid w:val="009E02C2"/>
    <w:rsid w:val="009E0D5B"/>
    <w:rsid w:val="009E1558"/>
    <w:rsid w:val="00A153C3"/>
    <w:rsid w:val="00A363A5"/>
    <w:rsid w:val="00A42898"/>
    <w:rsid w:val="00A8311C"/>
    <w:rsid w:val="00A84675"/>
    <w:rsid w:val="00A964AF"/>
    <w:rsid w:val="00AA011C"/>
    <w:rsid w:val="00AB6ACE"/>
    <w:rsid w:val="00AC5A3A"/>
    <w:rsid w:val="00B717FB"/>
    <w:rsid w:val="00B82FA5"/>
    <w:rsid w:val="00B9078E"/>
    <w:rsid w:val="00BD1400"/>
    <w:rsid w:val="00BD605C"/>
    <w:rsid w:val="00BE2A76"/>
    <w:rsid w:val="00C437BF"/>
    <w:rsid w:val="00C65E60"/>
    <w:rsid w:val="00CD3D31"/>
    <w:rsid w:val="00CE5A52"/>
    <w:rsid w:val="00CF7AF3"/>
    <w:rsid w:val="00D26ADA"/>
    <w:rsid w:val="00D35A78"/>
    <w:rsid w:val="00D555A1"/>
    <w:rsid w:val="00D64DC2"/>
    <w:rsid w:val="00DA46CA"/>
    <w:rsid w:val="00DC1A6F"/>
    <w:rsid w:val="00DF21EB"/>
    <w:rsid w:val="00DF4326"/>
    <w:rsid w:val="00E20E70"/>
    <w:rsid w:val="00E248AF"/>
    <w:rsid w:val="00E25B68"/>
    <w:rsid w:val="00E35E34"/>
    <w:rsid w:val="00E47DE2"/>
    <w:rsid w:val="00E84003"/>
    <w:rsid w:val="00EC10FC"/>
    <w:rsid w:val="00EE0041"/>
    <w:rsid w:val="00EE29B9"/>
    <w:rsid w:val="00F004EE"/>
    <w:rsid w:val="00F229FA"/>
    <w:rsid w:val="00F26284"/>
    <w:rsid w:val="00F26929"/>
    <w:rsid w:val="00F42E23"/>
    <w:rsid w:val="00F45EEE"/>
    <w:rsid w:val="00F51326"/>
    <w:rsid w:val="00F51E9C"/>
    <w:rsid w:val="00F523CA"/>
    <w:rsid w:val="00F74A9D"/>
    <w:rsid w:val="00F85F05"/>
    <w:rsid w:val="00F93CCA"/>
    <w:rsid w:val="00FA001A"/>
    <w:rsid w:val="00FC6111"/>
    <w:rsid w:val="00FE6876"/>
    <w:rsid w:val="00FF386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D130ED"/>
  <w15:docId w15:val="{AEB99564-EB24-42E3-9B6B-E96386A2C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List Bullet" w:locked="0"/>
    <w:lsdException w:name="Title" w:locked="0" w:uiPriority="0"/>
    <w:lsdException w:name="Default Paragraph Font" w:locked="0" w:uiPriority="0"/>
    <w:lsdException w:name="Body Text" w:locked="0" w:uiPriority="0" w:qFormat="1"/>
    <w:lsdException w:name="Body Text Indent" w:locked="0" w:uiPriority="0"/>
    <w:lsdException w:name="Subtitle" w:locked="0" w:uiPriority="0" w:qFormat="1"/>
    <w:lsdException w:name="HTML Top of Form" w:locked="0" w:uiPriority="0"/>
    <w:lsdException w:name="HTML Bottom of Form" w:locked="0" w:uiPriority="0"/>
    <w:lsdException w:name="HTML Acronym" w:uiPriority="19"/>
    <w:lsdException w:name="HTML Address" w:uiPriority="19"/>
    <w:lsdException w:name="Normal Table" w:locked="0" w:semiHidden="1" w:uiPriority="0" w:unhideWhenUsed="1"/>
    <w:lsdException w:name="No List" w:locked="0" w:uiPriority="0"/>
    <w:lsdException w:name="Outline List 1" w:uiPriority="0"/>
    <w:lsdException w:name="Outline List 2" w:uiPriority="0"/>
    <w:lsdException w:name="Outline List 3" w:uiPriority="0"/>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ListParagraph">
    <w:name w:val="List Paragraph"/>
    <w:basedOn w:val="Normal"/>
    <w:uiPriority w:val="34"/>
    <w:qFormat/>
    <w:locked/>
    <w:rsid w:val="0004058E"/>
    <w:pPr>
      <w:overflowPunct/>
      <w:autoSpaceDE/>
      <w:autoSpaceDN/>
      <w:adjustRightInd/>
      <w:spacing w:after="160" w:line="259" w:lineRule="auto"/>
      <w:ind w:left="720"/>
      <w:contextualSpacing/>
      <w:textAlignment w:val="auto"/>
    </w:pPr>
    <w:rPr>
      <w:rFonts w:asciiTheme="minorHAnsi" w:eastAsiaTheme="minorHAnsi" w:hAnsiTheme="minorHAnsi" w:cstheme="minorBidi"/>
      <w:szCs w:val="22"/>
      <w:lang w:val="en-US"/>
    </w:rPr>
  </w:style>
  <w:style w:type="paragraph" w:customStyle="1" w:styleId="para1MSMinchoMSMinc">
    <w:name w:val="스타일 스타일 스타일 스타일 para + 첫 줄:  1 글자 + (한글) MS Mincho + (한글) MS Minc..."/>
    <w:basedOn w:val="Normal"/>
    <w:link w:val="para1MSMinchoMSMincChar1"/>
    <w:rsid w:val="00B717FB"/>
    <w:pPr>
      <w:overflowPunct/>
      <w:autoSpaceDE/>
      <w:autoSpaceDN/>
      <w:snapToGrid w:val="0"/>
      <w:spacing w:before="100" w:beforeAutospacing="1" w:after="100" w:afterAutospacing="1"/>
      <w:ind w:firstLineChars="100" w:firstLine="200"/>
      <w:jc w:val="both"/>
      <w:textAlignment w:val="auto"/>
    </w:pPr>
    <w:rPr>
      <w:rFonts w:eastAsia="MS Mincho"/>
      <w:sz w:val="20"/>
      <w:lang w:val="en-US"/>
    </w:rPr>
  </w:style>
  <w:style w:type="character" w:customStyle="1" w:styleId="para1MSMinchoMSMincChar1">
    <w:name w:val="스타일 스타일 스타일 스타일 para + 첫 줄:  1 글자 + (한글) MS Mincho + (한글) MS Minc... Char1"/>
    <w:basedOn w:val="DefaultParagraphFont"/>
    <w:link w:val="para1MSMinchoMSMinc"/>
    <w:rsid w:val="00B717FB"/>
    <w:rPr>
      <w:rFonts w:eastAsia="MS Mincho"/>
      <w:lang w:val="en-US" w:eastAsia="en-US"/>
    </w:rPr>
  </w:style>
  <w:style w:type="character" w:styleId="Hyperlink">
    <w:name w:val="Hyperlink"/>
    <w:basedOn w:val="DefaultParagraphFont"/>
    <w:uiPriority w:val="49"/>
    <w:locked/>
    <w:rsid w:val="00A964AF"/>
    <w:rPr>
      <w:color w:val="0000FF" w:themeColor="hyperlink"/>
      <w:u w:val="single"/>
    </w:rPr>
  </w:style>
  <w:style w:type="character" w:styleId="UnresolvedMention">
    <w:name w:val="Unresolved Mention"/>
    <w:basedOn w:val="DefaultParagraphFont"/>
    <w:uiPriority w:val="99"/>
    <w:semiHidden/>
    <w:unhideWhenUsed/>
    <w:rsid w:val="00A964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ffice2010\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51823C9C-7F25-4F27-9FBC-F8768B34B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1</TotalTime>
  <Pages>7</Pages>
  <Words>2328</Words>
  <Characters>13272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15569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pc</cp:lastModifiedBy>
  <cp:revision>2</cp:revision>
  <cp:lastPrinted>2015-12-01T10:27:00Z</cp:lastPrinted>
  <dcterms:created xsi:type="dcterms:W3CDTF">2024-05-05T10:50:00Z</dcterms:created>
  <dcterms:modified xsi:type="dcterms:W3CDTF">2024-05-05T10:50:00Z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