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DD524" w14:textId="77777777" w:rsidR="00387970" w:rsidRDefault="00387970" w:rsidP="00A230D7">
      <w:pPr>
        <w:keepNext/>
        <w:keepLines/>
        <w:suppressAutoHyphens w:val="0"/>
        <w:spacing w:line="280" w:lineRule="atLeast"/>
        <w:ind w:left="562" w:right="562" w:firstLine="562"/>
        <w:jc w:val="left"/>
        <w:rPr>
          <w:b/>
          <w:sz w:val="24"/>
          <w:szCs w:val="24"/>
        </w:rPr>
      </w:pPr>
      <w:r w:rsidRPr="00387970">
        <w:rPr>
          <w:b/>
          <w:sz w:val="24"/>
          <w:szCs w:val="24"/>
        </w:rPr>
        <w:t>EFFECT OF CHANGING THE OUTER FUEL ELEME</w:t>
      </w:r>
      <w:r>
        <w:rPr>
          <w:b/>
          <w:sz w:val="24"/>
          <w:szCs w:val="24"/>
        </w:rPr>
        <w:t>-</w:t>
      </w:r>
    </w:p>
    <w:p w14:paraId="62B00ABA" w14:textId="77777777" w:rsidR="00387970" w:rsidRDefault="00387970" w:rsidP="00A230D7">
      <w:pPr>
        <w:keepNext/>
        <w:keepLines/>
        <w:suppressAutoHyphens w:val="0"/>
        <w:spacing w:line="280" w:lineRule="atLeast"/>
        <w:ind w:left="562" w:right="562" w:firstLine="562"/>
        <w:jc w:val="left"/>
        <w:rPr>
          <w:b/>
          <w:sz w:val="24"/>
          <w:szCs w:val="24"/>
        </w:rPr>
      </w:pPr>
      <w:r w:rsidRPr="00387970">
        <w:rPr>
          <w:b/>
          <w:sz w:val="24"/>
          <w:szCs w:val="24"/>
        </w:rPr>
        <w:t>NT DIAMETER ON</w:t>
      </w:r>
      <w:r>
        <w:rPr>
          <w:b/>
          <w:sz w:val="24"/>
          <w:szCs w:val="24"/>
        </w:rPr>
        <w:t xml:space="preserve"> </w:t>
      </w:r>
      <w:r w:rsidRPr="00387970">
        <w:rPr>
          <w:b/>
          <w:sz w:val="24"/>
          <w:szCs w:val="24"/>
        </w:rPr>
        <w:t>THERMOPHYSICAL PARAMETER</w:t>
      </w:r>
      <w:r>
        <w:rPr>
          <w:b/>
          <w:sz w:val="24"/>
          <w:szCs w:val="24"/>
        </w:rPr>
        <w:t>-</w:t>
      </w:r>
    </w:p>
    <w:p w14:paraId="56D3360A" w14:textId="7C304410" w:rsidR="00C5734E" w:rsidRDefault="00387970" w:rsidP="00A230D7">
      <w:pPr>
        <w:keepNext/>
        <w:keepLines/>
        <w:suppressAutoHyphens w:val="0"/>
        <w:spacing w:line="280" w:lineRule="atLeast"/>
        <w:ind w:left="562" w:right="562" w:firstLine="562"/>
        <w:jc w:val="left"/>
        <w:rPr>
          <w:b/>
          <w:sz w:val="24"/>
          <w:szCs w:val="24"/>
        </w:rPr>
      </w:pPr>
      <w:r w:rsidRPr="00387970">
        <w:rPr>
          <w:b/>
          <w:sz w:val="24"/>
          <w:szCs w:val="24"/>
        </w:rPr>
        <w:t>S OF RITM-200 REACTOR UNIT.</w:t>
      </w:r>
    </w:p>
    <w:p w14:paraId="57498D72" w14:textId="77777777" w:rsidR="005D1B37" w:rsidRDefault="005D1B37" w:rsidP="00387970">
      <w:pPr>
        <w:keepNext/>
        <w:keepLines/>
        <w:suppressAutoHyphens w:val="0"/>
        <w:spacing w:line="360" w:lineRule="auto"/>
        <w:ind w:firstLine="562"/>
        <w:jc w:val="left"/>
        <w:rPr>
          <w:b/>
          <w:sz w:val="24"/>
          <w:szCs w:val="24"/>
        </w:rPr>
      </w:pPr>
    </w:p>
    <w:p w14:paraId="6E99BF2C" w14:textId="68BB4051" w:rsidR="005D1B37" w:rsidRPr="00A904C5" w:rsidRDefault="005D1B37" w:rsidP="00A230D7">
      <w:pPr>
        <w:keepNext/>
        <w:keepLines/>
        <w:suppressAutoHyphens w:val="0"/>
        <w:ind w:left="562"/>
        <w:jc w:val="left"/>
        <w:rPr>
          <w:bCs/>
        </w:rPr>
      </w:pPr>
      <w:r w:rsidRPr="00A904C5">
        <w:rPr>
          <w:bCs/>
        </w:rPr>
        <w:t>S</w:t>
      </w:r>
      <w:r w:rsidR="0008113A">
        <w:rPr>
          <w:bCs/>
        </w:rPr>
        <w:t>amir</w:t>
      </w:r>
      <w:r w:rsidR="008164D4">
        <w:rPr>
          <w:bCs/>
        </w:rPr>
        <w:t xml:space="preserve">u </w:t>
      </w:r>
      <w:r w:rsidRPr="00A904C5">
        <w:rPr>
          <w:bCs/>
        </w:rPr>
        <w:t>A</w:t>
      </w:r>
      <w:r w:rsidR="0008113A" w:rsidRPr="00A904C5">
        <w:rPr>
          <w:bCs/>
        </w:rPr>
        <w:t>lhassan</w:t>
      </w:r>
    </w:p>
    <w:p w14:paraId="4C65A110" w14:textId="2B3300A1" w:rsidR="005D1B37" w:rsidRPr="00A904C5" w:rsidRDefault="005D1B37" w:rsidP="00A230D7">
      <w:pPr>
        <w:keepNext/>
        <w:keepLines/>
        <w:suppressAutoHyphens w:val="0"/>
        <w:ind w:left="562"/>
        <w:jc w:val="left"/>
        <w:rPr>
          <w:bCs/>
        </w:rPr>
      </w:pPr>
      <w:r w:rsidRPr="00A904C5">
        <w:rPr>
          <w:bCs/>
        </w:rPr>
        <w:t>Nuclear Regulatory Authority</w:t>
      </w:r>
      <w:r w:rsidR="008164D4">
        <w:rPr>
          <w:bCs/>
        </w:rPr>
        <w:t>/ Academic City University College</w:t>
      </w:r>
    </w:p>
    <w:p w14:paraId="564DCA6E" w14:textId="06847282" w:rsidR="005D1B37" w:rsidRPr="00A904C5" w:rsidRDefault="005D1B37" w:rsidP="00A230D7">
      <w:pPr>
        <w:keepNext/>
        <w:keepLines/>
        <w:suppressAutoHyphens w:val="0"/>
        <w:ind w:left="562"/>
        <w:jc w:val="left"/>
        <w:rPr>
          <w:bCs/>
        </w:rPr>
      </w:pPr>
      <w:r w:rsidRPr="00A904C5">
        <w:rPr>
          <w:bCs/>
        </w:rPr>
        <w:t>Kwabenya/ Accra, Ghana</w:t>
      </w:r>
    </w:p>
    <w:p w14:paraId="7690701E" w14:textId="6FD6F970" w:rsidR="005D1B37" w:rsidRPr="00A904C5" w:rsidRDefault="005D1B37" w:rsidP="00A230D7">
      <w:pPr>
        <w:keepNext/>
        <w:keepLines/>
        <w:suppressAutoHyphens w:val="0"/>
        <w:ind w:left="562"/>
        <w:jc w:val="left"/>
        <w:rPr>
          <w:bCs/>
        </w:rPr>
      </w:pPr>
      <w:r w:rsidRPr="00A904C5">
        <w:rPr>
          <w:bCs/>
        </w:rPr>
        <w:t xml:space="preserve">Email: </w:t>
      </w:r>
      <w:hyperlink r:id="rId8" w:history="1">
        <w:r w:rsidR="00AE308E" w:rsidRPr="008164D4">
          <w:rPr>
            <w:rStyle w:val="Hyperlink"/>
            <w:bCs/>
            <w:color w:val="auto"/>
            <w:u w:val="none"/>
          </w:rPr>
          <w:t>sammy.alha.204@gmail.com/</w:t>
        </w:r>
      </w:hyperlink>
      <w:r w:rsidR="00AE308E" w:rsidRPr="008164D4">
        <w:rPr>
          <w:rStyle w:val="Hyperlink"/>
          <w:bCs/>
          <w:color w:val="auto"/>
          <w:u w:val="none"/>
        </w:rPr>
        <w:t xml:space="preserve"> </w:t>
      </w:r>
      <w:hyperlink r:id="rId9" w:history="1">
        <w:r w:rsidR="008164D4" w:rsidRPr="008164D4">
          <w:rPr>
            <w:rStyle w:val="Hyperlink"/>
            <w:bCs/>
            <w:color w:val="auto"/>
            <w:u w:val="none"/>
          </w:rPr>
          <w:t>alhassan@tpu.ru/</w:t>
        </w:r>
      </w:hyperlink>
      <w:r w:rsidR="008164D4" w:rsidRPr="008164D4">
        <w:rPr>
          <w:rStyle w:val="Hyperlink"/>
          <w:bCs/>
          <w:color w:val="auto"/>
          <w:u w:val="none"/>
        </w:rPr>
        <w:t xml:space="preserve"> </w:t>
      </w:r>
      <w:r w:rsidR="00AE308E" w:rsidRPr="008164D4">
        <w:rPr>
          <w:rStyle w:val="Hyperlink"/>
          <w:bCs/>
          <w:color w:val="auto"/>
          <w:u w:val="none"/>
        </w:rPr>
        <w:t>samiru.alhassan@acity.edu.gh</w:t>
      </w:r>
    </w:p>
    <w:p w14:paraId="3909FCFB" w14:textId="77777777" w:rsidR="005D1B37" w:rsidRPr="00A904C5" w:rsidRDefault="005D1B37" w:rsidP="00A230D7">
      <w:pPr>
        <w:keepNext/>
        <w:keepLines/>
        <w:suppressAutoHyphens w:val="0"/>
        <w:ind w:left="562"/>
        <w:jc w:val="left"/>
        <w:rPr>
          <w:bCs/>
        </w:rPr>
      </w:pPr>
    </w:p>
    <w:p w14:paraId="53753DBE" w14:textId="1EA0443F" w:rsidR="001A7D37" w:rsidRPr="00A904C5" w:rsidRDefault="001A7D37" w:rsidP="00A230D7">
      <w:pPr>
        <w:keepNext/>
        <w:keepLines/>
        <w:suppressAutoHyphens w:val="0"/>
        <w:ind w:left="562"/>
        <w:jc w:val="left"/>
        <w:rPr>
          <w:bCs/>
        </w:rPr>
      </w:pPr>
      <w:r w:rsidRPr="00A904C5">
        <w:rPr>
          <w:bCs/>
        </w:rPr>
        <w:t>S</w:t>
      </w:r>
      <w:r w:rsidR="0008113A">
        <w:rPr>
          <w:bCs/>
        </w:rPr>
        <w:t>ergey</w:t>
      </w:r>
      <w:r w:rsidRPr="00A904C5">
        <w:rPr>
          <w:bCs/>
        </w:rPr>
        <w:t xml:space="preserve">. </w:t>
      </w:r>
      <w:r w:rsidR="0044112C">
        <w:rPr>
          <w:bCs/>
        </w:rPr>
        <w:t xml:space="preserve">V. </w:t>
      </w:r>
      <w:r w:rsidRPr="00A904C5">
        <w:rPr>
          <w:bCs/>
        </w:rPr>
        <w:t>Beliavskii</w:t>
      </w:r>
    </w:p>
    <w:p w14:paraId="3CBBAC49" w14:textId="5D0AF49E" w:rsidR="001A7D37" w:rsidRPr="00A904C5" w:rsidRDefault="001A7D37" w:rsidP="00A230D7">
      <w:pPr>
        <w:keepNext/>
        <w:keepLines/>
        <w:suppressAutoHyphens w:val="0"/>
        <w:ind w:left="562"/>
        <w:jc w:val="left"/>
        <w:rPr>
          <w:bCs/>
        </w:rPr>
      </w:pPr>
      <w:r w:rsidRPr="00A904C5">
        <w:rPr>
          <w:bCs/>
        </w:rPr>
        <w:t>National Research Tomsk Polytechnic University</w:t>
      </w:r>
    </w:p>
    <w:p w14:paraId="16F6C8BC" w14:textId="29B7AD6A" w:rsidR="001A7D37" w:rsidRPr="00A904C5" w:rsidRDefault="001A7D37" w:rsidP="00A230D7">
      <w:pPr>
        <w:keepNext/>
        <w:keepLines/>
        <w:suppressAutoHyphens w:val="0"/>
        <w:ind w:left="562"/>
        <w:jc w:val="left"/>
        <w:rPr>
          <w:bCs/>
        </w:rPr>
      </w:pPr>
      <w:r w:rsidRPr="00A904C5">
        <w:rPr>
          <w:bCs/>
        </w:rPr>
        <w:t>Tomsk, Russia</w:t>
      </w:r>
      <w:r w:rsidR="008164D4">
        <w:rPr>
          <w:bCs/>
        </w:rPr>
        <w:t>n Federation</w:t>
      </w:r>
    </w:p>
    <w:p w14:paraId="349811B2" w14:textId="77777777" w:rsidR="001A7D37" w:rsidRPr="00A904C5" w:rsidRDefault="001A7D37" w:rsidP="00A230D7">
      <w:pPr>
        <w:keepNext/>
        <w:keepLines/>
        <w:suppressAutoHyphens w:val="0"/>
        <w:ind w:left="562"/>
        <w:jc w:val="left"/>
        <w:rPr>
          <w:bCs/>
        </w:rPr>
      </w:pPr>
    </w:p>
    <w:p w14:paraId="329CE736" w14:textId="5A7A72EA" w:rsidR="001A7D37" w:rsidRPr="00A904C5" w:rsidRDefault="001A7D37" w:rsidP="00A230D7">
      <w:pPr>
        <w:keepNext/>
        <w:keepLines/>
        <w:suppressAutoHyphens w:val="0"/>
        <w:ind w:left="562"/>
        <w:jc w:val="left"/>
        <w:rPr>
          <w:bCs/>
        </w:rPr>
      </w:pPr>
      <w:r w:rsidRPr="00A904C5">
        <w:rPr>
          <w:bCs/>
        </w:rPr>
        <w:t xml:space="preserve">Vladimir N. Nesterov </w:t>
      </w:r>
    </w:p>
    <w:p w14:paraId="6C1B3B87" w14:textId="77777777" w:rsidR="001A7D37" w:rsidRPr="00A904C5" w:rsidRDefault="001A7D37" w:rsidP="00A230D7">
      <w:pPr>
        <w:keepNext/>
        <w:keepLines/>
        <w:suppressAutoHyphens w:val="0"/>
        <w:ind w:left="562"/>
        <w:jc w:val="left"/>
        <w:rPr>
          <w:bCs/>
        </w:rPr>
      </w:pPr>
      <w:r w:rsidRPr="00A904C5">
        <w:rPr>
          <w:bCs/>
        </w:rPr>
        <w:t>National Research Tomsk Polytechnic University</w:t>
      </w:r>
    </w:p>
    <w:p w14:paraId="6BC79304" w14:textId="5EABFD2C" w:rsidR="001A7D37" w:rsidRPr="00A904C5" w:rsidRDefault="001A7D37" w:rsidP="00A230D7">
      <w:pPr>
        <w:keepNext/>
        <w:keepLines/>
        <w:suppressAutoHyphens w:val="0"/>
        <w:ind w:left="562"/>
        <w:jc w:val="left"/>
        <w:rPr>
          <w:bCs/>
        </w:rPr>
      </w:pPr>
      <w:r w:rsidRPr="00A904C5">
        <w:rPr>
          <w:bCs/>
        </w:rPr>
        <w:t>Tomsk, Russia</w:t>
      </w:r>
      <w:r w:rsidR="008164D4">
        <w:rPr>
          <w:bCs/>
        </w:rPr>
        <w:t>n Federation</w:t>
      </w:r>
    </w:p>
    <w:p w14:paraId="48603D67" w14:textId="77777777" w:rsidR="005D1B37" w:rsidRPr="005D1B37" w:rsidRDefault="005D1B37" w:rsidP="00A904C5">
      <w:pPr>
        <w:keepNext/>
        <w:keepLines/>
        <w:suppressAutoHyphens w:val="0"/>
        <w:jc w:val="left"/>
        <w:rPr>
          <w:bCs/>
          <w:sz w:val="24"/>
          <w:szCs w:val="24"/>
        </w:rPr>
      </w:pPr>
    </w:p>
    <w:p w14:paraId="3B1907B3" w14:textId="77777777" w:rsidR="006E6BE0" w:rsidRDefault="006E6BE0"/>
    <w:p w14:paraId="548BEEE9" w14:textId="77777777" w:rsidR="00A1734C" w:rsidRDefault="00C5734E" w:rsidP="00A230D7">
      <w:pPr>
        <w:ind w:firstLine="562"/>
        <w:rPr>
          <w:bCs/>
        </w:rPr>
      </w:pPr>
      <w:r w:rsidRPr="00A1734C">
        <w:rPr>
          <w:b/>
        </w:rPr>
        <w:t>Abstract</w:t>
      </w:r>
      <w:r w:rsidRPr="00A1734C">
        <w:rPr>
          <w:bCs/>
        </w:rPr>
        <w:t xml:space="preserve"> </w:t>
      </w:r>
    </w:p>
    <w:p w14:paraId="13B2B298" w14:textId="77777777" w:rsidR="007B6B84" w:rsidRPr="00A1734C" w:rsidRDefault="007B6B84" w:rsidP="00A230D7">
      <w:pPr>
        <w:ind w:firstLine="562"/>
        <w:rPr>
          <w:bCs/>
        </w:rPr>
      </w:pPr>
    </w:p>
    <w:p w14:paraId="5B14162B" w14:textId="7F2612CB" w:rsidR="00C5734E" w:rsidRPr="00A1734C" w:rsidRDefault="00C5734E" w:rsidP="008D2D0C">
      <w:pPr>
        <w:spacing w:line="240" w:lineRule="atLeast"/>
        <w:ind w:firstLine="562"/>
        <w:rPr>
          <w:bCs/>
          <w:sz w:val="18"/>
          <w:szCs w:val="18"/>
        </w:rPr>
      </w:pPr>
      <w:r w:rsidRPr="00A1734C">
        <w:rPr>
          <w:bCs/>
          <w:sz w:val="18"/>
          <w:szCs w:val="18"/>
        </w:rPr>
        <w:t>The thermophysical calculation</w:t>
      </w:r>
      <w:r w:rsidR="00FE643F" w:rsidRPr="00A1734C">
        <w:rPr>
          <w:bCs/>
          <w:sz w:val="18"/>
          <w:szCs w:val="18"/>
        </w:rPr>
        <w:t>s</w:t>
      </w:r>
      <w:r w:rsidRPr="00A1734C">
        <w:rPr>
          <w:bCs/>
          <w:sz w:val="18"/>
          <w:szCs w:val="18"/>
        </w:rPr>
        <w:t xml:space="preserve"> on the RITM-200 reactor unit is conducted to ascertain the possibility of optimizing the fuel element diameter without compromising the thermal constrains. The</w:t>
      </w:r>
      <w:r w:rsidR="00FE643F" w:rsidRPr="00A1734C">
        <w:rPr>
          <w:bCs/>
          <w:sz w:val="18"/>
          <w:szCs w:val="18"/>
        </w:rPr>
        <w:t>se</w:t>
      </w:r>
      <w:r w:rsidRPr="00A1734C">
        <w:rPr>
          <w:bCs/>
          <w:sz w:val="18"/>
          <w:szCs w:val="18"/>
        </w:rPr>
        <w:t xml:space="preserve"> calculations included temperature distribution profile of </w:t>
      </w:r>
      <w:r w:rsidR="00FE643F" w:rsidRPr="00A1734C">
        <w:rPr>
          <w:bCs/>
          <w:sz w:val="18"/>
          <w:szCs w:val="18"/>
        </w:rPr>
        <w:t xml:space="preserve">the </w:t>
      </w:r>
      <w:r w:rsidRPr="00A1734C">
        <w:rPr>
          <w:bCs/>
          <w:sz w:val="18"/>
          <w:szCs w:val="18"/>
        </w:rPr>
        <w:t xml:space="preserve">fuel </w:t>
      </w:r>
      <w:r w:rsidR="00FE643F" w:rsidRPr="00A1734C">
        <w:rPr>
          <w:bCs/>
          <w:sz w:val="18"/>
          <w:szCs w:val="18"/>
        </w:rPr>
        <w:t>rod</w:t>
      </w:r>
      <w:r w:rsidRPr="00A1734C">
        <w:rPr>
          <w:bCs/>
          <w:sz w:val="18"/>
          <w:szCs w:val="18"/>
        </w:rPr>
        <w:t>s at various fuel diameters, average coolant velocities and critical heat flux for nucleate boiling crisis analysis. It is demonstrated from the results achieved that an inverse relationship exists between</w:t>
      </w:r>
      <w:r w:rsidR="00B3520E">
        <w:rPr>
          <w:bCs/>
          <w:sz w:val="18"/>
          <w:szCs w:val="18"/>
        </w:rPr>
        <w:t xml:space="preserve"> the</w:t>
      </w:r>
      <w:r w:rsidRPr="00A1734C">
        <w:rPr>
          <w:bCs/>
          <w:sz w:val="18"/>
          <w:szCs w:val="18"/>
        </w:rPr>
        <w:t xml:space="preserve"> fuel </w:t>
      </w:r>
      <w:r w:rsidR="00FE643F" w:rsidRPr="00A1734C">
        <w:rPr>
          <w:bCs/>
          <w:sz w:val="18"/>
          <w:szCs w:val="18"/>
        </w:rPr>
        <w:t>rod</w:t>
      </w:r>
      <w:r w:rsidRPr="00A1734C">
        <w:rPr>
          <w:bCs/>
          <w:sz w:val="18"/>
          <w:szCs w:val="18"/>
        </w:rPr>
        <w:t xml:space="preserve"> diameter and </w:t>
      </w:r>
      <w:r w:rsidR="00FE643F" w:rsidRPr="00A1734C">
        <w:rPr>
          <w:bCs/>
          <w:sz w:val="18"/>
          <w:szCs w:val="18"/>
        </w:rPr>
        <w:t xml:space="preserve">the </w:t>
      </w:r>
      <w:r w:rsidRPr="00A1734C">
        <w:rPr>
          <w:bCs/>
          <w:sz w:val="18"/>
          <w:szCs w:val="18"/>
        </w:rPr>
        <w:t xml:space="preserve">maximum fuel temperature. The average coolant velocity is </w:t>
      </w:r>
      <w:r w:rsidR="00FE643F" w:rsidRPr="00A1734C">
        <w:rPr>
          <w:bCs/>
          <w:sz w:val="18"/>
          <w:szCs w:val="18"/>
        </w:rPr>
        <w:t xml:space="preserve">observed to be </w:t>
      </w:r>
      <w:r w:rsidRPr="00A1734C">
        <w:rPr>
          <w:bCs/>
          <w:sz w:val="18"/>
          <w:szCs w:val="18"/>
        </w:rPr>
        <w:t>directly proportional to</w:t>
      </w:r>
      <w:r w:rsidR="00C14C45">
        <w:rPr>
          <w:bCs/>
          <w:sz w:val="18"/>
          <w:szCs w:val="18"/>
        </w:rPr>
        <w:t xml:space="preserve"> the</w:t>
      </w:r>
      <w:r w:rsidRPr="00A1734C">
        <w:rPr>
          <w:bCs/>
          <w:sz w:val="18"/>
          <w:szCs w:val="18"/>
        </w:rPr>
        <w:t xml:space="preserve"> fuel </w:t>
      </w:r>
      <w:r w:rsidR="00FE643F" w:rsidRPr="00A1734C">
        <w:rPr>
          <w:bCs/>
          <w:sz w:val="18"/>
          <w:szCs w:val="18"/>
        </w:rPr>
        <w:t>rod</w:t>
      </w:r>
      <w:r w:rsidRPr="00A1734C">
        <w:rPr>
          <w:bCs/>
          <w:sz w:val="18"/>
          <w:szCs w:val="18"/>
        </w:rPr>
        <w:t xml:space="preserve"> diameter at a constant flowrate of G</w:t>
      </w:r>
      <w:r w:rsidR="00A904C5">
        <w:rPr>
          <w:bCs/>
          <w:sz w:val="18"/>
          <w:szCs w:val="18"/>
        </w:rPr>
        <w:t> </w:t>
      </w:r>
      <w:r w:rsidRPr="00A1734C">
        <w:rPr>
          <w:bCs/>
          <w:sz w:val="18"/>
          <w:szCs w:val="18"/>
        </w:rPr>
        <w:t xml:space="preserve">=9.38 kg/s. It is also determined that decreasing the fuel </w:t>
      </w:r>
      <w:r w:rsidR="00FE643F" w:rsidRPr="00A1734C">
        <w:rPr>
          <w:bCs/>
          <w:sz w:val="18"/>
          <w:szCs w:val="18"/>
        </w:rPr>
        <w:t xml:space="preserve">rod </w:t>
      </w:r>
      <w:r w:rsidRPr="00A1734C">
        <w:rPr>
          <w:bCs/>
          <w:sz w:val="18"/>
          <w:szCs w:val="18"/>
        </w:rPr>
        <w:t xml:space="preserve">diameter below 6.9 mm </w:t>
      </w:r>
      <w:r w:rsidR="00FE643F" w:rsidRPr="00A1734C">
        <w:rPr>
          <w:bCs/>
          <w:sz w:val="18"/>
          <w:szCs w:val="18"/>
        </w:rPr>
        <w:t>which is the design fu</w:t>
      </w:r>
      <w:r w:rsidR="0044112C">
        <w:rPr>
          <w:bCs/>
          <w:sz w:val="18"/>
          <w:szCs w:val="18"/>
        </w:rPr>
        <w:t>e</w:t>
      </w:r>
      <w:r w:rsidR="00FE643F" w:rsidRPr="00A1734C">
        <w:rPr>
          <w:bCs/>
          <w:sz w:val="18"/>
          <w:szCs w:val="18"/>
        </w:rPr>
        <w:t xml:space="preserve">l rod diameter </w:t>
      </w:r>
      <w:r w:rsidRPr="00A1734C">
        <w:rPr>
          <w:bCs/>
          <w:sz w:val="18"/>
          <w:szCs w:val="18"/>
        </w:rPr>
        <w:t>will lead to boiling crisis.</w:t>
      </w:r>
    </w:p>
    <w:p w14:paraId="012BF4DD" w14:textId="77777777" w:rsidR="00C5734E" w:rsidRDefault="00C5734E">
      <w:pPr>
        <w:rPr>
          <w:bCs/>
          <w:sz w:val="22"/>
          <w:szCs w:val="22"/>
        </w:rPr>
      </w:pPr>
    </w:p>
    <w:p w14:paraId="7A7523BB" w14:textId="77777777" w:rsidR="00C5734E" w:rsidRDefault="00C5734E" w:rsidP="008D2D0C">
      <w:pPr>
        <w:pStyle w:val="Affiliation"/>
        <w:jc w:val="left"/>
        <w:rPr>
          <w:rFonts w:ascii="Times New Roman" w:hAnsi="Times New Roman"/>
          <w:sz w:val="18"/>
          <w:szCs w:val="18"/>
        </w:rPr>
      </w:pPr>
      <w:r w:rsidRPr="007B6B84">
        <w:rPr>
          <w:rFonts w:ascii="Times New Roman" w:hAnsi="Times New Roman"/>
          <w:b/>
          <w:bCs/>
          <w:sz w:val="18"/>
          <w:szCs w:val="18"/>
        </w:rPr>
        <w:t xml:space="preserve">Keywords: </w:t>
      </w:r>
      <w:r w:rsidRPr="007B6B84">
        <w:rPr>
          <w:rFonts w:ascii="Times New Roman" w:hAnsi="Times New Roman"/>
          <w:sz w:val="18"/>
          <w:szCs w:val="18"/>
        </w:rPr>
        <w:t>RITM-200 reactor, Pressurized water reactor, departure from nucleate boiling, Thorium-uranium fuel cycle, Uranium-plutonium fuel cycle.</w:t>
      </w:r>
    </w:p>
    <w:p w14:paraId="4A45E396" w14:textId="77777777" w:rsidR="00E843E0" w:rsidRPr="007B6B84" w:rsidRDefault="00E843E0" w:rsidP="00E843E0">
      <w:pPr>
        <w:pStyle w:val="Affiliation"/>
        <w:jc w:val="left"/>
        <w:rPr>
          <w:rFonts w:ascii="Times New Roman" w:hAnsi="Times New Roman"/>
          <w:sz w:val="18"/>
          <w:szCs w:val="18"/>
        </w:rPr>
      </w:pPr>
    </w:p>
    <w:p w14:paraId="0BDE0666" w14:textId="77777777" w:rsidR="00C5734E" w:rsidRDefault="00C5734E" w:rsidP="00E843E0"/>
    <w:p w14:paraId="0FBF8EF7" w14:textId="215DAB81" w:rsidR="00E843E0" w:rsidRPr="008D2D0C" w:rsidRDefault="007B6B84" w:rsidP="008D2D0C">
      <w:pPr>
        <w:pStyle w:val="Heading1"/>
        <w:spacing w:before="100" w:beforeAutospacing="1" w:after="100" w:afterAutospacing="1" w:line="280" w:lineRule="atLeast"/>
        <w:jc w:val="left"/>
        <w:rPr>
          <w:i w:val="0"/>
          <w:iCs w:val="0"/>
        </w:rPr>
      </w:pPr>
      <w:r w:rsidRPr="00E843E0">
        <w:rPr>
          <w:i w:val="0"/>
          <w:iCs w:val="0"/>
        </w:rPr>
        <w:t>1.</w:t>
      </w:r>
      <w:r w:rsidR="00647CC6">
        <w:rPr>
          <w:i w:val="0"/>
          <w:iCs w:val="0"/>
        </w:rPr>
        <w:t>         </w:t>
      </w:r>
      <w:r w:rsidRPr="00E843E0">
        <w:rPr>
          <w:i w:val="0"/>
          <w:iCs w:val="0"/>
        </w:rPr>
        <w:t xml:space="preserve">INTRODUCTION </w:t>
      </w:r>
    </w:p>
    <w:p w14:paraId="02155213" w14:textId="1BC8AB42" w:rsidR="00C5734E" w:rsidRPr="00C14C45" w:rsidRDefault="00C5734E" w:rsidP="008D2D0C">
      <w:pPr>
        <w:spacing w:line="260" w:lineRule="atLeast"/>
        <w:ind w:firstLine="562"/>
      </w:pPr>
      <w:r w:rsidRPr="00E843E0">
        <w:t xml:space="preserve">The heat released in the reactor as a result of the fission reaction </w:t>
      </w:r>
      <w:r w:rsidR="00866175" w:rsidRPr="00E843E0">
        <w:t>takes place</w:t>
      </w:r>
      <w:r w:rsidRPr="00E843E0">
        <w:t xml:space="preserve"> in several forms. These include the re</w:t>
      </w:r>
      <w:r w:rsidRPr="00C14C45">
        <w:t>lease of heat as a result of the kinetic energy of fission neutrons, as well as from gamma rays of rapid fission, from gamma rays and β rays generated during the decay of fission products and, possibly, from neutrino radiation [</w:t>
      </w:r>
      <w:r w:rsidR="00CF5EA2" w:rsidRPr="00C14C45">
        <w:t>1</w:t>
      </w:r>
      <w:r w:rsidRPr="00C14C45">
        <w:t>]. Since these various forms of heat generation are carried out by radiation particles, their energy t</w:t>
      </w:r>
      <w:r w:rsidR="00FE643F" w:rsidRPr="00C14C45">
        <w:t>urn</w:t>
      </w:r>
      <w:r w:rsidRPr="00C14C45">
        <w:t>s to be weakened in various ways, which leads to the deposition of their energy in different places</w:t>
      </w:r>
      <w:r w:rsidR="003A62A4" w:rsidRPr="00C14C45">
        <w:t xml:space="preserve"> [</w:t>
      </w:r>
      <w:r w:rsidR="002750F0" w:rsidRPr="00C14C45">
        <w:t>2</w:t>
      </w:r>
      <w:r w:rsidR="003A62A4" w:rsidRPr="00C14C45">
        <w:t>]</w:t>
      </w:r>
      <w:r w:rsidRPr="00C14C45">
        <w:t>.</w:t>
      </w:r>
      <w:r w:rsidR="00EC1050" w:rsidRPr="00C14C45">
        <w:t xml:space="preserve"> The thermophysical calculations conducted in this article takes account of the neutronic calculations already performed</w:t>
      </w:r>
      <w:r w:rsidR="00FA4237" w:rsidRPr="00C14C45">
        <w:t xml:space="preserve"> on the RITM</w:t>
      </w:r>
      <w:r w:rsidR="00034872">
        <w:t>- </w:t>
      </w:r>
      <w:r w:rsidR="00FA4237" w:rsidRPr="00C14C45">
        <w:t>200 reactor unit [</w:t>
      </w:r>
      <w:r w:rsidR="002750F0" w:rsidRPr="00C14C45">
        <w:t>3</w:t>
      </w:r>
      <w:r w:rsidR="00FA4237" w:rsidRPr="00C14C45">
        <w:t>]</w:t>
      </w:r>
      <w:r w:rsidR="00EC1050" w:rsidRPr="00C14C45">
        <w:t>.</w:t>
      </w:r>
    </w:p>
    <w:p w14:paraId="3D3389AB" w14:textId="476043DE" w:rsidR="00332432" w:rsidRPr="00C14C45" w:rsidRDefault="00332432" w:rsidP="008D2D0C">
      <w:pPr>
        <w:spacing w:line="260" w:lineRule="atLeast"/>
        <w:ind w:firstLine="562"/>
      </w:pPr>
      <w:r w:rsidRPr="00C14C45">
        <w:t xml:space="preserve">RITM-200 </w:t>
      </w:r>
      <w:r w:rsidR="000144E4" w:rsidRPr="00C14C45">
        <w:t xml:space="preserve">reactor unit is usually found </w:t>
      </w:r>
      <w:r w:rsidRPr="00C14C45">
        <w:t>i</w:t>
      </w:r>
      <w:r w:rsidR="000144E4" w:rsidRPr="00C14C45">
        <w:t>n</w:t>
      </w:r>
      <w:r w:rsidRPr="00C14C45">
        <w:t xml:space="preserve"> marine-based small modular reactor</w:t>
      </w:r>
      <w:r w:rsidR="000144E4" w:rsidRPr="00C14C45">
        <w:t>s</w:t>
      </w:r>
      <w:r w:rsidRPr="00C14C45">
        <w:t xml:space="preserve"> (SMR) </w:t>
      </w:r>
      <w:r w:rsidR="000144E4" w:rsidRPr="00C14C45">
        <w:t xml:space="preserve">such as the Artika, Sibir and Ural </w:t>
      </w:r>
      <w:r w:rsidR="00FE643F" w:rsidRPr="00C14C45">
        <w:t>having</w:t>
      </w:r>
      <w:r w:rsidRPr="00C14C45">
        <w:t xml:space="preserve"> a thermal </w:t>
      </w:r>
      <w:r w:rsidR="00096733" w:rsidRPr="00C14C45">
        <w:t xml:space="preserve">and electric </w:t>
      </w:r>
      <w:r w:rsidRPr="00C14C45">
        <w:t xml:space="preserve">output </w:t>
      </w:r>
      <w:r w:rsidR="00E563A6" w:rsidRPr="00C14C45">
        <w:t xml:space="preserve">power </w:t>
      </w:r>
      <w:r w:rsidRPr="00C14C45">
        <w:t xml:space="preserve">of </w:t>
      </w:r>
      <w:r w:rsidR="00126759" w:rsidRPr="00C14C45">
        <w:t>175</w:t>
      </w:r>
      <w:r w:rsidRPr="00C14C45">
        <w:t xml:space="preserve"> </w:t>
      </w:r>
      <w:r w:rsidR="00096733" w:rsidRPr="00C14C45">
        <w:t xml:space="preserve">and 50 MW respectively </w:t>
      </w:r>
      <w:r w:rsidR="00DA1B2D" w:rsidRPr="00C14C45">
        <w:t>[</w:t>
      </w:r>
      <w:r w:rsidR="002750F0" w:rsidRPr="00C14C45">
        <w:t>4</w:t>
      </w:r>
      <w:r w:rsidR="00096733" w:rsidRPr="00C14C45">
        <w:t xml:space="preserve">, </w:t>
      </w:r>
      <w:r w:rsidR="002750F0" w:rsidRPr="00C14C45">
        <w:t>5</w:t>
      </w:r>
      <w:r w:rsidR="00DA1B2D" w:rsidRPr="00C14C45">
        <w:t>]</w:t>
      </w:r>
      <w:r w:rsidRPr="00C14C45">
        <w:t>.</w:t>
      </w:r>
      <w:r w:rsidR="00B0493F" w:rsidRPr="00C14C45">
        <w:t xml:space="preserve"> Th</w:t>
      </w:r>
      <w:r w:rsidR="00E563A6" w:rsidRPr="00C14C45">
        <w:t xml:space="preserve">ese SMRs above are </w:t>
      </w:r>
      <w:r w:rsidR="00023B1C" w:rsidRPr="00C14C45">
        <w:t>considered nuclear icebreakers</w:t>
      </w:r>
      <w:r w:rsidR="00B0493F" w:rsidRPr="00C14C45">
        <w:t>. RITM-200</w:t>
      </w:r>
      <w:r w:rsidR="00FE643F" w:rsidRPr="00C14C45">
        <w:t xml:space="preserve"> stands for “</w:t>
      </w:r>
      <w:r w:rsidR="00B0493F" w:rsidRPr="00C14C45">
        <w:t xml:space="preserve">Reactor Integralnii Transportnii Morskoi” or Integral Marine Transport Reactor of 200 MWth. The </w:t>
      </w:r>
      <w:r w:rsidR="00FE643F" w:rsidRPr="00C14C45">
        <w:t>reactor unit</w:t>
      </w:r>
      <w:r w:rsidR="00B0493F" w:rsidRPr="00C14C45">
        <w:t xml:space="preserve"> is </w:t>
      </w:r>
      <w:r w:rsidR="00FE643F" w:rsidRPr="00C14C45">
        <w:t>a</w:t>
      </w:r>
      <w:r w:rsidR="00B0493F" w:rsidRPr="00C14C45">
        <w:t xml:space="preserve"> pressurized water reactor </w:t>
      </w:r>
      <w:r w:rsidR="00FE643F" w:rsidRPr="00C14C45">
        <w:t xml:space="preserve">(PWR) </w:t>
      </w:r>
      <w:r w:rsidR="00B0493F" w:rsidRPr="00C14C45">
        <w:t>with fuel enrichment of 19 wt% [</w:t>
      </w:r>
      <w:r w:rsidR="002750F0" w:rsidRPr="00C14C45">
        <w:t>6</w:t>
      </w:r>
      <w:r w:rsidR="00B0493F" w:rsidRPr="00C14C45">
        <w:t>].</w:t>
      </w:r>
      <w:r w:rsidR="00126759" w:rsidRPr="00C14C45">
        <w:t xml:space="preserve"> RITM-200 reactor unit has 45% reduction in size, 35% mass reduction and 40% improvement in power compared to KLT-40S [</w:t>
      </w:r>
      <w:r w:rsidR="002750F0" w:rsidRPr="00C14C45">
        <w:t>7</w:t>
      </w:r>
      <w:r w:rsidR="00126759" w:rsidRPr="00C14C45">
        <w:t>].</w:t>
      </w:r>
      <w:r w:rsidR="00096733" w:rsidRPr="00C14C45">
        <w:t xml:space="preserve"> It has as part of the inherent safety features, control rods for emergency shutdown at the start, during operation or reactor trips [</w:t>
      </w:r>
      <w:r w:rsidR="002750F0" w:rsidRPr="00C14C45">
        <w:t>8</w:t>
      </w:r>
      <w:r w:rsidR="00096733" w:rsidRPr="00C14C45">
        <w:t>].</w:t>
      </w:r>
    </w:p>
    <w:p w14:paraId="1905FFA8" w14:textId="518B883C" w:rsidR="00B7003F" w:rsidRPr="00E843E0" w:rsidRDefault="00B7003F" w:rsidP="008D2D0C">
      <w:pPr>
        <w:spacing w:line="260" w:lineRule="atLeast"/>
        <w:ind w:firstLine="562"/>
        <w:rPr>
          <w:color w:val="FF0000"/>
        </w:rPr>
      </w:pPr>
      <w:r w:rsidRPr="00C14C45">
        <w:t xml:space="preserve">From the neutronics calculations, results of the fuel lifetime of RITM-200 reactor </w:t>
      </w:r>
      <w:r w:rsidR="00B3520E">
        <w:t xml:space="preserve">unit </w:t>
      </w:r>
      <w:r w:rsidRPr="00C14C45">
        <w:t>at different fuel element diameters for the three dispersed fuel compositions showed that the highest fuel lifetime achieved by (</w:t>
      </w:r>
      <w:r w:rsidRPr="00C14C45">
        <w:rPr>
          <w:vertAlign w:val="superscript"/>
        </w:rPr>
        <w:t>238</w:t>
      </w:r>
      <w:r w:rsidRPr="00C14C45">
        <w:t>U+</w:t>
      </w:r>
      <w:r w:rsidRPr="00C14C45">
        <w:rPr>
          <w:vertAlign w:val="superscript"/>
        </w:rPr>
        <w:t>235</w:t>
      </w:r>
      <w:r w:rsidRPr="00C14C45">
        <w:t>U)O</w:t>
      </w:r>
      <w:r w:rsidRPr="00C14C45">
        <w:rPr>
          <w:vertAlign w:val="subscript"/>
        </w:rPr>
        <w:t>2</w:t>
      </w:r>
      <w:r w:rsidRPr="00C14C45">
        <w:t xml:space="preserve"> and (</w:t>
      </w:r>
      <w:r w:rsidRPr="00C14C45">
        <w:rPr>
          <w:vertAlign w:val="superscript"/>
        </w:rPr>
        <w:t>232</w:t>
      </w:r>
      <w:r w:rsidRPr="00C14C45">
        <w:t>Th+</w:t>
      </w:r>
      <w:r w:rsidRPr="00C14C45">
        <w:rPr>
          <w:vertAlign w:val="superscript"/>
        </w:rPr>
        <w:t>23</w:t>
      </w:r>
      <w:r w:rsidR="00C60881" w:rsidRPr="00C14C45">
        <w:rPr>
          <w:vertAlign w:val="superscript"/>
        </w:rPr>
        <w:t>5</w:t>
      </w:r>
      <w:r w:rsidRPr="00C14C45">
        <w:t>U)O</w:t>
      </w:r>
      <w:r w:rsidRPr="00C14C45">
        <w:rPr>
          <w:vertAlign w:val="subscript"/>
        </w:rPr>
        <w:t>2</w:t>
      </w:r>
      <w:r w:rsidRPr="00C14C45">
        <w:t xml:space="preserve"> was at</w:t>
      </w:r>
      <w:r w:rsidR="00C60881" w:rsidRPr="00C14C45">
        <w:t>tained at a fuel diameter of 6.9 mm</w:t>
      </w:r>
      <w:r w:rsidR="00096733" w:rsidRPr="00C14C45">
        <w:t xml:space="preserve"> [</w:t>
      </w:r>
      <w:r w:rsidR="002750F0" w:rsidRPr="00C14C45">
        <w:t>9</w:t>
      </w:r>
      <w:r w:rsidR="00096733" w:rsidRPr="00C14C45">
        <w:t>]</w:t>
      </w:r>
      <w:r w:rsidR="00C60881" w:rsidRPr="00C14C45">
        <w:t>. For (</w:t>
      </w:r>
      <w:r w:rsidR="00C60881" w:rsidRPr="00C14C45">
        <w:rPr>
          <w:vertAlign w:val="superscript"/>
        </w:rPr>
        <w:t>232</w:t>
      </w:r>
      <w:r w:rsidR="00C60881" w:rsidRPr="00C14C45">
        <w:t>Th+</w:t>
      </w:r>
      <w:r w:rsidR="00C60881" w:rsidRPr="00C14C45">
        <w:rPr>
          <w:vertAlign w:val="superscript"/>
        </w:rPr>
        <w:t>233</w:t>
      </w:r>
      <w:r w:rsidR="00C60881" w:rsidRPr="00C14C45">
        <w:t>U)O</w:t>
      </w:r>
      <w:r w:rsidR="00C60881" w:rsidRPr="00C14C45">
        <w:rPr>
          <w:vertAlign w:val="subscript"/>
        </w:rPr>
        <w:t>2</w:t>
      </w:r>
      <w:r w:rsidR="00C60881" w:rsidRPr="00C14C45">
        <w:t xml:space="preserve"> dispersed fuel, the highest fuel performance was attained at fuel diameter of 8.9 mm. This is shown in fig </w:t>
      </w:r>
      <w:r w:rsidR="00606E2F" w:rsidRPr="00C14C45">
        <w:t>1</w:t>
      </w:r>
      <w:r w:rsidR="00C60881" w:rsidRPr="00C14C45">
        <w:t>.0 below</w:t>
      </w:r>
      <w:r w:rsidR="00023B1C" w:rsidRPr="00C14C45">
        <w:t>.</w:t>
      </w:r>
      <w:r w:rsidR="00023B1C" w:rsidRPr="00E843E0">
        <w:t xml:space="preserve"> </w:t>
      </w:r>
    </w:p>
    <w:p w14:paraId="4662B8EC" w14:textId="6F208222" w:rsidR="00C60881" w:rsidRPr="005A549F" w:rsidRDefault="00C60881" w:rsidP="00C5734E">
      <w:pPr>
        <w:ind w:firstLine="288"/>
        <w:rPr>
          <w:sz w:val="18"/>
          <w:szCs w:val="18"/>
        </w:rPr>
      </w:pPr>
      <w:r w:rsidRPr="005A549F">
        <w:rPr>
          <w:noProof/>
          <w:sz w:val="18"/>
          <w:szCs w:val="18"/>
        </w:rPr>
        <w:lastRenderedPageBreak/>
        <w:drawing>
          <wp:inline distT="0" distB="0" distL="0" distR="0" wp14:anchorId="4D2D3256" wp14:editId="4315E024">
            <wp:extent cx="5305425" cy="2152650"/>
            <wp:effectExtent l="0" t="0" r="0" b="0"/>
            <wp:docPr id="26" name="Chart 26">
              <a:extLst xmlns:a="http://schemas.openxmlformats.org/drawingml/2006/main">
                <a:ext uri="{FF2B5EF4-FFF2-40B4-BE49-F238E27FC236}">
                  <a16:creationId xmlns:a16="http://schemas.microsoft.com/office/drawing/2014/main" id="{00000000-0008-0000-1C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BBB586" w14:textId="71B4A45F" w:rsidR="00C60881" w:rsidRPr="005A549F" w:rsidRDefault="00C60881" w:rsidP="00C60881">
      <w:pPr>
        <w:jc w:val="center"/>
        <w:rPr>
          <w:sz w:val="18"/>
          <w:szCs w:val="18"/>
        </w:rPr>
      </w:pPr>
      <w:r w:rsidRPr="005A549F">
        <w:rPr>
          <w:sz w:val="18"/>
          <w:szCs w:val="18"/>
        </w:rPr>
        <w:t>F</w:t>
      </w:r>
      <w:r w:rsidR="001770EB" w:rsidRPr="005A549F">
        <w:rPr>
          <w:sz w:val="18"/>
          <w:szCs w:val="18"/>
        </w:rPr>
        <w:t>IG.</w:t>
      </w:r>
      <w:r w:rsidRPr="005A549F">
        <w:rPr>
          <w:sz w:val="18"/>
          <w:szCs w:val="18"/>
        </w:rPr>
        <w:t xml:space="preserve"> </w:t>
      </w:r>
      <w:r w:rsidR="00606E2F" w:rsidRPr="005A549F">
        <w:rPr>
          <w:sz w:val="18"/>
          <w:szCs w:val="18"/>
        </w:rPr>
        <w:t>1</w:t>
      </w:r>
      <w:r w:rsidRPr="005A549F">
        <w:rPr>
          <w:sz w:val="18"/>
          <w:szCs w:val="18"/>
        </w:rPr>
        <w:t>. – Dependence of the duration of the nuclear fuel lifetime on the diameter of fuel rods with different dispersion fuels</w:t>
      </w:r>
    </w:p>
    <w:p w14:paraId="7C26EE6F" w14:textId="77777777" w:rsidR="00C60881" w:rsidRDefault="00C60881" w:rsidP="00C5734E">
      <w:pPr>
        <w:ind w:firstLine="288"/>
        <w:rPr>
          <w:sz w:val="22"/>
          <w:szCs w:val="22"/>
        </w:rPr>
      </w:pPr>
    </w:p>
    <w:p w14:paraId="06FA4692" w14:textId="3CD7583C" w:rsidR="00C5734E" w:rsidRPr="00C14C45" w:rsidRDefault="00C5734E" w:rsidP="008D2D0C">
      <w:pPr>
        <w:spacing w:line="260" w:lineRule="atLeast"/>
        <w:ind w:firstLine="562"/>
      </w:pPr>
      <w:r w:rsidRPr="00C14C45">
        <w:t xml:space="preserve">The heat released in the reactor core considering each fuel assembly of the </w:t>
      </w:r>
      <w:r w:rsidRPr="00C14C45">
        <w:rPr>
          <w:b/>
          <w:bCs/>
          <w:i/>
          <w:iCs/>
        </w:rPr>
        <w:t>RITM-200</w:t>
      </w:r>
      <w:r w:rsidRPr="00C14C45">
        <w:t xml:space="preserve"> reactor unit is examined by calculating the maximum energy released in the height and radius of the core [</w:t>
      </w:r>
      <w:r w:rsidR="002750F0" w:rsidRPr="00C14C45">
        <w:t>10</w:t>
      </w:r>
      <w:r w:rsidRPr="00C14C45">
        <w:t xml:space="preserve">]. The volumetric heat flux released into the fuel is calculated using </w:t>
      </w:r>
      <w:r w:rsidR="00AE308E" w:rsidRPr="00C14C45">
        <w:t xml:space="preserve">the </w:t>
      </w:r>
      <w:r w:rsidRPr="00C14C45">
        <w:t>eq</w:t>
      </w:r>
      <w:r w:rsidR="00AE308E" w:rsidRPr="00C14C45">
        <w:t>uation below</w:t>
      </w:r>
      <w:r w:rsidRPr="00C14C45">
        <w:t>:</w:t>
      </w:r>
    </w:p>
    <w:p w14:paraId="58DF6CFC" w14:textId="110A43D2" w:rsidR="00B6628A" w:rsidRPr="00C14C45" w:rsidRDefault="00B6628A" w:rsidP="005A549F">
      <w:pPr>
        <w:tabs>
          <w:tab w:val="center" w:pos="4680"/>
          <w:tab w:val="right" w:pos="9360"/>
        </w:tabs>
        <w:spacing w:line="360" w:lineRule="auto"/>
      </w:pPr>
      <w:r w:rsidRPr="00C14C45">
        <w:tab/>
      </w:r>
      <w:r w:rsidRPr="00C14C45">
        <w:rPr>
          <w:position w:val="-38"/>
        </w:rPr>
        <w:object w:dxaOrig="4880" w:dyaOrig="820" w14:anchorId="25877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42pt" o:ole="">
            <v:imagedata r:id="rId11" o:title=""/>
          </v:shape>
          <o:OLEObject Type="Embed" ProgID="Equation.DSMT4" ShapeID="_x0000_i1025" DrawAspect="Content" ObjectID="_1774878499" r:id="rId12"/>
        </w:object>
      </w:r>
      <w:r w:rsidRPr="00C14C45">
        <w:tab/>
        <w:t>EQ.1</w:t>
      </w:r>
    </w:p>
    <w:p w14:paraId="4BCC2067" w14:textId="761DEFCF" w:rsidR="00C5734E" w:rsidRPr="00C14C45" w:rsidRDefault="00C5734E" w:rsidP="008D2D0C">
      <w:pPr>
        <w:spacing w:line="260" w:lineRule="atLeast"/>
        <w:rPr>
          <w:rFonts w:eastAsia="Times New Roman"/>
        </w:rPr>
      </w:pPr>
      <w:r w:rsidRPr="00C14C45">
        <w:t xml:space="preserve">where </w:t>
      </w:r>
      <w:r w:rsidRPr="00C14C45">
        <w:rPr>
          <w:i/>
          <w:iCs/>
        </w:rPr>
        <w:t>r</w:t>
      </w:r>
      <w:r w:rsidRPr="00C14C45">
        <w:t xml:space="preserve"> and </w:t>
      </w:r>
      <w:r w:rsidRPr="00C14C45">
        <w:rPr>
          <w:i/>
          <w:iCs/>
        </w:rPr>
        <w:t xml:space="preserve">z </w:t>
      </w:r>
      <w:r w:rsidRPr="00C14C45">
        <w:rPr>
          <w:rFonts w:eastAsia="Times New Roman"/>
        </w:rPr>
        <w:t xml:space="preserve">– radial and axial coordinates, respectively; </w:t>
      </w:r>
      <w:r w:rsidRPr="00C14C45">
        <w:rPr>
          <w:rFonts w:eastAsia="Times New Roman"/>
          <w:i/>
          <w:iCs/>
        </w:rPr>
        <w:t>N</w:t>
      </w:r>
      <w:r w:rsidRPr="00C14C45">
        <w:rPr>
          <w:rFonts w:eastAsia="Times New Roman"/>
        </w:rPr>
        <w:t xml:space="preserve">– thermal power of the reactor, MW; </w:t>
      </w:r>
      <w:r w:rsidRPr="00C14C45">
        <w:rPr>
          <w:rFonts w:eastAsia="Calibri"/>
          <w:i/>
          <w:iCs/>
        </w:rPr>
        <w:t>n</w:t>
      </w:r>
      <w:r w:rsidRPr="00C14C45">
        <w:rPr>
          <w:rFonts w:eastAsia="Calibri"/>
          <w:i/>
          <w:iCs/>
          <w:vertAlign w:val="subscript"/>
        </w:rPr>
        <w:t>FA</w:t>
      </w:r>
      <w:r w:rsidRPr="00C14C45">
        <w:rPr>
          <w:rFonts w:eastAsia="Calibri"/>
        </w:rPr>
        <w:t xml:space="preserve">– number of fuel assemblies in the core; </w:t>
      </w:r>
      <w:r w:rsidRPr="00C14C45">
        <w:rPr>
          <w:rFonts w:eastAsia="Calibri"/>
          <w:i/>
          <w:iCs/>
        </w:rPr>
        <w:t>n</w:t>
      </w:r>
      <w:r w:rsidRPr="00C14C45">
        <w:rPr>
          <w:rFonts w:eastAsia="Calibri"/>
          <w:i/>
          <w:iCs/>
          <w:vertAlign w:val="subscript"/>
        </w:rPr>
        <w:t>FR</w:t>
      </w:r>
      <w:r w:rsidRPr="00C14C45">
        <w:rPr>
          <w:rFonts w:eastAsia="Calibri"/>
        </w:rPr>
        <w:t xml:space="preserve"> –number of fuel elements in the fuel assembly; R</w:t>
      </w:r>
      <w:r w:rsidRPr="00C14C45">
        <w:rPr>
          <w:rFonts w:eastAsia="Calibri"/>
          <w:vertAlign w:val="subscript"/>
        </w:rPr>
        <w:t>FR</w:t>
      </w:r>
      <w:r w:rsidRPr="00C14C45">
        <w:rPr>
          <w:rFonts w:eastAsia="Calibri"/>
        </w:rPr>
        <w:t xml:space="preserve">– radius of the fuel core, m; </w:t>
      </w:r>
      <w:r w:rsidRPr="00C14C45">
        <w:rPr>
          <w:rFonts w:eastAsia="Calibri"/>
          <w:i/>
          <w:iCs/>
        </w:rPr>
        <w:t>H</w:t>
      </w:r>
      <w:r w:rsidRPr="00C14C45">
        <w:rPr>
          <w:rFonts w:eastAsia="Calibri"/>
          <w:vertAlign w:val="subscript"/>
        </w:rPr>
        <w:t xml:space="preserve">core </w:t>
      </w:r>
      <w:r w:rsidRPr="00C14C45">
        <w:rPr>
          <w:rFonts w:eastAsia="Calibri"/>
        </w:rPr>
        <w:t xml:space="preserve">– height of the active zone, cm; </w:t>
      </w:r>
      <w:r w:rsidRPr="00C14C45">
        <w:rPr>
          <w:rFonts w:eastAsia="Times New Roman"/>
        </w:rPr>
        <w:t>k</w:t>
      </w:r>
      <w:r w:rsidRPr="00C14C45">
        <w:rPr>
          <w:rFonts w:eastAsia="Times New Roman"/>
          <w:i/>
          <w:iCs/>
          <w:vertAlign w:val="subscript"/>
        </w:rPr>
        <w:t>r</w:t>
      </w:r>
      <w:r w:rsidRPr="00C14C45">
        <w:rPr>
          <w:rFonts w:eastAsia="Times New Roman"/>
          <w:i/>
          <w:iCs/>
        </w:rPr>
        <w:t xml:space="preserve">, </w:t>
      </w:r>
      <w:r w:rsidRPr="00C14C45">
        <w:rPr>
          <w:rFonts w:eastAsia="Times New Roman"/>
        </w:rPr>
        <w:t>k</w:t>
      </w:r>
      <w:r w:rsidRPr="00C14C45">
        <w:rPr>
          <w:rFonts w:eastAsia="Times New Roman"/>
          <w:vertAlign w:val="subscript"/>
        </w:rPr>
        <w:t>z</w:t>
      </w:r>
      <w:r w:rsidRPr="00C14C45">
        <w:rPr>
          <w:rFonts w:eastAsia="Times New Roman"/>
        </w:rPr>
        <w:t>– the radial and axial power peaking factors [</w:t>
      </w:r>
      <w:r w:rsidR="002750F0" w:rsidRPr="00C14C45">
        <w:rPr>
          <w:rFonts w:eastAsia="Times New Roman"/>
        </w:rPr>
        <w:t>11</w:t>
      </w:r>
      <w:r w:rsidRPr="00C14C45">
        <w:rPr>
          <w:rFonts w:eastAsia="Times New Roman"/>
        </w:rPr>
        <w:t>]:</w:t>
      </w:r>
    </w:p>
    <w:p w14:paraId="7103E7D5" w14:textId="4F99C22D" w:rsidR="00C5734E" w:rsidRPr="00C14C45" w:rsidRDefault="00C5734E" w:rsidP="008D2D0C">
      <w:pPr>
        <w:spacing w:line="260" w:lineRule="atLeast"/>
        <w:ind w:firstLine="562"/>
      </w:pPr>
      <w:r w:rsidRPr="00C14C45">
        <w:t xml:space="preserve">The velocity profile of the coolant is determined using </w:t>
      </w:r>
      <w:r w:rsidR="00AE308E" w:rsidRPr="00C14C45">
        <w:t>the expression</w:t>
      </w:r>
      <w:r w:rsidRPr="00C14C45">
        <w:t xml:space="preserve"> [</w:t>
      </w:r>
      <w:r w:rsidR="002750F0" w:rsidRPr="00C14C45">
        <w:t>11</w:t>
      </w:r>
      <w:r w:rsidRPr="00C14C45">
        <w:t>]:</w:t>
      </w:r>
    </w:p>
    <w:p w14:paraId="2FC15339" w14:textId="66B90BDF" w:rsidR="005A549F" w:rsidRPr="00C14C45" w:rsidRDefault="005A549F" w:rsidP="005A549F">
      <w:pPr>
        <w:tabs>
          <w:tab w:val="center" w:pos="4680"/>
          <w:tab w:val="right" w:pos="9360"/>
        </w:tabs>
        <w:spacing w:line="360" w:lineRule="auto"/>
      </w:pPr>
      <w:r w:rsidRPr="00C14C45">
        <w:tab/>
      </w:r>
      <w:r w:rsidR="00AB0C39" w:rsidRPr="00C14C45">
        <w:rPr>
          <w:position w:val="-24"/>
        </w:rPr>
        <w:object w:dxaOrig="1100" w:dyaOrig="600" w14:anchorId="183E7954">
          <v:shape id="_x0000_i1026" type="#_x0000_t75" style="width:55.5pt;height:30.75pt" o:ole="">
            <v:imagedata r:id="rId13" o:title=""/>
          </v:shape>
          <o:OLEObject Type="Embed" ProgID="Equation.DSMT4" ShapeID="_x0000_i1026" DrawAspect="Content" ObjectID="_1774878500" r:id="rId14"/>
        </w:object>
      </w:r>
      <w:r w:rsidRPr="00C14C45">
        <w:tab/>
        <w:t>EQ.2</w:t>
      </w:r>
    </w:p>
    <w:p w14:paraId="60F5B975" w14:textId="77777777" w:rsidR="00C5734E" w:rsidRPr="00C14C45" w:rsidRDefault="00C5734E" w:rsidP="008D2D0C">
      <w:pPr>
        <w:spacing w:line="260" w:lineRule="atLeast"/>
      </w:pPr>
      <w:r w:rsidRPr="00C14C45">
        <w:t xml:space="preserve">where </w:t>
      </w:r>
      <w:r w:rsidRPr="00C14C45">
        <w:rPr>
          <w:i/>
          <w:iCs/>
        </w:rPr>
        <w:t>A</w:t>
      </w:r>
      <w:r w:rsidRPr="00C14C45">
        <w:rPr>
          <w:vertAlign w:val="subscript"/>
        </w:rPr>
        <w:t>i</w:t>
      </w:r>
      <w:r w:rsidRPr="00C14C45">
        <w:t>– surface area of the fuel assembly passage section, m</w:t>
      </w:r>
      <w:r w:rsidRPr="00C14C45">
        <w:rPr>
          <w:vertAlign w:val="superscript"/>
        </w:rPr>
        <w:t>2</w:t>
      </w:r>
      <w:r w:rsidRPr="00C14C45">
        <w:t xml:space="preserve">; </w:t>
      </w:r>
      <w:r w:rsidRPr="00C14C45">
        <w:rPr>
          <w:i/>
          <w:iCs/>
        </w:rPr>
        <w:t>ρ</w:t>
      </w:r>
      <w:r w:rsidRPr="00C14C45">
        <w:rPr>
          <w:vertAlign w:val="subscript"/>
        </w:rPr>
        <w:t>i</w:t>
      </w:r>
      <w:r w:rsidRPr="00C14C45">
        <w:t xml:space="preserve">– the density of the coolant in the </w:t>
      </w:r>
      <w:r w:rsidRPr="00C14C45">
        <w:rPr>
          <w:i/>
          <w:iCs/>
        </w:rPr>
        <w:t>i-th</w:t>
      </w:r>
      <w:r w:rsidRPr="00C14C45">
        <w:t xml:space="preserve"> section, kg/m</w:t>
      </w:r>
      <w:r w:rsidRPr="00C14C45">
        <w:rPr>
          <w:vertAlign w:val="superscript"/>
        </w:rPr>
        <w:t>3</w:t>
      </w:r>
      <w:r w:rsidRPr="00C14C45">
        <w:t>.</w:t>
      </w:r>
    </w:p>
    <w:p w14:paraId="4DD8B816" w14:textId="1F6A226F" w:rsidR="00C5734E" w:rsidRPr="00C14C45" w:rsidRDefault="00C5734E" w:rsidP="008D2D0C">
      <w:pPr>
        <w:spacing w:line="260" w:lineRule="atLeast"/>
        <w:ind w:firstLine="562"/>
      </w:pPr>
      <w:r w:rsidRPr="00C14C45">
        <w:t xml:space="preserve">In determining the heat transfer coefficient in the </w:t>
      </w:r>
      <w:r w:rsidRPr="00C14C45">
        <w:rPr>
          <w:i/>
          <w:iCs/>
        </w:rPr>
        <w:t>i-th</w:t>
      </w:r>
      <w:r w:rsidRPr="00C14C45">
        <w:t xml:space="preserve"> sections, the equation below is used [</w:t>
      </w:r>
      <w:r w:rsidR="002750F0" w:rsidRPr="00C14C45">
        <w:t>11</w:t>
      </w:r>
      <w:r w:rsidRPr="00C14C45">
        <w:t>]:</w:t>
      </w:r>
    </w:p>
    <w:p w14:paraId="44F53679" w14:textId="2DBDF93F" w:rsidR="00AB0C39" w:rsidRPr="00C14C45" w:rsidRDefault="00AB0C39" w:rsidP="00AB0C39">
      <w:pPr>
        <w:tabs>
          <w:tab w:val="center" w:pos="4680"/>
          <w:tab w:val="right" w:pos="9360"/>
        </w:tabs>
        <w:spacing w:line="360" w:lineRule="auto"/>
      </w:pPr>
      <w:r w:rsidRPr="00C14C45">
        <w:tab/>
      </w:r>
      <w:r w:rsidRPr="00C14C45">
        <w:rPr>
          <w:position w:val="-24"/>
        </w:rPr>
        <w:object w:dxaOrig="1359" w:dyaOrig="600" w14:anchorId="6473AE5E">
          <v:shape id="_x0000_i1027" type="#_x0000_t75" style="width:68.25pt;height:30.75pt" o:ole="">
            <v:imagedata r:id="rId15" o:title=""/>
          </v:shape>
          <o:OLEObject Type="Embed" ProgID="Equation.DSMT4" ShapeID="_x0000_i1027" DrawAspect="Content" ObjectID="_1774878501" r:id="rId16"/>
        </w:object>
      </w:r>
      <w:r w:rsidRPr="00C14C45">
        <w:tab/>
        <w:t>EQ.3</w:t>
      </w:r>
    </w:p>
    <w:p w14:paraId="7A9BE9CA" w14:textId="77777777" w:rsidR="00C5734E" w:rsidRPr="00C14C45" w:rsidRDefault="00C5734E" w:rsidP="008D2D0C">
      <w:pPr>
        <w:spacing w:line="260" w:lineRule="atLeast"/>
      </w:pPr>
      <w:r w:rsidRPr="00C14C45">
        <w:t xml:space="preserve">where </w:t>
      </w:r>
      <w:r w:rsidRPr="00C14C45">
        <w:rPr>
          <w:i/>
          <w:iCs/>
        </w:rPr>
        <w:t>Nu</w:t>
      </w:r>
      <w:r w:rsidRPr="00C14C45">
        <w:rPr>
          <w:vertAlign w:val="subscript"/>
        </w:rPr>
        <w:t>i</w:t>
      </w:r>
      <w:r w:rsidRPr="00C14C45">
        <w:t>– the Nusselt number;</w:t>
      </w:r>
      <w:r w:rsidRPr="00C14C45">
        <w:rPr>
          <w:rFonts w:eastAsia="Calibri"/>
        </w:rPr>
        <w:t xml:space="preserve"> </w:t>
      </w:r>
      <w:r w:rsidRPr="00C14C45">
        <w:rPr>
          <w:rFonts w:eastAsia="Calibri"/>
          <w:i/>
          <w:iCs/>
        </w:rPr>
        <w:t>λ</w:t>
      </w:r>
      <w:r w:rsidRPr="00C14C45">
        <w:rPr>
          <w:rFonts w:eastAsia="Calibri"/>
          <w:vertAlign w:val="subscript"/>
        </w:rPr>
        <w:t>i</w:t>
      </w:r>
      <w:r w:rsidRPr="00C14C45">
        <w:t xml:space="preserve">– the coefficient of thermal conductivity of the coolant in the </w:t>
      </w:r>
      <w:r w:rsidRPr="00C14C45">
        <w:rPr>
          <w:i/>
          <w:iCs/>
        </w:rPr>
        <w:t>i-th</w:t>
      </w:r>
      <w:r w:rsidRPr="00C14C45">
        <w:t xml:space="preserve"> section, W/(m·K); </w:t>
      </w:r>
      <w:r w:rsidRPr="00C14C45">
        <w:rPr>
          <w:i/>
          <w:iCs/>
        </w:rPr>
        <w:t>d</w:t>
      </w:r>
      <w:r w:rsidRPr="00C14C45">
        <w:rPr>
          <w:vertAlign w:val="subscript"/>
        </w:rPr>
        <w:t>i</w:t>
      </w:r>
      <w:r w:rsidRPr="00C14C45">
        <w:t xml:space="preserve">– the equivalent diameter of the coolant in the </w:t>
      </w:r>
      <w:r w:rsidRPr="00C14C45">
        <w:rPr>
          <w:i/>
          <w:iCs/>
        </w:rPr>
        <w:t>i-th</w:t>
      </w:r>
      <w:r w:rsidRPr="00C14C45">
        <w:t xml:space="preserve"> section, m. </w:t>
      </w:r>
    </w:p>
    <w:p w14:paraId="4A64E796" w14:textId="14B3D711" w:rsidR="00C5734E" w:rsidRDefault="00C5734E" w:rsidP="008D2D0C">
      <w:pPr>
        <w:spacing w:line="260" w:lineRule="atLeast"/>
        <w:ind w:firstLine="562"/>
      </w:pPr>
      <w:r w:rsidRPr="00C14C45">
        <w:t xml:space="preserve">Nusselt Number described by </w:t>
      </w:r>
      <w:r w:rsidR="00420DAC" w:rsidRPr="00C14C45">
        <w:t>the expression</w:t>
      </w:r>
      <w:r w:rsidRPr="00C14C45">
        <w:t xml:space="preserve"> is calculated as follows [</w:t>
      </w:r>
      <w:r w:rsidR="002750F0" w:rsidRPr="00C14C45">
        <w:t>11</w:t>
      </w:r>
      <w:r w:rsidRPr="00C14C45">
        <w:t>]:</w:t>
      </w:r>
    </w:p>
    <w:p w14:paraId="3A2EAE53" w14:textId="5B7A1AFA" w:rsidR="00AB0C39" w:rsidRPr="00AB0C39" w:rsidRDefault="00AB0C39" w:rsidP="00AB0C39">
      <w:pPr>
        <w:tabs>
          <w:tab w:val="center" w:pos="4680"/>
          <w:tab w:val="right" w:pos="9360"/>
        </w:tabs>
        <w:spacing w:line="360" w:lineRule="auto"/>
      </w:pPr>
      <w:r w:rsidRPr="00D82ADB">
        <w:tab/>
      </w:r>
      <w:r w:rsidRPr="00C14C45">
        <w:rPr>
          <w:position w:val="-18"/>
        </w:rPr>
        <w:object w:dxaOrig="2520" w:dyaOrig="520" w14:anchorId="2BE27C19">
          <v:shape id="_x0000_i1028" type="#_x0000_t75" style="width:126.75pt;height:26.25pt" o:ole="">
            <v:imagedata r:id="rId17" o:title=""/>
          </v:shape>
          <o:OLEObject Type="Embed" ProgID="Equation.DSMT4" ShapeID="_x0000_i1028" DrawAspect="Content" ObjectID="_1774878502" r:id="rId18"/>
        </w:object>
      </w:r>
      <w:r w:rsidRPr="00C14C45">
        <w:tab/>
        <w:t>EQ.4</w:t>
      </w:r>
    </w:p>
    <w:p w14:paraId="2A4A3417" w14:textId="1F04D6AE" w:rsidR="00C5734E" w:rsidRPr="00AB0C39" w:rsidRDefault="00C5734E" w:rsidP="008D2D0C">
      <w:pPr>
        <w:spacing w:line="260" w:lineRule="atLeast"/>
      </w:pPr>
      <w:r w:rsidRPr="00AB0C39">
        <w:t>where Re and Pr stand for Reynold’s and Prandtl numbers</w:t>
      </w:r>
    </w:p>
    <w:p w14:paraId="6A6BE4CC" w14:textId="77777777" w:rsidR="00C5734E" w:rsidRDefault="00C5734E">
      <w:pPr>
        <w:rPr>
          <w:sz w:val="22"/>
          <w:szCs w:val="22"/>
        </w:rPr>
      </w:pPr>
    </w:p>
    <w:p w14:paraId="56EBDF89" w14:textId="75BA88DE" w:rsidR="00CA46BF" w:rsidRDefault="00BD6A76" w:rsidP="00647CC6">
      <w:pPr>
        <w:pStyle w:val="Heading1"/>
        <w:jc w:val="left"/>
        <w:rPr>
          <w:i w:val="0"/>
          <w:iCs w:val="0"/>
        </w:rPr>
      </w:pPr>
      <w:r w:rsidRPr="00BD6A76">
        <w:rPr>
          <w:i w:val="0"/>
          <w:iCs w:val="0"/>
        </w:rPr>
        <w:t>2.</w:t>
      </w:r>
      <w:r w:rsidR="00647CC6">
        <w:rPr>
          <w:i w:val="0"/>
          <w:iCs w:val="0"/>
        </w:rPr>
        <w:t>       </w:t>
      </w:r>
      <w:r w:rsidRPr="00BD6A76">
        <w:rPr>
          <w:i w:val="0"/>
          <w:iCs w:val="0"/>
        </w:rPr>
        <w:t>NUCLEATE BOILING ANALYSIS</w:t>
      </w:r>
    </w:p>
    <w:p w14:paraId="38CE1EC2" w14:textId="3E3D7630" w:rsidR="00C5734E" w:rsidRPr="00BD6A76" w:rsidRDefault="00BD6A76" w:rsidP="00CA46BF">
      <w:pPr>
        <w:pStyle w:val="Heading1"/>
        <w:jc w:val="left"/>
        <w:rPr>
          <w:i w:val="0"/>
          <w:iCs w:val="0"/>
        </w:rPr>
      </w:pPr>
      <w:r w:rsidRPr="00BD6A76">
        <w:rPr>
          <w:i w:val="0"/>
          <w:iCs w:val="0"/>
        </w:rPr>
        <w:t xml:space="preserve"> </w:t>
      </w:r>
    </w:p>
    <w:p w14:paraId="50588541" w14:textId="2E15DAEB" w:rsidR="00C5734E" w:rsidRPr="00BD6A76" w:rsidRDefault="00C5734E" w:rsidP="008D2D0C">
      <w:pPr>
        <w:spacing w:line="260" w:lineRule="atLeast"/>
        <w:ind w:firstLine="562"/>
      </w:pPr>
      <w:r w:rsidRPr="00BD6A76">
        <w:t xml:space="preserve">In preventing the occurrence of heat transfer crisis in </w:t>
      </w:r>
      <w:r w:rsidR="00B3520E">
        <w:t>the</w:t>
      </w:r>
      <w:r w:rsidRPr="00BD6A76">
        <w:t xml:space="preserve"> reactor unit which is moderated and cooled with water, </w:t>
      </w:r>
      <w:r w:rsidR="00B3520E">
        <w:t>the</w:t>
      </w:r>
      <w:r w:rsidRPr="00BD6A76">
        <w:t xml:space="preserve"> critical heat flux </w:t>
      </w:r>
      <w:r w:rsidRPr="00BD6A76">
        <w:rPr>
          <w:position w:val="-14"/>
        </w:rPr>
        <w:object w:dxaOrig="420" w:dyaOrig="420" w14:anchorId="03BE5BA3">
          <v:shape id="_x0000_i1029" type="#_x0000_t75" style="width:21pt;height:21.75pt" o:ole="">
            <v:imagedata r:id="rId19" o:title=""/>
          </v:shape>
          <o:OLEObject Type="Embed" ProgID="Equation.DSMT4" ShapeID="_x0000_i1029" DrawAspect="Content" ObjectID="_1774878503" r:id="rId20"/>
        </w:object>
      </w:r>
      <w:r w:rsidR="00B3520E">
        <w:t xml:space="preserve">is </w:t>
      </w:r>
      <w:r w:rsidR="00B3520E" w:rsidRPr="00BD6A76">
        <w:t>determined</w:t>
      </w:r>
      <w:r w:rsidRPr="00BD6A76">
        <w:t xml:space="preserve">. </w:t>
      </w:r>
      <w:r w:rsidR="00B3520E">
        <w:t xml:space="preserve">Also, </w:t>
      </w:r>
      <w:r w:rsidRPr="00BD6A76">
        <w:t xml:space="preserve">the ratio of critical heat flux </w:t>
      </w:r>
      <w:r w:rsidRPr="00BD6A76">
        <w:rPr>
          <w:position w:val="-14"/>
        </w:rPr>
        <w:object w:dxaOrig="420" w:dyaOrig="420" w14:anchorId="71EB63FF">
          <v:shape id="_x0000_i1030" type="#_x0000_t75" style="width:21pt;height:21.75pt" o:ole="">
            <v:imagedata r:id="rId21" o:title=""/>
          </v:shape>
          <o:OLEObject Type="Embed" ProgID="Equation.DSMT4" ShapeID="_x0000_i1030" DrawAspect="Content" ObjectID="_1774878504" r:id="rId22"/>
        </w:object>
      </w:r>
      <w:r w:rsidRPr="00BD6A76">
        <w:t xml:space="preserve">to heat flux </w:t>
      </w:r>
      <w:r w:rsidRPr="00BD6A76">
        <w:rPr>
          <w:i/>
          <w:iCs/>
          <w:position w:val="-14"/>
        </w:rPr>
        <w:object w:dxaOrig="300" w:dyaOrig="400" w14:anchorId="6E682D9D">
          <v:shape id="_x0000_i1031" type="#_x0000_t75" style="width:15pt;height:19.5pt" o:ole="">
            <v:imagedata r:id="rId23" o:title=""/>
          </v:shape>
          <o:OLEObject Type="Embed" ProgID="Equation.DSMT4" ShapeID="_x0000_i1031" DrawAspect="Content" ObjectID="_1774878505" r:id="rId24"/>
        </w:object>
      </w:r>
      <w:r w:rsidRPr="00BD6A76">
        <w:rPr>
          <w:i/>
          <w:iCs/>
        </w:rPr>
        <w:t xml:space="preserve"> </w:t>
      </w:r>
      <w:r w:rsidRPr="00BD6A76">
        <w:t>for all fuel diameters under study thus between 3.9 – 9.9 mm with interval of 1 mm</w:t>
      </w:r>
      <w:r w:rsidR="00B3520E">
        <w:t xml:space="preserve"> is determined</w:t>
      </w:r>
      <w:r w:rsidRPr="00BD6A76">
        <w:t xml:space="preserve">. When </w:t>
      </w:r>
      <w:r w:rsidRPr="00BD6A76">
        <w:rPr>
          <w:position w:val="-28"/>
        </w:rPr>
        <w:object w:dxaOrig="1020" w:dyaOrig="740" w14:anchorId="2DAAC32B">
          <v:shape id="_x0000_i1032" type="#_x0000_t75" style="width:51pt;height:37.5pt" o:ole="">
            <v:imagedata r:id="rId25" o:title=""/>
          </v:shape>
          <o:OLEObject Type="Embed" ProgID="Equation.DSMT4" ShapeID="_x0000_i1032" DrawAspect="Content" ObjectID="_1774878506" r:id="rId26"/>
        </w:object>
      </w:r>
      <w:r w:rsidRPr="00BD6A76">
        <w:t xml:space="preserve">, it implies that fuel element at that diameter will experience some sort of heat transfer crisis. </w:t>
      </w:r>
    </w:p>
    <w:p w14:paraId="6EFCEF45" w14:textId="5407DF11" w:rsidR="00C5734E" w:rsidRDefault="00C5734E" w:rsidP="008D2D0C">
      <w:pPr>
        <w:spacing w:line="260" w:lineRule="atLeast"/>
        <w:ind w:firstLine="562"/>
      </w:pPr>
      <w:r w:rsidRPr="00C14C45">
        <w:t xml:space="preserve">The critical heat flux calculation is determined from </w:t>
      </w:r>
      <w:r w:rsidR="00420DAC" w:rsidRPr="00C14C45">
        <w:t xml:space="preserve">the </w:t>
      </w:r>
      <w:r w:rsidRPr="00C14C45">
        <w:t>equation below [</w:t>
      </w:r>
      <w:r w:rsidR="002750F0" w:rsidRPr="00C14C45">
        <w:t>11</w:t>
      </w:r>
      <w:r w:rsidRPr="00C14C45">
        <w:t>]:</w:t>
      </w:r>
    </w:p>
    <w:p w14:paraId="57E906ED" w14:textId="3BBDADF3" w:rsidR="00CA46BF" w:rsidRPr="00C14C45" w:rsidRDefault="00CA46BF" w:rsidP="00CA46BF">
      <w:pPr>
        <w:tabs>
          <w:tab w:val="center" w:pos="4680"/>
          <w:tab w:val="right" w:pos="9360"/>
        </w:tabs>
        <w:spacing w:line="360" w:lineRule="auto"/>
      </w:pPr>
      <w:r w:rsidRPr="00D82ADB">
        <w:tab/>
      </w:r>
      <w:r w:rsidR="00CF03F4" w:rsidRPr="00C14C45">
        <w:rPr>
          <w:position w:val="-22"/>
        </w:rPr>
        <w:object w:dxaOrig="4099" w:dyaOrig="580" w14:anchorId="1AD77D27">
          <v:shape id="_x0000_i1033" type="#_x0000_t75" style="width:206.25pt;height:30pt" o:ole="">
            <v:imagedata r:id="rId27" o:title=""/>
          </v:shape>
          <o:OLEObject Type="Embed" ProgID="Equation.DSMT4" ShapeID="_x0000_i1033" DrawAspect="Content" ObjectID="_1774878507" r:id="rId28"/>
        </w:object>
      </w:r>
      <w:r w:rsidRPr="00C14C45">
        <w:tab/>
        <w:t>EQ.5</w:t>
      </w:r>
    </w:p>
    <w:p w14:paraId="4C077D25" w14:textId="1CEADD41" w:rsidR="00C5734E" w:rsidRPr="00C14C45" w:rsidRDefault="00C5734E" w:rsidP="008D2D0C">
      <w:pPr>
        <w:spacing w:line="260" w:lineRule="atLeast"/>
        <w:rPr>
          <w:rFonts w:eastAsia="Calibri"/>
        </w:rPr>
      </w:pPr>
      <w:r w:rsidRPr="00C14C45">
        <w:lastRenderedPageBreak/>
        <w:t>where</w:t>
      </w:r>
      <w:r w:rsidRPr="00C14C45">
        <w:rPr>
          <w:rFonts w:eastAsia="Calibri"/>
          <w:position w:val="-14"/>
        </w:rPr>
        <w:object w:dxaOrig="1579" w:dyaOrig="400" w14:anchorId="34590810">
          <v:shape id="_x0000_i1034" type="#_x0000_t75" style="width:79.5pt;height:20.25pt" o:ole="">
            <v:imagedata r:id="rId29" o:title=""/>
          </v:shape>
          <o:OLEObject Type="Embed" ProgID="Equation.DSMT4" ShapeID="_x0000_i1034" DrawAspect="Content" ObjectID="_1774878508" r:id="rId30"/>
        </w:object>
      </w:r>
      <w:r w:rsidRPr="00C14C45">
        <w:rPr>
          <w:rFonts w:eastAsia="Calibri"/>
        </w:rPr>
        <w:t>,°С;</w:t>
      </w:r>
      <w:r w:rsidRPr="00C14C45">
        <w:rPr>
          <w:position w:val="-12"/>
        </w:rPr>
        <w:object w:dxaOrig="200" w:dyaOrig="380" w14:anchorId="56972002">
          <v:shape id="_x0000_i1035" type="#_x0000_t75" style="width:11.25pt;height:19.5pt" o:ole="">
            <v:imagedata r:id="rId31" o:title=""/>
          </v:shape>
          <o:OLEObject Type="Embed" ProgID="Equation.DSMT4" ShapeID="_x0000_i1035" DrawAspect="Content" ObjectID="_1774878509" r:id="rId32"/>
        </w:object>
      </w:r>
      <w:r w:rsidRPr="00C14C45">
        <w:t xml:space="preserve">–saturation temperature at a given pressure, °C </w:t>
      </w:r>
      <w:r w:rsidRPr="00C14C45">
        <w:rPr>
          <w:position w:val="-10"/>
        </w:rPr>
        <w:object w:dxaOrig="639" w:dyaOrig="320" w14:anchorId="7EB3D087">
          <v:shape id="_x0000_i1036" type="#_x0000_t75" style="width:31.5pt;height:16.5pt" o:ole="">
            <v:imagedata r:id="rId33" o:title=""/>
          </v:shape>
          <o:OLEObject Type="Embed" ProgID="Equation.DSMT4" ShapeID="_x0000_i1036" DrawAspect="Content" ObjectID="_1774878510" r:id="rId34"/>
        </w:object>
      </w:r>
      <w:r w:rsidRPr="00C14C45">
        <w:t xml:space="preserve">– specific volumes of steam and water at </w:t>
      </w:r>
      <w:r w:rsidRPr="00C14C45">
        <w:rPr>
          <w:i/>
          <w:iCs/>
        </w:rPr>
        <w:t>t</w:t>
      </w:r>
      <w:r w:rsidRPr="00C14C45">
        <w:rPr>
          <w:vertAlign w:val="subscript"/>
        </w:rPr>
        <w:t>s</w:t>
      </w:r>
      <w:r w:rsidRPr="00C14C45">
        <w:t>, m</w:t>
      </w:r>
      <w:r w:rsidRPr="00C14C45">
        <w:rPr>
          <w:vertAlign w:val="superscript"/>
        </w:rPr>
        <w:t>3</w:t>
      </w:r>
      <w:r w:rsidRPr="00C14C45">
        <w:t xml:space="preserve">/kg. The specific volumes of steam and water </w:t>
      </w:r>
      <w:r w:rsidRPr="00C14C45">
        <w:rPr>
          <w:position w:val="-10"/>
        </w:rPr>
        <w:object w:dxaOrig="639" w:dyaOrig="320" w14:anchorId="5353C925">
          <v:shape id="_x0000_i1037" type="#_x0000_t75" style="width:31.5pt;height:16.5pt" o:ole="">
            <v:imagedata r:id="rId33" o:title=""/>
          </v:shape>
          <o:OLEObject Type="Embed" ProgID="Equation.DSMT4" ShapeID="_x0000_i1037" DrawAspect="Content" ObjectID="_1774878511" r:id="rId35"/>
        </w:object>
      </w:r>
      <w:r w:rsidRPr="00C14C45">
        <w:t xml:space="preserve">are generated from the </w:t>
      </w:r>
      <w:r w:rsidRPr="00C14C45">
        <w:rPr>
          <w:rFonts w:eastAsia="Calibri"/>
        </w:rPr>
        <w:t>(IAPWS) [</w:t>
      </w:r>
      <w:r w:rsidR="002750F0" w:rsidRPr="00C14C45">
        <w:rPr>
          <w:rFonts w:eastAsia="Calibri"/>
        </w:rPr>
        <w:t>12</w:t>
      </w:r>
      <w:r w:rsidRPr="00C14C45">
        <w:rPr>
          <w:rFonts w:eastAsia="Calibri"/>
        </w:rPr>
        <w:t>].</w:t>
      </w:r>
    </w:p>
    <w:p w14:paraId="15D1BDA0" w14:textId="26F662D9" w:rsidR="00C5734E" w:rsidRPr="00C14C45" w:rsidRDefault="00C5734E" w:rsidP="008D2D0C">
      <w:pPr>
        <w:spacing w:line="260" w:lineRule="atLeast"/>
        <w:ind w:firstLine="562"/>
        <w:rPr>
          <w:rFonts w:eastAsia="Calibri"/>
        </w:rPr>
      </w:pPr>
      <w:r w:rsidRPr="00C14C45">
        <w:rPr>
          <w:rFonts w:eastAsia="Calibri"/>
        </w:rPr>
        <w:t>It is important to note that the empirical formular stated in equation 5 is used in this calculation since the pressure of the reactor RITM-200 of 15.7 MPa falls within the pressure range (i.e. from 14 to 17 MPa) [</w:t>
      </w:r>
      <w:r w:rsidR="002750F0" w:rsidRPr="00C14C45">
        <w:rPr>
          <w:rFonts w:eastAsia="Calibri"/>
        </w:rPr>
        <w:t>13</w:t>
      </w:r>
      <w:r w:rsidRPr="00C14C45">
        <w:rPr>
          <w:rFonts w:eastAsia="Calibri"/>
        </w:rPr>
        <w:t>].</w:t>
      </w:r>
    </w:p>
    <w:p w14:paraId="650F6892" w14:textId="77777777" w:rsidR="000978B4" w:rsidRPr="00C14C45" w:rsidRDefault="000978B4" w:rsidP="000978B4">
      <w:pPr>
        <w:spacing w:line="360" w:lineRule="auto"/>
        <w:ind w:firstLine="288"/>
        <w:rPr>
          <w:rFonts w:eastAsia="Calibri"/>
          <w:sz w:val="24"/>
          <w:szCs w:val="24"/>
        </w:rPr>
      </w:pPr>
    </w:p>
    <w:p w14:paraId="28786B9F" w14:textId="7CB53627" w:rsidR="00C5734E" w:rsidRPr="00C14C45" w:rsidRDefault="00CF03F4" w:rsidP="00CF03F4">
      <w:pPr>
        <w:pStyle w:val="Heading1"/>
        <w:jc w:val="left"/>
        <w:rPr>
          <w:i w:val="0"/>
          <w:iCs w:val="0"/>
        </w:rPr>
      </w:pPr>
      <w:r w:rsidRPr="00C14C45">
        <w:rPr>
          <w:i w:val="0"/>
          <w:iCs w:val="0"/>
        </w:rPr>
        <w:t>3.        TEMPERATURE DISTRIBUTION OVER FUEL ELEMENT DIAMETER</w:t>
      </w:r>
    </w:p>
    <w:p w14:paraId="22240A85" w14:textId="77777777" w:rsidR="00CF03F4" w:rsidRPr="00C14C45" w:rsidRDefault="00CF03F4" w:rsidP="00CF03F4"/>
    <w:p w14:paraId="2EC58629" w14:textId="29B297D9" w:rsidR="00C5734E" w:rsidRPr="00C14C45" w:rsidRDefault="00C5734E" w:rsidP="008D2D0C">
      <w:pPr>
        <w:spacing w:line="260" w:lineRule="atLeast"/>
        <w:ind w:firstLine="562"/>
      </w:pPr>
      <w:r w:rsidRPr="00C14C45">
        <w:t>The temperature distribution as seen in fi</w:t>
      </w:r>
      <w:r w:rsidR="00AE308E" w:rsidRPr="00C14C45">
        <w:t>g</w:t>
      </w:r>
      <w:r w:rsidRPr="00C14C45">
        <w:t xml:space="preserve"> </w:t>
      </w:r>
      <w:r w:rsidR="00647CC6" w:rsidRPr="00C14C45">
        <w:t>2</w:t>
      </w:r>
      <w:r w:rsidRPr="00C14C45">
        <w:t xml:space="preserve"> demonstrates that the fuel temperature recorded is far below the limit of 500 – 600 </w:t>
      </w:r>
      <w:r w:rsidRPr="00C14C45">
        <w:rPr>
          <w:vertAlign w:val="superscript"/>
        </w:rPr>
        <w:t>o</w:t>
      </w:r>
      <w:r w:rsidRPr="00C14C45">
        <w:t>C. Hence, the thermal limits of the dispersed fuel [</w:t>
      </w:r>
      <w:r w:rsidR="002750F0" w:rsidRPr="00C14C45">
        <w:t>14</w:t>
      </w:r>
      <w:r w:rsidRPr="00C14C45">
        <w:t xml:space="preserve">] are satisfied. </w:t>
      </w:r>
    </w:p>
    <w:p w14:paraId="412D590F" w14:textId="6AB88CBD" w:rsidR="00C5734E" w:rsidRPr="00C14C45" w:rsidRDefault="00C5734E" w:rsidP="00C5734E">
      <w:pPr>
        <w:rPr>
          <w:sz w:val="22"/>
          <w:szCs w:val="22"/>
        </w:rPr>
      </w:pPr>
    </w:p>
    <w:p w14:paraId="7082B24D" w14:textId="77777777" w:rsidR="00C5734E" w:rsidRPr="00943C7C" w:rsidRDefault="00C5734E" w:rsidP="00C5734E">
      <w:pPr>
        <w:pStyle w:val="Figurecaption"/>
        <w:spacing w:after="80"/>
        <w:rPr>
          <w:sz w:val="22"/>
          <w:szCs w:val="22"/>
        </w:rPr>
      </w:pPr>
      <w:r w:rsidRPr="00C14C45">
        <w:rPr>
          <w:noProof/>
        </w:rPr>
        <w:drawing>
          <wp:inline distT="0" distB="0" distL="0" distR="0" wp14:anchorId="4700273C" wp14:editId="74696809">
            <wp:extent cx="4238625" cy="1838325"/>
            <wp:effectExtent l="0" t="0" r="0" b="0"/>
            <wp:docPr id="38" name="Chart 38">
              <a:extLst xmlns:a="http://schemas.openxmlformats.org/drawingml/2006/main">
                <a:ext uri="{FF2B5EF4-FFF2-40B4-BE49-F238E27FC236}">
                  <a16:creationId xmlns:a16="http://schemas.microsoft.com/office/drawing/2014/main" id="{00000000-0008-0000-1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0FF220A" w14:textId="3654DF84" w:rsidR="00C5734E" w:rsidRPr="00647CC6" w:rsidRDefault="00C5734E" w:rsidP="00C5734E">
      <w:pPr>
        <w:pStyle w:val="Figurecaption"/>
        <w:spacing w:before="0" w:after="0"/>
        <w:rPr>
          <w:sz w:val="18"/>
          <w:szCs w:val="18"/>
        </w:rPr>
      </w:pPr>
      <w:r w:rsidRPr="00C14C45">
        <w:rPr>
          <w:sz w:val="18"/>
          <w:szCs w:val="18"/>
        </w:rPr>
        <w:t>F</w:t>
      </w:r>
      <w:r w:rsidR="00647CC6" w:rsidRPr="00C14C45">
        <w:rPr>
          <w:sz w:val="18"/>
          <w:szCs w:val="18"/>
        </w:rPr>
        <w:t>IG</w:t>
      </w:r>
      <w:r w:rsidRPr="00C14C45">
        <w:rPr>
          <w:sz w:val="18"/>
          <w:szCs w:val="18"/>
        </w:rPr>
        <w:t xml:space="preserve"> </w:t>
      </w:r>
      <w:r w:rsidR="00647CC6" w:rsidRPr="00C14C45">
        <w:rPr>
          <w:sz w:val="18"/>
          <w:szCs w:val="18"/>
        </w:rPr>
        <w:t>2</w:t>
      </w:r>
      <w:r w:rsidRPr="00C14C45">
        <w:rPr>
          <w:sz w:val="18"/>
          <w:szCs w:val="18"/>
        </w:rPr>
        <w:t>: Temperature distribution in fuel with different diameters.</w:t>
      </w:r>
    </w:p>
    <w:p w14:paraId="5B156EC8" w14:textId="77777777" w:rsidR="00C5734E" w:rsidRDefault="00C5734E" w:rsidP="00C5734E">
      <w:pPr>
        <w:ind w:firstLine="288"/>
        <w:jc w:val="center"/>
        <w:rPr>
          <w:sz w:val="22"/>
          <w:szCs w:val="22"/>
        </w:rPr>
      </w:pPr>
    </w:p>
    <w:p w14:paraId="15E5020C" w14:textId="2DE21489" w:rsidR="00091CC5" w:rsidRPr="00C14C45" w:rsidRDefault="00C5734E" w:rsidP="00B931BB">
      <w:pPr>
        <w:spacing w:line="260" w:lineRule="atLeast"/>
        <w:ind w:firstLine="562"/>
      </w:pPr>
      <w:r w:rsidRPr="00C14C45">
        <w:t>The analysis of the coolant velocity across the fuel assembly through the different fuel element diameters show increase in average coolant velocity with increase in fuel element diameter. The velocity profile of the various fuel element diameters demonstrates a linear relationship with fuel element diameter. This is shown in table 1.</w:t>
      </w:r>
    </w:p>
    <w:p w14:paraId="77BF8388" w14:textId="289327C8" w:rsidR="00C5734E" w:rsidRPr="00C14C45" w:rsidRDefault="00C5734E" w:rsidP="00B931BB">
      <w:pPr>
        <w:pStyle w:val="Caption"/>
        <w:spacing w:before="0" w:after="0" w:line="260" w:lineRule="atLeast"/>
        <w:jc w:val="both"/>
        <w:rPr>
          <w:color w:val="auto"/>
          <w:sz w:val="18"/>
        </w:rPr>
      </w:pPr>
      <w:r w:rsidRPr="00C14C45">
        <w:rPr>
          <w:color w:val="auto"/>
          <w:sz w:val="18"/>
        </w:rPr>
        <w:t>Table</w:t>
      </w:r>
      <w:r w:rsidR="003C12AA" w:rsidRPr="00C14C45">
        <w:rPr>
          <w:color w:val="auto"/>
          <w:sz w:val="18"/>
        </w:rPr>
        <w:t xml:space="preserve"> </w:t>
      </w:r>
      <w:r w:rsidRPr="00C14C45">
        <w:rPr>
          <w:color w:val="auto"/>
          <w:sz w:val="18"/>
        </w:rPr>
        <w:fldChar w:fldCharType="begin"/>
      </w:r>
      <w:r w:rsidRPr="00C14C45">
        <w:rPr>
          <w:color w:val="auto"/>
          <w:sz w:val="18"/>
        </w:rPr>
        <w:instrText xml:space="preserve"> SEQ Table \* ARABIC </w:instrText>
      </w:r>
      <w:r w:rsidRPr="00C14C45">
        <w:rPr>
          <w:color w:val="auto"/>
          <w:sz w:val="18"/>
        </w:rPr>
        <w:fldChar w:fldCharType="separate"/>
      </w:r>
      <w:r w:rsidR="0027424C">
        <w:rPr>
          <w:noProof/>
          <w:color w:val="auto"/>
          <w:sz w:val="18"/>
        </w:rPr>
        <w:t>1</w:t>
      </w:r>
      <w:r w:rsidRPr="00C14C45">
        <w:rPr>
          <w:noProof/>
          <w:color w:val="auto"/>
          <w:sz w:val="18"/>
        </w:rPr>
        <w:fldChar w:fldCharType="end"/>
      </w:r>
      <w:r w:rsidR="003C12AA" w:rsidRPr="00C14C45">
        <w:rPr>
          <w:color w:val="auto"/>
          <w:sz w:val="18"/>
        </w:rPr>
        <w:t>.</w:t>
      </w:r>
      <w:r w:rsidRPr="00C14C45">
        <w:rPr>
          <w:color w:val="auto"/>
          <w:sz w:val="18"/>
        </w:rPr>
        <w:t xml:space="preserve"> AVERAGE COOLANT VELOCITIES FOR DIFFERENT FUEL ELEMENT DIAMETERS</w:t>
      </w:r>
    </w:p>
    <w:tbl>
      <w:tblPr>
        <w:tblStyle w:val="TableGrid"/>
        <w:tblW w:w="76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7"/>
        <w:gridCol w:w="957"/>
        <w:gridCol w:w="957"/>
        <w:gridCol w:w="958"/>
      </w:tblGrid>
      <w:tr w:rsidR="00C5734E" w:rsidRPr="00C14C45" w14:paraId="60138C14" w14:textId="77777777" w:rsidTr="00091CC5">
        <w:trPr>
          <w:trHeight w:val="610"/>
          <w:jc w:val="center"/>
        </w:trPr>
        <w:tc>
          <w:tcPr>
            <w:tcW w:w="957" w:type="dxa"/>
            <w:tcBorders>
              <w:top w:val="single" w:sz="4" w:space="0" w:color="auto"/>
              <w:bottom w:val="single" w:sz="4" w:space="0" w:color="auto"/>
            </w:tcBorders>
            <w:vAlign w:val="center"/>
          </w:tcPr>
          <w:p w14:paraId="0926014E" w14:textId="77777777" w:rsidR="00C5734E" w:rsidRPr="00C14C45" w:rsidRDefault="00C5734E" w:rsidP="003C12AA">
            <w:pPr>
              <w:rPr>
                <w:sz w:val="18"/>
                <w:szCs w:val="18"/>
              </w:rPr>
            </w:pPr>
            <w:r w:rsidRPr="00C14C45">
              <w:rPr>
                <w:sz w:val="18"/>
                <w:szCs w:val="18"/>
              </w:rPr>
              <w:t>d, mm</w:t>
            </w:r>
          </w:p>
        </w:tc>
        <w:tc>
          <w:tcPr>
            <w:tcW w:w="957" w:type="dxa"/>
            <w:tcBorders>
              <w:top w:val="single" w:sz="4" w:space="0" w:color="auto"/>
              <w:bottom w:val="single" w:sz="4" w:space="0" w:color="auto"/>
            </w:tcBorders>
          </w:tcPr>
          <w:p w14:paraId="120CBB6C" w14:textId="77777777" w:rsidR="00C5734E" w:rsidRPr="00C14C45" w:rsidRDefault="00C5734E" w:rsidP="003C12AA">
            <w:pPr>
              <w:rPr>
                <w:sz w:val="18"/>
                <w:szCs w:val="18"/>
              </w:rPr>
            </w:pPr>
            <w:r w:rsidRPr="00C14C45">
              <w:rPr>
                <w:sz w:val="18"/>
                <w:szCs w:val="18"/>
              </w:rPr>
              <w:t>3.9</w:t>
            </w:r>
          </w:p>
        </w:tc>
        <w:tc>
          <w:tcPr>
            <w:tcW w:w="957" w:type="dxa"/>
            <w:tcBorders>
              <w:top w:val="single" w:sz="4" w:space="0" w:color="auto"/>
              <w:bottom w:val="single" w:sz="4" w:space="0" w:color="auto"/>
            </w:tcBorders>
          </w:tcPr>
          <w:p w14:paraId="0D7EC68D" w14:textId="77777777" w:rsidR="00C5734E" w:rsidRPr="00C14C45" w:rsidRDefault="00C5734E" w:rsidP="003C12AA">
            <w:pPr>
              <w:rPr>
                <w:sz w:val="18"/>
                <w:szCs w:val="18"/>
              </w:rPr>
            </w:pPr>
            <w:r w:rsidRPr="00C14C45">
              <w:rPr>
                <w:sz w:val="18"/>
                <w:szCs w:val="18"/>
              </w:rPr>
              <w:t>4.9</w:t>
            </w:r>
          </w:p>
        </w:tc>
        <w:tc>
          <w:tcPr>
            <w:tcW w:w="957" w:type="dxa"/>
            <w:tcBorders>
              <w:top w:val="single" w:sz="4" w:space="0" w:color="auto"/>
              <w:bottom w:val="single" w:sz="4" w:space="0" w:color="auto"/>
            </w:tcBorders>
          </w:tcPr>
          <w:p w14:paraId="5393B80F" w14:textId="77777777" w:rsidR="00C5734E" w:rsidRPr="00C14C45" w:rsidRDefault="00C5734E" w:rsidP="003C12AA">
            <w:pPr>
              <w:rPr>
                <w:sz w:val="18"/>
                <w:szCs w:val="18"/>
              </w:rPr>
            </w:pPr>
            <w:r w:rsidRPr="00C14C45">
              <w:rPr>
                <w:sz w:val="18"/>
                <w:szCs w:val="18"/>
              </w:rPr>
              <w:t>5.9</w:t>
            </w:r>
          </w:p>
        </w:tc>
        <w:tc>
          <w:tcPr>
            <w:tcW w:w="957" w:type="dxa"/>
            <w:tcBorders>
              <w:top w:val="single" w:sz="4" w:space="0" w:color="auto"/>
              <w:bottom w:val="single" w:sz="4" w:space="0" w:color="auto"/>
            </w:tcBorders>
          </w:tcPr>
          <w:p w14:paraId="6508F110" w14:textId="77777777" w:rsidR="00C5734E" w:rsidRPr="00C14C45" w:rsidRDefault="00C5734E" w:rsidP="003C12AA">
            <w:pPr>
              <w:rPr>
                <w:sz w:val="18"/>
                <w:szCs w:val="18"/>
              </w:rPr>
            </w:pPr>
            <w:r w:rsidRPr="00C14C45">
              <w:rPr>
                <w:sz w:val="18"/>
                <w:szCs w:val="18"/>
              </w:rPr>
              <w:t>6.9</w:t>
            </w:r>
          </w:p>
        </w:tc>
        <w:tc>
          <w:tcPr>
            <w:tcW w:w="957" w:type="dxa"/>
            <w:tcBorders>
              <w:top w:val="single" w:sz="4" w:space="0" w:color="auto"/>
              <w:bottom w:val="single" w:sz="4" w:space="0" w:color="auto"/>
            </w:tcBorders>
          </w:tcPr>
          <w:p w14:paraId="2314D5F2" w14:textId="77777777" w:rsidR="00C5734E" w:rsidRPr="00C14C45" w:rsidRDefault="00C5734E" w:rsidP="003C12AA">
            <w:pPr>
              <w:rPr>
                <w:sz w:val="18"/>
                <w:szCs w:val="18"/>
              </w:rPr>
            </w:pPr>
            <w:r w:rsidRPr="00C14C45">
              <w:rPr>
                <w:sz w:val="18"/>
                <w:szCs w:val="18"/>
              </w:rPr>
              <w:t>7.9</w:t>
            </w:r>
          </w:p>
        </w:tc>
        <w:tc>
          <w:tcPr>
            <w:tcW w:w="957" w:type="dxa"/>
            <w:tcBorders>
              <w:top w:val="single" w:sz="4" w:space="0" w:color="auto"/>
              <w:bottom w:val="single" w:sz="4" w:space="0" w:color="auto"/>
            </w:tcBorders>
          </w:tcPr>
          <w:p w14:paraId="7160644D" w14:textId="77777777" w:rsidR="00C5734E" w:rsidRPr="00C14C45" w:rsidRDefault="00C5734E" w:rsidP="003C12AA">
            <w:pPr>
              <w:rPr>
                <w:sz w:val="18"/>
                <w:szCs w:val="18"/>
              </w:rPr>
            </w:pPr>
            <w:r w:rsidRPr="00C14C45">
              <w:rPr>
                <w:sz w:val="18"/>
                <w:szCs w:val="18"/>
              </w:rPr>
              <w:t>8.9</w:t>
            </w:r>
          </w:p>
        </w:tc>
        <w:tc>
          <w:tcPr>
            <w:tcW w:w="958" w:type="dxa"/>
            <w:tcBorders>
              <w:top w:val="single" w:sz="4" w:space="0" w:color="auto"/>
              <w:bottom w:val="single" w:sz="4" w:space="0" w:color="auto"/>
            </w:tcBorders>
          </w:tcPr>
          <w:p w14:paraId="19F4D171" w14:textId="77777777" w:rsidR="00C5734E" w:rsidRPr="00C14C45" w:rsidRDefault="00C5734E" w:rsidP="003C12AA">
            <w:pPr>
              <w:rPr>
                <w:sz w:val="18"/>
                <w:szCs w:val="18"/>
              </w:rPr>
            </w:pPr>
            <w:r w:rsidRPr="00C14C45">
              <w:rPr>
                <w:sz w:val="18"/>
                <w:szCs w:val="18"/>
              </w:rPr>
              <w:t>9.9</w:t>
            </w:r>
          </w:p>
        </w:tc>
      </w:tr>
      <w:tr w:rsidR="00C5734E" w:rsidRPr="00C14C45" w14:paraId="10BB1D7D" w14:textId="77777777" w:rsidTr="00091CC5">
        <w:trPr>
          <w:trHeight w:val="610"/>
          <w:jc w:val="center"/>
        </w:trPr>
        <w:tc>
          <w:tcPr>
            <w:tcW w:w="957" w:type="dxa"/>
            <w:tcBorders>
              <w:top w:val="single" w:sz="4" w:space="0" w:color="auto"/>
              <w:bottom w:val="single" w:sz="4" w:space="0" w:color="auto"/>
            </w:tcBorders>
          </w:tcPr>
          <w:p w14:paraId="68F1C5A9" w14:textId="77777777" w:rsidR="00C5734E" w:rsidRPr="00C14C45" w:rsidRDefault="00C5734E" w:rsidP="003C12AA">
            <w:pPr>
              <w:rPr>
                <w:sz w:val="18"/>
                <w:szCs w:val="18"/>
              </w:rPr>
            </w:pPr>
            <w:r w:rsidRPr="00C14C45">
              <w:rPr>
                <w:sz w:val="18"/>
                <w:szCs w:val="18"/>
              </w:rPr>
              <w:t>ν, m/s</w:t>
            </w:r>
          </w:p>
        </w:tc>
        <w:tc>
          <w:tcPr>
            <w:tcW w:w="957" w:type="dxa"/>
            <w:tcBorders>
              <w:top w:val="single" w:sz="4" w:space="0" w:color="auto"/>
              <w:bottom w:val="single" w:sz="4" w:space="0" w:color="auto"/>
            </w:tcBorders>
          </w:tcPr>
          <w:p w14:paraId="1E38E1E7" w14:textId="77777777" w:rsidR="00C5734E" w:rsidRPr="00C14C45" w:rsidRDefault="00C5734E" w:rsidP="003C12AA">
            <w:pPr>
              <w:rPr>
                <w:sz w:val="18"/>
                <w:szCs w:val="18"/>
              </w:rPr>
            </w:pPr>
            <w:r w:rsidRPr="00C14C45">
              <w:rPr>
                <w:sz w:val="18"/>
                <w:szCs w:val="18"/>
              </w:rPr>
              <w:t>2.04</w:t>
            </w:r>
          </w:p>
        </w:tc>
        <w:tc>
          <w:tcPr>
            <w:tcW w:w="957" w:type="dxa"/>
            <w:tcBorders>
              <w:top w:val="single" w:sz="4" w:space="0" w:color="auto"/>
              <w:bottom w:val="single" w:sz="4" w:space="0" w:color="auto"/>
            </w:tcBorders>
          </w:tcPr>
          <w:p w14:paraId="073F17EA" w14:textId="77777777" w:rsidR="00C5734E" w:rsidRPr="00C14C45" w:rsidRDefault="00C5734E" w:rsidP="003C12AA">
            <w:pPr>
              <w:rPr>
                <w:sz w:val="18"/>
                <w:szCs w:val="18"/>
              </w:rPr>
            </w:pPr>
            <w:r w:rsidRPr="00C14C45">
              <w:rPr>
                <w:sz w:val="18"/>
                <w:szCs w:val="18"/>
              </w:rPr>
              <w:t>2.22</w:t>
            </w:r>
          </w:p>
        </w:tc>
        <w:tc>
          <w:tcPr>
            <w:tcW w:w="957" w:type="dxa"/>
            <w:tcBorders>
              <w:top w:val="single" w:sz="4" w:space="0" w:color="auto"/>
              <w:bottom w:val="single" w:sz="4" w:space="0" w:color="auto"/>
            </w:tcBorders>
          </w:tcPr>
          <w:p w14:paraId="1A8519F1" w14:textId="77777777" w:rsidR="00C5734E" w:rsidRPr="00C14C45" w:rsidRDefault="00C5734E" w:rsidP="003C12AA">
            <w:pPr>
              <w:rPr>
                <w:sz w:val="18"/>
                <w:szCs w:val="18"/>
              </w:rPr>
            </w:pPr>
            <w:r w:rsidRPr="00C14C45">
              <w:rPr>
                <w:sz w:val="18"/>
                <w:szCs w:val="18"/>
              </w:rPr>
              <w:t>2.48</w:t>
            </w:r>
          </w:p>
        </w:tc>
        <w:tc>
          <w:tcPr>
            <w:tcW w:w="957" w:type="dxa"/>
            <w:tcBorders>
              <w:top w:val="single" w:sz="4" w:space="0" w:color="auto"/>
              <w:bottom w:val="single" w:sz="4" w:space="0" w:color="auto"/>
            </w:tcBorders>
          </w:tcPr>
          <w:p w14:paraId="7F40F349" w14:textId="77777777" w:rsidR="00C5734E" w:rsidRPr="00C14C45" w:rsidRDefault="00C5734E" w:rsidP="003C12AA">
            <w:pPr>
              <w:rPr>
                <w:sz w:val="18"/>
                <w:szCs w:val="18"/>
              </w:rPr>
            </w:pPr>
            <w:r w:rsidRPr="00C14C45">
              <w:rPr>
                <w:sz w:val="18"/>
                <w:szCs w:val="18"/>
              </w:rPr>
              <w:t>2.89</w:t>
            </w:r>
          </w:p>
        </w:tc>
        <w:tc>
          <w:tcPr>
            <w:tcW w:w="957" w:type="dxa"/>
            <w:tcBorders>
              <w:top w:val="single" w:sz="4" w:space="0" w:color="auto"/>
              <w:bottom w:val="single" w:sz="4" w:space="0" w:color="auto"/>
            </w:tcBorders>
          </w:tcPr>
          <w:p w14:paraId="79C23552" w14:textId="77777777" w:rsidR="00C5734E" w:rsidRPr="00C14C45" w:rsidRDefault="00C5734E" w:rsidP="003C12AA">
            <w:pPr>
              <w:rPr>
                <w:sz w:val="18"/>
                <w:szCs w:val="18"/>
              </w:rPr>
            </w:pPr>
            <w:r w:rsidRPr="00C14C45">
              <w:rPr>
                <w:sz w:val="18"/>
                <w:szCs w:val="18"/>
              </w:rPr>
              <w:t>3.56</w:t>
            </w:r>
          </w:p>
        </w:tc>
        <w:tc>
          <w:tcPr>
            <w:tcW w:w="957" w:type="dxa"/>
            <w:tcBorders>
              <w:top w:val="single" w:sz="4" w:space="0" w:color="auto"/>
              <w:bottom w:val="single" w:sz="4" w:space="0" w:color="auto"/>
            </w:tcBorders>
          </w:tcPr>
          <w:p w14:paraId="2A848A18" w14:textId="77777777" w:rsidR="00C5734E" w:rsidRPr="00C14C45" w:rsidRDefault="00C5734E" w:rsidP="003C12AA">
            <w:pPr>
              <w:rPr>
                <w:sz w:val="18"/>
                <w:szCs w:val="18"/>
              </w:rPr>
            </w:pPr>
            <w:r w:rsidRPr="00C14C45">
              <w:rPr>
                <w:sz w:val="18"/>
                <w:szCs w:val="18"/>
              </w:rPr>
              <w:t>4.84</w:t>
            </w:r>
          </w:p>
        </w:tc>
        <w:tc>
          <w:tcPr>
            <w:tcW w:w="958" w:type="dxa"/>
            <w:tcBorders>
              <w:top w:val="single" w:sz="4" w:space="0" w:color="auto"/>
              <w:bottom w:val="single" w:sz="4" w:space="0" w:color="auto"/>
            </w:tcBorders>
          </w:tcPr>
          <w:p w14:paraId="39B28593" w14:textId="77777777" w:rsidR="00C5734E" w:rsidRPr="00C14C45" w:rsidRDefault="00C5734E" w:rsidP="003C12AA">
            <w:pPr>
              <w:rPr>
                <w:sz w:val="18"/>
                <w:szCs w:val="18"/>
              </w:rPr>
            </w:pPr>
            <w:r w:rsidRPr="00C14C45">
              <w:rPr>
                <w:sz w:val="18"/>
                <w:szCs w:val="18"/>
              </w:rPr>
              <w:t>8.08</w:t>
            </w:r>
          </w:p>
        </w:tc>
      </w:tr>
    </w:tbl>
    <w:p w14:paraId="75670A04" w14:textId="77777777" w:rsidR="00C5734E" w:rsidRPr="00C14C45" w:rsidRDefault="00C5734E" w:rsidP="00C5734E">
      <w:pPr>
        <w:rPr>
          <w:sz w:val="22"/>
          <w:szCs w:val="22"/>
        </w:rPr>
      </w:pPr>
    </w:p>
    <w:p w14:paraId="26F42F15" w14:textId="00BEFFD1" w:rsidR="001510B3" w:rsidRPr="006332DD" w:rsidRDefault="00C5734E" w:rsidP="001510B3">
      <w:pPr>
        <w:spacing w:line="260" w:lineRule="atLeast"/>
        <w:ind w:firstLine="562"/>
      </w:pPr>
      <w:r w:rsidRPr="00C14C45">
        <w:t xml:space="preserve">The coolant velocity across the fuel assembly through the </w:t>
      </w:r>
      <w:r w:rsidRPr="00C14C45">
        <w:rPr>
          <w:i/>
          <w:iCs/>
        </w:rPr>
        <w:t>i-th</w:t>
      </w:r>
      <w:r w:rsidRPr="00C14C45">
        <w:t xml:space="preserve"> section is plotted to s</w:t>
      </w:r>
      <w:r w:rsidR="001510B3">
        <w:t>how</w:t>
      </w:r>
      <w:r w:rsidRPr="00C14C45">
        <w:t xml:space="preserve"> the flow of the coolant through the axial section of the fuel element. In the mid-section, the higher energy release causes a decline in the density of the coolant hence the increase in coolant velocity. This is demonstrated in fi</w:t>
      </w:r>
      <w:r w:rsidR="00420DAC" w:rsidRPr="00C14C45">
        <w:t>g.</w:t>
      </w:r>
      <w:r w:rsidRPr="00C14C45">
        <w:t xml:space="preserve"> </w:t>
      </w:r>
      <w:r w:rsidR="006332DD" w:rsidRPr="00C14C45">
        <w:t>3</w:t>
      </w:r>
      <w:r w:rsidRPr="00C14C45">
        <w:t xml:space="preserve"> below.</w:t>
      </w:r>
      <w:r w:rsidRPr="006332DD">
        <w:t xml:space="preserve"> </w:t>
      </w:r>
    </w:p>
    <w:p w14:paraId="289CDEA6" w14:textId="77777777" w:rsidR="00C5734E" w:rsidRPr="00943C7C" w:rsidRDefault="00C5734E" w:rsidP="00C5734E">
      <w:pPr>
        <w:keepNext/>
        <w:pBdr>
          <w:top w:val="nil"/>
          <w:left w:val="nil"/>
          <w:bottom w:val="nil"/>
          <w:right w:val="nil"/>
          <w:between w:val="nil"/>
        </w:pBdr>
        <w:ind w:firstLine="289"/>
        <w:jc w:val="center"/>
        <w:rPr>
          <w:sz w:val="22"/>
          <w:szCs w:val="22"/>
        </w:rPr>
      </w:pPr>
    </w:p>
    <w:p w14:paraId="25163C1B" w14:textId="77777777" w:rsidR="00C5734E" w:rsidRPr="00943C7C" w:rsidRDefault="00C5734E" w:rsidP="00C5734E">
      <w:pPr>
        <w:spacing w:line="360" w:lineRule="auto"/>
        <w:jc w:val="center"/>
        <w:rPr>
          <w:sz w:val="28"/>
          <w:szCs w:val="28"/>
        </w:rPr>
      </w:pPr>
      <w:r w:rsidRPr="00943C7C">
        <w:rPr>
          <w:noProof/>
        </w:rPr>
        <w:drawing>
          <wp:inline distT="0" distB="0" distL="0" distR="0" wp14:anchorId="2615CB4F" wp14:editId="4419B581">
            <wp:extent cx="3695700" cy="1866900"/>
            <wp:effectExtent l="0" t="0" r="0" b="0"/>
            <wp:docPr id="2" name="Chart 2">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BAF6584" w14:textId="4B850129" w:rsidR="00C5734E" w:rsidRPr="00C14C45" w:rsidRDefault="00C5734E" w:rsidP="000978B4">
      <w:pPr>
        <w:pStyle w:val="Figurecaption"/>
        <w:spacing w:before="0" w:after="0"/>
        <w:rPr>
          <w:sz w:val="18"/>
          <w:szCs w:val="18"/>
        </w:rPr>
      </w:pPr>
      <w:r w:rsidRPr="00C14C45">
        <w:rPr>
          <w:sz w:val="18"/>
          <w:szCs w:val="18"/>
        </w:rPr>
        <w:t>F</w:t>
      </w:r>
      <w:r w:rsidR="006332DD" w:rsidRPr="00C14C45">
        <w:rPr>
          <w:sz w:val="18"/>
          <w:szCs w:val="18"/>
        </w:rPr>
        <w:t>IG</w:t>
      </w:r>
      <w:r w:rsidRPr="00C14C45">
        <w:rPr>
          <w:sz w:val="18"/>
          <w:szCs w:val="18"/>
        </w:rPr>
        <w:t xml:space="preserve"> </w:t>
      </w:r>
      <w:r w:rsidR="006332DD" w:rsidRPr="00C14C45">
        <w:rPr>
          <w:sz w:val="18"/>
          <w:szCs w:val="18"/>
        </w:rPr>
        <w:t>3</w:t>
      </w:r>
      <w:r w:rsidRPr="00C14C45">
        <w:rPr>
          <w:sz w:val="18"/>
          <w:szCs w:val="18"/>
        </w:rPr>
        <w:t>: Coolant velocity across the axial section of a fuel element.</w:t>
      </w:r>
    </w:p>
    <w:p w14:paraId="556C5937" w14:textId="77777777" w:rsidR="000978B4" w:rsidRPr="00C14C45" w:rsidRDefault="000978B4" w:rsidP="000978B4">
      <w:pPr>
        <w:pStyle w:val="Figurecaption"/>
        <w:spacing w:before="0" w:after="0"/>
        <w:rPr>
          <w:sz w:val="18"/>
          <w:szCs w:val="18"/>
        </w:rPr>
      </w:pPr>
    </w:p>
    <w:p w14:paraId="52D652CB" w14:textId="09A88024" w:rsidR="00C5734E" w:rsidRPr="00C14C45" w:rsidRDefault="00C5734E" w:rsidP="00B931BB">
      <w:pPr>
        <w:spacing w:line="260" w:lineRule="atLeast"/>
        <w:ind w:firstLine="562"/>
        <w:rPr>
          <w:rFonts w:eastAsia="Calibri"/>
        </w:rPr>
      </w:pPr>
      <w:r w:rsidRPr="00C14C45">
        <w:t xml:space="preserve">Using the </w:t>
      </w:r>
      <w:r w:rsidRPr="00C14C45">
        <w:rPr>
          <w:rFonts w:eastAsia="Calibri"/>
        </w:rPr>
        <w:t>Industrial formulation 1997 for the thermodynamic properties of water and steam (IAPWS), [1</w:t>
      </w:r>
      <w:r w:rsidR="002750F0" w:rsidRPr="00C14C45">
        <w:rPr>
          <w:rFonts w:eastAsia="Calibri"/>
        </w:rPr>
        <w:t>5</w:t>
      </w:r>
      <w:r w:rsidRPr="00C14C45">
        <w:rPr>
          <w:rFonts w:eastAsia="Calibri"/>
        </w:rPr>
        <w:t>] the thermodynamic quality (</w:t>
      </w:r>
      <w:r w:rsidRPr="00C14C45">
        <w:rPr>
          <w:rFonts w:eastAsia="Calibri"/>
          <w:i/>
          <w:iCs/>
        </w:rPr>
        <w:t>x</w:t>
      </w:r>
      <w:r w:rsidRPr="00C14C45">
        <w:rPr>
          <w:rFonts w:eastAsia="Calibri"/>
        </w:rPr>
        <w:t>) of the flow along the channel was obtained. The thermodynamic quality (</w:t>
      </w:r>
      <w:r w:rsidRPr="00C14C45">
        <w:rPr>
          <w:rFonts w:eastAsia="Calibri"/>
          <w:i/>
          <w:iCs/>
        </w:rPr>
        <w:t>x</w:t>
      </w:r>
      <w:r w:rsidRPr="00C14C45">
        <w:rPr>
          <w:rFonts w:eastAsia="Calibri"/>
        </w:rPr>
        <w:t xml:space="preserve">) for the reactor RITM-200 was determined to be a subcooled liquid flow which implied that </w:t>
      </w:r>
      <w:r w:rsidR="004B1ADF" w:rsidRPr="004B1ADF">
        <w:rPr>
          <w:rFonts w:eastAsia="Calibri"/>
          <w:i/>
          <w:iCs/>
        </w:rPr>
        <w:t>x</w:t>
      </w:r>
      <w:r w:rsidR="004B1ADF">
        <w:rPr>
          <w:rFonts w:eastAsia="Calibri"/>
        </w:rPr>
        <w:t xml:space="preserve"> &lt; 0 </w:t>
      </w:r>
      <w:r w:rsidRPr="00C14C45">
        <w:rPr>
          <w:rFonts w:eastAsia="Calibri"/>
        </w:rPr>
        <w:t>by solving equation 6 below.</w:t>
      </w:r>
    </w:p>
    <w:p w14:paraId="7CEC1C45" w14:textId="6D9EC074" w:rsidR="006332DD" w:rsidRPr="00AB0C39" w:rsidRDefault="006332DD" w:rsidP="004B1ADF">
      <w:pPr>
        <w:tabs>
          <w:tab w:val="center" w:pos="4680"/>
          <w:tab w:val="right" w:pos="9360"/>
        </w:tabs>
        <w:spacing w:line="360" w:lineRule="auto"/>
      </w:pPr>
      <w:r w:rsidRPr="00C14C45">
        <w:tab/>
      </w:r>
      <w:r w:rsidRPr="00C14C45">
        <w:rPr>
          <w:position w:val="-34"/>
        </w:rPr>
        <w:object w:dxaOrig="2840" w:dyaOrig="859" w14:anchorId="2B307458">
          <v:shape id="_x0000_i1039" type="#_x0000_t75" style="width:143.25pt;height:44.25pt" o:ole="">
            <v:imagedata r:id="rId38" o:title=""/>
          </v:shape>
          <o:OLEObject Type="Embed" ProgID="Equation.DSMT4" ShapeID="_x0000_i1039" DrawAspect="Content" ObjectID="_1774878512" r:id="rId39"/>
        </w:object>
      </w:r>
      <w:r w:rsidRPr="00C14C45">
        <w:tab/>
        <w:t>EQ.6</w:t>
      </w:r>
    </w:p>
    <w:p w14:paraId="3A174154" w14:textId="77777777" w:rsidR="00697D5F" w:rsidRPr="006332DD" w:rsidRDefault="00C5734E" w:rsidP="00B931BB">
      <w:pPr>
        <w:spacing w:line="260" w:lineRule="atLeast"/>
        <w:rPr>
          <w:rFonts w:eastAsia="Calibri"/>
        </w:rPr>
      </w:pPr>
      <w:r w:rsidRPr="006332DD">
        <w:rPr>
          <w:rFonts w:eastAsia="Calibri"/>
        </w:rPr>
        <w:t xml:space="preserve">where </w:t>
      </w:r>
      <w:r w:rsidRPr="006332DD">
        <w:rPr>
          <w:rFonts w:eastAsia="Calibri"/>
          <w:i/>
          <w:iCs/>
        </w:rPr>
        <w:t>h</w:t>
      </w:r>
      <w:r w:rsidRPr="006332DD">
        <w:rPr>
          <w:rFonts w:eastAsia="Calibri"/>
          <w:i/>
          <w:iCs/>
          <w:vertAlign w:val="subscript"/>
        </w:rPr>
        <w:t>i</w:t>
      </w:r>
      <w:r w:rsidRPr="006332DD">
        <w:rPr>
          <w:rFonts w:eastAsia="Calibri"/>
          <w:vertAlign w:val="subscript"/>
        </w:rPr>
        <w:t xml:space="preserve"> </w:t>
      </w:r>
      <w:r w:rsidRPr="006332DD">
        <w:rPr>
          <w:rFonts w:eastAsia="Calibri"/>
        </w:rPr>
        <w:t xml:space="preserve">connotes the enthalpy of the coolant at pressure </w:t>
      </w:r>
      <w:r w:rsidRPr="006332DD">
        <w:rPr>
          <w:rFonts w:eastAsia="Calibri"/>
          <w:i/>
          <w:iCs/>
        </w:rPr>
        <w:t>p</w:t>
      </w:r>
      <w:r w:rsidRPr="006332DD">
        <w:rPr>
          <w:rFonts w:eastAsia="Calibri"/>
        </w:rPr>
        <w:t xml:space="preserve"> and temperature </w:t>
      </w:r>
      <w:r w:rsidRPr="006332DD">
        <w:rPr>
          <w:rFonts w:eastAsia="Calibri"/>
          <w:i/>
          <w:iCs/>
        </w:rPr>
        <w:t>T</w:t>
      </w:r>
      <w:r w:rsidRPr="006332DD">
        <w:rPr>
          <w:rFonts w:eastAsia="Calibri"/>
          <w:i/>
          <w:iCs/>
          <w:vertAlign w:val="subscript"/>
        </w:rPr>
        <w:t>i</w:t>
      </w:r>
      <w:r w:rsidRPr="006332DD">
        <w:rPr>
          <w:rFonts w:eastAsia="Calibri"/>
          <w:i/>
          <w:iCs/>
        </w:rPr>
        <w:t xml:space="preserve"> </w:t>
      </w:r>
      <w:r w:rsidRPr="006332DD">
        <w:rPr>
          <w:rFonts w:eastAsia="Calibri"/>
        </w:rPr>
        <w:t xml:space="preserve">in </w:t>
      </w:r>
      <w:r w:rsidRPr="006332DD">
        <w:rPr>
          <w:rFonts w:eastAsia="Calibri"/>
          <w:i/>
          <w:iCs/>
        </w:rPr>
        <w:t>i-th</w:t>
      </w:r>
      <w:r w:rsidRPr="006332DD">
        <w:rPr>
          <w:rFonts w:eastAsia="Calibri"/>
        </w:rPr>
        <w:t xml:space="preserve"> section, kJ/kg; </w:t>
      </w:r>
      <w:r w:rsidRPr="006332DD">
        <w:rPr>
          <w:rFonts w:eastAsia="Calibri"/>
          <w:i/>
          <w:iCs/>
        </w:rPr>
        <w:t>h’’</w:t>
      </w:r>
      <w:r w:rsidRPr="006332DD">
        <w:rPr>
          <w:rFonts w:eastAsia="Calibri"/>
        </w:rPr>
        <w:t xml:space="preserve"> and </w:t>
      </w:r>
      <w:r w:rsidRPr="006332DD">
        <w:rPr>
          <w:rFonts w:eastAsia="Calibri"/>
          <w:i/>
          <w:iCs/>
        </w:rPr>
        <w:t xml:space="preserve">h’ </w:t>
      </w:r>
      <w:r w:rsidRPr="006332DD">
        <w:rPr>
          <w:rFonts w:eastAsia="Calibri"/>
        </w:rPr>
        <w:t xml:space="preserve">represents the enthalpy of steam and liquid at pressure </w:t>
      </w:r>
      <w:r w:rsidRPr="006332DD">
        <w:rPr>
          <w:rFonts w:eastAsia="Calibri"/>
          <w:i/>
          <w:iCs/>
        </w:rPr>
        <w:t>p</w:t>
      </w:r>
      <w:r w:rsidRPr="006332DD">
        <w:rPr>
          <w:rFonts w:eastAsia="Calibri"/>
        </w:rPr>
        <w:t xml:space="preserve">, respectively, kJ/kg; </w:t>
      </w:r>
      <w:r w:rsidRPr="006332DD">
        <w:rPr>
          <w:rFonts w:eastAsia="Calibri"/>
          <w:i/>
          <w:iCs/>
        </w:rPr>
        <w:t xml:space="preserve">P </w:t>
      </w:r>
      <w:r w:rsidRPr="006332DD">
        <w:rPr>
          <w:rFonts w:eastAsia="Calibri"/>
        </w:rPr>
        <w:t>denotes coolant pressure in the primary circuit, MPa.</w:t>
      </w:r>
    </w:p>
    <w:p w14:paraId="49BD356B" w14:textId="19E4B8FA" w:rsidR="00C5734E" w:rsidRPr="00EE5CDC" w:rsidRDefault="00C5734E" w:rsidP="00B931BB">
      <w:pPr>
        <w:spacing w:line="260" w:lineRule="atLeast"/>
        <w:ind w:firstLine="562"/>
        <w:rPr>
          <w:rFonts w:eastAsia="Calibri"/>
        </w:rPr>
      </w:pPr>
      <w:r w:rsidRPr="00EE5CDC">
        <w:t xml:space="preserve">The application of the Thom’s correlation was used in the evaluation of the boiling crisis in the various fuel element diameters. The results showed that boiling crisis will occur in the fuel element diameters less than 6.9 mm. This result implies that increasing the fuel diameter will not lead to boiling crisis, hence endorsing the recommendation of the neutronics calculations which proposed increase in fuel diameter to optimize fuel campaign. </w:t>
      </w:r>
      <w:r w:rsidRPr="00C14C45">
        <w:t>Fig</w:t>
      </w:r>
      <w:r w:rsidR="00420DAC" w:rsidRPr="00C14C45">
        <w:t>.</w:t>
      </w:r>
      <w:r w:rsidRPr="00C14C45">
        <w:t xml:space="preserve"> </w:t>
      </w:r>
      <w:r w:rsidR="00EE5CDC" w:rsidRPr="00C14C45">
        <w:t>4</w:t>
      </w:r>
      <w:r w:rsidRPr="00EE5CDC">
        <w:t xml:space="preserve"> below shows the result of the boiling crisis on the various fuel element diameters between 3.9 to 9.9 mm. </w:t>
      </w:r>
    </w:p>
    <w:p w14:paraId="7AB71313" w14:textId="77777777" w:rsidR="00C5734E" w:rsidRPr="00BE6CCB" w:rsidRDefault="00C5734E" w:rsidP="006A461A">
      <w:pPr>
        <w:spacing w:line="360" w:lineRule="auto"/>
        <w:jc w:val="center"/>
        <w:rPr>
          <w:sz w:val="28"/>
          <w:szCs w:val="28"/>
        </w:rPr>
      </w:pPr>
      <w:r w:rsidRPr="00943C7C">
        <w:rPr>
          <w:noProof/>
        </w:rPr>
        <w:drawing>
          <wp:inline distT="0" distB="0" distL="0" distR="0" wp14:anchorId="02523182" wp14:editId="3D1655A1">
            <wp:extent cx="4400550" cy="2105025"/>
            <wp:effectExtent l="0" t="0" r="0" b="0"/>
            <wp:docPr id="1" name="Chart 1">
              <a:extLst xmlns:a="http://schemas.openxmlformats.org/drawingml/2006/main">
                <a:ext uri="{FF2B5EF4-FFF2-40B4-BE49-F238E27FC236}">
                  <a16:creationId xmlns:a16="http://schemas.microsoft.com/office/drawing/2014/main" id="{00000000-0008-0000-1B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C63AB7F" w14:textId="6186BE63" w:rsidR="00C5734E" w:rsidRPr="00C14C45" w:rsidRDefault="00C5734E" w:rsidP="00C5734E">
      <w:pPr>
        <w:pStyle w:val="Figurecaption"/>
        <w:spacing w:before="0" w:after="0"/>
        <w:rPr>
          <w:sz w:val="18"/>
          <w:szCs w:val="18"/>
        </w:rPr>
      </w:pPr>
      <w:r w:rsidRPr="00C14C45">
        <w:rPr>
          <w:sz w:val="18"/>
          <w:szCs w:val="18"/>
        </w:rPr>
        <w:t>F</w:t>
      </w:r>
      <w:r w:rsidR="00EE5CDC" w:rsidRPr="00C14C45">
        <w:rPr>
          <w:sz w:val="18"/>
          <w:szCs w:val="18"/>
        </w:rPr>
        <w:t>IG</w:t>
      </w:r>
      <w:r w:rsidRPr="00C14C45">
        <w:rPr>
          <w:sz w:val="18"/>
          <w:szCs w:val="18"/>
        </w:rPr>
        <w:t xml:space="preserve"> </w:t>
      </w:r>
      <w:r w:rsidR="00EE5CDC" w:rsidRPr="00C14C45">
        <w:rPr>
          <w:sz w:val="18"/>
          <w:szCs w:val="18"/>
        </w:rPr>
        <w:t>4</w:t>
      </w:r>
      <w:r w:rsidRPr="00C14C45">
        <w:rPr>
          <w:sz w:val="18"/>
          <w:szCs w:val="18"/>
        </w:rPr>
        <w:t xml:space="preserve">: Dependence of </w:t>
      </w:r>
      <w:r w:rsidRPr="00C14C45">
        <w:rPr>
          <w:position w:val="-30"/>
          <w:sz w:val="18"/>
          <w:szCs w:val="18"/>
        </w:rPr>
        <w:object w:dxaOrig="820" w:dyaOrig="700" w14:anchorId="61670F27">
          <v:shape id="_x0000_i1040" type="#_x0000_t75" style="width:42pt;height:33.75pt" o:ole="">
            <v:imagedata r:id="rId41" o:title=""/>
          </v:shape>
          <o:OLEObject Type="Embed" ProgID="Equation.DSMT4" ShapeID="_x0000_i1040" DrawAspect="Content" ObjectID="_1774878513" r:id="rId42"/>
        </w:object>
      </w:r>
      <w:r w:rsidRPr="00C14C45">
        <w:rPr>
          <w:sz w:val="18"/>
          <w:szCs w:val="18"/>
        </w:rPr>
        <w:t xml:space="preserve"> on the fuel assembly section.</w:t>
      </w:r>
    </w:p>
    <w:p w14:paraId="040FD42D" w14:textId="77777777" w:rsidR="00697D5F" w:rsidRPr="00C14C45" w:rsidRDefault="00697D5F" w:rsidP="00697D5F">
      <w:pPr>
        <w:pStyle w:val="Figurecaption"/>
        <w:spacing w:before="0" w:after="0"/>
        <w:ind w:firstLine="288"/>
        <w:jc w:val="both"/>
        <w:rPr>
          <w:rFonts w:eastAsia="Calibri"/>
          <w:sz w:val="22"/>
          <w:szCs w:val="22"/>
        </w:rPr>
      </w:pPr>
    </w:p>
    <w:p w14:paraId="1C95D175" w14:textId="692D55EE" w:rsidR="00866175" w:rsidRPr="00EE5CDC" w:rsidRDefault="00C5734E" w:rsidP="00B931BB">
      <w:pPr>
        <w:pStyle w:val="Figurecaption"/>
        <w:spacing w:before="0" w:after="0" w:line="260" w:lineRule="atLeast"/>
        <w:ind w:firstLine="562"/>
        <w:jc w:val="both"/>
        <w:rPr>
          <w:rFonts w:eastAsia="Calibri"/>
          <w:sz w:val="20"/>
          <w:szCs w:val="20"/>
        </w:rPr>
      </w:pPr>
      <w:r w:rsidRPr="00C14C45">
        <w:rPr>
          <w:rFonts w:eastAsia="Calibri"/>
          <w:sz w:val="20"/>
          <w:szCs w:val="20"/>
        </w:rPr>
        <w:t>Fig</w:t>
      </w:r>
      <w:r w:rsidR="00420DAC" w:rsidRPr="00C14C45">
        <w:rPr>
          <w:rFonts w:eastAsia="Calibri"/>
          <w:sz w:val="20"/>
          <w:szCs w:val="20"/>
        </w:rPr>
        <w:t>.</w:t>
      </w:r>
      <w:r w:rsidRPr="00C14C45">
        <w:rPr>
          <w:rFonts w:eastAsia="Calibri"/>
          <w:sz w:val="20"/>
          <w:szCs w:val="20"/>
        </w:rPr>
        <w:t xml:space="preserve"> </w:t>
      </w:r>
      <w:r w:rsidR="00EE5CDC" w:rsidRPr="00C14C45">
        <w:rPr>
          <w:rFonts w:eastAsia="Calibri"/>
          <w:sz w:val="20"/>
          <w:szCs w:val="20"/>
        </w:rPr>
        <w:t>5</w:t>
      </w:r>
      <w:r w:rsidRPr="00C14C45">
        <w:rPr>
          <w:rFonts w:eastAsia="Calibri"/>
          <w:sz w:val="20"/>
          <w:szCs w:val="20"/>
        </w:rPr>
        <w:t xml:space="preserve"> shows the results of the temperature distribution profile for saturation temperature, coolant</w:t>
      </w:r>
      <w:r w:rsidRPr="00EE5CDC">
        <w:rPr>
          <w:rFonts w:eastAsia="Calibri"/>
          <w:sz w:val="20"/>
          <w:szCs w:val="20"/>
        </w:rPr>
        <w:t xml:space="preserve"> temperature and outer clad temperature at 5.9, 6.9 and 7.9 mm.</w:t>
      </w:r>
    </w:p>
    <w:p w14:paraId="6A7B9123" w14:textId="77777777" w:rsidR="00C5734E" w:rsidRPr="00943C7C" w:rsidRDefault="00C5734E" w:rsidP="00C5734E">
      <w:pPr>
        <w:pStyle w:val="Figurecaption"/>
        <w:spacing w:before="0" w:after="0"/>
        <w:rPr>
          <w:sz w:val="22"/>
          <w:szCs w:val="22"/>
        </w:rPr>
      </w:pPr>
      <w:r w:rsidRPr="00EE5CDC">
        <w:rPr>
          <w:noProof/>
          <w:sz w:val="18"/>
          <w:szCs w:val="18"/>
        </w:rPr>
        <w:drawing>
          <wp:inline distT="0" distB="0" distL="0" distR="0" wp14:anchorId="4E59036F" wp14:editId="3770C365">
            <wp:extent cx="4200525" cy="2162175"/>
            <wp:effectExtent l="0" t="0" r="9525" b="9525"/>
            <wp:docPr id="20853450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17BEC85" w14:textId="2C0CCE92" w:rsidR="00C5734E" w:rsidRPr="00FF7A9B" w:rsidRDefault="00C5734E" w:rsidP="00C5734E">
      <w:pPr>
        <w:pStyle w:val="Figurecaption"/>
        <w:spacing w:before="0" w:after="0"/>
        <w:rPr>
          <w:sz w:val="18"/>
          <w:szCs w:val="18"/>
        </w:rPr>
      </w:pPr>
      <w:r w:rsidRPr="00C14C45">
        <w:rPr>
          <w:sz w:val="18"/>
          <w:szCs w:val="18"/>
        </w:rPr>
        <w:t>Fig</w:t>
      </w:r>
      <w:r w:rsidR="00420DAC" w:rsidRPr="00C14C45">
        <w:rPr>
          <w:sz w:val="18"/>
          <w:szCs w:val="18"/>
        </w:rPr>
        <w:t>.</w:t>
      </w:r>
      <w:r w:rsidRPr="00C14C45">
        <w:rPr>
          <w:sz w:val="18"/>
          <w:szCs w:val="18"/>
        </w:rPr>
        <w:t xml:space="preserve"> </w:t>
      </w:r>
      <w:r w:rsidR="00EE5CDC" w:rsidRPr="00C14C45">
        <w:rPr>
          <w:sz w:val="18"/>
          <w:szCs w:val="18"/>
        </w:rPr>
        <w:t>5</w:t>
      </w:r>
      <w:r w:rsidRPr="00C14C45">
        <w:rPr>
          <w:sz w:val="18"/>
          <w:szCs w:val="18"/>
        </w:rPr>
        <w:t>: Temperature distribution profile.</w:t>
      </w:r>
    </w:p>
    <w:p w14:paraId="2A2D6703" w14:textId="77777777" w:rsidR="00C5734E" w:rsidRPr="00943C7C" w:rsidRDefault="00C5734E" w:rsidP="00C5734E">
      <w:pPr>
        <w:pStyle w:val="Figurecaption"/>
        <w:spacing w:before="0" w:after="0"/>
        <w:rPr>
          <w:sz w:val="22"/>
          <w:szCs w:val="22"/>
        </w:rPr>
      </w:pPr>
    </w:p>
    <w:p w14:paraId="2AD59683" w14:textId="714C077A" w:rsidR="00C5734E" w:rsidRPr="008D2D0C" w:rsidRDefault="008D2D0C" w:rsidP="00697D5F">
      <w:pPr>
        <w:pStyle w:val="Heading1"/>
        <w:spacing w:line="360" w:lineRule="auto"/>
        <w:jc w:val="both"/>
        <w:rPr>
          <w:bCs/>
          <w:i w:val="0"/>
        </w:rPr>
      </w:pPr>
      <w:r w:rsidRPr="008D2D0C">
        <w:rPr>
          <w:bCs/>
          <w:i w:val="0"/>
        </w:rPr>
        <w:lastRenderedPageBreak/>
        <w:t>4.        CONCLUSION</w:t>
      </w:r>
    </w:p>
    <w:p w14:paraId="294F8C98" w14:textId="77777777" w:rsidR="008D2D0C" w:rsidRDefault="00C5734E" w:rsidP="00B931BB">
      <w:pPr>
        <w:spacing w:line="260" w:lineRule="atLeast"/>
        <w:ind w:firstLine="562"/>
      </w:pPr>
      <w:r w:rsidRPr="008D2D0C">
        <w:t xml:space="preserve">The thermophysical calculations conducted on the RITM-200 reactor unit showed that the temperature of fuel increases as the fuel element diameter decreases. This can be explained from the fuel burnup which is inversely proportional to diameter. </w:t>
      </w:r>
    </w:p>
    <w:p w14:paraId="04C5097F" w14:textId="5C4DA213" w:rsidR="00C5734E" w:rsidRPr="008D2D0C" w:rsidRDefault="00C5734E" w:rsidP="00B931BB">
      <w:pPr>
        <w:spacing w:line="260" w:lineRule="atLeast"/>
        <w:ind w:firstLine="562"/>
      </w:pPr>
      <w:r w:rsidRPr="008D2D0C">
        <w:t>It is also established that the coolant velocity is proportional to the fuel element diameter which implies that increasing the fuel element diameter will lead to a higher heat removal by the coolant from the outer surface of the fuel clad.</w:t>
      </w:r>
    </w:p>
    <w:p w14:paraId="1609FAD9" w14:textId="77777777" w:rsidR="00C5734E" w:rsidRDefault="00C5734E" w:rsidP="00B931BB">
      <w:pPr>
        <w:spacing w:line="260" w:lineRule="atLeast"/>
        <w:ind w:firstLine="562"/>
      </w:pPr>
      <w:r w:rsidRPr="008D2D0C">
        <w:t xml:space="preserve">It has also been determined from the graph of the dependence of </w:t>
      </w:r>
      <w:r w:rsidRPr="008D2D0C">
        <w:rPr>
          <w:position w:val="-30"/>
        </w:rPr>
        <w:object w:dxaOrig="820" w:dyaOrig="700" w14:anchorId="00439008">
          <v:shape id="_x0000_i1041" type="#_x0000_t75" style="width:42pt;height:33.75pt" o:ole="">
            <v:imagedata r:id="rId41" o:title=""/>
          </v:shape>
          <o:OLEObject Type="Embed" ProgID="Equation.DSMT4" ShapeID="_x0000_i1041" DrawAspect="Content" ObjectID="_1774878514" r:id="rId44"/>
        </w:object>
      </w:r>
      <w:r w:rsidRPr="008D2D0C">
        <w:t>on fuel assembly that boiling crisis as a result of heat removal from the system will only prevail in fuel element diameters below the design fuel element diameter of 6.9 mm. This shows that increasing the fuel element diameter which leads to a decrease in coolant volume and hence, reduced thermalization of the fast neutron will not lead to boiling crisis but rather enhance the heat removal as average coolant velocity increases with increasing fuel element diameter.</w:t>
      </w:r>
    </w:p>
    <w:p w14:paraId="1FB90EFA" w14:textId="77777777" w:rsidR="00E52DDE" w:rsidRDefault="00E52DDE" w:rsidP="00E52DDE">
      <w:pPr>
        <w:spacing w:line="260" w:lineRule="atLeast"/>
      </w:pPr>
    </w:p>
    <w:p w14:paraId="144AEDF8" w14:textId="247E7195" w:rsidR="00420DAC" w:rsidRPr="00E33E8E" w:rsidRDefault="00420DAC" w:rsidP="00E33E8E">
      <w:pPr>
        <w:pStyle w:val="Heading1"/>
        <w:spacing w:line="260" w:lineRule="atLeast"/>
        <w:rPr>
          <w:b/>
          <w:i w:val="0"/>
        </w:rPr>
      </w:pPr>
      <w:r>
        <w:rPr>
          <w:bCs/>
          <w:i w:val="0"/>
        </w:rPr>
        <w:t>  </w:t>
      </w:r>
      <w:r w:rsidRPr="00B931BB">
        <w:rPr>
          <w:bCs/>
          <w:i w:val="0"/>
        </w:rPr>
        <w:t>      </w:t>
      </w:r>
      <w:r w:rsidRPr="00E33E8E">
        <w:rPr>
          <w:b/>
          <w:i w:val="0"/>
        </w:rPr>
        <w:t>ACKNOWLEDGMENT</w:t>
      </w:r>
    </w:p>
    <w:p w14:paraId="199803FC" w14:textId="77777777" w:rsidR="00420DAC" w:rsidRPr="00B931BB" w:rsidRDefault="00420DAC" w:rsidP="00420DAC">
      <w:pPr>
        <w:spacing w:line="260" w:lineRule="atLeast"/>
        <w:ind w:firstLine="562"/>
        <w:rPr>
          <w:lang w:val="en-GB"/>
        </w:rPr>
      </w:pPr>
      <w:r w:rsidRPr="00B931BB">
        <w:rPr>
          <w:lang w:val="en-GB"/>
        </w:rPr>
        <w:t>This research was supported by the Russian Science Foundation under RSF grant No. 22-29-00385 (</w:t>
      </w:r>
      <w:hyperlink r:id="rId45" w:history="1">
        <w:r w:rsidRPr="00B931BB">
          <w:rPr>
            <w:rStyle w:val="Hyperlink"/>
            <w:color w:val="auto"/>
            <w:lang w:val="en-GB"/>
          </w:rPr>
          <w:t>https://rscf.ru/en/project/22-29-00385/</w:t>
        </w:r>
      </w:hyperlink>
      <w:r w:rsidRPr="00B931BB">
        <w:rPr>
          <w:lang w:val="en-GB"/>
        </w:rPr>
        <w:t>).</w:t>
      </w:r>
    </w:p>
    <w:p w14:paraId="221BE366" w14:textId="77777777" w:rsidR="00D06F1D" w:rsidRDefault="00D06F1D" w:rsidP="00BC202D">
      <w:pPr>
        <w:pBdr>
          <w:top w:val="nil"/>
          <w:left w:val="nil"/>
          <w:bottom w:val="nil"/>
          <w:right w:val="nil"/>
          <w:between w:val="nil"/>
        </w:pBdr>
        <w:suppressAutoHyphens w:val="0"/>
        <w:spacing w:before="120" w:after="50"/>
        <w:rPr>
          <w:sz w:val="22"/>
          <w:szCs w:val="22"/>
        </w:rPr>
      </w:pPr>
    </w:p>
    <w:p w14:paraId="4F27CDFE" w14:textId="25734F37" w:rsidR="00E33E8E" w:rsidRPr="00E33E8E" w:rsidRDefault="00E33E8E" w:rsidP="00E33E8E">
      <w:pPr>
        <w:pStyle w:val="Heading5"/>
        <w:spacing w:before="0" w:line="260" w:lineRule="atLeast"/>
        <w:jc w:val="center"/>
        <w:rPr>
          <w:rFonts w:ascii="Times New Roman" w:hAnsi="Times New Roman" w:cs="Times New Roman"/>
          <w:b/>
          <w:color w:val="auto"/>
        </w:rPr>
      </w:pPr>
      <w:r w:rsidRPr="00E33E8E">
        <w:rPr>
          <w:rFonts w:ascii="Times New Roman" w:hAnsi="Times New Roman" w:cs="Times New Roman"/>
          <w:b/>
          <w:color w:val="auto"/>
        </w:rPr>
        <w:t>REFERENCES</w:t>
      </w:r>
    </w:p>
    <w:p w14:paraId="451669B5" w14:textId="77777777" w:rsidR="00E33E8E" w:rsidRPr="00BC202D" w:rsidRDefault="00E33E8E" w:rsidP="00E33E8E">
      <w:pPr>
        <w:numPr>
          <w:ilvl w:val="0"/>
          <w:numId w:val="1"/>
        </w:numPr>
        <w:pBdr>
          <w:top w:val="nil"/>
          <w:left w:val="nil"/>
          <w:bottom w:val="nil"/>
          <w:right w:val="nil"/>
          <w:between w:val="nil"/>
        </w:pBdr>
        <w:suppressAutoHyphens w:val="0"/>
        <w:spacing w:before="120" w:after="50" w:line="276" w:lineRule="auto"/>
      </w:pPr>
      <w:r>
        <w:t>J. R. Lamarsh et al., “Introduction to nuclear engineering”, Upper Saddle River, NJ: Prentice Hall, 2001. Vol. 3. -P. 783.</w:t>
      </w:r>
    </w:p>
    <w:p w14:paraId="07E215D4" w14:textId="77777777" w:rsidR="00E33E8E" w:rsidRPr="00255898" w:rsidRDefault="00E33E8E" w:rsidP="00E33E8E">
      <w:pPr>
        <w:numPr>
          <w:ilvl w:val="0"/>
          <w:numId w:val="1"/>
        </w:numPr>
        <w:pBdr>
          <w:top w:val="nil"/>
          <w:left w:val="nil"/>
          <w:bottom w:val="nil"/>
          <w:right w:val="nil"/>
          <w:between w:val="nil"/>
        </w:pBdr>
        <w:suppressAutoHyphens w:val="0"/>
        <w:spacing w:before="120" w:after="50" w:line="276" w:lineRule="auto"/>
      </w:pPr>
      <w:r w:rsidRPr="00255898">
        <w:t>Ozisik M. N. “Boundary value problems of heat conduction” – courier Corporation, 2002.</w:t>
      </w:r>
    </w:p>
    <w:p w14:paraId="076C2E07" w14:textId="77777777" w:rsidR="00E33E8E" w:rsidRPr="00255898" w:rsidRDefault="00E33E8E" w:rsidP="00E33E8E">
      <w:pPr>
        <w:numPr>
          <w:ilvl w:val="0"/>
          <w:numId w:val="1"/>
        </w:numPr>
        <w:pBdr>
          <w:top w:val="nil"/>
          <w:left w:val="nil"/>
          <w:bottom w:val="nil"/>
          <w:right w:val="nil"/>
          <w:between w:val="nil"/>
        </w:pBdr>
        <w:suppressAutoHyphens w:val="0"/>
        <w:spacing w:before="120" w:after="50" w:line="276" w:lineRule="auto"/>
      </w:pPr>
      <w:r w:rsidRPr="00255898">
        <w:t>S. Alhassan, S. Beliavskii, V. Nesterov, “</w:t>
      </w:r>
      <w:r w:rsidRPr="00255898">
        <w:rPr>
          <w:bCs/>
        </w:rPr>
        <w:t xml:space="preserve">Core-optimization of RITM-200 Reactor Fuel Considering Thorium Fuel Cycle,” </w:t>
      </w:r>
      <w:r w:rsidRPr="00255898">
        <w:rPr>
          <w:bCs/>
          <w:i/>
          <w:iCs/>
        </w:rPr>
        <w:t>Journal of Physics of Particles &amp; Nuclei letter</w:t>
      </w:r>
      <w:r w:rsidRPr="00255898">
        <w:rPr>
          <w:bCs/>
        </w:rPr>
        <w:t>, (2023), Vol. 20, No. 6, pp. 1523-1526. doi: 10.1134/S1547477123060031</w:t>
      </w:r>
    </w:p>
    <w:p w14:paraId="5C2E6502" w14:textId="77777777" w:rsidR="00E33E8E" w:rsidRPr="00255898" w:rsidRDefault="00E33E8E" w:rsidP="00E33E8E">
      <w:pPr>
        <w:numPr>
          <w:ilvl w:val="0"/>
          <w:numId w:val="1"/>
        </w:numPr>
        <w:pBdr>
          <w:top w:val="nil"/>
          <w:left w:val="nil"/>
          <w:bottom w:val="nil"/>
          <w:right w:val="nil"/>
          <w:between w:val="nil"/>
        </w:pBdr>
        <w:spacing w:before="120" w:after="50" w:line="276" w:lineRule="auto"/>
      </w:pPr>
      <w:r w:rsidRPr="00255898">
        <w:t>D</w:t>
      </w:r>
      <w:r>
        <w:t xml:space="preserve">. </w:t>
      </w:r>
      <w:r w:rsidRPr="00255898">
        <w:t>E Savitsky, A</w:t>
      </w:r>
      <w:r>
        <w:t xml:space="preserve">. </w:t>
      </w:r>
      <w:r w:rsidRPr="00255898">
        <w:t>V Kuzmin</w:t>
      </w:r>
      <w:r>
        <w:t xml:space="preserve">, </w:t>
      </w:r>
      <w:r w:rsidRPr="00255898">
        <w:t>The calculation of the campaign of reactor RITM-200 //IOP Conference Series: Materials Science and Engineering. - IOP Publishing, 2021. - Vol. 1019. - no. 1. - S. 012057.</w:t>
      </w:r>
    </w:p>
    <w:p w14:paraId="7AE5ECD8" w14:textId="77777777" w:rsidR="00E33E8E" w:rsidRPr="00255898" w:rsidRDefault="00E33E8E" w:rsidP="00E33E8E">
      <w:pPr>
        <w:numPr>
          <w:ilvl w:val="0"/>
          <w:numId w:val="1"/>
        </w:numPr>
        <w:pBdr>
          <w:top w:val="nil"/>
          <w:left w:val="nil"/>
          <w:bottom w:val="nil"/>
          <w:right w:val="nil"/>
          <w:between w:val="nil"/>
        </w:pBdr>
        <w:spacing w:before="120" w:after="50" w:line="276" w:lineRule="auto"/>
      </w:pPr>
      <w:r w:rsidRPr="00255898">
        <w:t>P.</w:t>
      </w:r>
      <w:r>
        <w:t xml:space="preserve"> </w:t>
      </w:r>
      <w:r w:rsidRPr="00255898">
        <w:t>Degnan</w:t>
      </w:r>
      <w:r>
        <w:t xml:space="preserve">, </w:t>
      </w:r>
      <w:r w:rsidRPr="00255898">
        <w:t>A global perspective on prospects &amp; challenges for the development and deployment of SMRs. – 2014.</w:t>
      </w:r>
    </w:p>
    <w:p w14:paraId="61BC029E" w14:textId="77777777" w:rsidR="00E33E8E" w:rsidRPr="00255898" w:rsidRDefault="00E33E8E" w:rsidP="00E33E8E">
      <w:pPr>
        <w:numPr>
          <w:ilvl w:val="0"/>
          <w:numId w:val="1"/>
        </w:numPr>
        <w:pBdr>
          <w:top w:val="nil"/>
          <w:left w:val="nil"/>
          <w:bottom w:val="nil"/>
          <w:right w:val="nil"/>
          <w:between w:val="nil"/>
        </w:pBdr>
        <w:suppressAutoHyphens w:val="0"/>
        <w:spacing w:before="120" w:after="50" w:line="276" w:lineRule="auto"/>
      </w:pPr>
      <w:r w:rsidRPr="00255898">
        <w:rPr>
          <w:bCs/>
        </w:rPr>
        <w:t>V.</w:t>
      </w:r>
      <w:r>
        <w:rPr>
          <w:bCs/>
        </w:rPr>
        <w:t xml:space="preserve"> </w:t>
      </w:r>
      <w:r w:rsidRPr="00255898">
        <w:rPr>
          <w:bCs/>
        </w:rPr>
        <w:t>V.</w:t>
      </w:r>
      <w:r>
        <w:rPr>
          <w:bCs/>
        </w:rPr>
        <w:t xml:space="preserve"> </w:t>
      </w:r>
      <w:r w:rsidRPr="00255898">
        <w:rPr>
          <w:bCs/>
        </w:rPr>
        <w:t>Petrunin, Y.</w:t>
      </w:r>
      <w:r>
        <w:rPr>
          <w:bCs/>
        </w:rPr>
        <w:t xml:space="preserve"> </w:t>
      </w:r>
      <w:r w:rsidRPr="00255898">
        <w:rPr>
          <w:bCs/>
        </w:rPr>
        <w:t>P. Fadeev, A.</w:t>
      </w:r>
      <w:r>
        <w:rPr>
          <w:bCs/>
        </w:rPr>
        <w:t xml:space="preserve"> </w:t>
      </w:r>
      <w:r w:rsidRPr="00255898">
        <w:rPr>
          <w:bCs/>
        </w:rPr>
        <w:t>N.</w:t>
      </w:r>
      <w:r>
        <w:rPr>
          <w:bCs/>
        </w:rPr>
        <w:t xml:space="preserve"> </w:t>
      </w:r>
      <w:r w:rsidRPr="00255898">
        <w:rPr>
          <w:bCs/>
        </w:rPr>
        <w:t>Pakhomov, K.</w:t>
      </w:r>
      <w:r>
        <w:rPr>
          <w:bCs/>
        </w:rPr>
        <w:t xml:space="preserve"> </w:t>
      </w:r>
      <w:r w:rsidRPr="00255898">
        <w:rPr>
          <w:bCs/>
        </w:rPr>
        <w:t>B.</w:t>
      </w:r>
      <w:r>
        <w:rPr>
          <w:bCs/>
        </w:rPr>
        <w:t xml:space="preserve"> </w:t>
      </w:r>
      <w:r w:rsidRPr="00255898">
        <w:rPr>
          <w:bCs/>
        </w:rPr>
        <w:t>Veshnyakov, V.</w:t>
      </w:r>
      <w:r>
        <w:rPr>
          <w:bCs/>
        </w:rPr>
        <w:t xml:space="preserve"> </w:t>
      </w:r>
      <w:r w:rsidRPr="00255898">
        <w:rPr>
          <w:bCs/>
        </w:rPr>
        <w:t>I.</w:t>
      </w:r>
      <w:r>
        <w:rPr>
          <w:bCs/>
        </w:rPr>
        <w:t xml:space="preserve"> </w:t>
      </w:r>
      <w:r w:rsidRPr="00255898">
        <w:rPr>
          <w:bCs/>
        </w:rPr>
        <w:t>Polunichev, I.</w:t>
      </w:r>
      <w:r>
        <w:rPr>
          <w:bCs/>
        </w:rPr>
        <w:t xml:space="preserve"> </w:t>
      </w:r>
      <w:r w:rsidRPr="00255898">
        <w:rPr>
          <w:bCs/>
        </w:rPr>
        <w:t xml:space="preserve">E Shamanin, 2019. Conceptual Design of small NPP with RITM-200 Reactor. At. Energ. 125 (6), 365-369. </w:t>
      </w:r>
      <w:hyperlink r:id="rId46" w:history="1">
        <w:r w:rsidRPr="00255898">
          <w:rPr>
            <w:rStyle w:val="Hyperlink"/>
            <w:bCs/>
            <w:color w:val="auto"/>
            <w:u w:val="none"/>
          </w:rPr>
          <w:t>https://doi.org/10.1007/s10512-019-00495-4</w:t>
        </w:r>
      </w:hyperlink>
      <w:r w:rsidRPr="00255898">
        <w:rPr>
          <w:bCs/>
        </w:rPr>
        <w:t>.</w:t>
      </w:r>
      <w:r>
        <w:rPr>
          <w:bCs/>
        </w:rPr>
        <w:t xml:space="preserve"> </w:t>
      </w:r>
    </w:p>
    <w:p w14:paraId="04BD53D3" w14:textId="77777777" w:rsidR="00E33E8E" w:rsidRPr="00966554" w:rsidRDefault="00E33E8E" w:rsidP="00E33E8E">
      <w:pPr>
        <w:numPr>
          <w:ilvl w:val="0"/>
          <w:numId w:val="1"/>
        </w:numPr>
        <w:pBdr>
          <w:top w:val="nil"/>
          <w:left w:val="nil"/>
          <w:bottom w:val="nil"/>
          <w:right w:val="nil"/>
          <w:between w:val="nil"/>
        </w:pBdr>
        <w:spacing w:before="120" w:after="50" w:line="276" w:lineRule="auto"/>
      </w:pPr>
      <w:r w:rsidRPr="00966554">
        <w:t xml:space="preserve">A. K. Polushkin et al., “Implementation of the project for the construction and operation of a nuclear heat and power plant on the basis of a floating power unit with KLT-40C reactors” – 2000. </w:t>
      </w:r>
    </w:p>
    <w:p w14:paraId="6E4572C2" w14:textId="77777777" w:rsidR="00E33E8E" w:rsidRPr="00255898" w:rsidRDefault="00E33E8E" w:rsidP="00E33E8E">
      <w:pPr>
        <w:numPr>
          <w:ilvl w:val="0"/>
          <w:numId w:val="1"/>
        </w:numPr>
        <w:pBdr>
          <w:top w:val="nil"/>
          <w:left w:val="nil"/>
          <w:bottom w:val="nil"/>
          <w:right w:val="nil"/>
          <w:between w:val="nil"/>
        </w:pBdr>
        <w:spacing w:before="120" w:after="50" w:line="276" w:lineRule="auto"/>
      </w:pPr>
      <w:r w:rsidRPr="00255898">
        <w:t>International Atomic Energy Agency. Advances in Small Modular Reactor Technology Developments: A Supplement to the IAEA Advanced Reactors Information System (ARIS). – IAEA, 2014.</w:t>
      </w:r>
    </w:p>
    <w:p w14:paraId="795063A6" w14:textId="77777777" w:rsidR="00E33E8E" w:rsidRPr="00966554" w:rsidRDefault="00E33E8E" w:rsidP="00E33E8E">
      <w:pPr>
        <w:pStyle w:val="ListParagraph"/>
        <w:numPr>
          <w:ilvl w:val="0"/>
          <w:numId w:val="1"/>
        </w:numPr>
        <w:suppressAutoHyphens w:val="0"/>
        <w:spacing w:line="276" w:lineRule="auto"/>
        <w:rPr>
          <w:rFonts w:eastAsia="Times New Roman"/>
          <w:kern w:val="0"/>
        </w:rPr>
      </w:pPr>
      <w:r w:rsidRPr="00966554">
        <w:rPr>
          <w:rFonts w:eastAsia="Times New Roman"/>
          <w:kern w:val="0"/>
        </w:rPr>
        <w:t>S. Alhassan, S. V. Beliavskii, V. N. Nesterov, Evaluation of neutronic parameters for RITM-200 reactor unit considering (</w:t>
      </w:r>
      <w:r w:rsidRPr="00966554">
        <w:rPr>
          <w:rFonts w:eastAsia="Times New Roman"/>
          <w:kern w:val="0"/>
          <w:vertAlign w:val="superscript"/>
        </w:rPr>
        <w:t>238</w:t>
      </w:r>
      <w:r w:rsidRPr="00966554">
        <w:rPr>
          <w:rFonts w:eastAsia="Times New Roman"/>
          <w:kern w:val="0"/>
        </w:rPr>
        <w:t>U+</w:t>
      </w:r>
      <w:r w:rsidRPr="00966554">
        <w:rPr>
          <w:rFonts w:eastAsia="Times New Roman"/>
          <w:kern w:val="0"/>
          <w:vertAlign w:val="superscript"/>
        </w:rPr>
        <w:t>235</w:t>
      </w:r>
      <w:r w:rsidRPr="00966554">
        <w:rPr>
          <w:rFonts w:eastAsia="Times New Roman"/>
          <w:kern w:val="0"/>
        </w:rPr>
        <w:t>U)O</w:t>
      </w:r>
      <w:r w:rsidRPr="00966554">
        <w:rPr>
          <w:rFonts w:eastAsia="Times New Roman"/>
          <w:kern w:val="0"/>
          <w:vertAlign w:val="subscript"/>
        </w:rPr>
        <w:t>2</w:t>
      </w:r>
      <w:r w:rsidRPr="00966554">
        <w:rPr>
          <w:rFonts w:eastAsia="Times New Roman"/>
          <w:kern w:val="0"/>
        </w:rPr>
        <w:t>, (</w:t>
      </w:r>
      <w:r w:rsidRPr="00966554">
        <w:rPr>
          <w:rFonts w:eastAsia="Times New Roman"/>
          <w:kern w:val="0"/>
          <w:vertAlign w:val="superscript"/>
        </w:rPr>
        <w:t>232</w:t>
      </w:r>
      <w:r w:rsidRPr="00966554">
        <w:rPr>
          <w:rFonts w:eastAsia="Times New Roman"/>
          <w:kern w:val="0"/>
        </w:rPr>
        <w:t>Th+</w:t>
      </w:r>
      <w:r w:rsidRPr="00966554">
        <w:rPr>
          <w:rFonts w:eastAsia="Times New Roman"/>
          <w:kern w:val="0"/>
          <w:vertAlign w:val="superscript"/>
        </w:rPr>
        <w:t>235</w:t>
      </w:r>
      <w:r w:rsidRPr="00966554">
        <w:rPr>
          <w:rFonts w:eastAsia="Times New Roman"/>
          <w:kern w:val="0"/>
        </w:rPr>
        <w:t>U)O</w:t>
      </w:r>
      <w:r w:rsidRPr="00966554">
        <w:rPr>
          <w:rFonts w:eastAsia="Times New Roman"/>
          <w:kern w:val="0"/>
          <w:vertAlign w:val="subscript"/>
        </w:rPr>
        <w:t>2</w:t>
      </w:r>
      <w:r w:rsidRPr="00966554">
        <w:rPr>
          <w:rFonts w:eastAsia="Times New Roman"/>
          <w:kern w:val="0"/>
        </w:rPr>
        <w:t xml:space="preserve"> and (</w:t>
      </w:r>
      <w:r w:rsidRPr="00966554">
        <w:rPr>
          <w:rFonts w:eastAsia="Times New Roman"/>
          <w:kern w:val="0"/>
          <w:vertAlign w:val="superscript"/>
        </w:rPr>
        <w:t>232</w:t>
      </w:r>
      <w:r w:rsidRPr="00966554">
        <w:rPr>
          <w:rFonts w:eastAsia="Times New Roman"/>
          <w:kern w:val="0"/>
        </w:rPr>
        <w:t>Th+</w:t>
      </w:r>
      <w:r w:rsidRPr="00966554">
        <w:rPr>
          <w:rFonts w:eastAsia="Times New Roman"/>
          <w:kern w:val="0"/>
          <w:vertAlign w:val="superscript"/>
        </w:rPr>
        <w:t>233</w:t>
      </w:r>
      <w:r w:rsidRPr="00966554">
        <w:rPr>
          <w:rFonts w:eastAsia="Times New Roman"/>
          <w:kern w:val="0"/>
        </w:rPr>
        <w:t>U)O</w:t>
      </w:r>
      <w:r w:rsidRPr="00966554">
        <w:rPr>
          <w:rFonts w:eastAsia="Times New Roman"/>
          <w:kern w:val="0"/>
          <w:vertAlign w:val="subscript"/>
        </w:rPr>
        <w:t>2</w:t>
      </w:r>
      <w:r w:rsidRPr="00966554">
        <w:rPr>
          <w:rFonts w:eastAsia="Times New Roman"/>
          <w:kern w:val="0"/>
        </w:rPr>
        <w:t xml:space="preserve"> dispersed fuel using MCU-PTR // International Youth Russia-Africa Forum: Nuclear Education-Potential for successful regional development, St. Petersburg, Russia, 2023, pp. 58 – 66. doi: https://doi.org/10.48550/arXiv.2308.16195.</w:t>
      </w:r>
    </w:p>
    <w:p w14:paraId="1C0BDC28" w14:textId="77777777" w:rsidR="00E33E8E" w:rsidRPr="00E33E8E" w:rsidRDefault="00E33E8E" w:rsidP="00E33E8E">
      <w:pPr>
        <w:pBdr>
          <w:top w:val="nil"/>
          <w:left w:val="nil"/>
          <w:bottom w:val="nil"/>
          <w:right w:val="nil"/>
          <w:between w:val="nil"/>
        </w:pBdr>
        <w:suppressAutoHyphens w:val="0"/>
        <w:spacing w:before="120" w:after="50" w:line="276" w:lineRule="auto"/>
        <w:rPr>
          <w:shd w:val="clear" w:color="auto" w:fill="FFFFFF"/>
        </w:rPr>
      </w:pPr>
      <w:r w:rsidRPr="00E33E8E">
        <w:rPr>
          <w:shd w:val="clear" w:color="auto" w:fill="FFFFFF"/>
        </w:rPr>
        <w:t xml:space="preserve">[10] V. I. Boyko et al., “Physical calculation of a nuclear reactor on thermal neutrons”, </w:t>
      </w:r>
      <w:r w:rsidRPr="00E33E8E">
        <w:rPr>
          <w:i/>
          <w:iCs/>
          <w:shd w:val="clear" w:color="auto" w:fill="FFFFFF"/>
        </w:rPr>
        <w:t>Tomsk: Izd</w:t>
      </w:r>
      <w:r w:rsidRPr="00E33E8E">
        <w:rPr>
          <w:shd w:val="clear" w:color="auto" w:fill="FFFFFF"/>
        </w:rPr>
        <w:t>. (2009).</w:t>
      </w:r>
    </w:p>
    <w:p w14:paraId="0E099FF5" w14:textId="77777777" w:rsidR="00E33E8E" w:rsidRPr="00E33E8E" w:rsidRDefault="00E33E8E" w:rsidP="00E33E8E">
      <w:pPr>
        <w:pBdr>
          <w:top w:val="nil"/>
          <w:left w:val="nil"/>
          <w:bottom w:val="nil"/>
          <w:right w:val="nil"/>
          <w:between w:val="nil"/>
        </w:pBdr>
        <w:suppressAutoHyphens w:val="0"/>
        <w:spacing w:before="120" w:after="50" w:line="276" w:lineRule="auto"/>
        <w:rPr>
          <w:shd w:val="clear" w:color="auto" w:fill="FFFFFF"/>
        </w:rPr>
      </w:pPr>
      <w:r w:rsidRPr="00E33E8E">
        <w:t xml:space="preserve">[11] </w:t>
      </w:r>
      <w:r w:rsidRPr="00E33E8E">
        <w:rPr>
          <w:shd w:val="clear" w:color="auto" w:fill="FFFFFF"/>
        </w:rPr>
        <w:t xml:space="preserve">V. P. Koroleva, K. I. Zolotarev, L. A. Chernov, “Method of measuring the155Gd and157Gd content in absorbing materials of a reactor,” </w:t>
      </w:r>
      <w:r w:rsidRPr="00E33E8E">
        <w:rPr>
          <w:i/>
          <w:iCs/>
          <w:shd w:val="clear" w:color="auto" w:fill="FFFFFF"/>
        </w:rPr>
        <w:t>Soviet Atomic Energy</w:t>
      </w:r>
      <w:r w:rsidRPr="00E33E8E">
        <w:rPr>
          <w:shd w:val="clear" w:color="auto" w:fill="FFFFFF"/>
        </w:rPr>
        <w:t>, - T. 65. - No. 5. - S. 950-953 (1988).</w:t>
      </w:r>
    </w:p>
    <w:p w14:paraId="224A410A" w14:textId="77777777" w:rsidR="00E33E8E" w:rsidRPr="00966554" w:rsidRDefault="00E33E8E" w:rsidP="00E33E8E">
      <w:pPr>
        <w:pBdr>
          <w:top w:val="nil"/>
          <w:left w:val="nil"/>
          <w:bottom w:val="nil"/>
          <w:right w:val="nil"/>
          <w:between w:val="nil"/>
        </w:pBdr>
        <w:suppressAutoHyphens w:val="0"/>
        <w:spacing w:before="120" w:after="50" w:line="276" w:lineRule="auto"/>
        <w:rPr>
          <w:shd w:val="clear" w:color="auto" w:fill="FFFFFF"/>
        </w:rPr>
      </w:pPr>
      <w:r w:rsidRPr="00966554">
        <w:rPr>
          <w:shd w:val="clear" w:color="auto" w:fill="FFFFFF"/>
        </w:rPr>
        <w:t>[12] S. Beliavskii et al. “</w:t>
      </w:r>
      <w:r w:rsidRPr="00966554">
        <w:t>Effect of changing the outer fuel element diameter on thermophysical parameters of KLT-40S reactor</w:t>
      </w:r>
      <w:r w:rsidRPr="00966554">
        <w:rPr>
          <w:shd w:val="clear" w:color="auto" w:fill="FFFFFF"/>
        </w:rPr>
        <w:t xml:space="preserve"> unit,” </w:t>
      </w:r>
      <w:r w:rsidRPr="00966554">
        <w:rPr>
          <w:i/>
          <w:iCs/>
          <w:shd w:val="clear" w:color="auto" w:fill="FFFFFF"/>
        </w:rPr>
        <w:t>Annals of Nuclear Energy</w:t>
      </w:r>
      <w:r w:rsidRPr="00966554">
        <w:rPr>
          <w:shd w:val="clear" w:color="auto" w:fill="FFFFFF"/>
        </w:rPr>
        <w:t>, - T. 190. - S. 109877 (2023); doi: 10.1016/j.anucene.2023.109877</w:t>
      </w:r>
    </w:p>
    <w:p w14:paraId="15ADD79B" w14:textId="77777777" w:rsidR="00E33E8E" w:rsidRPr="00E33E8E" w:rsidRDefault="00E33E8E" w:rsidP="00E33E8E">
      <w:pPr>
        <w:pBdr>
          <w:top w:val="nil"/>
          <w:left w:val="nil"/>
          <w:bottom w:val="nil"/>
          <w:right w:val="nil"/>
          <w:between w:val="nil"/>
        </w:pBdr>
        <w:suppressAutoHyphens w:val="0"/>
        <w:spacing w:before="120" w:after="50" w:line="276" w:lineRule="auto"/>
        <w:rPr>
          <w:shd w:val="clear" w:color="auto" w:fill="FFFFFF"/>
        </w:rPr>
      </w:pPr>
      <w:r w:rsidRPr="00E33E8E">
        <w:rPr>
          <w:shd w:val="clear" w:color="auto" w:fill="FFFFFF"/>
        </w:rPr>
        <w:lastRenderedPageBreak/>
        <w:t>[13] A.</w:t>
      </w:r>
      <w:r>
        <w:rPr>
          <w:shd w:val="clear" w:color="auto" w:fill="FFFFFF"/>
        </w:rPr>
        <w:t xml:space="preserve"> </w:t>
      </w:r>
      <w:r w:rsidRPr="00E33E8E">
        <w:rPr>
          <w:shd w:val="clear" w:color="auto" w:fill="FFFFFF"/>
        </w:rPr>
        <w:t xml:space="preserve">Misnar Thermal conductivity of solids, liquids, gases and their compositions. – 1968. </w:t>
      </w:r>
    </w:p>
    <w:p w14:paraId="493506E9" w14:textId="77777777" w:rsidR="00E33E8E" w:rsidRPr="00966554" w:rsidRDefault="00E33E8E" w:rsidP="00E33E8E">
      <w:pPr>
        <w:pBdr>
          <w:top w:val="nil"/>
          <w:left w:val="nil"/>
          <w:bottom w:val="nil"/>
          <w:right w:val="nil"/>
          <w:between w:val="nil"/>
        </w:pBdr>
        <w:suppressAutoHyphens w:val="0"/>
        <w:spacing w:before="120" w:after="50" w:line="276" w:lineRule="auto"/>
        <w:rPr>
          <w:shd w:val="clear" w:color="auto" w:fill="FFFFFF"/>
        </w:rPr>
      </w:pPr>
      <w:r w:rsidRPr="00966554">
        <w:rPr>
          <w:shd w:val="clear" w:color="auto" w:fill="FFFFFF"/>
        </w:rPr>
        <w:t xml:space="preserve">[14] S. Beliavskii et al. “Effect of fuel nuclide composition on the fuel lifetime of the RITM-200 reactor unit,” </w:t>
      </w:r>
      <w:r w:rsidRPr="00966554">
        <w:rPr>
          <w:i/>
          <w:iCs/>
          <w:shd w:val="clear" w:color="auto" w:fill="FFFFFF"/>
        </w:rPr>
        <w:t>Annals of Nuclear Energy</w:t>
      </w:r>
      <w:r w:rsidRPr="00966554">
        <w:rPr>
          <w:shd w:val="clear" w:color="auto" w:fill="FFFFFF"/>
        </w:rPr>
        <w:t>, - T. 173. - S. 109105 (2022); doi: 10.1016/j.anucene.2022.109105</w:t>
      </w:r>
    </w:p>
    <w:p w14:paraId="1256FBED" w14:textId="77777777" w:rsidR="00E33E8E" w:rsidRPr="00966554" w:rsidRDefault="00E33E8E" w:rsidP="00E33E8E">
      <w:pPr>
        <w:pBdr>
          <w:top w:val="nil"/>
          <w:left w:val="nil"/>
          <w:bottom w:val="nil"/>
          <w:right w:val="nil"/>
          <w:between w:val="nil"/>
        </w:pBdr>
        <w:suppressAutoHyphens w:val="0"/>
        <w:spacing w:before="120" w:after="50" w:line="276" w:lineRule="auto"/>
        <w:rPr>
          <w:shd w:val="clear" w:color="auto" w:fill="FFFFFF"/>
        </w:rPr>
      </w:pPr>
      <w:r w:rsidRPr="00966554">
        <w:rPr>
          <w:shd w:val="clear" w:color="auto" w:fill="FFFFFF"/>
        </w:rPr>
        <w:t>[1</w:t>
      </w:r>
      <w:r>
        <w:rPr>
          <w:shd w:val="clear" w:color="auto" w:fill="FFFFFF"/>
        </w:rPr>
        <w:t>5</w:t>
      </w:r>
      <w:r w:rsidRPr="00966554">
        <w:rPr>
          <w:shd w:val="clear" w:color="auto" w:fill="FFFFFF"/>
        </w:rPr>
        <w:t xml:space="preserve">] W. Wagner, “Kretzschmar HJ International Steam Tables-Properties of Water and Steam based on the Industrial Formulation IAPWS-IF97: Tables, Algorithms, Diagrams, and CD-ROM Electronic Steam Tables-All of the equations of IAPWS-IF97 including a complete set of supplementary backward equations for fast calculations of heat cycles, boilers, and steam turbines,” </w:t>
      </w:r>
      <w:r w:rsidRPr="00966554">
        <w:rPr>
          <w:i/>
          <w:iCs/>
          <w:shd w:val="clear" w:color="auto" w:fill="FFFFFF"/>
        </w:rPr>
        <w:t>Springer Science &amp; Business Media</w:t>
      </w:r>
      <w:r w:rsidRPr="00966554">
        <w:rPr>
          <w:shd w:val="clear" w:color="auto" w:fill="FFFFFF"/>
        </w:rPr>
        <w:t>, (2007).</w:t>
      </w:r>
    </w:p>
    <w:p w14:paraId="2E0B806D" w14:textId="77777777" w:rsidR="00E33E8E" w:rsidRPr="00BC202D" w:rsidRDefault="00E33E8E" w:rsidP="00E33E8E">
      <w:pPr>
        <w:pBdr>
          <w:top w:val="nil"/>
          <w:left w:val="nil"/>
          <w:bottom w:val="nil"/>
          <w:right w:val="nil"/>
          <w:between w:val="nil"/>
        </w:pBdr>
        <w:suppressAutoHyphens w:val="0"/>
        <w:spacing w:before="120" w:after="50" w:line="276" w:lineRule="auto"/>
        <w:rPr>
          <w:shd w:val="clear" w:color="auto" w:fill="FFFFFF"/>
        </w:rPr>
      </w:pPr>
    </w:p>
    <w:p w14:paraId="6D1EBC39" w14:textId="77777777" w:rsidR="00E33E8E" w:rsidRPr="00BC202D" w:rsidRDefault="00E33E8E" w:rsidP="00BC202D">
      <w:pPr>
        <w:pBdr>
          <w:top w:val="nil"/>
          <w:left w:val="nil"/>
          <w:bottom w:val="nil"/>
          <w:right w:val="nil"/>
          <w:between w:val="nil"/>
        </w:pBdr>
        <w:suppressAutoHyphens w:val="0"/>
        <w:spacing w:before="120" w:after="50"/>
        <w:rPr>
          <w:sz w:val="22"/>
          <w:szCs w:val="22"/>
        </w:rPr>
      </w:pPr>
    </w:p>
    <w:sectPr w:rsidR="00E33E8E" w:rsidRPr="00BC202D" w:rsidSect="00B73631">
      <w:headerReference w:type="default" r:id="rId47"/>
      <w:footerReference w:type="default" r:id="rId4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48C3B" w14:textId="77777777" w:rsidR="00B73631" w:rsidRDefault="00B73631" w:rsidP="005D1B37">
      <w:r>
        <w:separator/>
      </w:r>
    </w:p>
  </w:endnote>
  <w:endnote w:type="continuationSeparator" w:id="0">
    <w:p w14:paraId="7FC06521" w14:textId="77777777" w:rsidR="00B73631" w:rsidRDefault="00B73631" w:rsidP="005D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430107"/>
      <w:docPartObj>
        <w:docPartGallery w:val="Page Numbers (Bottom of Page)"/>
        <w:docPartUnique/>
      </w:docPartObj>
    </w:sdtPr>
    <w:sdtEndPr>
      <w:rPr>
        <w:noProof/>
      </w:rPr>
    </w:sdtEndPr>
    <w:sdtContent>
      <w:p w14:paraId="05031C4E" w14:textId="2E48799D" w:rsidR="00527F05" w:rsidRDefault="00527F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6E2CF8" w14:textId="77777777" w:rsidR="005D1B37" w:rsidRDefault="005D1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05EAB" w14:textId="77777777" w:rsidR="00B73631" w:rsidRDefault="00B73631" w:rsidP="005D1B37">
      <w:r>
        <w:separator/>
      </w:r>
    </w:p>
  </w:footnote>
  <w:footnote w:type="continuationSeparator" w:id="0">
    <w:p w14:paraId="3330074E" w14:textId="77777777" w:rsidR="00B73631" w:rsidRDefault="00B73631" w:rsidP="005D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46BBD" w14:textId="5FE8C523" w:rsidR="005D1B37" w:rsidRPr="005D1B37" w:rsidRDefault="005D1B37" w:rsidP="005D1B37">
    <w:pPr>
      <w:pStyle w:val="Header"/>
      <w:jc w:val="center"/>
      <w:rPr>
        <w:b/>
        <w:bCs/>
        <w:sz w:val="16"/>
        <w:szCs w:val="16"/>
      </w:rPr>
    </w:pPr>
    <w:r w:rsidRPr="005D1B37">
      <w:rPr>
        <w:b/>
        <w:bCs/>
        <w:sz w:val="16"/>
        <w:szCs w:val="16"/>
      </w:rPr>
      <w:t>ALHASSAN SAMIRU et al</w:t>
    </w:r>
    <w:r w:rsidR="005273AB">
      <w:rPr>
        <w:b/>
        <w:bCs/>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B0C02"/>
    <w:multiLevelType w:val="multilevel"/>
    <w:tmpl w:val="FF62DA5E"/>
    <w:lvl w:ilvl="0">
      <w:start w:val="1"/>
      <w:numFmt w:val="decimal"/>
      <w:lvlText w:val="[%1]"/>
      <w:lvlJc w:val="left"/>
      <w:pPr>
        <w:ind w:left="360" w:hanging="360"/>
      </w:pPr>
      <w:rPr>
        <w:rFonts w:ascii="Times New Roman" w:eastAsia="Times New Roman" w:hAnsi="Times New Roman" w:cs="Times New Roman"/>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5651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56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4E"/>
    <w:rsid w:val="000144E4"/>
    <w:rsid w:val="00023B1C"/>
    <w:rsid w:val="00034872"/>
    <w:rsid w:val="00062274"/>
    <w:rsid w:val="00063B66"/>
    <w:rsid w:val="0008113A"/>
    <w:rsid w:val="00091CC5"/>
    <w:rsid w:val="00096733"/>
    <w:rsid w:val="000978B4"/>
    <w:rsid w:val="000B2F10"/>
    <w:rsid w:val="000C6379"/>
    <w:rsid w:val="00126759"/>
    <w:rsid w:val="00131AA6"/>
    <w:rsid w:val="001510B3"/>
    <w:rsid w:val="001770EB"/>
    <w:rsid w:val="001962A6"/>
    <w:rsid w:val="001A7D37"/>
    <w:rsid w:val="001E6F4A"/>
    <w:rsid w:val="00255898"/>
    <w:rsid w:val="0027424C"/>
    <w:rsid w:val="002750F0"/>
    <w:rsid w:val="00292D36"/>
    <w:rsid w:val="00332432"/>
    <w:rsid w:val="00387970"/>
    <w:rsid w:val="003A5801"/>
    <w:rsid w:val="003A62A4"/>
    <w:rsid w:val="003C12AA"/>
    <w:rsid w:val="00420DAC"/>
    <w:rsid w:val="0044112C"/>
    <w:rsid w:val="00474235"/>
    <w:rsid w:val="004B1ADF"/>
    <w:rsid w:val="005273AB"/>
    <w:rsid w:val="00527F05"/>
    <w:rsid w:val="00574D83"/>
    <w:rsid w:val="005A549F"/>
    <w:rsid w:val="005D1B37"/>
    <w:rsid w:val="00606E2F"/>
    <w:rsid w:val="00627DD3"/>
    <w:rsid w:val="006332DD"/>
    <w:rsid w:val="00647CC6"/>
    <w:rsid w:val="00697D5F"/>
    <w:rsid w:val="006A461A"/>
    <w:rsid w:val="006C6A00"/>
    <w:rsid w:val="006D4128"/>
    <w:rsid w:val="006E6BE0"/>
    <w:rsid w:val="007B6B84"/>
    <w:rsid w:val="008164D4"/>
    <w:rsid w:val="00831B3A"/>
    <w:rsid w:val="00866175"/>
    <w:rsid w:val="008D2D0C"/>
    <w:rsid w:val="00934826"/>
    <w:rsid w:val="00966554"/>
    <w:rsid w:val="00A1734C"/>
    <w:rsid w:val="00A230D7"/>
    <w:rsid w:val="00A904C5"/>
    <w:rsid w:val="00AB0C39"/>
    <w:rsid w:val="00AE308E"/>
    <w:rsid w:val="00AF087F"/>
    <w:rsid w:val="00B0493F"/>
    <w:rsid w:val="00B3520E"/>
    <w:rsid w:val="00B42190"/>
    <w:rsid w:val="00B6628A"/>
    <w:rsid w:val="00B7003F"/>
    <w:rsid w:val="00B73631"/>
    <w:rsid w:val="00B931BB"/>
    <w:rsid w:val="00BC202D"/>
    <w:rsid w:val="00BD6A76"/>
    <w:rsid w:val="00BD72B7"/>
    <w:rsid w:val="00C10D0C"/>
    <w:rsid w:val="00C14C45"/>
    <w:rsid w:val="00C26CF2"/>
    <w:rsid w:val="00C2706C"/>
    <w:rsid w:val="00C5734E"/>
    <w:rsid w:val="00C60881"/>
    <w:rsid w:val="00C63C87"/>
    <w:rsid w:val="00CA46BF"/>
    <w:rsid w:val="00CF03F4"/>
    <w:rsid w:val="00CF5EA2"/>
    <w:rsid w:val="00D03C4A"/>
    <w:rsid w:val="00D06F1D"/>
    <w:rsid w:val="00D120AC"/>
    <w:rsid w:val="00D82ADB"/>
    <w:rsid w:val="00DA1B2D"/>
    <w:rsid w:val="00DE111A"/>
    <w:rsid w:val="00E236C1"/>
    <w:rsid w:val="00E33E8E"/>
    <w:rsid w:val="00E52DDE"/>
    <w:rsid w:val="00E563A6"/>
    <w:rsid w:val="00E843E0"/>
    <w:rsid w:val="00EC1050"/>
    <w:rsid w:val="00ED5E29"/>
    <w:rsid w:val="00EE5CDC"/>
    <w:rsid w:val="00FA4237"/>
    <w:rsid w:val="00FE643F"/>
    <w:rsid w:val="00FF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8FC4"/>
  <w15:chartTrackingRefBased/>
  <w15:docId w15:val="{BE01A0DB-7377-49F7-98FC-CCF1574C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34E"/>
    <w:pPr>
      <w:suppressAutoHyphens/>
      <w:spacing w:after="0" w:line="240" w:lineRule="auto"/>
      <w:jc w:val="both"/>
    </w:pPr>
    <w:rPr>
      <w:rFonts w:ascii="Times New Roman" w:eastAsia="Batang" w:hAnsi="Times New Roman" w:cs="Times New Roman"/>
      <w:kern w:val="14"/>
      <w:sz w:val="20"/>
      <w:szCs w:val="20"/>
      <w14:ligatures w14:val="none"/>
    </w:rPr>
  </w:style>
  <w:style w:type="paragraph" w:styleId="Heading1">
    <w:name w:val="heading 1"/>
    <w:basedOn w:val="Normal"/>
    <w:next w:val="Normal"/>
    <w:link w:val="Heading1Char"/>
    <w:qFormat/>
    <w:rsid w:val="00C5734E"/>
    <w:pPr>
      <w:keepNext/>
      <w:jc w:val="center"/>
      <w:outlineLvl w:val="0"/>
    </w:pPr>
    <w:rPr>
      <w:i/>
      <w:iCs/>
    </w:rPr>
  </w:style>
  <w:style w:type="paragraph" w:styleId="Heading3">
    <w:name w:val="heading 3"/>
    <w:basedOn w:val="Normal"/>
    <w:next w:val="Normal"/>
    <w:link w:val="Heading3Char"/>
    <w:uiPriority w:val="9"/>
    <w:semiHidden/>
    <w:unhideWhenUsed/>
    <w:qFormat/>
    <w:rsid w:val="001A7D3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C5734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C5734E"/>
    <w:pPr>
      <w:keepNext/>
      <w:keepLines/>
      <w:suppressAutoHyphens w:val="0"/>
      <w:spacing w:line="300" w:lineRule="exact"/>
      <w:jc w:val="center"/>
    </w:pPr>
    <w:rPr>
      <w:rFonts w:eastAsia="Georgia" w:cs="Georgia"/>
      <w:i/>
      <w:kern w:val="0"/>
      <w:sz w:val="24"/>
      <w:szCs w:val="48"/>
      <w:lang w:eastAsia="fr-FR"/>
    </w:rPr>
  </w:style>
  <w:style w:type="character" w:customStyle="1" w:styleId="SubtitleChar">
    <w:name w:val="Subtitle Char"/>
    <w:basedOn w:val="DefaultParagraphFont"/>
    <w:link w:val="Subtitle"/>
    <w:rsid w:val="00C5734E"/>
    <w:rPr>
      <w:rFonts w:ascii="Times New Roman" w:eastAsia="Georgia" w:hAnsi="Times New Roman" w:cs="Georgia"/>
      <w:i/>
      <w:kern w:val="0"/>
      <w:sz w:val="24"/>
      <w:szCs w:val="48"/>
      <w:lang w:eastAsia="fr-FR"/>
      <w14:ligatures w14:val="none"/>
    </w:rPr>
  </w:style>
  <w:style w:type="paragraph" w:customStyle="1" w:styleId="Affiliation">
    <w:name w:val="Affiliation"/>
    <w:basedOn w:val="Normal"/>
    <w:rsid w:val="00C5734E"/>
    <w:pPr>
      <w:jc w:val="center"/>
    </w:pPr>
    <w:rPr>
      <w:rFonts w:ascii="Arial" w:hAnsi="Arial"/>
    </w:rPr>
  </w:style>
  <w:style w:type="character" w:customStyle="1" w:styleId="Heading1Char">
    <w:name w:val="Heading 1 Char"/>
    <w:basedOn w:val="DefaultParagraphFont"/>
    <w:link w:val="Heading1"/>
    <w:rsid w:val="00C5734E"/>
    <w:rPr>
      <w:rFonts w:ascii="Times New Roman" w:eastAsia="Batang" w:hAnsi="Times New Roman" w:cs="Times New Roman"/>
      <w:i/>
      <w:iCs/>
      <w:kern w:val="14"/>
      <w:sz w:val="20"/>
      <w:szCs w:val="20"/>
      <w14:ligatures w14:val="none"/>
    </w:rPr>
  </w:style>
  <w:style w:type="table" w:styleId="TableGrid">
    <w:name w:val="Table Grid"/>
    <w:basedOn w:val="TableNormal"/>
    <w:uiPriority w:val="39"/>
    <w:rsid w:val="00C5734E"/>
    <w:pPr>
      <w:spacing w:after="0" w:line="240" w:lineRule="auto"/>
      <w:jc w:val="center"/>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caption"/>
    <w:basedOn w:val="Normal"/>
    <w:next w:val="Normal"/>
    <w:uiPriority w:val="35"/>
    <w:unhideWhenUsed/>
    <w:qFormat/>
    <w:rsid w:val="00C5734E"/>
    <w:pPr>
      <w:suppressAutoHyphens w:val="0"/>
      <w:spacing w:before="240" w:after="120"/>
      <w:jc w:val="center"/>
    </w:pPr>
    <w:rPr>
      <w:rFonts w:eastAsia="Times New Roman"/>
      <w:iCs/>
      <w:smallCaps/>
      <w:color w:val="000000" w:themeColor="text1"/>
      <w:kern w:val="0"/>
      <w:sz w:val="16"/>
      <w:szCs w:val="18"/>
      <w:lang w:eastAsia="fr-FR"/>
    </w:rPr>
  </w:style>
  <w:style w:type="paragraph" w:customStyle="1" w:styleId="Figurecaption">
    <w:name w:val="Figure caption"/>
    <w:basedOn w:val="Normal"/>
    <w:qFormat/>
    <w:rsid w:val="00C5734E"/>
    <w:pPr>
      <w:pBdr>
        <w:top w:val="nil"/>
        <w:left w:val="nil"/>
        <w:bottom w:val="nil"/>
        <w:right w:val="nil"/>
        <w:between w:val="nil"/>
      </w:pBdr>
      <w:suppressAutoHyphens w:val="0"/>
      <w:spacing w:before="80" w:after="200"/>
      <w:jc w:val="center"/>
    </w:pPr>
    <w:rPr>
      <w:rFonts w:eastAsia="Times New Roman"/>
      <w:color w:val="000000"/>
      <w:kern w:val="0"/>
      <w:sz w:val="16"/>
      <w:szCs w:val="16"/>
      <w:lang w:eastAsia="fr-FR"/>
    </w:rPr>
  </w:style>
  <w:style w:type="character" w:customStyle="1" w:styleId="Heading5Char">
    <w:name w:val="Heading 5 Char"/>
    <w:basedOn w:val="DefaultParagraphFont"/>
    <w:link w:val="Heading5"/>
    <w:uiPriority w:val="9"/>
    <w:rsid w:val="00C5734E"/>
    <w:rPr>
      <w:rFonts w:asciiTheme="majorHAnsi" w:eastAsiaTheme="majorEastAsia" w:hAnsiTheme="majorHAnsi" w:cstheme="majorBidi"/>
      <w:color w:val="2F5496" w:themeColor="accent1" w:themeShade="BF"/>
      <w:kern w:val="14"/>
      <w:sz w:val="20"/>
      <w:szCs w:val="20"/>
      <w14:ligatures w14:val="none"/>
    </w:rPr>
  </w:style>
  <w:style w:type="character" w:styleId="Hyperlink">
    <w:name w:val="Hyperlink"/>
    <w:basedOn w:val="DefaultParagraphFont"/>
    <w:uiPriority w:val="99"/>
    <w:unhideWhenUsed/>
    <w:rsid w:val="00C5734E"/>
    <w:rPr>
      <w:color w:val="0563C1" w:themeColor="hyperlink"/>
      <w:u w:val="single"/>
    </w:rPr>
  </w:style>
  <w:style w:type="paragraph" w:styleId="ListParagraph">
    <w:name w:val="List Paragraph"/>
    <w:basedOn w:val="Normal"/>
    <w:uiPriority w:val="34"/>
    <w:qFormat/>
    <w:rsid w:val="000144E4"/>
    <w:pPr>
      <w:ind w:left="720"/>
      <w:contextualSpacing/>
    </w:pPr>
  </w:style>
  <w:style w:type="character" w:styleId="UnresolvedMention">
    <w:name w:val="Unresolved Mention"/>
    <w:basedOn w:val="DefaultParagraphFont"/>
    <w:uiPriority w:val="99"/>
    <w:semiHidden/>
    <w:unhideWhenUsed/>
    <w:rsid w:val="00E236C1"/>
    <w:rPr>
      <w:color w:val="605E5C"/>
      <w:shd w:val="clear" w:color="auto" w:fill="E1DFDD"/>
    </w:rPr>
  </w:style>
  <w:style w:type="character" w:customStyle="1" w:styleId="fontstyle01">
    <w:name w:val="fontstyle01"/>
    <w:basedOn w:val="DefaultParagraphFont"/>
    <w:rsid w:val="00D06F1D"/>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D06F1D"/>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D06F1D"/>
    <w:rPr>
      <w:rFonts w:ascii="TimesNewRomanPS-BoldItalicMT" w:hAnsi="TimesNewRomanPS-BoldItalicMT" w:hint="default"/>
      <w:b/>
      <w:bCs/>
      <w:i/>
      <w:iCs/>
      <w:color w:val="000000"/>
      <w:sz w:val="28"/>
      <w:szCs w:val="28"/>
    </w:rPr>
  </w:style>
  <w:style w:type="paragraph" w:styleId="Header">
    <w:name w:val="header"/>
    <w:basedOn w:val="Normal"/>
    <w:link w:val="HeaderChar"/>
    <w:uiPriority w:val="99"/>
    <w:unhideWhenUsed/>
    <w:rsid w:val="005D1B37"/>
    <w:pPr>
      <w:tabs>
        <w:tab w:val="center" w:pos="4680"/>
        <w:tab w:val="right" w:pos="9360"/>
      </w:tabs>
    </w:pPr>
  </w:style>
  <w:style w:type="character" w:customStyle="1" w:styleId="HeaderChar">
    <w:name w:val="Header Char"/>
    <w:basedOn w:val="DefaultParagraphFont"/>
    <w:link w:val="Header"/>
    <w:uiPriority w:val="99"/>
    <w:rsid w:val="005D1B37"/>
    <w:rPr>
      <w:rFonts w:ascii="Times New Roman" w:eastAsia="Batang" w:hAnsi="Times New Roman" w:cs="Times New Roman"/>
      <w:kern w:val="14"/>
      <w:sz w:val="20"/>
      <w:szCs w:val="20"/>
      <w14:ligatures w14:val="none"/>
    </w:rPr>
  </w:style>
  <w:style w:type="paragraph" w:styleId="Footer">
    <w:name w:val="footer"/>
    <w:basedOn w:val="Normal"/>
    <w:link w:val="FooterChar"/>
    <w:uiPriority w:val="99"/>
    <w:unhideWhenUsed/>
    <w:rsid w:val="005D1B37"/>
    <w:pPr>
      <w:tabs>
        <w:tab w:val="center" w:pos="4680"/>
        <w:tab w:val="right" w:pos="9360"/>
      </w:tabs>
    </w:pPr>
  </w:style>
  <w:style w:type="character" w:customStyle="1" w:styleId="FooterChar">
    <w:name w:val="Footer Char"/>
    <w:basedOn w:val="DefaultParagraphFont"/>
    <w:link w:val="Footer"/>
    <w:uiPriority w:val="99"/>
    <w:rsid w:val="005D1B37"/>
    <w:rPr>
      <w:rFonts w:ascii="Times New Roman" w:eastAsia="Batang" w:hAnsi="Times New Roman" w:cs="Times New Roman"/>
      <w:kern w:val="14"/>
      <w:sz w:val="20"/>
      <w:szCs w:val="20"/>
      <w14:ligatures w14:val="none"/>
    </w:rPr>
  </w:style>
  <w:style w:type="character" w:customStyle="1" w:styleId="Heading3Char">
    <w:name w:val="Heading 3 Char"/>
    <w:basedOn w:val="DefaultParagraphFont"/>
    <w:link w:val="Heading3"/>
    <w:uiPriority w:val="9"/>
    <w:semiHidden/>
    <w:rsid w:val="001A7D37"/>
    <w:rPr>
      <w:rFonts w:asciiTheme="majorHAnsi" w:eastAsiaTheme="majorEastAsia" w:hAnsiTheme="majorHAnsi" w:cstheme="majorBidi"/>
      <w:color w:val="1F3763" w:themeColor="accent1" w:themeShade="7F"/>
      <w:kern w:val="14"/>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374310">
      <w:bodyDiv w:val="1"/>
      <w:marLeft w:val="0"/>
      <w:marRight w:val="0"/>
      <w:marTop w:val="0"/>
      <w:marBottom w:val="0"/>
      <w:divBdr>
        <w:top w:val="none" w:sz="0" w:space="0" w:color="auto"/>
        <w:left w:val="none" w:sz="0" w:space="0" w:color="auto"/>
        <w:bottom w:val="none" w:sz="0" w:space="0" w:color="auto"/>
        <w:right w:val="none" w:sz="0" w:space="0" w:color="auto"/>
      </w:divBdr>
    </w:div>
    <w:div w:id="301010011">
      <w:bodyDiv w:val="1"/>
      <w:marLeft w:val="0"/>
      <w:marRight w:val="0"/>
      <w:marTop w:val="0"/>
      <w:marBottom w:val="0"/>
      <w:divBdr>
        <w:top w:val="none" w:sz="0" w:space="0" w:color="auto"/>
        <w:left w:val="none" w:sz="0" w:space="0" w:color="auto"/>
        <w:bottom w:val="none" w:sz="0" w:space="0" w:color="auto"/>
        <w:right w:val="none" w:sz="0" w:space="0" w:color="auto"/>
      </w:divBdr>
    </w:div>
    <w:div w:id="788625036">
      <w:bodyDiv w:val="1"/>
      <w:marLeft w:val="0"/>
      <w:marRight w:val="0"/>
      <w:marTop w:val="0"/>
      <w:marBottom w:val="0"/>
      <w:divBdr>
        <w:top w:val="none" w:sz="0" w:space="0" w:color="auto"/>
        <w:left w:val="none" w:sz="0" w:space="0" w:color="auto"/>
        <w:bottom w:val="none" w:sz="0" w:space="0" w:color="auto"/>
        <w:right w:val="none" w:sz="0" w:space="0" w:color="auto"/>
      </w:divBdr>
    </w:div>
    <w:div w:id="1287351748">
      <w:bodyDiv w:val="1"/>
      <w:marLeft w:val="0"/>
      <w:marRight w:val="0"/>
      <w:marTop w:val="0"/>
      <w:marBottom w:val="0"/>
      <w:divBdr>
        <w:top w:val="none" w:sz="0" w:space="0" w:color="auto"/>
        <w:left w:val="none" w:sz="0" w:space="0" w:color="auto"/>
        <w:bottom w:val="none" w:sz="0" w:space="0" w:color="auto"/>
        <w:right w:val="none" w:sz="0" w:space="0" w:color="auto"/>
      </w:divBdr>
    </w:div>
    <w:div w:id="1625889138">
      <w:bodyDiv w:val="1"/>
      <w:marLeft w:val="0"/>
      <w:marRight w:val="0"/>
      <w:marTop w:val="0"/>
      <w:marBottom w:val="0"/>
      <w:divBdr>
        <w:top w:val="none" w:sz="0" w:space="0" w:color="auto"/>
        <w:left w:val="none" w:sz="0" w:space="0" w:color="auto"/>
        <w:bottom w:val="none" w:sz="0" w:space="0" w:color="auto"/>
        <w:right w:val="none" w:sz="0" w:space="0" w:color="auto"/>
      </w:divBdr>
    </w:div>
    <w:div w:id="1952742135">
      <w:bodyDiv w:val="1"/>
      <w:marLeft w:val="0"/>
      <w:marRight w:val="0"/>
      <w:marTop w:val="0"/>
      <w:marBottom w:val="0"/>
      <w:divBdr>
        <w:top w:val="none" w:sz="0" w:space="0" w:color="auto"/>
        <w:left w:val="none" w:sz="0" w:space="0" w:color="auto"/>
        <w:bottom w:val="none" w:sz="0" w:space="0" w:color="auto"/>
        <w:right w:val="none" w:sz="0" w:space="0" w:color="auto"/>
      </w:divBdr>
    </w:div>
    <w:div w:id="19591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5.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3.wmf"/><Relationship Id="rId46" Type="http://schemas.openxmlformats.org/officeDocument/2006/relationships/hyperlink" Target="https://doi.org/10.1007/s10512-019-00495-4"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wmf"/><Relationship Id="rId41"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chart" Target="charts/chart3.xml"/><Relationship Id="rId40" Type="http://schemas.openxmlformats.org/officeDocument/2006/relationships/chart" Target="charts/chart4.xml"/><Relationship Id="rId45" Type="http://schemas.openxmlformats.org/officeDocument/2006/relationships/hyperlink" Target="https://rscf.ru/en/project/22-29-00385/"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chart" Target="charts/chart2.xml"/><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hyperlink" Target="mailto:alhassan@tpu.ru/"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chart" Target="charts/chart5.xml"/><Relationship Id="rId48" Type="http://schemas.openxmlformats.org/officeDocument/2006/relationships/footer" Target="footer1.xml"/><Relationship Id="rId8" Type="http://schemas.openxmlformats.org/officeDocument/2006/relationships/hyperlink" Target="mailto:sammy.alha.204@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NPLUS\Desktop\1st%20year\Thesis%20work\Thesis%20writeup\RITM-200_fuel%20diameters\UO2\UO2_Withcompensations\6.9_RITM-200-UO-withcompensation.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UNPLUS\Desktop\1st%20year\Thesis%20work\Thesis%20writeup\RITM-200_fuel%20diameters\UO2\UO2_Withcompensations\6.9_RITM-200-UO-withcompensation.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UNPLUS\Desktop\1st%20year\Thesis%20work\Thesis%20writeup\RITM-200_fuel%20diameters\UO2\UO2_Withcompensations\6.9_RITM-200-UO-withcompensation.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UNPLUS\Desktop\1st%20year\Thesis%20work\Thesis%20writeup\RITM-200_fuel%20diameters\UO2\UO2_Withcompensations\6.9_RITM-200-UO-withcompensation.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SUNPLUS\Desktop\1st%20year\Thesis%20work\Thesis%20writeup\RITM-200_fuel%20diameters\UO2\UO2_Withcompensations\6.9_RITM-200-UO-withcompensation.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11552859171292"/>
          <c:y val="5.0819963294061916E-2"/>
          <c:w val="0.83346083033839935"/>
          <c:h val="0.73134617690555181"/>
        </c:manualLayout>
      </c:layout>
      <c:scatterChart>
        <c:scatterStyle val="smoothMarker"/>
        <c:varyColors val="0"/>
        <c:ser>
          <c:idx val="0"/>
          <c:order val="0"/>
          <c:tx>
            <c:strRef>
              <c:f>'MCU_Old-Result'!$B$214:$C$214</c:f>
              <c:strCache>
                <c:ptCount val="1"/>
                <c:pt idx="0">
                  <c:v>(U²³⁸+U²³⁵)O₂</c:v>
                </c:pt>
              </c:strCache>
            </c:strRef>
          </c:tx>
          <c:spPr>
            <a:ln w="12700" cap="rnd">
              <a:solidFill>
                <a:schemeClr val="tx1"/>
              </a:solidFill>
              <a:round/>
            </a:ln>
            <a:effectLst/>
          </c:spPr>
          <c:marker>
            <c:symbol val="triangle"/>
            <c:size val="6"/>
            <c:spPr>
              <a:solidFill>
                <a:schemeClr val="tx1"/>
              </a:solidFill>
              <a:ln w="9525">
                <a:solidFill>
                  <a:schemeClr val="tx1"/>
                </a:solidFill>
              </a:ln>
              <a:effectLst/>
            </c:spPr>
          </c:marker>
          <c:xVal>
            <c:numRef>
              <c:f>'MCU_Old-Result'!$A$217:$A$221</c:f>
              <c:numCache>
                <c:formatCode>General</c:formatCode>
                <c:ptCount val="5"/>
                <c:pt idx="0">
                  <c:v>4.9000000000000004</c:v>
                </c:pt>
                <c:pt idx="1">
                  <c:v>5.9</c:v>
                </c:pt>
                <c:pt idx="2">
                  <c:v>6.9</c:v>
                </c:pt>
                <c:pt idx="3">
                  <c:v>7.9</c:v>
                </c:pt>
                <c:pt idx="4">
                  <c:v>8.9</c:v>
                </c:pt>
              </c:numCache>
            </c:numRef>
          </c:xVal>
          <c:yVal>
            <c:numRef>
              <c:f>'MCU_Old-Result'!$B$217:$B$221</c:f>
              <c:numCache>
                <c:formatCode>General</c:formatCode>
                <c:ptCount val="5"/>
                <c:pt idx="0">
                  <c:v>650</c:v>
                </c:pt>
                <c:pt idx="1">
                  <c:v>1000</c:v>
                </c:pt>
                <c:pt idx="2">
                  <c:v>1250</c:v>
                </c:pt>
                <c:pt idx="3">
                  <c:v>1300</c:v>
                </c:pt>
                <c:pt idx="4">
                  <c:v>1150</c:v>
                </c:pt>
              </c:numCache>
            </c:numRef>
          </c:yVal>
          <c:smooth val="0"/>
          <c:extLst>
            <c:ext xmlns:c16="http://schemas.microsoft.com/office/drawing/2014/chart" uri="{C3380CC4-5D6E-409C-BE32-E72D297353CC}">
              <c16:uniqueId val="{00000000-65F9-46B1-8975-F5ADF9CDF69F}"/>
            </c:ext>
          </c:extLst>
        </c:ser>
        <c:ser>
          <c:idx val="1"/>
          <c:order val="1"/>
          <c:tx>
            <c:strRef>
              <c:f>'MCU_Old-Result'!$G$214:$H$214</c:f>
              <c:strCache>
                <c:ptCount val="1"/>
                <c:pt idx="0">
                  <c:v>(Th²³²+U²³⁵)O₂</c:v>
                </c:pt>
              </c:strCache>
            </c:strRef>
          </c:tx>
          <c:spPr>
            <a:ln w="12700" cap="rnd">
              <a:solidFill>
                <a:schemeClr val="tx1"/>
              </a:solidFill>
              <a:prstDash val="lgDash"/>
              <a:round/>
            </a:ln>
            <a:effectLst/>
          </c:spPr>
          <c:marker>
            <c:symbol val="square"/>
            <c:size val="6"/>
            <c:spPr>
              <a:solidFill>
                <a:schemeClr val="tx1"/>
              </a:solidFill>
              <a:ln w="9525">
                <a:solidFill>
                  <a:schemeClr val="tx1"/>
                </a:solidFill>
              </a:ln>
              <a:effectLst/>
            </c:spPr>
          </c:marker>
          <c:xVal>
            <c:numRef>
              <c:f>'MCU_Old-Result'!$F$217:$F$221</c:f>
              <c:numCache>
                <c:formatCode>General</c:formatCode>
                <c:ptCount val="5"/>
                <c:pt idx="0">
                  <c:v>4.9000000000000004</c:v>
                </c:pt>
                <c:pt idx="1">
                  <c:v>5.9</c:v>
                </c:pt>
                <c:pt idx="2">
                  <c:v>6.9</c:v>
                </c:pt>
                <c:pt idx="3">
                  <c:v>7.9</c:v>
                </c:pt>
                <c:pt idx="4">
                  <c:v>8.9</c:v>
                </c:pt>
              </c:numCache>
            </c:numRef>
          </c:xVal>
          <c:yVal>
            <c:numRef>
              <c:f>'MCU_Old-Result'!$G$217:$G$221</c:f>
              <c:numCache>
                <c:formatCode>General</c:formatCode>
                <c:ptCount val="5"/>
                <c:pt idx="0">
                  <c:v>500</c:v>
                </c:pt>
                <c:pt idx="1">
                  <c:v>850</c:v>
                </c:pt>
                <c:pt idx="2">
                  <c:v>1150</c:v>
                </c:pt>
                <c:pt idx="3">
                  <c:v>1100</c:v>
                </c:pt>
                <c:pt idx="4">
                  <c:v>600</c:v>
                </c:pt>
              </c:numCache>
            </c:numRef>
          </c:yVal>
          <c:smooth val="0"/>
          <c:extLst>
            <c:ext xmlns:c16="http://schemas.microsoft.com/office/drawing/2014/chart" uri="{C3380CC4-5D6E-409C-BE32-E72D297353CC}">
              <c16:uniqueId val="{00000001-65F9-46B1-8975-F5ADF9CDF69F}"/>
            </c:ext>
          </c:extLst>
        </c:ser>
        <c:ser>
          <c:idx val="2"/>
          <c:order val="2"/>
          <c:tx>
            <c:strRef>
              <c:f>'MCU_Old-Result'!$L$214:$M$214</c:f>
              <c:strCache>
                <c:ptCount val="1"/>
                <c:pt idx="0">
                  <c:v>(Th²³²+U²³³)O₂</c:v>
                </c:pt>
              </c:strCache>
            </c:strRef>
          </c:tx>
          <c:spPr>
            <a:ln w="12700" cap="rnd">
              <a:solidFill>
                <a:schemeClr val="tx1"/>
              </a:solidFill>
              <a:prstDash val="lgDashDot"/>
              <a:round/>
            </a:ln>
            <a:effectLst/>
          </c:spPr>
          <c:marker>
            <c:symbol val="diamond"/>
            <c:size val="6"/>
            <c:spPr>
              <a:solidFill>
                <a:schemeClr val="tx1"/>
              </a:solidFill>
              <a:ln w="9525">
                <a:solidFill>
                  <a:schemeClr val="tx1"/>
                </a:solidFill>
              </a:ln>
              <a:effectLst/>
            </c:spPr>
          </c:marker>
          <c:xVal>
            <c:numRef>
              <c:f>'MCU_Old-Result'!$K$217:$K$221</c:f>
              <c:numCache>
                <c:formatCode>General</c:formatCode>
                <c:ptCount val="5"/>
                <c:pt idx="0">
                  <c:v>4.9000000000000004</c:v>
                </c:pt>
                <c:pt idx="1">
                  <c:v>5.9</c:v>
                </c:pt>
                <c:pt idx="2">
                  <c:v>6.9</c:v>
                </c:pt>
                <c:pt idx="3">
                  <c:v>7.9</c:v>
                </c:pt>
                <c:pt idx="4">
                  <c:v>8.9</c:v>
                </c:pt>
              </c:numCache>
            </c:numRef>
          </c:xVal>
          <c:yVal>
            <c:numRef>
              <c:f>'MCU_Old-Result'!$L$217:$L$221</c:f>
              <c:numCache>
                <c:formatCode>General</c:formatCode>
                <c:ptCount val="5"/>
                <c:pt idx="0">
                  <c:v>750</c:v>
                </c:pt>
                <c:pt idx="1">
                  <c:v>1250</c:v>
                </c:pt>
                <c:pt idx="2">
                  <c:v>1850</c:v>
                </c:pt>
                <c:pt idx="3">
                  <c:v>2350</c:v>
                </c:pt>
                <c:pt idx="4">
                  <c:v>2500</c:v>
                </c:pt>
              </c:numCache>
            </c:numRef>
          </c:yVal>
          <c:smooth val="0"/>
          <c:extLst>
            <c:ext xmlns:c16="http://schemas.microsoft.com/office/drawing/2014/chart" uri="{C3380CC4-5D6E-409C-BE32-E72D297353CC}">
              <c16:uniqueId val="{00000002-65F9-46B1-8975-F5ADF9CDF69F}"/>
            </c:ext>
          </c:extLst>
        </c:ser>
        <c:dLbls>
          <c:showLegendKey val="0"/>
          <c:showVal val="0"/>
          <c:showCatName val="0"/>
          <c:showSerName val="0"/>
          <c:showPercent val="0"/>
          <c:showBubbleSize val="0"/>
        </c:dLbls>
        <c:axId val="682808536"/>
        <c:axId val="682815752"/>
      </c:scatterChart>
      <c:valAx>
        <c:axId val="682808536"/>
        <c:scaling>
          <c:orientation val="minMax"/>
          <c:max val="9.6999999999999993"/>
          <c:min val="4.7"/>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Outer fuel diamter, mm</a:t>
                </a:r>
              </a:p>
            </c:rich>
          </c:tx>
          <c:layout>
            <c:manualLayout>
              <c:xMode val="edge"/>
              <c:yMode val="edge"/>
              <c:x val="0.42506878723852359"/>
              <c:y val="0.8452795875134897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out"/>
        <c:minorTickMark val="out"/>
        <c:tickLblPos val="nextTo"/>
        <c:spPr>
          <a:noFill/>
          <a:ln w="9525" cap="flat" cmpd="sng" algn="ctr">
            <a:solidFill>
              <a:schemeClr val="tx1"/>
            </a:solidFill>
            <a:round/>
            <a:tailEnd type="stealth" w="lg" len="lg"/>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crossAx val="682815752"/>
        <c:crosses val="autoZero"/>
        <c:crossBetween val="midCat"/>
        <c:majorUnit val="1"/>
      </c:valAx>
      <c:valAx>
        <c:axId val="682815752"/>
        <c:scaling>
          <c:orientation val="minMax"/>
          <c:min val="5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r>
                  <a:rPr lang="en-US"/>
                  <a:t>Fuel lifetime, eff. days</a:t>
                </a:r>
              </a:p>
            </c:rich>
          </c:tx>
          <c:layout>
            <c:manualLayout>
              <c:xMode val="edge"/>
              <c:yMode val="edge"/>
              <c:x val="1.060869063066858E-2"/>
              <c:y val="0.178096912643201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out"/>
        <c:minorTickMark val="out"/>
        <c:tickLblPos val="nextTo"/>
        <c:spPr>
          <a:noFill/>
          <a:ln w="9525" cap="flat" cmpd="sng" algn="ctr">
            <a:solidFill>
              <a:schemeClr val="tx1"/>
            </a:solidFill>
            <a:round/>
            <a:tailEnd type="stealth" w="lg" len="lg"/>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crossAx val="682808536"/>
        <c:crosses val="autoZero"/>
        <c:crossBetween val="midCat"/>
      </c:valAx>
      <c:spPr>
        <a:noFill/>
        <a:ln>
          <a:noFill/>
        </a:ln>
        <a:effectLst/>
      </c:spPr>
    </c:plotArea>
    <c:legend>
      <c:legendPos val="r"/>
      <c:layout>
        <c:manualLayout>
          <c:xMode val="edge"/>
          <c:yMode val="edge"/>
          <c:x val="0.16254203664576439"/>
          <c:y val="0.912450870671623"/>
          <c:w val="0.69415936899173192"/>
          <c:h val="8.380664028671543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baseline="0">
          <a:solidFill>
            <a:schemeClr val="tx1"/>
          </a:solidFill>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9818705115117"/>
          <c:y val="6.2419541124564569E-2"/>
          <c:w val="0.82081574609009089"/>
          <c:h val="0.76737834000258165"/>
        </c:manualLayout>
      </c:layout>
      <c:scatterChart>
        <c:scatterStyle val="smoothMarker"/>
        <c:varyColors val="0"/>
        <c:ser>
          <c:idx val="0"/>
          <c:order val="0"/>
          <c:tx>
            <c:strRef>
              <c:f>'Thermal calculations'!$X$23</c:f>
              <c:strCache>
                <c:ptCount val="1"/>
                <c:pt idx="0">
                  <c:v>твэл, mm</c:v>
                </c:pt>
              </c:strCache>
            </c:strRef>
          </c:tx>
          <c:spPr>
            <a:ln w="12700" cap="rnd">
              <a:solidFill>
                <a:schemeClr val="tx1"/>
              </a:solidFill>
              <a:round/>
            </a:ln>
            <a:effectLst/>
          </c:spPr>
          <c:marker>
            <c:symbol val="none"/>
          </c:marker>
          <c:xVal>
            <c:numRef>
              <c:f>'Thermal calculations'!$X$24:$X$30</c:f>
              <c:numCache>
                <c:formatCode>0.0</c:formatCode>
                <c:ptCount val="7"/>
                <c:pt idx="0">
                  <c:v>3.9</c:v>
                </c:pt>
                <c:pt idx="1">
                  <c:v>4.9000000000000004</c:v>
                </c:pt>
                <c:pt idx="2">
                  <c:v>5.9</c:v>
                </c:pt>
                <c:pt idx="3">
                  <c:v>6.9</c:v>
                </c:pt>
                <c:pt idx="4">
                  <c:v>7.9</c:v>
                </c:pt>
                <c:pt idx="5">
                  <c:v>8.9</c:v>
                </c:pt>
                <c:pt idx="6">
                  <c:v>9.9</c:v>
                </c:pt>
              </c:numCache>
            </c:numRef>
          </c:xVal>
          <c:yVal>
            <c:numRef>
              <c:f>'Thermal calculations'!$AA$24:$AA$30</c:f>
              <c:numCache>
                <c:formatCode>0</c:formatCode>
                <c:ptCount val="7"/>
                <c:pt idx="0">
                  <c:v>441.07580866306654</c:v>
                </c:pt>
                <c:pt idx="1">
                  <c:v>405.599520978459</c:v>
                </c:pt>
                <c:pt idx="2">
                  <c:v>382.73066493060867</c:v>
                </c:pt>
                <c:pt idx="3">
                  <c:v>366.51937542571557</c:v>
                </c:pt>
                <c:pt idx="4">
                  <c:v>354.25016143369055</c:v>
                </c:pt>
                <c:pt idx="5">
                  <c:v>344.5077157511472</c:v>
                </c:pt>
                <c:pt idx="6">
                  <c:v>336.48238312444033</c:v>
                </c:pt>
              </c:numCache>
            </c:numRef>
          </c:yVal>
          <c:smooth val="1"/>
          <c:extLst>
            <c:ext xmlns:c16="http://schemas.microsoft.com/office/drawing/2014/chart" uri="{C3380CC4-5D6E-409C-BE32-E72D297353CC}">
              <c16:uniqueId val="{00000000-18D0-4475-8614-67AF5BEA330A}"/>
            </c:ext>
          </c:extLst>
        </c:ser>
        <c:dLbls>
          <c:showLegendKey val="0"/>
          <c:showVal val="0"/>
          <c:showCatName val="0"/>
          <c:showSerName val="0"/>
          <c:showPercent val="0"/>
          <c:showBubbleSize val="0"/>
        </c:dLbls>
        <c:axId val="543456856"/>
        <c:axId val="543466216"/>
      </c:scatterChart>
      <c:valAx>
        <c:axId val="543456856"/>
        <c:scaling>
          <c:orientation val="minMax"/>
          <c:max val="9.9"/>
          <c:min val="3.9"/>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r>
                  <a:rPr lang="en-US"/>
                  <a:t>Diameter of  fuel rods, mm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title>
        <c:numFmt formatCode="0.0" sourceLinked="1"/>
        <c:majorTickMark val="out"/>
        <c:minorTickMark val="none"/>
        <c:tickLblPos val="nextTo"/>
        <c:spPr>
          <a:noFill/>
          <a:ln w="9525" cap="flat" cmpd="sng" algn="ctr">
            <a:solidFill>
              <a:schemeClr val="tx1"/>
            </a:solidFill>
            <a:round/>
            <a:tailEnd type="stealth" w="lg" len="lg"/>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543466216"/>
        <c:crosses val="autoZero"/>
        <c:crossBetween val="midCat"/>
      </c:valAx>
      <c:valAx>
        <c:axId val="543466216"/>
        <c:scaling>
          <c:orientation val="minMax"/>
          <c:min val="30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r>
                  <a:rPr lang="en-US"/>
                  <a:t>tmax, oC</a:t>
                </a:r>
              </a:p>
            </c:rich>
          </c:tx>
          <c:layout>
            <c:manualLayout>
              <c:xMode val="edge"/>
              <c:yMode val="edge"/>
              <c:x val="1.8377750858065819E-3"/>
              <c:y val="0.3537326577624144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0"/>
        <c:majorTickMark val="out"/>
        <c:minorTickMark val="none"/>
        <c:tickLblPos val="nextTo"/>
        <c:spPr>
          <a:noFill/>
          <a:ln w="9525" cap="flat" cmpd="sng" algn="ctr">
            <a:solidFill>
              <a:schemeClr val="tx1"/>
            </a:solidFill>
            <a:round/>
            <a:tailEnd type="stealth" w="lg" len="lg"/>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5434568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aseline="0">
          <a:solidFill>
            <a:schemeClr val="tx1"/>
          </a:solidFill>
          <a:latin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26212254300382"/>
          <c:y val="4.1256452411701006E-2"/>
          <c:w val="0.82182568428198122"/>
          <c:h val="0.76174502310018266"/>
        </c:manualLayout>
      </c:layout>
      <c:scatterChart>
        <c:scatterStyle val="smoothMarker"/>
        <c:varyColors val="0"/>
        <c:ser>
          <c:idx val="0"/>
          <c:order val="0"/>
          <c:tx>
            <c:strRef>
              <c:f>'Thermal calculations'!$X$1</c:f>
              <c:strCache>
                <c:ptCount val="1"/>
                <c:pt idx="0">
                  <c:v>velocity, m/s</c:v>
                </c:pt>
              </c:strCache>
            </c:strRef>
          </c:tx>
          <c:spPr>
            <a:ln w="12700" cap="rnd">
              <a:solidFill>
                <a:schemeClr val="tx1"/>
              </a:solidFill>
              <a:round/>
            </a:ln>
            <a:effectLst/>
          </c:spPr>
          <c:marker>
            <c:symbol val="none"/>
          </c:marker>
          <c:xVal>
            <c:numRef>
              <c:f>'Thermal calculations'!$N$2:$N$11</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'Thermal calculations'!$X$2:$X$11</c:f>
              <c:numCache>
                <c:formatCode>0.00</c:formatCode>
                <c:ptCount val="10"/>
                <c:pt idx="0">
                  <c:v>2.7466274504970665</c:v>
                </c:pt>
                <c:pt idx="1">
                  <c:v>2.7633188241364226</c:v>
                </c:pt>
                <c:pt idx="2">
                  <c:v>2.7902021694846071</c:v>
                </c:pt>
                <c:pt idx="3">
                  <c:v>2.8256754107786022</c:v>
                </c:pt>
                <c:pt idx="4">
                  <c:v>2.8672276787759468</c:v>
                </c:pt>
                <c:pt idx="5">
                  <c:v>2.9113242708136275</c:v>
                </c:pt>
                <c:pt idx="6">
                  <c:v>2.9534716309806988</c:v>
                </c:pt>
                <c:pt idx="7">
                  <c:v>2.9886219695785976</c:v>
                </c:pt>
                <c:pt idx="8">
                  <c:v>3.0119986710535684</c:v>
                </c:pt>
                <c:pt idx="9">
                  <c:v>3.0201848134035698</c:v>
                </c:pt>
              </c:numCache>
            </c:numRef>
          </c:yVal>
          <c:smooth val="1"/>
          <c:extLst>
            <c:ext xmlns:c16="http://schemas.microsoft.com/office/drawing/2014/chart" uri="{C3380CC4-5D6E-409C-BE32-E72D297353CC}">
              <c16:uniqueId val="{00000000-EF1B-4CD9-8A74-FBF1938E1648}"/>
            </c:ext>
          </c:extLst>
        </c:ser>
        <c:dLbls>
          <c:showLegendKey val="0"/>
          <c:showVal val="0"/>
          <c:showCatName val="0"/>
          <c:showSerName val="0"/>
          <c:showPercent val="0"/>
          <c:showBubbleSize val="0"/>
        </c:dLbls>
        <c:axId val="543510856"/>
        <c:axId val="543511216"/>
      </c:scatterChart>
      <c:valAx>
        <c:axId val="543510856"/>
        <c:scaling>
          <c:orientation val="minMax"/>
          <c:max val="10"/>
          <c:min val="1"/>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r>
                  <a:rPr lang="en-US"/>
                  <a:t>Index i </a:t>
                </a:r>
              </a:p>
            </c:rich>
          </c:tx>
          <c:layout>
            <c:manualLayout>
              <c:xMode val="edge"/>
              <c:yMode val="edge"/>
              <c:x val="0.47989720034995625"/>
              <c:y val="0.884502923976608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out"/>
        <c:minorTickMark val="out"/>
        <c:tickLblPos val="nextTo"/>
        <c:spPr>
          <a:noFill/>
          <a:ln w="9525" cap="flat" cmpd="sng" algn="ctr">
            <a:solidFill>
              <a:schemeClr val="tx1"/>
            </a:solidFill>
            <a:round/>
            <a:tailEnd type="stealth" w="lg" len="lg"/>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543511216"/>
        <c:crosses val="autoZero"/>
        <c:crossBetween val="midCat"/>
      </c:valAx>
      <c:valAx>
        <c:axId val="543511216"/>
        <c:scaling>
          <c:orientation val="minMax"/>
          <c:max val="3.1"/>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r>
                  <a:rPr lang="en-US"/>
                  <a:t>v, m/s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title>
        <c:numFmt formatCode="0.00" sourceLinked="1"/>
        <c:majorTickMark val="out"/>
        <c:minorTickMark val="out"/>
        <c:tickLblPos val="nextTo"/>
        <c:spPr>
          <a:noFill/>
          <a:ln w="9525" cap="flat" cmpd="sng" algn="ctr">
            <a:solidFill>
              <a:schemeClr val="tx1"/>
            </a:solidFill>
            <a:round/>
            <a:tailEnd type="stealth" w="lg" len="lg"/>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543510856"/>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aseline="0">
          <a:solidFill>
            <a:schemeClr val="tx1"/>
          </a:solidFill>
          <a:latin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443516185121"/>
          <c:y val="4.10256470496334E-2"/>
          <c:w val="0.86626860756796542"/>
          <c:h val="0.74434157644356957"/>
        </c:manualLayout>
      </c:layout>
      <c:scatterChart>
        <c:scatterStyle val="smoothMarker"/>
        <c:varyColors val="0"/>
        <c:ser>
          <c:idx val="0"/>
          <c:order val="0"/>
          <c:tx>
            <c:strRef>
              <c:f>'Thermal calculations'!$O$23</c:f>
              <c:strCache>
                <c:ptCount val="1"/>
                <c:pt idx="0">
                  <c:v>3.9 mm</c:v>
                </c:pt>
              </c:strCache>
            </c:strRef>
          </c:tx>
          <c:spPr>
            <a:ln w="15875" cap="rnd">
              <a:solidFill>
                <a:schemeClr val="tx1"/>
              </a:solidFill>
              <a:prstDash val="lgDashDotDot"/>
              <a:round/>
            </a:ln>
            <a:effectLst/>
          </c:spPr>
          <c:marker>
            <c:symbol val="none"/>
          </c:marker>
          <c:xVal>
            <c:numRef>
              <c:f>'Thermal calculations'!$N$24:$N$33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'Thermal calculations'!$O$24:$O$33</c:f>
              <c:numCache>
                <c:formatCode>0.00000</c:formatCode>
                <c:ptCount val="10"/>
                <c:pt idx="0">
                  <c:v>0.25900621294785786</c:v>
                </c:pt>
                <c:pt idx="1">
                  <c:v>0.76169275054928531</c:v>
                </c:pt>
                <c:pt idx="2">
                  <c:v>1.2122535361557079</c:v>
                </c:pt>
                <c:pt idx="3">
                  <c:v>1.5724586250982191</c:v>
                </c:pt>
                <c:pt idx="4">
                  <c:v>1.8047688649164459</c:v>
                </c:pt>
                <c:pt idx="5">
                  <c:v>1.8746942611995778</c:v>
                </c:pt>
                <c:pt idx="6">
                  <c:v>1.75591924747346</c:v>
                </c:pt>
                <c:pt idx="7">
                  <c:v>1.4393698873395351</c:v>
                </c:pt>
                <c:pt idx="8">
                  <c:v>0.94481666989931268</c:v>
                </c:pt>
                <c:pt idx="9">
                  <c:v>0.32813533046745597</c:v>
                </c:pt>
              </c:numCache>
            </c:numRef>
          </c:yVal>
          <c:smooth val="1"/>
          <c:extLst>
            <c:ext xmlns:c16="http://schemas.microsoft.com/office/drawing/2014/chart" uri="{C3380CC4-5D6E-409C-BE32-E72D297353CC}">
              <c16:uniqueId val="{00000000-7BA5-4A1D-ADF0-93FD5593213B}"/>
            </c:ext>
          </c:extLst>
        </c:ser>
        <c:ser>
          <c:idx val="1"/>
          <c:order val="1"/>
          <c:tx>
            <c:strRef>
              <c:f>'Thermal calculations'!$P$23</c:f>
              <c:strCache>
                <c:ptCount val="1"/>
                <c:pt idx="0">
                  <c:v>4.9 mm</c:v>
                </c:pt>
              </c:strCache>
            </c:strRef>
          </c:tx>
          <c:spPr>
            <a:ln w="15875" cap="rnd">
              <a:solidFill>
                <a:schemeClr val="tx1"/>
              </a:solidFill>
              <a:prstDash val="lgDashDot"/>
              <a:round/>
            </a:ln>
            <a:effectLst/>
          </c:spPr>
          <c:marker>
            <c:symbol val="none"/>
          </c:marker>
          <c:xVal>
            <c:numRef>
              <c:f>'Thermal calculations'!$N$24:$N$33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'Thermal calculations'!$P$24:$P$33</c:f>
              <c:numCache>
                <c:formatCode>0.00000</c:formatCode>
                <c:ptCount val="10"/>
                <c:pt idx="0">
                  <c:v>0.19071941417962274</c:v>
                </c:pt>
                <c:pt idx="1">
                  <c:v>0.5608730134935811</c:v>
                </c:pt>
                <c:pt idx="2">
                  <c:v>0.89264377723378052</c:v>
                </c:pt>
                <c:pt idx="3">
                  <c:v>1.1578810577057539</c:v>
                </c:pt>
                <c:pt idx="4">
                  <c:v>1.328942872562602</c:v>
                </c:pt>
                <c:pt idx="5">
                  <c:v>1.3804324892154733</c:v>
                </c:pt>
                <c:pt idx="6">
                  <c:v>1.2929724210603426</c:v>
                </c:pt>
                <c:pt idx="7">
                  <c:v>1.0598810683991204</c:v>
                </c:pt>
                <c:pt idx="8">
                  <c:v>0.69571644532949906</c:v>
                </c:pt>
                <c:pt idx="9">
                  <c:v>0.24162269038306358</c:v>
                </c:pt>
              </c:numCache>
            </c:numRef>
          </c:yVal>
          <c:smooth val="1"/>
          <c:extLst>
            <c:ext xmlns:c16="http://schemas.microsoft.com/office/drawing/2014/chart" uri="{C3380CC4-5D6E-409C-BE32-E72D297353CC}">
              <c16:uniqueId val="{00000001-7BA5-4A1D-ADF0-93FD5593213B}"/>
            </c:ext>
          </c:extLst>
        </c:ser>
        <c:ser>
          <c:idx val="2"/>
          <c:order val="2"/>
          <c:tx>
            <c:strRef>
              <c:f>'Thermal calculations'!$Q$23</c:f>
              <c:strCache>
                <c:ptCount val="1"/>
                <c:pt idx="0">
                  <c:v>5.9 mm</c:v>
                </c:pt>
              </c:strCache>
            </c:strRef>
          </c:tx>
          <c:spPr>
            <a:ln w="15875" cap="rnd">
              <a:solidFill>
                <a:schemeClr val="tx1"/>
              </a:solidFill>
              <a:prstDash val="sysDot"/>
              <a:round/>
            </a:ln>
            <a:effectLst/>
          </c:spPr>
          <c:marker>
            <c:symbol val="none"/>
          </c:marker>
          <c:xVal>
            <c:numRef>
              <c:f>'Thermal calculations'!$N$24:$N$33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'Thermal calculations'!$Q$24:$Q$33</c:f>
              <c:numCache>
                <c:formatCode>0.00000</c:formatCode>
                <c:ptCount val="10"/>
                <c:pt idx="0">
                  <c:v>0.14631817979925915</c:v>
                </c:pt>
                <c:pt idx="1">
                  <c:v>0.43029661550666798</c:v>
                </c:pt>
                <c:pt idx="2">
                  <c:v>0.68482809291229985</c:v>
                </c:pt>
                <c:pt idx="3">
                  <c:v>0.88831569411169176</c:v>
                </c:pt>
                <c:pt idx="4">
                  <c:v>1.0195527445749382</c:v>
                </c:pt>
                <c:pt idx="5">
                  <c:v>1.0590551047285517</c:v>
                </c:pt>
                <c:pt idx="6">
                  <c:v>0.99195654513710174</c:v>
                </c:pt>
                <c:pt idx="7">
                  <c:v>0.81313100398786131</c:v>
                </c:pt>
                <c:pt idx="8">
                  <c:v>0.53374725575210669</c:v>
                </c:pt>
                <c:pt idx="9">
                  <c:v>0.18537070495483499</c:v>
                </c:pt>
              </c:numCache>
            </c:numRef>
          </c:yVal>
          <c:smooth val="1"/>
          <c:extLst>
            <c:ext xmlns:c16="http://schemas.microsoft.com/office/drawing/2014/chart" uri="{C3380CC4-5D6E-409C-BE32-E72D297353CC}">
              <c16:uniqueId val="{00000002-7BA5-4A1D-ADF0-93FD5593213B}"/>
            </c:ext>
          </c:extLst>
        </c:ser>
        <c:ser>
          <c:idx val="3"/>
          <c:order val="3"/>
          <c:tx>
            <c:strRef>
              <c:f>'Thermal calculations'!$R$23</c:f>
              <c:strCache>
                <c:ptCount val="1"/>
                <c:pt idx="0">
                  <c:v>6.9 mm </c:v>
                </c:pt>
              </c:strCache>
            </c:strRef>
          </c:tx>
          <c:spPr>
            <a:ln w="15875" cap="rnd">
              <a:solidFill>
                <a:schemeClr val="tx1"/>
              </a:solidFill>
              <a:round/>
            </a:ln>
            <a:effectLst/>
          </c:spPr>
          <c:marker>
            <c:symbol val="none"/>
          </c:marker>
          <c:xVal>
            <c:numRef>
              <c:f>'Thermal calculations'!$N$24:$N$33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'Thermal calculations'!$R$24:$R$33</c:f>
              <c:numCache>
                <c:formatCode>0.00000</c:formatCode>
                <c:ptCount val="10"/>
                <c:pt idx="0">
                  <c:v>0.11413398613679306</c:v>
                </c:pt>
                <c:pt idx="1">
                  <c:v>0.33564843422960405</c:v>
                </c:pt>
                <c:pt idx="2">
                  <c:v>0.53419308639413954</c:v>
                </c:pt>
                <c:pt idx="3">
                  <c:v>0.69292148970098721</c:v>
                </c:pt>
                <c:pt idx="4">
                  <c:v>0.79529159653771564</c:v>
                </c:pt>
                <c:pt idx="5">
                  <c:v>0.82610500490794425</c:v>
                </c:pt>
                <c:pt idx="6">
                  <c:v>0.77376546596127316</c:v>
                </c:pt>
                <c:pt idx="7">
                  <c:v>0.63427444808206335</c:v>
                </c:pt>
                <c:pt idx="8">
                  <c:v>0.4163440385339644</c:v>
                </c:pt>
                <c:pt idx="9">
                  <c:v>0.14459650535913662</c:v>
                </c:pt>
              </c:numCache>
            </c:numRef>
          </c:yVal>
          <c:smooth val="1"/>
          <c:extLst>
            <c:ext xmlns:c16="http://schemas.microsoft.com/office/drawing/2014/chart" uri="{C3380CC4-5D6E-409C-BE32-E72D297353CC}">
              <c16:uniqueId val="{00000003-7BA5-4A1D-ADF0-93FD5593213B}"/>
            </c:ext>
          </c:extLst>
        </c:ser>
        <c:ser>
          <c:idx val="4"/>
          <c:order val="4"/>
          <c:tx>
            <c:strRef>
              <c:f>'Thermal calculations'!$S$23</c:f>
              <c:strCache>
                <c:ptCount val="1"/>
                <c:pt idx="0">
                  <c:v>7.9 mm</c:v>
                </c:pt>
              </c:strCache>
            </c:strRef>
          </c:tx>
          <c:spPr>
            <a:ln w="15875" cap="rnd">
              <a:solidFill>
                <a:schemeClr val="tx1"/>
              </a:solidFill>
              <a:prstDash val="dash"/>
              <a:round/>
            </a:ln>
            <a:effectLst/>
          </c:spPr>
          <c:marker>
            <c:symbol val="none"/>
          </c:marker>
          <c:xVal>
            <c:numRef>
              <c:f>'Thermal calculations'!$N$24:$N$33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'Thermal calculations'!$S$24:$S$33</c:f>
              <c:numCache>
                <c:formatCode>0.00000</c:formatCode>
                <c:ptCount val="10"/>
                <c:pt idx="0">
                  <c:v>8.8723286848896687E-2</c:v>
                </c:pt>
                <c:pt idx="1">
                  <c:v>0.26091993558206367</c:v>
                </c:pt>
                <c:pt idx="2">
                  <c:v>0.41526076536080925</c:v>
                </c:pt>
                <c:pt idx="3">
                  <c:v>0.53865000404718977</c:v>
                </c:pt>
                <c:pt idx="4">
                  <c:v>0.61822851226420295</c:v>
                </c:pt>
                <c:pt idx="5">
                  <c:v>0.64218164806677958</c:v>
                </c:pt>
                <c:pt idx="6">
                  <c:v>0.60149494216360666</c:v>
                </c:pt>
                <c:pt idx="7">
                  <c:v>0.49306009281637914</c:v>
                </c:pt>
                <c:pt idx="8">
                  <c:v>0.32364953515602279</c:v>
                </c:pt>
                <c:pt idx="9">
                  <c:v>0.11240365518252089</c:v>
                </c:pt>
              </c:numCache>
            </c:numRef>
          </c:yVal>
          <c:smooth val="1"/>
          <c:extLst>
            <c:ext xmlns:c16="http://schemas.microsoft.com/office/drawing/2014/chart" uri="{C3380CC4-5D6E-409C-BE32-E72D297353CC}">
              <c16:uniqueId val="{00000004-7BA5-4A1D-ADF0-93FD5593213B}"/>
            </c:ext>
          </c:extLst>
        </c:ser>
        <c:ser>
          <c:idx val="5"/>
          <c:order val="5"/>
          <c:tx>
            <c:strRef>
              <c:f>'Thermal calculations'!$U$23</c:f>
              <c:strCache>
                <c:ptCount val="1"/>
                <c:pt idx="0">
                  <c:v>9.9 mm</c:v>
                </c:pt>
              </c:strCache>
            </c:strRef>
          </c:tx>
          <c:spPr>
            <a:ln w="15875" cap="rnd">
              <a:solidFill>
                <a:schemeClr val="tx1"/>
              </a:solidFill>
              <a:prstDash val="dashDot"/>
              <a:round/>
            </a:ln>
            <a:effectLst/>
          </c:spPr>
          <c:marker>
            <c:symbol val="none"/>
          </c:marker>
          <c:xVal>
            <c:numRef>
              <c:f>'Thermal calculations'!$N$24:$N$33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'Thermal calculations'!$U$24:$U$33</c:f>
              <c:numCache>
                <c:formatCode>0.00000</c:formatCode>
                <c:ptCount val="10"/>
                <c:pt idx="0">
                  <c:v>4.6233809731315488E-2</c:v>
                </c:pt>
                <c:pt idx="1">
                  <c:v>0.13596568708453158</c:v>
                </c:pt>
                <c:pt idx="2">
                  <c:v>0.21639287605823015</c:v>
                </c:pt>
                <c:pt idx="3">
                  <c:v>0.2806911542998114</c:v>
                </c:pt>
                <c:pt idx="4">
                  <c:v>0.3221596090683248</c:v>
                </c:pt>
                <c:pt idx="5">
                  <c:v>0.33464161647017815</c:v>
                </c:pt>
                <c:pt idx="6">
                  <c:v>0.31343972589408892</c:v>
                </c:pt>
                <c:pt idx="7">
                  <c:v>0.25693419762729075</c:v>
                </c:pt>
                <c:pt idx="8">
                  <c:v>0.16865415562789571</c:v>
                </c:pt>
                <c:pt idx="9">
                  <c:v>5.8573677682430103E-2</c:v>
                </c:pt>
              </c:numCache>
            </c:numRef>
          </c:yVal>
          <c:smooth val="1"/>
          <c:extLst>
            <c:ext xmlns:c16="http://schemas.microsoft.com/office/drawing/2014/chart" uri="{C3380CC4-5D6E-409C-BE32-E72D297353CC}">
              <c16:uniqueId val="{00000005-7BA5-4A1D-ADF0-93FD5593213B}"/>
            </c:ext>
          </c:extLst>
        </c:ser>
        <c:ser>
          <c:idx val="6"/>
          <c:order val="6"/>
          <c:tx>
            <c:strRef>
              <c:f>'Thermal calculations'!$T$23</c:f>
              <c:strCache>
                <c:ptCount val="1"/>
                <c:pt idx="0">
                  <c:v>8.9 mm</c:v>
                </c:pt>
              </c:strCache>
            </c:strRef>
          </c:tx>
          <c:spPr>
            <a:ln w="15875" cap="rnd">
              <a:solidFill>
                <a:schemeClr val="tx1"/>
              </a:solidFill>
              <a:prstDash val="lgDash"/>
              <a:round/>
            </a:ln>
            <a:effectLst/>
          </c:spPr>
          <c:marker>
            <c:symbol val="none"/>
          </c:marker>
          <c:xVal>
            <c:numRef>
              <c:f>'Thermal calculations'!$N$24:$N$33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'Thermal calculations'!$T$24:$T$33</c:f>
              <c:numCache>
                <c:formatCode>0.00000</c:formatCode>
                <c:ptCount val="10"/>
                <c:pt idx="0">
                  <c:v>6.6948707799257254E-2</c:v>
                </c:pt>
                <c:pt idx="1">
                  <c:v>0.19688464152635066</c:v>
                </c:pt>
                <c:pt idx="2">
                  <c:v>0.31334695352286163</c:v>
                </c:pt>
                <c:pt idx="3">
                  <c:v>0.40645385228390574</c:v>
                </c:pt>
                <c:pt idx="4">
                  <c:v>0.46650210435999373</c:v>
                </c:pt>
                <c:pt idx="5">
                  <c:v>0.48457663187894989</c:v>
                </c:pt>
                <c:pt idx="6">
                  <c:v>0.45387530777826696</c:v>
                </c:pt>
                <c:pt idx="7">
                  <c:v>0.37205267358564864</c:v>
                </c:pt>
                <c:pt idx="8">
                  <c:v>0.24421906500633048</c:v>
                </c:pt>
                <c:pt idx="9">
                  <c:v>8.481741077964404E-2</c:v>
                </c:pt>
              </c:numCache>
            </c:numRef>
          </c:yVal>
          <c:smooth val="1"/>
          <c:extLst>
            <c:ext xmlns:c16="http://schemas.microsoft.com/office/drawing/2014/chart" uri="{C3380CC4-5D6E-409C-BE32-E72D297353CC}">
              <c16:uniqueId val="{00000006-7BA5-4A1D-ADF0-93FD5593213B}"/>
            </c:ext>
          </c:extLst>
        </c:ser>
        <c:ser>
          <c:idx val="7"/>
          <c:order val="7"/>
          <c:tx>
            <c:v>horizontal</c:v>
          </c:tx>
          <c:spPr>
            <a:ln w="15875" cap="rnd">
              <a:solidFill>
                <a:schemeClr val="tx1"/>
              </a:solidFill>
              <a:prstDash val="sysDash"/>
              <a:round/>
            </a:ln>
            <a:effectLst/>
          </c:spPr>
          <c:marker>
            <c:symbol val="none"/>
          </c:marker>
          <c:xVal>
            <c:numRef>
              <c:f>'Thermal calculations'!$N$24:$N$33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'Thermal calculations'!$V$24:$V$33</c:f>
              <c:numCache>
                <c:formatCode>0</c:formatCode>
                <c:ptCount val="10"/>
                <c:pt idx="0">
                  <c:v>1</c:v>
                </c:pt>
                <c:pt idx="1">
                  <c:v>1</c:v>
                </c:pt>
                <c:pt idx="2">
                  <c:v>1</c:v>
                </c:pt>
                <c:pt idx="3">
                  <c:v>1</c:v>
                </c:pt>
                <c:pt idx="4">
                  <c:v>1</c:v>
                </c:pt>
                <c:pt idx="5">
                  <c:v>1</c:v>
                </c:pt>
                <c:pt idx="6">
                  <c:v>1</c:v>
                </c:pt>
                <c:pt idx="7">
                  <c:v>1</c:v>
                </c:pt>
                <c:pt idx="8">
                  <c:v>1</c:v>
                </c:pt>
                <c:pt idx="9">
                  <c:v>1</c:v>
                </c:pt>
              </c:numCache>
            </c:numRef>
          </c:yVal>
          <c:smooth val="1"/>
          <c:extLst>
            <c:ext xmlns:c16="http://schemas.microsoft.com/office/drawing/2014/chart" uri="{C3380CC4-5D6E-409C-BE32-E72D297353CC}">
              <c16:uniqueId val="{00000007-7BA5-4A1D-ADF0-93FD5593213B}"/>
            </c:ext>
          </c:extLst>
        </c:ser>
        <c:dLbls>
          <c:showLegendKey val="0"/>
          <c:showVal val="0"/>
          <c:showCatName val="0"/>
          <c:showSerName val="0"/>
          <c:showPercent val="0"/>
          <c:showBubbleSize val="0"/>
        </c:dLbls>
        <c:axId val="602319928"/>
        <c:axId val="602311648"/>
      </c:scatterChart>
      <c:valAx>
        <c:axId val="602319928"/>
        <c:scaling>
          <c:orientation val="minMax"/>
          <c:max val="10"/>
          <c:min val="1"/>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r>
                  <a:rPr lang="en-US"/>
                  <a:t>Index i </a:t>
                </a:r>
              </a:p>
            </c:rich>
          </c:tx>
          <c:layout>
            <c:manualLayout>
              <c:xMode val="edge"/>
              <c:yMode val="edge"/>
              <c:x val="0.51215726724196375"/>
              <c:y val="0.84511940890201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1"/>
        <c:majorTickMark val="out"/>
        <c:minorTickMark val="out"/>
        <c:tickLblPos val="nextTo"/>
        <c:spPr>
          <a:noFill/>
          <a:ln w="9525" cap="flat" cmpd="sng" algn="ctr">
            <a:solidFill>
              <a:schemeClr val="tx1"/>
            </a:solidFill>
            <a:round/>
            <a:tailEnd type="stealth" w="lg" len="lg"/>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602311648"/>
        <c:crosses val="autoZero"/>
        <c:crossBetween val="midCat"/>
      </c:valAx>
      <c:valAx>
        <c:axId val="60231164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r>
                  <a:rPr lang="en-US"/>
                  <a:t>qs/ qs.crit.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title>
        <c:numFmt formatCode="General" sourceLinked="0"/>
        <c:majorTickMark val="out"/>
        <c:minorTickMark val="out"/>
        <c:tickLblPos val="nextTo"/>
        <c:spPr>
          <a:noFill/>
          <a:ln w="9525" cap="flat" cmpd="sng" algn="ctr">
            <a:solidFill>
              <a:schemeClr val="tx1"/>
            </a:solidFill>
            <a:round/>
            <a:tailEnd type="stealth" w="lg" len="lg"/>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602319928"/>
        <c:crosses val="autoZero"/>
        <c:crossBetween val="midCat"/>
        <c:majorUnit val="0.5"/>
      </c:valAx>
      <c:spPr>
        <a:noFill/>
        <a:ln>
          <a:noFill/>
        </a:ln>
        <a:effectLst/>
      </c:spPr>
    </c:plotArea>
    <c:legend>
      <c:legendPos val="r"/>
      <c:legendEntry>
        <c:idx val="7"/>
        <c:delete val="1"/>
      </c:legendEntry>
      <c:layout>
        <c:manualLayout>
          <c:xMode val="edge"/>
          <c:yMode val="edge"/>
          <c:x val="6.1500615006150061E-3"/>
          <c:y val="0.91367050798337712"/>
          <c:w val="0.98949869342564467"/>
          <c:h val="8.5964840332458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baseline="0">
          <a:solidFill>
            <a:schemeClr val="tx1"/>
          </a:solidFill>
          <a:latin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6771487705881088E-2"/>
          <c:y val="4.3073681883658649E-2"/>
          <c:w val="0.92718845643788439"/>
          <c:h val="0.72947614795573246"/>
        </c:manualLayout>
      </c:layout>
      <c:scatterChart>
        <c:scatterStyle val="smoothMarker"/>
        <c:varyColors val="0"/>
        <c:ser>
          <c:idx val="0"/>
          <c:order val="0"/>
          <c:tx>
            <c:strRef>
              <c:f>'Thorium fuel cycle'!$AB$150</c:f>
              <c:strCache>
                <c:ptCount val="1"/>
                <c:pt idx="0">
                  <c:v>Tsat(P), C</c:v>
                </c:pt>
              </c:strCache>
            </c:strRef>
          </c:tx>
          <c:spPr>
            <a:ln w="12700" cap="rnd">
              <a:solidFill>
                <a:schemeClr val="tx1"/>
              </a:solidFill>
              <a:prstDash val="lgDashDotDot"/>
              <a:round/>
            </a:ln>
            <a:effectLst/>
          </c:spPr>
          <c:marker>
            <c:symbol val="none"/>
          </c:marker>
          <c:xVal>
            <c:numRef>
              <c:f>'Thorium fuel cycle'!$AA$151:$AA$160</c:f>
              <c:numCache>
                <c:formatCode>General</c:formatCode>
                <c:ptCount val="10"/>
                <c:pt idx="0">
                  <c:v>-74.25</c:v>
                </c:pt>
                <c:pt idx="1">
                  <c:v>-57.749999999999993</c:v>
                </c:pt>
                <c:pt idx="2">
                  <c:v>-41.25</c:v>
                </c:pt>
                <c:pt idx="3">
                  <c:v>-24.750000000000004</c:v>
                </c:pt>
                <c:pt idx="4">
                  <c:v>-8.2499999999999982</c:v>
                </c:pt>
                <c:pt idx="5">
                  <c:v>8.2500000000000071</c:v>
                </c:pt>
                <c:pt idx="6">
                  <c:v>24.750000000000004</c:v>
                </c:pt>
                <c:pt idx="7">
                  <c:v>41.25</c:v>
                </c:pt>
                <c:pt idx="8">
                  <c:v>57.749999999999993</c:v>
                </c:pt>
                <c:pt idx="9">
                  <c:v>74.249999999999986</c:v>
                </c:pt>
              </c:numCache>
            </c:numRef>
          </c:xVal>
          <c:yVal>
            <c:numRef>
              <c:f>'Thorium fuel cycle'!$AB$151:$AB$160</c:f>
              <c:numCache>
                <c:formatCode>0.00</c:formatCode>
                <c:ptCount val="10"/>
                <c:pt idx="0">
                  <c:v>345.97559468741372</c:v>
                </c:pt>
                <c:pt idx="1">
                  <c:v>345.97559468741372</c:v>
                </c:pt>
                <c:pt idx="2">
                  <c:v>345.97559468741372</c:v>
                </c:pt>
                <c:pt idx="3">
                  <c:v>345.97559468741372</c:v>
                </c:pt>
                <c:pt idx="4">
                  <c:v>345.97559468741372</c:v>
                </c:pt>
                <c:pt idx="5">
                  <c:v>345.97559468741372</c:v>
                </c:pt>
                <c:pt idx="6">
                  <c:v>345.97559468741372</c:v>
                </c:pt>
                <c:pt idx="7">
                  <c:v>345.97559468741372</c:v>
                </c:pt>
                <c:pt idx="8">
                  <c:v>345.97559468741372</c:v>
                </c:pt>
                <c:pt idx="9">
                  <c:v>345.97559468741372</c:v>
                </c:pt>
              </c:numCache>
            </c:numRef>
          </c:yVal>
          <c:smooth val="1"/>
          <c:extLst>
            <c:ext xmlns:c16="http://schemas.microsoft.com/office/drawing/2014/chart" uri="{C3380CC4-5D6E-409C-BE32-E72D297353CC}">
              <c16:uniqueId val="{00000000-11B4-49A5-9E5C-3A54E2B4CA12}"/>
            </c:ext>
          </c:extLst>
        </c:ser>
        <c:ser>
          <c:idx val="1"/>
          <c:order val="1"/>
          <c:tx>
            <c:strRef>
              <c:f>'Thorium fuel cycle'!$AC$150</c:f>
              <c:strCache>
                <c:ptCount val="1"/>
                <c:pt idx="0">
                  <c:v>t_cool, C</c:v>
                </c:pt>
              </c:strCache>
            </c:strRef>
          </c:tx>
          <c:spPr>
            <a:ln w="15875" cap="rnd">
              <a:solidFill>
                <a:schemeClr val="tx1"/>
              </a:solidFill>
              <a:prstDash val="lgDashDot"/>
              <a:round/>
            </a:ln>
            <a:effectLst/>
          </c:spPr>
          <c:marker>
            <c:symbol val="none"/>
          </c:marker>
          <c:xVal>
            <c:numRef>
              <c:f>'Thorium fuel cycle'!$AA$151:$AA$160</c:f>
              <c:numCache>
                <c:formatCode>General</c:formatCode>
                <c:ptCount val="10"/>
                <c:pt idx="0">
                  <c:v>-74.25</c:v>
                </c:pt>
                <c:pt idx="1">
                  <c:v>-57.749999999999993</c:v>
                </c:pt>
                <c:pt idx="2">
                  <c:v>-41.25</c:v>
                </c:pt>
                <c:pt idx="3">
                  <c:v>-24.750000000000004</c:v>
                </c:pt>
                <c:pt idx="4">
                  <c:v>-8.2499999999999982</c:v>
                </c:pt>
                <c:pt idx="5">
                  <c:v>8.2500000000000071</c:v>
                </c:pt>
                <c:pt idx="6">
                  <c:v>24.750000000000004</c:v>
                </c:pt>
                <c:pt idx="7">
                  <c:v>41.25</c:v>
                </c:pt>
                <c:pt idx="8">
                  <c:v>57.749999999999993</c:v>
                </c:pt>
                <c:pt idx="9">
                  <c:v>74.249999999999986</c:v>
                </c:pt>
              </c:numCache>
            </c:numRef>
          </c:xVal>
          <c:yVal>
            <c:numRef>
              <c:f>'Thorium fuel cycle'!$AC$151:$AC$160</c:f>
              <c:numCache>
                <c:formatCode>General</c:formatCode>
                <c:ptCount val="10"/>
                <c:pt idx="0">
                  <c:v>277</c:v>
                </c:pt>
                <c:pt idx="1">
                  <c:v>279.71503505009895</c:v>
                </c:pt>
                <c:pt idx="2">
                  <c:v>283.91087529231504</c:v>
                </c:pt>
                <c:pt idx="3">
                  <c:v>289.13041703203612</c:v>
                </c:pt>
                <c:pt idx="4">
                  <c:v>294.8161300144306</c:v>
                </c:pt>
                <c:pt idx="5">
                  <c:v>300.38249244084733</c:v>
                </c:pt>
                <c:pt idx="6">
                  <c:v>305.28768219223673</c:v>
                </c:pt>
                <c:pt idx="7">
                  <c:v>309.0907491795283</c:v>
                </c:pt>
                <c:pt idx="8">
                  <c:v>311.48374068780237</c:v>
                </c:pt>
                <c:pt idx="9">
                  <c:v>312.29702802012611</c:v>
                </c:pt>
              </c:numCache>
            </c:numRef>
          </c:yVal>
          <c:smooth val="1"/>
          <c:extLst>
            <c:ext xmlns:c16="http://schemas.microsoft.com/office/drawing/2014/chart" uri="{C3380CC4-5D6E-409C-BE32-E72D297353CC}">
              <c16:uniqueId val="{00000001-11B4-49A5-9E5C-3A54E2B4CA12}"/>
            </c:ext>
          </c:extLst>
        </c:ser>
        <c:ser>
          <c:idx val="2"/>
          <c:order val="2"/>
          <c:tx>
            <c:strRef>
              <c:f>'Thorium fuel cycle'!$AD$149</c:f>
              <c:strCache>
                <c:ptCount val="1"/>
                <c:pt idx="0">
                  <c:v>5.9mm</c:v>
                </c:pt>
              </c:strCache>
            </c:strRef>
          </c:tx>
          <c:spPr>
            <a:ln w="15875" cap="rnd">
              <a:solidFill>
                <a:schemeClr val="tx1"/>
              </a:solidFill>
              <a:round/>
            </a:ln>
            <a:effectLst/>
          </c:spPr>
          <c:marker>
            <c:symbol val="none"/>
          </c:marker>
          <c:xVal>
            <c:numRef>
              <c:f>'Thorium fuel cycle'!$AA$151:$AA$160</c:f>
              <c:numCache>
                <c:formatCode>General</c:formatCode>
                <c:ptCount val="10"/>
                <c:pt idx="0">
                  <c:v>-74.25</c:v>
                </c:pt>
                <c:pt idx="1">
                  <c:v>-57.749999999999993</c:v>
                </c:pt>
                <c:pt idx="2">
                  <c:v>-41.25</c:v>
                </c:pt>
                <c:pt idx="3">
                  <c:v>-24.750000000000004</c:v>
                </c:pt>
                <c:pt idx="4">
                  <c:v>-8.2499999999999982</c:v>
                </c:pt>
                <c:pt idx="5">
                  <c:v>8.2500000000000071</c:v>
                </c:pt>
                <c:pt idx="6">
                  <c:v>24.750000000000004</c:v>
                </c:pt>
                <c:pt idx="7">
                  <c:v>41.25</c:v>
                </c:pt>
                <c:pt idx="8">
                  <c:v>57.749999999999993</c:v>
                </c:pt>
                <c:pt idx="9">
                  <c:v>74.249999999999986</c:v>
                </c:pt>
              </c:numCache>
            </c:numRef>
          </c:xVal>
          <c:yVal>
            <c:numRef>
              <c:f>'Thorium fuel cycle'!$AD$151:$AD$160</c:f>
              <c:numCache>
                <c:formatCode>0.00</c:formatCode>
                <c:ptCount val="10"/>
                <c:pt idx="0">
                  <c:v>289.14351288857313</c:v>
                </c:pt>
                <c:pt idx="1">
                  <c:v>314.83125275279195</c:v>
                </c:pt>
                <c:pt idx="2">
                  <c:v>338.30256278363817</c:v>
                </c:pt>
                <c:pt idx="3">
                  <c:v>348.40118758376326</c:v>
                </c:pt>
                <c:pt idx="4">
                  <c:v>349.21105716544605</c:v>
                </c:pt>
                <c:pt idx="5">
                  <c:v>349.45165544695084</c:v>
                </c:pt>
                <c:pt idx="6">
                  <c:v>349.32835753864737</c:v>
                </c:pt>
                <c:pt idx="7">
                  <c:v>348.75394244252118</c:v>
                </c:pt>
                <c:pt idx="8">
                  <c:v>344.9486406947949</c:v>
                </c:pt>
                <c:pt idx="9">
                  <c:v>323.80955922502653</c:v>
                </c:pt>
              </c:numCache>
            </c:numRef>
          </c:yVal>
          <c:smooth val="1"/>
          <c:extLst>
            <c:ext xmlns:c16="http://schemas.microsoft.com/office/drawing/2014/chart" uri="{C3380CC4-5D6E-409C-BE32-E72D297353CC}">
              <c16:uniqueId val="{00000002-11B4-49A5-9E5C-3A54E2B4CA12}"/>
            </c:ext>
          </c:extLst>
        </c:ser>
        <c:ser>
          <c:idx val="3"/>
          <c:order val="3"/>
          <c:tx>
            <c:strRef>
              <c:f>'Thorium fuel cycle'!$AE$149</c:f>
              <c:strCache>
                <c:ptCount val="1"/>
                <c:pt idx="0">
                  <c:v>6.9mm</c:v>
                </c:pt>
              </c:strCache>
            </c:strRef>
          </c:tx>
          <c:spPr>
            <a:ln w="15875" cap="rnd">
              <a:solidFill>
                <a:schemeClr val="tx1"/>
              </a:solidFill>
              <a:prstDash val="lgDash"/>
              <a:round/>
            </a:ln>
            <a:effectLst/>
          </c:spPr>
          <c:marker>
            <c:symbol val="none"/>
          </c:marker>
          <c:xVal>
            <c:numRef>
              <c:f>'Thorium fuel cycle'!$AA$151:$AA$160</c:f>
              <c:numCache>
                <c:formatCode>General</c:formatCode>
                <c:ptCount val="10"/>
                <c:pt idx="0">
                  <c:v>-74.25</c:v>
                </c:pt>
                <c:pt idx="1">
                  <c:v>-57.749999999999993</c:v>
                </c:pt>
                <c:pt idx="2">
                  <c:v>-41.25</c:v>
                </c:pt>
                <c:pt idx="3">
                  <c:v>-24.750000000000004</c:v>
                </c:pt>
                <c:pt idx="4">
                  <c:v>-8.2499999999999982</c:v>
                </c:pt>
                <c:pt idx="5">
                  <c:v>8.2500000000000071</c:v>
                </c:pt>
                <c:pt idx="6">
                  <c:v>24.750000000000004</c:v>
                </c:pt>
                <c:pt idx="7">
                  <c:v>41.25</c:v>
                </c:pt>
                <c:pt idx="8">
                  <c:v>57.749999999999993</c:v>
                </c:pt>
                <c:pt idx="9">
                  <c:v>74.249999999999986</c:v>
                </c:pt>
              </c:numCache>
            </c:numRef>
          </c:xVal>
          <c:yVal>
            <c:numRef>
              <c:f>'Thorium fuel cycle'!$AE$151:$AE$160</c:f>
              <c:numCache>
                <c:formatCode>General</c:formatCode>
                <c:ptCount val="10"/>
                <c:pt idx="0">
                  <c:v>285.56337092666809</c:v>
                </c:pt>
                <c:pt idx="1">
                  <c:v>304.47831405256562</c:v>
                </c:pt>
                <c:pt idx="2">
                  <c:v>322.26684358497425</c:v>
                </c:pt>
                <c:pt idx="3">
                  <c:v>337.12244220764552</c:v>
                </c:pt>
                <c:pt idx="4">
                  <c:v>346.93887589395973</c:v>
                </c:pt>
                <c:pt idx="5">
                  <c:v>348.04565062463053</c:v>
                </c:pt>
                <c:pt idx="6">
                  <c:v>347.96589625646862</c:v>
                </c:pt>
                <c:pt idx="7">
                  <c:v>346.01446167514484</c:v>
                </c:pt>
                <c:pt idx="8">
                  <c:v>335.0825423206802</c:v>
                </c:pt>
                <c:pt idx="9">
                  <c:v>320.41544284102781</c:v>
                </c:pt>
              </c:numCache>
            </c:numRef>
          </c:yVal>
          <c:smooth val="1"/>
          <c:extLst>
            <c:ext xmlns:c16="http://schemas.microsoft.com/office/drawing/2014/chart" uri="{C3380CC4-5D6E-409C-BE32-E72D297353CC}">
              <c16:uniqueId val="{00000003-11B4-49A5-9E5C-3A54E2B4CA12}"/>
            </c:ext>
          </c:extLst>
        </c:ser>
        <c:ser>
          <c:idx val="4"/>
          <c:order val="4"/>
          <c:tx>
            <c:strRef>
              <c:f>'Thorium fuel cycle'!$AF$149</c:f>
              <c:strCache>
                <c:ptCount val="1"/>
                <c:pt idx="0">
                  <c:v>7.9mm </c:v>
                </c:pt>
              </c:strCache>
            </c:strRef>
          </c:tx>
          <c:spPr>
            <a:ln w="15875" cap="rnd">
              <a:solidFill>
                <a:schemeClr val="tx1"/>
              </a:solidFill>
              <a:prstDash val="sysDash"/>
              <a:round/>
            </a:ln>
            <a:effectLst/>
          </c:spPr>
          <c:marker>
            <c:symbol val="none"/>
          </c:marker>
          <c:xVal>
            <c:numRef>
              <c:f>'Thorium fuel cycle'!$AA$151:$AA$160</c:f>
              <c:numCache>
                <c:formatCode>General</c:formatCode>
                <c:ptCount val="10"/>
                <c:pt idx="0">
                  <c:v>-74.25</c:v>
                </c:pt>
                <c:pt idx="1">
                  <c:v>-57.749999999999993</c:v>
                </c:pt>
                <c:pt idx="2">
                  <c:v>-41.25</c:v>
                </c:pt>
                <c:pt idx="3">
                  <c:v>-24.750000000000004</c:v>
                </c:pt>
                <c:pt idx="4">
                  <c:v>-8.2499999999999982</c:v>
                </c:pt>
                <c:pt idx="5">
                  <c:v>8.2500000000000071</c:v>
                </c:pt>
                <c:pt idx="6">
                  <c:v>24.750000000000004</c:v>
                </c:pt>
                <c:pt idx="7">
                  <c:v>41.25</c:v>
                </c:pt>
                <c:pt idx="8">
                  <c:v>57.749999999999993</c:v>
                </c:pt>
                <c:pt idx="9">
                  <c:v>74.249999999999986</c:v>
                </c:pt>
              </c:numCache>
            </c:numRef>
          </c:xVal>
          <c:yVal>
            <c:numRef>
              <c:f>'Thorium fuel cycle'!$AF$151:$AF$160</c:f>
              <c:numCache>
                <c:formatCode>0.00</c:formatCode>
                <c:ptCount val="10"/>
                <c:pt idx="0">
                  <c:v>282.86289296413338</c:v>
                </c:pt>
                <c:pt idx="1">
                  <c:v>296.66915924671645</c:v>
                </c:pt>
                <c:pt idx="2">
                  <c:v>310.17120414660332</c:v>
                </c:pt>
                <c:pt idx="3">
                  <c:v>321.98805091781622</c:v>
                </c:pt>
                <c:pt idx="4">
                  <c:v>330.94970860962894</c:v>
                </c:pt>
                <c:pt idx="5">
                  <c:v>336.21689740543616</c:v>
                </c:pt>
                <c:pt idx="6">
                  <c:v>337.35814061845673</c:v>
                </c:pt>
                <c:pt idx="7">
                  <c:v>334.37098974056619</c:v>
                </c:pt>
                <c:pt idx="8">
                  <c:v>327.64060802896898</c:v>
                </c:pt>
                <c:pt idx="9">
                  <c:v>317.85528277061843</c:v>
                </c:pt>
              </c:numCache>
            </c:numRef>
          </c:yVal>
          <c:smooth val="1"/>
          <c:extLst>
            <c:ext xmlns:c16="http://schemas.microsoft.com/office/drawing/2014/chart" uri="{C3380CC4-5D6E-409C-BE32-E72D297353CC}">
              <c16:uniqueId val="{00000004-11B4-49A5-9E5C-3A54E2B4CA12}"/>
            </c:ext>
          </c:extLst>
        </c:ser>
        <c:dLbls>
          <c:showLegendKey val="0"/>
          <c:showVal val="0"/>
          <c:showCatName val="0"/>
          <c:showSerName val="0"/>
          <c:showPercent val="0"/>
          <c:showBubbleSize val="0"/>
        </c:dLbls>
        <c:axId val="514056976"/>
        <c:axId val="514051216"/>
      </c:scatterChart>
      <c:valAx>
        <c:axId val="514056976"/>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tailEnd type="stealth" w="lg"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4051216"/>
        <c:crosses val="autoZero"/>
        <c:crossBetween val="midCat"/>
      </c:valAx>
      <c:valAx>
        <c:axId val="514051216"/>
        <c:scaling>
          <c:orientation val="minMax"/>
          <c:min val="250"/>
        </c:scaling>
        <c:delete val="0"/>
        <c:axPos val="l"/>
        <c:numFmt formatCode="General" sourceLinked="0"/>
        <c:majorTickMark val="out"/>
        <c:minorTickMark val="none"/>
        <c:tickLblPos val="nextTo"/>
        <c:spPr>
          <a:noFill/>
          <a:ln w="9525" cap="flat" cmpd="sng" algn="ctr">
            <a:solidFill>
              <a:schemeClr val="tx1"/>
            </a:solidFill>
            <a:round/>
            <a:tailEnd type="stealth" w="lg" len="lg"/>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14056976"/>
        <c:crosses val="autoZero"/>
        <c:crossBetween val="midCat"/>
      </c:valAx>
      <c:spPr>
        <a:noFill/>
        <a:ln>
          <a:noFill/>
        </a:ln>
        <a:effectLst/>
      </c:spPr>
    </c:plotArea>
    <c:legend>
      <c:legendPos val="r"/>
      <c:layout>
        <c:manualLayout>
          <c:xMode val="edge"/>
          <c:yMode val="edge"/>
          <c:x val="1.4022350979712439E-2"/>
          <c:y val="0.87553282643793251"/>
          <c:w val="0.92035581560939772"/>
          <c:h val="0.1160420669065851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baseline="0">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665F-B544-493C-BCFD-281164CA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samiru alhassan</dc:creator>
  <cp:keywords/>
  <dc:description/>
  <cp:lastModifiedBy>samiru alhassan</cp:lastModifiedBy>
  <cp:revision>11</cp:revision>
  <cp:lastPrinted>2024-04-17T15:59:00Z</cp:lastPrinted>
  <dcterms:created xsi:type="dcterms:W3CDTF">2024-04-16T16:07:00Z</dcterms:created>
  <dcterms:modified xsi:type="dcterms:W3CDTF">2024-04-17T16:00:00Z</dcterms:modified>
</cp:coreProperties>
</file>