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erschrift1"/>
      </w:pPr>
      <w:r>
        <w:t>Characterisation of spent LWR fuel with SMR-relevant initial compositions and operational conditions</w:t>
      </w:r>
    </w:p>
    <w:p>
      <w:pPr>
        <w:pStyle w:val="Authornameandaffiliation"/>
      </w:pPr>
    </w:p>
    <w:p>
      <w:pPr>
        <w:pStyle w:val="Authornameandaffiliation"/>
      </w:pPr>
      <w:r>
        <w:t>G. ŽEROVNIK</w:t>
      </w:r>
    </w:p>
    <w:p>
      <w:pPr>
        <w:pStyle w:val="Authornameandaffiliation"/>
      </w:pPr>
      <w:r>
        <w:rPr>
          <w:rFonts w:eastAsiaTheme="minorEastAsia"/>
          <w:noProof/>
          <w:color w:val="000000"/>
          <w:lang w:eastAsia="de-DE"/>
        </w:rPr>
        <w:t>Federal Office for the Safety of Nuclear Waste Management (BASE)</w:t>
      </w:r>
    </w:p>
    <w:p>
      <w:pPr>
        <w:pStyle w:val="Authornameandaffiliation"/>
      </w:pPr>
      <w:r>
        <w:t>Salzgitter, Germany</w:t>
      </w:r>
    </w:p>
    <w:p>
      <w:pPr>
        <w:pStyle w:val="Authornameandaffiliation"/>
      </w:pPr>
      <w:r>
        <w:t xml:space="preserve">Email: </w:t>
      </w:r>
      <w:hyperlink r:id="rId8" w:history="1">
        <w:r>
          <w:rPr>
            <w:rStyle w:val="Hyperlink"/>
          </w:rPr>
          <w:t>gasper.zerovnik@base.bund.de</w:t>
        </w:r>
      </w:hyperlink>
      <w:r>
        <w:t xml:space="preserve"> </w:t>
      </w:r>
    </w:p>
    <w:p>
      <w:pPr>
        <w:pStyle w:val="Authornameandaffiliation"/>
      </w:pPr>
    </w:p>
    <w:p>
      <w:pPr>
        <w:pStyle w:val="Authornameandaffiliation"/>
        <w:rPr>
          <w:b/>
        </w:rPr>
      </w:pPr>
      <w:r>
        <w:rPr>
          <w:b/>
        </w:rPr>
        <w:t>Abstract</w:t>
      </w:r>
    </w:p>
    <w:p>
      <w:pPr>
        <w:pStyle w:val="Authornameandaffiliation"/>
      </w:pPr>
    </w:p>
    <w:p>
      <w:pPr>
        <w:pStyle w:val="Abstracttext"/>
      </w:pPr>
      <w:r>
        <w:t xml:space="preserve">The impact of the reactor core size on neutron multiplication factor, decay heat and spent fuel inventory was studied using </w:t>
      </w:r>
      <w:r>
        <w:t xml:space="preserve">Serpent model </w:t>
      </w:r>
      <w:r>
        <w:t xml:space="preserve">of a typical PWR and ENDF/B-VII.1 nuclear data library. A typical SMR-sized uniform core has an about 0.08 lower neutron multiplication factor than a large core with equal material composition and operation conditions. Use of HALEU fuel typically results in higher isotopic purity of </w:t>
      </w:r>
      <w:r>
        <w:rPr>
          <w:vertAlign w:val="superscript"/>
        </w:rPr>
        <w:t>239</w:t>
      </w:r>
      <w:r>
        <w:t xml:space="preserve">Pu and an increased production of long-lived fission product </w:t>
      </w:r>
      <w:r>
        <w:rPr>
          <w:vertAlign w:val="superscript"/>
        </w:rPr>
        <w:t>135</w:t>
      </w:r>
      <w:r>
        <w:t>Cs, and on the other hand a lower production of transuranic nuclides which results in reduction of the decay heat rate. Use of stainless-steel reflector leads to an increased production of transuranic nuclides and some fission products.</w:t>
      </w:r>
    </w:p>
    <w:p>
      <w:pPr>
        <w:pStyle w:val="berschrift2"/>
        <w:numPr>
          <w:ilvl w:val="1"/>
          <w:numId w:val="10"/>
        </w:numPr>
      </w:pPr>
      <w:r>
        <w:t>INTRODUCTION</w:t>
      </w:r>
    </w:p>
    <w:p>
      <w:pPr>
        <w:pStyle w:val="Textkrper"/>
      </w:pPr>
      <w:r>
        <w:t xml:space="preserve">Currently, there is a large number of Small Modular Reactor (SMR) concepts in different stages of development </w:t>
      </w:r>
      <w:r>
        <w:fldChar w:fldCharType="begin"/>
      </w:r>
      <w:r>
        <w:instrText xml:space="preserve"> REF _Ref166564853 \r \h </w:instrText>
      </w:r>
      <w:r>
        <w:instrText xml:space="preserve"> \* MERGEFORMAT </w:instrText>
      </w:r>
      <w:r>
        <w:fldChar w:fldCharType="separate"/>
      </w:r>
      <w:r>
        <w:t>[1]</w:t>
      </w:r>
      <w:r>
        <w:fldChar w:fldCharType="end"/>
      </w:r>
      <w:r>
        <w:t xml:space="preserve">. Among them, many are Light Water Reactors (LWRs). To counteract their smaller size compared to the »classical« GEN II and III counterparts, various design adaptations are being proposed, e.g. the use of High-Assay Low-Enriched Uranium (HALEU) fuel </w:t>
      </w:r>
      <w:r>
        <w:fldChar w:fldCharType="begin"/>
      </w:r>
      <w:r>
        <w:instrText xml:space="preserve"> REF _Ref166565160 \r \h </w:instrText>
      </w:r>
      <w:r>
        <w:fldChar w:fldCharType="separate"/>
      </w:r>
      <w:r>
        <w:t>[2]</w:t>
      </w:r>
      <w:r>
        <w:fldChar w:fldCharType="end"/>
      </w:r>
      <w:r>
        <w:t xml:space="preserve"> and different reflectors </w:t>
      </w:r>
      <w:r>
        <w:fldChar w:fldCharType="begin"/>
      </w:r>
      <w:r>
        <w:instrText xml:space="preserve"> REF _Ref167173668 \r \h </w:instrText>
      </w:r>
      <w:r>
        <w:fldChar w:fldCharType="separate"/>
      </w:r>
      <w:r>
        <w:t>[3]</w:t>
      </w:r>
      <w:r>
        <w:fldChar w:fldCharType="end"/>
      </w:r>
      <w:r>
        <w:t xml:space="preserve">. In addition, operational parameters may differ, e.g. having a lower power density </w:t>
      </w:r>
      <w:r>
        <w:fldChar w:fldCharType="begin"/>
      </w:r>
      <w:r>
        <w:instrText xml:space="preserve"> REF _Ref167173695 \r \h </w:instrText>
      </w:r>
      <w:r>
        <w:fldChar w:fldCharType="separate"/>
      </w:r>
      <w:r>
        <w:t>[4]</w:t>
      </w:r>
      <w:r>
        <w:fldChar w:fldCharType="end"/>
      </w:r>
      <w:r>
        <w:t xml:space="preserve"> and more flexibility to operate in so-called load-following mode </w:t>
      </w:r>
      <w:r>
        <w:fldChar w:fldCharType="begin"/>
      </w:r>
      <w:r>
        <w:instrText xml:space="preserve"> REF _Ref166565181 \r \h </w:instrText>
      </w:r>
      <w:r>
        <w:fldChar w:fldCharType="separate"/>
      </w:r>
      <w:r>
        <w:t>[5]</w:t>
      </w:r>
      <w:r>
        <w:fldChar w:fldCharType="end"/>
      </w:r>
      <w:r>
        <w:t xml:space="preserve">. These modifications affect the composition of spent nuclear fuel (SNF), which has implications with respect to radioactive waste and resource utilisation </w:t>
      </w:r>
      <w:r>
        <w:fldChar w:fldCharType="begin"/>
      </w:r>
      <w:r>
        <w:instrText xml:space="preserve"> REF _Ref166565193 \r \h </w:instrText>
      </w:r>
      <w:r>
        <w:fldChar w:fldCharType="separate"/>
      </w:r>
      <w:r>
        <w:t>[6]</w:t>
      </w:r>
      <w:r>
        <w:fldChar w:fldCharType="end"/>
      </w:r>
      <w:r>
        <w:t xml:space="preserve">. </w:t>
      </w:r>
    </w:p>
    <w:p>
      <w:pPr>
        <w:pStyle w:val="Textkrper"/>
      </w:pPr>
      <w:r>
        <w:t xml:space="preserve">The aim of this paper is to investigate some key aspects of fuel depletion. Assuming a generic SMR-relevant design, it explores the relationship between neutron multiplication factor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and reactor core size, examines the maximum achievable burnup considering different types of reflectors and initial </w:t>
      </w:r>
      <w:r>
        <w:rPr>
          <w:vertAlign w:val="superscript"/>
        </w:rPr>
        <w:t>235</w:t>
      </w:r>
      <w:r>
        <w:t xml:space="preserve">U enrichments (IE). Additionally, some important components of the SNF nuclide vector are compared, along with integral parameters like decay heat. All calculations are performed with Serpent </w:t>
      </w:r>
      <w:r>
        <w:fldChar w:fldCharType="begin"/>
      </w:r>
      <w:r>
        <w:instrText xml:space="preserve"> REF _Ref165557025 \r \h </w:instrText>
      </w:r>
      <w:r>
        <w:fldChar w:fldCharType="separate"/>
      </w:r>
      <w:r>
        <w:t>[7]</w:t>
      </w:r>
      <w:r>
        <w:fldChar w:fldCharType="end"/>
      </w:r>
      <w:r>
        <w:t xml:space="preserve"> neutron transport and fuel depletion code using the ENDF/B-VII.1 </w:t>
      </w:r>
      <w:r>
        <w:fldChar w:fldCharType="begin"/>
      </w:r>
      <w:r>
        <w:instrText xml:space="preserve"> REF _Ref165557018 \r \h </w:instrText>
      </w:r>
      <w:r>
        <w:fldChar w:fldCharType="separate"/>
      </w:r>
      <w:r>
        <w:t>[8]</w:t>
      </w:r>
      <w:r>
        <w:fldChar w:fldCharType="end"/>
      </w:r>
      <w:r>
        <w:t xml:space="preserve"> nuclear data library.</w:t>
      </w:r>
    </w:p>
    <w:p>
      <w:pPr>
        <w:pStyle w:val="berschrift2"/>
        <w:numPr>
          <w:ilvl w:val="1"/>
          <w:numId w:val="10"/>
        </w:numPr>
      </w:pPr>
      <w:r>
        <w:t>COMPUTATIONAL MODEL</w:t>
      </w:r>
    </w:p>
    <w:p>
      <w:pPr>
        <w:pStyle w:val="Textkrper"/>
      </w:pPr>
      <w:r>
        <w:t xml:space="preserve">Spent nuclear fuel (SNF) is characterised by its nuclide vector. To estimate the nuclide inventory of SNF, coupled neutron transport and fuel depletion calculations were performed. In addition, the effect of the reactor core size on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was assessed. All calculations were performed by the Serpent code </w:t>
      </w:r>
      <w:r>
        <w:rPr>
          <w:highlight w:val="yellow"/>
        </w:rPr>
        <w:fldChar w:fldCharType="begin"/>
      </w:r>
      <w:r>
        <w:instrText xml:space="preserve"> REF _Ref165557025 \n \h </w:instrText>
      </w:r>
      <w:r>
        <w:rPr>
          <w:highlight w:val="yellow"/>
        </w:rPr>
      </w:r>
      <w:r>
        <w:rPr>
          <w:highlight w:val="yellow"/>
        </w:rPr>
        <w:fldChar w:fldCharType="separate"/>
      </w:r>
      <w:r>
        <w:t>[7]</w:t>
      </w:r>
      <w:r>
        <w:rPr>
          <w:highlight w:val="yellow"/>
        </w:rPr>
        <w:fldChar w:fldCharType="end"/>
      </w:r>
      <w:r>
        <w:t xml:space="preserve"> version 2.2.1, based on Monte Carlo (MC) method. In all calculations, nuclear data (ND) from the library ENDF/B-VII.1 </w:t>
      </w:r>
      <w:r>
        <w:rPr>
          <w:highlight w:val="yellow"/>
        </w:rPr>
        <w:fldChar w:fldCharType="begin"/>
      </w:r>
      <w:r>
        <w:instrText xml:space="preserve"> REF _Ref165557018 \n \h </w:instrText>
      </w:r>
      <w:r>
        <w:rPr>
          <w:highlight w:val="yellow"/>
        </w:rPr>
      </w:r>
      <w:r>
        <w:rPr>
          <w:highlight w:val="yellow"/>
        </w:rPr>
        <w:fldChar w:fldCharType="separate"/>
      </w:r>
      <w:r>
        <w:t>[8]</w:t>
      </w:r>
      <w:r>
        <w:rPr>
          <w:highlight w:val="yellow"/>
        </w:rPr>
        <w:fldChar w:fldCharType="end"/>
      </w:r>
      <w:r>
        <w:t xml:space="preserve"> were used.</w:t>
      </w:r>
    </w:p>
    <w:p>
      <w:pPr>
        <w:pStyle w:val="Textkrper"/>
        <w:rPr>
          <w:highlight w:val="yellow"/>
        </w:rPr>
      </w:pPr>
      <w:r>
        <w:t>In the reference models, the UO</w:t>
      </w:r>
      <w:r>
        <w:rPr>
          <w:vertAlign w:val="subscript"/>
        </w:rPr>
        <w:t>2</w:t>
      </w:r>
      <w:r>
        <w:t xml:space="preserve"> fuel was used with the same pin-cell geometry and material composition.</w:t>
      </w:r>
      <w:r>
        <w:rPr>
          <w:highlight w:val="yellow"/>
        </w:rPr>
        <w:t xml:space="preserve"> </w:t>
      </w:r>
      <w:r>
        <w:t xml:space="preserve">The pin spacing was </w:t>
      </w:r>
      <m:oMath>
        <m:r>
          <w:rPr>
            <w:rFonts w:ascii="Cambria Math" w:hAnsi="Cambria Math"/>
          </w:rPr>
          <m:t xml:space="preserve">1.26 </m:t>
        </m:r>
        <m:r>
          <m:rPr>
            <m:sty m:val="p"/>
          </m:rPr>
          <w:rPr>
            <w:rFonts w:ascii="Cambria Math" w:hAnsi="Cambria Math"/>
          </w:rPr>
          <m:t>cm</m:t>
        </m:r>
      </m:oMath>
      <w:r>
        <w:t>. Each fuel pin consisted of four regions, separated by concentric circles/cylinders:</w:t>
      </w:r>
    </w:p>
    <w:p>
      <w:pPr>
        <w:pStyle w:val="Textkrper"/>
        <w:numPr>
          <w:ilvl w:val="0"/>
          <w:numId w:val="33"/>
        </w:numPr>
      </w:pPr>
      <w:r>
        <w:t>Fuel (UO</w:t>
      </w:r>
      <w:r>
        <w:rPr>
          <w:vertAlign w:val="subscript"/>
        </w:rPr>
        <w:t>2</w:t>
      </w:r>
      <w:r>
        <w:t xml:space="preserve">): </w:t>
      </w:r>
      <m:oMath>
        <m:r>
          <w:rPr>
            <w:rFonts w:ascii="Cambria Math" w:hAnsi="Cambria Math"/>
          </w:rPr>
          <m:t xml:space="preserve">T = 900 </m:t>
        </m:r>
        <m:r>
          <m:rPr>
            <m:sty m:val="p"/>
          </m:rPr>
          <w:rPr>
            <w:rFonts w:ascii="Cambria Math" w:hAnsi="Cambria Math"/>
          </w:rPr>
          <m:t>K</m:t>
        </m:r>
      </m:oMath>
      <w:r>
        <w:t xml:space="preserve">; </w:t>
      </w:r>
      <m:oMath>
        <m:r>
          <w:rPr>
            <w:rFonts w:ascii="Cambria Math" w:hAnsi="Cambria Math"/>
          </w:rPr>
          <m:t xml:space="preserve">r = 0.405 </m:t>
        </m:r>
        <m:r>
          <m:rPr>
            <m:sty m:val="p"/>
          </m:rPr>
          <w:rPr>
            <w:rFonts w:ascii="Cambria Math" w:hAnsi="Cambria Math"/>
          </w:rPr>
          <m:t>cm</m:t>
        </m:r>
      </m:oMath>
      <w:r>
        <w:t xml:space="preserve">; </w:t>
      </w:r>
      <m:oMath>
        <m:r>
          <w:rPr>
            <w:rFonts w:ascii="Cambria Math" w:hAnsi="Cambria Math"/>
          </w:rPr>
          <m:t xml:space="preserve">ρ = 10.53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 xml:space="preserve">; </w:t>
      </w:r>
      <w:r>
        <w:rPr>
          <w:vertAlign w:val="superscript"/>
        </w:rPr>
        <w:t>235</w:t>
      </w:r>
      <w:r>
        <w:t xml:space="preserve">U enrichment </w:t>
      </w:r>
      <m:oMath>
        <m:r>
          <w:rPr>
            <w:rFonts w:ascii="Cambria Math" w:hAnsi="Cambria Math"/>
          </w:rPr>
          <m:t>4.5%</m:t>
        </m:r>
      </m:oMath>
      <w:r>
        <w:t xml:space="preserve"> (no </w:t>
      </w:r>
      <w:r>
        <w:rPr>
          <w:vertAlign w:val="superscript"/>
        </w:rPr>
        <w:t>234,236</w:t>
      </w:r>
      <w:r>
        <w:t>U).</w:t>
      </w:r>
    </w:p>
    <w:p>
      <w:pPr>
        <w:pStyle w:val="Textkrper"/>
        <w:numPr>
          <w:ilvl w:val="0"/>
          <w:numId w:val="33"/>
        </w:numPr>
      </w:pPr>
      <w:r>
        <w:t>Gap (</w:t>
      </w:r>
      <w:r>
        <w:rPr>
          <w:vertAlign w:val="superscript"/>
        </w:rPr>
        <w:t>4</w:t>
      </w:r>
      <w:r>
        <w:t xml:space="preserve">He): </w:t>
      </w:r>
      <m:oMath>
        <m:r>
          <w:rPr>
            <w:rFonts w:ascii="Cambria Math" w:hAnsi="Cambria Math"/>
          </w:rPr>
          <m:t xml:space="preserve">T = 900 </m:t>
        </m:r>
        <m:r>
          <m:rPr>
            <m:sty m:val="p"/>
          </m:rPr>
          <w:rPr>
            <w:rFonts w:ascii="Cambria Math" w:hAnsi="Cambria Math"/>
          </w:rPr>
          <m:t xml:space="preserve">K; </m:t>
        </m:r>
        <m:r>
          <w:rPr>
            <w:rFonts w:ascii="Cambria Math" w:hAnsi="Cambria Math"/>
          </w:rPr>
          <m:t>d = 0.009 c</m:t>
        </m:r>
        <m:r>
          <m:rPr>
            <m:sty m:val="p"/>
          </m:rPr>
          <w:rPr>
            <w:rFonts w:ascii="Cambria Math" w:hAnsi="Cambria Math"/>
          </w:rPr>
          <m:t>m</m:t>
        </m:r>
      </m:oMath>
      <w:r>
        <w:t xml:space="preserve">; </w:t>
      </w:r>
      <m:oMath>
        <m:r>
          <w:rPr>
            <w:rFonts w:ascii="Cambria Math" w:hAnsi="Cambria Math"/>
          </w:rPr>
          <m:t xml:space="preserve">ρ = 0.0013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w:t>
      </w:r>
    </w:p>
    <w:p>
      <w:pPr>
        <w:pStyle w:val="Textkrper"/>
        <w:numPr>
          <w:ilvl w:val="0"/>
          <w:numId w:val="33"/>
        </w:numPr>
      </w:pPr>
      <w:r>
        <w:t>Cladding (</w:t>
      </w:r>
      <w:proofErr w:type="spellStart"/>
      <w:r>
        <w:t>Zr</w:t>
      </w:r>
      <w:proofErr w:type="spellEnd"/>
      <w:r>
        <w:t xml:space="preserve">-alloy):  </w:t>
      </w:r>
      <m:oMath>
        <m:r>
          <w:rPr>
            <w:rFonts w:ascii="Cambria Math" w:hAnsi="Cambria Math"/>
          </w:rPr>
          <m:t xml:space="preserve">T = 600 </m:t>
        </m:r>
        <m:r>
          <m:rPr>
            <m:sty m:val="p"/>
          </m:rPr>
          <w:rPr>
            <w:rFonts w:ascii="Cambria Math" w:hAnsi="Cambria Math"/>
          </w:rPr>
          <m:t xml:space="preserve">K; </m:t>
        </m:r>
        <m:r>
          <w:rPr>
            <w:rFonts w:ascii="Cambria Math" w:hAnsi="Cambria Math"/>
          </w:rPr>
          <m:t>d = 0.061 c</m:t>
        </m:r>
        <m:r>
          <m:rPr>
            <m:sty m:val="p"/>
          </m:rPr>
          <w:rPr>
            <w:rFonts w:ascii="Cambria Math" w:hAnsi="Cambria Math"/>
          </w:rPr>
          <m:t>m</m:t>
        </m:r>
      </m:oMath>
      <w:r>
        <w:t xml:space="preserve">; </w:t>
      </w:r>
      <m:oMath>
        <m:r>
          <w:rPr>
            <w:rFonts w:ascii="Cambria Math" w:hAnsi="Cambria Math"/>
          </w:rPr>
          <m:t xml:space="preserve">ρ = 6.56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 xml:space="preserve">; </w:t>
      </w:r>
      <w:r>
        <w:br/>
      </w:r>
      <w:proofErr w:type="spellStart"/>
      <w:r>
        <w:t>Zr</w:t>
      </w:r>
      <w:proofErr w:type="spellEnd"/>
      <w:r>
        <w:t xml:space="preserve"> </w:t>
      </w:r>
      <m:oMath>
        <m:r>
          <w:rPr>
            <w:rFonts w:ascii="Cambria Math" w:hAnsi="Cambria Math"/>
          </w:rPr>
          <m:t>98.17%</m:t>
        </m:r>
      </m:oMath>
      <w:r>
        <w:t xml:space="preserve"> (wt.), Sn </w:t>
      </w:r>
      <m:oMath>
        <m:r>
          <w:rPr>
            <w:rFonts w:ascii="Cambria Math" w:hAnsi="Cambria Math"/>
          </w:rPr>
          <m:t>1.45%</m:t>
        </m:r>
      </m:oMath>
      <w:r>
        <w:t xml:space="preserve">, Fe </w:t>
      </w:r>
      <m:oMath>
        <m:r>
          <w:rPr>
            <w:rFonts w:ascii="Cambria Math" w:hAnsi="Cambria Math"/>
          </w:rPr>
          <m:t>0.21%</m:t>
        </m:r>
      </m:oMath>
      <w:r>
        <w:t xml:space="preserve">, Cr </w:t>
      </w:r>
      <m:oMath>
        <m:r>
          <w:rPr>
            <w:rFonts w:ascii="Cambria Math" w:hAnsi="Cambria Math"/>
          </w:rPr>
          <m:t>0.10%</m:t>
        </m:r>
      </m:oMath>
      <w:r>
        <w:t xml:space="preserve">, C </w:t>
      </w:r>
      <m:oMath>
        <m:r>
          <w:rPr>
            <w:rFonts w:ascii="Cambria Math" w:hAnsi="Cambria Math"/>
          </w:rPr>
          <m:t>0.03%</m:t>
        </m:r>
      </m:oMath>
      <w:r>
        <w:t xml:space="preserve">, Hf </w:t>
      </w:r>
      <m:oMath>
        <m:r>
          <w:rPr>
            <w:rFonts w:ascii="Cambria Math" w:hAnsi="Cambria Math"/>
          </w:rPr>
          <m:t>0.02%</m:t>
        </m:r>
      </m:oMath>
      <w:r>
        <w:t xml:space="preserve">, Si </w:t>
      </w:r>
      <m:oMath>
        <m:r>
          <w:rPr>
            <w:rFonts w:ascii="Cambria Math" w:hAnsi="Cambria Math"/>
          </w:rPr>
          <m:t>0.01%</m:t>
        </m:r>
      </m:oMath>
      <w:r>
        <w:t xml:space="preserve">, W </w:t>
      </w:r>
      <m:oMath>
        <m:r>
          <w:rPr>
            <w:rFonts w:ascii="Cambria Math" w:hAnsi="Cambria Math"/>
          </w:rPr>
          <m:t>0.01%</m:t>
        </m:r>
      </m:oMath>
      <w:r>
        <w:t>.</w:t>
      </w:r>
    </w:p>
    <w:p>
      <w:pPr>
        <w:pStyle w:val="Textkrper"/>
        <w:numPr>
          <w:ilvl w:val="0"/>
          <w:numId w:val="33"/>
        </w:numPr>
      </w:pPr>
      <w:r>
        <w:t>Coolant/moderator (H</w:t>
      </w:r>
      <w:r>
        <w:rPr>
          <w:vertAlign w:val="subscript"/>
        </w:rPr>
        <w:t>2</w:t>
      </w:r>
      <w:r>
        <w:t xml:space="preserve">O): </w:t>
      </w:r>
      <m:oMath>
        <m:r>
          <w:rPr>
            <w:rFonts w:ascii="Cambria Math" w:hAnsi="Cambria Math"/>
          </w:rPr>
          <m:t xml:space="preserve">T = 600 </m:t>
        </m:r>
        <m:r>
          <m:rPr>
            <m:sty m:val="p"/>
          </m:rPr>
          <w:rPr>
            <w:rFonts w:ascii="Cambria Math" w:hAnsi="Cambria Math"/>
          </w:rPr>
          <m:t xml:space="preserve">K; </m:t>
        </m:r>
        <m:r>
          <w:rPr>
            <w:rFonts w:ascii="Cambria Math" w:hAnsi="Cambria Math"/>
          </w:rPr>
          <m:t xml:space="preserve">ρ = 0.65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 no B.</w:t>
      </w:r>
    </w:p>
    <w:p>
      <w:pPr>
        <w:pStyle w:val="berschrift3"/>
      </w:pPr>
      <w:r>
        <w:t>2D fuel assembly (FA) model</w:t>
      </w:r>
    </w:p>
    <w:p>
      <w:pPr>
        <w:pStyle w:val="Textkrper"/>
      </w:pPr>
      <w:r>
        <w:t xml:space="preserve">A FA with </w:t>
      </w:r>
      <m:oMath>
        <m:r>
          <w:rPr>
            <w:rFonts w:ascii="Cambria Math" w:hAnsi="Cambria Math"/>
          </w:rPr>
          <m:t>17×17</m:t>
        </m:r>
      </m:oMath>
      <w:r>
        <w:t xml:space="preserve"> pin configuration with </w:t>
      </w:r>
      <m:oMath>
        <m:r>
          <w:rPr>
            <w:rFonts w:ascii="Cambria Math" w:hAnsi="Cambria Math"/>
          </w:rPr>
          <m:t>25</m:t>
        </m:r>
      </m:oMath>
      <w:r>
        <w:t xml:space="preserve"> empty positions (</w:t>
      </w:r>
      <w:r>
        <w:fldChar w:fldCharType="begin"/>
      </w:r>
      <w:r>
        <w:instrText xml:space="preserve"> REF _Ref165540958 \h </w:instrText>
      </w:r>
      <w:r>
        <w:fldChar w:fldCharType="separate"/>
      </w:r>
      <w:r>
        <w:rPr>
          <w:i/>
        </w:rPr>
        <w:t xml:space="preserve">FIG. </w:t>
      </w:r>
      <w:r>
        <w:rPr>
          <w:i/>
          <w:noProof/>
        </w:rPr>
        <w:t>1</w:t>
      </w:r>
      <w:r>
        <w:fldChar w:fldCharType="end"/>
      </w:r>
      <w:r>
        <w:t xml:space="preserve">) was adopted. Such FA geometries are typical for GEN II/III reactors as well as some SMR concepts </w:t>
      </w:r>
      <w:r>
        <w:fldChar w:fldCharType="begin"/>
      </w:r>
      <w:r>
        <w:instrText xml:space="preserve"> REF _Ref166593110 \r \h </w:instrText>
      </w:r>
      <w:r>
        <w:fldChar w:fldCharType="separate"/>
      </w:r>
      <w:r>
        <w:t>[9]</w:t>
      </w:r>
      <w:r>
        <w:fldChar w:fldCharType="end"/>
      </w:r>
      <w:r>
        <w:t xml:space="preserve">. Empty pins consisted of cladding of same dimensions and composition as fuel pins, and were on inside </w:t>
      </w:r>
      <w:r>
        <w:lastRenderedPageBreak/>
        <w:t>and outside surrounded by water. The reference FA model had reflective boundary conditions. The irradiation conditions were as follows:</w:t>
      </w:r>
    </w:p>
    <w:p>
      <w:pPr>
        <w:pStyle w:val="Textkrper"/>
        <w:numPr>
          <w:ilvl w:val="0"/>
          <w:numId w:val="35"/>
        </w:numPr>
      </w:pPr>
      <w:r>
        <w:t xml:space="preserve">Average power density: constant, </w:t>
      </w:r>
      <m:oMath>
        <m:r>
          <w:rPr>
            <w:rFonts w:ascii="Cambria Math" w:hAnsi="Cambria Math"/>
          </w:rPr>
          <m:t xml:space="preserve">P/m = 50 </m:t>
        </m:r>
        <m:r>
          <m:rPr>
            <m:sty m:val="p"/>
          </m:rPr>
          <w:rPr>
            <w:rFonts w:ascii="Cambria Math" w:hAnsi="Cambria Math"/>
          </w:rPr>
          <m:t>W</m:t>
        </m:r>
        <m:r>
          <w:rPr>
            <w:rFonts w:ascii="Cambria Math" w:hAnsi="Cambria Math"/>
          </w:rPr>
          <m:t>/</m:t>
        </m:r>
        <m:r>
          <m:rPr>
            <m:sty m:val="p"/>
          </m:rPr>
          <w:rPr>
            <w:rFonts w:ascii="Cambria Math" w:hAnsi="Cambria Math"/>
          </w:rPr>
          <m:t>g</m:t>
        </m:r>
      </m:oMath>
      <w:r>
        <w:t>.</w:t>
      </w:r>
    </w:p>
    <w:p>
      <w:pPr>
        <w:pStyle w:val="Textkrper"/>
        <w:numPr>
          <w:ilvl w:val="0"/>
          <w:numId w:val="35"/>
        </w:numPr>
      </w:pPr>
      <w:r>
        <w:t xml:space="preserve">Irradiation time: up to </w:t>
      </w:r>
      <m:oMath>
        <m:r>
          <w:rPr>
            <w:rFonts w:ascii="Cambria Math" w:hAnsi="Cambria Math"/>
          </w:rPr>
          <m:t xml:space="preserve">2000 </m:t>
        </m:r>
        <m:r>
          <m:rPr>
            <m:sty m:val="p"/>
          </m:rPr>
          <w:rPr>
            <w:rFonts w:ascii="Cambria Math" w:hAnsi="Cambria Math"/>
          </w:rPr>
          <m:t>d</m:t>
        </m:r>
      </m:oMath>
      <w:r>
        <w:t xml:space="preserve"> (BU up to </w:t>
      </w:r>
      <m:oMath>
        <m:r>
          <w:rPr>
            <w:rFonts w:ascii="Cambria Math" w:hAnsi="Cambria Math"/>
          </w:rPr>
          <m:t xml:space="preserve">100 </m:t>
        </m:r>
        <m:r>
          <m:rPr>
            <m:sty m:val="p"/>
          </m:rPr>
          <w:rPr>
            <w:rFonts w:ascii="Cambria Math" w:hAnsi="Cambria Math"/>
          </w:rPr>
          <m:t>MWd</m:t>
        </m:r>
        <m:r>
          <w:rPr>
            <w:rFonts w:ascii="Cambria Math" w:hAnsi="Cambria Math"/>
          </w:rPr>
          <m:t>/</m:t>
        </m:r>
        <m:r>
          <m:rPr>
            <m:sty m:val="p"/>
          </m:rPr>
          <w:rPr>
            <w:rFonts w:ascii="Cambria Math" w:hAnsi="Cambria Math"/>
          </w:rPr>
          <m:t>kg</m:t>
        </m:r>
      </m:oMath>
      <w:r>
        <w:t xml:space="preserve">); reference: </w:t>
      </w:r>
      <m:oMath>
        <m:r>
          <w:rPr>
            <w:rFonts w:ascii="Cambria Math" w:hAnsi="Cambria Math"/>
          </w:rPr>
          <m:t xml:space="preserve">1000 </m:t>
        </m:r>
        <m:r>
          <m:rPr>
            <m:sty m:val="p"/>
          </m:rPr>
          <w:rPr>
            <w:rFonts w:ascii="Cambria Math" w:hAnsi="Cambria Math"/>
          </w:rPr>
          <m:t>d</m:t>
        </m:r>
      </m:oMath>
      <w:r>
        <w:t xml:space="preserve"> (</w:t>
      </w:r>
      <m:oMath>
        <m:r>
          <w:rPr>
            <w:rFonts w:ascii="Cambria Math" w:hAnsi="Cambria Math"/>
          </w:rPr>
          <m:t xml:space="preserve">50 </m:t>
        </m:r>
        <m:r>
          <m:rPr>
            <m:sty m:val="p"/>
          </m:rPr>
          <w:rPr>
            <w:rFonts w:ascii="Cambria Math" w:hAnsi="Cambria Math"/>
          </w:rPr>
          <m:t>MWd</m:t>
        </m:r>
        <m:r>
          <w:rPr>
            <w:rFonts w:ascii="Cambria Math" w:hAnsi="Cambria Math"/>
          </w:rPr>
          <m:t>/</m:t>
        </m:r>
        <m:r>
          <m:rPr>
            <m:sty m:val="p"/>
          </m:rPr>
          <w:rPr>
            <w:rFonts w:ascii="Cambria Math" w:hAnsi="Cambria Math"/>
          </w:rPr>
          <m:t>kg</m:t>
        </m:r>
      </m:oMath>
      <w:r>
        <w:t>).</w:t>
      </w:r>
    </w:p>
    <w:p>
      <w:pPr>
        <w:pStyle w:val="Textkrper"/>
        <w:numPr>
          <w:ilvl w:val="0"/>
          <w:numId w:val="35"/>
        </w:numPr>
      </w:pPr>
      <w:proofErr w:type="spellStart"/>
      <w:r>
        <w:t>Cooling</w:t>
      </w:r>
      <w:proofErr w:type="spellEnd"/>
      <w:r>
        <w:t xml:space="preserve"> time: up to </w:t>
      </w:r>
      <m:oMath>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r>
          <m:rPr>
            <m:sty m:val="p"/>
          </m:rPr>
          <w:rPr>
            <w:rFonts w:ascii="Cambria Math" w:hAnsi="Cambria Math"/>
          </w:rPr>
          <m:t>a</m:t>
        </m:r>
      </m:oMath>
      <w:r>
        <w:t>.</w:t>
      </w:r>
    </w:p>
    <w:p>
      <w:pPr>
        <w:pStyle w:val="Textkrper"/>
        <w:ind w:firstLine="0"/>
      </w:pPr>
      <w:r>
        <w:t>The following numerical approximations were adopted:</w:t>
      </w:r>
    </w:p>
    <w:p>
      <w:pPr>
        <w:pStyle w:val="Textkrper"/>
        <w:numPr>
          <w:ilvl w:val="0"/>
          <w:numId w:val="36"/>
        </w:numPr>
      </w:pPr>
      <w:r>
        <w:t xml:space="preserve">For depletion, a predictor-corrector scheme with linear extrapolation and quadratic interpolation and 10 </w:t>
      </w:r>
      <w:proofErr w:type="spellStart"/>
      <w:r>
        <w:t>substeps</w:t>
      </w:r>
      <w:proofErr w:type="spellEnd"/>
      <w:r>
        <w:t xml:space="preserve"> was used.</w:t>
      </w:r>
    </w:p>
    <w:p>
      <w:pPr>
        <w:pStyle w:val="Textkrper"/>
        <w:numPr>
          <w:ilvl w:val="0"/>
          <w:numId w:val="36"/>
        </w:numPr>
      </w:pPr>
      <w:r>
        <w:t xml:space="preserve">The time steps were: </w:t>
      </w:r>
      <m:oMath>
        <m:r>
          <w:rPr>
            <w:rFonts w:ascii="Cambria Math" w:hAnsi="Cambria Math"/>
          </w:rPr>
          <m:t xml:space="preserve">1 </m:t>
        </m:r>
        <m:r>
          <m:rPr>
            <m:sty m:val="p"/>
          </m:rPr>
          <w:rPr>
            <w:rFonts w:ascii="Cambria Math" w:hAnsi="Cambria Math"/>
          </w:rPr>
          <m:t>d</m:t>
        </m:r>
      </m:oMath>
      <w:r>
        <w:t xml:space="preserve">, </w:t>
      </w:r>
      <m:oMath>
        <m:r>
          <w:rPr>
            <w:rFonts w:ascii="Cambria Math" w:hAnsi="Cambria Math"/>
          </w:rPr>
          <m:t xml:space="preserve">24 </m:t>
        </m:r>
        <m:r>
          <m:rPr>
            <m:sty m:val="p"/>
          </m:rPr>
          <w:rPr>
            <w:rFonts w:ascii="Cambria Math" w:hAnsi="Cambria Math"/>
          </w:rPr>
          <m:t>d</m:t>
        </m:r>
      </m:oMath>
      <w:r>
        <w:t xml:space="preserve">, </w:t>
      </w:r>
      <m:oMath>
        <m:r>
          <w:rPr>
            <w:rFonts w:ascii="Cambria Math" w:hAnsi="Cambria Math"/>
          </w:rPr>
          <m:t xml:space="preserve">25 </m:t>
        </m:r>
        <m:r>
          <m:rPr>
            <m:sty m:val="p"/>
          </m:rPr>
          <w:rPr>
            <w:rFonts w:ascii="Cambria Math" w:hAnsi="Cambria Math"/>
          </w:rPr>
          <m:t>d</m:t>
        </m:r>
      </m:oMath>
      <w:r>
        <w:t xml:space="preserve">, </w:t>
      </w:r>
      <m:oMath>
        <m:r>
          <w:rPr>
            <w:rFonts w:ascii="Cambria Math" w:hAnsi="Cambria Math"/>
          </w:rPr>
          <m:t xml:space="preserve">50 </m:t>
        </m:r>
        <m:r>
          <m:rPr>
            <m:sty m:val="p"/>
          </m:rPr>
          <w:rPr>
            <w:rFonts w:ascii="Cambria Math" w:hAnsi="Cambria Math"/>
          </w:rPr>
          <m:t>d</m:t>
        </m:r>
      </m:oMath>
      <w:r>
        <w:t xml:space="preserve"> and (up to) </w:t>
      </w:r>
      <m:oMath>
        <m:r>
          <w:rPr>
            <w:rFonts w:ascii="Cambria Math" w:hAnsi="Cambria Math"/>
          </w:rPr>
          <m:t xml:space="preserve">13 × 100 </m:t>
        </m:r>
        <m:r>
          <m:rPr>
            <m:sty m:val="p"/>
          </m:rPr>
          <w:rPr>
            <w:rFonts w:ascii="Cambria Math" w:hAnsi="Cambria Math"/>
          </w:rPr>
          <m:t>d</m:t>
        </m:r>
      </m:oMath>
      <w:r>
        <w:t>.</w:t>
      </w:r>
    </w:p>
    <w:p>
      <w:pPr>
        <w:pStyle w:val="Textkrper"/>
        <w:numPr>
          <w:ilvl w:val="0"/>
          <w:numId w:val="36"/>
        </w:numPr>
      </w:pPr>
      <w:r>
        <w:t xml:space="preserve">At each time step, two MC simulations, corresponding to predictor and corrector steps, with </w:t>
      </w:r>
      <m:oMath>
        <m:r>
          <w:rPr>
            <w:rFonts w:ascii="Cambria Math" w:hAnsi="Cambria Math"/>
          </w:rPr>
          <m:t>1000</m:t>
        </m:r>
      </m:oMath>
      <w:r>
        <w:t xml:space="preserve"> neutrons in </w:t>
      </w:r>
      <m:oMath>
        <m:r>
          <w:rPr>
            <w:rFonts w:ascii="Cambria Math" w:hAnsi="Cambria Math"/>
          </w:rPr>
          <m:t>1000</m:t>
        </m:r>
      </m:oMath>
      <w:r>
        <w:t xml:space="preserve"> active neutron cycles each were performed.</w:t>
      </w:r>
    </w:p>
    <w:p>
      <w:pPr>
        <w:pStyle w:val="Textkrper"/>
        <w:numPr>
          <w:ilvl w:val="0"/>
          <w:numId w:val="36"/>
        </w:numPr>
      </w:pPr>
      <w:r>
        <w:t xml:space="preserve">The initial fission neutron source was uniformly distributed over all fuel regions and </w:t>
      </w:r>
      <m:oMath>
        <m:r>
          <w:rPr>
            <w:rFonts w:ascii="Cambria Math" w:hAnsi="Cambria Math"/>
          </w:rPr>
          <m:t>10</m:t>
        </m:r>
      </m:oMath>
      <w:r>
        <w:t xml:space="preserve"> neutron cycles were used to converge the fission neutron source.</w:t>
      </w:r>
    </w:p>
    <w:p>
      <w:pPr>
        <w:pStyle w:val="Textkrper"/>
        <w:numPr>
          <w:ilvl w:val="0"/>
          <w:numId w:val="36"/>
        </w:numPr>
      </w:pPr>
      <w:r>
        <w:t xml:space="preserve">Each fuel pin was depleted separately, and was additionally divided into </w:t>
      </w:r>
      <m:oMath>
        <m:r>
          <w:rPr>
            <w:rFonts w:ascii="Cambria Math" w:hAnsi="Cambria Math"/>
          </w:rPr>
          <m:t>4</m:t>
        </m:r>
      </m:oMath>
      <w:r>
        <w:t xml:space="preserve"> equi-volume radial regions.</w:t>
      </w:r>
    </w:p>
    <w:p>
      <w:pPr>
        <w:pStyle w:val="Textkrper"/>
      </w:pPr>
      <w:r>
        <w:t>For study of reflectors effects, two modified models were defined. In the “edge” model (</w:t>
      </w:r>
      <w:r>
        <w:fldChar w:fldCharType="begin"/>
      </w:r>
      <w:r>
        <w:instrText xml:space="preserve"> REF _Ref165540958 \h </w:instrText>
      </w:r>
      <w:r>
        <w:fldChar w:fldCharType="separate"/>
      </w:r>
      <w:r>
        <w:rPr>
          <w:i/>
        </w:rPr>
        <w:t xml:space="preserve">FIG. </w:t>
      </w:r>
      <w:r>
        <w:rPr>
          <w:i/>
          <w:noProof/>
        </w:rPr>
        <w:t>1</w:t>
      </w:r>
      <w:r>
        <w:fldChar w:fldCharType="end"/>
      </w:r>
      <w:r>
        <w:t xml:space="preserve"> left), the studied FA was </w:t>
      </w:r>
      <w:r>
        <w:t>in one direction</w:t>
      </w:r>
      <w:r>
        <w:t xml:space="preserve"> surrounded by reflector material on one side and by an identical FA on the other. In the other direction, reflective boundary condition was defined. In the “vertex” model (</w:t>
      </w:r>
      <w:r>
        <w:fldChar w:fldCharType="begin"/>
      </w:r>
      <w:r>
        <w:instrText xml:space="preserve"> REF _Ref165540958 \h </w:instrText>
      </w:r>
      <w:r>
        <w:fldChar w:fldCharType="separate"/>
      </w:r>
      <w:r>
        <w:rPr>
          <w:i/>
        </w:rPr>
        <w:t xml:space="preserve">FIG. </w:t>
      </w:r>
      <w:r>
        <w:rPr>
          <w:i/>
          <w:noProof/>
        </w:rPr>
        <w:t>1</w:t>
      </w:r>
      <w:r>
        <w:fldChar w:fldCharType="end"/>
      </w:r>
      <w:r>
        <w:t xml:space="preserve"> right), the studied FA was surrounded by the reflector material and by other FAs on all sides. Neighbouring assemblies were depleted as a single zone. The reflector materials considered were: H</w:t>
      </w:r>
      <w:r>
        <w:rPr>
          <w:vertAlign w:val="subscript"/>
        </w:rPr>
        <w:t>2</w:t>
      </w:r>
      <w:r>
        <w:t>O, D</w:t>
      </w:r>
      <w:r>
        <w:rPr>
          <w:vertAlign w:val="subscript"/>
        </w:rPr>
        <w:t>2</w:t>
      </w:r>
      <w:r>
        <w:t xml:space="preserve">O, graphite and </w:t>
      </w:r>
      <w:proofErr w:type="gramStart"/>
      <w:r>
        <w:t>stainless steel</w:t>
      </w:r>
      <w:proofErr w:type="gramEnd"/>
      <w:r>
        <w:t xml:space="preserve"> type SS-304.</w:t>
      </w:r>
    </w:p>
    <w:p>
      <w:pPr>
        <w:pStyle w:val="Textkrper"/>
        <w:jc w:val="center"/>
        <w:rPr>
          <w:noProof/>
        </w:rPr>
      </w:pPr>
      <w:r>
        <w:rPr>
          <w:noProof/>
        </w:rPr>
        <w:drawing>
          <wp:inline distT="0" distB="0" distL="0" distR="0">
            <wp:extent cx="2880000" cy="957600"/>
            <wp:effectExtent l="8573" t="0" r="5397" b="5398"/>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O2_ref3_refls1.i_geom1.pn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880000" cy="957600"/>
                    </a:xfrm>
                    <a:prstGeom prst="rect">
                      <a:avLst/>
                    </a:prstGeom>
                  </pic:spPr>
                </pic:pic>
              </a:graphicData>
            </a:graphic>
          </wp:inline>
        </w:drawing>
      </w:r>
      <w:r>
        <w:rPr>
          <w:noProof/>
        </w:rPr>
        <w:t xml:space="preserve"> </w:t>
      </w:r>
      <w:r>
        <w:rPr>
          <w:noProof/>
        </w:rPr>
        <w:tab/>
        <w:t xml:space="preserve">      </w:t>
      </w:r>
      <w:r>
        <w:rPr>
          <w:noProof/>
        </w:rPr>
        <w:drawing>
          <wp:inline distT="0" distB="0" distL="0" distR="0">
            <wp:extent cx="2880000" cy="288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2_ref3_refls2.i_geom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pPr>
        <w:pStyle w:val="Textkrper"/>
        <w:rPr>
          <w:i/>
        </w:rPr>
      </w:pPr>
      <w:bookmarkStart w:id="0" w:name="_Ref165540958"/>
      <w:r>
        <w:rPr>
          <w:i/>
        </w:rPr>
        <w:t xml:space="preserve">FIG. </w:t>
      </w:r>
      <w:r>
        <w:rPr>
          <w:i/>
        </w:rPr>
        <w:fldChar w:fldCharType="begin"/>
      </w:r>
      <w:r>
        <w:rPr>
          <w:i/>
        </w:rPr>
        <w:instrText xml:space="preserve"> SEQ Figure \* ARABIC </w:instrText>
      </w:r>
      <w:r>
        <w:rPr>
          <w:i/>
        </w:rPr>
        <w:fldChar w:fldCharType="separate"/>
      </w:r>
      <w:r>
        <w:rPr>
          <w:i/>
          <w:noProof/>
        </w:rPr>
        <w:t>1</w:t>
      </w:r>
      <w:r>
        <w:rPr>
          <w:i/>
        </w:rPr>
        <w:fldChar w:fldCharType="end"/>
      </w:r>
      <w:bookmarkEnd w:id="0"/>
      <w:r>
        <w:rPr>
          <w:i/>
        </w:rPr>
        <w:t>. “Edge” (left) and “vertex” (right) models of the reflected fuel assembly.</w:t>
      </w:r>
    </w:p>
    <w:p>
      <w:pPr>
        <w:pStyle w:val="Textkrper"/>
      </w:pPr>
    </w:p>
    <w:p>
      <w:pPr>
        <w:pStyle w:val="Textkrper"/>
      </w:pPr>
      <w:r>
        <w:t xml:space="preserve">In addition, for the study of effects of initial </w:t>
      </w:r>
      <w:r>
        <w:rPr>
          <w:vertAlign w:val="superscript"/>
        </w:rPr>
        <w:t>235</w:t>
      </w:r>
      <w:r>
        <w:t xml:space="preserve">U enrichment, the </w:t>
      </w:r>
      <w:r>
        <w:rPr>
          <w:vertAlign w:val="superscript"/>
        </w:rPr>
        <w:t>235</w:t>
      </w:r>
      <w:r>
        <w:t xml:space="preserve">U weight fraction was modified within the interval </w:t>
      </w:r>
      <m:oMath>
        <m:r>
          <w:rPr>
            <w:rFonts w:ascii="Cambria Math" w:hAnsi="Cambria Math"/>
          </w:rPr>
          <m:t>[0.03,0.2]</m:t>
        </m:r>
      </m:oMath>
      <w:r>
        <w:t xml:space="preserve">, always excluding </w:t>
      </w:r>
      <w:r>
        <w:rPr>
          <w:vertAlign w:val="superscript"/>
        </w:rPr>
        <w:t>234,236</w:t>
      </w:r>
      <w:r>
        <w:t>U, and retaining a constant fuel density</w:t>
      </w:r>
      <w:r>
        <w:t xml:space="preserve"> (including ox</w:t>
      </w:r>
      <w:r>
        <w:t>ygen</w:t>
      </w:r>
      <w:r>
        <w:t>)</w:t>
      </w:r>
      <w:r>
        <w:t>.</w:t>
      </w:r>
    </w:p>
    <w:p>
      <w:pPr>
        <w:pStyle w:val="berschrift3"/>
      </w:pPr>
      <w:r>
        <w:t>2D core model</w:t>
      </w:r>
    </w:p>
    <w:p>
      <w:pPr>
        <w:pStyle w:val="Textkrper"/>
      </w:pPr>
      <w:r>
        <w:t xml:space="preserve">The reference 2D core model consists of </w:t>
      </w:r>
      <m:oMath>
        <m:r>
          <w:rPr>
            <w:rFonts w:ascii="Cambria Math" w:hAnsi="Cambria Math"/>
          </w:rPr>
          <m:t>37</m:t>
        </m:r>
      </m:oMath>
      <w:r>
        <w:t xml:space="preserve"> reference FAs (</w:t>
      </w:r>
      <w:r>
        <w:rPr>
          <w:highlight w:val="yellow"/>
        </w:rPr>
        <w:fldChar w:fldCharType="begin"/>
      </w:r>
      <w:r>
        <w:instrText xml:space="preserve"> REF _Ref165545251 \h </w:instrText>
      </w:r>
      <w:r>
        <w:rPr>
          <w:highlight w:val="yellow"/>
        </w:rPr>
      </w:r>
      <w:r>
        <w:rPr>
          <w:highlight w:val="yellow"/>
        </w:rPr>
        <w:fldChar w:fldCharType="separate"/>
      </w:r>
      <w:r>
        <w:rPr>
          <w:i/>
        </w:rPr>
        <w:t xml:space="preserve">FIG. </w:t>
      </w:r>
      <w:r>
        <w:rPr>
          <w:i/>
          <w:noProof/>
        </w:rPr>
        <w:t>2</w:t>
      </w:r>
      <w:r>
        <w:rPr>
          <w:highlight w:val="yellow"/>
        </w:rPr>
        <w:fldChar w:fldCharType="end"/>
      </w:r>
      <w:r>
        <w:t xml:space="preserve"> left). The active core was surrounded by a stainless-steel (SS-304; </w:t>
      </w:r>
      <m:oMath>
        <m:r>
          <w:rPr>
            <w:rFonts w:ascii="Cambria Math" w:hAnsi="Cambria Math"/>
          </w:rPr>
          <m:t xml:space="preserve">ρ=8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 xml:space="preserve">; Fe </w:t>
      </w:r>
      <m:oMath>
        <m:r>
          <w:rPr>
            <w:rFonts w:ascii="Cambria Math" w:hAnsi="Cambria Math"/>
          </w:rPr>
          <m:t>70.173%</m:t>
        </m:r>
      </m:oMath>
      <w:r>
        <w:t xml:space="preserve">, Cr </w:t>
      </w:r>
      <m:oMath>
        <m:r>
          <w:rPr>
            <w:rFonts w:ascii="Cambria Math" w:hAnsi="Cambria Math"/>
          </w:rPr>
          <m:t>19%</m:t>
        </m:r>
      </m:oMath>
      <w:r>
        <w:t xml:space="preserve">, Ni </w:t>
      </w:r>
      <m:oMath>
        <m:r>
          <w:rPr>
            <w:rFonts w:ascii="Cambria Math" w:hAnsi="Cambria Math"/>
          </w:rPr>
          <m:t>9.25%</m:t>
        </m:r>
      </m:oMath>
      <w:r>
        <w:t xml:space="preserve">, Mn </w:t>
      </w:r>
      <m:oMath>
        <m:r>
          <w:rPr>
            <w:rFonts w:ascii="Cambria Math" w:hAnsi="Cambria Math"/>
          </w:rPr>
          <m:t>1%</m:t>
        </m:r>
      </m:oMath>
      <w:r>
        <w:t xml:space="preserve">, Si </w:t>
      </w:r>
      <m:oMath>
        <m:r>
          <w:rPr>
            <w:rFonts w:ascii="Cambria Math" w:hAnsi="Cambria Math"/>
          </w:rPr>
          <m:t>0.5%</m:t>
        </m:r>
      </m:oMath>
      <w:r>
        <w:t xml:space="preserve">, C </w:t>
      </w:r>
      <m:oMath>
        <m:r>
          <w:rPr>
            <w:rFonts w:ascii="Cambria Math" w:hAnsi="Cambria Math"/>
          </w:rPr>
          <m:t>0.039%</m:t>
        </m:r>
      </m:oMath>
      <w:r>
        <w:t xml:space="preserve">, P </w:t>
      </w:r>
      <m:oMath>
        <m:r>
          <w:rPr>
            <w:rFonts w:ascii="Cambria Math" w:hAnsi="Cambria Math"/>
          </w:rPr>
          <m:t>0.023%</m:t>
        </m:r>
      </m:oMath>
      <w:r>
        <w:t xml:space="preserve">, S </w:t>
      </w:r>
      <m:oMath>
        <m:r>
          <w:rPr>
            <w:rFonts w:ascii="Cambria Math" w:hAnsi="Cambria Math"/>
          </w:rPr>
          <m:t>0.015%</m:t>
        </m:r>
      </m:oMath>
      <w:r>
        <w:t xml:space="preserve">) reflector with an outer radius </w:t>
      </w:r>
      <m:oMath>
        <m:r>
          <w:rPr>
            <w:rFonts w:ascii="Cambria Math" w:hAnsi="Cambria Math"/>
          </w:rPr>
          <m:t xml:space="preserve">92.4922 </m:t>
        </m:r>
        <m:r>
          <m:rPr>
            <m:sty m:val="p"/>
          </m:rPr>
          <w:rPr>
            <w:rFonts w:ascii="Cambria Math" w:hAnsi="Cambria Math"/>
          </w:rPr>
          <m:t>cm</m:t>
        </m:r>
      </m:oMath>
      <w:r>
        <w:t xml:space="preserve">. The SS-304 reflector was surrounded by water in a square of a side length </w:t>
      </w:r>
      <m:oMath>
        <m:r>
          <w:rPr>
            <w:rFonts w:ascii="Cambria Math" w:hAnsi="Cambria Math"/>
          </w:rPr>
          <m:t xml:space="preserve">236.9844 </m:t>
        </m:r>
        <m:r>
          <m:rPr>
            <m:sty m:val="p"/>
          </m:rPr>
          <w:rPr>
            <w:rFonts w:ascii="Cambria Math" w:hAnsi="Cambria Math"/>
          </w:rPr>
          <m:t>cm</m:t>
        </m:r>
      </m:oMath>
      <w:r>
        <w:t xml:space="preserve">. SS-304 was chosen due to its positive impact on core reactivity </w:t>
      </w:r>
      <w:r>
        <w:fldChar w:fldCharType="begin"/>
      </w:r>
      <w:r>
        <w:instrText xml:space="preserve"> REF _Ref167173668 \r \h </w:instrText>
      </w:r>
      <w:r>
        <w:fldChar w:fldCharType="separate"/>
      </w:r>
      <w:r>
        <w:t>[3]</w:t>
      </w:r>
      <w:r>
        <w:fldChar w:fldCharType="end"/>
      </w:r>
      <w:r>
        <w:t xml:space="preserve"> compared to H</w:t>
      </w:r>
      <w:r>
        <w:rPr>
          <w:vertAlign w:val="subscript"/>
        </w:rPr>
        <w:t>2</w:t>
      </w:r>
      <w:r>
        <w:t>O, while being advantageous compared to some other reflector materials (e.g. graphite, Be, D</w:t>
      </w:r>
      <w:r>
        <w:rPr>
          <w:vertAlign w:val="subscript"/>
        </w:rPr>
        <w:t>2</w:t>
      </w:r>
      <w:r>
        <w:t xml:space="preserve">O) from financial, safety or other perspectives. It was adopted in some SMR concepts, e.g. in </w:t>
      </w:r>
      <w:proofErr w:type="spellStart"/>
      <w:r>
        <w:t>NuScale</w:t>
      </w:r>
      <w:proofErr w:type="spellEnd"/>
      <w:r>
        <w:t xml:space="preserve"> VOYGR </w:t>
      </w:r>
      <w:r>
        <w:fldChar w:fldCharType="begin"/>
      </w:r>
      <w:r>
        <w:instrText xml:space="preserve"> REF _Ref166568562 \r \h </w:instrText>
      </w:r>
      <w:r>
        <w:fldChar w:fldCharType="separate"/>
      </w:r>
      <w:r>
        <w:t>[9]</w:t>
      </w:r>
      <w:r>
        <w:fldChar w:fldCharType="end"/>
      </w:r>
      <w:r>
        <w:t>.</w:t>
      </w:r>
    </w:p>
    <w:p>
      <w:pPr>
        <w:pStyle w:val="Textkrper"/>
        <w:rPr>
          <w:lang w:val="sl-SI"/>
        </w:rPr>
      </w:pPr>
      <w:r>
        <w:lastRenderedPageBreak/>
        <w:t>The modified 2D core models were defined in two ways:</w:t>
      </w:r>
    </w:p>
    <w:p>
      <w:pPr>
        <w:pStyle w:val="Textkrper"/>
        <w:numPr>
          <w:ilvl w:val="0"/>
          <w:numId w:val="38"/>
        </w:numPr>
      </w:pPr>
      <w:r>
        <w:t xml:space="preserve">By adding or removing all edge and corner FAs. The resulting total number of FAs is </w:t>
      </w:r>
      <m:oMath>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+6n+1</m:t>
        </m:r>
      </m:oMath>
      <w:r>
        <w:t xml:space="preserve">, where </w:t>
      </w:r>
      <m:oMath>
        <m:r>
          <w:rPr>
            <w:rFonts w:ascii="Cambria Math" w:hAnsi="Cambria Math"/>
          </w:rPr>
          <m:t>n=3</m:t>
        </m:r>
      </m:oMath>
      <w:r>
        <w:t xml:space="preserve"> for the reference model (</w:t>
      </w:r>
      <w:r>
        <w:rPr>
          <w:highlight w:val="yellow"/>
        </w:rPr>
        <w:fldChar w:fldCharType="begin"/>
      </w:r>
      <w:r>
        <w:instrText xml:space="preserve"> REF _Ref165545251 \h </w:instrText>
      </w:r>
      <w:r>
        <w:rPr>
          <w:highlight w:val="yellow"/>
        </w:rPr>
      </w:r>
      <w:r>
        <w:rPr>
          <w:highlight w:val="yellow"/>
        </w:rPr>
        <w:fldChar w:fldCharType="separate"/>
      </w:r>
      <w:r>
        <w:rPr>
          <w:i/>
        </w:rPr>
        <w:t xml:space="preserve">FIG. </w:t>
      </w:r>
      <w:r>
        <w:rPr>
          <w:i/>
          <w:noProof/>
        </w:rPr>
        <w:t>2</w:t>
      </w:r>
      <w:r>
        <w:rPr>
          <w:highlight w:val="yellow"/>
        </w:rPr>
        <w:fldChar w:fldCharType="end"/>
      </w:r>
      <w:r>
        <w:t xml:space="preserve"> middle).</w:t>
      </w:r>
    </w:p>
    <w:p>
      <w:pPr>
        <w:pStyle w:val="Textkrper"/>
        <w:numPr>
          <w:ilvl w:val="0"/>
          <w:numId w:val="38"/>
        </w:numPr>
      </w:pPr>
      <w:r>
        <w:t xml:space="preserve">By adding </w:t>
      </w:r>
      <m:oMath>
        <m:r>
          <w:rPr>
            <w:rFonts w:ascii="Cambria Math" w:hAnsi="Cambria Math"/>
          </w:rPr>
          <m:t>n-3</m:t>
        </m:r>
      </m:oMath>
      <w:r>
        <w:t xml:space="preserve"> FAs on each diagonal for </w:t>
      </w:r>
      <m:oMath>
        <m:r>
          <w:rPr>
            <w:rFonts w:ascii="Cambria Math" w:hAnsi="Cambria Math"/>
          </w:rPr>
          <m:t>n&gt;3</m:t>
        </m:r>
      </m:oMath>
      <w:r>
        <w:t>, preserving the octant symmetry (</w:t>
      </w:r>
      <w:r>
        <w:fldChar w:fldCharType="begin"/>
      </w:r>
      <w:r>
        <w:instrText xml:space="preserve"> REF _Ref165545251 \h </w:instrText>
      </w:r>
      <w:r>
        <w:instrText xml:space="preserve"> \* MERGEFORMAT </w:instrText>
      </w:r>
      <w:r>
        <w:fldChar w:fldCharType="separate"/>
      </w:r>
      <w:r>
        <w:rPr>
          <w:i/>
        </w:rPr>
        <w:t xml:space="preserve">FIG. </w:t>
      </w:r>
      <w:r>
        <w:rPr>
          <w:i/>
          <w:noProof/>
        </w:rPr>
        <w:t>2</w:t>
      </w:r>
      <w:r>
        <w:fldChar w:fldCharType="end"/>
      </w:r>
      <w:r>
        <w:t xml:space="preserve"> right).</w:t>
      </w:r>
    </w:p>
    <w:p>
      <w:pPr>
        <w:pStyle w:val="Textkrper"/>
        <w:ind w:firstLine="0"/>
      </w:pPr>
      <w:r>
        <w:t>The reflector radius was modified so that on the principal axes the distance between the fuel and outside water regions remained unchanged. For large cores, these models differ from realistic core configurations, however it is assumed be sufficient to be able qualitatively describe the dependences of important quantities on the core size.</w:t>
      </w:r>
    </w:p>
    <w:p>
      <w:pPr>
        <w:pStyle w:val="Textkrper"/>
        <w:ind w:firstLine="0"/>
        <w:jc w:val="center"/>
      </w:pPr>
      <w:r>
        <w:tab/>
        <w:t xml:space="preserve">                 </w:t>
      </w:r>
    </w:p>
    <w:p>
      <w:pPr>
        <w:pStyle w:val="Textkrper"/>
        <w:ind w:firstLine="0"/>
        <w:jc w:val="center"/>
      </w:pPr>
      <w:r>
        <w:rPr>
          <w:noProof/>
        </w:rPr>
        <w:drawing>
          <wp:inline distT="0" distB="0" distL="0" distR="0">
            <wp:extent cx="1890000" cy="189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_core-crit_v3_ref.i_geom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0000" cy="1890000"/>
                    </a:xfrm>
                    <a:prstGeom prst="rect">
                      <a:avLst/>
                    </a:prstGeom>
                  </pic:spPr>
                </pic:pic>
              </a:graphicData>
            </a:graphic>
          </wp:inline>
        </w:drawing>
      </w:r>
      <w:r>
        <w:rPr>
          <w:noProof/>
        </w:rPr>
        <w:drawing>
          <wp:inline distT="0" distB="0" distL="0" distR="0">
            <wp:extent cx="1890000" cy="189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_core-crit_v3_p4.i_geom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000" cy="1890000"/>
                    </a:xfrm>
                    <a:prstGeom prst="rect">
                      <a:avLst/>
                    </a:prstGeom>
                  </pic:spPr>
                </pic:pic>
              </a:graphicData>
            </a:graphic>
          </wp:inline>
        </w:drawing>
      </w:r>
      <w:r>
        <w:rPr>
          <w:noProof/>
        </w:rPr>
        <w:drawing>
          <wp:inline distT="0" distB="0" distL="0" distR="0">
            <wp:extent cx="1890000" cy="189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_core-crit_v3_p4d1.i_geom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0000" cy="1890000"/>
                    </a:xfrm>
                    <a:prstGeom prst="rect">
                      <a:avLst/>
                    </a:prstGeom>
                  </pic:spPr>
                </pic:pic>
              </a:graphicData>
            </a:graphic>
          </wp:inline>
        </w:drawing>
      </w:r>
    </w:p>
    <w:p>
      <w:pPr>
        <w:pStyle w:val="Textkrper"/>
        <w:rPr>
          <w:i/>
        </w:rPr>
      </w:pPr>
      <w:bookmarkStart w:id="1" w:name="_Ref165545251"/>
      <w:r>
        <w:rPr>
          <w:i/>
        </w:rPr>
        <w:t xml:space="preserve">FIG. </w:t>
      </w:r>
      <w:r>
        <w:rPr>
          <w:i/>
        </w:rPr>
        <w:fldChar w:fldCharType="begin"/>
      </w:r>
      <w:r>
        <w:rPr>
          <w:i/>
        </w:rPr>
        <w:instrText xml:space="preserve"> SEQ Figure \* ARABIC </w:instrText>
      </w:r>
      <w:r>
        <w:rPr>
          <w:i/>
        </w:rPr>
        <w:fldChar w:fldCharType="separate"/>
      </w:r>
      <w:r>
        <w:rPr>
          <w:i/>
          <w:noProof/>
        </w:rPr>
        <w:t>2</w:t>
      </w:r>
      <w:r>
        <w:rPr>
          <w:i/>
        </w:rPr>
        <w:fldChar w:fldCharType="end"/>
      </w:r>
      <w:bookmarkEnd w:id="1"/>
      <w:r>
        <w:rPr>
          <w:i/>
        </w:rPr>
        <w:t xml:space="preserve">. The 2D reference core model </w:t>
      </w:r>
      <m:oMath>
        <m:r>
          <w:rPr>
            <w:rFonts w:ascii="Cambria Math" w:hAnsi="Cambria Math"/>
          </w:rPr>
          <m:t>n=3</m:t>
        </m:r>
      </m:oMath>
      <w:r>
        <w:rPr>
          <w:i/>
        </w:rPr>
        <w:t xml:space="preserve"> geometry (left), and 2D core models with </w:t>
      </w:r>
      <m:oMath>
        <m:r>
          <w:rPr>
            <w:rFonts w:ascii="Cambria Math" w:hAnsi="Cambria Math"/>
          </w:rPr>
          <m:t>n=7</m:t>
        </m:r>
      </m:oMath>
      <w:r>
        <w:t xml:space="preserve"> </w:t>
      </w:r>
      <w:r>
        <w:rPr>
          <w:i/>
        </w:rPr>
        <w:t>geometry, way 1. (middle) and way 2. (right).</w:t>
      </w:r>
    </w:p>
    <w:p>
      <w:pPr>
        <w:pStyle w:val="berschrift3"/>
      </w:pPr>
      <w:r>
        <w:t>3D pin model</w:t>
      </w:r>
    </w:p>
    <w:p>
      <w:pPr>
        <w:pStyle w:val="Textkrper"/>
      </w:pPr>
      <w:r>
        <w:t xml:space="preserve">In the reference 3D single pin model, the active fuel height was </w:t>
      </w:r>
      <m:oMath>
        <m:r>
          <w:rPr>
            <w:rFonts w:ascii="Cambria Math" w:hAnsi="Cambria Math"/>
          </w:rPr>
          <m:t xml:space="preserve">200 </m:t>
        </m:r>
        <m:r>
          <m:rPr>
            <m:sty m:val="p"/>
          </m:rPr>
          <w:rPr>
            <w:rFonts w:ascii="Cambria Math" w:hAnsi="Cambria Math"/>
          </w:rPr>
          <m:t>cm</m:t>
        </m:r>
      </m:oMath>
      <w:r>
        <w:t xml:space="preserve">. Above and below the core, a </w:t>
      </w:r>
      <m:oMath>
        <m:r>
          <w:rPr>
            <w:rFonts w:ascii="Cambria Math" w:hAnsi="Cambria Math"/>
          </w:rPr>
          <m:t xml:space="preserve">2 </m:t>
        </m:r>
        <m:r>
          <m:rPr>
            <m:sty m:val="p"/>
          </m:rPr>
          <w:rPr>
            <w:rFonts w:ascii="Cambria Math" w:hAnsi="Cambria Math"/>
          </w:rPr>
          <m:t>m</m:t>
        </m:r>
      </m:oMath>
      <w:r>
        <w:t xml:space="preserve"> thick layer of a homogeneous </w:t>
      </w:r>
      <m:oMath>
        <m:r>
          <w:rPr>
            <w:rFonts w:ascii="Cambria Math" w:hAnsi="Cambria Math"/>
          </w:rPr>
          <m:t>1:1</m:t>
        </m:r>
      </m:oMath>
      <w:r>
        <w:t xml:space="preserve"> (per volume) mixture of water and stainless steel with </w:t>
      </w:r>
      <m:oMath>
        <m:r>
          <w:rPr>
            <w:rFonts w:ascii="Cambria Math" w:hAnsi="Cambria Math"/>
          </w:rPr>
          <m:t xml:space="preserve">ρ=4.5 </m:t>
        </m:r>
        <m:r>
          <m:rPr>
            <m:sty m:val="p"/>
          </m:rPr>
          <w:rPr>
            <w:rFonts w:ascii="Cambria Math" w:hAnsi="Cambria Math"/>
          </w:rPr>
          <m:t>g</m:t>
        </m:r>
        <m:r>
          <w:rPr>
            <w:rFonts w:ascii="Cambria Math" w:hAnsi="Cambria Math"/>
          </w:rPr>
          <m:t>/</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 xml:space="preserve"> was defined, simulating an in reality heterogeneous mixture of coolant and structural components serving as axial neutron reflectors. In horizontal directions, reflective boundary conditions were defined.</w:t>
      </w:r>
    </w:p>
    <w:p>
      <w:pPr>
        <w:pStyle w:val="Textkrper"/>
      </w:pPr>
      <w:r>
        <w:t xml:space="preserve">For the axial neutron leakage study, the active fuel height was modified within the interval </w:t>
      </w:r>
      <m:oMath>
        <m:r>
          <w:rPr>
            <w:rFonts w:ascii="Cambria Math" w:hAnsi="Cambria Math"/>
          </w:rPr>
          <m:t xml:space="preserve">[50,400] </m:t>
        </m:r>
        <m:r>
          <m:rPr>
            <m:sty m:val="p"/>
          </m:rPr>
          <w:rPr>
            <w:rFonts w:ascii="Cambria Math" w:hAnsi="Cambria Math"/>
          </w:rPr>
          <m:t>cm</m:t>
        </m:r>
      </m:oMath>
      <w:r>
        <w:t>.</w:t>
      </w:r>
    </w:p>
    <w:p>
      <w:pPr>
        <w:pStyle w:val="berschrift2"/>
        <w:numPr>
          <w:ilvl w:val="1"/>
          <w:numId w:val="10"/>
        </w:numPr>
      </w:pPr>
      <w:bookmarkStart w:id="2" w:name="_Ref166478349"/>
      <w:r>
        <w:t>REACTOR CORE SIZE</w:t>
      </w:r>
      <w:bookmarkEnd w:id="2"/>
    </w:p>
    <w:p>
      <w:pPr>
        <w:pStyle w:val="Textkrper"/>
      </w:pPr>
      <w:r>
        <w:t xml:space="preserve">In the basic neutron diffusion theory </w:t>
      </w:r>
      <w:r>
        <w:rPr>
          <w:highlight w:val="yellow"/>
        </w:rPr>
        <w:fldChar w:fldCharType="begin"/>
      </w:r>
      <w:r>
        <w:instrText xml:space="preserve"> REF _Ref165556707 \n \h </w:instrText>
      </w:r>
      <w:r>
        <w:rPr>
          <w:highlight w:val="yellow"/>
        </w:rPr>
      </w:r>
      <w:r>
        <w:rPr>
          <w:highlight w:val="yellow"/>
        </w:rPr>
        <w:fldChar w:fldCharType="separate"/>
      </w:r>
      <w:r>
        <w:t>[10]</w:t>
      </w:r>
      <w:r>
        <w:rPr>
          <w:highlight w:val="yellow"/>
        </w:rPr>
        <w:fldChar w:fldCharType="end"/>
      </w:r>
      <w:r>
        <w:t xml:space="preserve">, the neutron leakage is determined by geometric buckling. The latter depends on the geometry, and for a non-reflected reactor core it is generally proportional to </w:t>
      </w:r>
      <m:oMath>
        <m:r>
          <w:rPr>
            <w:rFonts w:ascii="Cambria Math" w:hAnsi="Cambria Math"/>
          </w:rPr>
          <m:t>1/</m:t>
        </m:r>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oMath>
      <w:r>
        <w:t xml:space="preserve">, where </w:t>
      </w:r>
      <m:oMath>
        <m:r>
          <w:rPr>
            <w:rFonts w:ascii="Cambria Math" w:hAnsi="Cambria Math"/>
            <w:vertAlign w:val="superscript"/>
          </w:rPr>
          <m:t>r</m:t>
        </m:r>
      </m:oMath>
      <w:r>
        <w:t xml:space="preserve"> </w:t>
      </w:r>
      <w:r>
        <w:lastRenderedPageBreak/>
        <w:t xml:space="preserve">represents a typical system dimension (independent of the shape). For such a simple system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eff</m:t>
            </m:r>
          </m:sub>
        </m:sSub>
        <m:r>
          <w:rPr>
            <w:rFonts w:ascii="Cambria Math" w:hAnsi="Cambria Math"/>
          </w:rPr>
          <m:t>(1+a/</m:t>
        </m:r>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r>
          <w:rPr>
            <w:rFonts w:ascii="Cambria Math" w:hAnsi="Cambria Math"/>
          </w:rPr>
          <m:t>)</m:t>
        </m:r>
      </m:oMath>
      <w:r>
        <w:t xml:space="preserve">, where </w:t>
      </w:r>
      <m:oMath>
        <m:r>
          <w:rPr>
            <w:rFonts w:ascii="Cambria Math" w:hAnsi="Cambria Math"/>
          </w:rPr>
          <m:t>a</m:t>
        </m:r>
      </m:oMath>
      <w:r>
        <w:t xml:space="preserve"> is a system-dependent constant. In realistic systems, the leakage fraction can be reduced by implementing different measures, such as e.g. use of different reflectors or using so-called low-leakage core configurations, however it will still essentially depend on the system size. </w:t>
      </w:r>
    </w:p>
    <w:p>
      <w:pPr>
        <w:pStyle w:val="Textkrper"/>
        <w:rPr>
          <w:highlight w:val="yellow"/>
        </w:rPr>
      </w:pPr>
      <w:r>
        <w:t xml:space="preserve">In order to study the impact of the core size on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the 2D PWR core model and the 3D pin model were used to quantitatively estimate the radial and axial leakage, respectively. The dependence of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on the system size is shown in </w:t>
      </w:r>
      <w:r>
        <w:fldChar w:fldCharType="begin"/>
      </w:r>
      <w:r>
        <w:instrText xml:space="preserve"> REF _Ref165984071 </w:instrText>
      </w:r>
      <w:r>
        <w:fldChar w:fldCharType="separate"/>
      </w:r>
      <w:r>
        <w:rPr>
          <w:i/>
        </w:rPr>
        <w:t xml:space="preserve">FIG. </w:t>
      </w:r>
      <w:r>
        <w:rPr>
          <w:i/>
          <w:noProof/>
        </w:rPr>
        <w:t>3</w:t>
      </w:r>
      <w:r>
        <w:rPr>
          <w:i/>
          <w:noProof/>
        </w:rPr>
        <w:fldChar w:fldCharType="end"/>
      </w:r>
      <w:r>
        <w:t xml:space="preserve"> for 3D pin model (left) and 2D core model (right), respectively, using fresh fuel. For both cases, theoretical functions, based on diffusion theory for non-reflected homogeneous systems, fit well the results, calculated by continuous-energy MC method and detailed geometry. Significant deviations occur only at very small core sizes, due to a much higher importance of the reflector, which is not included in the fitting function. </w:t>
      </w:r>
    </w:p>
    <w:p>
      <w:pPr>
        <w:pStyle w:val="Textkrper"/>
        <w:ind w:firstLine="0"/>
        <w:jc w:val="center"/>
      </w:pPr>
      <w:r>
        <w:rPr>
          <w:noProof/>
        </w:rPr>
        <w:drawing>
          <wp:inline distT="0" distB="0" distL="0" distR="0">
            <wp:extent cx="2700000" cy="2023200"/>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_pin_keff.png"/>
                    <pic:cNvPicPr/>
                  </pic:nvPicPr>
                  <pic:blipFill>
                    <a:blip r:embed="rId14"/>
                    <a:stretch>
                      <a:fillRect/>
                    </a:stretch>
                  </pic:blipFill>
                  <pic:spPr>
                    <a:xfrm>
                      <a:off x="0" y="0"/>
                      <a:ext cx="2700000" cy="2023200"/>
                    </a:xfrm>
                    <a:prstGeom prst="rect">
                      <a:avLst/>
                    </a:prstGeom>
                  </pic:spPr>
                </pic:pic>
              </a:graphicData>
            </a:graphic>
          </wp:inline>
        </w:drawing>
      </w:r>
      <w:r>
        <w:rPr>
          <w:noProof/>
        </w:rPr>
        <w:drawing>
          <wp:inline distT="0" distB="0" distL="0" distR="0">
            <wp:extent cx="2700000" cy="20232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_core_keff.png"/>
                    <pic:cNvPicPr/>
                  </pic:nvPicPr>
                  <pic:blipFill>
                    <a:blip r:embed="rId15"/>
                    <a:stretch>
                      <a:fillRect/>
                    </a:stretch>
                  </pic:blipFill>
                  <pic:spPr>
                    <a:xfrm>
                      <a:off x="0" y="0"/>
                      <a:ext cx="2700000" cy="2023200"/>
                    </a:xfrm>
                    <a:prstGeom prst="rect">
                      <a:avLst/>
                    </a:prstGeom>
                  </pic:spPr>
                </pic:pic>
              </a:graphicData>
            </a:graphic>
          </wp:inline>
        </w:drawing>
      </w:r>
    </w:p>
    <w:p>
      <w:pPr>
        <w:pStyle w:val="Textkrper"/>
        <w:rPr>
          <w:i/>
        </w:rPr>
      </w:pPr>
      <w:bookmarkStart w:id="3" w:name="_Ref165984071"/>
      <w:r>
        <w:rPr>
          <w:i/>
        </w:rPr>
        <w:t xml:space="preserve">FIG. </w:t>
      </w:r>
      <w:r>
        <w:rPr>
          <w:i/>
        </w:rPr>
        <w:fldChar w:fldCharType="begin"/>
      </w:r>
      <w:r>
        <w:rPr>
          <w:i/>
        </w:rPr>
        <w:instrText xml:space="preserve"> SEQ Figure \* ARABIC </w:instrText>
      </w:r>
      <w:r>
        <w:rPr>
          <w:i/>
        </w:rPr>
        <w:fldChar w:fldCharType="separate"/>
      </w:r>
      <w:r>
        <w:rPr>
          <w:i/>
          <w:noProof/>
        </w:rPr>
        <w:t>3</w:t>
      </w:r>
      <w:r>
        <w:rPr>
          <w:i/>
        </w:rPr>
        <w:fldChar w:fldCharType="end"/>
      </w:r>
      <w:bookmarkEnd w:id="3"/>
      <w:r>
        <w:rPr>
          <w:i/>
        </w:rPr>
        <w:t xml:space="preserve">. Neutron multiplication factor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w:t>
      </w:r>
      <w:r>
        <w:rPr>
          <w:i/>
        </w:rPr>
        <w:t>as a function the active reactor core height (left) and the total number of FAs (right). In both cases, least-squares fits, inverse weighted by variance originating from Monte Carlo counting statistics, were done. In the 2D model, the outlying first two points were excluded from the fit.</w:t>
      </w:r>
    </w:p>
    <w:p>
      <w:pPr>
        <w:pStyle w:val="Textkrper"/>
      </w:pPr>
      <w:r>
        <w:t>For the reference model, whose core size (</w:t>
      </w:r>
      <m:oMath>
        <m:r>
          <w:rPr>
            <w:rFonts w:ascii="Cambria Math" w:hAnsi="Cambria Math"/>
          </w:rPr>
          <m:t>37</m:t>
        </m:r>
      </m:oMath>
      <w:r>
        <w:t xml:space="preserve"> FAs with active fuel height </w:t>
      </w:r>
      <m:oMath>
        <m:r>
          <w:rPr>
            <w:rFonts w:ascii="Cambria Math" w:hAnsi="Cambria Math"/>
          </w:rPr>
          <m:t xml:space="preserve">200 </m:t>
        </m:r>
        <m:r>
          <m:rPr>
            <m:sty m:val="p"/>
          </m:rPr>
          <w:rPr>
            <w:rFonts w:ascii="Cambria Math" w:hAnsi="Cambria Math"/>
          </w:rPr>
          <m:t>cm</m:t>
        </m:r>
      </m:oMath>
      <w:r>
        <w:t xml:space="preserve">) is comparable to a typical SMR, the inverse square dependence of the neutron leakage on the core dimensions is still valid.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w:t>
      </w:r>
      <w:r>
        <w:t xml:space="preserve">reduction due to finite dimensions is about </w:t>
      </w:r>
      <m:oMath>
        <m:r>
          <w:rPr>
            <w:rFonts w:ascii="Cambria Math" w:hAnsi="Cambria Math"/>
          </w:rPr>
          <m:t>~ 0.017</m:t>
        </m:r>
      </m:oMath>
      <w:r>
        <w:t xml:space="preserve"> and </w:t>
      </w:r>
      <m:oMath>
        <m:r>
          <w:rPr>
            <w:rFonts w:ascii="Cambria Math" w:hAnsi="Cambria Math"/>
          </w:rPr>
          <m:t>~ 0.063</m:t>
        </m:r>
      </m:oMath>
      <w:r>
        <w:t xml:space="preserve"> in axial and radial directions, respectively. This corresponds to a total neutron leakage of </w:t>
      </w:r>
      <m:oMath>
        <m:r>
          <w:rPr>
            <w:rFonts w:ascii="Cambria Math" w:hAnsi="Cambria Math"/>
          </w:rPr>
          <m:t>~ 8%</m:t>
        </m:r>
      </m:oMath>
      <w:r>
        <w:t xml:space="preserve">. In comparison, a large, e.g. EPR-size (241 FAs, active height </w:t>
      </w:r>
      <m:oMath>
        <m:r>
          <w:rPr>
            <w:rFonts w:ascii="Cambria Math" w:hAnsi="Cambria Math"/>
          </w:rPr>
          <m:t xml:space="preserve">400 </m:t>
        </m:r>
        <m:r>
          <m:rPr>
            <m:sty m:val="p"/>
          </m:rPr>
          <w:rPr>
            <w:rFonts w:ascii="Cambria Math" w:hAnsi="Cambria Math"/>
          </w:rPr>
          <m:t>cm</m:t>
        </m:r>
      </m:oMath>
      <w:r>
        <w:t xml:space="preserve">), PWR with a uniform core configuration, has a neutron leakage of </w:t>
      </w:r>
      <m:oMath>
        <m:r>
          <w:rPr>
            <w:rFonts w:ascii="Cambria Math" w:hAnsi="Cambria Math"/>
          </w:rPr>
          <m:t>~ 1-2%</m:t>
        </m:r>
      </m:oMath>
      <w:r>
        <w:t xml:space="preserve">. </w:t>
      </w:r>
    </w:p>
    <w:p>
      <w:pPr>
        <w:pStyle w:val="Textkrper"/>
      </w:pPr>
      <w:r>
        <w:t>In case of a comparable geometry and material composition of the ex-core components this results in almost an order of magnitude of difference in the total neutron fluence per unit of energy produced. Consequently, additional measures need to be taken to mitigate significant negative effect such as e.g. an increase in activation rates and a reduced pressure vessel lifetime. However, these topics are out of scope for this study.</w:t>
      </w:r>
    </w:p>
    <w:p>
      <w:pPr>
        <w:pStyle w:val="berschrift2"/>
      </w:pPr>
      <w:r>
        <w:t xml:space="preserve">INITIAL </w:t>
      </w:r>
      <w:r>
        <w:rPr>
          <w:vertAlign w:val="superscript"/>
        </w:rPr>
        <w:t>235</w:t>
      </w:r>
      <w:r>
        <w:t>U ENRICHMENT</w:t>
      </w:r>
    </w:p>
    <w:p>
      <w:pPr>
        <w:pStyle w:val="Textkrper"/>
      </w:pPr>
      <w:r>
        <w:t xml:space="preserve">In order to compensate for a higher neutron leakage rate, which leads to a lower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and maximum achievable BU, the so-called HALEU fuel with initial </w:t>
      </w:r>
      <w:r>
        <w:rPr>
          <w:vertAlign w:val="superscript"/>
        </w:rPr>
        <w:t>235</w:t>
      </w:r>
      <w:r>
        <w:t xml:space="preserve">U enrichment </w:t>
      </w:r>
      <m:oMath>
        <m:r>
          <w:rPr>
            <w:rFonts w:ascii="Cambria Math" w:hAnsi="Cambria Math"/>
          </w:rPr>
          <m:t>&gt; 5%</m:t>
        </m:r>
      </m:oMath>
      <w:r>
        <w:t xml:space="preserve"> is proposed in many SMR concepts </w:t>
      </w:r>
      <w:r>
        <w:fldChar w:fldCharType="begin"/>
      </w:r>
      <w:r>
        <w:instrText xml:space="preserve"> REF _Ref166564853 \r \h </w:instrText>
      </w:r>
      <w:r>
        <w:fldChar w:fldCharType="separate"/>
      </w:r>
      <w:r>
        <w:t>[1]</w:t>
      </w:r>
      <w:r>
        <w:fldChar w:fldCharType="end"/>
      </w:r>
      <w:r>
        <w:t xml:space="preserve">. The multiplication factor for infinite medium </w:t>
      </w:r>
      <m:oMath>
        <m:sSub>
          <m:sSubPr>
            <m:ctrlPr>
              <w:rPr>
                <w:rFonts w:ascii="Cambria Math" w:hAnsi="Cambria Math"/>
                <w:i/>
              </w:rPr>
            </m:ctrlPr>
          </m:sSubPr>
          <m:e>
            <m:r>
              <w:rPr>
                <w:rFonts w:ascii="Cambria Math" w:hAnsi="Cambria Math"/>
              </w:rPr>
              <m:t>k</m:t>
            </m:r>
          </m:e>
          <m:sub>
            <m:r>
              <w:rPr>
                <w:rFonts w:ascii="Cambria Math" w:hAnsi="Cambria Math"/>
              </w:rPr>
              <m:t>∞</m:t>
            </m:r>
          </m:sub>
        </m:sSub>
      </m:oMath>
      <w:r>
        <w:t xml:space="preserve"> is shown in </w:t>
      </w:r>
      <w:r>
        <w:fldChar w:fldCharType="begin"/>
      </w:r>
      <w:r>
        <w:instrText xml:space="preserve"> REF _Ref167171682 \h </w:instrText>
      </w:r>
      <w:r>
        <w:fldChar w:fldCharType="separate"/>
      </w:r>
      <w:r>
        <w:rPr>
          <w:i/>
        </w:rPr>
        <w:t xml:space="preserve">FIG. </w:t>
      </w:r>
      <w:r>
        <w:rPr>
          <w:i/>
          <w:noProof/>
        </w:rPr>
        <w:t>4</w:t>
      </w:r>
      <w:r>
        <w:fldChar w:fldCharType="end"/>
      </w:r>
      <w:r>
        <w:t xml:space="preserve"> as a function of BU for different IE. </w:t>
      </w:r>
    </w:p>
    <w:p>
      <w:pPr>
        <w:pStyle w:val="Textkrper"/>
        <w:jc w:val="center"/>
      </w:pPr>
      <w:r>
        <w:rPr>
          <w:noProof/>
        </w:rPr>
        <w:drawing>
          <wp:inline distT="0" distB="0" distL="0" distR="0">
            <wp:extent cx="3240000" cy="2372400"/>
            <wp:effectExtent l="0" t="0" r="0"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nf_BU-IE.png"/>
                    <pic:cNvPicPr/>
                  </pic:nvPicPr>
                  <pic:blipFill rotWithShape="1">
                    <a:blip r:embed="rId16"/>
                    <a:srcRect t="2492"/>
                    <a:stretch/>
                  </pic:blipFill>
                  <pic:spPr bwMode="auto">
                    <a:xfrm>
                      <a:off x="0" y="0"/>
                      <a:ext cx="3240000" cy="2372400"/>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pPr>
      <w:bookmarkStart w:id="4" w:name="_Ref167171682"/>
      <w:r>
        <w:rPr>
          <w:i/>
        </w:rPr>
        <w:t xml:space="preserve">FIG. </w:t>
      </w:r>
      <w:r>
        <w:rPr>
          <w:i/>
        </w:rPr>
        <w:fldChar w:fldCharType="begin"/>
      </w:r>
      <w:r>
        <w:rPr>
          <w:i/>
        </w:rPr>
        <w:instrText xml:space="preserve"> SEQ Figure \* ARABIC </w:instrText>
      </w:r>
      <w:r>
        <w:rPr>
          <w:i/>
        </w:rPr>
        <w:fldChar w:fldCharType="separate"/>
      </w:r>
      <w:r>
        <w:rPr>
          <w:i/>
          <w:noProof/>
        </w:rPr>
        <w:t>4</w:t>
      </w:r>
      <w:r>
        <w:rPr>
          <w:i/>
        </w:rPr>
        <w:fldChar w:fldCharType="end"/>
      </w:r>
      <w:bookmarkEnd w:id="4"/>
      <w:r>
        <w:rPr>
          <w:i/>
        </w:rPr>
        <w:t xml:space="preserve">. Infinite medium multiplication factor </w:t>
      </w:r>
      <m:oMath>
        <m:sSub>
          <m:sSubPr>
            <m:ctrlPr>
              <w:rPr>
                <w:rFonts w:ascii="Cambria Math" w:hAnsi="Cambria Math"/>
                <w:i/>
              </w:rPr>
            </m:ctrlPr>
          </m:sSubPr>
          <m:e>
            <m:r>
              <w:rPr>
                <w:rFonts w:ascii="Cambria Math" w:hAnsi="Cambria Math"/>
              </w:rPr>
              <m:t>k</m:t>
            </m:r>
          </m:e>
          <m:sub>
            <m:r>
              <w:rPr>
                <w:rFonts w:ascii="Cambria Math" w:hAnsi="Cambria Math"/>
              </w:rPr>
              <m:t>∞</m:t>
            </m:r>
          </m:sub>
        </m:sSub>
      </m:oMath>
      <w:r>
        <w:rPr>
          <w:i/>
        </w:rPr>
        <w:t xml:space="preserve"> as a function of BU for different IE. No boron.</w:t>
      </w:r>
    </w:p>
    <w:p>
      <w:pPr>
        <w:pStyle w:val="Textkrper"/>
      </w:pPr>
    </w:p>
    <w:p>
      <w:pPr>
        <w:pStyle w:val="Textkrper"/>
      </w:pPr>
      <w:r>
        <w:t xml:space="preserve">Due to core heterogeneity, the fuel can be burnt well below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=1</m:t>
        </m:r>
      </m:oMath>
      <w:r>
        <w:t xml:space="preserve"> for large systems. For small systems,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t xml:space="preserve"> reduction was estimated at </w:t>
      </w:r>
      <m:oMath>
        <m:r>
          <w:rPr>
            <w:rFonts w:ascii="Cambria Math" w:hAnsi="Cambria Math"/>
          </w:rPr>
          <m:t>~0.08</m:t>
        </m:r>
      </m:oMath>
      <w:r>
        <w:t xml:space="preserve"> for the reference </w:t>
      </w:r>
      <w:r>
        <w:lastRenderedPageBreak/>
        <w:t xml:space="preserve">model, representative for the size of a typical SMR (Section </w:t>
      </w:r>
      <w:r>
        <w:fldChar w:fldCharType="begin"/>
      </w:r>
      <w:r>
        <w:instrText xml:space="preserve"> REF _Ref166478349 \r \h </w:instrText>
      </w:r>
      <w:r>
        <w:fldChar w:fldCharType="separate"/>
      </w:r>
      <w:r>
        <w:t>3</w:t>
      </w:r>
      <w:r>
        <w:fldChar w:fldCharType="end"/>
      </w:r>
      <w:r>
        <w:t xml:space="preserve">). Assuming an average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=0.9</m:t>
        </m:r>
      </m:oMath>
      <w:r>
        <w:t xml:space="preserve"> at discharge for a large PWR, this results in the reduction of the maximum achievable BU of </w:t>
      </w:r>
      <m:oMath>
        <m:r>
          <w:rPr>
            <w:rFonts w:ascii="Cambria Math" w:hAnsi="Cambria Math"/>
          </w:rPr>
          <m:t xml:space="preserve">~15 </m:t>
        </m:r>
        <m:r>
          <m:rPr>
            <m:sty m:val="p"/>
          </m:rPr>
          <w:rPr>
            <w:rFonts w:ascii="Cambria Math" w:hAnsi="Cambria Math"/>
          </w:rPr>
          <m:t>MWd</m:t>
        </m:r>
        <m:r>
          <w:rPr>
            <w:rFonts w:ascii="Cambria Math" w:hAnsi="Cambria Math"/>
          </w:rPr>
          <m:t>/</m:t>
        </m:r>
        <m:r>
          <m:rPr>
            <m:sty m:val="p"/>
          </m:rPr>
          <w:rPr>
            <w:rFonts w:ascii="Cambria Math" w:hAnsi="Cambria Math"/>
          </w:rPr>
          <m:t>kg</m:t>
        </m:r>
      </m:oMath>
      <w:r>
        <w:t xml:space="preserve"> for the reference initial </w:t>
      </w:r>
      <w:r>
        <w:rPr>
          <w:vertAlign w:val="superscript"/>
        </w:rPr>
        <w:t>235</w:t>
      </w:r>
      <w:r>
        <w:t xml:space="preserve">U enrichment (4.5%) and for the HALEU fuel with </w:t>
      </w:r>
      <m:oMath>
        <m:r>
          <w:rPr>
            <w:rFonts w:ascii="Cambria Math" w:hAnsi="Cambria Math"/>
          </w:rPr>
          <m:t>7%</m:t>
        </m:r>
      </m:oMath>
      <w:r>
        <w:t xml:space="preserve"> IE. This can be compensated by an increase of IE by </w:t>
      </w:r>
      <m:oMath>
        <m:r>
          <w:rPr>
            <w:rFonts w:ascii="Cambria Math" w:hAnsi="Cambria Math"/>
          </w:rPr>
          <m:t>2.5-3%</m:t>
        </m:r>
      </m:oMath>
      <w:r>
        <w:t xml:space="preserve">, however resulting in increased stockpiles of the depleted uranium tail. For the HALEU fuel with </w:t>
      </w:r>
      <m:oMath>
        <m:r>
          <w:rPr>
            <w:rFonts w:ascii="Cambria Math" w:hAnsi="Cambria Math"/>
          </w:rPr>
          <m:t>&gt;10%</m:t>
        </m:r>
      </m:oMath>
      <w:r>
        <w:t xml:space="preserve"> IE, the maximum achievable BU is large even for the reference SMR core size and is thus probably only interesting for so-called microreactors. </w:t>
      </w:r>
    </w:p>
    <w:p>
      <w:pPr>
        <w:pStyle w:val="Textkrper"/>
      </w:pPr>
      <w:r>
        <w:t xml:space="preserve">The decay heat (DH) rate is one of the most important safety parameters for SNF storage and disposal. The total DH rate and main contributing nuclides for cooling time (CT) interval </w:t>
      </w:r>
      <m:oMath>
        <m:r>
          <w:rPr>
            <w:rFonts w:ascii="Cambria Math" w:hAnsi="Cambria Math"/>
          </w:rPr>
          <m:t xml:space="preserve">[1,1000] </m:t>
        </m:r>
        <m:r>
          <m:rPr>
            <m:sty m:val="p"/>
          </m:rPr>
          <w:rPr>
            <w:rFonts w:ascii="Cambria Math" w:hAnsi="Cambria Math"/>
          </w:rPr>
          <m:t>a</m:t>
        </m:r>
      </m:oMath>
      <w:r>
        <w:t xml:space="preserve"> are shown in </w:t>
      </w:r>
      <w:r>
        <w:fldChar w:fldCharType="begin"/>
      </w:r>
      <w:r>
        <w:instrText xml:space="preserve"> REF _Ref166742969 \h </w:instrText>
      </w:r>
      <w:r>
        <w:fldChar w:fldCharType="separate"/>
      </w:r>
      <w:r>
        <w:rPr>
          <w:i/>
        </w:rPr>
        <w:t xml:space="preserve">FIG. </w:t>
      </w:r>
      <w:r>
        <w:rPr>
          <w:i/>
          <w:noProof/>
        </w:rPr>
        <w:t>5</w:t>
      </w:r>
      <w:r>
        <w:fldChar w:fldCharType="end"/>
      </w:r>
      <w:r>
        <w:t xml:space="preserve"> (left) for the reference model (IE </w:t>
      </w:r>
      <m:oMath>
        <m:r>
          <w:rPr>
            <w:rFonts w:ascii="Cambria Math" w:hAnsi="Cambria Math"/>
          </w:rPr>
          <m:t>4.5%</m:t>
        </m:r>
      </m:oMath>
      <w:r>
        <w:t xml:space="preserve">, BU </w:t>
      </w:r>
      <m:oMath>
        <m:r>
          <w:rPr>
            <w:rFonts w:ascii="Cambria Math" w:hAnsi="Cambria Math"/>
          </w:rPr>
          <m:t xml:space="preserve">50 </m:t>
        </m:r>
        <m:r>
          <m:rPr>
            <m:sty m:val="p"/>
          </m:rPr>
          <w:rPr>
            <w:rFonts w:ascii="Cambria Math" w:hAnsi="Cambria Math"/>
          </w:rPr>
          <m:t>MWd/kg</m:t>
        </m:r>
      </m:oMath>
      <w:r>
        <w:t xml:space="preserve">). The results confirm the well-known fact that for CT up to </w:t>
      </w:r>
      <m:oMath>
        <m:r>
          <w:rPr>
            <w:rFonts w:ascii="Cambria Math" w:hAnsi="Cambria Math"/>
          </w:rPr>
          <m:t xml:space="preserve">~ 30 </m:t>
        </m:r>
        <m:r>
          <m:rPr>
            <m:sty m:val="p"/>
          </m:rPr>
          <w:rPr>
            <w:rFonts w:ascii="Cambria Math" w:hAnsi="Cambria Math"/>
          </w:rPr>
          <m:t>a</m:t>
        </m:r>
      </m:oMath>
      <w:r>
        <w:t xml:space="preserve">, DH is dominated by decay of fission products (FPs), whereas for longer CT, the contribution from actinide decay is gradually gaining in prominence. The calculated </w:t>
      </w:r>
      <w:r>
        <w:rPr>
          <w:vertAlign w:val="superscript"/>
        </w:rPr>
        <w:t>238</w:t>
      </w:r>
      <w:r>
        <w:t xml:space="preserve">Pu concentration presents the lower bound, corresponding to a (rare) case of fresh fuel not being contaminated by </w:t>
      </w:r>
      <w:r>
        <w:rPr>
          <w:vertAlign w:val="superscript"/>
        </w:rPr>
        <w:t>236</w:t>
      </w:r>
      <w:r>
        <w:t xml:space="preserve">U. The DH/BU ratio is related with high-level waste burden per unit produced energy. This ratio, normalised per amount of initial actinide mass </w:t>
      </w:r>
      <m:oMath>
        <m:r>
          <w:rPr>
            <w:rFonts w:ascii="Cambria Math" w:hAnsi="Cambria Math"/>
          </w:rPr>
          <m:t>m</m:t>
        </m:r>
      </m:oMath>
      <w:r>
        <w:t xml:space="preserve">, is shown in </w:t>
      </w:r>
      <w:r>
        <w:fldChar w:fldCharType="begin"/>
      </w:r>
      <w:r>
        <w:instrText xml:space="preserve"> REF _Ref166742969 \h </w:instrText>
      </w:r>
      <w:r>
        <w:fldChar w:fldCharType="separate"/>
      </w:r>
      <w:r>
        <w:rPr>
          <w:i/>
        </w:rPr>
        <w:t xml:space="preserve">FIG. </w:t>
      </w:r>
      <w:r>
        <w:rPr>
          <w:i/>
          <w:noProof/>
        </w:rPr>
        <w:t>5</w:t>
      </w:r>
      <w:r>
        <w:fldChar w:fldCharType="end"/>
      </w:r>
      <w:r>
        <w:t xml:space="preserve"> (right) for CT </w:t>
      </w:r>
      <m:oMath>
        <m:r>
          <w:rPr>
            <w:rFonts w:ascii="Cambria Math" w:hAnsi="Cambria Math"/>
          </w:rPr>
          <m:t xml:space="preserve">30 </m:t>
        </m:r>
        <m:r>
          <m:rPr>
            <m:sty m:val="p"/>
          </m:rPr>
          <w:rPr>
            <w:rFonts w:ascii="Cambria Math" w:hAnsi="Cambria Math"/>
          </w:rPr>
          <m:t>a</m:t>
        </m:r>
      </m:oMath>
      <w:r>
        <w:t xml:space="preserve">. It reveals an increasing trend with BU and decreasing with IE. This trend can be explained with non-linear build-up of (mainly) actinides, discussed in detail below. Use of HALEU fuel with IE </w:t>
      </w:r>
      <m:oMath>
        <m:r>
          <w:rPr>
            <w:rFonts w:ascii="Cambria Math" w:hAnsi="Cambria Math"/>
          </w:rPr>
          <m:t>7%</m:t>
        </m:r>
      </m:oMath>
      <w:r>
        <w:t xml:space="preserve"> and BU </w:t>
      </w:r>
      <m:oMath>
        <m:r>
          <w:rPr>
            <w:rFonts w:ascii="Cambria Math" w:hAnsi="Cambria Math"/>
          </w:rPr>
          <m:t xml:space="preserve">50 </m:t>
        </m:r>
        <m:r>
          <m:rPr>
            <m:sty m:val="p"/>
          </m:rPr>
          <w:rPr>
            <w:rFonts w:ascii="Cambria Math" w:hAnsi="Cambria Math"/>
          </w:rPr>
          <m:t>MWd</m:t>
        </m:r>
        <m:r>
          <w:rPr>
            <w:rFonts w:ascii="Cambria Math" w:hAnsi="Cambria Math"/>
          </w:rPr>
          <m:t>/</m:t>
        </m:r>
        <m:r>
          <m:rPr>
            <m:sty m:val="p"/>
          </m:rPr>
          <w:rPr>
            <w:rFonts w:ascii="Cambria Math" w:hAnsi="Cambria Math"/>
          </w:rPr>
          <m:t>kg</m:t>
        </m:r>
      </m:oMath>
      <w:r>
        <w:t xml:space="preserve"> results in a slightly higher DH/BU ratio compared to a reference scenario with IE </w:t>
      </w:r>
      <m:oMath>
        <m:r>
          <w:rPr>
            <w:rFonts w:ascii="Cambria Math" w:hAnsi="Cambria Math"/>
          </w:rPr>
          <m:t>4.5%</m:t>
        </m:r>
      </m:oMath>
      <w:r>
        <w:t xml:space="preserve"> and BU </w:t>
      </w:r>
      <m:oMath>
        <m:r>
          <w:rPr>
            <w:rFonts w:ascii="Cambria Math" w:hAnsi="Cambria Math"/>
          </w:rPr>
          <m:t xml:space="preserve">35 </m:t>
        </m:r>
        <m:r>
          <m:rPr>
            <m:sty m:val="p"/>
          </m:rPr>
          <w:rPr>
            <w:rFonts w:ascii="Cambria Math" w:hAnsi="Cambria Math"/>
          </w:rPr>
          <m:t>MWd</m:t>
        </m:r>
        <m:r>
          <w:rPr>
            <w:rFonts w:ascii="Cambria Math" w:hAnsi="Cambria Math"/>
          </w:rPr>
          <m:t>/</m:t>
        </m:r>
        <m:r>
          <m:rPr>
            <m:sty m:val="p"/>
          </m:rPr>
          <w:rPr>
            <w:rFonts w:ascii="Cambria Math" w:hAnsi="Cambria Math"/>
          </w:rPr>
          <m:t>kg</m:t>
        </m:r>
      </m:oMath>
      <w:r>
        <w:t xml:space="preserve">. Compared to a large PWR (IE </w:t>
      </w:r>
      <m:oMath>
        <m:r>
          <w:rPr>
            <w:rFonts w:ascii="Cambria Math" w:hAnsi="Cambria Math"/>
          </w:rPr>
          <m:t>4.5%</m:t>
        </m:r>
      </m:oMath>
      <w:r>
        <w:t xml:space="preserve"> and BU </w:t>
      </w:r>
      <m:oMath>
        <m:r>
          <w:rPr>
            <w:rFonts w:ascii="Cambria Math" w:hAnsi="Cambria Math"/>
          </w:rPr>
          <m:t xml:space="preserve">50 </m:t>
        </m:r>
        <m:r>
          <m:rPr>
            <m:sty m:val="p"/>
          </m:rPr>
          <w:rPr>
            <w:rFonts w:ascii="Cambria Math" w:hAnsi="Cambria Math"/>
          </w:rPr>
          <m:t>MWd</m:t>
        </m:r>
        <m:r>
          <w:rPr>
            <w:rFonts w:ascii="Cambria Math" w:hAnsi="Cambria Math"/>
          </w:rPr>
          <m:t>/</m:t>
        </m:r>
        <m:r>
          <m:rPr>
            <m:sty m:val="p"/>
          </m:rPr>
          <w:rPr>
            <w:rFonts w:ascii="Cambria Math" w:hAnsi="Cambria Math"/>
          </w:rPr>
          <m:t>kg</m:t>
        </m:r>
      </m:oMath>
      <w:r>
        <w:t>), both lower BU or higher IE in an SMR lead to a lower DH/BU ratio, which may have a positive impact for interim storage and potentially final disposal.</w:t>
      </w:r>
    </w:p>
    <w:p>
      <w:pPr>
        <w:pStyle w:val="Textkrper"/>
        <w:ind w:firstLine="0"/>
        <w:jc w:val="center"/>
        <w:rPr>
          <w:highlight w:val="yellow"/>
        </w:rPr>
      </w:pPr>
      <w:r>
        <w:rPr>
          <w:noProof/>
        </w:rPr>
        <w:drawing>
          <wp:inline distT="0" distB="0" distL="0" distR="0">
            <wp:extent cx="2520000" cy="1951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_ref.png"/>
                    <pic:cNvPicPr/>
                  </pic:nvPicPr>
                  <pic:blipFill rotWithShape="1">
                    <a:blip r:embed="rId17"/>
                    <a:srcRect r="2895"/>
                    <a:stretch/>
                  </pic:blipFill>
                  <pic:spPr bwMode="auto">
                    <a:xfrm>
                      <a:off x="0" y="0"/>
                      <a:ext cx="2520000" cy="1951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de-DE"/>
        </w:rPr>
        <w:drawing>
          <wp:inline distT="0" distB="0" distL="0" distR="0">
            <wp:extent cx="2808000" cy="1987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HzBUzm.png"/>
                    <pic:cNvPicPr/>
                  </pic:nvPicPr>
                  <pic:blipFill rotWithShape="1">
                    <a:blip r:embed="rId18"/>
                    <a:srcRect l="2816" t="12613" r="7465" b="2918"/>
                    <a:stretch/>
                  </pic:blipFill>
                  <pic:spPr bwMode="auto">
                    <a:xfrm>
                      <a:off x="0" y="0"/>
                      <a:ext cx="2808000" cy="1987200"/>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rPr>
          <w:i/>
        </w:rPr>
      </w:pPr>
      <w:bookmarkStart w:id="5" w:name="_Ref166742969"/>
      <w:bookmarkStart w:id="6" w:name="_Ref167175581"/>
      <w:r>
        <w:rPr>
          <w:i/>
        </w:rPr>
        <w:t xml:space="preserve">FIG. </w:t>
      </w:r>
      <w:r>
        <w:rPr>
          <w:i/>
        </w:rPr>
        <w:fldChar w:fldCharType="begin"/>
      </w:r>
      <w:r>
        <w:rPr>
          <w:i/>
        </w:rPr>
        <w:instrText xml:space="preserve"> SEQ Figure \* ARABIC </w:instrText>
      </w:r>
      <w:r>
        <w:rPr>
          <w:i/>
        </w:rPr>
        <w:fldChar w:fldCharType="separate"/>
      </w:r>
      <w:r>
        <w:rPr>
          <w:i/>
          <w:noProof/>
        </w:rPr>
        <w:t>5</w:t>
      </w:r>
      <w:r>
        <w:rPr>
          <w:i/>
        </w:rPr>
        <w:fldChar w:fldCharType="end"/>
      </w:r>
      <w:bookmarkEnd w:id="5"/>
      <w:r>
        <w:rPr>
          <w:i/>
        </w:rPr>
        <w:t xml:space="preserve">. Decay heat rate density as a function of cooling time for the reference model (IE </w:t>
      </w:r>
      <m:oMath>
        <m:r>
          <w:rPr>
            <w:rFonts w:ascii="Cambria Math" w:hAnsi="Cambria Math"/>
          </w:rPr>
          <m:t>4.5%</m:t>
        </m:r>
      </m:oMath>
      <w:r>
        <w:rPr>
          <w:i/>
        </w:rPr>
        <w:t xml:space="preserve">) (left) and DH/BU/m ratio as a function of BU for CT </w:t>
      </w:r>
      <m:oMath>
        <m:r>
          <w:rPr>
            <w:rFonts w:ascii="Cambria Math" w:hAnsi="Cambria Math"/>
          </w:rPr>
          <m:t xml:space="preserve">30 </m:t>
        </m:r>
        <m:r>
          <m:rPr>
            <m:sty m:val="p"/>
          </m:rPr>
          <w:rPr>
            <w:rFonts w:ascii="Cambria Math" w:hAnsi="Cambria Math"/>
          </w:rPr>
          <m:t>a</m:t>
        </m:r>
      </m:oMath>
      <w:r>
        <w:rPr>
          <w:i/>
        </w:rPr>
        <w:t xml:space="preserve"> and different IE (right).</w:t>
      </w:r>
      <w:bookmarkEnd w:id="6"/>
    </w:p>
    <w:p>
      <w:pPr>
        <w:pStyle w:val="Textkrper"/>
        <w:rPr>
          <w:highlight w:val="yellow"/>
        </w:rPr>
      </w:pPr>
    </w:p>
    <w:p>
      <w:pPr>
        <w:pStyle w:val="Textkrper"/>
      </w:pPr>
      <w:r>
        <w:rPr>
          <w:vertAlign w:val="superscript"/>
        </w:rPr>
        <w:t>239</w:t>
      </w:r>
      <w:r>
        <w:t>Pu is the first major step in production of transuranic elements irradiated in UO</w:t>
      </w:r>
      <w:r>
        <w:rPr>
          <w:vertAlign w:val="subscript"/>
        </w:rPr>
        <w:t>2</w:t>
      </w:r>
      <w:r>
        <w:t xml:space="preserve"> fuel. It is important for many reasons: </w:t>
      </w:r>
      <m:oMath>
        <m:sSub>
          <m:sSubPr>
            <m:ctrlPr>
              <w:rPr>
                <w:rFonts w:ascii="Cambria Math" w:hAnsi="Cambria Math"/>
                <w:i/>
              </w:rPr>
            </m:ctrlPr>
          </m:sSubPr>
          <m:e>
            <m:r>
              <w:rPr>
                <w:rFonts w:ascii="Cambria Math" w:hAnsi="Cambria Math"/>
              </w:rPr>
              <m:t>k</m:t>
            </m:r>
          </m:e>
          <m:sub>
            <m:r>
              <w:rPr>
                <w:rFonts w:ascii="Cambria Math" w:hAnsi="Cambria Math"/>
              </w:rPr>
              <m:t>∞</m:t>
            </m:r>
          </m:sub>
        </m:sSub>
      </m:oMath>
      <w:r>
        <w:t>, conversion, long-term DH, radiotoxicity, proliferation, etc. For lower IE, it builds up faster but its conc. reaches a lower equilibrium at a lower BU (</w:t>
      </w:r>
      <w:r>
        <w:fldChar w:fldCharType="begin"/>
      </w:r>
      <w:r>
        <w:instrText xml:space="preserve"> REF _Ref167176458 \h </w:instrText>
      </w:r>
      <w:r>
        <w:fldChar w:fldCharType="separate"/>
      </w:r>
      <w:r>
        <w:rPr>
          <w:i/>
        </w:rPr>
        <w:t xml:space="preserve">FIG. </w:t>
      </w:r>
      <w:r>
        <w:rPr>
          <w:i/>
          <w:noProof/>
        </w:rPr>
        <w:t>6</w:t>
      </w:r>
      <w:r>
        <w:fldChar w:fldCharType="end"/>
      </w:r>
      <w:r>
        <w:t xml:space="preserve"> left). For HALEU fuel, one may expect an increased conc. For lower BU, the </w:t>
      </w:r>
      <w:r>
        <w:rPr>
          <w:vertAlign w:val="superscript"/>
        </w:rPr>
        <w:t>239</w:t>
      </w:r>
      <w:r>
        <w:t>Pu</w:t>
      </w:r>
      <w:r>
        <w:t xml:space="preserve"> isotopic fraction is larger which may negatively influence proliferation resistance.</w:t>
      </w:r>
    </w:p>
    <w:p>
      <w:pPr>
        <w:pStyle w:val="Textkrper"/>
      </w:pPr>
      <w:r>
        <w:rPr>
          <w:vertAlign w:val="superscript"/>
        </w:rPr>
        <w:t>241</w:t>
      </w:r>
      <w:r>
        <w:t>Am is the dominant contributor to DH for CT interval [100,1000] a and is thus a limiting factor for heat transfer in SNF repository. It builds up faster for lower IE, but does not reach equilibrium for realistic BU (</w:t>
      </w:r>
      <w:r>
        <w:fldChar w:fldCharType="begin"/>
      </w:r>
      <w:r>
        <w:instrText xml:space="preserve"> REF _Ref167176458 \h </w:instrText>
      </w:r>
      <w:r>
        <w:fldChar w:fldCharType="separate"/>
      </w:r>
      <w:r>
        <w:rPr>
          <w:i/>
        </w:rPr>
        <w:t xml:space="preserve">FIG. </w:t>
      </w:r>
      <w:r>
        <w:rPr>
          <w:i/>
          <w:noProof/>
        </w:rPr>
        <w:t>6</w:t>
      </w:r>
      <w:r>
        <w:fldChar w:fldCharType="end"/>
      </w:r>
      <w:r>
        <w:t xml:space="preserve"> right). One would thus expect a positive impact for final disposal.</w:t>
      </w:r>
    </w:p>
    <w:p>
      <w:pPr>
        <w:pStyle w:val="Textkrper"/>
        <w:ind w:firstLine="0"/>
      </w:pPr>
      <w:r>
        <w:rPr>
          <w:noProof/>
        </w:rPr>
        <w:drawing>
          <wp:inline distT="0" distB="0" distL="0" distR="0">
            <wp:extent cx="2700000" cy="1828800"/>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239_1.png"/>
                    <pic:cNvPicPr/>
                  </pic:nvPicPr>
                  <pic:blipFill rotWithShape="1">
                    <a:blip r:embed="rId19"/>
                    <a:srcRect t="9658"/>
                    <a:stretch/>
                  </pic:blipFill>
                  <pic:spPr bwMode="auto">
                    <a:xfrm>
                      <a:off x="0" y="0"/>
                      <a:ext cx="2700000" cy="1828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699314" cy="1841161"/>
            <wp:effectExtent l="0" t="0" r="6350"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m241CT100a.png"/>
                    <pic:cNvPicPr/>
                  </pic:nvPicPr>
                  <pic:blipFill rotWithShape="1">
                    <a:blip r:embed="rId20"/>
                    <a:srcRect t="9136"/>
                    <a:stretch/>
                  </pic:blipFill>
                  <pic:spPr bwMode="auto">
                    <a:xfrm>
                      <a:off x="0" y="0"/>
                      <a:ext cx="2700000" cy="1841629"/>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rPr>
          <w:i/>
        </w:rPr>
      </w:pPr>
      <w:bookmarkStart w:id="7" w:name="_Ref167176458"/>
      <w:r>
        <w:rPr>
          <w:i/>
        </w:rPr>
        <w:t xml:space="preserve">FIG. </w:t>
      </w:r>
      <w:r>
        <w:rPr>
          <w:i/>
        </w:rPr>
        <w:fldChar w:fldCharType="begin"/>
      </w:r>
      <w:r>
        <w:rPr>
          <w:i/>
        </w:rPr>
        <w:instrText xml:space="preserve"> SEQ Figure \* ARABIC </w:instrText>
      </w:r>
      <w:r>
        <w:rPr>
          <w:i/>
        </w:rPr>
        <w:fldChar w:fldCharType="separate"/>
      </w:r>
      <w:r>
        <w:rPr>
          <w:i/>
          <w:noProof/>
        </w:rPr>
        <w:t>6</w:t>
      </w:r>
      <w:r>
        <w:rPr>
          <w:i/>
        </w:rPr>
        <w:fldChar w:fldCharType="end"/>
      </w:r>
      <w:bookmarkEnd w:id="7"/>
      <w:r>
        <w:rPr>
          <w:i/>
        </w:rPr>
        <w:t xml:space="preserve">. Conc. of </w:t>
      </w:r>
      <w:r>
        <w:rPr>
          <w:i/>
          <w:vertAlign w:val="superscript"/>
        </w:rPr>
        <w:t>239</w:t>
      </w:r>
      <w:r>
        <w:rPr>
          <w:i/>
        </w:rPr>
        <w:t xml:space="preserve">Pu at discharge (left) and </w:t>
      </w:r>
      <w:r>
        <w:rPr>
          <w:i/>
          <w:vertAlign w:val="superscript"/>
        </w:rPr>
        <w:t>241</w:t>
      </w:r>
      <w:r>
        <w:rPr>
          <w:i/>
        </w:rPr>
        <w:t xml:space="preserve">Am for CT </w:t>
      </w:r>
      <m:oMath>
        <m:r>
          <w:rPr>
            <w:rFonts w:ascii="Cambria Math" w:hAnsi="Cambria Math"/>
          </w:rPr>
          <m:t xml:space="preserve">100 </m:t>
        </m:r>
        <m:r>
          <m:rPr>
            <m:sty m:val="p"/>
          </m:rPr>
          <w:rPr>
            <w:rFonts w:ascii="Cambria Math" w:hAnsi="Cambria Math"/>
          </w:rPr>
          <m:t>a</m:t>
        </m:r>
      </m:oMath>
      <w:r>
        <w:rPr>
          <w:i/>
        </w:rPr>
        <w:t xml:space="preserve"> (right) as a func</w:t>
      </w:r>
      <w:proofErr w:type="spellStart"/>
      <w:r>
        <w:rPr>
          <w:i/>
        </w:rPr>
        <w:t>t</w:t>
      </w:r>
      <w:proofErr w:type="spellEnd"/>
      <w:r>
        <w:rPr>
          <w:i/>
        </w:rPr>
        <w:t>. of BU for different IE.</w:t>
      </w:r>
    </w:p>
    <w:p>
      <w:pPr>
        <w:pStyle w:val="Textkrper"/>
        <w:rPr>
          <w:color w:val="FF0000"/>
        </w:rPr>
      </w:pPr>
    </w:p>
    <w:p>
      <w:pPr>
        <w:pStyle w:val="Textkrper"/>
      </w:pPr>
      <w:r>
        <w:rPr>
          <w:vertAlign w:val="superscript"/>
        </w:rPr>
        <w:t>244</w:t>
      </w:r>
      <w:r>
        <w:t>Cm is the dominant contributor to LWR SNF neutron emission</w:t>
      </w:r>
      <w:r>
        <w:rPr>
          <w:color w:val="FF0000"/>
        </w:rPr>
        <w:t xml:space="preserve"> </w:t>
      </w:r>
      <w:r>
        <w:t xml:space="preserve">for CT interval [1,100] a </w:t>
      </w:r>
      <w:r>
        <w:fldChar w:fldCharType="begin"/>
      </w:r>
      <w:r>
        <w:instrText xml:space="preserve"> REF _Ref166655472 \r \h </w:instrText>
      </w:r>
      <w:r>
        <w:fldChar w:fldCharType="separate"/>
      </w:r>
      <w:r>
        <w:t>[11]</w:t>
      </w:r>
      <w:r>
        <w:fldChar w:fldCharType="end"/>
      </w:r>
      <w:r>
        <w:t xml:space="preserve">. </w:t>
      </w:r>
      <w:r>
        <w:fldChar w:fldCharType="begin"/>
      </w:r>
      <w:r>
        <w:instrText xml:space="preserve"> REF _Ref166742999 \h </w:instrText>
      </w:r>
      <w:r>
        <w:fldChar w:fldCharType="separate"/>
      </w:r>
      <w:r>
        <w:rPr>
          <w:i/>
        </w:rPr>
        <w:t xml:space="preserve">FIG. </w:t>
      </w:r>
      <w:r>
        <w:rPr>
          <w:i/>
          <w:noProof/>
        </w:rPr>
        <w:t>7</w:t>
      </w:r>
      <w:r>
        <w:fldChar w:fldCharType="end"/>
      </w:r>
      <w:r>
        <w:t xml:space="preserve"> left confirms a high sensitivity of </w:t>
      </w:r>
      <w:r>
        <w:rPr>
          <w:vertAlign w:val="superscript"/>
        </w:rPr>
        <w:t>244</w:t>
      </w:r>
      <w:r>
        <w:t xml:space="preserve">Cm conc. to BU, which makes it a potentially useful BU indicator </w:t>
      </w:r>
      <w:r>
        <w:fldChar w:fldCharType="begin"/>
      </w:r>
      <w:r>
        <w:instrText xml:space="preserve"> REF _Ref167174987 \r \h </w:instrText>
      </w:r>
      <w:r>
        <w:fldChar w:fldCharType="separate"/>
      </w:r>
      <w:r>
        <w:t>[12]</w:t>
      </w:r>
      <w:r>
        <w:fldChar w:fldCharType="end"/>
      </w:r>
      <w:r>
        <w:t>. The sensitivity to IE is negative. Its conc. in typical SMR SNF is expected to be lower compared to a large PWR.</w:t>
      </w:r>
    </w:p>
    <w:p>
      <w:pPr>
        <w:pStyle w:val="Textkrper"/>
        <w:ind w:firstLine="0"/>
        <w:rPr>
          <w:lang w:val="sl-SI"/>
        </w:rPr>
      </w:pPr>
      <w:r>
        <w:rPr>
          <w:noProof/>
          <w:lang w:val="sl-SI"/>
        </w:rPr>
        <w:drawing>
          <wp:inline distT="0" distB="0" distL="0" distR="0">
            <wp:extent cx="2700000" cy="1839600"/>
            <wp:effectExtent l="0" t="0" r="5715"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m244.png"/>
                    <pic:cNvPicPr/>
                  </pic:nvPicPr>
                  <pic:blipFill rotWithShape="1">
                    <a:blip r:embed="rId21"/>
                    <a:srcRect t="9121"/>
                    <a:stretch/>
                  </pic:blipFill>
                  <pic:spPr bwMode="auto">
                    <a:xfrm>
                      <a:off x="0" y="0"/>
                      <a:ext cx="2700000" cy="1839600"/>
                    </a:xfrm>
                    <a:prstGeom prst="rect">
                      <a:avLst/>
                    </a:prstGeom>
                    <a:ln>
                      <a:noFill/>
                    </a:ln>
                    <a:extLst>
                      <a:ext uri="{53640926-AAD7-44D8-BBD7-CCE9431645EC}">
                        <a14:shadowObscured xmlns:a14="http://schemas.microsoft.com/office/drawing/2010/main"/>
                      </a:ext>
                    </a:extLst>
                  </pic:spPr>
                </pic:pic>
              </a:graphicData>
            </a:graphic>
          </wp:inline>
        </w:drawing>
      </w:r>
      <w:r>
        <w:rPr>
          <w:noProof/>
          <w:lang w:val="sl-SI"/>
        </w:rPr>
        <w:drawing>
          <wp:inline distT="0" distB="0" distL="0" distR="0">
            <wp:extent cx="2700000" cy="1832400"/>
            <wp:effectExtent l="0" t="0" r="571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r90.png"/>
                    <pic:cNvPicPr/>
                  </pic:nvPicPr>
                  <pic:blipFill rotWithShape="1">
                    <a:blip r:embed="rId22"/>
                    <a:srcRect t="9389"/>
                    <a:stretch/>
                  </pic:blipFill>
                  <pic:spPr bwMode="auto">
                    <a:xfrm>
                      <a:off x="0" y="0"/>
                      <a:ext cx="2700000" cy="1832400"/>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rPr>
          <w:i/>
        </w:rPr>
      </w:pPr>
      <w:bookmarkStart w:id="8" w:name="_Ref166742999"/>
      <w:bookmarkStart w:id="9" w:name="_Ref167175100"/>
      <w:r>
        <w:rPr>
          <w:i/>
        </w:rPr>
        <w:t xml:space="preserve">FIG. </w:t>
      </w:r>
      <w:r>
        <w:rPr>
          <w:i/>
        </w:rPr>
        <w:fldChar w:fldCharType="begin"/>
      </w:r>
      <w:r>
        <w:rPr>
          <w:i/>
        </w:rPr>
        <w:instrText xml:space="preserve"> SEQ Figure \* ARABIC </w:instrText>
      </w:r>
      <w:r>
        <w:rPr>
          <w:i/>
        </w:rPr>
        <w:fldChar w:fldCharType="separate"/>
      </w:r>
      <w:r>
        <w:rPr>
          <w:i/>
          <w:noProof/>
        </w:rPr>
        <w:t>7</w:t>
      </w:r>
      <w:r>
        <w:rPr>
          <w:i/>
        </w:rPr>
        <w:fldChar w:fldCharType="end"/>
      </w:r>
      <w:bookmarkEnd w:id="8"/>
      <w:r>
        <w:rPr>
          <w:i/>
        </w:rPr>
        <w:t xml:space="preserve">. Concentration of </w:t>
      </w:r>
      <w:r>
        <w:rPr>
          <w:i/>
          <w:vertAlign w:val="superscript"/>
        </w:rPr>
        <w:t>244</w:t>
      </w:r>
      <w:r>
        <w:rPr>
          <w:i/>
        </w:rPr>
        <w:t xml:space="preserve">Cm (left) and </w:t>
      </w:r>
      <w:r>
        <w:rPr>
          <w:i/>
          <w:vertAlign w:val="superscript"/>
        </w:rPr>
        <w:t>90</w:t>
      </w:r>
      <w:r>
        <w:rPr>
          <w:i/>
        </w:rPr>
        <w:t>Sr (right) at discharge as a function of BU for different IE.</w:t>
      </w:r>
      <w:bookmarkEnd w:id="9"/>
    </w:p>
    <w:p>
      <w:pPr>
        <w:pStyle w:val="Textkrper"/>
        <w:ind w:firstLine="0"/>
        <w:rPr>
          <w:lang w:val="sl-SI"/>
        </w:rPr>
      </w:pPr>
    </w:p>
    <w:p>
      <w:pPr>
        <w:pStyle w:val="Textkrper"/>
      </w:pPr>
      <w:r>
        <w:rPr>
          <w:vertAlign w:val="superscript"/>
        </w:rPr>
        <w:t>137</w:t>
      </w:r>
      <w:r>
        <w:t xml:space="preserve">Cs is the main contributor to the γ-ray emission for CT interval [10,300] a </w:t>
      </w:r>
      <w:r>
        <w:rPr>
          <w:highlight w:val="yellow"/>
        </w:rPr>
        <w:fldChar w:fldCharType="begin"/>
      </w:r>
      <w:r>
        <w:instrText xml:space="preserve"> REF _Ref166655472 \r \h </w:instrText>
      </w:r>
      <w:r>
        <w:rPr>
          <w:highlight w:val="yellow"/>
        </w:rPr>
      </w:r>
      <w:r>
        <w:rPr>
          <w:highlight w:val="yellow"/>
        </w:rPr>
        <w:fldChar w:fldCharType="separate"/>
      </w:r>
      <w:r>
        <w:t>[11]</w:t>
      </w:r>
      <w:r>
        <w:rPr>
          <w:highlight w:val="yellow"/>
        </w:rPr>
        <w:fldChar w:fldCharType="end"/>
      </w:r>
      <w:r>
        <w:t xml:space="preserve">. The dependence of </w:t>
      </w:r>
      <w:r>
        <w:rPr>
          <w:vertAlign w:val="superscript"/>
        </w:rPr>
        <w:t>137</w:t>
      </w:r>
      <w:r>
        <w:t xml:space="preserve">Cs concentration on BU is almost linear, and its sensitivity to IE is very low, e.g. the difference in </w:t>
      </w:r>
      <w:r>
        <w:rPr>
          <w:vertAlign w:val="superscript"/>
        </w:rPr>
        <w:t>137</w:t>
      </w:r>
      <w:r>
        <w:t xml:space="preserve">Cs concentration between IE </w:t>
      </w:r>
      <m:oMath>
        <m:r>
          <w:rPr>
            <w:rFonts w:ascii="Cambria Math" w:hAnsi="Cambria Math"/>
          </w:rPr>
          <m:t>4.5%</m:t>
        </m:r>
      </m:oMath>
      <w:r>
        <w:t xml:space="preserve"> and </w:t>
      </w:r>
      <w:proofErr w:type="spellStart"/>
      <w:r>
        <w:t>IE</w:t>
      </w:r>
      <w:proofErr w:type="spellEnd"/>
      <w:r>
        <w:t xml:space="preserve"> </w:t>
      </w:r>
      <m:oMath>
        <m:r>
          <w:rPr>
            <w:rFonts w:ascii="Cambria Math" w:hAnsi="Cambria Math"/>
          </w:rPr>
          <m:t>20%</m:t>
        </m:r>
      </m:oMath>
      <w:r>
        <w:t xml:space="preserve"> case is </w:t>
      </w:r>
      <m:oMath>
        <m:r>
          <w:rPr>
            <w:rFonts w:ascii="Cambria Math" w:hAnsi="Cambria Math"/>
          </w:rPr>
          <m:t>&lt; 2%</m:t>
        </m:r>
      </m:oMath>
      <w:r>
        <w:t xml:space="preserve"> at any considered BU. The dependence of concentrations other two important contributors for CT </w:t>
      </w:r>
      <m:oMath>
        <m:r>
          <w:rPr>
            <w:rFonts w:ascii="Cambria Math" w:hAnsi="Cambria Math"/>
          </w:rPr>
          <m:t xml:space="preserve">&lt; 100 </m:t>
        </m:r>
        <m:r>
          <m:rPr>
            <m:sty m:val="p"/>
          </m:rPr>
          <w:rPr>
            <w:rFonts w:ascii="Cambria Math" w:hAnsi="Cambria Math"/>
          </w:rPr>
          <m:t>a</m:t>
        </m:r>
      </m:oMath>
      <w:r>
        <w:t xml:space="preserve">, </w:t>
      </w:r>
      <w:r>
        <w:rPr>
          <w:vertAlign w:val="superscript"/>
        </w:rPr>
        <w:t>134</w:t>
      </w:r>
      <w:r>
        <w:t xml:space="preserve">Cs and </w:t>
      </w:r>
      <w:r>
        <w:rPr>
          <w:vertAlign w:val="superscript"/>
        </w:rPr>
        <w:t>154</w:t>
      </w:r>
      <w:r>
        <w:t xml:space="preserve">Eu, on BU and IE at discharge is presented in </w:t>
      </w:r>
      <w:r>
        <w:rPr>
          <w:highlight w:val="yellow"/>
        </w:rPr>
        <w:fldChar w:fldCharType="begin"/>
      </w:r>
      <w:r>
        <w:instrText xml:space="preserve"> REF _Ref166743109 \h </w:instrText>
      </w:r>
      <w:r>
        <w:rPr>
          <w:highlight w:val="yellow"/>
        </w:rPr>
      </w:r>
      <w:r>
        <w:rPr>
          <w:highlight w:val="yellow"/>
        </w:rPr>
        <w:fldChar w:fldCharType="separate"/>
      </w:r>
      <w:r>
        <w:rPr>
          <w:i/>
        </w:rPr>
        <w:t xml:space="preserve">FIG. </w:t>
      </w:r>
      <w:r>
        <w:rPr>
          <w:i/>
          <w:noProof/>
        </w:rPr>
        <w:t>8</w:t>
      </w:r>
      <w:r>
        <w:rPr>
          <w:highlight w:val="yellow"/>
        </w:rPr>
        <w:fldChar w:fldCharType="end"/>
      </w:r>
      <w:r>
        <w:t>.</w:t>
      </w:r>
    </w:p>
    <w:p>
      <w:pPr>
        <w:pStyle w:val="Textkrper"/>
        <w:ind w:firstLine="0"/>
      </w:pPr>
      <w:r>
        <w:rPr>
          <w:noProof/>
        </w:rPr>
        <w:drawing>
          <wp:inline distT="0" distB="0" distL="0" distR="0">
            <wp:extent cx="2700000" cy="1839600"/>
            <wp:effectExtent l="0" t="0" r="571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134.png"/>
                    <pic:cNvPicPr/>
                  </pic:nvPicPr>
                  <pic:blipFill rotWithShape="1">
                    <a:blip r:embed="rId23"/>
                    <a:srcRect t="9121"/>
                    <a:stretch/>
                  </pic:blipFill>
                  <pic:spPr bwMode="auto">
                    <a:xfrm>
                      <a:off x="0" y="0"/>
                      <a:ext cx="2700000" cy="1839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00000" cy="182880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u154.png"/>
                    <pic:cNvPicPr/>
                  </pic:nvPicPr>
                  <pic:blipFill rotWithShape="1">
                    <a:blip r:embed="rId24"/>
                    <a:srcRect t="9658"/>
                    <a:stretch/>
                  </pic:blipFill>
                  <pic:spPr bwMode="auto">
                    <a:xfrm>
                      <a:off x="0" y="0"/>
                      <a:ext cx="2700000" cy="1828800"/>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rPr>
          <w:i/>
        </w:rPr>
      </w:pPr>
      <w:bookmarkStart w:id="10" w:name="_Ref166743109"/>
      <w:r>
        <w:rPr>
          <w:i/>
        </w:rPr>
        <w:t xml:space="preserve">FIG. </w:t>
      </w:r>
      <w:r>
        <w:rPr>
          <w:i/>
        </w:rPr>
        <w:fldChar w:fldCharType="begin"/>
      </w:r>
      <w:r>
        <w:rPr>
          <w:i/>
        </w:rPr>
        <w:instrText xml:space="preserve"> SEQ Figure \* ARABIC </w:instrText>
      </w:r>
      <w:r>
        <w:rPr>
          <w:i/>
        </w:rPr>
        <w:fldChar w:fldCharType="separate"/>
      </w:r>
      <w:r>
        <w:rPr>
          <w:i/>
          <w:noProof/>
        </w:rPr>
        <w:t>8</w:t>
      </w:r>
      <w:r>
        <w:rPr>
          <w:i/>
        </w:rPr>
        <w:fldChar w:fldCharType="end"/>
      </w:r>
      <w:bookmarkEnd w:id="10"/>
      <w:r>
        <w:rPr>
          <w:i/>
        </w:rPr>
        <w:t xml:space="preserve">. Concentration of </w:t>
      </w:r>
      <w:r>
        <w:rPr>
          <w:i/>
          <w:vertAlign w:val="superscript"/>
        </w:rPr>
        <w:t>134</w:t>
      </w:r>
      <w:r>
        <w:rPr>
          <w:i/>
        </w:rPr>
        <w:t xml:space="preserve">Cs (left) and </w:t>
      </w:r>
      <w:r>
        <w:rPr>
          <w:i/>
          <w:vertAlign w:val="superscript"/>
        </w:rPr>
        <w:t>154</w:t>
      </w:r>
      <w:r>
        <w:rPr>
          <w:i/>
        </w:rPr>
        <w:t>Eu (right) at discharge as a function of BU for different IE.</w:t>
      </w:r>
    </w:p>
    <w:p>
      <w:pPr>
        <w:pStyle w:val="Textkrper"/>
        <w:ind w:firstLine="0"/>
      </w:pPr>
    </w:p>
    <w:p>
      <w:pPr>
        <w:pStyle w:val="Textkrper"/>
      </w:pPr>
      <w:r>
        <w:rPr>
          <w:vertAlign w:val="superscript"/>
        </w:rPr>
        <w:t>90</w:t>
      </w:r>
      <w:r>
        <w:t>Sr is a pure β</w:t>
      </w:r>
      <w:r>
        <w:rPr>
          <w:vertAlign w:val="superscript"/>
        </w:rPr>
        <w:t>-</w:t>
      </w:r>
      <w:r>
        <w:t>-particle emitter and an important contributor to decay heat up to ~ 100 a (</w:t>
      </w:r>
      <w:r>
        <w:rPr>
          <w:highlight w:val="yellow"/>
        </w:rPr>
        <w:fldChar w:fldCharType="begin"/>
      </w:r>
      <w:r>
        <w:instrText xml:space="preserve"> REF _Ref166742969 \h </w:instrText>
      </w:r>
      <w:r>
        <w:rPr>
          <w:highlight w:val="yellow"/>
        </w:rPr>
      </w:r>
      <w:r>
        <w:rPr>
          <w:highlight w:val="yellow"/>
        </w:rPr>
        <w:fldChar w:fldCharType="separate"/>
      </w:r>
      <w:r>
        <w:rPr>
          <w:i/>
        </w:rPr>
        <w:t xml:space="preserve">FIG. </w:t>
      </w:r>
      <w:r>
        <w:rPr>
          <w:i/>
          <w:noProof/>
        </w:rPr>
        <w:t>5</w:t>
      </w:r>
      <w:r>
        <w:rPr>
          <w:highlight w:val="yellow"/>
        </w:rPr>
        <w:fldChar w:fldCharType="end"/>
      </w:r>
      <w:r>
        <w:t xml:space="preserve"> left). Due to a large difference in cumulative fission yields for </w:t>
      </w:r>
      <w:r>
        <w:rPr>
          <w:vertAlign w:val="superscript"/>
        </w:rPr>
        <w:t>235</w:t>
      </w:r>
      <w:r>
        <w:t xml:space="preserve">U (0.0578(6) </w:t>
      </w:r>
      <w:r>
        <w:fldChar w:fldCharType="begin"/>
      </w:r>
      <w:r>
        <w:instrText xml:space="preserve"> REF _Ref165557018 \r \h </w:instrText>
      </w:r>
      <w:r>
        <w:fldChar w:fldCharType="separate"/>
      </w:r>
      <w:r>
        <w:t>[8]</w:t>
      </w:r>
      <w:r>
        <w:fldChar w:fldCharType="end"/>
      </w:r>
      <w:r>
        <w:t xml:space="preserve">) and </w:t>
      </w:r>
      <w:r>
        <w:rPr>
          <w:vertAlign w:val="superscript"/>
        </w:rPr>
        <w:t>239</w:t>
      </w:r>
      <w:r>
        <w:t xml:space="preserve">Pu (0.0210(4) </w:t>
      </w:r>
      <w:r>
        <w:fldChar w:fldCharType="begin"/>
      </w:r>
      <w:r>
        <w:instrText xml:space="preserve"> REF _Ref165557018 \r \h </w:instrText>
      </w:r>
      <w:r>
        <w:fldChar w:fldCharType="separate"/>
      </w:r>
      <w:r>
        <w:t>[8]</w:t>
      </w:r>
      <w:r>
        <w:fldChar w:fldCharType="end"/>
      </w:r>
      <w:r>
        <w:t>), non-linear dependencies on BU and IE occur (</w:t>
      </w:r>
      <w:r>
        <w:rPr>
          <w:highlight w:val="yellow"/>
        </w:rPr>
        <w:fldChar w:fldCharType="begin"/>
      </w:r>
      <w:r>
        <w:instrText xml:space="preserve"> REF _Ref166742999 \h </w:instrText>
      </w:r>
      <w:r>
        <w:rPr>
          <w:highlight w:val="yellow"/>
        </w:rPr>
      </w:r>
      <w:r>
        <w:rPr>
          <w:highlight w:val="yellow"/>
        </w:rPr>
        <w:fldChar w:fldCharType="separate"/>
      </w:r>
      <w:r>
        <w:rPr>
          <w:i/>
        </w:rPr>
        <w:t xml:space="preserve">FIG. </w:t>
      </w:r>
      <w:r>
        <w:rPr>
          <w:i/>
          <w:noProof/>
        </w:rPr>
        <w:t>7</w:t>
      </w:r>
      <w:r>
        <w:rPr>
          <w:highlight w:val="yellow"/>
        </w:rPr>
        <w:fldChar w:fldCharType="end"/>
      </w:r>
      <w:r>
        <w:t xml:space="preserve"> right). Since the </w:t>
      </w:r>
      <w:r>
        <w:rPr>
          <w:vertAlign w:val="superscript"/>
        </w:rPr>
        <w:t>239</w:t>
      </w:r>
      <w:r>
        <w:t xml:space="preserve">Pu fission fraction increases with BU, this results in slower than linear </w:t>
      </w:r>
      <w:r>
        <w:rPr>
          <w:vertAlign w:val="superscript"/>
        </w:rPr>
        <w:t>90</w:t>
      </w:r>
      <w:r>
        <w:t xml:space="preserve">Sr build-up with BU. Conversely, since </w:t>
      </w:r>
      <w:r>
        <w:rPr>
          <w:vertAlign w:val="superscript"/>
        </w:rPr>
        <w:t>239</w:t>
      </w:r>
      <w:r>
        <w:t xml:space="preserve">Pu fission fraction decreases with IE, the </w:t>
      </w:r>
      <w:r>
        <w:rPr>
          <w:vertAlign w:val="superscript"/>
        </w:rPr>
        <w:t>90</w:t>
      </w:r>
      <w:r>
        <w:t>Sr build-up increases with IE.</w:t>
      </w:r>
    </w:p>
    <w:p>
      <w:pPr>
        <w:pStyle w:val="Textkrper"/>
      </w:pPr>
      <w:r>
        <w:t xml:space="preserve">For long-term safety of high-level waste disposal, long-lived FPs, such as e.g. </w:t>
      </w:r>
      <w:r>
        <w:rPr>
          <w:vertAlign w:val="superscript"/>
        </w:rPr>
        <w:t>99</w:t>
      </w:r>
      <w:r>
        <w:t xml:space="preserve">Tc, </w:t>
      </w:r>
      <w:r>
        <w:rPr>
          <w:vertAlign w:val="superscript"/>
        </w:rPr>
        <w:t>135</w:t>
      </w:r>
      <w:r>
        <w:t xml:space="preserve">Cs and </w:t>
      </w:r>
      <w:r>
        <w:rPr>
          <w:vertAlign w:val="superscript"/>
        </w:rPr>
        <w:t>129</w:t>
      </w:r>
      <w:r>
        <w:t xml:space="preserve">I play a crucial role. </w:t>
      </w:r>
      <w:r>
        <w:rPr>
          <w:vertAlign w:val="superscript"/>
        </w:rPr>
        <w:t>99</w:t>
      </w:r>
      <w:r>
        <w:t xml:space="preserve">Tc build-up is close to linear with BU, and the differences in accumulated </w:t>
      </w:r>
      <w:r>
        <w:rPr>
          <w:vertAlign w:val="superscript"/>
        </w:rPr>
        <w:t>99</w:t>
      </w:r>
      <w:r>
        <w:t xml:space="preserve">Tc for different IE are within 20% for any considered BU. </w:t>
      </w:r>
      <w:r>
        <w:rPr>
          <w:vertAlign w:val="superscript"/>
        </w:rPr>
        <w:t>135</w:t>
      </w:r>
      <w:r>
        <w:t xml:space="preserve">Cs production depends on </w:t>
      </w:r>
      <w:r>
        <w:rPr>
          <w:vertAlign w:val="superscript"/>
        </w:rPr>
        <w:t>135</w:t>
      </w:r>
      <w:r>
        <w:t>Xe(</w:t>
      </w:r>
      <w:proofErr w:type="spellStart"/>
      <w:proofErr w:type="gramStart"/>
      <w:r>
        <w:t>n,γ</w:t>
      </w:r>
      <w:proofErr w:type="spellEnd"/>
      <w:proofErr w:type="gramEnd"/>
      <w:r>
        <w:t xml:space="preserve">) rate, which decreases with IE at a fixed power density, resulting in increased </w:t>
      </w:r>
      <w:r>
        <w:rPr>
          <w:vertAlign w:val="superscript"/>
        </w:rPr>
        <w:t>135</w:t>
      </w:r>
      <w:r>
        <w:t>Cs concentration (</w:t>
      </w:r>
      <w:r>
        <w:rPr>
          <w:highlight w:val="yellow"/>
        </w:rPr>
        <w:fldChar w:fldCharType="begin"/>
      </w:r>
      <w:r>
        <w:instrText xml:space="preserve"> REF _Ref166743026 \h </w:instrText>
      </w:r>
      <w:r>
        <w:rPr>
          <w:highlight w:val="yellow"/>
        </w:rPr>
      </w:r>
      <w:r>
        <w:rPr>
          <w:highlight w:val="yellow"/>
        </w:rPr>
        <w:fldChar w:fldCharType="separate"/>
      </w:r>
      <w:r>
        <w:rPr>
          <w:i/>
        </w:rPr>
        <w:t xml:space="preserve">FIG. </w:t>
      </w:r>
      <w:r>
        <w:rPr>
          <w:i/>
          <w:noProof/>
        </w:rPr>
        <w:t>9</w:t>
      </w:r>
      <w:r>
        <w:rPr>
          <w:highlight w:val="yellow"/>
        </w:rPr>
        <w:fldChar w:fldCharType="end"/>
      </w:r>
      <w:r>
        <w:t xml:space="preserve"> left). In order to see a full picture, variations in power density would have to be considered. A sharp increase in </w:t>
      </w:r>
      <w:r>
        <w:rPr>
          <w:vertAlign w:val="superscript"/>
        </w:rPr>
        <w:t>135</w:t>
      </w:r>
      <w:r>
        <w:t xml:space="preserve">Cs production per unit energy produced is expected in systems with lower power densities, corresponding to some SMR concepts. </w:t>
      </w:r>
      <w:r>
        <w:rPr>
          <w:vertAlign w:val="superscript"/>
        </w:rPr>
        <w:t>129</w:t>
      </w:r>
      <w:r>
        <w:t xml:space="preserve">I has a much higher cumulative fission yield for </w:t>
      </w:r>
      <w:r>
        <w:rPr>
          <w:vertAlign w:val="superscript"/>
        </w:rPr>
        <w:t>239</w:t>
      </w:r>
      <w:r>
        <w:t xml:space="preserve">Pu (0.0137(5) </w:t>
      </w:r>
      <w:r>
        <w:fldChar w:fldCharType="begin"/>
      </w:r>
      <w:r>
        <w:instrText xml:space="preserve"> REF _Ref165557018 \r \h </w:instrText>
      </w:r>
      <w:r>
        <w:fldChar w:fldCharType="separate"/>
      </w:r>
      <w:r>
        <w:t>[8]</w:t>
      </w:r>
      <w:r>
        <w:fldChar w:fldCharType="end"/>
      </w:r>
      <w:r>
        <w:t xml:space="preserve">) than </w:t>
      </w:r>
      <w:r>
        <w:rPr>
          <w:vertAlign w:val="superscript"/>
        </w:rPr>
        <w:t>235</w:t>
      </w:r>
      <w:r>
        <w:t xml:space="preserve">U (0.00543(5) </w:t>
      </w:r>
      <w:r>
        <w:fldChar w:fldCharType="begin"/>
      </w:r>
      <w:r>
        <w:instrText xml:space="preserve"> REF _Ref165557018 \r \h </w:instrText>
      </w:r>
      <w:r>
        <w:fldChar w:fldCharType="separate"/>
      </w:r>
      <w:r>
        <w:t>[8]</w:t>
      </w:r>
      <w:r>
        <w:fldChar w:fldCharType="end"/>
      </w:r>
      <w:r>
        <w:t>), which leads to increased build-up rate with BU and decreased with IE (</w:t>
      </w:r>
      <w:r>
        <w:rPr>
          <w:highlight w:val="yellow"/>
        </w:rPr>
        <w:fldChar w:fldCharType="begin"/>
      </w:r>
      <w:r>
        <w:instrText xml:space="preserve"> REF _Ref166743026 \h </w:instrText>
      </w:r>
      <w:r>
        <w:rPr>
          <w:highlight w:val="yellow"/>
        </w:rPr>
      </w:r>
      <w:r>
        <w:rPr>
          <w:highlight w:val="yellow"/>
        </w:rPr>
        <w:fldChar w:fldCharType="separate"/>
      </w:r>
      <w:r>
        <w:rPr>
          <w:i/>
        </w:rPr>
        <w:t xml:space="preserve">FIG. </w:t>
      </w:r>
      <w:r>
        <w:rPr>
          <w:i/>
          <w:noProof/>
        </w:rPr>
        <w:t>9</w:t>
      </w:r>
      <w:r>
        <w:rPr>
          <w:highlight w:val="yellow"/>
        </w:rPr>
        <w:fldChar w:fldCharType="end"/>
      </w:r>
      <w:r>
        <w:t xml:space="preserve"> right). </w:t>
      </w:r>
    </w:p>
    <w:p>
      <w:pPr>
        <w:pStyle w:val="Textkrper"/>
        <w:ind w:firstLine="0"/>
      </w:pPr>
      <w:r>
        <w:rPr>
          <w:noProof/>
        </w:rPr>
        <w:drawing>
          <wp:inline distT="0" distB="0" distL="0" distR="0">
            <wp:extent cx="2700000" cy="1825200"/>
            <wp:effectExtent l="0" t="0" r="5715"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135.png"/>
                    <pic:cNvPicPr/>
                  </pic:nvPicPr>
                  <pic:blipFill rotWithShape="1">
                    <a:blip r:embed="rId25"/>
                    <a:srcRect t="9926"/>
                    <a:stretch/>
                  </pic:blipFill>
                  <pic:spPr bwMode="auto">
                    <a:xfrm>
                      <a:off x="0" y="0"/>
                      <a:ext cx="2700000" cy="1825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700000" cy="1839600"/>
            <wp:effectExtent l="0" t="0" r="571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9.png"/>
                    <pic:cNvPicPr/>
                  </pic:nvPicPr>
                  <pic:blipFill rotWithShape="1">
                    <a:blip r:embed="rId26"/>
                    <a:srcRect t="9121"/>
                    <a:stretch/>
                  </pic:blipFill>
                  <pic:spPr bwMode="auto">
                    <a:xfrm>
                      <a:off x="0" y="0"/>
                      <a:ext cx="2700000" cy="1839600"/>
                    </a:xfrm>
                    <a:prstGeom prst="rect">
                      <a:avLst/>
                    </a:prstGeom>
                    <a:ln>
                      <a:noFill/>
                    </a:ln>
                    <a:extLst>
                      <a:ext uri="{53640926-AAD7-44D8-BBD7-CCE9431645EC}">
                        <a14:shadowObscured xmlns:a14="http://schemas.microsoft.com/office/drawing/2010/main"/>
                      </a:ext>
                    </a:extLst>
                  </pic:spPr>
                </pic:pic>
              </a:graphicData>
            </a:graphic>
          </wp:inline>
        </w:drawing>
      </w:r>
    </w:p>
    <w:p>
      <w:pPr>
        <w:pStyle w:val="Textkrper"/>
        <w:rPr>
          <w:i/>
        </w:rPr>
      </w:pPr>
      <w:bookmarkStart w:id="11" w:name="_Ref166743026"/>
      <w:r>
        <w:rPr>
          <w:i/>
        </w:rPr>
        <w:t xml:space="preserve">FIG. </w:t>
      </w:r>
      <w:r>
        <w:rPr>
          <w:i/>
        </w:rPr>
        <w:fldChar w:fldCharType="begin"/>
      </w:r>
      <w:r>
        <w:rPr>
          <w:i/>
        </w:rPr>
        <w:instrText xml:space="preserve"> SEQ Figure \* ARABIC </w:instrText>
      </w:r>
      <w:r>
        <w:rPr>
          <w:i/>
        </w:rPr>
        <w:fldChar w:fldCharType="separate"/>
      </w:r>
      <w:r>
        <w:rPr>
          <w:i/>
          <w:noProof/>
        </w:rPr>
        <w:t>9</w:t>
      </w:r>
      <w:r>
        <w:rPr>
          <w:i/>
        </w:rPr>
        <w:fldChar w:fldCharType="end"/>
      </w:r>
      <w:bookmarkEnd w:id="11"/>
      <w:r>
        <w:rPr>
          <w:i/>
        </w:rPr>
        <w:t xml:space="preserve">. Concentration of </w:t>
      </w:r>
      <w:r>
        <w:rPr>
          <w:i/>
          <w:vertAlign w:val="superscript"/>
        </w:rPr>
        <w:t>135</w:t>
      </w:r>
      <w:r>
        <w:rPr>
          <w:i/>
        </w:rPr>
        <w:t xml:space="preserve">Cs (left) and </w:t>
      </w:r>
      <w:r>
        <w:rPr>
          <w:i/>
          <w:vertAlign w:val="superscript"/>
        </w:rPr>
        <w:t>129</w:t>
      </w:r>
      <w:r>
        <w:rPr>
          <w:i/>
        </w:rPr>
        <w:t>I (right) at discharge as a function of BU for different IE.</w:t>
      </w:r>
    </w:p>
    <w:p>
      <w:pPr>
        <w:pStyle w:val="berschrift2"/>
      </w:pPr>
      <w:r>
        <w:t>REFLECTOR</w:t>
      </w:r>
    </w:p>
    <w:p>
      <w:pPr>
        <w:pStyle w:val="Textkrper"/>
      </w:pPr>
      <w:r>
        <w:t xml:space="preserve">The influence of use of different reflector materials on SNF nuclide vector </w:t>
      </w:r>
      <w:r>
        <w:t xml:space="preserve">components </w:t>
      </w:r>
      <w:r>
        <w:t xml:space="preserve">is summarised in TABLE 1 for “edge” and “vertex” configurations. </w:t>
      </w:r>
      <w:r>
        <w:t>All effects are stronger for “vertex” than “edge” configurations.</w:t>
      </w:r>
      <w:r>
        <w:t xml:space="preserve"> D</w:t>
      </w:r>
      <w:r>
        <w:t xml:space="preserve">ifferences in </w:t>
      </w:r>
      <w:r>
        <w:rPr>
          <w:vertAlign w:val="superscript"/>
        </w:rPr>
        <w:t>90</w:t>
      </w:r>
      <w:r>
        <w:t xml:space="preserve">Sr, </w:t>
      </w:r>
      <w:r>
        <w:rPr>
          <w:vertAlign w:val="superscript"/>
        </w:rPr>
        <w:t>99</w:t>
      </w:r>
      <w:r>
        <w:t xml:space="preserve">Tc and </w:t>
      </w:r>
      <w:r>
        <w:rPr>
          <w:vertAlign w:val="superscript"/>
        </w:rPr>
        <w:t>137</w:t>
      </w:r>
      <w:r>
        <w:t xml:space="preserve">Cs conc. are small, as expected. </w:t>
      </w:r>
      <w:r>
        <w:t xml:space="preserve">Conc. of most other considered nuclides are </w:t>
      </w:r>
      <w:r>
        <w:t>lower for all other reflector types except SS</w:t>
      </w:r>
      <w:r>
        <w:t>-304</w:t>
      </w:r>
      <w:r>
        <w:t>.</w:t>
      </w:r>
      <w:r>
        <w:t xml:space="preserve"> </w:t>
      </w:r>
      <w:r>
        <w:t xml:space="preserve">This is </w:t>
      </w:r>
      <w:r>
        <w:t>related with the neutron spectrum, which is except for SS-304</w:t>
      </w:r>
      <w:r>
        <w:t xml:space="preserve"> more </w:t>
      </w:r>
      <w:proofErr w:type="spellStart"/>
      <w:r>
        <w:t>thermalised</w:t>
      </w:r>
      <w:proofErr w:type="spellEnd"/>
      <w:r>
        <w:t xml:space="preserve">, causing a lower resonance </w:t>
      </w:r>
      <w:r>
        <w:rPr>
          <w:vertAlign w:val="superscript"/>
        </w:rPr>
        <w:t>238</w:t>
      </w:r>
      <w:r>
        <w:t>U(</w:t>
      </w:r>
      <w:proofErr w:type="spellStart"/>
      <w:proofErr w:type="gramStart"/>
      <w:r>
        <w:t>n,γ</w:t>
      </w:r>
      <w:proofErr w:type="spellEnd"/>
      <w:proofErr w:type="gramEnd"/>
      <w:r>
        <w:t>)</w:t>
      </w:r>
      <w:r>
        <w:t xml:space="preserve"> rate. This effect is most pronounced for D</w:t>
      </w:r>
      <w:r>
        <w:rPr>
          <w:vertAlign w:val="subscript"/>
        </w:rPr>
        <w:t>2</w:t>
      </w:r>
      <w:r>
        <w:t>O reflector. For H</w:t>
      </w:r>
      <w:r>
        <w:rPr>
          <w:vertAlign w:val="subscript"/>
        </w:rPr>
        <w:t>2</w:t>
      </w:r>
      <w:r>
        <w:t xml:space="preserve">O, the effect is smaller due to neutron capture in H. A similar, but smaller, effect is observed for </w:t>
      </w:r>
      <w:r>
        <w:rPr>
          <w:vertAlign w:val="superscript"/>
        </w:rPr>
        <w:t>13</w:t>
      </w:r>
      <w:r>
        <w:rPr>
          <w:vertAlign w:val="superscript"/>
        </w:rPr>
        <w:t>4</w:t>
      </w:r>
      <w:r>
        <w:t>Cs</w:t>
      </w:r>
      <w:r>
        <w:t xml:space="preserve"> and </w:t>
      </w:r>
      <w:r>
        <w:rPr>
          <w:vertAlign w:val="superscript"/>
        </w:rPr>
        <w:t>15</w:t>
      </w:r>
      <w:r>
        <w:rPr>
          <w:vertAlign w:val="superscript"/>
        </w:rPr>
        <w:t>4</w:t>
      </w:r>
      <w:r>
        <w:t>Eu. A</w:t>
      </w:r>
      <w:r>
        <w:t xml:space="preserve"> more </w:t>
      </w:r>
      <w:proofErr w:type="spellStart"/>
      <w:r>
        <w:t>thermalised</w:t>
      </w:r>
      <w:proofErr w:type="spellEnd"/>
      <w:r>
        <w:t xml:space="preserve"> spectrum </w:t>
      </w:r>
      <w:r>
        <w:t xml:space="preserve">also </w:t>
      </w:r>
      <w:r>
        <w:t>lea</w:t>
      </w:r>
      <w:r>
        <w:t>ds</w:t>
      </w:r>
      <w:r>
        <w:t xml:space="preserve"> to </w:t>
      </w:r>
      <w:r>
        <w:t xml:space="preserve">a </w:t>
      </w:r>
      <w:r>
        <w:t xml:space="preserve">higher </w:t>
      </w:r>
      <w:r>
        <w:rPr>
          <w:vertAlign w:val="superscript"/>
        </w:rPr>
        <w:t>135</w:t>
      </w:r>
      <w:r>
        <w:t>Xe(</w:t>
      </w:r>
      <w:proofErr w:type="spellStart"/>
      <w:proofErr w:type="gramStart"/>
      <w:r>
        <w:t>n,γ</w:t>
      </w:r>
      <w:proofErr w:type="spellEnd"/>
      <w:proofErr w:type="gramEnd"/>
      <w:r>
        <w:t>) rate</w:t>
      </w:r>
      <w:r>
        <w:t xml:space="preserve">, resulting in lower </w:t>
      </w:r>
      <w:r>
        <w:rPr>
          <w:vertAlign w:val="superscript"/>
        </w:rPr>
        <w:t>135</w:t>
      </w:r>
      <w:r>
        <w:t>Cs conc.</w:t>
      </w:r>
      <w:r>
        <w:t xml:space="preserve"> </w:t>
      </w:r>
    </w:p>
    <w:p>
      <w:pPr>
        <w:pStyle w:val="Textkrper"/>
      </w:pPr>
      <w:r>
        <w:t xml:space="preserve">Using SS-304 reflector leads to increased production rate of most transuranic actinide nuclides and some FPs, including </w:t>
      </w:r>
      <w:r>
        <w:rPr>
          <w:vertAlign w:val="superscript"/>
        </w:rPr>
        <w:t>134,135</w:t>
      </w:r>
      <w:r>
        <w:t xml:space="preserve">Cs and </w:t>
      </w:r>
      <w:r>
        <w:rPr>
          <w:vertAlign w:val="superscript"/>
        </w:rPr>
        <w:t>154</w:t>
      </w:r>
      <w:r>
        <w:t>Eu. Other considered reflector materials achieve an opposite effect.</w:t>
      </w:r>
    </w:p>
    <w:p>
      <w:pPr>
        <w:pStyle w:val="Textkrper"/>
        <w:rPr>
          <w:highlight w:val="yellow"/>
        </w:rPr>
      </w:pPr>
      <w:r>
        <w:t xml:space="preserve"> </w:t>
      </w:r>
    </w:p>
    <w:p>
      <w:pPr>
        <w:pStyle w:val="Textkrper"/>
        <w:ind w:firstLine="0"/>
      </w:pPr>
      <w:r>
        <w:t>TABLE 1.</w:t>
      </w:r>
      <w:r>
        <w:tab/>
        <w:t xml:space="preserve">CONC. OF SOME NUCLIDES AT DISCHARGE FOR FAs ADJACENT TO DIFFERENT REFLECTOR MATERIALS, RELATIVE TO THE REFERENCE MODEL (IE 4.5%, BU 50 </w:t>
      </w:r>
      <w:proofErr w:type="spellStart"/>
      <w:r>
        <w:t>MWd</w:t>
      </w:r>
      <w:proofErr w:type="spellEnd"/>
      <w:r>
        <w:t>/kg).</w:t>
      </w:r>
    </w:p>
    <w:p>
      <w:pPr>
        <w:pStyle w:val="Textkrper"/>
        <w:rPr>
          <w:highlight w:val="yellow"/>
        </w:rPr>
      </w:pP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1245"/>
        <w:gridCol w:w="781"/>
        <w:gridCol w:w="901"/>
        <w:gridCol w:w="777"/>
        <w:gridCol w:w="897"/>
        <w:gridCol w:w="772"/>
        <w:gridCol w:w="894"/>
        <w:gridCol w:w="772"/>
        <w:gridCol w:w="894"/>
      </w:tblGrid>
      <w:tr>
        <w:trPr>
          <w:jc w:val="center"/>
        </w:trPr>
        <w:tc>
          <w:tcPr>
            <w:tcW w:w="859" w:type="dxa"/>
            <w:tcBorders>
              <w:top w:val="single" w:sz="4" w:space="0" w:color="auto"/>
              <w:bottom w:val="single" w:sz="4" w:space="0" w:color="auto"/>
            </w:tcBorders>
          </w:tcPr>
          <w:p>
            <w:pPr>
              <w:pStyle w:val="Textkrper"/>
              <w:ind w:firstLine="0"/>
            </w:pPr>
            <w:r>
              <w:t>Nuclide</w:t>
            </w:r>
          </w:p>
        </w:tc>
        <w:tc>
          <w:tcPr>
            <w:tcW w:w="1245" w:type="dxa"/>
            <w:tcBorders>
              <w:top w:val="single" w:sz="4" w:space="0" w:color="auto"/>
              <w:bottom w:val="single" w:sz="4" w:space="0" w:color="auto"/>
            </w:tcBorders>
          </w:tcPr>
          <w:p>
            <w:pPr>
              <w:pStyle w:val="Textkrper"/>
              <w:ind w:firstLine="0"/>
              <w:jc w:val="center"/>
            </w:pPr>
            <w:r>
              <w:t>Ref. conc. / (</w:t>
            </w:r>
            <m:oMath>
              <m:sSup>
                <m:sSupPr>
                  <m:ctrlPr>
                    <w:rPr>
                      <w:rFonts w:ascii="Cambria Math" w:hAnsi="Cambria Math"/>
                      <w:i/>
                    </w:rPr>
                  </m:ctrlPr>
                </m:sSupPr>
                <m:e>
                  <m:r>
                    <w:rPr>
                      <w:rFonts w:ascii="Cambria Math" w:hAnsi="Cambria Math"/>
                    </w:rPr>
                    <m:t>10</m:t>
                  </m:r>
                </m:e>
                <m:sup>
                  <m:r>
                    <w:rPr>
                      <w:rFonts w:ascii="Cambria Math" w:hAnsi="Cambria Math"/>
                    </w:rPr>
                    <m:t>24</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t>)</w:t>
            </w:r>
          </w:p>
        </w:tc>
        <w:tc>
          <w:tcPr>
            <w:tcW w:w="781" w:type="dxa"/>
            <w:tcBorders>
              <w:top w:val="single" w:sz="4" w:space="0" w:color="auto"/>
              <w:bottom w:val="single" w:sz="4" w:space="0" w:color="auto"/>
            </w:tcBorders>
          </w:tcPr>
          <w:p>
            <w:pPr>
              <w:pStyle w:val="Textkrper"/>
              <w:ind w:firstLine="0"/>
              <w:jc w:val="center"/>
            </w:pPr>
            <w:r>
              <w:t xml:space="preserve">SS “edge” </w:t>
            </w:r>
          </w:p>
        </w:tc>
        <w:tc>
          <w:tcPr>
            <w:tcW w:w="901" w:type="dxa"/>
            <w:tcBorders>
              <w:top w:val="single" w:sz="4" w:space="0" w:color="auto"/>
              <w:bottom w:val="single" w:sz="4" w:space="0" w:color="auto"/>
            </w:tcBorders>
          </w:tcPr>
          <w:p>
            <w:pPr>
              <w:pStyle w:val="Textkrper"/>
              <w:ind w:firstLine="0"/>
              <w:jc w:val="center"/>
            </w:pPr>
            <w:r>
              <w:t>SS “vertex”</w:t>
            </w:r>
          </w:p>
        </w:tc>
        <w:tc>
          <w:tcPr>
            <w:tcW w:w="777" w:type="dxa"/>
            <w:tcBorders>
              <w:top w:val="single" w:sz="4" w:space="0" w:color="auto"/>
              <w:bottom w:val="single" w:sz="4" w:space="0" w:color="auto"/>
            </w:tcBorders>
          </w:tcPr>
          <w:p>
            <w:pPr>
              <w:pStyle w:val="Textkrper"/>
              <w:ind w:firstLine="0"/>
              <w:jc w:val="center"/>
            </w:pPr>
            <w:r>
              <w:t>H</w:t>
            </w:r>
            <w:r>
              <w:rPr>
                <w:vertAlign w:val="subscript"/>
              </w:rPr>
              <w:t>2</w:t>
            </w:r>
            <w:r>
              <w:t xml:space="preserve">O “edge” </w:t>
            </w:r>
          </w:p>
        </w:tc>
        <w:tc>
          <w:tcPr>
            <w:tcW w:w="897" w:type="dxa"/>
            <w:tcBorders>
              <w:top w:val="single" w:sz="4" w:space="0" w:color="auto"/>
              <w:bottom w:val="single" w:sz="4" w:space="0" w:color="auto"/>
            </w:tcBorders>
          </w:tcPr>
          <w:p>
            <w:pPr>
              <w:pStyle w:val="Textkrper"/>
              <w:ind w:firstLine="0"/>
              <w:jc w:val="center"/>
            </w:pPr>
            <w:r>
              <w:t>H</w:t>
            </w:r>
            <w:r>
              <w:rPr>
                <w:vertAlign w:val="subscript"/>
              </w:rPr>
              <w:t>2</w:t>
            </w:r>
            <w:r>
              <w:t xml:space="preserve">O “vertex” </w:t>
            </w:r>
          </w:p>
        </w:tc>
        <w:tc>
          <w:tcPr>
            <w:tcW w:w="772" w:type="dxa"/>
            <w:tcBorders>
              <w:top w:val="single" w:sz="4" w:space="0" w:color="auto"/>
              <w:bottom w:val="single" w:sz="4" w:space="0" w:color="auto"/>
            </w:tcBorders>
          </w:tcPr>
          <w:p>
            <w:pPr>
              <w:pStyle w:val="Textkrper"/>
              <w:ind w:firstLine="0"/>
              <w:jc w:val="center"/>
            </w:pPr>
            <w:r>
              <w:t>D</w:t>
            </w:r>
            <w:r>
              <w:rPr>
                <w:vertAlign w:val="subscript"/>
              </w:rPr>
              <w:t>2</w:t>
            </w:r>
            <w:r>
              <w:t xml:space="preserve">O “edge” </w:t>
            </w:r>
          </w:p>
        </w:tc>
        <w:tc>
          <w:tcPr>
            <w:tcW w:w="894" w:type="dxa"/>
            <w:tcBorders>
              <w:top w:val="single" w:sz="4" w:space="0" w:color="auto"/>
              <w:bottom w:val="single" w:sz="4" w:space="0" w:color="auto"/>
            </w:tcBorders>
          </w:tcPr>
          <w:p>
            <w:pPr>
              <w:pStyle w:val="Textkrper"/>
              <w:ind w:firstLine="0"/>
              <w:jc w:val="center"/>
            </w:pPr>
            <w:r>
              <w:t>D</w:t>
            </w:r>
            <w:r>
              <w:rPr>
                <w:vertAlign w:val="subscript"/>
              </w:rPr>
              <w:t>2</w:t>
            </w:r>
            <w:r>
              <w:t xml:space="preserve">O “vertex” </w:t>
            </w:r>
          </w:p>
        </w:tc>
        <w:tc>
          <w:tcPr>
            <w:tcW w:w="772" w:type="dxa"/>
            <w:tcBorders>
              <w:top w:val="single" w:sz="4" w:space="0" w:color="auto"/>
              <w:bottom w:val="single" w:sz="4" w:space="0" w:color="auto"/>
            </w:tcBorders>
          </w:tcPr>
          <w:p>
            <w:pPr>
              <w:pStyle w:val="Textkrper"/>
              <w:ind w:firstLine="0"/>
              <w:jc w:val="center"/>
            </w:pPr>
            <w:r>
              <w:t xml:space="preserve">C “edge” </w:t>
            </w:r>
          </w:p>
        </w:tc>
        <w:tc>
          <w:tcPr>
            <w:tcW w:w="894" w:type="dxa"/>
            <w:tcBorders>
              <w:top w:val="single" w:sz="4" w:space="0" w:color="auto"/>
              <w:bottom w:val="single" w:sz="4" w:space="0" w:color="auto"/>
            </w:tcBorders>
          </w:tcPr>
          <w:p>
            <w:pPr>
              <w:pStyle w:val="Textkrper"/>
              <w:ind w:firstLine="0"/>
              <w:jc w:val="center"/>
            </w:pPr>
            <w:r>
              <w:t xml:space="preserve">C “vertex” </w:t>
            </w:r>
          </w:p>
        </w:tc>
      </w:tr>
      <w:tr>
        <w:trPr>
          <w:jc w:val="center"/>
        </w:trPr>
        <w:tc>
          <w:tcPr>
            <w:tcW w:w="859" w:type="dxa"/>
            <w:tcBorders>
              <w:top w:val="single" w:sz="4" w:space="0" w:color="auto"/>
            </w:tcBorders>
          </w:tcPr>
          <w:p>
            <w:pPr>
              <w:pStyle w:val="Textkrper"/>
              <w:ind w:firstLine="0"/>
            </w:pPr>
            <w:r>
              <w:rPr>
                <w:rStyle w:val="TabletextChar"/>
                <w:vertAlign w:val="superscript"/>
              </w:rPr>
              <w:t>239</w:t>
            </w:r>
            <w:r>
              <w:rPr>
                <w:rStyle w:val="TabletextChar"/>
              </w:rPr>
              <w:t>Pu</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1.526 × 10</w:t>
            </w:r>
            <w:r>
              <w:rPr>
                <w:sz w:val="20"/>
                <w:vertAlign w:val="superscript"/>
              </w:rPr>
              <w:t>-4</w:t>
            </w:r>
          </w:p>
        </w:tc>
        <w:tc>
          <w:tcPr>
            <w:tcW w:w="781"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1.057</w:t>
            </w:r>
          </w:p>
        </w:tc>
        <w:tc>
          <w:tcPr>
            <w:tcW w:w="901" w:type="dxa"/>
            <w:tcBorders>
              <w:top w:val="nil"/>
              <w:left w:val="nil"/>
              <w:bottom w:val="nil"/>
              <w:right w:val="nil"/>
            </w:tcBorders>
            <w:shd w:val="clear" w:color="auto" w:fill="auto"/>
            <w:vAlign w:val="bottom"/>
          </w:tcPr>
          <w:p>
            <w:pPr>
              <w:jc w:val="center"/>
              <w:rPr>
                <w:sz w:val="20"/>
              </w:rPr>
            </w:pPr>
            <w:r>
              <w:rPr>
                <w:sz w:val="20"/>
              </w:rPr>
              <w:t>1.109</w:t>
            </w:r>
          </w:p>
        </w:tc>
        <w:tc>
          <w:tcPr>
            <w:tcW w:w="777" w:type="dxa"/>
            <w:tcBorders>
              <w:top w:val="nil"/>
              <w:left w:val="nil"/>
              <w:bottom w:val="nil"/>
              <w:right w:val="nil"/>
            </w:tcBorders>
            <w:shd w:val="clear" w:color="auto" w:fill="auto"/>
            <w:vAlign w:val="bottom"/>
          </w:tcPr>
          <w:p>
            <w:pPr>
              <w:jc w:val="center"/>
              <w:rPr>
                <w:sz w:val="20"/>
              </w:rPr>
            </w:pPr>
            <w:r>
              <w:rPr>
                <w:sz w:val="20"/>
              </w:rPr>
              <w:t>0.892</w:t>
            </w:r>
          </w:p>
        </w:tc>
        <w:tc>
          <w:tcPr>
            <w:tcW w:w="897" w:type="dxa"/>
            <w:tcBorders>
              <w:top w:val="nil"/>
              <w:left w:val="nil"/>
              <w:bottom w:val="nil"/>
              <w:right w:val="nil"/>
            </w:tcBorders>
            <w:shd w:val="clear" w:color="auto" w:fill="auto"/>
            <w:vAlign w:val="bottom"/>
          </w:tcPr>
          <w:p>
            <w:pPr>
              <w:jc w:val="center"/>
              <w:rPr>
                <w:sz w:val="20"/>
              </w:rPr>
            </w:pPr>
            <w:r>
              <w:rPr>
                <w:sz w:val="20"/>
              </w:rPr>
              <w:t>0.802</w:t>
            </w:r>
          </w:p>
        </w:tc>
        <w:tc>
          <w:tcPr>
            <w:tcW w:w="772" w:type="dxa"/>
            <w:tcBorders>
              <w:top w:val="nil"/>
              <w:left w:val="nil"/>
              <w:bottom w:val="nil"/>
              <w:right w:val="nil"/>
            </w:tcBorders>
            <w:shd w:val="clear" w:color="auto" w:fill="auto"/>
            <w:vAlign w:val="bottom"/>
          </w:tcPr>
          <w:p>
            <w:pPr>
              <w:jc w:val="center"/>
              <w:rPr>
                <w:sz w:val="20"/>
              </w:rPr>
            </w:pPr>
            <w:r>
              <w:rPr>
                <w:sz w:val="20"/>
              </w:rPr>
              <w:t>0.823</w:t>
            </w:r>
          </w:p>
        </w:tc>
        <w:tc>
          <w:tcPr>
            <w:tcW w:w="894" w:type="dxa"/>
            <w:tcBorders>
              <w:top w:val="nil"/>
              <w:left w:val="nil"/>
              <w:bottom w:val="nil"/>
              <w:right w:val="nil"/>
            </w:tcBorders>
            <w:shd w:val="clear" w:color="auto" w:fill="auto"/>
            <w:vAlign w:val="bottom"/>
          </w:tcPr>
          <w:p>
            <w:pPr>
              <w:jc w:val="center"/>
              <w:rPr>
                <w:sz w:val="20"/>
              </w:rPr>
            </w:pPr>
            <w:r>
              <w:rPr>
                <w:sz w:val="20"/>
              </w:rPr>
              <w:t>0.673</w:t>
            </w:r>
          </w:p>
        </w:tc>
        <w:tc>
          <w:tcPr>
            <w:tcW w:w="772" w:type="dxa"/>
            <w:tcBorders>
              <w:top w:val="nil"/>
              <w:left w:val="nil"/>
              <w:bottom w:val="nil"/>
              <w:right w:val="nil"/>
            </w:tcBorders>
            <w:shd w:val="clear" w:color="auto" w:fill="auto"/>
            <w:vAlign w:val="bottom"/>
          </w:tcPr>
          <w:p>
            <w:pPr>
              <w:jc w:val="center"/>
              <w:rPr>
                <w:sz w:val="20"/>
              </w:rPr>
            </w:pPr>
            <w:r>
              <w:rPr>
                <w:sz w:val="20"/>
              </w:rPr>
              <w:t>0.866</w:t>
            </w:r>
          </w:p>
        </w:tc>
        <w:tc>
          <w:tcPr>
            <w:tcW w:w="894" w:type="dxa"/>
            <w:tcBorders>
              <w:top w:val="single" w:sz="4" w:space="0" w:color="auto"/>
            </w:tcBorders>
            <w:vAlign w:val="bottom"/>
          </w:tcPr>
          <w:p>
            <w:pPr>
              <w:jc w:val="center"/>
              <w:rPr>
                <w:sz w:val="20"/>
              </w:rPr>
            </w:pPr>
            <w:r>
              <w:rPr>
                <w:sz w:val="20"/>
              </w:rPr>
              <w:t>0.754</w:t>
            </w:r>
          </w:p>
        </w:tc>
      </w:tr>
      <w:tr>
        <w:trPr>
          <w:jc w:val="center"/>
        </w:trPr>
        <w:tc>
          <w:tcPr>
            <w:tcW w:w="859" w:type="dxa"/>
          </w:tcPr>
          <w:p>
            <w:pPr>
              <w:pStyle w:val="Textkrper"/>
              <w:ind w:firstLine="0"/>
            </w:pPr>
            <w:r>
              <w:rPr>
                <w:vertAlign w:val="superscript"/>
              </w:rPr>
              <w:t>241</w:t>
            </w:r>
            <w:r>
              <w:t>Pu</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4.358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1.033</w:t>
            </w:r>
          </w:p>
        </w:tc>
        <w:tc>
          <w:tcPr>
            <w:tcW w:w="901" w:type="dxa"/>
            <w:tcBorders>
              <w:top w:val="nil"/>
              <w:left w:val="nil"/>
              <w:bottom w:val="nil"/>
              <w:right w:val="nil"/>
            </w:tcBorders>
            <w:shd w:val="clear" w:color="auto" w:fill="auto"/>
            <w:vAlign w:val="bottom"/>
          </w:tcPr>
          <w:p>
            <w:pPr>
              <w:jc w:val="center"/>
              <w:rPr>
                <w:sz w:val="20"/>
              </w:rPr>
            </w:pPr>
            <w:r>
              <w:rPr>
                <w:sz w:val="20"/>
              </w:rPr>
              <w:t>1.058</w:t>
            </w:r>
          </w:p>
        </w:tc>
        <w:tc>
          <w:tcPr>
            <w:tcW w:w="777" w:type="dxa"/>
            <w:tcBorders>
              <w:top w:val="nil"/>
              <w:left w:val="nil"/>
              <w:bottom w:val="nil"/>
              <w:right w:val="nil"/>
            </w:tcBorders>
            <w:shd w:val="clear" w:color="auto" w:fill="auto"/>
            <w:vAlign w:val="bottom"/>
          </w:tcPr>
          <w:p>
            <w:pPr>
              <w:jc w:val="center"/>
              <w:rPr>
                <w:sz w:val="20"/>
              </w:rPr>
            </w:pPr>
            <w:r>
              <w:rPr>
                <w:sz w:val="20"/>
              </w:rPr>
              <w:t>0.890</w:t>
            </w:r>
          </w:p>
        </w:tc>
        <w:tc>
          <w:tcPr>
            <w:tcW w:w="897" w:type="dxa"/>
            <w:tcBorders>
              <w:top w:val="nil"/>
              <w:left w:val="nil"/>
              <w:bottom w:val="nil"/>
              <w:right w:val="nil"/>
            </w:tcBorders>
            <w:shd w:val="clear" w:color="auto" w:fill="auto"/>
            <w:vAlign w:val="bottom"/>
          </w:tcPr>
          <w:p>
            <w:pPr>
              <w:jc w:val="center"/>
              <w:rPr>
                <w:sz w:val="20"/>
              </w:rPr>
            </w:pPr>
            <w:r>
              <w:rPr>
                <w:sz w:val="20"/>
              </w:rPr>
              <w:t>0.800</w:t>
            </w:r>
          </w:p>
        </w:tc>
        <w:tc>
          <w:tcPr>
            <w:tcW w:w="772" w:type="dxa"/>
            <w:tcBorders>
              <w:top w:val="nil"/>
              <w:left w:val="nil"/>
              <w:bottom w:val="nil"/>
              <w:right w:val="nil"/>
            </w:tcBorders>
            <w:shd w:val="clear" w:color="auto" w:fill="auto"/>
            <w:vAlign w:val="bottom"/>
          </w:tcPr>
          <w:p>
            <w:pPr>
              <w:jc w:val="center"/>
              <w:rPr>
                <w:sz w:val="20"/>
              </w:rPr>
            </w:pPr>
            <w:r>
              <w:rPr>
                <w:sz w:val="20"/>
              </w:rPr>
              <w:t>0.801</w:t>
            </w:r>
          </w:p>
        </w:tc>
        <w:tc>
          <w:tcPr>
            <w:tcW w:w="894" w:type="dxa"/>
            <w:tcBorders>
              <w:top w:val="nil"/>
              <w:left w:val="nil"/>
              <w:bottom w:val="nil"/>
              <w:right w:val="nil"/>
            </w:tcBorders>
            <w:shd w:val="clear" w:color="auto" w:fill="auto"/>
            <w:vAlign w:val="bottom"/>
          </w:tcPr>
          <w:p>
            <w:pPr>
              <w:jc w:val="center"/>
              <w:rPr>
                <w:sz w:val="20"/>
              </w:rPr>
            </w:pPr>
            <w:r>
              <w:rPr>
                <w:sz w:val="20"/>
              </w:rPr>
              <w:t>0.636</w:t>
            </w:r>
          </w:p>
        </w:tc>
        <w:tc>
          <w:tcPr>
            <w:tcW w:w="772" w:type="dxa"/>
            <w:tcBorders>
              <w:top w:val="nil"/>
              <w:left w:val="nil"/>
              <w:bottom w:val="nil"/>
              <w:right w:val="nil"/>
            </w:tcBorders>
            <w:shd w:val="clear" w:color="auto" w:fill="auto"/>
            <w:vAlign w:val="bottom"/>
          </w:tcPr>
          <w:p>
            <w:pPr>
              <w:jc w:val="center"/>
              <w:rPr>
                <w:sz w:val="20"/>
              </w:rPr>
            </w:pPr>
            <w:r>
              <w:rPr>
                <w:sz w:val="20"/>
              </w:rPr>
              <w:t>0.862</w:t>
            </w:r>
          </w:p>
        </w:tc>
        <w:tc>
          <w:tcPr>
            <w:tcW w:w="894" w:type="dxa"/>
            <w:vAlign w:val="bottom"/>
          </w:tcPr>
          <w:p>
            <w:pPr>
              <w:jc w:val="center"/>
              <w:rPr>
                <w:sz w:val="20"/>
              </w:rPr>
            </w:pPr>
            <w:r>
              <w:rPr>
                <w:sz w:val="20"/>
              </w:rPr>
              <w:t>0.743</w:t>
            </w:r>
          </w:p>
        </w:tc>
      </w:tr>
      <w:tr>
        <w:trPr>
          <w:jc w:val="center"/>
        </w:trPr>
        <w:tc>
          <w:tcPr>
            <w:tcW w:w="859" w:type="dxa"/>
          </w:tcPr>
          <w:p>
            <w:pPr>
              <w:pStyle w:val="Textkrper"/>
              <w:ind w:firstLine="0"/>
            </w:pPr>
            <w:r>
              <w:rPr>
                <w:vertAlign w:val="superscript"/>
              </w:rPr>
              <w:t>244</w:t>
            </w:r>
            <w:r>
              <w:t>Cm</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2.191 × 10</w:t>
            </w:r>
            <w:r>
              <w:rPr>
                <w:sz w:val="20"/>
                <w:vertAlign w:val="superscript"/>
              </w:rPr>
              <w:t>-6</w:t>
            </w:r>
          </w:p>
        </w:tc>
        <w:tc>
          <w:tcPr>
            <w:tcW w:w="781" w:type="dxa"/>
            <w:tcBorders>
              <w:top w:val="nil"/>
              <w:left w:val="nil"/>
              <w:bottom w:val="nil"/>
              <w:right w:val="nil"/>
            </w:tcBorders>
            <w:shd w:val="clear" w:color="auto" w:fill="auto"/>
            <w:vAlign w:val="bottom"/>
          </w:tcPr>
          <w:p>
            <w:pPr>
              <w:jc w:val="center"/>
              <w:rPr>
                <w:sz w:val="20"/>
              </w:rPr>
            </w:pPr>
            <w:r>
              <w:rPr>
                <w:sz w:val="20"/>
              </w:rPr>
              <w:t>1.105</w:t>
            </w:r>
          </w:p>
        </w:tc>
        <w:tc>
          <w:tcPr>
            <w:tcW w:w="901" w:type="dxa"/>
            <w:tcBorders>
              <w:top w:val="nil"/>
              <w:left w:val="nil"/>
              <w:bottom w:val="nil"/>
              <w:right w:val="nil"/>
            </w:tcBorders>
            <w:shd w:val="clear" w:color="auto" w:fill="auto"/>
            <w:vAlign w:val="bottom"/>
          </w:tcPr>
          <w:p>
            <w:pPr>
              <w:jc w:val="center"/>
              <w:rPr>
                <w:sz w:val="20"/>
              </w:rPr>
            </w:pPr>
            <w:r>
              <w:rPr>
                <w:sz w:val="20"/>
              </w:rPr>
              <w:t>1.215</w:t>
            </w:r>
          </w:p>
        </w:tc>
        <w:tc>
          <w:tcPr>
            <w:tcW w:w="777" w:type="dxa"/>
            <w:tcBorders>
              <w:top w:val="nil"/>
              <w:left w:val="nil"/>
              <w:bottom w:val="nil"/>
              <w:right w:val="nil"/>
            </w:tcBorders>
            <w:shd w:val="clear" w:color="auto" w:fill="auto"/>
            <w:vAlign w:val="bottom"/>
          </w:tcPr>
          <w:p>
            <w:pPr>
              <w:jc w:val="center"/>
              <w:rPr>
                <w:sz w:val="20"/>
              </w:rPr>
            </w:pPr>
            <w:r>
              <w:rPr>
                <w:sz w:val="20"/>
              </w:rPr>
              <w:t>0.906</w:t>
            </w:r>
          </w:p>
        </w:tc>
        <w:tc>
          <w:tcPr>
            <w:tcW w:w="897" w:type="dxa"/>
            <w:tcBorders>
              <w:top w:val="nil"/>
              <w:left w:val="nil"/>
              <w:bottom w:val="nil"/>
              <w:right w:val="nil"/>
            </w:tcBorders>
            <w:shd w:val="clear" w:color="auto" w:fill="auto"/>
            <w:vAlign w:val="bottom"/>
          </w:tcPr>
          <w:p>
            <w:pPr>
              <w:jc w:val="center"/>
              <w:rPr>
                <w:sz w:val="20"/>
              </w:rPr>
            </w:pPr>
            <w:r>
              <w:rPr>
                <w:sz w:val="20"/>
              </w:rPr>
              <w:t>0.863</w:t>
            </w:r>
          </w:p>
        </w:tc>
        <w:tc>
          <w:tcPr>
            <w:tcW w:w="772" w:type="dxa"/>
            <w:tcBorders>
              <w:top w:val="nil"/>
              <w:left w:val="nil"/>
              <w:bottom w:val="nil"/>
              <w:right w:val="nil"/>
            </w:tcBorders>
            <w:shd w:val="clear" w:color="auto" w:fill="auto"/>
            <w:vAlign w:val="bottom"/>
          </w:tcPr>
          <w:p>
            <w:pPr>
              <w:jc w:val="center"/>
              <w:rPr>
                <w:sz w:val="20"/>
              </w:rPr>
            </w:pPr>
            <w:r>
              <w:rPr>
                <w:sz w:val="20"/>
              </w:rPr>
              <w:t>0.985</w:t>
            </w:r>
          </w:p>
        </w:tc>
        <w:tc>
          <w:tcPr>
            <w:tcW w:w="894" w:type="dxa"/>
            <w:tcBorders>
              <w:top w:val="nil"/>
              <w:left w:val="nil"/>
              <w:bottom w:val="nil"/>
              <w:right w:val="nil"/>
            </w:tcBorders>
            <w:shd w:val="clear" w:color="auto" w:fill="auto"/>
            <w:vAlign w:val="bottom"/>
          </w:tcPr>
          <w:p>
            <w:pPr>
              <w:jc w:val="center"/>
              <w:rPr>
                <w:sz w:val="20"/>
              </w:rPr>
            </w:pPr>
            <w:r>
              <w:rPr>
                <w:sz w:val="20"/>
              </w:rPr>
              <w:t>0.928</w:t>
            </w:r>
          </w:p>
        </w:tc>
        <w:tc>
          <w:tcPr>
            <w:tcW w:w="772" w:type="dxa"/>
            <w:tcBorders>
              <w:top w:val="nil"/>
              <w:left w:val="nil"/>
              <w:bottom w:val="nil"/>
              <w:right w:val="nil"/>
            </w:tcBorders>
            <w:shd w:val="clear" w:color="auto" w:fill="auto"/>
            <w:vAlign w:val="bottom"/>
          </w:tcPr>
          <w:p>
            <w:pPr>
              <w:jc w:val="center"/>
              <w:rPr>
                <w:sz w:val="20"/>
              </w:rPr>
            </w:pPr>
            <w:r>
              <w:rPr>
                <w:sz w:val="20"/>
              </w:rPr>
              <w:t>0.951</w:t>
            </w:r>
          </w:p>
        </w:tc>
        <w:tc>
          <w:tcPr>
            <w:tcW w:w="894" w:type="dxa"/>
            <w:vAlign w:val="bottom"/>
          </w:tcPr>
          <w:p>
            <w:pPr>
              <w:jc w:val="center"/>
              <w:rPr>
                <w:sz w:val="20"/>
              </w:rPr>
            </w:pPr>
            <w:r>
              <w:rPr>
                <w:sz w:val="20"/>
              </w:rPr>
              <w:t>0.870</w:t>
            </w:r>
          </w:p>
        </w:tc>
      </w:tr>
      <w:tr>
        <w:trPr>
          <w:jc w:val="center"/>
        </w:trPr>
        <w:tc>
          <w:tcPr>
            <w:tcW w:w="859" w:type="dxa"/>
          </w:tcPr>
          <w:p>
            <w:pPr>
              <w:pStyle w:val="Textkrper"/>
              <w:ind w:firstLine="0"/>
            </w:pPr>
            <w:r>
              <w:rPr>
                <w:vertAlign w:val="superscript"/>
              </w:rPr>
              <w:t>90</w:t>
            </w:r>
            <w:r>
              <w:t>Sr</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4.957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0.994</w:t>
            </w:r>
          </w:p>
        </w:tc>
        <w:tc>
          <w:tcPr>
            <w:tcW w:w="901" w:type="dxa"/>
            <w:tcBorders>
              <w:top w:val="nil"/>
              <w:left w:val="nil"/>
              <w:bottom w:val="nil"/>
              <w:right w:val="nil"/>
            </w:tcBorders>
            <w:shd w:val="clear" w:color="auto" w:fill="auto"/>
            <w:vAlign w:val="bottom"/>
          </w:tcPr>
          <w:p>
            <w:pPr>
              <w:jc w:val="center"/>
              <w:rPr>
                <w:sz w:val="20"/>
              </w:rPr>
            </w:pPr>
            <w:r>
              <w:rPr>
                <w:sz w:val="20"/>
              </w:rPr>
              <w:t>0.988</w:t>
            </w:r>
          </w:p>
        </w:tc>
        <w:tc>
          <w:tcPr>
            <w:tcW w:w="777" w:type="dxa"/>
            <w:tcBorders>
              <w:top w:val="nil"/>
              <w:left w:val="nil"/>
              <w:bottom w:val="nil"/>
              <w:right w:val="nil"/>
            </w:tcBorders>
            <w:shd w:val="clear" w:color="auto" w:fill="auto"/>
            <w:vAlign w:val="bottom"/>
          </w:tcPr>
          <w:p>
            <w:pPr>
              <w:jc w:val="center"/>
              <w:rPr>
                <w:sz w:val="20"/>
              </w:rPr>
            </w:pPr>
            <w:r>
              <w:rPr>
                <w:sz w:val="20"/>
              </w:rPr>
              <w:t>1.015</w:t>
            </w:r>
          </w:p>
        </w:tc>
        <w:tc>
          <w:tcPr>
            <w:tcW w:w="897" w:type="dxa"/>
            <w:tcBorders>
              <w:top w:val="nil"/>
              <w:left w:val="nil"/>
              <w:bottom w:val="nil"/>
              <w:right w:val="nil"/>
            </w:tcBorders>
            <w:shd w:val="clear" w:color="auto" w:fill="auto"/>
            <w:vAlign w:val="bottom"/>
          </w:tcPr>
          <w:p>
            <w:pPr>
              <w:jc w:val="center"/>
              <w:rPr>
                <w:sz w:val="20"/>
              </w:rPr>
            </w:pPr>
            <w:r>
              <w:rPr>
                <w:sz w:val="20"/>
              </w:rPr>
              <w:t>1.028</w:t>
            </w:r>
          </w:p>
        </w:tc>
        <w:tc>
          <w:tcPr>
            <w:tcW w:w="772" w:type="dxa"/>
            <w:tcBorders>
              <w:top w:val="nil"/>
              <w:left w:val="nil"/>
              <w:bottom w:val="nil"/>
              <w:right w:val="nil"/>
            </w:tcBorders>
            <w:shd w:val="clear" w:color="auto" w:fill="auto"/>
            <w:vAlign w:val="bottom"/>
          </w:tcPr>
          <w:p>
            <w:pPr>
              <w:jc w:val="center"/>
              <w:rPr>
                <w:sz w:val="20"/>
              </w:rPr>
            </w:pPr>
            <w:r>
              <w:rPr>
                <w:sz w:val="20"/>
              </w:rPr>
              <w:t>1.013</w:t>
            </w:r>
          </w:p>
        </w:tc>
        <w:tc>
          <w:tcPr>
            <w:tcW w:w="894" w:type="dxa"/>
            <w:tcBorders>
              <w:top w:val="nil"/>
              <w:left w:val="nil"/>
              <w:bottom w:val="nil"/>
              <w:right w:val="nil"/>
            </w:tcBorders>
            <w:shd w:val="clear" w:color="auto" w:fill="auto"/>
            <w:vAlign w:val="bottom"/>
          </w:tcPr>
          <w:p>
            <w:pPr>
              <w:jc w:val="center"/>
              <w:rPr>
                <w:sz w:val="20"/>
              </w:rPr>
            </w:pPr>
            <w:r>
              <w:rPr>
                <w:sz w:val="20"/>
              </w:rPr>
              <w:t>1.024</w:t>
            </w:r>
          </w:p>
        </w:tc>
        <w:tc>
          <w:tcPr>
            <w:tcW w:w="772" w:type="dxa"/>
            <w:tcBorders>
              <w:top w:val="nil"/>
              <w:left w:val="nil"/>
              <w:bottom w:val="nil"/>
              <w:right w:val="nil"/>
            </w:tcBorders>
            <w:shd w:val="clear" w:color="auto" w:fill="auto"/>
            <w:vAlign w:val="bottom"/>
          </w:tcPr>
          <w:p>
            <w:pPr>
              <w:jc w:val="center"/>
              <w:rPr>
                <w:sz w:val="20"/>
              </w:rPr>
            </w:pPr>
            <w:r>
              <w:rPr>
                <w:sz w:val="20"/>
              </w:rPr>
              <w:t>1.012</w:t>
            </w:r>
          </w:p>
        </w:tc>
        <w:tc>
          <w:tcPr>
            <w:tcW w:w="894" w:type="dxa"/>
            <w:vAlign w:val="bottom"/>
          </w:tcPr>
          <w:p>
            <w:pPr>
              <w:jc w:val="center"/>
              <w:rPr>
                <w:sz w:val="20"/>
              </w:rPr>
            </w:pPr>
            <w:r>
              <w:rPr>
                <w:sz w:val="20"/>
              </w:rPr>
              <w:t>1.023</w:t>
            </w:r>
          </w:p>
        </w:tc>
      </w:tr>
      <w:tr>
        <w:trPr>
          <w:jc w:val="center"/>
        </w:trPr>
        <w:tc>
          <w:tcPr>
            <w:tcW w:w="859" w:type="dxa"/>
          </w:tcPr>
          <w:p>
            <w:pPr>
              <w:pStyle w:val="Textkrper"/>
              <w:ind w:firstLine="0"/>
            </w:pPr>
            <w:r>
              <w:rPr>
                <w:vertAlign w:val="superscript"/>
              </w:rPr>
              <w:t>99</w:t>
            </w:r>
            <w:r>
              <w:t>Tc</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6.465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0.996</w:t>
            </w:r>
          </w:p>
        </w:tc>
        <w:tc>
          <w:tcPr>
            <w:tcW w:w="901" w:type="dxa"/>
            <w:tcBorders>
              <w:top w:val="nil"/>
              <w:left w:val="nil"/>
              <w:bottom w:val="nil"/>
              <w:right w:val="nil"/>
            </w:tcBorders>
            <w:shd w:val="clear" w:color="auto" w:fill="auto"/>
            <w:vAlign w:val="bottom"/>
          </w:tcPr>
          <w:p>
            <w:pPr>
              <w:jc w:val="center"/>
              <w:rPr>
                <w:sz w:val="20"/>
              </w:rPr>
            </w:pPr>
            <w:r>
              <w:rPr>
                <w:sz w:val="20"/>
              </w:rPr>
              <w:t>0.993</w:t>
            </w:r>
          </w:p>
        </w:tc>
        <w:tc>
          <w:tcPr>
            <w:tcW w:w="777" w:type="dxa"/>
            <w:tcBorders>
              <w:top w:val="nil"/>
              <w:left w:val="nil"/>
              <w:bottom w:val="nil"/>
              <w:right w:val="nil"/>
            </w:tcBorders>
            <w:shd w:val="clear" w:color="auto" w:fill="auto"/>
            <w:vAlign w:val="bottom"/>
          </w:tcPr>
          <w:p>
            <w:pPr>
              <w:jc w:val="center"/>
              <w:rPr>
                <w:sz w:val="20"/>
              </w:rPr>
            </w:pPr>
            <w:r>
              <w:rPr>
                <w:sz w:val="20"/>
              </w:rPr>
              <w:t>1.008</w:t>
            </w:r>
          </w:p>
        </w:tc>
        <w:tc>
          <w:tcPr>
            <w:tcW w:w="897" w:type="dxa"/>
            <w:tcBorders>
              <w:top w:val="nil"/>
              <w:left w:val="nil"/>
              <w:bottom w:val="nil"/>
              <w:right w:val="nil"/>
            </w:tcBorders>
            <w:shd w:val="clear" w:color="auto" w:fill="auto"/>
            <w:vAlign w:val="bottom"/>
          </w:tcPr>
          <w:p>
            <w:pPr>
              <w:jc w:val="center"/>
              <w:rPr>
                <w:sz w:val="20"/>
              </w:rPr>
            </w:pPr>
            <w:r>
              <w:rPr>
                <w:sz w:val="20"/>
              </w:rPr>
              <w:t>1.015</w:t>
            </w:r>
          </w:p>
        </w:tc>
        <w:tc>
          <w:tcPr>
            <w:tcW w:w="772" w:type="dxa"/>
            <w:tcBorders>
              <w:top w:val="nil"/>
              <w:left w:val="nil"/>
              <w:bottom w:val="nil"/>
              <w:right w:val="nil"/>
            </w:tcBorders>
            <w:shd w:val="clear" w:color="auto" w:fill="auto"/>
            <w:vAlign w:val="bottom"/>
          </w:tcPr>
          <w:p>
            <w:pPr>
              <w:jc w:val="center"/>
              <w:rPr>
                <w:sz w:val="20"/>
              </w:rPr>
            </w:pPr>
            <w:r>
              <w:rPr>
                <w:sz w:val="20"/>
              </w:rPr>
              <w:t>1.002</w:t>
            </w:r>
          </w:p>
        </w:tc>
        <w:tc>
          <w:tcPr>
            <w:tcW w:w="894" w:type="dxa"/>
            <w:tcBorders>
              <w:top w:val="nil"/>
              <w:left w:val="nil"/>
              <w:bottom w:val="nil"/>
              <w:right w:val="nil"/>
            </w:tcBorders>
            <w:shd w:val="clear" w:color="auto" w:fill="auto"/>
            <w:vAlign w:val="bottom"/>
          </w:tcPr>
          <w:p>
            <w:pPr>
              <w:jc w:val="center"/>
              <w:rPr>
                <w:sz w:val="20"/>
              </w:rPr>
            </w:pPr>
            <w:r>
              <w:rPr>
                <w:sz w:val="20"/>
              </w:rPr>
              <w:t>1.004</w:t>
            </w:r>
          </w:p>
        </w:tc>
        <w:tc>
          <w:tcPr>
            <w:tcW w:w="772" w:type="dxa"/>
            <w:tcBorders>
              <w:top w:val="nil"/>
              <w:left w:val="nil"/>
              <w:bottom w:val="nil"/>
              <w:right w:val="nil"/>
            </w:tcBorders>
            <w:shd w:val="clear" w:color="auto" w:fill="auto"/>
            <w:vAlign w:val="bottom"/>
          </w:tcPr>
          <w:p>
            <w:pPr>
              <w:jc w:val="center"/>
              <w:rPr>
                <w:sz w:val="20"/>
              </w:rPr>
            </w:pPr>
            <w:r>
              <w:rPr>
                <w:sz w:val="20"/>
              </w:rPr>
              <w:t>1.004</w:t>
            </w:r>
          </w:p>
        </w:tc>
        <w:tc>
          <w:tcPr>
            <w:tcW w:w="894" w:type="dxa"/>
            <w:vAlign w:val="bottom"/>
          </w:tcPr>
          <w:p>
            <w:pPr>
              <w:jc w:val="center"/>
              <w:rPr>
                <w:sz w:val="20"/>
              </w:rPr>
            </w:pPr>
            <w:r>
              <w:rPr>
                <w:sz w:val="20"/>
              </w:rPr>
              <w:t>1.009</w:t>
            </w:r>
          </w:p>
        </w:tc>
      </w:tr>
      <w:tr>
        <w:trPr>
          <w:jc w:val="center"/>
        </w:trPr>
        <w:tc>
          <w:tcPr>
            <w:tcW w:w="859" w:type="dxa"/>
          </w:tcPr>
          <w:p>
            <w:pPr>
              <w:pStyle w:val="Textkrper"/>
              <w:ind w:firstLine="0"/>
            </w:pPr>
            <w:r>
              <w:rPr>
                <w:vertAlign w:val="superscript"/>
              </w:rPr>
              <w:t>129</w:t>
            </w:r>
            <w:r>
              <w:t>I</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9.877 × 10</w:t>
            </w:r>
            <w:r>
              <w:rPr>
                <w:sz w:val="20"/>
                <w:vertAlign w:val="superscript"/>
              </w:rPr>
              <w:t>-6</w:t>
            </w:r>
          </w:p>
        </w:tc>
        <w:tc>
          <w:tcPr>
            <w:tcW w:w="781" w:type="dxa"/>
            <w:tcBorders>
              <w:top w:val="nil"/>
              <w:left w:val="nil"/>
              <w:bottom w:val="nil"/>
              <w:right w:val="nil"/>
            </w:tcBorders>
            <w:shd w:val="clear" w:color="auto" w:fill="auto"/>
            <w:vAlign w:val="bottom"/>
          </w:tcPr>
          <w:p>
            <w:pPr>
              <w:jc w:val="center"/>
              <w:rPr>
                <w:sz w:val="20"/>
              </w:rPr>
            </w:pPr>
            <w:r>
              <w:rPr>
                <w:sz w:val="20"/>
              </w:rPr>
              <w:t>1.005</w:t>
            </w:r>
          </w:p>
        </w:tc>
        <w:tc>
          <w:tcPr>
            <w:tcW w:w="901" w:type="dxa"/>
            <w:tcBorders>
              <w:top w:val="nil"/>
              <w:left w:val="nil"/>
              <w:bottom w:val="nil"/>
              <w:right w:val="nil"/>
            </w:tcBorders>
            <w:shd w:val="clear" w:color="auto" w:fill="auto"/>
            <w:vAlign w:val="bottom"/>
          </w:tcPr>
          <w:p>
            <w:pPr>
              <w:jc w:val="center"/>
              <w:rPr>
                <w:sz w:val="20"/>
              </w:rPr>
            </w:pPr>
            <w:r>
              <w:rPr>
                <w:sz w:val="20"/>
              </w:rPr>
              <w:t>1.013</w:t>
            </w:r>
          </w:p>
        </w:tc>
        <w:tc>
          <w:tcPr>
            <w:tcW w:w="777" w:type="dxa"/>
            <w:tcBorders>
              <w:top w:val="nil"/>
              <w:left w:val="nil"/>
              <w:bottom w:val="nil"/>
              <w:right w:val="nil"/>
            </w:tcBorders>
            <w:shd w:val="clear" w:color="auto" w:fill="auto"/>
            <w:vAlign w:val="bottom"/>
          </w:tcPr>
          <w:p>
            <w:pPr>
              <w:jc w:val="center"/>
              <w:rPr>
                <w:sz w:val="20"/>
              </w:rPr>
            </w:pPr>
            <w:r>
              <w:rPr>
                <w:sz w:val="20"/>
              </w:rPr>
              <w:t>0.983</w:t>
            </w:r>
          </w:p>
        </w:tc>
        <w:tc>
          <w:tcPr>
            <w:tcW w:w="897" w:type="dxa"/>
            <w:tcBorders>
              <w:top w:val="nil"/>
              <w:left w:val="nil"/>
              <w:bottom w:val="nil"/>
              <w:right w:val="nil"/>
            </w:tcBorders>
            <w:shd w:val="clear" w:color="auto" w:fill="auto"/>
            <w:vAlign w:val="bottom"/>
          </w:tcPr>
          <w:p>
            <w:pPr>
              <w:jc w:val="center"/>
              <w:rPr>
                <w:sz w:val="20"/>
              </w:rPr>
            </w:pPr>
            <w:r>
              <w:rPr>
                <w:sz w:val="20"/>
              </w:rPr>
              <w:t>0.972</w:t>
            </w:r>
          </w:p>
        </w:tc>
        <w:tc>
          <w:tcPr>
            <w:tcW w:w="772" w:type="dxa"/>
            <w:tcBorders>
              <w:top w:val="nil"/>
              <w:left w:val="nil"/>
              <w:bottom w:val="nil"/>
              <w:right w:val="nil"/>
            </w:tcBorders>
            <w:shd w:val="clear" w:color="auto" w:fill="auto"/>
            <w:vAlign w:val="bottom"/>
          </w:tcPr>
          <w:p>
            <w:pPr>
              <w:jc w:val="center"/>
              <w:rPr>
                <w:sz w:val="20"/>
              </w:rPr>
            </w:pPr>
            <w:r>
              <w:rPr>
                <w:sz w:val="20"/>
              </w:rPr>
              <w:t>0.960</w:t>
            </w:r>
          </w:p>
        </w:tc>
        <w:tc>
          <w:tcPr>
            <w:tcW w:w="894" w:type="dxa"/>
            <w:tcBorders>
              <w:top w:val="nil"/>
              <w:left w:val="nil"/>
              <w:bottom w:val="nil"/>
              <w:right w:val="nil"/>
            </w:tcBorders>
            <w:shd w:val="clear" w:color="auto" w:fill="auto"/>
            <w:vAlign w:val="bottom"/>
          </w:tcPr>
          <w:p>
            <w:pPr>
              <w:jc w:val="center"/>
              <w:rPr>
                <w:sz w:val="20"/>
              </w:rPr>
            </w:pPr>
            <w:r>
              <w:rPr>
                <w:sz w:val="20"/>
              </w:rPr>
              <w:t>0.922</w:t>
            </w:r>
          </w:p>
        </w:tc>
        <w:tc>
          <w:tcPr>
            <w:tcW w:w="772" w:type="dxa"/>
            <w:tcBorders>
              <w:top w:val="nil"/>
              <w:left w:val="nil"/>
              <w:bottom w:val="nil"/>
              <w:right w:val="nil"/>
            </w:tcBorders>
            <w:shd w:val="clear" w:color="auto" w:fill="auto"/>
            <w:vAlign w:val="bottom"/>
          </w:tcPr>
          <w:p>
            <w:pPr>
              <w:jc w:val="center"/>
              <w:rPr>
                <w:sz w:val="20"/>
              </w:rPr>
            </w:pPr>
            <w:r>
              <w:rPr>
                <w:sz w:val="20"/>
              </w:rPr>
              <w:t>0.975</w:t>
            </w:r>
          </w:p>
        </w:tc>
        <w:tc>
          <w:tcPr>
            <w:tcW w:w="894" w:type="dxa"/>
            <w:vAlign w:val="bottom"/>
          </w:tcPr>
          <w:p>
            <w:pPr>
              <w:jc w:val="center"/>
              <w:rPr>
                <w:sz w:val="20"/>
              </w:rPr>
            </w:pPr>
            <w:r>
              <w:rPr>
                <w:sz w:val="20"/>
              </w:rPr>
              <w:t>0.951</w:t>
            </w:r>
          </w:p>
        </w:tc>
      </w:tr>
      <w:tr>
        <w:trPr>
          <w:jc w:val="center"/>
        </w:trPr>
        <w:tc>
          <w:tcPr>
            <w:tcW w:w="859" w:type="dxa"/>
          </w:tcPr>
          <w:p>
            <w:pPr>
              <w:pStyle w:val="Textkrper"/>
              <w:ind w:firstLine="0"/>
            </w:pPr>
            <w:r>
              <w:rPr>
                <w:vertAlign w:val="superscript"/>
              </w:rPr>
              <w:t>134</w:t>
            </w:r>
            <w:r>
              <w:t>Cs</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1.013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1.033</w:t>
            </w:r>
          </w:p>
        </w:tc>
        <w:tc>
          <w:tcPr>
            <w:tcW w:w="901" w:type="dxa"/>
            <w:tcBorders>
              <w:top w:val="nil"/>
              <w:left w:val="nil"/>
              <w:bottom w:val="nil"/>
              <w:right w:val="nil"/>
            </w:tcBorders>
            <w:shd w:val="clear" w:color="auto" w:fill="auto"/>
            <w:vAlign w:val="bottom"/>
          </w:tcPr>
          <w:p>
            <w:pPr>
              <w:jc w:val="center"/>
              <w:rPr>
                <w:sz w:val="20"/>
              </w:rPr>
            </w:pPr>
            <w:r>
              <w:rPr>
                <w:sz w:val="20"/>
              </w:rPr>
              <w:t>1.059</w:t>
            </w:r>
          </w:p>
        </w:tc>
        <w:tc>
          <w:tcPr>
            <w:tcW w:w="777" w:type="dxa"/>
            <w:tcBorders>
              <w:top w:val="nil"/>
              <w:left w:val="nil"/>
              <w:bottom w:val="nil"/>
              <w:right w:val="nil"/>
            </w:tcBorders>
            <w:shd w:val="clear" w:color="auto" w:fill="auto"/>
            <w:vAlign w:val="bottom"/>
          </w:tcPr>
          <w:p>
            <w:pPr>
              <w:jc w:val="center"/>
              <w:rPr>
                <w:sz w:val="20"/>
              </w:rPr>
            </w:pPr>
            <w:r>
              <w:rPr>
                <w:sz w:val="20"/>
              </w:rPr>
              <w:t>0.962</w:t>
            </w:r>
          </w:p>
        </w:tc>
        <w:tc>
          <w:tcPr>
            <w:tcW w:w="897" w:type="dxa"/>
            <w:tcBorders>
              <w:top w:val="nil"/>
              <w:left w:val="nil"/>
              <w:bottom w:val="nil"/>
              <w:right w:val="nil"/>
            </w:tcBorders>
            <w:shd w:val="clear" w:color="auto" w:fill="auto"/>
            <w:vAlign w:val="bottom"/>
          </w:tcPr>
          <w:p>
            <w:pPr>
              <w:jc w:val="center"/>
              <w:rPr>
                <w:sz w:val="20"/>
              </w:rPr>
            </w:pPr>
            <w:r>
              <w:rPr>
                <w:sz w:val="20"/>
              </w:rPr>
              <w:t>0.927</w:t>
            </w:r>
          </w:p>
        </w:tc>
        <w:tc>
          <w:tcPr>
            <w:tcW w:w="772" w:type="dxa"/>
            <w:tcBorders>
              <w:top w:val="nil"/>
              <w:left w:val="nil"/>
              <w:bottom w:val="nil"/>
              <w:right w:val="nil"/>
            </w:tcBorders>
            <w:shd w:val="clear" w:color="auto" w:fill="auto"/>
            <w:vAlign w:val="bottom"/>
          </w:tcPr>
          <w:p>
            <w:pPr>
              <w:jc w:val="center"/>
              <w:rPr>
                <w:sz w:val="20"/>
              </w:rPr>
            </w:pPr>
            <w:r>
              <w:rPr>
                <w:sz w:val="20"/>
              </w:rPr>
              <w:t>0.941</w:t>
            </w:r>
          </w:p>
        </w:tc>
        <w:tc>
          <w:tcPr>
            <w:tcW w:w="894" w:type="dxa"/>
            <w:tcBorders>
              <w:top w:val="nil"/>
              <w:left w:val="nil"/>
              <w:bottom w:val="nil"/>
              <w:right w:val="nil"/>
            </w:tcBorders>
            <w:shd w:val="clear" w:color="auto" w:fill="auto"/>
            <w:vAlign w:val="bottom"/>
          </w:tcPr>
          <w:p>
            <w:pPr>
              <w:jc w:val="center"/>
              <w:rPr>
                <w:sz w:val="20"/>
              </w:rPr>
            </w:pPr>
            <w:r>
              <w:rPr>
                <w:sz w:val="20"/>
              </w:rPr>
              <w:t>0.888</w:t>
            </w:r>
          </w:p>
        </w:tc>
        <w:tc>
          <w:tcPr>
            <w:tcW w:w="772" w:type="dxa"/>
            <w:tcBorders>
              <w:top w:val="nil"/>
              <w:left w:val="nil"/>
              <w:bottom w:val="nil"/>
              <w:right w:val="nil"/>
            </w:tcBorders>
            <w:shd w:val="clear" w:color="auto" w:fill="auto"/>
            <w:vAlign w:val="bottom"/>
          </w:tcPr>
          <w:p>
            <w:pPr>
              <w:jc w:val="center"/>
              <w:rPr>
                <w:sz w:val="20"/>
              </w:rPr>
            </w:pPr>
            <w:r>
              <w:rPr>
                <w:sz w:val="20"/>
              </w:rPr>
              <w:t>0.959</w:t>
            </w:r>
          </w:p>
        </w:tc>
        <w:tc>
          <w:tcPr>
            <w:tcW w:w="894" w:type="dxa"/>
            <w:vAlign w:val="bottom"/>
          </w:tcPr>
          <w:p>
            <w:pPr>
              <w:jc w:val="center"/>
              <w:rPr>
                <w:sz w:val="20"/>
              </w:rPr>
            </w:pPr>
            <w:r>
              <w:rPr>
                <w:sz w:val="20"/>
              </w:rPr>
              <w:t>0.920</w:t>
            </w:r>
          </w:p>
        </w:tc>
      </w:tr>
      <w:tr>
        <w:trPr>
          <w:jc w:val="center"/>
        </w:trPr>
        <w:tc>
          <w:tcPr>
            <w:tcW w:w="859" w:type="dxa"/>
          </w:tcPr>
          <w:p>
            <w:pPr>
              <w:pStyle w:val="Textkrper"/>
              <w:ind w:firstLine="0"/>
            </w:pPr>
            <w:r>
              <w:rPr>
                <w:vertAlign w:val="superscript"/>
              </w:rPr>
              <w:t>135</w:t>
            </w:r>
            <w:r>
              <w:t>Cs</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2.144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1.022</w:t>
            </w:r>
          </w:p>
        </w:tc>
        <w:tc>
          <w:tcPr>
            <w:tcW w:w="901" w:type="dxa"/>
            <w:tcBorders>
              <w:top w:val="nil"/>
              <w:left w:val="nil"/>
              <w:bottom w:val="nil"/>
              <w:right w:val="nil"/>
            </w:tcBorders>
            <w:shd w:val="clear" w:color="auto" w:fill="auto"/>
            <w:vAlign w:val="bottom"/>
          </w:tcPr>
          <w:p>
            <w:pPr>
              <w:jc w:val="center"/>
              <w:rPr>
                <w:sz w:val="20"/>
              </w:rPr>
            </w:pPr>
            <w:r>
              <w:rPr>
                <w:sz w:val="20"/>
              </w:rPr>
              <w:t>1.045</w:t>
            </w:r>
          </w:p>
        </w:tc>
        <w:tc>
          <w:tcPr>
            <w:tcW w:w="777" w:type="dxa"/>
            <w:tcBorders>
              <w:top w:val="nil"/>
              <w:left w:val="nil"/>
              <w:bottom w:val="nil"/>
              <w:right w:val="nil"/>
            </w:tcBorders>
            <w:shd w:val="clear" w:color="auto" w:fill="auto"/>
            <w:vAlign w:val="bottom"/>
          </w:tcPr>
          <w:p>
            <w:pPr>
              <w:jc w:val="center"/>
              <w:rPr>
                <w:sz w:val="20"/>
              </w:rPr>
            </w:pPr>
            <w:r>
              <w:rPr>
                <w:sz w:val="20"/>
              </w:rPr>
              <w:t>0.935</w:t>
            </w:r>
          </w:p>
        </w:tc>
        <w:tc>
          <w:tcPr>
            <w:tcW w:w="897" w:type="dxa"/>
            <w:tcBorders>
              <w:top w:val="nil"/>
              <w:left w:val="nil"/>
              <w:bottom w:val="nil"/>
              <w:right w:val="nil"/>
            </w:tcBorders>
            <w:shd w:val="clear" w:color="auto" w:fill="auto"/>
            <w:vAlign w:val="bottom"/>
          </w:tcPr>
          <w:p>
            <w:pPr>
              <w:jc w:val="center"/>
              <w:rPr>
                <w:sz w:val="20"/>
              </w:rPr>
            </w:pPr>
            <w:r>
              <w:rPr>
                <w:sz w:val="20"/>
              </w:rPr>
              <w:t>0.884</w:t>
            </w:r>
          </w:p>
        </w:tc>
        <w:tc>
          <w:tcPr>
            <w:tcW w:w="772" w:type="dxa"/>
            <w:tcBorders>
              <w:top w:val="nil"/>
              <w:left w:val="nil"/>
              <w:bottom w:val="nil"/>
              <w:right w:val="nil"/>
            </w:tcBorders>
            <w:shd w:val="clear" w:color="auto" w:fill="auto"/>
            <w:vAlign w:val="bottom"/>
          </w:tcPr>
          <w:p>
            <w:pPr>
              <w:jc w:val="center"/>
              <w:rPr>
                <w:sz w:val="20"/>
              </w:rPr>
            </w:pPr>
            <w:r>
              <w:rPr>
                <w:sz w:val="20"/>
              </w:rPr>
              <w:t>0.907</w:t>
            </w:r>
          </w:p>
        </w:tc>
        <w:tc>
          <w:tcPr>
            <w:tcW w:w="894" w:type="dxa"/>
            <w:tcBorders>
              <w:top w:val="nil"/>
              <w:left w:val="nil"/>
              <w:bottom w:val="nil"/>
              <w:right w:val="nil"/>
            </w:tcBorders>
            <w:shd w:val="clear" w:color="auto" w:fill="auto"/>
            <w:vAlign w:val="bottom"/>
          </w:tcPr>
          <w:p>
            <w:pPr>
              <w:jc w:val="center"/>
              <w:rPr>
                <w:sz w:val="20"/>
              </w:rPr>
            </w:pPr>
            <w:r>
              <w:rPr>
                <w:sz w:val="20"/>
              </w:rPr>
              <w:t>0.837</w:t>
            </w:r>
          </w:p>
        </w:tc>
        <w:tc>
          <w:tcPr>
            <w:tcW w:w="772" w:type="dxa"/>
            <w:tcBorders>
              <w:top w:val="nil"/>
              <w:left w:val="nil"/>
              <w:bottom w:val="nil"/>
              <w:right w:val="nil"/>
            </w:tcBorders>
            <w:shd w:val="clear" w:color="auto" w:fill="auto"/>
            <w:vAlign w:val="bottom"/>
          </w:tcPr>
          <w:p>
            <w:pPr>
              <w:jc w:val="center"/>
              <w:rPr>
                <w:sz w:val="20"/>
              </w:rPr>
            </w:pPr>
            <w:r>
              <w:rPr>
                <w:sz w:val="20"/>
              </w:rPr>
              <w:t>0.925</w:t>
            </w:r>
          </w:p>
        </w:tc>
        <w:tc>
          <w:tcPr>
            <w:tcW w:w="894" w:type="dxa"/>
            <w:vAlign w:val="bottom"/>
          </w:tcPr>
          <w:p>
            <w:pPr>
              <w:jc w:val="center"/>
              <w:rPr>
                <w:sz w:val="20"/>
              </w:rPr>
            </w:pPr>
            <w:r>
              <w:rPr>
                <w:sz w:val="20"/>
              </w:rPr>
              <w:t>0.862</w:t>
            </w:r>
          </w:p>
        </w:tc>
      </w:tr>
      <w:tr>
        <w:trPr>
          <w:jc w:val="center"/>
        </w:trPr>
        <w:tc>
          <w:tcPr>
            <w:tcW w:w="859" w:type="dxa"/>
          </w:tcPr>
          <w:p>
            <w:pPr>
              <w:pStyle w:val="Textkrper"/>
              <w:ind w:firstLine="0"/>
              <w:rPr>
                <w:vertAlign w:val="superscript"/>
              </w:rPr>
            </w:pPr>
            <w:r>
              <w:rPr>
                <w:vertAlign w:val="superscript"/>
              </w:rPr>
              <w:t>137</w:t>
            </w:r>
            <w:r>
              <w:t>Cs</w:t>
            </w:r>
          </w:p>
        </w:tc>
        <w:tc>
          <w:tcPr>
            <w:tcW w:w="1245" w:type="dxa"/>
            <w:tcBorders>
              <w:top w:val="nil"/>
              <w:left w:val="nil"/>
              <w:bottom w:val="nil"/>
              <w:right w:val="nil"/>
            </w:tcBorders>
            <w:shd w:val="clear" w:color="auto" w:fill="auto"/>
            <w:vAlign w:val="bottom"/>
          </w:tcPr>
          <w:p>
            <w:pPr>
              <w:overflowPunct/>
              <w:autoSpaceDE/>
              <w:autoSpaceDN/>
              <w:adjustRightInd/>
              <w:jc w:val="center"/>
              <w:textAlignment w:val="auto"/>
              <w:rPr>
                <w:sz w:val="20"/>
              </w:rPr>
            </w:pPr>
            <w:r>
              <w:rPr>
                <w:sz w:val="20"/>
              </w:rPr>
              <w:t>7.442 × 10</w:t>
            </w:r>
            <w:r>
              <w:rPr>
                <w:sz w:val="20"/>
                <w:vertAlign w:val="superscript"/>
              </w:rPr>
              <w:t>-5</w:t>
            </w:r>
          </w:p>
        </w:tc>
        <w:tc>
          <w:tcPr>
            <w:tcW w:w="781" w:type="dxa"/>
            <w:tcBorders>
              <w:top w:val="nil"/>
              <w:left w:val="nil"/>
              <w:bottom w:val="nil"/>
              <w:right w:val="nil"/>
            </w:tcBorders>
            <w:shd w:val="clear" w:color="auto" w:fill="auto"/>
            <w:vAlign w:val="bottom"/>
          </w:tcPr>
          <w:p>
            <w:pPr>
              <w:jc w:val="center"/>
              <w:rPr>
                <w:sz w:val="20"/>
              </w:rPr>
            </w:pPr>
            <w:r>
              <w:rPr>
                <w:sz w:val="20"/>
              </w:rPr>
              <w:t>1.002</w:t>
            </w:r>
          </w:p>
        </w:tc>
        <w:tc>
          <w:tcPr>
            <w:tcW w:w="901" w:type="dxa"/>
            <w:tcBorders>
              <w:top w:val="nil"/>
              <w:left w:val="nil"/>
              <w:bottom w:val="nil"/>
              <w:right w:val="nil"/>
            </w:tcBorders>
            <w:shd w:val="clear" w:color="auto" w:fill="auto"/>
            <w:vAlign w:val="bottom"/>
          </w:tcPr>
          <w:p>
            <w:pPr>
              <w:jc w:val="center"/>
              <w:rPr>
                <w:sz w:val="20"/>
              </w:rPr>
            </w:pPr>
            <w:r>
              <w:rPr>
                <w:sz w:val="20"/>
              </w:rPr>
              <w:t>1.005</w:t>
            </w:r>
          </w:p>
        </w:tc>
        <w:tc>
          <w:tcPr>
            <w:tcW w:w="777" w:type="dxa"/>
            <w:tcBorders>
              <w:top w:val="nil"/>
              <w:left w:val="nil"/>
              <w:bottom w:val="nil"/>
              <w:right w:val="nil"/>
            </w:tcBorders>
            <w:shd w:val="clear" w:color="auto" w:fill="auto"/>
            <w:vAlign w:val="bottom"/>
          </w:tcPr>
          <w:p>
            <w:pPr>
              <w:jc w:val="center"/>
              <w:rPr>
                <w:sz w:val="20"/>
              </w:rPr>
            </w:pPr>
            <w:r>
              <w:rPr>
                <w:sz w:val="20"/>
              </w:rPr>
              <w:t>1.001</w:t>
            </w:r>
          </w:p>
        </w:tc>
        <w:tc>
          <w:tcPr>
            <w:tcW w:w="897" w:type="dxa"/>
            <w:tcBorders>
              <w:top w:val="nil"/>
              <w:left w:val="nil"/>
              <w:bottom w:val="nil"/>
              <w:right w:val="nil"/>
            </w:tcBorders>
            <w:shd w:val="clear" w:color="auto" w:fill="auto"/>
            <w:vAlign w:val="bottom"/>
          </w:tcPr>
          <w:p>
            <w:pPr>
              <w:jc w:val="center"/>
              <w:rPr>
                <w:sz w:val="20"/>
              </w:rPr>
            </w:pPr>
            <w:r>
              <w:rPr>
                <w:sz w:val="20"/>
              </w:rPr>
              <w:t>1.004</w:t>
            </w:r>
          </w:p>
        </w:tc>
        <w:tc>
          <w:tcPr>
            <w:tcW w:w="772" w:type="dxa"/>
            <w:tcBorders>
              <w:top w:val="nil"/>
              <w:left w:val="nil"/>
              <w:bottom w:val="nil"/>
              <w:right w:val="nil"/>
            </w:tcBorders>
            <w:shd w:val="clear" w:color="auto" w:fill="auto"/>
            <w:vAlign w:val="bottom"/>
          </w:tcPr>
          <w:p>
            <w:pPr>
              <w:jc w:val="center"/>
              <w:rPr>
                <w:sz w:val="20"/>
              </w:rPr>
            </w:pPr>
            <w:r>
              <w:rPr>
                <w:sz w:val="20"/>
              </w:rPr>
              <w:t>1.002</w:t>
            </w:r>
          </w:p>
        </w:tc>
        <w:tc>
          <w:tcPr>
            <w:tcW w:w="894" w:type="dxa"/>
            <w:tcBorders>
              <w:top w:val="nil"/>
              <w:left w:val="nil"/>
              <w:bottom w:val="nil"/>
              <w:right w:val="nil"/>
            </w:tcBorders>
            <w:shd w:val="clear" w:color="auto" w:fill="auto"/>
            <w:vAlign w:val="bottom"/>
          </w:tcPr>
          <w:p>
            <w:pPr>
              <w:jc w:val="center"/>
              <w:rPr>
                <w:sz w:val="20"/>
              </w:rPr>
            </w:pPr>
            <w:r>
              <w:rPr>
                <w:sz w:val="20"/>
              </w:rPr>
              <w:t>1.004</w:t>
            </w:r>
          </w:p>
        </w:tc>
        <w:tc>
          <w:tcPr>
            <w:tcW w:w="772" w:type="dxa"/>
            <w:tcBorders>
              <w:top w:val="nil"/>
              <w:left w:val="nil"/>
              <w:bottom w:val="nil"/>
              <w:right w:val="nil"/>
            </w:tcBorders>
            <w:shd w:val="clear" w:color="auto" w:fill="auto"/>
            <w:vAlign w:val="bottom"/>
          </w:tcPr>
          <w:p>
            <w:pPr>
              <w:jc w:val="center"/>
              <w:rPr>
                <w:sz w:val="20"/>
              </w:rPr>
            </w:pPr>
            <w:r>
              <w:rPr>
                <w:sz w:val="20"/>
              </w:rPr>
              <w:t>1.001</w:t>
            </w:r>
          </w:p>
        </w:tc>
        <w:tc>
          <w:tcPr>
            <w:tcW w:w="894" w:type="dxa"/>
            <w:vAlign w:val="bottom"/>
          </w:tcPr>
          <w:p>
            <w:pPr>
              <w:jc w:val="center"/>
              <w:rPr>
                <w:sz w:val="20"/>
              </w:rPr>
            </w:pPr>
            <w:r>
              <w:rPr>
                <w:sz w:val="20"/>
              </w:rPr>
              <w:t>1.003</w:t>
            </w:r>
          </w:p>
        </w:tc>
      </w:tr>
      <w:tr>
        <w:trPr>
          <w:jc w:val="center"/>
        </w:trPr>
        <w:tc>
          <w:tcPr>
            <w:tcW w:w="859" w:type="dxa"/>
          </w:tcPr>
          <w:p>
            <w:pPr>
              <w:pStyle w:val="Textkrper"/>
              <w:ind w:firstLine="0"/>
            </w:pPr>
            <w:r>
              <w:rPr>
                <w:vertAlign w:val="superscript"/>
              </w:rPr>
              <w:t>154</w:t>
            </w:r>
            <w:r>
              <w:t>Eu</w:t>
            </w:r>
          </w:p>
        </w:tc>
        <w:tc>
          <w:tcPr>
            <w:tcW w:w="1245" w:type="dxa"/>
            <w:tcBorders>
              <w:top w:val="nil"/>
              <w:left w:val="nil"/>
              <w:bottom w:val="single" w:sz="4" w:space="0" w:color="auto"/>
              <w:right w:val="nil"/>
            </w:tcBorders>
            <w:shd w:val="clear" w:color="auto" w:fill="auto"/>
            <w:vAlign w:val="bottom"/>
          </w:tcPr>
          <w:p>
            <w:pPr>
              <w:overflowPunct/>
              <w:autoSpaceDE/>
              <w:autoSpaceDN/>
              <w:adjustRightInd/>
              <w:jc w:val="center"/>
              <w:textAlignment w:val="auto"/>
              <w:rPr>
                <w:sz w:val="20"/>
              </w:rPr>
            </w:pPr>
            <w:r>
              <w:rPr>
                <w:sz w:val="20"/>
              </w:rPr>
              <w:t>1.603 × 10</w:t>
            </w:r>
            <w:r>
              <w:rPr>
                <w:sz w:val="20"/>
                <w:vertAlign w:val="superscript"/>
              </w:rPr>
              <w:t>-6</w:t>
            </w:r>
          </w:p>
        </w:tc>
        <w:tc>
          <w:tcPr>
            <w:tcW w:w="781" w:type="dxa"/>
            <w:tcBorders>
              <w:top w:val="nil"/>
              <w:left w:val="nil"/>
              <w:bottom w:val="single" w:sz="4" w:space="0" w:color="auto"/>
              <w:right w:val="nil"/>
            </w:tcBorders>
            <w:shd w:val="clear" w:color="auto" w:fill="auto"/>
            <w:vAlign w:val="bottom"/>
          </w:tcPr>
          <w:p>
            <w:pPr>
              <w:jc w:val="center"/>
              <w:rPr>
                <w:sz w:val="20"/>
              </w:rPr>
            </w:pPr>
            <w:r>
              <w:rPr>
                <w:sz w:val="20"/>
              </w:rPr>
              <w:t>1.022</w:t>
            </w:r>
          </w:p>
        </w:tc>
        <w:tc>
          <w:tcPr>
            <w:tcW w:w="901" w:type="dxa"/>
            <w:tcBorders>
              <w:top w:val="nil"/>
              <w:left w:val="nil"/>
              <w:bottom w:val="single" w:sz="4" w:space="0" w:color="auto"/>
              <w:right w:val="nil"/>
            </w:tcBorders>
            <w:shd w:val="clear" w:color="auto" w:fill="auto"/>
            <w:vAlign w:val="bottom"/>
          </w:tcPr>
          <w:p>
            <w:pPr>
              <w:jc w:val="center"/>
              <w:rPr>
                <w:sz w:val="20"/>
              </w:rPr>
            </w:pPr>
            <w:r>
              <w:rPr>
                <w:sz w:val="20"/>
              </w:rPr>
              <w:t>1.045</w:t>
            </w:r>
          </w:p>
        </w:tc>
        <w:tc>
          <w:tcPr>
            <w:tcW w:w="777" w:type="dxa"/>
            <w:tcBorders>
              <w:top w:val="nil"/>
              <w:left w:val="nil"/>
              <w:bottom w:val="single" w:sz="4" w:space="0" w:color="auto"/>
              <w:right w:val="nil"/>
            </w:tcBorders>
            <w:shd w:val="clear" w:color="auto" w:fill="auto"/>
            <w:vAlign w:val="bottom"/>
          </w:tcPr>
          <w:p>
            <w:pPr>
              <w:jc w:val="center"/>
              <w:rPr>
                <w:sz w:val="20"/>
              </w:rPr>
            </w:pPr>
            <w:r>
              <w:rPr>
                <w:sz w:val="20"/>
              </w:rPr>
              <w:t>0.909</w:t>
            </w:r>
          </w:p>
        </w:tc>
        <w:tc>
          <w:tcPr>
            <w:tcW w:w="897" w:type="dxa"/>
            <w:tcBorders>
              <w:top w:val="nil"/>
              <w:left w:val="nil"/>
              <w:bottom w:val="single" w:sz="4" w:space="0" w:color="auto"/>
              <w:right w:val="nil"/>
            </w:tcBorders>
            <w:shd w:val="clear" w:color="auto" w:fill="auto"/>
            <w:vAlign w:val="bottom"/>
          </w:tcPr>
          <w:p>
            <w:pPr>
              <w:jc w:val="center"/>
              <w:rPr>
                <w:sz w:val="20"/>
              </w:rPr>
            </w:pPr>
            <w:r>
              <w:rPr>
                <w:sz w:val="20"/>
              </w:rPr>
              <w:t>0.840</w:t>
            </w:r>
          </w:p>
        </w:tc>
        <w:tc>
          <w:tcPr>
            <w:tcW w:w="772" w:type="dxa"/>
            <w:tcBorders>
              <w:top w:val="nil"/>
              <w:left w:val="nil"/>
              <w:bottom w:val="single" w:sz="4" w:space="0" w:color="auto"/>
              <w:right w:val="nil"/>
            </w:tcBorders>
            <w:shd w:val="clear" w:color="auto" w:fill="auto"/>
            <w:vAlign w:val="bottom"/>
          </w:tcPr>
          <w:p>
            <w:pPr>
              <w:jc w:val="center"/>
              <w:rPr>
                <w:sz w:val="20"/>
              </w:rPr>
            </w:pPr>
            <w:r>
              <w:rPr>
                <w:sz w:val="20"/>
              </w:rPr>
              <w:t>0.816</w:t>
            </w:r>
          </w:p>
        </w:tc>
        <w:tc>
          <w:tcPr>
            <w:tcW w:w="894" w:type="dxa"/>
            <w:tcBorders>
              <w:top w:val="nil"/>
              <w:left w:val="nil"/>
              <w:bottom w:val="single" w:sz="4" w:space="0" w:color="auto"/>
              <w:right w:val="nil"/>
            </w:tcBorders>
            <w:shd w:val="clear" w:color="auto" w:fill="auto"/>
            <w:vAlign w:val="bottom"/>
          </w:tcPr>
          <w:p>
            <w:pPr>
              <w:jc w:val="center"/>
              <w:rPr>
                <w:sz w:val="20"/>
              </w:rPr>
            </w:pPr>
            <w:r>
              <w:rPr>
                <w:sz w:val="20"/>
              </w:rPr>
              <w:t>0.674</w:t>
            </w:r>
          </w:p>
        </w:tc>
        <w:tc>
          <w:tcPr>
            <w:tcW w:w="772" w:type="dxa"/>
            <w:tcBorders>
              <w:top w:val="nil"/>
              <w:left w:val="nil"/>
              <w:bottom w:val="single" w:sz="4" w:space="0" w:color="auto"/>
              <w:right w:val="nil"/>
            </w:tcBorders>
            <w:shd w:val="clear" w:color="auto" w:fill="auto"/>
            <w:vAlign w:val="bottom"/>
          </w:tcPr>
          <w:p>
            <w:pPr>
              <w:jc w:val="center"/>
              <w:rPr>
                <w:sz w:val="20"/>
              </w:rPr>
            </w:pPr>
            <w:r>
              <w:rPr>
                <w:sz w:val="20"/>
              </w:rPr>
              <w:t>0.876</w:t>
            </w:r>
          </w:p>
        </w:tc>
        <w:tc>
          <w:tcPr>
            <w:tcW w:w="894" w:type="dxa"/>
            <w:vAlign w:val="bottom"/>
          </w:tcPr>
          <w:p>
            <w:pPr>
              <w:jc w:val="center"/>
              <w:rPr>
                <w:sz w:val="20"/>
              </w:rPr>
            </w:pPr>
            <w:r>
              <w:rPr>
                <w:sz w:val="20"/>
              </w:rPr>
              <w:t>0.770</w:t>
            </w:r>
          </w:p>
        </w:tc>
      </w:tr>
    </w:tbl>
    <w:p>
      <w:pPr>
        <w:pStyle w:val="berschrift2"/>
      </w:pPr>
      <w:r>
        <w:t>CONCLUSIONS</w:t>
      </w:r>
    </w:p>
    <w:p>
      <w:pPr>
        <w:pStyle w:val="Textkrper"/>
      </w:pPr>
      <w:r>
        <w:t xml:space="preserve">Effects of reactor core size on some aspects of operation and waste streams were studied. A reference SMR PWR core has a to multiplication factor about </w:t>
      </w:r>
      <m:oMath>
        <m:r>
          <w:rPr>
            <w:rFonts w:ascii="Cambria Math" w:hAnsi="Cambria Math"/>
          </w:rPr>
          <m:t>0.08</m:t>
        </m:r>
      </m:oMath>
      <w:r>
        <w:t xml:space="preserve"> lower compared to a large PWR, which may lead to an increase in ex-core component activation. Maximum achievable burnup is about 15 </w:t>
      </w:r>
      <w:proofErr w:type="spellStart"/>
      <w:r>
        <w:t>MWd</w:t>
      </w:r>
      <w:proofErr w:type="spellEnd"/>
      <w:r>
        <w:t>/kg lower.</w:t>
      </w:r>
    </w:p>
    <w:p>
      <w:pPr>
        <w:pStyle w:val="Textkrper"/>
      </w:pPr>
      <w:r>
        <w:t xml:space="preserve">These effects may be compensated by using a higher initial </w:t>
      </w:r>
      <w:r>
        <w:rPr>
          <w:vertAlign w:val="superscript"/>
        </w:rPr>
        <w:t>235</w:t>
      </w:r>
      <w:r>
        <w:t xml:space="preserve">U enrichment. This results in increased depleted uranium stockpiles. A decreased decay heat rate may reduce the requirements for interim storage and final disposal. A higher isotopic purity of </w:t>
      </w:r>
      <w:r>
        <w:rPr>
          <w:vertAlign w:val="superscript"/>
        </w:rPr>
        <w:t>239</w:t>
      </w:r>
      <w:r>
        <w:t xml:space="preserve">Pu may increase proliferation risks. From the aspect of the long-term safety of high-level waste disposal, the impact on </w:t>
      </w:r>
      <w:r>
        <w:rPr>
          <w:vertAlign w:val="superscript"/>
        </w:rPr>
        <w:t>129</w:t>
      </w:r>
      <w:r>
        <w:t xml:space="preserve">I and </w:t>
      </w:r>
      <w:r>
        <w:rPr>
          <w:vertAlign w:val="superscript"/>
        </w:rPr>
        <w:t>99</w:t>
      </w:r>
      <w:r>
        <w:t xml:space="preserve">Tc production is small, however </w:t>
      </w:r>
      <w:r>
        <w:rPr>
          <w:vertAlign w:val="superscript"/>
        </w:rPr>
        <w:t>135</w:t>
      </w:r>
      <w:r>
        <w:t>Cs production may be significantly larger, especially for reactors operating at a lower power density.</w:t>
      </w:r>
    </w:p>
    <w:p>
      <w:pPr>
        <w:pStyle w:val="Textkrper"/>
      </w:pPr>
      <w:r>
        <w:t xml:space="preserve">Using SS-304 reflector increases the production rates of transuranic nuclides and some fission products. </w:t>
      </w:r>
    </w:p>
    <w:p>
      <w:pPr>
        <w:pStyle w:val="Otherunnumberedheadings"/>
      </w:pPr>
      <w:r>
        <w:t>Refere</w:t>
      </w:r>
      <w:bookmarkStart w:id="12" w:name="_GoBack"/>
      <w:bookmarkEnd w:id="12"/>
      <w:r>
        <w:t>nces</w:t>
      </w:r>
    </w:p>
    <w:p>
      <w:pPr>
        <w:pStyle w:val="Referencelist"/>
      </w:pPr>
      <w:bookmarkStart w:id="13" w:name="_Ref166564853"/>
      <w:r>
        <w:t>OECD/NEA, The NEA Small Modular Reactor Dashboard: Second Edition, OECD, Paris (2024).</w:t>
      </w:r>
      <w:bookmarkEnd w:id="13"/>
    </w:p>
    <w:p>
      <w:pPr>
        <w:pStyle w:val="Referencelist"/>
      </w:pPr>
      <w:bookmarkStart w:id="14" w:name="_Ref166565160"/>
      <w:r>
        <w:t xml:space="preserve">CARLSON, L., MILLER, J., WU, Z., </w:t>
      </w:r>
      <w:bookmarkEnd w:id="14"/>
      <w:r>
        <w:t xml:space="preserve">Implications of HALEU fuel on the design of SMRs and micro-reactors, </w:t>
      </w:r>
      <w:proofErr w:type="spellStart"/>
      <w:r>
        <w:t>Nucl</w:t>
      </w:r>
      <w:proofErr w:type="spellEnd"/>
      <w:r>
        <w:t xml:space="preserve">. Eng. Des. </w:t>
      </w:r>
      <w:r>
        <w:rPr>
          <w:b/>
        </w:rPr>
        <w:t>389</w:t>
      </w:r>
      <w:r>
        <w:t xml:space="preserve"> (2022) 111648. </w:t>
      </w:r>
      <w:hyperlink r:id="rId27" w:history="1">
        <w:r>
          <w:rPr>
            <w:rStyle w:val="Hyperlink"/>
          </w:rPr>
          <w:t>https://doi.org/10.1016/j.nucengdes.2022.111648</w:t>
        </w:r>
      </w:hyperlink>
      <w:r>
        <w:t xml:space="preserve"> </w:t>
      </w:r>
    </w:p>
    <w:p>
      <w:pPr>
        <w:pStyle w:val="Referencelist"/>
      </w:pPr>
      <w:bookmarkStart w:id="15" w:name="_Ref167173668"/>
      <w:r>
        <w:t xml:space="preserve">KANG, J.K., ET AL., The effects of </w:t>
      </w:r>
      <w:proofErr w:type="gramStart"/>
      <w:r>
        <w:t>stainless steel</w:t>
      </w:r>
      <w:proofErr w:type="gramEnd"/>
      <w:r>
        <w:t xml:space="preserve"> radial reflector on core reactivity for small modular reactor, AIP Conf. Proc. </w:t>
      </w:r>
      <w:r>
        <w:rPr>
          <w:b/>
        </w:rPr>
        <w:t>1704</w:t>
      </w:r>
      <w:r>
        <w:t xml:space="preserve"> (2016) 020009. </w:t>
      </w:r>
      <w:hyperlink r:id="rId28" w:history="1">
        <w:r>
          <w:rPr>
            <w:rStyle w:val="Hyperlink"/>
          </w:rPr>
          <w:t>https://doi.org/10.1063/1.4940067</w:t>
        </w:r>
      </w:hyperlink>
      <w:bookmarkEnd w:id="15"/>
    </w:p>
    <w:p>
      <w:pPr>
        <w:pStyle w:val="Referencelist"/>
      </w:pPr>
      <w:bookmarkStart w:id="16" w:name="_Ref167173695"/>
      <w:r>
        <w:t xml:space="preserve">World Nuclear Association, Nuclear Fuel Cycle, Small Nuclear Power Reactors (2024), </w:t>
      </w:r>
      <w:hyperlink r:id="rId29" w:history="1">
        <w:r>
          <w:rPr>
            <w:rStyle w:val="Hyperlink"/>
          </w:rPr>
          <w:t>https://world-nuclear.org/information-library/nuclear-fuel-cycle/nuclear-power-reactors/small-nuclear-power-reactors</w:t>
        </w:r>
      </w:hyperlink>
      <w:bookmarkEnd w:id="16"/>
      <w:r>
        <w:t xml:space="preserve"> </w:t>
      </w:r>
    </w:p>
    <w:p>
      <w:pPr>
        <w:pStyle w:val="Referencelist"/>
      </w:pPr>
      <w:bookmarkStart w:id="17" w:name="_Ref166565181"/>
      <w:bookmarkStart w:id="18" w:name="_Ref167173725"/>
      <w:r>
        <w:t>LIU, M.-M., ET AL.,</w:t>
      </w:r>
      <w:bookmarkEnd w:id="17"/>
      <w:r>
        <w:t xml:space="preserve"> “Study on the Load Following Control of SMR with Flexible Load”, Int. </w:t>
      </w:r>
      <w:proofErr w:type="spellStart"/>
      <w:r>
        <w:t>Symp</w:t>
      </w:r>
      <w:proofErr w:type="spellEnd"/>
      <w:r>
        <w:t xml:space="preserve">. SICPNPP 2020, Lecture Notes in El. Eng. 779, Springer, Singapore (2021). </w:t>
      </w:r>
      <w:hyperlink r:id="rId30" w:history="1">
        <w:r>
          <w:rPr>
            <w:rStyle w:val="Hyperlink"/>
          </w:rPr>
          <w:t>https://doi.org/10.1007/978-981-16-3456-7_73</w:t>
        </w:r>
      </w:hyperlink>
      <w:bookmarkEnd w:id="18"/>
      <w:r>
        <w:t xml:space="preserve"> </w:t>
      </w:r>
    </w:p>
    <w:p>
      <w:pPr>
        <w:pStyle w:val="Referencelist"/>
      </w:pPr>
      <w:bookmarkStart w:id="19" w:name="_Ref166565193"/>
      <w:r>
        <w:t>K</w:t>
      </w:r>
      <w:bookmarkEnd w:id="19"/>
      <w:r>
        <w:t xml:space="preserve">RALL, L.M, MACFARLANE, A.M., EWING, R.C., Nuclear waste from small modular reactors, PNAS Env. Sci. </w:t>
      </w:r>
      <w:r>
        <w:rPr>
          <w:b/>
        </w:rPr>
        <w:t>119</w:t>
      </w:r>
      <w:r>
        <w:t xml:space="preserve"> (2022) 2111833119. </w:t>
      </w:r>
      <w:hyperlink r:id="rId31" w:history="1">
        <w:r>
          <w:rPr>
            <w:rStyle w:val="Hyperlink"/>
          </w:rPr>
          <w:t>https://doi.org/10.1073/pnas.2111833119</w:t>
        </w:r>
      </w:hyperlink>
      <w:r>
        <w:t xml:space="preserve"> </w:t>
      </w:r>
    </w:p>
    <w:p>
      <w:pPr>
        <w:pStyle w:val="Referencelist"/>
      </w:pPr>
      <w:bookmarkStart w:id="20" w:name="_Ref165557025"/>
      <w:r>
        <w:t xml:space="preserve">LEPPÄNEN, J, ET AL., The Serpent Monte Carlo code: Status, development and applications in 2013, Ann. </w:t>
      </w:r>
      <w:proofErr w:type="spellStart"/>
      <w:r>
        <w:t>Nucl</w:t>
      </w:r>
      <w:proofErr w:type="spellEnd"/>
      <w:r>
        <w:t xml:space="preserve">. Energy </w:t>
      </w:r>
      <w:r>
        <w:rPr>
          <w:b/>
        </w:rPr>
        <w:t>82</w:t>
      </w:r>
      <w:r>
        <w:t xml:space="preserve"> (2015) 142-150.</w:t>
      </w:r>
      <w:bookmarkEnd w:id="20"/>
      <w:r>
        <w:t xml:space="preserve"> </w:t>
      </w:r>
      <w:hyperlink r:id="rId32" w:history="1">
        <w:r>
          <w:rPr>
            <w:rStyle w:val="Hyperlink"/>
          </w:rPr>
          <w:t>https://doi.org/10.1016/j.anucene.2014.08.024</w:t>
        </w:r>
      </w:hyperlink>
      <w:r>
        <w:t xml:space="preserve"> </w:t>
      </w:r>
    </w:p>
    <w:p>
      <w:pPr>
        <w:pStyle w:val="Referencelist"/>
      </w:pPr>
      <w:bookmarkStart w:id="21" w:name="_Ref165557018"/>
      <w:r>
        <w:t xml:space="preserve">CHADWICK, M.B., ET AL., ENDF/B-VII.1 Nuclear Data for Science and Technology: Cross Sections, Covariances, Fission Product Yields and Decay Data, </w:t>
      </w:r>
      <w:proofErr w:type="spellStart"/>
      <w:r>
        <w:t>Nucl</w:t>
      </w:r>
      <w:proofErr w:type="spellEnd"/>
      <w:r>
        <w:t xml:space="preserve">. Data Sheets </w:t>
      </w:r>
      <w:r>
        <w:rPr>
          <w:b/>
        </w:rPr>
        <w:t>112</w:t>
      </w:r>
      <w:r>
        <w:t xml:space="preserve"> (2011) 2887–2996.</w:t>
      </w:r>
      <w:bookmarkEnd w:id="21"/>
    </w:p>
    <w:p>
      <w:pPr>
        <w:pStyle w:val="Referencelist"/>
      </w:pPr>
      <w:bookmarkStart w:id="22" w:name="_Ref166568562"/>
      <w:bookmarkStart w:id="23" w:name="_Ref166593110"/>
      <w:r>
        <w:t xml:space="preserve">NUSCALE, </w:t>
      </w:r>
      <w:proofErr w:type="spellStart"/>
      <w:r>
        <w:t>NuScale</w:t>
      </w:r>
      <w:proofErr w:type="spellEnd"/>
      <w:r>
        <w:t xml:space="preserve"> Standard Plant Design Certification Application</w:t>
      </w:r>
      <w:bookmarkEnd w:id="22"/>
      <w:r>
        <w:t>, Chapter Four, Reactor, Part 2 – Tier 2, Revision 5 (2020).</w:t>
      </w:r>
      <w:bookmarkEnd w:id="23"/>
    </w:p>
    <w:p>
      <w:pPr>
        <w:pStyle w:val="Referencelist"/>
      </w:pPr>
      <w:bookmarkStart w:id="24" w:name="_Ref165556707"/>
      <w:r>
        <w:t>DUDERSTADT, J.J., HAMILTON, L.J., Nuclear reactor analysis, John Wiley &amp; Sons Inc., New York (1976).</w:t>
      </w:r>
      <w:bookmarkEnd w:id="24"/>
    </w:p>
    <w:p>
      <w:pPr>
        <w:pStyle w:val="Referencelist"/>
      </w:pPr>
      <w:bookmarkStart w:id="25" w:name="_Ref167173895"/>
      <w:bookmarkStart w:id="26" w:name="_Ref166655472"/>
      <w:r>
        <w:t>ŽEROVNIK, G., ET AL., Observables of interest for the characterisation of Spent Nuclear Fuel, Report EUR 29301 EN, European Atomic Energy Community, Luxembourg (2018).</w:t>
      </w:r>
      <w:bookmarkEnd w:id="26"/>
    </w:p>
    <w:p>
      <w:pPr>
        <w:pStyle w:val="Referencelist"/>
      </w:pPr>
      <w:bookmarkStart w:id="27" w:name="_Ref167174987"/>
      <w:r>
        <w:t>SCHILLEBEECKX, P., ET AL.,</w:t>
      </w:r>
      <w:bookmarkEnd w:id="25"/>
      <w:bookmarkEnd w:id="27"/>
      <w:r>
        <w:t xml:space="preserve"> An absolute measurement of the neutron production rate of a spent nuclear fuel sample used for depletion code validation, Front. Energy Res. </w:t>
      </w:r>
      <w:r>
        <w:rPr>
          <w:b/>
        </w:rPr>
        <w:t>11</w:t>
      </w:r>
      <w:r>
        <w:t xml:space="preserve"> (2023) 1162367.</w:t>
      </w:r>
    </w:p>
    <w:sectPr>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zyxClassification1"/>
    </w:pPr>
    <w:r>
      <w:fldChar w:fldCharType="begin"/>
    </w:r>
    <w:r>
      <w:instrText xml:space="preserve"> DOCPROPERTY "IaeaClassification"  \* MERGEFORMAT </w:instrText>
    </w:r>
    <w:r>
      <w:fldChar w:fldCharType="end"/>
    </w:r>
  </w:p>
  <w:p>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zyxClassification1"/>
    </w:pPr>
    <w:r>
      <w:fldChar w:fldCharType="begin"/>
    </w:r>
    <w:r>
      <w:instrText xml:space="preserve"> DOCPROPERTY "IaeaClassification"  \* MERGEFORMAT </w:instrText>
    </w:r>
    <w:r>
      <w:fldChar w:fldCharType="end"/>
    </w:r>
  </w:p>
  <w:p>
    <w:pPr>
      <w:pStyle w:val="zyxClassification2"/>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Pr>
        <w:rFonts w:ascii="Times New Roman" w:hAnsi="Times New Roman" w:cs="Times New Roman"/>
        <w:noProof/>
        <w:sz w:val="20"/>
      </w:rPr>
      <w:t>1</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  \* MERGEFORMAT</w:instrText>
    </w:r>
    <w:r>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trPr>
        <w:cantSplit/>
      </w:trPr>
      <w:tc>
        <w:tcPr>
          <w:tcW w:w="4644" w:type="dxa"/>
        </w:tcPr>
        <w:p>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9" w:name="DOC_bkmClassification2"/>
      <w:tc>
        <w:tcPr>
          <w:tcW w:w="5670" w:type="dxa"/>
          <w:tcMar>
            <w:right w:w="249" w:type="dxa"/>
          </w:tcMar>
        </w:tcPr>
        <w:p>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9"/>
        <w:p>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0" w:name="DOC_bkmFileName"/>
  <w:p>
    <w:r>
      <w:rPr>
        <w:sz w:val="16"/>
      </w:rPr>
      <w:fldChar w:fldCharType="begin"/>
    </w:r>
    <w:r>
      <w:rPr>
        <w:sz w:val="16"/>
      </w:rPr>
      <w:instrText xml:space="preserve"> FILENAME \* MERGEFORMAT </w:instrText>
    </w:r>
    <w:r>
      <w:rPr>
        <w:sz w:val="16"/>
      </w:rPr>
      <w:fldChar w:fldCharType="separate"/>
    </w:r>
    <w:r>
      <w:rPr>
        <w:noProof/>
        <w:sz w:val="16"/>
      </w:rPr>
      <w:t>Conference Proceedings_Example paper.docx</w:t>
    </w:r>
    <w:r>
      <w:rPr>
        <w:sz w:val="16"/>
      </w:rPr>
      <w:fldChar w:fldCharType="end"/>
    </w:r>
    <w:bookmarkEnd w:id="3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t>___________________________________________________________________________</w:t>
      </w:r>
    </w:p>
  </w:footnote>
  <w:footnote w:type="continuationSeparator" w:id="0">
    <w:p>
      <w:r>
        <w:t>___________________________________________________________________________</w:t>
      </w:r>
    </w:p>
  </w:footnote>
  <w:footnote w:type="continuationNotice"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Runninghead"/>
    </w:pPr>
    <w:r>
      <w:tab/>
      <w:t>IAEA-CN-327/299</w:t>
    </w:r>
  </w:p>
  <w:p>
    <w:pPr>
      <w:pStyle w:val="Runninghead"/>
      <w:jc w:val="left"/>
    </w:pPr>
  </w:p>
  <w:p>
    <w:pPr>
      <w:jc w:val="center"/>
      <w:rPr>
        <w:color w:val="BFBFBF" w:themeColor="background1" w:themeShade="BF"/>
        <w:sz w:val="16"/>
        <w:szCs w:val="16"/>
      </w:rPr>
    </w:pPr>
    <w:r>
      <w:rPr>
        <w:color w:val="BFBFBF" w:themeColor="background1" w:themeShade="BF"/>
        <w:sz w:val="16"/>
        <w:szCs w:val="16"/>
      </w:rPr>
      <w:t>[Right hand page running head is the paper number in Times New Roman 8 point bold capitals, centred]</w:t>
    </w:r>
  </w:p>
  <w:p>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Runninghead"/>
    </w:pPr>
    <w:r>
      <w:t>ŽEROVNIK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trPr>
        <w:cantSplit/>
        <w:trHeight w:val="716"/>
      </w:trPr>
      <w:tc>
        <w:tcPr>
          <w:tcW w:w="979" w:type="dxa"/>
          <w:vMerge w:val="restart"/>
        </w:tcPr>
        <w:p>
          <w:pPr>
            <w:spacing w:before="180"/>
            <w:ind w:left="17"/>
          </w:pPr>
        </w:p>
      </w:tc>
      <w:tc>
        <w:tcPr>
          <w:tcW w:w="3638" w:type="dxa"/>
          <w:vAlign w:val="bottom"/>
        </w:tcPr>
        <w:p>
          <w:pPr>
            <w:spacing w:after="20"/>
          </w:pPr>
        </w:p>
      </w:tc>
      <w:bookmarkStart w:id="28" w:name="DOC_bkmClassification1"/>
      <w:tc>
        <w:tcPr>
          <w:tcW w:w="5702" w:type="dxa"/>
          <w:vMerge w:val="restart"/>
          <w:tcMar>
            <w:right w:w="193" w:type="dxa"/>
          </w:tcMar>
        </w:tcPr>
        <w:p>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8"/>
        <w:p>
          <w:pPr>
            <w:pStyle w:val="zyxConfid2Red"/>
          </w:pPr>
          <w:r>
            <w:fldChar w:fldCharType="begin"/>
          </w:r>
          <w:r>
            <w:instrText>DOCPROPERTY "IaeaClassification2"  \* MERGEFORMAT</w:instrText>
          </w:r>
          <w:r>
            <w:fldChar w:fldCharType="end"/>
          </w:r>
        </w:p>
      </w:tc>
    </w:tr>
    <w:tr>
      <w:trPr>
        <w:cantSplit/>
        <w:trHeight w:val="167"/>
      </w:trPr>
      <w:tc>
        <w:tcPr>
          <w:tcW w:w="979" w:type="dxa"/>
          <w:vMerge/>
        </w:tcPr>
        <w:p>
          <w:pPr>
            <w:spacing w:before="57"/>
          </w:pPr>
        </w:p>
      </w:tc>
      <w:tc>
        <w:tcPr>
          <w:tcW w:w="3638" w:type="dxa"/>
          <w:vAlign w:val="bottom"/>
        </w:tcPr>
        <w:p>
          <w:pPr>
            <w:pStyle w:val="berschrift9"/>
            <w:spacing w:before="0" w:after="10"/>
          </w:pPr>
        </w:p>
      </w:tc>
      <w:tc>
        <w:tcPr>
          <w:tcW w:w="5702" w:type="dxa"/>
          <w:vMerge/>
          <w:vAlign w:val="bottom"/>
        </w:tcPr>
        <w:p>
          <w:pPr>
            <w:pStyle w:val="berschrift9"/>
            <w:spacing w:before="0" w:after="10"/>
          </w:pPr>
        </w:p>
      </w:tc>
    </w:tr>
  </w:tb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76185F"/>
    <w:multiLevelType w:val="hybridMultilevel"/>
    <w:tmpl w:val="DD5EE04A"/>
    <w:lvl w:ilvl="0" w:tplc="E37ED3B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A4444B"/>
    <w:multiLevelType w:val="hybridMultilevel"/>
    <w:tmpl w:val="42482A00"/>
    <w:lvl w:ilvl="0" w:tplc="F0523B66">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5B070C8"/>
    <w:multiLevelType w:val="hybridMultilevel"/>
    <w:tmpl w:val="A670A21C"/>
    <w:lvl w:ilvl="0" w:tplc="0CA20CC8">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B54461A"/>
    <w:multiLevelType w:val="hybridMultilevel"/>
    <w:tmpl w:val="DD5EE04A"/>
    <w:lvl w:ilvl="0" w:tplc="E37ED3B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304E60"/>
    <w:multiLevelType w:val="hybridMultilevel"/>
    <w:tmpl w:val="23F86DDE"/>
    <w:lvl w:ilvl="0" w:tplc="E37ED3B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5323FB"/>
    <w:multiLevelType w:val="hybridMultilevel"/>
    <w:tmpl w:val="D58CDDC6"/>
    <w:lvl w:ilvl="0" w:tplc="1EB096C6">
      <w:start w:val="4"/>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5"/>
  </w:num>
  <w:num w:numId="3">
    <w:abstractNumId w:val="15"/>
  </w:num>
  <w:num w:numId="4">
    <w:abstractNumId w:val="15"/>
  </w:num>
  <w:num w:numId="5">
    <w:abstractNumId w:val="15"/>
  </w:num>
  <w:num w:numId="6">
    <w:abstractNumId w:val="7"/>
  </w:num>
  <w:num w:numId="7">
    <w:abstractNumId w:val="13"/>
  </w:num>
  <w:num w:numId="8">
    <w:abstractNumId w:val="17"/>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15"/>
  </w:num>
  <w:num w:numId="22">
    <w:abstractNumId w:val="4"/>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10"/>
  </w:num>
  <w:num w:numId="31">
    <w:abstractNumId w:val="10"/>
  </w:num>
  <w:num w:numId="32">
    <w:abstractNumId w:val="15"/>
  </w:num>
  <w:num w:numId="33">
    <w:abstractNumId w:val="6"/>
  </w:num>
  <w:num w:numId="34">
    <w:abstractNumId w:val="16"/>
  </w:num>
  <w:num w:numId="35">
    <w:abstractNumId w:val="9"/>
  </w:num>
  <w:num w:numId="36">
    <w:abstractNumId w:val="3"/>
  </w:num>
  <w:num w:numId="37">
    <w:abstractNumId w:val="8"/>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Standard">
    <w:name w:val="Normal"/>
    <w:uiPriority w:val="49"/>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pPr>
      <w:numPr>
        <w:numId w:val="20"/>
      </w:numPr>
      <w:ind w:left="709"/>
    </w:pPr>
  </w:style>
  <w:style w:type="paragraph" w:customStyle="1" w:styleId="ListNumbered">
    <w:name w:val="List Numbered"/>
    <w:basedOn w:val="Textkrper"/>
    <w:uiPriority w:val="5"/>
    <w:qFormat/>
    <w:locked/>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Pr>
      <w:sz w:val="2"/>
      <w:lang w:val="en-US" w:eastAsia="en-US"/>
    </w:rPr>
  </w:style>
  <w:style w:type="paragraph" w:customStyle="1" w:styleId="Runninghead">
    <w:name w:val="Running head"/>
    <w:basedOn w:val="Standard"/>
    <w:link w:val="RunningheadChar"/>
    <w:uiPriority w:val="49"/>
    <w:qFormat/>
    <w:pPr>
      <w:jc w:val="center"/>
    </w:pPr>
    <w:rPr>
      <w:b/>
      <w:sz w:val="16"/>
      <w:szCs w:val="16"/>
    </w:rPr>
  </w:style>
  <w:style w:type="paragraph" w:customStyle="1" w:styleId="Authornameandaffiliation">
    <w:name w:val="Author name and affiliation"/>
    <w:link w:val="AuthornameandaffiliationChar"/>
    <w:uiPriority w:val="49"/>
    <w:qFormat/>
    <w:pPr>
      <w:ind w:left="567"/>
      <w:contextualSpacing/>
    </w:pPr>
    <w:rPr>
      <w:lang w:val="en-US" w:eastAsia="en-US"/>
    </w:rPr>
  </w:style>
  <w:style w:type="character" w:customStyle="1" w:styleId="RunningheadChar">
    <w:name w:val="Running head Char"/>
    <w:basedOn w:val="Absatz-Standardschriftart"/>
    <w:link w:val="Runninghead"/>
    <w:uiPriority w:val="49"/>
    <w:rPr>
      <w:b/>
      <w:sz w:val="16"/>
      <w:szCs w:val="16"/>
      <w:lang w:eastAsia="en-US"/>
    </w:rPr>
  </w:style>
  <w:style w:type="paragraph" w:customStyle="1" w:styleId="Abstracttext">
    <w:name w:val="Abstract text"/>
    <w:basedOn w:val="Authornameandaffiliation"/>
    <w:link w:val="AbstracttextChar"/>
    <w:uiPriority w:val="49"/>
    <w:qFormat/>
    <w:pPr>
      <w:spacing w:line="240" w:lineRule="atLeast"/>
      <w:ind w:left="0" w:firstLine="567"/>
    </w:pPr>
    <w:rPr>
      <w:sz w:val="18"/>
    </w:rPr>
  </w:style>
  <w:style w:type="character" w:customStyle="1" w:styleId="TextkrperZchn">
    <w:name w:val="Textkörper Zchn"/>
    <w:basedOn w:val="Absatz-Standardschriftart"/>
    <w:link w:val="Textkrper"/>
    <w:rPr>
      <w:lang w:eastAsia="en-US"/>
    </w:rPr>
  </w:style>
  <w:style w:type="character" w:customStyle="1" w:styleId="AuthornameandaffiliationChar">
    <w:name w:val="Author name and affiliation Char"/>
    <w:basedOn w:val="TextkrperZchn"/>
    <w:link w:val="Authornameandaffiliation"/>
    <w:uiPriority w:val="49"/>
    <w:rPr>
      <w:lang w:val="en-US" w:eastAsia="en-US"/>
    </w:rPr>
  </w:style>
  <w:style w:type="table" w:styleId="Tabellenraster">
    <w:name w:val="Table Grid"/>
    <w:basedOn w:val="NormaleTabelle"/>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Pr>
      <w:sz w:val="18"/>
      <w:lang w:val="en-US" w:eastAsia="en-US"/>
    </w:rPr>
  </w:style>
  <w:style w:type="paragraph" w:styleId="Sprechblasentext">
    <w:name w:val="Balloon Text"/>
    <w:basedOn w:val="Standard"/>
    <w:link w:val="SprechblasentextZchn"/>
    <w:uiPriority w:val="49"/>
    <w:locked/>
    <w:rPr>
      <w:rFonts w:ascii="Tahoma" w:hAnsi="Tahoma" w:cs="Tahoma"/>
      <w:sz w:val="16"/>
      <w:szCs w:val="16"/>
    </w:rPr>
  </w:style>
  <w:style w:type="character" w:customStyle="1" w:styleId="SprechblasentextZchn">
    <w:name w:val="Sprechblasentext Zchn"/>
    <w:basedOn w:val="Absatz-Standardschriftart"/>
    <w:link w:val="Sprechblasentext"/>
    <w:uiPriority w:val="49"/>
    <w:rPr>
      <w:rFonts w:ascii="Tahoma" w:hAnsi="Tahoma" w:cs="Tahoma"/>
      <w:sz w:val="16"/>
      <w:szCs w:val="16"/>
      <w:lang w:eastAsia="en-US"/>
    </w:rPr>
  </w:style>
  <w:style w:type="paragraph" w:customStyle="1" w:styleId="Figurecaption">
    <w:name w:val="Figure caption"/>
    <w:basedOn w:val="Textkrper"/>
    <w:link w:val="FigurecaptionChar"/>
    <w:uiPriority w:val="49"/>
    <w:qFormat/>
    <w:locked/>
    <w:pPr>
      <w:jc w:val="center"/>
    </w:pPr>
    <w:rPr>
      <w:i/>
      <w:sz w:val="18"/>
    </w:rPr>
  </w:style>
  <w:style w:type="paragraph" w:customStyle="1" w:styleId="Otherunnumberedheadings">
    <w:name w:val="Other unnumbered headings"/>
    <w:next w:val="Textkrper"/>
    <w:link w:val="OtherunnumberedheadingsChar"/>
    <w:uiPriority w:val="49"/>
    <w:qFormat/>
    <w:locked/>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Pr>
      <w:i/>
      <w:sz w:val="18"/>
      <w:lang w:eastAsia="en-US"/>
    </w:rPr>
  </w:style>
  <w:style w:type="paragraph" w:customStyle="1" w:styleId="Referencelist">
    <w:name w:val="Reference list"/>
    <w:basedOn w:val="Textkrper"/>
    <w:link w:val="ReferencelistChar"/>
    <w:uiPriority w:val="49"/>
    <w:qFormat/>
    <w:pPr>
      <w:numPr>
        <w:numId w:val="30"/>
      </w:numPr>
    </w:pPr>
    <w:rPr>
      <w:sz w:val="18"/>
      <w:szCs w:val="18"/>
    </w:rPr>
  </w:style>
  <w:style w:type="character" w:customStyle="1" w:styleId="OtherunnumberedheadingsChar">
    <w:name w:val="Other unnumbered headings Char"/>
    <w:basedOn w:val="TextkrperZchn"/>
    <w:link w:val="Otherunnumberedheadings"/>
    <w:uiPriority w:val="49"/>
    <w:rPr>
      <w:rFonts w:ascii="Times New Roman Bold" w:hAnsi="Times New Roman Bold"/>
      <w:b/>
      <w:caps/>
      <w:lang w:eastAsia="en-US"/>
    </w:rPr>
  </w:style>
  <w:style w:type="character" w:customStyle="1" w:styleId="ReferencelistChar">
    <w:name w:val="Reference list Char"/>
    <w:basedOn w:val="TextkrperZchn"/>
    <w:link w:val="Referencelist"/>
    <w:uiPriority w:val="49"/>
    <w:rPr>
      <w:sz w:val="18"/>
      <w:szCs w:val="18"/>
      <w:lang w:eastAsia="en-US"/>
    </w:rPr>
  </w:style>
  <w:style w:type="paragraph" w:customStyle="1" w:styleId="Tabletext">
    <w:name w:val="Table text"/>
    <w:basedOn w:val="Textkrper"/>
    <w:link w:val="TabletextChar"/>
    <w:uiPriority w:val="49"/>
    <w:qFormat/>
    <w:pPr>
      <w:ind w:firstLine="0"/>
    </w:pPr>
  </w:style>
  <w:style w:type="character" w:customStyle="1" w:styleId="TabletextChar">
    <w:name w:val="Table text Char"/>
    <w:basedOn w:val="TextkrperZchn"/>
    <w:link w:val="Tabletext"/>
    <w:uiPriority w:val="49"/>
    <w:rPr>
      <w:lang w:eastAsia="en-US"/>
    </w:rPr>
  </w:style>
  <w:style w:type="character" w:styleId="Platzhaltertext">
    <w:name w:val="Placeholder Text"/>
    <w:basedOn w:val="Absatz-Standardschriftart"/>
    <w:uiPriority w:val="99"/>
    <w:semiHidden/>
    <w:locked/>
    <w:rPr>
      <w:color w:val="808080"/>
    </w:rPr>
  </w:style>
  <w:style w:type="character" w:styleId="Kommentarzeichen">
    <w:name w:val="annotation reference"/>
    <w:basedOn w:val="Absatz-Standardschriftart"/>
    <w:uiPriority w:val="49"/>
    <w:locked/>
    <w:rPr>
      <w:sz w:val="16"/>
      <w:szCs w:val="16"/>
    </w:rPr>
  </w:style>
  <w:style w:type="paragraph" w:styleId="Kommentartext">
    <w:name w:val="annotation text"/>
    <w:basedOn w:val="Standard"/>
    <w:link w:val="KommentartextZchn"/>
    <w:uiPriority w:val="49"/>
    <w:locked/>
    <w:rPr>
      <w:sz w:val="20"/>
    </w:rPr>
  </w:style>
  <w:style w:type="character" w:customStyle="1" w:styleId="KommentartextZchn">
    <w:name w:val="Kommentartext Zchn"/>
    <w:basedOn w:val="Absatz-Standardschriftart"/>
    <w:link w:val="Kommentartext"/>
    <w:uiPriority w:val="49"/>
    <w:rPr>
      <w:lang w:eastAsia="en-US"/>
    </w:rPr>
  </w:style>
  <w:style w:type="paragraph" w:styleId="Kommentarthema">
    <w:name w:val="annotation subject"/>
    <w:basedOn w:val="Kommentartext"/>
    <w:next w:val="Kommentartext"/>
    <w:link w:val="KommentarthemaZchn"/>
    <w:uiPriority w:val="49"/>
    <w:locked/>
    <w:rPr>
      <w:b/>
      <w:bCs/>
    </w:rPr>
  </w:style>
  <w:style w:type="character" w:customStyle="1" w:styleId="KommentarthemaZchn">
    <w:name w:val="Kommentarthema Zchn"/>
    <w:basedOn w:val="KommentartextZchn"/>
    <w:link w:val="Kommentarthema"/>
    <w:uiPriority w:val="49"/>
    <w:rPr>
      <w:b/>
      <w:bCs/>
      <w:lang w:eastAsia="en-US"/>
    </w:rPr>
  </w:style>
  <w:style w:type="character" w:styleId="Hyperlink">
    <w:name w:val="Hyperlink"/>
    <w:basedOn w:val="Absatz-Standardschriftart"/>
    <w:uiPriority w:val="49"/>
    <w:lock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1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orld-nuclear.org/information-library/nuclear-fuel-cycle/nuclear-power-reactors/small-nuclear-power-reac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j.anucene.2014.08.02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63/1.4940067"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73/pnas.211183311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16/j.nucengdes.2022.111648" TargetMode="External"/><Relationship Id="rId30" Type="http://schemas.openxmlformats.org/officeDocument/2006/relationships/hyperlink" Target="https://doi.org/10.1007/978-981-16-3456-7_73" TargetMode="External"/><Relationship Id="rId35" Type="http://schemas.openxmlformats.org/officeDocument/2006/relationships/footer" Target="footer1.xml"/><Relationship Id="rId8" Type="http://schemas.openxmlformats.org/officeDocument/2006/relationships/hyperlink" Target="mailto:gasper.zerovnik@base.bund.de"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154D7D11-249F-4301-AD61-08F71BA2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3390</Words>
  <Characters>19517</Characters>
  <Application>Microsoft Office Word</Application>
  <DocSecurity>0</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Žerovnik, Gašper</cp:lastModifiedBy>
  <cp:revision>152</cp:revision>
  <cp:lastPrinted>2024-03-19T13:52:00Z</cp:lastPrinted>
  <dcterms:created xsi:type="dcterms:W3CDTF">2024-05-02T05:45:00Z</dcterms:created>
  <dcterms:modified xsi:type="dcterms:W3CDTF">2024-05-23T14:58:00Z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