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CF" w:rsidRDefault="005C35CF" w:rsidP="005C35CF">
      <w:pPr>
        <w:ind w:firstLine="708"/>
        <w:jc w:val="center"/>
        <w:rPr>
          <w:rFonts w:ascii="Times New Roman" w:hAnsi="Times New Roman" w:cs="Times New Roman"/>
          <w:b/>
          <w:sz w:val="24"/>
          <w:szCs w:val="24"/>
        </w:rPr>
      </w:pPr>
    </w:p>
    <w:p w:rsidR="005C35CF" w:rsidRDefault="005C35CF" w:rsidP="005C35CF">
      <w:pPr>
        <w:ind w:firstLine="708"/>
        <w:jc w:val="both"/>
        <w:rPr>
          <w:rFonts w:ascii="Times New Roman" w:hAnsi="Times New Roman" w:cs="Times New Roman"/>
          <w:b/>
          <w:sz w:val="24"/>
          <w:szCs w:val="24"/>
        </w:rPr>
      </w:pPr>
      <w:r>
        <w:rPr>
          <w:rFonts w:ascii="Times New Roman" w:hAnsi="Times New Roman" w:cs="Times New Roman"/>
          <w:b/>
          <w:sz w:val="24"/>
          <w:szCs w:val="24"/>
        </w:rPr>
        <w:t>LEGAL, INSTITUTIONAL AND POLICY INSTRUMENTS TO FACILITATE DEPLOYMENT OF NUCLEAR POWER PLANTS IN POLAND, INCLUDING SMRS</w:t>
      </w:r>
    </w:p>
    <w:p w:rsidR="005C35CF" w:rsidRPr="006C503C" w:rsidRDefault="005C35CF" w:rsidP="005C35CF">
      <w:pPr>
        <w:autoSpaceDE w:val="0"/>
        <w:autoSpaceDN w:val="0"/>
        <w:adjustRightInd w:val="0"/>
        <w:spacing w:after="0" w:line="240" w:lineRule="auto"/>
        <w:jc w:val="both"/>
        <w:rPr>
          <w:rFonts w:cstheme="minorHAnsi"/>
          <w:b/>
          <w:sz w:val="20"/>
          <w:szCs w:val="20"/>
          <w:highlight w:val="yellow"/>
        </w:rPr>
      </w:pPr>
    </w:p>
    <w:p w:rsidR="005C35CF" w:rsidRDefault="005C35CF" w:rsidP="005C35CF">
      <w:pPr>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KAMIL ADAMCZYK</w:t>
      </w:r>
    </w:p>
    <w:p w:rsidR="005C35CF" w:rsidRDefault="005C35CF" w:rsidP="005C35CF">
      <w:pPr>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PGE PAK E</w:t>
      </w:r>
      <w:r w:rsidR="00330D2A">
        <w:rPr>
          <w:rFonts w:ascii="Times New Roman" w:hAnsi="Times New Roman" w:cs="Times New Roman"/>
          <w:sz w:val="20"/>
          <w:szCs w:val="24"/>
        </w:rPr>
        <w:t>nergia Jadrowa S.A.</w:t>
      </w:r>
    </w:p>
    <w:p w:rsidR="00330D2A" w:rsidRDefault="00330D2A" w:rsidP="005C35CF">
      <w:pPr>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Warsaw, Poland</w:t>
      </w:r>
    </w:p>
    <w:p w:rsidR="00330D2A" w:rsidRDefault="00330D2A" w:rsidP="005C35CF">
      <w:pPr>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kamil.adamczyk@pgepakej.pl</w:t>
      </w:r>
    </w:p>
    <w:p w:rsidR="005C35CF" w:rsidRDefault="005C35CF" w:rsidP="005C35CF">
      <w:pPr>
        <w:spacing w:after="0" w:line="240" w:lineRule="auto"/>
        <w:ind w:firstLine="709"/>
        <w:jc w:val="both"/>
        <w:rPr>
          <w:rFonts w:ascii="Times New Roman" w:hAnsi="Times New Roman" w:cs="Times New Roman"/>
          <w:sz w:val="20"/>
          <w:szCs w:val="24"/>
        </w:rPr>
      </w:pPr>
    </w:p>
    <w:p w:rsidR="00330D2A" w:rsidRDefault="00330D2A" w:rsidP="005C35CF">
      <w:pPr>
        <w:spacing w:after="0" w:line="240" w:lineRule="auto"/>
        <w:ind w:firstLine="709"/>
        <w:jc w:val="both"/>
        <w:rPr>
          <w:rFonts w:ascii="Times New Roman" w:hAnsi="Times New Roman" w:cs="Times New Roman"/>
          <w:sz w:val="20"/>
          <w:szCs w:val="24"/>
        </w:rPr>
      </w:pPr>
    </w:p>
    <w:p w:rsidR="00330D2A" w:rsidRDefault="00330D2A" w:rsidP="005C35CF">
      <w:pPr>
        <w:spacing w:after="0" w:line="240" w:lineRule="auto"/>
        <w:ind w:firstLine="709"/>
        <w:jc w:val="both"/>
        <w:rPr>
          <w:rFonts w:ascii="Times New Roman" w:hAnsi="Times New Roman" w:cs="Times New Roman"/>
          <w:sz w:val="20"/>
          <w:szCs w:val="24"/>
        </w:rPr>
      </w:pPr>
    </w:p>
    <w:p w:rsidR="00330D2A" w:rsidRPr="00330D2A" w:rsidRDefault="00330D2A" w:rsidP="005C35CF">
      <w:pPr>
        <w:spacing w:after="0" w:line="240" w:lineRule="auto"/>
        <w:ind w:firstLine="709"/>
        <w:jc w:val="both"/>
        <w:rPr>
          <w:rFonts w:ascii="Times New Roman" w:hAnsi="Times New Roman" w:cs="Times New Roman"/>
          <w:b/>
          <w:sz w:val="18"/>
          <w:szCs w:val="24"/>
        </w:rPr>
      </w:pPr>
      <w:r w:rsidRPr="00330D2A">
        <w:rPr>
          <w:rFonts w:ascii="Times New Roman" w:hAnsi="Times New Roman" w:cs="Times New Roman"/>
          <w:b/>
          <w:sz w:val="18"/>
          <w:szCs w:val="24"/>
        </w:rPr>
        <w:t>Abstract</w:t>
      </w:r>
    </w:p>
    <w:p w:rsidR="00330D2A" w:rsidRPr="00330D2A" w:rsidRDefault="00330D2A" w:rsidP="005C35CF">
      <w:pPr>
        <w:spacing w:after="0" w:line="240" w:lineRule="auto"/>
        <w:ind w:firstLine="709"/>
        <w:jc w:val="both"/>
        <w:rPr>
          <w:rFonts w:ascii="Times New Roman" w:hAnsi="Times New Roman" w:cs="Times New Roman"/>
          <w:sz w:val="20"/>
          <w:szCs w:val="24"/>
        </w:rPr>
      </w:pPr>
      <w:r w:rsidRPr="00330D2A">
        <w:rPr>
          <w:rFonts w:ascii="Times New Roman" w:hAnsi="Times New Roman" w:cs="Times New Roman"/>
          <w:sz w:val="20"/>
          <w:szCs w:val="24"/>
        </w:rPr>
        <w:tab/>
      </w:r>
    </w:p>
    <w:p w:rsidR="00330D2A" w:rsidRPr="00007C64" w:rsidRDefault="00330D2A" w:rsidP="00007C64">
      <w:pPr>
        <w:autoSpaceDE w:val="0"/>
        <w:autoSpaceDN w:val="0"/>
        <w:adjustRightInd w:val="0"/>
        <w:spacing w:after="0" w:line="240" w:lineRule="auto"/>
        <w:ind w:firstLine="708"/>
        <w:jc w:val="both"/>
        <w:rPr>
          <w:rFonts w:ascii="Times New Roman" w:hAnsi="Times New Roman" w:cs="Times New Roman"/>
          <w:sz w:val="18"/>
          <w:szCs w:val="18"/>
        </w:rPr>
      </w:pPr>
      <w:r w:rsidRPr="00330D2A">
        <w:rPr>
          <w:rFonts w:ascii="Times New Roman" w:hAnsi="Times New Roman" w:cs="Times New Roman"/>
          <w:sz w:val="18"/>
          <w:szCs w:val="18"/>
        </w:rPr>
        <w:t xml:space="preserve">The aim of the paper is to present legal, institutional and policy instruments adopted by the Polish Government and Parliament to facilitate deployment of nuclear power plants, including SMRs. Particular attention is given to the legislation adopted in 2023 which aimed at acceleration of implementation of nuclear power programme and provided for number of measures to streamline licensing proces as well as reducing various types of risks related to the implementation of nuclear investment projects. </w:t>
      </w:r>
    </w:p>
    <w:p w:rsidR="00330D2A" w:rsidRDefault="00330D2A" w:rsidP="00007C64">
      <w:pPr>
        <w:spacing w:before="100" w:beforeAutospacing="1" w:after="100" w:afterAutospacing="1" w:line="280" w:lineRule="atLeast"/>
        <w:jc w:val="both"/>
        <w:rPr>
          <w:rFonts w:ascii="Times New Roman" w:hAnsi="Times New Roman" w:cs="Times New Roman"/>
          <w:sz w:val="20"/>
          <w:szCs w:val="24"/>
        </w:rPr>
      </w:pPr>
      <w:r>
        <w:rPr>
          <w:rFonts w:ascii="Times New Roman" w:hAnsi="Times New Roman" w:cs="Times New Roman"/>
          <w:sz w:val="20"/>
          <w:szCs w:val="24"/>
        </w:rPr>
        <w:t>1. INTRODUCTION</w:t>
      </w:r>
    </w:p>
    <w:p w:rsidR="002359B4" w:rsidRPr="00C62087" w:rsidRDefault="002359B4" w:rsidP="005C35CF">
      <w:pPr>
        <w:spacing w:after="0" w:line="240" w:lineRule="auto"/>
        <w:ind w:firstLine="709"/>
        <w:jc w:val="both"/>
        <w:rPr>
          <w:rFonts w:ascii="Times New Roman" w:hAnsi="Times New Roman" w:cs="Times New Roman"/>
          <w:sz w:val="20"/>
          <w:szCs w:val="24"/>
        </w:rPr>
      </w:pPr>
      <w:r w:rsidRPr="00C62087">
        <w:rPr>
          <w:rFonts w:ascii="Times New Roman" w:hAnsi="Times New Roman" w:cs="Times New Roman"/>
          <w:sz w:val="20"/>
          <w:szCs w:val="24"/>
        </w:rPr>
        <w:t>One of the main challanges for every country planning to introduce or expand its nuclear power programme is to establish efficient, transparent institutional and legal framework with this regards. The framework which will on one hand ensure very high level of nuclear safety and radiological protectio</w:t>
      </w:r>
      <w:r w:rsidR="00EF228C" w:rsidRPr="00C62087">
        <w:rPr>
          <w:rFonts w:ascii="Times New Roman" w:hAnsi="Times New Roman" w:cs="Times New Roman"/>
          <w:sz w:val="20"/>
          <w:szCs w:val="24"/>
        </w:rPr>
        <w:t>n in line with international req</w:t>
      </w:r>
      <w:r w:rsidRPr="00C62087">
        <w:rPr>
          <w:rFonts w:ascii="Times New Roman" w:hAnsi="Times New Roman" w:cs="Times New Roman"/>
          <w:sz w:val="20"/>
          <w:szCs w:val="24"/>
        </w:rPr>
        <w:t>uirements</w:t>
      </w:r>
      <w:r w:rsidR="00E27B12" w:rsidRPr="00C62087">
        <w:rPr>
          <w:rFonts w:ascii="Times New Roman" w:hAnsi="Times New Roman" w:cs="Times New Roman"/>
          <w:sz w:val="20"/>
          <w:szCs w:val="24"/>
        </w:rPr>
        <w:t xml:space="preserve"> and IAEA safety standards</w:t>
      </w:r>
      <w:r w:rsidRPr="00C62087">
        <w:rPr>
          <w:rFonts w:ascii="Times New Roman" w:hAnsi="Times New Roman" w:cs="Times New Roman"/>
          <w:sz w:val="20"/>
          <w:szCs w:val="24"/>
        </w:rPr>
        <w:t>, and on the other hand create favourable environment for investors by reducing regulatory and legal risks though st</w:t>
      </w:r>
      <w:r w:rsidR="00D1508A">
        <w:rPr>
          <w:rFonts w:ascii="Times New Roman" w:hAnsi="Times New Roman" w:cs="Times New Roman"/>
          <w:sz w:val="20"/>
          <w:szCs w:val="24"/>
        </w:rPr>
        <w:t>reamlining licensing procedures.</w:t>
      </w:r>
    </w:p>
    <w:p w:rsidR="00282A31" w:rsidRPr="00C62087" w:rsidRDefault="00E27B12" w:rsidP="002A7E8C">
      <w:pPr>
        <w:spacing w:after="0" w:line="240" w:lineRule="auto"/>
        <w:ind w:firstLine="709"/>
        <w:jc w:val="both"/>
        <w:rPr>
          <w:rFonts w:ascii="Times New Roman" w:hAnsi="Times New Roman" w:cs="Times New Roman"/>
          <w:sz w:val="20"/>
          <w:szCs w:val="24"/>
        </w:rPr>
      </w:pPr>
      <w:r w:rsidRPr="00C62087">
        <w:rPr>
          <w:rFonts w:ascii="Times New Roman" w:hAnsi="Times New Roman" w:cs="Times New Roman"/>
          <w:sz w:val="20"/>
          <w:szCs w:val="24"/>
        </w:rPr>
        <w:t>The perfect example of country whi</w:t>
      </w:r>
      <w:r w:rsidR="00007C64">
        <w:rPr>
          <w:rFonts w:ascii="Times New Roman" w:hAnsi="Times New Roman" w:cs="Times New Roman"/>
          <w:sz w:val="20"/>
          <w:szCs w:val="24"/>
        </w:rPr>
        <w:t>ch is facing such challe</w:t>
      </w:r>
      <w:r w:rsidRPr="00C62087">
        <w:rPr>
          <w:rFonts w:ascii="Times New Roman" w:hAnsi="Times New Roman" w:cs="Times New Roman"/>
          <w:sz w:val="20"/>
          <w:szCs w:val="24"/>
        </w:rPr>
        <w:t>nge is Poland. The country which put several years ago the nuclear energy at the very centre of its energy policy and which has radically transformed its legal and institutional framework to accelerate implementation of nuclear pow</w:t>
      </w:r>
      <w:r w:rsidR="00B56E4F" w:rsidRPr="00C62087">
        <w:rPr>
          <w:rFonts w:ascii="Times New Roman" w:hAnsi="Times New Roman" w:cs="Times New Roman"/>
          <w:sz w:val="20"/>
          <w:szCs w:val="24"/>
        </w:rPr>
        <w:t>er pr</w:t>
      </w:r>
      <w:r w:rsidR="00E3622E" w:rsidRPr="00C62087">
        <w:rPr>
          <w:rFonts w:ascii="Times New Roman" w:hAnsi="Times New Roman" w:cs="Times New Roman"/>
          <w:sz w:val="20"/>
          <w:szCs w:val="24"/>
        </w:rPr>
        <w:t>o</w:t>
      </w:r>
      <w:r w:rsidR="00B56E4F" w:rsidRPr="00C62087">
        <w:rPr>
          <w:rFonts w:ascii="Times New Roman" w:hAnsi="Times New Roman" w:cs="Times New Roman"/>
          <w:sz w:val="20"/>
          <w:szCs w:val="24"/>
        </w:rPr>
        <w:t xml:space="preserve">gramme. </w:t>
      </w:r>
      <w:r w:rsidR="00282A31" w:rsidRPr="00C62087">
        <w:rPr>
          <w:rFonts w:ascii="Times New Roman" w:hAnsi="Times New Roman" w:cs="Times New Roman"/>
          <w:sz w:val="20"/>
          <w:szCs w:val="24"/>
        </w:rPr>
        <w:t>Several factors</w:t>
      </w:r>
      <w:r w:rsidR="00B56E4F" w:rsidRPr="00C62087">
        <w:rPr>
          <w:rFonts w:ascii="Times New Roman" w:hAnsi="Times New Roman" w:cs="Times New Roman"/>
          <w:sz w:val="20"/>
          <w:szCs w:val="24"/>
        </w:rPr>
        <w:t xml:space="preserve"> makes Poland’s experience</w:t>
      </w:r>
      <w:r w:rsidR="00282A31" w:rsidRPr="00C62087">
        <w:rPr>
          <w:rFonts w:ascii="Times New Roman" w:hAnsi="Times New Roman" w:cs="Times New Roman"/>
          <w:sz w:val="20"/>
          <w:szCs w:val="24"/>
        </w:rPr>
        <w:t xml:space="preserve"> with this regards</w:t>
      </w:r>
      <w:r w:rsidR="00B56E4F" w:rsidRPr="00C62087">
        <w:rPr>
          <w:rFonts w:ascii="Times New Roman" w:hAnsi="Times New Roman" w:cs="Times New Roman"/>
          <w:sz w:val="20"/>
          <w:szCs w:val="24"/>
        </w:rPr>
        <w:t xml:space="preserve"> quite unique</w:t>
      </w:r>
      <w:r w:rsidR="00A91CB7" w:rsidRPr="00C62087">
        <w:rPr>
          <w:rFonts w:ascii="Times New Roman" w:hAnsi="Times New Roman" w:cs="Times New Roman"/>
          <w:sz w:val="20"/>
          <w:szCs w:val="24"/>
        </w:rPr>
        <w:t xml:space="preserve"> and worth analyzing.</w:t>
      </w:r>
    </w:p>
    <w:p w:rsidR="00EF228C" w:rsidRPr="00C62087" w:rsidRDefault="00282A31" w:rsidP="002A7E8C">
      <w:pPr>
        <w:spacing w:after="0"/>
        <w:ind w:firstLine="709"/>
        <w:jc w:val="both"/>
        <w:rPr>
          <w:rFonts w:ascii="Times New Roman" w:hAnsi="Times New Roman" w:cs="Times New Roman"/>
          <w:sz w:val="20"/>
          <w:szCs w:val="24"/>
        </w:rPr>
      </w:pPr>
      <w:r w:rsidRPr="00C62087">
        <w:rPr>
          <w:rFonts w:ascii="Times New Roman" w:hAnsi="Times New Roman" w:cs="Times New Roman"/>
          <w:b/>
          <w:sz w:val="20"/>
          <w:szCs w:val="24"/>
        </w:rPr>
        <w:t>Firstly</w:t>
      </w:r>
      <w:r w:rsidRPr="00C62087">
        <w:rPr>
          <w:rFonts w:ascii="Times New Roman" w:hAnsi="Times New Roman" w:cs="Times New Roman"/>
          <w:sz w:val="20"/>
          <w:szCs w:val="24"/>
        </w:rPr>
        <w:t xml:space="preserve">, as </w:t>
      </w:r>
      <w:r w:rsidR="00EF228C" w:rsidRPr="00C62087">
        <w:rPr>
          <w:rFonts w:ascii="Times New Roman" w:hAnsi="Times New Roman" w:cs="Times New Roman"/>
          <w:sz w:val="20"/>
          <w:szCs w:val="24"/>
        </w:rPr>
        <w:t xml:space="preserve">a a </w:t>
      </w:r>
      <w:r w:rsidRPr="00C62087">
        <w:rPr>
          <w:rFonts w:ascii="Times New Roman" w:hAnsi="Times New Roman" w:cs="Times New Roman"/>
          <w:sz w:val="20"/>
          <w:szCs w:val="24"/>
        </w:rPr>
        <w:t>nuclear newcommer</w:t>
      </w:r>
      <w:r w:rsidR="00EF228C" w:rsidRPr="00C62087">
        <w:rPr>
          <w:rFonts w:ascii="Times New Roman" w:hAnsi="Times New Roman" w:cs="Times New Roman"/>
          <w:sz w:val="20"/>
          <w:szCs w:val="24"/>
        </w:rPr>
        <w:t>,</w:t>
      </w:r>
      <w:r w:rsidRPr="00C62087">
        <w:rPr>
          <w:rFonts w:ascii="Times New Roman" w:hAnsi="Times New Roman" w:cs="Times New Roman"/>
          <w:sz w:val="20"/>
          <w:szCs w:val="24"/>
        </w:rPr>
        <w:t xml:space="preserve"> Poland</w:t>
      </w:r>
      <w:r w:rsidR="00EF228C" w:rsidRPr="00C62087">
        <w:rPr>
          <w:rFonts w:ascii="Times New Roman" w:hAnsi="Times New Roman" w:cs="Times New Roman"/>
          <w:sz w:val="20"/>
          <w:szCs w:val="24"/>
        </w:rPr>
        <w:t xml:space="preserve"> it is simultaneously implementing </w:t>
      </w:r>
      <w:r w:rsidR="00D603CE" w:rsidRPr="00C62087">
        <w:rPr>
          <w:rFonts w:ascii="Times New Roman" w:hAnsi="Times New Roman" w:cs="Times New Roman"/>
          <w:sz w:val="20"/>
          <w:szCs w:val="24"/>
        </w:rPr>
        <w:t xml:space="preserve">not only </w:t>
      </w:r>
      <w:r w:rsidR="00EF228C" w:rsidRPr="00C62087">
        <w:rPr>
          <w:rFonts w:ascii="Times New Roman" w:hAnsi="Times New Roman" w:cs="Times New Roman"/>
          <w:sz w:val="20"/>
          <w:szCs w:val="24"/>
        </w:rPr>
        <w:t xml:space="preserve">large-scale </w:t>
      </w:r>
      <w:r w:rsidR="00D603CE" w:rsidRPr="00C62087">
        <w:rPr>
          <w:rFonts w:ascii="Times New Roman" w:hAnsi="Times New Roman" w:cs="Times New Roman"/>
          <w:sz w:val="20"/>
          <w:szCs w:val="24"/>
        </w:rPr>
        <w:t>nuclear power projects but also</w:t>
      </w:r>
      <w:r w:rsidR="00007C64">
        <w:rPr>
          <w:rFonts w:ascii="Times New Roman" w:hAnsi="Times New Roman" w:cs="Times New Roman"/>
          <w:sz w:val="20"/>
          <w:szCs w:val="24"/>
        </w:rPr>
        <w:t xml:space="preserve"> looking at</w:t>
      </w:r>
      <w:r w:rsidR="00D603CE" w:rsidRPr="00C62087">
        <w:rPr>
          <w:rFonts w:ascii="Times New Roman" w:hAnsi="Times New Roman" w:cs="Times New Roman"/>
          <w:sz w:val="20"/>
          <w:szCs w:val="24"/>
        </w:rPr>
        <w:t xml:space="preserve"> </w:t>
      </w:r>
      <w:r w:rsidR="00D1508A">
        <w:rPr>
          <w:rFonts w:ascii="Times New Roman" w:hAnsi="Times New Roman" w:cs="Times New Roman"/>
          <w:sz w:val="20"/>
          <w:szCs w:val="24"/>
        </w:rPr>
        <w:t xml:space="preserve">SMR </w:t>
      </w:r>
      <w:r w:rsidR="00007C64">
        <w:rPr>
          <w:rFonts w:ascii="Times New Roman" w:hAnsi="Times New Roman" w:cs="Times New Roman"/>
          <w:sz w:val="20"/>
          <w:szCs w:val="24"/>
        </w:rPr>
        <w:t xml:space="preserve">projects. </w:t>
      </w:r>
      <w:r w:rsidR="00D1508A">
        <w:rPr>
          <w:rFonts w:ascii="Times New Roman" w:hAnsi="Times New Roman" w:cs="Times New Roman"/>
          <w:sz w:val="20"/>
          <w:szCs w:val="24"/>
        </w:rPr>
        <w:t>While this is enormous challe</w:t>
      </w:r>
      <w:r w:rsidR="00EF228C" w:rsidRPr="00C62087">
        <w:rPr>
          <w:rFonts w:ascii="Times New Roman" w:hAnsi="Times New Roman" w:cs="Times New Roman"/>
          <w:sz w:val="20"/>
          <w:szCs w:val="24"/>
        </w:rPr>
        <w:t>nge for all relevant authorities involved, it gives opportunity to introduce legal and institutional instruments that in other circumstances would have probably never been implemented.</w:t>
      </w:r>
    </w:p>
    <w:p w:rsidR="00130352" w:rsidRPr="00007C64" w:rsidRDefault="00282A31" w:rsidP="00007C64">
      <w:pPr>
        <w:spacing w:after="0" w:line="240" w:lineRule="auto"/>
        <w:ind w:firstLine="709"/>
        <w:jc w:val="both"/>
        <w:rPr>
          <w:rFonts w:ascii="Times New Roman" w:hAnsi="Times New Roman" w:cs="Times New Roman"/>
          <w:sz w:val="20"/>
          <w:szCs w:val="24"/>
        </w:rPr>
      </w:pPr>
      <w:r w:rsidRPr="00C62087">
        <w:rPr>
          <w:rFonts w:ascii="Times New Roman" w:hAnsi="Times New Roman" w:cs="Times New Roman"/>
          <w:b/>
          <w:sz w:val="20"/>
          <w:szCs w:val="24"/>
        </w:rPr>
        <w:t>Secondly</w:t>
      </w:r>
      <w:r w:rsidRPr="00C62087">
        <w:rPr>
          <w:rFonts w:ascii="Times New Roman" w:hAnsi="Times New Roman" w:cs="Times New Roman"/>
          <w:sz w:val="20"/>
          <w:szCs w:val="24"/>
        </w:rPr>
        <w:t>, it introduced holistic approach to transform its legal framework based on the good practices of non-nuclear industries. Since there is limited space to streamline nuclear safety procedures the focus was put on non-nuclear safety laws and regulation</w:t>
      </w:r>
      <w:r w:rsidR="00007C64">
        <w:rPr>
          <w:rFonts w:ascii="Times New Roman" w:hAnsi="Times New Roman" w:cs="Times New Roman"/>
          <w:sz w:val="20"/>
          <w:szCs w:val="24"/>
        </w:rPr>
        <w:t>s applicable to nuclear power plant</w:t>
      </w:r>
      <w:r w:rsidRPr="00C62087">
        <w:rPr>
          <w:rFonts w:ascii="Times New Roman" w:hAnsi="Times New Roman" w:cs="Times New Roman"/>
          <w:sz w:val="20"/>
          <w:szCs w:val="24"/>
        </w:rPr>
        <w:t xml:space="preserve">s that while </w:t>
      </w:r>
      <w:r w:rsidR="00007C64">
        <w:rPr>
          <w:rFonts w:ascii="Times New Roman" w:hAnsi="Times New Roman" w:cs="Times New Roman"/>
          <w:sz w:val="20"/>
          <w:szCs w:val="24"/>
        </w:rPr>
        <w:t xml:space="preserve">partially </w:t>
      </w:r>
      <w:r w:rsidRPr="00C62087">
        <w:rPr>
          <w:rFonts w:ascii="Times New Roman" w:hAnsi="Times New Roman" w:cs="Times New Roman"/>
          <w:sz w:val="20"/>
          <w:szCs w:val="24"/>
        </w:rPr>
        <w:t xml:space="preserve">invisible for nuclear community have tremendous impact on development of </w:t>
      </w:r>
      <w:r w:rsidR="00007C64">
        <w:rPr>
          <w:rFonts w:ascii="Times New Roman" w:hAnsi="Times New Roman" w:cs="Times New Roman"/>
          <w:sz w:val="20"/>
          <w:szCs w:val="24"/>
        </w:rPr>
        <w:t>nuclear power</w:t>
      </w:r>
      <w:r w:rsidRPr="00C62087">
        <w:rPr>
          <w:rFonts w:ascii="Times New Roman" w:hAnsi="Times New Roman" w:cs="Times New Roman"/>
          <w:sz w:val="20"/>
          <w:szCs w:val="24"/>
        </w:rPr>
        <w:t xml:space="preserve"> projects (e.g. energy law, constru</w:t>
      </w:r>
      <w:r w:rsidR="00007C64">
        <w:rPr>
          <w:rFonts w:ascii="Times New Roman" w:hAnsi="Times New Roman" w:cs="Times New Roman"/>
          <w:sz w:val="20"/>
          <w:szCs w:val="24"/>
        </w:rPr>
        <w:t>ction law).</w:t>
      </w:r>
    </w:p>
    <w:p w:rsidR="00007C64" w:rsidRPr="00007C64" w:rsidRDefault="00007C64" w:rsidP="00007C64">
      <w:pPr>
        <w:spacing w:before="100" w:beforeAutospacing="1" w:after="100" w:afterAutospacing="1" w:line="280" w:lineRule="atLeast"/>
        <w:jc w:val="both"/>
        <w:rPr>
          <w:rFonts w:ascii="Times New Roman" w:hAnsi="Times New Roman" w:cs="Times New Roman"/>
          <w:sz w:val="20"/>
          <w:szCs w:val="20"/>
        </w:rPr>
      </w:pPr>
      <w:r w:rsidRPr="00007C64">
        <w:rPr>
          <w:rFonts w:ascii="Times New Roman" w:hAnsi="Times New Roman" w:cs="Times New Roman"/>
          <w:sz w:val="20"/>
          <w:szCs w:val="20"/>
        </w:rPr>
        <w:t>2. LEGAL INSTRUMENTS</w:t>
      </w:r>
    </w:p>
    <w:p w:rsidR="008E39A9" w:rsidRPr="00007C64" w:rsidRDefault="00981697" w:rsidP="00007C64">
      <w:pPr>
        <w:pStyle w:val="Akapitzlist"/>
        <w:numPr>
          <w:ilvl w:val="1"/>
          <w:numId w:val="28"/>
        </w:numPr>
        <w:rPr>
          <w:rFonts w:ascii="Times New Roman" w:hAnsi="Times New Roman" w:cs="Times New Roman"/>
          <w:b/>
          <w:sz w:val="20"/>
          <w:szCs w:val="24"/>
        </w:rPr>
      </w:pPr>
      <w:r>
        <w:rPr>
          <w:rFonts w:ascii="Times New Roman" w:hAnsi="Times New Roman" w:cs="Times New Roman"/>
          <w:b/>
          <w:sz w:val="20"/>
          <w:szCs w:val="24"/>
        </w:rPr>
        <w:t>2023 legislation to speed-up implementation of nuclear power programme</w:t>
      </w:r>
    </w:p>
    <w:p w:rsidR="008E39A9" w:rsidRPr="00C62087" w:rsidRDefault="008E39A9" w:rsidP="005D03AE">
      <w:pPr>
        <w:autoSpaceDE w:val="0"/>
        <w:autoSpaceDN w:val="0"/>
        <w:adjustRightInd w:val="0"/>
        <w:spacing w:after="0" w:line="240" w:lineRule="auto"/>
        <w:ind w:firstLine="360"/>
        <w:jc w:val="both"/>
        <w:rPr>
          <w:rFonts w:ascii="Times New Roman" w:hAnsi="Times New Roman" w:cs="Times New Roman"/>
          <w:sz w:val="20"/>
          <w:szCs w:val="24"/>
        </w:rPr>
      </w:pPr>
      <w:r w:rsidRPr="00C62087">
        <w:rPr>
          <w:rFonts w:ascii="Times New Roman" w:hAnsi="Times New Roman" w:cs="Times New Roman"/>
          <w:sz w:val="20"/>
          <w:szCs w:val="24"/>
        </w:rPr>
        <w:t>The origin of the current nuclear power programme dates back to October 2020 when the Council of Ministers adopted the current version of Polish Nuclear Power Programme</w:t>
      </w:r>
      <w:r w:rsidR="00D1508A">
        <w:rPr>
          <w:rFonts w:ascii="Times New Roman" w:hAnsi="Times New Roman" w:cs="Times New Roman"/>
          <w:sz w:val="20"/>
          <w:szCs w:val="24"/>
        </w:rPr>
        <w:t xml:space="preserve"> [1]</w:t>
      </w:r>
      <w:r w:rsidR="00A76B59" w:rsidRPr="00C62087">
        <w:rPr>
          <w:rFonts w:ascii="Times New Roman" w:hAnsi="Times New Roman" w:cs="Times New Roman"/>
          <w:sz w:val="20"/>
          <w:szCs w:val="24"/>
        </w:rPr>
        <w:t xml:space="preserve"> i.e. the strategic documen</w:t>
      </w:r>
      <w:r w:rsidR="006C503C">
        <w:rPr>
          <w:rFonts w:ascii="Times New Roman" w:hAnsi="Times New Roman" w:cs="Times New Roman"/>
          <w:sz w:val="20"/>
          <w:szCs w:val="24"/>
        </w:rPr>
        <w:t>t outlining the goals and</w:t>
      </w:r>
      <w:r w:rsidR="00A76B59" w:rsidRPr="00C62087">
        <w:rPr>
          <w:rFonts w:ascii="Times New Roman" w:hAnsi="Times New Roman" w:cs="Times New Roman"/>
          <w:sz w:val="20"/>
          <w:szCs w:val="24"/>
        </w:rPr>
        <w:t xml:space="preserve"> actions necessary to introduce nuclear power</w:t>
      </w:r>
      <w:r w:rsidR="006C503C">
        <w:rPr>
          <w:rFonts w:ascii="Times New Roman" w:hAnsi="Times New Roman" w:cs="Times New Roman"/>
          <w:sz w:val="20"/>
          <w:szCs w:val="24"/>
        </w:rPr>
        <w:t xml:space="preserve">. </w:t>
      </w:r>
      <w:r w:rsidR="0022018F" w:rsidRPr="00C62087">
        <w:rPr>
          <w:rFonts w:ascii="Times New Roman" w:hAnsi="Times New Roman" w:cs="Times New Roman"/>
          <w:sz w:val="20"/>
          <w:szCs w:val="24"/>
        </w:rPr>
        <w:t xml:space="preserve">The rationale for implementation of nuclear power is related to the current high-emmission </w:t>
      </w:r>
      <w:r w:rsidR="006C503C">
        <w:rPr>
          <w:rFonts w:ascii="Times New Roman" w:hAnsi="Times New Roman" w:cs="Times New Roman"/>
          <w:sz w:val="20"/>
          <w:szCs w:val="24"/>
        </w:rPr>
        <w:t xml:space="preserve">Poland’s electricity </w:t>
      </w:r>
      <w:r w:rsidR="0022018F" w:rsidRPr="00C62087">
        <w:rPr>
          <w:rFonts w:ascii="Times New Roman" w:hAnsi="Times New Roman" w:cs="Times New Roman"/>
          <w:sz w:val="20"/>
          <w:szCs w:val="24"/>
        </w:rPr>
        <w:t>generation structure which is largely based on fossil fuels</w:t>
      </w:r>
      <w:r w:rsidR="00C86315" w:rsidRPr="00C62087">
        <w:rPr>
          <w:rFonts w:ascii="Times New Roman" w:hAnsi="Times New Roman" w:cs="Times New Roman"/>
          <w:sz w:val="20"/>
          <w:szCs w:val="24"/>
        </w:rPr>
        <w:t xml:space="preserve"> (over 70% of hard coal and lignite), small fraction of renewables  and no nuclear  power plants.</w:t>
      </w:r>
      <w:r w:rsidR="009B15F1" w:rsidRPr="00C62087">
        <w:rPr>
          <w:rFonts w:ascii="Times New Roman" w:hAnsi="Times New Roman" w:cs="Times New Roman"/>
          <w:sz w:val="20"/>
          <w:szCs w:val="24"/>
        </w:rPr>
        <w:t xml:space="preserve"> This made</w:t>
      </w:r>
      <w:r w:rsidR="00C86315" w:rsidRPr="00C62087">
        <w:rPr>
          <w:rFonts w:ascii="Times New Roman" w:hAnsi="Times New Roman" w:cs="Times New Roman"/>
          <w:sz w:val="20"/>
          <w:szCs w:val="24"/>
        </w:rPr>
        <w:t xml:space="preserve">  nuclear power programme based on the three pillars: energy security, </w:t>
      </w:r>
      <w:r w:rsidR="0022018F" w:rsidRPr="00C62087">
        <w:rPr>
          <w:rFonts w:ascii="Times New Roman" w:hAnsi="Times New Roman" w:cs="Times New Roman"/>
          <w:sz w:val="20"/>
          <w:szCs w:val="24"/>
        </w:rPr>
        <w:t xml:space="preserve"> </w:t>
      </w:r>
      <w:r w:rsidR="00C86315" w:rsidRPr="00C62087">
        <w:rPr>
          <w:rFonts w:ascii="Times New Roman" w:hAnsi="Times New Roman" w:cs="Times New Roman"/>
          <w:sz w:val="20"/>
          <w:szCs w:val="24"/>
        </w:rPr>
        <w:t>climate and environment and economic competitivness.</w:t>
      </w:r>
    </w:p>
    <w:p w:rsidR="00A24252" w:rsidRDefault="00C86315" w:rsidP="005D03AE">
      <w:pPr>
        <w:autoSpaceDE w:val="0"/>
        <w:autoSpaceDN w:val="0"/>
        <w:adjustRightInd w:val="0"/>
        <w:spacing w:after="0" w:line="240" w:lineRule="auto"/>
        <w:ind w:firstLine="360"/>
        <w:jc w:val="both"/>
        <w:rPr>
          <w:rFonts w:ascii="Times New Roman" w:hAnsi="Times New Roman" w:cs="Times New Roman"/>
          <w:sz w:val="20"/>
          <w:szCs w:val="24"/>
        </w:rPr>
      </w:pPr>
      <w:r w:rsidRPr="00C62087">
        <w:rPr>
          <w:rFonts w:ascii="Times New Roman" w:hAnsi="Times New Roman" w:cs="Times New Roman"/>
          <w:sz w:val="20"/>
          <w:szCs w:val="24"/>
        </w:rPr>
        <w:t>Soon after the adoption of nuclear power programme in February 2020 the Coun</w:t>
      </w:r>
      <w:r w:rsidR="00D1508A">
        <w:rPr>
          <w:rFonts w:ascii="Times New Roman" w:hAnsi="Times New Roman" w:cs="Times New Roman"/>
          <w:sz w:val="20"/>
          <w:szCs w:val="24"/>
        </w:rPr>
        <w:t xml:space="preserve">cil of Ministers adopted </w:t>
      </w:r>
      <w:r w:rsidRPr="00C62087">
        <w:rPr>
          <w:rFonts w:ascii="Times New Roman" w:hAnsi="Times New Roman" w:cs="Times New Roman"/>
          <w:sz w:val="20"/>
          <w:szCs w:val="24"/>
        </w:rPr>
        <w:t>Ene</w:t>
      </w:r>
      <w:r w:rsidR="00D1508A">
        <w:rPr>
          <w:rFonts w:ascii="Times New Roman" w:hAnsi="Times New Roman" w:cs="Times New Roman"/>
          <w:sz w:val="20"/>
          <w:szCs w:val="24"/>
        </w:rPr>
        <w:t xml:space="preserve">rgy Policy of Poland until 2040 [2] </w:t>
      </w:r>
      <w:r w:rsidRPr="00C62087">
        <w:rPr>
          <w:rFonts w:ascii="Times New Roman" w:hAnsi="Times New Roman" w:cs="Times New Roman"/>
          <w:sz w:val="20"/>
          <w:szCs w:val="24"/>
        </w:rPr>
        <w:t xml:space="preserve">which put nuclear energy at the very centre of this strategy and the top priority of this policy. </w:t>
      </w:r>
      <w:r w:rsidR="00A24252">
        <w:rPr>
          <w:rFonts w:ascii="Times New Roman" w:hAnsi="Times New Roman" w:cs="Times New Roman"/>
          <w:sz w:val="20"/>
          <w:szCs w:val="24"/>
        </w:rPr>
        <w:t>It also for the first time mentioned the possible role of SMRs</w:t>
      </w:r>
      <w:r w:rsidR="006C503C">
        <w:rPr>
          <w:rStyle w:val="Odwoanieprzypisudolnego"/>
          <w:rFonts w:ascii="Times New Roman" w:hAnsi="Times New Roman" w:cs="Times New Roman"/>
          <w:sz w:val="20"/>
          <w:szCs w:val="24"/>
        </w:rPr>
        <w:footnoteReference w:id="1"/>
      </w:r>
      <w:r w:rsidR="00A24252">
        <w:rPr>
          <w:rFonts w:ascii="Times New Roman" w:hAnsi="Times New Roman" w:cs="Times New Roman"/>
          <w:sz w:val="20"/>
          <w:szCs w:val="24"/>
        </w:rPr>
        <w:t>.</w:t>
      </w:r>
    </w:p>
    <w:p w:rsidR="00E93C51" w:rsidRPr="00C62087" w:rsidRDefault="009B15F1" w:rsidP="005D03AE">
      <w:pPr>
        <w:autoSpaceDE w:val="0"/>
        <w:autoSpaceDN w:val="0"/>
        <w:adjustRightInd w:val="0"/>
        <w:spacing w:after="0" w:line="240" w:lineRule="auto"/>
        <w:ind w:firstLine="360"/>
        <w:jc w:val="both"/>
        <w:rPr>
          <w:rFonts w:ascii="Times New Roman" w:hAnsi="Times New Roman" w:cs="Times New Roman"/>
          <w:sz w:val="20"/>
          <w:szCs w:val="24"/>
        </w:rPr>
      </w:pPr>
      <w:r w:rsidRPr="00C62087">
        <w:rPr>
          <w:rFonts w:ascii="Times New Roman" w:hAnsi="Times New Roman" w:cs="Times New Roman"/>
          <w:sz w:val="20"/>
          <w:szCs w:val="24"/>
        </w:rPr>
        <w:t>The</w:t>
      </w:r>
      <w:r w:rsidR="00C86315" w:rsidRPr="00C62087">
        <w:rPr>
          <w:rFonts w:ascii="Times New Roman" w:hAnsi="Times New Roman" w:cs="Times New Roman"/>
          <w:sz w:val="20"/>
          <w:szCs w:val="24"/>
        </w:rPr>
        <w:t xml:space="preserve"> strategy outlined 8 measures to accelerate implementation of nuclear power</w:t>
      </w:r>
      <w:r w:rsidRPr="00C62087">
        <w:rPr>
          <w:rFonts w:ascii="Times New Roman" w:hAnsi="Times New Roman" w:cs="Times New Roman"/>
          <w:sz w:val="20"/>
          <w:szCs w:val="24"/>
        </w:rPr>
        <w:t xml:space="preserve">. Taking into account that regulatory and licensing risks remains one of the main barriers to implement nowadays nuclear power projects (at </w:t>
      </w:r>
      <w:r w:rsidRPr="00C62087">
        <w:rPr>
          <w:rFonts w:ascii="Times New Roman" w:hAnsi="Times New Roman" w:cs="Times New Roman"/>
          <w:sz w:val="20"/>
          <w:szCs w:val="24"/>
        </w:rPr>
        <w:lastRenderedPageBreak/>
        <w:t xml:space="preserve">least in the European Union) on time and on budget the </w:t>
      </w:r>
      <w:r w:rsidR="00C86315" w:rsidRPr="00C62087">
        <w:rPr>
          <w:rFonts w:ascii="Times New Roman" w:hAnsi="Times New Roman" w:cs="Times New Roman"/>
          <w:sz w:val="20"/>
          <w:szCs w:val="24"/>
        </w:rPr>
        <w:t>action num</w:t>
      </w:r>
      <w:r w:rsidRPr="00C62087">
        <w:rPr>
          <w:rFonts w:ascii="Times New Roman" w:hAnsi="Times New Roman" w:cs="Times New Roman"/>
          <w:sz w:val="20"/>
          <w:szCs w:val="24"/>
        </w:rPr>
        <w:t xml:space="preserve">ber </w:t>
      </w:r>
      <w:r w:rsidR="00ED5044">
        <w:rPr>
          <w:rFonts w:ascii="Times New Roman" w:hAnsi="Times New Roman" w:cs="Times New Roman"/>
          <w:sz w:val="20"/>
          <w:szCs w:val="24"/>
        </w:rPr>
        <w:t xml:space="preserve">one </w:t>
      </w:r>
      <w:r w:rsidR="00E93C51" w:rsidRPr="00C62087">
        <w:rPr>
          <w:rFonts w:ascii="Times New Roman" w:hAnsi="Times New Roman" w:cs="Times New Roman"/>
          <w:sz w:val="20"/>
          <w:szCs w:val="24"/>
        </w:rPr>
        <w:t>with this regards was to develop special legislation to accelerate implementation of nuclear power programme</w:t>
      </w:r>
      <w:r w:rsidR="00D1508A">
        <w:rPr>
          <w:rFonts w:ascii="Times New Roman" w:hAnsi="Times New Roman" w:cs="Times New Roman"/>
          <w:sz w:val="20"/>
          <w:szCs w:val="24"/>
        </w:rPr>
        <w:t xml:space="preserve"> i.e.</w:t>
      </w:r>
      <w:r w:rsidR="00973720">
        <w:rPr>
          <w:rFonts w:ascii="Times New Roman" w:hAnsi="Times New Roman" w:cs="Times New Roman"/>
          <w:sz w:val="20"/>
          <w:szCs w:val="24"/>
        </w:rPr>
        <w:t xml:space="preserve">: </w:t>
      </w:r>
      <w:r w:rsidRPr="00C62087">
        <w:rPr>
          <w:rFonts w:ascii="Times New Roman" w:hAnsi="Times New Roman" w:cs="Times New Roman"/>
          <w:sz w:val="20"/>
          <w:szCs w:val="24"/>
        </w:rPr>
        <w:t>„</w:t>
      </w:r>
      <w:r w:rsidRPr="00D1508A">
        <w:rPr>
          <w:rFonts w:ascii="Times New Roman" w:hAnsi="Times New Roman" w:cs="Times New Roman"/>
          <w:b/>
          <w:sz w:val="20"/>
          <w:szCs w:val="24"/>
        </w:rPr>
        <w:t xml:space="preserve">Introduction of legal changes </w:t>
      </w:r>
      <w:r w:rsidR="00E93C51" w:rsidRPr="00D1508A">
        <w:rPr>
          <w:rFonts w:ascii="Times New Roman" w:hAnsi="Times New Roman" w:cs="Times New Roman"/>
          <w:b/>
          <w:sz w:val="20"/>
          <w:szCs w:val="24"/>
        </w:rPr>
        <w:t>limiting delays in the implementation of the nuclear power plant contruction project for</w:t>
      </w:r>
      <w:r w:rsidR="00E93C51" w:rsidRPr="00C62087">
        <w:rPr>
          <w:rFonts w:ascii="Times New Roman" w:hAnsi="Times New Roman" w:cs="Times New Roman"/>
          <w:sz w:val="20"/>
          <w:szCs w:val="24"/>
        </w:rPr>
        <w:t xml:space="preserve"> </w:t>
      </w:r>
      <w:r w:rsidR="00E93C51" w:rsidRPr="00C62087">
        <w:rPr>
          <w:rFonts w:ascii="Times New Roman" w:hAnsi="Times New Roman" w:cs="Times New Roman"/>
          <w:b/>
          <w:sz w:val="20"/>
          <w:szCs w:val="24"/>
        </w:rPr>
        <w:t>non-technical (formal reasons).”</w:t>
      </w:r>
    </w:p>
    <w:p w:rsidR="00A774D8" w:rsidRPr="00C62087" w:rsidRDefault="00092603" w:rsidP="005D03AE">
      <w:pPr>
        <w:autoSpaceDE w:val="0"/>
        <w:autoSpaceDN w:val="0"/>
        <w:adjustRightInd w:val="0"/>
        <w:spacing w:after="0" w:line="240" w:lineRule="auto"/>
        <w:ind w:firstLine="360"/>
        <w:jc w:val="both"/>
        <w:rPr>
          <w:rFonts w:ascii="Times New Roman" w:hAnsi="Times New Roman" w:cs="Times New Roman"/>
          <w:sz w:val="20"/>
          <w:szCs w:val="24"/>
        </w:rPr>
      </w:pPr>
      <w:r w:rsidRPr="00C62087">
        <w:rPr>
          <w:rFonts w:ascii="Times New Roman" w:hAnsi="Times New Roman" w:cs="Times New Roman"/>
          <w:sz w:val="20"/>
          <w:szCs w:val="24"/>
        </w:rPr>
        <w:t xml:space="preserve"> </w:t>
      </w:r>
      <w:r w:rsidR="009966F7" w:rsidRPr="00C62087">
        <w:rPr>
          <w:rFonts w:ascii="Times New Roman" w:hAnsi="Times New Roman" w:cs="Times New Roman"/>
          <w:sz w:val="20"/>
          <w:szCs w:val="24"/>
        </w:rPr>
        <w:t xml:space="preserve">The main </w:t>
      </w:r>
      <w:r w:rsidR="00A6662A" w:rsidRPr="00C62087">
        <w:rPr>
          <w:rFonts w:ascii="Times New Roman" w:hAnsi="Times New Roman" w:cs="Times New Roman"/>
          <w:sz w:val="20"/>
          <w:szCs w:val="24"/>
        </w:rPr>
        <w:t xml:space="preserve">objective of the the legislation was to </w:t>
      </w:r>
      <w:r w:rsidR="00A6662A" w:rsidRPr="00C62087">
        <w:rPr>
          <w:rFonts w:ascii="Times New Roman" w:hAnsi="Times New Roman" w:cs="Times New Roman"/>
          <w:b/>
          <w:sz w:val="20"/>
          <w:szCs w:val="24"/>
        </w:rPr>
        <w:t xml:space="preserve">derisk nuclear investment projects </w:t>
      </w:r>
      <w:r w:rsidR="0007456C" w:rsidRPr="00C62087">
        <w:rPr>
          <w:rFonts w:ascii="Times New Roman" w:hAnsi="Times New Roman" w:cs="Times New Roman"/>
          <w:sz w:val="20"/>
          <w:szCs w:val="24"/>
        </w:rPr>
        <w:t xml:space="preserve">to the extent possible </w:t>
      </w:r>
      <w:r w:rsidR="00A774D8" w:rsidRPr="00C62087">
        <w:rPr>
          <w:rFonts w:ascii="Times New Roman" w:hAnsi="Times New Roman" w:cs="Times New Roman"/>
          <w:sz w:val="20"/>
          <w:szCs w:val="24"/>
        </w:rPr>
        <w:t xml:space="preserve">while keeping the existing nuclear safety standards as high as possible. This was to be achieved </w:t>
      </w:r>
      <w:r w:rsidR="00A6662A" w:rsidRPr="00C62087">
        <w:rPr>
          <w:rFonts w:ascii="Times New Roman" w:hAnsi="Times New Roman" w:cs="Times New Roman"/>
          <w:sz w:val="20"/>
          <w:szCs w:val="24"/>
        </w:rPr>
        <w:t xml:space="preserve"> through appropriate legal arrangements added to the existing </w:t>
      </w:r>
      <w:r w:rsidR="0007456C" w:rsidRPr="00C62087">
        <w:rPr>
          <w:rFonts w:ascii="Times New Roman" w:hAnsi="Times New Roman" w:cs="Times New Roman"/>
          <w:sz w:val="20"/>
          <w:szCs w:val="24"/>
        </w:rPr>
        <w:t xml:space="preserve">legal </w:t>
      </w:r>
      <w:r w:rsidR="00A774D8" w:rsidRPr="00C62087">
        <w:rPr>
          <w:rFonts w:ascii="Times New Roman" w:hAnsi="Times New Roman" w:cs="Times New Roman"/>
          <w:sz w:val="20"/>
          <w:szCs w:val="24"/>
        </w:rPr>
        <w:t>acts</w:t>
      </w:r>
      <w:r w:rsidR="00C65CDA" w:rsidRPr="00C62087">
        <w:rPr>
          <w:rFonts w:ascii="Times New Roman" w:hAnsi="Times New Roman" w:cs="Times New Roman"/>
          <w:sz w:val="20"/>
          <w:szCs w:val="24"/>
        </w:rPr>
        <w:t xml:space="preserve">. </w:t>
      </w:r>
      <w:r w:rsidR="0007456C" w:rsidRPr="00C62087">
        <w:rPr>
          <w:rFonts w:ascii="Times New Roman" w:hAnsi="Times New Roman" w:cs="Times New Roman"/>
          <w:sz w:val="20"/>
          <w:szCs w:val="24"/>
        </w:rPr>
        <w:t>Reducing risks (e.g. licensing risks) would result with accelerating nuclear power projects.</w:t>
      </w:r>
      <w:r w:rsidR="000068E7" w:rsidRPr="00C62087">
        <w:rPr>
          <w:rFonts w:ascii="Times New Roman" w:hAnsi="Times New Roman" w:cs="Times New Roman"/>
          <w:sz w:val="20"/>
          <w:szCs w:val="24"/>
        </w:rPr>
        <w:t xml:space="preserve"> </w:t>
      </w:r>
      <w:r w:rsidR="005A36EC">
        <w:rPr>
          <w:rFonts w:ascii="Times New Roman" w:hAnsi="Times New Roman" w:cs="Times New Roman"/>
          <w:sz w:val="20"/>
          <w:szCs w:val="24"/>
        </w:rPr>
        <w:t xml:space="preserve"> </w:t>
      </w:r>
      <w:r w:rsidR="000068E7" w:rsidRPr="00C62087">
        <w:rPr>
          <w:rFonts w:ascii="Times New Roman" w:hAnsi="Times New Roman" w:cs="Times New Roman"/>
          <w:sz w:val="20"/>
          <w:szCs w:val="24"/>
        </w:rPr>
        <w:t xml:space="preserve">As nuclear safety law gives quite limited space for arrangements aimed at substantial streamlining nuclear investment projects the </w:t>
      </w:r>
      <w:r w:rsidR="000068E7" w:rsidRPr="00C62087">
        <w:rPr>
          <w:rFonts w:ascii="Times New Roman" w:hAnsi="Times New Roman" w:cs="Times New Roman"/>
          <w:b/>
          <w:sz w:val="20"/>
          <w:szCs w:val="24"/>
        </w:rPr>
        <w:t>holistic approach</w:t>
      </w:r>
      <w:r w:rsidR="000068E7" w:rsidRPr="00C62087">
        <w:rPr>
          <w:rFonts w:ascii="Times New Roman" w:hAnsi="Times New Roman" w:cs="Times New Roman"/>
          <w:sz w:val="20"/>
          <w:szCs w:val="24"/>
        </w:rPr>
        <w:t xml:space="preserve"> to the modernization of nucl</w:t>
      </w:r>
      <w:r w:rsidR="00A774D8" w:rsidRPr="00C62087">
        <w:rPr>
          <w:rFonts w:ascii="Times New Roman" w:hAnsi="Times New Roman" w:cs="Times New Roman"/>
          <w:sz w:val="20"/>
          <w:szCs w:val="24"/>
        </w:rPr>
        <w:t>e</w:t>
      </w:r>
      <w:r w:rsidR="000068E7" w:rsidRPr="00C62087">
        <w:rPr>
          <w:rFonts w:ascii="Times New Roman" w:hAnsi="Times New Roman" w:cs="Times New Roman"/>
          <w:sz w:val="20"/>
          <w:szCs w:val="24"/>
        </w:rPr>
        <w:t xml:space="preserve">ar-related legal framework </w:t>
      </w:r>
      <w:r w:rsidR="00C65CDA" w:rsidRPr="00C62087">
        <w:rPr>
          <w:rFonts w:ascii="Times New Roman" w:hAnsi="Times New Roman" w:cs="Times New Roman"/>
          <w:sz w:val="20"/>
          <w:szCs w:val="24"/>
        </w:rPr>
        <w:t xml:space="preserve">with this regards </w:t>
      </w:r>
      <w:r w:rsidR="000068E7" w:rsidRPr="00C62087">
        <w:rPr>
          <w:rFonts w:ascii="Times New Roman" w:hAnsi="Times New Roman" w:cs="Times New Roman"/>
          <w:sz w:val="20"/>
          <w:szCs w:val="24"/>
        </w:rPr>
        <w:t xml:space="preserve">was introduced. </w:t>
      </w:r>
      <w:r w:rsidR="00A774D8" w:rsidRPr="00C62087">
        <w:rPr>
          <w:rFonts w:ascii="Times New Roman" w:hAnsi="Times New Roman" w:cs="Times New Roman"/>
          <w:sz w:val="20"/>
          <w:szCs w:val="24"/>
        </w:rPr>
        <w:t>The holistic appro</w:t>
      </w:r>
      <w:r w:rsidR="00C65CDA" w:rsidRPr="00C62087">
        <w:rPr>
          <w:rFonts w:ascii="Times New Roman" w:hAnsi="Times New Roman" w:cs="Times New Roman"/>
          <w:sz w:val="20"/>
          <w:szCs w:val="24"/>
        </w:rPr>
        <w:t>a</w:t>
      </w:r>
      <w:r w:rsidR="00A774D8" w:rsidRPr="00C62087">
        <w:rPr>
          <w:rFonts w:ascii="Times New Roman" w:hAnsi="Times New Roman" w:cs="Times New Roman"/>
          <w:sz w:val="20"/>
          <w:szCs w:val="24"/>
        </w:rPr>
        <w:t>ch meant that:</w:t>
      </w:r>
    </w:p>
    <w:p w:rsidR="00F15CDB" w:rsidRPr="005A36EC" w:rsidRDefault="00F15CDB" w:rsidP="005A36EC">
      <w:pPr>
        <w:pStyle w:val="Akapitzlist"/>
        <w:numPr>
          <w:ilvl w:val="0"/>
          <w:numId w:val="7"/>
        </w:numPr>
        <w:autoSpaceDE w:val="0"/>
        <w:autoSpaceDN w:val="0"/>
        <w:adjustRightInd w:val="0"/>
        <w:spacing w:after="0" w:line="240" w:lineRule="auto"/>
        <w:jc w:val="both"/>
        <w:rPr>
          <w:rFonts w:ascii="Times New Roman" w:hAnsi="Times New Roman" w:cs="Times New Roman"/>
          <w:b/>
          <w:sz w:val="20"/>
          <w:szCs w:val="24"/>
        </w:rPr>
      </w:pPr>
      <w:r w:rsidRPr="00C62087">
        <w:rPr>
          <w:rFonts w:ascii="Times New Roman" w:hAnsi="Times New Roman" w:cs="Times New Roman"/>
          <w:sz w:val="20"/>
          <w:szCs w:val="24"/>
        </w:rPr>
        <w:t>legislation was focused not only on nuclear law but also on all other laws and regulations that are  applicable to n</w:t>
      </w:r>
      <w:r w:rsidR="00A24252">
        <w:rPr>
          <w:rFonts w:ascii="Times New Roman" w:hAnsi="Times New Roman" w:cs="Times New Roman"/>
          <w:sz w:val="20"/>
          <w:szCs w:val="24"/>
        </w:rPr>
        <w:t>uclear power projects, incl.</w:t>
      </w:r>
      <w:r w:rsidRPr="00C62087">
        <w:rPr>
          <w:rFonts w:ascii="Times New Roman" w:hAnsi="Times New Roman" w:cs="Times New Roman"/>
          <w:sz w:val="20"/>
          <w:szCs w:val="24"/>
        </w:rPr>
        <w:t>:</w:t>
      </w:r>
      <w:r w:rsidR="005A36EC">
        <w:rPr>
          <w:rFonts w:ascii="Times New Roman" w:hAnsi="Times New Roman" w:cs="Times New Roman"/>
          <w:sz w:val="20"/>
          <w:szCs w:val="24"/>
        </w:rPr>
        <w:t xml:space="preserve"> </w:t>
      </w:r>
      <w:r w:rsidRPr="005A36EC">
        <w:rPr>
          <w:rFonts w:ascii="Times New Roman" w:hAnsi="Times New Roman" w:cs="Times New Roman"/>
          <w:sz w:val="20"/>
          <w:szCs w:val="24"/>
        </w:rPr>
        <w:t>Environmental law</w:t>
      </w:r>
      <w:r w:rsidR="005A36EC">
        <w:rPr>
          <w:rFonts w:ascii="Times New Roman" w:hAnsi="Times New Roman" w:cs="Times New Roman"/>
          <w:sz w:val="20"/>
          <w:szCs w:val="24"/>
        </w:rPr>
        <w:t xml:space="preserve">, </w:t>
      </w:r>
      <w:r w:rsidR="00A24252">
        <w:rPr>
          <w:rFonts w:ascii="Times New Roman" w:hAnsi="Times New Roman" w:cs="Times New Roman"/>
          <w:sz w:val="20"/>
          <w:szCs w:val="24"/>
        </w:rPr>
        <w:t xml:space="preserve">Spatial </w:t>
      </w:r>
      <w:r w:rsidRPr="005A36EC">
        <w:rPr>
          <w:rFonts w:ascii="Times New Roman" w:hAnsi="Times New Roman" w:cs="Times New Roman"/>
          <w:sz w:val="20"/>
          <w:szCs w:val="24"/>
        </w:rPr>
        <w:t>Law</w:t>
      </w:r>
      <w:r w:rsidR="005A36EC">
        <w:rPr>
          <w:rFonts w:ascii="Times New Roman" w:hAnsi="Times New Roman" w:cs="Times New Roman"/>
          <w:sz w:val="20"/>
          <w:szCs w:val="24"/>
        </w:rPr>
        <w:t xml:space="preserve">, </w:t>
      </w:r>
      <w:r w:rsidRPr="005A36EC">
        <w:rPr>
          <w:rFonts w:ascii="Times New Roman" w:hAnsi="Times New Roman" w:cs="Times New Roman"/>
          <w:sz w:val="20"/>
          <w:szCs w:val="24"/>
        </w:rPr>
        <w:t>Construction law</w:t>
      </w:r>
      <w:r w:rsidR="005A36EC">
        <w:rPr>
          <w:rFonts w:ascii="Times New Roman" w:hAnsi="Times New Roman" w:cs="Times New Roman"/>
          <w:sz w:val="20"/>
          <w:szCs w:val="24"/>
        </w:rPr>
        <w:t xml:space="preserve">, </w:t>
      </w:r>
      <w:r w:rsidRPr="005A36EC">
        <w:rPr>
          <w:rFonts w:ascii="Times New Roman" w:hAnsi="Times New Roman" w:cs="Times New Roman"/>
          <w:sz w:val="20"/>
          <w:szCs w:val="24"/>
        </w:rPr>
        <w:t>Energy Law</w:t>
      </w:r>
      <w:r w:rsidR="00A24252">
        <w:rPr>
          <w:rFonts w:ascii="Times New Roman" w:hAnsi="Times New Roman" w:cs="Times New Roman"/>
          <w:sz w:val="20"/>
          <w:szCs w:val="24"/>
        </w:rPr>
        <w:t xml:space="preserve"> etc.</w:t>
      </w:r>
    </w:p>
    <w:p w:rsidR="00F15CDB" w:rsidRPr="00D1508A" w:rsidRDefault="00F15CDB" w:rsidP="00F15CDB">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4"/>
        </w:rPr>
      </w:pPr>
      <w:r w:rsidRPr="00C62087">
        <w:rPr>
          <w:rFonts w:ascii="Times New Roman" w:hAnsi="Times New Roman" w:cs="Times New Roman"/>
          <w:sz w:val="20"/>
          <w:szCs w:val="24"/>
        </w:rPr>
        <w:t xml:space="preserve">proposed legal arrangements were to facilitate not some particular stages of the </w:t>
      </w:r>
      <w:r w:rsidR="00AF2010" w:rsidRPr="00C62087">
        <w:rPr>
          <w:rFonts w:ascii="Times New Roman" w:hAnsi="Times New Roman" w:cs="Times New Roman"/>
          <w:sz w:val="20"/>
          <w:szCs w:val="24"/>
        </w:rPr>
        <w:t>invest</w:t>
      </w:r>
      <w:r w:rsidRPr="00C62087">
        <w:rPr>
          <w:rFonts w:ascii="Times New Roman" w:hAnsi="Times New Roman" w:cs="Times New Roman"/>
          <w:sz w:val="20"/>
          <w:szCs w:val="24"/>
        </w:rPr>
        <w:t xml:space="preserve">ment process (e.g. siting) but virtually all of them: from </w:t>
      </w:r>
      <w:r w:rsidR="00177F4E" w:rsidRPr="00C62087">
        <w:rPr>
          <w:rFonts w:ascii="Times New Roman" w:hAnsi="Times New Roman" w:cs="Times New Roman"/>
          <w:sz w:val="20"/>
          <w:szCs w:val="24"/>
        </w:rPr>
        <w:t xml:space="preserve">prelicensing and </w:t>
      </w:r>
      <w:r w:rsidRPr="00C62087">
        <w:rPr>
          <w:rFonts w:ascii="Times New Roman" w:hAnsi="Times New Roman" w:cs="Times New Roman"/>
          <w:sz w:val="20"/>
          <w:szCs w:val="24"/>
        </w:rPr>
        <w:t>the State’s approval o</w:t>
      </w:r>
      <w:r w:rsidRPr="00D1508A">
        <w:rPr>
          <w:rFonts w:ascii="Times New Roman" w:hAnsi="Times New Roman" w:cs="Times New Roman"/>
          <w:sz w:val="20"/>
          <w:szCs w:val="24"/>
        </w:rPr>
        <w:t>f the the NPP project,  through En</w:t>
      </w:r>
      <w:r w:rsidR="00615878" w:rsidRPr="00D1508A">
        <w:rPr>
          <w:rFonts w:ascii="Times New Roman" w:hAnsi="Times New Roman" w:cs="Times New Roman"/>
          <w:sz w:val="20"/>
          <w:szCs w:val="24"/>
        </w:rPr>
        <w:t>vironmental Impact Assessment, siting, reparatory works, c</w:t>
      </w:r>
      <w:r w:rsidRPr="00D1508A">
        <w:rPr>
          <w:rFonts w:ascii="Times New Roman" w:hAnsi="Times New Roman" w:cs="Times New Roman"/>
          <w:sz w:val="20"/>
          <w:szCs w:val="24"/>
        </w:rPr>
        <w:t xml:space="preserve">onstruction </w:t>
      </w:r>
      <w:r w:rsidR="00615878" w:rsidRPr="00D1508A">
        <w:rPr>
          <w:rFonts w:ascii="Times New Roman" w:hAnsi="Times New Roman" w:cs="Times New Roman"/>
          <w:sz w:val="20"/>
          <w:szCs w:val="24"/>
        </w:rPr>
        <w:t>and operation of a cnuclear facility;</w:t>
      </w:r>
    </w:p>
    <w:p w:rsidR="00F15CDB" w:rsidRPr="00C62087" w:rsidRDefault="00F15CDB" w:rsidP="00F15CDB">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4"/>
        </w:rPr>
      </w:pPr>
      <w:r w:rsidRPr="00D1508A">
        <w:rPr>
          <w:rFonts w:ascii="Times New Roman" w:hAnsi="Times New Roman" w:cs="Times New Roman"/>
          <w:sz w:val="20"/>
          <w:szCs w:val="24"/>
        </w:rPr>
        <w:t xml:space="preserve">the legislation was to </w:t>
      </w:r>
      <w:r w:rsidR="00AF2010" w:rsidRPr="00D1508A">
        <w:rPr>
          <w:rFonts w:ascii="Times New Roman" w:hAnsi="Times New Roman" w:cs="Times New Roman"/>
          <w:sz w:val="20"/>
          <w:szCs w:val="24"/>
        </w:rPr>
        <w:t>accelerate construction of not only nuclear facility but also the necessary auxilliary infrastructure (e.g. energy lines, road</w:t>
      </w:r>
      <w:r w:rsidR="005A36EC" w:rsidRPr="00D1508A">
        <w:rPr>
          <w:rFonts w:ascii="Times New Roman" w:hAnsi="Times New Roman" w:cs="Times New Roman"/>
          <w:sz w:val="20"/>
          <w:szCs w:val="24"/>
        </w:rPr>
        <w:t>s</w:t>
      </w:r>
      <w:r w:rsidR="00AF2010" w:rsidRPr="00D1508A">
        <w:rPr>
          <w:rFonts w:ascii="Times New Roman" w:hAnsi="Times New Roman" w:cs="Times New Roman"/>
          <w:sz w:val="20"/>
          <w:szCs w:val="24"/>
        </w:rPr>
        <w:t>, railways etc.) which on one hand is beyond the scope of nuclear law, but on the other hand plays a very important role in bringing nuclear power</w:t>
      </w:r>
      <w:r w:rsidR="00AF2010" w:rsidRPr="00C62087">
        <w:rPr>
          <w:rFonts w:ascii="Times New Roman" w:hAnsi="Times New Roman" w:cs="Times New Roman"/>
          <w:sz w:val="20"/>
          <w:szCs w:val="24"/>
        </w:rPr>
        <w:t xml:space="preserve"> project on time and on budget.</w:t>
      </w:r>
    </w:p>
    <w:p w:rsidR="00F67D5E" w:rsidRDefault="00F67D5E" w:rsidP="008B0066">
      <w:pPr>
        <w:autoSpaceDE w:val="0"/>
        <w:autoSpaceDN w:val="0"/>
        <w:adjustRightInd w:val="0"/>
        <w:spacing w:after="0" w:line="240" w:lineRule="auto"/>
        <w:ind w:firstLine="360"/>
        <w:jc w:val="both"/>
        <w:rPr>
          <w:rFonts w:ascii="Times New Roman" w:hAnsi="Times New Roman" w:cs="Times New Roman"/>
          <w:sz w:val="20"/>
          <w:szCs w:val="24"/>
        </w:rPr>
      </w:pPr>
    </w:p>
    <w:p w:rsidR="008B0066" w:rsidRPr="00C62087" w:rsidRDefault="00AD3813" w:rsidP="008B0066">
      <w:pPr>
        <w:autoSpaceDE w:val="0"/>
        <w:autoSpaceDN w:val="0"/>
        <w:adjustRightInd w:val="0"/>
        <w:spacing w:after="0" w:line="240" w:lineRule="auto"/>
        <w:ind w:firstLine="360"/>
        <w:jc w:val="both"/>
        <w:rPr>
          <w:rFonts w:ascii="Times New Roman" w:hAnsi="Times New Roman" w:cs="Times New Roman"/>
          <w:sz w:val="20"/>
          <w:szCs w:val="24"/>
        </w:rPr>
      </w:pPr>
      <w:r w:rsidRPr="00C62087">
        <w:rPr>
          <w:rFonts w:ascii="Times New Roman" w:hAnsi="Times New Roman" w:cs="Times New Roman"/>
          <w:sz w:val="20"/>
          <w:szCs w:val="24"/>
        </w:rPr>
        <w:t>Following the above policy objective</w:t>
      </w:r>
      <w:r w:rsidR="00C60665" w:rsidRPr="00C62087">
        <w:rPr>
          <w:rFonts w:ascii="Times New Roman" w:hAnsi="Times New Roman" w:cs="Times New Roman"/>
          <w:sz w:val="20"/>
          <w:szCs w:val="24"/>
        </w:rPr>
        <w:t>s</w:t>
      </w:r>
      <w:r w:rsidRPr="00C62087">
        <w:rPr>
          <w:rFonts w:ascii="Times New Roman" w:hAnsi="Times New Roman" w:cs="Times New Roman"/>
          <w:sz w:val="20"/>
          <w:szCs w:val="24"/>
        </w:rPr>
        <w:t xml:space="preserve"> the multiple-days expert interministerial conference/workshop was organized by the Ministry of Climate and Environment (NEPIO) for in-depth and cross-cutting discussions on key principles of the anticipated legislation. </w:t>
      </w:r>
      <w:r w:rsidR="008B0066" w:rsidRPr="00C62087">
        <w:rPr>
          <w:rFonts w:ascii="Times New Roman" w:hAnsi="Times New Roman" w:cs="Times New Roman"/>
          <w:sz w:val="20"/>
          <w:szCs w:val="24"/>
        </w:rPr>
        <w:t>It appeared to be very useful to gather</w:t>
      </w:r>
      <w:r w:rsidR="00C60665" w:rsidRPr="00C62087">
        <w:rPr>
          <w:rFonts w:ascii="Times New Roman" w:hAnsi="Times New Roman" w:cs="Times New Roman"/>
          <w:sz w:val="20"/>
          <w:szCs w:val="24"/>
        </w:rPr>
        <w:t xml:space="preserve"> in one place</w:t>
      </w:r>
      <w:r w:rsidR="008B0066" w:rsidRPr="00C62087">
        <w:rPr>
          <w:rFonts w:ascii="Times New Roman" w:hAnsi="Times New Roman" w:cs="Times New Roman"/>
          <w:sz w:val="20"/>
          <w:szCs w:val="24"/>
        </w:rPr>
        <w:t xml:space="preserve"> relevant</w:t>
      </w:r>
      <w:r w:rsidR="00C60665" w:rsidRPr="00C62087">
        <w:rPr>
          <w:rFonts w:ascii="Times New Roman" w:hAnsi="Times New Roman" w:cs="Times New Roman"/>
          <w:sz w:val="20"/>
          <w:szCs w:val="24"/>
        </w:rPr>
        <w:t xml:space="preserve"> representatives of various  institutions and stakeholders  as well as experts experienced in implementation of other than  nuclear </w:t>
      </w:r>
      <w:r w:rsidR="00E7372B">
        <w:rPr>
          <w:rFonts w:ascii="Times New Roman" w:hAnsi="Times New Roman" w:cs="Times New Roman"/>
          <w:sz w:val="20"/>
          <w:szCs w:val="24"/>
        </w:rPr>
        <w:t>large-scale investment projects.</w:t>
      </w:r>
    </w:p>
    <w:p w:rsidR="00F67D5E" w:rsidRDefault="00F67D5E" w:rsidP="00A24252">
      <w:pPr>
        <w:autoSpaceDE w:val="0"/>
        <w:autoSpaceDN w:val="0"/>
        <w:adjustRightInd w:val="0"/>
        <w:spacing w:after="0" w:line="240" w:lineRule="auto"/>
        <w:ind w:firstLine="360"/>
        <w:jc w:val="both"/>
        <w:rPr>
          <w:rFonts w:ascii="Times New Roman" w:hAnsi="Times New Roman" w:cs="Times New Roman"/>
          <w:sz w:val="20"/>
          <w:szCs w:val="24"/>
        </w:rPr>
      </w:pPr>
    </w:p>
    <w:p w:rsidR="00F67D5E" w:rsidRPr="00D1508A" w:rsidRDefault="008B0066" w:rsidP="00A24252">
      <w:pPr>
        <w:autoSpaceDE w:val="0"/>
        <w:autoSpaceDN w:val="0"/>
        <w:adjustRightInd w:val="0"/>
        <w:spacing w:after="0" w:line="240" w:lineRule="auto"/>
        <w:ind w:firstLine="360"/>
        <w:jc w:val="both"/>
        <w:rPr>
          <w:rFonts w:ascii="Times New Roman" w:hAnsi="Times New Roman" w:cs="Times New Roman"/>
          <w:sz w:val="20"/>
          <w:szCs w:val="24"/>
        </w:rPr>
      </w:pPr>
      <w:r w:rsidRPr="00D1508A">
        <w:rPr>
          <w:rFonts w:ascii="Times New Roman" w:hAnsi="Times New Roman" w:cs="Times New Roman"/>
          <w:sz w:val="20"/>
          <w:szCs w:val="24"/>
        </w:rPr>
        <w:t>When developing the legislation t</w:t>
      </w:r>
      <w:r w:rsidR="009966F7" w:rsidRPr="00D1508A">
        <w:rPr>
          <w:rFonts w:ascii="Times New Roman" w:hAnsi="Times New Roman" w:cs="Times New Roman"/>
          <w:sz w:val="20"/>
          <w:szCs w:val="24"/>
        </w:rPr>
        <w:t>he particular attention wa</w:t>
      </w:r>
      <w:r w:rsidR="00874A46" w:rsidRPr="00D1508A">
        <w:rPr>
          <w:rFonts w:ascii="Times New Roman" w:hAnsi="Times New Roman" w:cs="Times New Roman"/>
          <w:sz w:val="20"/>
          <w:szCs w:val="24"/>
        </w:rPr>
        <w:t xml:space="preserve">s given to </w:t>
      </w:r>
      <w:r w:rsidR="00F67D5E" w:rsidRPr="00D1508A">
        <w:rPr>
          <w:rFonts w:ascii="Times New Roman" w:hAnsi="Times New Roman" w:cs="Times New Roman"/>
          <w:sz w:val="20"/>
          <w:szCs w:val="24"/>
        </w:rPr>
        <w:t>the following factors:</w:t>
      </w:r>
      <w:r w:rsidR="00A24252" w:rsidRPr="00D1508A">
        <w:rPr>
          <w:rFonts w:ascii="Times New Roman" w:hAnsi="Times New Roman" w:cs="Times New Roman"/>
          <w:sz w:val="20"/>
          <w:szCs w:val="24"/>
        </w:rPr>
        <w:t xml:space="preserve"> </w:t>
      </w:r>
    </w:p>
    <w:p w:rsidR="00F67D5E" w:rsidRPr="00D1508A" w:rsidRDefault="00874A46" w:rsidP="00F67D5E">
      <w:pPr>
        <w:pStyle w:val="Akapitzlist"/>
        <w:numPr>
          <w:ilvl w:val="0"/>
          <w:numId w:val="35"/>
        </w:numPr>
        <w:autoSpaceDE w:val="0"/>
        <w:autoSpaceDN w:val="0"/>
        <w:adjustRightInd w:val="0"/>
        <w:spacing w:after="0" w:line="240" w:lineRule="auto"/>
        <w:jc w:val="both"/>
        <w:rPr>
          <w:rFonts w:ascii="Times New Roman" w:hAnsi="Times New Roman" w:cs="Times New Roman"/>
          <w:sz w:val="20"/>
          <w:szCs w:val="24"/>
        </w:rPr>
      </w:pPr>
      <w:r w:rsidRPr="00D1508A">
        <w:rPr>
          <w:rFonts w:ascii="Times New Roman" w:hAnsi="Times New Roman" w:cs="Times New Roman"/>
          <w:sz w:val="20"/>
          <w:szCs w:val="24"/>
        </w:rPr>
        <w:t>good practices of implementation of other-than nuclear large-scale infrastu</w:t>
      </w:r>
      <w:r w:rsidR="008B0066" w:rsidRPr="00D1508A">
        <w:rPr>
          <w:rFonts w:ascii="Times New Roman" w:hAnsi="Times New Roman" w:cs="Times New Roman"/>
          <w:sz w:val="20"/>
          <w:szCs w:val="24"/>
        </w:rPr>
        <w:t>ctu</w:t>
      </w:r>
      <w:r w:rsidRPr="00D1508A">
        <w:rPr>
          <w:rFonts w:ascii="Times New Roman" w:hAnsi="Times New Roman" w:cs="Times New Roman"/>
          <w:sz w:val="20"/>
          <w:szCs w:val="24"/>
        </w:rPr>
        <w:t>re investme</w:t>
      </w:r>
      <w:r w:rsidR="008F1863" w:rsidRPr="00D1508A">
        <w:rPr>
          <w:rFonts w:ascii="Times New Roman" w:hAnsi="Times New Roman" w:cs="Times New Roman"/>
          <w:sz w:val="20"/>
          <w:szCs w:val="24"/>
        </w:rPr>
        <w:t>nt projects</w:t>
      </w:r>
      <w:r w:rsidR="00D1508A">
        <w:rPr>
          <w:rFonts w:ascii="Times New Roman" w:hAnsi="Times New Roman" w:cs="Times New Roman"/>
          <w:sz w:val="20"/>
          <w:szCs w:val="24"/>
        </w:rPr>
        <w:t>;</w:t>
      </w:r>
    </w:p>
    <w:p w:rsidR="00F67D5E" w:rsidRPr="00D1508A" w:rsidRDefault="00E1251F" w:rsidP="00F67D5E">
      <w:pPr>
        <w:pStyle w:val="Akapitzlist"/>
        <w:numPr>
          <w:ilvl w:val="0"/>
          <w:numId w:val="35"/>
        </w:numPr>
        <w:autoSpaceDE w:val="0"/>
        <w:autoSpaceDN w:val="0"/>
        <w:adjustRightInd w:val="0"/>
        <w:spacing w:after="0" w:line="240" w:lineRule="auto"/>
        <w:jc w:val="both"/>
        <w:rPr>
          <w:rFonts w:ascii="Times New Roman" w:hAnsi="Times New Roman" w:cs="Times New Roman"/>
          <w:sz w:val="20"/>
          <w:szCs w:val="24"/>
        </w:rPr>
      </w:pPr>
      <w:r w:rsidRPr="00D1508A">
        <w:rPr>
          <w:rFonts w:ascii="Times New Roman" w:hAnsi="Times New Roman" w:cs="Times New Roman"/>
          <w:sz w:val="20"/>
          <w:szCs w:val="24"/>
        </w:rPr>
        <w:t xml:space="preserve">recommendations of International Atomic Energy Agency outlined in various </w:t>
      </w:r>
      <w:r w:rsidR="00B7627D" w:rsidRPr="00D1508A">
        <w:rPr>
          <w:rFonts w:ascii="Times New Roman" w:hAnsi="Times New Roman" w:cs="Times New Roman"/>
          <w:sz w:val="20"/>
          <w:szCs w:val="24"/>
        </w:rPr>
        <w:t>specific safet</w:t>
      </w:r>
      <w:r w:rsidR="00007C64" w:rsidRPr="00D1508A">
        <w:rPr>
          <w:rFonts w:ascii="Times New Roman" w:hAnsi="Times New Roman" w:cs="Times New Roman"/>
          <w:sz w:val="20"/>
          <w:szCs w:val="24"/>
        </w:rPr>
        <w:t>y guides</w:t>
      </w:r>
      <w:r w:rsidR="00B7627D" w:rsidRPr="00D1508A">
        <w:rPr>
          <w:rFonts w:ascii="Times New Roman" w:hAnsi="Times New Roman" w:cs="Times New Roman"/>
          <w:sz w:val="20"/>
          <w:szCs w:val="24"/>
        </w:rPr>
        <w:t xml:space="preserve"> </w:t>
      </w:r>
      <w:r w:rsidR="00F85B23" w:rsidRPr="00D1508A">
        <w:rPr>
          <w:rFonts w:ascii="Times New Roman" w:hAnsi="Times New Roman" w:cs="Times New Roman"/>
          <w:sz w:val="20"/>
          <w:szCs w:val="24"/>
        </w:rPr>
        <w:t xml:space="preserve">as well as </w:t>
      </w:r>
      <w:r w:rsidR="00B7627D" w:rsidRPr="00D1508A">
        <w:rPr>
          <w:rFonts w:ascii="Times New Roman" w:hAnsi="Times New Roman" w:cs="Times New Roman"/>
          <w:sz w:val="20"/>
          <w:szCs w:val="24"/>
        </w:rPr>
        <w:t xml:space="preserve">resulted with the </w:t>
      </w:r>
      <w:r w:rsidR="00F85B23" w:rsidRPr="00D1508A">
        <w:rPr>
          <w:rFonts w:ascii="Times New Roman" w:hAnsi="Times New Roman" w:cs="Times New Roman"/>
          <w:sz w:val="20"/>
          <w:szCs w:val="24"/>
        </w:rPr>
        <w:t>IAEA review missions to Poland</w:t>
      </w:r>
      <w:r w:rsidR="00D1508A">
        <w:rPr>
          <w:rFonts w:ascii="Times New Roman" w:hAnsi="Times New Roman" w:cs="Times New Roman"/>
          <w:sz w:val="20"/>
          <w:szCs w:val="24"/>
        </w:rPr>
        <w:t>;</w:t>
      </w:r>
      <w:r w:rsidR="008B0066" w:rsidRPr="00D1508A">
        <w:rPr>
          <w:rFonts w:ascii="Times New Roman" w:hAnsi="Times New Roman" w:cs="Times New Roman"/>
          <w:sz w:val="20"/>
          <w:szCs w:val="24"/>
        </w:rPr>
        <w:t xml:space="preserve"> </w:t>
      </w:r>
    </w:p>
    <w:p w:rsidR="00F67D5E" w:rsidRPr="00D1508A" w:rsidRDefault="004D01AA" w:rsidP="00F67D5E">
      <w:pPr>
        <w:pStyle w:val="Akapitzlist"/>
        <w:numPr>
          <w:ilvl w:val="0"/>
          <w:numId w:val="35"/>
        </w:numPr>
        <w:autoSpaceDE w:val="0"/>
        <w:autoSpaceDN w:val="0"/>
        <w:adjustRightInd w:val="0"/>
        <w:spacing w:after="0" w:line="240" w:lineRule="auto"/>
        <w:jc w:val="both"/>
        <w:rPr>
          <w:rFonts w:ascii="Times New Roman" w:hAnsi="Times New Roman" w:cs="Times New Roman"/>
          <w:sz w:val="20"/>
          <w:szCs w:val="24"/>
        </w:rPr>
      </w:pPr>
      <w:r w:rsidRPr="00D1508A">
        <w:rPr>
          <w:rFonts w:ascii="Times New Roman" w:hAnsi="Times New Roman" w:cs="Times New Roman"/>
          <w:sz w:val="20"/>
          <w:szCs w:val="24"/>
        </w:rPr>
        <w:t xml:space="preserve">good </w:t>
      </w:r>
      <w:r w:rsidR="00F85B23" w:rsidRPr="00D1508A">
        <w:rPr>
          <w:rFonts w:ascii="Times New Roman" w:hAnsi="Times New Roman" w:cs="Times New Roman"/>
          <w:sz w:val="20"/>
          <w:szCs w:val="24"/>
        </w:rPr>
        <w:t xml:space="preserve">legislative </w:t>
      </w:r>
      <w:r w:rsidRPr="00D1508A">
        <w:rPr>
          <w:rFonts w:ascii="Times New Roman" w:hAnsi="Times New Roman" w:cs="Times New Roman"/>
          <w:sz w:val="20"/>
          <w:szCs w:val="24"/>
        </w:rPr>
        <w:t>practices of other countries implementing nuclear power programmes</w:t>
      </w:r>
      <w:r w:rsidR="00D1508A">
        <w:rPr>
          <w:rFonts w:ascii="Times New Roman" w:hAnsi="Times New Roman" w:cs="Times New Roman"/>
          <w:sz w:val="20"/>
          <w:szCs w:val="24"/>
        </w:rPr>
        <w:t xml:space="preserve"> (such as Finand)</w:t>
      </w:r>
      <w:r w:rsidR="00E1251F" w:rsidRPr="00D1508A">
        <w:rPr>
          <w:rFonts w:ascii="Times New Roman" w:hAnsi="Times New Roman" w:cs="Times New Roman"/>
          <w:sz w:val="20"/>
          <w:szCs w:val="24"/>
        </w:rPr>
        <w:t>.</w:t>
      </w:r>
      <w:r w:rsidR="00F85B23" w:rsidRPr="00D1508A">
        <w:rPr>
          <w:rFonts w:ascii="Times New Roman" w:hAnsi="Times New Roman" w:cs="Times New Roman"/>
          <w:sz w:val="20"/>
          <w:szCs w:val="24"/>
        </w:rPr>
        <w:t xml:space="preserve"> </w:t>
      </w:r>
    </w:p>
    <w:p w:rsidR="00E1251F" w:rsidRDefault="00E1251F" w:rsidP="00F67D5E">
      <w:pPr>
        <w:pStyle w:val="Akapitzlist"/>
        <w:numPr>
          <w:ilvl w:val="0"/>
          <w:numId w:val="35"/>
        </w:numPr>
        <w:autoSpaceDE w:val="0"/>
        <w:autoSpaceDN w:val="0"/>
        <w:adjustRightInd w:val="0"/>
        <w:spacing w:after="0" w:line="240" w:lineRule="auto"/>
        <w:jc w:val="both"/>
        <w:rPr>
          <w:rFonts w:ascii="Times New Roman" w:hAnsi="Times New Roman" w:cs="Times New Roman"/>
          <w:sz w:val="20"/>
          <w:szCs w:val="24"/>
        </w:rPr>
      </w:pPr>
      <w:r w:rsidRPr="00D1508A">
        <w:rPr>
          <w:rFonts w:ascii="Times New Roman" w:hAnsi="Times New Roman" w:cs="Times New Roman"/>
          <w:sz w:val="20"/>
          <w:szCs w:val="24"/>
        </w:rPr>
        <w:t xml:space="preserve">lessons-learnt from actions undertaken to prepare the investment project, in particular with regards to </w:t>
      </w:r>
      <w:r w:rsidRPr="00F67D5E">
        <w:rPr>
          <w:rFonts w:ascii="Times New Roman" w:hAnsi="Times New Roman" w:cs="Times New Roman"/>
          <w:sz w:val="20"/>
          <w:szCs w:val="24"/>
        </w:rPr>
        <w:t>siting and environmental impact assessment process of country’s first nuclear power plant.</w:t>
      </w:r>
    </w:p>
    <w:p w:rsidR="00F67D5E" w:rsidRPr="00F67D5E" w:rsidRDefault="00F67D5E" w:rsidP="007838FE">
      <w:pPr>
        <w:pStyle w:val="Akapitzlist"/>
        <w:autoSpaceDE w:val="0"/>
        <w:autoSpaceDN w:val="0"/>
        <w:adjustRightInd w:val="0"/>
        <w:spacing w:after="0" w:line="240" w:lineRule="auto"/>
        <w:ind w:left="360"/>
        <w:jc w:val="both"/>
        <w:rPr>
          <w:rFonts w:ascii="Times New Roman" w:hAnsi="Times New Roman" w:cs="Times New Roman"/>
          <w:sz w:val="20"/>
          <w:szCs w:val="24"/>
        </w:rPr>
      </w:pPr>
    </w:p>
    <w:p w:rsidR="00F67D5E" w:rsidRDefault="000806D9" w:rsidP="007838FE">
      <w:pPr>
        <w:autoSpaceDE w:val="0"/>
        <w:autoSpaceDN w:val="0"/>
        <w:adjustRightInd w:val="0"/>
        <w:spacing w:after="0" w:line="240" w:lineRule="auto"/>
        <w:ind w:firstLine="360"/>
        <w:jc w:val="both"/>
        <w:rPr>
          <w:rFonts w:ascii="Times New Roman" w:hAnsi="Times New Roman" w:cs="Times New Roman"/>
          <w:sz w:val="20"/>
          <w:szCs w:val="24"/>
        </w:rPr>
      </w:pPr>
      <w:r w:rsidRPr="00C62087">
        <w:rPr>
          <w:rFonts w:ascii="Times New Roman" w:hAnsi="Times New Roman" w:cs="Times New Roman"/>
          <w:sz w:val="20"/>
          <w:szCs w:val="24"/>
        </w:rPr>
        <w:t>After preparing the initial version of the legislation</w:t>
      </w:r>
      <w:r w:rsidR="009E417A" w:rsidRPr="00C62087">
        <w:rPr>
          <w:rFonts w:ascii="Times New Roman" w:hAnsi="Times New Roman" w:cs="Times New Roman"/>
          <w:sz w:val="20"/>
          <w:szCs w:val="24"/>
        </w:rPr>
        <w:t xml:space="preserve"> by the Mi</w:t>
      </w:r>
      <w:r w:rsidR="00F05794" w:rsidRPr="00C62087">
        <w:rPr>
          <w:rFonts w:ascii="Times New Roman" w:hAnsi="Times New Roman" w:cs="Times New Roman"/>
          <w:sz w:val="20"/>
          <w:szCs w:val="24"/>
        </w:rPr>
        <w:t>nistry of Climate and Environment (NEPIO)</w:t>
      </w:r>
      <w:r w:rsidRPr="00C62087">
        <w:rPr>
          <w:rFonts w:ascii="Times New Roman" w:hAnsi="Times New Roman" w:cs="Times New Roman"/>
          <w:sz w:val="20"/>
          <w:szCs w:val="24"/>
        </w:rPr>
        <w:t>, it was the subject of cross-cutting</w:t>
      </w:r>
      <w:r w:rsidR="00FA1B0A" w:rsidRPr="00C62087">
        <w:rPr>
          <w:rFonts w:ascii="Times New Roman" w:hAnsi="Times New Roman" w:cs="Times New Roman"/>
          <w:sz w:val="20"/>
          <w:szCs w:val="24"/>
        </w:rPr>
        <w:t xml:space="preserve">, </w:t>
      </w:r>
      <w:r w:rsidRPr="00C62087">
        <w:rPr>
          <w:rFonts w:ascii="Times New Roman" w:hAnsi="Times New Roman" w:cs="Times New Roman"/>
          <w:sz w:val="20"/>
          <w:szCs w:val="24"/>
        </w:rPr>
        <w:t xml:space="preserve">public </w:t>
      </w:r>
      <w:r w:rsidR="00FA1B0A" w:rsidRPr="00C62087">
        <w:rPr>
          <w:rFonts w:ascii="Times New Roman" w:hAnsi="Times New Roman" w:cs="Times New Roman"/>
          <w:sz w:val="20"/>
          <w:szCs w:val="24"/>
        </w:rPr>
        <w:t xml:space="preserve">consultation </w:t>
      </w:r>
      <w:r w:rsidR="001D152D">
        <w:rPr>
          <w:rFonts w:ascii="Times New Roman" w:hAnsi="Times New Roman" w:cs="Times New Roman"/>
          <w:sz w:val="20"/>
          <w:szCs w:val="24"/>
        </w:rPr>
        <w:t xml:space="preserve">with </w:t>
      </w:r>
      <w:r w:rsidRPr="00C62087">
        <w:rPr>
          <w:rFonts w:ascii="Times New Roman" w:hAnsi="Times New Roman" w:cs="Times New Roman"/>
          <w:sz w:val="20"/>
          <w:szCs w:val="24"/>
        </w:rPr>
        <w:t xml:space="preserve">relevant stakeholders. Very active role was played </w:t>
      </w:r>
      <w:r w:rsidR="00FA1B0A" w:rsidRPr="00C62087">
        <w:rPr>
          <w:rFonts w:ascii="Times New Roman" w:hAnsi="Times New Roman" w:cs="Times New Roman"/>
          <w:sz w:val="20"/>
          <w:szCs w:val="24"/>
        </w:rPr>
        <w:t xml:space="preserve">in that process in particular </w:t>
      </w:r>
      <w:r w:rsidRPr="00C62087">
        <w:rPr>
          <w:rFonts w:ascii="Times New Roman" w:hAnsi="Times New Roman" w:cs="Times New Roman"/>
          <w:sz w:val="20"/>
          <w:szCs w:val="24"/>
        </w:rPr>
        <w:t>by</w:t>
      </w:r>
      <w:r w:rsidR="00FA1B0A" w:rsidRPr="00C62087">
        <w:rPr>
          <w:rFonts w:ascii="Times New Roman" w:hAnsi="Times New Roman" w:cs="Times New Roman"/>
          <w:sz w:val="20"/>
          <w:szCs w:val="24"/>
        </w:rPr>
        <w:t xml:space="preserve">: (1) the </w:t>
      </w:r>
      <w:r w:rsidRPr="00C62087">
        <w:rPr>
          <w:rFonts w:ascii="Times New Roman" w:hAnsi="Times New Roman" w:cs="Times New Roman"/>
          <w:sz w:val="20"/>
          <w:szCs w:val="24"/>
        </w:rPr>
        <w:t xml:space="preserve"> </w:t>
      </w:r>
      <w:r w:rsidR="00F05794" w:rsidRPr="00C62087">
        <w:rPr>
          <w:rFonts w:ascii="Times New Roman" w:hAnsi="Times New Roman" w:cs="Times New Roman"/>
          <w:sz w:val="20"/>
          <w:szCs w:val="24"/>
        </w:rPr>
        <w:t xml:space="preserve">investor of </w:t>
      </w:r>
      <w:r w:rsidR="00FA1B0A" w:rsidRPr="00C62087">
        <w:rPr>
          <w:rFonts w:ascii="Times New Roman" w:hAnsi="Times New Roman" w:cs="Times New Roman"/>
          <w:sz w:val="20"/>
          <w:szCs w:val="24"/>
        </w:rPr>
        <w:t xml:space="preserve">country’s </w:t>
      </w:r>
      <w:r w:rsidR="00F05794" w:rsidRPr="00C62087">
        <w:rPr>
          <w:rFonts w:ascii="Times New Roman" w:hAnsi="Times New Roman" w:cs="Times New Roman"/>
          <w:sz w:val="20"/>
          <w:szCs w:val="24"/>
        </w:rPr>
        <w:t xml:space="preserve">first </w:t>
      </w:r>
      <w:r w:rsidR="00FA1B0A" w:rsidRPr="00C62087">
        <w:rPr>
          <w:rFonts w:ascii="Times New Roman" w:hAnsi="Times New Roman" w:cs="Times New Roman"/>
          <w:sz w:val="20"/>
          <w:szCs w:val="24"/>
        </w:rPr>
        <w:t>lar</w:t>
      </w:r>
      <w:r w:rsidR="00F05794" w:rsidRPr="00C62087">
        <w:rPr>
          <w:rFonts w:ascii="Times New Roman" w:hAnsi="Times New Roman" w:cs="Times New Roman"/>
          <w:sz w:val="20"/>
          <w:szCs w:val="24"/>
        </w:rPr>
        <w:t>ge-scale nuclear power plant</w:t>
      </w:r>
      <w:r w:rsidR="00FA1B0A" w:rsidRPr="00C62087">
        <w:rPr>
          <w:rFonts w:ascii="Times New Roman" w:hAnsi="Times New Roman" w:cs="Times New Roman"/>
          <w:sz w:val="20"/>
          <w:szCs w:val="24"/>
        </w:rPr>
        <w:t xml:space="preserve"> (2) various </w:t>
      </w:r>
      <w:r w:rsidRPr="00C62087">
        <w:rPr>
          <w:rFonts w:ascii="Times New Roman" w:hAnsi="Times New Roman" w:cs="Times New Roman"/>
          <w:sz w:val="20"/>
          <w:szCs w:val="24"/>
        </w:rPr>
        <w:t xml:space="preserve">companies </w:t>
      </w:r>
      <w:r w:rsidR="00FA1B0A" w:rsidRPr="00C62087">
        <w:rPr>
          <w:rFonts w:ascii="Times New Roman" w:hAnsi="Times New Roman" w:cs="Times New Roman"/>
          <w:sz w:val="20"/>
          <w:szCs w:val="24"/>
        </w:rPr>
        <w:t>going to implement SMRs projects (3) nuclear research institutes</w:t>
      </w:r>
      <w:r w:rsidR="00F05794" w:rsidRPr="00C62087">
        <w:rPr>
          <w:rFonts w:ascii="Times New Roman" w:hAnsi="Times New Roman" w:cs="Times New Roman"/>
          <w:sz w:val="20"/>
          <w:szCs w:val="24"/>
        </w:rPr>
        <w:t xml:space="preserve"> (4) environmental </w:t>
      </w:r>
      <w:r w:rsidR="00B6511D" w:rsidRPr="00C62087">
        <w:rPr>
          <w:rFonts w:ascii="Times New Roman" w:hAnsi="Times New Roman" w:cs="Times New Roman"/>
          <w:sz w:val="20"/>
          <w:szCs w:val="24"/>
        </w:rPr>
        <w:t>NGOs</w:t>
      </w:r>
      <w:r w:rsidR="00FA1B0A" w:rsidRPr="00C62087">
        <w:rPr>
          <w:rFonts w:ascii="Times New Roman" w:hAnsi="Times New Roman" w:cs="Times New Roman"/>
          <w:sz w:val="20"/>
          <w:szCs w:val="24"/>
        </w:rPr>
        <w:t xml:space="preserve">. </w:t>
      </w:r>
      <w:r w:rsidR="00F05794" w:rsidRPr="00C62087">
        <w:rPr>
          <w:rFonts w:ascii="Times New Roman" w:hAnsi="Times New Roman" w:cs="Times New Roman"/>
          <w:sz w:val="20"/>
          <w:szCs w:val="24"/>
        </w:rPr>
        <w:t xml:space="preserve">In parallel the interministerial consultations were held with the most active role of those which were in charge of: infrastructure, </w:t>
      </w:r>
      <w:r w:rsidR="00861672" w:rsidRPr="00C62087">
        <w:rPr>
          <w:rFonts w:ascii="Times New Roman" w:hAnsi="Times New Roman" w:cs="Times New Roman"/>
          <w:sz w:val="20"/>
          <w:szCs w:val="24"/>
        </w:rPr>
        <w:t>defence, finance and agriculture.</w:t>
      </w:r>
      <w:r w:rsidR="005A36EC">
        <w:rPr>
          <w:rFonts w:ascii="Times New Roman" w:hAnsi="Times New Roman" w:cs="Times New Roman"/>
          <w:sz w:val="20"/>
          <w:szCs w:val="24"/>
        </w:rPr>
        <w:t xml:space="preserve"> I</w:t>
      </w:r>
      <w:r w:rsidR="00B7627D" w:rsidRPr="00C62087">
        <w:rPr>
          <w:rFonts w:ascii="Times New Roman" w:hAnsi="Times New Roman" w:cs="Times New Roman"/>
          <w:sz w:val="20"/>
          <w:szCs w:val="24"/>
        </w:rPr>
        <w:t xml:space="preserve">n August 2023 the </w:t>
      </w:r>
      <w:r w:rsidR="00ED5044">
        <w:rPr>
          <w:rFonts w:ascii="Times New Roman" w:hAnsi="Times New Roman" w:cs="Times New Roman"/>
          <w:sz w:val="20"/>
          <w:szCs w:val="24"/>
        </w:rPr>
        <w:t xml:space="preserve">draft </w:t>
      </w:r>
      <w:r w:rsidR="00B7627D" w:rsidRPr="00C62087">
        <w:rPr>
          <w:rFonts w:ascii="Times New Roman" w:hAnsi="Times New Roman" w:cs="Times New Roman"/>
          <w:sz w:val="20"/>
          <w:szCs w:val="24"/>
        </w:rPr>
        <w:t xml:space="preserve">legislation was adopted by the Council of Ministers. </w:t>
      </w:r>
    </w:p>
    <w:p w:rsidR="00F67D5E" w:rsidRDefault="00A53BBE" w:rsidP="007838FE">
      <w:pPr>
        <w:autoSpaceDE w:val="0"/>
        <w:autoSpaceDN w:val="0"/>
        <w:adjustRightInd w:val="0"/>
        <w:spacing w:after="0" w:line="240" w:lineRule="auto"/>
        <w:ind w:firstLine="360"/>
        <w:jc w:val="both"/>
        <w:rPr>
          <w:rFonts w:ascii="Times New Roman" w:hAnsi="Times New Roman" w:cs="Times New Roman"/>
          <w:sz w:val="20"/>
          <w:szCs w:val="24"/>
        </w:rPr>
      </w:pPr>
      <w:r>
        <w:rPr>
          <w:rFonts w:ascii="Times New Roman" w:hAnsi="Times New Roman" w:cs="Times New Roman"/>
          <w:sz w:val="20"/>
          <w:szCs w:val="24"/>
        </w:rPr>
        <w:t>B</w:t>
      </w:r>
      <w:r w:rsidR="00B7627D" w:rsidRPr="00C62087">
        <w:rPr>
          <w:rFonts w:ascii="Times New Roman" w:hAnsi="Times New Roman" w:cs="Times New Roman"/>
          <w:sz w:val="20"/>
          <w:szCs w:val="24"/>
        </w:rPr>
        <w:t xml:space="preserve">efore the legislation was </w:t>
      </w:r>
      <w:r w:rsidR="009A6A81" w:rsidRPr="00C62087">
        <w:rPr>
          <w:rFonts w:ascii="Times New Roman" w:hAnsi="Times New Roman" w:cs="Times New Roman"/>
          <w:sz w:val="20"/>
          <w:szCs w:val="24"/>
        </w:rPr>
        <w:t>adopted by the Parliament</w:t>
      </w:r>
      <w:r w:rsidR="00B7627D" w:rsidRPr="00C62087">
        <w:rPr>
          <w:rFonts w:ascii="Times New Roman" w:hAnsi="Times New Roman" w:cs="Times New Roman"/>
          <w:sz w:val="20"/>
          <w:szCs w:val="24"/>
        </w:rPr>
        <w:t xml:space="preserve"> it received positive opinion from the European Commission under article 37 of the Treaty Establishing European Atomic Energy Commission. This opinion confirmed that the legislation is in line with the European law.</w:t>
      </w:r>
      <w:r>
        <w:rPr>
          <w:rFonts w:ascii="Times New Roman" w:hAnsi="Times New Roman" w:cs="Times New Roman"/>
          <w:sz w:val="20"/>
          <w:szCs w:val="24"/>
        </w:rPr>
        <w:t xml:space="preserve"> </w:t>
      </w:r>
    </w:p>
    <w:p w:rsidR="00AD37FA" w:rsidRPr="00C62087" w:rsidRDefault="009A6A81" w:rsidP="00A53BBE">
      <w:pPr>
        <w:autoSpaceDE w:val="0"/>
        <w:autoSpaceDN w:val="0"/>
        <w:adjustRightInd w:val="0"/>
        <w:spacing w:after="0" w:line="240" w:lineRule="auto"/>
        <w:ind w:firstLine="360"/>
        <w:jc w:val="both"/>
        <w:rPr>
          <w:rFonts w:ascii="Times New Roman" w:hAnsi="Times New Roman" w:cs="Times New Roman"/>
          <w:sz w:val="20"/>
          <w:szCs w:val="24"/>
        </w:rPr>
      </w:pPr>
      <w:r w:rsidRPr="00C62087">
        <w:rPr>
          <w:rFonts w:ascii="Times New Roman" w:hAnsi="Times New Roman" w:cs="Times New Roman"/>
          <w:sz w:val="20"/>
          <w:szCs w:val="24"/>
        </w:rPr>
        <w:t>Finally after signing the legislation by the President of the Republic of Poland</w:t>
      </w:r>
      <w:r w:rsidR="00861672" w:rsidRPr="00C62087">
        <w:rPr>
          <w:rFonts w:ascii="Times New Roman" w:hAnsi="Times New Roman" w:cs="Times New Roman"/>
          <w:sz w:val="20"/>
          <w:szCs w:val="24"/>
        </w:rPr>
        <w:t xml:space="preserve"> in April 2023</w:t>
      </w:r>
      <w:r w:rsidRPr="00C62087">
        <w:rPr>
          <w:rFonts w:ascii="Times New Roman" w:hAnsi="Times New Roman" w:cs="Times New Roman"/>
          <w:sz w:val="20"/>
          <w:szCs w:val="24"/>
        </w:rPr>
        <w:t xml:space="preserve"> the legislation</w:t>
      </w:r>
      <w:r w:rsidR="00D1508A">
        <w:rPr>
          <w:rFonts w:ascii="Times New Roman" w:hAnsi="Times New Roman" w:cs="Times New Roman"/>
          <w:sz w:val="20"/>
          <w:szCs w:val="24"/>
        </w:rPr>
        <w:t xml:space="preserve"> [3]</w:t>
      </w:r>
      <w:r w:rsidRPr="00C62087">
        <w:rPr>
          <w:rFonts w:ascii="Times New Roman" w:hAnsi="Times New Roman" w:cs="Times New Roman"/>
          <w:sz w:val="20"/>
          <w:szCs w:val="24"/>
        </w:rPr>
        <w:t xml:space="preserve"> entered into force</w:t>
      </w:r>
      <w:r w:rsidR="00EE627D" w:rsidRPr="00C62087">
        <w:rPr>
          <w:rFonts w:ascii="Times New Roman" w:hAnsi="Times New Roman" w:cs="Times New Roman"/>
          <w:sz w:val="20"/>
          <w:szCs w:val="24"/>
        </w:rPr>
        <w:t xml:space="preserve"> marking the new chapter of Polish nuclear-energy related legal framework.</w:t>
      </w:r>
      <w:r w:rsidR="00AD37FA" w:rsidRPr="00C62087">
        <w:rPr>
          <w:rFonts w:ascii="Times New Roman" w:hAnsi="Times New Roman" w:cs="Times New Roman"/>
          <w:sz w:val="20"/>
          <w:szCs w:val="24"/>
        </w:rPr>
        <w:t xml:space="preserve"> The next milestone was reached in July 2024 with the reorganization of institutional framework for nuclear power programme and transferring the then nuclear competences of Ministry of Climate and Environment (NEPIO) to the newly created Ministry of Industry</w:t>
      </w:r>
      <w:r w:rsidR="00D1508A">
        <w:rPr>
          <w:rFonts w:ascii="Times New Roman" w:hAnsi="Times New Roman" w:cs="Times New Roman"/>
          <w:sz w:val="20"/>
          <w:szCs w:val="24"/>
        </w:rPr>
        <w:t xml:space="preserve"> [4]</w:t>
      </w:r>
      <w:r w:rsidR="00AD37FA" w:rsidRPr="00C62087">
        <w:rPr>
          <w:rFonts w:ascii="Times New Roman" w:hAnsi="Times New Roman" w:cs="Times New Roman"/>
          <w:sz w:val="20"/>
          <w:szCs w:val="24"/>
        </w:rPr>
        <w:t>. With that step the legal and institutional framework to accelerate implementation of  nuclear power programme has reached its final shape.</w:t>
      </w:r>
    </w:p>
    <w:p w:rsidR="00861672" w:rsidRPr="00C62087" w:rsidRDefault="00861672" w:rsidP="009966F7">
      <w:pPr>
        <w:autoSpaceDE w:val="0"/>
        <w:autoSpaceDN w:val="0"/>
        <w:adjustRightInd w:val="0"/>
        <w:spacing w:after="0" w:line="240" w:lineRule="auto"/>
        <w:jc w:val="both"/>
        <w:rPr>
          <w:rFonts w:ascii="Times New Roman" w:hAnsi="Times New Roman" w:cs="Times New Roman"/>
          <w:sz w:val="20"/>
          <w:szCs w:val="24"/>
        </w:rPr>
      </w:pPr>
    </w:p>
    <w:p w:rsidR="009A6A81" w:rsidRPr="00981697" w:rsidRDefault="009A6A81" w:rsidP="00981697">
      <w:pPr>
        <w:pStyle w:val="Akapitzlist"/>
        <w:numPr>
          <w:ilvl w:val="1"/>
          <w:numId w:val="28"/>
        </w:numPr>
        <w:autoSpaceDE w:val="0"/>
        <w:autoSpaceDN w:val="0"/>
        <w:adjustRightInd w:val="0"/>
        <w:spacing w:after="0" w:line="240" w:lineRule="auto"/>
        <w:jc w:val="both"/>
        <w:rPr>
          <w:rFonts w:ascii="Times New Roman" w:hAnsi="Times New Roman" w:cs="Times New Roman"/>
          <w:b/>
          <w:sz w:val="20"/>
          <w:szCs w:val="20"/>
        </w:rPr>
      </w:pPr>
      <w:r w:rsidRPr="00981697">
        <w:rPr>
          <w:rFonts w:ascii="Times New Roman" w:hAnsi="Times New Roman" w:cs="Times New Roman"/>
          <w:b/>
          <w:sz w:val="20"/>
          <w:szCs w:val="20"/>
        </w:rPr>
        <w:t xml:space="preserve">Overview of the </w:t>
      </w:r>
      <w:r w:rsidR="005D7600" w:rsidRPr="00981697">
        <w:rPr>
          <w:rFonts w:ascii="Times New Roman" w:hAnsi="Times New Roman" w:cs="Times New Roman"/>
          <w:b/>
          <w:sz w:val="20"/>
          <w:szCs w:val="20"/>
        </w:rPr>
        <w:t>nuclear energy</w:t>
      </w:r>
      <w:r w:rsidRPr="00981697">
        <w:rPr>
          <w:rFonts w:ascii="Times New Roman" w:hAnsi="Times New Roman" w:cs="Times New Roman"/>
          <w:b/>
          <w:sz w:val="20"/>
          <w:szCs w:val="20"/>
        </w:rPr>
        <w:t xml:space="preserve"> legal framework </w:t>
      </w:r>
    </w:p>
    <w:p w:rsidR="002663BC" w:rsidRPr="00C62087" w:rsidRDefault="002663BC" w:rsidP="009A6A81">
      <w:pPr>
        <w:autoSpaceDE w:val="0"/>
        <w:autoSpaceDN w:val="0"/>
        <w:adjustRightInd w:val="0"/>
        <w:spacing w:after="0" w:line="240" w:lineRule="auto"/>
        <w:jc w:val="both"/>
        <w:rPr>
          <w:rFonts w:ascii="Times New Roman" w:hAnsi="Times New Roman" w:cs="Times New Roman"/>
          <w:sz w:val="20"/>
          <w:szCs w:val="24"/>
        </w:rPr>
      </w:pPr>
    </w:p>
    <w:p w:rsidR="009B6B09" w:rsidRPr="00981697" w:rsidRDefault="00981697" w:rsidP="00981697">
      <w:pPr>
        <w:autoSpaceDE w:val="0"/>
        <w:autoSpaceDN w:val="0"/>
        <w:adjustRightInd w:val="0"/>
        <w:spacing w:after="0" w:line="240" w:lineRule="auto"/>
        <w:jc w:val="both"/>
        <w:rPr>
          <w:rFonts w:ascii="Times New Roman" w:hAnsi="Times New Roman" w:cs="Times New Roman"/>
          <w:i/>
          <w:sz w:val="20"/>
          <w:szCs w:val="24"/>
        </w:rPr>
      </w:pPr>
      <w:r w:rsidRPr="00981697">
        <w:rPr>
          <w:rFonts w:ascii="Times New Roman" w:hAnsi="Times New Roman" w:cs="Times New Roman"/>
          <w:i/>
          <w:sz w:val="20"/>
          <w:szCs w:val="24"/>
        </w:rPr>
        <w:t xml:space="preserve">2.2.1 </w:t>
      </w:r>
      <w:r w:rsidR="009B6B09" w:rsidRPr="00981697">
        <w:rPr>
          <w:rFonts w:ascii="Times New Roman" w:hAnsi="Times New Roman" w:cs="Times New Roman"/>
          <w:i/>
          <w:sz w:val="20"/>
          <w:szCs w:val="24"/>
        </w:rPr>
        <w:t>Atomic Law Act</w:t>
      </w:r>
    </w:p>
    <w:p w:rsidR="009B6B09" w:rsidRPr="00ED5044" w:rsidRDefault="009B6B09" w:rsidP="009A6A81">
      <w:pPr>
        <w:autoSpaceDE w:val="0"/>
        <w:autoSpaceDN w:val="0"/>
        <w:adjustRightInd w:val="0"/>
        <w:spacing w:after="0" w:line="240" w:lineRule="auto"/>
        <w:jc w:val="both"/>
        <w:rPr>
          <w:rFonts w:ascii="Times New Roman" w:hAnsi="Times New Roman" w:cs="Times New Roman"/>
          <w:sz w:val="16"/>
          <w:szCs w:val="24"/>
        </w:rPr>
      </w:pPr>
    </w:p>
    <w:p w:rsidR="006F09FE" w:rsidRDefault="005C7E55" w:rsidP="00FE0F87">
      <w:pPr>
        <w:autoSpaceDE w:val="0"/>
        <w:autoSpaceDN w:val="0"/>
        <w:adjustRightInd w:val="0"/>
        <w:spacing w:after="0" w:line="240" w:lineRule="auto"/>
        <w:ind w:firstLine="360"/>
        <w:jc w:val="both"/>
        <w:rPr>
          <w:rFonts w:ascii="Times New Roman" w:hAnsi="Times New Roman" w:cs="Times New Roman"/>
          <w:sz w:val="20"/>
          <w:szCs w:val="20"/>
        </w:rPr>
      </w:pPr>
      <w:r w:rsidRPr="00C62087">
        <w:rPr>
          <w:rFonts w:ascii="Times New Roman" w:hAnsi="Times New Roman" w:cs="Times New Roman"/>
          <w:sz w:val="20"/>
          <w:szCs w:val="20"/>
        </w:rPr>
        <w:t>T</w:t>
      </w:r>
      <w:r w:rsidR="009A6A81" w:rsidRPr="00C62087">
        <w:rPr>
          <w:rFonts w:ascii="Times New Roman" w:hAnsi="Times New Roman" w:cs="Times New Roman"/>
          <w:sz w:val="20"/>
          <w:szCs w:val="20"/>
        </w:rPr>
        <w:t xml:space="preserve">he </w:t>
      </w:r>
      <w:r w:rsidR="001D152D">
        <w:rPr>
          <w:rFonts w:ascii="Times New Roman" w:hAnsi="Times New Roman" w:cs="Times New Roman"/>
          <w:sz w:val="20"/>
          <w:szCs w:val="20"/>
        </w:rPr>
        <w:t>Atomic Law A</w:t>
      </w:r>
      <w:r w:rsidR="009A6A81" w:rsidRPr="00C62087">
        <w:rPr>
          <w:rFonts w:ascii="Times New Roman" w:hAnsi="Times New Roman" w:cs="Times New Roman"/>
          <w:sz w:val="20"/>
          <w:szCs w:val="20"/>
        </w:rPr>
        <w:t>ct</w:t>
      </w:r>
      <w:r w:rsidR="00D1508A">
        <w:rPr>
          <w:rFonts w:ascii="Times New Roman" w:hAnsi="Times New Roman" w:cs="Times New Roman"/>
          <w:sz w:val="20"/>
          <w:szCs w:val="20"/>
        </w:rPr>
        <w:t xml:space="preserve"> [5]</w:t>
      </w:r>
      <w:r w:rsidR="009A6A81" w:rsidRPr="00C62087">
        <w:rPr>
          <w:rFonts w:ascii="Times New Roman" w:hAnsi="Times New Roman" w:cs="Times New Roman"/>
          <w:sz w:val="20"/>
          <w:szCs w:val="20"/>
        </w:rPr>
        <w:t xml:space="preserve"> is </w:t>
      </w:r>
      <w:r w:rsidRPr="00C62087">
        <w:rPr>
          <w:rFonts w:ascii="Times New Roman" w:hAnsi="Times New Roman" w:cs="Times New Roman"/>
          <w:sz w:val="20"/>
          <w:szCs w:val="20"/>
        </w:rPr>
        <w:t xml:space="preserve">a </w:t>
      </w:r>
      <w:r w:rsidRPr="00C62087">
        <w:rPr>
          <w:rFonts w:ascii="Times New Roman" w:hAnsi="Times New Roman" w:cs="Times New Roman"/>
          <w:b/>
          <w:sz w:val="20"/>
          <w:szCs w:val="20"/>
        </w:rPr>
        <w:t>comprehensive</w:t>
      </w:r>
      <w:r w:rsidRPr="00C62087">
        <w:rPr>
          <w:rFonts w:ascii="Times New Roman" w:hAnsi="Times New Roman" w:cs="Times New Roman"/>
          <w:sz w:val="20"/>
          <w:szCs w:val="20"/>
        </w:rPr>
        <w:t xml:space="preserve"> nuclear law act </w:t>
      </w:r>
      <w:r w:rsidR="002663BC" w:rsidRPr="00C62087">
        <w:rPr>
          <w:rFonts w:ascii="Times New Roman" w:hAnsi="Times New Roman" w:cs="Times New Roman"/>
          <w:sz w:val="20"/>
          <w:szCs w:val="20"/>
        </w:rPr>
        <w:t>providing framework for</w:t>
      </w:r>
      <w:r w:rsidR="00E2403A" w:rsidRPr="00C62087">
        <w:rPr>
          <w:rFonts w:ascii="Times New Roman" w:hAnsi="Times New Roman" w:cs="Times New Roman"/>
          <w:sz w:val="20"/>
          <w:szCs w:val="20"/>
        </w:rPr>
        <w:t xml:space="preserve"> system of:</w:t>
      </w:r>
      <w:r w:rsidR="005A36EC">
        <w:rPr>
          <w:rFonts w:ascii="Times New Roman" w:hAnsi="Times New Roman" w:cs="Times New Roman"/>
          <w:sz w:val="20"/>
          <w:szCs w:val="20"/>
        </w:rPr>
        <w:t xml:space="preserve"> (1) </w:t>
      </w:r>
      <w:r w:rsidR="00E2403A" w:rsidRPr="005A36EC">
        <w:rPr>
          <w:rFonts w:ascii="Times New Roman" w:hAnsi="Times New Roman" w:cs="Times New Roman"/>
          <w:sz w:val="20"/>
          <w:szCs w:val="20"/>
        </w:rPr>
        <w:t>nuclear safety, including safety and security of nuclear facilities, safety of radioactive waste and spent nuclear fuel, etc.</w:t>
      </w:r>
      <w:r w:rsidR="005A36EC">
        <w:rPr>
          <w:rFonts w:ascii="Times New Roman" w:hAnsi="Times New Roman" w:cs="Times New Roman"/>
          <w:sz w:val="20"/>
          <w:szCs w:val="20"/>
        </w:rPr>
        <w:t xml:space="preserve"> (2) </w:t>
      </w:r>
      <w:r w:rsidR="00E2403A" w:rsidRPr="005A36EC">
        <w:rPr>
          <w:rFonts w:ascii="Times New Roman" w:hAnsi="Times New Roman" w:cs="Times New Roman"/>
          <w:sz w:val="20"/>
          <w:szCs w:val="20"/>
        </w:rPr>
        <w:t>radiological protection</w:t>
      </w:r>
      <w:r w:rsidR="005A36EC">
        <w:rPr>
          <w:rFonts w:ascii="Times New Roman" w:hAnsi="Times New Roman" w:cs="Times New Roman"/>
          <w:sz w:val="20"/>
          <w:szCs w:val="20"/>
        </w:rPr>
        <w:t xml:space="preserve">, (3) </w:t>
      </w:r>
      <w:r w:rsidR="00E2403A" w:rsidRPr="005A36EC">
        <w:rPr>
          <w:rFonts w:ascii="Times New Roman" w:hAnsi="Times New Roman" w:cs="Times New Roman"/>
          <w:sz w:val="20"/>
          <w:szCs w:val="20"/>
        </w:rPr>
        <w:t>physical protection of nuclear facilities and nuclear material</w:t>
      </w:r>
      <w:r w:rsidR="005A36EC">
        <w:rPr>
          <w:rFonts w:ascii="Times New Roman" w:hAnsi="Times New Roman" w:cs="Times New Roman"/>
          <w:sz w:val="20"/>
          <w:szCs w:val="20"/>
        </w:rPr>
        <w:t xml:space="preserve">, (4) </w:t>
      </w:r>
      <w:r w:rsidR="00A53BBE">
        <w:rPr>
          <w:rFonts w:ascii="Times New Roman" w:hAnsi="Times New Roman" w:cs="Times New Roman"/>
          <w:sz w:val="20"/>
          <w:szCs w:val="20"/>
        </w:rPr>
        <w:t>safeguards</w:t>
      </w:r>
      <w:r w:rsidR="005A36EC">
        <w:rPr>
          <w:rFonts w:ascii="Times New Roman" w:hAnsi="Times New Roman" w:cs="Times New Roman"/>
          <w:sz w:val="20"/>
          <w:szCs w:val="20"/>
        </w:rPr>
        <w:t xml:space="preserve">, (5) </w:t>
      </w:r>
      <w:r w:rsidR="009B6B09" w:rsidRPr="005A36EC">
        <w:rPr>
          <w:rFonts w:ascii="Times New Roman" w:hAnsi="Times New Roman" w:cs="Times New Roman"/>
          <w:sz w:val="20"/>
          <w:szCs w:val="20"/>
        </w:rPr>
        <w:t>civil liability for nuclear damage</w:t>
      </w:r>
      <w:r w:rsidR="00FE0F87">
        <w:rPr>
          <w:rFonts w:ascii="Times New Roman" w:hAnsi="Times New Roman" w:cs="Times New Roman"/>
          <w:sz w:val="20"/>
          <w:szCs w:val="20"/>
        </w:rPr>
        <w:t xml:space="preserve">. </w:t>
      </w:r>
    </w:p>
    <w:p w:rsidR="006F09FE" w:rsidRDefault="00615878" w:rsidP="00FE0F87">
      <w:pPr>
        <w:autoSpaceDE w:val="0"/>
        <w:autoSpaceDN w:val="0"/>
        <w:adjustRightIn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Act establishes </w:t>
      </w:r>
      <w:r w:rsidR="009B6B09" w:rsidRPr="00C62087">
        <w:rPr>
          <w:rFonts w:ascii="Times New Roman" w:hAnsi="Times New Roman" w:cs="Times New Roman"/>
          <w:sz w:val="20"/>
          <w:szCs w:val="20"/>
        </w:rPr>
        <w:t xml:space="preserve">the Nuclear Regulatory Body </w:t>
      </w:r>
      <w:r w:rsidR="0075255C">
        <w:rPr>
          <w:rFonts w:ascii="Times New Roman" w:hAnsi="Times New Roman" w:cs="Times New Roman"/>
          <w:sz w:val="20"/>
          <w:szCs w:val="20"/>
        </w:rPr>
        <w:t xml:space="preserve">i.e. the President of the National Atomic Energy Agency </w:t>
      </w:r>
      <w:r w:rsidR="009B6B09" w:rsidRPr="00C62087">
        <w:rPr>
          <w:rFonts w:ascii="Times New Roman" w:hAnsi="Times New Roman" w:cs="Times New Roman"/>
          <w:sz w:val="20"/>
          <w:szCs w:val="20"/>
        </w:rPr>
        <w:t>and specifies its role, structure, responsibiliti</w:t>
      </w:r>
      <w:r w:rsidR="00C86D16" w:rsidRPr="00C62087">
        <w:rPr>
          <w:rFonts w:ascii="Times New Roman" w:hAnsi="Times New Roman" w:cs="Times New Roman"/>
          <w:sz w:val="20"/>
          <w:szCs w:val="20"/>
        </w:rPr>
        <w:t xml:space="preserve">es as well as advisory bodies. </w:t>
      </w:r>
      <w:r w:rsidR="009B6B09" w:rsidRPr="00C62087">
        <w:rPr>
          <w:rFonts w:ascii="Times New Roman" w:hAnsi="Times New Roman" w:cs="Times New Roman"/>
          <w:sz w:val="20"/>
          <w:szCs w:val="20"/>
        </w:rPr>
        <w:t xml:space="preserve">The </w:t>
      </w:r>
      <w:r>
        <w:rPr>
          <w:rFonts w:ascii="Times New Roman" w:hAnsi="Times New Roman" w:cs="Times New Roman"/>
          <w:sz w:val="20"/>
          <w:szCs w:val="20"/>
        </w:rPr>
        <w:t>Act</w:t>
      </w:r>
      <w:r w:rsidR="009B6B09" w:rsidRPr="00C62087">
        <w:rPr>
          <w:rFonts w:ascii="Times New Roman" w:hAnsi="Times New Roman" w:cs="Times New Roman"/>
          <w:sz w:val="20"/>
          <w:szCs w:val="20"/>
        </w:rPr>
        <w:t xml:space="preserve"> provides </w:t>
      </w:r>
      <w:r>
        <w:rPr>
          <w:rFonts w:ascii="Times New Roman" w:hAnsi="Times New Roman" w:cs="Times New Roman"/>
          <w:sz w:val="20"/>
          <w:szCs w:val="20"/>
        </w:rPr>
        <w:t xml:space="preserve">also </w:t>
      </w:r>
      <w:r w:rsidR="009B6B09" w:rsidRPr="00C62087">
        <w:rPr>
          <w:rFonts w:ascii="Times New Roman" w:hAnsi="Times New Roman" w:cs="Times New Roman"/>
          <w:sz w:val="20"/>
          <w:szCs w:val="20"/>
        </w:rPr>
        <w:t>framework for licensing pr</w:t>
      </w:r>
      <w:r w:rsidR="00C86D16" w:rsidRPr="00C62087">
        <w:rPr>
          <w:rFonts w:ascii="Times New Roman" w:hAnsi="Times New Roman" w:cs="Times New Roman"/>
          <w:sz w:val="20"/>
          <w:szCs w:val="20"/>
        </w:rPr>
        <w:t>ocess of nuclear installlations specifying i.a. general safety requirements to be met by the licence applicants with more detailed requirements determined in the implementing regulations.</w:t>
      </w:r>
      <w:r w:rsidR="00A53BBE">
        <w:rPr>
          <w:rFonts w:ascii="Times New Roman" w:hAnsi="Times New Roman" w:cs="Times New Roman"/>
          <w:sz w:val="20"/>
          <w:szCs w:val="20"/>
        </w:rPr>
        <w:t xml:space="preserve"> </w:t>
      </w:r>
    </w:p>
    <w:p w:rsidR="00751F1F" w:rsidRPr="002A163D" w:rsidRDefault="00751F1F" w:rsidP="00751F1F">
      <w:pPr>
        <w:autoSpaceDE w:val="0"/>
        <w:autoSpaceDN w:val="0"/>
        <w:adjustRightInd w:val="0"/>
        <w:spacing w:after="0" w:line="240" w:lineRule="auto"/>
        <w:ind w:firstLine="360"/>
        <w:jc w:val="both"/>
        <w:rPr>
          <w:rFonts w:ascii="Times New Roman" w:hAnsi="Times New Roman" w:cs="Times New Roman"/>
          <w:sz w:val="20"/>
          <w:szCs w:val="20"/>
        </w:rPr>
      </w:pPr>
      <w:r w:rsidRPr="002A163D">
        <w:rPr>
          <w:rFonts w:ascii="Times New Roman" w:hAnsi="Times New Roman" w:cs="Times New Roman"/>
          <w:sz w:val="20"/>
          <w:szCs w:val="20"/>
        </w:rPr>
        <w:lastRenderedPageBreak/>
        <w:t>At the time when the Polish Energy Policy until 2040 was adopted the Atomic Law Act was already well developed</w:t>
      </w:r>
      <w:r w:rsidR="00D1508A" w:rsidRPr="002A163D">
        <w:rPr>
          <w:rFonts w:ascii="Times New Roman" w:hAnsi="Times New Roman" w:cs="Times New Roman"/>
          <w:sz w:val="20"/>
          <w:szCs w:val="20"/>
        </w:rPr>
        <w:t xml:space="preserve"> comprehensive nuclear act</w:t>
      </w:r>
      <w:r w:rsidRPr="002A163D">
        <w:rPr>
          <w:rFonts w:ascii="Times New Roman" w:hAnsi="Times New Roman" w:cs="Times New Roman"/>
          <w:sz w:val="20"/>
          <w:szCs w:val="20"/>
        </w:rPr>
        <w:t xml:space="preserve">. As a result the 2023 legislation introduced only few but significant changes to that law.  </w:t>
      </w:r>
      <w:r w:rsidR="00D1508A" w:rsidRPr="002A163D">
        <w:rPr>
          <w:rFonts w:ascii="Times New Roman" w:hAnsi="Times New Roman" w:cs="Times New Roman"/>
          <w:sz w:val="20"/>
          <w:szCs w:val="20"/>
        </w:rPr>
        <w:t xml:space="preserve">Currently </w:t>
      </w:r>
      <w:r w:rsidRPr="002A163D">
        <w:rPr>
          <w:rFonts w:ascii="Times New Roman" w:hAnsi="Times New Roman" w:cs="Times New Roman"/>
          <w:sz w:val="20"/>
          <w:szCs w:val="20"/>
        </w:rPr>
        <w:t xml:space="preserve">Atomic Law Act consists of many provisions aimed at faciliating licensing procedures e.g. prelicensing instruments. </w:t>
      </w:r>
    </w:p>
    <w:p w:rsidR="00751F1F" w:rsidRPr="002A163D" w:rsidRDefault="00C86D16" w:rsidP="00FE0F87">
      <w:pPr>
        <w:autoSpaceDE w:val="0"/>
        <w:autoSpaceDN w:val="0"/>
        <w:adjustRightInd w:val="0"/>
        <w:spacing w:after="0" w:line="240" w:lineRule="auto"/>
        <w:ind w:firstLine="360"/>
        <w:jc w:val="both"/>
        <w:rPr>
          <w:rFonts w:ascii="Times New Roman" w:hAnsi="Times New Roman" w:cs="Times New Roman"/>
          <w:sz w:val="20"/>
          <w:szCs w:val="20"/>
        </w:rPr>
      </w:pPr>
      <w:r w:rsidRPr="002A163D">
        <w:rPr>
          <w:rFonts w:ascii="Times New Roman" w:hAnsi="Times New Roman" w:cs="Times New Roman"/>
          <w:sz w:val="20"/>
          <w:szCs w:val="20"/>
        </w:rPr>
        <w:t xml:space="preserve">From the European perspective it should be noted that Poland is a party of the European Atomic Energy Community. Through Atomic Law Act </w:t>
      </w:r>
      <w:r w:rsidR="00A53BBE" w:rsidRPr="002A163D">
        <w:rPr>
          <w:rFonts w:ascii="Times New Roman" w:hAnsi="Times New Roman" w:cs="Times New Roman"/>
          <w:sz w:val="20"/>
          <w:szCs w:val="20"/>
        </w:rPr>
        <w:t>all</w:t>
      </w:r>
      <w:r w:rsidRPr="002A163D">
        <w:rPr>
          <w:rFonts w:ascii="Times New Roman" w:hAnsi="Times New Roman" w:cs="Times New Roman"/>
          <w:sz w:val="20"/>
          <w:szCs w:val="20"/>
        </w:rPr>
        <w:t xml:space="preserve"> European directives adopted under the Treaty have been imple</w:t>
      </w:r>
      <w:r w:rsidR="005D7600" w:rsidRPr="002A163D">
        <w:rPr>
          <w:rFonts w:ascii="Times New Roman" w:hAnsi="Times New Roman" w:cs="Times New Roman"/>
          <w:sz w:val="20"/>
          <w:szCs w:val="20"/>
        </w:rPr>
        <w:t>mented into Polish legal system.</w:t>
      </w:r>
      <w:r w:rsidR="00FE0F87" w:rsidRPr="002A163D">
        <w:rPr>
          <w:rFonts w:ascii="Times New Roman" w:hAnsi="Times New Roman" w:cs="Times New Roman"/>
          <w:sz w:val="20"/>
          <w:szCs w:val="20"/>
        </w:rPr>
        <w:t xml:space="preserve"> </w:t>
      </w:r>
    </w:p>
    <w:p w:rsidR="00694469" w:rsidRPr="002A163D" w:rsidRDefault="00BD40C6" w:rsidP="00751F1F">
      <w:pPr>
        <w:autoSpaceDE w:val="0"/>
        <w:autoSpaceDN w:val="0"/>
        <w:adjustRightInd w:val="0"/>
        <w:spacing w:after="0" w:line="240" w:lineRule="auto"/>
        <w:ind w:firstLine="360"/>
        <w:jc w:val="both"/>
        <w:rPr>
          <w:rFonts w:ascii="Times New Roman" w:hAnsi="Times New Roman" w:cs="Times New Roman"/>
          <w:sz w:val="20"/>
          <w:szCs w:val="20"/>
        </w:rPr>
      </w:pPr>
      <w:r w:rsidRPr="002A163D">
        <w:rPr>
          <w:rFonts w:ascii="Times New Roman" w:hAnsi="Times New Roman" w:cs="Times New Roman"/>
          <w:sz w:val="20"/>
          <w:szCs w:val="20"/>
        </w:rPr>
        <w:t>The Atomic Law Act is supplemented by over 40 implementing regulations contai</w:t>
      </w:r>
      <w:r w:rsidR="00E2403A" w:rsidRPr="002A163D">
        <w:rPr>
          <w:rFonts w:ascii="Times New Roman" w:hAnsi="Times New Roman" w:cs="Times New Roman"/>
          <w:sz w:val="20"/>
          <w:szCs w:val="20"/>
        </w:rPr>
        <w:t>ning among others very detailed requirements covering all stages of the nuclear power plant lifecycle (from siting to decommissioning).</w:t>
      </w:r>
      <w:r w:rsidR="00751F1F" w:rsidRPr="002A163D">
        <w:rPr>
          <w:rFonts w:ascii="Times New Roman" w:hAnsi="Times New Roman" w:cs="Times New Roman"/>
          <w:sz w:val="20"/>
          <w:szCs w:val="20"/>
        </w:rPr>
        <w:t xml:space="preserve"> Some of the aforementioned regulations are supplemented with the </w:t>
      </w:r>
      <w:r w:rsidR="00D1508A" w:rsidRPr="002A163D">
        <w:rPr>
          <w:rFonts w:ascii="Times New Roman" w:hAnsi="Times New Roman" w:cs="Times New Roman"/>
          <w:sz w:val="20"/>
          <w:szCs w:val="20"/>
        </w:rPr>
        <w:t xml:space="preserve">relevant </w:t>
      </w:r>
      <w:r w:rsidR="00751F1F" w:rsidRPr="002A163D">
        <w:rPr>
          <w:rFonts w:ascii="Times New Roman" w:hAnsi="Times New Roman" w:cs="Times New Roman"/>
          <w:sz w:val="20"/>
          <w:szCs w:val="20"/>
        </w:rPr>
        <w:t>regulatory guides.</w:t>
      </w:r>
    </w:p>
    <w:p w:rsidR="00E2403A" w:rsidRPr="002A163D" w:rsidRDefault="00E2403A" w:rsidP="00C62087">
      <w:pPr>
        <w:autoSpaceDE w:val="0"/>
        <w:autoSpaceDN w:val="0"/>
        <w:adjustRightInd w:val="0"/>
        <w:spacing w:after="0" w:line="240" w:lineRule="auto"/>
        <w:jc w:val="both"/>
        <w:rPr>
          <w:rFonts w:ascii="Times New Roman" w:hAnsi="Times New Roman" w:cs="Times New Roman"/>
          <w:sz w:val="20"/>
          <w:szCs w:val="20"/>
        </w:rPr>
      </w:pPr>
    </w:p>
    <w:p w:rsidR="00E2403A" w:rsidRPr="002A163D" w:rsidRDefault="00C86D16" w:rsidP="009A6A81">
      <w:pPr>
        <w:autoSpaceDE w:val="0"/>
        <w:autoSpaceDN w:val="0"/>
        <w:adjustRightInd w:val="0"/>
        <w:spacing w:after="0" w:line="240" w:lineRule="auto"/>
        <w:jc w:val="both"/>
        <w:rPr>
          <w:rFonts w:ascii="Times New Roman" w:hAnsi="Times New Roman" w:cs="Times New Roman"/>
          <w:i/>
          <w:sz w:val="20"/>
        </w:rPr>
      </w:pPr>
      <w:r w:rsidRPr="002A163D">
        <w:rPr>
          <w:rFonts w:ascii="Times New Roman" w:hAnsi="Times New Roman" w:cs="Times New Roman"/>
          <w:i/>
          <w:sz w:val="20"/>
        </w:rPr>
        <w:t>2.2</w:t>
      </w:r>
      <w:r w:rsidR="00981697" w:rsidRPr="002A163D">
        <w:rPr>
          <w:rFonts w:ascii="Times New Roman" w:hAnsi="Times New Roman" w:cs="Times New Roman"/>
          <w:i/>
          <w:sz w:val="20"/>
        </w:rPr>
        <w:t>.2</w:t>
      </w:r>
      <w:r w:rsidRPr="002A163D">
        <w:rPr>
          <w:rFonts w:ascii="Times New Roman" w:hAnsi="Times New Roman" w:cs="Times New Roman"/>
          <w:i/>
          <w:sz w:val="20"/>
        </w:rPr>
        <w:t xml:space="preserve"> </w:t>
      </w:r>
      <w:r w:rsidR="00E2403A" w:rsidRPr="002A163D">
        <w:rPr>
          <w:rFonts w:ascii="Times New Roman" w:hAnsi="Times New Roman" w:cs="Times New Roman"/>
          <w:i/>
          <w:sz w:val="20"/>
        </w:rPr>
        <w:t xml:space="preserve">Nuclear Investment Special Act  </w:t>
      </w:r>
    </w:p>
    <w:p w:rsidR="0075255C" w:rsidRPr="002A163D" w:rsidRDefault="0075255C" w:rsidP="00751F1F">
      <w:pPr>
        <w:autoSpaceDE w:val="0"/>
        <w:autoSpaceDN w:val="0"/>
        <w:adjustRightInd w:val="0"/>
        <w:spacing w:after="0" w:line="240" w:lineRule="auto"/>
        <w:jc w:val="both"/>
        <w:rPr>
          <w:rFonts w:ascii="Times New Roman" w:hAnsi="Times New Roman" w:cs="Times New Roman"/>
          <w:sz w:val="20"/>
          <w:szCs w:val="20"/>
        </w:rPr>
      </w:pPr>
    </w:p>
    <w:p w:rsidR="0075255C" w:rsidRPr="0075255C" w:rsidRDefault="007A4342" w:rsidP="007A4342">
      <w:pPr>
        <w:autoSpaceDE w:val="0"/>
        <w:autoSpaceDN w:val="0"/>
        <w:adjustRightInd w:val="0"/>
        <w:spacing w:after="0" w:line="240" w:lineRule="auto"/>
        <w:ind w:firstLine="360"/>
        <w:jc w:val="both"/>
        <w:rPr>
          <w:rFonts w:ascii="Times New Roman" w:hAnsi="Times New Roman" w:cs="Times New Roman"/>
          <w:sz w:val="20"/>
          <w:szCs w:val="24"/>
        </w:rPr>
      </w:pPr>
      <w:r w:rsidRPr="002A163D">
        <w:rPr>
          <w:rFonts w:ascii="Times New Roman" w:hAnsi="Times New Roman" w:cs="Times New Roman"/>
          <w:sz w:val="20"/>
          <w:szCs w:val="20"/>
        </w:rPr>
        <w:t>In compare to most other countries specific feature of Polish nuclear legal framework is that apart from comprehensive nuclear law act there is also in place a separate la</w:t>
      </w:r>
      <w:r w:rsidRPr="002A163D">
        <w:rPr>
          <w:rFonts w:ascii="Times New Roman" w:hAnsi="Times New Roman" w:cs="Times New Roman"/>
          <w:sz w:val="20"/>
          <w:szCs w:val="20"/>
        </w:rPr>
        <w:t>w applicable to nuclear power plants</w:t>
      </w:r>
      <w:r w:rsidRPr="002A163D">
        <w:rPr>
          <w:rFonts w:ascii="Times New Roman" w:hAnsi="Times New Roman" w:cs="Times New Roman"/>
          <w:sz w:val="20"/>
          <w:szCs w:val="20"/>
        </w:rPr>
        <w:t xml:space="preserve"> aimed at </w:t>
      </w:r>
      <w:r w:rsidRPr="002A163D">
        <w:rPr>
          <w:rFonts w:ascii="Times New Roman" w:eastAsia="Times New Roman" w:hAnsi="Times New Roman" w:cs="Times New Roman"/>
          <w:color w:val="000000"/>
          <w:sz w:val="20"/>
          <w:szCs w:val="20"/>
        </w:rPr>
        <w:t>promoting</w:t>
      </w:r>
      <w:r w:rsidRPr="002A163D">
        <w:rPr>
          <w:rFonts w:ascii="Times New Roman" w:eastAsia="Times New Roman" w:hAnsi="Times New Roman" w:cs="Times New Roman"/>
          <w:color w:val="000000"/>
          <w:sz w:val="20"/>
          <w:szCs w:val="20"/>
        </w:rPr>
        <w:t xml:space="preserve"> – Nuclear Investment Special Act</w:t>
      </w:r>
      <w:r w:rsidRPr="002A163D">
        <w:rPr>
          <w:rFonts w:ascii="Times New Roman" w:hAnsi="Times New Roman" w:cs="Times New Roman"/>
          <w:sz w:val="20"/>
          <w:szCs w:val="20"/>
        </w:rPr>
        <w:t>.</w:t>
      </w:r>
      <w:r w:rsidRPr="002A163D">
        <w:rPr>
          <w:rFonts w:ascii="Times New Roman" w:hAnsi="Times New Roman" w:cs="Times New Roman"/>
          <w:sz w:val="20"/>
          <w:szCs w:val="24"/>
        </w:rPr>
        <w:t xml:space="preserve"> </w:t>
      </w:r>
      <w:r w:rsidR="0075255C" w:rsidRPr="002A163D">
        <w:rPr>
          <w:rFonts w:ascii="Times New Roman" w:hAnsi="Times New Roman" w:cs="Times New Roman"/>
          <w:sz w:val="20"/>
          <w:szCs w:val="24"/>
        </w:rPr>
        <w:t>While the primary objective of the Atomic Law Act with regards to nuclear power plants is to ensure high level of nuclear safety, the Nuclear Investment Special Act (NISA)</w:t>
      </w:r>
      <w:r w:rsidR="00D1508A" w:rsidRPr="002A163D">
        <w:rPr>
          <w:rFonts w:ascii="Times New Roman" w:hAnsi="Times New Roman" w:cs="Times New Roman"/>
          <w:sz w:val="20"/>
          <w:szCs w:val="24"/>
        </w:rPr>
        <w:t xml:space="preserve"> [5]</w:t>
      </w:r>
      <w:r w:rsidR="0075255C" w:rsidRPr="002A163D">
        <w:rPr>
          <w:rFonts w:ascii="Times New Roman" w:hAnsi="Times New Roman" w:cs="Times New Roman"/>
          <w:sz w:val="20"/>
          <w:szCs w:val="24"/>
        </w:rPr>
        <w:t xml:space="preserve"> is the l</w:t>
      </w:r>
      <w:r w:rsidR="0075255C">
        <w:rPr>
          <w:rFonts w:ascii="Times New Roman" w:hAnsi="Times New Roman" w:cs="Times New Roman"/>
          <w:sz w:val="20"/>
          <w:szCs w:val="24"/>
        </w:rPr>
        <w:t xml:space="preserve">egal instrument </w:t>
      </w:r>
      <w:r w:rsidR="0075255C">
        <w:rPr>
          <w:rFonts w:ascii="Times New Roman" w:hAnsi="Times New Roman" w:cs="Times New Roman"/>
          <w:sz w:val="20"/>
          <w:szCs w:val="24"/>
        </w:rPr>
        <w:t>serving completely different purposes</w:t>
      </w:r>
      <w:r w:rsidR="0075255C">
        <w:rPr>
          <w:rFonts w:ascii="Times New Roman" w:hAnsi="Times New Roman" w:cs="Times New Roman"/>
          <w:sz w:val="20"/>
          <w:szCs w:val="24"/>
        </w:rPr>
        <w:t xml:space="preserve"> - </w:t>
      </w:r>
      <w:r w:rsidR="0075255C" w:rsidRPr="00C62087">
        <w:rPr>
          <w:rFonts w:ascii="Times New Roman" w:hAnsi="Times New Roman" w:cs="Times New Roman"/>
          <w:sz w:val="20"/>
          <w:szCs w:val="24"/>
        </w:rPr>
        <w:t>to</w:t>
      </w:r>
      <w:r w:rsidR="0075255C">
        <w:rPr>
          <w:rFonts w:ascii="Times New Roman" w:hAnsi="Times New Roman" w:cs="Times New Roman"/>
          <w:sz w:val="20"/>
          <w:szCs w:val="24"/>
        </w:rPr>
        <w:t xml:space="preserve"> </w:t>
      </w:r>
      <w:r w:rsidR="0075255C" w:rsidRPr="007A4342">
        <w:rPr>
          <w:rFonts w:ascii="Times New Roman" w:hAnsi="Times New Roman" w:cs="Times New Roman"/>
          <w:b/>
          <w:sz w:val="20"/>
          <w:szCs w:val="24"/>
        </w:rPr>
        <w:t>facilitate</w:t>
      </w:r>
      <w:r w:rsidR="0075255C" w:rsidRPr="007A4342">
        <w:rPr>
          <w:rFonts w:ascii="Times New Roman" w:hAnsi="Times New Roman" w:cs="Times New Roman"/>
          <w:b/>
          <w:sz w:val="20"/>
          <w:szCs w:val="24"/>
        </w:rPr>
        <w:t xml:space="preserve"> implementation of nuclear power investment projects</w:t>
      </w:r>
      <w:r w:rsidR="0075255C">
        <w:rPr>
          <w:rFonts w:ascii="Times New Roman" w:hAnsi="Times New Roman" w:cs="Times New Roman"/>
          <w:sz w:val="20"/>
          <w:szCs w:val="24"/>
        </w:rPr>
        <w:t xml:space="preserve">. </w:t>
      </w:r>
      <w:r w:rsidR="0075255C">
        <w:rPr>
          <w:rFonts w:ascii="Times New Roman" w:eastAsia="Times New Roman" w:hAnsi="Times New Roman" w:cs="Times New Roman"/>
          <w:color w:val="000000"/>
          <w:sz w:val="20"/>
          <w:szCs w:val="20"/>
        </w:rPr>
        <w:t xml:space="preserve">To achieve that goal this Act provides for </w:t>
      </w:r>
      <w:r w:rsidR="0075255C" w:rsidRPr="001E0128">
        <w:rPr>
          <w:rFonts w:ascii="Times New Roman" w:eastAsia="Times New Roman" w:hAnsi="Times New Roman" w:cs="Times New Roman"/>
          <w:color w:val="000000"/>
          <w:sz w:val="20"/>
          <w:szCs w:val="20"/>
        </w:rPr>
        <w:t>number of measures aimed at:</w:t>
      </w:r>
    </w:p>
    <w:p w:rsidR="0075255C" w:rsidRDefault="0075255C" w:rsidP="0075255C">
      <w:pPr>
        <w:pStyle w:val="Akapitzlist"/>
        <w:numPr>
          <w:ilvl w:val="0"/>
          <w:numId w:val="18"/>
        </w:numPr>
        <w:rPr>
          <w:rFonts w:ascii="Times New Roman" w:eastAsia="Times New Roman" w:hAnsi="Times New Roman" w:cs="Times New Roman"/>
          <w:color w:val="000000"/>
          <w:sz w:val="20"/>
          <w:szCs w:val="20"/>
        </w:rPr>
      </w:pPr>
      <w:r w:rsidRPr="001E0128">
        <w:rPr>
          <w:rFonts w:ascii="Times New Roman" w:eastAsia="Times New Roman" w:hAnsi="Times New Roman" w:cs="Times New Roman"/>
          <w:color w:val="000000"/>
          <w:sz w:val="20"/>
          <w:szCs w:val="20"/>
        </w:rPr>
        <w:t>streamlining non-nuclear safety permitting procedures required to site and</w:t>
      </w:r>
      <w:r w:rsidR="007A4342">
        <w:rPr>
          <w:rFonts w:ascii="Times New Roman" w:eastAsia="Times New Roman" w:hAnsi="Times New Roman" w:cs="Times New Roman"/>
          <w:color w:val="000000"/>
          <w:sz w:val="20"/>
          <w:szCs w:val="20"/>
        </w:rPr>
        <w:t xml:space="preserve"> construct nuclear power plants</w:t>
      </w:r>
      <w:r w:rsidRPr="001E0128">
        <w:rPr>
          <w:rFonts w:ascii="Times New Roman" w:eastAsia="Times New Roman" w:hAnsi="Times New Roman" w:cs="Times New Roman"/>
          <w:color w:val="000000"/>
          <w:sz w:val="20"/>
          <w:szCs w:val="20"/>
        </w:rPr>
        <w:t>;</w:t>
      </w:r>
    </w:p>
    <w:p w:rsidR="0075255C" w:rsidRDefault="0075255C" w:rsidP="007A4342">
      <w:pPr>
        <w:pStyle w:val="Akapitzlist"/>
        <w:numPr>
          <w:ilvl w:val="0"/>
          <w:numId w:val="18"/>
        </w:numPr>
        <w:spacing w:after="0" w:line="240" w:lineRule="auto"/>
        <w:rPr>
          <w:rFonts w:ascii="Times New Roman" w:eastAsia="Times New Roman" w:hAnsi="Times New Roman" w:cs="Times New Roman"/>
          <w:color w:val="000000"/>
          <w:sz w:val="20"/>
          <w:szCs w:val="20"/>
        </w:rPr>
      </w:pPr>
      <w:r w:rsidRPr="001E0128">
        <w:rPr>
          <w:rFonts w:ascii="Times New Roman" w:eastAsia="Times New Roman" w:hAnsi="Times New Roman" w:cs="Times New Roman"/>
          <w:color w:val="000000"/>
          <w:sz w:val="20"/>
          <w:szCs w:val="20"/>
        </w:rPr>
        <w:t>facilitation of various stages of the investment process by providing a number of incentives to investors (such as administrative “fast-track” to construct accompanying infrastructure (</w:t>
      </w:r>
      <w:r>
        <w:rPr>
          <w:rFonts w:ascii="Times New Roman" w:eastAsia="Times New Roman" w:hAnsi="Times New Roman" w:cs="Times New Roman"/>
          <w:color w:val="000000"/>
          <w:sz w:val="20"/>
          <w:szCs w:val="20"/>
        </w:rPr>
        <w:t xml:space="preserve">e.g. </w:t>
      </w:r>
      <w:r w:rsidRPr="001E0128">
        <w:rPr>
          <w:rFonts w:ascii="Times New Roman" w:eastAsia="Times New Roman" w:hAnsi="Times New Roman" w:cs="Times New Roman"/>
          <w:color w:val="000000"/>
          <w:sz w:val="20"/>
          <w:szCs w:val="20"/>
        </w:rPr>
        <w:t>energy lines</w:t>
      </w:r>
      <w:r>
        <w:rPr>
          <w:rFonts w:ascii="Times New Roman" w:eastAsia="Times New Roman" w:hAnsi="Times New Roman" w:cs="Times New Roman"/>
          <w:color w:val="000000"/>
          <w:sz w:val="20"/>
          <w:szCs w:val="20"/>
        </w:rPr>
        <w:t>);</w:t>
      </w:r>
    </w:p>
    <w:p w:rsidR="007A4342" w:rsidRPr="007A4342" w:rsidRDefault="0075255C" w:rsidP="007A4342">
      <w:pPr>
        <w:pStyle w:val="Akapitzlist"/>
        <w:numPr>
          <w:ilvl w:val="0"/>
          <w:numId w:val="18"/>
        </w:numPr>
        <w:spacing w:after="0" w:line="240" w:lineRule="auto"/>
        <w:ind w:left="357" w:hanging="357"/>
        <w:rPr>
          <w:rStyle w:val="Uwydatnienie"/>
          <w:rFonts w:ascii="Times New Roman" w:eastAsia="Times New Roman" w:hAnsi="Times New Roman" w:cs="Times New Roman"/>
          <w:i w:val="0"/>
          <w:iCs w:val="0"/>
          <w:color w:val="000000"/>
          <w:sz w:val="20"/>
          <w:szCs w:val="20"/>
        </w:rPr>
      </w:pPr>
      <w:r w:rsidRPr="001E0128">
        <w:rPr>
          <w:rFonts w:ascii="Times New Roman" w:eastAsia="Times New Roman" w:hAnsi="Times New Roman" w:cs="Times New Roman"/>
          <w:color w:val="000000"/>
          <w:sz w:val="20"/>
          <w:szCs w:val="20"/>
        </w:rPr>
        <w:t>reducing policy risks re</w:t>
      </w:r>
      <w:r w:rsidR="007A4342">
        <w:rPr>
          <w:rFonts w:ascii="Times New Roman" w:eastAsia="Times New Roman" w:hAnsi="Times New Roman" w:cs="Times New Roman"/>
          <w:color w:val="000000"/>
          <w:sz w:val="20"/>
          <w:szCs w:val="20"/>
        </w:rPr>
        <w:t>lated to the construction of a nuclear power plant</w:t>
      </w:r>
      <w:r>
        <w:rPr>
          <w:rFonts w:ascii="Times New Roman" w:eastAsia="Times New Roman" w:hAnsi="Times New Roman" w:cs="Times New Roman"/>
          <w:color w:val="000000"/>
          <w:sz w:val="20"/>
          <w:szCs w:val="20"/>
        </w:rPr>
        <w:t>.</w:t>
      </w:r>
    </w:p>
    <w:p w:rsidR="007A4342" w:rsidRPr="007A4342" w:rsidRDefault="007A4342" w:rsidP="007A4342">
      <w:pPr>
        <w:autoSpaceDE w:val="0"/>
        <w:autoSpaceDN w:val="0"/>
        <w:adjustRightInd w:val="0"/>
        <w:spacing w:after="0" w:line="240" w:lineRule="auto"/>
        <w:ind w:firstLine="357"/>
        <w:jc w:val="both"/>
        <w:rPr>
          <w:rFonts w:ascii="Times New Roman" w:hAnsi="Times New Roman" w:cs="Times New Roman"/>
          <w:sz w:val="20"/>
          <w:szCs w:val="20"/>
        </w:rPr>
      </w:pPr>
      <w:r w:rsidRPr="007A4342">
        <w:rPr>
          <w:rFonts w:ascii="Times New Roman" w:hAnsi="Times New Roman" w:cs="Times New Roman"/>
          <w:sz w:val="20"/>
          <w:szCs w:val="24"/>
        </w:rPr>
        <w:t xml:space="preserve">Given the above NISA is not a component of comprehensive national nuclear law but rather it should be classified as a law supporting implementation of nuclear power programme. </w:t>
      </w:r>
    </w:p>
    <w:p w:rsidR="007A4342" w:rsidRDefault="007A4342" w:rsidP="007A4342">
      <w:pPr>
        <w:autoSpaceDE w:val="0"/>
        <w:autoSpaceDN w:val="0"/>
        <w:adjustRightInd w:val="0"/>
        <w:spacing w:after="0" w:line="240" w:lineRule="auto"/>
        <w:jc w:val="both"/>
        <w:rPr>
          <w:rFonts w:ascii="Times New Roman" w:hAnsi="Times New Roman" w:cs="Times New Roman"/>
          <w:sz w:val="20"/>
          <w:szCs w:val="20"/>
          <w:highlight w:val="yellow"/>
        </w:rPr>
      </w:pPr>
    </w:p>
    <w:p w:rsidR="0075255C" w:rsidRDefault="007A4342" w:rsidP="007A4342">
      <w:pPr>
        <w:autoSpaceDE w:val="0"/>
        <w:autoSpaceDN w:val="0"/>
        <w:adjustRightInd w:val="0"/>
        <w:spacing w:after="0" w:line="240" w:lineRule="auto"/>
        <w:ind w:firstLine="426"/>
        <w:jc w:val="both"/>
        <w:rPr>
          <w:rFonts w:ascii="Times New Roman" w:hAnsi="Times New Roman" w:cs="Times New Roman"/>
          <w:sz w:val="20"/>
          <w:szCs w:val="24"/>
        </w:rPr>
      </w:pPr>
      <w:r>
        <w:rPr>
          <w:rFonts w:ascii="Times New Roman" w:hAnsi="Times New Roman" w:cs="Times New Roman"/>
          <w:sz w:val="20"/>
          <w:szCs w:val="24"/>
        </w:rPr>
        <w:t>Scheme below presents the structure of NISA and the previously described Atomic Law Act</w:t>
      </w:r>
      <w:r w:rsidR="00751F1F">
        <w:rPr>
          <w:rFonts w:ascii="Times New Roman" w:hAnsi="Times New Roman" w:cs="Times New Roman"/>
          <w:sz w:val="20"/>
          <w:szCs w:val="24"/>
        </w:rPr>
        <w:t>:</w:t>
      </w:r>
    </w:p>
    <w:p w:rsidR="004906AA" w:rsidRDefault="00FB6005" w:rsidP="009A6A8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2D588C7B" wp14:editId="39120833">
                <wp:simplePos x="0" y="0"/>
                <wp:positionH relativeFrom="column">
                  <wp:posOffset>2897848</wp:posOffset>
                </wp:positionH>
                <wp:positionV relativeFrom="paragraph">
                  <wp:posOffset>112601</wp:posOffset>
                </wp:positionV>
                <wp:extent cx="3216447" cy="2084173"/>
                <wp:effectExtent l="0" t="0" r="3175" b="0"/>
                <wp:wrapNone/>
                <wp:docPr id="1" name="Pole tekstowe 1"/>
                <wp:cNvGraphicFramePr/>
                <a:graphic xmlns:a="http://schemas.openxmlformats.org/drawingml/2006/main">
                  <a:graphicData uri="http://schemas.microsoft.com/office/word/2010/wordprocessingShape">
                    <wps:wsp>
                      <wps:cNvSpPr txBox="1"/>
                      <wps:spPr>
                        <a:xfrm>
                          <a:off x="0" y="0"/>
                          <a:ext cx="3216447" cy="2084173"/>
                        </a:xfrm>
                        <a:prstGeom prst="rect">
                          <a:avLst/>
                        </a:prstGeom>
                        <a:solidFill>
                          <a:schemeClr val="lt1"/>
                        </a:solidFill>
                        <a:ln w="6350">
                          <a:noFill/>
                        </a:ln>
                      </wps:spPr>
                      <wps:txbx>
                        <w:txbxContent>
                          <w:tbl>
                            <w:tblPr>
                              <w:tblStyle w:val="Tabela-Siatka"/>
                              <w:tblW w:w="4678" w:type="dxa"/>
                              <w:tblInd w:w="-5" w:type="dxa"/>
                              <w:tblLook w:val="04A0" w:firstRow="1" w:lastRow="0" w:firstColumn="1" w:lastColumn="0" w:noHBand="0" w:noVBand="1"/>
                            </w:tblPr>
                            <w:tblGrid>
                              <w:gridCol w:w="4678"/>
                            </w:tblGrid>
                            <w:tr w:rsidR="0056191C" w:rsidRPr="00192AD9" w:rsidTr="00540733">
                              <w:tc>
                                <w:tcPr>
                                  <w:tcW w:w="4678" w:type="dxa"/>
                                  <w:shd w:val="clear" w:color="auto" w:fill="DEEAF6" w:themeFill="accent1" w:themeFillTint="33"/>
                                </w:tcPr>
                                <w:p w:rsidR="0056191C" w:rsidRPr="004906AA" w:rsidRDefault="0056191C" w:rsidP="004906AA">
                                  <w:pPr>
                                    <w:autoSpaceDE w:val="0"/>
                                    <w:autoSpaceDN w:val="0"/>
                                    <w:adjustRightInd w:val="0"/>
                                    <w:rPr>
                                      <w:rFonts w:ascii="Times New Roman" w:hAnsi="Times New Roman" w:cs="Times New Roman"/>
                                      <w:b/>
                                      <w:sz w:val="4"/>
                                      <w:szCs w:val="4"/>
                                    </w:rPr>
                                  </w:pPr>
                                </w:p>
                                <w:p w:rsidR="0056191C" w:rsidRDefault="0056191C" w:rsidP="00FB6005">
                                  <w:pPr>
                                    <w:autoSpaceDE w:val="0"/>
                                    <w:autoSpaceDN w:val="0"/>
                                    <w:adjustRightInd w:val="0"/>
                                    <w:jc w:val="center"/>
                                    <w:rPr>
                                      <w:rFonts w:ascii="Times New Roman" w:hAnsi="Times New Roman" w:cs="Times New Roman"/>
                                      <w:b/>
                                      <w:sz w:val="18"/>
                                      <w:szCs w:val="18"/>
                                    </w:rPr>
                                  </w:pPr>
                                  <w:r w:rsidRPr="00BD650F">
                                    <w:rPr>
                                      <w:rFonts w:ascii="Times New Roman" w:hAnsi="Times New Roman" w:cs="Times New Roman"/>
                                      <w:b/>
                                      <w:sz w:val="18"/>
                                      <w:szCs w:val="18"/>
                                    </w:rPr>
                                    <w:t>Nuclear Investment Special Act</w:t>
                                  </w:r>
                                </w:p>
                                <w:p w:rsidR="0056191C" w:rsidRPr="004906AA" w:rsidRDefault="0056191C" w:rsidP="00540733">
                                  <w:pPr>
                                    <w:autoSpaceDE w:val="0"/>
                                    <w:autoSpaceDN w:val="0"/>
                                    <w:adjustRightInd w:val="0"/>
                                    <w:jc w:val="center"/>
                                    <w:rPr>
                                      <w:rFonts w:ascii="Times New Roman" w:hAnsi="Times New Roman" w:cs="Times New Roman"/>
                                      <w:b/>
                                      <w:sz w:val="4"/>
                                      <w:szCs w:val="8"/>
                                    </w:rPr>
                                  </w:pPr>
                                </w:p>
                              </w:tc>
                            </w:tr>
                            <w:tr w:rsidR="0056191C" w:rsidRPr="00540733" w:rsidTr="00540733">
                              <w:tc>
                                <w:tcPr>
                                  <w:tcW w:w="4678" w:type="dxa"/>
                                </w:tcPr>
                                <w:p w:rsidR="0056191C" w:rsidRPr="00540733" w:rsidRDefault="0056191C" w:rsidP="00540733">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Chapter 1. General Provisions</w:t>
                                  </w:r>
                                </w:p>
                              </w:tc>
                            </w:tr>
                            <w:tr w:rsidR="0056191C" w:rsidRPr="00540733" w:rsidTr="00540733">
                              <w:tc>
                                <w:tcPr>
                                  <w:tcW w:w="4678" w:type="dxa"/>
                                </w:tcPr>
                                <w:p w:rsidR="0056191C" w:rsidRPr="00540733" w:rsidRDefault="0056191C" w:rsidP="004906AA">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1a. Decision-in-principle </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2. </w:t>
                                  </w:r>
                                  <w:r w:rsidRPr="00540733">
                                    <w:rPr>
                                      <w:rFonts w:ascii="Times New Roman" w:hAnsi="Times New Roman" w:cs="Times New Roman"/>
                                      <w:bCs/>
                                      <w:sz w:val="18"/>
                                      <w:szCs w:val="18"/>
                                      <w:lang w:val="en-GB"/>
                                    </w:rPr>
                                    <w:t>Preparation of the investment with regard to construction of a nuclear power</w:t>
                                  </w:r>
                                  <w:r>
                                    <w:rPr>
                                      <w:rFonts w:ascii="Times New Roman" w:hAnsi="Times New Roman" w:cs="Times New Roman"/>
                                      <w:bCs/>
                                      <w:sz w:val="18"/>
                                      <w:szCs w:val="18"/>
                                      <w:lang w:val="en-GB"/>
                                    </w:rPr>
                                    <w:t xml:space="preserve"> facility</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4. </w:t>
                                  </w:r>
                                  <w:r w:rsidRPr="00540733">
                                    <w:rPr>
                                      <w:rFonts w:ascii="Times New Roman" w:hAnsi="Times New Roman" w:cs="Times New Roman"/>
                                      <w:bCs/>
                                      <w:sz w:val="18"/>
                                      <w:szCs w:val="18"/>
                                      <w:lang w:val="en-GB"/>
                                    </w:rPr>
                                    <w:t xml:space="preserve">Acquiring legal title to real estate and carrying out the investment </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5. </w:t>
                                  </w:r>
                                  <w:r w:rsidRPr="00540733">
                                    <w:rPr>
                                      <w:rFonts w:ascii="Times New Roman" w:hAnsi="Times New Roman" w:cs="Times New Roman"/>
                                      <w:bCs/>
                                      <w:sz w:val="18"/>
                                      <w:szCs w:val="18"/>
                                      <w:lang w:val="en-GB"/>
                                    </w:rPr>
                                    <w:t xml:space="preserve">Administrative proceedings for carrying out the investment </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6. </w:t>
                                  </w:r>
                                  <w:r w:rsidRPr="00540733">
                                    <w:rPr>
                                      <w:rFonts w:ascii="Times New Roman" w:hAnsi="Times New Roman" w:cs="Times New Roman"/>
                                      <w:sz w:val="18"/>
                                      <w:szCs w:val="18"/>
                                      <w:lang w:val="en-GB"/>
                                    </w:rPr>
                                    <w:t xml:space="preserve">Awarding contracts for carrying out the investment </w:t>
                                  </w:r>
                                </w:p>
                              </w:tc>
                            </w:tr>
                            <w:tr w:rsidR="0056191C" w:rsidRPr="00540733" w:rsidTr="00540733">
                              <w:tc>
                                <w:tcPr>
                                  <w:tcW w:w="4678" w:type="dxa"/>
                                </w:tcPr>
                                <w:p w:rsidR="0056191C" w:rsidRPr="00540733" w:rsidRDefault="0056191C" w:rsidP="00540733">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8. </w:t>
                                  </w:r>
                                  <w:r w:rsidRPr="00540733">
                                    <w:rPr>
                                      <w:rFonts w:ascii="Times New Roman" w:hAnsi="Times New Roman" w:cs="Times New Roman"/>
                                      <w:bCs/>
                                      <w:sz w:val="18"/>
                                      <w:szCs w:val="18"/>
                                      <w:lang w:val="en-GB"/>
                                    </w:rPr>
                                    <w:t>Benefit sharing among municipalities in relation to the construction of nuclear power plants</w:t>
                                  </w:r>
                                </w:p>
                              </w:tc>
                            </w:tr>
                            <w:tr w:rsidR="0056191C" w:rsidRPr="00540733" w:rsidTr="00540733">
                              <w:tc>
                                <w:tcPr>
                                  <w:tcW w:w="4678" w:type="dxa"/>
                                </w:tcPr>
                                <w:p w:rsidR="0056191C" w:rsidRPr="00540733" w:rsidRDefault="0056191C" w:rsidP="00540733">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Chapter 10. Instruments to facilitate construction of auxilliary</w:t>
                                  </w:r>
                                  <w:r w:rsidRPr="00540733">
                                    <w:rPr>
                                      <w:rFonts w:ascii="Times New Roman" w:hAnsi="Times New Roman" w:cs="Times New Roman"/>
                                      <w:sz w:val="18"/>
                                      <w:szCs w:val="18"/>
                                      <w:lang w:val="en-GB"/>
                                    </w:rPr>
                                    <w:t xml:space="preserve"> investments</w:t>
                                  </w:r>
                                </w:p>
                              </w:tc>
                            </w:tr>
                          </w:tbl>
                          <w:p w:rsidR="0056191C" w:rsidRDefault="0056191C" w:rsidP="00490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88C7B" id="_x0000_t202" coordsize="21600,21600" o:spt="202" path="m,l,21600r21600,l21600,xe">
                <v:stroke joinstyle="miter"/>
                <v:path gradientshapeok="t" o:connecttype="rect"/>
              </v:shapetype>
              <v:shape id="Pole tekstowe 1" o:spid="_x0000_s1026" type="#_x0000_t202" style="position:absolute;left:0;text-align:left;margin-left:228.2pt;margin-top:8.85pt;width:253.25pt;height:1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" fillcolor="white [3201]" stroked="f" strokeweight=".5pt">
                <v:textbox>
                  <w:txbxContent>
                    <w:tbl>
                      <w:tblPr>
                        <w:tblStyle w:val="Tabela-Siatka"/>
                        <w:tblW w:w="4678" w:type="dxa"/>
                        <w:tblInd w:w="-5" w:type="dxa"/>
                        <w:tblLook w:val="04A0" w:firstRow="1" w:lastRow="0" w:firstColumn="1" w:lastColumn="0" w:noHBand="0" w:noVBand="1"/>
                      </w:tblPr>
                      <w:tblGrid>
                        <w:gridCol w:w="4678"/>
                      </w:tblGrid>
                      <w:tr w:rsidR="0056191C" w:rsidRPr="00192AD9" w:rsidTr="00540733">
                        <w:tc>
                          <w:tcPr>
                            <w:tcW w:w="4678" w:type="dxa"/>
                            <w:shd w:val="clear" w:color="auto" w:fill="DEEAF6" w:themeFill="accent1" w:themeFillTint="33"/>
                          </w:tcPr>
                          <w:p w:rsidR="0056191C" w:rsidRPr="004906AA" w:rsidRDefault="0056191C" w:rsidP="004906AA">
                            <w:pPr>
                              <w:autoSpaceDE w:val="0"/>
                              <w:autoSpaceDN w:val="0"/>
                              <w:adjustRightInd w:val="0"/>
                              <w:rPr>
                                <w:rFonts w:ascii="Times New Roman" w:hAnsi="Times New Roman" w:cs="Times New Roman"/>
                                <w:b/>
                                <w:sz w:val="4"/>
                                <w:szCs w:val="4"/>
                              </w:rPr>
                            </w:pPr>
                          </w:p>
                          <w:p w:rsidR="0056191C" w:rsidRDefault="0056191C" w:rsidP="00FB6005">
                            <w:pPr>
                              <w:autoSpaceDE w:val="0"/>
                              <w:autoSpaceDN w:val="0"/>
                              <w:adjustRightInd w:val="0"/>
                              <w:jc w:val="center"/>
                              <w:rPr>
                                <w:rFonts w:ascii="Times New Roman" w:hAnsi="Times New Roman" w:cs="Times New Roman"/>
                                <w:b/>
                                <w:sz w:val="18"/>
                                <w:szCs w:val="18"/>
                              </w:rPr>
                            </w:pPr>
                            <w:r w:rsidRPr="00BD650F">
                              <w:rPr>
                                <w:rFonts w:ascii="Times New Roman" w:hAnsi="Times New Roman" w:cs="Times New Roman"/>
                                <w:b/>
                                <w:sz w:val="18"/>
                                <w:szCs w:val="18"/>
                              </w:rPr>
                              <w:t>Nuclear Investment Special Act</w:t>
                            </w:r>
                          </w:p>
                          <w:p w:rsidR="0056191C" w:rsidRPr="004906AA" w:rsidRDefault="0056191C" w:rsidP="00540733">
                            <w:pPr>
                              <w:autoSpaceDE w:val="0"/>
                              <w:autoSpaceDN w:val="0"/>
                              <w:adjustRightInd w:val="0"/>
                              <w:jc w:val="center"/>
                              <w:rPr>
                                <w:rFonts w:ascii="Times New Roman" w:hAnsi="Times New Roman" w:cs="Times New Roman"/>
                                <w:b/>
                                <w:sz w:val="4"/>
                                <w:szCs w:val="8"/>
                              </w:rPr>
                            </w:pPr>
                          </w:p>
                        </w:tc>
                      </w:tr>
                      <w:tr w:rsidR="0056191C" w:rsidRPr="00540733" w:rsidTr="00540733">
                        <w:tc>
                          <w:tcPr>
                            <w:tcW w:w="4678" w:type="dxa"/>
                          </w:tcPr>
                          <w:p w:rsidR="0056191C" w:rsidRPr="00540733" w:rsidRDefault="0056191C" w:rsidP="00540733">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Chapter 1. General Provisions</w:t>
                            </w:r>
                          </w:p>
                        </w:tc>
                      </w:tr>
                      <w:tr w:rsidR="0056191C" w:rsidRPr="00540733" w:rsidTr="00540733">
                        <w:tc>
                          <w:tcPr>
                            <w:tcW w:w="4678" w:type="dxa"/>
                          </w:tcPr>
                          <w:p w:rsidR="0056191C" w:rsidRPr="00540733" w:rsidRDefault="0056191C" w:rsidP="004906AA">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1a. Decision-in-principle </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2. </w:t>
                            </w:r>
                            <w:r w:rsidRPr="00540733">
                              <w:rPr>
                                <w:rFonts w:ascii="Times New Roman" w:hAnsi="Times New Roman" w:cs="Times New Roman"/>
                                <w:bCs/>
                                <w:sz w:val="18"/>
                                <w:szCs w:val="18"/>
                                <w:lang w:val="en-GB"/>
                              </w:rPr>
                              <w:t>Preparation of the investment with regard to construction of a nuclear power</w:t>
                            </w:r>
                            <w:r>
                              <w:rPr>
                                <w:rFonts w:ascii="Times New Roman" w:hAnsi="Times New Roman" w:cs="Times New Roman"/>
                                <w:bCs/>
                                <w:sz w:val="18"/>
                                <w:szCs w:val="18"/>
                                <w:lang w:val="en-GB"/>
                              </w:rPr>
                              <w:t xml:space="preserve"> facility</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4. </w:t>
                            </w:r>
                            <w:r w:rsidRPr="00540733">
                              <w:rPr>
                                <w:rFonts w:ascii="Times New Roman" w:hAnsi="Times New Roman" w:cs="Times New Roman"/>
                                <w:bCs/>
                                <w:sz w:val="18"/>
                                <w:szCs w:val="18"/>
                                <w:lang w:val="en-GB"/>
                              </w:rPr>
                              <w:t xml:space="preserve">Acquiring legal title to real estate and carrying out the investment </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5. </w:t>
                            </w:r>
                            <w:r w:rsidRPr="00540733">
                              <w:rPr>
                                <w:rFonts w:ascii="Times New Roman" w:hAnsi="Times New Roman" w:cs="Times New Roman"/>
                                <w:bCs/>
                                <w:sz w:val="18"/>
                                <w:szCs w:val="18"/>
                                <w:lang w:val="en-GB"/>
                              </w:rPr>
                              <w:t xml:space="preserve">Administrative proceedings for carrying out the investment </w:t>
                            </w:r>
                          </w:p>
                        </w:tc>
                      </w:tr>
                      <w:tr w:rsidR="0056191C" w:rsidRPr="00540733" w:rsidTr="00540733">
                        <w:tc>
                          <w:tcPr>
                            <w:tcW w:w="4678" w:type="dxa"/>
                          </w:tcPr>
                          <w:p w:rsidR="0056191C" w:rsidRPr="00540733" w:rsidRDefault="0056191C" w:rsidP="00FB6005">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6. </w:t>
                            </w:r>
                            <w:r w:rsidRPr="00540733">
                              <w:rPr>
                                <w:rFonts w:ascii="Times New Roman" w:hAnsi="Times New Roman" w:cs="Times New Roman"/>
                                <w:sz w:val="18"/>
                                <w:szCs w:val="18"/>
                                <w:lang w:val="en-GB"/>
                              </w:rPr>
                              <w:t xml:space="preserve">Awarding contracts for carrying out the investment </w:t>
                            </w:r>
                          </w:p>
                        </w:tc>
                      </w:tr>
                      <w:tr w:rsidR="0056191C" w:rsidRPr="00540733" w:rsidTr="00540733">
                        <w:tc>
                          <w:tcPr>
                            <w:tcW w:w="4678" w:type="dxa"/>
                          </w:tcPr>
                          <w:p w:rsidR="0056191C" w:rsidRPr="00540733" w:rsidRDefault="0056191C" w:rsidP="00540733">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 xml:space="preserve">Chapter 8. </w:t>
                            </w:r>
                            <w:r w:rsidRPr="00540733">
                              <w:rPr>
                                <w:rFonts w:ascii="Times New Roman" w:hAnsi="Times New Roman" w:cs="Times New Roman"/>
                                <w:bCs/>
                                <w:sz w:val="18"/>
                                <w:szCs w:val="18"/>
                                <w:lang w:val="en-GB"/>
                              </w:rPr>
                              <w:t>Benefit sharing among municipalities in relation to the construction of nuclear power plants</w:t>
                            </w:r>
                          </w:p>
                        </w:tc>
                      </w:tr>
                      <w:tr w:rsidR="0056191C" w:rsidRPr="00540733" w:rsidTr="00540733">
                        <w:tc>
                          <w:tcPr>
                            <w:tcW w:w="4678" w:type="dxa"/>
                          </w:tcPr>
                          <w:p w:rsidR="0056191C" w:rsidRPr="00540733" w:rsidRDefault="0056191C" w:rsidP="00540733">
                            <w:pPr>
                              <w:autoSpaceDE w:val="0"/>
                              <w:autoSpaceDN w:val="0"/>
                              <w:adjustRightInd w:val="0"/>
                              <w:jc w:val="both"/>
                              <w:rPr>
                                <w:rFonts w:ascii="Times New Roman" w:hAnsi="Times New Roman" w:cs="Times New Roman"/>
                                <w:sz w:val="18"/>
                                <w:szCs w:val="18"/>
                              </w:rPr>
                            </w:pPr>
                            <w:r w:rsidRPr="00540733">
                              <w:rPr>
                                <w:rFonts w:ascii="Times New Roman" w:hAnsi="Times New Roman" w:cs="Times New Roman"/>
                                <w:sz w:val="18"/>
                                <w:szCs w:val="18"/>
                              </w:rPr>
                              <w:t>Chapter 10. Instruments to facilitate construction of auxilliary</w:t>
                            </w:r>
                            <w:r w:rsidRPr="00540733">
                              <w:rPr>
                                <w:rFonts w:ascii="Times New Roman" w:hAnsi="Times New Roman" w:cs="Times New Roman"/>
                                <w:sz w:val="18"/>
                                <w:szCs w:val="18"/>
                                <w:lang w:val="en-GB"/>
                              </w:rPr>
                              <w:t xml:space="preserve"> investments</w:t>
                            </w:r>
                          </w:p>
                        </w:tc>
                      </w:tr>
                    </w:tbl>
                    <w:p w:rsidR="0056191C" w:rsidRDefault="0056191C" w:rsidP="004906AA"/>
                  </w:txbxContent>
                </v:textbox>
              </v:shape>
            </w:pict>
          </mc:Fallback>
        </mc:AlternateContent>
      </w:r>
    </w:p>
    <w:tbl>
      <w:tblPr>
        <w:tblStyle w:val="Tabela-Siatka"/>
        <w:tblW w:w="4536" w:type="dxa"/>
        <w:tblInd w:w="-5" w:type="dxa"/>
        <w:tblLook w:val="04A0" w:firstRow="1" w:lastRow="0" w:firstColumn="1" w:lastColumn="0" w:noHBand="0" w:noVBand="1"/>
      </w:tblPr>
      <w:tblGrid>
        <w:gridCol w:w="4536"/>
      </w:tblGrid>
      <w:tr w:rsidR="004906AA" w:rsidTr="00FB6005">
        <w:tc>
          <w:tcPr>
            <w:tcW w:w="4536" w:type="dxa"/>
            <w:shd w:val="clear" w:color="auto" w:fill="DEEAF6" w:themeFill="accent1" w:themeFillTint="33"/>
          </w:tcPr>
          <w:p w:rsidR="004906AA" w:rsidRPr="004906AA" w:rsidRDefault="004906AA" w:rsidP="00252326">
            <w:pPr>
              <w:autoSpaceDE w:val="0"/>
              <w:autoSpaceDN w:val="0"/>
              <w:adjustRightInd w:val="0"/>
              <w:jc w:val="center"/>
              <w:rPr>
                <w:rFonts w:ascii="Times New Roman" w:hAnsi="Times New Roman" w:cs="Times New Roman"/>
                <w:b/>
                <w:sz w:val="4"/>
                <w:szCs w:val="8"/>
              </w:rPr>
            </w:pPr>
          </w:p>
          <w:p w:rsidR="004906AA" w:rsidRDefault="004906AA" w:rsidP="00252326">
            <w:pPr>
              <w:autoSpaceDE w:val="0"/>
              <w:autoSpaceDN w:val="0"/>
              <w:adjustRightInd w:val="0"/>
              <w:jc w:val="center"/>
              <w:rPr>
                <w:rFonts w:ascii="Times New Roman" w:hAnsi="Times New Roman" w:cs="Times New Roman"/>
                <w:b/>
                <w:sz w:val="18"/>
                <w:szCs w:val="18"/>
              </w:rPr>
            </w:pPr>
            <w:r w:rsidRPr="00BD650F">
              <w:rPr>
                <w:rFonts w:ascii="Times New Roman" w:hAnsi="Times New Roman" w:cs="Times New Roman"/>
                <w:b/>
                <w:sz w:val="18"/>
                <w:szCs w:val="18"/>
              </w:rPr>
              <w:t>Atomic Law Act</w:t>
            </w:r>
            <w:r>
              <w:rPr>
                <w:rFonts w:ascii="Times New Roman" w:hAnsi="Times New Roman" w:cs="Times New Roman"/>
                <w:b/>
                <w:sz w:val="18"/>
                <w:szCs w:val="18"/>
              </w:rPr>
              <w:t xml:space="preserve">                                        </w:t>
            </w:r>
          </w:p>
          <w:p w:rsidR="004906AA" w:rsidRPr="004906AA" w:rsidRDefault="004906AA" w:rsidP="00252326">
            <w:pPr>
              <w:autoSpaceDE w:val="0"/>
              <w:autoSpaceDN w:val="0"/>
              <w:adjustRightInd w:val="0"/>
              <w:jc w:val="center"/>
              <w:rPr>
                <w:rFonts w:ascii="Times New Roman" w:hAnsi="Times New Roman" w:cs="Times New Roman"/>
                <w:b/>
                <w:sz w:val="4"/>
                <w:szCs w:val="8"/>
              </w:rPr>
            </w:pP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Chapter 1. General Provisions</w:t>
            </w:r>
          </w:p>
        </w:tc>
      </w:tr>
      <w:tr w:rsidR="004906AA" w:rsidTr="00FB6005">
        <w:tc>
          <w:tcPr>
            <w:tcW w:w="4536" w:type="dxa"/>
          </w:tcPr>
          <w:p w:rsidR="004906AA" w:rsidRPr="00192AD9" w:rsidRDefault="004906AA" w:rsidP="004906AA">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 xml:space="preserve">Chapter 2. </w:t>
            </w:r>
            <w:r w:rsidRPr="00192AD9">
              <w:rPr>
                <w:rFonts w:ascii="Times New Roman" w:hAnsi="Times New Roman" w:cs="Times New Roman"/>
                <w:sz w:val="18"/>
                <w:szCs w:val="18"/>
                <w:lang w:val="en-GB"/>
              </w:rPr>
              <w:t xml:space="preserve">Licences </w:t>
            </w:r>
            <w:r w:rsidRPr="00192AD9">
              <w:rPr>
                <w:rFonts w:ascii="Times New Roman" w:hAnsi="Times New Roman" w:cs="Times New Roman"/>
                <w:sz w:val="18"/>
                <w:szCs w:val="18"/>
              </w:rPr>
              <w:t>regarding</w:t>
            </w:r>
            <w:r w:rsidRPr="00192AD9">
              <w:rPr>
                <w:rFonts w:ascii="Times New Roman" w:hAnsi="Times New Roman" w:cs="Times New Roman"/>
                <w:sz w:val="18"/>
                <w:szCs w:val="18"/>
                <w:lang w:val="en-GB"/>
              </w:rPr>
              <w:t xml:space="preserve"> nuclear safety </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 xml:space="preserve">Chapter 3. </w:t>
            </w:r>
            <w:r w:rsidRPr="00192AD9">
              <w:rPr>
                <w:rFonts w:ascii="Times New Roman" w:hAnsi="Times New Roman" w:cs="Times New Roman"/>
                <w:sz w:val="18"/>
                <w:szCs w:val="18"/>
                <w:lang w:val="en-GB"/>
              </w:rPr>
              <w:t>Nuclear safety and radiation protection</w:t>
            </w:r>
            <w:r w:rsidRPr="00192AD9">
              <w:rPr>
                <w:rFonts w:ascii="Times New Roman" w:hAnsi="Times New Roman" w:cs="Times New Roman"/>
                <w:sz w:val="18"/>
                <w:szCs w:val="18"/>
              </w:rPr>
              <w:t xml:space="preserve"> requirements</w:t>
            </w:r>
            <w:r w:rsidRPr="00192AD9">
              <w:rPr>
                <w:rFonts w:ascii="Times New Roman" w:hAnsi="Times New Roman" w:cs="Times New Roman"/>
                <w:sz w:val="18"/>
                <w:szCs w:val="18"/>
                <w:lang w:val="en-GB"/>
              </w:rPr>
              <w:t>, and health protection of the workers</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Chapter 4. Nuclear facilities</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Chapter 5. Nuclear materials and technologies</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Chapter 7. Radioactive Waste and Spent Nuclear Fuel</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Chapter 9. Oversight</w:t>
            </w:r>
            <w:r w:rsidRPr="00192AD9">
              <w:rPr>
                <w:rFonts w:ascii="Times New Roman" w:hAnsi="Times New Roman" w:cs="Times New Roman"/>
                <w:sz w:val="18"/>
                <w:szCs w:val="18"/>
                <w:lang w:val="en-GB"/>
              </w:rPr>
              <w:t xml:space="preserve"> and control of compliance with nuclear safety and radiation protection conditions</w:t>
            </w:r>
            <w:r w:rsidRPr="00192AD9">
              <w:rPr>
                <w:rFonts w:ascii="Times New Roman" w:hAnsi="Times New Roman" w:cs="Times New Roman"/>
                <w:sz w:val="18"/>
                <w:szCs w:val="18"/>
              </w:rPr>
              <w:t xml:space="preserve"> </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Chapter 10.</w:t>
            </w:r>
            <w:r w:rsidRPr="00192AD9">
              <w:rPr>
                <w:rFonts w:ascii="Times New Roman" w:eastAsiaTheme="minorEastAsia" w:hAnsi="Times New Roman" w:cs="Times New Roman"/>
                <w:color w:val="000000" w:themeColor="dark1"/>
                <w:kern w:val="24"/>
                <w:sz w:val="34"/>
                <w:szCs w:val="34"/>
                <w:lang w:val="en-GB" w:eastAsia="pl-PL"/>
              </w:rPr>
              <w:t xml:space="preserve"> </w:t>
            </w:r>
            <w:r w:rsidRPr="00192AD9">
              <w:rPr>
                <w:rFonts w:ascii="Times New Roman" w:hAnsi="Times New Roman" w:cs="Times New Roman"/>
                <w:sz w:val="18"/>
                <w:szCs w:val="18"/>
                <w:lang w:val="en-GB"/>
              </w:rPr>
              <w:t>Assessment of the national radiation situation</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Chapter 11. Emergency preparedness and response</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Chapter 12. Civil liability for nuclear damage</w:t>
            </w:r>
          </w:p>
        </w:tc>
      </w:tr>
      <w:tr w:rsidR="004906AA" w:rsidTr="00FB6005">
        <w:tc>
          <w:tcPr>
            <w:tcW w:w="4536" w:type="dxa"/>
          </w:tcPr>
          <w:p w:rsidR="004906AA" w:rsidRPr="00192AD9" w:rsidRDefault="004906AA" w:rsidP="00252326">
            <w:pPr>
              <w:autoSpaceDE w:val="0"/>
              <w:autoSpaceDN w:val="0"/>
              <w:adjustRightInd w:val="0"/>
              <w:jc w:val="both"/>
              <w:rPr>
                <w:rFonts w:ascii="Times New Roman" w:hAnsi="Times New Roman" w:cs="Times New Roman"/>
                <w:sz w:val="18"/>
                <w:szCs w:val="18"/>
              </w:rPr>
            </w:pPr>
            <w:r w:rsidRPr="00192AD9">
              <w:rPr>
                <w:rFonts w:ascii="Times New Roman" w:hAnsi="Times New Roman" w:cs="Times New Roman"/>
                <w:sz w:val="18"/>
                <w:szCs w:val="18"/>
              </w:rPr>
              <w:t xml:space="preserve">Chapter 13. Nuclear Regulatory Authority </w:t>
            </w:r>
          </w:p>
        </w:tc>
      </w:tr>
    </w:tbl>
    <w:p w:rsidR="004906AA" w:rsidRDefault="004906AA" w:rsidP="009A6A81">
      <w:pPr>
        <w:autoSpaceDE w:val="0"/>
        <w:autoSpaceDN w:val="0"/>
        <w:adjustRightInd w:val="0"/>
        <w:spacing w:after="0" w:line="240" w:lineRule="auto"/>
        <w:jc w:val="both"/>
        <w:rPr>
          <w:rFonts w:ascii="Times New Roman" w:hAnsi="Times New Roman" w:cs="Times New Roman"/>
          <w:sz w:val="12"/>
          <w:szCs w:val="20"/>
        </w:rPr>
      </w:pPr>
    </w:p>
    <w:p w:rsidR="002A163D" w:rsidRPr="002A163D" w:rsidRDefault="002A163D" w:rsidP="009A6A81">
      <w:pPr>
        <w:autoSpaceDE w:val="0"/>
        <w:autoSpaceDN w:val="0"/>
        <w:adjustRightInd w:val="0"/>
        <w:spacing w:after="0" w:line="240" w:lineRule="auto"/>
        <w:jc w:val="both"/>
        <w:rPr>
          <w:rFonts w:ascii="Times New Roman" w:hAnsi="Times New Roman" w:cs="Times New Roman"/>
          <w:sz w:val="16"/>
          <w:szCs w:val="20"/>
        </w:rPr>
      </w:pPr>
      <w:r w:rsidRPr="002A163D">
        <w:rPr>
          <w:rFonts w:ascii="Times New Roman" w:hAnsi="Times New Roman" w:cs="Times New Roman"/>
          <w:sz w:val="16"/>
          <w:szCs w:val="20"/>
        </w:rPr>
        <w:t>Fig. 1. Comparison of the structure of Atomic Law Act and NISA.</w:t>
      </w:r>
    </w:p>
    <w:p w:rsidR="007A4342" w:rsidRDefault="007A4342" w:rsidP="007A4342">
      <w:pPr>
        <w:spacing w:after="0" w:line="240" w:lineRule="auto"/>
        <w:ind w:firstLine="360"/>
        <w:jc w:val="both"/>
        <w:rPr>
          <w:rStyle w:val="Uwydatnienie"/>
          <w:rFonts w:ascii="Times New Roman" w:hAnsi="Times New Roman" w:cs="Times New Roman"/>
          <w:i w:val="0"/>
          <w:sz w:val="20"/>
          <w:szCs w:val="20"/>
        </w:rPr>
      </w:pPr>
    </w:p>
    <w:p w:rsidR="007A4342" w:rsidRPr="007A4342" w:rsidRDefault="007A4342" w:rsidP="007A4342">
      <w:pPr>
        <w:autoSpaceDE w:val="0"/>
        <w:autoSpaceDN w:val="0"/>
        <w:adjustRightInd w:val="0"/>
        <w:spacing w:after="0" w:line="240" w:lineRule="auto"/>
        <w:ind w:firstLine="360"/>
        <w:jc w:val="both"/>
        <w:rPr>
          <w:rFonts w:ascii="Times New Roman" w:hAnsi="Times New Roman" w:cs="Times New Roman"/>
          <w:sz w:val="20"/>
          <w:szCs w:val="20"/>
        </w:rPr>
      </w:pPr>
      <w:r w:rsidRPr="002A163D">
        <w:rPr>
          <w:rFonts w:ascii="Times New Roman" w:hAnsi="Times New Roman" w:cs="Times New Roman"/>
          <w:sz w:val="20"/>
          <w:szCs w:val="20"/>
        </w:rPr>
        <w:t xml:space="preserve">The Act incorporates the good practices of other than nuclear industries. </w:t>
      </w:r>
      <w:r w:rsidRPr="002A163D">
        <w:rPr>
          <w:rFonts w:ascii="Times New Roman" w:hAnsi="Times New Roman" w:cs="Times New Roman"/>
          <w:sz w:val="20"/>
          <w:szCs w:val="24"/>
        </w:rPr>
        <w:t xml:space="preserve">Here it must be mentioned that over  the last  three decades Polish economy has experienced unprecedented economic boom that was followed by massive development of large-scale infrasture projects such as airports, highways, LNG terminals etc. To accelerate this process the priority of Polish law was to develop various arrangements aimed at </w:t>
      </w:r>
      <w:r w:rsidRPr="002A163D">
        <w:rPr>
          <w:rFonts w:ascii="Times New Roman" w:hAnsi="Times New Roman" w:cs="Times New Roman"/>
          <w:b/>
          <w:sz w:val="20"/>
          <w:szCs w:val="24"/>
        </w:rPr>
        <w:t>streamlining relevant licensing and permitting procedures</w:t>
      </w:r>
      <w:r w:rsidRPr="002A163D">
        <w:rPr>
          <w:rFonts w:ascii="Times New Roman" w:hAnsi="Times New Roman" w:cs="Times New Roman"/>
          <w:sz w:val="20"/>
          <w:szCs w:val="24"/>
        </w:rPr>
        <w:t xml:space="preserve"> applicable to development of the aforementioned infrastructure whil</w:t>
      </w:r>
      <w:r w:rsidRPr="00C62087">
        <w:rPr>
          <w:rFonts w:ascii="Times New Roman" w:hAnsi="Times New Roman" w:cs="Times New Roman"/>
          <w:sz w:val="20"/>
          <w:szCs w:val="24"/>
        </w:rPr>
        <w:t>e keeping high level of safety and environmental protection as required by international and European Law. As a result the aforementioned large-scale strategic investment projects were implemented under special laws that provided various of incentives to investors. These included among others various arrangements aimed at facilitating: (1) the process of issuing th</w:t>
      </w:r>
      <w:r>
        <w:rPr>
          <w:rFonts w:ascii="Times New Roman" w:hAnsi="Times New Roman" w:cs="Times New Roman"/>
          <w:sz w:val="20"/>
          <w:szCs w:val="24"/>
        </w:rPr>
        <w:t xml:space="preserve">e relevant permits </w:t>
      </w:r>
      <w:r w:rsidRPr="00C62087">
        <w:rPr>
          <w:rFonts w:ascii="Times New Roman" w:hAnsi="Times New Roman" w:cs="Times New Roman"/>
          <w:sz w:val="20"/>
          <w:szCs w:val="24"/>
        </w:rPr>
        <w:t>(2) acquisition of land where the facility is to be located (3) preparing the site (4) constructi</w:t>
      </w:r>
      <w:r>
        <w:rPr>
          <w:rFonts w:ascii="Times New Roman" w:hAnsi="Times New Roman" w:cs="Times New Roman"/>
          <w:sz w:val="20"/>
          <w:szCs w:val="24"/>
        </w:rPr>
        <w:t xml:space="preserve">on of auxilliary infrastructure. </w:t>
      </w:r>
      <w:r w:rsidRPr="00C62087">
        <w:rPr>
          <w:rFonts w:ascii="Times New Roman" w:hAnsi="Times New Roman" w:cs="Times New Roman"/>
          <w:sz w:val="20"/>
          <w:szCs w:val="24"/>
        </w:rPr>
        <w:t>Since most of such arrangements were technologicaly neutral they could be easily adapted to nuclear power projects.</w:t>
      </w:r>
    </w:p>
    <w:p w:rsidR="007A4342" w:rsidRDefault="007A4342" w:rsidP="007A4342">
      <w:pPr>
        <w:spacing w:after="0" w:line="240" w:lineRule="auto"/>
        <w:jc w:val="both"/>
        <w:rPr>
          <w:rStyle w:val="Uwydatnienie"/>
          <w:rFonts w:ascii="Times New Roman" w:hAnsi="Times New Roman" w:cs="Times New Roman"/>
          <w:i w:val="0"/>
          <w:sz w:val="20"/>
          <w:szCs w:val="20"/>
        </w:rPr>
      </w:pPr>
    </w:p>
    <w:p w:rsidR="007A4342" w:rsidRPr="005A36EC" w:rsidRDefault="007A4342" w:rsidP="007A4342">
      <w:pPr>
        <w:spacing w:after="0" w:line="240" w:lineRule="auto"/>
        <w:ind w:firstLine="360"/>
        <w:jc w:val="both"/>
        <w:rPr>
          <w:rFonts w:ascii="Times New Roman" w:hAnsi="Times New Roman" w:cs="Times New Roman"/>
          <w:i/>
          <w:iCs/>
          <w:sz w:val="20"/>
          <w:szCs w:val="20"/>
        </w:rPr>
      </w:pPr>
      <w:r>
        <w:rPr>
          <w:rStyle w:val="Uwydatnienie"/>
          <w:rFonts w:ascii="Times New Roman" w:hAnsi="Times New Roman" w:cs="Times New Roman"/>
          <w:i w:val="0"/>
          <w:sz w:val="20"/>
          <w:szCs w:val="20"/>
        </w:rPr>
        <w:t xml:space="preserve">It should be also noted there are many </w:t>
      </w:r>
      <w:r w:rsidRPr="00615878">
        <w:rPr>
          <w:rFonts w:ascii="Times New Roman" w:hAnsi="Times New Roman" w:cs="Times New Roman"/>
          <w:iCs/>
          <w:sz w:val="20"/>
          <w:szCs w:val="20"/>
        </w:rPr>
        <w:t>branches of laws (with many interfaces and synergies with nuclear law), that affect  implementation of nuclear power programme e.g. by setting out various conditions, requirements and permits to be gained by the NPP investor during various phases of NPP project in particular:</w:t>
      </w:r>
    </w:p>
    <w:p w:rsidR="007A4342" w:rsidRPr="005A36EC" w:rsidRDefault="007A4342" w:rsidP="007A4342">
      <w:pPr>
        <w:pStyle w:val="Akapitzlist"/>
        <w:numPr>
          <w:ilvl w:val="1"/>
          <w:numId w:val="20"/>
        </w:numPr>
        <w:spacing w:after="0" w:line="240" w:lineRule="auto"/>
        <w:jc w:val="both"/>
        <w:rPr>
          <w:rStyle w:val="Uwydatnienie"/>
          <w:rFonts w:ascii="Times New Roman" w:hAnsi="Times New Roman" w:cs="Times New Roman"/>
          <w:i w:val="0"/>
          <w:iCs w:val="0"/>
          <w:sz w:val="20"/>
          <w:szCs w:val="20"/>
        </w:rPr>
      </w:pPr>
      <w:r w:rsidRPr="005A36EC">
        <w:rPr>
          <w:rStyle w:val="Uwydatnienie"/>
          <w:rFonts w:ascii="Times New Roman" w:hAnsi="Times New Roman" w:cs="Times New Roman"/>
          <w:bCs/>
          <w:i w:val="0"/>
          <w:sz w:val="20"/>
          <w:szCs w:val="20"/>
        </w:rPr>
        <w:lastRenderedPageBreak/>
        <w:t>Environmental law</w:t>
      </w:r>
      <w:r w:rsidRPr="005A36EC">
        <w:rPr>
          <w:rStyle w:val="Uwydatnienie"/>
          <w:rFonts w:ascii="Times New Roman" w:hAnsi="Times New Roman" w:cs="Times New Roman"/>
          <w:i w:val="0"/>
          <w:sz w:val="20"/>
          <w:szCs w:val="20"/>
        </w:rPr>
        <w:t xml:space="preserve"> – setting out</w:t>
      </w:r>
      <w:r>
        <w:rPr>
          <w:rStyle w:val="Uwydatnienie"/>
          <w:rFonts w:ascii="Times New Roman" w:hAnsi="Times New Roman" w:cs="Times New Roman"/>
          <w:i w:val="0"/>
          <w:sz w:val="20"/>
          <w:szCs w:val="20"/>
        </w:rPr>
        <w:t xml:space="preserve"> among others</w:t>
      </w:r>
      <w:r w:rsidRPr="005A36EC">
        <w:rPr>
          <w:rStyle w:val="Uwydatnienie"/>
          <w:rFonts w:ascii="Times New Roman" w:hAnsi="Times New Roman" w:cs="Times New Roman"/>
          <w:i w:val="0"/>
          <w:sz w:val="20"/>
          <w:szCs w:val="20"/>
        </w:rPr>
        <w:t xml:space="preserve"> the rules for conducting the environmental impact assessment of a planned nuclear facility as well as for providing access to environmental information relating to the nuclear activities, such as construction of nuclear power plants </w:t>
      </w:r>
    </w:p>
    <w:p w:rsidR="007A4342" w:rsidRPr="005A36EC" w:rsidRDefault="007A4342" w:rsidP="007A4342">
      <w:pPr>
        <w:pStyle w:val="Akapitzlist"/>
        <w:numPr>
          <w:ilvl w:val="1"/>
          <w:numId w:val="20"/>
        </w:numPr>
        <w:spacing w:after="0" w:line="240" w:lineRule="auto"/>
        <w:jc w:val="both"/>
        <w:rPr>
          <w:rStyle w:val="Uwydatnienie"/>
          <w:rFonts w:ascii="Times New Roman" w:hAnsi="Times New Roman" w:cs="Times New Roman"/>
          <w:i w:val="0"/>
          <w:iCs w:val="0"/>
          <w:sz w:val="20"/>
          <w:szCs w:val="20"/>
        </w:rPr>
      </w:pPr>
      <w:r w:rsidRPr="005A36EC">
        <w:rPr>
          <w:rStyle w:val="Uwydatnienie"/>
          <w:rFonts w:ascii="Times New Roman" w:hAnsi="Times New Roman" w:cs="Times New Roman"/>
          <w:bCs/>
          <w:i w:val="0"/>
          <w:sz w:val="20"/>
          <w:szCs w:val="20"/>
        </w:rPr>
        <w:t xml:space="preserve">Water law - </w:t>
      </w:r>
      <w:r w:rsidRPr="005A36EC">
        <w:rPr>
          <w:rFonts w:ascii="Times New Roman" w:hAnsi="Times New Roman" w:cs="Times New Roman"/>
          <w:iCs/>
          <w:sz w:val="20"/>
          <w:szCs w:val="20"/>
        </w:rPr>
        <w:t>setting out various requirements to protect quality of surface and underground waters</w:t>
      </w:r>
      <w:r w:rsidRPr="005A36EC">
        <w:rPr>
          <w:rFonts w:ascii="Times New Roman" w:hAnsi="Times New Roman" w:cs="Times New Roman"/>
          <w:i/>
          <w:iCs/>
          <w:sz w:val="20"/>
          <w:szCs w:val="20"/>
        </w:rPr>
        <w:t xml:space="preserve">  </w:t>
      </w:r>
    </w:p>
    <w:p w:rsidR="007A4342" w:rsidRPr="005A36EC" w:rsidRDefault="007A4342" w:rsidP="007A4342">
      <w:pPr>
        <w:pStyle w:val="Akapitzlist"/>
        <w:numPr>
          <w:ilvl w:val="1"/>
          <w:numId w:val="20"/>
        </w:numPr>
        <w:spacing w:after="0" w:line="240" w:lineRule="auto"/>
        <w:jc w:val="both"/>
        <w:rPr>
          <w:rFonts w:ascii="Times New Roman" w:hAnsi="Times New Roman" w:cs="Times New Roman"/>
          <w:iCs/>
          <w:sz w:val="20"/>
          <w:szCs w:val="20"/>
        </w:rPr>
      </w:pPr>
      <w:r w:rsidRPr="005A36EC">
        <w:rPr>
          <w:rStyle w:val="Uwydatnienie"/>
          <w:rFonts w:ascii="Times New Roman" w:hAnsi="Times New Roman" w:cs="Times New Roman"/>
          <w:bCs/>
          <w:i w:val="0"/>
          <w:sz w:val="20"/>
          <w:szCs w:val="20"/>
        </w:rPr>
        <w:t>Building law</w:t>
      </w:r>
      <w:r w:rsidRPr="005A36EC">
        <w:rPr>
          <w:rStyle w:val="Uwydatnienie"/>
          <w:rFonts w:ascii="Times New Roman" w:hAnsi="Times New Roman" w:cs="Times New Roman"/>
          <w:i w:val="0"/>
          <w:sz w:val="20"/>
          <w:szCs w:val="20"/>
        </w:rPr>
        <w:t xml:space="preserve"> – </w:t>
      </w:r>
      <w:r w:rsidRPr="005A36EC">
        <w:rPr>
          <w:rFonts w:ascii="Times New Roman" w:hAnsi="Times New Roman" w:cs="Times New Roman"/>
          <w:iCs/>
          <w:sz w:val="20"/>
          <w:szCs w:val="20"/>
        </w:rPr>
        <w:t xml:space="preserve">setting out various non-nuclear safety requirements of building design and construction </w:t>
      </w:r>
    </w:p>
    <w:p w:rsidR="007A4342" w:rsidRPr="005A36EC" w:rsidRDefault="007A4342" w:rsidP="007A4342">
      <w:pPr>
        <w:pStyle w:val="Akapitzlist"/>
        <w:numPr>
          <w:ilvl w:val="1"/>
          <w:numId w:val="20"/>
        </w:numPr>
        <w:spacing w:after="0" w:line="240" w:lineRule="auto"/>
        <w:jc w:val="both"/>
        <w:rPr>
          <w:rStyle w:val="Uwydatnienie"/>
          <w:rFonts w:ascii="Times New Roman" w:hAnsi="Times New Roman" w:cs="Times New Roman"/>
          <w:i w:val="0"/>
          <w:iCs w:val="0"/>
          <w:sz w:val="20"/>
          <w:szCs w:val="20"/>
        </w:rPr>
      </w:pPr>
      <w:r w:rsidRPr="005A36EC">
        <w:rPr>
          <w:rStyle w:val="Uwydatnienie"/>
          <w:rFonts w:ascii="Times New Roman" w:hAnsi="Times New Roman" w:cs="Times New Roman"/>
          <w:bCs/>
          <w:i w:val="0"/>
          <w:sz w:val="20"/>
          <w:szCs w:val="20"/>
        </w:rPr>
        <w:t>Energy law –</w:t>
      </w:r>
      <w:r w:rsidRPr="005A36EC">
        <w:rPr>
          <w:rStyle w:val="Uwydatnienie"/>
          <w:rFonts w:ascii="Times New Roman" w:hAnsi="Times New Roman" w:cs="Times New Roman"/>
          <w:i w:val="0"/>
          <w:sz w:val="20"/>
          <w:szCs w:val="20"/>
        </w:rPr>
        <w:t xml:space="preserve"> setting out rules and conditions of connecting power plants to the energy grid</w:t>
      </w:r>
      <w:r>
        <w:rPr>
          <w:rStyle w:val="Uwydatnienie"/>
          <w:rFonts w:ascii="Times New Roman" w:hAnsi="Times New Roman" w:cs="Times New Roman"/>
          <w:i w:val="0"/>
          <w:sz w:val="20"/>
          <w:szCs w:val="20"/>
        </w:rPr>
        <w:t xml:space="preserve"> </w:t>
      </w:r>
    </w:p>
    <w:p w:rsidR="007A4342" w:rsidRPr="00751F1F" w:rsidRDefault="007A4342" w:rsidP="007A4342">
      <w:pPr>
        <w:pStyle w:val="Akapitzlist"/>
        <w:numPr>
          <w:ilvl w:val="1"/>
          <w:numId w:val="20"/>
        </w:numPr>
        <w:spacing w:after="0" w:line="240" w:lineRule="auto"/>
        <w:jc w:val="both"/>
        <w:rPr>
          <w:rFonts w:ascii="Times New Roman" w:hAnsi="Times New Roman" w:cs="Times New Roman"/>
          <w:bCs/>
          <w:sz w:val="20"/>
          <w:szCs w:val="20"/>
        </w:rPr>
      </w:pPr>
      <w:r w:rsidRPr="005A36EC">
        <w:rPr>
          <w:rStyle w:val="Uwydatnienie"/>
          <w:rFonts w:ascii="Times New Roman" w:hAnsi="Times New Roman" w:cs="Times New Roman"/>
          <w:bCs/>
          <w:i w:val="0"/>
          <w:sz w:val="20"/>
          <w:szCs w:val="20"/>
        </w:rPr>
        <w:t xml:space="preserve">Urban planning and land use law </w:t>
      </w:r>
    </w:p>
    <w:p w:rsidR="00751F1F" w:rsidRPr="007A4342" w:rsidRDefault="007A4342" w:rsidP="007A4342">
      <w:pPr>
        <w:autoSpaceDE w:val="0"/>
        <w:autoSpaceDN w:val="0"/>
        <w:adjustRightInd w:val="0"/>
        <w:spacing w:after="0" w:line="240" w:lineRule="auto"/>
        <w:ind w:firstLine="360"/>
        <w:jc w:val="both"/>
        <w:rPr>
          <w:rFonts w:ascii="Times New Roman" w:hAnsi="Times New Roman" w:cs="Times New Roman"/>
          <w:b/>
          <w:sz w:val="20"/>
          <w:szCs w:val="20"/>
        </w:rPr>
      </w:pPr>
      <w:r w:rsidRPr="007A4342">
        <w:rPr>
          <w:rFonts w:ascii="Times New Roman" w:hAnsi="Times New Roman" w:cs="Times New Roman"/>
          <w:sz w:val="20"/>
          <w:szCs w:val="24"/>
        </w:rPr>
        <w:t>One of the most important role of NISA with these reagards is to introduce various arrangements streamlining procedures outlined in the aforemenitoned laws – NISA is</w:t>
      </w:r>
      <w:r w:rsidRPr="007A4342">
        <w:rPr>
          <w:rFonts w:ascii="Times New Roman" w:hAnsi="Times New Roman" w:cs="Times New Roman"/>
          <w:b/>
          <w:i/>
          <w:sz w:val="20"/>
          <w:szCs w:val="24"/>
        </w:rPr>
        <w:t xml:space="preserve"> a lex specialis</w:t>
      </w:r>
      <w:r w:rsidRPr="007A4342">
        <w:rPr>
          <w:rFonts w:ascii="Times New Roman" w:hAnsi="Times New Roman" w:cs="Times New Roman"/>
          <w:sz w:val="20"/>
          <w:szCs w:val="24"/>
        </w:rPr>
        <w:t xml:space="preserve"> (e.g. shorten period to issue certain permits, etc.)</w:t>
      </w:r>
      <w:r w:rsidR="002A163D">
        <w:rPr>
          <w:rFonts w:ascii="Times New Roman" w:hAnsi="Times New Roman" w:cs="Times New Roman"/>
          <w:sz w:val="20"/>
          <w:szCs w:val="24"/>
        </w:rPr>
        <w:t>.</w:t>
      </w:r>
    </w:p>
    <w:p w:rsidR="007A4342" w:rsidRPr="002A163D" w:rsidRDefault="007A4342" w:rsidP="002A163D">
      <w:pPr>
        <w:autoSpaceDE w:val="0"/>
        <w:autoSpaceDN w:val="0"/>
        <w:adjustRightInd w:val="0"/>
        <w:spacing w:after="0" w:line="240" w:lineRule="auto"/>
        <w:jc w:val="both"/>
        <w:rPr>
          <w:rFonts w:ascii="Times New Roman" w:hAnsi="Times New Roman" w:cs="Times New Roman"/>
          <w:b/>
          <w:sz w:val="20"/>
          <w:szCs w:val="20"/>
        </w:rPr>
      </w:pPr>
    </w:p>
    <w:p w:rsidR="00943D62" w:rsidRPr="00FE0F87" w:rsidRDefault="00586F3D" w:rsidP="00FE0F87">
      <w:pPr>
        <w:pStyle w:val="Akapitzlist"/>
        <w:numPr>
          <w:ilvl w:val="1"/>
          <w:numId w:val="28"/>
        </w:numPr>
        <w:autoSpaceDE w:val="0"/>
        <w:autoSpaceDN w:val="0"/>
        <w:adjustRightInd w:val="0"/>
        <w:spacing w:after="0" w:line="240" w:lineRule="auto"/>
        <w:jc w:val="both"/>
        <w:rPr>
          <w:rFonts w:ascii="Times New Roman" w:hAnsi="Times New Roman" w:cs="Times New Roman"/>
          <w:b/>
          <w:sz w:val="20"/>
          <w:szCs w:val="20"/>
        </w:rPr>
      </w:pPr>
      <w:r w:rsidRPr="00FE0F87">
        <w:rPr>
          <w:rFonts w:ascii="Times New Roman" w:hAnsi="Times New Roman" w:cs="Times New Roman"/>
          <w:b/>
          <w:sz w:val="20"/>
          <w:szCs w:val="20"/>
        </w:rPr>
        <w:t>L</w:t>
      </w:r>
      <w:r w:rsidR="00943D62" w:rsidRPr="00FE0F87">
        <w:rPr>
          <w:rFonts w:ascii="Times New Roman" w:hAnsi="Times New Roman" w:cs="Times New Roman"/>
          <w:b/>
          <w:sz w:val="20"/>
          <w:szCs w:val="20"/>
        </w:rPr>
        <w:t>icensing and permitting process for nuclear power plants</w:t>
      </w:r>
      <w:r w:rsidR="00751F1F">
        <w:rPr>
          <w:rFonts w:ascii="Times New Roman" w:hAnsi="Times New Roman" w:cs="Times New Roman"/>
          <w:b/>
          <w:sz w:val="20"/>
          <w:szCs w:val="20"/>
        </w:rPr>
        <w:t xml:space="preserve"> under Atomic Law Act and </w:t>
      </w:r>
      <w:r w:rsidR="007A4342">
        <w:rPr>
          <w:rFonts w:ascii="Times New Roman" w:hAnsi="Times New Roman" w:cs="Times New Roman"/>
          <w:b/>
          <w:sz w:val="20"/>
          <w:szCs w:val="20"/>
        </w:rPr>
        <w:t xml:space="preserve">the </w:t>
      </w:r>
      <w:r w:rsidR="00751F1F">
        <w:rPr>
          <w:rFonts w:ascii="Times New Roman" w:hAnsi="Times New Roman" w:cs="Times New Roman"/>
          <w:b/>
          <w:sz w:val="20"/>
          <w:szCs w:val="20"/>
        </w:rPr>
        <w:t>NISA</w:t>
      </w:r>
    </w:p>
    <w:p w:rsidR="00943D62" w:rsidRPr="00FB6005" w:rsidRDefault="00943D62" w:rsidP="00943D62">
      <w:pPr>
        <w:autoSpaceDE w:val="0"/>
        <w:autoSpaceDN w:val="0"/>
        <w:adjustRightInd w:val="0"/>
        <w:spacing w:after="0" w:line="240" w:lineRule="auto"/>
        <w:jc w:val="both"/>
        <w:rPr>
          <w:rFonts w:ascii="Times New Roman" w:hAnsi="Times New Roman" w:cs="Times New Roman"/>
          <w:b/>
          <w:sz w:val="20"/>
          <w:szCs w:val="24"/>
        </w:rPr>
      </w:pPr>
    </w:p>
    <w:p w:rsidR="00795797" w:rsidRPr="00586F3D" w:rsidRDefault="00943D62" w:rsidP="001C7170">
      <w:pPr>
        <w:autoSpaceDE w:val="0"/>
        <w:autoSpaceDN w:val="0"/>
        <w:adjustRightInd w:val="0"/>
        <w:spacing w:after="0" w:line="240" w:lineRule="auto"/>
        <w:ind w:firstLine="360"/>
        <w:jc w:val="both"/>
        <w:rPr>
          <w:rFonts w:ascii="Times New Roman" w:hAnsi="Times New Roman" w:cs="Times New Roman"/>
          <w:sz w:val="20"/>
          <w:szCs w:val="24"/>
        </w:rPr>
      </w:pPr>
      <w:r w:rsidRPr="00586F3D">
        <w:rPr>
          <w:rFonts w:ascii="Times New Roman" w:hAnsi="Times New Roman" w:cs="Times New Roman"/>
          <w:sz w:val="20"/>
          <w:szCs w:val="24"/>
        </w:rPr>
        <w:t xml:space="preserve">The primary objective of every nuclear power investment project is to construct and operate of a nuclear power plant. This requires obtaining various licences and permits which are issued </w:t>
      </w:r>
      <w:r w:rsidR="00FF01FE" w:rsidRPr="00586F3D">
        <w:rPr>
          <w:rFonts w:ascii="Times New Roman" w:hAnsi="Times New Roman" w:cs="Times New Roman"/>
          <w:sz w:val="20"/>
          <w:szCs w:val="24"/>
        </w:rPr>
        <w:t xml:space="preserve">under the Acts decribed in the previous subchapter </w:t>
      </w:r>
      <w:r w:rsidRPr="00586F3D">
        <w:rPr>
          <w:rFonts w:ascii="Times New Roman" w:hAnsi="Times New Roman" w:cs="Times New Roman"/>
          <w:sz w:val="20"/>
          <w:szCs w:val="24"/>
        </w:rPr>
        <w:t xml:space="preserve">not only </w:t>
      </w:r>
      <w:r w:rsidR="00FF01FE" w:rsidRPr="00586F3D">
        <w:rPr>
          <w:rFonts w:ascii="Times New Roman" w:hAnsi="Times New Roman" w:cs="Times New Roman"/>
          <w:sz w:val="20"/>
          <w:szCs w:val="24"/>
        </w:rPr>
        <w:t>by the Nuclear Regulatory Body (i.e. the President of National Atomic Energy Agency) but also by some other relevant author</w:t>
      </w:r>
      <w:r w:rsidR="00FE0F87">
        <w:rPr>
          <w:rFonts w:ascii="Times New Roman" w:hAnsi="Times New Roman" w:cs="Times New Roman"/>
          <w:sz w:val="20"/>
          <w:szCs w:val="24"/>
        </w:rPr>
        <w:t>ities</w:t>
      </w:r>
      <w:r w:rsidR="00795797" w:rsidRPr="00586F3D">
        <w:rPr>
          <w:rFonts w:ascii="Times New Roman" w:hAnsi="Times New Roman" w:cs="Times New Roman"/>
          <w:sz w:val="20"/>
          <w:szCs w:val="24"/>
        </w:rPr>
        <w:t xml:space="preserve">. The aforementioned licences and permits are </w:t>
      </w:r>
      <w:r w:rsidR="00FE0F87">
        <w:rPr>
          <w:rFonts w:ascii="Times New Roman" w:hAnsi="Times New Roman" w:cs="Times New Roman"/>
          <w:sz w:val="20"/>
          <w:szCs w:val="24"/>
        </w:rPr>
        <w:t>listed below</w:t>
      </w:r>
      <w:r w:rsidR="00795797" w:rsidRPr="00586F3D">
        <w:rPr>
          <w:rFonts w:ascii="Times New Roman" w:hAnsi="Times New Roman" w:cs="Times New Roman"/>
          <w:sz w:val="20"/>
          <w:szCs w:val="24"/>
        </w:rPr>
        <w:t>:</w:t>
      </w:r>
    </w:p>
    <w:p w:rsidR="00795797" w:rsidRPr="00586F3D"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586F3D">
        <w:rPr>
          <w:rFonts w:ascii="Times New Roman" w:hAnsi="Times New Roman" w:cs="Times New Roman"/>
          <w:sz w:val="20"/>
          <w:szCs w:val="24"/>
        </w:rPr>
        <w:t>Decision-in-principle – issued by the Minister of Industry (NEPIO)</w:t>
      </w:r>
    </w:p>
    <w:p w:rsidR="00795797" w:rsidRPr="002363AA"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Environmental Pemit – issued by the General Direcor of Environmental Protection</w:t>
      </w:r>
    </w:p>
    <w:p w:rsidR="00795797" w:rsidRPr="002363AA"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Location Decision – issued by the Province Governor (appointed by the Prime Minister)</w:t>
      </w:r>
    </w:p>
    <w:p w:rsidR="00795797" w:rsidRPr="002363AA"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Permit to prepare the site (non-obligatory) – issued by the Province Governor</w:t>
      </w:r>
    </w:p>
    <w:p w:rsidR="00795797" w:rsidRPr="002363AA"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 xml:space="preserve">Construction licence – issued by the Nuclear Regulatory Body </w:t>
      </w:r>
    </w:p>
    <w:p w:rsidR="00795797" w:rsidRPr="002363AA"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Construction permit (non-nuclear safety) – issued by the Province Governor</w:t>
      </w:r>
    </w:p>
    <w:p w:rsidR="00795797" w:rsidRPr="002363AA"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Investment use permit (non-nuclear safety) - issued by the Chief Inspector of Construction Oversight</w:t>
      </w:r>
    </w:p>
    <w:p w:rsidR="00795797" w:rsidRPr="002363AA" w:rsidRDefault="00795797"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Commissioning licence</w:t>
      </w:r>
      <w:r w:rsidR="00586F3D" w:rsidRPr="002363AA">
        <w:rPr>
          <w:rFonts w:ascii="Times New Roman" w:hAnsi="Times New Roman" w:cs="Times New Roman"/>
          <w:sz w:val="20"/>
          <w:szCs w:val="24"/>
        </w:rPr>
        <w:t xml:space="preserve"> – issued by the Nuclear </w:t>
      </w:r>
      <w:r w:rsidRPr="002363AA">
        <w:rPr>
          <w:rFonts w:ascii="Times New Roman" w:hAnsi="Times New Roman" w:cs="Times New Roman"/>
          <w:sz w:val="20"/>
          <w:szCs w:val="24"/>
        </w:rPr>
        <w:t xml:space="preserve"> </w:t>
      </w:r>
      <w:r w:rsidR="00586F3D" w:rsidRPr="002363AA">
        <w:rPr>
          <w:rFonts w:ascii="Times New Roman" w:hAnsi="Times New Roman" w:cs="Times New Roman"/>
          <w:sz w:val="20"/>
          <w:szCs w:val="24"/>
        </w:rPr>
        <w:t>Regulatory Body</w:t>
      </w:r>
    </w:p>
    <w:p w:rsidR="00586F3D" w:rsidRPr="002363AA" w:rsidRDefault="00586F3D" w:rsidP="00795797">
      <w:pPr>
        <w:pStyle w:val="Akapitzlist"/>
        <w:numPr>
          <w:ilvl w:val="0"/>
          <w:numId w:val="19"/>
        </w:numPr>
        <w:autoSpaceDE w:val="0"/>
        <w:autoSpaceDN w:val="0"/>
        <w:adjustRightInd w:val="0"/>
        <w:spacing w:after="0" w:line="240" w:lineRule="auto"/>
        <w:jc w:val="both"/>
        <w:rPr>
          <w:rFonts w:ascii="Times New Roman" w:hAnsi="Times New Roman" w:cs="Times New Roman"/>
          <w:sz w:val="20"/>
          <w:szCs w:val="24"/>
        </w:rPr>
      </w:pPr>
      <w:r w:rsidRPr="002363AA">
        <w:rPr>
          <w:rFonts w:ascii="Times New Roman" w:hAnsi="Times New Roman" w:cs="Times New Roman"/>
          <w:sz w:val="20"/>
          <w:szCs w:val="24"/>
        </w:rPr>
        <w:t>Operating licence – issued by the Nuclear Regulatory Body</w:t>
      </w:r>
    </w:p>
    <w:p w:rsidR="002A163D" w:rsidRPr="002A163D" w:rsidRDefault="002A163D" w:rsidP="001C7170">
      <w:pPr>
        <w:autoSpaceDE w:val="0"/>
        <w:autoSpaceDN w:val="0"/>
        <w:adjustRightInd w:val="0"/>
        <w:spacing w:after="0" w:line="240" w:lineRule="auto"/>
        <w:ind w:firstLine="360"/>
        <w:jc w:val="both"/>
        <w:rPr>
          <w:rFonts w:ascii="Times New Roman" w:hAnsi="Times New Roman" w:cs="Times New Roman"/>
          <w:sz w:val="4"/>
          <w:szCs w:val="4"/>
        </w:rPr>
      </w:pPr>
    </w:p>
    <w:p w:rsidR="006644B6" w:rsidRDefault="002363AA" w:rsidP="001C7170">
      <w:pPr>
        <w:autoSpaceDE w:val="0"/>
        <w:autoSpaceDN w:val="0"/>
        <w:adjustRightInd w:val="0"/>
        <w:spacing w:after="0" w:line="240" w:lineRule="auto"/>
        <w:ind w:firstLine="360"/>
        <w:jc w:val="both"/>
        <w:rPr>
          <w:rFonts w:ascii="Times New Roman" w:hAnsi="Times New Roman" w:cs="Times New Roman"/>
          <w:sz w:val="20"/>
          <w:szCs w:val="20"/>
        </w:rPr>
      </w:pPr>
      <w:r w:rsidRPr="00973720">
        <w:rPr>
          <w:rFonts w:ascii="Times New Roman" w:hAnsi="Times New Roman" w:cs="Times New Roman"/>
          <w:sz w:val="20"/>
          <w:szCs w:val="20"/>
        </w:rPr>
        <w:t>On the below graph the licensing and permitting process is summarized:</w:t>
      </w:r>
    </w:p>
    <w:p w:rsidR="00130352" w:rsidRDefault="00130352" w:rsidP="00130352">
      <w:pPr>
        <w:autoSpaceDE w:val="0"/>
        <w:autoSpaceDN w:val="0"/>
        <w:adjustRightInd w:val="0"/>
        <w:spacing w:after="0" w:line="240" w:lineRule="auto"/>
        <w:jc w:val="both"/>
        <w:rPr>
          <w:rFonts w:ascii="Times New Roman" w:hAnsi="Times New Roman" w:cs="Times New Roman"/>
          <w:sz w:val="20"/>
          <w:szCs w:val="20"/>
        </w:rPr>
      </w:pPr>
    </w:p>
    <w:p w:rsidR="002363AA" w:rsidRDefault="00AC0A14" w:rsidP="00751F1F">
      <w:pPr>
        <w:autoSpaceDE w:val="0"/>
        <w:autoSpaceDN w:val="0"/>
        <w:adjustRightInd w:val="0"/>
        <w:spacing w:after="0" w:line="240" w:lineRule="auto"/>
        <w:ind w:left="-567" w:firstLine="360"/>
        <w:jc w:val="center"/>
        <w:rPr>
          <w:rFonts w:ascii="Times New Roman" w:hAnsi="Times New Roman" w:cs="Times New Roman"/>
          <w:sz w:val="20"/>
          <w:szCs w:val="20"/>
        </w:rPr>
      </w:pPr>
      <w:r>
        <w:rPr>
          <w:rFonts w:ascii="Times New Roman" w:hAnsi="Times New Roman" w:cs="Times New Roman"/>
          <w:noProof/>
          <w:sz w:val="20"/>
          <w:szCs w:val="20"/>
          <w:lang w:eastAsia="pl-PL"/>
        </w:rPr>
        <w:drawing>
          <wp:inline distT="0" distB="0" distL="0" distR="0">
            <wp:extent cx="5989248" cy="353027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8141" cy="3694668"/>
                    </a:xfrm>
                    <a:prstGeom prst="rect">
                      <a:avLst/>
                    </a:prstGeom>
                    <a:noFill/>
                    <a:ln>
                      <a:noFill/>
                    </a:ln>
                  </pic:spPr>
                </pic:pic>
              </a:graphicData>
            </a:graphic>
          </wp:inline>
        </w:drawing>
      </w:r>
    </w:p>
    <w:p w:rsidR="002A163D" w:rsidRPr="002A163D" w:rsidRDefault="002A163D" w:rsidP="002A163D">
      <w:pPr>
        <w:autoSpaceDE w:val="0"/>
        <w:autoSpaceDN w:val="0"/>
        <w:adjustRightInd w:val="0"/>
        <w:spacing w:after="0" w:line="240" w:lineRule="auto"/>
        <w:ind w:left="-567" w:firstLine="360"/>
        <w:rPr>
          <w:rFonts w:ascii="Times New Roman" w:hAnsi="Times New Roman" w:cs="Times New Roman"/>
          <w:sz w:val="8"/>
          <w:szCs w:val="8"/>
        </w:rPr>
      </w:pPr>
      <w:r w:rsidRPr="002A163D">
        <w:rPr>
          <w:rFonts w:ascii="Times New Roman" w:hAnsi="Times New Roman" w:cs="Times New Roman"/>
          <w:sz w:val="18"/>
          <w:szCs w:val="20"/>
        </w:rPr>
        <w:tab/>
      </w:r>
      <w:r w:rsidRPr="002A163D">
        <w:rPr>
          <w:rFonts w:ascii="Times New Roman" w:hAnsi="Times New Roman" w:cs="Times New Roman"/>
          <w:sz w:val="18"/>
          <w:szCs w:val="20"/>
        </w:rPr>
        <w:tab/>
      </w:r>
    </w:p>
    <w:p w:rsidR="002A163D" w:rsidRPr="002A163D" w:rsidRDefault="002A163D" w:rsidP="002A163D">
      <w:pPr>
        <w:autoSpaceDE w:val="0"/>
        <w:autoSpaceDN w:val="0"/>
        <w:adjustRightInd w:val="0"/>
        <w:spacing w:after="0" w:line="240" w:lineRule="auto"/>
        <w:rPr>
          <w:rFonts w:ascii="Times New Roman" w:hAnsi="Times New Roman" w:cs="Times New Roman"/>
          <w:sz w:val="16"/>
          <w:szCs w:val="20"/>
        </w:rPr>
      </w:pPr>
      <w:r>
        <w:rPr>
          <w:rFonts w:ascii="Times New Roman" w:hAnsi="Times New Roman" w:cs="Times New Roman"/>
          <w:sz w:val="16"/>
          <w:szCs w:val="20"/>
        </w:rPr>
        <w:t>Fig. 2</w:t>
      </w:r>
      <w:r w:rsidRPr="002A163D">
        <w:rPr>
          <w:rFonts w:ascii="Times New Roman" w:hAnsi="Times New Roman" w:cs="Times New Roman"/>
          <w:sz w:val="16"/>
          <w:szCs w:val="20"/>
        </w:rPr>
        <w:t xml:space="preserve"> Licensin</w:t>
      </w:r>
      <w:r>
        <w:rPr>
          <w:rFonts w:ascii="Times New Roman" w:hAnsi="Times New Roman" w:cs="Times New Roman"/>
          <w:sz w:val="16"/>
          <w:szCs w:val="20"/>
        </w:rPr>
        <w:t>g</w:t>
      </w:r>
      <w:r w:rsidRPr="002A163D">
        <w:rPr>
          <w:rFonts w:ascii="Times New Roman" w:hAnsi="Times New Roman" w:cs="Times New Roman"/>
          <w:sz w:val="16"/>
          <w:szCs w:val="20"/>
        </w:rPr>
        <w:t xml:space="preserve"> process for nuclear installations in Poland </w:t>
      </w:r>
    </w:p>
    <w:p w:rsidR="00FE0F87" w:rsidRDefault="00FE0F87" w:rsidP="00AC0A14">
      <w:pPr>
        <w:autoSpaceDE w:val="0"/>
        <w:autoSpaceDN w:val="0"/>
        <w:adjustRightInd w:val="0"/>
        <w:spacing w:after="0" w:line="240" w:lineRule="auto"/>
        <w:ind w:firstLine="360"/>
        <w:jc w:val="both"/>
        <w:rPr>
          <w:rFonts w:ascii="Times New Roman" w:hAnsi="Times New Roman" w:cs="Times New Roman"/>
          <w:b/>
          <w:sz w:val="24"/>
          <w:szCs w:val="24"/>
        </w:rPr>
      </w:pPr>
    </w:p>
    <w:p w:rsidR="009A6A81" w:rsidRPr="00FE0F87" w:rsidRDefault="00FE0F87" w:rsidP="00FE0F87">
      <w:pPr>
        <w:autoSpaceDE w:val="0"/>
        <w:autoSpaceDN w:val="0"/>
        <w:adjustRightInd w:val="0"/>
        <w:spacing w:after="0" w:line="240" w:lineRule="auto"/>
        <w:jc w:val="both"/>
        <w:rPr>
          <w:rFonts w:ascii="Times New Roman" w:hAnsi="Times New Roman" w:cs="Times New Roman"/>
          <w:b/>
          <w:sz w:val="20"/>
          <w:szCs w:val="20"/>
        </w:rPr>
      </w:pPr>
      <w:r w:rsidRPr="00FE0F87">
        <w:rPr>
          <w:rFonts w:ascii="Times New Roman" w:hAnsi="Times New Roman" w:cs="Times New Roman"/>
          <w:b/>
          <w:sz w:val="20"/>
          <w:szCs w:val="20"/>
        </w:rPr>
        <w:t>2</w:t>
      </w:r>
      <w:r w:rsidR="00AC0A14" w:rsidRPr="00FE0F87">
        <w:rPr>
          <w:rFonts w:ascii="Times New Roman" w:hAnsi="Times New Roman" w:cs="Times New Roman"/>
          <w:b/>
          <w:sz w:val="20"/>
          <w:szCs w:val="20"/>
        </w:rPr>
        <w:t>.</w:t>
      </w:r>
      <w:r w:rsidRPr="00FE0F87">
        <w:rPr>
          <w:rFonts w:ascii="Times New Roman" w:hAnsi="Times New Roman" w:cs="Times New Roman"/>
          <w:b/>
          <w:sz w:val="20"/>
          <w:szCs w:val="20"/>
        </w:rPr>
        <w:t>4</w:t>
      </w:r>
      <w:r w:rsidR="00AC0A14" w:rsidRPr="00FE0F87">
        <w:rPr>
          <w:rFonts w:ascii="Times New Roman" w:hAnsi="Times New Roman" w:cs="Times New Roman"/>
          <w:b/>
          <w:sz w:val="20"/>
          <w:szCs w:val="20"/>
        </w:rPr>
        <w:t xml:space="preserve"> </w:t>
      </w:r>
      <w:r w:rsidR="00B131F9" w:rsidRPr="00FE0F87">
        <w:rPr>
          <w:rFonts w:ascii="Times New Roman" w:hAnsi="Times New Roman" w:cs="Times New Roman"/>
          <w:b/>
          <w:sz w:val="20"/>
          <w:szCs w:val="20"/>
        </w:rPr>
        <w:t>Selected</w:t>
      </w:r>
      <w:r w:rsidR="00AD37FA" w:rsidRPr="00FE0F87">
        <w:rPr>
          <w:rFonts w:ascii="Times New Roman" w:hAnsi="Times New Roman" w:cs="Times New Roman"/>
          <w:b/>
          <w:sz w:val="20"/>
          <w:szCs w:val="20"/>
        </w:rPr>
        <w:t xml:space="preserve"> </w:t>
      </w:r>
      <w:r>
        <w:rPr>
          <w:rFonts w:ascii="Times New Roman" w:hAnsi="Times New Roman" w:cs="Times New Roman"/>
          <w:b/>
          <w:sz w:val="20"/>
          <w:szCs w:val="20"/>
        </w:rPr>
        <w:t>legal arrangements to facilitate nuclear investment projects</w:t>
      </w:r>
      <w:r w:rsidR="00F85B23" w:rsidRPr="00FE0F87">
        <w:rPr>
          <w:rFonts w:ascii="Times New Roman" w:hAnsi="Times New Roman" w:cs="Times New Roman"/>
          <w:b/>
          <w:sz w:val="20"/>
          <w:szCs w:val="20"/>
        </w:rPr>
        <w:t xml:space="preserve"> </w:t>
      </w:r>
    </w:p>
    <w:p w:rsidR="009A6A81" w:rsidRPr="00FB6005" w:rsidRDefault="009A6A81" w:rsidP="006F0C22">
      <w:pPr>
        <w:autoSpaceDE w:val="0"/>
        <w:autoSpaceDN w:val="0"/>
        <w:adjustRightInd w:val="0"/>
        <w:spacing w:after="0" w:line="240" w:lineRule="auto"/>
        <w:jc w:val="both"/>
        <w:rPr>
          <w:rFonts w:ascii="Times New Roman" w:hAnsi="Times New Roman" w:cs="Times New Roman"/>
          <w:sz w:val="20"/>
          <w:szCs w:val="24"/>
        </w:rPr>
      </w:pPr>
    </w:p>
    <w:p w:rsidR="006F0C22" w:rsidRPr="00AA3E5C" w:rsidRDefault="00AA3E5C" w:rsidP="001C7170">
      <w:pPr>
        <w:autoSpaceDE w:val="0"/>
        <w:autoSpaceDN w:val="0"/>
        <w:adjustRightInd w:val="0"/>
        <w:spacing w:after="0" w:line="240" w:lineRule="auto"/>
        <w:ind w:firstLine="360"/>
        <w:jc w:val="both"/>
        <w:rPr>
          <w:rFonts w:ascii="Times New Roman" w:hAnsi="Times New Roman" w:cs="Times New Roman"/>
          <w:sz w:val="20"/>
          <w:szCs w:val="20"/>
        </w:rPr>
      </w:pPr>
      <w:r w:rsidRPr="00AA3E5C">
        <w:rPr>
          <w:rFonts w:ascii="Times New Roman" w:hAnsi="Times New Roman" w:cs="Times New Roman"/>
          <w:sz w:val="20"/>
          <w:szCs w:val="20"/>
        </w:rPr>
        <w:t>Legal arrangements</w:t>
      </w:r>
      <w:r w:rsidR="00AD37FA" w:rsidRPr="00AA3E5C">
        <w:rPr>
          <w:rFonts w:ascii="Times New Roman" w:hAnsi="Times New Roman" w:cs="Times New Roman"/>
          <w:sz w:val="20"/>
          <w:szCs w:val="20"/>
        </w:rPr>
        <w:t xml:space="preserve"> </w:t>
      </w:r>
      <w:r w:rsidR="00F85B23" w:rsidRPr="00AA3E5C">
        <w:rPr>
          <w:rFonts w:ascii="Times New Roman" w:hAnsi="Times New Roman" w:cs="Times New Roman"/>
          <w:sz w:val="20"/>
          <w:szCs w:val="20"/>
        </w:rPr>
        <w:t xml:space="preserve">existing in Polish law aimed at accelerating nuclear power investment </w:t>
      </w:r>
      <w:r w:rsidRPr="00AA3E5C">
        <w:rPr>
          <w:rFonts w:ascii="Times New Roman" w:hAnsi="Times New Roman" w:cs="Times New Roman"/>
          <w:sz w:val="20"/>
          <w:szCs w:val="20"/>
        </w:rPr>
        <w:t xml:space="preserve">projects covers all stages of the nuclear power plant investment process and </w:t>
      </w:r>
      <w:r w:rsidR="00A6662A" w:rsidRPr="00AA3E5C">
        <w:rPr>
          <w:rFonts w:ascii="Times New Roman" w:hAnsi="Times New Roman" w:cs="Times New Roman"/>
          <w:sz w:val="20"/>
          <w:szCs w:val="20"/>
        </w:rPr>
        <w:t xml:space="preserve">may be </w:t>
      </w:r>
      <w:r w:rsidR="00ED4AD7">
        <w:rPr>
          <w:rFonts w:ascii="Times New Roman" w:hAnsi="Times New Roman" w:cs="Times New Roman"/>
          <w:sz w:val="20"/>
          <w:szCs w:val="20"/>
        </w:rPr>
        <w:t>divided into 4</w:t>
      </w:r>
      <w:r w:rsidR="00AD37FA" w:rsidRPr="00AA3E5C">
        <w:rPr>
          <w:rFonts w:ascii="Times New Roman" w:hAnsi="Times New Roman" w:cs="Times New Roman"/>
          <w:sz w:val="20"/>
          <w:szCs w:val="20"/>
        </w:rPr>
        <w:t xml:space="preserve"> categories</w:t>
      </w:r>
      <w:r w:rsidR="00A6662A" w:rsidRPr="00AA3E5C">
        <w:rPr>
          <w:rFonts w:ascii="Times New Roman" w:hAnsi="Times New Roman" w:cs="Times New Roman"/>
          <w:sz w:val="20"/>
          <w:szCs w:val="20"/>
        </w:rPr>
        <w:t>:</w:t>
      </w:r>
    </w:p>
    <w:p w:rsidR="00AD37FA" w:rsidRPr="00AA3E5C" w:rsidRDefault="00A6662A" w:rsidP="00F85B23">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AA3E5C">
        <w:rPr>
          <w:rFonts w:ascii="Times New Roman" w:hAnsi="Times New Roman" w:cs="Times New Roman"/>
          <w:sz w:val="20"/>
          <w:szCs w:val="20"/>
        </w:rPr>
        <w:t xml:space="preserve">Instruments to reduce </w:t>
      </w:r>
      <w:r w:rsidR="009A6A81" w:rsidRPr="00AA3E5C">
        <w:rPr>
          <w:rFonts w:ascii="Times New Roman" w:hAnsi="Times New Roman" w:cs="Times New Roman"/>
          <w:sz w:val="20"/>
          <w:szCs w:val="20"/>
        </w:rPr>
        <w:t xml:space="preserve">energy </w:t>
      </w:r>
      <w:r w:rsidRPr="00AA3E5C">
        <w:rPr>
          <w:rFonts w:ascii="Times New Roman" w:hAnsi="Times New Roman" w:cs="Times New Roman"/>
          <w:sz w:val="20"/>
          <w:szCs w:val="20"/>
        </w:rPr>
        <w:t>policy risks and to bring nuclear project in line with State’s energy policy</w:t>
      </w:r>
    </w:p>
    <w:p w:rsidR="00A6662A" w:rsidRPr="00AA3E5C" w:rsidRDefault="00A6662A" w:rsidP="00A6662A">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AA3E5C">
        <w:rPr>
          <w:rFonts w:ascii="Times New Roman" w:hAnsi="Times New Roman" w:cs="Times New Roman"/>
          <w:sz w:val="20"/>
          <w:szCs w:val="20"/>
        </w:rPr>
        <w:t xml:space="preserve">Instruments to </w:t>
      </w:r>
      <w:r w:rsidR="005662DE">
        <w:rPr>
          <w:rFonts w:ascii="Times New Roman" w:hAnsi="Times New Roman" w:cs="Times New Roman"/>
          <w:sz w:val="20"/>
          <w:szCs w:val="20"/>
        </w:rPr>
        <w:t>facilitate licensing process</w:t>
      </w:r>
    </w:p>
    <w:p w:rsidR="00F85B23" w:rsidRPr="00AA3E5C" w:rsidRDefault="00F85B23" w:rsidP="00A6662A">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AA3E5C">
        <w:rPr>
          <w:rFonts w:ascii="Times New Roman" w:hAnsi="Times New Roman" w:cs="Times New Roman"/>
          <w:sz w:val="20"/>
          <w:szCs w:val="20"/>
        </w:rPr>
        <w:lastRenderedPageBreak/>
        <w:t xml:space="preserve">Instruments to </w:t>
      </w:r>
      <w:r w:rsidR="009A6A81" w:rsidRPr="00AA3E5C">
        <w:rPr>
          <w:rFonts w:ascii="Times New Roman" w:hAnsi="Times New Roman" w:cs="Times New Roman"/>
          <w:sz w:val="20"/>
          <w:szCs w:val="20"/>
        </w:rPr>
        <w:t>facilitate preparation and implementa</w:t>
      </w:r>
      <w:r w:rsidR="005662DE">
        <w:rPr>
          <w:rFonts w:ascii="Times New Roman" w:hAnsi="Times New Roman" w:cs="Times New Roman"/>
          <w:sz w:val="20"/>
          <w:szCs w:val="20"/>
        </w:rPr>
        <w:t xml:space="preserve">tion of the nuclear investment </w:t>
      </w:r>
      <w:r w:rsidR="009A6A81" w:rsidRPr="00AA3E5C">
        <w:rPr>
          <w:rFonts w:ascii="Times New Roman" w:hAnsi="Times New Roman" w:cs="Times New Roman"/>
          <w:sz w:val="20"/>
          <w:szCs w:val="20"/>
        </w:rPr>
        <w:t>project</w:t>
      </w:r>
    </w:p>
    <w:p w:rsidR="00F85B23" w:rsidRPr="00AA3E5C" w:rsidRDefault="00F85B23" w:rsidP="00A6662A">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AA3E5C">
        <w:rPr>
          <w:rFonts w:ascii="Times New Roman" w:hAnsi="Times New Roman" w:cs="Times New Roman"/>
          <w:sz w:val="20"/>
          <w:szCs w:val="20"/>
        </w:rPr>
        <w:t>Instruments to enhance local community support for nuclear power project</w:t>
      </w:r>
    </w:p>
    <w:p w:rsidR="00732606" w:rsidRPr="00AA3E5C" w:rsidRDefault="00732606" w:rsidP="009966F7">
      <w:pPr>
        <w:autoSpaceDE w:val="0"/>
        <w:autoSpaceDN w:val="0"/>
        <w:adjustRightInd w:val="0"/>
        <w:spacing w:after="0" w:line="240" w:lineRule="auto"/>
        <w:jc w:val="both"/>
        <w:rPr>
          <w:rFonts w:ascii="Times New Roman" w:hAnsi="Times New Roman" w:cs="Times New Roman"/>
          <w:b/>
          <w:sz w:val="20"/>
          <w:szCs w:val="20"/>
        </w:rPr>
      </w:pPr>
    </w:p>
    <w:p w:rsidR="00945901" w:rsidRPr="00FE0F87" w:rsidRDefault="006F0C22" w:rsidP="00FE0F87">
      <w:pPr>
        <w:pStyle w:val="Akapitzlist"/>
        <w:numPr>
          <w:ilvl w:val="2"/>
          <w:numId w:val="29"/>
        </w:numPr>
        <w:autoSpaceDE w:val="0"/>
        <w:autoSpaceDN w:val="0"/>
        <w:adjustRightInd w:val="0"/>
        <w:spacing w:after="0" w:line="240" w:lineRule="auto"/>
        <w:ind w:left="567" w:hanging="567"/>
        <w:jc w:val="both"/>
        <w:rPr>
          <w:rFonts w:ascii="Times New Roman" w:hAnsi="Times New Roman" w:cs="Times New Roman"/>
          <w:i/>
          <w:sz w:val="20"/>
          <w:szCs w:val="20"/>
        </w:rPr>
      </w:pPr>
      <w:r w:rsidRPr="00FE0F87">
        <w:rPr>
          <w:rFonts w:ascii="Times New Roman" w:hAnsi="Times New Roman" w:cs="Times New Roman"/>
          <w:i/>
          <w:sz w:val="20"/>
          <w:szCs w:val="20"/>
        </w:rPr>
        <w:t xml:space="preserve">Instruments to reduce </w:t>
      </w:r>
      <w:r w:rsidR="004505AF" w:rsidRPr="00FE0F87">
        <w:rPr>
          <w:rFonts w:ascii="Times New Roman" w:hAnsi="Times New Roman" w:cs="Times New Roman"/>
          <w:i/>
          <w:sz w:val="20"/>
          <w:szCs w:val="20"/>
        </w:rPr>
        <w:t xml:space="preserve">energy </w:t>
      </w:r>
      <w:r w:rsidRPr="00FE0F87">
        <w:rPr>
          <w:rFonts w:ascii="Times New Roman" w:hAnsi="Times New Roman" w:cs="Times New Roman"/>
          <w:i/>
          <w:sz w:val="20"/>
          <w:szCs w:val="20"/>
        </w:rPr>
        <w:t xml:space="preserve">policy risks </w:t>
      </w:r>
    </w:p>
    <w:p w:rsidR="005662DE" w:rsidRPr="00C26093" w:rsidRDefault="005662DE" w:rsidP="00B131F9">
      <w:pPr>
        <w:autoSpaceDE w:val="0"/>
        <w:autoSpaceDN w:val="0"/>
        <w:adjustRightInd w:val="0"/>
        <w:spacing w:after="0" w:line="240" w:lineRule="auto"/>
        <w:jc w:val="both"/>
        <w:rPr>
          <w:rFonts w:ascii="Times New Roman" w:hAnsi="Times New Roman" w:cs="Times New Roman"/>
          <w:sz w:val="16"/>
          <w:szCs w:val="20"/>
          <w:u w:val="single"/>
        </w:rPr>
      </w:pPr>
    </w:p>
    <w:p w:rsidR="006F0C22" w:rsidRPr="00FE0F87" w:rsidRDefault="009E5377" w:rsidP="00B131F9">
      <w:pPr>
        <w:autoSpaceDE w:val="0"/>
        <w:autoSpaceDN w:val="0"/>
        <w:adjustRightInd w:val="0"/>
        <w:spacing w:after="0" w:line="240" w:lineRule="auto"/>
        <w:jc w:val="both"/>
        <w:rPr>
          <w:rFonts w:ascii="Times New Roman" w:hAnsi="Times New Roman" w:cs="Times New Roman"/>
          <w:b/>
          <w:sz w:val="20"/>
          <w:szCs w:val="20"/>
        </w:rPr>
      </w:pPr>
      <w:r w:rsidRPr="00FE0F87">
        <w:rPr>
          <w:rFonts w:ascii="Times New Roman" w:hAnsi="Times New Roman" w:cs="Times New Roman"/>
          <w:sz w:val="20"/>
          <w:szCs w:val="20"/>
        </w:rPr>
        <w:t>Decision-in-</w:t>
      </w:r>
      <w:r w:rsidR="006F0C22" w:rsidRPr="00FE0F87">
        <w:rPr>
          <w:rFonts w:ascii="Times New Roman" w:hAnsi="Times New Roman" w:cs="Times New Roman"/>
          <w:sz w:val="20"/>
          <w:szCs w:val="20"/>
        </w:rPr>
        <w:t>principle</w:t>
      </w:r>
    </w:p>
    <w:p w:rsidR="00617F62" w:rsidRPr="00C26093" w:rsidRDefault="00617F62" w:rsidP="00252326">
      <w:pPr>
        <w:autoSpaceDE w:val="0"/>
        <w:autoSpaceDN w:val="0"/>
        <w:adjustRightInd w:val="0"/>
        <w:spacing w:after="0" w:line="240" w:lineRule="auto"/>
        <w:jc w:val="both"/>
        <w:rPr>
          <w:rFonts w:ascii="Times New Roman" w:hAnsi="Times New Roman" w:cs="Times New Roman"/>
          <w:sz w:val="16"/>
          <w:szCs w:val="20"/>
        </w:rPr>
      </w:pPr>
    </w:p>
    <w:p w:rsidR="00A53BBE" w:rsidRPr="006818CD" w:rsidRDefault="009E5377" w:rsidP="00252326">
      <w:pPr>
        <w:autoSpaceDE w:val="0"/>
        <w:autoSpaceDN w:val="0"/>
        <w:adjustRightInd w:val="0"/>
        <w:spacing w:after="0" w:line="240" w:lineRule="auto"/>
        <w:jc w:val="both"/>
        <w:rPr>
          <w:rFonts w:ascii="Times New Roman" w:hAnsi="Times New Roman" w:cs="Times New Roman"/>
          <w:sz w:val="20"/>
          <w:szCs w:val="20"/>
        </w:rPr>
      </w:pPr>
      <w:r w:rsidRPr="006818CD">
        <w:rPr>
          <w:rFonts w:ascii="Times New Roman" w:hAnsi="Times New Roman" w:cs="Times New Roman"/>
          <w:sz w:val="20"/>
          <w:szCs w:val="20"/>
        </w:rPr>
        <w:t>The decision-in-p</w:t>
      </w:r>
      <w:r w:rsidR="00B131F9" w:rsidRPr="006818CD">
        <w:rPr>
          <w:rFonts w:ascii="Times New Roman" w:hAnsi="Times New Roman" w:cs="Times New Roman"/>
          <w:sz w:val="20"/>
          <w:szCs w:val="20"/>
        </w:rPr>
        <w:t xml:space="preserve">rinciple </w:t>
      </w:r>
      <w:r w:rsidR="00252326" w:rsidRPr="006818CD">
        <w:rPr>
          <w:rFonts w:ascii="Times New Roman" w:hAnsi="Times New Roman" w:cs="Times New Roman"/>
          <w:sz w:val="20"/>
          <w:szCs w:val="20"/>
        </w:rPr>
        <w:t xml:space="preserve">is </w:t>
      </w:r>
      <w:r w:rsidR="00B131F9" w:rsidRPr="006818CD">
        <w:rPr>
          <w:rFonts w:ascii="Times New Roman" w:hAnsi="Times New Roman" w:cs="Times New Roman"/>
          <w:sz w:val="20"/>
          <w:szCs w:val="20"/>
        </w:rPr>
        <w:t xml:space="preserve">issued by the Minister of Industry </w:t>
      </w:r>
      <w:r w:rsidR="00252326" w:rsidRPr="006818CD">
        <w:rPr>
          <w:rFonts w:ascii="Times New Roman" w:hAnsi="Times New Roman" w:cs="Times New Roman"/>
          <w:sz w:val="20"/>
          <w:szCs w:val="20"/>
        </w:rPr>
        <w:t>at the very early stage of the investment process and plays  the role of the State’s approval of the nuclear investment project. Its</w:t>
      </w:r>
      <w:r w:rsidR="00B131F9" w:rsidRPr="006818CD">
        <w:rPr>
          <w:rFonts w:ascii="Times New Roman" w:hAnsi="Times New Roman" w:cs="Times New Roman"/>
          <w:sz w:val="20"/>
          <w:szCs w:val="20"/>
        </w:rPr>
        <w:t xml:space="preserve"> role is to ensure </w:t>
      </w:r>
      <w:r w:rsidR="00252326" w:rsidRPr="006818CD">
        <w:rPr>
          <w:rFonts w:ascii="Times New Roman" w:hAnsi="Times New Roman" w:cs="Times New Roman"/>
          <w:sz w:val="20"/>
          <w:szCs w:val="20"/>
        </w:rPr>
        <w:t xml:space="preserve">that the proposed investment parameters (proposed site, technology, installed capacity) </w:t>
      </w:r>
      <w:r w:rsidR="00B131F9" w:rsidRPr="006818CD">
        <w:rPr>
          <w:rFonts w:ascii="Times New Roman" w:hAnsi="Times New Roman" w:cs="Times New Roman"/>
          <w:sz w:val="20"/>
          <w:szCs w:val="20"/>
        </w:rPr>
        <w:t xml:space="preserve"> </w:t>
      </w:r>
      <w:r w:rsidR="00252326" w:rsidRPr="006818CD">
        <w:rPr>
          <w:rFonts w:ascii="Times New Roman" w:hAnsi="Times New Roman" w:cs="Times New Roman"/>
          <w:sz w:val="20"/>
          <w:szCs w:val="20"/>
        </w:rPr>
        <w:t>are</w:t>
      </w:r>
      <w:r w:rsidR="00B131F9" w:rsidRPr="006818CD">
        <w:rPr>
          <w:rFonts w:ascii="Times New Roman" w:hAnsi="Times New Roman" w:cs="Times New Roman"/>
          <w:sz w:val="20"/>
          <w:szCs w:val="20"/>
        </w:rPr>
        <w:t xml:space="preserve"> in line </w:t>
      </w:r>
      <w:r w:rsidR="00252326" w:rsidRPr="006818CD">
        <w:rPr>
          <w:rFonts w:ascii="Times New Roman" w:hAnsi="Times New Roman" w:cs="Times New Roman"/>
          <w:sz w:val="20"/>
          <w:szCs w:val="20"/>
        </w:rPr>
        <w:t xml:space="preserve">in particular </w:t>
      </w:r>
      <w:r w:rsidR="00B131F9" w:rsidRPr="006818CD">
        <w:rPr>
          <w:rFonts w:ascii="Times New Roman" w:hAnsi="Times New Roman" w:cs="Times New Roman"/>
          <w:sz w:val="20"/>
          <w:szCs w:val="20"/>
        </w:rPr>
        <w:t xml:space="preserve">with energy policy goals and </w:t>
      </w:r>
      <w:r w:rsidR="00D85334" w:rsidRPr="006818CD">
        <w:rPr>
          <w:rFonts w:ascii="Times New Roman" w:hAnsi="Times New Roman" w:cs="Times New Roman"/>
          <w:sz w:val="20"/>
          <w:szCs w:val="20"/>
        </w:rPr>
        <w:t>State’s</w:t>
      </w:r>
      <w:r w:rsidR="00B131F9" w:rsidRPr="006818CD">
        <w:rPr>
          <w:rFonts w:ascii="Times New Roman" w:hAnsi="Times New Roman" w:cs="Times New Roman"/>
          <w:sz w:val="20"/>
          <w:szCs w:val="20"/>
        </w:rPr>
        <w:t xml:space="preserve"> security.</w:t>
      </w:r>
      <w:r w:rsidR="00252326" w:rsidRPr="006818CD">
        <w:rPr>
          <w:rFonts w:ascii="Times New Roman" w:hAnsi="Times New Roman" w:cs="Times New Roman"/>
          <w:sz w:val="20"/>
          <w:szCs w:val="20"/>
        </w:rPr>
        <w:t xml:space="preserve"> With this regards the decision safeguards the public interest</w:t>
      </w:r>
      <w:r w:rsidR="00D85334" w:rsidRPr="006818CD">
        <w:rPr>
          <w:rFonts w:ascii="Times New Roman" w:hAnsi="Times New Roman" w:cs="Times New Roman"/>
          <w:sz w:val="20"/>
          <w:szCs w:val="20"/>
        </w:rPr>
        <w:t xml:space="preserve"> similarly like the similar decision existing in Finnish law. The Decision allows investor to apply for all other relevant licences </w:t>
      </w:r>
      <w:r w:rsidR="006818CD" w:rsidRPr="006818CD">
        <w:rPr>
          <w:rFonts w:ascii="Times New Roman" w:hAnsi="Times New Roman" w:cs="Times New Roman"/>
          <w:sz w:val="20"/>
          <w:szCs w:val="20"/>
        </w:rPr>
        <w:t>and permits required to construc</w:t>
      </w:r>
      <w:r w:rsidR="00D85334" w:rsidRPr="006818CD">
        <w:rPr>
          <w:rFonts w:ascii="Times New Roman" w:hAnsi="Times New Roman" w:cs="Times New Roman"/>
          <w:sz w:val="20"/>
          <w:szCs w:val="20"/>
        </w:rPr>
        <w:t>t and operate nuclear power plant.  Decision-in-Pr</w:t>
      </w:r>
      <w:r w:rsidR="00EC2128" w:rsidRPr="006818CD">
        <w:rPr>
          <w:rFonts w:ascii="Times New Roman" w:hAnsi="Times New Roman" w:cs="Times New Roman"/>
          <w:sz w:val="20"/>
          <w:szCs w:val="20"/>
        </w:rPr>
        <w:t>inciple</w:t>
      </w:r>
      <w:r w:rsidRPr="006818CD">
        <w:rPr>
          <w:rFonts w:ascii="Times New Roman" w:hAnsi="Times New Roman" w:cs="Times New Roman"/>
          <w:sz w:val="20"/>
          <w:szCs w:val="20"/>
        </w:rPr>
        <w:t xml:space="preserve"> while serving mainly State’s interests it</w:t>
      </w:r>
      <w:r w:rsidR="00A53BBE" w:rsidRPr="006818CD">
        <w:rPr>
          <w:rFonts w:ascii="Times New Roman" w:hAnsi="Times New Roman" w:cs="Times New Roman"/>
          <w:sz w:val="20"/>
          <w:szCs w:val="20"/>
        </w:rPr>
        <w:t xml:space="preserve"> gives </w:t>
      </w:r>
      <w:r w:rsidRPr="006818CD">
        <w:rPr>
          <w:rFonts w:ascii="Times New Roman" w:hAnsi="Times New Roman" w:cs="Times New Roman"/>
          <w:sz w:val="20"/>
          <w:szCs w:val="20"/>
        </w:rPr>
        <w:t xml:space="preserve">also </w:t>
      </w:r>
      <w:r w:rsidR="00A53BBE" w:rsidRPr="006818CD">
        <w:rPr>
          <w:rFonts w:ascii="Times New Roman" w:hAnsi="Times New Roman" w:cs="Times New Roman"/>
          <w:sz w:val="20"/>
          <w:szCs w:val="20"/>
        </w:rPr>
        <w:t xml:space="preserve">some level of assurance to investor, that possible changes of State’s energy policy will have – at least in theory - limited impact on the nuclear investment project.  </w:t>
      </w:r>
    </w:p>
    <w:p w:rsidR="00A53BBE" w:rsidRPr="00E7372B" w:rsidRDefault="00A53BBE" w:rsidP="00A53BBE">
      <w:pPr>
        <w:autoSpaceDE w:val="0"/>
        <w:autoSpaceDN w:val="0"/>
        <w:adjustRightInd w:val="0"/>
        <w:spacing w:after="0" w:line="240" w:lineRule="auto"/>
        <w:jc w:val="both"/>
        <w:rPr>
          <w:rFonts w:ascii="Times New Roman" w:hAnsi="Times New Roman" w:cs="Times New Roman"/>
          <w:b/>
          <w:sz w:val="8"/>
          <w:szCs w:val="20"/>
        </w:rPr>
      </w:pPr>
    </w:p>
    <w:p w:rsidR="00922C54" w:rsidRPr="00A53BBE" w:rsidRDefault="00922C54" w:rsidP="00A53BBE">
      <w:pPr>
        <w:autoSpaceDE w:val="0"/>
        <w:autoSpaceDN w:val="0"/>
        <w:adjustRightInd w:val="0"/>
        <w:spacing w:after="0" w:line="240" w:lineRule="auto"/>
        <w:jc w:val="both"/>
        <w:rPr>
          <w:rFonts w:ascii="Times New Roman" w:hAnsi="Times New Roman" w:cs="Times New Roman"/>
          <w:b/>
          <w:sz w:val="16"/>
          <w:szCs w:val="20"/>
        </w:rPr>
      </w:pPr>
    </w:p>
    <w:p w:rsidR="006F0C22" w:rsidRPr="00FE0F87" w:rsidRDefault="006F0C22" w:rsidP="00FE0F87">
      <w:pPr>
        <w:pStyle w:val="Akapitzlist"/>
        <w:numPr>
          <w:ilvl w:val="2"/>
          <w:numId w:val="29"/>
        </w:numPr>
        <w:autoSpaceDE w:val="0"/>
        <w:autoSpaceDN w:val="0"/>
        <w:adjustRightInd w:val="0"/>
        <w:spacing w:after="0" w:line="240" w:lineRule="auto"/>
        <w:ind w:left="567" w:hanging="567"/>
        <w:jc w:val="both"/>
        <w:rPr>
          <w:rFonts w:ascii="Times New Roman" w:hAnsi="Times New Roman" w:cs="Times New Roman"/>
          <w:i/>
          <w:sz w:val="20"/>
          <w:szCs w:val="20"/>
        </w:rPr>
      </w:pPr>
      <w:r w:rsidRPr="00FE0F87">
        <w:rPr>
          <w:rFonts w:ascii="Times New Roman" w:hAnsi="Times New Roman" w:cs="Times New Roman"/>
          <w:i/>
          <w:sz w:val="20"/>
          <w:szCs w:val="20"/>
        </w:rPr>
        <w:t xml:space="preserve">Instruments to </w:t>
      </w:r>
      <w:r w:rsidR="00DE2B1E" w:rsidRPr="00FE0F87">
        <w:rPr>
          <w:rFonts w:ascii="Times New Roman" w:hAnsi="Times New Roman" w:cs="Times New Roman"/>
          <w:i/>
          <w:sz w:val="20"/>
          <w:szCs w:val="20"/>
        </w:rPr>
        <w:t>facilitate licensing process</w:t>
      </w:r>
    </w:p>
    <w:p w:rsidR="00213845" w:rsidRPr="00C26093" w:rsidRDefault="00213845" w:rsidP="00973720">
      <w:pPr>
        <w:autoSpaceDE w:val="0"/>
        <w:autoSpaceDN w:val="0"/>
        <w:adjustRightInd w:val="0"/>
        <w:spacing w:after="0" w:line="240" w:lineRule="auto"/>
        <w:jc w:val="both"/>
        <w:rPr>
          <w:rFonts w:ascii="Times New Roman" w:hAnsi="Times New Roman" w:cs="Times New Roman"/>
          <w:sz w:val="16"/>
          <w:szCs w:val="20"/>
          <w:highlight w:val="yellow"/>
          <w:u w:val="single"/>
        </w:rPr>
      </w:pPr>
    </w:p>
    <w:p w:rsidR="006F0C22" w:rsidRPr="00FE0F87" w:rsidRDefault="00973720" w:rsidP="00973720">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 xml:space="preserve">1) </w:t>
      </w:r>
      <w:r w:rsidR="006F0C22" w:rsidRPr="00FE0F87">
        <w:rPr>
          <w:rFonts w:ascii="Times New Roman" w:hAnsi="Times New Roman" w:cs="Times New Roman"/>
          <w:sz w:val="20"/>
          <w:szCs w:val="20"/>
        </w:rPr>
        <w:t>Prelicensing instruments</w:t>
      </w:r>
    </w:p>
    <w:p w:rsidR="00973720" w:rsidRPr="00C26093" w:rsidRDefault="00973720" w:rsidP="00973720">
      <w:pPr>
        <w:autoSpaceDE w:val="0"/>
        <w:autoSpaceDN w:val="0"/>
        <w:adjustRightInd w:val="0"/>
        <w:spacing w:after="0" w:line="240" w:lineRule="auto"/>
        <w:jc w:val="both"/>
        <w:rPr>
          <w:rFonts w:ascii="Times New Roman" w:hAnsi="Times New Roman" w:cs="Times New Roman"/>
          <w:sz w:val="16"/>
          <w:szCs w:val="20"/>
          <w:highlight w:val="yellow"/>
          <w:u w:val="single"/>
        </w:rPr>
      </w:pPr>
    </w:p>
    <w:p w:rsidR="00226AA1" w:rsidRDefault="00692487" w:rsidP="00973720">
      <w:pPr>
        <w:autoSpaceDE w:val="0"/>
        <w:autoSpaceDN w:val="0"/>
        <w:adjustRightInd w:val="0"/>
        <w:spacing w:after="0" w:line="240" w:lineRule="auto"/>
        <w:jc w:val="both"/>
        <w:rPr>
          <w:rFonts w:ascii="Times New Roman" w:hAnsi="Times New Roman" w:cs="Times New Roman"/>
          <w:sz w:val="20"/>
          <w:szCs w:val="20"/>
        </w:rPr>
      </w:pPr>
      <w:r w:rsidRPr="00617F62">
        <w:rPr>
          <w:rFonts w:ascii="Times New Roman" w:hAnsi="Times New Roman" w:cs="Times New Roman"/>
          <w:sz w:val="20"/>
          <w:szCs w:val="20"/>
        </w:rPr>
        <w:t>One of the key instruments to enhance predictability of the licensing process is p</w:t>
      </w:r>
      <w:r w:rsidR="00226AA1" w:rsidRPr="00617F62">
        <w:rPr>
          <w:rFonts w:ascii="Times New Roman" w:hAnsi="Times New Roman" w:cs="Times New Roman"/>
          <w:sz w:val="20"/>
          <w:szCs w:val="20"/>
        </w:rPr>
        <w:t xml:space="preserve">relicensing, preliminary assessment of the planned nuclear site or certain other aspects of the planned nuclear facility by the nuclear regulatory body. Atomic Law Act </w:t>
      </w:r>
      <w:r w:rsidR="00D65240">
        <w:rPr>
          <w:rFonts w:ascii="Times New Roman" w:hAnsi="Times New Roman" w:cs="Times New Roman"/>
          <w:sz w:val="20"/>
          <w:szCs w:val="20"/>
        </w:rPr>
        <w:t xml:space="preserve">(ALA) </w:t>
      </w:r>
      <w:r w:rsidR="00226AA1" w:rsidRPr="00617F62">
        <w:rPr>
          <w:rFonts w:ascii="Times New Roman" w:hAnsi="Times New Roman" w:cs="Times New Roman"/>
          <w:sz w:val="20"/>
          <w:szCs w:val="20"/>
        </w:rPr>
        <w:t xml:space="preserve">provides for two of such </w:t>
      </w:r>
      <w:r w:rsidR="00592D78">
        <w:rPr>
          <w:rFonts w:ascii="Times New Roman" w:hAnsi="Times New Roman" w:cs="Times New Roman"/>
          <w:sz w:val="20"/>
          <w:szCs w:val="20"/>
        </w:rPr>
        <w:t xml:space="preserve">non-obligatory </w:t>
      </w:r>
      <w:r w:rsidR="00226AA1" w:rsidRPr="00617F62">
        <w:rPr>
          <w:rFonts w:ascii="Times New Roman" w:hAnsi="Times New Roman" w:cs="Times New Roman"/>
          <w:sz w:val="20"/>
          <w:szCs w:val="20"/>
        </w:rPr>
        <w:t>instruments</w:t>
      </w:r>
      <w:r w:rsidR="00617F62" w:rsidRPr="00617F62">
        <w:rPr>
          <w:rFonts w:ascii="Times New Roman" w:hAnsi="Times New Roman" w:cs="Times New Roman"/>
          <w:sz w:val="20"/>
          <w:szCs w:val="20"/>
        </w:rPr>
        <w:t>, both issued by the President of the National Atomic Energy Agency (Nuclear Regulatory Body)</w:t>
      </w:r>
      <w:r w:rsidR="00226AA1" w:rsidRPr="00617F62">
        <w:rPr>
          <w:rFonts w:ascii="Times New Roman" w:hAnsi="Times New Roman" w:cs="Times New Roman"/>
          <w:sz w:val="20"/>
          <w:szCs w:val="20"/>
        </w:rPr>
        <w:t xml:space="preserve">: </w:t>
      </w:r>
    </w:p>
    <w:p w:rsidR="00617F62" w:rsidRPr="00C26093" w:rsidRDefault="00617F62" w:rsidP="00973720">
      <w:pPr>
        <w:autoSpaceDE w:val="0"/>
        <w:autoSpaceDN w:val="0"/>
        <w:adjustRightInd w:val="0"/>
        <w:spacing w:after="0" w:line="240" w:lineRule="auto"/>
        <w:jc w:val="both"/>
        <w:rPr>
          <w:rFonts w:ascii="Times New Roman" w:hAnsi="Times New Roman" w:cs="Times New Roman"/>
          <w:sz w:val="16"/>
          <w:szCs w:val="20"/>
        </w:rPr>
      </w:pPr>
    </w:p>
    <w:p w:rsidR="00226AA1" w:rsidRDefault="00F3443E" w:rsidP="00BA51F2">
      <w:pPr>
        <w:pStyle w:val="Akapitzlist"/>
        <w:numPr>
          <w:ilvl w:val="0"/>
          <w:numId w:val="27"/>
        </w:num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G</w:t>
      </w:r>
      <w:r w:rsidR="00226AA1" w:rsidRPr="00FE0F87">
        <w:rPr>
          <w:rFonts w:ascii="Times New Roman" w:hAnsi="Times New Roman" w:cs="Times New Roman"/>
          <w:sz w:val="20"/>
          <w:szCs w:val="20"/>
        </w:rPr>
        <w:t xml:space="preserve">eneral </w:t>
      </w:r>
      <w:r w:rsidR="00617F62" w:rsidRPr="00FE0F87">
        <w:rPr>
          <w:rFonts w:ascii="Times New Roman" w:hAnsi="Times New Roman" w:cs="Times New Roman"/>
          <w:sz w:val="20"/>
          <w:szCs w:val="20"/>
        </w:rPr>
        <w:t xml:space="preserve">opinion </w:t>
      </w:r>
      <w:r w:rsidR="00226AA1" w:rsidRPr="00FE0F87">
        <w:rPr>
          <w:rFonts w:ascii="Times New Roman" w:hAnsi="Times New Roman" w:cs="Times New Roman"/>
          <w:sz w:val="20"/>
          <w:szCs w:val="20"/>
        </w:rPr>
        <w:t xml:space="preserve">on the planned organisational and technical </w:t>
      </w:r>
      <w:r w:rsidRPr="00FE0F87">
        <w:rPr>
          <w:rFonts w:ascii="Times New Roman" w:hAnsi="Times New Roman" w:cs="Times New Roman"/>
          <w:sz w:val="20"/>
          <w:szCs w:val="20"/>
        </w:rPr>
        <w:t>assumptions</w:t>
      </w:r>
      <w:r w:rsidR="00226AA1" w:rsidRPr="00FE0F87">
        <w:rPr>
          <w:rFonts w:ascii="Times New Roman" w:hAnsi="Times New Roman" w:cs="Times New Roman"/>
          <w:sz w:val="20"/>
          <w:szCs w:val="20"/>
        </w:rPr>
        <w:t xml:space="preserve"> and draft versions of documents to be submitted along with the application for a licence</w:t>
      </w:r>
    </w:p>
    <w:p w:rsidR="00FE0F87" w:rsidRPr="00FE0F87" w:rsidRDefault="00FE0F87" w:rsidP="00FE0F87">
      <w:pPr>
        <w:pStyle w:val="Akapitzlist"/>
        <w:autoSpaceDE w:val="0"/>
        <w:autoSpaceDN w:val="0"/>
        <w:adjustRightInd w:val="0"/>
        <w:spacing w:after="0" w:line="240" w:lineRule="auto"/>
        <w:ind w:left="360"/>
        <w:jc w:val="both"/>
        <w:rPr>
          <w:rFonts w:ascii="Times New Roman" w:hAnsi="Times New Roman" w:cs="Times New Roman"/>
          <w:sz w:val="4"/>
          <w:szCs w:val="4"/>
        </w:rPr>
      </w:pPr>
    </w:p>
    <w:p w:rsidR="00F3443E" w:rsidRDefault="00617F62" w:rsidP="00676196">
      <w:pPr>
        <w:autoSpaceDE w:val="0"/>
        <w:autoSpaceDN w:val="0"/>
        <w:adjustRightInd w:val="0"/>
        <w:spacing w:after="0" w:line="240" w:lineRule="auto"/>
        <w:ind w:left="360"/>
        <w:jc w:val="both"/>
        <w:rPr>
          <w:rFonts w:ascii="Times New Roman" w:hAnsi="Times New Roman" w:cs="Times New Roman"/>
          <w:sz w:val="20"/>
          <w:szCs w:val="20"/>
          <w:shd w:val="clear" w:color="auto" w:fill="FFFFFF"/>
          <w:lang w:val="en-GB"/>
        </w:rPr>
      </w:pPr>
      <w:r w:rsidRPr="00592D78">
        <w:rPr>
          <w:rFonts w:ascii="Times New Roman" w:hAnsi="Times New Roman" w:cs="Times New Roman"/>
          <w:sz w:val="20"/>
          <w:szCs w:val="20"/>
        </w:rPr>
        <w:t xml:space="preserve">Pursuant to article 39b </w:t>
      </w:r>
      <w:r w:rsidR="00ED4AD7">
        <w:rPr>
          <w:rFonts w:ascii="Times New Roman" w:hAnsi="Times New Roman" w:cs="Times New Roman"/>
          <w:sz w:val="20"/>
          <w:szCs w:val="20"/>
        </w:rPr>
        <w:t xml:space="preserve">of ALA </w:t>
      </w:r>
      <w:r w:rsidRPr="00592D78">
        <w:rPr>
          <w:rFonts w:ascii="Times New Roman" w:hAnsi="Times New Roman" w:cs="Times New Roman"/>
          <w:sz w:val="20"/>
          <w:szCs w:val="20"/>
        </w:rPr>
        <w:t>b</w:t>
      </w:r>
      <w:r w:rsidR="00226AA1" w:rsidRPr="00592D78">
        <w:rPr>
          <w:rFonts w:ascii="Times New Roman" w:hAnsi="Times New Roman" w:cs="Times New Roman"/>
          <w:sz w:val="20"/>
          <w:szCs w:val="20"/>
        </w:rPr>
        <w:t>efore applying for a licence (e.g.</w:t>
      </w:r>
      <w:r w:rsidRPr="00592D78">
        <w:rPr>
          <w:rFonts w:ascii="Times New Roman" w:hAnsi="Times New Roman" w:cs="Times New Roman"/>
          <w:sz w:val="20"/>
          <w:szCs w:val="20"/>
        </w:rPr>
        <w:t xml:space="preserve"> construction licence) the investor may apply for the aforementioned general opinion of the President of NAEA.</w:t>
      </w:r>
      <w:r w:rsidR="00676196" w:rsidRPr="00676196">
        <w:rPr>
          <w:rFonts w:ascii="Times New Roman" w:hAnsi="Times New Roman" w:cs="Times New Roman"/>
          <w:sz w:val="20"/>
          <w:szCs w:val="20"/>
          <w:shd w:val="clear" w:color="auto" w:fill="FFFFFF"/>
          <w:lang w:val="en-GB"/>
        </w:rPr>
        <w:t xml:space="preserve"> </w:t>
      </w:r>
      <w:r w:rsidR="00676196">
        <w:rPr>
          <w:rFonts w:ascii="Times New Roman" w:hAnsi="Times New Roman" w:cs="Times New Roman"/>
          <w:sz w:val="20"/>
          <w:szCs w:val="20"/>
          <w:shd w:val="clear" w:color="auto" w:fill="FFFFFF"/>
          <w:lang w:val="en-GB"/>
        </w:rPr>
        <w:t>The scope of the opinion is defined by the applicant.</w:t>
      </w:r>
      <w:r w:rsidR="00676196">
        <w:rPr>
          <w:rFonts w:ascii="Times New Roman" w:hAnsi="Times New Roman" w:cs="Times New Roman"/>
          <w:sz w:val="20"/>
          <w:szCs w:val="20"/>
          <w:shd w:val="clear" w:color="auto" w:fill="FFFFFF"/>
        </w:rPr>
        <w:t xml:space="preserve"> </w:t>
      </w:r>
      <w:r w:rsidRPr="00592D78">
        <w:rPr>
          <w:rFonts w:ascii="Times New Roman" w:hAnsi="Times New Roman" w:cs="Times New Roman"/>
          <w:sz w:val="20"/>
          <w:szCs w:val="20"/>
        </w:rPr>
        <w:t xml:space="preserve">The aim of this opinion is to </w:t>
      </w:r>
      <w:r w:rsidRPr="00592D78">
        <w:rPr>
          <w:rFonts w:ascii="Times New Roman" w:hAnsi="Times New Roman" w:cs="Times New Roman"/>
          <w:sz w:val="20"/>
          <w:szCs w:val="20"/>
          <w:shd w:val="clear" w:color="auto" w:fill="FFFFFF"/>
        </w:rPr>
        <w:t>identify</w:t>
      </w:r>
      <w:r w:rsidR="00592D78">
        <w:rPr>
          <w:rFonts w:ascii="Times New Roman" w:hAnsi="Times New Roman" w:cs="Times New Roman"/>
          <w:sz w:val="20"/>
          <w:szCs w:val="20"/>
          <w:shd w:val="clear" w:color="auto" w:fill="FFFFFF"/>
        </w:rPr>
        <w:t xml:space="preserve"> </w:t>
      </w:r>
      <w:r w:rsidR="00592D78" w:rsidRPr="00592D78">
        <w:rPr>
          <w:rFonts w:ascii="Times New Roman" w:hAnsi="Times New Roman" w:cs="Times New Roman"/>
          <w:sz w:val="20"/>
          <w:szCs w:val="20"/>
          <w:shd w:val="clear" w:color="auto" w:fill="FFFFFF"/>
          <w:lang w:val="en-GB"/>
        </w:rPr>
        <w:t xml:space="preserve">at </w:t>
      </w:r>
      <w:r w:rsidR="00592D78">
        <w:rPr>
          <w:rFonts w:ascii="Times New Roman" w:hAnsi="Times New Roman" w:cs="Times New Roman"/>
          <w:sz w:val="20"/>
          <w:szCs w:val="20"/>
          <w:shd w:val="clear" w:color="auto" w:fill="FFFFFF"/>
          <w:lang w:val="en-GB"/>
        </w:rPr>
        <w:t>very</w:t>
      </w:r>
      <w:r w:rsidR="00592D78" w:rsidRPr="00592D78">
        <w:rPr>
          <w:rFonts w:ascii="Times New Roman" w:hAnsi="Times New Roman" w:cs="Times New Roman"/>
          <w:sz w:val="20"/>
          <w:szCs w:val="20"/>
          <w:shd w:val="clear" w:color="auto" w:fill="FFFFFF"/>
          <w:lang w:val="en-GB"/>
        </w:rPr>
        <w:t xml:space="preserve"> early stage of </w:t>
      </w:r>
      <w:r w:rsidR="00592D78">
        <w:rPr>
          <w:rFonts w:ascii="Times New Roman" w:hAnsi="Times New Roman" w:cs="Times New Roman"/>
          <w:sz w:val="20"/>
          <w:szCs w:val="20"/>
          <w:shd w:val="clear" w:color="auto" w:fill="FFFFFF"/>
          <w:lang w:val="en-GB"/>
        </w:rPr>
        <w:t>the investment process</w:t>
      </w:r>
      <w:r w:rsidR="00592D78">
        <w:rPr>
          <w:rFonts w:ascii="Times New Roman" w:hAnsi="Times New Roman" w:cs="Times New Roman"/>
          <w:sz w:val="20"/>
          <w:szCs w:val="20"/>
          <w:shd w:val="clear" w:color="auto" w:fill="FFFFFF"/>
        </w:rPr>
        <w:t xml:space="preserve"> </w:t>
      </w:r>
      <w:r w:rsidR="00592D78" w:rsidRPr="00592D78">
        <w:rPr>
          <w:rFonts w:ascii="Times New Roman" w:hAnsi="Times New Roman" w:cs="Times New Roman"/>
          <w:sz w:val="20"/>
          <w:szCs w:val="20"/>
          <w:shd w:val="clear" w:color="auto" w:fill="FFFFFF"/>
          <w:lang w:val="en-GB"/>
        </w:rPr>
        <w:t xml:space="preserve">legal </w:t>
      </w:r>
      <w:r w:rsidR="00592D78" w:rsidRPr="00592D78">
        <w:rPr>
          <w:rFonts w:ascii="Times New Roman" w:hAnsi="Times New Roman" w:cs="Times New Roman"/>
          <w:sz w:val="20"/>
          <w:szCs w:val="20"/>
          <w:shd w:val="clear" w:color="auto" w:fill="FFFFFF"/>
        </w:rPr>
        <w:t>barriers</w:t>
      </w:r>
      <w:r w:rsidR="00592D78" w:rsidRPr="00592D78">
        <w:rPr>
          <w:rFonts w:ascii="Times New Roman" w:hAnsi="Times New Roman" w:cs="Times New Roman"/>
          <w:sz w:val="20"/>
          <w:szCs w:val="20"/>
          <w:shd w:val="clear" w:color="auto" w:fill="FFFFFF"/>
          <w:lang w:val="en-GB"/>
        </w:rPr>
        <w:t xml:space="preserve"> or design </w:t>
      </w:r>
      <w:r w:rsidR="00592D78" w:rsidRPr="00592D78">
        <w:rPr>
          <w:rFonts w:ascii="Times New Roman" w:hAnsi="Times New Roman" w:cs="Times New Roman"/>
          <w:sz w:val="20"/>
          <w:szCs w:val="20"/>
          <w:shd w:val="clear" w:color="auto" w:fill="FFFFFF"/>
        </w:rPr>
        <w:t>barriers</w:t>
      </w:r>
      <w:r w:rsidR="00592D78" w:rsidRPr="00592D78">
        <w:rPr>
          <w:rFonts w:ascii="Times New Roman" w:hAnsi="Times New Roman" w:cs="Times New Roman"/>
          <w:sz w:val="20"/>
          <w:szCs w:val="20"/>
          <w:shd w:val="clear" w:color="auto" w:fill="FFFFFF"/>
          <w:lang w:val="en-GB"/>
        </w:rPr>
        <w:t xml:space="preserve"> </w:t>
      </w:r>
      <w:r w:rsidR="00592D78">
        <w:rPr>
          <w:rFonts w:ascii="Times New Roman" w:hAnsi="Times New Roman" w:cs="Times New Roman"/>
          <w:sz w:val="20"/>
          <w:szCs w:val="20"/>
          <w:shd w:val="clear" w:color="auto" w:fill="FFFFFF"/>
        </w:rPr>
        <w:t xml:space="preserve">that could </w:t>
      </w:r>
      <w:r w:rsidRPr="00592D78">
        <w:rPr>
          <w:rFonts w:ascii="Times New Roman" w:hAnsi="Times New Roman" w:cs="Times New Roman"/>
          <w:sz w:val="20"/>
          <w:szCs w:val="20"/>
          <w:shd w:val="clear" w:color="auto" w:fill="FFFFFF"/>
        </w:rPr>
        <w:t>complicate or prevent license issuance.</w:t>
      </w:r>
      <w:r w:rsidR="00592D78">
        <w:rPr>
          <w:rFonts w:ascii="Times New Roman" w:hAnsi="Times New Roman" w:cs="Times New Roman"/>
          <w:sz w:val="20"/>
          <w:szCs w:val="20"/>
          <w:shd w:val="clear" w:color="auto" w:fill="FFFFFF"/>
        </w:rPr>
        <w:t xml:space="preserve"> Another benefit of this opinion is that </w:t>
      </w:r>
      <w:r w:rsidRPr="00592D78">
        <w:rPr>
          <w:rFonts w:ascii="Times New Roman" w:hAnsi="Times New Roman" w:cs="Times New Roman"/>
          <w:sz w:val="20"/>
          <w:szCs w:val="20"/>
          <w:shd w:val="clear" w:color="auto" w:fill="FFFFFF"/>
        </w:rPr>
        <w:t xml:space="preserve"> </w:t>
      </w:r>
      <w:r w:rsidR="00592D78">
        <w:rPr>
          <w:rFonts w:ascii="Times New Roman" w:hAnsi="Times New Roman" w:cs="Times New Roman"/>
          <w:sz w:val="20"/>
          <w:szCs w:val="20"/>
          <w:shd w:val="clear" w:color="auto" w:fill="FFFFFF"/>
        </w:rPr>
        <w:t xml:space="preserve">the </w:t>
      </w:r>
      <w:r w:rsidR="00592D78" w:rsidRPr="00592D78">
        <w:rPr>
          <w:rFonts w:ascii="Times New Roman" w:hAnsi="Times New Roman" w:cs="Times New Roman"/>
          <w:sz w:val="20"/>
          <w:szCs w:val="20"/>
          <w:shd w:val="clear" w:color="auto" w:fill="FFFFFF"/>
          <w:lang w:val="en-GB"/>
        </w:rPr>
        <w:t xml:space="preserve">regulatory assessment process </w:t>
      </w:r>
      <w:r w:rsidR="00592D78">
        <w:rPr>
          <w:rFonts w:ascii="Times New Roman" w:hAnsi="Times New Roman" w:cs="Times New Roman"/>
          <w:sz w:val="20"/>
          <w:szCs w:val="20"/>
          <w:shd w:val="clear" w:color="auto" w:fill="FFFFFF"/>
          <w:lang w:val="en-GB"/>
        </w:rPr>
        <w:t>will become</w:t>
      </w:r>
      <w:r w:rsidR="00592D78" w:rsidRPr="00592D78">
        <w:rPr>
          <w:rFonts w:ascii="Times New Roman" w:hAnsi="Times New Roman" w:cs="Times New Roman"/>
          <w:sz w:val="20"/>
          <w:szCs w:val="20"/>
          <w:shd w:val="clear" w:color="auto" w:fill="FFFFFF"/>
          <w:lang w:val="en-GB"/>
        </w:rPr>
        <w:t xml:space="preserve"> more effective and less time consuming</w:t>
      </w:r>
      <w:r w:rsidR="00DE58D3">
        <w:rPr>
          <w:rFonts w:ascii="Times New Roman" w:hAnsi="Times New Roman" w:cs="Times New Roman"/>
          <w:sz w:val="20"/>
          <w:szCs w:val="20"/>
          <w:shd w:val="clear" w:color="auto" w:fill="FFFFFF"/>
          <w:lang w:val="en-GB"/>
        </w:rPr>
        <w:t xml:space="preserve"> [9]</w:t>
      </w:r>
      <w:r w:rsidR="00676196">
        <w:rPr>
          <w:rFonts w:ascii="Times New Roman" w:hAnsi="Times New Roman" w:cs="Times New Roman"/>
          <w:sz w:val="20"/>
          <w:szCs w:val="20"/>
          <w:shd w:val="clear" w:color="auto" w:fill="FFFFFF"/>
          <w:lang w:val="en-GB"/>
        </w:rPr>
        <w:t xml:space="preserve">. </w:t>
      </w:r>
    </w:p>
    <w:p w:rsidR="00617F62" w:rsidRPr="00630E55" w:rsidRDefault="00617F62" w:rsidP="00630E55">
      <w:pPr>
        <w:autoSpaceDE w:val="0"/>
        <w:autoSpaceDN w:val="0"/>
        <w:adjustRightInd w:val="0"/>
        <w:spacing w:after="0" w:line="240" w:lineRule="auto"/>
        <w:ind w:left="360"/>
        <w:jc w:val="both"/>
        <w:rPr>
          <w:rFonts w:ascii="Times New Roman" w:hAnsi="Times New Roman" w:cs="Times New Roman"/>
          <w:sz w:val="20"/>
          <w:szCs w:val="20"/>
          <w:lang w:val="en-US"/>
        </w:rPr>
      </w:pPr>
      <w:r w:rsidRPr="00592D78">
        <w:rPr>
          <w:rFonts w:ascii="Times New Roman" w:hAnsi="Times New Roman" w:cs="Times New Roman"/>
          <w:sz w:val="20"/>
          <w:szCs w:val="20"/>
        </w:rPr>
        <w:t>To the application for the opinion depending on the scope of such application, the investor shall attach description or documentation of the planned organisational and tec</w:t>
      </w:r>
      <w:r w:rsidR="00592D78">
        <w:rPr>
          <w:rFonts w:ascii="Times New Roman" w:hAnsi="Times New Roman" w:cs="Times New Roman"/>
          <w:sz w:val="20"/>
          <w:szCs w:val="20"/>
        </w:rPr>
        <w:t xml:space="preserve">hnical </w:t>
      </w:r>
      <w:r w:rsidR="00F3443E">
        <w:rPr>
          <w:rFonts w:ascii="Times New Roman" w:hAnsi="Times New Roman" w:cs="Times New Roman"/>
          <w:sz w:val="20"/>
          <w:szCs w:val="20"/>
        </w:rPr>
        <w:t xml:space="preserve">assumptions (e.g. </w:t>
      </w:r>
      <w:r w:rsidR="00630E55">
        <w:rPr>
          <w:rFonts w:ascii="Times New Roman" w:hAnsi="Times New Roman" w:cs="Times New Roman"/>
          <w:sz w:val="20"/>
          <w:szCs w:val="20"/>
        </w:rPr>
        <w:t>with re</w:t>
      </w:r>
      <w:r w:rsidR="00F3443E">
        <w:rPr>
          <w:rFonts w:ascii="Times New Roman" w:hAnsi="Times New Roman" w:cs="Times New Roman"/>
          <w:sz w:val="20"/>
          <w:szCs w:val="20"/>
        </w:rPr>
        <w:t>g</w:t>
      </w:r>
      <w:r w:rsidR="00630E55">
        <w:rPr>
          <w:rFonts w:ascii="Times New Roman" w:hAnsi="Times New Roman" w:cs="Times New Roman"/>
          <w:sz w:val="20"/>
          <w:szCs w:val="20"/>
        </w:rPr>
        <w:t>a</w:t>
      </w:r>
      <w:r w:rsidR="00F3443E">
        <w:rPr>
          <w:rFonts w:ascii="Times New Roman" w:hAnsi="Times New Roman" w:cs="Times New Roman"/>
          <w:sz w:val="20"/>
          <w:szCs w:val="20"/>
        </w:rPr>
        <w:t xml:space="preserve">rds to </w:t>
      </w:r>
      <w:r w:rsidR="00F3443E" w:rsidRPr="00F3443E">
        <w:rPr>
          <w:rFonts w:ascii="Times New Roman" w:hAnsi="Times New Roman" w:cs="Times New Roman"/>
          <w:sz w:val="20"/>
          <w:szCs w:val="20"/>
          <w:lang w:val="en-US"/>
        </w:rPr>
        <w:t>extended design conditions</w:t>
      </w:r>
      <w:r w:rsidR="00630E55">
        <w:rPr>
          <w:rFonts w:ascii="Times New Roman" w:hAnsi="Times New Roman" w:cs="Times New Roman"/>
          <w:sz w:val="20"/>
          <w:szCs w:val="20"/>
          <w:lang w:val="en-US"/>
        </w:rPr>
        <w:t xml:space="preserve">, </w:t>
      </w:r>
      <w:r w:rsidR="00630E55" w:rsidRPr="00630E55">
        <w:rPr>
          <w:rFonts w:ascii="Times New Roman" w:hAnsi="Times New Roman" w:cs="Times New Roman"/>
          <w:sz w:val="20"/>
          <w:szCs w:val="20"/>
          <w:lang w:val="en-US"/>
        </w:rPr>
        <w:t>reactor safety containment system</w:t>
      </w:r>
      <w:r w:rsidR="00630E55">
        <w:rPr>
          <w:rFonts w:ascii="Times New Roman" w:hAnsi="Times New Roman" w:cs="Times New Roman"/>
          <w:sz w:val="20"/>
          <w:szCs w:val="20"/>
          <w:lang w:val="en-US"/>
        </w:rPr>
        <w:t xml:space="preserve"> etc.)</w:t>
      </w:r>
      <w:r w:rsidRPr="00592D78">
        <w:rPr>
          <w:rFonts w:ascii="Times New Roman" w:hAnsi="Times New Roman" w:cs="Times New Roman"/>
          <w:sz w:val="20"/>
          <w:szCs w:val="20"/>
        </w:rPr>
        <w:t>, as well as drafts of relevant documents required to obtain licence. T</w:t>
      </w:r>
      <w:r w:rsidR="00676196">
        <w:rPr>
          <w:rFonts w:ascii="Times New Roman" w:hAnsi="Times New Roman" w:cs="Times New Roman"/>
          <w:sz w:val="20"/>
          <w:szCs w:val="20"/>
        </w:rPr>
        <w:t>he</w:t>
      </w:r>
      <w:r w:rsidRPr="00592D78">
        <w:rPr>
          <w:rFonts w:ascii="Times New Roman" w:hAnsi="Times New Roman" w:cs="Times New Roman"/>
          <w:sz w:val="20"/>
          <w:szCs w:val="20"/>
        </w:rPr>
        <w:t xml:space="preserve"> opinion is issued </w:t>
      </w:r>
      <w:r w:rsidR="00630E55">
        <w:rPr>
          <w:rFonts w:ascii="Times New Roman" w:hAnsi="Times New Roman" w:cs="Times New Roman"/>
          <w:sz w:val="20"/>
          <w:szCs w:val="20"/>
        </w:rPr>
        <w:t>within 6 months or</w:t>
      </w:r>
      <w:r w:rsidRPr="00592D78">
        <w:rPr>
          <w:rFonts w:ascii="Times New Roman" w:hAnsi="Times New Roman" w:cs="Times New Roman"/>
          <w:sz w:val="20"/>
          <w:szCs w:val="20"/>
        </w:rPr>
        <w:t xml:space="preserve"> </w:t>
      </w:r>
      <w:r w:rsidR="00676196">
        <w:rPr>
          <w:rFonts w:ascii="Times New Roman" w:hAnsi="Times New Roman" w:cs="Times New Roman"/>
          <w:sz w:val="20"/>
          <w:szCs w:val="20"/>
        </w:rPr>
        <w:t>in most complicated cases -</w:t>
      </w:r>
      <w:r w:rsidRPr="00592D78">
        <w:rPr>
          <w:rFonts w:ascii="Times New Roman" w:hAnsi="Times New Roman" w:cs="Times New Roman"/>
          <w:sz w:val="20"/>
          <w:szCs w:val="20"/>
        </w:rPr>
        <w:t xml:space="preserve"> 9 months.</w:t>
      </w:r>
    </w:p>
    <w:p w:rsidR="00226AA1" w:rsidRPr="00C26093" w:rsidRDefault="00226AA1" w:rsidP="00226AA1">
      <w:pPr>
        <w:autoSpaceDE w:val="0"/>
        <w:autoSpaceDN w:val="0"/>
        <w:adjustRightInd w:val="0"/>
        <w:spacing w:after="0" w:line="240" w:lineRule="auto"/>
        <w:jc w:val="both"/>
        <w:rPr>
          <w:rFonts w:ascii="Times New Roman" w:hAnsi="Times New Roman" w:cs="Times New Roman"/>
          <w:sz w:val="16"/>
          <w:szCs w:val="20"/>
          <w:highlight w:val="yellow"/>
          <w:u w:val="single"/>
        </w:rPr>
      </w:pPr>
    </w:p>
    <w:p w:rsidR="00226AA1" w:rsidRPr="00FE0F87" w:rsidRDefault="00F3443E" w:rsidP="00BA51F2">
      <w:pPr>
        <w:pStyle w:val="Akapitzlist"/>
        <w:numPr>
          <w:ilvl w:val="0"/>
          <w:numId w:val="27"/>
        </w:num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Advance opinion on the planned nuclear facility site</w:t>
      </w:r>
    </w:p>
    <w:p w:rsidR="00FE0F87" w:rsidRPr="00FE0F87" w:rsidRDefault="00FE0F87" w:rsidP="00E7372B">
      <w:pPr>
        <w:autoSpaceDE w:val="0"/>
        <w:autoSpaceDN w:val="0"/>
        <w:adjustRightInd w:val="0"/>
        <w:spacing w:after="0" w:line="240" w:lineRule="auto"/>
        <w:ind w:left="360"/>
        <w:jc w:val="both"/>
        <w:rPr>
          <w:rFonts w:ascii="Times New Roman" w:hAnsi="Times New Roman" w:cs="Times New Roman"/>
          <w:sz w:val="4"/>
          <w:szCs w:val="4"/>
        </w:rPr>
      </w:pPr>
    </w:p>
    <w:p w:rsidR="00922C54" w:rsidRPr="00E7372B" w:rsidRDefault="00F3443E" w:rsidP="00E7372B">
      <w:pPr>
        <w:autoSpaceDE w:val="0"/>
        <w:autoSpaceDN w:val="0"/>
        <w:adjustRightInd w:val="0"/>
        <w:spacing w:after="0" w:line="240" w:lineRule="auto"/>
        <w:ind w:left="360"/>
        <w:jc w:val="both"/>
        <w:rPr>
          <w:rFonts w:ascii="Times New Roman" w:hAnsi="Times New Roman" w:cs="Times New Roman"/>
          <w:sz w:val="20"/>
          <w:szCs w:val="20"/>
        </w:rPr>
      </w:pPr>
      <w:r w:rsidRPr="00630E55">
        <w:rPr>
          <w:rFonts w:ascii="Times New Roman" w:hAnsi="Times New Roman" w:cs="Times New Roman"/>
          <w:sz w:val="20"/>
          <w:szCs w:val="20"/>
        </w:rPr>
        <w:t>According to article 36a</w:t>
      </w:r>
      <w:r w:rsidR="00ED4AD7">
        <w:rPr>
          <w:rFonts w:ascii="Times New Roman" w:hAnsi="Times New Roman" w:cs="Times New Roman"/>
          <w:sz w:val="20"/>
          <w:szCs w:val="20"/>
        </w:rPr>
        <w:t xml:space="preserve"> of ALA</w:t>
      </w:r>
      <w:r w:rsidRPr="00630E55">
        <w:rPr>
          <w:rFonts w:ascii="Times New Roman" w:hAnsi="Times New Roman" w:cs="Times New Roman"/>
          <w:sz w:val="20"/>
          <w:szCs w:val="20"/>
        </w:rPr>
        <w:t xml:space="preserve"> before applying for a construction licence, the investor of a nuclear facility may apply to the President of NAEA for an advance opinion on the planned nuclear facility site. The application for the above opinion </w:t>
      </w:r>
      <w:r w:rsidR="00630E55" w:rsidRPr="00630E55">
        <w:rPr>
          <w:rFonts w:ascii="Times New Roman" w:hAnsi="Times New Roman" w:cs="Times New Roman"/>
          <w:sz w:val="20"/>
          <w:szCs w:val="20"/>
        </w:rPr>
        <w:t>shall include among others siting report. The main benefit of the opinion is possibility to identify in advance potential issues</w:t>
      </w:r>
      <w:r w:rsidR="00630E55" w:rsidRPr="00630E55">
        <w:rPr>
          <w:rFonts w:ascii="Times New Roman" w:hAnsi="Times New Roman" w:cs="Times New Roman"/>
          <w:sz w:val="20"/>
          <w:szCs w:val="20"/>
          <w:shd w:val="clear" w:color="auto" w:fill="FFFFFF"/>
        </w:rPr>
        <w:t xml:space="preserve"> with regards to the planned nuclear facility site</w:t>
      </w:r>
      <w:r w:rsidR="00630E55" w:rsidRPr="00630E55">
        <w:rPr>
          <w:rFonts w:ascii="Times New Roman" w:hAnsi="Times New Roman" w:cs="Times New Roman"/>
          <w:sz w:val="20"/>
          <w:szCs w:val="20"/>
        </w:rPr>
        <w:t xml:space="preserve"> that may </w:t>
      </w:r>
      <w:r w:rsidR="00630E55" w:rsidRPr="00630E55">
        <w:rPr>
          <w:rFonts w:ascii="Times New Roman" w:hAnsi="Times New Roman" w:cs="Times New Roman"/>
          <w:sz w:val="20"/>
          <w:szCs w:val="20"/>
          <w:shd w:val="clear" w:color="auto" w:fill="FFFFFF"/>
        </w:rPr>
        <w:t xml:space="preserve">complicate or prevent issuing construction licence (similarly as in case of the aforementioned general opinion). The opinion  </w:t>
      </w:r>
      <w:r w:rsidR="00630E55" w:rsidRPr="00630E55">
        <w:rPr>
          <w:rFonts w:ascii="Times New Roman" w:hAnsi="Times New Roman" w:cs="Times New Roman"/>
          <w:sz w:val="20"/>
          <w:szCs w:val="20"/>
        </w:rPr>
        <w:t>opinion is issued within 6 months from the date of submission of the application</w:t>
      </w:r>
      <w:r w:rsidR="00625611">
        <w:rPr>
          <w:rStyle w:val="Odwoanieprzypisudolnego"/>
          <w:rFonts w:ascii="Times New Roman" w:hAnsi="Times New Roman" w:cs="Times New Roman"/>
          <w:sz w:val="20"/>
          <w:szCs w:val="20"/>
        </w:rPr>
        <w:footnoteReference w:id="2"/>
      </w:r>
      <w:r w:rsidR="00630E55" w:rsidRPr="00630E55">
        <w:rPr>
          <w:rFonts w:ascii="Times New Roman" w:hAnsi="Times New Roman" w:cs="Times New Roman"/>
          <w:sz w:val="20"/>
          <w:szCs w:val="20"/>
        </w:rPr>
        <w:t>.</w:t>
      </w:r>
    </w:p>
    <w:p w:rsidR="00213845" w:rsidRPr="00C26093" w:rsidRDefault="00213845" w:rsidP="00973720">
      <w:pPr>
        <w:autoSpaceDE w:val="0"/>
        <w:autoSpaceDN w:val="0"/>
        <w:adjustRightInd w:val="0"/>
        <w:spacing w:after="0" w:line="240" w:lineRule="auto"/>
        <w:jc w:val="both"/>
        <w:rPr>
          <w:rFonts w:ascii="Times New Roman" w:hAnsi="Times New Roman" w:cs="Times New Roman"/>
          <w:sz w:val="16"/>
          <w:szCs w:val="20"/>
          <w:highlight w:val="yellow"/>
          <w:u w:val="single"/>
        </w:rPr>
      </w:pPr>
    </w:p>
    <w:p w:rsidR="006F0C22" w:rsidRPr="00FE0F87" w:rsidRDefault="00973720" w:rsidP="00973720">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 xml:space="preserve">2) </w:t>
      </w:r>
      <w:r w:rsidR="006F0C22" w:rsidRPr="00FE0F87">
        <w:rPr>
          <w:rFonts w:ascii="Times New Roman" w:hAnsi="Times New Roman" w:cs="Times New Roman"/>
          <w:sz w:val="20"/>
          <w:szCs w:val="20"/>
        </w:rPr>
        <w:t xml:space="preserve">Possibility to </w:t>
      </w:r>
      <w:r w:rsidR="00692487" w:rsidRPr="00FE0F87">
        <w:rPr>
          <w:rFonts w:ascii="Times New Roman" w:hAnsi="Times New Roman" w:cs="Times New Roman"/>
          <w:sz w:val="20"/>
          <w:szCs w:val="20"/>
        </w:rPr>
        <w:t>conduct some licensing and permitting steps</w:t>
      </w:r>
      <w:r w:rsidR="006F0C22" w:rsidRPr="00FE0F87">
        <w:rPr>
          <w:rFonts w:ascii="Times New Roman" w:hAnsi="Times New Roman" w:cs="Times New Roman"/>
          <w:sz w:val="20"/>
          <w:szCs w:val="20"/>
        </w:rPr>
        <w:t xml:space="preserve"> </w:t>
      </w:r>
      <w:r w:rsidR="00692487" w:rsidRPr="00FE0F87">
        <w:rPr>
          <w:rFonts w:ascii="Times New Roman" w:hAnsi="Times New Roman" w:cs="Times New Roman"/>
          <w:sz w:val="20"/>
          <w:szCs w:val="20"/>
        </w:rPr>
        <w:t>(</w:t>
      </w:r>
      <w:r w:rsidR="006F0C22" w:rsidRPr="00FE0F87">
        <w:rPr>
          <w:rFonts w:ascii="Times New Roman" w:hAnsi="Times New Roman" w:cs="Times New Roman"/>
          <w:sz w:val="20"/>
          <w:szCs w:val="20"/>
        </w:rPr>
        <w:t>administrative proceedings</w:t>
      </w:r>
      <w:r w:rsidR="00692487" w:rsidRPr="00FE0F87">
        <w:rPr>
          <w:rFonts w:ascii="Times New Roman" w:hAnsi="Times New Roman" w:cs="Times New Roman"/>
          <w:sz w:val="20"/>
          <w:szCs w:val="20"/>
        </w:rPr>
        <w:t>) in parallel</w:t>
      </w:r>
    </w:p>
    <w:p w:rsidR="00C26093" w:rsidRPr="00C26093" w:rsidRDefault="00C26093" w:rsidP="00945901">
      <w:pPr>
        <w:autoSpaceDE w:val="0"/>
        <w:autoSpaceDN w:val="0"/>
        <w:adjustRightInd w:val="0"/>
        <w:spacing w:after="0" w:line="240" w:lineRule="auto"/>
        <w:jc w:val="both"/>
        <w:rPr>
          <w:rFonts w:ascii="Times New Roman" w:hAnsi="Times New Roman" w:cs="Times New Roman"/>
          <w:sz w:val="16"/>
          <w:szCs w:val="12"/>
        </w:rPr>
      </w:pPr>
    </w:p>
    <w:p w:rsidR="00BC3EDA" w:rsidRPr="00627428" w:rsidRDefault="00AB287B" w:rsidP="00945901">
      <w:pPr>
        <w:autoSpaceDE w:val="0"/>
        <w:autoSpaceDN w:val="0"/>
        <w:adjustRightInd w:val="0"/>
        <w:spacing w:after="0" w:line="240" w:lineRule="auto"/>
        <w:jc w:val="both"/>
        <w:rPr>
          <w:rFonts w:ascii="Times New Roman" w:hAnsi="Times New Roman" w:cs="Times New Roman"/>
          <w:sz w:val="20"/>
          <w:szCs w:val="20"/>
        </w:rPr>
      </w:pPr>
      <w:r w:rsidRPr="00627428">
        <w:rPr>
          <w:rFonts w:ascii="Times New Roman" w:hAnsi="Times New Roman" w:cs="Times New Roman"/>
          <w:sz w:val="20"/>
          <w:szCs w:val="20"/>
        </w:rPr>
        <w:t xml:space="preserve">Licensing and permitting processes for nuclear power plants are highly complex and </w:t>
      </w:r>
      <w:r w:rsidR="00EC2128" w:rsidRPr="00627428">
        <w:rPr>
          <w:rFonts w:ascii="Times New Roman" w:hAnsi="Times New Roman" w:cs="Times New Roman"/>
          <w:sz w:val="20"/>
          <w:szCs w:val="20"/>
        </w:rPr>
        <w:t>consists of</w:t>
      </w:r>
      <w:r w:rsidRPr="00627428">
        <w:rPr>
          <w:rFonts w:ascii="Times New Roman" w:hAnsi="Times New Roman" w:cs="Times New Roman"/>
          <w:sz w:val="20"/>
          <w:szCs w:val="20"/>
        </w:rPr>
        <w:t xml:space="preserve"> </w:t>
      </w:r>
      <w:r w:rsidR="00EC2128" w:rsidRPr="00627428">
        <w:rPr>
          <w:rFonts w:ascii="Times New Roman" w:hAnsi="Times New Roman" w:cs="Times New Roman"/>
          <w:sz w:val="20"/>
          <w:szCs w:val="20"/>
        </w:rPr>
        <w:t xml:space="preserve">many </w:t>
      </w:r>
      <w:r w:rsidRPr="00627428">
        <w:rPr>
          <w:rFonts w:ascii="Times New Roman" w:hAnsi="Times New Roman" w:cs="Times New Roman"/>
          <w:sz w:val="20"/>
          <w:szCs w:val="20"/>
        </w:rPr>
        <w:t>separate administrative proceedings</w:t>
      </w:r>
      <w:r w:rsidR="00EC2128" w:rsidRPr="00627428">
        <w:rPr>
          <w:rFonts w:ascii="Times New Roman" w:hAnsi="Times New Roman" w:cs="Times New Roman"/>
          <w:sz w:val="20"/>
          <w:szCs w:val="20"/>
        </w:rPr>
        <w:t xml:space="preserve"> during which all required licences and permits are granted</w:t>
      </w:r>
      <w:r w:rsidRPr="00627428">
        <w:rPr>
          <w:rFonts w:ascii="Times New Roman" w:hAnsi="Times New Roman" w:cs="Times New Roman"/>
          <w:sz w:val="20"/>
          <w:szCs w:val="20"/>
        </w:rPr>
        <w:t>. In most cases granting the particular licence (e.g. construction licence) „open</w:t>
      </w:r>
      <w:r w:rsidR="00627428">
        <w:rPr>
          <w:rFonts w:ascii="Times New Roman" w:hAnsi="Times New Roman" w:cs="Times New Roman"/>
          <w:sz w:val="20"/>
          <w:szCs w:val="20"/>
        </w:rPr>
        <w:t>s</w:t>
      </w:r>
      <w:r w:rsidRPr="00627428">
        <w:rPr>
          <w:rFonts w:ascii="Times New Roman" w:hAnsi="Times New Roman" w:cs="Times New Roman"/>
          <w:sz w:val="20"/>
          <w:szCs w:val="20"/>
        </w:rPr>
        <w:t xml:space="preserve"> the door” to apply for another required licence or permit (e.g. non-nuclear safety building permit). </w:t>
      </w:r>
      <w:r w:rsidR="00EC2128" w:rsidRPr="00627428">
        <w:rPr>
          <w:rFonts w:ascii="Times New Roman" w:hAnsi="Times New Roman" w:cs="Times New Roman"/>
          <w:sz w:val="20"/>
          <w:szCs w:val="20"/>
        </w:rPr>
        <w:t xml:space="preserve">That means that the delay in obtaining one licence will automatically results with the delay in application for another one and as result prolonging the entire licensing process. To avoid these  risks various provisions of NISA and Atomic Law Act </w:t>
      </w:r>
      <w:r w:rsidR="00F515F5">
        <w:rPr>
          <w:rFonts w:ascii="Times New Roman" w:hAnsi="Times New Roman" w:cs="Times New Roman"/>
          <w:sz w:val="20"/>
          <w:szCs w:val="20"/>
        </w:rPr>
        <w:t xml:space="preserve">allow to conduct some steps </w:t>
      </w:r>
      <w:r w:rsidR="00EC2128" w:rsidRPr="00627428">
        <w:rPr>
          <w:rFonts w:ascii="Times New Roman" w:hAnsi="Times New Roman" w:cs="Times New Roman"/>
          <w:sz w:val="20"/>
          <w:szCs w:val="20"/>
        </w:rPr>
        <w:t xml:space="preserve"> </w:t>
      </w:r>
      <w:r w:rsidR="00F515F5">
        <w:rPr>
          <w:rFonts w:ascii="Times New Roman" w:hAnsi="Times New Roman" w:cs="Times New Roman"/>
          <w:b/>
          <w:sz w:val="20"/>
          <w:szCs w:val="20"/>
        </w:rPr>
        <w:t>(</w:t>
      </w:r>
      <w:r w:rsidR="00EC2128" w:rsidRPr="00627428">
        <w:rPr>
          <w:rFonts w:ascii="Times New Roman" w:hAnsi="Times New Roman" w:cs="Times New Roman"/>
          <w:b/>
          <w:sz w:val="20"/>
          <w:szCs w:val="20"/>
        </w:rPr>
        <w:t>administrative proceedings</w:t>
      </w:r>
      <w:r w:rsidR="00F515F5">
        <w:rPr>
          <w:rFonts w:ascii="Times New Roman" w:hAnsi="Times New Roman" w:cs="Times New Roman"/>
          <w:b/>
          <w:sz w:val="20"/>
          <w:szCs w:val="20"/>
        </w:rPr>
        <w:t>) in paralell</w:t>
      </w:r>
      <w:r w:rsidR="00EC2128" w:rsidRPr="00627428">
        <w:rPr>
          <w:rFonts w:ascii="Times New Roman" w:hAnsi="Times New Roman" w:cs="Times New Roman"/>
          <w:sz w:val="20"/>
          <w:szCs w:val="20"/>
        </w:rPr>
        <w:t>. This appears to be very efficient tool to significantly shorten the entire duration of the licensing and permitting process for nuclear power plant</w:t>
      </w:r>
      <w:r w:rsidR="00BC3EDA" w:rsidRPr="00627428">
        <w:rPr>
          <w:rFonts w:ascii="Times New Roman" w:hAnsi="Times New Roman" w:cs="Times New Roman"/>
          <w:sz w:val="20"/>
          <w:szCs w:val="20"/>
        </w:rPr>
        <w:t xml:space="preserve"> what is shown on the scheme</w:t>
      </w:r>
      <w:r w:rsidR="00627428" w:rsidRPr="00627428">
        <w:rPr>
          <w:rFonts w:ascii="Times New Roman" w:hAnsi="Times New Roman" w:cs="Times New Roman"/>
          <w:sz w:val="20"/>
          <w:szCs w:val="20"/>
        </w:rPr>
        <w:t>s</w:t>
      </w:r>
      <w:r w:rsidR="00BC3EDA" w:rsidRPr="00627428">
        <w:rPr>
          <w:rFonts w:ascii="Times New Roman" w:hAnsi="Times New Roman" w:cs="Times New Roman"/>
          <w:sz w:val="20"/>
          <w:szCs w:val="20"/>
        </w:rPr>
        <w:t xml:space="preserve"> below</w:t>
      </w:r>
      <w:r w:rsidR="00627428" w:rsidRPr="00627428">
        <w:rPr>
          <w:rFonts w:ascii="Times New Roman" w:hAnsi="Times New Roman" w:cs="Times New Roman"/>
          <w:sz w:val="20"/>
          <w:szCs w:val="20"/>
        </w:rPr>
        <w:t xml:space="preserve"> which compare the new and old approaches with these regards</w:t>
      </w:r>
      <w:r w:rsidR="00BC3EDA" w:rsidRPr="00627428">
        <w:rPr>
          <w:rFonts w:ascii="Times New Roman" w:hAnsi="Times New Roman" w:cs="Times New Roman"/>
          <w:sz w:val="20"/>
          <w:szCs w:val="20"/>
        </w:rPr>
        <w:t>:</w:t>
      </w:r>
    </w:p>
    <w:p w:rsidR="00EC2128" w:rsidRDefault="00A12ABD" w:rsidP="00945901">
      <w:pPr>
        <w:autoSpaceDE w:val="0"/>
        <w:autoSpaceDN w:val="0"/>
        <w:adjustRightInd w:val="0"/>
        <w:spacing w:after="0" w:line="240" w:lineRule="auto"/>
        <w:jc w:val="both"/>
        <w:rPr>
          <w:rFonts w:ascii="Times New Roman" w:hAnsi="Times New Roman" w:cs="Times New Roman"/>
          <w:sz w:val="20"/>
          <w:szCs w:val="20"/>
          <w:highlight w:val="yellow"/>
          <w:u w:val="single"/>
        </w:rPr>
      </w:pPr>
      <w:r>
        <w:rPr>
          <w:rFonts w:ascii="Times New Roman" w:hAnsi="Times New Roman" w:cs="Times New Roman"/>
          <w:noProof/>
          <w:sz w:val="20"/>
          <w:szCs w:val="20"/>
          <w:u w:val="single"/>
          <w:lang w:eastAsia="pl-PL"/>
        </w:rPr>
        <mc:AlternateContent>
          <mc:Choice Requires="wps">
            <w:drawing>
              <wp:anchor distT="0" distB="0" distL="114300" distR="114300" simplePos="0" relativeHeight="251663360" behindDoc="0" locked="0" layoutInCell="1" allowOverlap="1">
                <wp:simplePos x="0" y="0"/>
                <wp:positionH relativeFrom="column">
                  <wp:posOffset>2815118</wp:posOffset>
                </wp:positionH>
                <wp:positionV relativeFrom="paragraph">
                  <wp:posOffset>140335</wp:posOffset>
                </wp:positionV>
                <wp:extent cx="3349625" cy="1146175"/>
                <wp:effectExtent l="0" t="0" r="3175" b="0"/>
                <wp:wrapNone/>
                <wp:docPr id="13" name="Pole tekstowe 13"/>
                <wp:cNvGraphicFramePr/>
                <a:graphic xmlns:a="http://schemas.openxmlformats.org/drawingml/2006/main">
                  <a:graphicData uri="http://schemas.microsoft.com/office/word/2010/wordprocessingShape">
                    <wps:wsp>
                      <wps:cNvSpPr txBox="1"/>
                      <wps:spPr>
                        <a:xfrm>
                          <a:off x="0" y="0"/>
                          <a:ext cx="3349625" cy="1146175"/>
                        </a:xfrm>
                        <a:prstGeom prst="rect">
                          <a:avLst/>
                        </a:prstGeom>
                        <a:solidFill>
                          <a:schemeClr val="lt1"/>
                        </a:solidFill>
                        <a:ln w="6350">
                          <a:noFill/>
                        </a:ln>
                      </wps:spPr>
                      <wps:txbx>
                        <w:txbxContent>
                          <w:p w:rsidR="0056191C" w:rsidRDefault="0056191C">
                            <w:r>
                              <w:rPr>
                                <w:noProof/>
                                <w:lang w:eastAsia="pl-PL"/>
                              </w:rPr>
                              <w:drawing>
                                <wp:inline distT="0" distB="0" distL="0" distR="0">
                                  <wp:extent cx="3059843" cy="1100618"/>
                                  <wp:effectExtent l="0" t="0" r="7620" b="444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6079" cy="11712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 o:spid="_x0000_s1027" type="#_x0000_t202" style="position:absolute;left:0;text-align:left;margin-left:221.65pt;margin-top:11.05pt;width:263.75pt;height: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" fillcolor="white [3201]" stroked="f" strokeweight=".5pt">
                <v:textbox>
                  <w:txbxContent>
                    <w:p w:rsidR="0056191C" w:rsidRDefault="0056191C">
                      <w:r>
                        <w:rPr>
                          <w:noProof/>
                          <w:lang w:eastAsia="pl-PL"/>
                        </w:rPr>
                        <w:drawing>
                          <wp:inline distT="0" distB="0" distL="0" distR="0">
                            <wp:extent cx="3059843" cy="1100618"/>
                            <wp:effectExtent l="0" t="0" r="7620" b="444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6079" cy="1171203"/>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sz w:val="20"/>
          <w:szCs w:val="20"/>
          <w:u w:val="single"/>
          <w:lang w:eastAsia="pl-PL"/>
        </w:rPr>
        <mc:AlternateContent>
          <mc:Choice Requires="wps">
            <w:drawing>
              <wp:anchor distT="0" distB="0" distL="114300" distR="114300" simplePos="0" relativeHeight="251660288" behindDoc="0" locked="0" layoutInCell="1" allowOverlap="1">
                <wp:simplePos x="0" y="0"/>
                <wp:positionH relativeFrom="column">
                  <wp:posOffset>-128433</wp:posOffset>
                </wp:positionH>
                <wp:positionV relativeFrom="paragraph">
                  <wp:posOffset>141605</wp:posOffset>
                </wp:positionV>
                <wp:extent cx="2660650" cy="159766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2660650" cy="1597660"/>
                        </a:xfrm>
                        <a:prstGeom prst="rect">
                          <a:avLst/>
                        </a:prstGeom>
                        <a:solidFill>
                          <a:schemeClr val="lt1"/>
                        </a:solidFill>
                        <a:ln w="6350">
                          <a:noFill/>
                        </a:ln>
                      </wps:spPr>
                      <wps:txbx>
                        <w:txbxContent>
                          <w:p w:rsidR="0056191C" w:rsidRDefault="0056191C">
                            <w:r>
                              <w:rPr>
                                <w:noProof/>
                                <w:lang w:eastAsia="pl-PL"/>
                              </w:rPr>
                              <w:drawing>
                                <wp:inline distT="0" distB="0" distL="0" distR="0">
                                  <wp:extent cx="2898704" cy="10918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679" cy="109410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Pole tekstowe 11" o:spid="_x0000_s1028" type="#_x0000_t202" style="position:absolute;left:0;text-align:left;margin-left:-10.1pt;margin-top:11.15pt;width:209.5pt;height:125.8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" fillcolor="white [3201]" stroked="f" strokeweight=".5pt">
                <v:textbox style="mso-fit-shape-to-text:t">
                  <w:txbxContent>
                    <w:p w:rsidR="0056191C" w:rsidRDefault="0056191C">
                      <w:r>
                        <w:rPr>
                          <w:noProof/>
                          <w:lang w:eastAsia="pl-PL"/>
                        </w:rPr>
                        <w:drawing>
                          <wp:inline distT="0" distB="0" distL="0" distR="0">
                            <wp:extent cx="2898704" cy="10918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679" cy="1094106"/>
                                    </a:xfrm>
                                    <a:prstGeom prst="rect">
                                      <a:avLst/>
                                    </a:prstGeom>
                                    <a:noFill/>
                                    <a:ln>
                                      <a:noFill/>
                                    </a:ln>
                                  </pic:spPr>
                                </pic:pic>
                              </a:graphicData>
                            </a:graphic>
                          </wp:inline>
                        </w:drawing>
                      </w:r>
                    </w:p>
                  </w:txbxContent>
                </v:textbox>
              </v:shape>
            </w:pict>
          </mc:Fallback>
        </mc:AlternateContent>
      </w:r>
    </w:p>
    <w:p w:rsidR="00FC3D34" w:rsidRDefault="00627428" w:rsidP="00945901">
      <w:pPr>
        <w:autoSpaceDE w:val="0"/>
        <w:autoSpaceDN w:val="0"/>
        <w:adjustRightInd w:val="0"/>
        <w:spacing w:after="0" w:line="240" w:lineRule="auto"/>
        <w:jc w:val="both"/>
        <w:rPr>
          <w:rFonts w:ascii="Times New Roman" w:hAnsi="Times New Roman" w:cs="Times New Roman"/>
          <w:sz w:val="20"/>
          <w:szCs w:val="20"/>
          <w:highlight w:val="yellow"/>
          <w:u w:val="single"/>
        </w:rPr>
      </w:pPr>
      <w:r>
        <w:rPr>
          <w:rFonts w:ascii="Times New Roman" w:hAnsi="Times New Roman" w:cs="Times New Roman"/>
          <w:noProof/>
          <w:sz w:val="20"/>
          <w:szCs w:val="20"/>
          <w:u w:val="single"/>
          <w:lang w:eastAsia="pl-PL"/>
        </w:rPr>
        <mc:AlternateContent>
          <mc:Choice Requires="wps">
            <w:drawing>
              <wp:anchor distT="0" distB="0" distL="114300" distR="114300" simplePos="0" relativeHeight="251666432" behindDoc="0" locked="0" layoutInCell="1" allowOverlap="1" wp14:anchorId="3BA90AFA" wp14:editId="5F16EEFC">
                <wp:simplePos x="0" y="0"/>
                <wp:positionH relativeFrom="column">
                  <wp:posOffset>4577552</wp:posOffset>
                </wp:positionH>
                <wp:positionV relativeFrom="paragraph">
                  <wp:posOffset>68932</wp:posOffset>
                </wp:positionV>
                <wp:extent cx="1108659" cy="262550"/>
                <wp:effectExtent l="0" t="0" r="0" b="4445"/>
                <wp:wrapNone/>
                <wp:docPr id="18" name="Pole tekstowe 18"/>
                <wp:cNvGraphicFramePr/>
                <a:graphic xmlns:a="http://schemas.openxmlformats.org/drawingml/2006/main">
                  <a:graphicData uri="http://schemas.microsoft.com/office/word/2010/wordprocessingShape">
                    <wps:wsp>
                      <wps:cNvSpPr txBox="1"/>
                      <wps:spPr>
                        <a:xfrm>
                          <a:off x="0" y="0"/>
                          <a:ext cx="1108659" cy="262550"/>
                        </a:xfrm>
                        <a:prstGeom prst="rect">
                          <a:avLst/>
                        </a:prstGeom>
                        <a:solidFill>
                          <a:schemeClr val="lt1"/>
                        </a:solidFill>
                        <a:ln w="6350">
                          <a:noFill/>
                        </a:ln>
                      </wps:spPr>
                      <wps:txbx>
                        <w:txbxContent>
                          <w:p w:rsidR="0056191C" w:rsidRPr="00627428" w:rsidRDefault="0056191C" w:rsidP="00627428">
                            <w:pPr>
                              <w:rPr>
                                <w:i/>
                                <w:sz w:val="18"/>
                                <w:szCs w:val="18"/>
                              </w:rPr>
                            </w:pPr>
                            <w:r w:rsidRPr="00627428">
                              <w:rPr>
                                <w:i/>
                                <w:sz w:val="18"/>
                                <w:szCs w:val="18"/>
                              </w:rPr>
                              <w:t>Standard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90AFA" id="Pole tekstowe 18" o:spid="_x0000_s1029" type="#_x0000_t202" style="position:absolute;left:0;text-align:left;margin-left:360.45pt;margin-top:5.45pt;width:87.3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" fillcolor="white [3201]" stroked="f" strokeweight=".5pt">
                <v:textbox>
                  <w:txbxContent>
                    <w:p w:rsidR="0056191C" w:rsidRPr="00627428" w:rsidRDefault="0056191C" w:rsidP="00627428">
                      <w:pPr>
                        <w:rPr>
                          <w:i/>
                          <w:sz w:val="18"/>
                          <w:szCs w:val="18"/>
                        </w:rPr>
                      </w:pPr>
                      <w:r w:rsidRPr="00627428">
                        <w:rPr>
                          <w:i/>
                          <w:sz w:val="18"/>
                          <w:szCs w:val="18"/>
                        </w:rPr>
                        <w:t>Standard approach</w:t>
                      </w:r>
                    </w:p>
                  </w:txbxContent>
                </v:textbox>
              </v:shape>
            </w:pict>
          </mc:Fallback>
        </mc:AlternateContent>
      </w:r>
      <w:r>
        <w:rPr>
          <w:rFonts w:ascii="Times New Roman" w:hAnsi="Times New Roman" w:cs="Times New Roman"/>
          <w:noProof/>
          <w:sz w:val="20"/>
          <w:szCs w:val="20"/>
          <w:u w:val="single"/>
          <w:lang w:eastAsia="pl-PL"/>
        </w:rPr>
        <mc:AlternateContent>
          <mc:Choice Requires="wps">
            <w:drawing>
              <wp:anchor distT="0" distB="0" distL="114300" distR="114300" simplePos="0" relativeHeight="251664384" behindDoc="0" locked="0" layoutInCell="1" allowOverlap="1">
                <wp:simplePos x="0" y="0"/>
                <wp:positionH relativeFrom="column">
                  <wp:posOffset>1713702</wp:posOffset>
                </wp:positionH>
                <wp:positionV relativeFrom="paragraph">
                  <wp:posOffset>67945</wp:posOffset>
                </wp:positionV>
                <wp:extent cx="900939" cy="262550"/>
                <wp:effectExtent l="0" t="0" r="0" b="4445"/>
                <wp:wrapNone/>
                <wp:docPr id="17" name="Pole tekstowe 17"/>
                <wp:cNvGraphicFramePr/>
                <a:graphic xmlns:a="http://schemas.openxmlformats.org/drawingml/2006/main">
                  <a:graphicData uri="http://schemas.microsoft.com/office/word/2010/wordprocessingShape">
                    <wps:wsp>
                      <wps:cNvSpPr txBox="1"/>
                      <wps:spPr>
                        <a:xfrm>
                          <a:off x="0" y="0"/>
                          <a:ext cx="900939" cy="262550"/>
                        </a:xfrm>
                        <a:prstGeom prst="rect">
                          <a:avLst/>
                        </a:prstGeom>
                        <a:solidFill>
                          <a:schemeClr val="lt1"/>
                        </a:solidFill>
                        <a:ln w="6350">
                          <a:noFill/>
                        </a:ln>
                      </wps:spPr>
                      <wps:txbx>
                        <w:txbxContent>
                          <w:p w:rsidR="0056191C" w:rsidRPr="00627428" w:rsidRDefault="0056191C">
                            <w:pPr>
                              <w:rPr>
                                <w:i/>
                                <w:sz w:val="18"/>
                                <w:szCs w:val="18"/>
                              </w:rPr>
                            </w:pPr>
                            <w:r w:rsidRPr="00627428">
                              <w:rPr>
                                <w:i/>
                                <w:sz w:val="18"/>
                                <w:szCs w:val="18"/>
                              </w:rPr>
                              <w:t>New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7" o:spid="_x0000_s1030" type="#_x0000_t202" style="position:absolute;left:0;text-align:left;margin-left:134.95pt;margin-top:5.35pt;width:70.9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" fillcolor="white [3201]" stroked="f" strokeweight=".5pt">
                <v:textbox>
                  <w:txbxContent>
                    <w:p w:rsidR="0056191C" w:rsidRPr="00627428" w:rsidRDefault="0056191C">
                      <w:pPr>
                        <w:rPr>
                          <w:i/>
                          <w:sz w:val="18"/>
                          <w:szCs w:val="18"/>
                        </w:rPr>
                      </w:pPr>
                      <w:r w:rsidRPr="00627428">
                        <w:rPr>
                          <w:i/>
                          <w:sz w:val="18"/>
                          <w:szCs w:val="18"/>
                        </w:rPr>
                        <w:t>New approach</w:t>
                      </w:r>
                    </w:p>
                  </w:txbxContent>
                </v:textbox>
              </v:shape>
            </w:pict>
          </mc:Fallback>
        </mc:AlternateContent>
      </w:r>
    </w:p>
    <w:p w:rsidR="00FC3D34" w:rsidRDefault="00FC3D34" w:rsidP="00945901">
      <w:pPr>
        <w:autoSpaceDE w:val="0"/>
        <w:autoSpaceDN w:val="0"/>
        <w:adjustRightInd w:val="0"/>
        <w:spacing w:after="0" w:line="240" w:lineRule="auto"/>
        <w:jc w:val="both"/>
        <w:rPr>
          <w:rFonts w:ascii="Times New Roman" w:hAnsi="Times New Roman" w:cs="Times New Roman"/>
          <w:noProof/>
          <w:sz w:val="20"/>
          <w:szCs w:val="20"/>
          <w:lang w:eastAsia="pl-PL"/>
        </w:rPr>
      </w:pPr>
    </w:p>
    <w:p w:rsidR="00FC3D34" w:rsidRDefault="00DE58D3" w:rsidP="00945901">
      <w:pPr>
        <w:autoSpaceDE w:val="0"/>
        <w:autoSpaceDN w:val="0"/>
        <w:adjustRightInd w:val="0"/>
        <w:spacing w:after="0" w:line="240" w:lineRule="auto"/>
        <w:jc w:val="both"/>
        <w:rPr>
          <w:rFonts w:ascii="Times New Roman" w:hAnsi="Times New Roman" w:cs="Times New Roman"/>
          <w:noProof/>
          <w:sz w:val="20"/>
          <w:szCs w:val="20"/>
          <w:lang w:eastAsia="pl-PL"/>
        </w:rPr>
      </w:pPr>
      <w:r>
        <w:rPr>
          <w:rFonts w:ascii="Times New Roman" w:hAnsi="Times New Roman" w:cs="Times New Roman"/>
          <w:noProof/>
          <w:sz w:val="20"/>
          <w:szCs w:val="20"/>
          <w:lang w:eastAsia="pl-PL"/>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845434</wp:posOffset>
                </wp:positionV>
                <wp:extent cx="4502552" cy="306729"/>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4502552" cy="306729"/>
                        </a:xfrm>
                        <a:prstGeom prst="rect">
                          <a:avLst/>
                        </a:prstGeom>
                        <a:solidFill>
                          <a:schemeClr val="lt1"/>
                        </a:solidFill>
                        <a:ln w="6350">
                          <a:noFill/>
                        </a:ln>
                      </wps:spPr>
                      <wps:txbx>
                        <w:txbxContent>
                          <w:p w:rsidR="00DE58D3" w:rsidRPr="00DE58D3" w:rsidRDefault="00DE58D3">
                            <w:pPr>
                              <w:rPr>
                                <w:rFonts w:ascii="Times New Roman" w:hAnsi="Times New Roman" w:cs="Times New Roman"/>
                                <w:sz w:val="16"/>
                                <w:szCs w:val="16"/>
                              </w:rPr>
                            </w:pPr>
                            <w:r w:rsidRPr="00DE58D3">
                              <w:rPr>
                                <w:rFonts w:ascii="Times New Roman" w:hAnsi="Times New Roman" w:cs="Times New Roman"/>
                                <w:sz w:val="16"/>
                                <w:szCs w:val="16"/>
                              </w:rPr>
                              <w:t>Fig. 3. Parallel administrative procedures – new and standard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 o:spid="_x0000_s1031" type="#_x0000_t202" style="position:absolute;left:0;text-align:left;margin-left:1.1pt;margin-top:66.55pt;width:354.5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" fillcolor="white [3201]" stroked="f" strokeweight=".5pt">
                <v:textbox>
                  <w:txbxContent>
                    <w:p w:rsidR="00DE58D3" w:rsidRPr="00DE58D3" w:rsidRDefault="00DE58D3">
                      <w:pPr>
                        <w:rPr>
                          <w:rFonts w:ascii="Times New Roman" w:hAnsi="Times New Roman" w:cs="Times New Roman"/>
                          <w:sz w:val="16"/>
                          <w:szCs w:val="16"/>
                        </w:rPr>
                      </w:pPr>
                      <w:r w:rsidRPr="00DE58D3">
                        <w:rPr>
                          <w:rFonts w:ascii="Times New Roman" w:hAnsi="Times New Roman" w:cs="Times New Roman"/>
                          <w:sz w:val="16"/>
                          <w:szCs w:val="16"/>
                        </w:rPr>
                        <w:t>Fig. 3. Parallel administrative procedures – new and standard approach</w:t>
                      </w:r>
                    </w:p>
                  </w:txbxContent>
                </v:textbox>
              </v:shape>
            </w:pict>
          </mc:Fallback>
        </mc:AlternateContent>
      </w:r>
    </w:p>
    <w:p w:rsidR="00FC3D34" w:rsidRPr="007838FE" w:rsidRDefault="00BC3EDA" w:rsidP="007838FE">
      <w:pPr>
        <w:autoSpaceDE w:val="0"/>
        <w:autoSpaceDN w:val="0"/>
        <w:adjustRightInd w:val="0"/>
        <w:spacing w:after="0" w:line="240" w:lineRule="auto"/>
        <w:jc w:val="both"/>
        <w:rPr>
          <w:rFonts w:ascii="Times New Roman" w:hAnsi="Times New Roman" w:cs="Times New Roman"/>
          <w:sz w:val="20"/>
          <w:szCs w:val="20"/>
        </w:rPr>
      </w:pPr>
      <w:r w:rsidRPr="007838FE">
        <w:rPr>
          <w:rFonts w:ascii="Times New Roman" w:hAnsi="Times New Roman" w:cs="Times New Roman"/>
          <w:sz w:val="20"/>
          <w:szCs w:val="20"/>
        </w:rPr>
        <w:lastRenderedPageBreak/>
        <w:t>F</w:t>
      </w:r>
      <w:r w:rsidR="00FA1923" w:rsidRPr="007838FE">
        <w:rPr>
          <w:rFonts w:ascii="Times New Roman" w:hAnsi="Times New Roman" w:cs="Times New Roman"/>
          <w:sz w:val="20"/>
          <w:szCs w:val="20"/>
        </w:rPr>
        <w:t xml:space="preserve">or example </w:t>
      </w:r>
      <w:r w:rsidRPr="007838FE">
        <w:rPr>
          <w:rFonts w:ascii="Times New Roman" w:hAnsi="Times New Roman" w:cs="Times New Roman"/>
          <w:sz w:val="20"/>
          <w:szCs w:val="20"/>
        </w:rPr>
        <w:t xml:space="preserve">it is possible to </w:t>
      </w:r>
      <w:r w:rsidR="00DE2B1E" w:rsidRPr="007838FE">
        <w:rPr>
          <w:rFonts w:ascii="Times New Roman" w:hAnsi="Times New Roman" w:cs="Times New Roman"/>
          <w:sz w:val="20"/>
          <w:szCs w:val="20"/>
        </w:rPr>
        <w:t>conduct</w:t>
      </w:r>
      <w:r w:rsidRPr="007838FE">
        <w:rPr>
          <w:rFonts w:ascii="Times New Roman" w:hAnsi="Times New Roman" w:cs="Times New Roman"/>
          <w:sz w:val="20"/>
          <w:szCs w:val="20"/>
        </w:rPr>
        <w:t xml:space="preserve"> paralell administrative proceedings aimed at granting </w:t>
      </w:r>
      <w:r w:rsidR="00FA1923" w:rsidRPr="007838FE">
        <w:rPr>
          <w:rFonts w:ascii="Times New Roman" w:hAnsi="Times New Roman" w:cs="Times New Roman"/>
          <w:sz w:val="20"/>
          <w:szCs w:val="20"/>
        </w:rPr>
        <w:t>construction licence</w:t>
      </w:r>
      <w:r w:rsidR="00182B6C" w:rsidRPr="007838FE">
        <w:rPr>
          <w:rFonts w:ascii="Times New Roman" w:hAnsi="Times New Roman" w:cs="Times New Roman"/>
          <w:sz w:val="20"/>
          <w:szCs w:val="20"/>
        </w:rPr>
        <w:t xml:space="preserve"> (issued by the Nuclear Regulatory Body)</w:t>
      </w:r>
      <w:r w:rsidR="00FA1923" w:rsidRPr="007838FE">
        <w:rPr>
          <w:rFonts w:ascii="Times New Roman" w:hAnsi="Times New Roman" w:cs="Times New Roman"/>
          <w:sz w:val="20"/>
          <w:szCs w:val="20"/>
        </w:rPr>
        <w:t xml:space="preserve"> and building permit (issued by the Province Governor)</w:t>
      </w:r>
      <w:r w:rsidR="00182B6C" w:rsidRPr="007838FE">
        <w:rPr>
          <w:rFonts w:ascii="Times New Roman" w:hAnsi="Times New Roman" w:cs="Times New Roman"/>
          <w:sz w:val="20"/>
          <w:szCs w:val="20"/>
        </w:rPr>
        <w:t xml:space="preserve"> what until recently was not allowed</w:t>
      </w:r>
      <w:r w:rsidR="00FA1923" w:rsidRPr="007838FE">
        <w:rPr>
          <w:rFonts w:ascii="Times New Roman" w:hAnsi="Times New Roman" w:cs="Times New Roman"/>
          <w:sz w:val="20"/>
          <w:szCs w:val="20"/>
        </w:rPr>
        <w:t xml:space="preserve">. </w:t>
      </w:r>
      <w:r w:rsidR="00182B6C" w:rsidRPr="007838FE">
        <w:rPr>
          <w:rFonts w:ascii="Times New Roman" w:hAnsi="Times New Roman" w:cs="Times New Roman"/>
          <w:sz w:val="20"/>
          <w:szCs w:val="20"/>
        </w:rPr>
        <w:t xml:space="preserve">Pursuant to article 39k od ALA the construction </w:t>
      </w:r>
      <w:r w:rsidR="00FA1923" w:rsidRPr="007838FE">
        <w:rPr>
          <w:rFonts w:ascii="Times New Roman" w:hAnsi="Times New Roman" w:cs="Times New Roman"/>
          <w:sz w:val="20"/>
          <w:szCs w:val="20"/>
        </w:rPr>
        <w:t xml:space="preserve"> licence does not need to be </w:t>
      </w:r>
      <w:r w:rsidR="00182B6C" w:rsidRPr="007838FE">
        <w:rPr>
          <w:rFonts w:ascii="Times New Roman" w:hAnsi="Times New Roman" w:cs="Times New Roman"/>
          <w:sz w:val="20"/>
          <w:szCs w:val="20"/>
        </w:rPr>
        <w:t>obtained by the investor before</w:t>
      </w:r>
      <w:r w:rsidR="00FA1923" w:rsidRPr="007838FE">
        <w:rPr>
          <w:rFonts w:ascii="Times New Roman" w:hAnsi="Times New Roman" w:cs="Times New Roman"/>
          <w:sz w:val="20"/>
          <w:szCs w:val="20"/>
        </w:rPr>
        <w:t xml:space="preserve"> application for the building permit</w:t>
      </w:r>
      <w:r w:rsidR="00182B6C" w:rsidRPr="007838FE">
        <w:rPr>
          <w:rFonts w:ascii="Times New Roman" w:hAnsi="Times New Roman" w:cs="Times New Roman"/>
          <w:sz w:val="20"/>
          <w:szCs w:val="20"/>
        </w:rPr>
        <w:t xml:space="preserve"> is submitted</w:t>
      </w:r>
      <w:r w:rsidR="00FA1923" w:rsidRPr="007838FE">
        <w:rPr>
          <w:rFonts w:ascii="Times New Roman" w:hAnsi="Times New Roman" w:cs="Times New Roman"/>
          <w:sz w:val="20"/>
          <w:szCs w:val="20"/>
        </w:rPr>
        <w:t xml:space="preserve">. According to law </w:t>
      </w:r>
      <w:r w:rsidR="00182B6C" w:rsidRPr="007838FE">
        <w:rPr>
          <w:rFonts w:ascii="Times New Roman" w:hAnsi="Times New Roman" w:cs="Times New Roman"/>
          <w:sz w:val="20"/>
          <w:szCs w:val="20"/>
        </w:rPr>
        <w:t>this licence may be</w:t>
      </w:r>
      <w:r w:rsidR="00FA1923" w:rsidRPr="007838FE">
        <w:rPr>
          <w:rFonts w:ascii="Times New Roman" w:hAnsi="Times New Roman" w:cs="Times New Roman"/>
          <w:sz w:val="20"/>
          <w:szCs w:val="20"/>
        </w:rPr>
        <w:t xml:space="preserve"> submitted by the investor </w:t>
      </w:r>
      <w:r w:rsidR="00FA1923" w:rsidRPr="007838FE">
        <w:rPr>
          <w:rFonts w:ascii="Times New Roman" w:hAnsi="Times New Roman" w:cs="Times New Roman"/>
          <w:b/>
          <w:sz w:val="20"/>
          <w:szCs w:val="20"/>
        </w:rPr>
        <w:t>during</w:t>
      </w:r>
      <w:r w:rsidR="00FA1923" w:rsidRPr="007838FE">
        <w:rPr>
          <w:rFonts w:ascii="Times New Roman" w:hAnsi="Times New Roman" w:cs="Times New Roman"/>
          <w:sz w:val="20"/>
          <w:szCs w:val="20"/>
        </w:rPr>
        <w:t xml:space="preserve"> the proceedings for issuing the construction permit</w:t>
      </w:r>
      <w:r w:rsidR="00DE2B1E" w:rsidRPr="007838FE">
        <w:rPr>
          <w:rFonts w:ascii="Times New Roman" w:hAnsi="Times New Roman" w:cs="Times New Roman"/>
          <w:sz w:val="20"/>
          <w:szCs w:val="20"/>
        </w:rPr>
        <w:t xml:space="preserve"> what allows to shorten the process</w:t>
      </w:r>
      <w:r w:rsidR="00FA1923" w:rsidRPr="007838FE">
        <w:rPr>
          <w:rFonts w:ascii="Times New Roman" w:hAnsi="Times New Roman" w:cs="Times New Roman"/>
          <w:sz w:val="20"/>
          <w:szCs w:val="20"/>
        </w:rPr>
        <w:t>.</w:t>
      </w:r>
      <w:r w:rsidR="00182B6C" w:rsidRPr="007838FE">
        <w:rPr>
          <w:rFonts w:ascii="Times New Roman" w:hAnsi="Times New Roman" w:cs="Times New Roman"/>
          <w:b/>
          <w:sz w:val="20"/>
          <w:szCs w:val="20"/>
        </w:rPr>
        <w:t xml:space="preserve"> </w:t>
      </w:r>
    </w:p>
    <w:p w:rsidR="00674B48" w:rsidRPr="002A163D" w:rsidRDefault="00674B48" w:rsidP="002A163D">
      <w:pPr>
        <w:autoSpaceDE w:val="0"/>
        <w:autoSpaceDN w:val="0"/>
        <w:adjustRightInd w:val="0"/>
        <w:spacing w:after="0" w:line="240" w:lineRule="auto"/>
        <w:jc w:val="both"/>
        <w:rPr>
          <w:rFonts w:ascii="Times New Roman" w:hAnsi="Times New Roman" w:cs="Times New Roman"/>
          <w:b/>
          <w:sz w:val="20"/>
          <w:szCs w:val="20"/>
        </w:rPr>
      </w:pPr>
    </w:p>
    <w:p w:rsidR="006644B6" w:rsidRPr="00FE0F87" w:rsidRDefault="00FE0F87" w:rsidP="00FE0F87">
      <w:pPr>
        <w:autoSpaceDE w:val="0"/>
        <w:autoSpaceDN w:val="0"/>
        <w:adjustRightInd w:val="0"/>
        <w:spacing w:after="0" w:line="240" w:lineRule="auto"/>
        <w:jc w:val="both"/>
        <w:rPr>
          <w:rFonts w:ascii="Times New Roman" w:hAnsi="Times New Roman" w:cs="Times New Roman"/>
          <w:i/>
          <w:sz w:val="20"/>
          <w:szCs w:val="20"/>
        </w:rPr>
      </w:pPr>
      <w:r w:rsidRPr="00FE0F87">
        <w:rPr>
          <w:rFonts w:ascii="Times New Roman" w:hAnsi="Times New Roman" w:cs="Times New Roman"/>
          <w:i/>
          <w:sz w:val="20"/>
          <w:szCs w:val="20"/>
        </w:rPr>
        <w:t xml:space="preserve">2.4.3 </w:t>
      </w:r>
      <w:r w:rsidR="006F0C22" w:rsidRPr="00FE0F87">
        <w:rPr>
          <w:rFonts w:ascii="Times New Roman" w:hAnsi="Times New Roman" w:cs="Times New Roman"/>
          <w:i/>
          <w:sz w:val="20"/>
          <w:szCs w:val="20"/>
        </w:rPr>
        <w:t xml:space="preserve">Instruments to </w:t>
      </w:r>
      <w:r w:rsidR="00627428" w:rsidRPr="00FE0F87">
        <w:rPr>
          <w:rFonts w:ascii="Times New Roman" w:hAnsi="Times New Roman" w:cs="Times New Roman"/>
          <w:i/>
          <w:sz w:val="20"/>
          <w:szCs w:val="20"/>
        </w:rPr>
        <w:t>facilitate investment process</w:t>
      </w:r>
    </w:p>
    <w:p w:rsidR="00213845" w:rsidRDefault="00213845" w:rsidP="00213845">
      <w:pPr>
        <w:autoSpaceDE w:val="0"/>
        <w:autoSpaceDN w:val="0"/>
        <w:adjustRightInd w:val="0"/>
        <w:spacing w:after="0" w:line="240" w:lineRule="auto"/>
        <w:jc w:val="both"/>
        <w:rPr>
          <w:rFonts w:ascii="Times New Roman" w:hAnsi="Times New Roman" w:cs="Times New Roman"/>
          <w:sz w:val="20"/>
          <w:szCs w:val="20"/>
          <w:u w:val="single"/>
        </w:rPr>
      </w:pPr>
    </w:p>
    <w:p w:rsidR="006644B6" w:rsidRPr="00FE0F87" w:rsidRDefault="00945901" w:rsidP="00213845">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 xml:space="preserve">1) </w:t>
      </w:r>
      <w:r w:rsidR="006644B6" w:rsidRPr="00FE0F87">
        <w:rPr>
          <w:rFonts w:ascii="Times New Roman" w:hAnsi="Times New Roman" w:cs="Times New Roman"/>
          <w:sz w:val="20"/>
          <w:szCs w:val="20"/>
        </w:rPr>
        <w:t>Indication decision</w:t>
      </w:r>
    </w:p>
    <w:p w:rsidR="005662DE" w:rsidRPr="00945901" w:rsidRDefault="005662DE" w:rsidP="00213845">
      <w:pPr>
        <w:autoSpaceDE w:val="0"/>
        <w:autoSpaceDN w:val="0"/>
        <w:adjustRightInd w:val="0"/>
        <w:spacing w:after="0" w:line="240" w:lineRule="auto"/>
        <w:jc w:val="both"/>
        <w:rPr>
          <w:rFonts w:ascii="Times New Roman" w:hAnsi="Times New Roman" w:cs="Times New Roman"/>
          <w:sz w:val="20"/>
          <w:szCs w:val="20"/>
          <w:u w:val="single"/>
        </w:rPr>
      </w:pPr>
    </w:p>
    <w:p w:rsidR="006644B6" w:rsidRPr="00DE2B1E" w:rsidRDefault="006644B6" w:rsidP="00DE2B1E">
      <w:pPr>
        <w:spacing w:after="0" w:line="240" w:lineRule="auto"/>
        <w:ind w:firstLine="360"/>
        <w:jc w:val="both"/>
        <w:rPr>
          <w:rFonts w:ascii="Times New Roman" w:hAnsi="Times New Roman" w:cs="Times New Roman"/>
          <w:sz w:val="20"/>
        </w:rPr>
      </w:pPr>
      <w:r w:rsidRPr="006644B6">
        <w:rPr>
          <w:rFonts w:ascii="Times New Roman" w:hAnsi="Times New Roman" w:cs="Times New Roman"/>
          <w:sz w:val="20"/>
        </w:rPr>
        <w:t>Conducting site</w:t>
      </w:r>
      <w:r w:rsidR="00D65240">
        <w:rPr>
          <w:rFonts w:ascii="Times New Roman" w:hAnsi="Times New Roman" w:cs="Times New Roman"/>
          <w:sz w:val="20"/>
        </w:rPr>
        <w:t xml:space="preserve"> survey </w:t>
      </w:r>
      <w:r w:rsidR="007F3D90">
        <w:rPr>
          <w:rFonts w:ascii="Times New Roman" w:hAnsi="Times New Roman" w:cs="Times New Roman"/>
          <w:sz w:val="20"/>
        </w:rPr>
        <w:t xml:space="preserve">or environmental impact assessment </w:t>
      </w:r>
      <w:r w:rsidR="00D65240">
        <w:rPr>
          <w:rFonts w:ascii="Times New Roman" w:hAnsi="Times New Roman" w:cs="Times New Roman"/>
          <w:sz w:val="20"/>
        </w:rPr>
        <w:t>in case of many nuclear power</w:t>
      </w:r>
      <w:r w:rsidRPr="006644B6">
        <w:rPr>
          <w:rFonts w:ascii="Times New Roman" w:hAnsi="Times New Roman" w:cs="Times New Roman"/>
          <w:sz w:val="20"/>
        </w:rPr>
        <w:t xml:space="preserve"> projects requires entering the somebody else’s property (real estate). Lack of the owner's approval may result with delays in conducting site survey with po</w:t>
      </w:r>
      <w:r w:rsidR="00D65240">
        <w:rPr>
          <w:rFonts w:ascii="Times New Roman" w:hAnsi="Times New Roman" w:cs="Times New Roman"/>
          <w:sz w:val="20"/>
        </w:rPr>
        <w:t>ssible significant impact on nuclear power</w:t>
      </w:r>
      <w:r w:rsidRPr="006644B6">
        <w:rPr>
          <w:rFonts w:ascii="Times New Roman" w:hAnsi="Times New Roman" w:cs="Times New Roman"/>
          <w:sz w:val="20"/>
        </w:rPr>
        <w:t xml:space="preserve"> project timeline. To reduce this risk the investor may, </w:t>
      </w:r>
      <w:r w:rsidR="007F3D90">
        <w:rPr>
          <w:rFonts w:ascii="Times New Roman" w:hAnsi="Times New Roman" w:cs="Times New Roman"/>
          <w:sz w:val="20"/>
        </w:rPr>
        <w:t xml:space="preserve">pursuant to article 11 of the NISA, </w:t>
      </w:r>
      <w:r w:rsidRPr="006644B6">
        <w:rPr>
          <w:rFonts w:ascii="Times New Roman" w:hAnsi="Times New Roman" w:cs="Times New Roman"/>
          <w:sz w:val="20"/>
        </w:rPr>
        <w:t>submit applicatio</w:t>
      </w:r>
      <w:r w:rsidR="00945901">
        <w:rPr>
          <w:rFonts w:ascii="Times New Roman" w:hAnsi="Times New Roman" w:cs="Times New Roman"/>
          <w:sz w:val="20"/>
        </w:rPr>
        <w:t xml:space="preserve">n to </w:t>
      </w:r>
      <w:r w:rsidR="007F3D90">
        <w:rPr>
          <w:rFonts w:ascii="Times New Roman" w:hAnsi="Times New Roman" w:cs="Times New Roman"/>
          <w:sz w:val="20"/>
        </w:rPr>
        <w:t xml:space="preserve">the </w:t>
      </w:r>
      <w:r w:rsidR="00945901">
        <w:rPr>
          <w:rFonts w:ascii="Times New Roman" w:hAnsi="Times New Roman" w:cs="Times New Roman"/>
          <w:sz w:val="20"/>
        </w:rPr>
        <w:t>Province Governor</w:t>
      </w:r>
      <w:r w:rsidRPr="006644B6">
        <w:rPr>
          <w:rFonts w:ascii="Times New Roman" w:hAnsi="Times New Roman" w:cs="Times New Roman"/>
          <w:sz w:val="20"/>
        </w:rPr>
        <w:t xml:space="preserve"> for „permit to enter the property”.  This permit allows investor to enter </w:t>
      </w:r>
      <w:r w:rsidR="00A12ABD">
        <w:rPr>
          <w:rFonts w:ascii="Times New Roman" w:hAnsi="Times New Roman" w:cs="Times New Roman"/>
          <w:sz w:val="20"/>
        </w:rPr>
        <w:t>the</w:t>
      </w:r>
      <w:r w:rsidRPr="006644B6">
        <w:rPr>
          <w:rFonts w:ascii="Times New Roman" w:hAnsi="Times New Roman" w:cs="Times New Roman"/>
          <w:sz w:val="20"/>
        </w:rPr>
        <w:t xml:space="preserve"> property to conduct </w:t>
      </w:r>
      <w:r w:rsidR="007F3D90">
        <w:rPr>
          <w:rFonts w:ascii="Times New Roman" w:hAnsi="Times New Roman" w:cs="Times New Roman"/>
          <w:sz w:val="20"/>
        </w:rPr>
        <w:t xml:space="preserve">aforementioned </w:t>
      </w:r>
      <w:r w:rsidRPr="006644B6">
        <w:rPr>
          <w:rFonts w:ascii="Times New Roman" w:hAnsi="Times New Roman" w:cs="Times New Roman"/>
          <w:sz w:val="20"/>
        </w:rPr>
        <w:t xml:space="preserve">activities specified in the </w:t>
      </w:r>
      <w:r w:rsidR="00945901">
        <w:rPr>
          <w:rFonts w:ascii="Times New Roman" w:hAnsi="Times New Roman" w:cs="Times New Roman"/>
          <w:sz w:val="20"/>
        </w:rPr>
        <w:t xml:space="preserve">permit </w:t>
      </w:r>
      <w:r w:rsidRPr="006644B6">
        <w:rPr>
          <w:rFonts w:ascii="Times New Roman" w:hAnsi="Times New Roman" w:cs="Times New Roman"/>
          <w:sz w:val="20"/>
        </w:rPr>
        <w:t>(</w:t>
      </w:r>
      <w:r w:rsidR="00945901">
        <w:rPr>
          <w:rFonts w:ascii="Times New Roman" w:hAnsi="Times New Roman" w:cs="Times New Roman"/>
          <w:sz w:val="20"/>
        </w:rPr>
        <w:t xml:space="preserve">for </w:t>
      </w:r>
      <w:r w:rsidRPr="006644B6">
        <w:rPr>
          <w:rFonts w:ascii="Times New Roman" w:hAnsi="Times New Roman" w:cs="Times New Roman"/>
          <w:sz w:val="20"/>
        </w:rPr>
        <w:t>maximum 5 years). Upon completion of these activities the investor is obliged to restore the site to the previous state and if this is not possible the land owner is entitled to receive compensation.</w:t>
      </w:r>
    </w:p>
    <w:p w:rsidR="006644B6" w:rsidRPr="006644B6" w:rsidRDefault="006644B6" w:rsidP="006644B6">
      <w:pPr>
        <w:autoSpaceDE w:val="0"/>
        <w:autoSpaceDN w:val="0"/>
        <w:adjustRightInd w:val="0"/>
        <w:spacing w:after="0" w:line="240" w:lineRule="auto"/>
        <w:jc w:val="both"/>
        <w:rPr>
          <w:rFonts w:ascii="Times New Roman" w:hAnsi="Times New Roman" w:cs="Times New Roman"/>
          <w:sz w:val="20"/>
          <w:szCs w:val="20"/>
        </w:rPr>
      </w:pPr>
    </w:p>
    <w:p w:rsidR="00973720" w:rsidRPr="00FE0F87" w:rsidRDefault="00945901" w:rsidP="00945901">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 xml:space="preserve">2) </w:t>
      </w:r>
      <w:r w:rsidR="006F0C22" w:rsidRPr="00FE0F87">
        <w:rPr>
          <w:rFonts w:ascii="Times New Roman" w:hAnsi="Times New Roman" w:cs="Times New Roman"/>
          <w:sz w:val="20"/>
          <w:szCs w:val="20"/>
        </w:rPr>
        <w:t>Location decision</w:t>
      </w:r>
    </w:p>
    <w:p w:rsidR="006644B6" w:rsidRDefault="006644B6" w:rsidP="006644B6">
      <w:pPr>
        <w:pStyle w:val="Akapitzlist"/>
        <w:autoSpaceDE w:val="0"/>
        <w:autoSpaceDN w:val="0"/>
        <w:adjustRightInd w:val="0"/>
        <w:spacing w:after="0" w:line="240" w:lineRule="auto"/>
        <w:ind w:left="786"/>
        <w:jc w:val="both"/>
        <w:rPr>
          <w:rFonts w:ascii="Times New Roman" w:hAnsi="Times New Roman" w:cs="Times New Roman"/>
          <w:sz w:val="20"/>
          <w:szCs w:val="20"/>
        </w:rPr>
      </w:pPr>
    </w:p>
    <w:p w:rsidR="00C719E0" w:rsidRPr="00A12ABD" w:rsidRDefault="003E573C" w:rsidP="00A12ABD">
      <w:pPr>
        <w:autoSpaceDE w:val="0"/>
        <w:autoSpaceDN w:val="0"/>
        <w:adjustRightInd w:val="0"/>
        <w:spacing w:after="0" w:line="240" w:lineRule="auto"/>
        <w:ind w:firstLine="426"/>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In some cases acquiring the legal title to real estate (land) where the planned nuclear power facility is to be </w:t>
      </w:r>
      <w:r w:rsidR="005C3CCC">
        <w:rPr>
          <w:rFonts w:ascii="Times New Roman" w:hAnsi="Times New Roman" w:cs="Times New Roman"/>
          <w:sz w:val="20"/>
          <w:szCs w:val="20"/>
        </w:rPr>
        <w:t>sited</w:t>
      </w:r>
      <w:r>
        <w:rPr>
          <w:rFonts w:ascii="Times New Roman" w:hAnsi="Times New Roman" w:cs="Times New Roman"/>
          <w:sz w:val="20"/>
          <w:szCs w:val="20"/>
        </w:rPr>
        <w:t xml:space="preserve"> may lead to various investment delays</w:t>
      </w:r>
      <w:r w:rsidR="005C3CCC">
        <w:rPr>
          <w:rFonts w:ascii="Times New Roman" w:hAnsi="Times New Roman" w:cs="Times New Roman"/>
          <w:sz w:val="20"/>
          <w:szCs w:val="20"/>
        </w:rPr>
        <w:t xml:space="preserve"> or causing other challe</w:t>
      </w:r>
      <w:r>
        <w:rPr>
          <w:rFonts w:ascii="Times New Roman" w:hAnsi="Times New Roman" w:cs="Times New Roman"/>
          <w:sz w:val="20"/>
          <w:szCs w:val="20"/>
        </w:rPr>
        <w:t>nges</w:t>
      </w:r>
      <w:r w:rsidR="005C3CCC">
        <w:rPr>
          <w:rFonts w:ascii="Times New Roman" w:hAnsi="Times New Roman" w:cs="Times New Roman"/>
          <w:sz w:val="20"/>
          <w:szCs w:val="20"/>
        </w:rPr>
        <w:t xml:space="preserve"> to the investor</w:t>
      </w:r>
      <w:r>
        <w:rPr>
          <w:rFonts w:ascii="Times New Roman" w:hAnsi="Times New Roman" w:cs="Times New Roman"/>
          <w:sz w:val="20"/>
          <w:szCs w:val="20"/>
        </w:rPr>
        <w:t xml:space="preserve">. </w:t>
      </w:r>
      <w:r w:rsidR="005C3CCC">
        <w:rPr>
          <w:rFonts w:ascii="Times New Roman" w:hAnsi="Times New Roman" w:cs="Times New Roman"/>
          <w:sz w:val="20"/>
          <w:szCs w:val="20"/>
        </w:rPr>
        <w:t>Nuclear Investment Special Act provides for special arrangements of preventing these risks. According to that Act the investor before applying for the construction lic</w:t>
      </w:r>
      <w:r w:rsidR="005C3CCC" w:rsidRPr="00A12ABD">
        <w:rPr>
          <w:rFonts w:ascii="Times New Roman" w:hAnsi="Times New Roman" w:cs="Times New Roman"/>
          <w:sz w:val="20"/>
          <w:szCs w:val="20"/>
        </w:rPr>
        <w:t xml:space="preserve">ence must obtain the </w:t>
      </w:r>
      <w:r w:rsidR="00812AEE" w:rsidRPr="00A12ABD">
        <w:rPr>
          <w:rFonts w:ascii="Times New Roman" w:hAnsi="Times New Roman" w:cs="Times New Roman"/>
          <w:sz w:val="20"/>
          <w:szCs w:val="20"/>
        </w:rPr>
        <w:t>„</w:t>
      </w:r>
      <w:r w:rsidR="005C3CCC" w:rsidRPr="00A12ABD">
        <w:rPr>
          <w:rFonts w:ascii="Times New Roman" w:hAnsi="Times New Roman" w:cs="Times New Roman"/>
          <w:sz w:val="20"/>
          <w:szCs w:val="20"/>
        </w:rPr>
        <w:t>location decison</w:t>
      </w:r>
      <w:r w:rsidR="00812AEE" w:rsidRPr="00A12ABD">
        <w:rPr>
          <w:rFonts w:ascii="Times New Roman" w:hAnsi="Times New Roman" w:cs="Times New Roman"/>
          <w:sz w:val="20"/>
          <w:szCs w:val="20"/>
        </w:rPr>
        <w:t>” (permit)</w:t>
      </w:r>
      <w:r w:rsidR="005C3CCC" w:rsidRPr="00A12ABD">
        <w:rPr>
          <w:rFonts w:ascii="Times New Roman" w:hAnsi="Times New Roman" w:cs="Times New Roman"/>
          <w:sz w:val="20"/>
          <w:szCs w:val="20"/>
        </w:rPr>
        <w:t xml:space="preserve"> issued by the Province Governor. </w:t>
      </w:r>
      <w:r w:rsidR="00812AEE" w:rsidRPr="00A12ABD">
        <w:rPr>
          <w:rFonts w:ascii="Times New Roman" w:hAnsi="Times New Roman" w:cs="Times New Roman"/>
          <w:sz w:val="20"/>
          <w:szCs w:val="20"/>
        </w:rPr>
        <w:t>In the application for the „location decision” the investor specifies among others the boundaries of the site and indicates the real estate that are not own</w:t>
      </w:r>
      <w:r w:rsidR="00D65240">
        <w:rPr>
          <w:rFonts w:ascii="Times New Roman" w:hAnsi="Times New Roman" w:cs="Times New Roman"/>
          <w:sz w:val="20"/>
          <w:szCs w:val="20"/>
        </w:rPr>
        <w:t xml:space="preserve">ed by him. </w:t>
      </w:r>
      <w:r w:rsidR="00812AEE" w:rsidRPr="00A12ABD">
        <w:rPr>
          <w:rFonts w:ascii="Times New Roman" w:hAnsi="Times New Roman" w:cs="Times New Roman"/>
          <w:sz w:val="20"/>
          <w:szCs w:val="20"/>
        </w:rPr>
        <w:t xml:space="preserve">The </w:t>
      </w:r>
      <w:r w:rsidR="00812AEE" w:rsidRPr="00A12ABD">
        <w:rPr>
          <w:rFonts w:ascii="Times New Roman" w:hAnsi="Times New Roman" w:cs="Times New Roman"/>
          <w:color w:val="000000"/>
          <w:sz w:val="20"/>
          <w:szCs w:val="20"/>
          <w:shd w:val="clear" w:color="auto" w:fill="FFFFFF"/>
        </w:rPr>
        <w:t xml:space="preserve">decision gives the </w:t>
      </w:r>
      <w:r w:rsidR="00A12ABD">
        <w:rPr>
          <w:rFonts w:ascii="Times New Roman" w:hAnsi="Times New Roman" w:cs="Times New Roman"/>
          <w:color w:val="000000"/>
          <w:sz w:val="20"/>
          <w:szCs w:val="20"/>
          <w:shd w:val="clear" w:color="auto" w:fill="FFFFFF"/>
        </w:rPr>
        <w:t>investor</w:t>
      </w:r>
      <w:r w:rsidR="00812AEE" w:rsidRPr="00A12ABD">
        <w:rPr>
          <w:rFonts w:ascii="Times New Roman" w:hAnsi="Times New Roman" w:cs="Times New Roman"/>
          <w:color w:val="000000"/>
          <w:sz w:val="20"/>
          <w:szCs w:val="20"/>
          <w:shd w:val="clear" w:color="auto" w:fill="FFFFFF"/>
        </w:rPr>
        <w:t xml:space="preserve"> the legal title  to acquire necessary land for the need of construction of a planned nuclear facility under special mechanism </w:t>
      </w:r>
      <w:r w:rsidR="00A12ABD" w:rsidRPr="00A12ABD">
        <w:rPr>
          <w:rFonts w:ascii="Times New Roman" w:hAnsi="Times New Roman" w:cs="Times New Roman"/>
          <w:color w:val="000000"/>
          <w:sz w:val="20"/>
          <w:szCs w:val="20"/>
          <w:shd w:val="clear" w:color="auto" w:fill="FFFFFF"/>
        </w:rPr>
        <w:t>specified in NISA</w:t>
      </w:r>
      <w:r w:rsidR="00812AEE" w:rsidRPr="00A12ABD">
        <w:rPr>
          <w:rFonts w:ascii="Times New Roman" w:hAnsi="Times New Roman" w:cs="Times New Roman"/>
          <w:color w:val="000000"/>
          <w:sz w:val="20"/>
          <w:szCs w:val="20"/>
          <w:shd w:val="clear" w:color="auto" w:fill="FFFFFF"/>
        </w:rPr>
        <w:t>.</w:t>
      </w:r>
      <w:r w:rsidR="00A12ABD" w:rsidRPr="00A12ABD">
        <w:rPr>
          <w:rFonts w:ascii="Times New Roman" w:hAnsi="Times New Roman" w:cs="Times New Roman"/>
          <w:color w:val="000000"/>
          <w:sz w:val="20"/>
          <w:szCs w:val="20"/>
          <w:shd w:val="clear" w:color="auto" w:fill="FFFFFF"/>
        </w:rPr>
        <w:t xml:space="preserve"> The „location  decision” set forth also conditions for nuclear project implementation, including technical, environmental, conservation, and fire protection considerations.</w:t>
      </w:r>
      <w:r w:rsidR="00A12ABD">
        <w:rPr>
          <w:rFonts w:ascii="Times New Roman" w:hAnsi="Times New Roman" w:cs="Times New Roman"/>
          <w:color w:val="000000"/>
          <w:sz w:val="20"/>
          <w:szCs w:val="20"/>
          <w:shd w:val="clear" w:color="auto" w:fill="FFFFFF"/>
        </w:rPr>
        <w:t xml:space="preserve">  </w:t>
      </w:r>
    </w:p>
    <w:p w:rsidR="00C719E0" w:rsidRPr="00AA3E5C" w:rsidRDefault="00C719E0" w:rsidP="006644B6">
      <w:pPr>
        <w:pStyle w:val="Akapitzlist"/>
        <w:autoSpaceDE w:val="0"/>
        <w:autoSpaceDN w:val="0"/>
        <w:adjustRightInd w:val="0"/>
        <w:spacing w:after="0" w:line="240" w:lineRule="auto"/>
        <w:ind w:left="786"/>
        <w:jc w:val="both"/>
        <w:rPr>
          <w:rFonts w:ascii="Times New Roman" w:hAnsi="Times New Roman" w:cs="Times New Roman"/>
          <w:sz w:val="20"/>
          <w:szCs w:val="20"/>
        </w:rPr>
      </w:pPr>
    </w:p>
    <w:p w:rsidR="006F0C22" w:rsidRPr="00FE0F87" w:rsidRDefault="00945901" w:rsidP="00945901">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 xml:space="preserve">3) </w:t>
      </w:r>
      <w:r w:rsidR="006F0C22" w:rsidRPr="00FE0F87">
        <w:rPr>
          <w:rFonts w:ascii="Times New Roman" w:hAnsi="Times New Roman" w:cs="Times New Roman"/>
          <w:sz w:val="20"/>
          <w:szCs w:val="20"/>
        </w:rPr>
        <w:t xml:space="preserve">Permit </w:t>
      </w:r>
      <w:r w:rsidR="00C37701" w:rsidRPr="00FE0F87">
        <w:rPr>
          <w:rFonts w:ascii="Times New Roman" w:hAnsi="Times New Roman" w:cs="Times New Roman"/>
          <w:sz w:val="20"/>
          <w:szCs w:val="20"/>
        </w:rPr>
        <w:t>for preparatory works</w:t>
      </w:r>
    </w:p>
    <w:p w:rsidR="005662DE" w:rsidRDefault="005662DE" w:rsidP="001C7170">
      <w:pPr>
        <w:spacing w:after="0" w:line="240" w:lineRule="auto"/>
        <w:ind w:firstLine="284"/>
        <w:jc w:val="both"/>
        <w:rPr>
          <w:rFonts w:ascii="Times New Roman" w:hAnsi="Times New Roman" w:cs="Times New Roman"/>
          <w:sz w:val="20"/>
          <w:szCs w:val="20"/>
        </w:rPr>
      </w:pPr>
    </w:p>
    <w:p w:rsidR="00BC3EDA" w:rsidRDefault="00DE58D3" w:rsidP="001C7170">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 very time</w:t>
      </w:r>
      <w:r w:rsidR="006644B6" w:rsidRPr="006644B6">
        <w:rPr>
          <w:rFonts w:ascii="Times New Roman" w:hAnsi="Times New Roman" w:cs="Times New Roman"/>
          <w:sz w:val="20"/>
          <w:szCs w:val="20"/>
        </w:rPr>
        <w:t xml:space="preserve"> consuming part of the licensing process for NPPs is preparation of the application for construction licence and its review by the relevant authority. To speed up investment process at that time it is useful to prepare the site in advance before the construction permit is granted</w:t>
      </w:r>
      <w:r>
        <w:rPr>
          <w:rFonts w:ascii="Times New Roman" w:hAnsi="Times New Roman" w:cs="Times New Roman"/>
          <w:sz w:val="20"/>
          <w:szCs w:val="20"/>
        </w:rPr>
        <w:t xml:space="preserve"> [10]</w:t>
      </w:r>
      <w:r w:rsidR="006644B6" w:rsidRPr="006644B6">
        <w:rPr>
          <w:rStyle w:val="Odwoanieprzypisudolnego"/>
          <w:rFonts w:ascii="Times New Roman" w:hAnsi="Times New Roman" w:cs="Times New Roman"/>
          <w:sz w:val="20"/>
          <w:szCs w:val="20"/>
        </w:rPr>
        <w:footnoteReference w:id="3"/>
      </w:r>
      <w:r w:rsidR="006644B6" w:rsidRPr="006644B6">
        <w:rPr>
          <w:rFonts w:ascii="Times New Roman" w:hAnsi="Times New Roman" w:cs="Times New Roman"/>
          <w:sz w:val="20"/>
          <w:szCs w:val="20"/>
        </w:rPr>
        <w:t xml:space="preserve">.  For that purpose, prior to obtaining the construction permit, </w:t>
      </w:r>
      <w:r w:rsidR="006644B6" w:rsidRPr="006644B6">
        <w:rPr>
          <w:rFonts w:ascii="Times New Roman" w:hAnsi="Times New Roman" w:cs="Times New Roman"/>
          <w:bCs/>
          <w:sz w:val="20"/>
          <w:szCs w:val="20"/>
        </w:rPr>
        <w:t>the</w:t>
      </w:r>
      <w:r w:rsidR="006644B6" w:rsidRPr="006644B6">
        <w:rPr>
          <w:rFonts w:ascii="Times New Roman" w:hAnsi="Times New Roman" w:cs="Times New Roman"/>
          <w:sz w:val="20"/>
          <w:szCs w:val="20"/>
        </w:rPr>
        <w:t xml:space="preserve"> investor may submit an application for issuance of </w:t>
      </w:r>
      <w:bookmarkStart w:id="0" w:name="_Hlk136348366"/>
      <w:r w:rsidR="006644B6" w:rsidRPr="006644B6">
        <w:rPr>
          <w:rFonts w:ascii="Times New Roman" w:hAnsi="Times New Roman" w:cs="Times New Roman"/>
          <w:sz w:val="20"/>
          <w:szCs w:val="20"/>
        </w:rPr>
        <w:t>a permit for preparatory works</w:t>
      </w:r>
      <w:bookmarkEnd w:id="0"/>
      <w:r w:rsidR="006644B6" w:rsidRPr="006644B6">
        <w:rPr>
          <w:rFonts w:ascii="Times New Roman" w:hAnsi="Times New Roman" w:cs="Times New Roman"/>
          <w:sz w:val="20"/>
          <w:szCs w:val="20"/>
        </w:rPr>
        <w:t xml:space="preserve">. This permision allows investor to conduct following </w:t>
      </w:r>
      <w:r w:rsidR="00945901">
        <w:rPr>
          <w:rFonts w:ascii="Times New Roman" w:hAnsi="Times New Roman" w:cs="Times New Roman"/>
          <w:sz w:val="20"/>
          <w:szCs w:val="20"/>
        </w:rPr>
        <w:t xml:space="preserve">activities to prepare the site: </w:t>
      </w:r>
    </w:p>
    <w:p w:rsidR="00BC3EDA" w:rsidRDefault="006644B6" w:rsidP="00BC3EDA">
      <w:pPr>
        <w:pStyle w:val="Akapitzlist"/>
        <w:numPr>
          <w:ilvl w:val="0"/>
          <w:numId w:val="24"/>
        </w:numPr>
        <w:spacing w:after="0" w:line="240" w:lineRule="auto"/>
        <w:jc w:val="both"/>
        <w:rPr>
          <w:rFonts w:ascii="Times New Roman" w:hAnsi="Times New Roman" w:cs="Times New Roman"/>
          <w:sz w:val="20"/>
          <w:szCs w:val="20"/>
        </w:rPr>
      </w:pPr>
      <w:r w:rsidRPr="00BC3EDA">
        <w:rPr>
          <w:rFonts w:ascii="Times New Roman" w:hAnsi="Times New Roman" w:cs="Times New Roman"/>
          <w:sz w:val="20"/>
          <w:szCs w:val="20"/>
        </w:rPr>
        <w:t xml:space="preserve">surveying works, land levelling, management of the construction site together with </w:t>
      </w:r>
      <w:r w:rsidR="009D1453">
        <w:rPr>
          <w:rFonts w:ascii="Times New Roman" w:hAnsi="Times New Roman" w:cs="Times New Roman"/>
          <w:sz w:val="20"/>
          <w:szCs w:val="20"/>
        </w:rPr>
        <w:t xml:space="preserve">building temporary  </w:t>
      </w:r>
      <w:r w:rsidRPr="00BC3EDA">
        <w:rPr>
          <w:rFonts w:ascii="Times New Roman" w:hAnsi="Times New Roman" w:cs="Times New Roman"/>
          <w:sz w:val="20"/>
          <w:szCs w:val="20"/>
        </w:rPr>
        <w:t xml:space="preserve">facilities </w:t>
      </w:r>
      <w:bookmarkStart w:id="1" w:name="_Hlk136004091"/>
      <w:r w:rsidR="00945901" w:rsidRPr="00BC3EDA">
        <w:rPr>
          <w:rFonts w:ascii="Times New Roman" w:hAnsi="Times New Roman" w:cs="Times New Roman"/>
          <w:sz w:val="20"/>
          <w:szCs w:val="20"/>
        </w:rPr>
        <w:t>and</w:t>
      </w:r>
      <w:r w:rsidRPr="00BC3EDA">
        <w:rPr>
          <w:rFonts w:ascii="Times New Roman" w:hAnsi="Times New Roman" w:cs="Times New Roman"/>
          <w:sz w:val="20"/>
          <w:szCs w:val="20"/>
        </w:rPr>
        <w:t xml:space="preserve"> other works that do not require a drawing up of an architectural and construction project; </w:t>
      </w:r>
      <w:bookmarkEnd w:id="1"/>
      <w:r w:rsidR="00945901" w:rsidRPr="00BC3EDA">
        <w:rPr>
          <w:rFonts w:ascii="Times New Roman" w:hAnsi="Times New Roman" w:cs="Times New Roman"/>
          <w:sz w:val="20"/>
          <w:szCs w:val="20"/>
        </w:rPr>
        <w:t xml:space="preserve"> </w:t>
      </w:r>
    </w:p>
    <w:p w:rsidR="00BC3EDA" w:rsidRDefault="006644B6" w:rsidP="00BC3EDA">
      <w:pPr>
        <w:pStyle w:val="Akapitzlist"/>
        <w:numPr>
          <w:ilvl w:val="0"/>
          <w:numId w:val="24"/>
        </w:numPr>
        <w:spacing w:after="0" w:line="240" w:lineRule="auto"/>
        <w:jc w:val="both"/>
        <w:rPr>
          <w:rFonts w:ascii="Times New Roman" w:hAnsi="Times New Roman" w:cs="Times New Roman"/>
          <w:sz w:val="20"/>
          <w:szCs w:val="20"/>
        </w:rPr>
      </w:pPr>
      <w:r w:rsidRPr="00BC3EDA">
        <w:rPr>
          <w:rFonts w:ascii="Times New Roman" w:hAnsi="Times New Roman" w:cs="Times New Roman"/>
          <w:sz w:val="20"/>
          <w:szCs w:val="20"/>
        </w:rPr>
        <w:t>demolition of existing above-ground and under</w:t>
      </w:r>
      <w:r w:rsidR="00945901" w:rsidRPr="00BC3EDA">
        <w:rPr>
          <w:rFonts w:ascii="Times New Roman" w:hAnsi="Times New Roman" w:cs="Times New Roman"/>
          <w:sz w:val="20"/>
          <w:szCs w:val="20"/>
        </w:rPr>
        <w:t xml:space="preserve">ground construction facilities; </w:t>
      </w:r>
    </w:p>
    <w:p w:rsidR="006644B6" w:rsidRPr="00BC3EDA" w:rsidRDefault="006644B6" w:rsidP="00BC3EDA">
      <w:pPr>
        <w:pStyle w:val="Akapitzlist"/>
        <w:numPr>
          <w:ilvl w:val="0"/>
          <w:numId w:val="24"/>
        </w:numPr>
        <w:spacing w:after="0" w:line="240" w:lineRule="auto"/>
        <w:jc w:val="both"/>
        <w:rPr>
          <w:rFonts w:ascii="Times New Roman" w:hAnsi="Times New Roman" w:cs="Times New Roman"/>
          <w:sz w:val="20"/>
          <w:szCs w:val="20"/>
        </w:rPr>
      </w:pPr>
      <w:r w:rsidRPr="00BC3EDA">
        <w:rPr>
          <w:rFonts w:ascii="Times New Roman" w:hAnsi="Times New Roman" w:cs="Times New Roman"/>
          <w:sz w:val="20"/>
          <w:szCs w:val="20"/>
        </w:rPr>
        <w:t>removal of trees or shrubs located on the real estate</w:t>
      </w:r>
      <w:r w:rsidR="00973720" w:rsidRPr="00BC3EDA">
        <w:rPr>
          <w:rFonts w:ascii="Times New Roman" w:hAnsi="Times New Roman" w:cs="Times New Roman"/>
          <w:sz w:val="20"/>
          <w:szCs w:val="20"/>
        </w:rPr>
        <w:t>.</w:t>
      </w:r>
    </w:p>
    <w:p w:rsidR="006644B6" w:rsidRPr="006644B6" w:rsidRDefault="006644B6" w:rsidP="006644B6">
      <w:pPr>
        <w:autoSpaceDE w:val="0"/>
        <w:autoSpaceDN w:val="0"/>
        <w:adjustRightInd w:val="0"/>
        <w:spacing w:after="0" w:line="240" w:lineRule="auto"/>
        <w:jc w:val="both"/>
        <w:rPr>
          <w:rFonts w:ascii="Times New Roman" w:hAnsi="Times New Roman" w:cs="Times New Roman"/>
          <w:sz w:val="20"/>
          <w:szCs w:val="20"/>
        </w:rPr>
      </w:pPr>
    </w:p>
    <w:p w:rsidR="006F0C22" w:rsidRPr="00FE0F87" w:rsidRDefault="00945901" w:rsidP="00945901">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4) F</w:t>
      </w:r>
      <w:r w:rsidR="00036923" w:rsidRPr="00FE0F87">
        <w:rPr>
          <w:rFonts w:ascii="Times New Roman" w:hAnsi="Times New Roman" w:cs="Times New Roman"/>
          <w:sz w:val="20"/>
          <w:szCs w:val="20"/>
        </w:rPr>
        <w:t xml:space="preserve">ast-track </w:t>
      </w:r>
      <w:r w:rsidR="006F0C22" w:rsidRPr="00FE0F87">
        <w:rPr>
          <w:rFonts w:ascii="Times New Roman" w:hAnsi="Times New Roman" w:cs="Times New Roman"/>
          <w:sz w:val="20"/>
          <w:szCs w:val="20"/>
        </w:rPr>
        <w:t>access to inf</w:t>
      </w:r>
      <w:r w:rsidR="00DE58D3">
        <w:rPr>
          <w:rFonts w:ascii="Times New Roman" w:hAnsi="Times New Roman" w:cs="Times New Roman"/>
          <w:sz w:val="20"/>
          <w:szCs w:val="20"/>
        </w:rPr>
        <w:t>ormation needed to implement nuclear power</w:t>
      </w:r>
      <w:r w:rsidR="006F0C22" w:rsidRPr="00FE0F87">
        <w:rPr>
          <w:rFonts w:ascii="Times New Roman" w:hAnsi="Times New Roman" w:cs="Times New Roman"/>
          <w:sz w:val="20"/>
          <w:szCs w:val="20"/>
        </w:rPr>
        <w:t xml:space="preserve"> project</w:t>
      </w:r>
    </w:p>
    <w:p w:rsidR="006D458C" w:rsidRPr="009D1453" w:rsidRDefault="006D458C" w:rsidP="006D458C">
      <w:pPr>
        <w:pStyle w:val="Akapitzlist"/>
        <w:autoSpaceDE w:val="0"/>
        <w:autoSpaceDN w:val="0"/>
        <w:adjustRightInd w:val="0"/>
        <w:spacing w:after="0" w:line="240" w:lineRule="auto"/>
        <w:ind w:left="786"/>
        <w:jc w:val="both"/>
        <w:rPr>
          <w:rFonts w:ascii="Times New Roman" w:hAnsi="Times New Roman" w:cs="Times New Roman"/>
          <w:sz w:val="20"/>
          <w:szCs w:val="20"/>
          <w:u w:val="single"/>
        </w:rPr>
      </w:pPr>
    </w:p>
    <w:p w:rsidR="00036923" w:rsidRPr="009D1453" w:rsidRDefault="009D1453" w:rsidP="009D1453">
      <w:pPr>
        <w:pStyle w:val="ZARTzmartartykuempunktem"/>
        <w:spacing w:line="240" w:lineRule="auto"/>
        <w:ind w:left="0" w:firstLine="360"/>
        <w:rPr>
          <w:rFonts w:ascii="Times New Roman" w:hAnsi="Times New Roman" w:cs="Times New Roman"/>
          <w:sz w:val="20"/>
        </w:rPr>
      </w:pPr>
      <w:r>
        <w:rPr>
          <w:rFonts w:ascii="Times New Roman" w:hAnsi="Times New Roman" w:cs="Times New Roman"/>
          <w:sz w:val="20"/>
        </w:rPr>
        <w:t xml:space="preserve">Implementation of a nuclear power project </w:t>
      </w:r>
      <w:r w:rsidR="00036923" w:rsidRPr="009D1453">
        <w:rPr>
          <w:rFonts w:ascii="Times New Roman" w:hAnsi="Times New Roman" w:cs="Times New Roman"/>
          <w:sz w:val="20"/>
        </w:rPr>
        <w:t>requires</w:t>
      </w:r>
      <w:r w:rsidR="005208AE">
        <w:rPr>
          <w:rFonts w:ascii="Times New Roman" w:hAnsi="Times New Roman" w:cs="Times New Roman"/>
          <w:sz w:val="20"/>
        </w:rPr>
        <w:t xml:space="preserve"> </w:t>
      </w:r>
      <w:r w:rsidR="00036923" w:rsidRPr="009D1453">
        <w:rPr>
          <w:rFonts w:ascii="Times New Roman" w:hAnsi="Times New Roman" w:cs="Times New Roman"/>
          <w:sz w:val="20"/>
        </w:rPr>
        <w:t xml:space="preserve">often a large volumes of data (e.g. with regards to meteorology, </w:t>
      </w:r>
      <w:r w:rsidR="005208AE">
        <w:rPr>
          <w:rFonts w:ascii="Times New Roman" w:hAnsi="Times New Roman" w:cs="Times New Roman"/>
          <w:sz w:val="20"/>
        </w:rPr>
        <w:t xml:space="preserve">geology </w:t>
      </w:r>
      <w:r w:rsidR="00036923" w:rsidRPr="009D1453">
        <w:rPr>
          <w:rFonts w:ascii="Times New Roman" w:hAnsi="Times New Roman" w:cs="Times New Roman"/>
          <w:sz w:val="20"/>
        </w:rPr>
        <w:t>etc.)</w:t>
      </w:r>
      <w:r w:rsidR="005208AE">
        <w:rPr>
          <w:rFonts w:ascii="Times New Roman" w:hAnsi="Times New Roman" w:cs="Times New Roman"/>
          <w:sz w:val="20"/>
        </w:rPr>
        <w:t xml:space="preserve"> </w:t>
      </w:r>
      <w:r w:rsidR="00036923" w:rsidRPr="009D1453">
        <w:rPr>
          <w:rFonts w:ascii="Times New Roman" w:hAnsi="Times New Roman" w:cs="Times New Roman"/>
          <w:sz w:val="20"/>
        </w:rPr>
        <w:t>that might be in possession of relevant public entities. Gaining access to such data</w:t>
      </w:r>
      <w:r w:rsidR="005208AE">
        <w:rPr>
          <w:rFonts w:ascii="Times New Roman" w:hAnsi="Times New Roman" w:cs="Times New Roman"/>
          <w:sz w:val="20"/>
        </w:rPr>
        <w:t xml:space="preserve"> </w:t>
      </w:r>
      <w:r w:rsidR="00036923" w:rsidRPr="009D1453">
        <w:rPr>
          <w:rFonts w:ascii="Times New Roman" w:hAnsi="Times New Roman" w:cs="Times New Roman"/>
          <w:sz w:val="20"/>
        </w:rPr>
        <w:t>in some cases may be limited</w:t>
      </w:r>
      <w:r w:rsidR="005208AE">
        <w:rPr>
          <w:rFonts w:ascii="Times New Roman" w:hAnsi="Times New Roman" w:cs="Times New Roman"/>
          <w:sz w:val="20"/>
        </w:rPr>
        <w:t xml:space="preserve"> or time consuming causing various delays e.g. in conducting site survey</w:t>
      </w:r>
      <w:r w:rsidR="00036923" w:rsidRPr="009D1453">
        <w:rPr>
          <w:rFonts w:ascii="Times New Roman" w:hAnsi="Times New Roman" w:cs="Times New Roman"/>
          <w:sz w:val="20"/>
        </w:rPr>
        <w:t xml:space="preserve">. To prevent these risks </w:t>
      </w:r>
      <w:r w:rsidRPr="009D1453">
        <w:rPr>
          <w:rFonts w:ascii="Times New Roman" w:hAnsi="Times New Roman" w:cs="Times New Roman"/>
          <w:sz w:val="20"/>
        </w:rPr>
        <w:t>pursuant to</w:t>
      </w:r>
      <w:r w:rsidR="00036923" w:rsidRPr="009D1453">
        <w:rPr>
          <w:rFonts w:ascii="Times New Roman" w:hAnsi="Times New Roman" w:cs="Times New Roman"/>
          <w:sz w:val="20"/>
        </w:rPr>
        <w:t xml:space="preserve"> ar</w:t>
      </w:r>
      <w:r w:rsidRPr="009D1453">
        <w:rPr>
          <w:rFonts w:ascii="Times New Roman" w:hAnsi="Times New Roman" w:cs="Times New Roman"/>
          <w:sz w:val="20"/>
        </w:rPr>
        <w:t>t</w:t>
      </w:r>
      <w:r w:rsidR="00036923" w:rsidRPr="009D1453">
        <w:rPr>
          <w:rFonts w:ascii="Times New Roman" w:hAnsi="Times New Roman" w:cs="Times New Roman"/>
          <w:sz w:val="20"/>
        </w:rPr>
        <w:t xml:space="preserve">icle 21a of NISA all public administration authorities, their supervised and subordinate units, commercial law companies being state legal persons </w:t>
      </w:r>
      <w:r w:rsidRPr="009D1453">
        <w:rPr>
          <w:rFonts w:ascii="Times New Roman" w:hAnsi="Times New Roman" w:cs="Times New Roman"/>
          <w:sz w:val="20"/>
        </w:rPr>
        <w:t>a</w:t>
      </w:r>
      <w:r w:rsidR="00036923" w:rsidRPr="009D1453">
        <w:rPr>
          <w:rFonts w:ascii="Times New Roman" w:hAnsi="Times New Roman" w:cs="Times New Roman"/>
          <w:sz w:val="20"/>
        </w:rPr>
        <w:t>re obliged to share with the investor, free of charge</w:t>
      </w:r>
      <w:r w:rsidRPr="009D1453">
        <w:rPr>
          <w:rFonts w:ascii="Times New Roman" w:hAnsi="Times New Roman" w:cs="Times New Roman"/>
          <w:sz w:val="20"/>
        </w:rPr>
        <w:t xml:space="preserve"> and within 30 days</w:t>
      </w:r>
      <w:r w:rsidR="00036923" w:rsidRPr="009D1453">
        <w:rPr>
          <w:rFonts w:ascii="Times New Roman" w:hAnsi="Times New Roman" w:cs="Times New Roman"/>
          <w:sz w:val="20"/>
        </w:rPr>
        <w:t xml:space="preserve">, information and data possessed by them, also in the form of a digital data collections, indispensable for the investor to </w:t>
      </w:r>
      <w:r w:rsidRPr="009D1453">
        <w:rPr>
          <w:rFonts w:ascii="Times New Roman" w:hAnsi="Times New Roman" w:cs="Times New Roman"/>
          <w:sz w:val="20"/>
        </w:rPr>
        <w:t>carry out actions</w:t>
      </w:r>
      <w:r w:rsidR="00036923" w:rsidRPr="009D1453">
        <w:rPr>
          <w:rFonts w:ascii="Times New Roman" w:hAnsi="Times New Roman" w:cs="Times New Roman"/>
          <w:sz w:val="20"/>
        </w:rPr>
        <w:t xml:space="preserve"> with regard to construction of a nuclear power facilit</w:t>
      </w:r>
      <w:r w:rsidR="005208AE">
        <w:rPr>
          <w:rFonts w:ascii="Times New Roman" w:hAnsi="Times New Roman" w:cs="Times New Roman"/>
          <w:sz w:val="20"/>
        </w:rPr>
        <w:t xml:space="preserve">y and accompanying investments. </w:t>
      </w:r>
      <w:r>
        <w:rPr>
          <w:rFonts w:ascii="Times New Roman" w:hAnsi="Times New Roman" w:cs="Times New Roman"/>
          <w:sz w:val="20"/>
        </w:rPr>
        <w:t xml:space="preserve">The application is submitted to the relevant entity via Ministry of Industry. </w:t>
      </w:r>
      <w:r w:rsidRPr="009D1453">
        <w:rPr>
          <w:rFonts w:ascii="Times New Roman" w:hAnsi="Times New Roman" w:cs="Times New Roman"/>
          <w:sz w:val="20"/>
        </w:rPr>
        <w:t>The mechanisms for this are outlined</w:t>
      </w:r>
      <w:r>
        <w:rPr>
          <w:rFonts w:ascii="Times New Roman" w:hAnsi="Times New Roman" w:cs="Times New Roman"/>
          <w:sz w:val="20"/>
        </w:rPr>
        <w:t xml:space="preserve"> in the implementing regulations</w:t>
      </w:r>
      <w:r w:rsidRPr="009D1453">
        <w:rPr>
          <w:rFonts w:ascii="Times New Roman" w:hAnsi="Times New Roman" w:cs="Times New Roman"/>
          <w:sz w:val="20"/>
        </w:rPr>
        <w:t>.</w:t>
      </w:r>
    </w:p>
    <w:p w:rsidR="00036923" w:rsidRDefault="00036923" w:rsidP="00A12ABD">
      <w:pPr>
        <w:autoSpaceDE w:val="0"/>
        <w:autoSpaceDN w:val="0"/>
        <w:adjustRightInd w:val="0"/>
        <w:spacing w:after="0" w:line="240" w:lineRule="auto"/>
        <w:jc w:val="both"/>
        <w:rPr>
          <w:rFonts w:ascii="Times New Roman" w:hAnsi="Times New Roman" w:cs="Times New Roman"/>
          <w:sz w:val="20"/>
          <w:szCs w:val="20"/>
          <w:highlight w:val="yellow"/>
          <w:u w:val="single"/>
        </w:rPr>
      </w:pPr>
    </w:p>
    <w:p w:rsidR="006F0C22" w:rsidRPr="00FE0F87" w:rsidRDefault="00945901" w:rsidP="00945901">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5)</w:t>
      </w:r>
      <w:r w:rsidR="005208AE" w:rsidRPr="00FE0F87">
        <w:rPr>
          <w:rFonts w:ascii="Times New Roman" w:hAnsi="Times New Roman" w:cs="Times New Roman"/>
          <w:sz w:val="20"/>
          <w:szCs w:val="20"/>
        </w:rPr>
        <w:t xml:space="preserve"> Administrative</w:t>
      </w:r>
      <w:r w:rsidRPr="00FE0F87">
        <w:rPr>
          <w:rFonts w:ascii="Times New Roman" w:hAnsi="Times New Roman" w:cs="Times New Roman"/>
          <w:sz w:val="20"/>
          <w:szCs w:val="20"/>
        </w:rPr>
        <w:t xml:space="preserve"> </w:t>
      </w:r>
      <w:r w:rsidR="005208AE" w:rsidRPr="00FE0F87">
        <w:rPr>
          <w:rFonts w:ascii="Times New Roman" w:hAnsi="Times New Roman" w:cs="Times New Roman"/>
          <w:sz w:val="20"/>
          <w:szCs w:val="20"/>
        </w:rPr>
        <w:t>fast-t</w:t>
      </w:r>
      <w:r w:rsidR="006F0C22" w:rsidRPr="00FE0F87">
        <w:rPr>
          <w:rFonts w:ascii="Times New Roman" w:hAnsi="Times New Roman" w:cs="Times New Roman"/>
          <w:sz w:val="20"/>
          <w:szCs w:val="20"/>
        </w:rPr>
        <w:t>rack to construct auxilliary infrastructure</w:t>
      </w:r>
    </w:p>
    <w:p w:rsidR="006F0C22" w:rsidRDefault="006F0C22" w:rsidP="006F0C22">
      <w:pPr>
        <w:autoSpaceDE w:val="0"/>
        <w:autoSpaceDN w:val="0"/>
        <w:adjustRightInd w:val="0"/>
        <w:spacing w:after="0" w:line="240" w:lineRule="auto"/>
        <w:jc w:val="both"/>
        <w:rPr>
          <w:rFonts w:ascii="Times New Roman" w:hAnsi="Times New Roman" w:cs="Times New Roman"/>
          <w:sz w:val="20"/>
          <w:szCs w:val="20"/>
          <w:u w:val="single"/>
        </w:rPr>
      </w:pPr>
    </w:p>
    <w:p w:rsidR="00DA6747" w:rsidRPr="00AA3E5C" w:rsidRDefault="005208AE" w:rsidP="006F0C22">
      <w:pPr>
        <w:autoSpaceDE w:val="0"/>
        <w:autoSpaceDN w:val="0"/>
        <w:adjustRightInd w:val="0"/>
        <w:spacing w:after="0" w:line="240" w:lineRule="auto"/>
        <w:jc w:val="both"/>
        <w:rPr>
          <w:rFonts w:ascii="Times New Roman" w:hAnsi="Times New Roman" w:cs="Times New Roman"/>
          <w:sz w:val="20"/>
          <w:szCs w:val="20"/>
        </w:rPr>
      </w:pPr>
      <w:r w:rsidRPr="005208AE">
        <w:rPr>
          <w:rFonts w:ascii="Times New Roman" w:hAnsi="Times New Roman" w:cs="Times New Roman"/>
          <w:sz w:val="20"/>
          <w:szCs w:val="20"/>
        </w:rPr>
        <w:t xml:space="preserve">Construction of a nuclear power plant in many cases (e.g. green-field projects) require construction also of the necessary </w:t>
      </w:r>
      <w:r w:rsidR="00114085">
        <w:rPr>
          <w:rFonts w:ascii="Times New Roman" w:hAnsi="Times New Roman" w:cs="Times New Roman"/>
          <w:sz w:val="20"/>
          <w:szCs w:val="20"/>
        </w:rPr>
        <w:t xml:space="preserve">massive </w:t>
      </w:r>
      <w:r w:rsidRPr="005208AE">
        <w:rPr>
          <w:rFonts w:ascii="Times New Roman" w:hAnsi="Times New Roman" w:cs="Times New Roman"/>
          <w:sz w:val="20"/>
          <w:szCs w:val="20"/>
        </w:rPr>
        <w:t xml:space="preserve">auxilliary infrastructure such as energy lines, technical </w:t>
      </w:r>
      <w:r>
        <w:rPr>
          <w:rFonts w:ascii="Times New Roman" w:hAnsi="Times New Roman" w:cs="Times New Roman"/>
          <w:sz w:val="20"/>
          <w:szCs w:val="20"/>
        </w:rPr>
        <w:t>road</w:t>
      </w:r>
      <w:r w:rsidR="00114085">
        <w:rPr>
          <w:rFonts w:ascii="Times New Roman" w:hAnsi="Times New Roman" w:cs="Times New Roman"/>
          <w:sz w:val="20"/>
          <w:szCs w:val="20"/>
        </w:rPr>
        <w:t>s</w:t>
      </w:r>
      <w:r>
        <w:rPr>
          <w:rFonts w:ascii="Times New Roman" w:hAnsi="Times New Roman" w:cs="Times New Roman"/>
          <w:sz w:val="20"/>
          <w:szCs w:val="20"/>
        </w:rPr>
        <w:t>,</w:t>
      </w:r>
      <w:r w:rsidR="00114085">
        <w:rPr>
          <w:rFonts w:ascii="Times New Roman" w:hAnsi="Times New Roman" w:cs="Times New Roman"/>
          <w:sz w:val="20"/>
          <w:szCs w:val="20"/>
        </w:rPr>
        <w:t xml:space="preserve"> railways,</w:t>
      </w:r>
      <w:r>
        <w:rPr>
          <w:rFonts w:ascii="Times New Roman" w:hAnsi="Times New Roman" w:cs="Times New Roman"/>
          <w:sz w:val="20"/>
          <w:szCs w:val="20"/>
        </w:rPr>
        <w:t xml:space="preserve"> </w:t>
      </w:r>
      <w:r w:rsidR="00114085">
        <w:rPr>
          <w:rFonts w:ascii="Times New Roman" w:hAnsi="Times New Roman" w:cs="Times New Roman"/>
          <w:sz w:val="20"/>
          <w:szCs w:val="20"/>
        </w:rPr>
        <w:t xml:space="preserve">hydrotechnical infrastructure, gas networks etc. Any delays in developing such infrastructure may lead to the delays </w:t>
      </w:r>
      <w:r w:rsidR="00DA6747">
        <w:rPr>
          <w:rFonts w:ascii="Times New Roman" w:hAnsi="Times New Roman" w:cs="Times New Roman"/>
          <w:sz w:val="20"/>
          <w:szCs w:val="20"/>
        </w:rPr>
        <w:t xml:space="preserve">and cost </w:t>
      </w:r>
      <w:r w:rsidR="00DA6747">
        <w:rPr>
          <w:rFonts w:ascii="Times New Roman" w:hAnsi="Times New Roman" w:cs="Times New Roman"/>
          <w:sz w:val="20"/>
          <w:szCs w:val="20"/>
        </w:rPr>
        <w:lastRenderedPageBreak/>
        <w:t xml:space="preserve">overruns </w:t>
      </w:r>
      <w:r w:rsidR="00114085">
        <w:rPr>
          <w:rFonts w:ascii="Times New Roman" w:hAnsi="Times New Roman" w:cs="Times New Roman"/>
          <w:sz w:val="20"/>
          <w:szCs w:val="20"/>
        </w:rPr>
        <w:t xml:space="preserve">of </w:t>
      </w:r>
      <w:r w:rsidR="00DA6747">
        <w:rPr>
          <w:rFonts w:ascii="Times New Roman" w:hAnsi="Times New Roman" w:cs="Times New Roman"/>
          <w:sz w:val="20"/>
          <w:szCs w:val="20"/>
        </w:rPr>
        <w:t xml:space="preserve">construction of a nuclear facility. To reduce these risks Nuclear Investment Special Act provides for mechanisms of streamlining such accompanying investments. Pursuant to article 52. at the request of the investor the Minister of Industry may grant them a special status so that the provisions of Nuclear Investments Special Act </w:t>
      </w:r>
      <w:r w:rsidR="001A60F1">
        <w:rPr>
          <w:rFonts w:ascii="Times New Roman" w:hAnsi="Times New Roman" w:cs="Times New Roman"/>
          <w:sz w:val="20"/>
          <w:szCs w:val="20"/>
        </w:rPr>
        <w:t>aimed at accelerating constructions of</w:t>
      </w:r>
      <w:r w:rsidR="00DA6747">
        <w:rPr>
          <w:rFonts w:ascii="Times New Roman" w:hAnsi="Times New Roman" w:cs="Times New Roman"/>
          <w:sz w:val="20"/>
          <w:szCs w:val="20"/>
        </w:rPr>
        <w:t xml:space="preserve"> nuclear facilities are applicable (with some exceptions)</w:t>
      </w:r>
      <w:r w:rsidR="001A60F1">
        <w:rPr>
          <w:rFonts w:ascii="Times New Roman" w:hAnsi="Times New Roman" w:cs="Times New Roman"/>
          <w:sz w:val="20"/>
          <w:szCs w:val="20"/>
        </w:rPr>
        <w:t xml:space="preserve"> also to them</w:t>
      </w:r>
      <w:r w:rsidR="00DA6747">
        <w:rPr>
          <w:rFonts w:ascii="Times New Roman" w:hAnsi="Times New Roman" w:cs="Times New Roman"/>
          <w:sz w:val="20"/>
          <w:szCs w:val="20"/>
        </w:rPr>
        <w:t xml:space="preserve">. </w:t>
      </w:r>
    </w:p>
    <w:p w:rsidR="002A163D" w:rsidRDefault="002A163D" w:rsidP="00FE0F87">
      <w:pPr>
        <w:autoSpaceDE w:val="0"/>
        <w:autoSpaceDN w:val="0"/>
        <w:adjustRightInd w:val="0"/>
        <w:spacing w:after="0" w:line="240" w:lineRule="auto"/>
        <w:jc w:val="both"/>
        <w:rPr>
          <w:rFonts w:ascii="Times New Roman" w:hAnsi="Times New Roman" w:cs="Times New Roman"/>
          <w:i/>
          <w:sz w:val="20"/>
          <w:szCs w:val="20"/>
        </w:rPr>
      </w:pPr>
    </w:p>
    <w:p w:rsidR="006F0C22" w:rsidRPr="00FE0F87" w:rsidRDefault="00FE0F87" w:rsidP="00FE0F87">
      <w:pPr>
        <w:autoSpaceDE w:val="0"/>
        <w:autoSpaceDN w:val="0"/>
        <w:adjustRightInd w:val="0"/>
        <w:spacing w:after="0" w:line="240" w:lineRule="auto"/>
        <w:jc w:val="both"/>
        <w:rPr>
          <w:rFonts w:ascii="Times New Roman" w:hAnsi="Times New Roman" w:cs="Times New Roman"/>
          <w:i/>
          <w:sz w:val="20"/>
          <w:szCs w:val="20"/>
        </w:rPr>
      </w:pPr>
      <w:r w:rsidRPr="00FE0F87">
        <w:rPr>
          <w:rFonts w:ascii="Times New Roman" w:hAnsi="Times New Roman" w:cs="Times New Roman"/>
          <w:i/>
          <w:sz w:val="20"/>
          <w:szCs w:val="20"/>
        </w:rPr>
        <w:t xml:space="preserve">2.4.4 </w:t>
      </w:r>
      <w:r w:rsidR="006F0C22" w:rsidRPr="00FE0F87">
        <w:rPr>
          <w:rFonts w:ascii="Times New Roman" w:hAnsi="Times New Roman" w:cs="Times New Roman"/>
          <w:i/>
          <w:sz w:val="20"/>
          <w:szCs w:val="20"/>
        </w:rPr>
        <w:t>Instruments to enhance local community acceptance</w:t>
      </w:r>
      <w:r>
        <w:rPr>
          <w:rFonts w:ascii="Times New Roman" w:hAnsi="Times New Roman" w:cs="Times New Roman"/>
          <w:i/>
          <w:sz w:val="20"/>
          <w:szCs w:val="20"/>
        </w:rPr>
        <w:t xml:space="preserve"> of nuclear investment project</w:t>
      </w:r>
    </w:p>
    <w:p w:rsidR="00C37701" w:rsidRPr="00AA3E5C" w:rsidRDefault="00C37701" w:rsidP="00C37701">
      <w:pPr>
        <w:pStyle w:val="Akapitzlist"/>
        <w:autoSpaceDE w:val="0"/>
        <w:autoSpaceDN w:val="0"/>
        <w:adjustRightInd w:val="0"/>
        <w:spacing w:after="0" w:line="240" w:lineRule="auto"/>
        <w:ind w:left="360"/>
        <w:jc w:val="both"/>
        <w:rPr>
          <w:rFonts w:ascii="Times New Roman" w:hAnsi="Times New Roman" w:cs="Times New Roman"/>
          <w:b/>
          <w:sz w:val="20"/>
          <w:szCs w:val="20"/>
        </w:rPr>
      </w:pPr>
    </w:p>
    <w:p w:rsidR="00C37701" w:rsidRPr="00FE0F87" w:rsidRDefault="005A36EC" w:rsidP="005A36EC">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 xml:space="preserve">1) </w:t>
      </w:r>
      <w:r w:rsidR="006F0C22" w:rsidRPr="00FE0F87">
        <w:rPr>
          <w:rFonts w:ascii="Times New Roman" w:hAnsi="Times New Roman" w:cs="Times New Roman"/>
          <w:sz w:val="20"/>
          <w:szCs w:val="20"/>
        </w:rPr>
        <w:t>Local Information Centre</w:t>
      </w:r>
      <w:r w:rsidR="00C37701" w:rsidRPr="00FE0F87">
        <w:rPr>
          <w:rFonts w:ascii="Times New Roman" w:hAnsi="Times New Roman" w:cs="Times New Roman"/>
          <w:sz w:val="20"/>
          <w:szCs w:val="20"/>
        </w:rPr>
        <w:t xml:space="preserve"> </w:t>
      </w:r>
    </w:p>
    <w:p w:rsidR="00DA39B6" w:rsidRPr="00DA39B6" w:rsidRDefault="00DA39B6" w:rsidP="001C7170">
      <w:pPr>
        <w:autoSpaceDE w:val="0"/>
        <w:autoSpaceDN w:val="0"/>
        <w:adjustRightInd w:val="0"/>
        <w:spacing w:after="0" w:line="240" w:lineRule="auto"/>
        <w:ind w:firstLine="284"/>
        <w:jc w:val="both"/>
        <w:rPr>
          <w:rFonts w:ascii="Times New Roman" w:hAnsi="Times New Roman" w:cs="Times New Roman"/>
          <w:sz w:val="12"/>
          <w:szCs w:val="12"/>
        </w:rPr>
      </w:pPr>
    </w:p>
    <w:p w:rsidR="005A36EC" w:rsidRDefault="00C37701" w:rsidP="001C7170">
      <w:pPr>
        <w:autoSpaceDE w:val="0"/>
        <w:autoSpaceDN w:val="0"/>
        <w:adjustRightInd w:val="0"/>
        <w:spacing w:after="0" w:line="240" w:lineRule="auto"/>
        <w:ind w:firstLine="284"/>
        <w:jc w:val="both"/>
        <w:rPr>
          <w:rFonts w:ascii="Times New Roman" w:hAnsi="Times New Roman" w:cs="Times New Roman"/>
          <w:sz w:val="20"/>
          <w:szCs w:val="20"/>
        </w:rPr>
      </w:pPr>
      <w:r w:rsidRPr="00C37701">
        <w:rPr>
          <w:rFonts w:ascii="Times New Roman" w:hAnsi="Times New Roman" w:cs="Times New Roman"/>
          <w:sz w:val="20"/>
          <w:szCs w:val="20"/>
        </w:rPr>
        <w:t xml:space="preserve">According to </w:t>
      </w:r>
      <w:r w:rsidRPr="00C37701">
        <w:rPr>
          <w:rFonts w:ascii="Times New Roman" w:hAnsi="Times New Roman" w:cs="Times New Roman"/>
          <w:sz w:val="20"/>
          <w:szCs w:val="20"/>
          <w:lang w:val="en-US"/>
        </w:rPr>
        <w:t xml:space="preserve">Article 39m of the Atomic Law Act, the Investor shall open a </w:t>
      </w:r>
      <w:r w:rsidRPr="00C37701">
        <w:rPr>
          <w:rFonts w:ascii="Times New Roman" w:hAnsi="Times New Roman" w:cs="Times New Roman"/>
          <w:b/>
          <w:bCs/>
          <w:sz w:val="20"/>
          <w:szCs w:val="20"/>
          <w:lang w:val="en-US"/>
        </w:rPr>
        <w:t>Local Information Centre</w:t>
      </w:r>
      <w:r w:rsidRPr="00C37701">
        <w:rPr>
          <w:rFonts w:ascii="Times New Roman" w:hAnsi="Times New Roman" w:cs="Times New Roman"/>
          <w:sz w:val="20"/>
          <w:szCs w:val="20"/>
          <w:lang w:val="en-US"/>
        </w:rPr>
        <w:t xml:space="preserve">, no later than on the day when the application for construction permit </w:t>
      </w:r>
      <w:r w:rsidRPr="00C37701">
        <w:rPr>
          <w:rFonts w:ascii="Times New Roman" w:hAnsi="Times New Roman" w:cs="Times New Roman"/>
          <w:sz w:val="20"/>
          <w:szCs w:val="20"/>
        </w:rPr>
        <w:t xml:space="preserve">is submitted. </w:t>
      </w:r>
      <w:r w:rsidRPr="00C37701">
        <w:rPr>
          <w:rFonts w:ascii="Times New Roman" w:hAnsi="Times New Roman" w:cs="Times New Roman"/>
          <w:sz w:val="20"/>
          <w:szCs w:val="20"/>
          <w:lang w:val="en-US"/>
        </w:rPr>
        <w:t xml:space="preserve">The main responsibilities of the </w:t>
      </w:r>
      <w:r w:rsidR="00B662ED">
        <w:rPr>
          <w:rFonts w:ascii="Times New Roman" w:hAnsi="Times New Roman" w:cs="Times New Roman"/>
          <w:sz w:val="20"/>
          <w:szCs w:val="20"/>
          <w:lang w:val="en-US"/>
        </w:rPr>
        <w:t xml:space="preserve"> </w:t>
      </w:r>
      <w:r w:rsidRPr="00C37701">
        <w:rPr>
          <w:rFonts w:ascii="Times New Roman" w:hAnsi="Times New Roman" w:cs="Times New Roman"/>
          <w:sz w:val="20"/>
          <w:szCs w:val="20"/>
          <w:lang w:val="en-US"/>
        </w:rPr>
        <w:t xml:space="preserve">Centre include:  </w:t>
      </w:r>
      <w:r w:rsidR="00945901">
        <w:rPr>
          <w:rFonts w:ascii="Times New Roman" w:hAnsi="Times New Roman" w:cs="Times New Roman"/>
          <w:sz w:val="20"/>
          <w:szCs w:val="20"/>
        </w:rPr>
        <w:t xml:space="preserve">(1) </w:t>
      </w:r>
      <w:r w:rsidR="005A36EC" w:rsidRPr="00C37701">
        <w:rPr>
          <w:rFonts w:ascii="Times New Roman" w:hAnsi="Times New Roman" w:cs="Times New Roman"/>
          <w:sz w:val="20"/>
          <w:szCs w:val="20"/>
          <w:lang w:val="en-US"/>
        </w:rPr>
        <w:t xml:space="preserve">collecting and providing </w:t>
      </w:r>
      <w:r w:rsidRPr="00C37701">
        <w:rPr>
          <w:rFonts w:ascii="Times New Roman" w:hAnsi="Times New Roman" w:cs="Times New Roman"/>
          <w:sz w:val="20"/>
          <w:szCs w:val="20"/>
          <w:lang w:val="en-US"/>
        </w:rPr>
        <w:t xml:space="preserve">to people </w:t>
      </w:r>
      <w:r w:rsidR="005A36EC" w:rsidRPr="00C37701">
        <w:rPr>
          <w:rFonts w:ascii="Times New Roman" w:hAnsi="Times New Roman" w:cs="Times New Roman"/>
          <w:sz w:val="20"/>
          <w:szCs w:val="20"/>
          <w:lang w:val="en-US"/>
        </w:rPr>
        <w:t xml:space="preserve">updated </w:t>
      </w:r>
      <w:r w:rsidR="005A36EC" w:rsidRPr="00C37701">
        <w:rPr>
          <w:rFonts w:ascii="Times New Roman" w:hAnsi="Times New Roman" w:cs="Times New Roman"/>
          <w:bCs/>
          <w:sz w:val="20"/>
          <w:szCs w:val="20"/>
          <w:lang w:val="en-US"/>
        </w:rPr>
        <w:t>information on the operation of the nuclear power facility</w:t>
      </w:r>
      <w:r w:rsidR="005A36EC" w:rsidRPr="00C37701">
        <w:rPr>
          <w:rFonts w:ascii="Times New Roman" w:hAnsi="Times New Roman" w:cs="Times New Roman"/>
          <w:sz w:val="20"/>
          <w:szCs w:val="20"/>
          <w:lang w:val="en-US"/>
        </w:rPr>
        <w:t xml:space="preserve">; </w:t>
      </w:r>
      <w:r w:rsidR="00945901">
        <w:rPr>
          <w:rFonts w:ascii="Times New Roman" w:hAnsi="Times New Roman" w:cs="Times New Roman"/>
          <w:sz w:val="20"/>
          <w:szCs w:val="20"/>
        </w:rPr>
        <w:t xml:space="preserve">(2) </w:t>
      </w:r>
      <w:r w:rsidR="005A36EC" w:rsidRPr="005A36EC">
        <w:rPr>
          <w:rFonts w:ascii="Times New Roman" w:hAnsi="Times New Roman" w:cs="Times New Roman"/>
          <w:sz w:val="20"/>
          <w:szCs w:val="20"/>
          <w:lang w:val="en-US"/>
        </w:rPr>
        <w:t xml:space="preserve">collecting and providing updated </w:t>
      </w:r>
      <w:r w:rsidR="005A36EC" w:rsidRPr="005A36EC">
        <w:rPr>
          <w:rFonts w:ascii="Times New Roman" w:hAnsi="Times New Roman" w:cs="Times New Roman"/>
          <w:bCs/>
          <w:sz w:val="20"/>
          <w:szCs w:val="20"/>
          <w:lang w:val="en-US"/>
        </w:rPr>
        <w:t>information on the status of nuclear safety and radiological protection</w:t>
      </w:r>
      <w:r w:rsidR="005A36EC" w:rsidRPr="005A36EC">
        <w:rPr>
          <w:rFonts w:ascii="Times New Roman" w:hAnsi="Times New Roman" w:cs="Times New Roman"/>
          <w:sz w:val="20"/>
          <w:szCs w:val="20"/>
          <w:lang w:val="en-US"/>
        </w:rPr>
        <w:t xml:space="preserve"> in the area surround</w:t>
      </w:r>
      <w:r w:rsidR="00973720">
        <w:rPr>
          <w:rFonts w:ascii="Times New Roman" w:hAnsi="Times New Roman" w:cs="Times New Roman"/>
          <w:sz w:val="20"/>
          <w:szCs w:val="20"/>
          <w:lang w:val="en-US"/>
        </w:rPr>
        <w:t xml:space="preserve">ing the nuclear power facility. </w:t>
      </w:r>
      <w:r w:rsidR="00973720" w:rsidRPr="00C37701">
        <w:rPr>
          <w:rFonts w:ascii="Times New Roman" w:hAnsi="Times New Roman" w:cs="Times New Roman"/>
          <w:sz w:val="20"/>
          <w:szCs w:val="20"/>
          <w:lang w:val="en-US"/>
        </w:rPr>
        <w:t xml:space="preserve">The aforementioned Centre shall be operated by the investor </w:t>
      </w:r>
      <w:r w:rsidR="00973720" w:rsidRPr="00C37701">
        <w:rPr>
          <w:rFonts w:ascii="Times New Roman" w:hAnsi="Times New Roman" w:cs="Times New Roman"/>
          <w:bCs/>
          <w:sz w:val="20"/>
          <w:szCs w:val="20"/>
          <w:lang w:val="en-US"/>
        </w:rPr>
        <w:t>until the decommissioning process of nuclear power plant is completed</w:t>
      </w:r>
      <w:r w:rsidR="00973720" w:rsidRPr="00C37701">
        <w:rPr>
          <w:rFonts w:ascii="Times New Roman" w:hAnsi="Times New Roman" w:cs="Times New Roman"/>
          <w:sz w:val="20"/>
          <w:szCs w:val="20"/>
          <w:lang w:val="en-US"/>
        </w:rPr>
        <w:t>.</w:t>
      </w:r>
    </w:p>
    <w:p w:rsidR="006D458C" w:rsidRPr="00790AA2" w:rsidRDefault="006D458C" w:rsidP="00606486">
      <w:pPr>
        <w:pStyle w:val="Akapitzlist"/>
        <w:autoSpaceDE w:val="0"/>
        <w:autoSpaceDN w:val="0"/>
        <w:adjustRightInd w:val="0"/>
        <w:spacing w:after="0" w:line="240" w:lineRule="auto"/>
        <w:jc w:val="both"/>
        <w:rPr>
          <w:rFonts w:ascii="Times New Roman" w:hAnsi="Times New Roman" w:cs="Times New Roman"/>
          <w:sz w:val="20"/>
          <w:szCs w:val="20"/>
        </w:rPr>
      </w:pPr>
    </w:p>
    <w:p w:rsidR="006F0C22" w:rsidRPr="00FE0F87" w:rsidRDefault="005A36EC" w:rsidP="005A36EC">
      <w:pPr>
        <w:autoSpaceDE w:val="0"/>
        <w:autoSpaceDN w:val="0"/>
        <w:adjustRightInd w:val="0"/>
        <w:spacing w:after="0" w:line="240" w:lineRule="auto"/>
        <w:jc w:val="both"/>
        <w:rPr>
          <w:rFonts w:ascii="Times New Roman" w:hAnsi="Times New Roman" w:cs="Times New Roman"/>
          <w:sz w:val="20"/>
          <w:szCs w:val="20"/>
        </w:rPr>
      </w:pPr>
      <w:r w:rsidRPr="00FE0F87">
        <w:rPr>
          <w:rFonts w:ascii="Times New Roman" w:hAnsi="Times New Roman" w:cs="Times New Roman"/>
          <w:sz w:val="20"/>
          <w:szCs w:val="20"/>
        </w:rPr>
        <w:t xml:space="preserve">2) </w:t>
      </w:r>
      <w:r w:rsidR="006F0C22" w:rsidRPr="00FE0F87">
        <w:rPr>
          <w:rFonts w:ascii="Times New Roman" w:hAnsi="Times New Roman" w:cs="Times New Roman"/>
          <w:sz w:val="20"/>
          <w:szCs w:val="20"/>
        </w:rPr>
        <w:t>Sharing the benefits between communities</w:t>
      </w:r>
      <w:r w:rsidR="00BA51F2" w:rsidRPr="00FE0F87">
        <w:rPr>
          <w:rFonts w:ascii="Times New Roman" w:hAnsi="Times New Roman" w:cs="Times New Roman"/>
          <w:sz w:val="20"/>
          <w:szCs w:val="20"/>
        </w:rPr>
        <w:t xml:space="preserve"> where the nuclear facility is to be located</w:t>
      </w:r>
    </w:p>
    <w:p w:rsidR="00DA39B6" w:rsidRPr="00DA39B6" w:rsidRDefault="00DA39B6" w:rsidP="00E7372B">
      <w:pPr>
        <w:pStyle w:val="p"/>
        <w:spacing w:before="0" w:after="0" w:line="240" w:lineRule="auto"/>
        <w:ind w:firstLine="284"/>
        <w:rPr>
          <w:rFonts w:ascii="Times New Roman" w:hAnsi="Times New Roman" w:cs="Times New Roman"/>
          <w:sz w:val="12"/>
          <w:szCs w:val="12"/>
        </w:rPr>
      </w:pPr>
    </w:p>
    <w:p w:rsidR="00DA39B6" w:rsidRDefault="00862C18" w:rsidP="00DA39B6">
      <w:pPr>
        <w:pStyle w:val="p"/>
        <w:spacing w:before="0" w:after="0" w:line="240" w:lineRule="auto"/>
        <w:ind w:firstLine="284"/>
        <w:rPr>
          <w:rFonts w:ascii="Times New Roman" w:hAnsi="Times New Roman" w:cs="Times New Roman"/>
          <w:color w:val="auto"/>
          <w:sz w:val="20"/>
          <w:szCs w:val="20"/>
        </w:rPr>
      </w:pPr>
      <w:r w:rsidRPr="006D458C">
        <w:rPr>
          <w:rFonts w:ascii="Times New Roman" w:hAnsi="Times New Roman" w:cs="Times New Roman"/>
          <w:sz w:val="20"/>
          <w:szCs w:val="20"/>
        </w:rPr>
        <w:t>Pursuant to article 50 of the NISA t</w:t>
      </w:r>
      <w:r w:rsidRPr="00862C18">
        <w:rPr>
          <w:rFonts w:ascii="Times New Roman" w:hAnsi="Times New Roman" w:cs="Times New Roman"/>
          <w:color w:val="auto"/>
          <w:sz w:val="20"/>
          <w:szCs w:val="20"/>
        </w:rPr>
        <w:t xml:space="preserve">he municipality on which territory the nuclear power plant or a part thereof is located, shall pay to the bordering municipalities a fee in the amount equal to 50% of the real estate tax paid by the taxpayers of the real estate tax on the nuclear power plant or a part thereof, for which a use (operating) permit has been issued. This fee shall be divided in equal parts among all the municipalities bordering with the </w:t>
      </w:r>
      <w:r w:rsidR="00B44F53">
        <w:rPr>
          <w:rFonts w:ascii="Times New Roman" w:hAnsi="Times New Roman" w:cs="Times New Roman"/>
          <w:color w:val="auto"/>
          <w:sz w:val="20"/>
          <w:szCs w:val="20"/>
        </w:rPr>
        <w:t xml:space="preserve">given municipality </w:t>
      </w:r>
      <w:r w:rsidRPr="00862C18">
        <w:rPr>
          <w:rFonts w:ascii="Times New Roman" w:hAnsi="Times New Roman" w:cs="Times New Roman"/>
          <w:color w:val="auto"/>
          <w:sz w:val="20"/>
          <w:szCs w:val="20"/>
        </w:rPr>
        <w:t xml:space="preserve">and shall be paid into the budget accounts of each of the bordering municipalities by the 25th day of the </w:t>
      </w:r>
      <w:r w:rsidR="00973720">
        <w:rPr>
          <w:rFonts w:ascii="Times New Roman" w:hAnsi="Times New Roman" w:cs="Times New Roman"/>
          <w:color w:val="auto"/>
          <w:sz w:val="20"/>
          <w:szCs w:val="20"/>
        </w:rPr>
        <w:t xml:space="preserve">given </w:t>
      </w:r>
      <w:r w:rsidRPr="00862C18">
        <w:rPr>
          <w:rFonts w:ascii="Times New Roman" w:hAnsi="Times New Roman" w:cs="Times New Roman"/>
          <w:color w:val="auto"/>
          <w:sz w:val="20"/>
          <w:szCs w:val="20"/>
        </w:rPr>
        <w:t>month The fee constitutes an exclusive income of t</w:t>
      </w:r>
      <w:r w:rsidR="00973720">
        <w:rPr>
          <w:rFonts w:ascii="Times New Roman" w:hAnsi="Times New Roman" w:cs="Times New Roman"/>
          <w:color w:val="auto"/>
          <w:sz w:val="20"/>
          <w:szCs w:val="20"/>
        </w:rPr>
        <w:t xml:space="preserve">he municipality and </w:t>
      </w:r>
      <w:r w:rsidRPr="00862C18">
        <w:rPr>
          <w:rFonts w:ascii="Times New Roman" w:hAnsi="Times New Roman" w:cs="Times New Roman"/>
          <w:color w:val="auto"/>
          <w:sz w:val="20"/>
          <w:szCs w:val="20"/>
        </w:rPr>
        <w:t>is at free disposal</w:t>
      </w:r>
      <w:r w:rsidR="00973720">
        <w:rPr>
          <w:rFonts w:ascii="Times New Roman" w:hAnsi="Times New Roman" w:cs="Times New Roman"/>
          <w:color w:val="auto"/>
          <w:sz w:val="20"/>
          <w:szCs w:val="20"/>
        </w:rPr>
        <w:t xml:space="preserve"> of </w:t>
      </w:r>
      <w:r w:rsidR="00DA39B6">
        <w:rPr>
          <w:rFonts w:ascii="Times New Roman" w:hAnsi="Times New Roman" w:cs="Times New Roman"/>
          <w:color w:val="auto"/>
          <w:sz w:val="20"/>
          <w:szCs w:val="20"/>
        </w:rPr>
        <w:t>this entity.</w:t>
      </w:r>
    </w:p>
    <w:p w:rsidR="00DA39B6" w:rsidRPr="00DA39B6" w:rsidRDefault="00DA39B6" w:rsidP="00DA39B6">
      <w:pPr>
        <w:autoSpaceDE w:val="0"/>
        <w:autoSpaceDN w:val="0"/>
        <w:adjustRightInd w:val="0"/>
        <w:spacing w:before="100" w:beforeAutospacing="1" w:after="100" w:afterAutospacing="1" w:line="280" w:lineRule="atLeast"/>
        <w:jc w:val="both"/>
        <w:rPr>
          <w:rFonts w:ascii="Times New Roman" w:hAnsi="Times New Roman" w:cs="Times New Roman"/>
          <w:sz w:val="20"/>
          <w:szCs w:val="20"/>
        </w:rPr>
      </w:pPr>
      <w:r>
        <w:rPr>
          <w:rFonts w:ascii="Times New Roman" w:hAnsi="Times New Roman" w:cs="Times New Roman"/>
          <w:sz w:val="20"/>
          <w:szCs w:val="20"/>
        </w:rPr>
        <w:t>3</w:t>
      </w:r>
      <w:r w:rsidRPr="00DA39B6">
        <w:rPr>
          <w:rFonts w:ascii="Times New Roman" w:hAnsi="Times New Roman" w:cs="Times New Roman"/>
          <w:sz w:val="20"/>
          <w:szCs w:val="20"/>
        </w:rPr>
        <w:t xml:space="preserve">. </w:t>
      </w:r>
      <w:r>
        <w:rPr>
          <w:rFonts w:ascii="Times New Roman" w:hAnsi="Times New Roman" w:cs="Times New Roman"/>
          <w:sz w:val="20"/>
          <w:szCs w:val="20"/>
        </w:rPr>
        <w:t>INSTITUTIONAL INSTRUMENTS TO ACCELERATE DEPLOYMENT OF NUCLEAR POWER PLANTS</w:t>
      </w:r>
    </w:p>
    <w:p w:rsidR="006B6FD9" w:rsidRDefault="006B6FD9" w:rsidP="006B6FD9">
      <w:pPr>
        <w:pStyle w:val="p"/>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3.1. NEPIO</w:t>
      </w:r>
    </w:p>
    <w:p w:rsidR="006B6FD9" w:rsidRDefault="006B6FD9" w:rsidP="006B6FD9">
      <w:pPr>
        <w:pStyle w:val="p"/>
        <w:spacing w:before="0" w:after="0" w:line="240" w:lineRule="auto"/>
        <w:ind w:firstLine="284"/>
        <w:rPr>
          <w:rFonts w:ascii="Times New Roman" w:hAnsi="Times New Roman" w:cs="Times New Roman"/>
          <w:color w:val="auto"/>
          <w:sz w:val="20"/>
          <w:szCs w:val="20"/>
        </w:rPr>
      </w:pPr>
    </w:p>
    <w:p w:rsidR="009370DD" w:rsidRDefault="00EB718C" w:rsidP="006B6FD9">
      <w:pPr>
        <w:pStyle w:val="p"/>
        <w:spacing w:before="0" w:after="0" w:line="240" w:lineRule="auto"/>
        <w:ind w:firstLine="284"/>
        <w:rPr>
          <w:rFonts w:ascii="Times New Roman" w:hAnsi="Times New Roman" w:cs="Times New Roman"/>
          <w:sz w:val="20"/>
          <w:szCs w:val="20"/>
        </w:rPr>
      </w:pPr>
      <w:r w:rsidRPr="00B06C84">
        <w:rPr>
          <w:rFonts w:ascii="Times New Roman" w:hAnsi="Times New Roman" w:cs="Times New Roman"/>
          <w:color w:val="auto"/>
          <w:sz w:val="20"/>
          <w:szCs w:val="20"/>
        </w:rPr>
        <w:t xml:space="preserve">Since its very beginning </w:t>
      </w:r>
      <w:r w:rsidR="001159A0">
        <w:rPr>
          <w:rFonts w:ascii="Times New Roman" w:hAnsi="Times New Roman" w:cs="Times New Roman"/>
          <w:color w:val="auto"/>
          <w:sz w:val="20"/>
          <w:szCs w:val="20"/>
        </w:rPr>
        <w:t xml:space="preserve">the development of </w:t>
      </w:r>
      <w:r w:rsidRPr="00B06C84">
        <w:rPr>
          <w:rFonts w:ascii="Times New Roman" w:hAnsi="Times New Roman" w:cs="Times New Roman"/>
          <w:color w:val="auto"/>
          <w:sz w:val="20"/>
          <w:szCs w:val="20"/>
        </w:rPr>
        <w:t xml:space="preserve">institutional framework for nuclear power </w:t>
      </w:r>
      <w:r w:rsidR="001159A0">
        <w:rPr>
          <w:rFonts w:ascii="Times New Roman" w:hAnsi="Times New Roman" w:cs="Times New Roman"/>
          <w:color w:val="auto"/>
          <w:sz w:val="20"/>
          <w:szCs w:val="20"/>
        </w:rPr>
        <w:t xml:space="preserve">sector </w:t>
      </w:r>
      <w:r w:rsidR="00B4338A">
        <w:rPr>
          <w:rFonts w:ascii="Times New Roman" w:hAnsi="Times New Roman" w:cs="Times New Roman"/>
          <w:color w:val="auto"/>
          <w:sz w:val="20"/>
          <w:szCs w:val="20"/>
        </w:rPr>
        <w:t xml:space="preserve">in Poland </w:t>
      </w:r>
      <w:r w:rsidRPr="00B06C84">
        <w:rPr>
          <w:rFonts w:ascii="Times New Roman" w:hAnsi="Times New Roman" w:cs="Times New Roman"/>
          <w:color w:val="auto"/>
          <w:sz w:val="20"/>
          <w:szCs w:val="20"/>
        </w:rPr>
        <w:t xml:space="preserve">has </w:t>
      </w:r>
      <w:r w:rsidR="001159A0">
        <w:rPr>
          <w:rFonts w:ascii="Times New Roman" w:hAnsi="Times New Roman" w:cs="Times New Roman"/>
          <w:color w:val="auto"/>
          <w:sz w:val="20"/>
          <w:szCs w:val="20"/>
        </w:rPr>
        <w:t>re</w:t>
      </w:r>
      <w:r w:rsidR="00B4338A">
        <w:rPr>
          <w:rFonts w:ascii="Times New Roman" w:hAnsi="Times New Roman" w:cs="Times New Roman"/>
          <w:color w:val="auto"/>
          <w:sz w:val="20"/>
          <w:szCs w:val="20"/>
        </w:rPr>
        <w:t>f</w:t>
      </w:r>
      <w:r w:rsidR="001159A0">
        <w:rPr>
          <w:rFonts w:ascii="Times New Roman" w:hAnsi="Times New Roman" w:cs="Times New Roman"/>
          <w:color w:val="auto"/>
          <w:sz w:val="20"/>
          <w:szCs w:val="20"/>
        </w:rPr>
        <w:t>lected</w:t>
      </w:r>
      <w:r w:rsidRPr="00B06C84">
        <w:rPr>
          <w:rFonts w:ascii="Times New Roman" w:hAnsi="Times New Roman" w:cs="Times New Roman"/>
          <w:color w:val="auto"/>
          <w:sz w:val="20"/>
          <w:szCs w:val="20"/>
        </w:rPr>
        <w:t xml:space="preserve"> the relevant IAEA guides</w:t>
      </w:r>
      <w:r w:rsidR="002A163D">
        <w:rPr>
          <w:rFonts w:ascii="Times New Roman" w:hAnsi="Times New Roman" w:cs="Times New Roman"/>
          <w:color w:val="auto"/>
          <w:sz w:val="20"/>
          <w:szCs w:val="20"/>
        </w:rPr>
        <w:t xml:space="preserve"> [7]</w:t>
      </w:r>
      <w:r w:rsidRPr="00B06C84">
        <w:rPr>
          <w:rFonts w:ascii="Times New Roman" w:hAnsi="Times New Roman" w:cs="Times New Roman"/>
          <w:color w:val="auto"/>
          <w:sz w:val="20"/>
          <w:szCs w:val="20"/>
        </w:rPr>
        <w:t xml:space="preserve">, </w:t>
      </w:r>
      <w:r w:rsidRPr="002A163D">
        <w:rPr>
          <w:rFonts w:ascii="Times New Roman" w:hAnsi="Times New Roman" w:cs="Times New Roman"/>
          <w:color w:val="auto"/>
          <w:sz w:val="20"/>
          <w:szCs w:val="20"/>
        </w:rPr>
        <w:t xml:space="preserve">recommendations from IAEA </w:t>
      </w:r>
      <w:r w:rsidR="001159A0" w:rsidRPr="002A163D">
        <w:rPr>
          <w:rFonts w:ascii="Times New Roman" w:hAnsi="Times New Roman" w:cs="Times New Roman"/>
          <w:color w:val="auto"/>
          <w:sz w:val="20"/>
          <w:szCs w:val="20"/>
        </w:rPr>
        <w:t>review</w:t>
      </w:r>
      <w:r w:rsidRPr="002A163D">
        <w:rPr>
          <w:rFonts w:ascii="Times New Roman" w:hAnsi="Times New Roman" w:cs="Times New Roman"/>
          <w:color w:val="auto"/>
          <w:sz w:val="20"/>
          <w:szCs w:val="20"/>
        </w:rPr>
        <w:t xml:space="preserve"> missions to Poland as well as good practices of other countries. This included in particular designating</w:t>
      </w:r>
      <w:r w:rsidR="00B06C84" w:rsidRPr="002A163D">
        <w:rPr>
          <w:rFonts w:ascii="Times New Roman" w:hAnsi="Times New Roman" w:cs="Times New Roman"/>
          <w:color w:val="auto"/>
          <w:sz w:val="20"/>
          <w:szCs w:val="20"/>
        </w:rPr>
        <w:t xml:space="preserve"> and maintaining</w:t>
      </w:r>
      <w:r w:rsidRPr="002A163D">
        <w:rPr>
          <w:rFonts w:ascii="Times New Roman" w:hAnsi="Times New Roman" w:cs="Times New Roman"/>
          <w:color w:val="auto"/>
          <w:sz w:val="20"/>
          <w:szCs w:val="20"/>
        </w:rPr>
        <w:t xml:space="preserve"> the authority</w:t>
      </w:r>
      <w:r w:rsidR="00783D82" w:rsidRPr="002A163D">
        <w:rPr>
          <w:rFonts w:ascii="Times New Roman" w:hAnsi="Times New Roman" w:cs="Times New Roman"/>
          <w:color w:val="auto"/>
          <w:sz w:val="20"/>
          <w:szCs w:val="20"/>
        </w:rPr>
        <w:t xml:space="preserve"> in charge for promotion of nuclear energy,</w:t>
      </w:r>
      <w:r w:rsidR="00B06C84" w:rsidRPr="002A163D">
        <w:rPr>
          <w:rFonts w:ascii="Times New Roman" w:hAnsi="Times New Roman" w:cs="Times New Roman"/>
          <w:color w:val="auto"/>
          <w:sz w:val="20"/>
          <w:szCs w:val="20"/>
        </w:rPr>
        <w:t xml:space="preserve"> </w:t>
      </w:r>
      <w:r w:rsidR="00B06C84" w:rsidRPr="002A163D">
        <w:rPr>
          <w:rFonts w:ascii="Times New Roman" w:hAnsi="Times New Roman" w:cs="Times New Roman"/>
          <w:sz w:val="20"/>
          <w:szCs w:val="20"/>
        </w:rPr>
        <w:t>to function as the Nuclear Energy Programme Implementing Organization</w:t>
      </w:r>
      <w:r w:rsidR="00B4338A" w:rsidRPr="002A163D">
        <w:rPr>
          <w:rFonts w:ascii="Times New Roman" w:hAnsi="Times New Roman" w:cs="Times New Roman"/>
          <w:sz w:val="20"/>
          <w:szCs w:val="20"/>
        </w:rPr>
        <w:t xml:space="preserve"> (NEPIO)</w:t>
      </w:r>
      <w:r w:rsidR="00B06C84" w:rsidRPr="002A163D">
        <w:rPr>
          <w:rFonts w:ascii="Times New Roman" w:hAnsi="Times New Roman" w:cs="Times New Roman"/>
          <w:sz w:val="20"/>
          <w:szCs w:val="20"/>
        </w:rPr>
        <w:t xml:space="preserve">. </w:t>
      </w:r>
      <w:r w:rsidR="00DE58D3">
        <w:rPr>
          <w:rFonts w:ascii="Times New Roman" w:hAnsi="Times New Roman" w:cs="Times New Roman"/>
          <w:sz w:val="20"/>
          <w:szCs w:val="20"/>
        </w:rPr>
        <w:t>Initially</w:t>
      </w:r>
      <w:r w:rsidR="00B06C84" w:rsidRPr="002A163D">
        <w:rPr>
          <w:rFonts w:ascii="Times New Roman" w:hAnsi="Times New Roman" w:cs="Times New Roman"/>
          <w:sz w:val="20"/>
          <w:szCs w:val="20"/>
        </w:rPr>
        <w:t xml:space="preserve"> the fun</w:t>
      </w:r>
      <w:r w:rsidR="00B06C84" w:rsidRPr="00CF4E40">
        <w:rPr>
          <w:rFonts w:ascii="Times New Roman" w:hAnsi="Times New Roman" w:cs="Times New Roman"/>
          <w:sz w:val="20"/>
          <w:szCs w:val="20"/>
        </w:rPr>
        <w:t xml:space="preserve">ction of NEPIO was played by the Ministry of Economy and </w:t>
      </w:r>
      <w:r w:rsidR="001159A0" w:rsidRPr="00CF4E40">
        <w:rPr>
          <w:rFonts w:ascii="Times New Roman" w:hAnsi="Times New Roman" w:cs="Times New Roman"/>
          <w:sz w:val="20"/>
          <w:szCs w:val="20"/>
        </w:rPr>
        <w:t>the following bodies or units acting within that Ministry: the Government Plenipotentiary for Nuclear Power and Nuclear Energy Department. Over the recent years the structure of NEPIO has significantly evolved</w:t>
      </w:r>
      <w:r w:rsidR="00B4338A" w:rsidRPr="00CF4E40">
        <w:rPr>
          <w:rStyle w:val="Odwoanieprzypisudolnego"/>
          <w:rFonts w:ascii="Times New Roman" w:hAnsi="Times New Roman" w:cs="Times New Roman"/>
          <w:sz w:val="20"/>
          <w:szCs w:val="20"/>
        </w:rPr>
        <w:footnoteReference w:id="4"/>
      </w:r>
      <w:r w:rsidR="001159A0" w:rsidRPr="00CF4E40">
        <w:rPr>
          <w:rFonts w:ascii="Times New Roman" w:hAnsi="Times New Roman" w:cs="Times New Roman"/>
          <w:sz w:val="20"/>
          <w:szCs w:val="20"/>
        </w:rPr>
        <w:t xml:space="preserve"> </w:t>
      </w:r>
      <w:r w:rsidR="00B4338A" w:rsidRPr="00CF4E40">
        <w:rPr>
          <w:rFonts w:ascii="Times New Roman" w:hAnsi="Times New Roman" w:cs="Times New Roman"/>
          <w:sz w:val="20"/>
          <w:szCs w:val="20"/>
        </w:rPr>
        <w:t xml:space="preserve">and has </w:t>
      </w:r>
      <w:r w:rsidR="001159A0" w:rsidRPr="00CF4E40">
        <w:rPr>
          <w:rFonts w:ascii="Times New Roman" w:hAnsi="Times New Roman" w:cs="Times New Roman"/>
          <w:sz w:val="20"/>
          <w:szCs w:val="20"/>
        </w:rPr>
        <w:t>reached its current shape in July</w:t>
      </w:r>
      <w:r w:rsidR="00B4338A" w:rsidRPr="00CF4E40">
        <w:rPr>
          <w:rFonts w:ascii="Times New Roman" w:hAnsi="Times New Roman" w:cs="Times New Roman"/>
          <w:sz w:val="20"/>
          <w:szCs w:val="20"/>
        </w:rPr>
        <w:t xml:space="preserve"> 2024 when the nuclear-</w:t>
      </w:r>
      <w:r w:rsidR="001159A0" w:rsidRPr="00CF4E40">
        <w:rPr>
          <w:rFonts w:ascii="Times New Roman" w:hAnsi="Times New Roman" w:cs="Times New Roman"/>
          <w:sz w:val="20"/>
          <w:szCs w:val="20"/>
        </w:rPr>
        <w:t xml:space="preserve">related competences of the Ministry of Climate and Environment </w:t>
      </w:r>
      <w:r w:rsidR="00B4338A" w:rsidRPr="00CF4E40">
        <w:rPr>
          <w:rFonts w:ascii="Times New Roman" w:hAnsi="Times New Roman" w:cs="Times New Roman"/>
          <w:sz w:val="20"/>
          <w:szCs w:val="20"/>
        </w:rPr>
        <w:t xml:space="preserve">(acting as a NEPIO in the years 2021-2024) has been transferred to the newly created Ministry of Industry. </w:t>
      </w:r>
    </w:p>
    <w:p w:rsidR="00B4338A" w:rsidRDefault="00B4338A" w:rsidP="00B4338A">
      <w:pPr>
        <w:pStyle w:val="p"/>
        <w:spacing w:before="0" w:after="0" w:line="240" w:lineRule="auto"/>
        <w:ind w:firstLine="284"/>
        <w:rPr>
          <w:rFonts w:ascii="Times New Roman" w:hAnsi="Times New Roman" w:cs="Times New Roman"/>
          <w:sz w:val="20"/>
          <w:szCs w:val="20"/>
        </w:rPr>
      </w:pPr>
      <w:r w:rsidRPr="00CF4E40">
        <w:rPr>
          <w:rFonts w:ascii="Times New Roman" w:hAnsi="Times New Roman" w:cs="Times New Roman"/>
          <w:sz w:val="20"/>
          <w:szCs w:val="20"/>
        </w:rPr>
        <w:t>The respons</w:t>
      </w:r>
      <w:r w:rsidR="00CF4E40">
        <w:rPr>
          <w:rFonts w:ascii="Times New Roman" w:hAnsi="Times New Roman" w:cs="Times New Roman"/>
          <w:sz w:val="20"/>
          <w:szCs w:val="20"/>
        </w:rPr>
        <w:t xml:space="preserve">ibilities of </w:t>
      </w:r>
      <w:r w:rsidR="009370DD">
        <w:rPr>
          <w:rFonts w:ascii="Times New Roman" w:hAnsi="Times New Roman" w:cs="Times New Roman"/>
          <w:sz w:val="20"/>
          <w:szCs w:val="20"/>
        </w:rPr>
        <w:t xml:space="preserve">NEPIO </w:t>
      </w:r>
      <w:r w:rsidRPr="00CF4E40">
        <w:rPr>
          <w:rFonts w:ascii="Times New Roman" w:hAnsi="Times New Roman" w:cs="Times New Roman"/>
          <w:sz w:val="20"/>
          <w:szCs w:val="20"/>
        </w:rPr>
        <w:t>are clearly specified in the</w:t>
      </w:r>
      <w:r w:rsidR="00E804DC">
        <w:rPr>
          <w:rFonts w:ascii="Times New Roman" w:hAnsi="Times New Roman" w:cs="Times New Roman"/>
          <w:sz w:val="20"/>
          <w:szCs w:val="20"/>
        </w:rPr>
        <w:t xml:space="preserve"> art. 112a</w:t>
      </w:r>
      <w:r w:rsidRPr="00CF4E40">
        <w:rPr>
          <w:rFonts w:ascii="Times New Roman" w:hAnsi="Times New Roman" w:cs="Times New Roman"/>
          <w:sz w:val="20"/>
          <w:szCs w:val="20"/>
        </w:rPr>
        <w:t xml:space="preserve"> of the Atomic Law Act</w:t>
      </w:r>
      <w:r w:rsidR="009370DD">
        <w:rPr>
          <w:rFonts w:ascii="Times New Roman" w:hAnsi="Times New Roman" w:cs="Times New Roman"/>
          <w:sz w:val="20"/>
          <w:szCs w:val="20"/>
        </w:rPr>
        <w:t xml:space="preserve">: </w:t>
      </w:r>
    </w:p>
    <w:p w:rsidR="00CF4E40" w:rsidRPr="00D65240" w:rsidRDefault="00CF4E40" w:rsidP="00CF4E40">
      <w:pPr>
        <w:pStyle w:val="punkty1"/>
        <w:numPr>
          <w:ilvl w:val="0"/>
          <w:numId w:val="31"/>
        </w:numPr>
        <w:spacing w:after="0" w:line="240" w:lineRule="auto"/>
        <w:rPr>
          <w:sz w:val="20"/>
          <w:szCs w:val="20"/>
        </w:rPr>
      </w:pPr>
      <w:r w:rsidRPr="00D65240">
        <w:rPr>
          <w:sz w:val="20"/>
          <w:szCs w:val="20"/>
        </w:rPr>
        <w:t>developing drafts for plans and strategies related to the development and functioning of nuclear power in Poland, and in particular, the draft version of the Polish Nuclear Power Programme;</w:t>
      </w:r>
    </w:p>
    <w:p w:rsidR="00CF4E40" w:rsidRPr="00D65240" w:rsidRDefault="00CF4E40" w:rsidP="00CF4E40">
      <w:pPr>
        <w:pStyle w:val="punkty1"/>
        <w:numPr>
          <w:ilvl w:val="0"/>
          <w:numId w:val="31"/>
        </w:numPr>
        <w:spacing w:after="0" w:line="240" w:lineRule="auto"/>
        <w:rPr>
          <w:sz w:val="20"/>
          <w:szCs w:val="20"/>
        </w:rPr>
      </w:pPr>
      <w:r w:rsidRPr="00D65240">
        <w:rPr>
          <w:sz w:val="20"/>
          <w:szCs w:val="20"/>
        </w:rPr>
        <w:t>coordinating the implementation of plans and strategies of the country related to the development of nuclear power, and shall also prepare guidelines for changing them;</w:t>
      </w:r>
    </w:p>
    <w:p w:rsidR="00CF4E40" w:rsidRPr="00D65240" w:rsidRDefault="00CF4E40" w:rsidP="00CF4E40">
      <w:pPr>
        <w:pStyle w:val="punkty1"/>
        <w:numPr>
          <w:ilvl w:val="0"/>
          <w:numId w:val="31"/>
        </w:numPr>
        <w:spacing w:after="0" w:line="240" w:lineRule="auto"/>
        <w:rPr>
          <w:sz w:val="20"/>
          <w:szCs w:val="20"/>
        </w:rPr>
      </w:pPr>
      <w:r w:rsidRPr="00D65240">
        <w:rPr>
          <w:sz w:val="20"/>
          <w:szCs w:val="20"/>
        </w:rPr>
        <w:t>performing activities related to the public communication, education, popularization</w:t>
      </w:r>
      <w:r w:rsidRPr="00D65240">
        <w:rPr>
          <w:color w:val="FF0000"/>
          <w:sz w:val="20"/>
          <w:szCs w:val="20"/>
        </w:rPr>
        <w:t xml:space="preserve"> </w:t>
      </w:r>
      <w:r w:rsidRPr="00D65240">
        <w:rPr>
          <w:sz w:val="20"/>
          <w:szCs w:val="20"/>
        </w:rPr>
        <w:t>related to nuclear power</w:t>
      </w:r>
    </w:p>
    <w:p w:rsidR="00CF4E40" w:rsidRPr="00D65240" w:rsidRDefault="006F09FE" w:rsidP="00CF4E40">
      <w:pPr>
        <w:pStyle w:val="punkty1"/>
        <w:numPr>
          <w:ilvl w:val="0"/>
          <w:numId w:val="31"/>
        </w:numPr>
        <w:spacing w:after="0" w:line="240" w:lineRule="auto"/>
        <w:rPr>
          <w:sz w:val="20"/>
          <w:szCs w:val="20"/>
        </w:rPr>
      </w:pPr>
      <w:r>
        <w:rPr>
          <w:sz w:val="20"/>
          <w:szCs w:val="20"/>
        </w:rPr>
        <w:t>p</w:t>
      </w:r>
      <w:r w:rsidR="00CF4E40" w:rsidRPr="00D65240">
        <w:rPr>
          <w:sz w:val="20"/>
          <w:szCs w:val="20"/>
        </w:rPr>
        <w:t>erforming activities aimed at:</w:t>
      </w:r>
      <w:r w:rsidR="00CF4E40">
        <w:rPr>
          <w:sz w:val="20"/>
          <w:szCs w:val="20"/>
        </w:rPr>
        <w:t xml:space="preserve"> </w:t>
      </w:r>
      <w:r w:rsidR="00CF4E40" w:rsidRPr="00D65240">
        <w:rPr>
          <w:sz w:val="20"/>
          <w:szCs w:val="20"/>
        </w:rPr>
        <w:t>ensuring competent hum</w:t>
      </w:r>
      <w:r w:rsidR="00CF4E40">
        <w:rPr>
          <w:sz w:val="20"/>
          <w:szCs w:val="20"/>
        </w:rPr>
        <w:t xml:space="preserve">an resources for nuclear energy, </w:t>
      </w:r>
      <w:r w:rsidR="00CF4E40" w:rsidRPr="00D65240">
        <w:rPr>
          <w:sz w:val="20"/>
          <w:szCs w:val="20"/>
        </w:rPr>
        <w:t>developing nuclear technologies,</w:t>
      </w:r>
      <w:r w:rsidR="00CF4E40">
        <w:rPr>
          <w:sz w:val="20"/>
          <w:szCs w:val="20"/>
        </w:rPr>
        <w:t xml:space="preserve"> </w:t>
      </w:r>
      <w:r w:rsidR="00CF4E40" w:rsidRPr="00D65240">
        <w:rPr>
          <w:sz w:val="20"/>
          <w:szCs w:val="20"/>
        </w:rPr>
        <w:t>participation of the Polish industry in the accomplishment of nuclear power tasks;</w:t>
      </w:r>
    </w:p>
    <w:p w:rsidR="00CF4E40" w:rsidRPr="007F05C5" w:rsidRDefault="00CF4E40" w:rsidP="00CF4E40">
      <w:pPr>
        <w:pStyle w:val="p"/>
        <w:numPr>
          <w:ilvl w:val="0"/>
          <w:numId w:val="32"/>
        </w:numPr>
        <w:spacing w:before="0" w:after="0" w:line="240" w:lineRule="auto"/>
        <w:rPr>
          <w:rFonts w:ascii="Times New Roman" w:hAnsi="Times New Roman" w:cs="Times New Roman"/>
          <w:color w:val="auto"/>
          <w:sz w:val="20"/>
          <w:szCs w:val="20"/>
        </w:rPr>
      </w:pPr>
      <w:r w:rsidRPr="00D65240">
        <w:rPr>
          <w:rFonts w:ascii="Times New Roman" w:hAnsi="Times New Roman" w:cs="Times New Roman"/>
          <w:sz w:val="20"/>
          <w:szCs w:val="20"/>
        </w:rPr>
        <w:t>monitor</w:t>
      </w:r>
      <w:r>
        <w:rPr>
          <w:rFonts w:ascii="Times New Roman" w:hAnsi="Times New Roman" w:cs="Times New Roman"/>
          <w:sz w:val="20"/>
          <w:szCs w:val="20"/>
        </w:rPr>
        <w:t>ing</w:t>
      </w:r>
      <w:r w:rsidRPr="00D65240">
        <w:rPr>
          <w:rFonts w:ascii="Times New Roman" w:hAnsi="Times New Roman" w:cs="Times New Roman"/>
          <w:sz w:val="20"/>
          <w:szCs w:val="20"/>
        </w:rPr>
        <w:t xml:space="preserve"> the uranium market and the nuclear fuel cycle services market</w:t>
      </w:r>
      <w:r>
        <w:rPr>
          <w:rFonts w:ascii="Times New Roman" w:hAnsi="Times New Roman" w:cs="Times New Roman"/>
          <w:sz w:val="20"/>
          <w:szCs w:val="20"/>
        </w:rPr>
        <w:t>.</w:t>
      </w:r>
    </w:p>
    <w:p w:rsidR="00CF4E40" w:rsidRDefault="00CF4E40" w:rsidP="006B6FD9">
      <w:pPr>
        <w:spacing w:after="0"/>
        <w:ind w:firstLine="284"/>
        <w:jc w:val="both"/>
        <w:rPr>
          <w:rFonts w:ascii="Times New Roman" w:hAnsi="Times New Roman" w:cs="Times New Roman"/>
          <w:sz w:val="20"/>
          <w:lang w:val="en-GB" w:eastAsia="tr-TR"/>
        </w:rPr>
      </w:pPr>
      <w:r w:rsidRPr="00E804DC">
        <w:rPr>
          <w:rFonts w:ascii="Times New Roman" w:hAnsi="Times New Roman" w:cs="Times New Roman"/>
          <w:sz w:val="20"/>
          <w:lang w:val="en-GB" w:eastAsia="tr-TR"/>
        </w:rPr>
        <w:t xml:space="preserve">The </w:t>
      </w:r>
      <w:r w:rsidR="00E804DC">
        <w:rPr>
          <w:rFonts w:ascii="Times New Roman" w:hAnsi="Times New Roman" w:cs="Times New Roman"/>
          <w:sz w:val="20"/>
          <w:lang w:val="en-GB" w:eastAsia="tr-TR"/>
        </w:rPr>
        <w:t>Ministry</w:t>
      </w:r>
      <w:r w:rsidRPr="00E804DC">
        <w:rPr>
          <w:rFonts w:ascii="Times New Roman" w:hAnsi="Times New Roman" w:cs="Times New Roman"/>
          <w:sz w:val="20"/>
          <w:lang w:val="en-GB" w:eastAsia="tr-TR"/>
        </w:rPr>
        <w:t xml:space="preserve"> provides a continuing forum for communication and cooperation among the key organizations</w:t>
      </w:r>
      <w:r w:rsidR="009370DD" w:rsidRPr="00E804DC">
        <w:rPr>
          <w:rFonts w:ascii="Times New Roman" w:hAnsi="Times New Roman" w:cs="Times New Roman"/>
          <w:sz w:val="20"/>
          <w:lang w:val="en-GB" w:eastAsia="tr-TR"/>
        </w:rPr>
        <w:t xml:space="preserve"> and stakeholders</w:t>
      </w:r>
      <w:r w:rsidRPr="00E804DC">
        <w:rPr>
          <w:rFonts w:ascii="Times New Roman" w:hAnsi="Times New Roman" w:cs="Times New Roman"/>
          <w:sz w:val="20"/>
          <w:lang w:val="en-GB" w:eastAsia="tr-TR"/>
        </w:rPr>
        <w:t>, ensuring that the roles and responsibilities of each organization in stakeholder involvement are clear and that all stakeholders are being involved (including the public, local governments, industry, media, nongovernmental organizations, opposition groups and neighbouring States)</w:t>
      </w:r>
      <w:r w:rsidR="002A163D">
        <w:rPr>
          <w:rFonts w:ascii="Times New Roman" w:hAnsi="Times New Roman" w:cs="Times New Roman"/>
          <w:sz w:val="20"/>
          <w:lang w:val="en-GB" w:eastAsia="tr-TR"/>
        </w:rPr>
        <w:t xml:space="preserve"> [8]</w:t>
      </w:r>
      <w:r w:rsidRPr="00E804DC">
        <w:rPr>
          <w:rFonts w:ascii="Times New Roman" w:hAnsi="Times New Roman" w:cs="Times New Roman"/>
          <w:sz w:val="20"/>
          <w:lang w:val="en-GB" w:eastAsia="tr-TR"/>
        </w:rPr>
        <w:t>.</w:t>
      </w:r>
      <w:r w:rsidR="00E804DC">
        <w:rPr>
          <w:rFonts w:ascii="Times New Roman" w:hAnsi="Times New Roman" w:cs="Times New Roman"/>
          <w:sz w:val="20"/>
          <w:lang w:val="en-GB" w:eastAsia="tr-TR"/>
        </w:rPr>
        <w:t xml:space="preserve"> </w:t>
      </w:r>
    </w:p>
    <w:p w:rsidR="006B6FD9" w:rsidRDefault="006B6FD9" w:rsidP="00491060">
      <w:pPr>
        <w:spacing w:after="0" w:line="240" w:lineRule="auto"/>
        <w:ind w:firstLine="284"/>
        <w:jc w:val="both"/>
        <w:rPr>
          <w:rFonts w:ascii="Times New Roman" w:hAnsi="Times New Roman" w:cs="Times New Roman"/>
          <w:sz w:val="20"/>
          <w:lang w:val="en-GB" w:eastAsia="tr-TR"/>
        </w:rPr>
      </w:pPr>
    </w:p>
    <w:p w:rsidR="006B6FD9" w:rsidRPr="006B6FD9" w:rsidRDefault="006B6FD9" w:rsidP="006B6FD9">
      <w:pPr>
        <w:pStyle w:val="p"/>
        <w:spacing w:before="0" w:after="0" w:line="240" w:lineRule="auto"/>
        <w:rPr>
          <w:rFonts w:ascii="Times New Roman" w:hAnsi="Times New Roman" w:cs="Times New Roman"/>
          <w:color w:val="auto"/>
          <w:sz w:val="20"/>
          <w:szCs w:val="20"/>
        </w:rPr>
      </w:pPr>
      <w:r w:rsidRPr="006B6FD9">
        <w:rPr>
          <w:rFonts w:ascii="Times New Roman" w:hAnsi="Times New Roman" w:cs="Times New Roman"/>
          <w:color w:val="auto"/>
          <w:sz w:val="20"/>
          <w:szCs w:val="20"/>
        </w:rPr>
        <w:t xml:space="preserve">3.2. </w:t>
      </w:r>
      <w:r w:rsidRPr="006B6FD9">
        <w:rPr>
          <w:rFonts w:ascii="Times New Roman" w:hAnsi="Times New Roman" w:cs="Times New Roman"/>
          <w:sz w:val="20"/>
          <w:lang w:eastAsia="tr-TR"/>
        </w:rPr>
        <w:t>The Advisory Committee for the Development of Nuclear Power Sector in Poland</w:t>
      </w:r>
    </w:p>
    <w:p w:rsidR="006B6FD9" w:rsidRDefault="006B6FD9" w:rsidP="006B6FD9">
      <w:pPr>
        <w:spacing w:after="0" w:line="240" w:lineRule="auto"/>
        <w:jc w:val="both"/>
        <w:rPr>
          <w:rFonts w:ascii="Times New Roman" w:hAnsi="Times New Roman" w:cs="Times New Roman"/>
          <w:sz w:val="20"/>
          <w:lang w:val="en-GB" w:eastAsia="tr-TR"/>
        </w:rPr>
      </w:pPr>
    </w:p>
    <w:p w:rsidR="00C2766B" w:rsidRDefault="00BE44E4" w:rsidP="00491060">
      <w:pPr>
        <w:spacing w:after="0" w:line="240" w:lineRule="auto"/>
        <w:ind w:firstLine="284"/>
        <w:jc w:val="both"/>
        <w:rPr>
          <w:rFonts w:ascii="Times New Roman" w:hAnsi="Times New Roman" w:cs="Times New Roman"/>
          <w:sz w:val="20"/>
          <w:lang w:val="en-GB" w:eastAsia="tr-TR"/>
        </w:rPr>
      </w:pPr>
      <w:r>
        <w:rPr>
          <w:rFonts w:ascii="Times New Roman" w:hAnsi="Times New Roman" w:cs="Times New Roman"/>
          <w:sz w:val="20"/>
          <w:lang w:val="en-GB" w:eastAsia="tr-TR"/>
        </w:rPr>
        <w:t>Until 2021 there was only one company in Poland implementing nuclear power project. By the end of 2022 there were already three companies more: one planning to construct large scale nuclear power plan</w:t>
      </w:r>
      <w:r w:rsidR="006F09FE">
        <w:rPr>
          <w:rFonts w:ascii="Times New Roman" w:hAnsi="Times New Roman" w:cs="Times New Roman"/>
          <w:sz w:val="20"/>
          <w:lang w:val="en-GB" w:eastAsia="tr-TR"/>
        </w:rPr>
        <w:t>t</w:t>
      </w:r>
      <w:r w:rsidR="002A163D">
        <w:rPr>
          <w:rFonts w:ascii="Times New Roman" w:hAnsi="Times New Roman" w:cs="Times New Roman"/>
          <w:sz w:val="20"/>
          <w:lang w:val="en-GB" w:eastAsia="tr-TR"/>
        </w:rPr>
        <w:t xml:space="preserve"> </w:t>
      </w:r>
      <w:r>
        <w:rPr>
          <w:rFonts w:ascii="Times New Roman" w:hAnsi="Times New Roman" w:cs="Times New Roman"/>
          <w:sz w:val="20"/>
          <w:lang w:val="en-GB" w:eastAsia="tr-TR"/>
        </w:rPr>
        <w:t xml:space="preserve"> and two planning to construct fleets of SMRs</w:t>
      </w:r>
      <w:r w:rsidR="007F3D90">
        <w:rPr>
          <w:rFonts w:ascii="Times New Roman" w:hAnsi="Times New Roman" w:cs="Times New Roman"/>
          <w:sz w:val="20"/>
          <w:lang w:val="en-GB" w:eastAsia="tr-TR"/>
        </w:rPr>
        <w:t>. Given these</w:t>
      </w:r>
      <w:r>
        <w:rPr>
          <w:rFonts w:ascii="Times New Roman" w:hAnsi="Times New Roman" w:cs="Times New Roman"/>
          <w:sz w:val="20"/>
          <w:lang w:val="en-GB" w:eastAsia="tr-TR"/>
        </w:rPr>
        <w:t xml:space="preserve"> developments </w:t>
      </w:r>
      <w:r w:rsidRPr="00C24271">
        <w:rPr>
          <w:rFonts w:ascii="Times New Roman" w:hAnsi="Times New Roman" w:cs="Times New Roman"/>
          <w:b/>
          <w:sz w:val="20"/>
          <w:lang w:val="en-GB" w:eastAsia="tr-TR"/>
        </w:rPr>
        <w:t xml:space="preserve">The Advisory Committee for </w:t>
      </w:r>
      <w:r>
        <w:rPr>
          <w:rFonts w:ascii="Times New Roman" w:hAnsi="Times New Roman" w:cs="Times New Roman"/>
          <w:b/>
          <w:sz w:val="20"/>
          <w:lang w:val="en-GB" w:eastAsia="tr-TR"/>
        </w:rPr>
        <w:t xml:space="preserve">the Development of </w:t>
      </w:r>
      <w:r w:rsidRPr="00C24271">
        <w:rPr>
          <w:rFonts w:ascii="Times New Roman" w:hAnsi="Times New Roman" w:cs="Times New Roman"/>
          <w:b/>
          <w:sz w:val="20"/>
          <w:lang w:val="en-GB" w:eastAsia="tr-TR"/>
        </w:rPr>
        <w:t>Nuclear</w:t>
      </w:r>
      <w:r>
        <w:rPr>
          <w:rFonts w:ascii="Times New Roman" w:hAnsi="Times New Roman" w:cs="Times New Roman"/>
          <w:sz w:val="20"/>
          <w:lang w:val="en-GB" w:eastAsia="tr-TR"/>
        </w:rPr>
        <w:t xml:space="preserve"> </w:t>
      </w:r>
      <w:r w:rsidRPr="00C24271">
        <w:rPr>
          <w:rFonts w:ascii="Times New Roman" w:hAnsi="Times New Roman" w:cs="Times New Roman"/>
          <w:b/>
          <w:sz w:val="20"/>
          <w:lang w:val="en-GB" w:eastAsia="tr-TR"/>
        </w:rPr>
        <w:t>Power</w:t>
      </w:r>
      <w:r>
        <w:rPr>
          <w:rFonts w:ascii="Times New Roman" w:hAnsi="Times New Roman" w:cs="Times New Roman"/>
          <w:b/>
          <w:sz w:val="20"/>
          <w:lang w:val="en-GB" w:eastAsia="tr-TR"/>
        </w:rPr>
        <w:t xml:space="preserve"> Sector in Poland</w:t>
      </w:r>
      <w:r>
        <w:rPr>
          <w:rFonts w:ascii="Times New Roman" w:hAnsi="Times New Roman" w:cs="Times New Roman"/>
          <w:sz w:val="20"/>
          <w:lang w:val="en-GB" w:eastAsia="tr-TR"/>
        </w:rPr>
        <w:t xml:space="preserve"> </w:t>
      </w:r>
      <w:r w:rsidR="00C24271">
        <w:rPr>
          <w:rFonts w:ascii="Times New Roman" w:hAnsi="Times New Roman" w:cs="Times New Roman"/>
          <w:sz w:val="20"/>
          <w:lang w:val="en-GB" w:eastAsia="tr-TR"/>
        </w:rPr>
        <w:t>has been set up in February 2023</w:t>
      </w:r>
      <w:r w:rsidR="002A163D">
        <w:rPr>
          <w:rFonts w:ascii="Times New Roman" w:hAnsi="Times New Roman" w:cs="Times New Roman"/>
          <w:sz w:val="20"/>
          <w:lang w:val="en-GB" w:eastAsia="tr-TR"/>
        </w:rPr>
        <w:t xml:space="preserve"> [9]</w:t>
      </w:r>
      <w:r w:rsidR="00C24271">
        <w:rPr>
          <w:rFonts w:ascii="Times New Roman" w:hAnsi="Times New Roman" w:cs="Times New Roman"/>
          <w:sz w:val="20"/>
          <w:lang w:val="en-GB" w:eastAsia="tr-TR"/>
        </w:rPr>
        <w:t xml:space="preserve"> by the Ministry of Climate And </w:t>
      </w:r>
      <w:r w:rsidR="00C24271">
        <w:rPr>
          <w:rFonts w:ascii="Times New Roman" w:hAnsi="Times New Roman" w:cs="Times New Roman"/>
          <w:sz w:val="20"/>
          <w:lang w:val="en-GB" w:eastAsia="tr-TR"/>
        </w:rPr>
        <w:lastRenderedPageBreak/>
        <w:t>Environment</w:t>
      </w:r>
      <w:r>
        <w:rPr>
          <w:rFonts w:ascii="Times New Roman" w:hAnsi="Times New Roman" w:cs="Times New Roman"/>
          <w:sz w:val="20"/>
          <w:lang w:val="en-GB" w:eastAsia="tr-TR"/>
        </w:rPr>
        <w:t xml:space="preserve">. </w:t>
      </w:r>
      <w:r w:rsidR="007B4870">
        <w:rPr>
          <w:rFonts w:ascii="Times New Roman" w:hAnsi="Times New Roman" w:cs="Times New Roman"/>
          <w:sz w:val="20"/>
          <w:lang w:val="en-GB" w:eastAsia="tr-TR"/>
        </w:rPr>
        <w:t xml:space="preserve">The  main </w:t>
      </w:r>
      <w:r w:rsidR="0056191C">
        <w:rPr>
          <w:rFonts w:ascii="Times New Roman" w:hAnsi="Times New Roman" w:cs="Times New Roman"/>
          <w:sz w:val="20"/>
          <w:lang w:val="en-GB" w:eastAsia="tr-TR"/>
        </w:rPr>
        <w:t>task of the</w:t>
      </w:r>
      <w:r w:rsidR="007B4870">
        <w:rPr>
          <w:rFonts w:ascii="Times New Roman" w:hAnsi="Times New Roman" w:cs="Times New Roman"/>
          <w:sz w:val="20"/>
          <w:lang w:val="en-GB" w:eastAsia="tr-TR"/>
        </w:rPr>
        <w:t xml:space="preserve"> Committee</w:t>
      </w:r>
      <w:r w:rsidR="007B4870" w:rsidRPr="007B4870">
        <w:rPr>
          <w:rFonts w:ascii="Times New Roman" w:hAnsi="Times New Roman" w:cs="Times New Roman"/>
          <w:sz w:val="20"/>
          <w:lang w:val="en-GB" w:eastAsia="tr-TR"/>
        </w:rPr>
        <w:t xml:space="preserve"> </w:t>
      </w:r>
      <w:r w:rsidR="007B4870">
        <w:rPr>
          <w:rFonts w:ascii="Times New Roman" w:hAnsi="Times New Roman" w:cs="Times New Roman"/>
          <w:sz w:val="20"/>
          <w:lang w:val="en-GB" w:eastAsia="tr-TR"/>
        </w:rPr>
        <w:t>was</w:t>
      </w:r>
      <w:r w:rsidR="0056191C">
        <w:rPr>
          <w:rFonts w:ascii="Times New Roman" w:hAnsi="Times New Roman" w:cs="Times New Roman"/>
          <w:sz w:val="20"/>
          <w:lang w:val="en-GB" w:eastAsia="tr-TR"/>
        </w:rPr>
        <w:t xml:space="preserve"> to</w:t>
      </w:r>
      <w:r w:rsidR="007B4870" w:rsidRPr="007B4870">
        <w:rPr>
          <w:rFonts w:ascii="Times New Roman" w:hAnsi="Times New Roman" w:cs="Times New Roman"/>
          <w:sz w:val="20"/>
          <w:lang w:val="en-GB" w:eastAsia="tr-TR"/>
        </w:rPr>
        <w:t xml:space="preserve"> develop recommendations for the Minister </w:t>
      </w:r>
      <w:r w:rsidR="007B4870">
        <w:rPr>
          <w:rFonts w:ascii="Times New Roman" w:hAnsi="Times New Roman" w:cs="Times New Roman"/>
          <w:sz w:val="20"/>
          <w:lang w:val="en-GB" w:eastAsia="tr-TR"/>
        </w:rPr>
        <w:t>on legislative and non-legislative arrangements aimed at acceleration of implementation of nuclear power projects in Poland</w:t>
      </w:r>
      <w:r w:rsidR="00C2766B">
        <w:rPr>
          <w:rFonts w:ascii="Times New Roman" w:hAnsi="Times New Roman" w:cs="Times New Roman"/>
          <w:sz w:val="20"/>
          <w:lang w:val="en-GB" w:eastAsia="tr-TR"/>
        </w:rPr>
        <w:t xml:space="preserve">. Pursuant to the regulation setting up the committee this included </w:t>
      </w:r>
      <w:r w:rsidR="00491060">
        <w:rPr>
          <w:rFonts w:ascii="Times New Roman" w:hAnsi="Times New Roman" w:cs="Times New Roman"/>
          <w:sz w:val="20"/>
          <w:lang w:val="en-GB" w:eastAsia="tr-TR"/>
        </w:rPr>
        <w:t>in particular</w:t>
      </w:r>
      <w:r w:rsidR="00C2766B">
        <w:rPr>
          <w:rFonts w:ascii="Times New Roman" w:hAnsi="Times New Roman" w:cs="Times New Roman"/>
          <w:sz w:val="20"/>
          <w:lang w:val="en-GB" w:eastAsia="tr-TR"/>
        </w:rPr>
        <w:t>:</w:t>
      </w:r>
    </w:p>
    <w:p w:rsidR="00491060" w:rsidRDefault="00491060" w:rsidP="00491060">
      <w:pPr>
        <w:pStyle w:val="Akapitzlist"/>
        <w:numPr>
          <w:ilvl w:val="0"/>
          <w:numId w:val="34"/>
        </w:numPr>
        <w:spacing w:after="0" w:line="240" w:lineRule="auto"/>
        <w:jc w:val="both"/>
        <w:rPr>
          <w:rFonts w:ascii="Times New Roman" w:hAnsi="Times New Roman" w:cs="Times New Roman"/>
          <w:sz w:val="20"/>
          <w:lang w:val="en-GB" w:eastAsia="tr-TR"/>
        </w:rPr>
      </w:pPr>
      <w:r w:rsidRPr="00491060">
        <w:rPr>
          <w:rFonts w:ascii="Times New Roman" w:hAnsi="Times New Roman" w:cs="Times New Roman"/>
          <w:sz w:val="20"/>
          <w:lang w:val="en-GB" w:eastAsia="tr-TR"/>
        </w:rPr>
        <w:t xml:space="preserve">recommending the legal arrangements </w:t>
      </w:r>
      <w:r w:rsidR="007F2932">
        <w:rPr>
          <w:rFonts w:ascii="Times New Roman" w:hAnsi="Times New Roman" w:cs="Times New Roman"/>
          <w:sz w:val="20"/>
          <w:lang w:val="en-GB" w:eastAsia="tr-TR"/>
        </w:rPr>
        <w:t xml:space="preserve">aimed at </w:t>
      </w:r>
      <w:r w:rsidRPr="00491060">
        <w:rPr>
          <w:rFonts w:ascii="Times New Roman" w:hAnsi="Times New Roman" w:cs="Times New Roman"/>
          <w:sz w:val="20"/>
          <w:lang w:val="en-GB" w:eastAsia="tr-TR"/>
        </w:rPr>
        <w:t>streamlining licensing and permitting processes for nuclear power plants and reducing other types of risks</w:t>
      </w:r>
      <w:r>
        <w:rPr>
          <w:rFonts w:ascii="Times New Roman" w:hAnsi="Times New Roman" w:cs="Times New Roman"/>
          <w:sz w:val="20"/>
          <w:lang w:val="en-GB" w:eastAsia="tr-TR"/>
        </w:rPr>
        <w:t>;</w:t>
      </w:r>
      <w:r w:rsidRPr="00491060">
        <w:rPr>
          <w:rFonts w:ascii="Times New Roman" w:hAnsi="Times New Roman" w:cs="Times New Roman"/>
          <w:sz w:val="20"/>
          <w:lang w:val="en-GB" w:eastAsia="tr-TR"/>
        </w:rPr>
        <w:t xml:space="preserve"> </w:t>
      </w:r>
    </w:p>
    <w:p w:rsidR="00491060" w:rsidRDefault="00491060" w:rsidP="00491060">
      <w:pPr>
        <w:pStyle w:val="Akapitzlist"/>
        <w:numPr>
          <w:ilvl w:val="0"/>
          <w:numId w:val="34"/>
        </w:numPr>
        <w:spacing w:after="0" w:line="240" w:lineRule="auto"/>
        <w:jc w:val="both"/>
        <w:rPr>
          <w:rFonts w:ascii="Times New Roman" w:hAnsi="Times New Roman" w:cs="Times New Roman"/>
          <w:sz w:val="20"/>
          <w:lang w:val="en-GB" w:eastAsia="tr-TR"/>
        </w:rPr>
      </w:pPr>
      <w:r w:rsidRPr="00491060">
        <w:rPr>
          <w:rFonts w:ascii="Times New Roman" w:hAnsi="Times New Roman" w:cs="Times New Roman"/>
          <w:sz w:val="20"/>
          <w:lang w:val="en-GB" w:eastAsia="tr-TR"/>
        </w:rPr>
        <w:t>exchanging information and good practices in the field of public communication on implementation of nuclear power projects, in particular with regards to the dialogue with local community</w:t>
      </w:r>
      <w:r>
        <w:rPr>
          <w:rFonts w:ascii="Times New Roman" w:hAnsi="Times New Roman" w:cs="Times New Roman"/>
          <w:sz w:val="20"/>
          <w:lang w:val="en-GB" w:eastAsia="tr-TR"/>
        </w:rPr>
        <w:t>;</w:t>
      </w:r>
    </w:p>
    <w:p w:rsidR="0056191C" w:rsidRDefault="00491060" w:rsidP="00491060">
      <w:pPr>
        <w:pStyle w:val="Akapitzlist"/>
        <w:numPr>
          <w:ilvl w:val="0"/>
          <w:numId w:val="34"/>
        </w:numPr>
        <w:spacing w:after="0" w:line="240" w:lineRule="auto"/>
        <w:jc w:val="both"/>
        <w:rPr>
          <w:rFonts w:ascii="Times New Roman" w:hAnsi="Times New Roman" w:cs="Times New Roman"/>
          <w:sz w:val="20"/>
          <w:lang w:val="en-GB" w:eastAsia="tr-TR"/>
        </w:rPr>
      </w:pPr>
      <w:r w:rsidRPr="00491060">
        <w:rPr>
          <w:rFonts w:ascii="Times New Roman" w:hAnsi="Times New Roman" w:cs="Times New Roman"/>
          <w:sz w:val="20"/>
          <w:lang w:val="en-GB" w:eastAsia="tr-TR"/>
        </w:rPr>
        <w:t>exchanging</w:t>
      </w:r>
      <w:r w:rsidRPr="00491060">
        <w:rPr>
          <w:rFonts w:ascii="Times New Roman" w:hAnsi="Times New Roman" w:cs="Times New Roman"/>
          <w:sz w:val="20"/>
          <w:lang w:val="en-GB" w:eastAsia="tr-TR"/>
        </w:rPr>
        <w:t xml:space="preserve"> information on the needs related to the provision of competent </w:t>
      </w:r>
      <w:r w:rsidRPr="00491060">
        <w:rPr>
          <w:rFonts w:ascii="Times New Roman" w:hAnsi="Times New Roman" w:cs="Times New Roman"/>
          <w:sz w:val="20"/>
          <w:lang w:val="en-GB" w:eastAsia="tr-TR"/>
        </w:rPr>
        <w:t xml:space="preserve">nuclear human resources for </w:t>
      </w:r>
      <w:r w:rsidRPr="00491060">
        <w:rPr>
          <w:rFonts w:ascii="Times New Roman" w:hAnsi="Times New Roman" w:cs="Times New Roman"/>
          <w:sz w:val="20"/>
          <w:lang w:val="en-GB" w:eastAsia="tr-TR"/>
        </w:rPr>
        <w:t xml:space="preserve">planned and ongoing </w:t>
      </w:r>
      <w:r w:rsidRPr="00491060">
        <w:rPr>
          <w:rFonts w:ascii="Times New Roman" w:hAnsi="Times New Roman" w:cs="Times New Roman"/>
          <w:sz w:val="20"/>
          <w:lang w:val="en-GB" w:eastAsia="tr-TR"/>
        </w:rPr>
        <w:t xml:space="preserve">nuclear </w:t>
      </w:r>
      <w:r w:rsidRPr="00491060">
        <w:rPr>
          <w:rFonts w:ascii="Times New Roman" w:hAnsi="Times New Roman" w:cs="Times New Roman"/>
          <w:sz w:val="20"/>
          <w:lang w:val="en-GB" w:eastAsia="tr-TR"/>
        </w:rPr>
        <w:t>investment projects</w:t>
      </w:r>
      <w:r>
        <w:rPr>
          <w:rFonts w:ascii="Times New Roman" w:hAnsi="Times New Roman" w:cs="Times New Roman"/>
          <w:sz w:val="20"/>
          <w:lang w:val="en-GB" w:eastAsia="tr-TR"/>
        </w:rPr>
        <w:t>;</w:t>
      </w:r>
    </w:p>
    <w:p w:rsidR="007F2932" w:rsidRDefault="007F2932" w:rsidP="00491060">
      <w:pPr>
        <w:pStyle w:val="Akapitzlist"/>
        <w:numPr>
          <w:ilvl w:val="0"/>
          <w:numId w:val="34"/>
        </w:numPr>
        <w:spacing w:after="0" w:line="240" w:lineRule="auto"/>
        <w:jc w:val="both"/>
        <w:rPr>
          <w:rFonts w:ascii="Times New Roman" w:hAnsi="Times New Roman" w:cs="Times New Roman"/>
          <w:sz w:val="20"/>
          <w:lang w:val="en-GB" w:eastAsia="tr-TR"/>
        </w:rPr>
      </w:pPr>
      <w:r>
        <w:rPr>
          <w:rFonts w:ascii="Times New Roman" w:hAnsi="Times New Roman" w:cs="Times New Roman"/>
          <w:sz w:val="20"/>
          <w:lang w:val="en-GB" w:eastAsia="tr-TR"/>
        </w:rPr>
        <w:t>exchanging information on the estimated amount of radioactive waste that will be generated by the planned nuclear power plants – for the need of possible update of National Plan for Radioactive Waste and Spent Nuclear Fuel Management</w:t>
      </w:r>
    </w:p>
    <w:p w:rsidR="007F2932" w:rsidRPr="007F2932" w:rsidRDefault="007F2932" w:rsidP="007F2932">
      <w:pPr>
        <w:pStyle w:val="Akapitzlist"/>
        <w:numPr>
          <w:ilvl w:val="0"/>
          <w:numId w:val="34"/>
        </w:numPr>
        <w:spacing w:after="0" w:line="240" w:lineRule="auto"/>
        <w:jc w:val="both"/>
        <w:rPr>
          <w:rFonts w:ascii="Times New Roman" w:hAnsi="Times New Roman" w:cs="Times New Roman"/>
          <w:sz w:val="20"/>
          <w:lang w:val="en-GB" w:eastAsia="tr-TR"/>
        </w:rPr>
      </w:pPr>
      <w:r>
        <w:rPr>
          <w:rFonts w:ascii="Times New Roman" w:hAnsi="Times New Roman" w:cs="Times New Roman"/>
          <w:sz w:val="20"/>
          <w:lang w:val="en-GB" w:eastAsia="tr-TR"/>
        </w:rPr>
        <w:t>discussion on the need to adhere by Poland to relevant international legal instruments.</w:t>
      </w:r>
    </w:p>
    <w:p w:rsidR="00183DF4" w:rsidRDefault="00183DF4" w:rsidP="006B6FD9">
      <w:pPr>
        <w:spacing w:after="0" w:line="240" w:lineRule="auto"/>
        <w:ind w:firstLine="284"/>
        <w:jc w:val="both"/>
        <w:rPr>
          <w:rFonts w:ascii="Times New Roman" w:hAnsi="Times New Roman" w:cs="Times New Roman"/>
          <w:sz w:val="20"/>
          <w:lang w:val="en-GB" w:eastAsia="tr-TR"/>
        </w:rPr>
      </w:pPr>
      <w:r>
        <w:rPr>
          <w:rFonts w:ascii="Times New Roman" w:hAnsi="Times New Roman" w:cs="Times New Roman"/>
          <w:sz w:val="20"/>
          <w:lang w:val="en-GB" w:eastAsia="tr-TR"/>
        </w:rPr>
        <w:t>The Committee was composed of 10-12 members: 4 representatives of the Ministry of Climate and Environment (the then NEPIO)</w:t>
      </w:r>
      <w:r w:rsidR="006B6FD9">
        <w:rPr>
          <w:rFonts w:ascii="Times New Roman" w:hAnsi="Times New Roman" w:cs="Times New Roman"/>
          <w:sz w:val="20"/>
          <w:lang w:val="en-GB" w:eastAsia="tr-TR"/>
        </w:rPr>
        <w:t>, including the deputy minister in charge of nuclear energy (as a president of the committee),</w:t>
      </w:r>
      <w:r>
        <w:rPr>
          <w:rFonts w:ascii="Times New Roman" w:hAnsi="Times New Roman" w:cs="Times New Roman"/>
          <w:sz w:val="20"/>
          <w:lang w:val="en-GB" w:eastAsia="tr-TR"/>
        </w:rPr>
        <w:t xml:space="preserve"> </w:t>
      </w:r>
      <w:r w:rsidR="006B6FD9">
        <w:rPr>
          <w:rFonts w:ascii="Times New Roman" w:hAnsi="Times New Roman" w:cs="Times New Roman"/>
          <w:sz w:val="20"/>
          <w:lang w:val="en-GB" w:eastAsia="tr-TR"/>
        </w:rPr>
        <w:t xml:space="preserve">1 representative of the Government Plenipotentiary for Strategic Energy Infrastructure as well as 1-2 representatives of each of the investors invited). </w:t>
      </w:r>
      <w:r w:rsidR="006B6FD9" w:rsidRPr="006B6FD9">
        <w:rPr>
          <w:rFonts w:ascii="Times New Roman" w:hAnsi="Times New Roman" w:cs="Times New Roman"/>
          <w:sz w:val="20"/>
          <w:lang w:val="en-GB" w:eastAsia="tr-TR"/>
        </w:rPr>
        <w:t>With the approval of the chairman, invited experts could participate in the meetings</w:t>
      </w:r>
      <w:r w:rsidR="006B6FD9">
        <w:rPr>
          <w:rFonts w:ascii="Times New Roman" w:hAnsi="Times New Roman" w:cs="Times New Roman"/>
          <w:sz w:val="20"/>
          <w:lang w:val="en-GB" w:eastAsia="tr-TR"/>
        </w:rPr>
        <w:t>.</w:t>
      </w:r>
    </w:p>
    <w:p w:rsidR="006B6FD9" w:rsidRPr="00674B48" w:rsidRDefault="006B6FD9" w:rsidP="00674B48">
      <w:pPr>
        <w:ind w:firstLine="284"/>
        <w:jc w:val="both"/>
        <w:rPr>
          <w:rFonts w:ascii="Times New Roman" w:hAnsi="Times New Roman" w:cs="Times New Roman"/>
          <w:sz w:val="20"/>
          <w:lang w:val="en-GB" w:eastAsia="tr-TR"/>
        </w:rPr>
      </w:pPr>
      <w:r>
        <w:rPr>
          <w:rFonts w:ascii="Times New Roman" w:hAnsi="Times New Roman" w:cs="Times New Roman"/>
          <w:sz w:val="20"/>
          <w:lang w:val="en-GB" w:eastAsia="tr-TR"/>
        </w:rPr>
        <w:t xml:space="preserve">The Committee appeared to be a very efficient platform of communication and discussion of various challenges related to implementation of NPP projects  between (1) the NEPIO,  (2) investors going to construct </w:t>
      </w:r>
      <w:r>
        <w:rPr>
          <w:rFonts w:ascii="Times New Roman" w:hAnsi="Times New Roman" w:cs="Times New Roman"/>
          <w:sz w:val="20"/>
          <w:lang w:val="en-GB" w:eastAsia="tr-TR"/>
        </w:rPr>
        <w:t>SMRs</w:t>
      </w:r>
      <w:r>
        <w:rPr>
          <w:rFonts w:ascii="Times New Roman" w:hAnsi="Times New Roman" w:cs="Times New Roman"/>
          <w:sz w:val="20"/>
          <w:lang w:val="en-GB" w:eastAsia="tr-TR"/>
        </w:rPr>
        <w:t xml:space="preserve">, (3) investors going to construct large-scale nuclear power plants, (4) other relevant stakeholders – except the Nuclear Regulatory Authority. Since many emerging investors planning to develop nuclear power projects, especially in the field of SMRs, have limited expierience and knowledge of relevant International, European and national requirements the Committee appeared also to be very efficient tool for </w:t>
      </w:r>
      <w:r w:rsidRPr="00BE44E4">
        <w:rPr>
          <w:rFonts w:ascii="Times New Roman" w:hAnsi="Times New Roman" w:cs="Times New Roman"/>
          <w:b/>
          <w:sz w:val="20"/>
          <w:lang w:val="en-GB" w:eastAsia="tr-TR"/>
        </w:rPr>
        <w:t>transferring the knowledge</w:t>
      </w:r>
      <w:r>
        <w:rPr>
          <w:rFonts w:ascii="Times New Roman" w:hAnsi="Times New Roman" w:cs="Times New Roman"/>
          <w:b/>
          <w:sz w:val="20"/>
          <w:lang w:val="en-GB" w:eastAsia="tr-TR"/>
        </w:rPr>
        <w:t xml:space="preserve"> </w:t>
      </w:r>
      <w:r w:rsidRPr="00DE58D3">
        <w:rPr>
          <w:rFonts w:ascii="Times New Roman" w:hAnsi="Times New Roman" w:cs="Times New Roman"/>
          <w:sz w:val="20"/>
          <w:lang w:val="en-GB" w:eastAsia="tr-TR"/>
        </w:rPr>
        <w:t xml:space="preserve">(e.g. in the field of IAEA milestones approach) </w:t>
      </w:r>
      <w:r>
        <w:rPr>
          <w:rFonts w:ascii="Times New Roman" w:hAnsi="Times New Roman" w:cs="Times New Roman"/>
          <w:sz w:val="20"/>
          <w:lang w:val="en-GB" w:eastAsia="tr-TR"/>
        </w:rPr>
        <w:t>from NEPIO to investors on one hand and exchanging the good practices and lessons-learnt from implementing the NPP projects (e.g. in the field of public communication) between the investors themselves – especially form the more ex</w:t>
      </w:r>
      <w:r w:rsidR="00DE58D3">
        <w:rPr>
          <w:rFonts w:ascii="Times New Roman" w:hAnsi="Times New Roman" w:cs="Times New Roman"/>
          <w:sz w:val="20"/>
          <w:lang w:val="en-GB" w:eastAsia="tr-TR"/>
        </w:rPr>
        <w:t>perienced investors to the less experienced ones</w:t>
      </w:r>
      <w:bookmarkStart w:id="2" w:name="_GoBack"/>
      <w:bookmarkEnd w:id="2"/>
      <w:r>
        <w:rPr>
          <w:rFonts w:ascii="Times New Roman" w:hAnsi="Times New Roman" w:cs="Times New Roman"/>
          <w:sz w:val="20"/>
          <w:lang w:val="en-GB" w:eastAsia="tr-TR"/>
        </w:rPr>
        <w:t>.</w:t>
      </w:r>
    </w:p>
    <w:p w:rsidR="006B6FD9" w:rsidRDefault="006B6FD9" w:rsidP="00674B48">
      <w:pPr>
        <w:pStyle w:val="p"/>
        <w:spacing w:before="0" w:after="0" w:line="240" w:lineRule="auto"/>
        <w:rPr>
          <w:rFonts w:ascii="Times New Roman" w:hAnsi="Times New Roman" w:cs="Times New Roman"/>
          <w:sz w:val="20"/>
          <w:lang w:eastAsia="tr-TR"/>
        </w:rPr>
      </w:pPr>
      <w:r>
        <w:rPr>
          <w:rFonts w:ascii="Times New Roman" w:hAnsi="Times New Roman" w:cs="Times New Roman"/>
          <w:color w:val="auto"/>
          <w:sz w:val="20"/>
          <w:szCs w:val="20"/>
        </w:rPr>
        <w:t>3.3</w:t>
      </w:r>
      <w:r w:rsidRPr="006B6FD9">
        <w:rPr>
          <w:rFonts w:ascii="Times New Roman" w:hAnsi="Times New Roman" w:cs="Times New Roman"/>
          <w:color w:val="auto"/>
          <w:sz w:val="20"/>
          <w:szCs w:val="20"/>
        </w:rPr>
        <w:t xml:space="preserve">. </w:t>
      </w:r>
      <w:r w:rsidR="002A163D">
        <w:rPr>
          <w:rFonts w:ascii="Times New Roman" w:hAnsi="Times New Roman" w:cs="Times New Roman"/>
          <w:sz w:val="20"/>
          <w:lang w:eastAsia="tr-TR"/>
        </w:rPr>
        <w:t>Memorandum</w:t>
      </w:r>
      <w:r>
        <w:rPr>
          <w:rFonts w:ascii="Times New Roman" w:hAnsi="Times New Roman" w:cs="Times New Roman"/>
          <w:sz w:val="20"/>
          <w:lang w:eastAsia="tr-TR"/>
        </w:rPr>
        <w:t xml:space="preserve"> </w:t>
      </w:r>
      <w:r w:rsidR="00674B48">
        <w:rPr>
          <w:rFonts w:ascii="Times New Roman" w:hAnsi="Times New Roman" w:cs="Times New Roman"/>
          <w:sz w:val="20"/>
          <w:lang w:eastAsia="tr-TR"/>
        </w:rPr>
        <w:t>concluded by the Nuclear Regulatory Body</w:t>
      </w:r>
      <w:r>
        <w:rPr>
          <w:rFonts w:ascii="Times New Roman" w:hAnsi="Times New Roman" w:cs="Times New Roman"/>
          <w:sz w:val="20"/>
          <w:lang w:eastAsia="tr-TR"/>
        </w:rPr>
        <w:t xml:space="preserve"> </w:t>
      </w:r>
      <w:r w:rsidR="002A163D">
        <w:rPr>
          <w:rFonts w:ascii="Times New Roman" w:hAnsi="Times New Roman" w:cs="Times New Roman"/>
          <w:sz w:val="20"/>
          <w:lang w:eastAsia="tr-TR"/>
        </w:rPr>
        <w:t>with its counterpart</w:t>
      </w:r>
      <w:r w:rsidR="00674B48">
        <w:rPr>
          <w:rFonts w:ascii="Times New Roman" w:hAnsi="Times New Roman" w:cs="Times New Roman"/>
          <w:sz w:val="20"/>
          <w:lang w:eastAsia="tr-TR"/>
        </w:rPr>
        <w:t xml:space="preserve"> from other </w:t>
      </w:r>
      <w:r w:rsidR="002A163D">
        <w:rPr>
          <w:rFonts w:ascii="Times New Roman" w:hAnsi="Times New Roman" w:cs="Times New Roman"/>
          <w:sz w:val="20"/>
          <w:lang w:eastAsia="tr-TR"/>
        </w:rPr>
        <w:t>country</w:t>
      </w:r>
      <w:r>
        <w:rPr>
          <w:rFonts w:ascii="Times New Roman" w:hAnsi="Times New Roman" w:cs="Times New Roman"/>
          <w:sz w:val="20"/>
          <w:lang w:eastAsia="tr-TR"/>
        </w:rPr>
        <w:t>.</w:t>
      </w:r>
    </w:p>
    <w:p w:rsidR="00674B48" w:rsidRPr="00674B48" w:rsidRDefault="00674B48" w:rsidP="00674B48">
      <w:pPr>
        <w:pStyle w:val="p"/>
        <w:spacing w:before="0" w:after="0" w:line="240" w:lineRule="auto"/>
        <w:rPr>
          <w:rFonts w:ascii="Times New Roman" w:hAnsi="Times New Roman" w:cs="Times New Roman"/>
          <w:color w:val="auto"/>
          <w:sz w:val="20"/>
          <w:szCs w:val="20"/>
        </w:rPr>
      </w:pPr>
    </w:p>
    <w:p w:rsidR="006B6FD9" w:rsidRPr="006B6FD9" w:rsidRDefault="006B6FD9" w:rsidP="002A163D">
      <w:pPr>
        <w:spacing w:after="0" w:line="240" w:lineRule="auto"/>
        <w:ind w:firstLine="284"/>
        <w:jc w:val="both"/>
        <w:rPr>
          <w:rFonts w:ascii="Times New Roman" w:hAnsi="Times New Roman" w:cs="Times New Roman"/>
          <w:sz w:val="20"/>
          <w:lang w:val="en-GB" w:eastAsia="tr-TR"/>
        </w:rPr>
      </w:pPr>
      <w:r>
        <w:rPr>
          <w:rFonts w:ascii="Times New Roman" w:hAnsi="Times New Roman" w:cs="Times New Roman"/>
          <w:sz w:val="20"/>
          <w:lang w:val="en-GB" w:eastAsia="tr-TR"/>
        </w:rPr>
        <w:t xml:space="preserve">Nuclear Regulatory Body is not in charge of promoting nuclear energy. However by establishing </w:t>
      </w:r>
      <w:r w:rsidR="00EC6367">
        <w:rPr>
          <w:rFonts w:ascii="Times New Roman" w:hAnsi="Times New Roman" w:cs="Times New Roman"/>
          <w:sz w:val="20"/>
          <w:lang w:val="en-GB" w:eastAsia="tr-TR"/>
        </w:rPr>
        <w:t xml:space="preserve">the close  cooperation with the counterparts from other countries it may significantly streamline licensing process in </w:t>
      </w:r>
      <w:r w:rsidR="00EC6367" w:rsidRPr="002A163D">
        <w:rPr>
          <w:rFonts w:ascii="Times New Roman" w:hAnsi="Times New Roman" w:cs="Times New Roman"/>
          <w:sz w:val="20"/>
          <w:lang w:val="en-GB" w:eastAsia="tr-TR"/>
        </w:rPr>
        <w:t xml:space="preserve">particular with regards to the advanced reactors. A </w:t>
      </w:r>
      <w:r w:rsidR="00674B48" w:rsidRPr="002A163D">
        <w:rPr>
          <w:rFonts w:ascii="Times New Roman" w:hAnsi="Times New Roman" w:cs="Times New Roman"/>
          <w:sz w:val="20"/>
          <w:lang w:val="en-GB" w:eastAsia="tr-TR"/>
        </w:rPr>
        <w:t>good</w:t>
      </w:r>
      <w:r w:rsidR="00EC6367" w:rsidRPr="002A163D">
        <w:rPr>
          <w:rFonts w:ascii="Times New Roman" w:hAnsi="Times New Roman" w:cs="Times New Roman"/>
          <w:sz w:val="20"/>
          <w:lang w:val="en-GB" w:eastAsia="tr-TR"/>
        </w:rPr>
        <w:t xml:space="preserve"> example for this is the </w:t>
      </w:r>
      <w:r w:rsidR="00AB7496" w:rsidRPr="002A163D">
        <w:rPr>
          <w:rFonts w:ascii="Times New Roman" w:hAnsi="Times New Roman" w:cs="Times New Roman"/>
          <w:sz w:val="20"/>
          <w:lang w:val="en-GB" w:eastAsia="tr-TR"/>
        </w:rPr>
        <w:t>memorandum</w:t>
      </w:r>
      <w:r w:rsidR="00EC6367" w:rsidRPr="002A163D">
        <w:rPr>
          <w:rFonts w:ascii="Times New Roman" w:hAnsi="Times New Roman" w:cs="Times New Roman"/>
          <w:sz w:val="20"/>
          <w:lang w:val="en-GB" w:eastAsia="tr-TR"/>
        </w:rPr>
        <w:t xml:space="preserve"> concluded on 13 February 2023 between the President of National Atomic Energy Agency </w:t>
      </w:r>
      <w:r w:rsidR="00674B48" w:rsidRPr="002A163D">
        <w:rPr>
          <w:rFonts w:ascii="Times New Roman" w:hAnsi="Times New Roman" w:cs="Times New Roman"/>
          <w:sz w:val="20"/>
          <w:lang w:val="en-GB" w:eastAsia="tr-TR"/>
        </w:rPr>
        <w:t xml:space="preserve">and the </w:t>
      </w:r>
      <w:r w:rsidR="00EC6367" w:rsidRPr="002A163D">
        <w:rPr>
          <w:rFonts w:ascii="Times New Roman" w:hAnsi="Times New Roman" w:cs="Times New Roman"/>
          <w:sz w:val="20"/>
          <w:lang w:val="en-GB" w:eastAsia="tr-TR"/>
        </w:rPr>
        <w:t>Canadian Commission of Nuclear Safety</w:t>
      </w:r>
      <w:r w:rsidR="007F3D90" w:rsidRPr="002A163D">
        <w:rPr>
          <w:rFonts w:ascii="Times New Roman" w:hAnsi="Times New Roman" w:cs="Times New Roman"/>
          <w:sz w:val="20"/>
          <w:lang w:val="en-GB" w:eastAsia="tr-TR"/>
        </w:rPr>
        <w:t xml:space="preserve"> (that</w:t>
      </w:r>
      <w:r w:rsidR="00EC6367" w:rsidRPr="002A163D">
        <w:rPr>
          <w:rFonts w:ascii="Times New Roman" w:hAnsi="Times New Roman" w:cs="Times New Roman"/>
          <w:sz w:val="20"/>
          <w:lang w:val="en-GB" w:eastAsia="tr-TR"/>
        </w:rPr>
        <w:t xml:space="preserve"> is undergoing safety assessment of one of SMR technologies which are also going to be implemented in Po</w:t>
      </w:r>
      <w:r w:rsidR="007F3D90" w:rsidRPr="002A163D">
        <w:rPr>
          <w:rFonts w:ascii="Times New Roman" w:hAnsi="Times New Roman" w:cs="Times New Roman"/>
          <w:sz w:val="20"/>
          <w:lang w:val="en-GB" w:eastAsia="tr-TR"/>
        </w:rPr>
        <w:t>land). B</w:t>
      </w:r>
      <w:r w:rsidR="00EC6367" w:rsidRPr="002A163D">
        <w:rPr>
          <w:rFonts w:ascii="Times New Roman" w:hAnsi="Times New Roman" w:cs="Times New Roman"/>
          <w:sz w:val="20"/>
          <w:lang w:val="en-GB" w:eastAsia="tr-TR"/>
        </w:rPr>
        <w:t xml:space="preserve">ased on the </w:t>
      </w:r>
      <w:r w:rsidR="0047583A" w:rsidRPr="002A163D">
        <w:rPr>
          <w:rFonts w:ascii="Times New Roman" w:hAnsi="Times New Roman" w:cs="Times New Roman"/>
          <w:sz w:val="20"/>
          <w:lang w:val="en-GB" w:eastAsia="tr-TR"/>
        </w:rPr>
        <w:t>memorandum</w:t>
      </w:r>
      <w:r w:rsidR="00EC6367" w:rsidRPr="002A163D">
        <w:rPr>
          <w:rFonts w:ascii="Times New Roman" w:hAnsi="Times New Roman" w:cs="Times New Roman"/>
          <w:sz w:val="20"/>
          <w:lang w:val="en-GB" w:eastAsia="tr-TR"/>
        </w:rPr>
        <w:t xml:space="preserve"> the PAA </w:t>
      </w:r>
      <w:r w:rsidR="002A163D" w:rsidRPr="002A163D">
        <w:rPr>
          <w:rFonts w:ascii="Times New Roman" w:hAnsi="Times New Roman" w:cs="Times New Roman"/>
          <w:sz w:val="20"/>
          <w:lang w:val="en-GB" w:eastAsia="tr-TR"/>
        </w:rPr>
        <w:t>and the CNCS will exchange information on the</w:t>
      </w:r>
      <w:r w:rsidR="00EC6367" w:rsidRPr="002A163D">
        <w:rPr>
          <w:rFonts w:ascii="Times New Roman" w:hAnsi="Times New Roman" w:cs="Times New Roman"/>
          <w:sz w:val="20"/>
          <w:lang w:val="en-GB" w:eastAsia="tr-TR"/>
        </w:rPr>
        <w:t xml:space="preserve"> safety </w:t>
      </w:r>
      <w:r w:rsidR="00674B48" w:rsidRPr="002A163D">
        <w:rPr>
          <w:rFonts w:ascii="Times New Roman" w:hAnsi="Times New Roman" w:cs="Times New Roman"/>
          <w:sz w:val="20"/>
          <w:lang w:val="en-GB" w:eastAsia="tr-TR"/>
        </w:rPr>
        <w:t>review. L</w:t>
      </w:r>
      <w:r w:rsidR="00EC6367" w:rsidRPr="002A163D">
        <w:rPr>
          <w:rFonts w:ascii="Times New Roman" w:hAnsi="Times New Roman" w:cs="Times New Roman"/>
          <w:sz w:val="20"/>
          <w:lang w:val="en-GB" w:eastAsia="tr-TR"/>
        </w:rPr>
        <w:t>essons-learnt</w:t>
      </w:r>
      <w:r w:rsidR="00674B48" w:rsidRPr="002A163D">
        <w:rPr>
          <w:rFonts w:ascii="Times New Roman" w:hAnsi="Times New Roman" w:cs="Times New Roman"/>
          <w:sz w:val="20"/>
          <w:lang w:val="en-GB" w:eastAsia="tr-TR"/>
        </w:rPr>
        <w:t xml:space="preserve"> from that process may be later used in the licening of the same technology in Poland and by this shortening the duration of that process.</w:t>
      </w:r>
      <w:r w:rsidR="00674B48">
        <w:rPr>
          <w:rFonts w:ascii="Times New Roman" w:hAnsi="Times New Roman" w:cs="Times New Roman"/>
          <w:sz w:val="20"/>
          <w:lang w:val="en-GB" w:eastAsia="tr-TR"/>
        </w:rPr>
        <w:t xml:space="preserve"> </w:t>
      </w:r>
    </w:p>
    <w:p w:rsidR="00DA39B6" w:rsidRPr="00DA39B6" w:rsidRDefault="00DA39B6" w:rsidP="00674B48">
      <w:pPr>
        <w:autoSpaceDE w:val="0"/>
        <w:autoSpaceDN w:val="0"/>
        <w:adjustRightInd w:val="0"/>
        <w:spacing w:before="100" w:beforeAutospacing="1" w:after="100" w:afterAutospacing="1" w:line="280" w:lineRule="atLeast"/>
        <w:jc w:val="both"/>
        <w:rPr>
          <w:rFonts w:ascii="Times New Roman" w:hAnsi="Times New Roman" w:cs="Times New Roman"/>
          <w:sz w:val="20"/>
          <w:szCs w:val="20"/>
        </w:rPr>
      </w:pPr>
      <w:r w:rsidRPr="00DA39B6">
        <w:rPr>
          <w:rFonts w:ascii="Times New Roman" w:hAnsi="Times New Roman" w:cs="Times New Roman"/>
          <w:sz w:val="20"/>
          <w:szCs w:val="20"/>
        </w:rPr>
        <w:t>4. SUMMARY AND CONCLUSIONS</w:t>
      </w:r>
    </w:p>
    <w:p w:rsidR="00DA39B6" w:rsidRPr="00DA39B6" w:rsidRDefault="00DA39B6" w:rsidP="00DA39B6">
      <w:pPr>
        <w:autoSpaceDE w:val="0"/>
        <w:autoSpaceDN w:val="0"/>
        <w:adjustRightInd w:val="0"/>
        <w:spacing w:after="0" w:line="240" w:lineRule="auto"/>
        <w:ind w:firstLine="360"/>
        <w:jc w:val="both"/>
        <w:rPr>
          <w:rFonts w:ascii="Times New Roman" w:hAnsi="Times New Roman" w:cs="Times New Roman"/>
          <w:sz w:val="20"/>
          <w:szCs w:val="20"/>
        </w:rPr>
      </w:pPr>
      <w:r w:rsidRPr="00DA39B6">
        <w:rPr>
          <w:rFonts w:ascii="Times New Roman" w:hAnsi="Times New Roman" w:cs="Times New Roman"/>
          <w:sz w:val="20"/>
          <w:szCs w:val="20"/>
        </w:rPr>
        <w:t xml:space="preserve">Over the recent years Poland has significantly transformed its nuclear-related legal (and institutional) framework, under holistic and non-standard approach presented in the paper, with aim to accelerate implementation of its nuclear power programme. During that process particular attention was given to lesson-learnt from implementation of other strategic infrastructure investment projects, lessons-learnt from implementation of domestic nuclear power programme and other nuclear power programmes (abroad) as well as to the relevant recommendations of the IAEA. Currently the Polish nuclear-related legal framework consists of significant number of regulations, arrangements aimed at streamlining licensing process, facilitating investment process and reducing various types of associated risks, enhancing public support for nuclear etc. with only some of them being presented in the paper. As all of them are technology neutral they are allowing to speed-up  implementaion of both, large-scale and SMRs nuclear investment projects. </w:t>
      </w:r>
    </w:p>
    <w:p w:rsidR="00DA39B6" w:rsidRPr="00DA39B6" w:rsidRDefault="00DA39B6" w:rsidP="00DA39B6">
      <w:pPr>
        <w:autoSpaceDE w:val="0"/>
        <w:autoSpaceDN w:val="0"/>
        <w:adjustRightInd w:val="0"/>
        <w:spacing w:after="0" w:line="240" w:lineRule="auto"/>
        <w:ind w:firstLine="360"/>
        <w:jc w:val="both"/>
        <w:rPr>
          <w:rFonts w:ascii="Times New Roman" w:hAnsi="Times New Roman" w:cs="Times New Roman"/>
          <w:sz w:val="20"/>
          <w:szCs w:val="20"/>
        </w:rPr>
      </w:pPr>
      <w:r w:rsidRPr="00DA39B6">
        <w:rPr>
          <w:rFonts w:ascii="Times New Roman" w:hAnsi="Times New Roman" w:cs="Times New Roman"/>
          <w:sz w:val="20"/>
          <w:szCs w:val="20"/>
        </w:rPr>
        <w:t>It should be noted that the experience of Poland in developing „applicant’s friendly approach to nuclear licensing” and other arrangements aimed at accelerating nuclear investment projects perhaps may be useful also for other countries going to introduce or expand its nuclear power programmes – and vice versa. Many such „pro-nuclear” regulations certainly are in place also in other countries despite being widely unknown at the global level - as there are very limited international  platforms to exchange such good legislative practices (in opposite e.g. to the field of nuclear safety).</w:t>
      </w:r>
    </w:p>
    <w:p w:rsidR="00183DF4" w:rsidRDefault="00DA39B6" w:rsidP="00674B48">
      <w:pPr>
        <w:autoSpaceDE w:val="0"/>
        <w:autoSpaceDN w:val="0"/>
        <w:adjustRightInd w:val="0"/>
        <w:spacing w:after="0" w:line="240" w:lineRule="auto"/>
        <w:ind w:firstLine="360"/>
        <w:jc w:val="both"/>
        <w:rPr>
          <w:rFonts w:ascii="Times New Roman" w:hAnsi="Times New Roman" w:cs="Times New Roman"/>
          <w:sz w:val="20"/>
          <w:szCs w:val="20"/>
        </w:rPr>
      </w:pPr>
      <w:r w:rsidRPr="00DA39B6">
        <w:rPr>
          <w:rFonts w:ascii="Times New Roman" w:hAnsi="Times New Roman" w:cs="Times New Roman"/>
          <w:sz w:val="20"/>
          <w:szCs w:val="20"/>
        </w:rPr>
        <w:t xml:space="preserve">From that point of view it is worth to consider developing international </w:t>
      </w:r>
      <w:r w:rsidR="007838FE">
        <w:rPr>
          <w:rFonts w:ascii="Times New Roman" w:hAnsi="Times New Roman" w:cs="Times New Roman"/>
          <w:sz w:val="20"/>
          <w:szCs w:val="20"/>
        </w:rPr>
        <w:t>guide</w:t>
      </w:r>
      <w:r w:rsidRPr="00DA39B6">
        <w:rPr>
          <w:rFonts w:ascii="Times New Roman" w:hAnsi="Times New Roman" w:cs="Times New Roman"/>
          <w:sz w:val="20"/>
          <w:szCs w:val="20"/>
        </w:rPr>
        <w:t xml:space="preserve"> (report, </w:t>
      </w:r>
      <w:r w:rsidR="007838FE">
        <w:rPr>
          <w:rFonts w:ascii="Times New Roman" w:hAnsi="Times New Roman" w:cs="Times New Roman"/>
          <w:sz w:val="20"/>
          <w:szCs w:val="20"/>
        </w:rPr>
        <w:t>database</w:t>
      </w:r>
      <w:r w:rsidRPr="00DA39B6">
        <w:rPr>
          <w:rFonts w:ascii="Times New Roman" w:hAnsi="Times New Roman" w:cs="Times New Roman"/>
          <w:sz w:val="20"/>
          <w:szCs w:val="20"/>
        </w:rPr>
        <w:t>, etc.) enlisting the best practices of various countries in streamlining nuclear licensing and permitting processes, reducing investment risks or enhancing social</w:t>
      </w:r>
      <w:r w:rsidR="007838FE">
        <w:rPr>
          <w:rFonts w:ascii="Times New Roman" w:hAnsi="Times New Roman" w:cs="Times New Roman"/>
          <w:sz w:val="20"/>
          <w:szCs w:val="20"/>
        </w:rPr>
        <w:t xml:space="preserve"> acceptance of nuclear energy. </w:t>
      </w:r>
      <w:r w:rsidRPr="00DA39B6">
        <w:rPr>
          <w:rFonts w:ascii="Times New Roman" w:hAnsi="Times New Roman" w:cs="Times New Roman"/>
          <w:sz w:val="20"/>
          <w:szCs w:val="20"/>
        </w:rPr>
        <w:t xml:space="preserve">Such open and „organically-growing” set of </w:t>
      </w:r>
      <w:r w:rsidRPr="00DA39B6">
        <w:rPr>
          <w:rFonts w:ascii="Times New Roman" w:hAnsi="Times New Roman" w:cs="Times New Roman"/>
          <w:sz w:val="20"/>
          <w:szCs w:val="20"/>
        </w:rPr>
        <w:lastRenderedPageBreak/>
        <w:t>best practices could be invaluable not only for law-drafters from counties planning to accelerate their nuclear power programmes (especially nuclear newcommes) but also to the IAEA. As it is well-known, the legislation might be a very powerful tool to speed up investment processeses. If so, the implementation of the proposed idea could make the upcomming nuclear „renessaince” – both with regards to large-scale nuclear power plants and SMRs -</w:t>
      </w:r>
      <w:r>
        <w:rPr>
          <w:rFonts w:ascii="Times New Roman" w:hAnsi="Times New Roman" w:cs="Times New Roman"/>
          <w:sz w:val="20"/>
          <w:szCs w:val="20"/>
        </w:rPr>
        <w:t xml:space="preserve"> a one little step closer. </w:t>
      </w:r>
    </w:p>
    <w:p w:rsidR="00674B48" w:rsidRDefault="00674B48" w:rsidP="00674B48">
      <w:pPr>
        <w:autoSpaceDE w:val="0"/>
        <w:autoSpaceDN w:val="0"/>
        <w:adjustRightInd w:val="0"/>
        <w:spacing w:after="0" w:line="240" w:lineRule="auto"/>
        <w:ind w:firstLine="360"/>
        <w:jc w:val="both"/>
        <w:rPr>
          <w:rFonts w:ascii="Times New Roman" w:hAnsi="Times New Roman" w:cs="Times New Roman"/>
          <w:sz w:val="20"/>
          <w:szCs w:val="20"/>
        </w:rPr>
      </w:pPr>
    </w:p>
    <w:p w:rsidR="00DE58D3" w:rsidRDefault="00DE58D3" w:rsidP="00674B48">
      <w:pPr>
        <w:autoSpaceDE w:val="0"/>
        <w:autoSpaceDN w:val="0"/>
        <w:adjustRightInd w:val="0"/>
        <w:spacing w:after="0" w:line="240" w:lineRule="auto"/>
        <w:ind w:firstLine="360"/>
        <w:jc w:val="both"/>
        <w:rPr>
          <w:rFonts w:ascii="Times New Roman" w:hAnsi="Times New Roman" w:cs="Times New Roman"/>
          <w:sz w:val="20"/>
          <w:szCs w:val="20"/>
        </w:rPr>
      </w:pPr>
    </w:p>
    <w:p w:rsidR="007F05C5" w:rsidRDefault="007F05C5" w:rsidP="007F05C5">
      <w:pPr>
        <w:autoSpaceDE w:val="0"/>
        <w:autoSpaceDN w:val="0"/>
        <w:adjustRightInd w:val="0"/>
        <w:spacing w:after="0" w:line="240" w:lineRule="auto"/>
        <w:jc w:val="both"/>
        <w:rPr>
          <w:rFonts w:ascii="Times New Roman" w:hAnsi="Times New Roman" w:cs="Times New Roman"/>
          <w:sz w:val="20"/>
          <w:szCs w:val="20"/>
        </w:rPr>
      </w:pPr>
    </w:p>
    <w:p w:rsidR="007F05C5" w:rsidRDefault="007F05C5" w:rsidP="007F05C5">
      <w:pPr>
        <w:autoSpaceDE w:val="0"/>
        <w:autoSpaceDN w:val="0"/>
        <w:adjustRightInd w:val="0"/>
        <w:spacing w:after="0" w:line="240" w:lineRule="auto"/>
        <w:jc w:val="center"/>
        <w:rPr>
          <w:rFonts w:ascii="Times New Roman" w:hAnsi="Times New Roman" w:cs="Times New Roman"/>
          <w:b/>
          <w:sz w:val="20"/>
          <w:szCs w:val="20"/>
        </w:rPr>
      </w:pPr>
      <w:r w:rsidRPr="00714C1B">
        <w:rPr>
          <w:rFonts w:ascii="Times New Roman" w:hAnsi="Times New Roman" w:cs="Times New Roman"/>
          <w:b/>
          <w:sz w:val="20"/>
          <w:szCs w:val="20"/>
        </w:rPr>
        <w:t>REFERENCES</w:t>
      </w:r>
    </w:p>
    <w:p w:rsidR="00714C1B" w:rsidRDefault="00714C1B" w:rsidP="00714C1B">
      <w:pPr>
        <w:autoSpaceDE w:val="0"/>
        <w:autoSpaceDN w:val="0"/>
        <w:adjustRightInd w:val="0"/>
        <w:spacing w:after="0" w:line="240" w:lineRule="auto"/>
        <w:rPr>
          <w:rFonts w:ascii="Times New Roman" w:hAnsi="Times New Roman" w:cs="Times New Roman"/>
          <w:b/>
          <w:sz w:val="20"/>
          <w:szCs w:val="20"/>
        </w:rPr>
      </w:pPr>
    </w:p>
    <w:p w:rsidR="00DE58D3" w:rsidRDefault="00DE58D3" w:rsidP="00714C1B">
      <w:pPr>
        <w:autoSpaceDE w:val="0"/>
        <w:autoSpaceDN w:val="0"/>
        <w:adjustRightInd w:val="0"/>
        <w:spacing w:after="0" w:line="240" w:lineRule="auto"/>
        <w:rPr>
          <w:rFonts w:ascii="Times New Roman" w:hAnsi="Times New Roman" w:cs="Times New Roman"/>
          <w:b/>
          <w:sz w:val="20"/>
          <w:szCs w:val="20"/>
        </w:rPr>
      </w:pPr>
    </w:p>
    <w:p w:rsid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Resolution of the Council of the Ministers of 2 October 2020 on the amendment of Polish Nuclear Power </w:t>
      </w:r>
    </w:p>
    <w:p w:rsid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Programme (Official Journal of the Republic Of Poland „Monitor Polski” item 946)</w:t>
      </w:r>
    </w:p>
    <w:p w:rsidR="00D1508A" w:rsidRPr="00D1508A" w:rsidRDefault="00D1508A" w:rsidP="00D1508A">
      <w:pPr>
        <w:autoSpaceDE w:val="0"/>
        <w:autoSpaceDN w:val="0"/>
        <w:adjustRightInd w:val="0"/>
        <w:spacing w:after="0" w:line="240" w:lineRule="auto"/>
        <w:ind w:firstLine="284"/>
        <w:jc w:val="both"/>
        <w:rPr>
          <w:rFonts w:ascii="Times New Roman" w:hAnsi="Times New Roman" w:cs="Times New Roman"/>
          <w:sz w:val="20"/>
          <w:szCs w:val="20"/>
        </w:rPr>
      </w:pPr>
      <w:hyperlink r:id="rId11" w:history="1">
        <w:r w:rsidRPr="00B565C1">
          <w:rPr>
            <w:rStyle w:val="Hipercze"/>
            <w:rFonts w:ascii="Times New Roman" w:hAnsi="Times New Roman" w:cs="Times New Roman"/>
            <w:sz w:val="20"/>
            <w:szCs w:val="20"/>
          </w:rPr>
          <w:t>https://isap.sejm.gov.pl/isap.nsf/download.xsp/WMP20200000946/O/M20200946.pdf</w:t>
        </w:r>
      </w:hyperlink>
    </w:p>
    <w:p w:rsid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 xml:space="preserve">] Energy Policy of Poland until 2040 (Official Journal of the Republic Of Poland „Monitor Polski” of 2021 item </w:t>
      </w:r>
    </w:p>
    <w:p w:rsidR="00D1508A" w:rsidRP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264) </w:t>
      </w:r>
      <w:hyperlink r:id="rId12" w:history="1">
        <w:r w:rsidRPr="00B565C1">
          <w:rPr>
            <w:rStyle w:val="Hipercze"/>
            <w:rFonts w:ascii="Times New Roman" w:hAnsi="Times New Roman" w:cs="Times New Roman"/>
            <w:sz w:val="20"/>
            <w:szCs w:val="20"/>
          </w:rPr>
          <w:t>https://isap.sejm.gov.pl/isap.nsf/download.xsp/WMP20210000264/O/M20210264.pdf</w:t>
        </w:r>
      </w:hyperlink>
    </w:p>
    <w:p w:rsid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Act of 13 March 2023 on the amendment of Act </w:t>
      </w:r>
      <w:r w:rsidRPr="00714C1B">
        <w:rPr>
          <w:rFonts w:ascii="Times New Roman" w:hAnsi="Times New Roman" w:cs="Times New Roman"/>
          <w:sz w:val="20"/>
          <w:szCs w:val="20"/>
        </w:rPr>
        <w:t>on preparation and carrying out investments in nuclear po</w:t>
      </w:r>
      <w:r>
        <w:rPr>
          <w:rFonts w:ascii="Times New Roman" w:hAnsi="Times New Roman" w:cs="Times New Roman"/>
          <w:sz w:val="20"/>
          <w:szCs w:val="20"/>
        </w:rPr>
        <w:t xml:space="preserve">wer </w:t>
      </w:r>
    </w:p>
    <w:p w:rsid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facilities and accompanying i</w:t>
      </w:r>
      <w:r w:rsidRPr="00714C1B">
        <w:rPr>
          <w:rFonts w:ascii="Times New Roman" w:hAnsi="Times New Roman" w:cs="Times New Roman"/>
          <w:sz w:val="20"/>
          <w:szCs w:val="20"/>
        </w:rPr>
        <w:t>nvestments</w:t>
      </w:r>
      <w:r>
        <w:rPr>
          <w:rFonts w:ascii="Times New Roman" w:hAnsi="Times New Roman" w:cs="Times New Roman"/>
          <w:sz w:val="20"/>
          <w:szCs w:val="20"/>
        </w:rPr>
        <w:t xml:space="preserve"> and other acts (Journal of Laws, item 595).</w:t>
      </w:r>
    </w:p>
    <w:p w:rsid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hyperlink r:id="rId13" w:history="1">
        <w:r w:rsidRPr="00B565C1">
          <w:rPr>
            <w:rStyle w:val="Hipercze"/>
            <w:rFonts w:ascii="Times New Roman" w:hAnsi="Times New Roman" w:cs="Times New Roman"/>
            <w:sz w:val="20"/>
            <w:szCs w:val="20"/>
          </w:rPr>
          <w:t>https://isap.sejm.gov.pl/isap.nsf/DocDetails.xsp?id=WDU20230000595</w:t>
        </w:r>
      </w:hyperlink>
      <w:r>
        <w:rPr>
          <w:rFonts w:ascii="Times New Roman" w:hAnsi="Times New Roman" w:cs="Times New Roman"/>
          <w:sz w:val="20"/>
          <w:szCs w:val="20"/>
        </w:rPr>
        <w:tab/>
      </w:r>
      <w:r>
        <w:rPr>
          <w:rFonts w:ascii="Times New Roman" w:hAnsi="Times New Roman" w:cs="Times New Roman"/>
          <w:sz w:val="20"/>
          <w:szCs w:val="20"/>
        </w:rPr>
        <w:tab/>
      </w:r>
    </w:p>
    <w:p w:rsid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 Act of amendments of certain acts related to the government structure (Journal of Laws of 2024, item 834).</w:t>
      </w:r>
    </w:p>
    <w:p w:rsidR="00D1508A" w:rsidRPr="00D1508A" w:rsidRDefault="00D1508A" w:rsidP="00D150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hyperlink r:id="rId14" w:history="1">
        <w:r w:rsidRPr="00B565C1">
          <w:rPr>
            <w:rStyle w:val="Hipercze"/>
            <w:rFonts w:ascii="Times New Roman" w:hAnsi="Times New Roman" w:cs="Times New Roman"/>
            <w:sz w:val="20"/>
            <w:szCs w:val="20"/>
          </w:rPr>
          <w:t>https://isap.sejm.gov.pl/isap.nsf/download.xsp/WDU20240000834/T/D20240834L.pdf</w:t>
        </w:r>
      </w:hyperlink>
    </w:p>
    <w:p w:rsidR="004A3891" w:rsidRDefault="00D1508A" w:rsidP="00714C1B">
      <w:pPr>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[5</w:t>
      </w:r>
      <w:r w:rsidR="00714C1B" w:rsidRPr="00714C1B">
        <w:rPr>
          <w:rFonts w:ascii="Times New Roman" w:hAnsi="Times New Roman" w:cs="Times New Roman"/>
          <w:sz w:val="20"/>
          <w:szCs w:val="20"/>
        </w:rPr>
        <w:t xml:space="preserve">] </w:t>
      </w:r>
      <w:r w:rsidR="00714C1B" w:rsidRPr="00714C1B">
        <w:rPr>
          <w:rFonts w:ascii="Times New Roman" w:hAnsi="Times New Roman" w:cs="Times New Roman"/>
          <w:sz w:val="20"/>
          <w:szCs w:val="20"/>
          <w:shd w:val="clear" w:color="auto" w:fill="FFFFFF"/>
        </w:rPr>
        <w:t>Act of 29 November 2000 on the Atomic Law (Journal of Laws of 2023 item 1173 with changes).</w:t>
      </w:r>
    </w:p>
    <w:p w:rsidR="004A3891" w:rsidRPr="00714C1B" w:rsidRDefault="004A3891" w:rsidP="00714C1B">
      <w:pPr>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hyperlink r:id="rId15" w:history="1">
        <w:r w:rsidRPr="00B565C1">
          <w:rPr>
            <w:rStyle w:val="Hipercze"/>
            <w:rFonts w:ascii="Times New Roman" w:hAnsi="Times New Roman" w:cs="Times New Roman"/>
            <w:sz w:val="20"/>
            <w:szCs w:val="20"/>
            <w:shd w:val="clear" w:color="auto" w:fill="FFFFFF"/>
          </w:rPr>
          <w:t>https://isap.sejm.gov.pl/isap.nsf/DocDetails.xsp?id=WDU20010030018</w:t>
        </w:r>
      </w:hyperlink>
    </w:p>
    <w:p w:rsidR="00714C1B" w:rsidRDefault="007A4342" w:rsidP="00714C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[6</w:t>
      </w:r>
      <w:r w:rsidR="00714C1B" w:rsidRPr="00714C1B">
        <w:rPr>
          <w:rFonts w:ascii="Times New Roman" w:hAnsi="Times New Roman" w:cs="Times New Roman"/>
          <w:sz w:val="20"/>
          <w:szCs w:val="20"/>
          <w:shd w:val="clear" w:color="auto" w:fill="FFFFFF"/>
        </w:rPr>
        <w:t xml:space="preserve">] </w:t>
      </w:r>
      <w:r w:rsidR="00714C1B" w:rsidRPr="00714C1B">
        <w:rPr>
          <w:rFonts w:ascii="Times New Roman" w:hAnsi="Times New Roman" w:cs="Times New Roman"/>
          <w:sz w:val="20"/>
          <w:szCs w:val="20"/>
        </w:rPr>
        <w:t xml:space="preserve">Act of 29 June 2011 on preparation and carrying out investments in nuclear power facilities and accompanying </w:t>
      </w:r>
    </w:p>
    <w:p w:rsidR="00714C1B" w:rsidRDefault="00714C1B" w:rsidP="00714C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14C1B">
        <w:rPr>
          <w:rFonts w:ascii="Times New Roman" w:hAnsi="Times New Roman" w:cs="Times New Roman"/>
          <w:sz w:val="20"/>
          <w:szCs w:val="20"/>
        </w:rPr>
        <w:t>Investments</w:t>
      </w:r>
      <w:r>
        <w:rPr>
          <w:rFonts w:ascii="Times New Roman" w:hAnsi="Times New Roman" w:cs="Times New Roman"/>
          <w:sz w:val="20"/>
          <w:szCs w:val="20"/>
        </w:rPr>
        <w:t xml:space="preserve"> / Nuclear Investment Special Act</w:t>
      </w:r>
      <w:r w:rsidRPr="00714C1B">
        <w:rPr>
          <w:rFonts w:ascii="Times New Roman" w:hAnsi="Times New Roman" w:cs="Times New Roman"/>
          <w:sz w:val="20"/>
          <w:szCs w:val="20"/>
        </w:rPr>
        <w:t xml:space="preserve"> (Journal of Laws of 2024, item 412 with changes).</w:t>
      </w:r>
    </w:p>
    <w:p w:rsidR="007A4342" w:rsidRDefault="004A3891" w:rsidP="00714C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hyperlink r:id="rId16" w:history="1">
        <w:r w:rsidRPr="00B565C1">
          <w:rPr>
            <w:rStyle w:val="Hipercze"/>
            <w:rFonts w:ascii="Times New Roman" w:hAnsi="Times New Roman" w:cs="Times New Roman"/>
            <w:sz w:val="20"/>
            <w:szCs w:val="20"/>
          </w:rPr>
          <w:t>https://isap.sejm.gov.pl/isap.nsf/DocDetails.xsp?id=WDU20111350789</w:t>
        </w:r>
      </w:hyperlink>
    </w:p>
    <w:p w:rsidR="002A163D" w:rsidRDefault="002A163D" w:rsidP="002A163D">
      <w:pPr>
        <w:tabs>
          <w:tab w:val="left" w:pos="500"/>
        </w:tabs>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sz w:val="20"/>
          <w:szCs w:val="20"/>
        </w:rPr>
        <w:t xml:space="preserve">[7] In particular: </w:t>
      </w:r>
      <w:r w:rsidRPr="009370DD">
        <w:rPr>
          <w:rFonts w:ascii="Times New Roman" w:hAnsi="Times New Roman" w:cs="Times New Roman"/>
          <w:color w:val="333333"/>
          <w:sz w:val="20"/>
          <w:szCs w:val="20"/>
          <w:shd w:val="clear" w:color="auto" w:fill="FFFFFF"/>
        </w:rPr>
        <w:t xml:space="preserve">„Responsibilities and Functions of a Nuclear Energy Programme Implementing Organization”, </w:t>
      </w:r>
    </w:p>
    <w:p w:rsidR="002A163D" w:rsidRPr="002A163D" w:rsidRDefault="002A163D" w:rsidP="002A163D">
      <w:pPr>
        <w:tabs>
          <w:tab w:val="left" w:pos="500"/>
        </w:tabs>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IAEA Nuclear </w:t>
      </w:r>
      <w:r w:rsidRPr="009370DD">
        <w:rPr>
          <w:rFonts w:ascii="Times New Roman" w:hAnsi="Times New Roman" w:cs="Times New Roman"/>
          <w:color w:val="333333"/>
          <w:sz w:val="20"/>
          <w:szCs w:val="20"/>
          <w:shd w:val="clear" w:color="auto" w:fill="FFFFFF"/>
        </w:rPr>
        <w:t>Energy Series No. NG-T-3</w:t>
      </w:r>
      <w:r>
        <w:rPr>
          <w:rFonts w:ascii="Times New Roman" w:hAnsi="Times New Roman" w:cs="Times New Roman"/>
          <w:color w:val="333333"/>
          <w:sz w:val="20"/>
          <w:szCs w:val="20"/>
          <w:shd w:val="clear" w:color="auto" w:fill="FFFFFF"/>
        </w:rPr>
        <w:t>.6 (Rev. 1), IAEA, Vienna (2019)</w:t>
      </w:r>
    </w:p>
    <w:p w:rsidR="002A163D" w:rsidRPr="00D16E62" w:rsidRDefault="002A163D" w:rsidP="002A163D">
      <w:pPr>
        <w:tabs>
          <w:tab w:val="left" w:pos="50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[8</w:t>
      </w:r>
      <w:r w:rsidRPr="00D16E62">
        <w:rPr>
          <w:rFonts w:ascii="Times New Roman" w:hAnsi="Times New Roman" w:cs="Times New Roman"/>
          <w:color w:val="333333"/>
          <w:sz w:val="20"/>
          <w:szCs w:val="20"/>
          <w:shd w:val="clear" w:color="auto" w:fill="FFFFFF"/>
        </w:rPr>
        <w:t xml:space="preserve">] </w:t>
      </w:r>
      <w:r w:rsidRPr="00D16E62">
        <w:rPr>
          <w:rFonts w:ascii="Times New Roman" w:hAnsi="Times New Roman" w:cs="Times New Roman"/>
          <w:sz w:val="20"/>
          <w:szCs w:val="20"/>
        </w:rPr>
        <w:t xml:space="preserve">Integrated Nuclear Infrastructure Review Self Evaluation Report (Phase 2), Republic of Poland, </w:t>
      </w:r>
    </w:p>
    <w:p w:rsidR="00DE58D3" w:rsidRDefault="002A163D" w:rsidP="00DE58D3">
      <w:pPr>
        <w:tabs>
          <w:tab w:val="left" w:pos="500"/>
        </w:tabs>
        <w:autoSpaceDE w:val="0"/>
        <w:autoSpaceDN w:val="0"/>
        <w:adjustRightInd w:val="0"/>
        <w:spacing w:after="0" w:line="240" w:lineRule="auto"/>
        <w:jc w:val="both"/>
        <w:rPr>
          <w:rFonts w:ascii="Times New Roman" w:hAnsi="Times New Roman" w:cs="Times New Roman"/>
          <w:sz w:val="20"/>
          <w:szCs w:val="20"/>
        </w:rPr>
      </w:pPr>
      <w:r w:rsidRPr="00D16E62">
        <w:rPr>
          <w:rFonts w:ascii="Times New Roman" w:hAnsi="Times New Roman" w:cs="Times New Roman"/>
          <w:sz w:val="20"/>
          <w:szCs w:val="20"/>
        </w:rPr>
        <w:t xml:space="preserve">        2024 (unpublished).</w:t>
      </w:r>
    </w:p>
    <w:p w:rsidR="00DE58D3" w:rsidRPr="00AA6A4B" w:rsidRDefault="00DE58D3" w:rsidP="00DE58D3">
      <w:pPr>
        <w:tabs>
          <w:tab w:val="left" w:pos="500"/>
        </w:tabs>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[9</w:t>
      </w:r>
      <w:r w:rsidRPr="00AA6A4B">
        <w:rPr>
          <w:rFonts w:ascii="Times New Roman" w:hAnsi="Times New Roman" w:cs="Times New Roman"/>
          <w:sz w:val="20"/>
          <w:szCs w:val="20"/>
        </w:rPr>
        <w:t xml:space="preserve">] Nowacki T.R., </w:t>
      </w:r>
      <w:r w:rsidRPr="00AA6A4B">
        <w:rPr>
          <w:rFonts w:ascii="Times New Roman" w:hAnsi="Times New Roman" w:cs="Times New Roman"/>
          <w:i/>
          <w:sz w:val="20"/>
          <w:szCs w:val="20"/>
        </w:rPr>
        <w:t xml:space="preserve">Opinie Prezesa PAA, o których mowa w art. 36a i 39b ustawy – Prawo atomowe jako    </w:t>
      </w:r>
    </w:p>
    <w:p w:rsidR="00DE58D3" w:rsidRPr="009370DD" w:rsidRDefault="00DE58D3" w:rsidP="00DE58D3">
      <w:pPr>
        <w:tabs>
          <w:tab w:val="left" w:pos="500"/>
        </w:tabs>
        <w:autoSpaceDE w:val="0"/>
        <w:autoSpaceDN w:val="0"/>
        <w:adjustRightInd w:val="0"/>
        <w:spacing w:after="0" w:line="240" w:lineRule="auto"/>
        <w:jc w:val="both"/>
        <w:rPr>
          <w:rFonts w:ascii="Times New Roman" w:hAnsi="Times New Roman" w:cs="Times New Roman"/>
          <w:i/>
          <w:sz w:val="20"/>
          <w:szCs w:val="20"/>
        </w:rPr>
      </w:pPr>
      <w:r w:rsidRPr="00AA6A4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AA6A4B">
        <w:rPr>
          <w:rFonts w:ascii="Times New Roman" w:hAnsi="Times New Roman" w:cs="Times New Roman"/>
          <w:i/>
          <w:sz w:val="20"/>
          <w:szCs w:val="20"/>
        </w:rPr>
        <w:t>przykład pre-licencjonowania obiektów jądrowych</w:t>
      </w:r>
      <w:r w:rsidRPr="00AA6A4B">
        <w:rPr>
          <w:rFonts w:ascii="Times New Roman" w:hAnsi="Times New Roman" w:cs="Times New Roman"/>
          <w:sz w:val="20"/>
          <w:szCs w:val="20"/>
        </w:rPr>
        <w:t xml:space="preserve">, Studia Iuridica 2020, t. 87, s. 388-411, DOI: </w:t>
      </w:r>
    </w:p>
    <w:p w:rsidR="00DE58D3" w:rsidRDefault="00DE58D3" w:rsidP="00DE58D3">
      <w:pPr>
        <w:tabs>
          <w:tab w:val="left" w:pos="500"/>
        </w:tabs>
        <w:autoSpaceDE w:val="0"/>
        <w:autoSpaceDN w:val="0"/>
        <w:adjustRightInd w:val="0"/>
        <w:spacing w:after="0" w:line="240" w:lineRule="auto"/>
        <w:jc w:val="both"/>
        <w:rPr>
          <w:rFonts w:ascii="Times New Roman" w:hAnsi="Times New Roman" w:cs="Times New Roman"/>
          <w:sz w:val="20"/>
          <w:szCs w:val="20"/>
        </w:rPr>
      </w:pPr>
      <w:r w:rsidRPr="00AA6A4B">
        <w:rPr>
          <w:rFonts w:ascii="Times New Roman" w:hAnsi="Times New Roman" w:cs="Times New Roman"/>
          <w:sz w:val="20"/>
          <w:szCs w:val="20"/>
        </w:rPr>
        <w:t xml:space="preserve">     </w:t>
      </w:r>
      <w:r>
        <w:rPr>
          <w:rFonts w:ascii="Times New Roman" w:hAnsi="Times New Roman" w:cs="Times New Roman"/>
          <w:sz w:val="20"/>
          <w:szCs w:val="20"/>
        </w:rPr>
        <w:t xml:space="preserve">  </w:t>
      </w:r>
      <w:hyperlink r:id="rId17" w:tgtFrame="_blank" w:history="1">
        <w:r w:rsidRPr="00AA6A4B">
          <w:rPr>
            <w:rStyle w:val="Hipercze"/>
            <w:rFonts w:ascii="Times New Roman" w:hAnsi="Times New Roman" w:cs="Times New Roman"/>
            <w:sz w:val="20"/>
            <w:szCs w:val="20"/>
          </w:rPr>
          <w:t>10.31338/2544-3135.si.2020-87.19</w:t>
        </w:r>
      </w:hyperlink>
      <w:r w:rsidRPr="00AA6A4B">
        <w:rPr>
          <w:rFonts w:ascii="Times New Roman" w:hAnsi="Times New Roman" w:cs="Times New Roman"/>
          <w:sz w:val="20"/>
          <w:szCs w:val="20"/>
        </w:rPr>
        <w:t xml:space="preserve"> </w:t>
      </w:r>
    </w:p>
    <w:p w:rsidR="00DE58D3" w:rsidRPr="00881631" w:rsidRDefault="00DE58D3" w:rsidP="00DE58D3">
      <w:pPr>
        <w:tabs>
          <w:tab w:val="left" w:pos="500"/>
        </w:tabs>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881631">
        <w:rPr>
          <w:rFonts w:ascii="Times New Roman" w:hAnsi="Times New Roman" w:cs="Times New Roman"/>
          <w:sz w:val="20"/>
          <w:szCs w:val="20"/>
          <w:lang w:val="en-US"/>
        </w:rPr>
        <w:t xml:space="preserve">] Nowacki T.R., </w:t>
      </w:r>
      <w:r w:rsidRPr="00881631">
        <w:rPr>
          <w:rFonts w:ascii="Times New Roman" w:hAnsi="Times New Roman" w:cs="Times New Roman"/>
          <w:i/>
          <w:sz w:val="20"/>
          <w:szCs w:val="20"/>
          <w:lang w:val="en-US"/>
        </w:rPr>
        <w:t>Nuclear Power on the Vistula River. Law and Policy in Shaping Energy Future of Poland</w:t>
      </w:r>
      <w:r w:rsidRPr="00881631">
        <w:rPr>
          <w:rFonts w:ascii="Times New Roman" w:hAnsi="Times New Roman" w:cs="Times New Roman"/>
          <w:sz w:val="20"/>
          <w:szCs w:val="20"/>
          <w:lang w:val="en-US"/>
        </w:rPr>
        <w:t xml:space="preserve">, </w:t>
      </w:r>
    </w:p>
    <w:p w:rsidR="00DE58D3" w:rsidRPr="00DE58D3" w:rsidRDefault="00DE58D3" w:rsidP="00DE58D3">
      <w:pPr>
        <w:tabs>
          <w:tab w:val="left" w:pos="500"/>
        </w:tabs>
        <w:autoSpaceDE w:val="0"/>
        <w:autoSpaceDN w:val="0"/>
        <w:adjustRightInd w:val="0"/>
        <w:spacing w:after="0" w:line="240" w:lineRule="auto"/>
        <w:jc w:val="both"/>
        <w:rPr>
          <w:rFonts w:ascii="Times New Roman" w:hAnsi="Times New Roman" w:cs="Times New Roman"/>
          <w:sz w:val="20"/>
          <w:szCs w:val="20"/>
          <w:lang w:val="en-US"/>
        </w:rPr>
      </w:pPr>
      <w:r w:rsidRPr="0088163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8163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81631">
        <w:rPr>
          <w:rFonts w:ascii="Times New Roman" w:hAnsi="Times New Roman" w:cs="Times New Roman"/>
          <w:sz w:val="20"/>
          <w:szCs w:val="20"/>
          <w:lang w:val="en-US"/>
        </w:rPr>
        <w:t xml:space="preserve">Prawo i Więź 2020, nr 3, s. 182-209, </w:t>
      </w:r>
      <w:r w:rsidRPr="00881631">
        <w:rPr>
          <w:rFonts w:ascii="Times New Roman" w:hAnsi="Times New Roman" w:cs="Times New Roman"/>
          <w:sz w:val="20"/>
          <w:szCs w:val="20"/>
          <w:lang w:val="en-GB"/>
        </w:rPr>
        <w:t xml:space="preserve">DOI: </w:t>
      </w:r>
      <w:hyperlink r:id="rId18" w:tgtFrame="_blank" w:history="1">
        <w:r w:rsidRPr="00881631">
          <w:rPr>
            <w:rStyle w:val="Hipercze"/>
            <w:rFonts w:ascii="Times New Roman" w:hAnsi="Times New Roman" w:cs="Times New Roman"/>
            <w:sz w:val="20"/>
            <w:szCs w:val="20"/>
            <w:lang w:val="en-GB"/>
          </w:rPr>
          <w:t>10.36128/p</w:t>
        </w:r>
        <w:r>
          <w:rPr>
            <w:rStyle w:val="Hipercze"/>
            <w:rFonts w:ascii="Times New Roman" w:hAnsi="Times New Roman" w:cs="Times New Roman"/>
            <w:sz w:val="20"/>
            <w:szCs w:val="20"/>
            <w:lang w:val="en-GB"/>
          </w:rPr>
          <w:t xml:space="preserve">    </w:t>
        </w:r>
        <w:r w:rsidRPr="00881631">
          <w:rPr>
            <w:rStyle w:val="Hipercze"/>
            <w:rFonts w:ascii="Times New Roman" w:hAnsi="Times New Roman" w:cs="Times New Roman"/>
            <w:sz w:val="20"/>
            <w:szCs w:val="20"/>
            <w:lang w:val="en-GB"/>
          </w:rPr>
          <w:t>riw.vi32.97</w:t>
        </w:r>
      </w:hyperlink>
    </w:p>
    <w:p w:rsidR="002A163D" w:rsidRPr="00183DF4" w:rsidRDefault="00DE58D3" w:rsidP="002A163D">
      <w:pPr>
        <w:autoSpaceDE w:val="0"/>
        <w:autoSpaceDN w:val="0"/>
        <w:adjustRightInd w:val="0"/>
        <w:spacing w:after="0" w:line="240" w:lineRule="auto"/>
        <w:jc w:val="both"/>
        <w:rPr>
          <w:rFonts w:ascii="Times New Roman" w:hAnsi="Times New Roman" w:cs="Times New Roman"/>
          <w:sz w:val="20"/>
          <w:lang w:val="en-GB" w:eastAsia="tr-TR"/>
        </w:rPr>
      </w:pPr>
      <w:r>
        <w:rPr>
          <w:rFonts w:ascii="Times New Roman" w:hAnsi="Times New Roman" w:cs="Times New Roman"/>
          <w:sz w:val="20"/>
          <w:szCs w:val="20"/>
        </w:rPr>
        <w:t>[11</w:t>
      </w:r>
      <w:r w:rsidR="002A163D">
        <w:rPr>
          <w:rFonts w:ascii="Times New Roman" w:hAnsi="Times New Roman" w:cs="Times New Roman"/>
          <w:sz w:val="20"/>
          <w:szCs w:val="20"/>
        </w:rPr>
        <w:t>]</w:t>
      </w:r>
      <w:r w:rsidR="002A163D" w:rsidRPr="002A163D">
        <w:rPr>
          <w:rFonts w:ascii="Times New Roman" w:hAnsi="Times New Roman" w:cs="Times New Roman"/>
          <w:sz w:val="20"/>
          <w:szCs w:val="20"/>
        </w:rPr>
        <w:t xml:space="preserve"> </w:t>
      </w:r>
      <w:r w:rsidR="002A163D">
        <w:rPr>
          <w:rFonts w:ascii="Times New Roman" w:hAnsi="Times New Roman" w:cs="Times New Roman"/>
          <w:sz w:val="20"/>
          <w:szCs w:val="20"/>
        </w:rPr>
        <w:t xml:space="preserve">The </w:t>
      </w:r>
      <w:r w:rsidR="002A163D" w:rsidRPr="00183DF4">
        <w:rPr>
          <w:rFonts w:ascii="Times New Roman" w:hAnsi="Times New Roman" w:cs="Times New Roman"/>
          <w:sz w:val="20"/>
          <w:szCs w:val="20"/>
        </w:rPr>
        <w:t xml:space="preserve">Ordinance of the Minister of Climate and Environment of 16 February 2023 to set up </w:t>
      </w:r>
      <w:r w:rsidR="002A163D" w:rsidRPr="00183DF4">
        <w:rPr>
          <w:rFonts w:ascii="Times New Roman" w:hAnsi="Times New Roman" w:cs="Times New Roman"/>
          <w:sz w:val="20"/>
          <w:lang w:val="en-GB" w:eastAsia="tr-TR"/>
        </w:rPr>
        <w:t xml:space="preserve">The Advisory </w:t>
      </w:r>
    </w:p>
    <w:p w:rsidR="002A163D" w:rsidRDefault="002A163D" w:rsidP="002A163D">
      <w:pPr>
        <w:autoSpaceDE w:val="0"/>
        <w:autoSpaceDN w:val="0"/>
        <w:adjustRightInd w:val="0"/>
        <w:spacing w:after="0" w:line="240" w:lineRule="auto"/>
        <w:jc w:val="both"/>
        <w:rPr>
          <w:rFonts w:ascii="Times New Roman" w:hAnsi="Times New Roman" w:cs="Times New Roman"/>
          <w:sz w:val="20"/>
          <w:szCs w:val="20"/>
        </w:rPr>
      </w:pPr>
      <w:r w:rsidRPr="00183DF4">
        <w:rPr>
          <w:rFonts w:ascii="Times New Roman" w:hAnsi="Times New Roman" w:cs="Times New Roman"/>
          <w:sz w:val="20"/>
          <w:lang w:val="en-GB" w:eastAsia="tr-TR"/>
        </w:rPr>
        <w:t xml:space="preserve">      Committee for the Development of Nuclear Power Sector in Poland</w:t>
      </w:r>
      <w:r>
        <w:rPr>
          <w:rFonts w:ascii="Times New Roman" w:hAnsi="Times New Roman" w:cs="Times New Roman"/>
          <w:sz w:val="20"/>
          <w:lang w:val="en-GB" w:eastAsia="tr-TR"/>
        </w:rPr>
        <w:t>.</w:t>
      </w:r>
    </w:p>
    <w:p w:rsidR="002A163D" w:rsidRPr="00D16E62" w:rsidRDefault="002A163D" w:rsidP="002A163D">
      <w:pPr>
        <w:tabs>
          <w:tab w:val="left" w:pos="500"/>
        </w:tabs>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p>
    <w:p w:rsidR="007A4342" w:rsidRDefault="007A4342" w:rsidP="00714C1B">
      <w:pPr>
        <w:autoSpaceDE w:val="0"/>
        <w:autoSpaceDN w:val="0"/>
        <w:adjustRightInd w:val="0"/>
        <w:spacing w:after="0" w:line="240" w:lineRule="auto"/>
        <w:jc w:val="both"/>
        <w:rPr>
          <w:rFonts w:ascii="Times New Roman" w:hAnsi="Times New Roman" w:cs="Times New Roman"/>
          <w:sz w:val="20"/>
          <w:szCs w:val="20"/>
        </w:rPr>
      </w:pPr>
    </w:p>
    <w:p w:rsidR="007A4342" w:rsidRDefault="007A4342" w:rsidP="00714C1B">
      <w:pPr>
        <w:autoSpaceDE w:val="0"/>
        <w:autoSpaceDN w:val="0"/>
        <w:adjustRightInd w:val="0"/>
        <w:spacing w:after="0" w:line="240" w:lineRule="auto"/>
        <w:jc w:val="both"/>
        <w:rPr>
          <w:rFonts w:ascii="Times New Roman" w:hAnsi="Times New Roman" w:cs="Times New Roman"/>
          <w:sz w:val="20"/>
          <w:szCs w:val="20"/>
        </w:rPr>
      </w:pPr>
    </w:p>
    <w:p w:rsidR="007A4342" w:rsidRDefault="007A4342" w:rsidP="00714C1B">
      <w:pPr>
        <w:autoSpaceDE w:val="0"/>
        <w:autoSpaceDN w:val="0"/>
        <w:adjustRightInd w:val="0"/>
        <w:spacing w:after="0" w:line="240" w:lineRule="auto"/>
        <w:jc w:val="both"/>
        <w:rPr>
          <w:rFonts w:ascii="Times New Roman" w:hAnsi="Times New Roman" w:cs="Times New Roman"/>
          <w:sz w:val="20"/>
          <w:szCs w:val="20"/>
        </w:rPr>
      </w:pPr>
    </w:p>
    <w:p w:rsidR="00AB4701" w:rsidRPr="00714C1B" w:rsidRDefault="00AB4701" w:rsidP="00714C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sectPr w:rsidR="00AB4701" w:rsidRPr="00714C1B" w:rsidSect="00DA39B6">
      <w:headerReference w:type="default" r:id="rId19"/>
      <w:footerReference w:type="default" r:id="rId2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CD" w:rsidRDefault="005542CD" w:rsidP="005C7E55">
      <w:pPr>
        <w:spacing w:after="0" w:line="240" w:lineRule="auto"/>
      </w:pPr>
      <w:r>
        <w:separator/>
      </w:r>
    </w:p>
  </w:endnote>
  <w:endnote w:type="continuationSeparator" w:id="0">
    <w:p w:rsidR="005542CD" w:rsidRDefault="005542CD" w:rsidP="005C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1C" w:rsidRDefault="0056191C">
    <w:pPr>
      <w:pStyle w:val="Stopka"/>
    </w:pPr>
  </w:p>
  <w:p w:rsidR="0056191C" w:rsidRDefault="005619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CD" w:rsidRDefault="005542CD" w:rsidP="005C7E55">
      <w:pPr>
        <w:spacing w:after="0" w:line="240" w:lineRule="auto"/>
      </w:pPr>
      <w:r>
        <w:separator/>
      </w:r>
    </w:p>
  </w:footnote>
  <w:footnote w:type="continuationSeparator" w:id="0">
    <w:p w:rsidR="005542CD" w:rsidRDefault="005542CD" w:rsidP="005C7E55">
      <w:pPr>
        <w:spacing w:after="0" w:line="240" w:lineRule="auto"/>
      </w:pPr>
      <w:r>
        <w:continuationSeparator/>
      </w:r>
    </w:p>
  </w:footnote>
  <w:footnote w:id="1">
    <w:p w:rsidR="0056191C" w:rsidRPr="00D61EFD" w:rsidRDefault="0056191C" w:rsidP="006C503C">
      <w:pPr>
        <w:pStyle w:val="Tekstprzypisudolnego"/>
        <w:jc w:val="both"/>
        <w:rPr>
          <w:rFonts w:ascii="Times New Roman" w:hAnsi="Times New Roman" w:cs="Times New Roman"/>
          <w:i/>
          <w:sz w:val="18"/>
          <w:szCs w:val="18"/>
        </w:rPr>
      </w:pPr>
      <w:r w:rsidRPr="00D61EFD">
        <w:rPr>
          <w:rStyle w:val="Odwoanieprzypisudolnego"/>
          <w:rFonts w:ascii="Times New Roman" w:hAnsi="Times New Roman" w:cs="Times New Roman"/>
          <w:i/>
          <w:sz w:val="18"/>
          <w:szCs w:val="18"/>
        </w:rPr>
        <w:footnoteRef/>
      </w:r>
      <w:r w:rsidRPr="00D61EFD">
        <w:rPr>
          <w:rFonts w:ascii="Times New Roman" w:hAnsi="Times New Roman" w:cs="Times New Roman"/>
          <w:i/>
          <w:sz w:val="18"/>
          <w:szCs w:val="18"/>
        </w:rPr>
        <w:t xml:space="preserve"> According to the document: „The Works related to construction of the first Polish nuclear power plant (…) are accompanied with the parallel efforts aiming at perspective introduction of small modular reactors (SMRs).” </w:t>
      </w:r>
    </w:p>
  </w:footnote>
  <w:footnote w:id="2">
    <w:p w:rsidR="0056191C" w:rsidRDefault="0056191C">
      <w:pPr>
        <w:pStyle w:val="Tekstprzypisudolnego"/>
      </w:pPr>
      <w:r>
        <w:rPr>
          <w:rStyle w:val="Odwoanieprzypisudolnego"/>
        </w:rPr>
        <w:footnoteRef/>
      </w:r>
      <w:r>
        <w:rPr>
          <w:rStyle w:val="Odwoanieprzypisudolnego"/>
        </w:rPr>
        <w:footnoteRef/>
      </w:r>
      <w:r>
        <w:t xml:space="preserve"> </w:t>
      </w:r>
    </w:p>
  </w:footnote>
  <w:footnote w:id="3">
    <w:p w:rsidR="0056191C" w:rsidRPr="007F3D90" w:rsidRDefault="0056191C" w:rsidP="00456894">
      <w:pPr>
        <w:pStyle w:val="Tekstprzypisudolnego"/>
        <w:jc w:val="both"/>
        <w:rPr>
          <w:rFonts w:ascii="Times New Roman" w:hAnsi="Times New Roman" w:cs="Times New Roman"/>
          <w:sz w:val="18"/>
        </w:rPr>
      </w:pPr>
      <w:r w:rsidRPr="000E18EE">
        <w:rPr>
          <w:rStyle w:val="Odwoanieprzypisudolnego"/>
          <w:sz w:val="18"/>
          <w:szCs w:val="18"/>
        </w:rPr>
        <w:footnoteRef/>
      </w:r>
      <w:r w:rsidRPr="000E18EE">
        <w:rPr>
          <w:sz w:val="18"/>
          <w:szCs w:val="18"/>
        </w:rPr>
        <w:t xml:space="preserve"> </w:t>
      </w:r>
      <w:r w:rsidRPr="007F3D90">
        <w:rPr>
          <w:rFonts w:ascii="Times New Roman" w:hAnsi="Times New Roman" w:cs="Times New Roman"/>
          <w:sz w:val="18"/>
        </w:rPr>
        <w:t>E.g. by installing infrastructure needed to support future construction of nuclear power plants.</w:t>
      </w:r>
    </w:p>
  </w:footnote>
  <w:footnote w:id="4">
    <w:p w:rsidR="0056191C" w:rsidRPr="006A3963" w:rsidRDefault="0056191C" w:rsidP="009370DD">
      <w:pPr>
        <w:pStyle w:val="Tekstprzypisudolnego"/>
        <w:jc w:val="both"/>
        <w:rPr>
          <w:rFonts w:ascii="Times New Roman" w:hAnsi="Times New Roman" w:cs="Times New Roman"/>
          <w:sz w:val="18"/>
        </w:rPr>
      </w:pPr>
      <w:r w:rsidRPr="006A3963">
        <w:rPr>
          <w:rStyle w:val="Odwoanieprzypisudolnego"/>
          <w:rFonts w:ascii="Times New Roman" w:hAnsi="Times New Roman" w:cs="Times New Roman"/>
          <w:sz w:val="18"/>
        </w:rPr>
        <w:footnoteRef/>
      </w:r>
      <w:r w:rsidRPr="006A3963">
        <w:rPr>
          <w:rFonts w:ascii="Times New Roman" w:hAnsi="Times New Roman" w:cs="Times New Roman"/>
          <w:sz w:val="18"/>
        </w:rPr>
        <w:t xml:space="preserve"> In 2015 the nuclear-related comptences of Ministry of Economy was transferred to the newly created Ministry of Energy, in 2019 to the Mnistry of State Assets and in 2020 to Ministry of Climate and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1C" w:rsidRPr="005C35CF" w:rsidRDefault="0056191C" w:rsidP="005C35CF">
    <w:pPr>
      <w:pStyle w:val="Nagwek"/>
      <w:jc w:val="center"/>
      <w:rPr>
        <w:rFonts w:ascii="Times New Roman" w:hAnsi="Times New Roman" w:cs="Times New Roman"/>
        <w:b/>
        <w:sz w:val="16"/>
        <w:szCs w:val="16"/>
      </w:rPr>
    </w:pPr>
    <w:r w:rsidRPr="005C35CF">
      <w:rPr>
        <w:rFonts w:ascii="Times New Roman" w:hAnsi="Times New Roman" w:cs="Times New Roman"/>
        <w:b/>
        <w:sz w:val="16"/>
        <w:szCs w:val="16"/>
      </w:rPr>
      <w:t>KAMIL ADAMCZYK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82E"/>
    <w:multiLevelType w:val="hybridMultilevel"/>
    <w:tmpl w:val="9B548BD0"/>
    <w:lvl w:ilvl="0" w:tplc="4D8EA822">
      <w:start w:val="1"/>
      <w:numFmt w:val="decimal"/>
      <w:lvlText w:val="%1)"/>
      <w:lvlJc w:val="left"/>
      <w:pPr>
        <w:tabs>
          <w:tab w:val="num" w:pos="720"/>
        </w:tabs>
        <w:ind w:left="720" w:hanging="360"/>
      </w:pPr>
    </w:lvl>
    <w:lvl w:ilvl="1" w:tplc="8C5E6796">
      <w:start w:val="1"/>
      <w:numFmt w:val="decimal"/>
      <w:lvlText w:val="%2)"/>
      <w:lvlJc w:val="left"/>
      <w:pPr>
        <w:tabs>
          <w:tab w:val="num" w:pos="360"/>
        </w:tabs>
        <w:ind w:left="360" w:hanging="360"/>
      </w:pPr>
    </w:lvl>
    <w:lvl w:ilvl="2" w:tplc="65F4DB2A" w:tentative="1">
      <w:start w:val="1"/>
      <w:numFmt w:val="decimal"/>
      <w:lvlText w:val="%3)"/>
      <w:lvlJc w:val="left"/>
      <w:pPr>
        <w:tabs>
          <w:tab w:val="num" w:pos="2160"/>
        </w:tabs>
        <w:ind w:left="2160" w:hanging="360"/>
      </w:pPr>
    </w:lvl>
    <w:lvl w:ilvl="3" w:tplc="5B60DA84" w:tentative="1">
      <w:start w:val="1"/>
      <w:numFmt w:val="decimal"/>
      <w:lvlText w:val="%4)"/>
      <w:lvlJc w:val="left"/>
      <w:pPr>
        <w:tabs>
          <w:tab w:val="num" w:pos="2880"/>
        </w:tabs>
        <w:ind w:left="2880" w:hanging="360"/>
      </w:pPr>
    </w:lvl>
    <w:lvl w:ilvl="4" w:tplc="BD807E28" w:tentative="1">
      <w:start w:val="1"/>
      <w:numFmt w:val="decimal"/>
      <w:lvlText w:val="%5)"/>
      <w:lvlJc w:val="left"/>
      <w:pPr>
        <w:tabs>
          <w:tab w:val="num" w:pos="3600"/>
        </w:tabs>
        <w:ind w:left="3600" w:hanging="360"/>
      </w:pPr>
    </w:lvl>
    <w:lvl w:ilvl="5" w:tplc="4C0CBA9A" w:tentative="1">
      <w:start w:val="1"/>
      <w:numFmt w:val="decimal"/>
      <w:lvlText w:val="%6)"/>
      <w:lvlJc w:val="left"/>
      <w:pPr>
        <w:tabs>
          <w:tab w:val="num" w:pos="4320"/>
        </w:tabs>
        <w:ind w:left="4320" w:hanging="360"/>
      </w:pPr>
    </w:lvl>
    <w:lvl w:ilvl="6" w:tplc="2958783E" w:tentative="1">
      <w:start w:val="1"/>
      <w:numFmt w:val="decimal"/>
      <w:lvlText w:val="%7)"/>
      <w:lvlJc w:val="left"/>
      <w:pPr>
        <w:tabs>
          <w:tab w:val="num" w:pos="5040"/>
        </w:tabs>
        <w:ind w:left="5040" w:hanging="360"/>
      </w:pPr>
    </w:lvl>
    <w:lvl w:ilvl="7" w:tplc="635894D8" w:tentative="1">
      <w:start w:val="1"/>
      <w:numFmt w:val="decimal"/>
      <w:lvlText w:val="%8)"/>
      <w:lvlJc w:val="left"/>
      <w:pPr>
        <w:tabs>
          <w:tab w:val="num" w:pos="5760"/>
        </w:tabs>
        <w:ind w:left="5760" w:hanging="360"/>
      </w:pPr>
    </w:lvl>
    <w:lvl w:ilvl="8" w:tplc="AA308178" w:tentative="1">
      <w:start w:val="1"/>
      <w:numFmt w:val="decimal"/>
      <w:lvlText w:val="%9)"/>
      <w:lvlJc w:val="left"/>
      <w:pPr>
        <w:tabs>
          <w:tab w:val="num" w:pos="6480"/>
        </w:tabs>
        <w:ind w:left="6480" w:hanging="360"/>
      </w:pPr>
    </w:lvl>
  </w:abstractNum>
  <w:abstractNum w:abstractNumId="1" w15:restartNumberingAfterBreak="0">
    <w:nsid w:val="02D254F5"/>
    <w:multiLevelType w:val="hybridMultilevel"/>
    <w:tmpl w:val="CDF83C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47356E"/>
    <w:multiLevelType w:val="hybridMultilevel"/>
    <w:tmpl w:val="20CED73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F700B7"/>
    <w:multiLevelType w:val="hybridMultilevel"/>
    <w:tmpl w:val="476A3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BA1003"/>
    <w:multiLevelType w:val="hybridMultilevel"/>
    <w:tmpl w:val="2D78D9DA"/>
    <w:lvl w:ilvl="0" w:tplc="03FE89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F30951"/>
    <w:multiLevelType w:val="multilevel"/>
    <w:tmpl w:val="2B5E2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115ACB"/>
    <w:multiLevelType w:val="hybridMultilevel"/>
    <w:tmpl w:val="DF2C5A56"/>
    <w:lvl w:ilvl="0" w:tplc="04150001">
      <w:start w:val="1"/>
      <w:numFmt w:val="bullet"/>
      <w:lvlText w:val=""/>
      <w:lvlJc w:val="left"/>
      <w:pPr>
        <w:ind w:left="720" w:hanging="360"/>
      </w:pPr>
      <w:rPr>
        <w:rFonts w:ascii="Symbol" w:hAnsi="Symbol" w:hint="default"/>
      </w:rPr>
    </w:lvl>
    <w:lvl w:ilvl="1" w:tplc="CB80A24E">
      <w:start w:val="1"/>
      <w:numFmt w:val="bullet"/>
      <w:lvlText w:val=""/>
      <w:lvlJc w:val="left"/>
      <w:pPr>
        <w:ind w:left="36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5C525D"/>
    <w:multiLevelType w:val="hybridMultilevel"/>
    <w:tmpl w:val="8ED283F2"/>
    <w:lvl w:ilvl="0" w:tplc="64A6D4F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110F1E"/>
    <w:multiLevelType w:val="hybridMultilevel"/>
    <w:tmpl w:val="3C4A7506"/>
    <w:lvl w:ilvl="0" w:tplc="64A6D4F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25BC54B2"/>
    <w:multiLevelType w:val="hybridMultilevel"/>
    <w:tmpl w:val="675C907E"/>
    <w:lvl w:ilvl="0" w:tplc="952435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EB10B2"/>
    <w:multiLevelType w:val="hybridMultilevel"/>
    <w:tmpl w:val="2F345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F1017"/>
    <w:multiLevelType w:val="hybridMultilevel"/>
    <w:tmpl w:val="96C6CF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E20BB8"/>
    <w:multiLevelType w:val="hybridMultilevel"/>
    <w:tmpl w:val="7B806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905BD0"/>
    <w:multiLevelType w:val="hybridMultilevel"/>
    <w:tmpl w:val="2D8A54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94A0192"/>
    <w:multiLevelType w:val="hybridMultilevel"/>
    <w:tmpl w:val="E49AA77A"/>
    <w:lvl w:ilvl="0" w:tplc="64A6D4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F725E0"/>
    <w:multiLevelType w:val="hybridMultilevel"/>
    <w:tmpl w:val="8FBA4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3711C3"/>
    <w:multiLevelType w:val="hybridMultilevel"/>
    <w:tmpl w:val="4F54D774"/>
    <w:lvl w:ilvl="0" w:tplc="64A6D4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5262FF"/>
    <w:multiLevelType w:val="hybridMultilevel"/>
    <w:tmpl w:val="5016D630"/>
    <w:lvl w:ilvl="0" w:tplc="64A6D4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BCE70FB"/>
    <w:multiLevelType w:val="hybridMultilevel"/>
    <w:tmpl w:val="465EFA24"/>
    <w:lvl w:ilvl="0" w:tplc="64A6D4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DE768D6"/>
    <w:multiLevelType w:val="hybridMultilevel"/>
    <w:tmpl w:val="FA6A6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F041B"/>
    <w:multiLevelType w:val="hybridMultilevel"/>
    <w:tmpl w:val="61E6191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E7826AA"/>
    <w:multiLevelType w:val="hybridMultilevel"/>
    <w:tmpl w:val="16AC4D84"/>
    <w:lvl w:ilvl="0" w:tplc="64A6D4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F54BF9"/>
    <w:multiLevelType w:val="hybridMultilevel"/>
    <w:tmpl w:val="CC22E178"/>
    <w:lvl w:ilvl="0" w:tplc="64A6D4F0">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3" w15:restartNumberingAfterBreak="0">
    <w:nsid w:val="5A426756"/>
    <w:multiLevelType w:val="hybridMultilevel"/>
    <w:tmpl w:val="2C7030A4"/>
    <w:lvl w:ilvl="0" w:tplc="8C96E26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DA1A48"/>
    <w:multiLevelType w:val="hybridMultilevel"/>
    <w:tmpl w:val="66DC8060"/>
    <w:lvl w:ilvl="0" w:tplc="CB80A24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5D402F40"/>
    <w:multiLevelType w:val="hybridMultilevel"/>
    <w:tmpl w:val="288CFC58"/>
    <w:lvl w:ilvl="0" w:tplc="89C484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E720BA7"/>
    <w:multiLevelType w:val="multilevel"/>
    <w:tmpl w:val="92DECF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14526B"/>
    <w:multiLevelType w:val="multilevel"/>
    <w:tmpl w:val="4188724A"/>
    <w:lvl w:ilvl="0">
      <w:start w:val="2"/>
      <w:numFmt w:val="decimal"/>
      <w:lvlText w:val="%1"/>
      <w:lvlJc w:val="left"/>
      <w:pPr>
        <w:ind w:left="400" w:hanging="400"/>
      </w:pPr>
      <w:rPr>
        <w:rFonts w:hint="default"/>
      </w:rPr>
    </w:lvl>
    <w:lvl w:ilvl="1">
      <w:start w:val="4"/>
      <w:numFmt w:val="decimal"/>
      <w:lvlText w:val="%1.%2"/>
      <w:lvlJc w:val="left"/>
      <w:pPr>
        <w:ind w:left="58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6D384F5A"/>
    <w:multiLevelType w:val="multilevel"/>
    <w:tmpl w:val="03B8EE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9B439F"/>
    <w:multiLevelType w:val="hybridMultilevel"/>
    <w:tmpl w:val="71CAC78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72480378"/>
    <w:multiLevelType w:val="hybridMultilevel"/>
    <w:tmpl w:val="81ECB61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736952AD"/>
    <w:multiLevelType w:val="hybridMultilevel"/>
    <w:tmpl w:val="08502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E3D39"/>
    <w:multiLevelType w:val="multilevel"/>
    <w:tmpl w:val="F176F31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3C4344"/>
    <w:multiLevelType w:val="hybridMultilevel"/>
    <w:tmpl w:val="C330BF5C"/>
    <w:lvl w:ilvl="0" w:tplc="53403774">
      <w:start w:val="1"/>
      <w:numFmt w:val="decimal"/>
      <w:lvlText w:val="%1."/>
      <w:lvlJc w:val="left"/>
      <w:pPr>
        <w:ind w:left="720" w:hanging="360"/>
      </w:pPr>
      <w:rPr>
        <w:rFonts w:ascii="Calibri" w:hAnsi="Calibri" w:cs="Calibri" w:hint="default"/>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971B03"/>
    <w:multiLevelType w:val="hybridMultilevel"/>
    <w:tmpl w:val="691CB16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32"/>
  </w:num>
  <w:num w:numId="5">
    <w:abstractNumId w:val="15"/>
  </w:num>
  <w:num w:numId="6">
    <w:abstractNumId w:val="7"/>
  </w:num>
  <w:num w:numId="7">
    <w:abstractNumId w:val="4"/>
  </w:num>
  <w:num w:numId="8">
    <w:abstractNumId w:val="25"/>
  </w:num>
  <w:num w:numId="9">
    <w:abstractNumId w:val="19"/>
  </w:num>
  <w:num w:numId="10">
    <w:abstractNumId w:val="8"/>
  </w:num>
  <w:num w:numId="11">
    <w:abstractNumId w:val="10"/>
  </w:num>
  <w:num w:numId="12">
    <w:abstractNumId w:val="29"/>
  </w:num>
  <w:num w:numId="13">
    <w:abstractNumId w:val="30"/>
  </w:num>
  <w:num w:numId="14">
    <w:abstractNumId w:val="13"/>
  </w:num>
  <w:num w:numId="15">
    <w:abstractNumId w:val="31"/>
  </w:num>
  <w:num w:numId="16">
    <w:abstractNumId w:val="1"/>
  </w:num>
  <w:num w:numId="17">
    <w:abstractNumId w:val="22"/>
  </w:num>
  <w:num w:numId="18">
    <w:abstractNumId w:val="18"/>
  </w:num>
  <w:num w:numId="19">
    <w:abstractNumId w:val="34"/>
  </w:num>
  <w:num w:numId="20">
    <w:abstractNumId w:val="6"/>
  </w:num>
  <w:num w:numId="21">
    <w:abstractNumId w:val="24"/>
  </w:num>
  <w:num w:numId="22">
    <w:abstractNumId w:val="0"/>
  </w:num>
  <w:num w:numId="23">
    <w:abstractNumId w:val="14"/>
  </w:num>
  <w:num w:numId="24">
    <w:abstractNumId w:val="17"/>
  </w:num>
  <w:num w:numId="25">
    <w:abstractNumId w:val="9"/>
  </w:num>
  <w:num w:numId="26">
    <w:abstractNumId w:val="28"/>
  </w:num>
  <w:num w:numId="27">
    <w:abstractNumId w:val="2"/>
  </w:num>
  <w:num w:numId="28">
    <w:abstractNumId w:val="5"/>
  </w:num>
  <w:num w:numId="29">
    <w:abstractNumId w:val="27"/>
  </w:num>
  <w:num w:numId="30">
    <w:abstractNumId w:val="26"/>
  </w:num>
  <w:num w:numId="31">
    <w:abstractNumId w:val="21"/>
  </w:num>
  <w:num w:numId="32">
    <w:abstractNumId w:val="16"/>
  </w:num>
  <w:num w:numId="33">
    <w:abstractNumId w:val="33"/>
  </w:num>
  <w:num w:numId="34">
    <w:abstractNumId w:val="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B4"/>
    <w:rsid w:val="000068E7"/>
    <w:rsid w:val="00007C64"/>
    <w:rsid w:val="00025815"/>
    <w:rsid w:val="00030DCC"/>
    <w:rsid w:val="00036923"/>
    <w:rsid w:val="0007456C"/>
    <w:rsid w:val="000806D9"/>
    <w:rsid w:val="00092603"/>
    <w:rsid w:val="000A3B25"/>
    <w:rsid w:val="000C753C"/>
    <w:rsid w:val="000E18EE"/>
    <w:rsid w:val="000F3606"/>
    <w:rsid w:val="00105BF6"/>
    <w:rsid w:val="00114085"/>
    <w:rsid w:val="001159A0"/>
    <w:rsid w:val="00130352"/>
    <w:rsid w:val="00140BF0"/>
    <w:rsid w:val="00153714"/>
    <w:rsid w:val="0016660A"/>
    <w:rsid w:val="00177F4E"/>
    <w:rsid w:val="00182B6C"/>
    <w:rsid w:val="00183DF4"/>
    <w:rsid w:val="00185DFE"/>
    <w:rsid w:val="00192AD9"/>
    <w:rsid w:val="001A60F1"/>
    <w:rsid w:val="001C7170"/>
    <w:rsid w:val="001D152D"/>
    <w:rsid w:val="001E0128"/>
    <w:rsid w:val="00213845"/>
    <w:rsid w:val="0022018F"/>
    <w:rsid w:val="00226AA1"/>
    <w:rsid w:val="00227E7A"/>
    <w:rsid w:val="002359B4"/>
    <w:rsid w:val="002363AA"/>
    <w:rsid w:val="00252326"/>
    <w:rsid w:val="00254009"/>
    <w:rsid w:val="002572F8"/>
    <w:rsid w:val="002663BC"/>
    <w:rsid w:val="00282A31"/>
    <w:rsid w:val="002A163D"/>
    <w:rsid w:val="002A48A6"/>
    <w:rsid w:val="002A7E8C"/>
    <w:rsid w:val="002E471A"/>
    <w:rsid w:val="002F5AF2"/>
    <w:rsid w:val="00322AB7"/>
    <w:rsid w:val="00325448"/>
    <w:rsid w:val="00330D2A"/>
    <w:rsid w:val="003578FD"/>
    <w:rsid w:val="00361248"/>
    <w:rsid w:val="00391D34"/>
    <w:rsid w:val="00394B65"/>
    <w:rsid w:val="003B3843"/>
    <w:rsid w:val="003B4531"/>
    <w:rsid w:val="003E573C"/>
    <w:rsid w:val="00420628"/>
    <w:rsid w:val="004505AF"/>
    <w:rsid w:val="0045498F"/>
    <w:rsid w:val="00456894"/>
    <w:rsid w:val="0047583A"/>
    <w:rsid w:val="004906AA"/>
    <w:rsid w:val="00491060"/>
    <w:rsid w:val="004A3891"/>
    <w:rsid w:val="004D01AA"/>
    <w:rsid w:val="004D4D82"/>
    <w:rsid w:val="005208AE"/>
    <w:rsid w:val="00540733"/>
    <w:rsid w:val="0054127B"/>
    <w:rsid w:val="00546338"/>
    <w:rsid w:val="00551D6B"/>
    <w:rsid w:val="005542CD"/>
    <w:rsid w:val="00557986"/>
    <w:rsid w:val="0056191C"/>
    <w:rsid w:val="005662DE"/>
    <w:rsid w:val="00586F3D"/>
    <w:rsid w:val="00592D78"/>
    <w:rsid w:val="005A36EC"/>
    <w:rsid w:val="005C35CF"/>
    <w:rsid w:val="005C3CCC"/>
    <w:rsid w:val="005C7E55"/>
    <w:rsid w:val="005D03AE"/>
    <w:rsid w:val="005D7600"/>
    <w:rsid w:val="00606486"/>
    <w:rsid w:val="00615878"/>
    <w:rsid w:val="00617F62"/>
    <w:rsid w:val="00625611"/>
    <w:rsid w:val="00627428"/>
    <w:rsid w:val="00630E55"/>
    <w:rsid w:val="006644B6"/>
    <w:rsid w:val="00674B48"/>
    <w:rsid w:val="00676196"/>
    <w:rsid w:val="006818CD"/>
    <w:rsid w:val="00692487"/>
    <w:rsid w:val="00694395"/>
    <w:rsid w:val="00694469"/>
    <w:rsid w:val="006A3963"/>
    <w:rsid w:val="006B6FD9"/>
    <w:rsid w:val="006C503C"/>
    <w:rsid w:val="006D1972"/>
    <w:rsid w:val="006D458C"/>
    <w:rsid w:val="006E6D73"/>
    <w:rsid w:val="006F09FA"/>
    <w:rsid w:val="006F09FE"/>
    <w:rsid w:val="006F0C22"/>
    <w:rsid w:val="00714C1B"/>
    <w:rsid w:val="00732606"/>
    <w:rsid w:val="00751F1F"/>
    <w:rsid w:val="0075255C"/>
    <w:rsid w:val="00774E00"/>
    <w:rsid w:val="007838FE"/>
    <w:rsid w:val="00783D82"/>
    <w:rsid w:val="00790AA2"/>
    <w:rsid w:val="00795797"/>
    <w:rsid w:val="007A4342"/>
    <w:rsid w:val="007B4870"/>
    <w:rsid w:val="007C165C"/>
    <w:rsid w:val="007F05C5"/>
    <w:rsid w:val="007F2932"/>
    <w:rsid w:val="007F3D90"/>
    <w:rsid w:val="00812AEE"/>
    <w:rsid w:val="00816636"/>
    <w:rsid w:val="00824256"/>
    <w:rsid w:val="00832BA2"/>
    <w:rsid w:val="00861672"/>
    <w:rsid w:val="00862C18"/>
    <w:rsid w:val="0087091B"/>
    <w:rsid w:val="00874A46"/>
    <w:rsid w:val="0087739B"/>
    <w:rsid w:val="00881631"/>
    <w:rsid w:val="00882331"/>
    <w:rsid w:val="008B0066"/>
    <w:rsid w:val="008E39A9"/>
    <w:rsid w:val="008F1863"/>
    <w:rsid w:val="008F21AB"/>
    <w:rsid w:val="00916576"/>
    <w:rsid w:val="00922C54"/>
    <w:rsid w:val="009370DD"/>
    <w:rsid w:val="00943D62"/>
    <w:rsid w:val="00945901"/>
    <w:rsid w:val="00957104"/>
    <w:rsid w:val="00973720"/>
    <w:rsid w:val="00981697"/>
    <w:rsid w:val="009966F7"/>
    <w:rsid w:val="009A6A81"/>
    <w:rsid w:val="009B15F1"/>
    <w:rsid w:val="009B6B09"/>
    <w:rsid w:val="009C5EBA"/>
    <w:rsid w:val="009D03A8"/>
    <w:rsid w:val="009D1453"/>
    <w:rsid w:val="009E417A"/>
    <w:rsid w:val="009E5377"/>
    <w:rsid w:val="009F6F2C"/>
    <w:rsid w:val="00A12ABD"/>
    <w:rsid w:val="00A24252"/>
    <w:rsid w:val="00A507E4"/>
    <w:rsid w:val="00A53BBE"/>
    <w:rsid w:val="00A6662A"/>
    <w:rsid w:val="00A719F5"/>
    <w:rsid w:val="00A76B59"/>
    <w:rsid w:val="00A774D8"/>
    <w:rsid w:val="00A82707"/>
    <w:rsid w:val="00A91CB7"/>
    <w:rsid w:val="00AA220B"/>
    <w:rsid w:val="00AA3E5C"/>
    <w:rsid w:val="00AA6A4B"/>
    <w:rsid w:val="00AB287B"/>
    <w:rsid w:val="00AB33A5"/>
    <w:rsid w:val="00AB4701"/>
    <w:rsid w:val="00AB7496"/>
    <w:rsid w:val="00AC0A14"/>
    <w:rsid w:val="00AD37FA"/>
    <w:rsid w:val="00AD3813"/>
    <w:rsid w:val="00AF2010"/>
    <w:rsid w:val="00B017F4"/>
    <w:rsid w:val="00B06C84"/>
    <w:rsid w:val="00B131F9"/>
    <w:rsid w:val="00B4338A"/>
    <w:rsid w:val="00B44EE0"/>
    <w:rsid w:val="00B44F53"/>
    <w:rsid w:val="00B56E4F"/>
    <w:rsid w:val="00B646C1"/>
    <w:rsid w:val="00B6511D"/>
    <w:rsid w:val="00B65DB1"/>
    <w:rsid w:val="00B662ED"/>
    <w:rsid w:val="00B7627D"/>
    <w:rsid w:val="00BA51F2"/>
    <w:rsid w:val="00BC3A8B"/>
    <w:rsid w:val="00BC3EDA"/>
    <w:rsid w:val="00BD40C6"/>
    <w:rsid w:val="00BD650F"/>
    <w:rsid w:val="00BE44E4"/>
    <w:rsid w:val="00C24271"/>
    <w:rsid w:val="00C26093"/>
    <w:rsid w:val="00C2766B"/>
    <w:rsid w:val="00C37701"/>
    <w:rsid w:val="00C60665"/>
    <w:rsid w:val="00C62087"/>
    <w:rsid w:val="00C65CDA"/>
    <w:rsid w:val="00C719E0"/>
    <w:rsid w:val="00C7333A"/>
    <w:rsid w:val="00C86315"/>
    <w:rsid w:val="00C86D16"/>
    <w:rsid w:val="00CF4E40"/>
    <w:rsid w:val="00D058BF"/>
    <w:rsid w:val="00D1508A"/>
    <w:rsid w:val="00D16E62"/>
    <w:rsid w:val="00D603CE"/>
    <w:rsid w:val="00D61EFD"/>
    <w:rsid w:val="00D65240"/>
    <w:rsid w:val="00D705DA"/>
    <w:rsid w:val="00D85334"/>
    <w:rsid w:val="00D927A6"/>
    <w:rsid w:val="00D933DD"/>
    <w:rsid w:val="00DA2CA1"/>
    <w:rsid w:val="00DA39B6"/>
    <w:rsid w:val="00DA6747"/>
    <w:rsid w:val="00DB773A"/>
    <w:rsid w:val="00DD0B20"/>
    <w:rsid w:val="00DE2B1E"/>
    <w:rsid w:val="00DE58D3"/>
    <w:rsid w:val="00E1251F"/>
    <w:rsid w:val="00E1553B"/>
    <w:rsid w:val="00E2403A"/>
    <w:rsid w:val="00E27B12"/>
    <w:rsid w:val="00E3342E"/>
    <w:rsid w:val="00E3622E"/>
    <w:rsid w:val="00E42D6D"/>
    <w:rsid w:val="00E7372B"/>
    <w:rsid w:val="00E804DC"/>
    <w:rsid w:val="00E93C51"/>
    <w:rsid w:val="00EB2692"/>
    <w:rsid w:val="00EB718C"/>
    <w:rsid w:val="00EC2128"/>
    <w:rsid w:val="00EC6367"/>
    <w:rsid w:val="00ED311C"/>
    <w:rsid w:val="00ED3E05"/>
    <w:rsid w:val="00ED4AD7"/>
    <w:rsid w:val="00ED5044"/>
    <w:rsid w:val="00EE627D"/>
    <w:rsid w:val="00EE6F5A"/>
    <w:rsid w:val="00EF228C"/>
    <w:rsid w:val="00F05794"/>
    <w:rsid w:val="00F07114"/>
    <w:rsid w:val="00F15CDB"/>
    <w:rsid w:val="00F3443E"/>
    <w:rsid w:val="00F515F5"/>
    <w:rsid w:val="00F67D5E"/>
    <w:rsid w:val="00F85B23"/>
    <w:rsid w:val="00FA1923"/>
    <w:rsid w:val="00FA1B0A"/>
    <w:rsid w:val="00FA2B51"/>
    <w:rsid w:val="00FB1135"/>
    <w:rsid w:val="00FB6005"/>
    <w:rsid w:val="00FC3D34"/>
    <w:rsid w:val="00FE0F87"/>
    <w:rsid w:val="00FF0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9398"/>
  <w15:chartTrackingRefBased/>
  <w15:docId w15:val="{9554E1BB-891A-47E1-A99F-9853C43D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in Section 2 of LAR,Resume Title,Citation List,Indent Paragraph,Bullets,Figure_name,List Paragraph1,Bullet- First level,Report Para,List Paragraph11,Number Bullets,heading 4,Graphic,Ha,Bullets1,List_Paragraph,Nagłowek 3,lp1"/>
    <w:basedOn w:val="Normalny"/>
    <w:link w:val="AkapitzlistZnak"/>
    <w:uiPriority w:val="34"/>
    <w:qFormat/>
    <w:rsid w:val="00E1553B"/>
    <w:pPr>
      <w:ind w:left="720"/>
      <w:contextualSpacing/>
    </w:pPr>
  </w:style>
  <w:style w:type="paragraph" w:styleId="Tekstprzypisudolnego">
    <w:name w:val="footnote text"/>
    <w:basedOn w:val="Normalny"/>
    <w:link w:val="TekstprzypisudolnegoZnak"/>
    <w:uiPriority w:val="99"/>
    <w:unhideWhenUsed/>
    <w:rsid w:val="005C7E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C7E55"/>
    <w:rPr>
      <w:sz w:val="20"/>
      <w:szCs w:val="20"/>
    </w:rPr>
  </w:style>
  <w:style w:type="character" w:styleId="Odwoanieprzypisudolnego">
    <w:name w:val="footnote reference"/>
    <w:basedOn w:val="Domylnaczcionkaakapitu"/>
    <w:uiPriority w:val="99"/>
    <w:semiHidden/>
    <w:unhideWhenUsed/>
    <w:rsid w:val="005C7E55"/>
    <w:rPr>
      <w:vertAlign w:val="superscript"/>
    </w:rPr>
  </w:style>
  <w:style w:type="paragraph" w:customStyle="1" w:styleId="ptytakt">
    <w:name w:val="p.tytakt"/>
    <w:rsid w:val="00AA220B"/>
    <w:pPr>
      <w:widowControl w:val="0"/>
      <w:suppressAutoHyphens/>
      <w:autoSpaceDE w:val="0"/>
      <w:autoSpaceDN w:val="0"/>
      <w:spacing w:before="120" w:after="120" w:line="40" w:lineRule="atLeast"/>
      <w:jc w:val="center"/>
    </w:pPr>
    <w:rPr>
      <w:rFonts w:ascii="Helvetica" w:eastAsia="Times New Roman" w:hAnsi="Helvetica" w:cs="Helvetica"/>
      <w:b/>
      <w:bCs/>
      <w:color w:val="150A59"/>
      <w:lang w:val="en-GB" w:eastAsia="pl-PL"/>
    </w:rPr>
  </w:style>
  <w:style w:type="character" w:styleId="Odwoaniedokomentarza">
    <w:name w:val="annotation reference"/>
    <w:basedOn w:val="Domylnaczcionkaakapitu"/>
    <w:uiPriority w:val="99"/>
    <w:semiHidden/>
    <w:unhideWhenUsed/>
    <w:rsid w:val="002E471A"/>
    <w:rPr>
      <w:sz w:val="16"/>
      <w:szCs w:val="16"/>
    </w:rPr>
  </w:style>
  <w:style w:type="paragraph" w:styleId="Tekstkomentarza">
    <w:name w:val="annotation text"/>
    <w:basedOn w:val="Normalny"/>
    <w:link w:val="TekstkomentarzaZnak"/>
    <w:uiPriority w:val="99"/>
    <w:semiHidden/>
    <w:unhideWhenUsed/>
    <w:rsid w:val="002E47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71A"/>
    <w:rPr>
      <w:sz w:val="20"/>
      <w:szCs w:val="20"/>
    </w:rPr>
  </w:style>
  <w:style w:type="paragraph" w:styleId="Tematkomentarza">
    <w:name w:val="annotation subject"/>
    <w:basedOn w:val="Tekstkomentarza"/>
    <w:next w:val="Tekstkomentarza"/>
    <w:link w:val="TematkomentarzaZnak"/>
    <w:uiPriority w:val="99"/>
    <w:semiHidden/>
    <w:unhideWhenUsed/>
    <w:rsid w:val="002E471A"/>
    <w:rPr>
      <w:b/>
      <w:bCs/>
    </w:rPr>
  </w:style>
  <w:style w:type="character" w:customStyle="1" w:styleId="TematkomentarzaZnak">
    <w:name w:val="Temat komentarza Znak"/>
    <w:basedOn w:val="TekstkomentarzaZnak"/>
    <w:link w:val="Tematkomentarza"/>
    <w:uiPriority w:val="99"/>
    <w:semiHidden/>
    <w:rsid w:val="002E471A"/>
    <w:rPr>
      <w:b/>
      <w:bCs/>
      <w:sz w:val="20"/>
      <w:szCs w:val="20"/>
    </w:rPr>
  </w:style>
  <w:style w:type="paragraph" w:styleId="Tekstdymka">
    <w:name w:val="Balloon Text"/>
    <w:basedOn w:val="Normalny"/>
    <w:link w:val="TekstdymkaZnak"/>
    <w:uiPriority w:val="99"/>
    <w:semiHidden/>
    <w:unhideWhenUsed/>
    <w:rsid w:val="002E47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471A"/>
    <w:rPr>
      <w:rFonts w:ascii="Segoe UI" w:hAnsi="Segoe UI" w:cs="Segoe UI"/>
      <w:sz w:val="18"/>
      <w:szCs w:val="18"/>
    </w:rPr>
  </w:style>
  <w:style w:type="table" w:styleId="Tabela-Siatka">
    <w:name w:val="Table Grid"/>
    <w:basedOn w:val="Standardowy"/>
    <w:uiPriority w:val="39"/>
    <w:rsid w:val="00BD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D65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7091B"/>
    <w:rPr>
      <w:i/>
      <w:iCs/>
    </w:rPr>
  </w:style>
  <w:style w:type="character" w:customStyle="1" w:styleId="AkapitzlistZnak">
    <w:name w:val="Akapit z listą Znak"/>
    <w:aliases w:val="List Paragraph in Section 2 of LAR Znak,Resume Title Znak,Citation List Znak,Indent Paragraph Znak,Bullets Znak,Figure_name Znak,List Paragraph1 Znak,Bullet- First level Znak,Report Para Znak,List Paragraph11 Znak,Number Bullets Znak"/>
    <w:link w:val="Akapitzlist"/>
    <w:uiPriority w:val="34"/>
    <w:qFormat/>
    <w:locked/>
    <w:rsid w:val="0087091B"/>
  </w:style>
  <w:style w:type="paragraph" w:customStyle="1" w:styleId="ppkt">
    <w:name w:val="p.pkt"/>
    <w:rsid w:val="006644B6"/>
    <w:pPr>
      <w:widowControl w:val="0"/>
      <w:suppressAutoHyphens/>
      <w:autoSpaceDE w:val="0"/>
      <w:autoSpaceDN w:val="0"/>
      <w:spacing w:after="0" w:line="40" w:lineRule="atLeast"/>
      <w:ind w:left="240"/>
      <w:jc w:val="both"/>
    </w:pPr>
    <w:rPr>
      <w:rFonts w:ascii="Helvetica" w:eastAsia="Times New Roman" w:hAnsi="Helvetica" w:cs="Helvetica"/>
      <w:color w:val="000000"/>
      <w:sz w:val="18"/>
      <w:szCs w:val="18"/>
      <w:lang w:val="en-GB" w:eastAsia="pl-PL"/>
    </w:rPr>
  </w:style>
  <w:style w:type="paragraph" w:customStyle="1" w:styleId="p">
    <w:name w:val="p"/>
    <w:rsid w:val="00862C18"/>
    <w:pPr>
      <w:widowControl w:val="0"/>
      <w:suppressAutoHyphens/>
      <w:autoSpaceDE w:val="0"/>
      <w:autoSpaceDN w:val="0"/>
      <w:spacing w:before="20" w:after="40" w:line="40" w:lineRule="atLeast"/>
      <w:jc w:val="both"/>
    </w:pPr>
    <w:rPr>
      <w:rFonts w:ascii="Helvetica" w:eastAsia="Times New Roman" w:hAnsi="Helvetica" w:cs="Helvetica"/>
      <w:color w:val="000000"/>
      <w:sz w:val="18"/>
      <w:szCs w:val="18"/>
      <w:lang w:val="en-GB" w:eastAsia="pl-PL"/>
    </w:rPr>
  </w:style>
  <w:style w:type="paragraph" w:styleId="Nagwek">
    <w:name w:val="header"/>
    <w:basedOn w:val="Normalny"/>
    <w:link w:val="NagwekZnak"/>
    <w:uiPriority w:val="99"/>
    <w:unhideWhenUsed/>
    <w:rsid w:val="006064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486"/>
  </w:style>
  <w:style w:type="paragraph" w:styleId="Stopka">
    <w:name w:val="footer"/>
    <w:basedOn w:val="Normalny"/>
    <w:link w:val="StopkaZnak"/>
    <w:uiPriority w:val="99"/>
    <w:unhideWhenUsed/>
    <w:rsid w:val="006064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486"/>
  </w:style>
  <w:style w:type="character" w:customStyle="1" w:styleId="Teksttreci">
    <w:name w:val="Tekst treści_"/>
    <w:basedOn w:val="Domylnaczcionkaakapitu"/>
    <w:link w:val="Teksttreci0"/>
    <w:qFormat/>
    <w:rsid w:val="00617F62"/>
    <w:rPr>
      <w:rFonts w:ascii="Times New Roman" w:eastAsia="Times New Roman" w:hAnsi="Times New Roman" w:cs="Times New Roman"/>
    </w:rPr>
  </w:style>
  <w:style w:type="paragraph" w:customStyle="1" w:styleId="Teksttreci0">
    <w:name w:val="Tekst treści"/>
    <w:basedOn w:val="Normalny"/>
    <w:link w:val="Teksttreci"/>
    <w:qFormat/>
    <w:rsid w:val="00617F62"/>
    <w:pPr>
      <w:widowControl w:val="0"/>
      <w:spacing w:after="0" w:line="360" w:lineRule="auto"/>
    </w:pPr>
    <w:rPr>
      <w:rFonts w:ascii="Times New Roman" w:eastAsia="Times New Roman" w:hAnsi="Times New Roman" w:cs="Times New Roman"/>
    </w:rPr>
  </w:style>
  <w:style w:type="paragraph" w:customStyle="1" w:styleId="ZARTzmartartykuempunktem">
    <w:name w:val="Z/ART(§) – zm. art. (§) artykułem (punktem)"/>
    <w:basedOn w:val="Normalny"/>
    <w:rsid w:val="00036923"/>
    <w:pPr>
      <w:suppressAutoHyphens/>
      <w:autoSpaceDE w:val="0"/>
      <w:autoSpaceDN w:val="0"/>
      <w:spacing w:after="0" w:line="360" w:lineRule="auto"/>
      <w:ind w:left="510" w:firstLine="510"/>
      <w:jc w:val="both"/>
    </w:pPr>
    <w:rPr>
      <w:rFonts w:ascii="Times" w:eastAsia="Times New Roman" w:hAnsi="Times" w:cs="Arial"/>
      <w:sz w:val="24"/>
      <w:szCs w:val="20"/>
      <w:lang w:val="en-GB" w:eastAsia="pl-PL"/>
    </w:rPr>
  </w:style>
  <w:style w:type="character" w:customStyle="1" w:styleId="rynqvb">
    <w:name w:val="rynqvb"/>
    <w:basedOn w:val="Domylnaczcionkaakapitu"/>
    <w:qFormat/>
    <w:rsid w:val="00D65240"/>
  </w:style>
  <w:style w:type="paragraph" w:customStyle="1" w:styleId="punkty1">
    <w:name w:val="_punkty 1)"/>
    <w:basedOn w:val="Teksttreci0"/>
    <w:qFormat/>
    <w:rsid w:val="00D65240"/>
    <w:pPr>
      <w:widowControl/>
      <w:spacing w:after="120" w:line="276" w:lineRule="auto"/>
      <w:ind w:left="567" w:hanging="567"/>
      <w:jc w:val="both"/>
    </w:pPr>
    <w:rPr>
      <w:color w:val="000000"/>
      <w:lang w:val="en-GB" w:eastAsia="pl-PL" w:bidi="pl-PL"/>
    </w:rPr>
  </w:style>
  <w:style w:type="character" w:styleId="Hipercze">
    <w:name w:val="Hyperlink"/>
    <w:basedOn w:val="Domylnaczcionkaakapitu"/>
    <w:uiPriority w:val="99"/>
    <w:unhideWhenUsed/>
    <w:rsid w:val="004A3891"/>
    <w:rPr>
      <w:color w:val="0563C1" w:themeColor="hyperlink"/>
      <w:u w:val="single"/>
    </w:rPr>
  </w:style>
  <w:style w:type="character" w:customStyle="1" w:styleId="Nagwek1">
    <w:name w:val="Nagłówek #1_"/>
    <w:basedOn w:val="Domylnaczcionkaakapitu"/>
    <w:link w:val="Nagwek10"/>
    <w:qFormat/>
    <w:rsid w:val="00B4338A"/>
    <w:rPr>
      <w:rFonts w:ascii="Times New Roman" w:eastAsia="Times New Roman" w:hAnsi="Times New Roman" w:cs="Times New Roman"/>
      <w:b/>
      <w:bCs/>
    </w:rPr>
  </w:style>
  <w:style w:type="paragraph" w:customStyle="1" w:styleId="Nagwek10">
    <w:name w:val="Nagłówek #1"/>
    <w:basedOn w:val="Normalny"/>
    <w:link w:val="Nagwek1"/>
    <w:qFormat/>
    <w:rsid w:val="00B4338A"/>
    <w:pPr>
      <w:widowControl w:val="0"/>
      <w:spacing w:after="0" w:line="300" w:lineRule="auto"/>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2375">
      <w:bodyDiv w:val="1"/>
      <w:marLeft w:val="0"/>
      <w:marRight w:val="0"/>
      <w:marTop w:val="0"/>
      <w:marBottom w:val="0"/>
      <w:divBdr>
        <w:top w:val="none" w:sz="0" w:space="0" w:color="auto"/>
        <w:left w:val="none" w:sz="0" w:space="0" w:color="auto"/>
        <w:bottom w:val="none" w:sz="0" w:space="0" w:color="auto"/>
        <w:right w:val="none" w:sz="0" w:space="0" w:color="auto"/>
      </w:divBdr>
    </w:div>
    <w:div w:id="155610923">
      <w:bodyDiv w:val="1"/>
      <w:marLeft w:val="0"/>
      <w:marRight w:val="0"/>
      <w:marTop w:val="0"/>
      <w:marBottom w:val="0"/>
      <w:divBdr>
        <w:top w:val="none" w:sz="0" w:space="0" w:color="auto"/>
        <w:left w:val="none" w:sz="0" w:space="0" w:color="auto"/>
        <w:bottom w:val="none" w:sz="0" w:space="0" w:color="auto"/>
        <w:right w:val="none" w:sz="0" w:space="0" w:color="auto"/>
      </w:divBdr>
    </w:div>
    <w:div w:id="193228351">
      <w:bodyDiv w:val="1"/>
      <w:marLeft w:val="0"/>
      <w:marRight w:val="0"/>
      <w:marTop w:val="0"/>
      <w:marBottom w:val="0"/>
      <w:divBdr>
        <w:top w:val="none" w:sz="0" w:space="0" w:color="auto"/>
        <w:left w:val="none" w:sz="0" w:space="0" w:color="auto"/>
        <w:bottom w:val="none" w:sz="0" w:space="0" w:color="auto"/>
        <w:right w:val="none" w:sz="0" w:space="0" w:color="auto"/>
      </w:divBdr>
    </w:div>
    <w:div w:id="364527579">
      <w:bodyDiv w:val="1"/>
      <w:marLeft w:val="0"/>
      <w:marRight w:val="0"/>
      <w:marTop w:val="0"/>
      <w:marBottom w:val="0"/>
      <w:divBdr>
        <w:top w:val="none" w:sz="0" w:space="0" w:color="auto"/>
        <w:left w:val="none" w:sz="0" w:space="0" w:color="auto"/>
        <w:bottom w:val="none" w:sz="0" w:space="0" w:color="auto"/>
        <w:right w:val="none" w:sz="0" w:space="0" w:color="auto"/>
      </w:divBdr>
    </w:div>
    <w:div w:id="710963638">
      <w:bodyDiv w:val="1"/>
      <w:marLeft w:val="0"/>
      <w:marRight w:val="0"/>
      <w:marTop w:val="0"/>
      <w:marBottom w:val="0"/>
      <w:divBdr>
        <w:top w:val="none" w:sz="0" w:space="0" w:color="auto"/>
        <w:left w:val="none" w:sz="0" w:space="0" w:color="auto"/>
        <w:bottom w:val="none" w:sz="0" w:space="0" w:color="auto"/>
        <w:right w:val="none" w:sz="0" w:space="0" w:color="auto"/>
      </w:divBdr>
    </w:div>
    <w:div w:id="787431057">
      <w:bodyDiv w:val="1"/>
      <w:marLeft w:val="0"/>
      <w:marRight w:val="0"/>
      <w:marTop w:val="0"/>
      <w:marBottom w:val="0"/>
      <w:divBdr>
        <w:top w:val="none" w:sz="0" w:space="0" w:color="auto"/>
        <w:left w:val="none" w:sz="0" w:space="0" w:color="auto"/>
        <w:bottom w:val="none" w:sz="0" w:space="0" w:color="auto"/>
        <w:right w:val="none" w:sz="0" w:space="0" w:color="auto"/>
      </w:divBdr>
    </w:div>
    <w:div w:id="798767091">
      <w:bodyDiv w:val="1"/>
      <w:marLeft w:val="0"/>
      <w:marRight w:val="0"/>
      <w:marTop w:val="0"/>
      <w:marBottom w:val="0"/>
      <w:divBdr>
        <w:top w:val="none" w:sz="0" w:space="0" w:color="auto"/>
        <w:left w:val="none" w:sz="0" w:space="0" w:color="auto"/>
        <w:bottom w:val="none" w:sz="0" w:space="0" w:color="auto"/>
        <w:right w:val="none" w:sz="0" w:space="0" w:color="auto"/>
      </w:divBdr>
    </w:div>
    <w:div w:id="803818032">
      <w:bodyDiv w:val="1"/>
      <w:marLeft w:val="0"/>
      <w:marRight w:val="0"/>
      <w:marTop w:val="0"/>
      <w:marBottom w:val="0"/>
      <w:divBdr>
        <w:top w:val="none" w:sz="0" w:space="0" w:color="auto"/>
        <w:left w:val="none" w:sz="0" w:space="0" w:color="auto"/>
        <w:bottom w:val="none" w:sz="0" w:space="0" w:color="auto"/>
        <w:right w:val="none" w:sz="0" w:space="0" w:color="auto"/>
      </w:divBdr>
    </w:div>
    <w:div w:id="845485229">
      <w:bodyDiv w:val="1"/>
      <w:marLeft w:val="0"/>
      <w:marRight w:val="0"/>
      <w:marTop w:val="0"/>
      <w:marBottom w:val="0"/>
      <w:divBdr>
        <w:top w:val="none" w:sz="0" w:space="0" w:color="auto"/>
        <w:left w:val="none" w:sz="0" w:space="0" w:color="auto"/>
        <w:bottom w:val="none" w:sz="0" w:space="0" w:color="auto"/>
        <w:right w:val="none" w:sz="0" w:space="0" w:color="auto"/>
      </w:divBdr>
      <w:divsChild>
        <w:div w:id="1511024013">
          <w:marLeft w:val="1267"/>
          <w:marRight w:val="0"/>
          <w:marTop w:val="0"/>
          <w:marBottom w:val="0"/>
          <w:divBdr>
            <w:top w:val="none" w:sz="0" w:space="0" w:color="auto"/>
            <w:left w:val="none" w:sz="0" w:space="0" w:color="auto"/>
            <w:bottom w:val="none" w:sz="0" w:space="0" w:color="auto"/>
            <w:right w:val="none" w:sz="0" w:space="0" w:color="auto"/>
          </w:divBdr>
        </w:div>
        <w:div w:id="668796888">
          <w:marLeft w:val="1267"/>
          <w:marRight w:val="0"/>
          <w:marTop w:val="0"/>
          <w:marBottom w:val="0"/>
          <w:divBdr>
            <w:top w:val="none" w:sz="0" w:space="0" w:color="auto"/>
            <w:left w:val="none" w:sz="0" w:space="0" w:color="auto"/>
            <w:bottom w:val="none" w:sz="0" w:space="0" w:color="auto"/>
            <w:right w:val="none" w:sz="0" w:space="0" w:color="auto"/>
          </w:divBdr>
        </w:div>
        <w:div w:id="1307783893">
          <w:marLeft w:val="1267"/>
          <w:marRight w:val="0"/>
          <w:marTop w:val="0"/>
          <w:marBottom w:val="0"/>
          <w:divBdr>
            <w:top w:val="none" w:sz="0" w:space="0" w:color="auto"/>
            <w:left w:val="none" w:sz="0" w:space="0" w:color="auto"/>
            <w:bottom w:val="none" w:sz="0" w:space="0" w:color="auto"/>
            <w:right w:val="none" w:sz="0" w:space="0" w:color="auto"/>
          </w:divBdr>
        </w:div>
      </w:divsChild>
    </w:div>
    <w:div w:id="886843435">
      <w:bodyDiv w:val="1"/>
      <w:marLeft w:val="0"/>
      <w:marRight w:val="0"/>
      <w:marTop w:val="0"/>
      <w:marBottom w:val="0"/>
      <w:divBdr>
        <w:top w:val="none" w:sz="0" w:space="0" w:color="auto"/>
        <w:left w:val="none" w:sz="0" w:space="0" w:color="auto"/>
        <w:bottom w:val="none" w:sz="0" w:space="0" w:color="auto"/>
        <w:right w:val="none" w:sz="0" w:space="0" w:color="auto"/>
      </w:divBdr>
    </w:div>
    <w:div w:id="1045059559">
      <w:bodyDiv w:val="1"/>
      <w:marLeft w:val="0"/>
      <w:marRight w:val="0"/>
      <w:marTop w:val="0"/>
      <w:marBottom w:val="0"/>
      <w:divBdr>
        <w:top w:val="none" w:sz="0" w:space="0" w:color="auto"/>
        <w:left w:val="none" w:sz="0" w:space="0" w:color="auto"/>
        <w:bottom w:val="none" w:sz="0" w:space="0" w:color="auto"/>
        <w:right w:val="none" w:sz="0" w:space="0" w:color="auto"/>
      </w:divBdr>
    </w:div>
    <w:div w:id="1220286104">
      <w:bodyDiv w:val="1"/>
      <w:marLeft w:val="0"/>
      <w:marRight w:val="0"/>
      <w:marTop w:val="0"/>
      <w:marBottom w:val="0"/>
      <w:divBdr>
        <w:top w:val="none" w:sz="0" w:space="0" w:color="auto"/>
        <w:left w:val="none" w:sz="0" w:space="0" w:color="auto"/>
        <w:bottom w:val="none" w:sz="0" w:space="0" w:color="auto"/>
        <w:right w:val="none" w:sz="0" w:space="0" w:color="auto"/>
      </w:divBdr>
    </w:div>
    <w:div w:id="1268387683">
      <w:bodyDiv w:val="1"/>
      <w:marLeft w:val="0"/>
      <w:marRight w:val="0"/>
      <w:marTop w:val="0"/>
      <w:marBottom w:val="0"/>
      <w:divBdr>
        <w:top w:val="none" w:sz="0" w:space="0" w:color="auto"/>
        <w:left w:val="none" w:sz="0" w:space="0" w:color="auto"/>
        <w:bottom w:val="none" w:sz="0" w:space="0" w:color="auto"/>
        <w:right w:val="none" w:sz="0" w:space="0" w:color="auto"/>
      </w:divBdr>
    </w:div>
    <w:div w:id="1579971924">
      <w:bodyDiv w:val="1"/>
      <w:marLeft w:val="0"/>
      <w:marRight w:val="0"/>
      <w:marTop w:val="0"/>
      <w:marBottom w:val="0"/>
      <w:divBdr>
        <w:top w:val="none" w:sz="0" w:space="0" w:color="auto"/>
        <w:left w:val="none" w:sz="0" w:space="0" w:color="auto"/>
        <w:bottom w:val="none" w:sz="0" w:space="0" w:color="auto"/>
        <w:right w:val="none" w:sz="0" w:space="0" w:color="auto"/>
      </w:divBdr>
    </w:div>
    <w:div w:id="1882547586">
      <w:bodyDiv w:val="1"/>
      <w:marLeft w:val="0"/>
      <w:marRight w:val="0"/>
      <w:marTop w:val="0"/>
      <w:marBottom w:val="0"/>
      <w:divBdr>
        <w:top w:val="none" w:sz="0" w:space="0" w:color="auto"/>
        <w:left w:val="none" w:sz="0" w:space="0" w:color="auto"/>
        <w:bottom w:val="none" w:sz="0" w:space="0" w:color="auto"/>
        <w:right w:val="none" w:sz="0" w:space="0" w:color="auto"/>
      </w:divBdr>
    </w:div>
    <w:div w:id="1918709773">
      <w:bodyDiv w:val="1"/>
      <w:marLeft w:val="0"/>
      <w:marRight w:val="0"/>
      <w:marTop w:val="0"/>
      <w:marBottom w:val="0"/>
      <w:divBdr>
        <w:top w:val="none" w:sz="0" w:space="0" w:color="auto"/>
        <w:left w:val="none" w:sz="0" w:space="0" w:color="auto"/>
        <w:bottom w:val="none" w:sz="0" w:space="0" w:color="auto"/>
        <w:right w:val="none" w:sz="0" w:space="0" w:color="auto"/>
      </w:divBdr>
    </w:div>
    <w:div w:id="19394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p.sejm.gov.pl/isap.nsf/DocDetails.xsp?id=WDU20230000595" TargetMode="External"/><Relationship Id="rId18" Type="http://schemas.openxmlformats.org/officeDocument/2006/relationships/hyperlink" Target="https://doi.org/10.36128/priw.vi32.9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sap.sejm.gov.pl/isap.nsf/download.xsp/WMP20210000264/O/M20210264.pdf" TargetMode="External"/><Relationship Id="rId17" Type="http://schemas.openxmlformats.org/officeDocument/2006/relationships/hyperlink" Target="https://doi.org/10.31338/2544-3135.si.2020-87.19" TargetMode="External"/><Relationship Id="rId2" Type="http://schemas.openxmlformats.org/officeDocument/2006/relationships/numbering" Target="numbering.xml"/><Relationship Id="rId16" Type="http://schemas.openxmlformats.org/officeDocument/2006/relationships/hyperlink" Target="https://isap.sejm.gov.pl/isap.nsf/DocDetails.xsp?id=WDU201113507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MP20200000946/O/M20200946.pdf" TargetMode="External"/><Relationship Id="rId5" Type="http://schemas.openxmlformats.org/officeDocument/2006/relationships/webSettings" Target="webSettings.xml"/><Relationship Id="rId15" Type="http://schemas.openxmlformats.org/officeDocument/2006/relationships/hyperlink" Target="https://isap.sejm.gov.pl/isap.nsf/DocDetails.xsp?id=WDU20010030018"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sap.sejm.gov.pl/isap.nsf/download.xsp/WDU20240000834/T/D20240834L.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3E7D-5593-46FE-989E-6D6E074B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5598</Words>
  <Characters>33594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Kamil [PGE PAK EJ]</dc:creator>
  <cp:keywords/>
  <dc:description/>
  <cp:lastModifiedBy>Adamczyk Kamil [PGE PAK EJ]</cp:lastModifiedBy>
  <cp:revision>2</cp:revision>
  <dcterms:created xsi:type="dcterms:W3CDTF">2024-08-05T06:54:00Z</dcterms:created>
  <dcterms:modified xsi:type="dcterms:W3CDTF">2024-08-05T06:54:00Z</dcterms:modified>
</cp:coreProperties>
</file>