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43D79" w14:textId="77777777" w:rsidR="00B56496" w:rsidRDefault="0043685F" w:rsidP="00B56496">
      <w:pPr>
        <w:spacing w:after="120"/>
        <w:ind w:left="567"/>
        <w:rPr>
          <w:b/>
          <w:smallCaps/>
          <w:sz w:val="24"/>
          <w:szCs w:val="24"/>
        </w:rPr>
      </w:pPr>
      <w:r w:rsidRPr="00DE7BEA">
        <w:rPr>
          <w:b/>
          <w:smallCaps/>
          <w:sz w:val="24"/>
          <w:szCs w:val="24"/>
        </w:rPr>
        <w:t xml:space="preserve">Legal and Regulatory Challenges in Introducing SMR Technologies </w:t>
      </w:r>
    </w:p>
    <w:p w14:paraId="78DC212E" w14:textId="3369A824" w:rsidR="0043685F" w:rsidRPr="00DE7BEA" w:rsidRDefault="00B56496" w:rsidP="00B56496">
      <w:pPr>
        <w:spacing w:after="120"/>
        <w:ind w:left="567"/>
        <w:rPr>
          <w:b/>
          <w:smallCaps/>
          <w:sz w:val="24"/>
          <w:szCs w:val="24"/>
        </w:rPr>
      </w:pPr>
      <w:r>
        <w:rPr>
          <w:b/>
          <w:smallCaps/>
          <w:sz w:val="24"/>
          <w:szCs w:val="24"/>
        </w:rPr>
        <w:t>In Slovakia</w:t>
      </w:r>
      <w:r w:rsidR="0043685F" w:rsidRPr="00DE7BEA">
        <w:rPr>
          <w:b/>
          <w:smallCaps/>
          <w:sz w:val="24"/>
          <w:szCs w:val="24"/>
        </w:rPr>
        <w:t xml:space="preserve"> </w:t>
      </w:r>
    </w:p>
    <w:p w14:paraId="4D1B799F" w14:textId="77777777" w:rsidR="00802381" w:rsidRDefault="00802381" w:rsidP="00537496">
      <w:pPr>
        <w:pStyle w:val="Authornameandaffiliation"/>
      </w:pPr>
    </w:p>
    <w:p w14:paraId="62F987CB" w14:textId="1E16BDEA" w:rsidR="0043685F" w:rsidRPr="0043685F" w:rsidRDefault="0043685F" w:rsidP="0043685F">
      <w:pPr>
        <w:pStyle w:val="Authornameandaffiliation"/>
      </w:pPr>
      <w:proofErr w:type="spellStart"/>
      <w:r w:rsidRPr="0043685F">
        <w:t>Mikuláš</w:t>
      </w:r>
      <w:proofErr w:type="spellEnd"/>
      <w:r w:rsidRPr="0043685F">
        <w:t xml:space="preserve"> </w:t>
      </w:r>
      <w:r w:rsidR="006C52D9">
        <w:t>Turner</w:t>
      </w:r>
    </w:p>
    <w:p w14:paraId="19DB58C1" w14:textId="448119E0" w:rsidR="0043685F" w:rsidRDefault="0043685F" w:rsidP="0043685F">
      <w:pPr>
        <w:pStyle w:val="Authornameandaffiliation"/>
      </w:pPr>
      <w:r w:rsidRPr="0043685F">
        <w:t>Nuclear Regulatory Authority of the Slovak Republic (</w:t>
      </w:r>
      <w:r>
        <w:t>ÚJ</w:t>
      </w:r>
      <w:r w:rsidRPr="0043685F">
        <w:t>D SR)</w:t>
      </w:r>
    </w:p>
    <w:p w14:paraId="27CA756D" w14:textId="7768E3EC" w:rsidR="0043685F" w:rsidRDefault="0043685F" w:rsidP="0043685F">
      <w:pPr>
        <w:pStyle w:val="Authornameandaffiliation"/>
      </w:pPr>
      <w:proofErr w:type="gramStart"/>
      <w:r>
        <w:t>Bratislava ,</w:t>
      </w:r>
      <w:proofErr w:type="gramEnd"/>
      <w:r>
        <w:t xml:space="preserve"> Slovakia</w:t>
      </w:r>
    </w:p>
    <w:p w14:paraId="0DFCD624" w14:textId="6DA6DD7C" w:rsidR="0043685F" w:rsidRPr="0043685F" w:rsidRDefault="00D1299B" w:rsidP="0043685F">
      <w:pPr>
        <w:pStyle w:val="Authornameandaffiliation"/>
      </w:pPr>
      <w:r>
        <w:t>m</w:t>
      </w:r>
      <w:r w:rsidR="0043685F">
        <w:t>ikulas.turner@ujd.gov.sk</w:t>
      </w:r>
    </w:p>
    <w:p w14:paraId="2C7F19CB" w14:textId="77777777" w:rsidR="00FF386F" w:rsidRDefault="00FF386F" w:rsidP="00537496">
      <w:pPr>
        <w:pStyle w:val="Authornameandaffiliation"/>
      </w:pPr>
    </w:p>
    <w:p w14:paraId="230D4575" w14:textId="77777777" w:rsidR="00647F33" w:rsidRPr="001A700B" w:rsidRDefault="00647F33" w:rsidP="00537496">
      <w:pPr>
        <w:pStyle w:val="Authornameandaffiliation"/>
        <w:rPr>
          <w:b/>
          <w:lang w:val="en-GB"/>
        </w:rPr>
      </w:pPr>
      <w:r w:rsidRPr="001A700B">
        <w:rPr>
          <w:b/>
          <w:lang w:val="en-GB"/>
        </w:rPr>
        <w:t>Abstract</w:t>
      </w:r>
    </w:p>
    <w:p w14:paraId="4F2E62A2" w14:textId="77777777" w:rsidR="00647F33" w:rsidRPr="001A700B" w:rsidRDefault="00647F33" w:rsidP="00537496">
      <w:pPr>
        <w:pStyle w:val="Authornameandaffiliation"/>
        <w:rPr>
          <w:lang w:val="en-GB"/>
        </w:rPr>
      </w:pPr>
    </w:p>
    <w:p w14:paraId="3C338334" w14:textId="7C43135B" w:rsidR="0043685F" w:rsidRPr="001A700B" w:rsidRDefault="00D43A74" w:rsidP="0043685F">
      <w:pPr>
        <w:spacing w:after="120"/>
        <w:jc w:val="both"/>
        <w:rPr>
          <w:sz w:val="18"/>
          <w:szCs w:val="18"/>
        </w:rPr>
      </w:pPr>
      <w:r w:rsidRPr="001A700B">
        <w:rPr>
          <w:sz w:val="18"/>
          <w:szCs w:val="18"/>
        </w:rPr>
        <w:t xml:space="preserve">     </w:t>
      </w:r>
      <w:r w:rsidR="0072605C" w:rsidRPr="001A700B">
        <w:rPr>
          <w:sz w:val="18"/>
          <w:szCs w:val="18"/>
        </w:rPr>
        <w:t xml:space="preserve">       </w:t>
      </w:r>
      <w:r w:rsidR="0043685F" w:rsidRPr="001A700B">
        <w:rPr>
          <w:sz w:val="18"/>
          <w:szCs w:val="18"/>
        </w:rPr>
        <w:t>The updated Integrated National Energy and Climate Plan  (</w:t>
      </w:r>
      <w:r w:rsidR="00C34C34" w:rsidRPr="001A700B">
        <w:rPr>
          <w:sz w:val="18"/>
          <w:szCs w:val="18"/>
        </w:rPr>
        <w:t>INCP</w:t>
      </w:r>
      <w:r w:rsidR="0043685F" w:rsidRPr="001A700B">
        <w:rPr>
          <w:sz w:val="18"/>
          <w:szCs w:val="18"/>
        </w:rPr>
        <w:t xml:space="preserve">) is a strategic document in the field of energy and the environment until 2030.  Part of </w:t>
      </w:r>
      <w:r w:rsidR="00C34C34" w:rsidRPr="001A700B">
        <w:rPr>
          <w:sz w:val="18"/>
          <w:szCs w:val="18"/>
        </w:rPr>
        <w:t xml:space="preserve"> INCP</w:t>
      </w:r>
      <w:r w:rsidR="0043685F" w:rsidRPr="001A700B">
        <w:rPr>
          <w:sz w:val="18"/>
          <w:szCs w:val="18"/>
        </w:rPr>
        <w:t xml:space="preserve"> is the safe use of nuclear energy as a low-carbon source of electricity. In terms of </w:t>
      </w:r>
      <w:r w:rsidR="00C34C34" w:rsidRPr="001A700B">
        <w:rPr>
          <w:sz w:val="18"/>
          <w:szCs w:val="18"/>
        </w:rPr>
        <w:t xml:space="preserve">security of </w:t>
      </w:r>
      <w:r w:rsidR="0043685F" w:rsidRPr="001A700B">
        <w:rPr>
          <w:sz w:val="18"/>
          <w:szCs w:val="18"/>
        </w:rPr>
        <w:t xml:space="preserve">energy supply  and </w:t>
      </w:r>
      <w:r w:rsidR="00C34C34" w:rsidRPr="001A700B">
        <w:rPr>
          <w:sz w:val="18"/>
          <w:szCs w:val="18"/>
        </w:rPr>
        <w:t xml:space="preserve">energy </w:t>
      </w:r>
      <w:r w:rsidR="0043685F" w:rsidRPr="001A700B">
        <w:rPr>
          <w:sz w:val="18"/>
          <w:szCs w:val="18"/>
        </w:rPr>
        <w:t xml:space="preserve">diversification efforts, the </w:t>
      </w:r>
      <w:r w:rsidR="00C34C34" w:rsidRPr="001A700B">
        <w:rPr>
          <w:sz w:val="18"/>
          <w:szCs w:val="18"/>
        </w:rPr>
        <w:t>INCP</w:t>
      </w:r>
      <w:r w:rsidR="0043685F" w:rsidRPr="001A700B">
        <w:rPr>
          <w:sz w:val="18"/>
          <w:szCs w:val="18"/>
        </w:rPr>
        <w:t xml:space="preserve"> confirms the  importance  of  new innovative technologies. With regard to innovative technologies like  Small Modular Reactors (SMRs), the Plan sees potential in their ability to meet the need for flexible energy supply in the form of electricity, hydrogen and heat for heating and industrial purposes. It is envisaged that the updated </w:t>
      </w:r>
      <w:r w:rsidR="00C34C34" w:rsidRPr="001A700B">
        <w:rPr>
          <w:sz w:val="18"/>
          <w:szCs w:val="18"/>
        </w:rPr>
        <w:t>INCP</w:t>
      </w:r>
      <w:r w:rsidR="0043685F" w:rsidRPr="001A700B">
        <w:rPr>
          <w:sz w:val="18"/>
          <w:szCs w:val="18"/>
        </w:rPr>
        <w:t xml:space="preserve">   will be approved in 2024. A feasibility study is under preparation to introduce SMR in Slovakia.</w:t>
      </w:r>
      <w:r w:rsidR="00E45B2E" w:rsidRPr="001A700B">
        <w:rPr>
          <w:sz w:val="18"/>
          <w:szCs w:val="18"/>
        </w:rPr>
        <w:t xml:space="preserve"> </w:t>
      </w:r>
      <w:r w:rsidR="0043685F" w:rsidRPr="001A700B">
        <w:rPr>
          <w:sz w:val="18"/>
          <w:szCs w:val="18"/>
        </w:rPr>
        <w:t xml:space="preserve">The legal framework for  nuclear energy consist of several laws and regulations. These legal instruments are based on EU legal instruments, international treaties and agreements and on IAEA Safety Standards and WENRA Reference Levels.  </w:t>
      </w:r>
      <w:r w:rsidR="003347D7" w:rsidRPr="001A700B">
        <w:rPr>
          <w:sz w:val="18"/>
          <w:szCs w:val="18"/>
        </w:rPr>
        <w:t>I</w:t>
      </w:r>
      <w:r w:rsidR="0043685F" w:rsidRPr="001A700B">
        <w:rPr>
          <w:sz w:val="18"/>
          <w:szCs w:val="18"/>
        </w:rPr>
        <w:t xml:space="preserve">n Slovakia only pressurised water reactors  in operation </w:t>
      </w:r>
      <w:r w:rsidR="007070B5" w:rsidRPr="001A700B">
        <w:rPr>
          <w:sz w:val="18"/>
          <w:szCs w:val="18"/>
        </w:rPr>
        <w:t xml:space="preserve">and </w:t>
      </w:r>
      <w:r w:rsidR="0043685F" w:rsidRPr="001A700B">
        <w:rPr>
          <w:sz w:val="18"/>
          <w:szCs w:val="18"/>
        </w:rPr>
        <w:t xml:space="preserve"> are planned (PWR)</w:t>
      </w:r>
      <w:r w:rsidR="007070B5" w:rsidRPr="001A700B">
        <w:rPr>
          <w:sz w:val="18"/>
          <w:szCs w:val="18"/>
        </w:rPr>
        <w:t>. N</w:t>
      </w:r>
      <w:r w:rsidR="0043685F" w:rsidRPr="001A700B">
        <w:rPr>
          <w:sz w:val="18"/>
          <w:szCs w:val="18"/>
        </w:rPr>
        <w:t xml:space="preserve">ew SMR technologies with different designs and technologies </w:t>
      </w:r>
      <w:r w:rsidR="00C34C34" w:rsidRPr="001A700B">
        <w:rPr>
          <w:sz w:val="18"/>
          <w:szCs w:val="18"/>
        </w:rPr>
        <w:t xml:space="preserve">as the present nuclear power plants in operation </w:t>
      </w:r>
      <w:r w:rsidR="003347D7" w:rsidRPr="001A700B">
        <w:rPr>
          <w:sz w:val="18"/>
          <w:szCs w:val="18"/>
        </w:rPr>
        <w:t xml:space="preserve">might </w:t>
      </w:r>
      <w:r w:rsidR="0043685F" w:rsidRPr="001A700B">
        <w:rPr>
          <w:sz w:val="18"/>
          <w:szCs w:val="18"/>
        </w:rPr>
        <w:t>represent a challenge for the future particularly considering the possible impact of new technologies on the existing legal framework</w:t>
      </w:r>
      <w:r w:rsidRPr="001A700B">
        <w:rPr>
          <w:sz w:val="18"/>
          <w:szCs w:val="18"/>
        </w:rPr>
        <w:t xml:space="preserve"> and vice versa</w:t>
      </w:r>
      <w:r w:rsidR="0043685F" w:rsidRPr="001A700B">
        <w:rPr>
          <w:sz w:val="18"/>
          <w:szCs w:val="18"/>
        </w:rPr>
        <w:t xml:space="preserve">. A  new </w:t>
      </w:r>
      <w:r w:rsidR="00C34C34" w:rsidRPr="001A700B">
        <w:rPr>
          <w:sz w:val="18"/>
          <w:szCs w:val="18"/>
        </w:rPr>
        <w:t>P</w:t>
      </w:r>
      <w:r w:rsidR="0043685F" w:rsidRPr="001A700B">
        <w:rPr>
          <w:sz w:val="18"/>
          <w:szCs w:val="18"/>
        </w:rPr>
        <w:t>olicy</w:t>
      </w:r>
      <w:r w:rsidR="00C34C34" w:rsidRPr="001A700B">
        <w:rPr>
          <w:sz w:val="18"/>
          <w:szCs w:val="18"/>
        </w:rPr>
        <w:t>, Pri</w:t>
      </w:r>
      <w:r w:rsidR="001A700B" w:rsidRPr="001A700B">
        <w:rPr>
          <w:sz w:val="18"/>
          <w:szCs w:val="18"/>
        </w:rPr>
        <w:t>n</w:t>
      </w:r>
      <w:r w:rsidR="00C34C34" w:rsidRPr="001A700B">
        <w:rPr>
          <w:sz w:val="18"/>
          <w:szCs w:val="18"/>
        </w:rPr>
        <w:t xml:space="preserve">ciples </w:t>
      </w:r>
      <w:r w:rsidR="0043685F" w:rsidRPr="001A700B">
        <w:rPr>
          <w:sz w:val="18"/>
          <w:szCs w:val="18"/>
        </w:rPr>
        <w:t xml:space="preserve"> and </w:t>
      </w:r>
      <w:r w:rsidR="00C34C34" w:rsidRPr="001A700B">
        <w:rPr>
          <w:sz w:val="18"/>
          <w:szCs w:val="18"/>
        </w:rPr>
        <w:t>S</w:t>
      </w:r>
      <w:r w:rsidR="0043685F" w:rsidRPr="001A700B">
        <w:rPr>
          <w:sz w:val="18"/>
          <w:szCs w:val="18"/>
        </w:rPr>
        <w:t xml:space="preserve">trategy for the </w:t>
      </w:r>
      <w:r w:rsidR="00C34C34" w:rsidRPr="001A700B">
        <w:rPr>
          <w:sz w:val="18"/>
          <w:szCs w:val="18"/>
        </w:rPr>
        <w:t>S</w:t>
      </w:r>
      <w:r w:rsidR="0043685F" w:rsidRPr="001A700B">
        <w:rPr>
          <w:sz w:val="18"/>
          <w:szCs w:val="18"/>
        </w:rPr>
        <w:t xml:space="preserve">afe </w:t>
      </w:r>
      <w:r w:rsidR="00C34C34" w:rsidRPr="001A700B">
        <w:rPr>
          <w:sz w:val="18"/>
          <w:szCs w:val="18"/>
        </w:rPr>
        <w:t>U</w:t>
      </w:r>
      <w:r w:rsidR="0043685F" w:rsidRPr="001A700B">
        <w:rPr>
          <w:sz w:val="18"/>
          <w:szCs w:val="18"/>
        </w:rPr>
        <w:t xml:space="preserve">se of </w:t>
      </w:r>
      <w:r w:rsidR="00C34C34" w:rsidRPr="001A700B">
        <w:rPr>
          <w:sz w:val="18"/>
          <w:szCs w:val="18"/>
        </w:rPr>
        <w:t>N</w:t>
      </w:r>
      <w:r w:rsidR="0043685F" w:rsidRPr="001A700B">
        <w:rPr>
          <w:sz w:val="18"/>
          <w:szCs w:val="18"/>
        </w:rPr>
        <w:t xml:space="preserve">uclear </w:t>
      </w:r>
      <w:r w:rsidR="00C34C34" w:rsidRPr="001A700B">
        <w:rPr>
          <w:sz w:val="18"/>
          <w:szCs w:val="18"/>
        </w:rPr>
        <w:t>E</w:t>
      </w:r>
      <w:r w:rsidR="0043685F" w:rsidRPr="001A700B">
        <w:rPr>
          <w:sz w:val="18"/>
          <w:szCs w:val="18"/>
        </w:rPr>
        <w:t xml:space="preserve">nergy is under preparation which </w:t>
      </w:r>
      <w:r w:rsidRPr="001A700B">
        <w:rPr>
          <w:sz w:val="18"/>
          <w:szCs w:val="18"/>
        </w:rPr>
        <w:t xml:space="preserve">in a holistic manner </w:t>
      </w:r>
      <w:r w:rsidR="00C34C34" w:rsidRPr="001A700B">
        <w:rPr>
          <w:sz w:val="18"/>
          <w:szCs w:val="18"/>
        </w:rPr>
        <w:t xml:space="preserve">will </w:t>
      </w:r>
      <w:r w:rsidR="007070B5" w:rsidRPr="001A700B">
        <w:rPr>
          <w:sz w:val="18"/>
          <w:szCs w:val="18"/>
        </w:rPr>
        <w:t xml:space="preserve">describe ways and means </w:t>
      </w:r>
      <w:r w:rsidR="0043685F" w:rsidRPr="001A700B">
        <w:rPr>
          <w:sz w:val="18"/>
          <w:szCs w:val="18"/>
        </w:rPr>
        <w:t xml:space="preserve"> </w:t>
      </w:r>
      <w:r w:rsidR="007070B5" w:rsidRPr="001A700B">
        <w:rPr>
          <w:sz w:val="18"/>
          <w:szCs w:val="18"/>
        </w:rPr>
        <w:t xml:space="preserve">to </w:t>
      </w:r>
      <w:r w:rsidR="0043685F" w:rsidRPr="001A700B">
        <w:rPr>
          <w:sz w:val="18"/>
          <w:szCs w:val="18"/>
        </w:rPr>
        <w:t xml:space="preserve">face future challenges and expectations.  </w:t>
      </w:r>
    </w:p>
    <w:p w14:paraId="03C6D75B" w14:textId="77777777" w:rsidR="00647F33" w:rsidRPr="001A700B" w:rsidRDefault="00F523CA" w:rsidP="00537496">
      <w:pPr>
        <w:pStyle w:val="Nadpis2"/>
        <w:numPr>
          <w:ilvl w:val="1"/>
          <w:numId w:val="10"/>
        </w:numPr>
      </w:pPr>
      <w:r w:rsidRPr="001A700B">
        <w:t>INTRODUCTION</w:t>
      </w:r>
    </w:p>
    <w:p w14:paraId="199CB50B" w14:textId="2C3431C4" w:rsidR="00DF3DF9" w:rsidRPr="001A700B" w:rsidRDefault="00EE2449" w:rsidP="00537496">
      <w:pPr>
        <w:pStyle w:val="Zkladntext"/>
      </w:pPr>
      <w:r w:rsidRPr="001A700B">
        <w:t>Nuclear energy has a long tradition in Slovakia The  beginnings o</w:t>
      </w:r>
      <w:r w:rsidR="00C34C34" w:rsidRPr="001A700B">
        <w:t>f</w:t>
      </w:r>
      <w:r w:rsidRPr="001A700B">
        <w:t xml:space="preserve"> the nuclear </w:t>
      </w:r>
      <w:r w:rsidR="00097003" w:rsidRPr="001A700B">
        <w:t xml:space="preserve">era </w:t>
      </w:r>
      <w:r w:rsidRPr="001A700B">
        <w:t xml:space="preserve"> go back to the early 1950s when decisions have been taken </w:t>
      </w:r>
      <w:r w:rsidR="00097003" w:rsidRPr="001A700B">
        <w:t xml:space="preserve">by the Czechoslovak government to develop its own nuclear program based on its own nuclear energy technology.  This happened in parallel with the development of </w:t>
      </w:r>
      <w:r w:rsidR="00273D55" w:rsidRPr="001A700B">
        <w:t xml:space="preserve">its </w:t>
      </w:r>
      <w:r w:rsidR="00097003" w:rsidRPr="001A700B">
        <w:t xml:space="preserve">own nuclear research and technological capabilities. As a result the first nuclear power plant was </w:t>
      </w:r>
      <w:r w:rsidR="0072605C" w:rsidRPr="001A700B">
        <w:t xml:space="preserve">sited in Slovakia </w:t>
      </w:r>
      <w:r w:rsidR="00097003" w:rsidRPr="001A700B">
        <w:t xml:space="preserve"> and put in operation in  1972 with a heavy water gas cooled technology. </w:t>
      </w:r>
      <w:r w:rsidR="00273D55" w:rsidRPr="001A700B">
        <w:t xml:space="preserve">Later on pressurised water technology was introduced  with VVER 440 technology and </w:t>
      </w:r>
      <w:r w:rsidR="00D1299B" w:rsidRPr="001A700B">
        <w:t xml:space="preserve">the first unit </w:t>
      </w:r>
      <w:r w:rsidR="00273D55" w:rsidRPr="001A700B">
        <w:t xml:space="preserve">was put into  operation </w:t>
      </w:r>
      <w:r w:rsidR="006B250C" w:rsidRPr="001A700B">
        <w:t>in 1978.  The regulatory and legal framework was at that time behind the rapidly evolving nuclear technologies. A specific independent regulatory body in the understanding of prese</w:t>
      </w:r>
      <w:r w:rsidR="00B96E8C" w:rsidRPr="001A700B">
        <w:t>n</w:t>
      </w:r>
      <w:r w:rsidR="006B250C" w:rsidRPr="001A700B">
        <w:t xml:space="preserve">t definition was not </w:t>
      </w:r>
      <w:r w:rsidR="0072605C" w:rsidRPr="001A700B">
        <w:t>in place</w:t>
      </w:r>
      <w:r w:rsidR="006B250C" w:rsidRPr="001A700B">
        <w:t>. The legal framework was  continuously developed but also not with the s</w:t>
      </w:r>
      <w:r w:rsidR="00274BE0" w:rsidRPr="001A700B">
        <w:t>p</w:t>
      </w:r>
      <w:r w:rsidR="006B250C" w:rsidRPr="001A700B">
        <w:t xml:space="preserve">eed that would be at least </w:t>
      </w:r>
      <w:r w:rsidR="00274BE0" w:rsidRPr="001A700B">
        <w:t xml:space="preserve">be </w:t>
      </w:r>
      <w:r w:rsidR="006B250C" w:rsidRPr="001A700B">
        <w:t xml:space="preserve">developed in parallel with the fast development of the nuclear industry . </w:t>
      </w:r>
      <w:r w:rsidR="00274BE0" w:rsidRPr="001A700B">
        <w:t>In addition t</w:t>
      </w:r>
      <w:r w:rsidR="006B250C" w:rsidRPr="001A700B">
        <w:t xml:space="preserve">here was a limited experience </w:t>
      </w:r>
      <w:r w:rsidR="00274BE0" w:rsidRPr="001A700B">
        <w:t xml:space="preserve">with </w:t>
      </w:r>
      <w:r w:rsidR="006B250C" w:rsidRPr="001A700B">
        <w:t xml:space="preserve"> the operation of nuclear power plants   and a limited experience in regulating this new technology</w:t>
      </w:r>
      <w:r w:rsidR="00274BE0" w:rsidRPr="001A700B">
        <w:t xml:space="preserve">. The first legal and regulatory framework </w:t>
      </w:r>
      <w:r w:rsidR="0072605C" w:rsidRPr="001A700B">
        <w:t xml:space="preserve">for nuclear safety </w:t>
      </w:r>
      <w:r w:rsidR="00274BE0" w:rsidRPr="001A700B">
        <w:t>in the current understanding    was established in 1984 which was after the indepen</w:t>
      </w:r>
      <w:r w:rsidR="00B96E8C" w:rsidRPr="001A700B">
        <w:t>den</w:t>
      </w:r>
      <w:r w:rsidR="00274BE0" w:rsidRPr="001A700B">
        <w:t xml:space="preserve">ce of Slovakia replaced by  the </w:t>
      </w:r>
      <w:r w:rsidR="0072605C" w:rsidRPr="001A700B">
        <w:t>A</w:t>
      </w:r>
      <w:r w:rsidR="00274BE0" w:rsidRPr="001A700B">
        <w:t xml:space="preserve">ct no.: 130/1998 </w:t>
      </w:r>
      <w:r w:rsidR="0072605C" w:rsidRPr="001A700B">
        <w:t xml:space="preserve">and later on by the Act 541/2004 Coll. </w:t>
      </w:r>
      <w:r w:rsidR="00274BE0" w:rsidRPr="001A700B">
        <w:t xml:space="preserve">on the peaceful use of nuclear energy. The  regulatory and legal framework was and is not a static one. </w:t>
      </w:r>
      <w:r w:rsidR="0072605C" w:rsidRPr="001A700B">
        <w:t xml:space="preserve">Several amendments to the relevant acts and  implementing decrees and regulations were made since </w:t>
      </w:r>
      <w:r w:rsidR="00C36993" w:rsidRPr="001A700B">
        <w:t xml:space="preserve">their adoption. This process </w:t>
      </w:r>
      <w:r w:rsidR="00274BE0" w:rsidRPr="001A700B">
        <w:t xml:space="preserve"> is influenced by the development </w:t>
      </w:r>
      <w:r w:rsidR="0052472F" w:rsidRPr="001A700B">
        <w:t xml:space="preserve">of </w:t>
      </w:r>
      <w:r w:rsidR="00274BE0" w:rsidRPr="001A700B">
        <w:t xml:space="preserve"> </w:t>
      </w:r>
      <w:r w:rsidR="00CE1BB5" w:rsidRPr="001A700B">
        <w:t xml:space="preserve">national </w:t>
      </w:r>
      <w:r w:rsidR="0052472F" w:rsidRPr="001A700B">
        <w:t xml:space="preserve">legal and regulatory </w:t>
      </w:r>
      <w:r w:rsidR="00CE1BB5" w:rsidRPr="001A700B">
        <w:t xml:space="preserve">framework and experiences gained from the use of nuclear </w:t>
      </w:r>
      <w:r w:rsidR="00C36993" w:rsidRPr="001A700B">
        <w:t xml:space="preserve">energy </w:t>
      </w:r>
      <w:r w:rsidR="00CE1BB5" w:rsidRPr="001A700B">
        <w:t xml:space="preserve"> and technologies but significantly </w:t>
      </w:r>
      <w:r w:rsidR="0052472F" w:rsidRPr="001A700B">
        <w:t xml:space="preserve">was influenced </w:t>
      </w:r>
      <w:r w:rsidR="00CE1BB5" w:rsidRPr="001A700B">
        <w:t xml:space="preserve"> by the international developments </w:t>
      </w:r>
      <w:r w:rsidR="00473E3B" w:rsidRPr="001A700B">
        <w:t>(like the development o</w:t>
      </w:r>
      <w:r w:rsidR="00C36993" w:rsidRPr="001A700B">
        <w:t>f</w:t>
      </w:r>
      <w:r w:rsidR="00473E3B" w:rsidRPr="001A700B">
        <w:t xml:space="preserve"> IAEA Safety Standards) </w:t>
      </w:r>
      <w:r w:rsidR="00CE1BB5" w:rsidRPr="001A700B">
        <w:t xml:space="preserve">. </w:t>
      </w:r>
      <w:r w:rsidR="00473E3B" w:rsidRPr="001A700B">
        <w:t xml:space="preserve">This is the lessons learned when nuclear technology was </w:t>
      </w:r>
      <w:r w:rsidR="00D1299B" w:rsidRPr="001A700B">
        <w:t xml:space="preserve"> </w:t>
      </w:r>
      <w:r w:rsidR="00473E3B" w:rsidRPr="001A700B">
        <w:t xml:space="preserve">introduced. The present situation is different however by the introduction of new and innovative technologies the </w:t>
      </w:r>
      <w:r w:rsidR="0052472F" w:rsidRPr="001A700B">
        <w:t>legal and regulatory framework faces new challenges</w:t>
      </w:r>
      <w:r w:rsidR="00473E3B" w:rsidRPr="001A700B">
        <w:t xml:space="preserve">. </w:t>
      </w:r>
      <w:r w:rsidR="00CE1BB5" w:rsidRPr="001A700B">
        <w:t xml:space="preserve"> </w:t>
      </w:r>
    </w:p>
    <w:p w14:paraId="0F803ED9" w14:textId="77777777" w:rsidR="00DF3DF9" w:rsidRPr="001A700B" w:rsidRDefault="00DF3DF9" w:rsidP="00537496">
      <w:pPr>
        <w:pStyle w:val="Zkladntext"/>
      </w:pPr>
    </w:p>
    <w:p w14:paraId="1C62BA54" w14:textId="0C598034" w:rsidR="0003552F" w:rsidRPr="001A700B" w:rsidRDefault="0003552F" w:rsidP="0003552F">
      <w:pPr>
        <w:pStyle w:val="Nadpis2"/>
        <w:numPr>
          <w:ilvl w:val="1"/>
          <w:numId w:val="10"/>
        </w:numPr>
      </w:pPr>
      <w:r w:rsidRPr="001A700B">
        <w:t xml:space="preserve">The future of nuclear energy in slovakia </w:t>
      </w:r>
    </w:p>
    <w:p w14:paraId="101EA67D" w14:textId="7C92373C" w:rsidR="00025709" w:rsidRPr="001A700B" w:rsidRDefault="00DF3DF9" w:rsidP="00537496">
      <w:pPr>
        <w:pStyle w:val="Zkladntext"/>
      </w:pPr>
      <w:r w:rsidRPr="001A700B">
        <w:t>The  Integrated National Energy and Climate Plan  (</w:t>
      </w:r>
      <w:r w:rsidR="0008308C" w:rsidRPr="001A700B">
        <w:t>INECP</w:t>
      </w:r>
      <w:r w:rsidRPr="001A700B">
        <w:t xml:space="preserve">) </w:t>
      </w:r>
      <w:r w:rsidR="002B2561" w:rsidRPr="001A700B">
        <w:t xml:space="preserve">and </w:t>
      </w:r>
      <w:r w:rsidRPr="001A700B">
        <w:t xml:space="preserve"> the Energ</w:t>
      </w:r>
      <w:r w:rsidR="002B2561" w:rsidRPr="001A700B">
        <w:t>y</w:t>
      </w:r>
      <w:r w:rsidRPr="001A700B">
        <w:t xml:space="preserve"> Policy of the Slovak </w:t>
      </w:r>
      <w:r w:rsidR="002B2561" w:rsidRPr="001A700B">
        <w:t>R</w:t>
      </w:r>
      <w:r w:rsidRPr="001A700B">
        <w:t xml:space="preserve">epublic </w:t>
      </w:r>
      <w:r w:rsidR="002B2561" w:rsidRPr="001A700B">
        <w:t xml:space="preserve">are the strategic documents </w:t>
      </w:r>
      <w:r w:rsidRPr="001A700B">
        <w:t xml:space="preserve"> the field of energy and the environment until 2030. </w:t>
      </w:r>
      <w:r w:rsidR="001661E0" w:rsidRPr="001A700B">
        <w:t xml:space="preserve">Nuclear energy is an integral part of the energy mix in Slovakia and will remain in the  future. </w:t>
      </w:r>
      <w:r w:rsidRPr="001A700B">
        <w:t xml:space="preserve">The task of the Energy Policy </w:t>
      </w:r>
      <w:r w:rsidR="00025709" w:rsidRPr="001A700B">
        <w:t xml:space="preserve">dated  2014 </w:t>
      </w:r>
      <w:r w:rsidRPr="001A700B">
        <w:t>is to create a stable framework for a safely operating energy market that motivates investments into energy. Strategic target</w:t>
      </w:r>
      <w:r w:rsidR="0052472F" w:rsidRPr="001A700B">
        <w:t>s</w:t>
      </w:r>
      <w:r w:rsidRPr="001A700B">
        <w:t xml:space="preserve"> of the Energy Policy</w:t>
      </w:r>
      <w:r w:rsidR="0052472F" w:rsidRPr="001A700B">
        <w:t xml:space="preserve"> are</w:t>
      </w:r>
      <w:r w:rsidRPr="001A700B">
        <w:t xml:space="preserve">: </w:t>
      </w:r>
      <w:r w:rsidR="0052472F" w:rsidRPr="001A700B">
        <w:t>a</w:t>
      </w:r>
      <w:r w:rsidRPr="001A700B">
        <w:t xml:space="preserve">chieving a competitive, low-carbon energy sector safeguarding the safe, reliable and </w:t>
      </w:r>
      <w:r w:rsidRPr="001A700B">
        <w:lastRenderedPageBreak/>
        <w:t xml:space="preserve">efficient supply of all forms of energy at acceptable prices with considerations given to consumer protection and sustainable development. One of the priority of the energy policy is </w:t>
      </w:r>
      <w:r w:rsidR="00591C75" w:rsidRPr="001A700B">
        <w:t>to increase the safety and reliability of nuclear power plants</w:t>
      </w:r>
      <w:r w:rsidR="0052472F" w:rsidRPr="001A700B">
        <w:t>.</w:t>
      </w:r>
      <w:r w:rsidR="00591C75" w:rsidRPr="001A700B">
        <w:t xml:space="preserve"> Slovakia currently utilises and plans to continue </w:t>
      </w:r>
      <w:r w:rsidR="001661E0" w:rsidRPr="001A700B">
        <w:t xml:space="preserve">to </w:t>
      </w:r>
      <w:r w:rsidR="00591C75" w:rsidRPr="001A700B">
        <w:t>utilis</w:t>
      </w:r>
      <w:r w:rsidR="001661E0" w:rsidRPr="001A700B">
        <w:t>e</w:t>
      </w:r>
      <w:r w:rsidR="00591C75" w:rsidRPr="001A700B">
        <w:t xml:space="preserve"> nuclear power within its energy mix while the question of nuclear safety remains the absolute priority. The level of nuclear safety is regularly, comprehensively and systematically assessed within the context of operating experience and the latest scientific advancements and research</w:t>
      </w:r>
      <w:r w:rsidR="0052472F" w:rsidRPr="001A700B">
        <w:t xml:space="preserve"> </w:t>
      </w:r>
      <w:r w:rsidR="00591C75" w:rsidRPr="001A700B">
        <w:t xml:space="preserve"> likewise</w:t>
      </w:r>
      <w:r w:rsidR="0052472F" w:rsidRPr="001A700B">
        <w:t xml:space="preserve"> </w:t>
      </w:r>
      <w:r w:rsidR="00591C75" w:rsidRPr="001A700B">
        <w:t xml:space="preserve"> measures to increase safety are adopted on a continuous basis. </w:t>
      </w:r>
    </w:p>
    <w:p w14:paraId="0B7A9174" w14:textId="18FADC7B" w:rsidR="007B6245" w:rsidRPr="001A700B" w:rsidRDefault="00591C75" w:rsidP="007B6245">
      <w:pPr>
        <w:pStyle w:val="Zkladntext"/>
      </w:pPr>
      <w:r w:rsidRPr="001A700B">
        <w:t xml:space="preserve"> </w:t>
      </w:r>
      <w:r w:rsidR="000027C2" w:rsidRPr="001A700B">
        <w:t xml:space="preserve">The </w:t>
      </w:r>
      <w:r w:rsidR="001661E0" w:rsidRPr="001A700B">
        <w:t xml:space="preserve">other strategic document is the </w:t>
      </w:r>
      <w:r w:rsidR="0008308C" w:rsidRPr="001A700B">
        <w:t>INECP da</w:t>
      </w:r>
      <w:r w:rsidR="000027C2" w:rsidRPr="001A700B">
        <w:t xml:space="preserve">ted 2019 </w:t>
      </w:r>
      <w:r w:rsidR="001661E0" w:rsidRPr="001A700B">
        <w:t>. This document re</w:t>
      </w:r>
      <w:r w:rsidR="000027C2" w:rsidRPr="001A700B">
        <w:t>confirm</w:t>
      </w:r>
      <w:r w:rsidR="001661E0" w:rsidRPr="001A700B">
        <w:t>s</w:t>
      </w:r>
      <w:r w:rsidR="000027C2" w:rsidRPr="001A700B">
        <w:t xml:space="preserve"> the basic approach </w:t>
      </w:r>
      <w:r w:rsidR="002A4DA5" w:rsidRPr="001A700B">
        <w:t xml:space="preserve">and principles </w:t>
      </w:r>
      <w:r w:rsidR="001661E0" w:rsidRPr="001A700B">
        <w:t xml:space="preserve">in the use of </w:t>
      </w:r>
      <w:r w:rsidR="000027C2" w:rsidRPr="001A700B">
        <w:t xml:space="preserve"> nuclear energy as contained in the Energy Policy.</w:t>
      </w:r>
      <w:r w:rsidR="001661E0" w:rsidRPr="001A700B">
        <w:t xml:space="preserve"> </w:t>
      </w:r>
      <w:r w:rsidR="002A4DA5" w:rsidRPr="001A700B">
        <w:t xml:space="preserve">Utmost importance is given to the safe use of nuclear energy . </w:t>
      </w:r>
      <w:r w:rsidR="000027C2" w:rsidRPr="001A700B">
        <w:t xml:space="preserve">A new development </w:t>
      </w:r>
      <w:r w:rsidR="002A4DA5" w:rsidRPr="001A700B">
        <w:t xml:space="preserve">is </w:t>
      </w:r>
      <w:r w:rsidR="000027C2" w:rsidRPr="001A700B">
        <w:t>represent</w:t>
      </w:r>
      <w:r w:rsidR="002A4DA5" w:rsidRPr="001A700B">
        <w:t xml:space="preserve">ed by </w:t>
      </w:r>
      <w:r w:rsidR="000027C2" w:rsidRPr="001A700B">
        <w:t xml:space="preserve"> the draft </w:t>
      </w:r>
      <w:r w:rsidR="00025709" w:rsidRPr="001A700B">
        <w:t xml:space="preserve"> </w:t>
      </w:r>
      <w:r w:rsidR="000027C2" w:rsidRPr="001A700B">
        <w:t xml:space="preserve">updated </w:t>
      </w:r>
      <w:r w:rsidR="00025709" w:rsidRPr="001A700B">
        <w:t xml:space="preserve">Integrated National Energy and Climate Plan </w:t>
      </w:r>
      <w:r w:rsidR="002A4DA5" w:rsidRPr="001A700B">
        <w:t>preparation of which started in 2023</w:t>
      </w:r>
      <w:r w:rsidR="000027C2" w:rsidRPr="001A700B">
        <w:t xml:space="preserve">. Whereas the </w:t>
      </w:r>
      <w:r w:rsidR="00025709" w:rsidRPr="001A700B">
        <w:t xml:space="preserve"> </w:t>
      </w:r>
      <w:r w:rsidR="000027C2" w:rsidRPr="001A700B">
        <w:t xml:space="preserve">original </w:t>
      </w:r>
      <w:r w:rsidR="0052472F" w:rsidRPr="001A700B">
        <w:t xml:space="preserve">INECP dated </w:t>
      </w:r>
      <w:r w:rsidR="000027C2" w:rsidRPr="001A700B">
        <w:t xml:space="preserve"> 2019 does not mentioning new nuclear technologies </w:t>
      </w:r>
      <w:r w:rsidR="002A4DA5" w:rsidRPr="001A700B">
        <w:t xml:space="preserve">and  </w:t>
      </w:r>
      <w:r w:rsidR="000027C2" w:rsidRPr="001A700B">
        <w:t xml:space="preserve"> </w:t>
      </w:r>
      <w:r w:rsidR="001661E0" w:rsidRPr="001A700B">
        <w:t>Small Modular Reactors (SMRs)</w:t>
      </w:r>
      <w:r w:rsidR="000027C2" w:rsidRPr="001A700B">
        <w:t xml:space="preserve"> the draft update of the </w:t>
      </w:r>
      <w:r w:rsidR="007C17B1" w:rsidRPr="001A700B">
        <w:t>INECP</w:t>
      </w:r>
      <w:r w:rsidR="002A4DA5" w:rsidRPr="001A700B">
        <w:t xml:space="preserve"> recognises  </w:t>
      </w:r>
      <w:r w:rsidR="001661E0" w:rsidRPr="001A700B">
        <w:t xml:space="preserve">SMRs </w:t>
      </w:r>
      <w:r w:rsidR="002A4DA5" w:rsidRPr="001A700B">
        <w:t xml:space="preserve">as having capabilities to satisfy the need for flexible energy supply in the form of electricity, hydrogen and heat for </w:t>
      </w:r>
      <w:r w:rsidR="0076475E" w:rsidRPr="001A700B">
        <w:t xml:space="preserve">local/regional </w:t>
      </w:r>
      <w:r w:rsidR="002A4DA5" w:rsidRPr="001A700B">
        <w:t>heating and industrial purposes</w:t>
      </w:r>
      <w:r w:rsidR="001661E0" w:rsidRPr="001A700B">
        <w:t xml:space="preserve"> with new safety features. </w:t>
      </w:r>
      <w:r w:rsidR="002A4DA5" w:rsidRPr="001A700B">
        <w:t xml:space="preserve"> </w:t>
      </w:r>
      <w:r w:rsidR="0008308C" w:rsidRPr="001A700B">
        <w:t xml:space="preserve">   </w:t>
      </w:r>
      <w:r w:rsidR="007B6245" w:rsidRPr="001A700B">
        <w:t xml:space="preserve">The INECP ś assumption is that the main advantages of </w:t>
      </w:r>
      <w:r w:rsidR="007C17B1" w:rsidRPr="001A700B">
        <w:t>SMRs</w:t>
      </w:r>
      <w:r w:rsidR="007B6245" w:rsidRPr="001A700B">
        <w:t xml:space="preserve"> include </w:t>
      </w:r>
      <w:r w:rsidR="007C17B1" w:rsidRPr="001A700B">
        <w:t>e.g.</w:t>
      </w:r>
      <w:r w:rsidR="007B6245" w:rsidRPr="001A700B">
        <w:t>:</w:t>
      </w:r>
    </w:p>
    <w:p w14:paraId="58FF20D2" w14:textId="55424671" w:rsidR="007B6245" w:rsidRPr="001A700B" w:rsidRDefault="007B6245" w:rsidP="001661E0">
      <w:pPr>
        <w:pStyle w:val="Zkladntext"/>
        <w:numPr>
          <w:ilvl w:val="0"/>
          <w:numId w:val="42"/>
        </w:numPr>
      </w:pPr>
      <w:r w:rsidRPr="001A700B">
        <w:t>passive safety elements</w:t>
      </w:r>
      <w:r w:rsidR="001661E0" w:rsidRPr="001A700B">
        <w:t>;</w:t>
      </w:r>
    </w:p>
    <w:p w14:paraId="2B27B810" w14:textId="45334312" w:rsidR="007B6245" w:rsidRPr="001A700B" w:rsidRDefault="007B6245" w:rsidP="001661E0">
      <w:pPr>
        <w:pStyle w:val="Zkladntext"/>
        <w:numPr>
          <w:ilvl w:val="0"/>
          <w:numId w:val="42"/>
        </w:numPr>
      </w:pPr>
      <w:r w:rsidRPr="001A700B">
        <w:t>shorter construction time of the nuclear facility</w:t>
      </w:r>
      <w:r w:rsidR="001661E0" w:rsidRPr="001A700B">
        <w:t>;</w:t>
      </w:r>
    </w:p>
    <w:p w14:paraId="5AB75F5C" w14:textId="266E487A" w:rsidR="001661E0" w:rsidRPr="001A700B" w:rsidRDefault="007B6245" w:rsidP="001661E0">
      <w:pPr>
        <w:pStyle w:val="Zkladntext"/>
        <w:numPr>
          <w:ilvl w:val="0"/>
          <w:numId w:val="42"/>
        </w:numPr>
      </w:pPr>
      <w:r w:rsidRPr="001A700B">
        <w:t>the potential for possible shortening of authorization processes</w:t>
      </w:r>
      <w:r w:rsidR="001661E0" w:rsidRPr="001A700B">
        <w:t>;</w:t>
      </w:r>
      <w:r w:rsidRPr="001A700B">
        <w:t xml:space="preserve"> </w:t>
      </w:r>
    </w:p>
    <w:p w14:paraId="6DF06566" w14:textId="706B2D57" w:rsidR="00DF3DF9" w:rsidRPr="001A700B" w:rsidRDefault="007B6245" w:rsidP="001661E0">
      <w:pPr>
        <w:pStyle w:val="Zkladntext"/>
        <w:numPr>
          <w:ilvl w:val="0"/>
          <w:numId w:val="42"/>
        </w:numPr>
      </w:pPr>
      <w:r w:rsidRPr="001A700B">
        <w:t xml:space="preserve">etc. </w:t>
      </w:r>
    </w:p>
    <w:p w14:paraId="5D0CFD42" w14:textId="24024418" w:rsidR="00DF3DF9" w:rsidRPr="001A700B" w:rsidRDefault="0008308C" w:rsidP="00537496">
      <w:pPr>
        <w:pStyle w:val="Zkladntext"/>
      </w:pPr>
      <w:r w:rsidRPr="001A700B">
        <w:t xml:space="preserve">These assumptions are however can be confirmed only on the basis of the licensing documentation, which will be available  after completion the first  SMRs.  In Slovakia SMRs  are considered  to be one of the appropriate solutions to ensure secure  supplies of electricity </w:t>
      </w:r>
      <w:r w:rsidR="007C17B1" w:rsidRPr="001A700B">
        <w:t xml:space="preserve">and heat </w:t>
      </w:r>
      <w:r w:rsidRPr="001A700B">
        <w:t xml:space="preserve">for example  in  east  Slovakia after the shutdown of the coal fired Vojany Power Plant with a power output of 2x110 MWe.   Implementation of the project will require strong engineering support and expertise to be prepared in cooperation with Slovak universities,  technical support organizations and through </w:t>
      </w:r>
      <w:r w:rsidR="007C17B1" w:rsidRPr="001A700B">
        <w:t xml:space="preserve">strong </w:t>
      </w:r>
      <w:r w:rsidRPr="001A700B">
        <w:t xml:space="preserve">international cooperation.  </w:t>
      </w:r>
    </w:p>
    <w:p w14:paraId="38DEFDED" w14:textId="7D56CF56" w:rsidR="0003552F" w:rsidRPr="001A700B" w:rsidRDefault="00924CFD" w:rsidP="00537496">
      <w:pPr>
        <w:pStyle w:val="Zkladntext"/>
      </w:pPr>
      <w:r w:rsidRPr="001A700B">
        <w:t>T</w:t>
      </w:r>
      <w:r w:rsidR="00026789" w:rsidRPr="001A700B">
        <w:t xml:space="preserve">he INECP does not mentioning to which extent  and by which measures the legal instruments might be changed  in support of a shortened authorisation process </w:t>
      </w:r>
      <w:r w:rsidR="002604D5" w:rsidRPr="001A700B">
        <w:t xml:space="preserve">. However a  shortened licensing </w:t>
      </w:r>
      <w:r w:rsidR="007C17B1" w:rsidRPr="001A700B">
        <w:t xml:space="preserve">process </w:t>
      </w:r>
      <w:r w:rsidR="00FA549C" w:rsidRPr="001A700B">
        <w:t xml:space="preserve">of </w:t>
      </w:r>
      <w:r w:rsidR="002604D5" w:rsidRPr="001A700B">
        <w:t xml:space="preserve"> a nuclear installation including a SMR has its limitations. These limitations are given by national </w:t>
      </w:r>
      <w:r w:rsidR="00FA549C" w:rsidRPr="001A700B">
        <w:t xml:space="preserve">legal proceedings </w:t>
      </w:r>
      <w:r w:rsidR="002604D5" w:rsidRPr="001A700B">
        <w:t xml:space="preserve"> and by external factors like international </w:t>
      </w:r>
      <w:r w:rsidR="00B40468" w:rsidRPr="001A700B">
        <w:t>obligations</w:t>
      </w:r>
      <w:r w:rsidR="002604D5" w:rsidRPr="001A700B">
        <w:t xml:space="preserve">. </w:t>
      </w:r>
    </w:p>
    <w:p w14:paraId="524D7A8B" w14:textId="6CCEAB48" w:rsidR="0003552F" w:rsidRPr="001A700B" w:rsidRDefault="0003552F" w:rsidP="00D75535">
      <w:pPr>
        <w:pStyle w:val="Nadpis2"/>
        <w:numPr>
          <w:ilvl w:val="1"/>
          <w:numId w:val="10"/>
        </w:numPr>
      </w:pPr>
      <w:r w:rsidRPr="001A700B">
        <w:t>Legal and regulatory framework</w:t>
      </w:r>
    </w:p>
    <w:p w14:paraId="09BD5610" w14:textId="116EF3AA" w:rsidR="00924CFD" w:rsidRPr="001A700B" w:rsidRDefault="00CE1BB5" w:rsidP="00924CFD">
      <w:pPr>
        <w:pStyle w:val="Zkladntext"/>
      </w:pPr>
      <w:r w:rsidRPr="001A700B">
        <w:t xml:space="preserve">The present legal and regulatory framework </w:t>
      </w:r>
      <w:r w:rsidR="00924CFD" w:rsidRPr="001A700B">
        <w:t xml:space="preserve">for the use of nuclear power </w:t>
      </w:r>
      <w:r w:rsidRPr="001A700B">
        <w:t xml:space="preserve">consists of a number of legal instruments and a number of </w:t>
      </w:r>
      <w:r w:rsidR="00DF3DF9" w:rsidRPr="001A700B">
        <w:t>in</w:t>
      </w:r>
      <w:r w:rsidR="007C17B1" w:rsidRPr="001A700B">
        <w:t>s</w:t>
      </w:r>
      <w:r w:rsidR="00DF3DF9" w:rsidRPr="001A700B">
        <w:t xml:space="preserve">titutions </w:t>
      </w:r>
      <w:r w:rsidRPr="001A700B">
        <w:t xml:space="preserve"> </w:t>
      </w:r>
      <w:r w:rsidR="00DF3DF9" w:rsidRPr="001A700B">
        <w:t xml:space="preserve">regulating  nuclear energy. Each regulatory body operates </w:t>
      </w:r>
      <w:r w:rsidR="00924CFD" w:rsidRPr="001A700B">
        <w:t xml:space="preserve">based on its competencies </w:t>
      </w:r>
      <w:r w:rsidR="007C17B1" w:rsidRPr="001A700B">
        <w:t xml:space="preserve">in the nuclear field </w:t>
      </w:r>
      <w:r w:rsidR="00924CFD" w:rsidRPr="001A700B">
        <w:t xml:space="preserve">and within </w:t>
      </w:r>
      <w:r w:rsidR="00BD11FC" w:rsidRPr="001A700B">
        <w:t xml:space="preserve">the </w:t>
      </w:r>
      <w:r w:rsidR="00924CFD" w:rsidRPr="001A700B">
        <w:t xml:space="preserve"> legal framework </w:t>
      </w:r>
      <w:r w:rsidR="00975C36" w:rsidRPr="001A700B">
        <w:t>e.g.</w:t>
      </w:r>
      <w:r w:rsidR="00924CFD" w:rsidRPr="001A700B">
        <w:t>:</w:t>
      </w:r>
    </w:p>
    <w:p w14:paraId="0F91C622" w14:textId="77777777" w:rsidR="00924CFD" w:rsidRPr="001A700B" w:rsidRDefault="00924CFD" w:rsidP="00924CFD">
      <w:pPr>
        <w:pStyle w:val="Zkladntext"/>
      </w:pPr>
    </w:p>
    <w:p w14:paraId="248D7A82" w14:textId="1E416C9B" w:rsidR="00B4126F" w:rsidRPr="001A700B" w:rsidRDefault="00924CFD" w:rsidP="00462B1A">
      <w:pPr>
        <w:pStyle w:val="Zkladntext"/>
        <w:numPr>
          <w:ilvl w:val="0"/>
          <w:numId w:val="33"/>
        </w:numPr>
      </w:pPr>
      <w:r w:rsidRPr="001A700B">
        <w:t xml:space="preserve">Ministry of </w:t>
      </w:r>
      <w:r w:rsidR="00BD11FC" w:rsidRPr="001A700B">
        <w:t xml:space="preserve">Economy </w:t>
      </w:r>
      <w:r w:rsidRPr="001A700B">
        <w:t xml:space="preserve"> responsible for the energy industry</w:t>
      </w:r>
      <w:r w:rsidR="00DF3DF9" w:rsidRPr="001A700B">
        <w:t xml:space="preserve"> </w:t>
      </w:r>
      <w:r w:rsidRPr="001A700B">
        <w:t>regulating business and other related aspects</w:t>
      </w:r>
      <w:r w:rsidR="00BD11FC" w:rsidRPr="001A700B">
        <w:t>;</w:t>
      </w:r>
    </w:p>
    <w:p w14:paraId="51A58882" w14:textId="17828C46" w:rsidR="00B4126F" w:rsidRPr="001A700B" w:rsidRDefault="00924CFD" w:rsidP="00462B1A">
      <w:pPr>
        <w:pStyle w:val="Zkladntext"/>
        <w:numPr>
          <w:ilvl w:val="0"/>
          <w:numId w:val="33"/>
        </w:numPr>
      </w:pPr>
      <w:r w:rsidRPr="001A700B">
        <w:t xml:space="preserve">Ministry of </w:t>
      </w:r>
      <w:r w:rsidR="00BD11FC" w:rsidRPr="001A700B">
        <w:t>T</w:t>
      </w:r>
      <w:r w:rsidRPr="001A700B">
        <w:t>ransport responsible for transport</w:t>
      </w:r>
      <w:r w:rsidR="00BD11FC" w:rsidRPr="001A700B">
        <w:t>;</w:t>
      </w:r>
    </w:p>
    <w:p w14:paraId="3A3CE1CD" w14:textId="63ABB22E" w:rsidR="00B4126F" w:rsidRPr="001A700B" w:rsidRDefault="00924CFD" w:rsidP="00462B1A">
      <w:pPr>
        <w:pStyle w:val="Zkladntext"/>
        <w:numPr>
          <w:ilvl w:val="0"/>
          <w:numId w:val="33"/>
        </w:numPr>
      </w:pPr>
      <w:r w:rsidRPr="001A700B">
        <w:t xml:space="preserve">Ministry of </w:t>
      </w:r>
      <w:r w:rsidR="00BD11FC" w:rsidRPr="001A700B">
        <w:t xml:space="preserve">Health </w:t>
      </w:r>
      <w:r w:rsidRPr="001A700B">
        <w:t xml:space="preserve"> regulatin</w:t>
      </w:r>
      <w:r w:rsidR="00BD11FC" w:rsidRPr="001A700B">
        <w:t>g</w:t>
      </w:r>
      <w:r w:rsidRPr="001A700B">
        <w:t xml:space="preserve"> radiation protection</w:t>
      </w:r>
      <w:r w:rsidR="00BD11FC" w:rsidRPr="001A700B">
        <w:t>;</w:t>
      </w:r>
      <w:r w:rsidRPr="001A700B">
        <w:t xml:space="preserve"> </w:t>
      </w:r>
    </w:p>
    <w:p w14:paraId="5F7E6266" w14:textId="33BC3554" w:rsidR="00B4126F" w:rsidRPr="001A700B" w:rsidRDefault="00924CFD" w:rsidP="00462B1A">
      <w:pPr>
        <w:pStyle w:val="Zkladntext"/>
        <w:numPr>
          <w:ilvl w:val="0"/>
          <w:numId w:val="33"/>
        </w:numPr>
      </w:pPr>
      <w:r w:rsidRPr="001A700B">
        <w:t xml:space="preserve">Ministry of </w:t>
      </w:r>
      <w:r w:rsidR="00BD11FC" w:rsidRPr="001A700B">
        <w:t>Interior</w:t>
      </w:r>
      <w:r w:rsidRPr="001A700B">
        <w:t xml:space="preserve"> regulating public protection - emergency preparedness and fire protection</w:t>
      </w:r>
      <w:r w:rsidR="00BD11FC" w:rsidRPr="001A700B">
        <w:t>;</w:t>
      </w:r>
      <w:r w:rsidRPr="001A700B">
        <w:t xml:space="preserve"> </w:t>
      </w:r>
    </w:p>
    <w:p w14:paraId="61EFC1BB" w14:textId="15998DD5" w:rsidR="00B4126F" w:rsidRPr="001A700B" w:rsidRDefault="00924CFD" w:rsidP="00462B1A">
      <w:pPr>
        <w:pStyle w:val="Zkladntext"/>
        <w:numPr>
          <w:ilvl w:val="0"/>
          <w:numId w:val="33"/>
        </w:numPr>
      </w:pPr>
      <w:r w:rsidRPr="001A700B">
        <w:t xml:space="preserve">Ministry of </w:t>
      </w:r>
      <w:r w:rsidR="00975C36" w:rsidRPr="001A700B">
        <w:t xml:space="preserve">Labour, Social </w:t>
      </w:r>
      <w:r w:rsidR="001158CF" w:rsidRPr="001A700B">
        <w:t>Affairs</w:t>
      </w:r>
      <w:r w:rsidR="00975C36" w:rsidRPr="001A700B">
        <w:t xml:space="preserve"> and Family</w:t>
      </w:r>
      <w:r w:rsidRPr="001A700B">
        <w:t xml:space="preserve"> regulating  industrial safety</w:t>
      </w:r>
      <w:r w:rsidR="00BD11FC" w:rsidRPr="001A700B">
        <w:t>;</w:t>
      </w:r>
    </w:p>
    <w:p w14:paraId="447876FD" w14:textId="5B4945C5" w:rsidR="00975C36" w:rsidRPr="001A700B" w:rsidRDefault="00924CFD" w:rsidP="00462B1A">
      <w:pPr>
        <w:pStyle w:val="Zkladntext"/>
        <w:numPr>
          <w:ilvl w:val="0"/>
          <w:numId w:val="33"/>
        </w:numPr>
      </w:pPr>
      <w:r w:rsidRPr="001A700B">
        <w:t xml:space="preserve">Ministry of </w:t>
      </w:r>
      <w:r w:rsidR="00975C36" w:rsidRPr="001A700B">
        <w:t>E</w:t>
      </w:r>
      <w:r w:rsidRPr="001A700B">
        <w:t>nvironment</w:t>
      </w:r>
      <w:r w:rsidR="00975C36" w:rsidRPr="001A700B">
        <w:t xml:space="preserve"> regulating environmental </w:t>
      </w:r>
      <w:r w:rsidR="001158CF" w:rsidRPr="001A700B">
        <w:t>affairs</w:t>
      </w:r>
      <w:r w:rsidR="00975C36" w:rsidRPr="001A700B">
        <w:t>;</w:t>
      </w:r>
    </w:p>
    <w:p w14:paraId="2BD0BE1C" w14:textId="07D71A41" w:rsidR="00975C36" w:rsidRPr="001A700B" w:rsidRDefault="00924CFD" w:rsidP="00462B1A">
      <w:pPr>
        <w:pStyle w:val="Zkladntext"/>
        <w:numPr>
          <w:ilvl w:val="0"/>
          <w:numId w:val="33"/>
        </w:numPr>
      </w:pPr>
      <w:r w:rsidRPr="001A700B">
        <w:t xml:space="preserve">Nuclear Regulatory </w:t>
      </w:r>
      <w:r w:rsidR="00975C36" w:rsidRPr="001A700B">
        <w:t xml:space="preserve">Authority regulating nuclear safety; </w:t>
      </w:r>
    </w:p>
    <w:p w14:paraId="15F85BCF" w14:textId="65275726" w:rsidR="00CE63B4" w:rsidRPr="001A700B" w:rsidRDefault="001661E0" w:rsidP="00D75535">
      <w:pPr>
        <w:pStyle w:val="Zkladntext"/>
        <w:numPr>
          <w:ilvl w:val="0"/>
          <w:numId w:val="33"/>
        </w:numPr>
      </w:pPr>
      <w:r w:rsidRPr="001A700B">
        <w:t>e</w:t>
      </w:r>
      <w:r w:rsidR="00975C36" w:rsidRPr="001A700B">
        <w:t>tc</w:t>
      </w:r>
      <w:r w:rsidRPr="001A700B">
        <w:t>.</w:t>
      </w:r>
    </w:p>
    <w:p w14:paraId="2AEBD552" w14:textId="41FFFF5E" w:rsidR="006E2A4E" w:rsidRPr="001A700B" w:rsidRDefault="00924CFD" w:rsidP="00924CFD">
      <w:pPr>
        <w:pStyle w:val="Zkladntext"/>
      </w:pPr>
      <w:r w:rsidRPr="001A700B">
        <w:t xml:space="preserve">In the case of the Nuclear </w:t>
      </w:r>
      <w:r w:rsidR="00A47CF0" w:rsidRPr="001A700B">
        <w:t>R</w:t>
      </w:r>
      <w:r w:rsidRPr="001A700B">
        <w:t xml:space="preserve">egulatory </w:t>
      </w:r>
      <w:r w:rsidR="00A47CF0" w:rsidRPr="001A700B">
        <w:t>A</w:t>
      </w:r>
      <w:r w:rsidRPr="001A700B">
        <w:t>uthority it</w:t>
      </w:r>
      <w:r w:rsidR="00A47CF0" w:rsidRPr="001A700B">
        <w:t xml:space="preserve"> i</w:t>
      </w:r>
      <w:r w:rsidRPr="001A700B">
        <w:t xml:space="preserve">s </w:t>
      </w:r>
      <w:r w:rsidR="00970097" w:rsidRPr="001A700B">
        <w:t xml:space="preserve">also the construction authority </w:t>
      </w:r>
      <w:r w:rsidR="00A47CF0" w:rsidRPr="001A700B">
        <w:t xml:space="preserve">issuing </w:t>
      </w:r>
      <w:r w:rsidR="00970097" w:rsidRPr="001A700B">
        <w:t xml:space="preserve"> license for all construction related activities for  example construction permit, </w:t>
      </w:r>
      <w:r w:rsidR="00E92C2A" w:rsidRPr="001A700B">
        <w:t xml:space="preserve">occupancy permit </w:t>
      </w:r>
      <w:r w:rsidR="00970097" w:rsidRPr="001A700B">
        <w:t xml:space="preserve"> etc. </w:t>
      </w:r>
    </w:p>
    <w:p w14:paraId="7C46DF62" w14:textId="77777777" w:rsidR="006E2A4E" w:rsidRPr="001A700B" w:rsidRDefault="006E2A4E" w:rsidP="00924CFD">
      <w:pPr>
        <w:pStyle w:val="Zkladntext"/>
      </w:pPr>
    </w:p>
    <w:p w14:paraId="765C2499" w14:textId="6DB596FE" w:rsidR="00CE63B4" w:rsidRPr="001A700B" w:rsidRDefault="006E2A4E" w:rsidP="00924CFD">
      <w:pPr>
        <w:pStyle w:val="Zkladntext"/>
      </w:pPr>
      <w:r w:rsidRPr="001A700B">
        <w:t xml:space="preserve">The present legal framework requires that </w:t>
      </w:r>
      <w:r w:rsidR="005B0824" w:rsidRPr="001A700B">
        <w:t xml:space="preserve">for </w:t>
      </w:r>
      <w:r w:rsidRPr="001A700B">
        <w:t>a new power plant regardless of it</w:t>
      </w:r>
      <w:r w:rsidR="00F7793E" w:rsidRPr="001A700B">
        <w:t>s</w:t>
      </w:r>
      <w:r w:rsidRPr="001A700B">
        <w:t xml:space="preserve"> power </w:t>
      </w:r>
      <w:r w:rsidR="00176876" w:rsidRPr="001A700B">
        <w:t xml:space="preserve">it is necessary to apply not only all national safety requirements, but also the requirements arising from the regulations and directives of the European Union (hereinafter referred to as "EU") </w:t>
      </w:r>
      <w:r w:rsidR="005B0824" w:rsidRPr="001A700B">
        <w:t xml:space="preserve">taking into </w:t>
      </w:r>
      <w:r w:rsidR="001158CF" w:rsidRPr="001A700B">
        <w:t>account the</w:t>
      </w:r>
      <w:r w:rsidR="00176876" w:rsidRPr="001A700B">
        <w:t xml:space="preserve"> </w:t>
      </w:r>
      <w:r w:rsidR="005B0824" w:rsidRPr="001A700B">
        <w:t>S</w:t>
      </w:r>
      <w:r w:rsidR="00176876" w:rsidRPr="001A700B">
        <w:t xml:space="preserve">afety </w:t>
      </w:r>
      <w:r w:rsidR="005B0824" w:rsidRPr="001A700B">
        <w:t>S</w:t>
      </w:r>
      <w:r w:rsidR="00176876" w:rsidRPr="001A700B">
        <w:t xml:space="preserve">tandards of the International Atomic Energy Agency (IAEA) and the </w:t>
      </w:r>
      <w:r w:rsidR="005B0824" w:rsidRPr="001A700B">
        <w:t xml:space="preserve">safety reference </w:t>
      </w:r>
      <w:r w:rsidR="001158CF" w:rsidRPr="001A700B">
        <w:t>levels of</w:t>
      </w:r>
      <w:r w:rsidR="00176876" w:rsidRPr="001A700B">
        <w:t xml:space="preserve"> the </w:t>
      </w:r>
      <w:r w:rsidR="005B0824" w:rsidRPr="001A700B">
        <w:t>Western European Nuclear Regulators Association</w:t>
      </w:r>
      <w:r w:rsidR="00176876" w:rsidRPr="001A700B">
        <w:t xml:space="preserve"> (WENRA). The basic legislative </w:t>
      </w:r>
      <w:r w:rsidR="001158CF" w:rsidRPr="001A700B">
        <w:t>instruments governing</w:t>
      </w:r>
      <w:r w:rsidR="00176876" w:rsidRPr="001A700B">
        <w:t xml:space="preserve"> the conditions for the </w:t>
      </w:r>
      <w:r w:rsidR="002C161A" w:rsidRPr="001A700B">
        <w:t xml:space="preserve">safe </w:t>
      </w:r>
      <w:r w:rsidR="00176876" w:rsidRPr="001A700B">
        <w:t xml:space="preserve">use of nuclear energy in the Slovak Republic are </w:t>
      </w:r>
      <w:r w:rsidR="00A47CF0" w:rsidRPr="001A700B">
        <w:t xml:space="preserve">the </w:t>
      </w:r>
      <w:r w:rsidR="00176876" w:rsidRPr="001A700B">
        <w:t xml:space="preserve">Act No. 541/2004 Coll. on the peaceful use of nuclear energy </w:t>
      </w:r>
      <w:r w:rsidR="00176876" w:rsidRPr="001A700B">
        <w:lastRenderedPageBreak/>
        <w:t>(Atomic Act)</w:t>
      </w:r>
      <w:r w:rsidR="001158CF" w:rsidRPr="001A700B">
        <w:t>, and</w:t>
      </w:r>
      <w:r w:rsidR="00176876" w:rsidRPr="001A700B">
        <w:t xml:space="preserve"> Act No. </w:t>
      </w:r>
      <w:r w:rsidR="002E71C9" w:rsidRPr="001A700B">
        <w:t>87/2018 Coll</w:t>
      </w:r>
      <w:r w:rsidR="001A700B" w:rsidRPr="001A700B">
        <w:t>.</w:t>
      </w:r>
      <w:r w:rsidR="002E71C9" w:rsidRPr="001A700B">
        <w:t xml:space="preserve"> </w:t>
      </w:r>
      <w:r w:rsidR="00176876" w:rsidRPr="001A700B">
        <w:t xml:space="preserve"> on </w:t>
      </w:r>
      <w:r w:rsidR="002E71C9" w:rsidRPr="001A700B">
        <w:t>radiation protection</w:t>
      </w:r>
      <w:r w:rsidR="00176876" w:rsidRPr="001A700B">
        <w:t>. According to the Atomic Law, nuclear safety means "</w:t>
      </w:r>
      <w:r w:rsidR="00A47CF0" w:rsidRPr="001A700B">
        <w:t xml:space="preserve"> Nuclear safety shall mean the technical status and the capability of the nuclear installation or transport equipment, as well as their operating personnel to prevent unauthorized release of radioactive substances or ionizing radiation to the working environment or the environment and ability to prevent events and to mitigate consequences of events at nuclear installations or in shipments of radioactive materials </w:t>
      </w:r>
      <w:r w:rsidR="00176876" w:rsidRPr="001A700B">
        <w:t xml:space="preserve">". </w:t>
      </w:r>
    </w:p>
    <w:p w14:paraId="0F599DF3" w14:textId="77777777" w:rsidR="0003552F" w:rsidRPr="001A700B" w:rsidRDefault="0003552F" w:rsidP="00924CFD">
      <w:pPr>
        <w:pStyle w:val="Zkladntext"/>
      </w:pPr>
    </w:p>
    <w:p w14:paraId="27567581" w14:textId="068D6CD4" w:rsidR="0003552F" w:rsidRPr="001A700B" w:rsidRDefault="0003552F" w:rsidP="0003552F">
      <w:pPr>
        <w:pStyle w:val="Zkladntext"/>
        <w:ind w:firstLine="0"/>
        <w:rPr>
          <w:b/>
        </w:rPr>
      </w:pPr>
      <w:r w:rsidRPr="001A700B">
        <w:rPr>
          <w:b/>
        </w:rPr>
        <w:t xml:space="preserve">3.1 </w:t>
      </w:r>
      <w:r w:rsidR="00A47CF0" w:rsidRPr="001A700B">
        <w:rPr>
          <w:b/>
        </w:rPr>
        <w:t xml:space="preserve">Aspects of environmental impact assessment </w:t>
      </w:r>
      <w:r w:rsidRPr="001A700B">
        <w:rPr>
          <w:b/>
        </w:rPr>
        <w:t xml:space="preserve"> </w:t>
      </w:r>
    </w:p>
    <w:p w14:paraId="4CEBD68B" w14:textId="27BD4269" w:rsidR="00B4126F" w:rsidRPr="001A700B" w:rsidRDefault="00B4126F" w:rsidP="00924CFD">
      <w:pPr>
        <w:pStyle w:val="Zkladntext"/>
      </w:pPr>
    </w:p>
    <w:p w14:paraId="24120B4B" w14:textId="06AF4235" w:rsidR="00F93F8E" w:rsidRPr="001A700B" w:rsidRDefault="002C161A" w:rsidP="00B4126F">
      <w:pPr>
        <w:pStyle w:val="Zkladntext"/>
        <w:ind w:firstLine="0"/>
      </w:pPr>
      <w:r w:rsidRPr="001A700B">
        <w:t xml:space="preserve">         </w:t>
      </w:r>
      <w:r w:rsidR="009C2F9D" w:rsidRPr="001A700B">
        <w:t xml:space="preserve">SMRs and </w:t>
      </w:r>
      <w:r w:rsidR="001158CF" w:rsidRPr="001A700B">
        <w:t>innovative technologies</w:t>
      </w:r>
      <w:r w:rsidR="009C2F9D" w:rsidRPr="001A700B">
        <w:t xml:space="preserve"> are in the early phase of deployment. At present the activities are </w:t>
      </w:r>
      <w:r w:rsidR="001158CF" w:rsidRPr="001A700B">
        <w:t>focusing inter</w:t>
      </w:r>
      <w:r w:rsidR="00517D06" w:rsidRPr="001A700B">
        <w:t xml:space="preserve"> alia </w:t>
      </w:r>
      <w:r w:rsidR="009C2F9D" w:rsidRPr="001A700B">
        <w:t>on the issue of sit</w:t>
      </w:r>
      <w:r w:rsidR="00AB17AF" w:rsidRPr="001A700B">
        <w:t>i</w:t>
      </w:r>
      <w:r w:rsidR="009C2F9D" w:rsidRPr="001A700B">
        <w:t xml:space="preserve">ng and design </w:t>
      </w:r>
      <w:r w:rsidRPr="001A700B">
        <w:t xml:space="preserve">but </w:t>
      </w:r>
      <w:r w:rsidR="001158CF" w:rsidRPr="001A700B">
        <w:t>also on</w:t>
      </w:r>
      <w:r w:rsidR="009C2F9D" w:rsidRPr="001A700B">
        <w:t xml:space="preserve"> activities </w:t>
      </w:r>
      <w:r w:rsidRPr="001A700B">
        <w:t xml:space="preserve">related </w:t>
      </w:r>
      <w:r w:rsidR="001158CF" w:rsidRPr="001A700B">
        <w:t>to operation</w:t>
      </w:r>
      <w:r w:rsidRPr="001A700B">
        <w:t>,</w:t>
      </w:r>
      <w:r w:rsidR="009C2F9D" w:rsidRPr="001A700B">
        <w:t xml:space="preserve"> waste management and decommissioning</w:t>
      </w:r>
      <w:r w:rsidR="00AB17AF" w:rsidRPr="001A700B">
        <w:t>.</w:t>
      </w:r>
      <w:r w:rsidR="009C2F9D" w:rsidRPr="001A700B">
        <w:t xml:space="preserve"> </w:t>
      </w:r>
      <w:r w:rsidRPr="001A700B">
        <w:t xml:space="preserve">It is important that safety aspects will be considered in a comprehensive manner for all these areas. However particular attention should be devoted at present to siting </w:t>
      </w:r>
      <w:r w:rsidR="001158CF" w:rsidRPr="001A700B">
        <w:t>and design</w:t>
      </w:r>
      <w:r w:rsidRPr="001A700B">
        <w:t xml:space="preserve"> of innovative nuclear technologies including SMRs.   </w:t>
      </w:r>
    </w:p>
    <w:p w14:paraId="74043B10" w14:textId="6A8C5AFA" w:rsidR="0059375A" w:rsidRPr="001A700B" w:rsidRDefault="0059375A" w:rsidP="00924CFD">
      <w:pPr>
        <w:pStyle w:val="Zkladntext"/>
      </w:pPr>
      <w:r w:rsidRPr="001A700B">
        <w:t xml:space="preserve">The licensing process </w:t>
      </w:r>
      <w:r w:rsidR="001B3398" w:rsidRPr="001A700B">
        <w:t xml:space="preserve">for a nuclear installation regardless of its type </w:t>
      </w:r>
      <w:r w:rsidRPr="001A700B">
        <w:t xml:space="preserve">starts with the </w:t>
      </w:r>
      <w:r w:rsidR="00EF62BA" w:rsidRPr="001A700B">
        <w:t xml:space="preserve">environmental impact </w:t>
      </w:r>
      <w:r w:rsidR="001158CF" w:rsidRPr="001A700B">
        <w:t>assessment according</w:t>
      </w:r>
      <w:r w:rsidRPr="001A700B">
        <w:t xml:space="preserve"> to the Act </w:t>
      </w:r>
      <w:r w:rsidR="001B3398" w:rsidRPr="001A700B">
        <w:t xml:space="preserve">24/2006 on environmental impact assessment. This </w:t>
      </w:r>
      <w:r w:rsidR="005C3E12" w:rsidRPr="001A700B">
        <w:t xml:space="preserve">process of environmental impact assessment </w:t>
      </w:r>
      <w:r w:rsidR="001B3398" w:rsidRPr="001A700B">
        <w:t>is based on the EU directive 2011/92/</w:t>
      </w:r>
      <w:r w:rsidR="001158CF" w:rsidRPr="001A700B">
        <w:t>EU,</w:t>
      </w:r>
      <w:r w:rsidR="001B3398" w:rsidRPr="001A700B">
        <w:t xml:space="preserve"> on the Aarhus Convention </w:t>
      </w:r>
      <w:r w:rsidR="00AB17AF" w:rsidRPr="001A700B">
        <w:t>[1]</w:t>
      </w:r>
      <w:r w:rsidR="00EF62BA" w:rsidRPr="001A700B">
        <w:t xml:space="preserve"> </w:t>
      </w:r>
      <w:r w:rsidR="001B3398" w:rsidRPr="001A700B">
        <w:t>to guarantee rights of public participation in decision-making in environmental matters</w:t>
      </w:r>
      <w:r w:rsidR="005C3E12" w:rsidRPr="001A700B">
        <w:t xml:space="preserve"> and on the Espoo Convention </w:t>
      </w:r>
      <w:r w:rsidR="00B4126F" w:rsidRPr="001A700B">
        <w:t>[</w:t>
      </w:r>
      <w:r w:rsidR="00AB17AF" w:rsidRPr="001A700B">
        <w:t>2</w:t>
      </w:r>
      <w:r w:rsidR="00B4126F" w:rsidRPr="001A700B">
        <w:t>] o</w:t>
      </w:r>
      <w:r w:rsidR="005C3E12" w:rsidRPr="001A700B">
        <w:t>n transboundary impact assessment. Slovakia´</w:t>
      </w:r>
      <w:r w:rsidR="001158CF" w:rsidRPr="001A700B">
        <w:t>s latest</w:t>
      </w:r>
      <w:r w:rsidR="005C3E12" w:rsidRPr="001A700B">
        <w:t xml:space="preserve"> experience with the EIA </w:t>
      </w:r>
      <w:r w:rsidR="001158CF" w:rsidRPr="001A700B">
        <w:t>is the</w:t>
      </w:r>
      <w:r w:rsidR="002604D5" w:rsidRPr="001A700B">
        <w:t xml:space="preserve"> planned new nuclear power plant at the Jaslovské </w:t>
      </w:r>
      <w:r w:rsidR="004C6DDD" w:rsidRPr="001A700B">
        <w:t>B</w:t>
      </w:r>
      <w:r w:rsidR="002604D5" w:rsidRPr="001A700B">
        <w:t>ohunice site</w:t>
      </w:r>
      <w:r w:rsidR="00CE63B4" w:rsidRPr="001A700B">
        <w:t xml:space="preserve"> with pressurized water technology </w:t>
      </w:r>
      <w:r w:rsidR="00EF62BA" w:rsidRPr="001A700B">
        <w:t xml:space="preserve">with </w:t>
      </w:r>
      <w:r w:rsidR="001158CF" w:rsidRPr="001A700B">
        <w:t>an</w:t>
      </w:r>
      <w:r w:rsidR="00EF62BA" w:rsidRPr="001A700B">
        <w:t xml:space="preserve"> electricity output up to 1200 MWe</w:t>
      </w:r>
      <w:r w:rsidR="002604D5" w:rsidRPr="001A700B">
        <w:t xml:space="preserve">.  </w:t>
      </w:r>
      <w:r w:rsidR="005C3E12" w:rsidRPr="001A700B">
        <w:t xml:space="preserve"> </w:t>
      </w:r>
      <w:r w:rsidR="004C6DDD" w:rsidRPr="001A700B">
        <w:t>The EIA process started in 2013 with the preparation of the EIA documentation</w:t>
      </w:r>
      <w:r w:rsidR="007B6C0B" w:rsidRPr="001A700B">
        <w:t xml:space="preserve">. The EIA documentation was subject </w:t>
      </w:r>
      <w:r w:rsidR="001158CF" w:rsidRPr="001A700B">
        <w:t>to consultations with</w:t>
      </w:r>
      <w:r w:rsidR="007B6C0B" w:rsidRPr="001A700B">
        <w:t xml:space="preserve"> the public of the surrounding vill</w:t>
      </w:r>
      <w:r w:rsidR="00EF62BA" w:rsidRPr="001A700B">
        <w:t>a</w:t>
      </w:r>
      <w:r w:rsidR="007B6C0B" w:rsidRPr="001A700B">
        <w:t xml:space="preserve">ges and was subject </w:t>
      </w:r>
      <w:r w:rsidR="00EF62BA" w:rsidRPr="001A700B">
        <w:t xml:space="preserve">also </w:t>
      </w:r>
      <w:r w:rsidR="007B6C0B" w:rsidRPr="001A700B">
        <w:t>to transboundary consultations with the interested state parties of the ESPOO convention</w:t>
      </w:r>
      <w:r w:rsidR="00EF62BA" w:rsidRPr="001A700B">
        <w:t>.</w:t>
      </w:r>
      <w:r w:rsidR="007B6C0B" w:rsidRPr="001A700B">
        <w:t xml:space="preserve"> The EIA </w:t>
      </w:r>
      <w:r w:rsidR="001158CF" w:rsidRPr="001A700B">
        <w:t>process was</w:t>
      </w:r>
      <w:r w:rsidR="004C6DDD" w:rsidRPr="001A700B">
        <w:t xml:space="preserve"> finished in 201</w:t>
      </w:r>
      <w:r w:rsidR="009406E3" w:rsidRPr="001A700B">
        <w:t>6</w:t>
      </w:r>
      <w:r w:rsidR="004C6DDD" w:rsidRPr="001A700B">
        <w:t xml:space="preserve"> </w:t>
      </w:r>
      <w:r w:rsidR="007B6C0B" w:rsidRPr="001A700B">
        <w:t xml:space="preserve">three years after the process started and in 2016 the Ministry of Environment </w:t>
      </w:r>
      <w:r w:rsidR="001158CF" w:rsidRPr="001A700B">
        <w:t>issued the</w:t>
      </w:r>
      <w:r w:rsidR="004C6DDD" w:rsidRPr="001A700B">
        <w:t xml:space="preserve"> final statement. </w:t>
      </w:r>
      <w:r w:rsidR="00CE63B4" w:rsidRPr="001A700B">
        <w:t xml:space="preserve">The final </w:t>
      </w:r>
      <w:r w:rsidR="001158CF" w:rsidRPr="001A700B">
        <w:t>statement included</w:t>
      </w:r>
      <w:r w:rsidR="00CE63B4" w:rsidRPr="001A700B">
        <w:t xml:space="preserve"> provisions with </w:t>
      </w:r>
      <w:r w:rsidR="001158CF" w:rsidRPr="001A700B">
        <w:t>which other</w:t>
      </w:r>
      <w:r w:rsidR="00CE63B4" w:rsidRPr="001A700B">
        <w:t xml:space="preserve"> state institutions </w:t>
      </w:r>
      <w:r w:rsidR="001158CF" w:rsidRPr="001A700B">
        <w:t>and future</w:t>
      </w:r>
      <w:r w:rsidR="00CE63B4" w:rsidRPr="001A700B">
        <w:t xml:space="preserve"> operator shall comply with</w:t>
      </w:r>
      <w:r w:rsidR="00EF62BA" w:rsidRPr="001A700B">
        <w:t xml:space="preserve"> during the siting construction and operation of the nuclear power plant. </w:t>
      </w:r>
      <w:r w:rsidR="00CE63B4" w:rsidRPr="001A700B">
        <w:t xml:space="preserve">   </w:t>
      </w:r>
    </w:p>
    <w:p w14:paraId="5CDEBAE1" w14:textId="780892F7" w:rsidR="000A5A59" w:rsidRPr="001A700B" w:rsidRDefault="000A5A59" w:rsidP="00FE6DCE">
      <w:pPr>
        <w:pStyle w:val="Zkladntext"/>
      </w:pPr>
      <w:r w:rsidRPr="001A700B">
        <w:t xml:space="preserve">Proceedings related to cross-border impact on the environment are carried out in the case of projects </w:t>
      </w:r>
      <w:r w:rsidR="00D86AA8" w:rsidRPr="001A700B">
        <w:t>im</w:t>
      </w:r>
      <w:r w:rsidRPr="001A700B">
        <w:t xml:space="preserve">plemented on the territory </w:t>
      </w:r>
      <w:r w:rsidR="001158CF" w:rsidRPr="001A700B">
        <w:t>of Slovakia which</w:t>
      </w:r>
      <w:r w:rsidR="00EF62BA" w:rsidRPr="001A700B">
        <w:t xml:space="preserve"> </w:t>
      </w:r>
      <w:r w:rsidRPr="001A700B">
        <w:t xml:space="preserve">could affect life and the environment on the territory </w:t>
      </w:r>
      <w:r w:rsidR="001158CF" w:rsidRPr="001A700B">
        <w:t>of a</w:t>
      </w:r>
      <w:r w:rsidR="00EF62BA" w:rsidRPr="001A700B">
        <w:t xml:space="preserve"> </w:t>
      </w:r>
      <w:r w:rsidRPr="001A700B">
        <w:t>neighbo</w:t>
      </w:r>
      <w:r w:rsidR="00EF62BA" w:rsidRPr="001A700B">
        <w:t>u</w:t>
      </w:r>
      <w:r w:rsidRPr="001A700B">
        <w:t xml:space="preserve">ring </w:t>
      </w:r>
      <w:r w:rsidR="001158CF" w:rsidRPr="001A700B">
        <w:t>state contracting</w:t>
      </w:r>
      <w:r w:rsidRPr="001A700B">
        <w:t xml:space="preserve"> part</w:t>
      </w:r>
      <w:r w:rsidR="00FE6DCE" w:rsidRPr="001A700B">
        <w:t>y</w:t>
      </w:r>
      <w:r w:rsidRPr="001A700B">
        <w:t xml:space="preserve"> to the </w:t>
      </w:r>
      <w:r w:rsidR="001158CF" w:rsidRPr="001A700B">
        <w:t xml:space="preserve">convention. </w:t>
      </w:r>
      <w:r w:rsidRPr="001A700B">
        <w:t xml:space="preserve">The current international practice </w:t>
      </w:r>
      <w:r w:rsidR="00FE6DCE" w:rsidRPr="001A700B">
        <w:t xml:space="preserve">related </w:t>
      </w:r>
      <w:r w:rsidRPr="001A700B">
        <w:t xml:space="preserve"> to the construction  of  a nuclear installation </w:t>
      </w:r>
      <w:r w:rsidR="00D86AA8" w:rsidRPr="001A700B">
        <w:t>- rega</w:t>
      </w:r>
      <w:r w:rsidR="001A700B" w:rsidRPr="001A700B">
        <w:t>r</w:t>
      </w:r>
      <w:r w:rsidR="00D86AA8" w:rsidRPr="001A700B">
        <w:t>dles</w:t>
      </w:r>
      <w:r w:rsidR="001A700B" w:rsidRPr="001A700B">
        <w:t>s</w:t>
      </w:r>
      <w:r w:rsidR="00D86AA8" w:rsidRPr="001A700B">
        <w:t xml:space="preserve"> of its technology or  power </w:t>
      </w:r>
      <w:r w:rsidR="00FE6DCE" w:rsidRPr="001A700B">
        <w:t>–</w:t>
      </w:r>
      <w:r w:rsidR="00D86AA8" w:rsidRPr="001A700B">
        <w:t xml:space="preserve"> </w:t>
      </w:r>
      <w:r w:rsidR="00FE6DCE" w:rsidRPr="001A700B">
        <w:t xml:space="preserve">is </w:t>
      </w:r>
      <w:r w:rsidRPr="001A700B">
        <w:t xml:space="preserve"> genera</w:t>
      </w:r>
      <w:r w:rsidR="001A700B" w:rsidRPr="001A700B">
        <w:t>l</w:t>
      </w:r>
      <w:r w:rsidRPr="001A700B">
        <w:t>l</w:t>
      </w:r>
      <w:r w:rsidR="00FE6DCE" w:rsidRPr="001A700B">
        <w:t>y</w:t>
      </w:r>
      <w:r w:rsidRPr="001A700B">
        <w:t xml:space="preserve">   characterized by  the assumption that these projects has a  cross-border impact on the environment, although demonstrated that they have no impact on people or the environment (even in the case</w:t>
      </w:r>
      <w:r w:rsidR="00D86AA8" w:rsidRPr="001A700B">
        <w:t xml:space="preserve"> </w:t>
      </w:r>
      <w:r w:rsidR="00FE6DCE" w:rsidRPr="001A700B">
        <w:t>o</w:t>
      </w:r>
      <w:r w:rsidRPr="001A700B">
        <w:t xml:space="preserve">f </w:t>
      </w:r>
      <w:r w:rsidR="00FE6DCE" w:rsidRPr="001A700B">
        <w:t xml:space="preserve">an </w:t>
      </w:r>
      <w:r w:rsidRPr="001A700B">
        <w:t xml:space="preserve">accident). Currently, there is </w:t>
      </w:r>
      <w:r w:rsidR="001158CF" w:rsidRPr="001A700B">
        <w:t>no different</w:t>
      </w:r>
      <w:r w:rsidR="00D86AA8" w:rsidRPr="001A700B">
        <w:t xml:space="preserve"> </w:t>
      </w:r>
      <w:r w:rsidRPr="001A700B">
        <w:t xml:space="preserve">approach to small modular </w:t>
      </w:r>
      <w:r w:rsidR="002323B6" w:rsidRPr="001A700B">
        <w:t xml:space="preserve">or innovative reactors </w:t>
      </w:r>
      <w:r w:rsidRPr="001A700B">
        <w:t>in this direction</w:t>
      </w:r>
      <w:r w:rsidR="002323B6" w:rsidRPr="001A700B">
        <w:t xml:space="preserve"> even </w:t>
      </w:r>
      <w:r w:rsidR="001158CF" w:rsidRPr="001A700B">
        <w:t>they have</w:t>
      </w:r>
      <w:r w:rsidRPr="001A700B">
        <w:t xml:space="preserve"> </w:t>
      </w:r>
      <w:r w:rsidR="001A700B" w:rsidRPr="001A700B">
        <w:t>favourable</w:t>
      </w:r>
      <w:r w:rsidRPr="001A700B">
        <w:t xml:space="preserve"> safety features and represent a </w:t>
      </w:r>
      <w:r w:rsidR="00FE6DCE" w:rsidRPr="001A700B">
        <w:t xml:space="preserve">significantly </w:t>
      </w:r>
      <w:r w:rsidRPr="001A700B">
        <w:t>smaller potential risk for</w:t>
      </w:r>
      <w:r w:rsidR="00D86AA8" w:rsidRPr="001A700B">
        <w:t xml:space="preserve"> </w:t>
      </w:r>
      <w:r w:rsidRPr="001A700B">
        <w:t>the environment, mainly for the following reasons:</w:t>
      </w:r>
    </w:p>
    <w:p w14:paraId="67B43F26" w14:textId="4596E1DC" w:rsidR="000A5A59" w:rsidRPr="001A700B" w:rsidRDefault="000A5A59" w:rsidP="002E71C9">
      <w:pPr>
        <w:pStyle w:val="Zkladntext"/>
        <w:numPr>
          <w:ilvl w:val="0"/>
          <w:numId w:val="35"/>
        </w:numPr>
        <w:jc w:val="left"/>
      </w:pPr>
      <w:r w:rsidRPr="001A700B">
        <w:t>lower power level ,</w:t>
      </w:r>
    </w:p>
    <w:p w14:paraId="3AF46A1F" w14:textId="55C8932B" w:rsidR="00D86AA8" w:rsidRPr="001A700B" w:rsidRDefault="000A5A59" w:rsidP="002E71C9">
      <w:pPr>
        <w:pStyle w:val="Zkladntext"/>
        <w:numPr>
          <w:ilvl w:val="0"/>
          <w:numId w:val="35"/>
        </w:numPr>
        <w:jc w:val="left"/>
      </w:pPr>
      <w:r w:rsidRPr="001A700B">
        <w:t xml:space="preserve">smaller amounts of </w:t>
      </w:r>
      <w:r w:rsidR="002323B6" w:rsidRPr="001A700B">
        <w:t xml:space="preserve"> produced radioactive waste and spent fuel </w:t>
      </w:r>
    </w:p>
    <w:p w14:paraId="192CD81D" w14:textId="60419438" w:rsidR="000A5A59" w:rsidRPr="001A700B" w:rsidRDefault="00D86AA8" w:rsidP="002E71C9">
      <w:pPr>
        <w:pStyle w:val="Zkladntext"/>
        <w:numPr>
          <w:ilvl w:val="0"/>
          <w:numId w:val="35"/>
        </w:numPr>
        <w:jc w:val="left"/>
      </w:pPr>
      <w:r w:rsidRPr="001A700B">
        <w:t xml:space="preserve">new safety features </w:t>
      </w:r>
    </w:p>
    <w:p w14:paraId="5CD5624A" w14:textId="5BE834ED" w:rsidR="00924CFD" w:rsidRPr="001A700B" w:rsidRDefault="000A5A59" w:rsidP="005055BD">
      <w:pPr>
        <w:pStyle w:val="Zkladntext"/>
        <w:ind w:firstLine="0"/>
        <w:jc w:val="left"/>
      </w:pPr>
      <w:r w:rsidRPr="001A700B">
        <w:t>It should also be emphasized that the design solutions of SMR reactors use passive</w:t>
      </w:r>
      <w:r w:rsidR="002323B6" w:rsidRPr="001A700B">
        <w:t xml:space="preserve"> </w:t>
      </w:r>
      <w:r w:rsidR="001158CF" w:rsidRPr="001A700B">
        <w:t>safety systems and</w:t>
      </w:r>
      <w:r w:rsidRPr="001A700B">
        <w:t xml:space="preserve"> inherent safety features, which </w:t>
      </w:r>
      <w:r w:rsidR="002323B6" w:rsidRPr="001A700B">
        <w:t xml:space="preserve">significantly </w:t>
      </w:r>
      <w:r w:rsidRPr="001A700B">
        <w:t xml:space="preserve">increases </w:t>
      </w:r>
      <w:r w:rsidR="001158CF" w:rsidRPr="001A700B">
        <w:t>the safety</w:t>
      </w:r>
      <w:r w:rsidRPr="001A700B">
        <w:t xml:space="preserve"> of these reactors and limits the size of the emergency planning zone.</w:t>
      </w:r>
      <w:r w:rsidR="001B518D" w:rsidRPr="001A700B">
        <w:t xml:space="preserve"> However only on the bases of detailed design knowledge these assumptions can be confirmed. </w:t>
      </w:r>
      <w:r w:rsidR="005055BD" w:rsidRPr="001A700B">
        <w:t>Impact assessments whether on national or international level are an important part of the confidence building measure toward the public and the neighbo</w:t>
      </w:r>
      <w:r w:rsidR="00E92C2A" w:rsidRPr="001A700B">
        <w:t>u</w:t>
      </w:r>
      <w:r w:rsidR="005055BD" w:rsidRPr="001A700B">
        <w:t xml:space="preserve">ring </w:t>
      </w:r>
      <w:r w:rsidR="001158CF" w:rsidRPr="001A700B">
        <w:t xml:space="preserve">states. </w:t>
      </w:r>
      <w:r w:rsidR="005055BD" w:rsidRPr="001A700B">
        <w:t xml:space="preserve">Even the impacts are negligible a transparent and open dialog is of utmost importance </w:t>
      </w:r>
      <w:r w:rsidR="00361811" w:rsidRPr="001A700B">
        <w:t xml:space="preserve">for the </w:t>
      </w:r>
      <w:r w:rsidR="001158CF" w:rsidRPr="001A700B">
        <w:t>smooth implementation</w:t>
      </w:r>
      <w:r w:rsidR="005055BD" w:rsidRPr="001A700B">
        <w:t xml:space="preserve"> of the project. </w:t>
      </w:r>
      <w:r w:rsidR="00361811" w:rsidRPr="001A700B">
        <w:t xml:space="preserve">This is of particular importance in case when the site </w:t>
      </w:r>
      <w:r w:rsidR="001158CF" w:rsidRPr="001A700B">
        <w:t>of a</w:t>
      </w:r>
      <w:r w:rsidR="00361811" w:rsidRPr="001A700B">
        <w:t xml:space="preserve"> SMR is in the </w:t>
      </w:r>
      <w:r w:rsidR="001158CF" w:rsidRPr="001A700B">
        <w:t>neighbourhood or</w:t>
      </w:r>
      <w:r w:rsidR="00361811" w:rsidRPr="001A700B">
        <w:t xml:space="preserve"> even part of a densely inhabited area or city. </w:t>
      </w:r>
    </w:p>
    <w:p w14:paraId="31FE9A66" w14:textId="77777777" w:rsidR="0003552F" w:rsidRPr="001A700B" w:rsidRDefault="0003552F" w:rsidP="002B0A51">
      <w:pPr>
        <w:pStyle w:val="Zkladntext"/>
      </w:pPr>
    </w:p>
    <w:p w14:paraId="4D96CDDB" w14:textId="32DE3771" w:rsidR="0003552F" w:rsidRPr="001A700B" w:rsidRDefault="001158CF" w:rsidP="00AB17AF">
      <w:pPr>
        <w:pStyle w:val="Zkladntext"/>
        <w:ind w:firstLine="0"/>
        <w:rPr>
          <w:b/>
        </w:rPr>
      </w:pPr>
      <w:r w:rsidRPr="001A700B">
        <w:rPr>
          <w:b/>
        </w:rPr>
        <w:t>3.2 Licensing</w:t>
      </w:r>
      <w:r w:rsidR="00AC6BB8" w:rsidRPr="001A700B">
        <w:rPr>
          <w:b/>
        </w:rPr>
        <w:t xml:space="preserve"> phases </w:t>
      </w:r>
      <w:r w:rsidR="0003552F" w:rsidRPr="001A700B">
        <w:rPr>
          <w:b/>
        </w:rPr>
        <w:t xml:space="preserve"> </w:t>
      </w:r>
    </w:p>
    <w:p w14:paraId="7E1E5B98" w14:textId="77777777" w:rsidR="0003552F" w:rsidRPr="001A700B" w:rsidRDefault="0003552F" w:rsidP="002B0A51">
      <w:pPr>
        <w:pStyle w:val="Zkladntext"/>
      </w:pPr>
    </w:p>
    <w:p w14:paraId="714FF9BD" w14:textId="769ED196" w:rsidR="002B0A51" w:rsidRPr="001A700B" w:rsidRDefault="00FE6DCE" w:rsidP="002B0A51">
      <w:pPr>
        <w:pStyle w:val="Zkladntext"/>
      </w:pPr>
      <w:r w:rsidRPr="001A700B">
        <w:t>In Slovakia t</w:t>
      </w:r>
      <w:r w:rsidR="002B0A51" w:rsidRPr="001A700B">
        <w:t xml:space="preserve">he </w:t>
      </w:r>
      <w:r w:rsidR="001158CF" w:rsidRPr="001A700B">
        <w:t>involvement of</w:t>
      </w:r>
      <w:r w:rsidR="002B0A51" w:rsidRPr="001A700B">
        <w:t xml:space="preserve"> regulatory organisations in the licensing process depends on which licensing step is subject to regulation. </w:t>
      </w:r>
      <w:r w:rsidR="00BD11FC" w:rsidRPr="001A700B">
        <w:t>L</w:t>
      </w:r>
      <w:r w:rsidR="002B0A51" w:rsidRPr="001A700B">
        <w:t xml:space="preserve">icensing of a nuclear installation consists of several (main) </w:t>
      </w:r>
      <w:r w:rsidR="001158CF" w:rsidRPr="001A700B">
        <w:t>steps:</w:t>
      </w:r>
      <w:r w:rsidR="002B0A51" w:rsidRPr="001A700B">
        <w:t xml:space="preserve"> </w:t>
      </w:r>
    </w:p>
    <w:p w14:paraId="52F2914F" w14:textId="718D13F3" w:rsidR="002E71C9" w:rsidRPr="001A700B" w:rsidRDefault="002E71C9" w:rsidP="002E71C9">
      <w:pPr>
        <w:pStyle w:val="Zkladntext"/>
        <w:numPr>
          <w:ilvl w:val="0"/>
          <w:numId w:val="34"/>
        </w:numPr>
      </w:pPr>
      <w:r w:rsidRPr="001A700B">
        <w:t xml:space="preserve">Siting  according to the Atomic </w:t>
      </w:r>
      <w:r w:rsidR="002A4107" w:rsidRPr="001A700B">
        <w:t>A</w:t>
      </w:r>
      <w:r w:rsidRPr="001A700B">
        <w:t xml:space="preserve">ct (only for </w:t>
      </w:r>
      <w:r w:rsidR="00FE6DCE" w:rsidRPr="001A700B">
        <w:t>nuclear power plants</w:t>
      </w:r>
      <w:r w:rsidRPr="001A700B">
        <w:t>)</w:t>
      </w:r>
    </w:p>
    <w:p w14:paraId="242CC11F" w14:textId="4C434784" w:rsidR="002B0A51" w:rsidRPr="001A700B" w:rsidRDefault="002E71C9" w:rsidP="00462B1A">
      <w:pPr>
        <w:pStyle w:val="Zkladntext"/>
        <w:numPr>
          <w:ilvl w:val="0"/>
          <w:numId w:val="37"/>
        </w:numPr>
      </w:pPr>
      <w:r w:rsidRPr="001A700B">
        <w:t xml:space="preserve">Siting of  all kind of nuclear installations according to the Spatial Planning </w:t>
      </w:r>
      <w:r w:rsidR="00FE6DCE" w:rsidRPr="001A700B">
        <w:t>A</w:t>
      </w:r>
      <w:r w:rsidRPr="001A700B">
        <w:t xml:space="preserve">ct </w:t>
      </w:r>
    </w:p>
    <w:p w14:paraId="63F986AB" w14:textId="0ABE2B81" w:rsidR="002B0A51" w:rsidRPr="001A700B" w:rsidRDefault="002B0A51" w:rsidP="002E71C9">
      <w:pPr>
        <w:pStyle w:val="Zkladntext"/>
        <w:numPr>
          <w:ilvl w:val="0"/>
          <w:numId w:val="37"/>
        </w:numPr>
      </w:pPr>
      <w:r w:rsidRPr="001A700B">
        <w:t>Construction</w:t>
      </w:r>
      <w:r w:rsidR="002A4107" w:rsidRPr="001A700B">
        <w:t xml:space="preserve">  </w:t>
      </w:r>
    </w:p>
    <w:p w14:paraId="76B0481A" w14:textId="77777777" w:rsidR="002B0A51" w:rsidRPr="001A700B" w:rsidRDefault="002B0A51" w:rsidP="002E71C9">
      <w:pPr>
        <w:pStyle w:val="Zkladntext"/>
        <w:numPr>
          <w:ilvl w:val="0"/>
          <w:numId w:val="37"/>
        </w:numPr>
      </w:pPr>
      <w:r w:rsidRPr="001A700B">
        <w:t xml:space="preserve">Operation </w:t>
      </w:r>
    </w:p>
    <w:p w14:paraId="63CB028E" w14:textId="77777777" w:rsidR="002B0A51" w:rsidRPr="001A700B" w:rsidRDefault="002B0A51" w:rsidP="002E71C9">
      <w:pPr>
        <w:pStyle w:val="Zkladntext"/>
        <w:numPr>
          <w:ilvl w:val="0"/>
          <w:numId w:val="37"/>
        </w:numPr>
      </w:pPr>
      <w:r w:rsidRPr="001A700B">
        <w:t xml:space="preserve">Decommissioning and dismantling </w:t>
      </w:r>
    </w:p>
    <w:p w14:paraId="7E2DFE30" w14:textId="77777777" w:rsidR="002B0A51" w:rsidRPr="001A700B" w:rsidRDefault="002B0A51" w:rsidP="002B0A51">
      <w:pPr>
        <w:pStyle w:val="Zkladntext"/>
      </w:pPr>
    </w:p>
    <w:p w14:paraId="457D7A43" w14:textId="77DF1E34" w:rsidR="002B0A51" w:rsidRPr="001A700B" w:rsidRDefault="002B0A51" w:rsidP="002B0A51">
      <w:pPr>
        <w:pStyle w:val="Zkladntext"/>
      </w:pPr>
      <w:r w:rsidRPr="001A700B">
        <w:t xml:space="preserve">All these steps are interrelated. This means that the next steps </w:t>
      </w:r>
      <w:r w:rsidR="001158CF" w:rsidRPr="001A700B">
        <w:t>can start</w:t>
      </w:r>
      <w:r w:rsidRPr="001A700B">
        <w:t xml:space="preserve"> when the previous step is completed from </w:t>
      </w:r>
      <w:r w:rsidR="001158CF" w:rsidRPr="001A700B">
        <w:t>the legal</w:t>
      </w:r>
      <w:r w:rsidRPr="001A700B">
        <w:t xml:space="preserve">, regulatory point of view and practical implementation </w:t>
      </w:r>
      <w:r w:rsidR="002A4107" w:rsidRPr="001A700B">
        <w:t xml:space="preserve">of the project </w:t>
      </w:r>
      <w:r w:rsidRPr="001A700B">
        <w:t xml:space="preserve">as </w:t>
      </w:r>
      <w:r w:rsidR="001158CF" w:rsidRPr="001A700B">
        <w:t xml:space="preserve">well. </w:t>
      </w:r>
      <w:r w:rsidRPr="001A700B">
        <w:t xml:space="preserve">These steps </w:t>
      </w:r>
      <w:r w:rsidR="001158CF" w:rsidRPr="001A700B">
        <w:t>cannot</w:t>
      </w:r>
      <w:r w:rsidRPr="001A700B">
        <w:t xml:space="preserve"> be combined for example combining the process of siting with </w:t>
      </w:r>
      <w:r w:rsidR="001158CF" w:rsidRPr="001A700B">
        <w:t>construction or</w:t>
      </w:r>
      <w:r w:rsidRPr="001A700B">
        <w:t xml:space="preserve"> construction with operation</w:t>
      </w:r>
      <w:r w:rsidR="002A4107" w:rsidRPr="001A700B">
        <w:t>.</w:t>
      </w:r>
      <w:r w:rsidRPr="001A700B">
        <w:t xml:space="preserve"> This is given by the fact </w:t>
      </w:r>
      <w:r w:rsidR="001158CF" w:rsidRPr="001A700B">
        <w:t>that each</w:t>
      </w:r>
      <w:r w:rsidRPr="001A700B">
        <w:t xml:space="preserve"> of these steps have different legal requirements, different requirements on documentation and </w:t>
      </w:r>
      <w:r w:rsidR="005635D9" w:rsidRPr="001A700B">
        <w:t xml:space="preserve">based on the type of the </w:t>
      </w:r>
      <w:r w:rsidR="002A4107" w:rsidRPr="001A700B">
        <w:t>proce</w:t>
      </w:r>
      <w:r w:rsidR="001A700B" w:rsidRPr="001A700B">
        <w:t>s</w:t>
      </w:r>
      <w:r w:rsidR="002A4107" w:rsidRPr="001A700B">
        <w:t>s</w:t>
      </w:r>
      <w:r w:rsidR="005635D9" w:rsidRPr="001A700B">
        <w:t xml:space="preserve"> </w:t>
      </w:r>
      <w:r w:rsidRPr="001A700B">
        <w:t>different involvement of stakeholders</w:t>
      </w:r>
      <w:r w:rsidR="005635D9" w:rsidRPr="001A700B">
        <w:t xml:space="preserve"> </w:t>
      </w:r>
      <w:r w:rsidR="00D1299B" w:rsidRPr="001A700B">
        <w:t>(see Table 1)</w:t>
      </w:r>
      <w:r w:rsidRPr="001A700B">
        <w:t xml:space="preserve">. </w:t>
      </w:r>
    </w:p>
    <w:p w14:paraId="78B837A0" w14:textId="4E3AF39A" w:rsidR="006D792D" w:rsidRPr="001A700B" w:rsidRDefault="006D792D" w:rsidP="002B0A51">
      <w:pPr>
        <w:pStyle w:val="Zkladntext"/>
      </w:pPr>
    </w:p>
    <w:p w14:paraId="254695EA" w14:textId="743FA40E" w:rsidR="006D792D" w:rsidRPr="001A700B" w:rsidRDefault="006D792D" w:rsidP="006D792D">
      <w:pPr>
        <w:pStyle w:val="Zkladntext"/>
        <w:rPr>
          <w:smallCaps/>
        </w:rPr>
      </w:pPr>
    </w:p>
    <w:p w14:paraId="1FF1E87C" w14:textId="1A34E3A3" w:rsidR="006D792D" w:rsidRPr="001A700B" w:rsidRDefault="006D792D" w:rsidP="006D792D">
      <w:pPr>
        <w:pStyle w:val="Zkladntext"/>
        <w:ind w:firstLine="0"/>
        <w:rPr>
          <w:smallCaps/>
        </w:rPr>
      </w:pPr>
      <w:r w:rsidRPr="001A700B">
        <w:rPr>
          <w:smallCaps/>
        </w:rPr>
        <w:t>TABLE 1.</w:t>
      </w:r>
      <w:r w:rsidRPr="001A700B">
        <w:rPr>
          <w:smallCaps/>
        </w:rPr>
        <w:tab/>
      </w:r>
      <w:r w:rsidR="001158CF" w:rsidRPr="001A700B">
        <w:rPr>
          <w:smallCaps/>
        </w:rPr>
        <w:t>EXAMPLE OF</w:t>
      </w:r>
      <w:r w:rsidRPr="001A700B">
        <w:rPr>
          <w:smallCaps/>
        </w:rPr>
        <w:t xml:space="preserve"> DOCUMENTATION FOR DIFFEREN LICENSING </w:t>
      </w:r>
      <w:r w:rsidR="001158CF" w:rsidRPr="001A700B">
        <w:rPr>
          <w:smallCaps/>
        </w:rPr>
        <w:t>STEPS (</w:t>
      </w:r>
      <w:r w:rsidR="002A4107" w:rsidRPr="001A700B">
        <w:rPr>
          <w:smallCaps/>
        </w:rPr>
        <w:t>according to the Atomic ACT)</w:t>
      </w:r>
    </w:p>
    <w:p w14:paraId="189D41F6" w14:textId="4D45D007" w:rsidR="006D792D" w:rsidRPr="001A700B" w:rsidRDefault="006D792D" w:rsidP="006D792D">
      <w:pPr>
        <w:pStyle w:val="Zkladntext"/>
        <w:ind w:firstLine="0"/>
        <w:rPr>
          <w:smallCaps/>
        </w:rPr>
      </w:pPr>
    </w:p>
    <w:p w14:paraId="0A4A7FC0" w14:textId="7DEEB363" w:rsidR="006D792D" w:rsidRPr="001A700B" w:rsidRDefault="006D792D" w:rsidP="006D792D">
      <w:pPr>
        <w:pStyle w:val="Zkladntext"/>
        <w:ind w:firstLine="0"/>
        <w:rPr>
          <w:smallCaps/>
        </w:rPr>
      </w:pPr>
    </w:p>
    <w:tbl>
      <w:tblPr>
        <w:tblStyle w:val="Mriekatabuky"/>
        <w:tblW w:w="0" w:type="auto"/>
        <w:tblLook w:val="04A0" w:firstRow="1" w:lastRow="0" w:firstColumn="1" w:lastColumn="0" w:noHBand="0" w:noVBand="1"/>
      </w:tblPr>
      <w:tblGrid>
        <w:gridCol w:w="2254"/>
        <w:gridCol w:w="2254"/>
        <w:gridCol w:w="2254"/>
        <w:gridCol w:w="2254"/>
      </w:tblGrid>
      <w:tr w:rsidR="00917D42" w:rsidRPr="001A700B" w14:paraId="1392E8C8" w14:textId="77777777" w:rsidTr="008042A9">
        <w:tc>
          <w:tcPr>
            <w:tcW w:w="2254" w:type="dxa"/>
          </w:tcPr>
          <w:p w14:paraId="5EC49F0C" w14:textId="305102DB" w:rsidR="00917D42" w:rsidRPr="001A700B" w:rsidRDefault="00917D42" w:rsidP="00F17732">
            <w:pPr>
              <w:pStyle w:val="Zkladntext"/>
              <w:ind w:firstLine="0"/>
            </w:pPr>
            <w:r w:rsidRPr="001A700B">
              <w:t>Type of licence (number of document</w:t>
            </w:r>
            <w:r w:rsidR="00F17732" w:rsidRPr="001A700B">
              <w:t>s</w:t>
            </w:r>
            <w:r w:rsidRPr="001A700B">
              <w:t>)</w:t>
            </w:r>
          </w:p>
        </w:tc>
        <w:tc>
          <w:tcPr>
            <w:tcW w:w="2254" w:type="dxa"/>
          </w:tcPr>
          <w:p w14:paraId="2353A319" w14:textId="3F8EA7B5" w:rsidR="00917D42" w:rsidRPr="001A700B" w:rsidRDefault="00917D42" w:rsidP="002A4107">
            <w:pPr>
              <w:pStyle w:val="Zkladntext"/>
              <w:ind w:firstLine="0"/>
              <w:jc w:val="center"/>
            </w:pPr>
            <w:r w:rsidRPr="001A700B">
              <w:t>Siting (8)</w:t>
            </w:r>
          </w:p>
        </w:tc>
        <w:tc>
          <w:tcPr>
            <w:tcW w:w="2254" w:type="dxa"/>
          </w:tcPr>
          <w:p w14:paraId="5AA4B758" w14:textId="1C7149AB" w:rsidR="00917D42" w:rsidRPr="001A700B" w:rsidRDefault="00917D42" w:rsidP="002A4107">
            <w:pPr>
              <w:pStyle w:val="Zkladntext"/>
              <w:ind w:firstLine="0"/>
              <w:jc w:val="center"/>
            </w:pPr>
            <w:r w:rsidRPr="001A700B">
              <w:t>Construction (14)</w:t>
            </w:r>
          </w:p>
        </w:tc>
        <w:tc>
          <w:tcPr>
            <w:tcW w:w="2254" w:type="dxa"/>
          </w:tcPr>
          <w:p w14:paraId="7C1A8CD2" w14:textId="5D11B8B9" w:rsidR="00917D42" w:rsidRPr="001A700B" w:rsidRDefault="00917D42" w:rsidP="002A4107">
            <w:pPr>
              <w:pStyle w:val="Zkladntext"/>
              <w:ind w:firstLine="0"/>
              <w:jc w:val="center"/>
            </w:pPr>
            <w:r w:rsidRPr="001A700B">
              <w:t>Operation (25)</w:t>
            </w:r>
          </w:p>
        </w:tc>
      </w:tr>
      <w:tr w:rsidR="00917D42" w:rsidRPr="001A700B" w14:paraId="6D8C7D10" w14:textId="77777777" w:rsidTr="008042A9">
        <w:tc>
          <w:tcPr>
            <w:tcW w:w="2254" w:type="dxa"/>
          </w:tcPr>
          <w:p w14:paraId="50CB644F" w14:textId="6EC8054E" w:rsidR="00917D42" w:rsidRPr="001A700B" w:rsidRDefault="00917D42" w:rsidP="006D792D">
            <w:pPr>
              <w:pStyle w:val="Zkladntext"/>
              <w:ind w:firstLine="0"/>
            </w:pPr>
            <w:r w:rsidRPr="001A700B">
              <w:t xml:space="preserve">Type of document </w:t>
            </w:r>
          </w:p>
        </w:tc>
        <w:tc>
          <w:tcPr>
            <w:tcW w:w="2254" w:type="dxa"/>
          </w:tcPr>
          <w:p w14:paraId="05F8F137" w14:textId="38167676" w:rsidR="00917D42" w:rsidRPr="001A700B" w:rsidRDefault="00917D42" w:rsidP="002A4107">
            <w:pPr>
              <w:pStyle w:val="Zkladntext"/>
              <w:ind w:firstLine="0"/>
              <w:jc w:val="center"/>
            </w:pPr>
            <w:r w:rsidRPr="001A700B">
              <w:t>Inception safety report</w:t>
            </w:r>
          </w:p>
        </w:tc>
        <w:tc>
          <w:tcPr>
            <w:tcW w:w="2254" w:type="dxa"/>
          </w:tcPr>
          <w:p w14:paraId="3A4A7311" w14:textId="31F9C397" w:rsidR="00917D42" w:rsidRPr="001A700B" w:rsidRDefault="00917D42" w:rsidP="002A4107">
            <w:pPr>
              <w:pStyle w:val="Zkladntext"/>
              <w:ind w:firstLine="0"/>
              <w:jc w:val="center"/>
            </w:pPr>
            <w:r w:rsidRPr="001A700B">
              <w:t>Preliminary safety report</w:t>
            </w:r>
          </w:p>
        </w:tc>
        <w:tc>
          <w:tcPr>
            <w:tcW w:w="2254" w:type="dxa"/>
          </w:tcPr>
          <w:p w14:paraId="552D33D5" w14:textId="201A8829" w:rsidR="00917D42" w:rsidRPr="001A700B" w:rsidRDefault="00917D42" w:rsidP="002A4107">
            <w:pPr>
              <w:pStyle w:val="Zkladntext"/>
              <w:ind w:firstLine="0"/>
              <w:jc w:val="center"/>
            </w:pPr>
            <w:r w:rsidRPr="001A700B">
              <w:t>Pre-operational safety report</w:t>
            </w:r>
          </w:p>
        </w:tc>
      </w:tr>
      <w:tr w:rsidR="00917D42" w:rsidRPr="001A700B" w14:paraId="1F67E2F1" w14:textId="77777777" w:rsidTr="008042A9">
        <w:tc>
          <w:tcPr>
            <w:tcW w:w="2254" w:type="dxa"/>
          </w:tcPr>
          <w:p w14:paraId="5199957C" w14:textId="77777777" w:rsidR="00917D42" w:rsidRPr="001A700B" w:rsidRDefault="00917D42" w:rsidP="006D792D">
            <w:pPr>
              <w:pStyle w:val="Zkladntext"/>
              <w:ind w:firstLine="0"/>
            </w:pPr>
          </w:p>
        </w:tc>
        <w:tc>
          <w:tcPr>
            <w:tcW w:w="2254" w:type="dxa"/>
          </w:tcPr>
          <w:p w14:paraId="41A6BF21" w14:textId="25D40391" w:rsidR="00917D42" w:rsidRPr="001A700B" w:rsidRDefault="00917D42" w:rsidP="002A4107">
            <w:pPr>
              <w:pStyle w:val="Zkladntext"/>
              <w:ind w:firstLine="0"/>
              <w:jc w:val="center"/>
            </w:pPr>
            <w:r w:rsidRPr="001A700B">
              <w:t>Inception decommissioning plan</w:t>
            </w:r>
          </w:p>
        </w:tc>
        <w:tc>
          <w:tcPr>
            <w:tcW w:w="2254" w:type="dxa"/>
          </w:tcPr>
          <w:p w14:paraId="34FF399E" w14:textId="788D4271" w:rsidR="00917D42" w:rsidRPr="001A700B" w:rsidRDefault="00917D42" w:rsidP="002A4107">
            <w:pPr>
              <w:pStyle w:val="Zkladntext"/>
              <w:ind w:firstLine="0"/>
              <w:jc w:val="center"/>
            </w:pPr>
            <w:r w:rsidRPr="001A700B">
              <w:t>Preliminary concept of decommissioning</w:t>
            </w:r>
          </w:p>
        </w:tc>
        <w:tc>
          <w:tcPr>
            <w:tcW w:w="2254" w:type="dxa"/>
          </w:tcPr>
          <w:p w14:paraId="3E523A11" w14:textId="5FE14141" w:rsidR="00917D42" w:rsidRPr="001A700B" w:rsidRDefault="00D1299B" w:rsidP="002A4107">
            <w:pPr>
              <w:pStyle w:val="Zkladntext"/>
              <w:ind w:firstLine="0"/>
              <w:jc w:val="center"/>
            </w:pPr>
            <w:r w:rsidRPr="001A700B">
              <w:t>C</w:t>
            </w:r>
            <w:r w:rsidR="00917D42" w:rsidRPr="001A700B">
              <w:t>oncept of decommissioning</w:t>
            </w:r>
          </w:p>
        </w:tc>
      </w:tr>
      <w:tr w:rsidR="00917D42" w:rsidRPr="001A700B" w14:paraId="168C2E6D" w14:textId="77777777" w:rsidTr="008042A9">
        <w:tc>
          <w:tcPr>
            <w:tcW w:w="2254" w:type="dxa"/>
          </w:tcPr>
          <w:p w14:paraId="41BB0FA9" w14:textId="77777777" w:rsidR="00917D42" w:rsidRPr="001A700B" w:rsidRDefault="00917D42" w:rsidP="006D792D">
            <w:pPr>
              <w:pStyle w:val="Zkladntext"/>
              <w:ind w:firstLine="0"/>
            </w:pPr>
          </w:p>
        </w:tc>
        <w:tc>
          <w:tcPr>
            <w:tcW w:w="2254" w:type="dxa"/>
          </w:tcPr>
          <w:p w14:paraId="6F79FAE9" w14:textId="0C089EA6" w:rsidR="00917D42" w:rsidRPr="001A700B" w:rsidRDefault="00917D42" w:rsidP="002A4107">
            <w:pPr>
              <w:pStyle w:val="Zkladntext"/>
              <w:ind w:firstLine="0"/>
              <w:jc w:val="center"/>
            </w:pPr>
            <w:r w:rsidRPr="001A700B">
              <w:t>QA requirements</w:t>
            </w:r>
          </w:p>
        </w:tc>
        <w:tc>
          <w:tcPr>
            <w:tcW w:w="2254" w:type="dxa"/>
          </w:tcPr>
          <w:p w14:paraId="359BA1CC" w14:textId="42225D04" w:rsidR="00917D42" w:rsidRPr="001A700B" w:rsidRDefault="00917D42" w:rsidP="002A4107">
            <w:pPr>
              <w:pStyle w:val="Zkladntext"/>
              <w:ind w:firstLine="0"/>
              <w:jc w:val="center"/>
            </w:pPr>
            <w:r w:rsidRPr="001A700B">
              <w:t>Management of QA + QA requirements</w:t>
            </w:r>
            <w:r w:rsidR="005B4C79" w:rsidRPr="001A700B">
              <w:t xml:space="preserve"> + evaluation </w:t>
            </w:r>
          </w:p>
        </w:tc>
        <w:tc>
          <w:tcPr>
            <w:tcW w:w="2254" w:type="dxa"/>
          </w:tcPr>
          <w:p w14:paraId="2E9AF157" w14:textId="0D6FCC0B" w:rsidR="00917D42" w:rsidRPr="001A700B" w:rsidRDefault="00917D42" w:rsidP="002A4107">
            <w:pPr>
              <w:pStyle w:val="Zkladntext"/>
              <w:ind w:firstLine="0"/>
              <w:jc w:val="center"/>
            </w:pPr>
            <w:r w:rsidRPr="001A700B">
              <w:t xml:space="preserve">Management of QA + QA requirements + </w:t>
            </w:r>
            <w:r w:rsidR="005B4C79" w:rsidRPr="001A700B">
              <w:t>evaluation</w:t>
            </w:r>
          </w:p>
        </w:tc>
      </w:tr>
      <w:tr w:rsidR="00917D42" w:rsidRPr="001A700B" w14:paraId="4EE86B24" w14:textId="77777777" w:rsidTr="008042A9">
        <w:tc>
          <w:tcPr>
            <w:tcW w:w="2254" w:type="dxa"/>
          </w:tcPr>
          <w:p w14:paraId="08941AFC" w14:textId="77777777" w:rsidR="00917D42" w:rsidRPr="001A700B" w:rsidRDefault="00917D42" w:rsidP="001E4403">
            <w:pPr>
              <w:pStyle w:val="Zkladntext"/>
              <w:ind w:firstLine="0"/>
            </w:pPr>
          </w:p>
        </w:tc>
        <w:tc>
          <w:tcPr>
            <w:tcW w:w="2254" w:type="dxa"/>
          </w:tcPr>
          <w:p w14:paraId="0ABE91F6" w14:textId="1A1AB84D" w:rsidR="00917D42" w:rsidRPr="001A700B" w:rsidRDefault="00917D42" w:rsidP="002A4107">
            <w:pPr>
              <w:pStyle w:val="Zkladntext"/>
              <w:ind w:firstLine="0"/>
              <w:jc w:val="center"/>
            </w:pPr>
            <w:r w:rsidRPr="001A700B">
              <w:t xml:space="preserve">Draft </w:t>
            </w:r>
            <w:r w:rsidR="00F17732" w:rsidRPr="001A700B">
              <w:t xml:space="preserve">emergency zone </w:t>
            </w:r>
          </w:p>
        </w:tc>
        <w:tc>
          <w:tcPr>
            <w:tcW w:w="2254" w:type="dxa"/>
          </w:tcPr>
          <w:p w14:paraId="4BF23BBF" w14:textId="4ABF09D3" w:rsidR="00917D42" w:rsidRPr="001A700B" w:rsidRDefault="00917D42" w:rsidP="002A4107">
            <w:pPr>
              <w:pStyle w:val="Zkladntext"/>
              <w:ind w:firstLine="0"/>
              <w:jc w:val="center"/>
            </w:pPr>
            <w:r w:rsidRPr="001A700B">
              <w:t xml:space="preserve">Preliminary </w:t>
            </w:r>
            <w:r w:rsidR="00F17732" w:rsidRPr="001A700B">
              <w:t xml:space="preserve">emergency zone </w:t>
            </w:r>
          </w:p>
        </w:tc>
        <w:tc>
          <w:tcPr>
            <w:tcW w:w="2254" w:type="dxa"/>
          </w:tcPr>
          <w:p w14:paraId="26EADCC3" w14:textId="1EA33BBC" w:rsidR="00917D42" w:rsidRPr="001A700B" w:rsidRDefault="00F17732" w:rsidP="002A4107">
            <w:pPr>
              <w:pStyle w:val="Zkladntext"/>
              <w:ind w:firstLine="0"/>
              <w:jc w:val="center"/>
            </w:pPr>
            <w:r w:rsidRPr="001A700B">
              <w:t>Detailed emergency zone  + r</w:t>
            </w:r>
            <w:r w:rsidR="00917D42" w:rsidRPr="001A700B">
              <w:t>egional pu</w:t>
            </w:r>
            <w:r w:rsidRPr="001A700B">
              <w:t>b</w:t>
            </w:r>
            <w:r w:rsidR="00917D42" w:rsidRPr="001A700B">
              <w:t xml:space="preserve">lic protection plan </w:t>
            </w:r>
          </w:p>
        </w:tc>
      </w:tr>
      <w:tr w:rsidR="00917D42" w:rsidRPr="001A700B" w14:paraId="4614B358" w14:textId="77777777" w:rsidTr="008042A9">
        <w:tc>
          <w:tcPr>
            <w:tcW w:w="2254" w:type="dxa"/>
          </w:tcPr>
          <w:p w14:paraId="70EF5AB9" w14:textId="77777777" w:rsidR="00917D42" w:rsidRPr="001A700B" w:rsidRDefault="00917D42" w:rsidP="006D792D">
            <w:pPr>
              <w:pStyle w:val="Zkladntext"/>
              <w:ind w:firstLine="0"/>
            </w:pPr>
          </w:p>
        </w:tc>
        <w:tc>
          <w:tcPr>
            <w:tcW w:w="2254" w:type="dxa"/>
          </w:tcPr>
          <w:p w14:paraId="1F5E9F85" w14:textId="545C6D26" w:rsidR="00917D42" w:rsidRPr="001A700B" w:rsidRDefault="001158CF" w:rsidP="002A4107">
            <w:pPr>
              <w:pStyle w:val="Zkladntext"/>
              <w:ind w:firstLine="0"/>
              <w:jc w:val="center"/>
            </w:pPr>
            <w:r w:rsidRPr="001A700B">
              <w:t>etc.</w:t>
            </w:r>
          </w:p>
        </w:tc>
        <w:tc>
          <w:tcPr>
            <w:tcW w:w="2254" w:type="dxa"/>
          </w:tcPr>
          <w:p w14:paraId="0C1A67A5" w14:textId="36C9D72F" w:rsidR="00917D42" w:rsidRPr="001A700B" w:rsidRDefault="001158CF" w:rsidP="002A4107">
            <w:pPr>
              <w:pStyle w:val="Zkladntext"/>
              <w:ind w:firstLine="0"/>
              <w:jc w:val="center"/>
            </w:pPr>
            <w:r w:rsidRPr="001A700B">
              <w:t>etc.</w:t>
            </w:r>
          </w:p>
        </w:tc>
        <w:tc>
          <w:tcPr>
            <w:tcW w:w="2254" w:type="dxa"/>
          </w:tcPr>
          <w:p w14:paraId="6C06CC80" w14:textId="5F20848B" w:rsidR="00917D42" w:rsidRPr="001A700B" w:rsidRDefault="00F17732" w:rsidP="002A4107">
            <w:pPr>
              <w:pStyle w:val="Zkladntext"/>
              <w:ind w:firstLine="0"/>
              <w:jc w:val="center"/>
            </w:pPr>
            <w:r w:rsidRPr="001A700B">
              <w:t>e</w:t>
            </w:r>
            <w:r w:rsidR="00917D42" w:rsidRPr="001A700B">
              <w:t>tc.</w:t>
            </w:r>
          </w:p>
        </w:tc>
      </w:tr>
    </w:tbl>
    <w:p w14:paraId="2929AEC0" w14:textId="77777777" w:rsidR="00924CFD" w:rsidRPr="001A700B" w:rsidRDefault="00924CFD" w:rsidP="00924CFD">
      <w:pPr>
        <w:pStyle w:val="Zkladntext"/>
      </w:pPr>
    </w:p>
    <w:p w14:paraId="18E1F196" w14:textId="77777777" w:rsidR="002B0A51" w:rsidRPr="001A700B" w:rsidRDefault="002B0A51" w:rsidP="001124ED">
      <w:pPr>
        <w:pStyle w:val="Zkladntext"/>
      </w:pPr>
    </w:p>
    <w:p w14:paraId="5B1ADAFB" w14:textId="3190B013" w:rsidR="00637639" w:rsidRPr="001A700B" w:rsidRDefault="005635D9" w:rsidP="001124ED">
      <w:pPr>
        <w:pStyle w:val="Zkladntext"/>
      </w:pPr>
      <w:r w:rsidRPr="001A700B">
        <w:t>The more advanced the project is the mo</w:t>
      </w:r>
      <w:r w:rsidR="00046DAB" w:rsidRPr="001A700B">
        <w:t>r</w:t>
      </w:r>
      <w:r w:rsidRPr="001A700B">
        <w:t xml:space="preserve">e detailed documentation is required according to the </w:t>
      </w:r>
      <w:r w:rsidR="00046DAB" w:rsidRPr="001A700B">
        <w:t>A</w:t>
      </w:r>
      <w:r w:rsidRPr="001A700B">
        <w:t xml:space="preserve">tomic act. In addition and before the construction starts the Construction </w:t>
      </w:r>
      <w:r w:rsidR="00C26AF7" w:rsidRPr="001A700B">
        <w:t>A</w:t>
      </w:r>
      <w:r w:rsidRPr="001A700B">
        <w:t xml:space="preserve">ct steps into the </w:t>
      </w:r>
      <w:r w:rsidR="001158CF" w:rsidRPr="001A700B">
        <w:t>process.</w:t>
      </w:r>
      <w:r w:rsidRPr="001A700B">
        <w:t xml:space="preserve">  </w:t>
      </w:r>
      <w:r w:rsidR="00046DAB" w:rsidRPr="001A700B">
        <w:t xml:space="preserve">The Construction </w:t>
      </w:r>
      <w:r w:rsidR="00C26AF7" w:rsidRPr="001A700B">
        <w:t>A</w:t>
      </w:r>
      <w:r w:rsidR="00046DAB" w:rsidRPr="001A700B">
        <w:t xml:space="preserve">ct requires to submit design documentation and statements of other involved governmental authorities to the Nuclear Regulatory Authority as the main authority in the construction </w:t>
      </w:r>
      <w:r w:rsidR="001158CF" w:rsidRPr="001A700B">
        <w:t xml:space="preserve">process. </w:t>
      </w:r>
      <w:r w:rsidR="00046DAB" w:rsidRPr="001A700B">
        <w:t xml:space="preserve">This means that the Nuclear Regulatory </w:t>
      </w:r>
      <w:r w:rsidR="001158CF" w:rsidRPr="001A700B">
        <w:t>Authority is</w:t>
      </w:r>
      <w:r w:rsidR="00046DAB" w:rsidRPr="001A700B">
        <w:t xml:space="preserve"> in charge for two licensing </w:t>
      </w:r>
      <w:r w:rsidR="001158CF" w:rsidRPr="001A700B">
        <w:t>processes:</w:t>
      </w:r>
      <w:r w:rsidR="00046DAB" w:rsidRPr="001A700B">
        <w:t xml:space="preserve"> according to the Atomic Act and according to the Construction Act. </w:t>
      </w:r>
      <w:r w:rsidR="00556CF0" w:rsidRPr="001A700B">
        <w:t>Under normal ci</w:t>
      </w:r>
      <w:r w:rsidR="00E92C2A" w:rsidRPr="001A700B">
        <w:t>r</w:t>
      </w:r>
      <w:r w:rsidR="00556CF0" w:rsidRPr="001A700B">
        <w:t xml:space="preserve">cumstances the </w:t>
      </w:r>
      <w:r w:rsidR="00C0137E" w:rsidRPr="001A700B">
        <w:t>approval process for sit</w:t>
      </w:r>
      <w:r w:rsidR="00E92C2A" w:rsidRPr="001A700B">
        <w:t>i</w:t>
      </w:r>
      <w:r w:rsidR="00C0137E" w:rsidRPr="001A700B">
        <w:t xml:space="preserve">ng and construction lasts </w:t>
      </w:r>
      <w:r w:rsidR="00C26AF7" w:rsidRPr="001A700B">
        <w:t xml:space="preserve">up to </w:t>
      </w:r>
      <w:r w:rsidR="00C0137E" w:rsidRPr="001A700B">
        <w:t>12 month each. T</w:t>
      </w:r>
      <w:r w:rsidR="00556CF0" w:rsidRPr="001A700B">
        <w:t xml:space="preserve">his timeframe depends on many factors: completeness of the </w:t>
      </w:r>
      <w:r w:rsidR="001158CF" w:rsidRPr="001A700B">
        <w:t>documentation,</w:t>
      </w:r>
      <w:r w:rsidR="00556CF0" w:rsidRPr="001A700B">
        <w:t xml:space="preserve"> involvement of public</w:t>
      </w:r>
      <w:r w:rsidR="001158CF" w:rsidRPr="001A700B">
        <w:t>, judicial</w:t>
      </w:r>
      <w:r w:rsidR="00556CF0" w:rsidRPr="001A700B">
        <w:t xml:space="preserve"> proceedings etc. </w:t>
      </w:r>
      <w:r w:rsidR="00046DAB" w:rsidRPr="001A700B">
        <w:t xml:space="preserve"> </w:t>
      </w:r>
      <w:r w:rsidR="002A4107" w:rsidRPr="001A700B">
        <w:t xml:space="preserve">These factors can significantly prolong each of </w:t>
      </w:r>
      <w:r w:rsidR="001158CF" w:rsidRPr="001A700B">
        <w:t>the licensing</w:t>
      </w:r>
      <w:r w:rsidR="002A4107" w:rsidRPr="001A700B">
        <w:t xml:space="preserve"> process. </w:t>
      </w:r>
      <w:r w:rsidRPr="001A700B">
        <w:t xml:space="preserve">At present </w:t>
      </w:r>
      <w:r w:rsidR="001158CF" w:rsidRPr="001A700B">
        <w:t>the Construction</w:t>
      </w:r>
      <w:r w:rsidRPr="001A700B">
        <w:t xml:space="preserve"> </w:t>
      </w:r>
      <w:r w:rsidR="002A4107" w:rsidRPr="001A700B">
        <w:t>A</w:t>
      </w:r>
      <w:r w:rsidRPr="001A700B">
        <w:t xml:space="preserve">ct from 1976 is in the process of being significantly revised. </w:t>
      </w:r>
      <w:r w:rsidR="00046DAB" w:rsidRPr="001A700B">
        <w:t xml:space="preserve">This revision also includes specific provisions </w:t>
      </w:r>
      <w:r w:rsidR="001158CF" w:rsidRPr="001A700B">
        <w:t>regarding nuclear</w:t>
      </w:r>
      <w:r w:rsidR="00046DAB" w:rsidRPr="001A700B">
        <w:t xml:space="preserve"> installations. </w:t>
      </w:r>
      <w:r w:rsidRPr="001A700B">
        <w:t xml:space="preserve">The revision started in 2020 and is </w:t>
      </w:r>
      <w:r w:rsidR="001158CF" w:rsidRPr="001A700B">
        <w:t>not finished</w:t>
      </w:r>
      <w:r w:rsidR="00556CF0" w:rsidRPr="001A700B">
        <w:t xml:space="preserve"> yet</w:t>
      </w:r>
      <w:r w:rsidRPr="001A700B">
        <w:t xml:space="preserve">. </w:t>
      </w:r>
      <w:r w:rsidR="002A4107" w:rsidRPr="001A700B">
        <w:t xml:space="preserve"> </w:t>
      </w:r>
      <w:r w:rsidRPr="001A700B">
        <w:t xml:space="preserve">A group of experts have been established to finish the process </w:t>
      </w:r>
      <w:r w:rsidR="00046DAB" w:rsidRPr="001A700B">
        <w:t xml:space="preserve">to have a new legislation for construction by 2025. </w:t>
      </w:r>
      <w:r w:rsidRPr="001A700B">
        <w:t xml:space="preserve"> </w:t>
      </w:r>
      <w:r w:rsidR="003F1EDE" w:rsidRPr="001A700B">
        <w:t>It is difficult to predict to which extent the new construction act will respond to new challenges ste</w:t>
      </w:r>
      <w:r w:rsidR="00C26AF7" w:rsidRPr="001A700B">
        <w:t>m</w:t>
      </w:r>
      <w:r w:rsidR="003F1EDE" w:rsidRPr="001A700B">
        <w:t xml:space="preserve">ming from </w:t>
      </w:r>
      <w:r w:rsidR="00637639" w:rsidRPr="001A700B">
        <w:t xml:space="preserve">innovative reactor designs including SMRs. </w:t>
      </w:r>
    </w:p>
    <w:p w14:paraId="22003324" w14:textId="3CE0E643" w:rsidR="001F0D53" w:rsidRPr="001A700B" w:rsidRDefault="005635D9" w:rsidP="00537496">
      <w:pPr>
        <w:pStyle w:val="Zkladntext"/>
      </w:pPr>
      <w:r w:rsidRPr="001A700B">
        <w:t xml:space="preserve"> </w:t>
      </w:r>
      <w:r w:rsidR="00D86AA8" w:rsidRPr="001A700B">
        <w:t xml:space="preserve">The legal and regulatory framework for the safety of nuclear </w:t>
      </w:r>
      <w:r w:rsidR="001158CF" w:rsidRPr="001A700B">
        <w:t>installations is</w:t>
      </w:r>
      <w:r w:rsidR="00D86AA8" w:rsidRPr="001A700B">
        <w:t xml:space="preserve"> mainly based on IAEA Safety standards and WENRA Reference levels. </w:t>
      </w:r>
      <w:r w:rsidR="001124ED" w:rsidRPr="001A700B">
        <w:t>There is a mature legal and regulatory framework for current technologies but the challenge might be for innovative and new technologies that are first of its kind</w:t>
      </w:r>
      <w:r w:rsidR="001158CF" w:rsidRPr="001A700B">
        <w:t>, which</w:t>
      </w:r>
      <w:r w:rsidR="001124ED" w:rsidRPr="001A700B">
        <w:t xml:space="preserve"> do not </w:t>
      </w:r>
      <w:r w:rsidR="001158CF" w:rsidRPr="001A700B">
        <w:t>have operating</w:t>
      </w:r>
      <w:r w:rsidR="001124ED" w:rsidRPr="001A700B">
        <w:t xml:space="preserve"> records and there is no experience with the licensing. In addition </w:t>
      </w:r>
      <w:r w:rsidR="001158CF" w:rsidRPr="001A700B">
        <w:t>it is</w:t>
      </w:r>
      <w:r w:rsidR="001124ED" w:rsidRPr="001A700B">
        <w:t xml:space="preserve"> a particula</w:t>
      </w:r>
      <w:r w:rsidR="001A700B" w:rsidRPr="001A700B">
        <w:t>r</w:t>
      </w:r>
      <w:r w:rsidR="001124ED" w:rsidRPr="001A700B">
        <w:t xml:space="preserve"> challenge when the technology is of a kind which is </w:t>
      </w:r>
      <w:r w:rsidR="001158CF" w:rsidRPr="001A700B">
        <w:t>not a</w:t>
      </w:r>
      <w:r w:rsidR="001124ED" w:rsidRPr="001A700B">
        <w:t xml:space="preserve"> light water technology. In Slovakia the present nuclear power technology is based on pressurised water technology and the </w:t>
      </w:r>
      <w:r w:rsidR="001158CF" w:rsidRPr="001A700B">
        <w:t>legal framework</w:t>
      </w:r>
      <w:r w:rsidR="001124ED" w:rsidRPr="001A700B">
        <w:t xml:space="preserve"> was </w:t>
      </w:r>
      <w:r w:rsidR="00C26AF7" w:rsidRPr="001A700B">
        <w:t xml:space="preserve">developed </w:t>
      </w:r>
      <w:r w:rsidR="001124ED" w:rsidRPr="001A700B">
        <w:t xml:space="preserve">and is applied for such kind of technology. </w:t>
      </w:r>
    </w:p>
    <w:p w14:paraId="1A0876A4" w14:textId="64B67F9D" w:rsidR="0003552F" w:rsidRPr="001A700B" w:rsidRDefault="001F0D53" w:rsidP="00537496">
      <w:pPr>
        <w:pStyle w:val="Zkladntext"/>
      </w:pPr>
      <w:r w:rsidRPr="001A700B">
        <w:t xml:space="preserve">In many countries a so </w:t>
      </w:r>
      <w:r w:rsidR="001158CF" w:rsidRPr="001A700B">
        <w:t>called pre</w:t>
      </w:r>
      <w:r w:rsidRPr="001A700B">
        <w:t xml:space="preserve"> licensing processes is e introduced with the aim to ease the introduction of new nuclear technologies and ease the safety </w:t>
      </w:r>
      <w:r w:rsidR="00CC7B4B" w:rsidRPr="001A700B">
        <w:t xml:space="preserve">review and </w:t>
      </w:r>
      <w:r w:rsidRPr="001A700B">
        <w:t xml:space="preserve">assessment during </w:t>
      </w:r>
      <w:r w:rsidR="001158CF" w:rsidRPr="001A700B">
        <w:t>the licensing</w:t>
      </w:r>
      <w:r w:rsidRPr="001A700B">
        <w:t xml:space="preserve"> process.  </w:t>
      </w:r>
      <w:r w:rsidR="007E132F" w:rsidRPr="001A700B">
        <w:t xml:space="preserve">The legal framework </w:t>
      </w:r>
      <w:r w:rsidRPr="001A700B">
        <w:t xml:space="preserve">in Slovakia </w:t>
      </w:r>
      <w:r w:rsidR="007E132F" w:rsidRPr="001A700B">
        <w:t xml:space="preserve">does </w:t>
      </w:r>
      <w:r w:rsidR="001158CF" w:rsidRPr="001A700B">
        <w:t>not recognize</w:t>
      </w:r>
      <w:r w:rsidR="007E132F" w:rsidRPr="001A700B">
        <w:t xml:space="preserve"> any kind of pre-licensing procedure </w:t>
      </w:r>
      <w:r w:rsidRPr="001A700B">
        <w:t>bu</w:t>
      </w:r>
      <w:r w:rsidR="00CC7B4B" w:rsidRPr="001A700B">
        <w:t>t</w:t>
      </w:r>
      <w:r w:rsidRPr="001A700B">
        <w:t xml:space="preserve"> might be considered in future. </w:t>
      </w:r>
      <w:r w:rsidR="007E132F" w:rsidRPr="001A700B">
        <w:t xml:space="preserve"> </w:t>
      </w:r>
    </w:p>
    <w:p w14:paraId="4E494C1E" w14:textId="31C5D4A6" w:rsidR="002307B3" w:rsidRPr="001A700B" w:rsidRDefault="002307B3" w:rsidP="00537496">
      <w:pPr>
        <w:pStyle w:val="Zkladntext"/>
      </w:pPr>
    </w:p>
    <w:p w14:paraId="0D7BAE30" w14:textId="77777777" w:rsidR="002307B3" w:rsidRPr="001A700B" w:rsidRDefault="002307B3" w:rsidP="00537496">
      <w:pPr>
        <w:pStyle w:val="Zkladntext"/>
        <w:rPr>
          <w:highlight w:val="yellow"/>
        </w:rPr>
      </w:pPr>
    </w:p>
    <w:p w14:paraId="01D4FBD8" w14:textId="2E0BFA1D" w:rsidR="0003552F" w:rsidRPr="001A700B" w:rsidRDefault="0003552F" w:rsidP="00AC6BB8">
      <w:pPr>
        <w:pStyle w:val="Nadpis2"/>
        <w:numPr>
          <w:ilvl w:val="0"/>
          <w:numId w:val="0"/>
        </w:numPr>
        <w:rPr>
          <w:b/>
          <w:caps w:val="0"/>
          <w:highlight w:val="yellow"/>
        </w:rPr>
      </w:pPr>
      <w:r w:rsidRPr="001A700B">
        <w:rPr>
          <w:b/>
        </w:rPr>
        <w:t>3</w:t>
      </w:r>
      <w:r w:rsidR="00AC6BB8" w:rsidRPr="001A700B">
        <w:rPr>
          <w:b/>
        </w:rPr>
        <w:t>.</w:t>
      </w:r>
      <w:r w:rsidR="00AC6BB8" w:rsidRPr="001A700B">
        <w:rPr>
          <w:b/>
          <w:caps w:val="0"/>
        </w:rPr>
        <w:t>3</w:t>
      </w:r>
      <w:r w:rsidRPr="001A700B">
        <w:rPr>
          <w:b/>
          <w:caps w:val="0"/>
        </w:rPr>
        <w:t xml:space="preserve"> </w:t>
      </w:r>
      <w:r w:rsidR="00AC6BB8" w:rsidRPr="001A700B">
        <w:rPr>
          <w:b/>
          <w:caps w:val="0"/>
        </w:rPr>
        <w:t xml:space="preserve">  Aspects of sit</w:t>
      </w:r>
      <w:r w:rsidR="00695C3C" w:rsidRPr="001A700B">
        <w:rPr>
          <w:b/>
          <w:caps w:val="0"/>
        </w:rPr>
        <w:t>i</w:t>
      </w:r>
      <w:r w:rsidR="00AC6BB8" w:rsidRPr="001A700B">
        <w:rPr>
          <w:b/>
          <w:caps w:val="0"/>
        </w:rPr>
        <w:t xml:space="preserve">ng  </w:t>
      </w:r>
    </w:p>
    <w:p w14:paraId="78E18854" w14:textId="3CBAFD12" w:rsidR="000572CC" w:rsidRPr="001A700B" w:rsidRDefault="00695C3C" w:rsidP="007C0A08">
      <w:pPr>
        <w:pStyle w:val="Zkladntext"/>
      </w:pPr>
      <w:r w:rsidRPr="001A700B">
        <w:t xml:space="preserve">In </w:t>
      </w:r>
      <w:r w:rsidR="001158CF" w:rsidRPr="001A700B">
        <w:t>Slovakia there</w:t>
      </w:r>
      <w:r w:rsidR="007C0A08" w:rsidRPr="001A700B">
        <w:t xml:space="preserve"> are two siting procedures applicable for nuclear power plants. One siting procedure is according to the Atomi</w:t>
      </w:r>
      <w:r w:rsidR="00732150" w:rsidRPr="001A700B">
        <w:t>c</w:t>
      </w:r>
      <w:r w:rsidR="007C0A08" w:rsidRPr="001A700B">
        <w:t xml:space="preserve"> Act and the second procedure is according to the </w:t>
      </w:r>
      <w:r w:rsidR="00C26AF7" w:rsidRPr="001A700B">
        <w:t>Construction Act</w:t>
      </w:r>
      <w:r w:rsidRPr="001A700B">
        <w:t xml:space="preserve">. </w:t>
      </w:r>
      <w:r w:rsidR="00C26AF7" w:rsidRPr="001A700B">
        <w:t xml:space="preserve"> </w:t>
      </w:r>
      <w:r w:rsidR="00732150" w:rsidRPr="001A700B">
        <w:t xml:space="preserve">In addition to these acts </w:t>
      </w:r>
      <w:r w:rsidR="001158CF" w:rsidRPr="001A700B">
        <w:t>the Decree</w:t>
      </w:r>
      <w:r w:rsidR="00732150" w:rsidRPr="001A700B">
        <w:t xml:space="preserve"> of the Nuclear Regulatory Authority of the Slovak Republic No. 430/ 2011 Coll. on nuclear safety requirements </w:t>
      </w:r>
      <w:r w:rsidR="00C26AF7" w:rsidRPr="001A700B">
        <w:t>is applied</w:t>
      </w:r>
      <w:r w:rsidRPr="001A700B">
        <w:t xml:space="preserve"> for any kind of nuclear installations</w:t>
      </w:r>
      <w:r w:rsidR="00C26AF7" w:rsidRPr="001A700B">
        <w:t xml:space="preserve">. </w:t>
      </w:r>
      <w:r w:rsidR="00732150" w:rsidRPr="001A700B">
        <w:t xml:space="preserve"> </w:t>
      </w:r>
      <w:r w:rsidRPr="001A700B">
        <w:t xml:space="preserve">This Decree </w:t>
      </w:r>
      <w:r w:rsidR="001158CF" w:rsidRPr="001A700B">
        <w:t>specifies the</w:t>
      </w:r>
      <w:r w:rsidRPr="001A700B">
        <w:t xml:space="preserve"> type of assessments to be performed for </w:t>
      </w:r>
      <w:r w:rsidR="001158CF" w:rsidRPr="001A700B">
        <w:t>the selected</w:t>
      </w:r>
      <w:r w:rsidR="00732150" w:rsidRPr="001A700B">
        <w:t xml:space="preserve"> </w:t>
      </w:r>
      <w:r w:rsidR="001158CF" w:rsidRPr="001A700B">
        <w:t>site and</w:t>
      </w:r>
      <w:r w:rsidR="00732150" w:rsidRPr="001A700B">
        <w:t xml:space="preserve"> it shall include</w:t>
      </w:r>
      <w:r w:rsidRPr="001A700B">
        <w:t xml:space="preserve"> e.g.</w:t>
      </w:r>
      <w:r w:rsidR="00C26AF7" w:rsidRPr="001A700B">
        <w:t xml:space="preserve">: </w:t>
      </w:r>
    </w:p>
    <w:p w14:paraId="3EEDC155" w14:textId="0D9EAB21" w:rsidR="00462B1A" w:rsidRPr="001A700B" w:rsidRDefault="00732150" w:rsidP="00695C3C">
      <w:pPr>
        <w:pStyle w:val="Zkladntext"/>
        <w:numPr>
          <w:ilvl w:val="0"/>
          <w:numId w:val="45"/>
        </w:numPr>
      </w:pPr>
      <w:r w:rsidRPr="001A700B">
        <w:t xml:space="preserve"> probabilistic analysis of seismic threat </w:t>
      </w:r>
      <w:r w:rsidR="00E92C2A" w:rsidRPr="001A700B">
        <w:t>(PSHA)</w:t>
      </w:r>
      <w:r w:rsidR="003C49CE" w:rsidRPr="001A700B">
        <w:t>;</w:t>
      </w:r>
      <w:r w:rsidRPr="001A700B">
        <w:t xml:space="preserve"> </w:t>
      </w:r>
    </w:p>
    <w:p w14:paraId="1E27EFAC" w14:textId="4D743DDD" w:rsidR="00462B1A" w:rsidRPr="001A700B" w:rsidRDefault="00732150" w:rsidP="00695C3C">
      <w:pPr>
        <w:pStyle w:val="Zkladntext"/>
        <w:numPr>
          <w:ilvl w:val="0"/>
          <w:numId w:val="45"/>
        </w:numPr>
      </w:pPr>
      <w:r w:rsidRPr="001A700B">
        <w:t xml:space="preserve"> assessment of seismic and geological conditions in the region and of engineering-geological aspects and geo-technical aspects of the proposed site</w:t>
      </w:r>
      <w:r w:rsidR="003C49CE" w:rsidRPr="001A700B">
        <w:t>;</w:t>
      </w:r>
    </w:p>
    <w:p w14:paraId="58663F51" w14:textId="4BDD295C" w:rsidR="007C0A08" w:rsidRPr="001A700B" w:rsidRDefault="001158CF" w:rsidP="00695C3C">
      <w:pPr>
        <w:pStyle w:val="Zkladntext"/>
        <w:numPr>
          <w:ilvl w:val="0"/>
          <w:numId w:val="45"/>
        </w:numPr>
      </w:pPr>
      <w:r w:rsidRPr="001A700B">
        <w:t>The</w:t>
      </w:r>
      <w:r w:rsidR="00732150" w:rsidRPr="001A700B">
        <w:t xml:space="preserve"> assessment of a threat due to earthquake induced ground </w:t>
      </w:r>
      <w:r w:rsidRPr="001A700B">
        <w:t>motions etc</w:t>
      </w:r>
      <w:r w:rsidR="000572CC" w:rsidRPr="001A700B">
        <w:t xml:space="preserve">. </w:t>
      </w:r>
    </w:p>
    <w:p w14:paraId="5D54F28D" w14:textId="0FA9F5CA" w:rsidR="000572CC" w:rsidRPr="001A700B" w:rsidRDefault="000572CC" w:rsidP="00695C3C">
      <w:pPr>
        <w:pStyle w:val="Zkladntext"/>
        <w:ind w:firstLine="0"/>
        <w:rPr>
          <w:highlight w:val="yellow"/>
        </w:rPr>
      </w:pPr>
      <w:r w:rsidRPr="001A700B">
        <w:t xml:space="preserve">Regardless </w:t>
      </w:r>
      <w:r w:rsidR="003C49CE" w:rsidRPr="001A700B">
        <w:t xml:space="preserve">of </w:t>
      </w:r>
      <w:r w:rsidRPr="001A700B">
        <w:t xml:space="preserve">the results of analyses carried out according to the </w:t>
      </w:r>
      <w:r w:rsidR="001158CF" w:rsidRPr="001A700B">
        <w:t>above the</w:t>
      </w:r>
      <w:r w:rsidRPr="001A700B">
        <w:t xml:space="preserve"> minimum level of seismic loading of the site determined for siting of the nuclear installation shall be represented by a horizontal free field standardized response spectrum corresponding to peak ground acceleration value equal to 0.1g. </w:t>
      </w:r>
    </w:p>
    <w:p w14:paraId="7DF0099E" w14:textId="326809D1" w:rsidR="000572CC" w:rsidRPr="001A700B" w:rsidRDefault="000572CC" w:rsidP="00537496">
      <w:pPr>
        <w:pStyle w:val="Zkladntext"/>
      </w:pPr>
      <w:r w:rsidRPr="001A700B">
        <w:t xml:space="preserve">Area features which </w:t>
      </w:r>
      <w:r w:rsidR="001158CF" w:rsidRPr="001A700B">
        <w:t>exclude the</w:t>
      </w:r>
      <w:r w:rsidRPr="001A700B">
        <w:t xml:space="preserve"> siting of nuclear installations   </w:t>
      </w:r>
      <w:r w:rsidR="00462B1A" w:rsidRPr="001A700B">
        <w:t xml:space="preserve">when </w:t>
      </w:r>
      <w:r w:rsidRPr="001A700B">
        <w:t xml:space="preserve">it is not possible to ensure </w:t>
      </w:r>
      <w:r w:rsidR="00462B1A" w:rsidRPr="001A700B">
        <w:t>during operation, abnormal operation or in the event of a nuclear or radiological emergency e.g.:</w:t>
      </w:r>
      <w:r w:rsidRPr="001A700B">
        <w:t xml:space="preserve"> </w:t>
      </w:r>
    </w:p>
    <w:p w14:paraId="3490B9EC" w14:textId="3BBE1A5E" w:rsidR="00FC4F9E" w:rsidRPr="001A700B" w:rsidRDefault="000572CC" w:rsidP="003C49CE">
      <w:pPr>
        <w:pStyle w:val="Zkladntext"/>
        <w:numPr>
          <w:ilvl w:val="0"/>
          <w:numId w:val="46"/>
        </w:numPr>
      </w:pPr>
      <w:r w:rsidRPr="001A700B">
        <w:t xml:space="preserve">to keep </w:t>
      </w:r>
      <w:r w:rsidR="00462B1A" w:rsidRPr="001A700B">
        <w:t xml:space="preserve">the </w:t>
      </w:r>
      <w:r w:rsidRPr="001A700B">
        <w:t xml:space="preserve"> established radiation doses</w:t>
      </w:r>
      <w:r w:rsidR="003C49CE" w:rsidRPr="001A700B">
        <w:t>;</w:t>
      </w:r>
    </w:p>
    <w:p w14:paraId="3D01EB23" w14:textId="68F5D214" w:rsidR="000572CC" w:rsidRPr="001A700B" w:rsidRDefault="000572CC" w:rsidP="003C49CE">
      <w:pPr>
        <w:pStyle w:val="Zkladntext"/>
        <w:numPr>
          <w:ilvl w:val="0"/>
          <w:numId w:val="46"/>
        </w:numPr>
      </w:pPr>
      <w:r w:rsidRPr="001A700B">
        <w:t>protection of life, health and property against consequences of extraordinary events</w:t>
      </w:r>
      <w:r w:rsidR="003C49CE" w:rsidRPr="001A700B">
        <w:t>;</w:t>
      </w:r>
      <w:r w:rsidR="00C26AF7" w:rsidRPr="001A700B">
        <w:t xml:space="preserve"> </w:t>
      </w:r>
      <w:r w:rsidRPr="001A700B">
        <w:t xml:space="preserve"> </w:t>
      </w:r>
    </w:p>
    <w:p w14:paraId="5FE56BD7" w14:textId="5DCA73E0" w:rsidR="000572CC" w:rsidRPr="001A700B" w:rsidRDefault="001158CF" w:rsidP="003C49CE">
      <w:pPr>
        <w:pStyle w:val="Zkladntext"/>
        <w:numPr>
          <w:ilvl w:val="0"/>
          <w:numId w:val="46"/>
        </w:numPr>
      </w:pPr>
      <w:r w:rsidRPr="001A700B">
        <w:t>Protection</w:t>
      </w:r>
      <w:r w:rsidR="000572CC" w:rsidRPr="001A700B">
        <w:t xml:space="preserve"> against harmful effects of extreme weather conditions and floods </w:t>
      </w:r>
      <w:r w:rsidR="003C49CE" w:rsidRPr="001A700B">
        <w:t>etc.</w:t>
      </w:r>
    </w:p>
    <w:p w14:paraId="61AD867B" w14:textId="6FF5BD29" w:rsidR="002B0A51" w:rsidRPr="001A700B" w:rsidRDefault="00D86AA8" w:rsidP="00537496">
      <w:pPr>
        <w:pStyle w:val="Zkladntext"/>
      </w:pPr>
      <w:r w:rsidRPr="001A700B">
        <w:t xml:space="preserve"> </w:t>
      </w:r>
      <w:r w:rsidR="000572CC" w:rsidRPr="001A700B">
        <w:t xml:space="preserve">In addition areas are excluded which inter alia  extends into a protective zone </w:t>
      </w:r>
      <w:r w:rsidR="00AA172D" w:rsidRPr="001A700B">
        <w:t>of</w:t>
      </w:r>
      <w:r w:rsidR="000572CC" w:rsidRPr="001A700B">
        <w:t xml:space="preserve"> industrial or other economic structures </w:t>
      </w:r>
      <w:r w:rsidR="00AA172D" w:rsidRPr="001A700B">
        <w:t xml:space="preserve">(e.g. chemical factory) </w:t>
      </w:r>
      <w:r w:rsidR="000572CC" w:rsidRPr="001A700B">
        <w:t xml:space="preserve">with which there may be undesirable operational clashes </w:t>
      </w:r>
      <w:r w:rsidR="00AE4998" w:rsidRPr="001A700B">
        <w:t xml:space="preserve">and the </w:t>
      </w:r>
      <w:r w:rsidR="000572CC" w:rsidRPr="001A700B">
        <w:t xml:space="preserve"> population density and distribution in the area </w:t>
      </w:r>
      <w:r w:rsidR="00983723" w:rsidRPr="001A700B">
        <w:t xml:space="preserve">does not ensures an </w:t>
      </w:r>
      <w:r w:rsidR="000572CC" w:rsidRPr="001A700B">
        <w:t xml:space="preserve"> effective use of emergency preparedness measures possible</w:t>
      </w:r>
      <w:r w:rsidR="00983723" w:rsidRPr="001A700B">
        <w:t>.</w:t>
      </w:r>
      <w:r w:rsidRPr="001A700B">
        <w:t xml:space="preserve">  </w:t>
      </w:r>
      <w:r w:rsidR="00AE4998" w:rsidRPr="001A700B">
        <w:t xml:space="preserve">In parallel to the requirement of effective emergency preparedness the present practice is that </w:t>
      </w:r>
      <w:r w:rsidR="001158CF" w:rsidRPr="001A700B">
        <w:t>emergency planning</w:t>
      </w:r>
      <w:r w:rsidR="000E39E6" w:rsidRPr="001A700B">
        <w:t xml:space="preserve"> zones are planned aroun</w:t>
      </w:r>
      <w:r w:rsidR="00983723" w:rsidRPr="001A700B">
        <w:t>d</w:t>
      </w:r>
      <w:r w:rsidR="000E39E6" w:rsidRPr="001A700B">
        <w:t xml:space="preserve"> nuclear installations. In the case of nuclear power plants the planning zones </w:t>
      </w:r>
      <w:r w:rsidR="00983723" w:rsidRPr="001A700B">
        <w:t xml:space="preserve">(EPZ) </w:t>
      </w:r>
      <w:r w:rsidR="000E39E6" w:rsidRPr="001A700B">
        <w:t xml:space="preserve">are 20 km for the </w:t>
      </w:r>
      <w:r w:rsidR="00AA172D" w:rsidRPr="001A700B">
        <w:t>M</w:t>
      </w:r>
      <w:r w:rsidR="000E39E6" w:rsidRPr="001A700B">
        <w:t xml:space="preserve">ochovce </w:t>
      </w:r>
      <w:r w:rsidR="00983723" w:rsidRPr="001A700B">
        <w:t xml:space="preserve">nuclear power plant (NPP) </w:t>
      </w:r>
      <w:r w:rsidR="000E39E6" w:rsidRPr="001A700B">
        <w:t xml:space="preserve">site and 21 km for the </w:t>
      </w:r>
      <w:r w:rsidR="00AA172D" w:rsidRPr="001A700B">
        <w:t>B</w:t>
      </w:r>
      <w:r w:rsidR="000E39E6" w:rsidRPr="001A700B">
        <w:t xml:space="preserve">ohunice </w:t>
      </w:r>
      <w:r w:rsidR="00983723" w:rsidRPr="001A700B">
        <w:t>NPP</w:t>
      </w:r>
      <w:r w:rsidR="000E39E6" w:rsidRPr="001A700B">
        <w:t xml:space="preserve">.  </w:t>
      </w:r>
      <w:r w:rsidR="00786E6A" w:rsidRPr="001A700B">
        <w:t xml:space="preserve">In the case of other nuclear installations the emergency planning zone is delineated by the physical boundaries of </w:t>
      </w:r>
      <w:r w:rsidR="001158CF" w:rsidRPr="001A700B">
        <w:t>the nuclear</w:t>
      </w:r>
      <w:r w:rsidR="00786E6A" w:rsidRPr="001A700B">
        <w:t xml:space="preserve"> installation</w:t>
      </w:r>
      <w:r w:rsidR="00983723" w:rsidRPr="001A700B">
        <w:t>.</w:t>
      </w:r>
      <w:r w:rsidR="001505DE" w:rsidRPr="001A700B">
        <w:t xml:space="preserve"> </w:t>
      </w:r>
      <w:r w:rsidR="00601752" w:rsidRPr="001A700B">
        <w:t xml:space="preserve"> </w:t>
      </w:r>
      <w:r w:rsidR="00786E6A" w:rsidRPr="001A700B">
        <w:t xml:space="preserve">. The bases for </w:t>
      </w:r>
      <w:r w:rsidR="001158CF" w:rsidRPr="001A700B">
        <w:t>EPZ are</w:t>
      </w:r>
      <w:r w:rsidR="00786E6A" w:rsidRPr="001A700B">
        <w:t xml:space="preserve"> </w:t>
      </w:r>
      <w:r w:rsidR="001158CF" w:rsidRPr="001A700B">
        <w:t>the classification</w:t>
      </w:r>
      <w:r w:rsidR="00680752" w:rsidRPr="001A700B">
        <w:t xml:space="preserve"> of the event</w:t>
      </w:r>
      <w:r w:rsidR="001505DE" w:rsidRPr="001A700B">
        <w:t>s</w:t>
      </w:r>
      <w:r w:rsidR="00680752" w:rsidRPr="001A700B">
        <w:t xml:space="preserve"> at the nuclear installation and in the case of an incident or accident, the method of determining the degree of its severity and expected development over time</w:t>
      </w:r>
      <w:r w:rsidR="00983723" w:rsidRPr="001A700B">
        <w:t>.</w:t>
      </w:r>
      <w:r w:rsidR="00680752" w:rsidRPr="001A700B">
        <w:t xml:space="preserve"> </w:t>
      </w:r>
      <w:r w:rsidR="00601752" w:rsidRPr="001A700B">
        <w:t>During the administrative procedure i</w:t>
      </w:r>
      <w:r w:rsidR="001505DE" w:rsidRPr="001A700B">
        <w:t>t is up to the licensee (not of the designer</w:t>
      </w:r>
      <w:r w:rsidR="00983723" w:rsidRPr="001A700B">
        <w:t xml:space="preserve"> or supplier</w:t>
      </w:r>
      <w:r w:rsidR="001158CF" w:rsidRPr="001A700B">
        <w:t>) to</w:t>
      </w:r>
      <w:r w:rsidR="001505DE" w:rsidRPr="001A700B">
        <w:t xml:space="preserve"> propose the emergency planning zone which is then subject to review by the responsible regulatory authorities. </w:t>
      </w:r>
    </w:p>
    <w:p w14:paraId="54F82293" w14:textId="77777777" w:rsidR="00B061D3" w:rsidRDefault="00601752" w:rsidP="00537496">
      <w:pPr>
        <w:pStyle w:val="Zkladntext"/>
      </w:pPr>
      <w:r w:rsidRPr="00166B7C">
        <w:t xml:space="preserve">The present situation in Slovakia is that the minimum EPZ for nuclear power plants is 5km regardless of the size or type of the NPP. </w:t>
      </w:r>
      <w:r w:rsidR="00983723" w:rsidRPr="00166B7C">
        <w:t xml:space="preserve">There is an important incentive for the surrounding.  </w:t>
      </w:r>
      <w:r w:rsidR="00166B7C" w:rsidRPr="00166B7C">
        <w:t>Municipalities (v</w:t>
      </w:r>
      <w:r w:rsidRPr="00166B7C">
        <w:t>illages or towns</w:t>
      </w:r>
      <w:r w:rsidR="00166B7C" w:rsidRPr="00166B7C">
        <w:t>)</w:t>
      </w:r>
      <w:r w:rsidRPr="00166B7C">
        <w:t xml:space="preserve"> which falls within th</w:t>
      </w:r>
      <w:r w:rsidR="00983723" w:rsidRPr="00166B7C">
        <w:t>e</w:t>
      </w:r>
      <w:r w:rsidRPr="00166B7C">
        <w:t xml:space="preserve"> </w:t>
      </w:r>
      <w:r w:rsidR="001158CF" w:rsidRPr="00166B7C">
        <w:t>territory</w:t>
      </w:r>
      <w:r w:rsidR="005247B8" w:rsidRPr="00166B7C">
        <w:t xml:space="preserve"> of the </w:t>
      </w:r>
      <w:r w:rsidR="001158CF" w:rsidRPr="00166B7C">
        <w:t>EPZ are</w:t>
      </w:r>
      <w:r w:rsidRPr="00166B7C">
        <w:t xml:space="preserve"> entitled to </w:t>
      </w:r>
      <w:r w:rsidR="001158CF" w:rsidRPr="00166B7C">
        <w:t>receive financial</w:t>
      </w:r>
      <w:r w:rsidRPr="00166B7C">
        <w:t xml:space="preserve"> compensation</w:t>
      </w:r>
      <w:r w:rsidR="005247B8" w:rsidRPr="00166B7C">
        <w:t xml:space="preserve">. This financial compensation will not be </w:t>
      </w:r>
      <w:r w:rsidR="001158CF" w:rsidRPr="00166B7C">
        <w:t>available in</w:t>
      </w:r>
      <w:r w:rsidR="005247B8" w:rsidRPr="00166B7C">
        <w:t xml:space="preserve"> case </w:t>
      </w:r>
      <w:r w:rsidR="001158CF" w:rsidRPr="00166B7C">
        <w:t>when the</w:t>
      </w:r>
      <w:r w:rsidR="005247B8" w:rsidRPr="00166B7C">
        <w:t xml:space="preserve"> EPZ of the nuclear power plant </w:t>
      </w:r>
      <w:r w:rsidR="005D07A5" w:rsidRPr="00166B7C">
        <w:t xml:space="preserve">like a SMR </w:t>
      </w:r>
      <w:r w:rsidR="005247B8" w:rsidRPr="00166B7C">
        <w:t xml:space="preserve">is reduced to the boundaries of the installation. This could create difficulties in   attracting the siting </w:t>
      </w:r>
      <w:r w:rsidRPr="00166B7C">
        <w:t xml:space="preserve">  </w:t>
      </w:r>
      <w:r w:rsidR="005247B8" w:rsidRPr="00166B7C">
        <w:t xml:space="preserve">of a SMR close to an inhabited area. </w:t>
      </w:r>
      <w:r w:rsidR="00CD107D" w:rsidRPr="00166B7C">
        <w:t>Acco</w:t>
      </w:r>
      <w:r w:rsidR="00782B5B" w:rsidRPr="00166B7C">
        <w:t>r</w:t>
      </w:r>
      <w:r w:rsidR="00CD107D" w:rsidRPr="00166B7C">
        <w:t xml:space="preserve">ding to the Act on local </w:t>
      </w:r>
      <w:r w:rsidR="00782B5B" w:rsidRPr="00166B7C">
        <w:t xml:space="preserve">taxes </w:t>
      </w:r>
      <w:r w:rsidR="00AB2D0E" w:rsidRPr="00166B7C">
        <w:t xml:space="preserve">municipality to whose cadastral territory the nuclear facility </w:t>
      </w:r>
      <w:r w:rsidR="00166B7C" w:rsidRPr="00166B7C">
        <w:t xml:space="preserve">is sited </w:t>
      </w:r>
      <w:r w:rsidR="00782B5B" w:rsidRPr="00166B7C">
        <w:t xml:space="preserve">is entitled to collect </w:t>
      </w:r>
      <w:proofErr w:type="gramStart"/>
      <w:r w:rsidR="00782B5B" w:rsidRPr="00166B7C">
        <w:t>taxes .</w:t>
      </w:r>
      <w:proofErr w:type="gramEnd"/>
      <w:r w:rsidR="00782B5B" w:rsidRPr="00166B7C">
        <w:t xml:space="preserve"> This is a regular tax applied to any property. These two incomes the one coming from the emergency planning zone and the other one from </w:t>
      </w:r>
      <w:r w:rsidR="00AB2D0E" w:rsidRPr="00166B7C">
        <w:t xml:space="preserve">the property </w:t>
      </w:r>
      <w:r w:rsidR="00782B5B" w:rsidRPr="00166B7C">
        <w:t>tax</w:t>
      </w:r>
      <w:r w:rsidR="00AB2D0E" w:rsidRPr="00166B7C">
        <w:t>e</w:t>
      </w:r>
      <w:r w:rsidR="00782B5B" w:rsidRPr="00166B7C">
        <w:t xml:space="preserve">s  represent a significant income for the development of the </w:t>
      </w:r>
      <w:r w:rsidR="00166B7C" w:rsidRPr="00166B7C">
        <w:t xml:space="preserve">municipality.  </w:t>
      </w:r>
    </w:p>
    <w:p w14:paraId="7133987E" w14:textId="5EBB5D53" w:rsidR="00BB15E0" w:rsidRPr="001A700B" w:rsidRDefault="009522A3" w:rsidP="00537496">
      <w:pPr>
        <w:pStyle w:val="Zkladntext"/>
      </w:pPr>
      <w:r w:rsidRPr="00166B7C">
        <w:t>An additional aspect is the siting and emergency preparedness for a single NPP with mult</w:t>
      </w:r>
      <w:r w:rsidR="005247B8" w:rsidRPr="00166B7C">
        <w:t>i</w:t>
      </w:r>
      <w:r w:rsidRPr="00166B7C">
        <w:t xml:space="preserve"> reactor modul</w:t>
      </w:r>
      <w:r w:rsidR="005D07A5" w:rsidRPr="00166B7C">
        <w:t>e</w:t>
      </w:r>
      <w:r w:rsidRPr="00166B7C">
        <w:t xml:space="preserve">s with shared structures. With such a solution </w:t>
      </w:r>
      <w:r w:rsidR="005247B8" w:rsidRPr="00166B7C">
        <w:t>S</w:t>
      </w:r>
      <w:r w:rsidRPr="00166B7C">
        <w:t>lovakia</w:t>
      </w:r>
      <w:r w:rsidR="001805B7" w:rsidRPr="00166B7C">
        <w:t xml:space="preserve">´s  </w:t>
      </w:r>
      <w:r w:rsidRPr="00166B7C">
        <w:t xml:space="preserve"> experience is that when to </w:t>
      </w:r>
      <w:r w:rsidR="001158CF" w:rsidRPr="00166B7C">
        <w:t>the existing</w:t>
      </w:r>
      <w:r w:rsidRPr="00166B7C">
        <w:t xml:space="preserve"> </w:t>
      </w:r>
      <w:r w:rsidR="00DC3787" w:rsidRPr="00166B7C">
        <w:t>units</w:t>
      </w:r>
      <w:r w:rsidRPr="00166B7C">
        <w:t xml:space="preserve"> additional reactors are added then the emergency planning zone of the original unit will be changed to accommodate the additional unit and in this case there will be a common EPZ for </w:t>
      </w:r>
      <w:r w:rsidR="00DC3787" w:rsidRPr="00166B7C">
        <w:t xml:space="preserve">all units for </w:t>
      </w:r>
      <w:r w:rsidRPr="00166B7C">
        <w:t>a single licensee. If the licensee will be a different company a specific EPZ will</w:t>
      </w:r>
      <w:r w:rsidRPr="001A700B">
        <w:t xml:space="preserve"> be established for the new units</w:t>
      </w:r>
      <w:r w:rsidR="005D07A5" w:rsidRPr="001A700B">
        <w:t>/licensee</w:t>
      </w:r>
      <w:r w:rsidRPr="001A700B">
        <w:t xml:space="preserve">. </w:t>
      </w:r>
    </w:p>
    <w:p w14:paraId="1BF84250" w14:textId="2C716FFF" w:rsidR="00D86AA8" w:rsidRPr="001A700B" w:rsidRDefault="00D419DD" w:rsidP="00537496">
      <w:pPr>
        <w:pStyle w:val="Zkladntext"/>
      </w:pPr>
      <w:r w:rsidRPr="001A700B">
        <w:t xml:space="preserve">As regards radiation protection the legal framework is based on IAEA GSR Part 7 and </w:t>
      </w:r>
      <w:r w:rsidR="001158CF" w:rsidRPr="001A700B">
        <w:t>the EU</w:t>
      </w:r>
      <w:r w:rsidRPr="001A700B">
        <w:t xml:space="preserve"> Directive 2013/59/</w:t>
      </w:r>
      <w:proofErr w:type="spellStart"/>
      <w:r w:rsidR="001158CF" w:rsidRPr="001A700B">
        <w:t>E</w:t>
      </w:r>
      <w:r w:rsidR="001158CF">
        <w:t>u</w:t>
      </w:r>
      <w:r w:rsidR="001158CF" w:rsidRPr="001A700B">
        <w:t>rat</w:t>
      </w:r>
      <w:r w:rsidR="001158CF">
        <w:t>o</w:t>
      </w:r>
      <w:r w:rsidR="001158CF" w:rsidRPr="001A700B">
        <w:t>m</w:t>
      </w:r>
      <w:proofErr w:type="spellEnd"/>
      <w:r w:rsidRPr="001A700B">
        <w:t xml:space="preserve"> laying down basic safety standards for protection against the dangers arising from exposure to ionising radiation</w:t>
      </w:r>
      <w:r w:rsidR="00BB15E0" w:rsidRPr="001A700B">
        <w:t xml:space="preserve"> transposed   by the Act 87/2018 on Radiation </w:t>
      </w:r>
      <w:r w:rsidR="00997ACB" w:rsidRPr="001A700B">
        <w:t>P</w:t>
      </w:r>
      <w:r w:rsidR="00BB15E0" w:rsidRPr="001A700B">
        <w:t xml:space="preserve">rotection. </w:t>
      </w:r>
      <w:r w:rsidRPr="001A700B">
        <w:t xml:space="preserve">Dose limits are established for occupational exposure, </w:t>
      </w:r>
      <w:r w:rsidR="00753002" w:rsidRPr="001A700B">
        <w:t xml:space="preserve">dose limits for pregnant and breastfeeding </w:t>
      </w:r>
      <w:r w:rsidR="001158CF" w:rsidRPr="001A700B">
        <w:t>workers,</w:t>
      </w:r>
      <w:r w:rsidR="00753002" w:rsidRPr="001A700B">
        <w:t xml:space="preserve"> </w:t>
      </w:r>
      <w:r w:rsidRPr="001A700B">
        <w:t>dose limits for apprentices and students</w:t>
      </w:r>
      <w:r w:rsidR="004672D6" w:rsidRPr="001A700B">
        <w:t xml:space="preserve"> (who, in the course of their studies, are obliged to work with radiation </w:t>
      </w:r>
      <w:r w:rsidR="001158CF" w:rsidRPr="001A700B">
        <w:t>sources)</w:t>
      </w:r>
      <w:r w:rsidRPr="001A700B">
        <w:t xml:space="preserve"> and </w:t>
      </w:r>
      <w:r w:rsidR="004672D6" w:rsidRPr="001A700B">
        <w:t xml:space="preserve">dose limits for public </w:t>
      </w:r>
      <w:r w:rsidR="001158CF" w:rsidRPr="001A700B">
        <w:t xml:space="preserve">exposure. </w:t>
      </w:r>
      <w:r w:rsidR="004672D6" w:rsidRPr="001A700B">
        <w:t xml:space="preserve">For the </w:t>
      </w:r>
      <w:r w:rsidR="00BB15E0" w:rsidRPr="001A700B">
        <w:t xml:space="preserve">public </w:t>
      </w:r>
      <w:r w:rsidR="001158CF" w:rsidRPr="001A700B">
        <w:t>exposure for</w:t>
      </w:r>
      <w:r w:rsidR="00997ACB" w:rsidRPr="001A700B">
        <w:t xml:space="preserve"> example </w:t>
      </w:r>
      <w:r w:rsidR="004672D6" w:rsidRPr="001A700B">
        <w:t>the limit on the effective dose for public exposure is 1 mSv in a year</w:t>
      </w:r>
      <w:r w:rsidR="00997ACB" w:rsidRPr="001A700B">
        <w:t xml:space="preserve">. </w:t>
      </w:r>
      <w:r w:rsidR="004672D6" w:rsidRPr="001A700B">
        <w:t xml:space="preserve"> The dose limits for the public are not established for a </w:t>
      </w:r>
      <w:r w:rsidR="001158CF" w:rsidRPr="001A700B">
        <w:t>specific technology</w:t>
      </w:r>
      <w:r w:rsidR="00753002" w:rsidRPr="001A700B">
        <w:t xml:space="preserve">/nuclear power </w:t>
      </w:r>
      <w:r w:rsidR="001158CF" w:rsidRPr="001A700B">
        <w:t>plant but</w:t>
      </w:r>
      <w:r w:rsidR="004672D6" w:rsidRPr="001A700B">
        <w:t xml:space="preserve"> in general </w:t>
      </w:r>
      <w:r w:rsidRPr="001A700B">
        <w:t xml:space="preserve">  </w:t>
      </w:r>
      <w:r w:rsidR="004672D6" w:rsidRPr="001A700B">
        <w:t xml:space="preserve">on annual exposures of a member of the public resulting from all authorised practices. </w:t>
      </w:r>
      <w:r w:rsidR="00753002" w:rsidRPr="001A700B">
        <w:t xml:space="preserve"> Specific category is represented by emergency occupational exposure. </w:t>
      </w:r>
    </w:p>
    <w:p w14:paraId="04CD41AD" w14:textId="27815E70" w:rsidR="00753002" w:rsidRPr="001A700B" w:rsidRDefault="00997ACB" w:rsidP="00537496">
      <w:pPr>
        <w:pStyle w:val="Zkladntext"/>
      </w:pPr>
      <w:r w:rsidRPr="001A700B">
        <w:t>T</w:t>
      </w:r>
      <w:r w:rsidR="00753002" w:rsidRPr="001A700B">
        <w:t xml:space="preserve">here are different aspects to be considered when a nuclear power plant like a SMR is sited. Some of those criteria for </w:t>
      </w:r>
      <w:r w:rsidR="001158CF" w:rsidRPr="001A700B">
        <w:t>example the</w:t>
      </w:r>
      <w:r w:rsidR="00753002" w:rsidRPr="001A700B">
        <w:t xml:space="preserve"> minimum emergency planning zone of 5 km might be reviewed in light of the design information provided. </w:t>
      </w:r>
      <w:r w:rsidRPr="001A700B">
        <w:t xml:space="preserve">On the other hand the incentives for the surrounding </w:t>
      </w:r>
      <w:r w:rsidR="001158CF" w:rsidRPr="001A700B">
        <w:t>villages should</w:t>
      </w:r>
      <w:r w:rsidRPr="001A700B">
        <w:t xml:space="preserve"> be kept in mind. In </w:t>
      </w:r>
      <w:r w:rsidR="001158CF" w:rsidRPr="001A700B">
        <w:t>addition the</w:t>
      </w:r>
      <w:r w:rsidR="00472D86" w:rsidRPr="001A700B">
        <w:t xml:space="preserve"> modular character of SMRs is also an important aspect to be considered. It </w:t>
      </w:r>
      <w:r w:rsidR="001158CF" w:rsidRPr="001A700B">
        <w:t>might happen</w:t>
      </w:r>
      <w:r w:rsidR="00472D86" w:rsidRPr="001A700B">
        <w:t xml:space="preserve"> that at the beginning of the project only 1 or 2 modules are considered. Later on additional reactor modules might be considered at the same site. </w:t>
      </w:r>
      <w:r w:rsidR="001158CF" w:rsidRPr="001A700B">
        <w:t>This gradually</w:t>
      </w:r>
      <w:r w:rsidR="00472D86" w:rsidRPr="001A700B">
        <w:t xml:space="preserve"> </w:t>
      </w:r>
      <w:r w:rsidR="001158CF" w:rsidRPr="001A700B">
        <w:t>increasing number</w:t>
      </w:r>
      <w:r w:rsidR="00472D86" w:rsidRPr="001A700B">
        <w:t xml:space="preserve"> might also have impact on the originally expected impacts</w:t>
      </w:r>
      <w:r w:rsidRPr="001A700B">
        <w:t xml:space="preserve"> on the surrounding. </w:t>
      </w:r>
      <w:r w:rsidR="00472D86" w:rsidRPr="001A700B">
        <w:t xml:space="preserve"> It is therefor important to have a clear </w:t>
      </w:r>
      <w:r w:rsidR="00F87E37" w:rsidRPr="001A700B">
        <w:t xml:space="preserve">picture </w:t>
      </w:r>
      <w:r w:rsidR="00E16272" w:rsidRPr="001A700B">
        <w:t xml:space="preserve">beforehand </w:t>
      </w:r>
      <w:r w:rsidR="00472D86" w:rsidRPr="001A700B">
        <w:t xml:space="preserve">on the </w:t>
      </w:r>
      <w:r w:rsidR="001158CF" w:rsidRPr="001A700B">
        <w:t>number of</w:t>
      </w:r>
      <w:r w:rsidR="00472D86" w:rsidRPr="001A700B">
        <w:t xml:space="preserve"> modules to be sited and constructed on one site. </w:t>
      </w:r>
    </w:p>
    <w:p w14:paraId="4664A49D" w14:textId="6852B327" w:rsidR="00EC63DB" w:rsidRPr="001A700B" w:rsidRDefault="002B0A51" w:rsidP="00F87E37">
      <w:pPr>
        <w:pStyle w:val="Zkladntext"/>
      </w:pPr>
      <w:r w:rsidRPr="001A700B">
        <w:t xml:space="preserve">As regards safety objectives the present EU </w:t>
      </w:r>
      <w:r w:rsidR="00EC63DB" w:rsidRPr="001A700B">
        <w:t xml:space="preserve">legal framework </w:t>
      </w:r>
      <w:r w:rsidRPr="001A700B">
        <w:t xml:space="preserve">and national </w:t>
      </w:r>
      <w:r w:rsidR="00EC63DB" w:rsidRPr="001A700B">
        <w:t>legal framework requires that</w:t>
      </w:r>
      <w:r w:rsidR="00F87E37" w:rsidRPr="001A700B">
        <w:t xml:space="preserve"> </w:t>
      </w:r>
      <w:r w:rsidR="00EC63DB" w:rsidRPr="001A700B">
        <w:t xml:space="preserve">nuclear installations are </w:t>
      </w:r>
      <w:r w:rsidR="00F87E37" w:rsidRPr="001A700B">
        <w:t xml:space="preserve">sited, </w:t>
      </w:r>
      <w:r w:rsidR="00EC63DB" w:rsidRPr="001A700B">
        <w:t xml:space="preserve">designed, constructed, commissioned, operated and decommissioned with the objective of preventing accidents and, should an accident occur, mitigating its consequences and avoiding: </w:t>
      </w:r>
    </w:p>
    <w:p w14:paraId="2640B323" w14:textId="4C0B56E6" w:rsidR="00EC63DB" w:rsidRPr="001A700B" w:rsidRDefault="00EC63DB" w:rsidP="00F87E37">
      <w:pPr>
        <w:pStyle w:val="Zkladntext"/>
        <w:numPr>
          <w:ilvl w:val="0"/>
          <w:numId w:val="48"/>
        </w:numPr>
      </w:pPr>
      <w:r w:rsidRPr="001A700B">
        <w:t xml:space="preserve">early radioactive releases that would require off-site emergency measures but with insufficient time to implement them; </w:t>
      </w:r>
    </w:p>
    <w:p w14:paraId="48D6436E" w14:textId="2C6EA12E" w:rsidR="00472D86" w:rsidRPr="001A700B" w:rsidRDefault="001158CF" w:rsidP="00F87E37">
      <w:pPr>
        <w:pStyle w:val="Zkladntext"/>
        <w:numPr>
          <w:ilvl w:val="0"/>
          <w:numId w:val="48"/>
        </w:numPr>
      </w:pPr>
      <w:r w:rsidRPr="001A700B">
        <w:t>Large</w:t>
      </w:r>
      <w:r w:rsidR="00EC63DB" w:rsidRPr="001A700B">
        <w:t xml:space="preserve"> radioactive releases that would require protective measures that could not be limited in area or time.</w:t>
      </w:r>
    </w:p>
    <w:p w14:paraId="4E939AD0" w14:textId="7B13C7FB" w:rsidR="00472D86" w:rsidRPr="001A700B" w:rsidRDefault="00EC63DB" w:rsidP="00537496">
      <w:pPr>
        <w:pStyle w:val="Zkladntext"/>
      </w:pPr>
      <w:r w:rsidRPr="001A700B">
        <w:t xml:space="preserve">Taking into account that SMR and other innovative </w:t>
      </w:r>
      <w:r w:rsidR="001158CF" w:rsidRPr="001A700B">
        <w:t>reactors might</w:t>
      </w:r>
      <w:r w:rsidRPr="001A700B">
        <w:t xml:space="preserve"> be sited in a dens</w:t>
      </w:r>
      <w:r w:rsidR="003A16ED" w:rsidRPr="001A700B">
        <w:t>e</w:t>
      </w:r>
      <w:r w:rsidRPr="001A700B">
        <w:t xml:space="preserve">ly </w:t>
      </w:r>
      <w:r w:rsidR="00745F2C" w:rsidRPr="001A700B">
        <w:t>inhabited area these safety objective</w:t>
      </w:r>
      <w:r w:rsidR="008042A9" w:rsidRPr="001A700B">
        <w:t>s</w:t>
      </w:r>
      <w:r w:rsidR="00745F2C" w:rsidRPr="001A700B">
        <w:t xml:space="preserve"> should </w:t>
      </w:r>
      <w:r w:rsidR="001158CF" w:rsidRPr="001A700B">
        <w:t>be complemented</w:t>
      </w:r>
      <w:r w:rsidR="00E9296F" w:rsidRPr="001A700B">
        <w:t>/</w:t>
      </w:r>
      <w:r w:rsidR="001158CF" w:rsidRPr="001A700B">
        <w:t>strengthened by</w:t>
      </w:r>
      <w:r w:rsidR="00745F2C" w:rsidRPr="001A700B">
        <w:t xml:space="preserve"> measures which would give sufficient assurance to the </w:t>
      </w:r>
      <w:r w:rsidR="001158CF" w:rsidRPr="001A700B">
        <w:t>public that</w:t>
      </w:r>
      <w:r w:rsidR="00745F2C" w:rsidRPr="001A700B">
        <w:t xml:space="preserve"> there is no negative impact of the operation in the short or long term </w:t>
      </w:r>
      <w:r w:rsidR="001158CF" w:rsidRPr="001A700B">
        <w:t>and no</w:t>
      </w:r>
      <w:r w:rsidR="00745F2C" w:rsidRPr="001A700B">
        <w:t xml:space="preserve"> short or long term protective measures will be necessary in the case of a severe accident because such scenarios </w:t>
      </w:r>
      <w:r w:rsidR="00F87E37" w:rsidRPr="001A700B">
        <w:t xml:space="preserve">for example </w:t>
      </w:r>
      <w:r w:rsidR="00745F2C" w:rsidRPr="001A700B">
        <w:t>are practica</w:t>
      </w:r>
      <w:r w:rsidR="007F2AC1" w:rsidRPr="001A700B">
        <w:t>l</w:t>
      </w:r>
      <w:r w:rsidR="00745F2C" w:rsidRPr="001A700B">
        <w:t xml:space="preserve">ly eliminated.  </w:t>
      </w:r>
    </w:p>
    <w:p w14:paraId="6832E32F" w14:textId="19690978" w:rsidR="007F2AC1" w:rsidRPr="001A700B" w:rsidRDefault="007F2AC1" w:rsidP="00537496">
      <w:pPr>
        <w:pStyle w:val="Zkladntext"/>
      </w:pPr>
    </w:p>
    <w:p w14:paraId="173E9DB7" w14:textId="29EAE6B5" w:rsidR="007F2AC1" w:rsidRPr="001A700B" w:rsidRDefault="00AC6BB8" w:rsidP="00402232">
      <w:pPr>
        <w:pStyle w:val="Zkladntext"/>
        <w:ind w:firstLine="0"/>
      </w:pPr>
      <w:r w:rsidRPr="001A700B">
        <w:rPr>
          <w:smallCaps/>
        </w:rPr>
        <w:t xml:space="preserve">4.  </w:t>
      </w:r>
      <w:r w:rsidR="007F2AC1" w:rsidRPr="001A700B">
        <w:rPr>
          <w:smallCaps/>
        </w:rPr>
        <w:t xml:space="preserve">The </w:t>
      </w:r>
      <w:r w:rsidR="00402232" w:rsidRPr="001A700B">
        <w:rPr>
          <w:smallCaps/>
        </w:rPr>
        <w:t xml:space="preserve">new Policy, </w:t>
      </w:r>
      <w:r w:rsidR="001158CF" w:rsidRPr="001A700B">
        <w:rPr>
          <w:smallCaps/>
        </w:rPr>
        <w:t>PRINCIPLES AND</w:t>
      </w:r>
      <w:r w:rsidR="00402232" w:rsidRPr="001A700B">
        <w:rPr>
          <w:smallCaps/>
        </w:rPr>
        <w:t xml:space="preserve"> Strategy for the Safe Use of Nuclear Energy </w:t>
      </w:r>
    </w:p>
    <w:p w14:paraId="7C825633" w14:textId="1184B313" w:rsidR="007F2AC1" w:rsidRPr="001A700B" w:rsidRDefault="007F2AC1" w:rsidP="00537496">
      <w:pPr>
        <w:pStyle w:val="Zkladntext"/>
      </w:pPr>
    </w:p>
    <w:p w14:paraId="032DCBC3" w14:textId="6DD48F6C" w:rsidR="000E53E0" w:rsidRPr="001A700B" w:rsidRDefault="008042A9" w:rsidP="000E53E0">
      <w:pPr>
        <w:pStyle w:val="Zkladntext"/>
      </w:pPr>
      <w:r w:rsidRPr="001A700B">
        <w:t xml:space="preserve">In 2014 the government adopted the </w:t>
      </w:r>
      <w:r w:rsidR="001158CF" w:rsidRPr="001A700B">
        <w:t>Policy,</w:t>
      </w:r>
      <w:r w:rsidRPr="001A700B">
        <w:t xml:space="preserve"> principles and strategy for further development of nuclear safety. </w:t>
      </w:r>
      <w:r w:rsidR="00F219DF" w:rsidRPr="001A700B">
        <w:t>In 202</w:t>
      </w:r>
      <w:r w:rsidR="0006505B" w:rsidRPr="001A700B">
        <w:t xml:space="preserve">4 the government requested the </w:t>
      </w:r>
      <w:r w:rsidR="001A700B" w:rsidRPr="001A700B">
        <w:t>chairperson</w:t>
      </w:r>
      <w:r w:rsidR="0006505B" w:rsidRPr="001A700B">
        <w:t xml:space="preserve"> of </w:t>
      </w:r>
      <w:r w:rsidR="001158CF" w:rsidRPr="001A700B">
        <w:t>the nuclear</w:t>
      </w:r>
      <w:r w:rsidR="00F219DF" w:rsidRPr="001A700B">
        <w:t xml:space="preserve"> </w:t>
      </w:r>
      <w:r w:rsidR="0006505B" w:rsidRPr="001A700B">
        <w:t>r</w:t>
      </w:r>
      <w:r w:rsidR="00F219DF" w:rsidRPr="001A700B">
        <w:t xml:space="preserve">egulatory </w:t>
      </w:r>
      <w:r w:rsidR="0006505B" w:rsidRPr="001A700B">
        <w:t xml:space="preserve">to prepare a new Policy, principles and strategy of the safe use of nuclear energy by the end of November 2024. This new Policy, principles and strategy of the safe use of nuclear energy  will take </w:t>
      </w:r>
      <w:r w:rsidR="00F219DF" w:rsidRPr="001A700B">
        <w:t xml:space="preserve">  into account the developments </w:t>
      </w:r>
      <w:r w:rsidR="00C639DE" w:rsidRPr="001A700B">
        <w:t xml:space="preserve">and experiences  </w:t>
      </w:r>
      <w:r w:rsidR="00F219DF" w:rsidRPr="001A700B">
        <w:t xml:space="preserve">during the previous decade and having a </w:t>
      </w:r>
      <w:r w:rsidR="00C639DE" w:rsidRPr="001A700B">
        <w:t xml:space="preserve">holistic approach </w:t>
      </w:r>
      <w:r w:rsidR="00F219DF" w:rsidRPr="001A700B">
        <w:t xml:space="preserve"> for the coming years in the safe use of nuclear energy</w:t>
      </w:r>
      <w:r w:rsidR="0036514A" w:rsidRPr="001A700B">
        <w:t xml:space="preserve"> in all areas where nuclear energy is used  (energy, health, research, industry etc.) </w:t>
      </w:r>
      <w:r w:rsidR="00F219DF" w:rsidRPr="001A700B">
        <w:t xml:space="preserve">. </w:t>
      </w:r>
      <w:r w:rsidR="00FC0576" w:rsidRPr="001A700B">
        <w:t xml:space="preserve">Due consideration </w:t>
      </w:r>
      <w:r w:rsidR="001158CF" w:rsidRPr="001A700B">
        <w:t>is given</w:t>
      </w:r>
      <w:r w:rsidR="00FC0576" w:rsidRPr="001A700B">
        <w:t xml:space="preserve"> to innovative nuclear reactors including SMR. </w:t>
      </w:r>
      <w:r w:rsidR="000E53E0" w:rsidRPr="001A700B">
        <w:t xml:space="preserve">When formulating the Policy, principles and strategy </w:t>
      </w:r>
      <w:r w:rsidR="001158CF" w:rsidRPr="001A700B">
        <w:t>the IAEA</w:t>
      </w:r>
      <w:r w:rsidR="000E53E0" w:rsidRPr="001A700B">
        <w:t xml:space="preserve"> </w:t>
      </w:r>
      <w:r w:rsidR="0036514A" w:rsidRPr="001A700B">
        <w:t>F</w:t>
      </w:r>
      <w:r w:rsidR="000E53E0" w:rsidRPr="001A700B">
        <w:t xml:space="preserve">undamental safety principles and </w:t>
      </w:r>
      <w:r w:rsidR="0036514A" w:rsidRPr="001A700B">
        <w:t xml:space="preserve">relevant </w:t>
      </w:r>
      <w:r w:rsidR="000E53E0" w:rsidRPr="001A700B">
        <w:t xml:space="preserve">national strategic documents were taken into account </w:t>
      </w:r>
      <w:r w:rsidR="001158CF" w:rsidRPr="001A700B">
        <w:t>like:</w:t>
      </w:r>
    </w:p>
    <w:p w14:paraId="0EEEAB78" w14:textId="77777777" w:rsidR="000E53E0" w:rsidRPr="001A700B" w:rsidRDefault="000E53E0" w:rsidP="000E53E0">
      <w:pPr>
        <w:pStyle w:val="Zkladntext"/>
      </w:pPr>
    </w:p>
    <w:p w14:paraId="7534D3D7" w14:textId="1F06030E" w:rsidR="000E53E0" w:rsidRPr="001A700B" w:rsidRDefault="000E53E0" w:rsidP="00D75535">
      <w:pPr>
        <w:pStyle w:val="Zkladntext"/>
        <w:numPr>
          <w:ilvl w:val="0"/>
          <w:numId w:val="41"/>
        </w:numPr>
        <w:ind w:left="709" w:hanging="283"/>
      </w:pPr>
      <w:r w:rsidRPr="001A700B">
        <w:t xml:space="preserve"> Energy Security Strategy of the Slovak Republic </w:t>
      </w:r>
    </w:p>
    <w:p w14:paraId="207BF509" w14:textId="7CF14F3F" w:rsidR="000E53E0" w:rsidRPr="001A700B" w:rsidRDefault="000E53E0" w:rsidP="00D75535">
      <w:pPr>
        <w:pStyle w:val="Zkladntext"/>
        <w:numPr>
          <w:ilvl w:val="0"/>
          <w:numId w:val="41"/>
        </w:numPr>
        <w:ind w:left="709" w:hanging="283"/>
      </w:pPr>
      <w:r w:rsidRPr="001A700B">
        <w:t xml:space="preserve"> Integrated national energy and climate plan for the years 2021-2030, </w:t>
      </w:r>
    </w:p>
    <w:p w14:paraId="4E742DBD" w14:textId="2BE3C40A" w:rsidR="000E53E0" w:rsidRPr="001A700B" w:rsidRDefault="000E53E0" w:rsidP="00D75535">
      <w:pPr>
        <w:pStyle w:val="Zkladntext"/>
        <w:numPr>
          <w:ilvl w:val="0"/>
          <w:numId w:val="41"/>
        </w:numPr>
        <w:ind w:left="709" w:hanging="283"/>
      </w:pPr>
      <w:r w:rsidRPr="001A700B">
        <w:t xml:space="preserve"> Economic policy strategy until 2030.</w:t>
      </w:r>
    </w:p>
    <w:p w14:paraId="5A0B92D6" w14:textId="042133A4" w:rsidR="000E53E0" w:rsidRPr="001A700B" w:rsidRDefault="000E53E0" w:rsidP="00D75535">
      <w:pPr>
        <w:pStyle w:val="Zkladntext"/>
        <w:numPr>
          <w:ilvl w:val="0"/>
          <w:numId w:val="41"/>
        </w:numPr>
        <w:ind w:left="709" w:hanging="283"/>
      </w:pPr>
      <w:r w:rsidRPr="001A700B">
        <w:t xml:space="preserve"> Proposal for a research and innovation strategy for intelligent specialization of the Slovak Republic 2021-2027</w:t>
      </w:r>
    </w:p>
    <w:p w14:paraId="090CFA28" w14:textId="242BE2C8" w:rsidR="000E53E0" w:rsidRPr="001A700B" w:rsidRDefault="000E53E0" w:rsidP="00D75535">
      <w:pPr>
        <w:pStyle w:val="Zkladntext"/>
        <w:numPr>
          <w:ilvl w:val="0"/>
          <w:numId w:val="41"/>
        </w:numPr>
        <w:ind w:left="709" w:hanging="283"/>
      </w:pPr>
      <w:r w:rsidRPr="001A700B">
        <w:t xml:space="preserve"> Greener Slovakia – Strategy of the Slovak Environmental Policy until 2030, </w:t>
      </w:r>
    </w:p>
    <w:p w14:paraId="2AD69F38" w14:textId="66289859" w:rsidR="007F2AC1" w:rsidRPr="001A700B" w:rsidRDefault="000E53E0" w:rsidP="00D75535">
      <w:pPr>
        <w:pStyle w:val="Zkladntext"/>
        <w:numPr>
          <w:ilvl w:val="0"/>
          <w:numId w:val="41"/>
        </w:numPr>
        <w:ind w:left="709" w:hanging="283"/>
      </w:pPr>
      <w:r w:rsidRPr="001A700B">
        <w:t xml:space="preserve"> Occupational health and safety strategy for 2021-2027 </w:t>
      </w:r>
    </w:p>
    <w:p w14:paraId="1FAB6646" w14:textId="53B6F1B1" w:rsidR="0036514A" w:rsidRPr="001A700B" w:rsidRDefault="0036514A" w:rsidP="00D75535">
      <w:pPr>
        <w:pStyle w:val="Zkladntext"/>
        <w:ind w:firstLine="426"/>
      </w:pPr>
      <w:r w:rsidRPr="001A700B">
        <w:t xml:space="preserve">The document </w:t>
      </w:r>
      <w:r w:rsidR="00D75535" w:rsidRPr="001A700B">
        <w:t xml:space="preserve">might </w:t>
      </w:r>
      <w:r w:rsidRPr="001A700B">
        <w:t xml:space="preserve">include an action plan </w:t>
      </w:r>
      <w:r w:rsidR="001158CF" w:rsidRPr="001A700B">
        <w:t>for 2024</w:t>
      </w:r>
      <w:r w:rsidR="00FC0576" w:rsidRPr="001A700B">
        <w:t>-2030 with a view to 2040</w:t>
      </w:r>
      <w:r w:rsidRPr="001A700B">
        <w:t xml:space="preserve"> to </w:t>
      </w:r>
      <w:r w:rsidR="00C639DE" w:rsidRPr="001A700B">
        <w:t xml:space="preserve">assure a holistic approach </w:t>
      </w:r>
      <w:r w:rsidRPr="001A700B">
        <w:t>in the safe use of nuclear energy</w:t>
      </w:r>
      <w:r w:rsidR="00FC0576" w:rsidRPr="001A700B">
        <w:t xml:space="preserve">. These proposed actions concerns the review of existing legal framework, research and development activities, education and human resources development and others. The document is still in the phase of preparation with a view to submit it to the government by the end of November 2024.   </w:t>
      </w:r>
    </w:p>
    <w:p w14:paraId="74786EF7" w14:textId="77777777" w:rsidR="001D488B" w:rsidRDefault="001D488B" w:rsidP="00AC6BB8">
      <w:pPr>
        <w:pStyle w:val="Zkladntext"/>
        <w:ind w:firstLine="0"/>
      </w:pPr>
    </w:p>
    <w:p w14:paraId="356B90C1" w14:textId="73BB5352" w:rsidR="00AC6BB8" w:rsidRPr="001D488B" w:rsidRDefault="00AC6BB8" w:rsidP="00AC6BB8">
      <w:pPr>
        <w:pStyle w:val="Zkladntext"/>
        <w:ind w:firstLine="0"/>
        <w:rPr>
          <w:smallCaps/>
        </w:rPr>
      </w:pPr>
      <w:r w:rsidRPr="001D488B">
        <w:rPr>
          <w:smallCaps/>
        </w:rPr>
        <w:t xml:space="preserve">5.  Conclusion </w:t>
      </w:r>
    </w:p>
    <w:p w14:paraId="106B755D" w14:textId="77777777" w:rsidR="00AC6BB8" w:rsidRPr="001A700B" w:rsidRDefault="00AC6BB8" w:rsidP="00537496">
      <w:pPr>
        <w:pStyle w:val="Zkladntext"/>
      </w:pPr>
    </w:p>
    <w:p w14:paraId="3C79B530" w14:textId="42292A08" w:rsidR="00AB17AF" w:rsidRPr="001A700B" w:rsidRDefault="00AC6BB8" w:rsidP="00537496">
      <w:pPr>
        <w:pStyle w:val="Zkladntext"/>
      </w:pPr>
      <w:r w:rsidRPr="001A700B">
        <w:t xml:space="preserve">The present legal and regulatory framework is characterised by a complex structure of regulatory institutions in a complex legal framework. A number of regulatory institutions regulating different aspects of the safe use of nuclear energy. At present the regulatory and legal framework </w:t>
      </w:r>
      <w:r w:rsidR="001158CF" w:rsidRPr="001A700B">
        <w:t>is built</w:t>
      </w:r>
      <w:r w:rsidRPr="001A700B">
        <w:t xml:space="preserve"> on the assumption that the pres</w:t>
      </w:r>
      <w:r w:rsidR="00D75535" w:rsidRPr="001A700B">
        <w:t>s</w:t>
      </w:r>
      <w:r w:rsidRPr="001A700B">
        <w:t>uri</w:t>
      </w:r>
      <w:r w:rsidR="00D75535" w:rsidRPr="001A700B">
        <w:t>s</w:t>
      </w:r>
      <w:r w:rsidRPr="001A700B">
        <w:t xml:space="preserve">ed water technology will be </w:t>
      </w:r>
      <w:r w:rsidR="001158CF" w:rsidRPr="001A700B">
        <w:t xml:space="preserve">used. </w:t>
      </w:r>
      <w:r w:rsidRPr="001A700B">
        <w:t xml:space="preserve">This is also the case for the near future for the planned nuclear power plants. </w:t>
      </w:r>
      <w:r w:rsidR="001676D2" w:rsidRPr="001A700B">
        <w:t xml:space="preserve">Despite the fact that the legal and regulatory framework reached an advanced stage in accordance with international best practices and in accordance with EU legal framework some aspects like  siting and design needs further attention when new </w:t>
      </w:r>
      <w:r w:rsidR="001676D2" w:rsidRPr="00E71740">
        <w:t xml:space="preserve">innovative technologies like SMR will be introduced. The </w:t>
      </w:r>
      <w:r w:rsidR="00880901" w:rsidRPr="00E71740">
        <w:t xml:space="preserve">possible </w:t>
      </w:r>
      <w:r w:rsidR="001676D2" w:rsidRPr="00E71740">
        <w:t>vicinity of the installation to a dens</w:t>
      </w:r>
      <w:r w:rsidR="00BD547F" w:rsidRPr="00E71740">
        <w:t>e</w:t>
      </w:r>
      <w:r w:rsidR="00AB17AF" w:rsidRPr="00E71740">
        <w:t>l</w:t>
      </w:r>
      <w:r w:rsidR="001676D2" w:rsidRPr="00E71740">
        <w:t xml:space="preserve">y inhabited area represent a particularly sensitive issue considering the present practice in relation to design requirements and emergency preparedness.  </w:t>
      </w:r>
      <w:r w:rsidR="00B061D3" w:rsidRPr="00E71740">
        <w:t xml:space="preserve">Due account should be given to </w:t>
      </w:r>
      <w:r w:rsidR="00E71740" w:rsidRPr="00E71740">
        <w:t xml:space="preserve">the legitimate </w:t>
      </w:r>
      <w:proofErr w:type="gramStart"/>
      <w:r w:rsidR="00E71740" w:rsidRPr="00E71740">
        <w:t xml:space="preserve">interest </w:t>
      </w:r>
      <w:r w:rsidR="00B061D3" w:rsidRPr="00E71740">
        <w:t xml:space="preserve"> of</w:t>
      </w:r>
      <w:proofErr w:type="gramEnd"/>
      <w:r w:rsidR="00B061D3" w:rsidRPr="00E71740">
        <w:t xml:space="preserve"> municipalities </w:t>
      </w:r>
      <w:r w:rsidR="00E71740" w:rsidRPr="00E71740">
        <w:t xml:space="preserve">for example in considering financial or other incentives. </w:t>
      </w:r>
      <w:r w:rsidR="00BD547F" w:rsidRPr="00E71740">
        <w:t xml:space="preserve">As regards, new and innovative technologies like SMRs the present legal framework in relation to safety objectives might be reviewed and revised. </w:t>
      </w:r>
      <w:bookmarkStart w:id="0" w:name="_GoBack"/>
      <w:bookmarkEnd w:id="0"/>
    </w:p>
    <w:p w14:paraId="1317C92B" w14:textId="77777777" w:rsidR="00AB17AF" w:rsidRPr="001A700B" w:rsidRDefault="00AB17AF" w:rsidP="00537496">
      <w:pPr>
        <w:pStyle w:val="Zkladntext"/>
      </w:pPr>
    </w:p>
    <w:p w14:paraId="53374755" w14:textId="77777777" w:rsidR="00AB17AF" w:rsidRPr="001A700B" w:rsidRDefault="00AB17AF" w:rsidP="00537496">
      <w:pPr>
        <w:pStyle w:val="Zkladntext"/>
      </w:pPr>
    </w:p>
    <w:p w14:paraId="773C7FB8" w14:textId="77777777" w:rsidR="00AB17AF" w:rsidRPr="001A700B" w:rsidRDefault="00AB17AF" w:rsidP="00AB17AF">
      <w:pPr>
        <w:pStyle w:val="Otherunnumberedheadings"/>
      </w:pPr>
      <w:r w:rsidRPr="001A700B">
        <w:t>References</w:t>
      </w:r>
    </w:p>
    <w:p w14:paraId="66FCAE40" w14:textId="77777777" w:rsidR="00AB17AF" w:rsidRPr="001A700B" w:rsidRDefault="00AB17AF" w:rsidP="00AB17AF">
      <w:pPr>
        <w:pStyle w:val="Referencelist"/>
      </w:pPr>
      <w:r w:rsidRPr="001A700B">
        <w:t xml:space="preserve">Convention on Access to Information, Public Participation in Decision-making and Access to Justice in Environmental Matters.  </w:t>
      </w:r>
    </w:p>
    <w:p w14:paraId="0702338B" w14:textId="64595690" w:rsidR="00AB17AF" w:rsidRPr="001A700B" w:rsidRDefault="00AB17AF" w:rsidP="00DD5ACA">
      <w:pPr>
        <w:pStyle w:val="Referencelist"/>
      </w:pPr>
      <w:r w:rsidRPr="001A700B">
        <w:t>Convention on Environmental Impact Assessment in a Transboundary Context.</w:t>
      </w:r>
    </w:p>
    <w:p w14:paraId="06B646D3" w14:textId="37A2E83C" w:rsidR="00AC6BB8" w:rsidRPr="001A700B" w:rsidRDefault="00AC6BB8" w:rsidP="00537496">
      <w:pPr>
        <w:pStyle w:val="Zkladntext"/>
      </w:pPr>
    </w:p>
    <w:p w14:paraId="7FB41990" w14:textId="5D1417B0" w:rsidR="002A4107" w:rsidRPr="001A700B" w:rsidRDefault="002A4107" w:rsidP="00537496">
      <w:pPr>
        <w:pStyle w:val="Zkladntext"/>
      </w:pPr>
    </w:p>
    <w:p w14:paraId="66DD9A05" w14:textId="77777777" w:rsidR="002A4107" w:rsidRPr="001A700B" w:rsidRDefault="002A4107" w:rsidP="00537496">
      <w:pPr>
        <w:pStyle w:val="Zkladntext"/>
      </w:pPr>
    </w:p>
    <w:sectPr w:rsidR="002A4107" w:rsidRPr="001A700B" w:rsidSect="0026525A">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2C19F" w14:textId="77777777" w:rsidR="00D75535" w:rsidRDefault="00D75535">
      <w:r>
        <w:separator/>
      </w:r>
    </w:p>
  </w:endnote>
  <w:endnote w:type="continuationSeparator" w:id="0">
    <w:p w14:paraId="1F78002D" w14:textId="77777777" w:rsidR="00D75535" w:rsidRDefault="00D75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roman"/>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FF961" w14:textId="28F2038D" w:rsidR="00D75535" w:rsidRDefault="00D75535">
    <w:pPr>
      <w:pStyle w:val="zyxClassification1"/>
    </w:pPr>
    <w:r>
      <w:fldChar w:fldCharType="begin"/>
    </w:r>
    <w:r>
      <w:instrText xml:space="preserve"> DOCPROPERTY "IaeaClassification"  \* MERGEFORMAT </w:instrText>
    </w:r>
    <w:r>
      <w:fldChar w:fldCharType="end"/>
    </w:r>
  </w:p>
  <w:p w14:paraId="1FDEB1B7" w14:textId="0FC26E8D" w:rsidR="00D75535" w:rsidRDefault="00D75535">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B308E" w14:textId="77D9716E" w:rsidR="00D75535" w:rsidRDefault="00D75535">
    <w:pPr>
      <w:pStyle w:val="zyxClassification1"/>
    </w:pPr>
    <w:r>
      <w:fldChar w:fldCharType="begin"/>
    </w:r>
    <w:r>
      <w:instrText xml:space="preserve"> DOCPROPERTY "IaeaClassification"  \* MERGEFORMAT </w:instrText>
    </w:r>
    <w:r>
      <w:fldChar w:fldCharType="end"/>
    </w:r>
  </w:p>
  <w:p w14:paraId="7E32AC2C" w14:textId="65861A10" w:rsidR="00D75535" w:rsidRPr="00037321" w:rsidRDefault="00D75535">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E71740">
      <w:rPr>
        <w:rFonts w:ascii="Times New Roman" w:hAnsi="Times New Roman" w:cs="Times New Roman"/>
        <w:noProof/>
        <w:sz w:val="20"/>
      </w:rPr>
      <w:t>7</w:t>
    </w:r>
    <w:r w:rsidRPr="00037321">
      <w:rPr>
        <w:rFonts w:ascii="Times New Roman" w:hAnsi="Times New Roman" w:cs="Times New Roman"/>
        <w:sz w:val="20"/>
      </w:rPr>
      <w:fldChar w:fldCharType="end"/>
    </w:r>
    <w:r w:rsidRPr="00037321">
      <w:rPr>
        <w:rFonts w:ascii="Times New Roman" w:hAnsi="Times New Roman" w:cs="Times New Roman"/>
        <w:sz w:val="20"/>
      </w:rPr>
      <w:fldChar w:fldCharType="begin"/>
    </w:r>
    <w:r w:rsidRPr="00037321">
      <w:rPr>
        <w:rFonts w:ascii="Times New Roman" w:hAnsi="Times New Roman" w:cs="Times New Roman"/>
        <w:sz w:val="20"/>
      </w:rPr>
      <w:instrText>DOCPROPERTY "IaeaClassification2"  \* MERGEFORMAT</w:instrText>
    </w:r>
    <w:r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D75535" w14:paraId="2AC0DA17" w14:textId="77777777">
      <w:trPr>
        <w:cantSplit/>
      </w:trPr>
      <w:tc>
        <w:tcPr>
          <w:tcW w:w="4644" w:type="dxa"/>
        </w:tcPr>
        <w:p w14:paraId="6CFF9F49" w14:textId="65EA7DA9" w:rsidR="00D75535" w:rsidRDefault="00D75535">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0CCA4226" w:rsidR="00D75535" w:rsidRDefault="00D75535">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6BE850AD" w14:textId="4751DE92" w:rsidR="00D75535" w:rsidRDefault="00D75535">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A6BF5C8" w14:textId="44C81C2C" w:rsidR="00D75535" w:rsidRDefault="00D75535">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437B756E" w14:textId="75C6B994" w:rsidR="00D75535" w:rsidRDefault="00D75535">
    <w:r>
      <w:rPr>
        <w:sz w:val="16"/>
      </w:rPr>
      <w:fldChar w:fldCharType="begin"/>
    </w:r>
    <w:r>
      <w:rPr>
        <w:sz w:val="16"/>
      </w:rPr>
      <w:instrText xml:space="preserve"> FILENAME \* MERGEFORMAT </w:instrText>
    </w:r>
    <w:r>
      <w:rPr>
        <w:sz w:val="16"/>
      </w:rPr>
      <w:fldChar w:fldCharType="separate"/>
    </w:r>
    <w:r>
      <w:rPr>
        <w:noProof/>
        <w:sz w:val="16"/>
      </w:rPr>
      <w:t>Paper  Conference Proceedings_ (1).docx</w:t>
    </w:r>
    <w:r>
      <w:rPr>
        <w:sz w:val="16"/>
      </w:rP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DCB7F" w14:textId="77777777" w:rsidR="00D75535" w:rsidRDefault="00D75535">
      <w:r>
        <w:t>___________________________________________________________________________</w:t>
      </w:r>
    </w:p>
  </w:footnote>
  <w:footnote w:type="continuationSeparator" w:id="0">
    <w:p w14:paraId="6D92E6F0" w14:textId="77777777" w:rsidR="00D75535" w:rsidRDefault="00D75535">
      <w:r>
        <w:t>___________________________________________________________________________</w:t>
      </w:r>
    </w:p>
  </w:footnote>
  <w:footnote w:type="continuationNotice" w:id="1">
    <w:p w14:paraId="54FF32BB" w14:textId="77777777" w:rsidR="00D75535" w:rsidRDefault="00D7553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F522D" w14:textId="77777777" w:rsidR="00D75535" w:rsidRDefault="00D75535" w:rsidP="00CF7AF3">
    <w:pPr>
      <w:pStyle w:val="Runninghead"/>
    </w:pPr>
    <w:r>
      <w:tab/>
      <w:t>IAEA-CN-123/45</w:t>
    </w:r>
  </w:p>
  <w:p w14:paraId="6E7E9A0F" w14:textId="7BF7321C" w:rsidR="00D75535" w:rsidRDefault="00D75535" w:rsidP="00CF7AF3">
    <w:pPr>
      <w:pStyle w:val="zyxClassification1"/>
      <w:tabs>
        <w:tab w:val="left" w:pos="3956"/>
        <w:tab w:val="right" w:pos="9071"/>
      </w:tabs>
      <w:jc w:val="left"/>
    </w:pPr>
    <w:r>
      <w:tab/>
    </w:r>
    <w:r>
      <w:fldChar w:fldCharType="begin"/>
    </w:r>
    <w:r>
      <w:instrText xml:space="preserve"> DOCPROPERTY "IaeaClassification"  \* MERGEFORMAT </w:instrText>
    </w:r>
    <w:r>
      <w:fldChar w:fldCharType="end"/>
    </w:r>
  </w:p>
  <w:p w14:paraId="09E92CEF" w14:textId="1FE66AB6" w:rsidR="00D75535" w:rsidRDefault="00D75535">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2EF17" w14:textId="3C4D9C98" w:rsidR="00D75535" w:rsidRPr="009E1558" w:rsidRDefault="00D75535" w:rsidP="00B56496">
    <w:pPr>
      <w:pStyle w:val="Runninghead"/>
      <w:rPr>
        <w:color w:val="BFBFBF" w:themeColor="background1" w:themeShade="BF"/>
      </w:rPr>
    </w:pPr>
    <w:proofErr w:type="spellStart"/>
    <w:r w:rsidRPr="00B56496">
      <w:rPr>
        <w:smallCaps/>
      </w:rPr>
      <w:t>Mikuláš</w:t>
    </w:r>
    <w:proofErr w:type="spellEnd"/>
    <w:r w:rsidR="001D488B">
      <w:rPr>
        <w:smallCaps/>
      </w:rPr>
      <w:t xml:space="preserve"> </w:t>
    </w:r>
    <w:r w:rsidRPr="00B56496">
      <w:rPr>
        <w:smallCaps/>
      </w:rPr>
      <w:t>Turner</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D75535" w14:paraId="2C69EA9B" w14:textId="77777777">
      <w:trPr>
        <w:cantSplit/>
        <w:trHeight w:val="716"/>
      </w:trPr>
      <w:tc>
        <w:tcPr>
          <w:tcW w:w="979" w:type="dxa"/>
          <w:vMerge w:val="restart"/>
        </w:tcPr>
        <w:p w14:paraId="2A6ADF80" w14:textId="77777777" w:rsidR="00D75535" w:rsidRDefault="00D75535">
          <w:pPr>
            <w:spacing w:before="180"/>
            <w:ind w:left="17"/>
          </w:pPr>
        </w:p>
      </w:tc>
      <w:tc>
        <w:tcPr>
          <w:tcW w:w="3638" w:type="dxa"/>
          <w:vAlign w:val="bottom"/>
        </w:tcPr>
        <w:p w14:paraId="610CF310" w14:textId="77777777" w:rsidR="00D75535" w:rsidRDefault="00D75535">
          <w:pPr>
            <w:spacing w:after="20"/>
          </w:pPr>
        </w:p>
      </w:tc>
      <w:bookmarkStart w:id="1" w:name="DOC_bkmClassification1"/>
      <w:tc>
        <w:tcPr>
          <w:tcW w:w="5702" w:type="dxa"/>
          <w:vMerge w:val="restart"/>
          <w:tcMar>
            <w:right w:w="193" w:type="dxa"/>
          </w:tcMar>
        </w:tcPr>
        <w:p w14:paraId="48D5842E" w14:textId="65501323" w:rsidR="00D75535" w:rsidRDefault="00D75535">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23CAA9C" w14:textId="6FFAFD72" w:rsidR="00D75535" w:rsidRDefault="00D75535">
          <w:pPr>
            <w:pStyle w:val="zyxConfid2Red"/>
          </w:pPr>
          <w:r>
            <w:fldChar w:fldCharType="begin"/>
          </w:r>
          <w:r>
            <w:instrText>DOCPROPERTY "IaeaClassification2"  \* MERGEFORMAT</w:instrText>
          </w:r>
          <w:r>
            <w:fldChar w:fldCharType="end"/>
          </w:r>
        </w:p>
      </w:tc>
    </w:tr>
    <w:tr w:rsidR="00D75535" w14:paraId="7130D945" w14:textId="77777777">
      <w:trPr>
        <w:cantSplit/>
        <w:trHeight w:val="167"/>
      </w:trPr>
      <w:tc>
        <w:tcPr>
          <w:tcW w:w="979" w:type="dxa"/>
          <w:vMerge/>
        </w:tcPr>
        <w:p w14:paraId="7659FE2B" w14:textId="77777777" w:rsidR="00D75535" w:rsidRDefault="00D75535">
          <w:pPr>
            <w:spacing w:before="57"/>
          </w:pPr>
        </w:p>
      </w:tc>
      <w:tc>
        <w:tcPr>
          <w:tcW w:w="3638" w:type="dxa"/>
          <w:vAlign w:val="bottom"/>
        </w:tcPr>
        <w:p w14:paraId="7578AADC" w14:textId="77777777" w:rsidR="00D75535" w:rsidRDefault="00D75535">
          <w:pPr>
            <w:pStyle w:val="Nadpis9"/>
            <w:spacing w:before="0" w:after="10"/>
          </w:pPr>
        </w:p>
      </w:tc>
      <w:tc>
        <w:tcPr>
          <w:tcW w:w="5702" w:type="dxa"/>
          <w:vMerge/>
          <w:vAlign w:val="bottom"/>
        </w:tcPr>
        <w:p w14:paraId="313FA1D9" w14:textId="77777777" w:rsidR="00D75535" w:rsidRDefault="00D75535">
          <w:pPr>
            <w:pStyle w:val="Nadpis9"/>
            <w:spacing w:before="0" w:after="10"/>
          </w:pPr>
        </w:p>
      </w:tc>
    </w:tr>
  </w:tbl>
  <w:p w14:paraId="7A0C2B4B" w14:textId="77777777" w:rsidR="00D75535" w:rsidRDefault="00D7553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7B42"/>
    <w:multiLevelType w:val="hybridMultilevel"/>
    <w:tmpl w:val="B9E638CE"/>
    <w:name w:val="HeadingTemplate32"/>
    <w:lvl w:ilvl="0" w:tplc="FA3423BA">
      <w:start w:val="5"/>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6E5415D"/>
    <w:multiLevelType w:val="hybridMultilevel"/>
    <w:tmpl w:val="A1D8500C"/>
    <w:lvl w:ilvl="0" w:tplc="7C5A2E10">
      <w:start w:val="1"/>
      <w:numFmt w:val="lowerLetter"/>
      <w:lvlText w:val="%1)"/>
      <w:lvlJc w:val="left"/>
      <w:pPr>
        <w:ind w:left="977" w:hanging="360"/>
      </w:pPr>
      <w:rPr>
        <w:rFonts w:hint="default"/>
      </w:rPr>
    </w:lvl>
    <w:lvl w:ilvl="1" w:tplc="04090019" w:tentative="1">
      <w:start w:val="1"/>
      <w:numFmt w:val="lowerLetter"/>
      <w:lvlText w:val="%2."/>
      <w:lvlJc w:val="left"/>
      <w:pPr>
        <w:ind w:left="1697" w:hanging="360"/>
      </w:pPr>
    </w:lvl>
    <w:lvl w:ilvl="2" w:tplc="0409001B" w:tentative="1">
      <w:start w:val="1"/>
      <w:numFmt w:val="lowerRoman"/>
      <w:lvlText w:val="%3."/>
      <w:lvlJc w:val="right"/>
      <w:pPr>
        <w:ind w:left="2417" w:hanging="180"/>
      </w:pPr>
    </w:lvl>
    <w:lvl w:ilvl="3" w:tplc="0409000F" w:tentative="1">
      <w:start w:val="1"/>
      <w:numFmt w:val="decimal"/>
      <w:lvlText w:val="%4."/>
      <w:lvlJc w:val="left"/>
      <w:pPr>
        <w:ind w:left="3137" w:hanging="360"/>
      </w:pPr>
    </w:lvl>
    <w:lvl w:ilvl="4" w:tplc="04090019" w:tentative="1">
      <w:start w:val="1"/>
      <w:numFmt w:val="lowerLetter"/>
      <w:lvlText w:val="%5."/>
      <w:lvlJc w:val="left"/>
      <w:pPr>
        <w:ind w:left="3857" w:hanging="360"/>
      </w:pPr>
    </w:lvl>
    <w:lvl w:ilvl="5" w:tplc="0409001B" w:tentative="1">
      <w:start w:val="1"/>
      <w:numFmt w:val="lowerRoman"/>
      <w:lvlText w:val="%6."/>
      <w:lvlJc w:val="right"/>
      <w:pPr>
        <w:ind w:left="4577" w:hanging="180"/>
      </w:pPr>
    </w:lvl>
    <w:lvl w:ilvl="6" w:tplc="0409000F" w:tentative="1">
      <w:start w:val="1"/>
      <w:numFmt w:val="decimal"/>
      <w:lvlText w:val="%7."/>
      <w:lvlJc w:val="left"/>
      <w:pPr>
        <w:ind w:left="5297" w:hanging="360"/>
      </w:pPr>
    </w:lvl>
    <w:lvl w:ilvl="7" w:tplc="04090019" w:tentative="1">
      <w:start w:val="1"/>
      <w:numFmt w:val="lowerLetter"/>
      <w:lvlText w:val="%8."/>
      <w:lvlJc w:val="left"/>
      <w:pPr>
        <w:ind w:left="6017" w:hanging="360"/>
      </w:pPr>
    </w:lvl>
    <w:lvl w:ilvl="8" w:tplc="0409001B" w:tentative="1">
      <w:start w:val="1"/>
      <w:numFmt w:val="lowerRoman"/>
      <w:lvlText w:val="%9."/>
      <w:lvlJc w:val="right"/>
      <w:pPr>
        <w:ind w:left="6737" w:hanging="180"/>
      </w:pPr>
    </w:lvl>
  </w:abstractNum>
  <w:abstractNum w:abstractNumId="2"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6163C4"/>
    <w:multiLevelType w:val="hybridMultilevel"/>
    <w:tmpl w:val="217028C8"/>
    <w:name w:val="HeadingTemplate3222"/>
    <w:lvl w:ilvl="0" w:tplc="FA3423BA">
      <w:start w:val="5"/>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5" w15:restartNumberingAfterBreak="0">
    <w:nsid w:val="0F4B5D2E"/>
    <w:multiLevelType w:val="hybridMultilevel"/>
    <w:tmpl w:val="187CC91A"/>
    <w:lvl w:ilvl="0" w:tplc="81C8628C">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78048BB"/>
    <w:multiLevelType w:val="hybridMultilevel"/>
    <w:tmpl w:val="D498669E"/>
    <w:lvl w:ilvl="0" w:tplc="FA3423BA">
      <w:start w:val="5"/>
      <w:numFmt w:val="bullet"/>
      <w:lvlText w:val="-"/>
      <w:lvlJc w:val="left"/>
      <w:pPr>
        <w:ind w:left="977" w:hanging="360"/>
      </w:pPr>
      <w:rPr>
        <w:rFonts w:ascii="Times New Roman" w:eastAsia="Times New Roman" w:hAnsi="Times New Roman" w:cs="Times New Roman" w:hint="default"/>
      </w:rPr>
    </w:lvl>
    <w:lvl w:ilvl="1" w:tplc="04090019" w:tentative="1">
      <w:start w:val="1"/>
      <w:numFmt w:val="lowerLetter"/>
      <w:lvlText w:val="%2."/>
      <w:lvlJc w:val="left"/>
      <w:pPr>
        <w:ind w:left="1697" w:hanging="360"/>
      </w:pPr>
    </w:lvl>
    <w:lvl w:ilvl="2" w:tplc="0409001B" w:tentative="1">
      <w:start w:val="1"/>
      <w:numFmt w:val="lowerRoman"/>
      <w:lvlText w:val="%3."/>
      <w:lvlJc w:val="right"/>
      <w:pPr>
        <w:ind w:left="2417" w:hanging="180"/>
      </w:pPr>
    </w:lvl>
    <w:lvl w:ilvl="3" w:tplc="0409000F" w:tentative="1">
      <w:start w:val="1"/>
      <w:numFmt w:val="decimal"/>
      <w:lvlText w:val="%4."/>
      <w:lvlJc w:val="left"/>
      <w:pPr>
        <w:ind w:left="3137" w:hanging="360"/>
      </w:pPr>
    </w:lvl>
    <w:lvl w:ilvl="4" w:tplc="04090019" w:tentative="1">
      <w:start w:val="1"/>
      <w:numFmt w:val="lowerLetter"/>
      <w:lvlText w:val="%5."/>
      <w:lvlJc w:val="left"/>
      <w:pPr>
        <w:ind w:left="3857" w:hanging="360"/>
      </w:pPr>
    </w:lvl>
    <w:lvl w:ilvl="5" w:tplc="0409001B" w:tentative="1">
      <w:start w:val="1"/>
      <w:numFmt w:val="lowerRoman"/>
      <w:lvlText w:val="%6."/>
      <w:lvlJc w:val="right"/>
      <w:pPr>
        <w:ind w:left="4577" w:hanging="180"/>
      </w:pPr>
    </w:lvl>
    <w:lvl w:ilvl="6" w:tplc="0409000F" w:tentative="1">
      <w:start w:val="1"/>
      <w:numFmt w:val="decimal"/>
      <w:lvlText w:val="%7."/>
      <w:lvlJc w:val="left"/>
      <w:pPr>
        <w:ind w:left="5297" w:hanging="360"/>
      </w:pPr>
    </w:lvl>
    <w:lvl w:ilvl="7" w:tplc="04090019" w:tentative="1">
      <w:start w:val="1"/>
      <w:numFmt w:val="lowerLetter"/>
      <w:lvlText w:val="%8."/>
      <w:lvlJc w:val="left"/>
      <w:pPr>
        <w:ind w:left="6017" w:hanging="360"/>
      </w:pPr>
    </w:lvl>
    <w:lvl w:ilvl="8" w:tplc="0409001B" w:tentative="1">
      <w:start w:val="1"/>
      <w:numFmt w:val="lowerRoman"/>
      <w:lvlText w:val="%9."/>
      <w:lvlJc w:val="right"/>
      <w:pPr>
        <w:ind w:left="6737" w:hanging="180"/>
      </w:pPr>
    </w:lvl>
  </w:abstractNum>
  <w:abstractNum w:abstractNumId="7"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FC30B3"/>
    <w:multiLevelType w:val="hybridMultilevel"/>
    <w:tmpl w:val="165AFE58"/>
    <w:name w:val="HeadingTemplate32222"/>
    <w:lvl w:ilvl="0" w:tplc="FA3423BA">
      <w:start w:val="5"/>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B9C3026"/>
    <w:multiLevelType w:val="hybridMultilevel"/>
    <w:tmpl w:val="97A87FB6"/>
    <w:lvl w:ilvl="0" w:tplc="FA3423BA">
      <w:start w:val="5"/>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13" w15:restartNumberingAfterBreak="0">
    <w:nsid w:val="349E4DFE"/>
    <w:multiLevelType w:val="hybridMultilevel"/>
    <w:tmpl w:val="BA70FE96"/>
    <w:name w:val="HeadingTemplate322"/>
    <w:lvl w:ilvl="0" w:tplc="FA3423BA">
      <w:start w:val="5"/>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63308A"/>
    <w:multiLevelType w:val="hybridMultilevel"/>
    <w:tmpl w:val="147EAA94"/>
    <w:lvl w:ilvl="0" w:tplc="6A968B9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7" w15:restartNumberingAfterBreak="0">
    <w:nsid w:val="51980C46"/>
    <w:multiLevelType w:val="hybridMultilevel"/>
    <w:tmpl w:val="D1844BAC"/>
    <w:lvl w:ilvl="0" w:tplc="F0245FBA">
      <w:start w:val="1"/>
      <w:numFmt w:val="lowerLetter"/>
      <w:lvlText w:val="(%1)"/>
      <w:lvlJc w:val="left"/>
      <w:pPr>
        <w:ind w:left="977" w:hanging="360"/>
      </w:pPr>
      <w:rPr>
        <w:rFonts w:hint="default"/>
      </w:rPr>
    </w:lvl>
    <w:lvl w:ilvl="1" w:tplc="04090019" w:tentative="1">
      <w:start w:val="1"/>
      <w:numFmt w:val="lowerLetter"/>
      <w:lvlText w:val="%2."/>
      <w:lvlJc w:val="left"/>
      <w:pPr>
        <w:ind w:left="1697" w:hanging="360"/>
      </w:pPr>
    </w:lvl>
    <w:lvl w:ilvl="2" w:tplc="0409001B" w:tentative="1">
      <w:start w:val="1"/>
      <w:numFmt w:val="lowerRoman"/>
      <w:lvlText w:val="%3."/>
      <w:lvlJc w:val="right"/>
      <w:pPr>
        <w:ind w:left="2417" w:hanging="180"/>
      </w:pPr>
    </w:lvl>
    <w:lvl w:ilvl="3" w:tplc="0409000F" w:tentative="1">
      <w:start w:val="1"/>
      <w:numFmt w:val="decimal"/>
      <w:lvlText w:val="%4."/>
      <w:lvlJc w:val="left"/>
      <w:pPr>
        <w:ind w:left="3137" w:hanging="360"/>
      </w:pPr>
    </w:lvl>
    <w:lvl w:ilvl="4" w:tplc="04090019" w:tentative="1">
      <w:start w:val="1"/>
      <w:numFmt w:val="lowerLetter"/>
      <w:lvlText w:val="%5."/>
      <w:lvlJc w:val="left"/>
      <w:pPr>
        <w:ind w:left="3857" w:hanging="360"/>
      </w:pPr>
    </w:lvl>
    <w:lvl w:ilvl="5" w:tplc="0409001B" w:tentative="1">
      <w:start w:val="1"/>
      <w:numFmt w:val="lowerRoman"/>
      <w:lvlText w:val="%6."/>
      <w:lvlJc w:val="right"/>
      <w:pPr>
        <w:ind w:left="4577" w:hanging="180"/>
      </w:pPr>
    </w:lvl>
    <w:lvl w:ilvl="6" w:tplc="0409000F" w:tentative="1">
      <w:start w:val="1"/>
      <w:numFmt w:val="decimal"/>
      <w:lvlText w:val="%7."/>
      <w:lvlJc w:val="left"/>
      <w:pPr>
        <w:ind w:left="5297" w:hanging="360"/>
      </w:pPr>
    </w:lvl>
    <w:lvl w:ilvl="7" w:tplc="04090019" w:tentative="1">
      <w:start w:val="1"/>
      <w:numFmt w:val="lowerLetter"/>
      <w:lvlText w:val="%8."/>
      <w:lvlJc w:val="left"/>
      <w:pPr>
        <w:ind w:left="6017" w:hanging="360"/>
      </w:pPr>
    </w:lvl>
    <w:lvl w:ilvl="8" w:tplc="0409001B" w:tentative="1">
      <w:start w:val="1"/>
      <w:numFmt w:val="lowerRoman"/>
      <w:lvlText w:val="%9."/>
      <w:lvlJc w:val="right"/>
      <w:pPr>
        <w:ind w:left="6737" w:hanging="180"/>
      </w:pPr>
    </w:lvl>
  </w:abstractNum>
  <w:abstractNum w:abstractNumId="18"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D31824"/>
    <w:multiLevelType w:val="hybridMultilevel"/>
    <w:tmpl w:val="C2F003BE"/>
    <w:name w:val="HeadingTemplate3"/>
    <w:lvl w:ilvl="0" w:tplc="FA3423BA">
      <w:start w:val="5"/>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63A9238F"/>
    <w:multiLevelType w:val="hybridMultilevel"/>
    <w:tmpl w:val="C51A168E"/>
    <w:name w:val="HeadingTemplate322222"/>
    <w:lvl w:ilvl="0" w:tplc="FA3423BA">
      <w:start w:val="5"/>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66506992"/>
    <w:multiLevelType w:val="hybridMultilevel"/>
    <w:tmpl w:val="0E4E0BDE"/>
    <w:lvl w:ilvl="0" w:tplc="FA3423BA">
      <w:start w:val="5"/>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2" w15:restartNumberingAfterBreak="0">
    <w:nsid w:val="6A103DAB"/>
    <w:multiLevelType w:val="hybridMultilevel"/>
    <w:tmpl w:val="FE802D82"/>
    <w:lvl w:ilvl="0" w:tplc="F01886D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6E3D696B"/>
    <w:multiLevelType w:val="hybridMultilevel"/>
    <w:tmpl w:val="F1B41EA2"/>
    <w:lvl w:ilvl="0" w:tplc="FA3423BA">
      <w:start w:val="5"/>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Nadpis2"/>
      <w:suff w:val="space"/>
      <w:lvlText w:val="%1%2."/>
      <w:lvlJc w:val="left"/>
      <w:pPr>
        <w:ind w:left="0" w:firstLine="0"/>
      </w:pPr>
      <w:rPr>
        <w:rFonts w:hint="default"/>
        <w:color w:val="auto"/>
      </w:rPr>
    </w:lvl>
    <w:lvl w:ilvl="2">
      <w:start w:val="1"/>
      <w:numFmt w:val="decimal"/>
      <w:lvlRestart w:val="0"/>
      <w:pStyle w:val="Nadpis3"/>
      <w:lvlText w:val="%1%2.%3."/>
      <w:lvlJc w:val="left"/>
      <w:pPr>
        <w:ind w:left="0" w:firstLine="0"/>
      </w:pPr>
      <w:rPr>
        <w:rFonts w:hint="default"/>
      </w:rPr>
    </w:lvl>
    <w:lvl w:ilvl="3">
      <w:start w:val="1"/>
      <w:numFmt w:val="decimal"/>
      <w:lvlRestart w:val="0"/>
      <w:pStyle w:val="Nadpis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26" w15:restartNumberingAfterBreak="0">
    <w:nsid w:val="7665634F"/>
    <w:multiLevelType w:val="hybridMultilevel"/>
    <w:tmpl w:val="FEEC69F4"/>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7B5C3DFA"/>
    <w:multiLevelType w:val="hybridMultilevel"/>
    <w:tmpl w:val="4B684BD2"/>
    <w:lvl w:ilvl="0" w:tplc="4AD66162">
      <w:start w:val="1"/>
      <w:numFmt w:val="lowerLetter"/>
      <w:lvlText w:val="(%1)"/>
      <w:lvlJc w:val="left"/>
      <w:pPr>
        <w:ind w:left="977" w:hanging="360"/>
      </w:pPr>
      <w:rPr>
        <w:rFonts w:hint="default"/>
      </w:rPr>
    </w:lvl>
    <w:lvl w:ilvl="1" w:tplc="04090019" w:tentative="1">
      <w:start w:val="1"/>
      <w:numFmt w:val="lowerLetter"/>
      <w:lvlText w:val="%2."/>
      <w:lvlJc w:val="left"/>
      <w:pPr>
        <w:ind w:left="1697" w:hanging="360"/>
      </w:pPr>
    </w:lvl>
    <w:lvl w:ilvl="2" w:tplc="0409001B" w:tentative="1">
      <w:start w:val="1"/>
      <w:numFmt w:val="lowerRoman"/>
      <w:lvlText w:val="%3."/>
      <w:lvlJc w:val="right"/>
      <w:pPr>
        <w:ind w:left="2417" w:hanging="180"/>
      </w:pPr>
    </w:lvl>
    <w:lvl w:ilvl="3" w:tplc="0409000F" w:tentative="1">
      <w:start w:val="1"/>
      <w:numFmt w:val="decimal"/>
      <w:lvlText w:val="%4."/>
      <w:lvlJc w:val="left"/>
      <w:pPr>
        <w:ind w:left="3137" w:hanging="360"/>
      </w:pPr>
    </w:lvl>
    <w:lvl w:ilvl="4" w:tplc="04090019" w:tentative="1">
      <w:start w:val="1"/>
      <w:numFmt w:val="lowerLetter"/>
      <w:lvlText w:val="%5."/>
      <w:lvlJc w:val="left"/>
      <w:pPr>
        <w:ind w:left="3857" w:hanging="360"/>
      </w:pPr>
    </w:lvl>
    <w:lvl w:ilvl="5" w:tplc="0409001B" w:tentative="1">
      <w:start w:val="1"/>
      <w:numFmt w:val="lowerRoman"/>
      <w:lvlText w:val="%6."/>
      <w:lvlJc w:val="right"/>
      <w:pPr>
        <w:ind w:left="4577" w:hanging="180"/>
      </w:pPr>
    </w:lvl>
    <w:lvl w:ilvl="6" w:tplc="0409000F" w:tentative="1">
      <w:start w:val="1"/>
      <w:numFmt w:val="decimal"/>
      <w:lvlText w:val="%7."/>
      <w:lvlJc w:val="left"/>
      <w:pPr>
        <w:ind w:left="5297" w:hanging="360"/>
      </w:pPr>
    </w:lvl>
    <w:lvl w:ilvl="7" w:tplc="04090019" w:tentative="1">
      <w:start w:val="1"/>
      <w:numFmt w:val="lowerLetter"/>
      <w:lvlText w:val="%8."/>
      <w:lvlJc w:val="left"/>
      <w:pPr>
        <w:ind w:left="6017" w:hanging="360"/>
      </w:pPr>
    </w:lvl>
    <w:lvl w:ilvl="8" w:tplc="0409001B" w:tentative="1">
      <w:start w:val="1"/>
      <w:numFmt w:val="lowerRoman"/>
      <w:lvlText w:val="%9."/>
      <w:lvlJc w:val="right"/>
      <w:pPr>
        <w:ind w:left="6737" w:hanging="180"/>
      </w:pPr>
    </w:lvl>
  </w:abstractNum>
  <w:num w:numId="1">
    <w:abstractNumId w:val="16"/>
  </w:num>
  <w:num w:numId="2">
    <w:abstractNumId w:val="9"/>
  </w:num>
  <w:num w:numId="3">
    <w:abstractNumId w:val="25"/>
  </w:num>
  <w:num w:numId="4">
    <w:abstractNumId w:val="25"/>
  </w:num>
  <w:num w:numId="5">
    <w:abstractNumId w:val="25"/>
  </w:num>
  <w:num w:numId="6">
    <w:abstractNumId w:val="12"/>
  </w:num>
  <w:num w:numId="7">
    <w:abstractNumId w:val="18"/>
  </w:num>
  <w:num w:numId="8">
    <w:abstractNumId w:val="26"/>
  </w:num>
  <w:num w:numId="9">
    <w:abstractNumId w:val="4"/>
  </w:num>
  <w:num w:numId="10">
    <w:abstractNumId w:val="25"/>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Nadpis2"/>
        <w:lvlText w:val="%1%2."/>
        <w:lvlJc w:val="left"/>
        <w:pPr>
          <w:ind w:left="0" w:firstLine="0"/>
        </w:pPr>
        <w:rPr>
          <w:rFonts w:hint="default"/>
          <w:color w:val="auto"/>
        </w:rPr>
      </w:lvl>
    </w:lvlOverride>
    <w:lvlOverride w:ilvl="2">
      <w:lvl w:ilvl="2">
        <w:start w:val="1"/>
        <w:numFmt w:val="decimal"/>
        <w:lvlRestart w:val="0"/>
        <w:pStyle w:val="Nadpis3"/>
        <w:lvlText w:val="%1%2.%3."/>
        <w:lvlJc w:val="left"/>
        <w:pPr>
          <w:ind w:left="0" w:firstLine="0"/>
        </w:pPr>
        <w:rPr>
          <w:rFonts w:hint="default"/>
        </w:rPr>
      </w:lvl>
    </w:lvlOverride>
    <w:lvlOverride w:ilvl="3">
      <w:lvl w:ilvl="3">
        <w:start w:val="1"/>
        <w:numFmt w:val="none"/>
        <w:lvlRestart w:val="0"/>
        <w:pStyle w:val="Nadpis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25"/>
  </w:num>
  <w:num w:numId="12">
    <w:abstractNumId w:val="25"/>
  </w:num>
  <w:num w:numId="13">
    <w:abstractNumId w:val="25"/>
  </w:num>
  <w:num w:numId="14">
    <w:abstractNumId w:val="25"/>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Nadpis2"/>
        <w:suff w:val="space"/>
        <w:lvlText w:val="%1%2."/>
        <w:lvlJc w:val="left"/>
        <w:pPr>
          <w:ind w:left="0" w:firstLine="0"/>
        </w:pPr>
        <w:rPr>
          <w:rFonts w:hint="default"/>
          <w:color w:val="auto"/>
        </w:rPr>
      </w:lvl>
    </w:lvlOverride>
    <w:lvlOverride w:ilvl="2">
      <w:lvl w:ilvl="2">
        <w:start w:val="1"/>
        <w:numFmt w:val="decimal"/>
        <w:lvlRestart w:val="0"/>
        <w:pStyle w:val="Nadpis3"/>
        <w:suff w:val="space"/>
        <w:lvlText w:val="%1%2.%3."/>
        <w:lvlJc w:val="left"/>
        <w:pPr>
          <w:ind w:left="0" w:firstLine="0"/>
        </w:pPr>
        <w:rPr>
          <w:rFonts w:hint="default"/>
        </w:rPr>
      </w:lvl>
    </w:lvlOverride>
    <w:lvlOverride w:ilvl="3">
      <w:lvl w:ilvl="3">
        <w:start w:val="1"/>
        <w:numFmt w:val="decimal"/>
        <w:lvlRestart w:val="0"/>
        <w:pStyle w:val="Nadpis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25"/>
  </w:num>
  <w:num w:numId="16">
    <w:abstractNumId w:val="25"/>
  </w:num>
  <w:num w:numId="17">
    <w:abstractNumId w:val="25"/>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7"/>
  </w:num>
  <w:num w:numId="21">
    <w:abstractNumId w:val="25"/>
  </w:num>
  <w:num w:numId="22">
    <w:abstractNumId w:val="8"/>
  </w:num>
  <w:num w:numId="23">
    <w:abstractNumId w:val="2"/>
  </w:num>
  <w:num w:numId="24">
    <w:abstractNumId w:val="24"/>
  </w:num>
  <w:num w:numId="25">
    <w:abstractNumId w:val="25"/>
  </w:num>
  <w:num w:numId="26">
    <w:abstractNumId w:val="25"/>
  </w:num>
  <w:num w:numId="27">
    <w:abstractNumId w:val="25"/>
  </w:num>
  <w:num w:numId="28">
    <w:abstractNumId w:val="25"/>
  </w:num>
  <w:num w:numId="29">
    <w:abstractNumId w:val="25"/>
  </w:num>
  <w:num w:numId="30">
    <w:abstractNumId w:val="14"/>
  </w:num>
  <w:num w:numId="31">
    <w:abstractNumId w:val="14"/>
  </w:num>
  <w:num w:numId="32">
    <w:abstractNumId w:val="25"/>
  </w:num>
  <w:num w:numId="33">
    <w:abstractNumId w:val="21"/>
  </w:num>
  <w:num w:numId="34">
    <w:abstractNumId w:val="19"/>
  </w:num>
  <w:num w:numId="35">
    <w:abstractNumId w:val="0"/>
  </w:num>
  <w:num w:numId="36">
    <w:abstractNumId w:val="15"/>
  </w:num>
  <w:num w:numId="37">
    <w:abstractNumId w:val="13"/>
  </w:num>
  <w:num w:numId="38">
    <w:abstractNumId w:val="3"/>
  </w:num>
  <w:num w:numId="39">
    <w:abstractNumId w:val="5"/>
  </w:num>
  <w:num w:numId="40">
    <w:abstractNumId w:val="14"/>
  </w:num>
  <w:num w:numId="41">
    <w:abstractNumId w:val="10"/>
  </w:num>
  <w:num w:numId="42">
    <w:abstractNumId w:val="20"/>
  </w:num>
  <w:num w:numId="43">
    <w:abstractNumId w:val="1"/>
  </w:num>
  <w:num w:numId="44">
    <w:abstractNumId w:val="27"/>
  </w:num>
  <w:num w:numId="45">
    <w:abstractNumId w:val="6"/>
  </w:num>
  <w:num w:numId="46">
    <w:abstractNumId w:val="11"/>
  </w:num>
  <w:num w:numId="47">
    <w:abstractNumId w:val="17"/>
  </w:num>
  <w:num w:numId="48">
    <w:abstractNumId w:val="23"/>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27C2"/>
    <w:rsid w:val="000229AB"/>
    <w:rsid w:val="0002569A"/>
    <w:rsid w:val="00025709"/>
    <w:rsid w:val="00026789"/>
    <w:rsid w:val="0003552F"/>
    <w:rsid w:val="00037321"/>
    <w:rsid w:val="00046DAB"/>
    <w:rsid w:val="000572CC"/>
    <w:rsid w:val="0006505B"/>
    <w:rsid w:val="0008308C"/>
    <w:rsid w:val="00097003"/>
    <w:rsid w:val="000A0299"/>
    <w:rsid w:val="000A5A59"/>
    <w:rsid w:val="000C6F25"/>
    <w:rsid w:val="000E39E6"/>
    <w:rsid w:val="000E53E0"/>
    <w:rsid w:val="000F2058"/>
    <w:rsid w:val="000F7E94"/>
    <w:rsid w:val="001119D6"/>
    <w:rsid w:val="001124ED"/>
    <w:rsid w:val="001158CF"/>
    <w:rsid w:val="001308F2"/>
    <w:rsid w:val="001313E8"/>
    <w:rsid w:val="00150233"/>
    <w:rsid w:val="001505DE"/>
    <w:rsid w:val="001661E0"/>
    <w:rsid w:val="00166B7C"/>
    <w:rsid w:val="001676D2"/>
    <w:rsid w:val="00176876"/>
    <w:rsid w:val="001805B7"/>
    <w:rsid w:val="001A6493"/>
    <w:rsid w:val="001A700B"/>
    <w:rsid w:val="001B3398"/>
    <w:rsid w:val="001B518D"/>
    <w:rsid w:val="001C58F5"/>
    <w:rsid w:val="001D488B"/>
    <w:rsid w:val="001D5CEE"/>
    <w:rsid w:val="001E4403"/>
    <w:rsid w:val="001F0D53"/>
    <w:rsid w:val="002071D9"/>
    <w:rsid w:val="002307B3"/>
    <w:rsid w:val="002323B6"/>
    <w:rsid w:val="00241D36"/>
    <w:rsid w:val="00256822"/>
    <w:rsid w:val="002604D5"/>
    <w:rsid w:val="00263E37"/>
    <w:rsid w:val="0026525A"/>
    <w:rsid w:val="00271E6B"/>
    <w:rsid w:val="00273D55"/>
    <w:rsid w:val="00274790"/>
    <w:rsid w:val="00274BE0"/>
    <w:rsid w:val="00285755"/>
    <w:rsid w:val="00295E0D"/>
    <w:rsid w:val="002A1F9C"/>
    <w:rsid w:val="002A4107"/>
    <w:rsid w:val="002A4DA5"/>
    <w:rsid w:val="002B0A51"/>
    <w:rsid w:val="002B2561"/>
    <w:rsid w:val="002B29C2"/>
    <w:rsid w:val="002C161A"/>
    <w:rsid w:val="002C4208"/>
    <w:rsid w:val="002E71C9"/>
    <w:rsid w:val="003347D7"/>
    <w:rsid w:val="00352DE1"/>
    <w:rsid w:val="00361811"/>
    <w:rsid w:val="0036514A"/>
    <w:rsid w:val="003728E6"/>
    <w:rsid w:val="003A16ED"/>
    <w:rsid w:val="003B5E0E"/>
    <w:rsid w:val="003C49CE"/>
    <w:rsid w:val="003D255A"/>
    <w:rsid w:val="003F1EDE"/>
    <w:rsid w:val="00402232"/>
    <w:rsid w:val="00416949"/>
    <w:rsid w:val="0043685F"/>
    <w:rsid w:val="004370D8"/>
    <w:rsid w:val="00462B1A"/>
    <w:rsid w:val="004672D6"/>
    <w:rsid w:val="00472C43"/>
    <w:rsid w:val="00472D86"/>
    <w:rsid w:val="00473E3B"/>
    <w:rsid w:val="00496B00"/>
    <w:rsid w:val="00497825"/>
    <w:rsid w:val="004A76F8"/>
    <w:rsid w:val="004A7C89"/>
    <w:rsid w:val="004C6DDD"/>
    <w:rsid w:val="005055BD"/>
    <w:rsid w:val="00517D06"/>
    <w:rsid w:val="0052472F"/>
    <w:rsid w:val="005247B8"/>
    <w:rsid w:val="0053364E"/>
    <w:rsid w:val="00537496"/>
    <w:rsid w:val="00544ED3"/>
    <w:rsid w:val="00556CF0"/>
    <w:rsid w:val="005635D9"/>
    <w:rsid w:val="0058477B"/>
    <w:rsid w:val="0058585E"/>
    <w:rsid w:val="0058654F"/>
    <w:rsid w:val="00591C75"/>
    <w:rsid w:val="0059375A"/>
    <w:rsid w:val="00596ACA"/>
    <w:rsid w:val="005B0824"/>
    <w:rsid w:val="005B4C79"/>
    <w:rsid w:val="005C3E12"/>
    <w:rsid w:val="005D07A5"/>
    <w:rsid w:val="005E39BC"/>
    <w:rsid w:val="005F00A0"/>
    <w:rsid w:val="00601752"/>
    <w:rsid w:val="0062343C"/>
    <w:rsid w:val="00637639"/>
    <w:rsid w:val="00647F33"/>
    <w:rsid w:val="00662532"/>
    <w:rsid w:val="00680752"/>
    <w:rsid w:val="00695C3C"/>
    <w:rsid w:val="006A1EEF"/>
    <w:rsid w:val="006B2274"/>
    <w:rsid w:val="006B250C"/>
    <w:rsid w:val="006B48E2"/>
    <w:rsid w:val="006C52D9"/>
    <w:rsid w:val="006D792D"/>
    <w:rsid w:val="006E2A4E"/>
    <w:rsid w:val="006F3190"/>
    <w:rsid w:val="006F6305"/>
    <w:rsid w:val="007070B5"/>
    <w:rsid w:val="00717C6F"/>
    <w:rsid w:val="0072605C"/>
    <w:rsid w:val="00732150"/>
    <w:rsid w:val="007425AE"/>
    <w:rsid w:val="007445DA"/>
    <w:rsid w:val="00745F2C"/>
    <w:rsid w:val="00753002"/>
    <w:rsid w:val="00754204"/>
    <w:rsid w:val="0076475E"/>
    <w:rsid w:val="00782B5B"/>
    <w:rsid w:val="00786E6A"/>
    <w:rsid w:val="007B4FD1"/>
    <w:rsid w:val="007B6245"/>
    <w:rsid w:val="007B6C0B"/>
    <w:rsid w:val="007C0A08"/>
    <w:rsid w:val="007C17B1"/>
    <w:rsid w:val="007D032D"/>
    <w:rsid w:val="007E132F"/>
    <w:rsid w:val="007F2AC1"/>
    <w:rsid w:val="00802381"/>
    <w:rsid w:val="008042A9"/>
    <w:rsid w:val="008256BD"/>
    <w:rsid w:val="00880901"/>
    <w:rsid w:val="00883848"/>
    <w:rsid w:val="008954DD"/>
    <w:rsid w:val="00897ED5"/>
    <w:rsid w:val="008B6BB9"/>
    <w:rsid w:val="00911543"/>
    <w:rsid w:val="00917D42"/>
    <w:rsid w:val="00924CFD"/>
    <w:rsid w:val="009406E3"/>
    <w:rsid w:val="009519C9"/>
    <w:rsid w:val="009522A3"/>
    <w:rsid w:val="00970097"/>
    <w:rsid w:val="00975C36"/>
    <w:rsid w:val="00983723"/>
    <w:rsid w:val="00997ACB"/>
    <w:rsid w:val="009B0ECD"/>
    <w:rsid w:val="009C2948"/>
    <w:rsid w:val="009C2F9D"/>
    <w:rsid w:val="009D0B86"/>
    <w:rsid w:val="009E0D5B"/>
    <w:rsid w:val="009E1558"/>
    <w:rsid w:val="00A42898"/>
    <w:rsid w:val="00A47CF0"/>
    <w:rsid w:val="00AA172D"/>
    <w:rsid w:val="00AB17AF"/>
    <w:rsid w:val="00AB2D0E"/>
    <w:rsid w:val="00AB6ACE"/>
    <w:rsid w:val="00AC2CAC"/>
    <w:rsid w:val="00AC5A3A"/>
    <w:rsid w:val="00AC6BB8"/>
    <w:rsid w:val="00AE4998"/>
    <w:rsid w:val="00B047E9"/>
    <w:rsid w:val="00B061D3"/>
    <w:rsid w:val="00B40468"/>
    <w:rsid w:val="00B4126F"/>
    <w:rsid w:val="00B5051D"/>
    <w:rsid w:val="00B56496"/>
    <w:rsid w:val="00B82FA5"/>
    <w:rsid w:val="00B92517"/>
    <w:rsid w:val="00B9682D"/>
    <w:rsid w:val="00B96E8C"/>
    <w:rsid w:val="00BB15E0"/>
    <w:rsid w:val="00BD11FC"/>
    <w:rsid w:val="00BD1400"/>
    <w:rsid w:val="00BD547F"/>
    <w:rsid w:val="00BD605C"/>
    <w:rsid w:val="00BE2A76"/>
    <w:rsid w:val="00C0137E"/>
    <w:rsid w:val="00C26AF7"/>
    <w:rsid w:val="00C34C34"/>
    <w:rsid w:val="00C36993"/>
    <w:rsid w:val="00C45E80"/>
    <w:rsid w:val="00C639DE"/>
    <w:rsid w:val="00C65E60"/>
    <w:rsid w:val="00CC7B4B"/>
    <w:rsid w:val="00CD107D"/>
    <w:rsid w:val="00CE1BB5"/>
    <w:rsid w:val="00CE5A52"/>
    <w:rsid w:val="00CE63B4"/>
    <w:rsid w:val="00CF7AF3"/>
    <w:rsid w:val="00D1299B"/>
    <w:rsid w:val="00D26ADA"/>
    <w:rsid w:val="00D35A78"/>
    <w:rsid w:val="00D419DD"/>
    <w:rsid w:val="00D43A74"/>
    <w:rsid w:val="00D555A1"/>
    <w:rsid w:val="00D64DC2"/>
    <w:rsid w:val="00D75535"/>
    <w:rsid w:val="00D86AA8"/>
    <w:rsid w:val="00D92D17"/>
    <w:rsid w:val="00DA19FE"/>
    <w:rsid w:val="00DA46CA"/>
    <w:rsid w:val="00DC3787"/>
    <w:rsid w:val="00DE7BEA"/>
    <w:rsid w:val="00DF21EB"/>
    <w:rsid w:val="00DF3DF9"/>
    <w:rsid w:val="00E16272"/>
    <w:rsid w:val="00E20E70"/>
    <w:rsid w:val="00E25B68"/>
    <w:rsid w:val="00E45B2E"/>
    <w:rsid w:val="00E71740"/>
    <w:rsid w:val="00E84003"/>
    <w:rsid w:val="00E9296F"/>
    <w:rsid w:val="00E92C2A"/>
    <w:rsid w:val="00EB5C6D"/>
    <w:rsid w:val="00EC01C8"/>
    <w:rsid w:val="00EC10FC"/>
    <w:rsid w:val="00EC63DB"/>
    <w:rsid w:val="00EE0041"/>
    <w:rsid w:val="00EE2449"/>
    <w:rsid w:val="00EE29B9"/>
    <w:rsid w:val="00EF62BA"/>
    <w:rsid w:val="00F004EE"/>
    <w:rsid w:val="00F17732"/>
    <w:rsid w:val="00F219DF"/>
    <w:rsid w:val="00F42E23"/>
    <w:rsid w:val="00F45EEE"/>
    <w:rsid w:val="00F51E9C"/>
    <w:rsid w:val="00F523CA"/>
    <w:rsid w:val="00F74A9D"/>
    <w:rsid w:val="00F7793E"/>
    <w:rsid w:val="00F87E37"/>
    <w:rsid w:val="00F93F8E"/>
    <w:rsid w:val="00FA549C"/>
    <w:rsid w:val="00FC0576"/>
    <w:rsid w:val="00FC4F9E"/>
    <w:rsid w:val="00FE6DCE"/>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1">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atentStyles>
  <w:style w:type="paragraph" w:default="1" w:styleId="Normlny">
    <w:name w:val="Normal"/>
    <w:uiPriority w:val="49"/>
    <w:rsid w:val="00CF7AF3"/>
    <w:pPr>
      <w:overflowPunct w:val="0"/>
      <w:autoSpaceDE w:val="0"/>
      <w:autoSpaceDN w:val="0"/>
      <w:adjustRightInd w:val="0"/>
      <w:textAlignment w:val="baseline"/>
    </w:pPr>
    <w:rPr>
      <w:sz w:val="22"/>
      <w:lang w:eastAsia="en-US"/>
    </w:rPr>
  </w:style>
  <w:style w:type="paragraph" w:styleId="Nadpis1">
    <w:name w:val="heading 1"/>
    <w:aliases w:val="Paper title"/>
    <w:next w:val="Podtitul"/>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Nadpis2">
    <w:name w:val="heading 2"/>
    <w:aliases w:val="1st level paper heading"/>
    <w:next w:val="Zkladn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Nadpis3">
    <w:name w:val="heading 3"/>
    <w:aliases w:val="2nd level paper heading"/>
    <w:next w:val="Zkladntext"/>
    <w:uiPriority w:val="4"/>
    <w:qFormat/>
    <w:rsid w:val="00897ED5"/>
    <w:pPr>
      <w:widowControl w:val="0"/>
      <w:numPr>
        <w:ilvl w:val="2"/>
        <w:numId w:val="12"/>
      </w:numPr>
      <w:spacing w:before="240" w:after="240" w:line="240" w:lineRule="exact"/>
      <w:outlineLvl w:val="2"/>
    </w:pPr>
    <w:rPr>
      <w:b/>
      <w:lang w:eastAsia="en-US"/>
    </w:rPr>
  </w:style>
  <w:style w:type="paragraph" w:styleId="Nadpis4">
    <w:name w:val="heading 4"/>
    <w:aliases w:val="3rd level paper heading"/>
    <w:basedOn w:val="Normlny"/>
    <w:next w:val="Zkladn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Nadpis5">
    <w:name w:val="heading 5"/>
    <w:basedOn w:val="Normlny"/>
    <w:next w:val="Normlny"/>
    <w:uiPriority w:val="19"/>
    <w:locked/>
    <w:pPr>
      <w:overflowPunct/>
      <w:autoSpaceDE/>
      <w:autoSpaceDN/>
      <w:adjustRightInd/>
      <w:spacing w:before="240" w:after="60"/>
      <w:textAlignment w:val="auto"/>
      <w:outlineLvl w:val="4"/>
    </w:pPr>
    <w:rPr>
      <w:b/>
      <w:bCs/>
      <w:i/>
      <w:iCs/>
      <w:sz w:val="26"/>
      <w:szCs w:val="26"/>
      <w:lang w:val="en-US"/>
    </w:rPr>
  </w:style>
  <w:style w:type="paragraph" w:styleId="Nadpis6">
    <w:name w:val="heading 6"/>
    <w:basedOn w:val="Normlny"/>
    <w:next w:val="Normlny"/>
    <w:uiPriority w:val="19"/>
    <w:locked/>
    <w:pPr>
      <w:overflowPunct/>
      <w:autoSpaceDE/>
      <w:autoSpaceDN/>
      <w:adjustRightInd/>
      <w:spacing w:before="240" w:after="60"/>
      <w:textAlignment w:val="auto"/>
      <w:outlineLvl w:val="5"/>
    </w:pPr>
    <w:rPr>
      <w:b/>
      <w:bCs/>
      <w:szCs w:val="22"/>
      <w:lang w:val="en-US"/>
    </w:rPr>
  </w:style>
  <w:style w:type="paragraph" w:styleId="Nadpis7">
    <w:name w:val="heading 7"/>
    <w:basedOn w:val="Normlny"/>
    <w:next w:val="Normlny"/>
    <w:uiPriority w:val="19"/>
    <w:locked/>
    <w:pPr>
      <w:overflowPunct/>
      <w:autoSpaceDE/>
      <w:autoSpaceDN/>
      <w:adjustRightInd/>
      <w:spacing w:before="240" w:after="60"/>
      <w:textAlignment w:val="auto"/>
      <w:outlineLvl w:val="6"/>
    </w:pPr>
    <w:rPr>
      <w:szCs w:val="24"/>
      <w:lang w:val="en-US"/>
    </w:rPr>
  </w:style>
  <w:style w:type="paragraph" w:styleId="Nadpis8">
    <w:name w:val="heading 8"/>
    <w:basedOn w:val="Normlny"/>
    <w:next w:val="Normlny"/>
    <w:uiPriority w:val="19"/>
    <w:locked/>
    <w:pPr>
      <w:overflowPunct/>
      <w:autoSpaceDE/>
      <w:autoSpaceDN/>
      <w:adjustRightInd/>
      <w:spacing w:before="240" w:after="60"/>
      <w:textAlignment w:val="auto"/>
      <w:outlineLvl w:val="7"/>
    </w:pPr>
    <w:rPr>
      <w:i/>
      <w:iCs/>
      <w:szCs w:val="24"/>
      <w:lang w:val="en-US"/>
    </w:rPr>
  </w:style>
  <w:style w:type="paragraph" w:styleId="Nadpis9">
    <w:name w:val="heading 9"/>
    <w:basedOn w:val="Normlny"/>
    <w:next w:val="Normlny"/>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link w:val="ZkladntextChar"/>
    <w:qFormat/>
    <w:rsid w:val="00647F33"/>
    <w:pPr>
      <w:spacing w:line="260" w:lineRule="atLeast"/>
      <w:ind w:firstLine="567"/>
      <w:contextualSpacing/>
      <w:jc w:val="both"/>
    </w:pPr>
    <w:rPr>
      <w:lang w:eastAsia="en-US"/>
    </w:rPr>
  </w:style>
  <w:style w:type="paragraph" w:styleId="Zarkazkladnhotextu">
    <w:name w:val="Body Text Indent"/>
    <w:basedOn w:val="Zkladntext"/>
    <w:uiPriority w:val="49"/>
    <w:locked/>
    <w:pPr>
      <w:ind w:left="1134" w:hanging="675"/>
    </w:pPr>
  </w:style>
  <w:style w:type="paragraph" w:customStyle="1" w:styleId="BodyTextMultiline">
    <w:name w:val="Body Text Multiline"/>
    <w:basedOn w:val="Zkladn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Popis">
    <w:name w:val="caption"/>
    <w:next w:val="Normlny"/>
    <w:uiPriority w:val="49"/>
    <w:pPr>
      <w:spacing w:after="85"/>
    </w:pPr>
    <w:rPr>
      <w:bCs/>
      <w:sz w:val="18"/>
      <w:lang w:val="en-US" w:eastAsia="en-US"/>
    </w:rPr>
  </w:style>
  <w:style w:type="paragraph" w:styleId="Pta">
    <w:name w:val="footer"/>
    <w:basedOn w:val="Normlny"/>
    <w:link w:val="PtaChar"/>
    <w:uiPriority w:val="99"/>
    <w:locked/>
    <w:pPr>
      <w:overflowPunct/>
      <w:autoSpaceDE/>
      <w:autoSpaceDN/>
      <w:adjustRightInd/>
      <w:textAlignment w:val="auto"/>
    </w:pPr>
    <w:rPr>
      <w:sz w:val="2"/>
      <w:lang w:val="en-US"/>
    </w:rPr>
  </w:style>
  <w:style w:type="paragraph" w:styleId="Textpoznmkypodiarou">
    <w:name w:val="footnote text"/>
    <w:semiHidden/>
    <w:locked/>
    <w:pPr>
      <w:tabs>
        <w:tab w:val="left" w:pos="459"/>
      </w:tabs>
      <w:spacing w:before="142"/>
      <w:ind w:left="459"/>
      <w:jc w:val="both"/>
    </w:pPr>
    <w:rPr>
      <w:sz w:val="18"/>
      <w:lang w:eastAsia="en-US"/>
    </w:rPr>
  </w:style>
  <w:style w:type="paragraph" w:styleId="Hlavika">
    <w:name w:val="header"/>
    <w:next w:val="Zkladn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Zkladntext"/>
    <w:uiPriority w:val="6"/>
    <w:qFormat/>
    <w:rsid w:val="00717C6F"/>
    <w:pPr>
      <w:numPr>
        <w:numId w:val="20"/>
      </w:numPr>
      <w:ind w:left="709"/>
    </w:pPr>
  </w:style>
  <w:style w:type="paragraph" w:customStyle="1" w:styleId="ListNumbered">
    <w:name w:val="List Numbered"/>
    <w:basedOn w:val="Zkladntext"/>
    <w:uiPriority w:val="5"/>
    <w:qFormat/>
    <w:locked/>
    <w:rsid w:val="00717C6F"/>
    <w:pPr>
      <w:numPr>
        <w:numId w:val="22"/>
      </w:numPr>
    </w:pPr>
  </w:style>
  <w:style w:type="paragraph" w:styleId="Nzov">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lny"/>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lny"/>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lny"/>
    <w:uiPriority w:val="49"/>
    <w:locked/>
    <w:pPr>
      <w:keepNext/>
      <w:spacing w:after="10"/>
    </w:pPr>
    <w:rPr>
      <w:rFonts w:ascii="Arial" w:hAnsi="Arial"/>
      <w:b/>
      <w:sz w:val="13"/>
    </w:rPr>
  </w:style>
  <w:style w:type="paragraph" w:customStyle="1" w:styleId="zyxP1Footer">
    <w:name w:val="zyxP1_Footer"/>
    <w:basedOn w:val="Normlny"/>
    <w:uiPriority w:val="49"/>
    <w:locked/>
    <w:pPr>
      <w:widowControl w:val="0"/>
      <w:spacing w:line="160" w:lineRule="exact"/>
      <w:ind w:left="108"/>
    </w:pPr>
    <w:rPr>
      <w:sz w:val="14"/>
    </w:rPr>
  </w:style>
  <w:style w:type="paragraph" w:customStyle="1" w:styleId="zyxSensitivity">
    <w:name w:val="zyxSensitivity"/>
    <w:basedOn w:val="Normlny"/>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lny"/>
    <w:uiPriority w:val="49"/>
    <w:locked/>
    <w:pPr>
      <w:keepNext/>
      <w:spacing w:line="420" w:lineRule="exact"/>
    </w:pPr>
    <w:rPr>
      <w:rFonts w:ascii="Arial" w:hAnsi="Arial"/>
      <w:sz w:val="40"/>
    </w:rPr>
  </w:style>
  <w:style w:type="character" w:styleId="Odkaznapoznmkupodiarou">
    <w:name w:val="footnote reference"/>
    <w:basedOn w:val="Predvolenpsmoodseku"/>
    <w:semiHidden/>
    <w:locked/>
    <w:rPr>
      <w:vertAlign w:val="superscript"/>
    </w:rPr>
  </w:style>
  <w:style w:type="paragraph" w:styleId="Podtitul">
    <w:name w:val="Subtitle"/>
    <w:next w:val="Zkladn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Zkladntext"/>
    <w:uiPriority w:val="49"/>
    <w:locked/>
    <w:pPr>
      <w:spacing w:line="280" w:lineRule="exact"/>
      <w:jc w:val="right"/>
    </w:pPr>
    <w:rPr>
      <w:rFonts w:ascii="Arial" w:hAnsi="Arial" w:cs="Arial"/>
      <w:b/>
      <w:bCs/>
      <w:caps/>
      <w:sz w:val="24"/>
    </w:rPr>
  </w:style>
  <w:style w:type="paragraph" w:customStyle="1" w:styleId="zyxClassification2">
    <w:name w:val="zyxClassification2"/>
    <w:basedOn w:val="Pta"/>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PtaChar">
    <w:name w:val="Päta Char"/>
    <w:basedOn w:val="Predvolenpsmoodseku"/>
    <w:link w:val="Pta"/>
    <w:uiPriority w:val="99"/>
    <w:rsid w:val="00037321"/>
    <w:rPr>
      <w:sz w:val="2"/>
      <w:lang w:val="en-US" w:eastAsia="en-US"/>
    </w:rPr>
  </w:style>
  <w:style w:type="paragraph" w:customStyle="1" w:styleId="Runninghead">
    <w:name w:val="Running head"/>
    <w:basedOn w:val="Normlny"/>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Predvolenpsmoodseku"/>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ZkladntextChar">
    <w:name w:val="Základný text Char"/>
    <w:basedOn w:val="Predvolenpsmoodseku"/>
    <w:link w:val="Zkladntext"/>
    <w:rsid w:val="00647F33"/>
    <w:rPr>
      <w:lang w:eastAsia="en-US"/>
    </w:rPr>
  </w:style>
  <w:style w:type="character" w:customStyle="1" w:styleId="AuthornameandaffiliationChar">
    <w:name w:val="Author name and affiliation Char"/>
    <w:basedOn w:val="ZkladntextChar"/>
    <w:link w:val="Authornameandaffiliation"/>
    <w:uiPriority w:val="49"/>
    <w:rsid w:val="00647F33"/>
    <w:rPr>
      <w:lang w:val="en-US" w:eastAsia="en-US"/>
    </w:rPr>
  </w:style>
  <w:style w:type="table" w:styleId="Mriekatabuky">
    <w:name w:val="Table Grid"/>
    <w:basedOn w:val="Normlnatabuka"/>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Textbubliny">
    <w:name w:val="Balloon Text"/>
    <w:basedOn w:val="Normlny"/>
    <w:link w:val="TextbublinyChar"/>
    <w:uiPriority w:val="49"/>
    <w:locked/>
    <w:rsid w:val="005F00A0"/>
    <w:rPr>
      <w:rFonts w:ascii="Tahoma" w:hAnsi="Tahoma" w:cs="Tahoma"/>
      <w:sz w:val="16"/>
      <w:szCs w:val="16"/>
    </w:rPr>
  </w:style>
  <w:style w:type="character" w:customStyle="1" w:styleId="TextbublinyChar">
    <w:name w:val="Text bubliny Char"/>
    <w:basedOn w:val="Predvolenpsmoodseku"/>
    <w:link w:val="Textbubliny"/>
    <w:uiPriority w:val="49"/>
    <w:rsid w:val="005F00A0"/>
    <w:rPr>
      <w:rFonts w:ascii="Tahoma" w:hAnsi="Tahoma" w:cs="Tahoma"/>
      <w:sz w:val="16"/>
      <w:szCs w:val="16"/>
      <w:lang w:eastAsia="en-US"/>
    </w:rPr>
  </w:style>
  <w:style w:type="paragraph" w:customStyle="1" w:styleId="Figurecaption">
    <w:name w:val="Figure caption"/>
    <w:basedOn w:val="Zkladntext"/>
    <w:link w:val="FigurecaptionChar"/>
    <w:uiPriority w:val="49"/>
    <w:qFormat/>
    <w:locked/>
    <w:rsid w:val="00717C6F"/>
    <w:pPr>
      <w:jc w:val="center"/>
    </w:pPr>
    <w:rPr>
      <w:i/>
      <w:sz w:val="18"/>
    </w:rPr>
  </w:style>
  <w:style w:type="paragraph" w:customStyle="1" w:styleId="Otherunnumberedheadings">
    <w:name w:val="Other unnumbered headings"/>
    <w:next w:val="Zkladn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ZkladntextChar"/>
    <w:link w:val="Figurecaption"/>
    <w:uiPriority w:val="49"/>
    <w:rsid w:val="00717C6F"/>
    <w:rPr>
      <w:i/>
      <w:sz w:val="18"/>
      <w:lang w:eastAsia="en-US"/>
    </w:rPr>
  </w:style>
  <w:style w:type="paragraph" w:customStyle="1" w:styleId="Referencelist">
    <w:name w:val="Reference list"/>
    <w:basedOn w:val="Zkladn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Zkladn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ZkladntextChar"/>
    <w:link w:val="Referencelist"/>
    <w:uiPriority w:val="49"/>
    <w:rsid w:val="009E0D5B"/>
    <w:rPr>
      <w:sz w:val="18"/>
      <w:szCs w:val="18"/>
      <w:lang w:eastAsia="en-US"/>
    </w:rPr>
  </w:style>
  <w:style w:type="paragraph" w:customStyle="1" w:styleId="Tabletext">
    <w:name w:val="Table text"/>
    <w:basedOn w:val="Zkladntext"/>
    <w:link w:val="TabletextChar"/>
    <w:uiPriority w:val="49"/>
    <w:qFormat/>
    <w:rsid w:val="00883848"/>
    <w:pPr>
      <w:ind w:firstLine="0"/>
    </w:pPr>
  </w:style>
  <w:style w:type="character" w:customStyle="1" w:styleId="TabletextChar">
    <w:name w:val="Table text Char"/>
    <w:basedOn w:val="ZkladntextChar"/>
    <w:link w:val="Tabletext"/>
    <w:uiPriority w:val="49"/>
    <w:rsid w:val="00883848"/>
    <w:rPr>
      <w:lang w:eastAsia="en-US"/>
    </w:rPr>
  </w:style>
  <w:style w:type="paragraph" w:customStyle="1" w:styleId="Default">
    <w:name w:val="Default"/>
    <w:rsid w:val="008042A9"/>
    <w:pPr>
      <w:autoSpaceDE w:val="0"/>
      <w:autoSpaceDN w:val="0"/>
      <w:adjustRightInd w:val="0"/>
    </w:pPr>
    <w:rPr>
      <w:rFonts w:ascii="EUAlbertina" w:eastAsiaTheme="minorHAnsi" w:hAnsi="EUAlbertina" w:cs="EUAlbertina"/>
      <w:color w:val="000000"/>
      <w:sz w:val="24"/>
      <w:szCs w:val="24"/>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6EB6A8B9-C86C-4844-A4EB-2D239F6FA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4311</TotalTime>
  <Pages>7</Pages>
  <Words>4168</Words>
  <Characters>22971</Characters>
  <Application>Microsoft Office Word</Application>
  <DocSecurity>0</DocSecurity>
  <Lines>191</Lines>
  <Paragraphs>54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27085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Mikulas Turner</cp:lastModifiedBy>
  <cp:revision>18</cp:revision>
  <cp:lastPrinted>2024-04-22T09:49:00Z</cp:lastPrinted>
  <dcterms:created xsi:type="dcterms:W3CDTF">2024-05-17T07:49:00Z</dcterms:created>
  <dcterms:modified xsi:type="dcterms:W3CDTF">2024-05-24T09:48:00Z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