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DF51E" w14:textId="2E196A2B" w:rsidR="00B418F3" w:rsidRDefault="00B418F3" w:rsidP="00B418F3">
      <w:pPr>
        <w:ind w:left="567"/>
        <w:rPr>
          <w:b/>
          <w:bCs/>
          <w:lang w:val="en-US"/>
        </w:rPr>
      </w:pPr>
      <w:r w:rsidRPr="00390471">
        <w:rPr>
          <w:b/>
          <w:bCs/>
          <w:lang w:val="en-US"/>
        </w:rPr>
        <w:t xml:space="preserve">SMALL MODULAR REACTORS TO DECARBONIZE THE INDUSTRY: </w:t>
      </w:r>
      <w:r>
        <w:rPr>
          <w:b/>
          <w:bCs/>
          <w:lang w:val="en-US"/>
        </w:rPr>
        <w:br/>
      </w:r>
      <w:r w:rsidRPr="00390471">
        <w:rPr>
          <w:b/>
          <w:bCs/>
          <w:lang w:val="en-US"/>
        </w:rPr>
        <w:t>THE IMPACT OF NUCLEAR LIABILITY</w:t>
      </w:r>
      <w:r w:rsidR="00E467AE">
        <w:rPr>
          <w:b/>
          <w:bCs/>
          <w:lang w:val="en-US"/>
        </w:rPr>
        <w:t>*</w:t>
      </w:r>
    </w:p>
    <w:p w14:paraId="5D4DB0BC" w14:textId="4698908B" w:rsidR="00B82FA5" w:rsidRPr="00EE29B9" w:rsidRDefault="00B82FA5" w:rsidP="00537496">
      <w:pPr>
        <w:pStyle w:val="Heading1"/>
      </w:pPr>
    </w:p>
    <w:p w14:paraId="19195FDD" w14:textId="77777777" w:rsidR="00802381" w:rsidRDefault="00802381" w:rsidP="00537496">
      <w:pPr>
        <w:pStyle w:val="Authornameandaffiliation"/>
      </w:pPr>
    </w:p>
    <w:p w14:paraId="7D7F50F0" w14:textId="2E4E750F" w:rsidR="003B5E0E" w:rsidRPr="00AF454E" w:rsidRDefault="00F40F18" w:rsidP="00537496">
      <w:pPr>
        <w:pStyle w:val="Authornameandaffiliation"/>
      </w:pPr>
      <w:r w:rsidRPr="00AF454E">
        <w:t xml:space="preserve">Ximena VÁSQUEZ-MAIGNAN </w:t>
      </w:r>
    </w:p>
    <w:p w14:paraId="1850F51C" w14:textId="69F66011" w:rsidR="00FF386F" w:rsidRDefault="00F40F18" w:rsidP="00537496">
      <w:pPr>
        <w:pStyle w:val="Authornameandaffiliation"/>
      </w:pPr>
      <w:r>
        <w:t>White &amp; Case</w:t>
      </w:r>
      <w:r w:rsidR="000456D8">
        <w:t xml:space="preserve"> LLP</w:t>
      </w:r>
    </w:p>
    <w:p w14:paraId="74D7F8A1" w14:textId="59895BFE" w:rsidR="00FF386F" w:rsidRDefault="00F40F18" w:rsidP="00537496">
      <w:pPr>
        <w:pStyle w:val="Authornameandaffiliation"/>
      </w:pPr>
      <w:r>
        <w:t>Paris, France</w:t>
      </w:r>
    </w:p>
    <w:p w14:paraId="1C6A20F1" w14:textId="0F5C7EE4" w:rsidR="00FF386F" w:rsidRDefault="00FF386F" w:rsidP="00537496">
      <w:pPr>
        <w:pStyle w:val="Authornameandaffiliation"/>
      </w:pPr>
      <w:r>
        <w:t xml:space="preserve">Email: </w:t>
      </w:r>
      <w:r w:rsidR="00F40F18">
        <w:t>ximena.vasquez-maignan@whitecase.com</w:t>
      </w:r>
    </w:p>
    <w:p w14:paraId="2E7E78F8" w14:textId="77777777" w:rsidR="00FF386F" w:rsidRDefault="00FF386F" w:rsidP="00537496">
      <w:pPr>
        <w:pStyle w:val="Authornameandaffiliation"/>
      </w:pPr>
    </w:p>
    <w:p w14:paraId="0B6DD9CF" w14:textId="1BCA61FE" w:rsidR="00E467AE" w:rsidRDefault="00E467AE" w:rsidP="00E467AE">
      <w:pPr>
        <w:pStyle w:val="wText"/>
        <w:ind w:left="567"/>
        <w:rPr>
          <w:i/>
          <w:iCs/>
          <w:sz w:val="20"/>
          <w:lang w:val="en-US" w:eastAsia="fr-FR"/>
        </w:rPr>
      </w:pPr>
      <w:r>
        <w:rPr>
          <w:i/>
          <w:iCs/>
          <w:lang w:val="en-US"/>
        </w:rPr>
        <w:t>* “Any views expressed in this publication are strictly those of the author and should not be attributed in any way to White &amp; Case LLP.”</w:t>
      </w:r>
    </w:p>
    <w:p w14:paraId="564B7E23" w14:textId="47C2709C" w:rsidR="00E467AE" w:rsidRDefault="00E467AE" w:rsidP="00E467AE">
      <w:pPr>
        <w:pStyle w:val="Authornameandaffiliation"/>
      </w:pPr>
    </w:p>
    <w:p w14:paraId="61E8A575" w14:textId="77777777" w:rsidR="009E3D9A" w:rsidRDefault="009E3D9A" w:rsidP="00537496">
      <w:pPr>
        <w:pStyle w:val="Authornameandaffiliation"/>
      </w:pPr>
    </w:p>
    <w:p w14:paraId="57857091" w14:textId="77777777" w:rsidR="00647F33" w:rsidRPr="00647F33" w:rsidRDefault="00647F33" w:rsidP="00537496">
      <w:pPr>
        <w:pStyle w:val="Authornameandaffiliation"/>
        <w:rPr>
          <w:b/>
        </w:rPr>
      </w:pPr>
      <w:r w:rsidRPr="00647F33">
        <w:rPr>
          <w:b/>
        </w:rPr>
        <w:t>Abstract</w:t>
      </w:r>
    </w:p>
    <w:p w14:paraId="353C524E" w14:textId="77777777" w:rsidR="00647F33" w:rsidRDefault="00647F33" w:rsidP="00537496">
      <w:pPr>
        <w:pStyle w:val="Authornameandaffiliation"/>
      </w:pPr>
    </w:p>
    <w:p w14:paraId="6C5359A6" w14:textId="101F0401" w:rsidR="00B418F3" w:rsidRPr="00B418F3" w:rsidRDefault="00B418F3" w:rsidP="00DA4583">
      <w:pPr>
        <w:spacing w:after="120"/>
        <w:jc w:val="both"/>
        <w:rPr>
          <w:sz w:val="18"/>
          <w:lang w:val="en-US"/>
        </w:rPr>
      </w:pPr>
      <w:r w:rsidRPr="00B418F3">
        <w:rPr>
          <w:sz w:val="18"/>
          <w:lang w:val="en-US"/>
        </w:rPr>
        <w:t>Nuclear liability is a special regime that was adopted to ensure an adequate compensation of potential victims having suffered nuclear damage caused by a nuclear incident. It should also be considered when developing an SMR project to decarbonize industrial activities, as it will have an impact on the financial scheme, risk allocation and structure of the project. Among the provisions of the nuclear liability conventions that would apply, the following are the most important ones:</w:t>
      </w:r>
    </w:p>
    <w:p w14:paraId="0F520723" w14:textId="6BC4CCD4" w:rsidR="00B418F3" w:rsidRPr="009000C4" w:rsidRDefault="00B418F3" w:rsidP="00DA4583">
      <w:pPr>
        <w:spacing w:after="120"/>
        <w:jc w:val="both"/>
        <w:rPr>
          <w:sz w:val="18"/>
          <w:lang w:val="en-US"/>
        </w:rPr>
      </w:pPr>
      <w:r w:rsidRPr="00B418F3">
        <w:rPr>
          <w:sz w:val="18"/>
          <w:lang w:val="en-US"/>
        </w:rPr>
        <w:t xml:space="preserve">- the </w:t>
      </w:r>
      <w:r w:rsidRPr="009000C4">
        <w:rPr>
          <w:sz w:val="18"/>
          <w:lang w:val="en-US"/>
        </w:rPr>
        <w:t>definition of "</w:t>
      </w:r>
      <w:r w:rsidRPr="009000C4">
        <w:rPr>
          <w:b/>
          <w:bCs/>
          <w:sz w:val="18"/>
          <w:lang w:val="en-US"/>
        </w:rPr>
        <w:t>nuclear installation</w:t>
      </w:r>
      <w:r w:rsidRPr="009000C4">
        <w:rPr>
          <w:sz w:val="18"/>
          <w:lang w:val="en-US"/>
        </w:rPr>
        <w:t>"</w:t>
      </w:r>
      <w:r w:rsidR="009701FD" w:rsidRPr="009000C4">
        <w:rPr>
          <w:sz w:val="18"/>
          <w:lang w:val="en-US"/>
        </w:rPr>
        <w:t>:</w:t>
      </w:r>
      <w:r w:rsidRPr="009000C4">
        <w:rPr>
          <w:sz w:val="18"/>
          <w:lang w:val="en-US"/>
        </w:rPr>
        <w:t xml:space="preserve"> </w:t>
      </w:r>
      <w:r w:rsidR="009701FD" w:rsidRPr="009000C4">
        <w:rPr>
          <w:sz w:val="18"/>
          <w:lang w:val="en-US"/>
        </w:rPr>
        <w:t>a</w:t>
      </w:r>
      <w:r w:rsidRPr="009000C4">
        <w:rPr>
          <w:sz w:val="18"/>
          <w:lang w:val="en-US"/>
        </w:rPr>
        <w:t>n SMR will be qualified as such, whatever its size and capacity. Determining the site of the nuclear installation is also crucial as nuclear liability only compensates off-site damage.</w:t>
      </w:r>
    </w:p>
    <w:p w14:paraId="6DD4C768" w14:textId="5AA4442C" w:rsidR="00B418F3" w:rsidRPr="009000C4" w:rsidRDefault="00B418F3" w:rsidP="00DA4583">
      <w:pPr>
        <w:spacing w:after="120"/>
        <w:jc w:val="both"/>
        <w:rPr>
          <w:sz w:val="18"/>
          <w:lang w:val="en-US"/>
        </w:rPr>
      </w:pPr>
      <w:r w:rsidRPr="009000C4">
        <w:rPr>
          <w:sz w:val="18"/>
          <w:lang w:val="en-US"/>
        </w:rPr>
        <w:t>- the definition of "</w:t>
      </w:r>
      <w:r w:rsidRPr="009000C4">
        <w:rPr>
          <w:b/>
          <w:bCs/>
          <w:sz w:val="18"/>
          <w:lang w:val="en-US"/>
        </w:rPr>
        <w:t>operator</w:t>
      </w:r>
      <w:r w:rsidRPr="009000C4">
        <w:rPr>
          <w:sz w:val="18"/>
          <w:lang w:val="en-US"/>
        </w:rPr>
        <w:t>"</w:t>
      </w:r>
      <w:r w:rsidR="009701FD" w:rsidRPr="009000C4">
        <w:rPr>
          <w:sz w:val="18"/>
          <w:lang w:val="en-US"/>
        </w:rPr>
        <w:t>:</w:t>
      </w:r>
      <w:r w:rsidRPr="009000C4">
        <w:rPr>
          <w:sz w:val="18"/>
          <w:lang w:val="en-US"/>
        </w:rPr>
        <w:t xml:space="preserve"> </w:t>
      </w:r>
      <w:r w:rsidR="009701FD" w:rsidRPr="009000C4">
        <w:rPr>
          <w:sz w:val="18"/>
          <w:lang w:val="en-US"/>
        </w:rPr>
        <w:t>t</w:t>
      </w:r>
      <w:r w:rsidRPr="009000C4">
        <w:rPr>
          <w:sz w:val="18"/>
          <w:lang w:val="en-US"/>
        </w:rPr>
        <w:t xml:space="preserve">he operator is not automatically the </w:t>
      </w:r>
      <w:proofErr w:type="gramStart"/>
      <w:r w:rsidRPr="009000C4">
        <w:rPr>
          <w:sz w:val="18"/>
          <w:lang w:val="en-US"/>
        </w:rPr>
        <w:t>licensee,</w:t>
      </w:r>
      <w:proofErr w:type="gramEnd"/>
      <w:r w:rsidRPr="009000C4">
        <w:rPr>
          <w:sz w:val="18"/>
          <w:lang w:val="en-US"/>
        </w:rPr>
        <w:t xml:space="preserve"> other entities may bear the nuclear liability based on a number of criteria. It is also important to note that SMR vendors will have different approaches, as some expect to own and operate the reactors, while others will sell them to third parties who will take over or outsource the operator's role. </w:t>
      </w:r>
    </w:p>
    <w:p w14:paraId="7A2D493A" w14:textId="4A0058FE" w:rsidR="00B418F3" w:rsidRPr="009000C4" w:rsidRDefault="00B418F3" w:rsidP="00DA4583">
      <w:pPr>
        <w:spacing w:after="120"/>
        <w:jc w:val="both"/>
        <w:rPr>
          <w:sz w:val="18"/>
          <w:lang w:val="en-US"/>
        </w:rPr>
      </w:pPr>
      <w:r w:rsidRPr="009000C4">
        <w:rPr>
          <w:sz w:val="18"/>
          <w:lang w:val="en-US"/>
        </w:rPr>
        <w:t>- the definition of "</w:t>
      </w:r>
      <w:r w:rsidRPr="009000C4">
        <w:rPr>
          <w:b/>
          <w:bCs/>
          <w:sz w:val="18"/>
          <w:lang w:val="en-US"/>
        </w:rPr>
        <w:t>nuclear incident</w:t>
      </w:r>
      <w:r w:rsidRPr="009000C4">
        <w:rPr>
          <w:sz w:val="18"/>
          <w:lang w:val="en-US"/>
        </w:rPr>
        <w:t>"</w:t>
      </w:r>
      <w:r w:rsidR="009701FD" w:rsidRPr="009000C4">
        <w:rPr>
          <w:sz w:val="18"/>
          <w:lang w:val="en-US"/>
        </w:rPr>
        <w:t>:</w:t>
      </w:r>
      <w:r w:rsidRPr="009000C4">
        <w:rPr>
          <w:sz w:val="18"/>
          <w:lang w:val="en-US"/>
        </w:rPr>
        <w:t xml:space="preserve"> </w:t>
      </w:r>
      <w:r w:rsidR="009701FD" w:rsidRPr="009000C4">
        <w:rPr>
          <w:sz w:val="18"/>
          <w:lang w:val="en-US"/>
        </w:rPr>
        <w:t>i</w:t>
      </w:r>
      <w:r w:rsidRPr="009000C4">
        <w:rPr>
          <w:sz w:val="18"/>
          <w:lang w:val="en-US"/>
        </w:rPr>
        <w:t>f damage is caused jointly by an incident taking place at the nuclear installation and at the industrial site, the nuclear liability conventions will determine who will compensate the victims. The siting of the SMR will be important to avoid such situation and to comply with the safety requirement applicable to both the SMR and the industrial site.</w:t>
      </w:r>
    </w:p>
    <w:p w14:paraId="7A67B324" w14:textId="4CA1F7F3" w:rsidR="00B418F3" w:rsidRPr="00B418F3" w:rsidRDefault="00B418F3" w:rsidP="00DA4583">
      <w:pPr>
        <w:spacing w:after="120"/>
        <w:jc w:val="both"/>
        <w:rPr>
          <w:sz w:val="18"/>
          <w:lang w:val="en-US"/>
        </w:rPr>
      </w:pPr>
      <w:r w:rsidRPr="009000C4">
        <w:rPr>
          <w:sz w:val="18"/>
          <w:lang w:val="en-US"/>
        </w:rPr>
        <w:t>- the definition of "</w:t>
      </w:r>
      <w:r w:rsidRPr="009000C4">
        <w:rPr>
          <w:b/>
          <w:bCs/>
          <w:sz w:val="18"/>
          <w:lang w:val="en-US"/>
        </w:rPr>
        <w:t>nuclear damage</w:t>
      </w:r>
      <w:r w:rsidRPr="009000C4">
        <w:rPr>
          <w:sz w:val="18"/>
          <w:lang w:val="en-US"/>
        </w:rPr>
        <w:t>" determines the financial</w:t>
      </w:r>
      <w:r w:rsidRPr="00B418F3">
        <w:rPr>
          <w:sz w:val="18"/>
          <w:lang w:val="en-US"/>
        </w:rPr>
        <w:t xml:space="preserve"> consequences of an incident or of preventive measures.</w:t>
      </w:r>
    </w:p>
    <w:p w14:paraId="6257037C" w14:textId="77777777" w:rsidR="00B418F3" w:rsidRPr="00B418F3" w:rsidRDefault="00B418F3" w:rsidP="00DA4583">
      <w:pPr>
        <w:spacing w:after="120"/>
        <w:jc w:val="both"/>
        <w:rPr>
          <w:sz w:val="18"/>
          <w:lang w:val="en-US"/>
        </w:rPr>
      </w:pPr>
      <w:r w:rsidRPr="00B418F3">
        <w:rPr>
          <w:sz w:val="18"/>
          <w:lang w:val="en-US"/>
        </w:rPr>
        <w:t>Finally, SMRs could be considered as low risk based on the safety assessment and other criteria. If that were the case, the operator would benefit from a lower nuclear liability and insurance amount. It may also allow more alternatives to the nuclear insurance pools.</w:t>
      </w:r>
    </w:p>
    <w:p w14:paraId="17E7B079" w14:textId="77777777" w:rsidR="00647F33" w:rsidRDefault="00F523CA" w:rsidP="00E467AE">
      <w:pPr>
        <w:pStyle w:val="Heading2"/>
        <w:keepNext/>
        <w:keepLines/>
        <w:widowControl/>
        <w:numPr>
          <w:ilvl w:val="1"/>
          <w:numId w:val="5"/>
        </w:numPr>
      </w:pPr>
      <w:r>
        <w:t>INTRODUCTION</w:t>
      </w:r>
    </w:p>
    <w:p w14:paraId="6783A860" w14:textId="10BD5AD3" w:rsidR="00E34ACD" w:rsidRDefault="000F78C1" w:rsidP="00DA4583">
      <w:pPr>
        <w:pStyle w:val="BodyText"/>
        <w:spacing w:after="120"/>
        <w:contextualSpacing w:val="0"/>
      </w:pPr>
      <w:r>
        <w:t xml:space="preserve">When discussions were held </w:t>
      </w:r>
      <w:r w:rsidR="00C60FE8">
        <w:t>to</w:t>
      </w:r>
      <w:r>
        <w:t xml:space="preserve"> launch the development of nuclear power after World War II, the industry and the public raised concern</w:t>
      </w:r>
      <w:r w:rsidR="001C71BC">
        <w:t>s</w:t>
      </w:r>
      <w:r>
        <w:t xml:space="preserve"> about the potential consequence</w:t>
      </w:r>
      <w:r w:rsidR="001C71BC">
        <w:t>s</w:t>
      </w:r>
      <w:r>
        <w:t xml:space="preserve"> a nuclear accident could have. The governments had to develop a specific regime to adequately compensate the victims while allowing the industry to contribute to the development of the new sector without putting them before an unbearable risk. </w:t>
      </w:r>
      <w:r w:rsidR="00C60FE8">
        <w:t xml:space="preserve">This led to the establishment of a special regime that </w:t>
      </w:r>
      <w:r w:rsidR="001C71BC">
        <w:t xml:space="preserve">has since applied to the </w:t>
      </w:r>
      <w:r w:rsidR="00C60FE8">
        <w:t xml:space="preserve">nuclear </w:t>
      </w:r>
      <w:r w:rsidR="001C71BC">
        <w:t xml:space="preserve">power </w:t>
      </w:r>
      <w:r w:rsidR="00C60FE8">
        <w:t xml:space="preserve">sector. </w:t>
      </w:r>
    </w:p>
    <w:p w14:paraId="7B827B10" w14:textId="6591BE76" w:rsidR="00C60FE8" w:rsidRPr="00C60FE8" w:rsidRDefault="00C60FE8" w:rsidP="00DA4583">
      <w:pPr>
        <w:pStyle w:val="BodyText"/>
        <w:spacing w:after="120"/>
        <w:contextualSpacing w:val="0"/>
      </w:pPr>
      <w:r w:rsidRPr="00C60FE8">
        <w:t xml:space="preserve">In the context of </w:t>
      </w:r>
      <w:r>
        <w:t xml:space="preserve">common </w:t>
      </w:r>
      <w:r w:rsidRPr="00C60FE8">
        <w:t xml:space="preserve">tort </w:t>
      </w:r>
      <w:r>
        <w:t>law</w:t>
      </w:r>
      <w:r w:rsidRPr="00C60FE8">
        <w:t xml:space="preserve">, it is up to the victim to prove </w:t>
      </w:r>
      <w:r w:rsidR="001C71BC">
        <w:t xml:space="preserve">(i) </w:t>
      </w:r>
      <w:r w:rsidRPr="00C60FE8">
        <w:t xml:space="preserve">the existence of </w:t>
      </w:r>
      <w:r w:rsidR="003C3BBA">
        <w:t xml:space="preserve">a </w:t>
      </w:r>
      <w:r w:rsidRPr="00C60FE8">
        <w:t xml:space="preserve">damage, </w:t>
      </w:r>
      <w:r w:rsidR="001C71BC">
        <w:t xml:space="preserve">(ii) </w:t>
      </w:r>
      <w:r w:rsidRPr="00C60FE8">
        <w:t xml:space="preserve">the fault, </w:t>
      </w:r>
      <w:r w:rsidR="003C3BBA" w:rsidRPr="00C60FE8">
        <w:t>negligence,</w:t>
      </w:r>
      <w:r w:rsidRPr="00C60FE8">
        <w:t xml:space="preserve"> or recklessness of the alleged liable</w:t>
      </w:r>
      <w:r w:rsidR="003C3BBA">
        <w:t xml:space="preserve"> person</w:t>
      </w:r>
      <w:r w:rsidRPr="00C60FE8">
        <w:t xml:space="preserve">, as well as </w:t>
      </w:r>
      <w:r w:rsidR="001C71BC">
        <w:t xml:space="preserve">(iii) </w:t>
      </w:r>
      <w:r w:rsidRPr="00C60FE8">
        <w:t xml:space="preserve">the causal link between the act of the person alleged to be liable and the damage suffered. </w:t>
      </w:r>
    </w:p>
    <w:p w14:paraId="57B80940" w14:textId="4B844B43" w:rsidR="00C60FE8" w:rsidRDefault="00C60FE8" w:rsidP="00DA4583">
      <w:pPr>
        <w:pStyle w:val="BodyText"/>
        <w:spacing w:after="120"/>
        <w:contextualSpacing w:val="0"/>
      </w:pPr>
      <w:r w:rsidRPr="00C60FE8">
        <w:t xml:space="preserve">Due to the technical complexity and the number of </w:t>
      </w:r>
      <w:r w:rsidR="003C3BBA">
        <w:t xml:space="preserve">entities participating to </w:t>
      </w:r>
      <w:r w:rsidRPr="00C60FE8">
        <w:t xml:space="preserve">the construction and operation of a nuclear </w:t>
      </w:r>
      <w:r w:rsidR="003C3BBA">
        <w:t>power plant</w:t>
      </w:r>
      <w:r w:rsidRPr="00C60FE8">
        <w:t xml:space="preserve">, it would </w:t>
      </w:r>
      <w:r w:rsidR="00D42712">
        <w:t xml:space="preserve">not be beneficial for the different </w:t>
      </w:r>
      <w:r w:rsidR="001C71BC">
        <w:t xml:space="preserve">organisations involved </w:t>
      </w:r>
      <w:r w:rsidRPr="00C60FE8">
        <w:t xml:space="preserve">to apply common </w:t>
      </w:r>
      <w:r w:rsidR="001C71BC">
        <w:t xml:space="preserve">tort </w:t>
      </w:r>
      <w:r w:rsidRPr="00C60FE8">
        <w:t xml:space="preserve">law. </w:t>
      </w:r>
      <w:r w:rsidR="003C3BBA">
        <w:t xml:space="preserve">It would be extremely difficult and time-consuming for a victim to </w:t>
      </w:r>
      <w:r w:rsidRPr="00C60FE8">
        <w:t xml:space="preserve">identify the exact cause of a nuclear accident and the </w:t>
      </w:r>
      <w:r w:rsidR="001C71BC">
        <w:t xml:space="preserve">organisation </w:t>
      </w:r>
      <w:r w:rsidRPr="00C60FE8">
        <w:t xml:space="preserve">responsible for </w:t>
      </w:r>
      <w:r w:rsidR="003C3BBA">
        <w:t xml:space="preserve">causing </w:t>
      </w:r>
      <w:r w:rsidR="001C71BC">
        <w:t xml:space="preserve">the </w:t>
      </w:r>
      <w:r w:rsidRPr="00C60FE8">
        <w:t xml:space="preserve">accident. </w:t>
      </w:r>
      <w:r w:rsidR="00D42712">
        <w:t xml:space="preserve">The victims, as well as the operator and the suppliers would spend years in litigations to determine the entity that should compensate the victims for the damage caused, especially in case of transboundary damage </w:t>
      </w:r>
      <w:r w:rsidR="001C71BC">
        <w:t xml:space="preserve">as </w:t>
      </w:r>
      <w:r w:rsidR="00D42712">
        <w:t>the competent court and the applicable law should also be determined.</w:t>
      </w:r>
    </w:p>
    <w:p w14:paraId="17927469" w14:textId="564DE998" w:rsidR="0083073B" w:rsidRDefault="0083073B" w:rsidP="00E467AE">
      <w:pPr>
        <w:pStyle w:val="Heading2"/>
        <w:keepNext/>
        <w:keepLines/>
        <w:widowControl/>
        <w:numPr>
          <w:ilvl w:val="1"/>
          <w:numId w:val="5"/>
        </w:numPr>
      </w:pPr>
      <w:r>
        <w:lastRenderedPageBreak/>
        <w:t>The international framework applicable to nuclear liability</w:t>
      </w:r>
    </w:p>
    <w:p w14:paraId="4A47C094" w14:textId="0167BFA5" w:rsidR="00C60FE8" w:rsidRDefault="00C60FE8" w:rsidP="00DA4583">
      <w:pPr>
        <w:pStyle w:val="BodyText"/>
        <w:spacing w:after="120"/>
        <w:contextualSpacing w:val="0"/>
      </w:pPr>
      <w:r w:rsidRPr="00C60FE8">
        <w:t>In order to protect the interest</w:t>
      </w:r>
      <w:r w:rsidR="001C71BC">
        <w:t>s</w:t>
      </w:r>
      <w:r w:rsidRPr="00C60FE8">
        <w:t xml:space="preserve"> of the various stakeholders involved (the public, the operator and the </w:t>
      </w:r>
      <w:r w:rsidR="00D42712">
        <w:t>suppliers</w:t>
      </w:r>
      <w:r w:rsidRPr="00C60FE8">
        <w:t xml:space="preserve">) and to enable the development of nuclear power, </w:t>
      </w:r>
      <w:r w:rsidR="00F02BC4">
        <w:t>t</w:t>
      </w:r>
      <w:r w:rsidRPr="00C60FE8">
        <w:t xml:space="preserve">he States decided to establish a special liability regime that would apply only to risks that would be considered “exceptional” because of </w:t>
      </w:r>
      <w:r w:rsidR="00F02BC4">
        <w:t xml:space="preserve">the </w:t>
      </w:r>
      <w:r w:rsidRPr="00C60FE8">
        <w:t xml:space="preserve">radiological </w:t>
      </w:r>
      <w:r w:rsidR="00F02BC4">
        <w:t>risk</w:t>
      </w:r>
      <w:r w:rsidR="001C71BC">
        <w:t xml:space="preserve"> involved</w:t>
      </w:r>
      <w:r w:rsidRPr="00C60FE8">
        <w:t xml:space="preserve">, </w:t>
      </w:r>
      <w:r w:rsidR="00F02BC4">
        <w:t xml:space="preserve">the geographical </w:t>
      </w:r>
      <w:r w:rsidR="001C71BC">
        <w:t xml:space="preserve">reach of the accident </w:t>
      </w:r>
      <w:r w:rsidRPr="00C60FE8">
        <w:t>(</w:t>
      </w:r>
      <w:r w:rsidR="00F02BC4">
        <w:t xml:space="preserve">transboundary </w:t>
      </w:r>
      <w:r w:rsidRPr="00C60FE8">
        <w:t xml:space="preserve">risks) and the lack of regular insurance </w:t>
      </w:r>
      <w:r w:rsidR="00F02BC4">
        <w:t xml:space="preserve">to </w:t>
      </w:r>
      <w:r w:rsidRPr="00C60FE8">
        <w:t>cover</w:t>
      </w:r>
      <w:r w:rsidR="00F02BC4">
        <w:t xml:space="preserve"> such specific risk</w:t>
      </w:r>
      <w:r w:rsidR="001C71BC">
        <w:t xml:space="preserve"> (insurance policies </w:t>
      </w:r>
      <w:r w:rsidR="00514091">
        <w:t>usually provide for a nuclear risk exclusion clause)</w:t>
      </w:r>
      <w:r w:rsidRPr="00C60FE8">
        <w:t xml:space="preserve">. </w:t>
      </w:r>
    </w:p>
    <w:p w14:paraId="3DB3CFEC" w14:textId="5292F0C5" w:rsidR="00C60FE8" w:rsidRDefault="00C60FE8" w:rsidP="00DA4583">
      <w:pPr>
        <w:pStyle w:val="BodyText"/>
        <w:spacing w:after="120"/>
        <w:contextualSpacing w:val="0"/>
      </w:pPr>
      <w:r w:rsidRPr="00C60FE8">
        <w:t xml:space="preserve">The Paris Convention on </w:t>
      </w:r>
      <w:r w:rsidR="00F02BC4">
        <w:t xml:space="preserve">Third Party Liability in the Field of Nuclear Energy </w:t>
      </w:r>
      <w:r w:rsidR="00CC0772">
        <w:t>was a</w:t>
      </w:r>
      <w:r w:rsidRPr="00C60FE8">
        <w:t>dopted in 1960 (the “Paris Convention”)</w:t>
      </w:r>
      <w:r w:rsidR="00CC0772">
        <w:t xml:space="preserve"> </w:t>
      </w:r>
      <w:r w:rsidRPr="00C60FE8">
        <w:t xml:space="preserve">under the auspices of the Organisation for Economic Co-operation and Development (“OECD”). At the time this </w:t>
      </w:r>
      <w:r w:rsidR="00514091">
        <w:t>c</w:t>
      </w:r>
      <w:r w:rsidRPr="00C60FE8">
        <w:t xml:space="preserve">onvention was </w:t>
      </w:r>
      <w:r w:rsidR="00514091">
        <w:t xml:space="preserve">only </w:t>
      </w:r>
      <w:r w:rsidRPr="00C60FE8">
        <w:t xml:space="preserve">open to OECD member countries (which </w:t>
      </w:r>
      <w:r w:rsidR="00514091">
        <w:t>is not the case anymore</w:t>
      </w:r>
      <w:r w:rsidRPr="00C60FE8">
        <w:t xml:space="preserve">), </w:t>
      </w:r>
      <w:r w:rsidR="00514091">
        <w:t xml:space="preserve">therefore </w:t>
      </w:r>
      <w:r w:rsidRPr="00C60FE8">
        <w:t xml:space="preserve">the International Atomic Energy Agency (“IAEA”) adopted a very similar </w:t>
      </w:r>
      <w:r w:rsidR="00514091">
        <w:t>c</w:t>
      </w:r>
      <w:r w:rsidRPr="00C60FE8">
        <w:t>onvention in 1963: The Vienna Convention on Civil Liability for Nuclear damage (the “Vienna Convention”)</w:t>
      </w:r>
      <w:r w:rsidR="00514091">
        <w:t xml:space="preserve"> that was open to all the States members of the United Nations</w:t>
      </w:r>
      <w:r w:rsidRPr="00C60FE8">
        <w:t xml:space="preserve">. </w:t>
      </w:r>
    </w:p>
    <w:p w14:paraId="363C68A0" w14:textId="4F4A15FE" w:rsidR="00C60FE8" w:rsidRPr="00C60FE8" w:rsidRDefault="00CC0772" w:rsidP="00DA4583">
      <w:pPr>
        <w:pStyle w:val="BodyText"/>
        <w:spacing w:after="120"/>
        <w:contextualSpacing w:val="0"/>
      </w:pPr>
      <w:r>
        <w:t>A</w:t>
      </w:r>
      <w:r w:rsidR="00C60FE8" w:rsidRPr="00C60FE8">
        <w:t xml:space="preserve">fter the </w:t>
      </w:r>
      <w:r>
        <w:t xml:space="preserve">1986 </w:t>
      </w:r>
      <w:r w:rsidR="00C60FE8" w:rsidRPr="00C60FE8">
        <w:t xml:space="preserve">Chernobyl nuclear accident, States sought to strengthen the legal regime of civil nuclear liability </w:t>
      </w:r>
      <w:r w:rsidR="00C212E9" w:rsidRPr="00C60FE8">
        <w:t>based on</w:t>
      </w:r>
      <w:r w:rsidR="00C60FE8" w:rsidRPr="00C60FE8">
        <w:t xml:space="preserve"> </w:t>
      </w:r>
      <w:r>
        <w:t xml:space="preserve">the lessons learned </w:t>
      </w:r>
      <w:r w:rsidR="00C60FE8" w:rsidRPr="00C60FE8">
        <w:t xml:space="preserve">from that accident, which demonstrated </w:t>
      </w:r>
      <w:r>
        <w:t xml:space="preserve">among other issues, </w:t>
      </w:r>
      <w:r w:rsidR="00C60FE8" w:rsidRPr="00C60FE8">
        <w:t xml:space="preserve">the risks </w:t>
      </w:r>
      <w:r>
        <w:t xml:space="preserve">and consequences </w:t>
      </w:r>
      <w:r w:rsidR="00C60FE8" w:rsidRPr="00C60FE8">
        <w:t>of transboundary damage</w:t>
      </w:r>
      <w:r>
        <w:t>,</w:t>
      </w:r>
      <w:r w:rsidR="00C60FE8" w:rsidRPr="00C60FE8">
        <w:t xml:space="preserve"> and the nature of the damage that could be caused (including </w:t>
      </w:r>
      <w:r>
        <w:t xml:space="preserve">to the human body, the </w:t>
      </w:r>
      <w:r w:rsidR="00C212E9">
        <w:t>economies,</w:t>
      </w:r>
      <w:r>
        <w:t xml:space="preserve"> and the </w:t>
      </w:r>
      <w:r w:rsidR="00C60FE8" w:rsidRPr="00C60FE8">
        <w:t xml:space="preserve">environment). In 1997, the Protocol </w:t>
      </w:r>
      <w:r w:rsidR="005A3A0D">
        <w:t xml:space="preserve">to amend the </w:t>
      </w:r>
      <w:r w:rsidR="00C60FE8" w:rsidRPr="00C60FE8">
        <w:t xml:space="preserve">Vienna Convention was adopted (the “Revised Vienna Convention”) with the particularity that a State may accede to the Revised Vienna Convention without being a party to the 1963 Vienna Convention. </w:t>
      </w:r>
      <w:r w:rsidR="005A3A0D">
        <w:t>Accordingly</w:t>
      </w:r>
      <w:r w:rsidR="00C60FE8" w:rsidRPr="00C60FE8">
        <w:t xml:space="preserve">, in the event of transboundary damage caused by a nuclear accident occurring in a State which is a party to the revised Vienna Convention, that Convention will apply in its relations with the parties to that Convention, </w:t>
      </w:r>
      <w:r w:rsidR="005A3A0D">
        <w:t>a</w:t>
      </w:r>
      <w:r w:rsidR="00C60FE8" w:rsidRPr="00C60FE8">
        <w:t xml:space="preserve">nd the 1963 Vienna Convention will apply in its relations with States that are parties only to the 1963 Vienna Convention. The two Vienna Conventions (the 1963 Vienna Convention and the Revised Vienna Convention) co-exist and a State may accede to either or both. This is not the case with the Paris Convention, the many amendments of which have been incorporated into the body of the text. The current Paris Convention incorporates the amendments made by the Additional Protocol of 28 January 1964, the Protocol of 16 November 1982 and the Protocol of 12 February 2004. </w:t>
      </w:r>
    </w:p>
    <w:p w14:paraId="46869E70" w14:textId="3CD7C8D0" w:rsidR="00C60FE8" w:rsidRPr="00C60FE8" w:rsidRDefault="00C60FE8" w:rsidP="00DA4583">
      <w:pPr>
        <w:pStyle w:val="BodyText"/>
        <w:spacing w:after="120"/>
        <w:contextualSpacing w:val="0"/>
      </w:pPr>
      <w:r w:rsidRPr="00C60FE8">
        <w:t>Finally, a last Convention was adopted in 1997: The Convention on Supplementary Compensation for Nuclear damage (the "C</w:t>
      </w:r>
      <w:r w:rsidR="005A3A0D">
        <w:t>SC</w:t>
      </w:r>
      <w:r w:rsidRPr="00C60FE8">
        <w:t xml:space="preserve">"). This </w:t>
      </w:r>
      <w:r w:rsidR="00514091">
        <w:t>c</w:t>
      </w:r>
      <w:r w:rsidRPr="00C60FE8">
        <w:t xml:space="preserve">onvention aims to </w:t>
      </w:r>
      <w:r w:rsidR="00AD5F19">
        <w:t xml:space="preserve">be the only one applicable at the international level in the future, and therefore allows for States parties to </w:t>
      </w:r>
      <w:r w:rsidRPr="00C60FE8">
        <w:t>the Paris and Vienna Conventions (revised or not)</w:t>
      </w:r>
      <w:r w:rsidR="005A3A0D">
        <w:t xml:space="preserve"> </w:t>
      </w:r>
      <w:r w:rsidR="00AD5F19">
        <w:t xml:space="preserve">to adhere to it, as well as States that are parties to none of them. </w:t>
      </w:r>
    </w:p>
    <w:p w14:paraId="4ED9FD8B" w14:textId="118565CE" w:rsidR="00C60FE8" w:rsidRDefault="00C60FE8" w:rsidP="00DA4583">
      <w:pPr>
        <w:pStyle w:val="BodyText"/>
        <w:spacing w:after="120"/>
        <w:contextualSpacing w:val="0"/>
      </w:pPr>
      <w:r w:rsidRPr="00C60FE8">
        <w:t xml:space="preserve">All these conventions provide for the same </w:t>
      </w:r>
      <w:r w:rsidR="00EA4466">
        <w:t xml:space="preserve">nuclear liability </w:t>
      </w:r>
      <w:r w:rsidRPr="00C60FE8">
        <w:t>principles</w:t>
      </w:r>
      <w:r w:rsidR="00EA4466">
        <w:t>,</w:t>
      </w:r>
      <w:r w:rsidRPr="00C60FE8">
        <w:t xml:space="preserve"> as it was considered essential to harmonise the </w:t>
      </w:r>
      <w:r w:rsidR="00EA4466">
        <w:t xml:space="preserve">different </w:t>
      </w:r>
      <w:r w:rsidRPr="00C60FE8">
        <w:t>regime</w:t>
      </w:r>
      <w:r w:rsidR="00EA4466">
        <w:t>s</w:t>
      </w:r>
      <w:r w:rsidRPr="00C60FE8">
        <w:t xml:space="preserve"> as </w:t>
      </w:r>
      <w:r w:rsidR="00EA4466">
        <w:t xml:space="preserve">much </w:t>
      </w:r>
      <w:r w:rsidRPr="00C60FE8">
        <w:t xml:space="preserve">as possible at the international </w:t>
      </w:r>
      <w:r w:rsidR="00AD5F19">
        <w:t xml:space="preserve">and national </w:t>
      </w:r>
      <w:r w:rsidRPr="00C60FE8">
        <w:t>level</w:t>
      </w:r>
      <w:r w:rsidR="00AD5F19">
        <w:t>s</w:t>
      </w:r>
      <w:r w:rsidRPr="00C60FE8">
        <w:t xml:space="preserve">. </w:t>
      </w:r>
      <w:r w:rsidR="0083073B">
        <w:t xml:space="preserve">Most countries having nuclear </w:t>
      </w:r>
      <w:r w:rsidR="002C2F7B">
        <w:t xml:space="preserve">reactors in operation today </w:t>
      </w:r>
      <w:r w:rsidR="0083073B">
        <w:t xml:space="preserve">have adhered to </w:t>
      </w:r>
      <w:r w:rsidR="002C2F7B">
        <w:t>at least one of t</w:t>
      </w:r>
      <w:r w:rsidR="0083073B">
        <w:t>hese conventions</w:t>
      </w:r>
      <w:r w:rsidR="002C2F7B">
        <w:t xml:space="preserve"> and have implemented them in their legislation</w:t>
      </w:r>
      <w:r w:rsidR="0083073B">
        <w:t>. However, there are a few that have not joined any of these international regime</w:t>
      </w:r>
      <w:r w:rsidR="00B00B61">
        <w:t>s</w:t>
      </w:r>
      <w:r w:rsidR="0083073B">
        <w:t>; this is the case of</w:t>
      </w:r>
      <w:r w:rsidR="00784F96">
        <w:t xml:space="preserve"> </w:t>
      </w:r>
      <w:r w:rsidR="0083073B">
        <w:t xml:space="preserve">China, </w:t>
      </w:r>
      <w:r w:rsidR="00784F96">
        <w:t xml:space="preserve">Iran, </w:t>
      </w:r>
      <w:r w:rsidR="0083073B">
        <w:t xml:space="preserve">Korea, </w:t>
      </w:r>
      <w:r w:rsidR="00167D4A">
        <w:t>Pakistan,</w:t>
      </w:r>
      <w:r w:rsidR="00784F96">
        <w:t xml:space="preserve"> and </w:t>
      </w:r>
      <w:r w:rsidR="0083073B">
        <w:t>South Africa.</w:t>
      </w:r>
      <w:r w:rsidR="00784F96">
        <w:t xml:space="preserve"> </w:t>
      </w:r>
    </w:p>
    <w:p w14:paraId="1FD6D1A5" w14:textId="2C8B9892" w:rsidR="00A743E1" w:rsidRPr="00C60FE8" w:rsidRDefault="00A743E1" w:rsidP="00DA4583">
      <w:pPr>
        <w:pStyle w:val="BodyText"/>
        <w:spacing w:after="240"/>
      </w:pPr>
      <w:r>
        <w:t xml:space="preserve">These principles will need to be </w:t>
      </w:r>
      <w:r w:rsidR="002C2F7B">
        <w:t xml:space="preserve">considered </w:t>
      </w:r>
      <w:r>
        <w:t xml:space="preserve">when structuring the small modular reactor (“SMR”) projects, as they </w:t>
      </w:r>
      <w:r w:rsidR="00DA4583">
        <w:t>impact</w:t>
      </w:r>
      <w:r>
        <w:t xml:space="preserve"> the allocation of risks</w:t>
      </w:r>
      <w:r w:rsidR="00B00B61">
        <w:t xml:space="preserve">, an important issue for the </w:t>
      </w:r>
      <w:r w:rsidR="00DA4583">
        <w:t xml:space="preserve">financial institutions. </w:t>
      </w:r>
    </w:p>
    <w:p w14:paraId="51EC0D42" w14:textId="3947C916" w:rsidR="00E25B68" w:rsidRDefault="00DA4583" w:rsidP="00EC5911">
      <w:pPr>
        <w:pStyle w:val="Heading2"/>
        <w:keepNext/>
        <w:keepLines/>
        <w:widowControl/>
        <w:numPr>
          <w:ilvl w:val="1"/>
          <w:numId w:val="5"/>
        </w:numPr>
      </w:pPr>
      <w:r>
        <w:lastRenderedPageBreak/>
        <w:t xml:space="preserve">The nuclear liablity </w:t>
      </w:r>
      <w:r w:rsidR="008E4F72">
        <w:t xml:space="preserve">REGIMES applicable to </w:t>
      </w:r>
      <w:r w:rsidR="009A5565">
        <w:t>SMRS</w:t>
      </w:r>
    </w:p>
    <w:p w14:paraId="7B68B66E" w14:textId="4F9939CA" w:rsidR="00B00B61" w:rsidRDefault="002B713C" w:rsidP="00B00B61">
      <w:pPr>
        <w:pStyle w:val="BodyText"/>
        <w:spacing w:after="120"/>
        <w:contextualSpacing w:val="0"/>
      </w:pPr>
      <w:r>
        <w:t>T</w:t>
      </w:r>
      <w:r w:rsidR="00B00B61" w:rsidRPr="00B00B61">
        <w:t xml:space="preserve">he nuclear liability regime </w:t>
      </w:r>
      <w:r>
        <w:t xml:space="preserve">only </w:t>
      </w:r>
      <w:r w:rsidR="00B00B61" w:rsidRPr="00B00B61">
        <w:t>applies to “nuclear damage”</w:t>
      </w:r>
      <w:r w:rsidR="008528F8" w:rsidRPr="008528F8">
        <w:rPr>
          <w:rStyle w:val="FootnoteReference"/>
          <w:sz w:val="18"/>
          <w:lang w:val="en-US"/>
        </w:rPr>
        <w:t xml:space="preserve"> </w:t>
      </w:r>
      <w:r w:rsidR="008528F8">
        <w:rPr>
          <w:rStyle w:val="FootnoteReference"/>
          <w:sz w:val="18"/>
          <w:lang w:val="en-US"/>
        </w:rPr>
        <w:footnoteReference w:id="2"/>
      </w:r>
      <w:r w:rsidR="00B00B61" w:rsidRPr="00B00B61">
        <w:t xml:space="preserve"> caused by a “nuclear </w:t>
      </w:r>
      <w:r w:rsidR="00EC737B">
        <w:t>incident</w:t>
      </w:r>
      <w:r w:rsidR="00B00B61" w:rsidRPr="00B00B61">
        <w:t>”</w:t>
      </w:r>
      <w:r w:rsidR="008528F8" w:rsidRPr="008528F8">
        <w:rPr>
          <w:rStyle w:val="FootnoteReference"/>
          <w:sz w:val="18"/>
          <w:lang w:val="en-US"/>
        </w:rPr>
        <w:t xml:space="preserve"> </w:t>
      </w:r>
      <w:r w:rsidR="008528F8">
        <w:rPr>
          <w:rStyle w:val="FootnoteReference"/>
          <w:sz w:val="18"/>
          <w:lang w:val="en-US"/>
        </w:rPr>
        <w:footnoteReference w:id="3"/>
      </w:r>
      <w:r w:rsidR="00B00B61" w:rsidRPr="00B00B61">
        <w:t xml:space="preserve"> occurring at a “nuclear </w:t>
      </w:r>
      <w:r w:rsidR="00CB5815">
        <w:t>installation</w:t>
      </w:r>
      <w:r w:rsidR="00B00B61" w:rsidRPr="00B00B61">
        <w:t>”</w:t>
      </w:r>
      <w:r w:rsidR="008528F8" w:rsidRPr="008528F8">
        <w:rPr>
          <w:rStyle w:val="FootnoteReference"/>
          <w:sz w:val="18"/>
          <w:lang w:val="en-US"/>
        </w:rPr>
        <w:t xml:space="preserve"> </w:t>
      </w:r>
      <w:r w:rsidR="008528F8">
        <w:rPr>
          <w:rStyle w:val="FootnoteReference"/>
          <w:sz w:val="18"/>
          <w:lang w:val="en-US"/>
        </w:rPr>
        <w:footnoteReference w:id="4"/>
      </w:r>
      <w:r w:rsidR="00B00B61" w:rsidRPr="00B00B61">
        <w:t xml:space="preserve"> or during the </w:t>
      </w:r>
      <w:r w:rsidR="00E37D9D">
        <w:t xml:space="preserve">carriage </w:t>
      </w:r>
      <w:r w:rsidR="00B00B61" w:rsidRPr="00B00B61">
        <w:t xml:space="preserve">of </w:t>
      </w:r>
      <w:r w:rsidR="00E37D9D">
        <w:t>“</w:t>
      </w:r>
      <w:r w:rsidR="00B00B61" w:rsidRPr="00B00B61">
        <w:t>nuclear substances”</w:t>
      </w:r>
      <w:r w:rsidR="008528F8">
        <w:rPr>
          <w:rStyle w:val="FootnoteReference"/>
        </w:rPr>
        <w:footnoteReference w:id="5"/>
      </w:r>
      <w:r w:rsidR="00B00B61" w:rsidRPr="00B00B61">
        <w:t xml:space="preserve">. The terms are all defined in </w:t>
      </w:r>
      <w:r w:rsidR="00CB5815">
        <w:t>the different conventions</w:t>
      </w:r>
      <w:r w:rsidR="00E37D9D">
        <w:t>, but we will only see those who are relevant to the topic of this article</w:t>
      </w:r>
      <w:r w:rsidR="00CB5815">
        <w:t xml:space="preserve">. As the Paris Convention was the first </w:t>
      </w:r>
      <w:r w:rsidR="00E37D9D">
        <w:t xml:space="preserve">international convention </w:t>
      </w:r>
      <w:r w:rsidR="00CB5815">
        <w:t xml:space="preserve">to be adopted </w:t>
      </w:r>
      <w:r w:rsidR="00E37D9D">
        <w:t xml:space="preserve">in the nuclear liability field </w:t>
      </w:r>
      <w:r w:rsidR="00CB5815">
        <w:t xml:space="preserve">and the last one to be updated, </w:t>
      </w:r>
      <w:r w:rsidR="00E37D9D">
        <w:t xml:space="preserve">we </w:t>
      </w:r>
      <w:r w:rsidR="00CB5815">
        <w:t xml:space="preserve">will </w:t>
      </w:r>
      <w:r w:rsidR="00E37D9D">
        <w:t xml:space="preserve">use it as the convention of </w:t>
      </w:r>
      <w:r w:rsidR="00CB5815">
        <w:t xml:space="preserve">reference. </w:t>
      </w:r>
      <w:r w:rsidR="00EC737B">
        <w:t xml:space="preserve">In addition, the article will only address the consequences of a nuclear incident occurring at a nuclear installation and not during the </w:t>
      </w:r>
      <w:r w:rsidR="00E37D9D">
        <w:t xml:space="preserve">carriage </w:t>
      </w:r>
      <w:r w:rsidR="00EC737B">
        <w:t xml:space="preserve">of nuclear substances, as the latter has no incident on the structuring or financing of </w:t>
      </w:r>
      <w:r w:rsidR="00E37D9D">
        <w:t xml:space="preserve">an SMR </w:t>
      </w:r>
      <w:r w:rsidR="00EC737B">
        <w:t xml:space="preserve">project. </w:t>
      </w:r>
    </w:p>
    <w:p w14:paraId="696E1D56" w14:textId="39FC4787" w:rsidR="00B00B61" w:rsidRDefault="00B00B61" w:rsidP="00B00B61">
      <w:pPr>
        <w:pStyle w:val="BodyText"/>
        <w:spacing w:after="120"/>
        <w:contextualSpacing w:val="0"/>
      </w:pPr>
      <w:r w:rsidRPr="00B00B61">
        <w:t xml:space="preserve">The objective of nuclear liability is to </w:t>
      </w:r>
      <w:r w:rsidR="00A5418C">
        <w:t xml:space="preserve">determine the entity that will be liable to </w:t>
      </w:r>
      <w:r w:rsidR="00CB5815">
        <w:t xml:space="preserve">adequately </w:t>
      </w:r>
      <w:r w:rsidRPr="00B00B61">
        <w:t xml:space="preserve">compensate the victims </w:t>
      </w:r>
      <w:r w:rsidR="00CB5815">
        <w:t xml:space="preserve">for “nuclear damage”, </w:t>
      </w:r>
      <w:r w:rsidR="00F237FD">
        <w:t>i.e.,</w:t>
      </w:r>
      <w:r w:rsidR="00CB5815">
        <w:t xml:space="preserve"> </w:t>
      </w:r>
      <w:r w:rsidR="00E37D9D">
        <w:t xml:space="preserve">the </w:t>
      </w:r>
      <w:r w:rsidR="00A5418C">
        <w:t>“</w:t>
      </w:r>
      <w:r w:rsidR="00CB5815">
        <w:t xml:space="preserve">damage </w:t>
      </w:r>
      <w:r w:rsidR="00A5418C">
        <w:t xml:space="preserve">[arising] out of or [resulting] from </w:t>
      </w:r>
      <w:r w:rsidR="00CB5815">
        <w:t>ionising radiation</w:t>
      </w:r>
      <w:r w:rsidR="00A5418C">
        <w:t xml:space="preserve"> emitted by any source of radiation”</w:t>
      </w:r>
      <w:r w:rsidR="00CB5815">
        <w:t xml:space="preserve">, either through </w:t>
      </w:r>
      <w:r w:rsidRPr="00B00B61">
        <w:t>contamination or irradiation</w:t>
      </w:r>
      <w:r w:rsidR="00A5418C">
        <w:t>.</w:t>
      </w:r>
      <w:r w:rsidR="00B61D9F">
        <w:t xml:space="preserve"> The international conventions (except the 1963 Vienna Convention) provide for a more detailed definition of nuclear damage, which will not be addressed here.</w:t>
      </w:r>
    </w:p>
    <w:p w14:paraId="1D10FBE2" w14:textId="77777777" w:rsidR="00816429" w:rsidRDefault="00816429" w:rsidP="00816429">
      <w:pPr>
        <w:pStyle w:val="Heading3"/>
        <w:keepNext/>
        <w:keepLines/>
        <w:widowControl/>
      </w:pPr>
      <w:r>
        <w:t>Operator’s strict and exclusive liability</w:t>
      </w:r>
    </w:p>
    <w:p w14:paraId="2F9BBEB5" w14:textId="77777777" w:rsidR="00816429" w:rsidRDefault="00816429" w:rsidP="0052712B">
      <w:pPr>
        <w:pStyle w:val="Heading4"/>
        <w:keepNext/>
        <w:keepLines/>
        <w:ind w:left="0"/>
      </w:pPr>
      <w:r>
        <w:t>The international conventions</w:t>
      </w:r>
    </w:p>
    <w:p w14:paraId="04EFE2AD" w14:textId="530D75D4" w:rsidR="00816429" w:rsidRPr="00B61D9F" w:rsidRDefault="00816429" w:rsidP="00816429">
      <w:pPr>
        <w:pStyle w:val="BodyText"/>
        <w:spacing w:after="120"/>
        <w:contextualSpacing w:val="0"/>
      </w:pPr>
      <w:r w:rsidRPr="00B61D9F">
        <w:t>The operator of the “nuclear installation” where the accident that caused the “nuclear damage” took place is strictly and exclusively liable to compensate third parties.</w:t>
      </w:r>
      <w:r>
        <w:t xml:space="preserve"> This is, in the view of many, the most important nuclear liability </w:t>
      </w:r>
      <w:r w:rsidR="002B713C">
        <w:t>principle</w:t>
      </w:r>
      <w:r>
        <w:t xml:space="preserve">. </w:t>
      </w:r>
    </w:p>
    <w:p w14:paraId="01D7ADD1" w14:textId="6A4BB606" w:rsidR="00816429" w:rsidRPr="00B61D9F" w:rsidRDefault="002B713C" w:rsidP="00816429">
      <w:pPr>
        <w:pStyle w:val="BodyText"/>
        <w:spacing w:after="120"/>
        <w:contextualSpacing w:val="0"/>
      </w:pPr>
      <w:r>
        <w:t xml:space="preserve">According to the conventions, the </w:t>
      </w:r>
      <w:r w:rsidR="00816429" w:rsidRPr="00B61D9F">
        <w:t>operator is defined as “the person designated or recognised by the competent public authority as the operator of that nuclear installation”</w:t>
      </w:r>
      <w:r w:rsidR="000D129B">
        <w:rPr>
          <w:rStyle w:val="FootnoteReference"/>
        </w:rPr>
        <w:footnoteReference w:id="6"/>
      </w:r>
      <w:r w:rsidR="00816429" w:rsidRPr="00B61D9F">
        <w:t>. It may therefore not necessarily be the operator who has received the authorisation or license to operate the nuclear installation, although this is commonly the case.</w:t>
      </w:r>
    </w:p>
    <w:p w14:paraId="4A33C96C" w14:textId="09E8266D" w:rsidR="00816429" w:rsidRPr="00B61D9F" w:rsidRDefault="00816429" w:rsidP="00816429">
      <w:pPr>
        <w:pStyle w:val="BodyText"/>
        <w:spacing w:after="120"/>
        <w:contextualSpacing w:val="0"/>
      </w:pPr>
      <w:r w:rsidRPr="00B61D9F">
        <w:t xml:space="preserve">According to Article 6 of the Paris Convention, “the right to compensation for nuclear damage caused by a nuclear accident may be exercised only against an operator liable for such nuclear damage in accordance with this Convention”. The Operator is liable even if it has not committed fault, </w:t>
      </w:r>
      <w:r w:rsidR="00167D4A" w:rsidRPr="00B61D9F">
        <w:t>negligence,</w:t>
      </w:r>
      <w:r w:rsidRPr="00B61D9F">
        <w:t xml:space="preserve"> or recklessness. The victims will only have to prove the causal link between the nuclear accident and the nuclear damage suffered and not the fault, </w:t>
      </w:r>
      <w:r w:rsidR="00167D4A" w:rsidRPr="00B61D9F">
        <w:t>negligence,</w:t>
      </w:r>
      <w:r w:rsidRPr="00B61D9F">
        <w:t xml:space="preserve"> or recklessness of the operator.</w:t>
      </w:r>
    </w:p>
    <w:p w14:paraId="3FC30B4E" w14:textId="0AE9F497" w:rsidR="00816429" w:rsidRPr="00B61D9F" w:rsidRDefault="00816429" w:rsidP="00816429">
      <w:pPr>
        <w:pStyle w:val="BodyText"/>
        <w:spacing w:after="120"/>
        <w:contextualSpacing w:val="0"/>
      </w:pPr>
      <w:r w:rsidRPr="00B61D9F">
        <w:t xml:space="preserve">Finally, nuclear damage is only compensated under the nuclear liability regime established by the applicable international convention and the national law or regulation, and no other </w:t>
      </w:r>
      <w:r w:rsidR="002B713C">
        <w:t xml:space="preserve">law </w:t>
      </w:r>
      <w:r w:rsidRPr="00B61D9F">
        <w:t>will apply (such as common tort law or environmental law). This follows from Article 6(c)(ii) of the Paris Convention: “The Operator shall not be held liable, outside of this Convention, for nuclear damage caused by a nuclear accident.</w:t>
      </w:r>
    </w:p>
    <w:p w14:paraId="38957C5D" w14:textId="4CC2173C" w:rsidR="00816429" w:rsidRPr="00B61D9F" w:rsidRDefault="00816429" w:rsidP="00816429">
      <w:pPr>
        <w:pStyle w:val="BodyText"/>
        <w:spacing w:after="120"/>
        <w:contextualSpacing w:val="0"/>
      </w:pPr>
      <w:r w:rsidRPr="00B61D9F">
        <w:t xml:space="preserve">In summary, victims of nuclear damage can </w:t>
      </w:r>
      <w:r w:rsidR="00A7482A">
        <w:t xml:space="preserve">only bring a claim against </w:t>
      </w:r>
      <w:r w:rsidRPr="00B61D9F">
        <w:t xml:space="preserve">the operator of the nuclear installation where the nuclear accident that caused the nuclear damage occurred, and </w:t>
      </w:r>
      <w:r w:rsidR="00A7482A">
        <w:t>they</w:t>
      </w:r>
      <w:r w:rsidRPr="00B61D9F">
        <w:t xml:space="preserve"> can only seek compensation under the national nuclear liability law or regulation.</w:t>
      </w:r>
    </w:p>
    <w:p w14:paraId="59D0CB22" w14:textId="77777777" w:rsidR="00816429" w:rsidRDefault="00816429" w:rsidP="00816429">
      <w:pPr>
        <w:pStyle w:val="Heading4"/>
        <w:keepNext/>
        <w:keepLines/>
        <w:ind w:left="0"/>
      </w:pPr>
      <w:r>
        <w:lastRenderedPageBreak/>
        <w:t>The impact on the SMR projects</w:t>
      </w:r>
    </w:p>
    <w:p w14:paraId="3A0DBEE7" w14:textId="4D024238" w:rsidR="00816429" w:rsidRDefault="00816429" w:rsidP="00816429">
      <w:pPr>
        <w:pStyle w:val="BodyText"/>
        <w:spacing w:after="120"/>
        <w:contextualSpacing w:val="0"/>
      </w:pPr>
      <w:r>
        <w:t xml:space="preserve">SMR vendors have different approaches to the operation of the reactors. Some intend to be the owner and operator of the SMR, others will only provide the reactor and will let another entity own or operator it. </w:t>
      </w:r>
    </w:p>
    <w:p w14:paraId="3C617ECE" w14:textId="67B3B756" w:rsidR="00816429" w:rsidRDefault="00167D4A" w:rsidP="00816429">
      <w:pPr>
        <w:pStyle w:val="BodyText"/>
        <w:spacing w:after="120"/>
        <w:contextualSpacing w:val="0"/>
      </w:pPr>
      <w:r>
        <w:t>Regarding</w:t>
      </w:r>
      <w:r w:rsidR="00816429">
        <w:t xml:space="preserve"> large reactors, there have been projects </w:t>
      </w:r>
      <w:r w:rsidR="00A7482A">
        <w:t xml:space="preserve">where </w:t>
      </w:r>
      <w:r w:rsidR="00816429">
        <w:t>separate entities have owned and operated reactors. This is the case for example in Bulgaria, Canada, China, Hungary, Romania, and Slovenia.</w:t>
      </w:r>
      <w:r w:rsidR="00A7482A">
        <w:t xml:space="preserve"> According to the IAEA Power Reactor Information System, among the 100 reactors in operation in the European Union, 82 are owned and operated by the same organisation, and 19 are owned and operator by two different entities. </w:t>
      </w:r>
    </w:p>
    <w:p w14:paraId="034A8B58" w14:textId="0B7206C6" w:rsidR="00816429" w:rsidRDefault="00816429" w:rsidP="00816429">
      <w:pPr>
        <w:pStyle w:val="BodyText"/>
        <w:spacing w:after="120"/>
        <w:contextualSpacing w:val="0"/>
      </w:pPr>
      <w:r>
        <w:t xml:space="preserve">It will be important that the entity that will be identified as the “operator” </w:t>
      </w:r>
      <w:r w:rsidR="00A7482A">
        <w:t xml:space="preserve">has </w:t>
      </w:r>
      <w:r>
        <w:t>the sufficient financial capacity to bear the nuclear liability and the additional costs related to it (see paragraph 3.</w:t>
      </w:r>
      <w:r w:rsidR="00A7482A">
        <w:t>4</w:t>
      </w:r>
      <w:r>
        <w:t xml:space="preserve"> hereunder), in addition to have the financial, </w:t>
      </w:r>
      <w:r w:rsidR="00C212E9">
        <w:t>technical,</w:t>
      </w:r>
      <w:r>
        <w:t xml:space="preserve"> and human resources to duly operator the reactor(s). </w:t>
      </w:r>
    </w:p>
    <w:p w14:paraId="5DD04EA9" w14:textId="25086202" w:rsidR="00816429" w:rsidRPr="0064634D" w:rsidRDefault="00816429" w:rsidP="00816429">
      <w:pPr>
        <w:pStyle w:val="BodyText"/>
        <w:spacing w:after="120"/>
        <w:contextualSpacing w:val="0"/>
      </w:pPr>
      <w:r>
        <w:t>The conventions also provide that “[i]</w:t>
      </w:r>
      <w:r w:rsidRPr="00042FA9">
        <w:t xml:space="preserve">f nuclear damage gives rise to liability of more than one operator </w:t>
      </w:r>
      <w:r>
        <w:t>[…]</w:t>
      </w:r>
      <w:r w:rsidRPr="00042FA9">
        <w:t>, the liability of these operators shall be joint and several</w:t>
      </w:r>
      <w:r>
        <w:t>” if the damage attributable to each operator is not reasonably separable. “</w:t>
      </w:r>
      <w:r w:rsidRPr="00042FA9">
        <w:t>In no case shall any one operator be required, in respect of a nuclear incident, to pay more than the amount established with respect to him</w:t>
      </w:r>
      <w:r>
        <w:t xml:space="preserve"> […]”</w:t>
      </w:r>
      <w:r w:rsidR="008B0278">
        <w:t>.</w:t>
      </w:r>
      <w:r>
        <w:t xml:space="preserve"> This provision will </w:t>
      </w:r>
      <w:r w:rsidR="008B0278">
        <w:t xml:space="preserve">apply </w:t>
      </w:r>
      <w:r>
        <w:t xml:space="preserve">in case several reactors operated by different entities </w:t>
      </w:r>
      <w:r w:rsidR="008B0278">
        <w:t xml:space="preserve">are </w:t>
      </w:r>
      <w:r>
        <w:t>situated on the same site.</w:t>
      </w:r>
    </w:p>
    <w:p w14:paraId="71A5D095" w14:textId="161A4BDA" w:rsidR="00C350CC" w:rsidRDefault="00816429" w:rsidP="00C350CC">
      <w:pPr>
        <w:pStyle w:val="Heading3"/>
        <w:keepNext/>
        <w:keepLines/>
        <w:widowControl/>
      </w:pPr>
      <w:r>
        <w:t xml:space="preserve">Determining the </w:t>
      </w:r>
      <w:r w:rsidR="006F38B8">
        <w:t>“nuclear installation”</w:t>
      </w:r>
    </w:p>
    <w:p w14:paraId="013FCD7B" w14:textId="264E2955" w:rsidR="00C350CC" w:rsidRDefault="00C350CC" w:rsidP="0052712B">
      <w:pPr>
        <w:pStyle w:val="Heading4"/>
        <w:keepNext/>
        <w:keepLines/>
        <w:numPr>
          <w:ilvl w:val="3"/>
          <w:numId w:val="39"/>
        </w:numPr>
        <w:ind w:left="567" w:hanging="567"/>
      </w:pPr>
      <w:r>
        <w:t>The international conventions</w:t>
      </w:r>
    </w:p>
    <w:p w14:paraId="1F6184C4" w14:textId="532D9209" w:rsidR="00C350CC" w:rsidRDefault="006F38B8" w:rsidP="00CD6FE8">
      <w:pPr>
        <w:pStyle w:val="BodyText"/>
        <w:spacing w:after="120"/>
        <w:contextualSpacing w:val="0"/>
      </w:pPr>
      <w:r>
        <w:t xml:space="preserve">As mentioned above, </w:t>
      </w:r>
      <w:r w:rsidRPr="00B00B61">
        <w:t>the nuclear liability regime</w:t>
      </w:r>
      <w:r>
        <w:t>s</w:t>
      </w:r>
      <w:r w:rsidRPr="00B00B61">
        <w:t xml:space="preserve"> </w:t>
      </w:r>
      <w:r>
        <w:t xml:space="preserve">apply </w:t>
      </w:r>
      <w:r w:rsidRPr="00B00B61">
        <w:t>to “nuclear damage”</w:t>
      </w:r>
      <w:r w:rsidR="00200C83" w:rsidRPr="00200C83">
        <w:rPr>
          <w:rStyle w:val="FootnoteReference"/>
          <w:sz w:val="18"/>
          <w:lang w:val="en-US"/>
        </w:rPr>
        <w:t xml:space="preserve"> </w:t>
      </w:r>
      <w:r w:rsidRPr="00B00B61">
        <w:t xml:space="preserve">caused by a “nuclear </w:t>
      </w:r>
      <w:r>
        <w:t>incident</w:t>
      </w:r>
      <w:r w:rsidRPr="00B00B61">
        <w:t xml:space="preserve">” occurring at a “nuclear </w:t>
      </w:r>
      <w:r>
        <w:t>installation</w:t>
      </w:r>
      <w:r w:rsidRPr="00B00B61">
        <w:t>”</w:t>
      </w:r>
      <w:r>
        <w:t>.</w:t>
      </w:r>
    </w:p>
    <w:p w14:paraId="1856245D" w14:textId="1E50D0F9" w:rsidR="00CD6FE8" w:rsidRDefault="006F38B8" w:rsidP="00CD6FE8">
      <w:pPr>
        <w:pStyle w:val="BodyText"/>
        <w:spacing w:after="120"/>
        <w:contextualSpacing w:val="0"/>
      </w:pPr>
      <w:r>
        <w:t>The definition of “nuclear installation” provided in the different conventions clearly include</w:t>
      </w:r>
      <w:r w:rsidR="00F237FD">
        <w:t>:</w:t>
      </w:r>
      <w:r>
        <w:t xml:space="preserve"> </w:t>
      </w:r>
    </w:p>
    <w:p w14:paraId="60A05DF1" w14:textId="72A70A44" w:rsidR="00CD6FE8" w:rsidRDefault="006F38B8" w:rsidP="00CD6FE8">
      <w:pPr>
        <w:pStyle w:val="BodyText"/>
        <w:numPr>
          <w:ilvl w:val="0"/>
          <w:numId w:val="32"/>
        </w:numPr>
        <w:spacing w:after="120"/>
        <w:contextualSpacing w:val="0"/>
      </w:pPr>
      <w:r>
        <w:t>“reactors”</w:t>
      </w:r>
      <w:r w:rsidR="00CD6FE8">
        <w:t>,</w:t>
      </w:r>
      <w:r>
        <w:t xml:space="preserve"> </w:t>
      </w:r>
      <w:r w:rsidR="00134F1C">
        <w:t>except those used for propulsion</w:t>
      </w:r>
      <w:r w:rsidR="008B0278">
        <w:t xml:space="preserve"> (e.g.,</w:t>
      </w:r>
      <w:r w:rsidR="00134F1C">
        <w:t xml:space="preserve"> in submarines or </w:t>
      </w:r>
      <w:r w:rsidR="008B0278">
        <w:t>icebreakers)</w:t>
      </w:r>
      <w:r w:rsidR="00CD6FE8">
        <w:t>, and</w:t>
      </w:r>
    </w:p>
    <w:p w14:paraId="5EF1543A" w14:textId="1FDD763A" w:rsidR="00CD6FE8" w:rsidRDefault="006F38B8" w:rsidP="00CD6FE8">
      <w:pPr>
        <w:pStyle w:val="BodyText"/>
        <w:numPr>
          <w:ilvl w:val="0"/>
          <w:numId w:val="32"/>
        </w:numPr>
        <w:spacing w:after="120"/>
        <w:contextualSpacing w:val="0"/>
      </w:pPr>
      <w:r>
        <w:t>any facility where “nuclear substances” are stored</w:t>
      </w:r>
      <w:r w:rsidR="00134F1C">
        <w:t xml:space="preserve"> (other than those storing them temporarily during a transport)</w:t>
      </w:r>
      <w:r w:rsidR="00CD6FE8">
        <w:t>.</w:t>
      </w:r>
      <w:r w:rsidR="00134F1C">
        <w:t xml:space="preserve"> </w:t>
      </w:r>
    </w:p>
    <w:p w14:paraId="06DDF8C8" w14:textId="028E8C41" w:rsidR="00CD6FE8" w:rsidRDefault="00CD6FE8" w:rsidP="00CD6FE8">
      <w:pPr>
        <w:pStyle w:val="BodyText"/>
        <w:spacing w:after="120"/>
        <w:contextualSpacing w:val="0"/>
      </w:pPr>
      <w:r>
        <w:t xml:space="preserve">The definition of </w:t>
      </w:r>
      <w:r w:rsidR="00134F1C">
        <w:t>“</w:t>
      </w:r>
      <w:r>
        <w:t>n</w:t>
      </w:r>
      <w:r w:rsidR="00134F1C">
        <w:t xml:space="preserve">uclear substances” </w:t>
      </w:r>
      <w:r>
        <w:t>include</w:t>
      </w:r>
      <w:r w:rsidR="007451B3">
        <w:t>:</w:t>
      </w:r>
    </w:p>
    <w:p w14:paraId="79399A98" w14:textId="14ABB047" w:rsidR="00CD6FE8" w:rsidRPr="00CD6FE8" w:rsidRDefault="00134F1C" w:rsidP="00CD6FE8">
      <w:pPr>
        <w:pStyle w:val="BodyText"/>
        <w:numPr>
          <w:ilvl w:val="0"/>
          <w:numId w:val="31"/>
        </w:numPr>
        <w:spacing w:after="120"/>
        <w:contextualSpacing w:val="0"/>
        <w:rPr>
          <w:lang w:val="en-US"/>
        </w:rPr>
      </w:pPr>
      <w:r w:rsidRPr="00042FA9">
        <w:t>nuclear fuel</w:t>
      </w:r>
      <w:r w:rsidR="008B0278">
        <w:t xml:space="preserve">, </w:t>
      </w:r>
      <w:r w:rsidR="00F237FD">
        <w:t>i.e.,</w:t>
      </w:r>
      <w:r w:rsidR="008B0278">
        <w:t xml:space="preserve"> “</w:t>
      </w:r>
      <w:r w:rsidR="00CD6FE8" w:rsidRPr="00042FA9">
        <w:t xml:space="preserve">fissionable material </w:t>
      </w:r>
      <w:r w:rsidR="008B0278">
        <w:t>[</w:t>
      </w:r>
      <w:r w:rsidR="00CD6FE8" w:rsidRPr="00042FA9">
        <w:t>other than natural uranium and depleted uranium</w:t>
      </w:r>
      <w:r w:rsidR="008B0278">
        <w:t>]</w:t>
      </w:r>
      <w:r w:rsidR="00CD6FE8" w:rsidRPr="00042FA9">
        <w:t xml:space="preserve"> in the form of uranium metal, alloy, or chemical compound</w:t>
      </w:r>
      <w:r w:rsidR="008B0278">
        <w:t xml:space="preserve"> […]</w:t>
      </w:r>
      <w:r w:rsidR="00CD6FE8" w:rsidRPr="00042FA9">
        <w:t xml:space="preserve">, plutonium metal and such other fissionable material as the </w:t>
      </w:r>
      <w:r w:rsidR="00F37EC7">
        <w:t xml:space="preserve">Steering Committee for Nuclear Energy of the OECD Nuclear Energy Agency </w:t>
      </w:r>
      <w:r w:rsidR="00CD6FE8" w:rsidRPr="00042FA9">
        <w:t>shall from time to time determine</w:t>
      </w:r>
      <w:r w:rsidR="008B0278">
        <w:t>”</w:t>
      </w:r>
      <w:r w:rsidR="00CD6FE8">
        <w:t>; and</w:t>
      </w:r>
    </w:p>
    <w:p w14:paraId="4FA48F40" w14:textId="7AE3E36B" w:rsidR="006F38B8" w:rsidRPr="00CD6FE8" w:rsidRDefault="00134F1C" w:rsidP="00CD6FE8">
      <w:pPr>
        <w:pStyle w:val="BodyText"/>
        <w:numPr>
          <w:ilvl w:val="0"/>
          <w:numId w:val="31"/>
        </w:numPr>
        <w:spacing w:after="120"/>
        <w:contextualSpacing w:val="0"/>
        <w:rPr>
          <w:lang w:val="en-US"/>
        </w:rPr>
      </w:pPr>
      <w:r w:rsidRPr="00042FA9">
        <w:t>radioactive products or waste</w:t>
      </w:r>
      <w:r w:rsidR="00CD6FE8">
        <w:t>:</w:t>
      </w:r>
      <w:r>
        <w:t xml:space="preserve"> </w:t>
      </w:r>
      <w:r w:rsidR="00F237FD">
        <w:t>i.e.,</w:t>
      </w:r>
      <w:r w:rsidR="008B0278">
        <w:t xml:space="preserve"> </w:t>
      </w:r>
      <w:r>
        <w:t>“</w:t>
      </w:r>
      <w:r w:rsidRPr="00042FA9">
        <w:t>any radioactive material produced in or made radioactive by exposure to the radiation incidental to the process of producing or utilizing nuclear fuel</w:t>
      </w:r>
      <w:r>
        <w:t>”</w:t>
      </w:r>
      <w:r w:rsidRPr="00042FA9">
        <w:t xml:space="preserve">, but </w:t>
      </w:r>
      <w:r>
        <w:t xml:space="preserve">it excludes </w:t>
      </w:r>
      <w:r w:rsidRPr="00042FA9">
        <w:t xml:space="preserve">radioisotopes </w:t>
      </w:r>
      <w:r>
        <w:t xml:space="preserve">for </w:t>
      </w:r>
      <w:r w:rsidRPr="00042FA9">
        <w:t xml:space="preserve">industrial, commercial, agricultural, medical, </w:t>
      </w:r>
      <w:r w:rsidR="00C212E9" w:rsidRPr="00042FA9">
        <w:t>scientific,</w:t>
      </w:r>
      <w:r w:rsidRPr="00042FA9">
        <w:t xml:space="preserve"> or educational purpose.</w:t>
      </w:r>
    </w:p>
    <w:p w14:paraId="721D45BD" w14:textId="0F0F48E0" w:rsidR="00CD6FE8" w:rsidRDefault="001E00D8" w:rsidP="001E00D8">
      <w:pPr>
        <w:pStyle w:val="BodyText"/>
        <w:spacing w:after="120"/>
        <w:contextualSpacing w:val="0"/>
        <w:rPr>
          <w:lang w:val="en-US"/>
        </w:rPr>
      </w:pPr>
      <w:r>
        <w:rPr>
          <w:lang w:val="en-US"/>
        </w:rPr>
        <w:t xml:space="preserve">The </w:t>
      </w:r>
      <w:r w:rsidR="008B0278">
        <w:rPr>
          <w:lang w:val="en-US"/>
        </w:rPr>
        <w:t xml:space="preserve">SMRs </w:t>
      </w:r>
      <w:r>
        <w:rPr>
          <w:lang w:val="en-US"/>
        </w:rPr>
        <w:t xml:space="preserve">will therefore be covered by the nuclear liability conventions, whatever their size (i.e. whether micro or not). </w:t>
      </w:r>
    </w:p>
    <w:p w14:paraId="3487E79C" w14:textId="77777777" w:rsidR="00C350CC" w:rsidRDefault="00C350CC" w:rsidP="00C350CC">
      <w:pPr>
        <w:pStyle w:val="Heading4"/>
        <w:keepNext/>
        <w:keepLines/>
        <w:ind w:left="0"/>
      </w:pPr>
      <w:r>
        <w:t>The impact on the SMR projects</w:t>
      </w:r>
    </w:p>
    <w:p w14:paraId="2C3A396D" w14:textId="5AB5BED3" w:rsidR="00796DB0" w:rsidRDefault="000D65BE" w:rsidP="00DE4235">
      <w:pPr>
        <w:pStyle w:val="BodyText"/>
        <w:spacing w:after="120"/>
        <w:contextualSpacing w:val="0"/>
      </w:pPr>
      <w:r>
        <w:t>One of the major arguments in favour of the SMR</w:t>
      </w:r>
      <w:r w:rsidR="008B0278">
        <w:t>s</w:t>
      </w:r>
      <w:r>
        <w:t xml:space="preserve"> is that they are expected to be less dangerous than large reactors. The </w:t>
      </w:r>
      <w:r w:rsidR="008B0278">
        <w:t>c</w:t>
      </w:r>
      <w:r>
        <w:t xml:space="preserve">onventions allow a nuclear installation to be excluded from their scope if “the </w:t>
      </w:r>
      <w:r w:rsidRPr="00042FA9">
        <w:t>small extent of the risks involved so warrants</w:t>
      </w:r>
      <w:r>
        <w:t xml:space="preserve">”. </w:t>
      </w:r>
      <w:r w:rsidR="00F237FD">
        <w:t>However,</w:t>
      </w:r>
      <w:r>
        <w:t xml:space="preserve"> this will require the consensus of </w:t>
      </w:r>
      <w:r w:rsidR="00C212E9">
        <w:t>several</w:t>
      </w:r>
      <w:r>
        <w:t xml:space="preserve"> countries: </w:t>
      </w:r>
    </w:p>
    <w:p w14:paraId="5CA7489A" w14:textId="191A9C3F" w:rsidR="00796DB0" w:rsidRDefault="000D65BE" w:rsidP="00796DB0">
      <w:pPr>
        <w:pStyle w:val="BodyText"/>
        <w:numPr>
          <w:ilvl w:val="0"/>
          <w:numId w:val="31"/>
        </w:numPr>
        <w:spacing w:after="120"/>
        <w:contextualSpacing w:val="0"/>
      </w:pPr>
      <w:r>
        <w:t xml:space="preserve">for the Paris Convention the decision lies with the Steering Committee for Nuclear </w:t>
      </w:r>
      <w:r w:rsidR="00796DB0">
        <w:t xml:space="preserve">Energy of the </w:t>
      </w:r>
      <w:r w:rsidR="008B0278">
        <w:t>OECD Nuclear Energy Agency (“OECD/NEA”)</w:t>
      </w:r>
      <w:r w:rsidR="00796DB0">
        <w:t xml:space="preserve">; </w:t>
      </w:r>
    </w:p>
    <w:p w14:paraId="7B1758C7" w14:textId="18C99A61" w:rsidR="000D65BE" w:rsidRDefault="00796DB0" w:rsidP="00ED5988">
      <w:pPr>
        <w:pStyle w:val="BodyText"/>
        <w:numPr>
          <w:ilvl w:val="0"/>
          <w:numId w:val="31"/>
        </w:numPr>
        <w:spacing w:after="120"/>
        <w:contextualSpacing w:val="0"/>
      </w:pPr>
      <w:r>
        <w:lastRenderedPageBreak/>
        <w:t>for the revised Vienna Convention and the CSC</w:t>
      </w:r>
      <w:r w:rsidR="008B0278">
        <w:t>,</w:t>
      </w:r>
      <w:r>
        <w:t xml:space="preserve"> a country party to either of these conventions may exclude an installation as long as it is done in accordance with the </w:t>
      </w:r>
      <w:r w:rsidRPr="00796DB0">
        <w:t xml:space="preserve">criteria established by the </w:t>
      </w:r>
      <w:r>
        <w:t xml:space="preserve">IAEA </w:t>
      </w:r>
      <w:r w:rsidRPr="00796DB0">
        <w:t>Board of Governors</w:t>
      </w:r>
      <w:r>
        <w:t>.</w:t>
      </w:r>
    </w:p>
    <w:p w14:paraId="29788CA0" w14:textId="26CC98C7" w:rsidR="001A27C8" w:rsidRPr="00796DB0" w:rsidRDefault="001A27C8" w:rsidP="001A27C8">
      <w:pPr>
        <w:pStyle w:val="BodyText"/>
        <w:spacing w:after="120"/>
        <w:ind w:firstLine="0"/>
        <w:contextualSpacing w:val="0"/>
      </w:pPr>
      <w:r>
        <w:t xml:space="preserve">The 1963 Vienna Convention does not provide for this possibility and the exclusion of SMRs would therefore require amending the convention itself, which is a more complex and lengthy process. </w:t>
      </w:r>
    </w:p>
    <w:p w14:paraId="1559E3E1" w14:textId="38EE3085" w:rsidR="00C350CC" w:rsidRPr="00DE4235" w:rsidRDefault="001E00D8" w:rsidP="00DE4235">
      <w:pPr>
        <w:pStyle w:val="BodyText"/>
        <w:spacing w:after="120"/>
        <w:contextualSpacing w:val="0"/>
      </w:pPr>
      <w:r w:rsidRPr="00DE4235">
        <w:t xml:space="preserve">It will be important to define the “nucleate site” as the </w:t>
      </w:r>
      <w:r w:rsidR="00AA17AC" w:rsidRPr="00DE4235">
        <w:t>operator will have to bear the financial costs of the “damage [caused by the nuclear accident] to the nuclear installation itself and any other nuclear installation, including a nuclear installation under construction on the site where that installation is located</w:t>
      </w:r>
      <w:r w:rsidR="00BE1EA8" w:rsidRPr="00DE4235">
        <w:t>;</w:t>
      </w:r>
      <w:r w:rsidR="00AA17AC" w:rsidRPr="00DE4235">
        <w:t xml:space="preserve"> and </w:t>
      </w:r>
      <w:r w:rsidR="00BE1EA8" w:rsidRPr="00DE4235">
        <w:t>[</w:t>
      </w:r>
      <w:r w:rsidR="00AA17AC" w:rsidRPr="00DE4235">
        <w:t>the</w:t>
      </w:r>
      <w:r w:rsidR="00BE1EA8" w:rsidRPr="00DE4235">
        <w:t>]</w:t>
      </w:r>
      <w:r w:rsidR="00AA17AC" w:rsidRPr="00DE4235">
        <w:t xml:space="preserve"> damage to any property on that same site which his used or to be used </w:t>
      </w:r>
      <w:r w:rsidR="00106C83">
        <w:t>i</w:t>
      </w:r>
      <w:r w:rsidR="00AA17AC" w:rsidRPr="00DE4235">
        <w:t>n connection with any such installation”.</w:t>
      </w:r>
      <w:r w:rsidR="00BE1EA8" w:rsidRPr="00DE4235">
        <w:t xml:space="preserve"> This means that the nuclear liability amount is exclusively to compensate third parties, and not the operator for its loss. </w:t>
      </w:r>
    </w:p>
    <w:p w14:paraId="62C1D66F" w14:textId="4C4B89B2" w:rsidR="001A27C8" w:rsidRDefault="00885E2F" w:rsidP="00DE4235">
      <w:pPr>
        <w:pStyle w:val="BodyText"/>
        <w:spacing w:after="120"/>
        <w:contextualSpacing w:val="0"/>
      </w:pPr>
      <w:r>
        <w:t xml:space="preserve">If several reactors are installed on the same site, </w:t>
      </w:r>
      <w:r w:rsidR="001A27C8">
        <w:t xml:space="preserve">the conventions provide that “a </w:t>
      </w:r>
      <w:r w:rsidR="001A27C8" w:rsidRPr="00042FA9">
        <w:t>Contracting Party may determine that two or more nuclear installations of one operator which are located on the same site shall, together with any other premises on that site where nuclear fuel or radioactive products or waste are held, be treated as a single nuclear installation</w:t>
      </w:r>
      <w:r w:rsidR="001A27C8">
        <w:t>”</w:t>
      </w:r>
      <w:r w:rsidR="001A27C8" w:rsidRPr="00042FA9">
        <w:t>.</w:t>
      </w:r>
    </w:p>
    <w:p w14:paraId="39FE5816" w14:textId="58B4BBD5" w:rsidR="00885E2F" w:rsidRPr="00DE4235" w:rsidRDefault="00885E2F" w:rsidP="00DE4235">
      <w:pPr>
        <w:pStyle w:val="BodyText"/>
        <w:spacing w:after="120"/>
        <w:contextualSpacing w:val="0"/>
      </w:pPr>
      <w:r>
        <w:t>Finally, it is important to have in mind that usually the used fuel and radioactive waste is stored on a nuclear power plant site until it is transport</w:t>
      </w:r>
      <w:r w:rsidR="008B0278">
        <w:t xml:space="preserve">able </w:t>
      </w:r>
      <w:r>
        <w:t xml:space="preserve">to a separate storage or disposal </w:t>
      </w:r>
      <w:r w:rsidR="00A16B37">
        <w:t>facility</w:t>
      </w:r>
      <w:r>
        <w:t xml:space="preserve">. </w:t>
      </w:r>
      <w:r w:rsidR="00A16B37">
        <w:t xml:space="preserve">The used fuel and radioactive waste management schemes must have been decided from the conception of the SMR project, as </w:t>
      </w:r>
      <w:r w:rsidR="003E6F64">
        <w:t xml:space="preserve">the land used for </w:t>
      </w:r>
      <w:r w:rsidR="00A16B37">
        <w:t xml:space="preserve">their </w:t>
      </w:r>
      <w:r w:rsidR="003E6F64">
        <w:t xml:space="preserve">storage </w:t>
      </w:r>
      <w:r w:rsidR="00A16B37">
        <w:t xml:space="preserve">near the reactor </w:t>
      </w:r>
      <w:r>
        <w:t xml:space="preserve">will be considered </w:t>
      </w:r>
      <w:r w:rsidR="003E6F64">
        <w:t xml:space="preserve">as part of the “nuclear installation”. </w:t>
      </w:r>
    </w:p>
    <w:p w14:paraId="5933A625" w14:textId="727AE5B8" w:rsidR="00C350CC" w:rsidRDefault="00756574" w:rsidP="00C350CC">
      <w:pPr>
        <w:pStyle w:val="Heading3"/>
        <w:keepNext/>
        <w:keepLines/>
        <w:widowControl/>
      </w:pPr>
      <w:r>
        <w:t xml:space="preserve">The “nuclear incident” </w:t>
      </w:r>
    </w:p>
    <w:p w14:paraId="2D79B90D" w14:textId="77777777" w:rsidR="00C350CC" w:rsidRDefault="00C350CC" w:rsidP="0052712B">
      <w:pPr>
        <w:pStyle w:val="Heading4"/>
        <w:keepNext/>
        <w:keepLines/>
        <w:numPr>
          <w:ilvl w:val="3"/>
          <w:numId w:val="40"/>
        </w:numPr>
        <w:ind w:left="567" w:hanging="567"/>
      </w:pPr>
      <w:r>
        <w:t>The international conventions</w:t>
      </w:r>
    </w:p>
    <w:p w14:paraId="6087EA48" w14:textId="206E2BC8" w:rsidR="00C350CC" w:rsidRDefault="00E31FB8" w:rsidP="00E31FB8">
      <w:pPr>
        <w:pStyle w:val="BodyText"/>
        <w:spacing w:after="120"/>
        <w:contextualSpacing w:val="0"/>
      </w:pPr>
      <w:r w:rsidRPr="00E31FB8">
        <w:t xml:space="preserve">Under the conventions, a </w:t>
      </w:r>
      <w:r>
        <w:t>“nuclear incident” is “</w:t>
      </w:r>
      <w:r w:rsidRPr="00042FA9">
        <w:t>any occurrence or series of occurrences having the same origin which causes nuclear damage</w:t>
      </w:r>
      <w:r>
        <w:t>”</w:t>
      </w:r>
      <w:r w:rsidRPr="00042FA9">
        <w:t xml:space="preserve"> </w:t>
      </w:r>
      <w:r>
        <w:t xml:space="preserve">but it also includes events that create </w:t>
      </w:r>
      <w:r w:rsidRPr="00042FA9">
        <w:t xml:space="preserve">a </w:t>
      </w:r>
      <w:r>
        <w:t>“</w:t>
      </w:r>
      <w:r w:rsidRPr="00042FA9">
        <w:t>grave and imminent threat of causing such damage</w:t>
      </w:r>
      <w:r>
        <w:t xml:space="preserve">”, in which case </w:t>
      </w:r>
      <w:r w:rsidRPr="00042FA9">
        <w:t>preventive measures</w:t>
      </w:r>
      <w:r>
        <w:t xml:space="preserve"> apply and giv</w:t>
      </w:r>
      <w:r w:rsidR="00A16B37">
        <w:t xml:space="preserve">e </w:t>
      </w:r>
      <w:r>
        <w:t>rise to a claim for compensation</w:t>
      </w:r>
      <w:r w:rsidR="00A16B37">
        <w:t xml:space="preserve"> for the loss or damage caused by such measures</w:t>
      </w:r>
      <w:r w:rsidRPr="00042FA9">
        <w:t>.</w:t>
      </w:r>
    </w:p>
    <w:p w14:paraId="34273467" w14:textId="3BA51E3B" w:rsidR="00EC6E80" w:rsidRDefault="001330DE" w:rsidP="00E31FB8">
      <w:pPr>
        <w:pStyle w:val="BodyText"/>
        <w:spacing w:after="120"/>
        <w:contextualSpacing w:val="0"/>
      </w:pPr>
      <w:r>
        <w:t>It is important to note, for those who are familiar with the International Nuclear and Radiological Event Scale (or INES scale)</w:t>
      </w:r>
      <w:r w:rsidR="00A16B37">
        <w:t>,</w:t>
      </w:r>
      <w:r w:rsidR="00EC6E80">
        <w:t xml:space="preserve"> that </w:t>
      </w:r>
      <w:r w:rsidR="004C0DE4">
        <w:t xml:space="preserve">the definition of “nuclear incident” provided under the nuclear liability conventions </w:t>
      </w:r>
      <w:r w:rsidR="00EC6E80">
        <w:t xml:space="preserve">does not distinguish between the different levels of </w:t>
      </w:r>
      <w:r w:rsidR="00CD2796">
        <w:t xml:space="preserve">events. </w:t>
      </w:r>
      <w:r w:rsidR="00C212E9">
        <w:t>If</w:t>
      </w:r>
      <w:r w:rsidR="00CD2796">
        <w:t xml:space="preserve"> the nuclear or radiological event has caused a “nuclear damage” as defined under the conventions (see paragraph 3 above), it will give </w:t>
      </w:r>
      <w:r w:rsidR="00CD2796" w:rsidRPr="00CD2796">
        <w:t>rise to a claim for compensation</w:t>
      </w:r>
      <w:r w:rsidR="00CD2796">
        <w:t>. The INES scale is only a communication tool</w:t>
      </w:r>
      <w:r w:rsidR="00154EED">
        <w:t xml:space="preserve"> developed in 1990 by the IAEA and the OECD/NEA </w:t>
      </w:r>
      <w:r w:rsidR="00CD2796">
        <w:t xml:space="preserve">that classifies the nuclear and radiological events as “incidents” or “accidents” </w:t>
      </w:r>
      <w:r w:rsidR="00154EED">
        <w:t>to</w:t>
      </w:r>
      <w:r w:rsidR="00CD2796">
        <w:t xml:space="preserve"> explain to the public their level of risk.</w:t>
      </w:r>
    </w:p>
    <w:p w14:paraId="03326BE5" w14:textId="77777777" w:rsidR="00C350CC" w:rsidRDefault="00C350CC" w:rsidP="00C350CC">
      <w:pPr>
        <w:pStyle w:val="Heading4"/>
        <w:keepNext/>
        <w:keepLines/>
        <w:ind w:left="0"/>
      </w:pPr>
      <w:r>
        <w:t>The impact on the SMR projects</w:t>
      </w:r>
    </w:p>
    <w:p w14:paraId="6FCBBE93" w14:textId="77921848" w:rsidR="00756574" w:rsidRDefault="00756574" w:rsidP="00756574">
      <w:pPr>
        <w:pStyle w:val="BodyText"/>
        <w:spacing w:after="120"/>
        <w:contextualSpacing w:val="0"/>
      </w:pPr>
      <w:r>
        <w:t>T</w:t>
      </w:r>
      <w:r w:rsidRPr="00DE4235">
        <w:t>he emergency planning zone will have an impact</w:t>
      </w:r>
      <w:r w:rsidR="00A16B37">
        <w:t xml:space="preserve"> on how the nuclear liability regime will be applied. T</w:t>
      </w:r>
      <w:r w:rsidRPr="00DE4235">
        <w:t>he conventions (except for the 1963 Vienna Convention) explicitly mentions “</w:t>
      </w:r>
      <w:r w:rsidRPr="00042FA9">
        <w:t>the costs of preventive measures, and further loss or damage caused by such measures</w:t>
      </w:r>
      <w:r>
        <w:t xml:space="preserve">” as being part of the “nuclear damage” to be compensated. “Preventive measures” </w:t>
      </w:r>
      <w:r w:rsidRPr="00042FA9">
        <w:t xml:space="preserve">means </w:t>
      </w:r>
      <w:r>
        <w:t>“</w:t>
      </w:r>
      <w:r w:rsidRPr="00042FA9">
        <w:t xml:space="preserve">any reasonable measures taken by any person after a nuclear incident </w:t>
      </w:r>
      <w:r w:rsidRPr="00DE4235">
        <w:t>or an event creating a grave and imminent threat of nuclear damage has occurred</w:t>
      </w:r>
      <w:r w:rsidRPr="00042FA9">
        <w:t>, to prevent or minimise nuclear damage</w:t>
      </w:r>
      <w:r>
        <w:t xml:space="preserve"> […]”. This means that any cost relating to the </w:t>
      </w:r>
      <w:r w:rsidR="00AF6294">
        <w:t xml:space="preserve">precautionary </w:t>
      </w:r>
      <w:r>
        <w:t xml:space="preserve">evacuation of the population </w:t>
      </w:r>
      <w:r w:rsidR="00AF6294">
        <w:t xml:space="preserve">around </w:t>
      </w:r>
      <w:r>
        <w:t xml:space="preserve">the nuclear installation </w:t>
      </w:r>
      <w:r w:rsidR="00AF6294">
        <w:t xml:space="preserve">in case of “grave and imminent threat” </w:t>
      </w:r>
      <w:r>
        <w:t xml:space="preserve">will have to be </w:t>
      </w:r>
      <w:r w:rsidR="00AF6294">
        <w:t xml:space="preserve">exclusively </w:t>
      </w:r>
      <w:r>
        <w:t>borne by the operator.</w:t>
      </w:r>
    </w:p>
    <w:p w14:paraId="0BDC5CD0" w14:textId="47D28C8F" w:rsidR="00154EED" w:rsidRDefault="00154EED" w:rsidP="00154EED">
      <w:pPr>
        <w:pStyle w:val="BodyText"/>
        <w:spacing w:after="120"/>
        <w:contextualSpacing w:val="0"/>
      </w:pPr>
      <w:r w:rsidRPr="00154EED">
        <w:t xml:space="preserve">Under the conventions, </w:t>
      </w:r>
      <w:r>
        <w:t>“[w]</w:t>
      </w:r>
      <w:r w:rsidRPr="00042FA9">
        <w:t xml:space="preserve">here nuclear damage is caused jointly by a nuclear incident and by an incident other than a nuclear incident, that part of the </w:t>
      </w:r>
      <w:r w:rsidR="00F237FD" w:rsidRPr="00042FA9">
        <w:t>damage,</w:t>
      </w:r>
      <w:r w:rsidRPr="00042FA9">
        <w:t xml:space="preserve"> which is caused by such other incident, shall, to the extent that it is not reasonably separable from the nuclear damage caused by the nuclear incident, be considered to be nuclear damage caused by the nuclear incident</w:t>
      </w:r>
      <w:r w:rsidR="00BB08BB">
        <w:t>”</w:t>
      </w:r>
      <w:r w:rsidRPr="00042FA9">
        <w:t>.</w:t>
      </w:r>
      <w:r w:rsidR="00BB08BB">
        <w:t xml:space="preserve"> As one of the </w:t>
      </w:r>
      <w:r w:rsidR="00E15278">
        <w:t>purposes</w:t>
      </w:r>
      <w:r w:rsidR="00BB08BB">
        <w:t xml:space="preserve"> of the SMRs will be to provide energy to energy intensive industries, one should have in mind this provision </w:t>
      </w:r>
      <w:r w:rsidR="00C212E9">
        <w:t>to</w:t>
      </w:r>
      <w:r w:rsidR="00BB08BB">
        <w:t xml:space="preserve"> determine how close the nuclear reactor should be </w:t>
      </w:r>
      <w:r w:rsidR="009D6303">
        <w:t xml:space="preserve">situated </w:t>
      </w:r>
      <w:r w:rsidR="00BB08BB">
        <w:t xml:space="preserve">from the industrial site, which will certainly </w:t>
      </w:r>
      <w:r w:rsidR="009D6303">
        <w:t xml:space="preserve">also </w:t>
      </w:r>
      <w:r w:rsidR="00BB08BB">
        <w:t xml:space="preserve">depend on the </w:t>
      </w:r>
      <w:r w:rsidR="009D6303">
        <w:t xml:space="preserve">activity carried out at </w:t>
      </w:r>
      <w:r w:rsidR="00BB08BB">
        <w:t xml:space="preserve">the </w:t>
      </w:r>
      <w:r w:rsidR="00BB08BB">
        <w:lastRenderedPageBreak/>
        <w:t xml:space="preserve">industrial site. Putting a nuclear reactor near a mine will not have the same safety concerns as putting it near a chemical plant. If an accident occurs at the industrial </w:t>
      </w:r>
      <w:r w:rsidR="004C41DE">
        <w:t xml:space="preserve">facility </w:t>
      </w:r>
      <w:r w:rsidR="00BB08BB">
        <w:t xml:space="preserve">which causes a nuclear incident, or if a nuclear incident causes damage to the industrial facility, and that in each case it is not possible to distinguish the damage caused by the nuclear incident itself </w:t>
      </w:r>
      <w:r w:rsidR="00E15278">
        <w:t xml:space="preserve">from the damage caused by the accident that occurred at the industrial site, it will be the operator that will </w:t>
      </w:r>
      <w:r w:rsidR="004C41DE">
        <w:t xml:space="preserve">solely </w:t>
      </w:r>
      <w:r w:rsidR="00E15278">
        <w:t xml:space="preserve">have to compensate for all of it </w:t>
      </w:r>
      <w:r w:rsidR="004C41DE">
        <w:t>in accordance with the</w:t>
      </w:r>
      <w:r w:rsidR="00E15278">
        <w:t xml:space="preserve"> </w:t>
      </w:r>
      <w:r w:rsidR="004C41DE">
        <w:t xml:space="preserve">applicable </w:t>
      </w:r>
      <w:r w:rsidR="00E15278">
        <w:t>nuclear liability</w:t>
      </w:r>
      <w:r w:rsidR="004C41DE">
        <w:t xml:space="preserve"> regime</w:t>
      </w:r>
      <w:r w:rsidR="00E15278">
        <w:t>.</w:t>
      </w:r>
    </w:p>
    <w:p w14:paraId="39A451FD" w14:textId="239A6494" w:rsidR="00C350CC" w:rsidRPr="00756574" w:rsidRDefault="00FB490B" w:rsidP="000E6104">
      <w:pPr>
        <w:pStyle w:val="BodyText"/>
        <w:spacing w:after="120"/>
        <w:contextualSpacing w:val="0"/>
      </w:pPr>
      <w:r>
        <w:t>Siting the SMR will certainly give rise to discussion</w:t>
      </w:r>
      <w:r w:rsidR="000E6104">
        <w:t>s</w:t>
      </w:r>
      <w:r>
        <w:t xml:space="preserve"> between the nuclear safety authority and the authority in charge of supervising the industrial activity, </w:t>
      </w:r>
      <w:r w:rsidR="000E6104">
        <w:t xml:space="preserve">to ensure the protection of human health and the environment. The </w:t>
      </w:r>
      <w:r w:rsidR="004C41DE">
        <w:t xml:space="preserve">siting of the </w:t>
      </w:r>
      <w:r w:rsidR="000E6104">
        <w:t>SMR will have to comply with the expectations of both authorities to limit the potential consequences of a nuclear incident, whether it is caused by the reactor itself or the industrial facility.</w:t>
      </w:r>
    </w:p>
    <w:p w14:paraId="5D6CE355" w14:textId="5541A401" w:rsidR="0062000A" w:rsidRDefault="0062000A" w:rsidP="00E467AE">
      <w:pPr>
        <w:pStyle w:val="Heading3"/>
        <w:keepNext/>
        <w:keepLines/>
        <w:widowControl/>
      </w:pPr>
      <w:r>
        <w:t xml:space="preserve">The operator’s liability </w:t>
      </w:r>
      <w:r w:rsidR="004C41DE">
        <w:t xml:space="preserve">in </w:t>
      </w:r>
      <w:r>
        <w:t>amount</w:t>
      </w:r>
    </w:p>
    <w:p w14:paraId="7F05CE0A" w14:textId="19FFC5B2" w:rsidR="00401360" w:rsidRDefault="00401360" w:rsidP="0052712B">
      <w:pPr>
        <w:pStyle w:val="Heading4"/>
        <w:keepNext/>
        <w:keepLines/>
        <w:numPr>
          <w:ilvl w:val="3"/>
          <w:numId w:val="41"/>
        </w:numPr>
        <w:ind w:left="567" w:hanging="567"/>
      </w:pPr>
      <w:r>
        <w:t>The international conventions</w:t>
      </w:r>
    </w:p>
    <w:p w14:paraId="0DC9A407" w14:textId="523DA390" w:rsidR="0062000A" w:rsidRDefault="00C45227" w:rsidP="00A80322">
      <w:pPr>
        <w:pStyle w:val="BodyText"/>
        <w:spacing w:after="120"/>
        <w:contextualSpacing w:val="0"/>
      </w:pPr>
      <w:r>
        <w:t>The different conventions provide for the minimum amount of nuclear liability States can provide in their legislation or regulation</w:t>
      </w:r>
      <w:r w:rsidR="009A5565">
        <w:t>:</w:t>
      </w:r>
    </w:p>
    <w:p w14:paraId="1BEFF5A5" w14:textId="77777777" w:rsidR="007451B3" w:rsidRDefault="007451B3" w:rsidP="00A80322">
      <w:pPr>
        <w:pStyle w:val="BodyText"/>
        <w:spacing w:after="120"/>
        <w:contextualSpacing w:val="0"/>
      </w:pPr>
    </w:p>
    <w:p w14:paraId="252D21A2" w14:textId="5193DF40" w:rsidR="00C07CD3" w:rsidRPr="00C07CD3" w:rsidRDefault="00C07CD3" w:rsidP="00E467AE">
      <w:pPr>
        <w:pStyle w:val="BodyText"/>
        <w:keepNext/>
        <w:keepLines/>
        <w:spacing w:after="120"/>
        <w:contextualSpacing w:val="0"/>
        <w:rPr>
          <w:b/>
          <w:bCs/>
        </w:rPr>
      </w:pPr>
      <w:r w:rsidRPr="00C07CD3">
        <w:rPr>
          <w:b/>
          <w:bCs/>
        </w:rPr>
        <w:t>Table 1 – Nuclear liability amounts for nuclear installations</w:t>
      </w:r>
    </w:p>
    <w:tbl>
      <w:tblPr>
        <w:tblStyle w:val="TableGrid"/>
        <w:tblW w:w="0" w:type="auto"/>
        <w:tblInd w:w="562" w:type="dxa"/>
        <w:tblCellMar>
          <w:top w:w="113" w:type="dxa"/>
          <w:bottom w:w="113" w:type="dxa"/>
        </w:tblCellMar>
        <w:tblLook w:val="04A0" w:firstRow="1" w:lastRow="0" w:firstColumn="1" w:lastColumn="0" w:noHBand="0" w:noVBand="1"/>
      </w:tblPr>
      <w:tblGrid>
        <w:gridCol w:w="1803"/>
        <w:gridCol w:w="1803"/>
        <w:gridCol w:w="1804"/>
        <w:gridCol w:w="1804"/>
      </w:tblGrid>
      <w:tr w:rsidR="004C41DE" w14:paraId="41D942BB" w14:textId="77777777" w:rsidTr="004C41DE">
        <w:tc>
          <w:tcPr>
            <w:tcW w:w="1803" w:type="dxa"/>
            <w:vAlign w:val="center"/>
          </w:tcPr>
          <w:p w14:paraId="78643DCE" w14:textId="5BC76D80" w:rsidR="004C41DE" w:rsidRPr="007451B3" w:rsidRDefault="004C41DE" w:rsidP="00E467AE">
            <w:pPr>
              <w:pStyle w:val="BodyText"/>
              <w:keepNext/>
              <w:keepLines/>
              <w:ind w:firstLine="0"/>
              <w:jc w:val="center"/>
              <w:rPr>
                <w:b/>
                <w:bCs/>
                <w:sz w:val="18"/>
                <w:szCs w:val="18"/>
              </w:rPr>
            </w:pPr>
            <w:r w:rsidRPr="007451B3">
              <w:rPr>
                <w:b/>
                <w:bCs/>
                <w:sz w:val="18"/>
                <w:szCs w:val="18"/>
              </w:rPr>
              <w:t>Paris Convention</w:t>
            </w:r>
          </w:p>
        </w:tc>
        <w:tc>
          <w:tcPr>
            <w:tcW w:w="1803" w:type="dxa"/>
            <w:vAlign w:val="center"/>
          </w:tcPr>
          <w:p w14:paraId="38A40C29" w14:textId="23CF488B" w:rsidR="004C41DE" w:rsidRPr="007451B3" w:rsidRDefault="004C41DE" w:rsidP="00E467AE">
            <w:pPr>
              <w:pStyle w:val="BodyText"/>
              <w:keepNext/>
              <w:keepLines/>
              <w:ind w:firstLine="0"/>
              <w:jc w:val="center"/>
              <w:rPr>
                <w:b/>
                <w:bCs/>
                <w:sz w:val="18"/>
                <w:szCs w:val="18"/>
              </w:rPr>
            </w:pPr>
            <w:r w:rsidRPr="007451B3">
              <w:rPr>
                <w:b/>
                <w:bCs/>
                <w:sz w:val="18"/>
                <w:szCs w:val="18"/>
              </w:rPr>
              <w:t>1963 Vienna Convention</w:t>
            </w:r>
          </w:p>
        </w:tc>
        <w:tc>
          <w:tcPr>
            <w:tcW w:w="1804" w:type="dxa"/>
            <w:vAlign w:val="center"/>
          </w:tcPr>
          <w:p w14:paraId="08735258" w14:textId="39DFFF9E" w:rsidR="004C41DE" w:rsidRPr="007451B3" w:rsidRDefault="004C41DE" w:rsidP="00E467AE">
            <w:pPr>
              <w:pStyle w:val="BodyText"/>
              <w:keepNext/>
              <w:keepLines/>
              <w:ind w:firstLine="0"/>
              <w:jc w:val="center"/>
              <w:rPr>
                <w:b/>
                <w:bCs/>
                <w:sz w:val="18"/>
                <w:szCs w:val="18"/>
              </w:rPr>
            </w:pPr>
            <w:r w:rsidRPr="007451B3">
              <w:rPr>
                <w:b/>
                <w:bCs/>
                <w:sz w:val="18"/>
                <w:szCs w:val="18"/>
              </w:rPr>
              <w:t>Revised Vienna Convention</w:t>
            </w:r>
          </w:p>
        </w:tc>
        <w:tc>
          <w:tcPr>
            <w:tcW w:w="1804" w:type="dxa"/>
            <w:vAlign w:val="center"/>
          </w:tcPr>
          <w:p w14:paraId="4B2ABE74" w14:textId="18931190" w:rsidR="004C41DE" w:rsidRPr="007451B3" w:rsidRDefault="004C41DE" w:rsidP="00E467AE">
            <w:pPr>
              <w:pStyle w:val="BodyText"/>
              <w:keepNext/>
              <w:keepLines/>
              <w:ind w:firstLine="0"/>
              <w:jc w:val="center"/>
              <w:rPr>
                <w:b/>
                <w:bCs/>
                <w:sz w:val="18"/>
                <w:szCs w:val="18"/>
              </w:rPr>
            </w:pPr>
            <w:r w:rsidRPr="007451B3">
              <w:rPr>
                <w:b/>
                <w:bCs/>
                <w:sz w:val="18"/>
                <w:szCs w:val="18"/>
              </w:rPr>
              <w:t>CSC</w:t>
            </w:r>
          </w:p>
        </w:tc>
      </w:tr>
      <w:tr w:rsidR="004C41DE" w14:paraId="39DCEB4D" w14:textId="77777777" w:rsidTr="004C41DE">
        <w:tc>
          <w:tcPr>
            <w:tcW w:w="1803" w:type="dxa"/>
            <w:vAlign w:val="center"/>
          </w:tcPr>
          <w:p w14:paraId="5F24CCDA" w14:textId="7B942364" w:rsidR="004C41DE" w:rsidRPr="007451B3" w:rsidRDefault="004C41DE" w:rsidP="007451B3">
            <w:pPr>
              <w:pStyle w:val="BodyText"/>
              <w:ind w:firstLine="0"/>
              <w:jc w:val="center"/>
              <w:rPr>
                <w:sz w:val="18"/>
                <w:szCs w:val="18"/>
              </w:rPr>
            </w:pPr>
            <w:r>
              <w:rPr>
                <w:kern w:val="24"/>
                <w:sz w:val="18"/>
                <w:szCs w:val="18"/>
              </w:rPr>
              <w:t>EUR</w:t>
            </w:r>
            <w:r w:rsidRPr="007451B3">
              <w:rPr>
                <w:kern w:val="24"/>
                <w:sz w:val="18"/>
                <w:szCs w:val="18"/>
              </w:rPr>
              <w:t xml:space="preserve"> 700 million</w:t>
            </w:r>
          </w:p>
        </w:tc>
        <w:tc>
          <w:tcPr>
            <w:tcW w:w="1803" w:type="dxa"/>
            <w:vAlign w:val="center"/>
          </w:tcPr>
          <w:p w14:paraId="21D3BF88" w14:textId="23A6BB15" w:rsidR="004C41DE" w:rsidRPr="007451B3" w:rsidRDefault="004C41DE" w:rsidP="007451B3">
            <w:pPr>
              <w:pStyle w:val="BodyText"/>
              <w:ind w:firstLine="0"/>
              <w:jc w:val="center"/>
              <w:rPr>
                <w:sz w:val="18"/>
                <w:szCs w:val="18"/>
              </w:rPr>
            </w:pPr>
            <w:r w:rsidRPr="007451B3">
              <w:rPr>
                <w:kern w:val="24"/>
                <w:sz w:val="18"/>
                <w:szCs w:val="18"/>
                <w:lang w:val="en-US"/>
              </w:rPr>
              <w:t>US$ 5 million, based on US$ gold value on 29 April 1963</w:t>
            </w:r>
          </w:p>
        </w:tc>
        <w:tc>
          <w:tcPr>
            <w:tcW w:w="1804" w:type="dxa"/>
            <w:vAlign w:val="center"/>
          </w:tcPr>
          <w:p w14:paraId="5367934E" w14:textId="51062408" w:rsidR="004C41DE" w:rsidRPr="007451B3" w:rsidRDefault="004C41DE" w:rsidP="007451B3">
            <w:pPr>
              <w:pStyle w:val="BodyText"/>
              <w:ind w:firstLine="0"/>
              <w:jc w:val="center"/>
              <w:rPr>
                <w:sz w:val="18"/>
                <w:szCs w:val="18"/>
              </w:rPr>
            </w:pPr>
            <w:r w:rsidRPr="007451B3">
              <w:rPr>
                <w:kern w:val="24"/>
                <w:sz w:val="18"/>
                <w:szCs w:val="18"/>
              </w:rPr>
              <w:t>SDR 300 million</w:t>
            </w:r>
          </w:p>
        </w:tc>
        <w:tc>
          <w:tcPr>
            <w:tcW w:w="1804" w:type="dxa"/>
            <w:vAlign w:val="center"/>
          </w:tcPr>
          <w:p w14:paraId="478AFB71" w14:textId="73A1223E" w:rsidR="004C41DE" w:rsidRPr="007451B3" w:rsidRDefault="004C41DE" w:rsidP="007451B3">
            <w:pPr>
              <w:pStyle w:val="BodyText"/>
              <w:ind w:firstLine="0"/>
              <w:jc w:val="center"/>
              <w:rPr>
                <w:sz w:val="18"/>
                <w:szCs w:val="18"/>
              </w:rPr>
            </w:pPr>
            <w:r w:rsidRPr="007451B3">
              <w:rPr>
                <w:kern w:val="24"/>
                <w:sz w:val="18"/>
                <w:szCs w:val="18"/>
              </w:rPr>
              <w:t>SDR 300 million</w:t>
            </w:r>
          </w:p>
        </w:tc>
      </w:tr>
    </w:tbl>
    <w:p w14:paraId="164DF591" w14:textId="77777777" w:rsidR="009A5565" w:rsidRDefault="009A5565" w:rsidP="00DD5685">
      <w:pPr>
        <w:pStyle w:val="BodyText"/>
      </w:pPr>
    </w:p>
    <w:p w14:paraId="3491C4F5" w14:textId="734A87DC" w:rsidR="00A80322" w:rsidRDefault="00A80322" w:rsidP="00042A88">
      <w:pPr>
        <w:pStyle w:val="BodyText"/>
        <w:keepNext/>
        <w:keepLines/>
        <w:spacing w:after="120"/>
        <w:contextualSpacing w:val="0"/>
      </w:pPr>
      <w:r>
        <w:t xml:space="preserve">Some countries have provided a nuclear liability </w:t>
      </w:r>
      <w:r w:rsidR="004C41DE">
        <w:t xml:space="preserve">cap </w:t>
      </w:r>
      <w:r>
        <w:t>beyond such minimum amounts, e.g.:</w:t>
      </w:r>
    </w:p>
    <w:p w14:paraId="5989D9BB" w14:textId="0B884138" w:rsidR="00A80322" w:rsidRDefault="00A80322" w:rsidP="00A80322">
      <w:pPr>
        <w:pStyle w:val="BodyText"/>
        <w:numPr>
          <w:ilvl w:val="0"/>
          <w:numId w:val="31"/>
        </w:numPr>
      </w:pPr>
      <w:r>
        <w:t xml:space="preserve">Belgium and the Netherlands have provided for EUR 1.2 billion, and </w:t>
      </w:r>
    </w:p>
    <w:p w14:paraId="7ED3DA66" w14:textId="3311FCE9" w:rsidR="00A80322" w:rsidRDefault="00A80322" w:rsidP="00A80322">
      <w:pPr>
        <w:pStyle w:val="BodyText"/>
        <w:numPr>
          <w:ilvl w:val="0"/>
          <w:numId w:val="31"/>
        </w:numPr>
        <w:spacing w:after="120"/>
        <w:ind w:left="924" w:hanging="357"/>
        <w:contextualSpacing w:val="0"/>
      </w:pPr>
      <w:r>
        <w:t xml:space="preserve">Germany, </w:t>
      </w:r>
      <w:r w:rsidR="00C212E9">
        <w:t>Japan,</w:t>
      </w:r>
      <w:r>
        <w:t xml:space="preserve"> and Switzerland have provided for unlimited liability. </w:t>
      </w:r>
    </w:p>
    <w:p w14:paraId="25E2B051" w14:textId="57C6329E" w:rsidR="00071580" w:rsidRPr="00690400" w:rsidRDefault="00C03E75" w:rsidP="00071580">
      <w:pPr>
        <w:pStyle w:val="BodyText"/>
        <w:spacing w:after="120"/>
        <w:contextualSpacing w:val="0"/>
      </w:pPr>
      <w:r>
        <w:t>However, t</w:t>
      </w:r>
      <w:r w:rsidR="00071580" w:rsidRPr="00690400">
        <w:t>he conventions allow the States to provide for a lower nuclear liability amount “having regard to the nature of the nuclear installation involved and to the likely consequences of a nuclear incident originating therefrom” provided that such amount may not be lower than the following:</w:t>
      </w:r>
    </w:p>
    <w:p w14:paraId="5A08351D" w14:textId="77777777" w:rsidR="00FF4A96" w:rsidRDefault="00FF4A96" w:rsidP="00071580">
      <w:pPr>
        <w:pStyle w:val="BodyText"/>
        <w:spacing w:after="120"/>
        <w:contextualSpacing w:val="0"/>
      </w:pPr>
    </w:p>
    <w:p w14:paraId="0B5104DE" w14:textId="796594D0" w:rsidR="00C07CD3" w:rsidRPr="00071580" w:rsidRDefault="00C07CD3" w:rsidP="00071580">
      <w:pPr>
        <w:pStyle w:val="BodyText"/>
        <w:spacing w:after="120"/>
        <w:contextualSpacing w:val="0"/>
      </w:pPr>
      <w:r w:rsidRPr="00C07CD3">
        <w:rPr>
          <w:b/>
          <w:bCs/>
        </w:rPr>
        <w:t xml:space="preserve">Table </w:t>
      </w:r>
      <w:r>
        <w:rPr>
          <w:b/>
          <w:bCs/>
        </w:rPr>
        <w:t>3</w:t>
      </w:r>
      <w:r w:rsidRPr="00C07CD3">
        <w:rPr>
          <w:b/>
          <w:bCs/>
        </w:rPr>
        <w:t xml:space="preserve"> – Nuclear liability amounts for </w:t>
      </w:r>
      <w:r>
        <w:rPr>
          <w:b/>
          <w:bCs/>
        </w:rPr>
        <w:t>low-risk installations</w:t>
      </w:r>
    </w:p>
    <w:tbl>
      <w:tblPr>
        <w:tblStyle w:val="TableGrid"/>
        <w:tblW w:w="0" w:type="auto"/>
        <w:tblInd w:w="562" w:type="dxa"/>
        <w:tblCellMar>
          <w:top w:w="113" w:type="dxa"/>
          <w:bottom w:w="113" w:type="dxa"/>
        </w:tblCellMar>
        <w:tblLook w:val="04A0" w:firstRow="1" w:lastRow="0" w:firstColumn="1" w:lastColumn="0" w:noHBand="0" w:noVBand="1"/>
      </w:tblPr>
      <w:tblGrid>
        <w:gridCol w:w="1803"/>
        <w:gridCol w:w="1803"/>
        <w:gridCol w:w="1804"/>
        <w:gridCol w:w="1804"/>
      </w:tblGrid>
      <w:tr w:rsidR="004C41DE" w:rsidRPr="007451B3" w14:paraId="10CEBFE5" w14:textId="77777777" w:rsidTr="004C41DE">
        <w:tc>
          <w:tcPr>
            <w:tcW w:w="1803" w:type="dxa"/>
            <w:vAlign w:val="center"/>
          </w:tcPr>
          <w:p w14:paraId="21C4E796" w14:textId="77777777" w:rsidR="004C41DE" w:rsidRPr="007451B3" w:rsidRDefault="004C41DE" w:rsidP="00EA508C">
            <w:pPr>
              <w:pStyle w:val="BodyText"/>
              <w:ind w:firstLine="0"/>
              <w:jc w:val="center"/>
              <w:rPr>
                <w:b/>
                <w:bCs/>
                <w:sz w:val="18"/>
                <w:szCs w:val="18"/>
              </w:rPr>
            </w:pPr>
            <w:r w:rsidRPr="007451B3">
              <w:rPr>
                <w:b/>
                <w:bCs/>
                <w:sz w:val="18"/>
                <w:szCs w:val="18"/>
              </w:rPr>
              <w:t>Paris Convention</w:t>
            </w:r>
          </w:p>
        </w:tc>
        <w:tc>
          <w:tcPr>
            <w:tcW w:w="1803" w:type="dxa"/>
            <w:vAlign w:val="center"/>
          </w:tcPr>
          <w:p w14:paraId="19F53358" w14:textId="77777777" w:rsidR="004C41DE" w:rsidRPr="007451B3" w:rsidRDefault="004C41DE" w:rsidP="00EA508C">
            <w:pPr>
              <w:pStyle w:val="BodyText"/>
              <w:ind w:firstLine="0"/>
              <w:jc w:val="center"/>
              <w:rPr>
                <w:b/>
                <w:bCs/>
                <w:sz w:val="18"/>
                <w:szCs w:val="18"/>
              </w:rPr>
            </w:pPr>
            <w:r w:rsidRPr="007451B3">
              <w:rPr>
                <w:b/>
                <w:bCs/>
                <w:sz w:val="18"/>
                <w:szCs w:val="18"/>
              </w:rPr>
              <w:t>1963 Vienna Convention</w:t>
            </w:r>
          </w:p>
        </w:tc>
        <w:tc>
          <w:tcPr>
            <w:tcW w:w="1804" w:type="dxa"/>
            <w:vAlign w:val="center"/>
          </w:tcPr>
          <w:p w14:paraId="6EBF863E" w14:textId="77777777" w:rsidR="004C41DE" w:rsidRPr="007451B3" w:rsidRDefault="004C41DE" w:rsidP="00EA508C">
            <w:pPr>
              <w:pStyle w:val="BodyText"/>
              <w:ind w:firstLine="0"/>
              <w:jc w:val="center"/>
              <w:rPr>
                <w:b/>
                <w:bCs/>
                <w:sz w:val="18"/>
                <w:szCs w:val="18"/>
              </w:rPr>
            </w:pPr>
            <w:r w:rsidRPr="007451B3">
              <w:rPr>
                <w:b/>
                <w:bCs/>
                <w:sz w:val="18"/>
                <w:szCs w:val="18"/>
              </w:rPr>
              <w:t>Revised Vienna Convention</w:t>
            </w:r>
          </w:p>
        </w:tc>
        <w:tc>
          <w:tcPr>
            <w:tcW w:w="1804" w:type="dxa"/>
            <w:vAlign w:val="center"/>
          </w:tcPr>
          <w:p w14:paraId="448DD91B" w14:textId="77777777" w:rsidR="004C41DE" w:rsidRPr="007451B3" w:rsidRDefault="004C41DE" w:rsidP="00EA508C">
            <w:pPr>
              <w:pStyle w:val="BodyText"/>
              <w:ind w:firstLine="0"/>
              <w:jc w:val="center"/>
              <w:rPr>
                <w:b/>
                <w:bCs/>
                <w:sz w:val="18"/>
                <w:szCs w:val="18"/>
              </w:rPr>
            </w:pPr>
            <w:r w:rsidRPr="007451B3">
              <w:rPr>
                <w:b/>
                <w:bCs/>
                <w:sz w:val="18"/>
                <w:szCs w:val="18"/>
              </w:rPr>
              <w:t>CSC</w:t>
            </w:r>
          </w:p>
        </w:tc>
      </w:tr>
      <w:tr w:rsidR="004C41DE" w:rsidRPr="007451B3" w14:paraId="2F94AD45" w14:textId="77777777" w:rsidTr="004C41DE">
        <w:tc>
          <w:tcPr>
            <w:tcW w:w="1803" w:type="dxa"/>
            <w:vAlign w:val="center"/>
          </w:tcPr>
          <w:p w14:paraId="4F0C9B8E" w14:textId="747B832E" w:rsidR="004C41DE" w:rsidRPr="007451B3" w:rsidRDefault="004C41DE" w:rsidP="00EA508C">
            <w:pPr>
              <w:pStyle w:val="BodyText"/>
              <w:ind w:firstLine="0"/>
              <w:jc w:val="center"/>
              <w:rPr>
                <w:sz w:val="18"/>
                <w:szCs w:val="18"/>
              </w:rPr>
            </w:pPr>
            <w:r>
              <w:rPr>
                <w:kern w:val="24"/>
                <w:sz w:val="18"/>
                <w:szCs w:val="18"/>
              </w:rPr>
              <w:t>EUR</w:t>
            </w:r>
            <w:r w:rsidRPr="007451B3">
              <w:rPr>
                <w:kern w:val="24"/>
                <w:sz w:val="18"/>
                <w:szCs w:val="18"/>
              </w:rPr>
              <w:t xml:space="preserve"> </w:t>
            </w:r>
            <w:r>
              <w:rPr>
                <w:kern w:val="24"/>
                <w:sz w:val="18"/>
                <w:szCs w:val="18"/>
              </w:rPr>
              <w:t>70 </w:t>
            </w:r>
            <w:r w:rsidRPr="007451B3">
              <w:rPr>
                <w:kern w:val="24"/>
                <w:sz w:val="18"/>
                <w:szCs w:val="18"/>
              </w:rPr>
              <w:t>million</w:t>
            </w:r>
          </w:p>
        </w:tc>
        <w:tc>
          <w:tcPr>
            <w:tcW w:w="1803" w:type="dxa"/>
            <w:vAlign w:val="center"/>
          </w:tcPr>
          <w:p w14:paraId="31B87F0A" w14:textId="34499946" w:rsidR="004C41DE" w:rsidRPr="007451B3" w:rsidRDefault="004C41DE" w:rsidP="00EA508C">
            <w:pPr>
              <w:pStyle w:val="BodyText"/>
              <w:ind w:firstLine="0"/>
              <w:jc w:val="center"/>
              <w:rPr>
                <w:sz w:val="18"/>
                <w:szCs w:val="18"/>
              </w:rPr>
            </w:pPr>
            <w:r>
              <w:rPr>
                <w:sz w:val="18"/>
                <w:szCs w:val="18"/>
              </w:rPr>
              <w:t>/</w:t>
            </w:r>
          </w:p>
        </w:tc>
        <w:tc>
          <w:tcPr>
            <w:tcW w:w="1804" w:type="dxa"/>
            <w:vAlign w:val="center"/>
          </w:tcPr>
          <w:p w14:paraId="0DEE5E0E" w14:textId="73C3AD69" w:rsidR="004C41DE" w:rsidRPr="007451B3" w:rsidRDefault="004C41DE" w:rsidP="00EA508C">
            <w:pPr>
              <w:pStyle w:val="BodyText"/>
              <w:ind w:firstLine="0"/>
              <w:jc w:val="center"/>
              <w:rPr>
                <w:sz w:val="18"/>
                <w:szCs w:val="18"/>
              </w:rPr>
            </w:pPr>
            <w:r w:rsidRPr="007451B3">
              <w:rPr>
                <w:kern w:val="24"/>
                <w:sz w:val="18"/>
                <w:szCs w:val="18"/>
              </w:rPr>
              <w:t xml:space="preserve">SDR </w:t>
            </w:r>
            <w:r>
              <w:rPr>
                <w:kern w:val="24"/>
                <w:sz w:val="18"/>
                <w:szCs w:val="18"/>
              </w:rPr>
              <w:t xml:space="preserve">5 </w:t>
            </w:r>
            <w:r w:rsidRPr="007451B3">
              <w:rPr>
                <w:kern w:val="24"/>
                <w:sz w:val="18"/>
                <w:szCs w:val="18"/>
              </w:rPr>
              <w:t>million</w:t>
            </w:r>
          </w:p>
        </w:tc>
        <w:tc>
          <w:tcPr>
            <w:tcW w:w="1804" w:type="dxa"/>
            <w:vAlign w:val="center"/>
          </w:tcPr>
          <w:p w14:paraId="0C9AF423" w14:textId="2805E25D" w:rsidR="004C41DE" w:rsidRPr="007451B3" w:rsidRDefault="004C41DE" w:rsidP="00EA508C">
            <w:pPr>
              <w:pStyle w:val="BodyText"/>
              <w:ind w:firstLine="0"/>
              <w:jc w:val="center"/>
              <w:rPr>
                <w:sz w:val="18"/>
                <w:szCs w:val="18"/>
              </w:rPr>
            </w:pPr>
            <w:r w:rsidRPr="007451B3">
              <w:rPr>
                <w:kern w:val="24"/>
                <w:sz w:val="18"/>
                <w:szCs w:val="18"/>
              </w:rPr>
              <w:t xml:space="preserve">SDR </w:t>
            </w:r>
            <w:r>
              <w:rPr>
                <w:kern w:val="24"/>
                <w:sz w:val="18"/>
                <w:szCs w:val="18"/>
              </w:rPr>
              <w:t xml:space="preserve">5 </w:t>
            </w:r>
            <w:r w:rsidRPr="007451B3">
              <w:rPr>
                <w:kern w:val="24"/>
                <w:sz w:val="18"/>
                <w:szCs w:val="18"/>
              </w:rPr>
              <w:t>million</w:t>
            </w:r>
          </w:p>
        </w:tc>
      </w:tr>
    </w:tbl>
    <w:p w14:paraId="0ACA3FE1" w14:textId="5D389EF6" w:rsidR="00A80322" w:rsidRDefault="00A80322" w:rsidP="00A80322">
      <w:pPr>
        <w:pStyle w:val="BodyText"/>
        <w:spacing w:after="120"/>
        <w:contextualSpacing w:val="0"/>
      </w:pPr>
    </w:p>
    <w:p w14:paraId="489E0D0D" w14:textId="4B2A7B16" w:rsidR="006A54B0" w:rsidRDefault="006A54B0" w:rsidP="00A80322">
      <w:pPr>
        <w:pStyle w:val="BodyText"/>
        <w:spacing w:after="120"/>
        <w:contextualSpacing w:val="0"/>
      </w:pPr>
      <w:r>
        <w:t xml:space="preserve">This lower liability amounts may be provided to avoid burdening the operator with unjustified insurance or financial security costs. Usually, research reactors are considered as low risk installations and specific nuclear liability amounts are determined on a </w:t>
      </w:r>
      <w:r w:rsidR="00FF4A96">
        <w:t>case-by-case</w:t>
      </w:r>
      <w:r>
        <w:t xml:space="preserve"> basis.</w:t>
      </w:r>
    </w:p>
    <w:p w14:paraId="40959B2D" w14:textId="77777777" w:rsidR="00401360" w:rsidRDefault="00401360" w:rsidP="00401360">
      <w:pPr>
        <w:pStyle w:val="Heading4"/>
        <w:keepNext/>
        <w:keepLines/>
        <w:ind w:left="0"/>
      </w:pPr>
      <w:r>
        <w:t>The impact on the SMR projects</w:t>
      </w:r>
    </w:p>
    <w:p w14:paraId="71496DF5" w14:textId="66E63397" w:rsidR="009A5565" w:rsidRDefault="00C212E9" w:rsidP="00167D4A">
      <w:pPr>
        <w:pStyle w:val="BodyText"/>
        <w:spacing w:after="120"/>
        <w:contextualSpacing w:val="0"/>
      </w:pPr>
      <w:r w:rsidRPr="00167D4A">
        <w:t>For</w:t>
      </w:r>
      <w:r w:rsidR="00FF4A96" w:rsidRPr="00167D4A">
        <w:t xml:space="preserve"> SMRs to benefit from lower liability amounts, a risk assessment shall need to be carried out and its classification as a low-risk installation will need to be approved by the nuclear safety authority and the </w:t>
      </w:r>
      <w:r w:rsidR="00FF4A96" w:rsidRPr="00167D4A">
        <w:lastRenderedPageBreak/>
        <w:t xml:space="preserve">government. </w:t>
      </w:r>
      <w:r w:rsidR="00C07CD3" w:rsidRPr="00167D4A">
        <w:t xml:space="preserve">The later needs to give its consent as </w:t>
      </w:r>
      <w:r w:rsidR="00FF4A96" w:rsidRPr="00167D4A">
        <w:t xml:space="preserve">the conventions require that the State where the low-risk installation is situated </w:t>
      </w:r>
      <w:r w:rsidR="00FF4A96" w:rsidRPr="00042FA9">
        <w:t xml:space="preserve">ensures that public funds be made available up to the amount established </w:t>
      </w:r>
      <w:r w:rsidR="00FF4A96">
        <w:t xml:space="preserve">for nuclear installations </w:t>
      </w:r>
      <w:r w:rsidR="002C2F7B">
        <w:t xml:space="preserve">(Table 1 above) </w:t>
      </w:r>
      <w:r w:rsidR="00FF4A96">
        <w:t xml:space="preserve">in case the compensation </w:t>
      </w:r>
      <w:r w:rsidR="00C07CD3">
        <w:t xml:space="preserve">for nuclear damage </w:t>
      </w:r>
      <w:r w:rsidR="00FF4A96">
        <w:t xml:space="preserve">to be paid following a nuclear incident </w:t>
      </w:r>
      <w:r w:rsidR="00C07CD3">
        <w:t>at the low-risk nuclear facility exceeds the lower liability amount</w:t>
      </w:r>
      <w:r w:rsidR="002C2F7B">
        <w:t xml:space="preserve"> </w:t>
      </w:r>
      <w:r w:rsidR="004C41DE">
        <w:t>provided in the national law or regulation</w:t>
      </w:r>
      <w:r w:rsidR="00C07CD3">
        <w:t xml:space="preserve">. </w:t>
      </w:r>
    </w:p>
    <w:p w14:paraId="0C157465" w14:textId="1BF68D4E" w:rsidR="00167D4A" w:rsidRDefault="00167D4A" w:rsidP="00167D4A">
      <w:pPr>
        <w:pStyle w:val="BodyText"/>
        <w:spacing w:after="120"/>
        <w:contextualSpacing w:val="0"/>
      </w:pPr>
      <w:r>
        <w:t>It is important to note that the nuclear liability caps do not include a</w:t>
      </w:r>
      <w:r w:rsidRPr="00042FA9">
        <w:t xml:space="preserve">ny interest </w:t>
      </w:r>
      <w:r>
        <w:t xml:space="preserve">or </w:t>
      </w:r>
      <w:r w:rsidRPr="00042FA9">
        <w:t>costs awarded by a court in actions for compensation</w:t>
      </w:r>
      <w:r>
        <w:t xml:space="preserve">, which </w:t>
      </w:r>
      <w:r w:rsidRPr="00042FA9">
        <w:t xml:space="preserve">shall be payable by the operator in addition to any </w:t>
      </w:r>
      <w:r>
        <w:t xml:space="preserve">compensation for nuclear damage </w:t>
      </w:r>
      <w:r w:rsidRPr="00042FA9">
        <w:t xml:space="preserve">for which </w:t>
      </w:r>
      <w:r>
        <w:t xml:space="preserve">it </w:t>
      </w:r>
      <w:r w:rsidRPr="00042FA9">
        <w:t xml:space="preserve">is liable </w:t>
      </w:r>
      <w:r>
        <w:t xml:space="preserve">with regard to third parties. </w:t>
      </w:r>
    </w:p>
    <w:p w14:paraId="3184C313" w14:textId="16F02FF1" w:rsidR="0062000A" w:rsidRDefault="0062000A" w:rsidP="0062000A">
      <w:pPr>
        <w:pStyle w:val="Heading3"/>
      </w:pPr>
      <w:r>
        <w:t>The compulsory financial security</w:t>
      </w:r>
    </w:p>
    <w:p w14:paraId="6C528BBC" w14:textId="77777777" w:rsidR="00426AD8" w:rsidRDefault="00426AD8" w:rsidP="0052712B">
      <w:pPr>
        <w:pStyle w:val="Heading4"/>
        <w:keepNext/>
        <w:keepLines/>
        <w:numPr>
          <w:ilvl w:val="3"/>
          <w:numId w:val="42"/>
        </w:numPr>
        <w:ind w:left="567" w:hanging="567"/>
      </w:pPr>
      <w:r>
        <w:t>The international conventions</w:t>
      </w:r>
    </w:p>
    <w:p w14:paraId="1C508BAF" w14:textId="7DADDCFD" w:rsidR="00EC70AE" w:rsidRDefault="00042A88" w:rsidP="00EC70AE">
      <w:pPr>
        <w:pStyle w:val="BodyText"/>
        <w:spacing w:after="120"/>
        <w:contextualSpacing w:val="0"/>
      </w:pPr>
      <w:r>
        <w:t xml:space="preserve">The conventions require that the </w:t>
      </w:r>
      <w:r w:rsidR="00EC70AE" w:rsidRPr="00EC70AE">
        <w:t xml:space="preserve">operator </w:t>
      </w:r>
      <w:r w:rsidR="004C41DE">
        <w:t xml:space="preserve">covers its </w:t>
      </w:r>
      <w:r w:rsidR="00EC70AE" w:rsidRPr="00EC70AE">
        <w:t xml:space="preserve">nuclear liability </w:t>
      </w:r>
      <w:r w:rsidR="004C41DE">
        <w:t xml:space="preserve">with </w:t>
      </w:r>
      <w:r>
        <w:t>“</w:t>
      </w:r>
      <w:r w:rsidR="00EC70AE" w:rsidRPr="00EC70AE">
        <w:t>insurance or alternative financial security</w:t>
      </w:r>
      <w:r>
        <w:t>”</w:t>
      </w:r>
      <w:r w:rsidR="00EC70AE" w:rsidRPr="00EC70AE">
        <w:t xml:space="preserve"> to </w:t>
      </w:r>
      <w:r w:rsidR="004C41DE">
        <w:t xml:space="preserve">ensure that funds will be immediately available to </w:t>
      </w:r>
      <w:r w:rsidR="00EC70AE" w:rsidRPr="00EC70AE">
        <w:t>compensate third parties for nuclear damage</w:t>
      </w:r>
      <w:r>
        <w:t>. Usually</w:t>
      </w:r>
      <w:r w:rsidR="0024630C">
        <w:t>,</w:t>
      </w:r>
      <w:r>
        <w:t xml:space="preserve"> </w:t>
      </w:r>
      <w:r w:rsidR="00D7207C">
        <w:t xml:space="preserve">having such </w:t>
      </w:r>
      <w:r w:rsidR="0024630C">
        <w:t xml:space="preserve">insurance or financial security </w:t>
      </w:r>
      <w:r w:rsidR="00D7207C">
        <w:t xml:space="preserve">in place </w:t>
      </w:r>
      <w:r w:rsidR="0024630C">
        <w:t>is a requirement to obtain</w:t>
      </w:r>
      <w:r w:rsidR="00D7207C">
        <w:t xml:space="preserve">ing and maintaining </w:t>
      </w:r>
      <w:r w:rsidR="0024630C">
        <w:t xml:space="preserve">the operating licence. </w:t>
      </w:r>
    </w:p>
    <w:p w14:paraId="7F80C79F" w14:textId="3BDF970F" w:rsidR="00EC70AE" w:rsidRDefault="0024630C" w:rsidP="00EC70AE">
      <w:pPr>
        <w:pStyle w:val="BodyText"/>
        <w:spacing w:after="120"/>
        <w:contextualSpacing w:val="0"/>
      </w:pPr>
      <w:r>
        <w:t xml:space="preserve">The operator may </w:t>
      </w:r>
      <w:r w:rsidR="00FF2583">
        <w:t>get</w:t>
      </w:r>
      <w:r>
        <w:t xml:space="preserve"> </w:t>
      </w:r>
      <w:r w:rsidR="00D7207C">
        <w:t xml:space="preserve">such </w:t>
      </w:r>
      <w:r>
        <w:t xml:space="preserve">insurance from the nuclear insurance pools </w:t>
      </w:r>
      <w:r w:rsidR="00FF2583">
        <w:t>and/or</w:t>
      </w:r>
      <w:r>
        <w:t xml:space="preserve"> </w:t>
      </w:r>
      <w:r w:rsidR="00F237FD">
        <w:t>mutuals or</w:t>
      </w:r>
      <w:r>
        <w:t xml:space="preserve"> have other types of financial securities</w:t>
      </w:r>
      <w:r w:rsidR="00A8347F">
        <w:t xml:space="preserve"> “</w:t>
      </w:r>
      <w:r w:rsidR="00A8347F" w:rsidRPr="00042FA9">
        <w:t>of such type and terms as the competent public authority shall specify</w:t>
      </w:r>
      <w:r w:rsidR="00A8347F">
        <w:t xml:space="preserve">”. Among the different options available, operators tend to go with </w:t>
      </w:r>
      <w:r>
        <w:t>captive insurance compan</w:t>
      </w:r>
      <w:r w:rsidR="00A8347F">
        <w:t>ies</w:t>
      </w:r>
      <w:r>
        <w:t xml:space="preserve">, </w:t>
      </w:r>
      <w:r w:rsidR="00EC70AE" w:rsidRPr="00EC70AE">
        <w:t>operators pooling system</w:t>
      </w:r>
      <w:r>
        <w:t>s</w:t>
      </w:r>
      <w:r w:rsidR="00EC70AE" w:rsidRPr="00EC70AE">
        <w:t xml:space="preserve">, </w:t>
      </w:r>
      <w:r w:rsidR="00D7207C">
        <w:t xml:space="preserve">and </w:t>
      </w:r>
      <w:r w:rsidR="00EC70AE" w:rsidRPr="00EC70AE">
        <w:t>self-insurance (</w:t>
      </w:r>
      <w:r>
        <w:t xml:space="preserve">for </w:t>
      </w:r>
      <w:r w:rsidR="00EC70AE" w:rsidRPr="00EC70AE">
        <w:t xml:space="preserve">government owned </w:t>
      </w:r>
      <w:r>
        <w:t>and operated installations</w:t>
      </w:r>
      <w:r w:rsidR="00EC70AE" w:rsidRPr="00EC70AE">
        <w:t>)</w:t>
      </w:r>
      <w:r>
        <w:t xml:space="preserve">. The choices made by the operator will need to be approved by the relevant </w:t>
      </w:r>
      <w:r w:rsidR="00A8347F">
        <w:t>competent authority.</w:t>
      </w:r>
    </w:p>
    <w:p w14:paraId="503826E7" w14:textId="76E1D509" w:rsidR="00EC70AE" w:rsidRPr="00EC70AE" w:rsidRDefault="00D7207C" w:rsidP="00EC70AE">
      <w:pPr>
        <w:pStyle w:val="BodyText"/>
        <w:spacing w:after="120"/>
        <w:contextualSpacing w:val="0"/>
      </w:pPr>
      <w:r>
        <w:t xml:space="preserve">The State </w:t>
      </w:r>
      <w:r w:rsidR="00FF2583">
        <w:t>“</w:t>
      </w:r>
      <w:r w:rsidR="00FF2583" w:rsidRPr="00042FA9">
        <w:t xml:space="preserve">within whose territory the nuclear installation of the liable operator is situated shall ensure the payment of claims for compensation for nuclear damage which have been established against the operator by providing the necessary funds to the extent that the insurance or other financial security is not available or sufficient to satisfy such claims, up to an amount not less than the amount referred to in </w:t>
      </w:r>
      <w:r w:rsidR="00FF2583">
        <w:t>[Table 1]”</w:t>
      </w:r>
      <w:r w:rsidR="00FF2583" w:rsidRPr="00042FA9">
        <w:t>.</w:t>
      </w:r>
      <w:r w:rsidR="00FF2583">
        <w:t xml:space="preserve"> This means that if </w:t>
      </w:r>
      <w:r w:rsidR="00EC70AE" w:rsidRPr="00EC70AE">
        <w:t xml:space="preserve">no private insurance is available to </w:t>
      </w:r>
      <w:r w:rsidR="00FF2583">
        <w:t xml:space="preserve">fully </w:t>
      </w:r>
      <w:r w:rsidR="00EC70AE" w:rsidRPr="00EC70AE">
        <w:t xml:space="preserve">cover </w:t>
      </w:r>
      <w:r w:rsidR="00FF2583">
        <w:t>the operator’s nuclear liability</w:t>
      </w:r>
      <w:r w:rsidR="00EC70AE" w:rsidRPr="00EC70AE">
        <w:t>, the government will have to provide an insurance or a guarantee (at market price to avoid any State aid issues)</w:t>
      </w:r>
      <w:r w:rsidR="00FF2583">
        <w:t xml:space="preserve"> to cover such nuclear damage that are not or only partially covered by the private sector. </w:t>
      </w:r>
      <w:r>
        <w:t xml:space="preserve">This has been the case, especially </w:t>
      </w:r>
      <w:r w:rsidR="00C212E9">
        <w:t>regarding</w:t>
      </w:r>
      <w:r>
        <w:t xml:space="preserve"> loss of life or personal injury that may occur between the tenth and the thirtieth year following the nuclear incident.</w:t>
      </w:r>
    </w:p>
    <w:p w14:paraId="3A1DED5B" w14:textId="1EE86645" w:rsidR="00396FC0" w:rsidRDefault="00396FC0" w:rsidP="00396FC0">
      <w:pPr>
        <w:pStyle w:val="Heading4"/>
        <w:keepNext/>
        <w:keepLines/>
        <w:numPr>
          <w:ilvl w:val="3"/>
          <w:numId w:val="42"/>
        </w:numPr>
        <w:ind w:left="567" w:hanging="567"/>
      </w:pPr>
      <w:r>
        <w:t>The impact on the SMR projects</w:t>
      </w:r>
    </w:p>
    <w:p w14:paraId="06E3CD24" w14:textId="7228A1D9" w:rsidR="0062000A" w:rsidRDefault="003E6A1F" w:rsidP="00D125B9">
      <w:pPr>
        <w:pStyle w:val="BodyText"/>
        <w:spacing w:after="120"/>
        <w:contextualSpacing w:val="0"/>
        <w:rPr>
          <w:lang w:val="en-US"/>
        </w:rPr>
      </w:pPr>
      <w:r>
        <w:rPr>
          <w:lang w:val="en-US"/>
        </w:rPr>
        <w:t xml:space="preserve">The SMR operator will need to opt for its nuclear liability coverage. The insurance pools and mutuals will be available, as it is the case for large reactors. However, if the State decides to consider the SMR as a low-risk installation (see 3.4 above), there may be additional insurance alternatives. </w:t>
      </w:r>
    </w:p>
    <w:p w14:paraId="690515DF" w14:textId="229C7AA0" w:rsidR="00106C83" w:rsidRPr="00396FC0" w:rsidRDefault="00106C83" w:rsidP="00D125B9">
      <w:pPr>
        <w:pStyle w:val="BodyText"/>
        <w:spacing w:after="120"/>
        <w:contextualSpacing w:val="0"/>
        <w:rPr>
          <w:lang w:val="en-US"/>
        </w:rPr>
      </w:pPr>
      <w:r>
        <w:rPr>
          <w:lang w:val="en-US"/>
        </w:rPr>
        <w:t xml:space="preserve">As mentioned in 3.2.2 above, the nuclear liability amounts (and therefore the related insurance and financial securities) cannot be used to compensate the operator for any loss it may incur on-site (i.e. damage to or loss of property owned by the operator). However, separate insurance is available to cover this type of on-site damage. </w:t>
      </w:r>
    </w:p>
    <w:p w14:paraId="1069CBDE" w14:textId="2D2ED6FD" w:rsidR="00117752" w:rsidRDefault="00117752" w:rsidP="00117752">
      <w:pPr>
        <w:pStyle w:val="Heading2"/>
        <w:numPr>
          <w:ilvl w:val="1"/>
          <w:numId w:val="5"/>
        </w:numPr>
      </w:pPr>
      <w:r>
        <w:t>Conclusion</w:t>
      </w:r>
    </w:p>
    <w:p w14:paraId="01B8DE8E" w14:textId="35F8EBA8" w:rsidR="0062000A" w:rsidRDefault="00196D47" w:rsidP="00D125B9">
      <w:pPr>
        <w:pStyle w:val="BodyText"/>
        <w:spacing w:after="120"/>
        <w:contextualSpacing w:val="0"/>
      </w:pPr>
      <w:r>
        <w:t xml:space="preserve">There is much to be assessed to implement the nuclear liability regimes to the SMRs. Its application will depend </w:t>
      </w:r>
      <w:r w:rsidR="00B5313F">
        <w:t xml:space="preserve">on a variety of issues, including </w:t>
      </w:r>
      <w:r w:rsidR="00643EE5">
        <w:t xml:space="preserve">the applicable nuclear liability convention, the national nuclear liability regime, </w:t>
      </w:r>
      <w:r>
        <w:t xml:space="preserve">the type and size of the reactor, </w:t>
      </w:r>
      <w:r w:rsidR="00B5313F">
        <w:t xml:space="preserve">the structure adopted (same or separate owner/operator), </w:t>
      </w:r>
      <w:r w:rsidR="00643EE5">
        <w:t xml:space="preserve">and </w:t>
      </w:r>
      <w:r w:rsidR="00B5313F">
        <w:t xml:space="preserve">the industrial facility it will be located near to. </w:t>
      </w:r>
      <w:r w:rsidR="00643EE5">
        <w:t xml:space="preserve">A case-by-case analysis will therefore need to be made. </w:t>
      </w:r>
    </w:p>
    <w:p w14:paraId="781AA6FA" w14:textId="77777777" w:rsidR="0062000A" w:rsidRPr="00DD5685" w:rsidRDefault="0062000A" w:rsidP="00D125B9">
      <w:pPr>
        <w:pStyle w:val="BodyText"/>
        <w:spacing w:after="120"/>
        <w:contextualSpacing w:val="0"/>
      </w:pPr>
    </w:p>
    <w:sectPr w:rsidR="0062000A" w:rsidRPr="00DD5685" w:rsidSect="0026525A">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F3417" w14:textId="77777777" w:rsidR="0037582C" w:rsidRDefault="0037582C">
      <w:r>
        <w:separator/>
      </w:r>
    </w:p>
  </w:endnote>
  <w:endnote w:type="continuationSeparator" w:id="0">
    <w:p w14:paraId="0581B57E" w14:textId="77777777" w:rsidR="0037582C" w:rsidRDefault="00375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217E" w14:textId="1FF99A97" w:rsidR="00E20E70" w:rsidRDefault="00E20E70">
    <w:pPr>
      <w:pStyle w:val="zyxClassification1"/>
    </w:pPr>
    <w:r>
      <w:fldChar w:fldCharType="begin"/>
    </w:r>
    <w:r>
      <w:instrText xml:space="preserve"> DOCPROPERTY "IaeaClassification"  \* MERGEFORMAT </w:instrText>
    </w:r>
    <w:r>
      <w:fldChar w:fldCharType="end"/>
    </w:r>
  </w:p>
  <w:p w14:paraId="18E0BCF6" w14:textId="4FDE772F" w:rsidR="00E20E70" w:rsidRDefault="002F1862">
    <w:pPr>
      <w:pStyle w:val="zyxClassification2"/>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Pr>
        <w:sz w:val="20"/>
      </w:rPr>
      <w:t>3</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r w:rsidR="00E20E70">
      <w:fldChar w:fldCharType="begin"/>
    </w:r>
    <w:r w:rsidR="00E20E70">
      <w:instrText>DOCPROPERTY "IaeaClassification2"  \* MERGEFORMAT</w:instrText>
    </w:r>
    <w:r w:rsidR="00E20E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66CE" w14:textId="23C7CEA9" w:rsidR="00E20E70" w:rsidRDefault="00E20E70">
    <w:pPr>
      <w:pStyle w:val="zyxClassification1"/>
    </w:pPr>
    <w:r>
      <w:fldChar w:fldCharType="begin"/>
    </w:r>
    <w:r>
      <w:instrText xml:space="preserve"> DOCPROPERTY "IaeaClassification"  \* MERGEFORMAT </w:instrText>
    </w:r>
    <w:r>
      <w:fldChar w:fldCharType="end"/>
    </w:r>
  </w:p>
  <w:p w14:paraId="277CAA6E" w14:textId="6ED56F43"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532A0F">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11914824" w14:textId="77777777">
      <w:trPr>
        <w:cantSplit/>
      </w:trPr>
      <w:tc>
        <w:tcPr>
          <w:tcW w:w="4644" w:type="dxa"/>
        </w:tcPr>
        <w:p w14:paraId="01922AC8" w14:textId="6F61F8CC"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5F7FDA0D" w14:textId="3F522B31"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46DD02AF" w14:textId="677F8FB0"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27BCD056" w14:textId="760DC65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0D8938D7" w14:textId="58347BE1" w:rsidR="00E20E70" w:rsidRDefault="00E20E70">
    <w:r>
      <w:rPr>
        <w:sz w:val="16"/>
      </w:rPr>
      <w:fldChar w:fldCharType="begin"/>
    </w:r>
    <w:r>
      <w:rPr>
        <w:sz w:val="16"/>
      </w:rPr>
      <w:instrText xml:space="preserve"> FILENAME \* MERGEFORMAT </w:instrText>
    </w:r>
    <w:r>
      <w:rPr>
        <w:sz w:val="16"/>
      </w:rPr>
      <w:fldChar w:fldCharType="separate"/>
    </w:r>
    <w:r w:rsidR="00F37EC7">
      <w:rPr>
        <w:noProof/>
        <w:sz w:val="16"/>
      </w:rPr>
      <w:t>IAEA SMR Conference_Extended Synopses_Ximena Vasquez-Maignan.docx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F4CEE" w14:textId="77777777" w:rsidR="0037582C" w:rsidRDefault="0037582C">
      <w:r>
        <w:t>___________________________________________________________________________</w:t>
      </w:r>
    </w:p>
  </w:footnote>
  <w:footnote w:type="continuationSeparator" w:id="0">
    <w:p w14:paraId="328CC3AA" w14:textId="77777777" w:rsidR="0037582C" w:rsidRDefault="0037582C">
      <w:r>
        <w:t>___________________________________________________________________________</w:t>
      </w:r>
    </w:p>
  </w:footnote>
  <w:footnote w:type="continuationNotice" w:id="1">
    <w:p w14:paraId="3FD89888" w14:textId="77777777" w:rsidR="0037582C" w:rsidRDefault="0037582C"/>
  </w:footnote>
  <w:footnote w:id="2">
    <w:p w14:paraId="6C4BED9E" w14:textId="2E2BA36A" w:rsidR="008528F8" w:rsidRPr="00764E7C" w:rsidRDefault="008528F8" w:rsidP="008528F8">
      <w:pPr>
        <w:pStyle w:val="FootnoteText"/>
        <w:rPr>
          <w:lang w:val="en-US"/>
        </w:rPr>
      </w:pPr>
      <w:r>
        <w:rPr>
          <w:rStyle w:val="FootnoteReference"/>
        </w:rPr>
        <w:footnoteRef/>
      </w:r>
      <w:r>
        <w:t xml:space="preserve"> Article 1(a)(vii) of the Paris Convention;</w:t>
      </w:r>
      <w:r w:rsidR="009000C4">
        <w:t xml:space="preserve"> </w:t>
      </w:r>
      <w:r w:rsidR="009A7A3A">
        <w:t>Article I.1(</w:t>
      </w:r>
      <w:r w:rsidR="009A7A3A">
        <w:t>k</w:t>
      </w:r>
      <w:r w:rsidR="009A7A3A">
        <w:t>) of the Vienna Convention</w:t>
      </w:r>
      <w:r w:rsidR="00EB4D28">
        <w:t xml:space="preserve"> and the Revised Vienna Convention</w:t>
      </w:r>
      <w:r w:rsidR="009A7A3A">
        <w:t>;</w:t>
      </w:r>
      <w:r w:rsidR="009A7A3A">
        <w:t xml:space="preserve"> </w:t>
      </w:r>
      <w:r w:rsidR="00F948FF">
        <w:t>Article I(f) of the CSC.</w:t>
      </w:r>
    </w:p>
  </w:footnote>
  <w:footnote w:id="3">
    <w:p w14:paraId="0C7E32C0" w14:textId="5B84ED85" w:rsidR="008528F8" w:rsidRPr="00764E7C" w:rsidRDefault="008528F8" w:rsidP="008528F8">
      <w:pPr>
        <w:pStyle w:val="FootnoteText"/>
        <w:rPr>
          <w:lang w:val="en-US"/>
        </w:rPr>
      </w:pPr>
      <w:r>
        <w:rPr>
          <w:rStyle w:val="FootnoteReference"/>
        </w:rPr>
        <w:footnoteRef/>
      </w:r>
      <w:r>
        <w:t xml:space="preserve"> Article 1(a)(i) of the Paris Convention;</w:t>
      </w:r>
      <w:r w:rsidR="009000C4">
        <w:t xml:space="preserve"> </w:t>
      </w:r>
      <w:r w:rsidR="009A7A3A">
        <w:t>Article I.1(</w:t>
      </w:r>
      <w:r w:rsidR="009A7A3A">
        <w:t>l</w:t>
      </w:r>
      <w:r w:rsidR="009A7A3A">
        <w:t>) of the Vienna Convention</w:t>
      </w:r>
      <w:r w:rsidR="00EB4D28">
        <w:t xml:space="preserve"> and the Revised Vienna Convention</w:t>
      </w:r>
      <w:r w:rsidR="009A7A3A">
        <w:t>;</w:t>
      </w:r>
      <w:r w:rsidR="009A7A3A">
        <w:t xml:space="preserve"> </w:t>
      </w:r>
      <w:r w:rsidR="00F948FF">
        <w:t>Article I(</w:t>
      </w:r>
      <w:r w:rsidR="00F948FF">
        <w:t>i</w:t>
      </w:r>
      <w:r w:rsidR="00F948FF">
        <w:t>) of the CSC</w:t>
      </w:r>
      <w:r w:rsidR="00F948FF">
        <w:t>.</w:t>
      </w:r>
    </w:p>
  </w:footnote>
  <w:footnote w:id="4">
    <w:p w14:paraId="3B131A8A" w14:textId="31C9F155" w:rsidR="008528F8" w:rsidRPr="00764E7C" w:rsidRDefault="008528F8" w:rsidP="008528F8">
      <w:pPr>
        <w:pStyle w:val="FootnoteText"/>
        <w:rPr>
          <w:lang w:val="en-US"/>
        </w:rPr>
      </w:pPr>
      <w:r>
        <w:rPr>
          <w:rStyle w:val="FootnoteReference"/>
        </w:rPr>
        <w:footnoteRef/>
      </w:r>
      <w:r>
        <w:t xml:space="preserve"> Article 1(a)(ii) of the </w:t>
      </w:r>
      <w:r w:rsidR="00F948FF">
        <w:t>P</w:t>
      </w:r>
      <w:r>
        <w:t xml:space="preserve">aris Convention; </w:t>
      </w:r>
      <w:r w:rsidR="009A7A3A">
        <w:t>Article I.1(</w:t>
      </w:r>
      <w:r w:rsidR="009A7A3A">
        <w:t>j</w:t>
      </w:r>
      <w:r w:rsidR="009A7A3A">
        <w:t>) of the Vienna Convention</w:t>
      </w:r>
      <w:r w:rsidR="00EB4D28">
        <w:t xml:space="preserve"> and the Revised Vienna Convention</w:t>
      </w:r>
      <w:r w:rsidR="009A7A3A">
        <w:t>;</w:t>
      </w:r>
      <w:r w:rsidR="009A7A3A">
        <w:t xml:space="preserve"> </w:t>
      </w:r>
      <w:r w:rsidR="00F948FF">
        <w:t xml:space="preserve">Article </w:t>
      </w:r>
      <w:r w:rsidR="007538F5">
        <w:t xml:space="preserve">1.1(b) </w:t>
      </w:r>
      <w:r w:rsidR="00F948FF">
        <w:t xml:space="preserve">of the </w:t>
      </w:r>
      <w:r w:rsidR="007538F5">
        <w:t xml:space="preserve">Annex to the </w:t>
      </w:r>
      <w:r w:rsidR="00F948FF">
        <w:t>CSC</w:t>
      </w:r>
      <w:r w:rsidR="007538F5">
        <w:t>.</w:t>
      </w:r>
    </w:p>
  </w:footnote>
  <w:footnote w:id="5">
    <w:p w14:paraId="444ACBAE" w14:textId="712E9681" w:rsidR="008528F8" w:rsidRPr="008528F8" w:rsidRDefault="008528F8">
      <w:pPr>
        <w:pStyle w:val="FootnoteText"/>
        <w:rPr>
          <w:lang w:val="en-US"/>
        </w:rPr>
      </w:pPr>
      <w:r>
        <w:rPr>
          <w:rStyle w:val="FootnoteReference"/>
        </w:rPr>
        <w:footnoteRef/>
      </w:r>
      <w:r>
        <w:t xml:space="preserve"> </w:t>
      </w:r>
      <w:r>
        <w:t>Article 1(a)(</w:t>
      </w:r>
      <w:r>
        <w:t>v</w:t>
      </w:r>
      <w:r>
        <w:t>) of the Paris Convention</w:t>
      </w:r>
      <w:r w:rsidR="007538F5">
        <w:t xml:space="preserve">. Under </w:t>
      </w:r>
      <w:r w:rsidR="009A7A3A">
        <w:t>Article I.1(</w:t>
      </w:r>
      <w:r w:rsidR="009A7A3A">
        <w:t>h</w:t>
      </w:r>
      <w:r w:rsidR="009A7A3A">
        <w:t>) of the Vienna Convention</w:t>
      </w:r>
      <w:r w:rsidR="009A7A3A">
        <w:t xml:space="preserve"> </w:t>
      </w:r>
      <w:r w:rsidR="00EB4D28">
        <w:t>and the Revised Vienna Convention</w:t>
      </w:r>
      <w:r w:rsidR="007538F5">
        <w:t xml:space="preserve"> and</w:t>
      </w:r>
      <w:r w:rsidR="009A7A3A">
        <w:t xml:space="preserve"> </w:t>
      </w:r>
      <w:r w:rsidR="007538F5">
        <w:t>Article 1.1(</w:t>
      </w:r>
      <w:r w:rsidR="007538F5">
        <w:t>c</w:t>
      </w:r>
      <w:r w:rsidR="007538F5">
        <w:t>) of the Annex to the CSC</w:t>
      </w:r>
      <w:r w:rsidR="007538F5">
        <w:t>, the term used is “nuclear material”</w:t>
      </w:r>
      <w:r w:rsidR="005A6129">
        <w:t xml:space="preserve"> instead of “nuclear substance”, but all definitions address the same thing. </w:t>
      </w:r>
    </w:p>
  </w:footnote>
  <w:footnote w:id="6">
    <w:p w14:paraId="7592F325" w14:textId="03524DB7" w:rsidR="000D129B" w:rsidRPr="000D129B" w:rsidRDefault="000D129B">
      <w:pPr>
        <w:pStyle w:val="FootnoteText"/>
        <w:rPr>
          <w:lang w:val="en-US"/>
        </w:rPr>
      </w:pPr>
      <w:r>
        <w:rPr>
          <w:rStyle w:val="FootnoteReference"/>
        </w:rPr>
        <w:footnoteRef/>
      </w:r>
      <w:r>
        <w:t xml:space="preserve"> </w:t>
      </w:r>
      <w:r>
        <w:t>Article 1(a)(</w:t>
      </w:r>
      <w:r w:rsidR="00FA16EA">
        <w:t>vi</w:t>
      </w:r>
      <w:r>
        <w:t>) of the Paris Convention; Article I.1(</w:t>
      </w:r>
      <w:r w:rsidR="00FA16EA">
        <w:t>c</w:t>
      </w:r>
      <w:r>
        <w:t>) of the Vienna Convention and the Revised Vienna Convention; Article 1.1(</w:t>
      </w:r>
      <w:r>
        <w:t>d</w:t>
      </w:r>
      <w:r>
        <w:t>) of the Annex to the CSC.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1AA9" w14:textId="426BD621" w:rsidR="00EC70AE" w:rsidRPr="00EC70AE" w:rsidRDefault="00532A0F" w:rsidP="00EC70AE">
    <w:pPr>
      <w:pStyle w:val="Runninghead"/>
    </w:pPr>
    <w:r>
      <w:t>IAEA-</w:t>
    </w:r>
    <w:r w:rsidR="00EC70AE" w:rsidRPr="00EC70AE">
      <w:t xml:space="preserve"> </w:t>
    </w:r>
    <w:r w:rsidR="00EC70AE">
      <w:t>Abstract ID: #160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203F" w14:textId="3F5D01E6" w:rsidR="00E20E70" w:rsidRDefault="0042468E" w:rsidP="00B82FA5">
    <w:pPr>
      <w:pStyle w:val="Runninghead"/>
    </w:pPr>
    <w:r>
      <w:t>Ximena Vásquez-Maignan, White &amp; Case LLP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65B84B39" w14:textId="77777777">
      <w:trPr>
        <w:cantSplit/>
        <w:trHeight w:val="716"/>
      </w:trPr>
      <w:tc>
        <w:tcPr>
          <w:tcW w:w="979" w:type="dxa"/>
          <w:vMerge w:val="restart"/>
        </w:tcPr>
        <w:p w14:paraId="2D948F13" w14:textId="77777777" w:rsidR="00E20E70" w:rsidRDefault="00E20E70">
          <w:pPr>
            <w:spacing w:before="180"/>
            <w:ind w:left="17"/>
          </w:pPr>
        </w:p>
      </w:tc>
      <w:tc>
        <w:tcPr>
          <w:tcW w:w="3638" w:type="dxa"/>
          <w:vAlign w:val="bottom"/>
        </w:tcPr>
        <w:p w14:paraId="3741A6CB" w14:textId="77777777" w:rsidR="00E20E70" w:rsidRDefault="00E20E70">
          <w:pPr>
            <w:spacing w:after="20"/>
          </w:pPr>
        </w:p>
      </w:tc>
      <w:bookmarkStart w:id="0" w:name="DOC_bkmClassification1"/>
      <w:tc>
        <w:tcPr>
          <w:tcW w:w="5702" w:type="dxa"/>
          <w:vMerge w:val="restart"/>
          <w:tcMar>
            <w:right w:w="193" w:type="dxa"/>
          </w:tcMar>
        </w:tcPr>
        <w:p w14:paraId="6CA879E2" w14:textId="4372DE0F"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1658BF87" w14:textId="60F6DDED" w:rsidR="00E20E70" w:rsidRDefault="00E20E70">
          <w:pPr>
            <w:pStyle w:val="zyxConfid2Red"/>
          </w:pPr>
          <w:r>
            <w:fldChar w:fldCharType="begin"/>
          </w:r>
          <w:r>
            <w:instrText>DOCPROPERTY "IaeaClassification2"  \* MERGEFORMAT</w:instrText>
          </w:r>
          <w:r>
            <w:fldChar w:fldCharType="end"/>
          </w:r>
        </w:p>
      </w:tc>
    </w:tr>
    <w:tr w:rsidR="00E20E70" w14:paraId="12F4B44A" w14:textId="77777777">
      <w:trPr>
        <w:cantSplit/>
        <w:trHeight w:val="167"/>
      </w:trPr>
      <w:tc>
        <w:tcPr>
          <w:tcW w:w="979" w:type="dxa"/>
          <w:vMerge/>
        </w:tcPr>
        <w:p w14:paraId="6A2AB7D9" w14:textId="77777777" w:rsidR="00E20E70" w:rsidRDefault="00E20E70">
          <w:pPr>
            <w:spacing w:before="57"/>
          </w:pPr>
        </w:p>
      </w:tc>
      <w:tc>
        <w:tcPr>
          <w:tcW w:w="3638" w:type="dxa"/>
          <w:vAlign w:val="bottom"/>
        </w:tcPr>
        <w:p w14:paraId="03DC007D" w14:textId="77777777" w:rsidR="00E20E70" w:rsidRDefault="00E20E70">
          <w:pPr>
            <w:pStyle w:val="Heading9"/>
            <w:spacing w:before="0" w:after="10"/>
          </w:pPr>
        </w:p>
      </w:tc>
      <w:tc>
        <w:tcPr>
          <w:tcW w:w="5702" w:type="dxa"/>
          <w:vMerge/>
          <w:vAlign w:val="bottom"/>
        </w:tcPr>
        <w:p w14:paraId="2A0B6A2B" w14:textId="77777777" w:rsidR="00E20E70" w:rsidRDefault="00E20E70">
          <w:pPr>
            <w:pStyle w:val="Heading9"/>
            <w:spacing w:before="0" w:after="10"/>
          </w:pPr>
        </w:p>
      </w:tc>
    </w:tr>
  </w:tbl>
  <w:p w14:paraId="50B524FE"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EE4"/>
    <w:multiLevelType w:val="hybridMultilevel"/>
    <w:tmpl w:val="D72A1ED6"/>
    <w:lvl w:ilvl="0" w:tplc="579C977A">
      <w:start w:val="1"/>
      <w:numFmt w:val="bullet"/>
      <w:lvlText w:val=""/>
      <w:lvlJc w:val="left"/>
      <w:pPr>
        <w:tabs>
          <w:tab w:val="num" w:pos="720"/>
        </w:tabs>
        <w:ind w:left="720" w:hanging="360"/>
      </w:pPr>
      <w:rPr>
        <w:rFonts w:ascii="Wingdings" w:hAnsi="Wingdings" w:hint="default"/>
      </w:rPr>
    </w:lvl>
    <w:lvl w:ilvl="1" w:tplc="B1F22618">
      <w:numFmt w:val="bullet"/>
      <w:lvlText w:val="–"/>
      <w:lvlJc w:val="left"/>
      <w:pPr>
        <w:tabs>
          <w:tab w:val="num" w:pos="1440"/>
        </w:tabs>
        <w:ind w:left="1440" w:hanging="360"/>
      </w:pPr>
      <w:rPr>
        <w:rFonts w:ascii="Arial" w:hAnsi="Arial" w:hint="default"/>
      </w:rPr>
    </w:lvl>
    <w:lvl w:ilvl="2" w:tplc="E75066F8" w:tentative="1">
      <w:start w:val="1"/>
      <w:numFmt w:val="bullet"/>
      <w:lvlText w:val=""/>
      <w:lvlJc w:val="left"/>
      <w:pPr>
        <w:tabs>
          <w:tab w:val="num" w:pos="2160"/>
        </w:tabs>
        <w:ind w:left="2160" w:hanging="360"/>
      </w:pPr>
      <w:rPr>
        <w:rFonts w:ascii="Wingdings" w:hAnsi="Wingdings" w:hint="default"/>
      </w:rPr>
    </w:lvl>
    <w:lvl w:ilvl="3" w:tplc="C352B88E" w:tentative="1">
      <w:start w:val="1"/>
      <w:numFmt w:val="bullet"/>
      <w:lvlText w:val=""/>
      <w:lvlJc w:val="left"/>
      <w:pPr>
        <w:tabs>
          <w:tab w:val="num" w:pos="2880"/>
        </w:tabs>
        <w:ind w:left="2880" w:hanging="360"/>
      </w:pPr>
      <w:rPr>
        <w:rFonts w:ascii="Wingdings" w:hAnsi="Wingdings" w:hint="default"/>
      </w:rPr>
    </w:lvl>
    <w:lvl w:ilvl="4" w:tplc="A02AE604" w:tentative="1">
      <w:start w:val="1"/>
      <w:numFmt w:val="bullet"/>
      <w:lvlText w:val=""/>
      <w:lvlJc w:val="left"/>
      <w:pPr>
        <w:tabs>
          <w:tab w:val="num" w:pos="3600"/>
        </w:tabs>
        <w:ind w:left="3600" w:hanging="360"/>
      </w:pPr>
      <w:rPr>
        <w:rFonts w:ascii="Wingdings" w:hAnsi="Wingdings" w:hint="default"/>
      </w:rPr>
    </w:lvl>
    <w:lvl w:ilvl="5" w:tplc="A2FAF0BA" w:tentative="1">
      <w:start w:val="1"/>
      <w:numFmt w:val="bullet"/>
      <w:lvlText w:val=""/>
      <w:lvlJc w:val="left"/>
      <w:pPr>
        <w:tabs>
          <w:tab w:val="num" w:pos="4320"/>
        </w:tabs>
        <w:ind w:left="4320" w:hanging="360"/>
      </w:pPr>
      <w:rPr>
        <w:rFonts w:ascii="Wingdings" w:hAnsi="Wingdings" w:hint="default"/>
      </w:rPr>
    </w:lvl>
    <w:lvl w:ilvl="6" w:tplc="BBB45C1A" w:tentative="1">
      <w:start w:val="1"/>
      <w:numFmt w:val="bullet"/>
      <w:lvlText w:val=""/>
      <w:lvlJc w:val="left"/>
      <w:pPr>
        <w:tabs>
          <w:tab w:val="num" w:pos="5040"/>
        </w:tabs>
        <w:ind w:left="5040" w:hanging="360"/>
      </w:pPr>
      <w:rPr>
        <w:rFonts w:ascii="Wingdings" w:hAnsi="Wingdings" w:hint="default"/>
      </w:rPr>
    </w:lvl>
    <w:lvl w:ilvl="7" w:tplc="AF12CA3E" w:tentative="1">
      <w:start w:val="1"/>
      <w:numFmt w:val="bullet"/>
      <w:lvlText w:val=""/>
      <w:lvlJc w:val="left"/>
      <w:pPr>
        <w:tabs>
          <w:tab w:val="num" w:pos="5760"/>
        </w:tabs>
        <w:ind w:left="5760" w:hanging="360"/>
      </w:pPr>
      <w:rPr>
        <w:rFonts w:ascii="Wingdings" w:hAnsi="Wingdings" w:hint="default"/>
      </w:rPr>
    </w:lvl>
    <w:lvl w:ilvl="8" w:tplc="3B9069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A075A"/>
    <w:multiLevelType w:val="hybridMultilevel"/>
    <w:tmpl w:val="55B0A060"/>
    <w:lvl w:ilvl="0" w:tplc="251AD5CC">
      <w:start w:val="1"/>
      <w:numFmt w:val="bullet"/>
      <w:lvlText w:val=""/>
      <w:lvlJc w:val="left"/>
      <w:pPr>
        <w:tabs>
          <w:tab w:val="num" w:pos="720"/>
        </w:tabs>
        <w:ind w:left="720" w:hanging="360"/>
      </w:pPr>
      <w:rPr>
        <w:rFonts w:ascii="Wingdings" w:hAnsi="Wingdings" w:hint="default"/>
      </w:rPr>
    </w:lvl>
    <w:lvl w:ilvl="1" w:tplc="A60A3D18">
      <w:numFmt w:val="bullet"/>
      <w:lvlText w:val="–"/>
      <w:lvlJc w:val="left"/>
      <w:pPr>
        <w:tabs>
          <w:tab w:val="num" w:pos="1440"/>
        </w:tabs>
        <w:ind w:left="1440" w:hanging="360"/>
      </w:pPr>
      <w:rPr>
        <w:rFonts w:ascii="Arial" w:hAnsi="Arial" w:hint="default"/>
      </w:rPr>
    </w:lvl>
    <w:lvl w:ilvl="2" w:tplc="142E6F7A">
      <w:numFmt w:val="bullet"/>
      <w:lvlText w:val="•"/>
      <w:lvlJc w:val="left"/>
      <w:pPr>
        <w:tabs>
          <w:tab w:val="num" w:pos="2160"/>
        </w:tabs>
        <w:ind w:left="2160" w:hanging="360"/>
      </w:pPr>
      <w:rPr>
        <w:rFonts w:ascii="Arial" w:hAnsi="Arial" w:hint="default"/>
      </w:rPr>
    </w:lvl>
    <w:lvl w:ilvl="3" w:tplc="1E2261A6" w:tentative="1">
      <w:start w:val="1"/>
      <w:numFmt w:val="bullet"/>
      <w:lvlText w:val=""/>
      <w:lvlJc w:val="left"/>
      <w:pPr>
        <w:tabs>
          <w:tab w:val="num" w:pos="2880"/>
        </w:tabs>
        <w:ind w:left="2880" w:hanging="360"/>
      </w:pPr>
      <w:rPr>
        <w:rFonts w:ascii="Wingdings" w:hAnsi="Wingdings" w:hint="default"/>
      </w:rPr>
    </w:lvl>
    <w:lvl w:ilvl="4" w:tplc="9A38E3A8" w:tentative="1">
      <w:start w:val="1"/>
      <w:numFmt w:val="bullet"/>
      <w:lvlText w:val=""/>
      <w:lvlJc w:val="left"/>
      <w:pPr>
        <w:tabs>
          <w:tab w:val="num" w:pos="3600"/>
        </w:tabs>
        <w:ind w:left="3600" w:hanging="360"/>
      </w:pPr>
      <w:rPr>
        <w:rFonts w:ascii="Wingdings" w:hAnsi="Wingdings" w:hint="default"/>
      </w:rPr>
    </w:lvl>
    <w:lvl w:ilvl="5" w:tplc="68643DB4" w:tentative="1">
      <w:start w:val="1"/>
      <w:numFmt w:val="bullet"/>
      <w:lvlText w:val=""/>
      <w:lvlJc w:val="left"/>
      <w:pPr>
        <w:tabs>
          <w:tab w:val="num" w:pos="4320"/>
        </w:tabs>
        <w:ind w:left="4320" w:hanging="360"/>
      </w:pPr>
      <w:rPr>
        <w:rFonts w:ascii="Wingdings" w:hAnsi="Wingdings" w:hint="default"/>
      </w:rPr>
    </w:lvl>
    <w:lvl w:ilvl="6" w:tplc="97D67A76" w:tentative="1">
      <w:start w:val="1"/>
      <w:numFmt w:val="bullet"/>
      <w:lvlText w:val=""/>
      <w:lvlJc w:val="left"/>
      <w:pPr>
        <w:tabs>
          <w:tab w:val="num" w:pos="5040"/>
        </w:tabs>
        <w:ind w:left="5040" w:hanging="360"/>
      </w:pPr>
      <w:rPr>
        <w:rFonts w:ascii="Wingdings" w:hAnsi="Wingdings" w:hint="default"/>
      </w:rPr>
    </w:lvl>
    <w:lvl w:ilvl="7" w:tplc="A21EFB8C" w:tentative="1">
      <w:start w:val="1"/>
      <w:numFmt w:val="bullet"/>
      <w:lvlText w:val=""/>
      <w:lvlJc w:val="left"/>
      <w:pPr>
        <w:tabs>
          <w:tab w:val="num" w:pos="5760"/>
        </w:tabs>
        <w:ind w:left="5760" w:hanging="360"/>
      </w:pPr>
      <w:rPr>
        <w:rFonts w:ascii="Wingdings" w:hAnsi="Wingdings" w:hint="default"/>
      </w:rPr>
    </w:lvl>
    <w:lvl w:ilvl="8" w:tplc="AE3A602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D0B09"/>
    <w:multiLevelType w:val="hybridMultilevel"/>
    <w:tmpl w:val="F214AF8C"/>
    <w:lvl w:ilvl="0" w:tplc="2E62E68A">
      <w:start w:val="1"/>
      <w:numFmt w:val="bullet"/>
      <w:lvlText w:val=""/>
      <w:lvlJc w:val="left"/>
      <w:pPr>
        <w:tabs>
          <w:tab w:val="num" w:pos="720"/>
        </w:tabs>
        <w:ind w:left="720" w:hanging="360"/>
      </w:pPr>
      <w:rPr>
        <w:rFonts w:ascii="Wingdings" w:hAnsi="Wingdings" w:hint="default"/>
      </w:rPr>
    </w:lvl>
    <w:lvl w:ilvl="1" w:tplc="B8E6C606">
      <w:numFmt w:val="bullet"/>
      <w:lvlText w:val="–"/>
      <w:lvlJc w:val="left"/>
      <w:pPr>
        <w:tabs>
          <w:tab w:val="num" w:pos="1440"/>
        </w:tabs>
        <w:ind w:left="1440" w:hanging="360"/>
      </w:pPr>
      <w:rPr>
        <w:rFonts w:ascii="Arial" w:hAnsi="Arial" w:hint="default"/>
      </w:rPr>
    </w:lvl>
    <w:lvl w:ilvl="2" w:tplc="46B2794C" w:tentative="1">
      <w:start w:val="1"/>
      <w:numFmt w:val="bullet"/>
      <w:lvlText w:val=""/>
      <w:lvlJc w:val="left"/>
      <w:pPr>
        <w:tabs>
          <w:tab w:val="num" w:pos="2160"/>
        </w:tabs>
        <w:ind w:left="2160" w:hanging="360"/>
      </w:pPr>
      <w:rPr>
        <w:rFonts w:ascii="Wingdings" w:hAnsi="Wingdings" w:hint="default"/>
      </w:rPr>
    </w:lvl>
    <w:lvl w:ilvl="3" w:tplc="D7EAAF00" w:tentative="1">
      <w:start w:val="1"/>
      <w:numFmt w:val="bullet"/>
      <w:lvlText w:val=""/>
      <w:lvlJc w:val="left"/>
      <w:pPr>
        <w:tabs>
          <w:tab w:val="num" w:pos="2880"/>
        </w:tabs>
        <w:ind w:left="2880" w:hanging="360"/>
      </w:pPr>
      <w:rPr>
        <w:rFonts w:ascii="Wingdings" w:hAnsi="Wingdings" w:hint="default"/>
      </w:rPr>
    </w:lvl>
    <w:lvl w:ilvl="4" w:tplc="36F4BCA8" w:tentative="1">
      <w:start w:val="1"/>
      <w:numFmt w:val="bullet"/>
      <w:lvlText w:val=""/>
      <w:lvlJc w:val="left"/>
      <w:pPr>
        <w:tabs>
          <w:tab w:val="num" w:pos="3600"/>
        </w:tabs>
        <w:ind w:left="3600" w:hanging="360"/>
      </w:pPr>
      <w:rPr>
        <w:rFonts w:ascii="Wingdings" w:hAnsi="Wingdings" w:hint="default"/>
      </w:rPr>
    </w:lvl>
    <w:lvl w:ilvl="5" w:tplc="0882B454" w:tentative="1">
      <w:start w:val="1"/>
      <w:numFmt w:val="bullet"/>
      <w:lvlText w:val=""/>
      <w:lvlJc w:val="left"/>
      <w:pPr>
        <w:tabs>
          <w:tab w:val="num" w:pos="4320"/>
        </w:tabs>
        <w:ind w:left="4320" w:hanging="360"/>
      </w:pPr>
      <w:rPr>
        <w:rFonts w:ascii="Wingdings" w:hAnsi="Wingdings" w:hint="default"/>
      </w:rPr>
    </w:lvl>
    <w:lvl w:ilvl="6" w:tplc="8676CDCC" w:tentative="1">
      <w:start w:val="1"/>
      <w:numFmt w:val="bullet"/>
      <w:lvlText w:val=""/>
      <w:lvlJc w:val="left"/>
      <w:pPr>
        <w:tabs>
          <w:tab w:val="num" w:pos="5040"/>
        </w:tabs>
        <w:ind w:left="5040" w:hanging="360"/>
      </w:pPr>
      <w:rPr>
        <w:rFonts w:ascii="Wingdings" w:hAnsi="Wingdings" w:hint="default"/>
      </w:rPr>
    </w:lvl>
    <w:lvl w:ilvl="7" w:tplc="A528984C" w:tentative="1">
      <w:start w:val="1"/>
      <w:numFmt w:val="bullet"/>
      <w:lvlText w:val=""/>
      <w:lvlJc w:val="left"/>
      <w:pPr>
        <w:tabs>
          <w:tab w:val="num" w:pos="5760"/>
        </w:tabs>
        <w:ind w:left="5760" w:hanging="360"/>
      </w:pPr>
      <w:rPr>
        <w:rFonts w:ascii="Wingdings" w:hAnsi="Wingdings" w:hint="default"/>
      </w:rPr>
    </w:lvl>
    <w:lvl w:ilvl="8" w:tplc="3B382A8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4" w15:restartNumberingAfterBreak="0">
    <w:nsid w:val="12C12223"/>
    <w:multiLevelType w:val="hybridMultilevel"/>
    <w:tmpl w:val="B7DACDEE"/>
    <w:lvl w:ilvl="0" w:tplc="C106B0D6">
      <w:start w:val="1"/>
      <w:numFmt w:val="bullet"/>
      <w:lvlText w:val=""/>
      <w:lvlJc w:val="left"/>
      <w:pPr>
        <w:tabs>
          <w:tab w:val="num" w:pos="720"/>
        </w:tabs>
        <w:ind w:left="720" w:hanging="360"/>
      </w:pPr>
      <w:rPr>
        <w:rFonts w:ascii="Wingdings" w:hAnsi="Wingdings" w:hint="default"/>
      </w:rPr>
    </w:lvl>
    <w:lvl w:ilvl="1" w:tplc="B014A228">
      <w:start w:val="1"/>
      <w:numFmt w:val="bullet"/>
      <w:lvlText w:val=""/>
      <w:lvlJc w:val="left"/>
      <w:pPr>
        <w:tabs>
          <w:tab w:val="num" w:pos="1440"/>
        </w:tabs>
        <w:ind w:left="1440" w:hanging="360"/>
      </w:pPr>
      <w:rPr>
        <w:rFonts w:ascii="Wingdings" w:hAnsi="Wingdings" w:hint="default"/>
      </w:rPr>
    </w:lvl>
    <w:lvl w:ilvl="2" w:tplc="80C21CC2" w:tentative="1">
      <w:start w:val="1"/>
      <w:numFmt w:val="bullet"/>
      <w:lvlText w:val=""/>
      <w:lvlJc w:val="left"/>
      <w:pPr>
        <w:tabs>
          <w:tab w:val="num" w:pos="2160"/>
        </w:tabs>
        <w:ind w:left="2160" w:hanging="360"/>
      </w:pPr>
      <w:rPr>
        <w:rFonts w:ascii="Wingdings" w:hAnsi="Wingdings" w:hint="default"/>
      </w:rPr>
    </w:lvl>
    <w:lvl w:ilvl="3" w:tplc="B80C56C8">
      <w:numFmt w:val="bullet"/>
      <w:lvlText w:val=""/>
      <w:lvlJc w:val="left"/>
      <w:pPr>
        <w:tabs>
          <w:tab w:val="num" w:pos="2880"/>
        </w:tabs>
        <w:ind w:left="2880" w:hanging="360"/>
      </w:pPr>
      <w:rPr>
        <w:rFonts w:ascii="Wingdings" w:hAnsi="Wingdings" w:hint="default"/>
      </w:rPr>
    </w:lvl>
    <w:lvl w:ilvl="4" w:tplc="89307FC2" w:tentative="1">
      <w:start w:val="1"/>
      <w:numFmt w:val="bullet"/>
      <w:lvlText w:val=""/>
      <w:lvlJc w:val="left"/>
      <w:pPr>
        <w:tabs>
          <w:tab w:val="num" w:pos="3600"/>
        </w:tabs>
        <w:ind w:left="3600" w:hanging="360"/>
      </w:pPr>
      <w:rPr>
        <w:rFonts w:ascii="Wingdings" w:hAnsi="Wingdings" w:hint="default"/>
      </w:rPr>
    </w:lvl>
    <w:lvl w:ilvl="5" w:tplc="AC4ED3F2" w:tentative="1">
      <w:start w:val="1"/>
      <w:numFmt w:val="bullet"/>
      <w:lvlText w:val=""/>
      <w:lvlJc w:val="left"/>
      <w:pPr>
        <w:tabs>
          <w:tab w:val="num" w:pos="4320"/>
        </w:tabs>
        <w:ind w:left="4320" w:hanging="360"/>
      </w:pPr>
      <w:rPr>
        <w:rFonts w:ascii="Wingdings" w:hAnsi="Wingdings" w:hint="default"/>
      </w:rPr>
    </w:lvl>
    <w:lvl w:ilvl="6" w:tplc="68FC2BBC" w:tentative="1">
      <w:start w:val="1"/>
      <w:numFmt w:val="bullet"/>
      <w:lvlText w:val=""/>
      <w:lvlJc w:val="left"/>
      <w:pPr>
        <w:tabs>
          <w:tab w:val="num" w:pos="5040"/>
        </w:tabs>
        <w:ind w:left="5040" w:hanging="360"/>
      </w:pPr>
      <w:rPr>
        <w:rFonts w:ascii="Wingdings" w:hAnsi="Wingdings" w:hint="default"/>
      </w:rPr>
    </w:lvl>
    <w:lvl w:ilvl="7" w:tplc="432EBC0A" w:tentative="1">
      <w:start w:val="1"/>
      <w:numFmt w:val="bullet"/>
      <w:lvlText w:val=""/>
      <w:lvlJc w:val="left"/>
      <w:pPr>
        <w:tabs>
          <w:tab w:val="num" w:pos="5760"/>
        </w:tabs>
        <w:ind w:left="5760" w:hanging="360"/>
      </w:pPr>
      <w:rPr>
        <w:rFonts w:ascii="Wingdings" w:hAnsi="Wingdings" w:hint="default"/>
      </w:rPr>
    </w:lvl>
    <w:lvl w:ilvl="8" w:tplc="666C9CD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AA73095"/>
    <w:multiLevelType w:val="multilevel"/>
    <w:tmpl w:val="1D9C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DD2990"/>
    <w:multiLevelType w:val="hybridMultilevel"/>
    <w:tmpl w:val="65AAB14A"/>
    <w:lvl w:ilvl="0" w:tplc="A5007380">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0C2469"/>
    <w:multiLevelType w:val="hybridMultilevel"/>
    <w:tmpl w:val="FEB29798"/>
    <w:lvl w:ilvl="0" w:tplc="21F405DC">
      <w:start w:val="1"/>
      <w:numFmt w:val="bullet"/>
      <w:lvlText w:val="–"/>
      <w:lvlJc w:val="left"/>
      <w:pPr>
        <w:tabs>
          <w:tab w:val="num" w:pos="720"/>
        </w:tabs>
        <w:ind w:left="720" w:hanging="360"/>
      </w:pPr>
      <w:rPr>
        <w:rFonts w:ascii="Arial" w:hAnsi="Arial" w:hint="default"/>
      </w:rPr>
    </w:lvl>
    <w:lvl w:ilvl="1" w:tplc="2E8E85CA">
      <w:start w:val="1"/>
      <w:numFmt w:val="bullet"/>
      <w:lvlText w:val="–"/>
      <w:lvlJc w:val="left"/>
      <w:pPr>
        <w:tabs>
          <w:tab w:val="num" w:pos="1440"/>
        </w:tabs>
        <w:ind w:left="1440" w:hanging="360"/>
      </w:pPr>
      <w:rPr>
        <w:rFonts w:ascii="Arial" w:hAnsi="Arial" w:hint="default"/>
      </w:rPr>
    </w:lvl>
    <w:lvl w:ilvl="2" w:tplc="F778696E" w:tentative="1">
      <w:start w:val="1"/>
      <w:numFmt w:val="bullet"/>
      <w:lvlText w:val="–"/>
      <w:lvlJc w:val="left"/>
      <w:pPr>
        <w:tabs>
          <w:tab w:val="num" w:pos="2160"/>
        </w:tabs>
        <w:ind w:left="2160" w:hanging="360"/>
      </w:pPr>
      <w:rPr>
        <w:rFonts w:ascii="Arial" w:hAnsi="Arial" w:hint="default"/>
      </w:rPr>
    </w:lvl>
    <w:lvl w:ilvl="3" w:tplc="FDD803C8" w:tentative="1">
      <w:start w:val="1"/>
      <w:numFmt w:val="bullet"/>
      <w:lvlText w:val="–"/>
      <w:lvlJc w:val="left"/>
      <w:pPr>
        <w:tabs>
          <w:tab w:val="num" w:pos="2880"/>
        </w:tabs>
        <w:ind w:left="2880" w:hanging="360"/>
      </w:pPr>
      <w:rPr>
        <w:rFonts w:ascii="Arial" w:hAnsi="Arial" w:hint="default"/>
      </w:rPr>
    </w:lvl>
    <w:lvl w:ilvl="4" w:tplc="6C56B4F6" w:tentative="1">
      <w:start w:val="1"/>
      <w:numFmt w:val="bullet"/>
      <w:lvlText w:val="–"/>
      <w:lvlJc w:val="left"/>
      <w:pPr>
        <w:tabs>
          <w:tab w:val="num" w:pos="3600"/>
        </w:tabs>
        <w:ind w:left="3600" w:hanging="360"/>
      </w:pPr>
      <w:rPr>
        <w:rFonts w:ascii="Arial" w:hAnsi="Arial" w:hint="default"/>
      </w:rPr>
    </w:lvl>
    <w:lvl w:ilvl="5" w:tplc="C3F2CFA4" w:tentative="1">
      <w:start w:val="1"/>
      <w:numFmt w:val="bullet"/>
      <w:lvlText w:val="–"/>
      <w:lvlJc w:val="left"/>
      <w:pPr>
        <w:tabs>
          <w:tab w:val="num" w:pos="4320"/>
        </w:tabs>
        <w:ind w:left="4320" w:hanging="360"/>
      </w:pPr>
      <w:rPr>
        <w:rFonts w:ascii="Arial" w:hAnsi="Arial" w:hint="default"/>
      </w:rPr>
    </w:lvl>
    <w:lvl w:ilvl="6" w:tplc="3F82EEA6" w:tentative="1">
      <w:start w:val="1"/>
      <w:numFmt w:val="bullet"/>
      <w:lvlText w:val="–"/>
      <w:lvlJc w:val="left"/>
      <w:pPr>
        <w:tabs>
          <w:tab w:val="num" w:pos="5040"/>
        </w:tabs>
        <w:ind w:left="5040" w:hanging="360"/>
      </w:pPr>
      <w:rPr>
        <w:rFonts w:ascii="Arial" w:hAnsi="Arial" w:hint="default"/>
      </w:rPr>
    </w:lvl>
    <w:lvl w:ilvl="7" w:tplc="DC58B84E" w:tentative="1">
      <w:start w:val="1"/>
      <w:numFmt w:val="bullet"/>
      <w:lvlText w:val="–"/>
      <w:lvlJc w:val="left"/>
      <w:pPr>
        <w:tabs>
          <w:tab w:val="num" w:pos="5760"/>
        </w:tabs>
        <w:ind w:left="5760" w:hanging="360"/>
      </w:pPr>
      <w:rPr>
        <w:rFonts w:ascii="Arial" w:hAnsi="Arial" w:hint="default"/>
      </w:rPr>
    </w:lvl>
    <w:lvl w:ilvl="8" w:tplc="2278B12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912B4E"/>
    <w:multiLevelType w:val="hybridMultilevel"/>
    <w:tmpl w:val="DC5EAB38"/>
    <w:lvl w:ilvl="0" w:tplc="F23A4574">
      <w:numFmt w:val="bullet"/>
      <w:lvlText w:val=""/>
      <w:lvlJc w:val="left"/>
      <w:pPr>
        <w:ind w:left="927" w:hanging="360"/>
      </w:pPr>
      <w:rPr>
        <w:rFonts w:ascii="Symbol" w:eastAsia="Times New Roman" w:hAnsi="Symbol"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3"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245EB5"/>
    <w:multiLevelType w:val="hybridMultilevel"/>
    <w:tmpl w:val="23109B88"/>
    <w:lvl w:ilvl="0" w:tplc="2C9A6F0E">
      <w:start w:val="1"/>
      <w:numFmt w:val="bullet"/>
      <w:lvlText w:val=""/>
      <w:lvlJc w:val="left"/>
      <w:pPr>
        <w:tabs>
          <w:tab w:val="num" w:pos="720"/>
        </w:tabs>
        <w:ind w:left="720" w:hanging="360"/>
      </w:pPr>
      <w:rPr>
        <w:rFonts w:ascii="Wingdings" w:hAnsi="Wingdings" w:hint="default"/>
      </w:rPr>
    </w:lvl>
    <w:lvl w:ilvl="1" w:tplc="E058533C">
      <w:numFmt w:val="bullet"/>
      <w:lvlText w:val="–"/>
      <w:lvlJc w:val="left"/>
      <w:pPr>
        <w:tabs>
          <w:tab w:val="num" w:pos="1440"/>
        </w:tabs>
        <w:ind w:left="1440" w:hanging="360"/>
      </w:pPr>
      <w:rPr>
        <w:rFonts w:ascii="Arial" w:hAnsi="Arial" w:hint="default"/>
      </w:rPr>
    </w:lvl>
    <w:lvl w:ilvl="2" w:tplc="A15CD448" w:tentative="1">
      <w:start w:val="1"/>
      <w:numFmt w:val="bullet"/>
      <w:lvlText w:val=""/>
      <w:lvlJc w:val="left"/>
      <w:pPr>
        <w:tabs>
          <w:tab w:val="num" w:pos="2160"/>
        </w:tabs>
        <w:ind w:left="2160" w:hanging="360"/>
      </w:pPr>
      <w:rPr>
        <w:rFonts w:ascii="Wingdings" w:hAnsi="Wingdings" w:hint="default"/>
      </w:rPr>
    </w:lvl>
    <w:lvl w:ilvl="3" w:tplc="484CEFE0" w:tentative="1">
      <w:start w:val="1"/>
      <w:numFmt w:val="bullet"/>
      <w:lvlText w:val=""/>
      <w:lvlJc w:val="left"/>
      <w:pPr>
        <w:tabs>
          <w:tab w:val="num" w:pos="2880"/>
        </w:tabs>
        <w:ind w:left="2880" w:hanging="360"/>
      </w:pPr>
      <w:rPr>
        <w:rFonts w:ascii="Wingdings" w:hAnsi="Wingdings" w:hint="default"/>
      </w:rPr>
    </w:lvl>
    <w:lvl w:ilvl="4" w:tplc="179C063A" w:tentative="1">
      <w:start w:val="1"/>
      <w:numFmt w:val="bullet"/>
      <w:lvlText w:val=""/>
      <w:lvlJc w:val="left"/>
      <w:pPr>
        <w:tabs>
          <w:tab w:val="num" w:pos="3600"/>
        </w:tabs>
        <w:ind w:left="3600" w:hanging="360"/>
      </w:pPr>
      <w:rPr>
        <w:rFonts w:ascii="Wingdings" w:hAnsi="Wingdings" w:hint="default"/>
      </w:rPr>
    </w:lvl>
    <w:lvl w:ilvl="5" w:tplc="32CABBCA" w:tentative="1">
      <w:start w:val="1"/>
      <w:numFmt w:val="bullet"/>
      <w:lvlText w:val=""/>
      <w:lvlJc w:val="left"/>
      <w:pPr>
        <w:tabs>
          <w:tab w:val="num" w:pos="4320"/>
        </w:tabs>
        <w:ind w:left="4320" w:hanging="360"/>
      </w:pPr>
      <w:rPr>
        <w:rFonts w:ascii="Wingdings" w:hAnsi="Wingdings" w:hint="default"/>
      </w:rPr>
    </w:lvl>
    <w:lvl w:ilvl="6" w:tplc="DC9E2926" w:tentative="1">
      <w:start w:val="1"/>
      <w:numFmt w:val="bullet"/>
      <w:lvlText w:val=""/>
      <w:lvlJc w:val="left"/>
      <w:pPr>
        <w:tabs>
          <w:tab w:val="num" w:pos="5040"/>
        </w:tabs>
        <w:ind w:left="5040" w:hanging="360"/>
      </w:pPr>
      <w:rPr>
        <w:rFonts w:ascii="Wingdings" w:hAnsi="Wingdings" w:hint="default"/>
      </w:rPr>
    </w:lvl>
    <w:lvl w:ilvl="7" w:tplc="F59AC02A" w:tentative="1">
      <w:start w:val="1"/>
      <w:numFmt w:val="bullet"/>
      <w:lvlText w:val=""/>
      <w:lvlJc w:val="left"/>
      <w:pPr>
        <w:tabs>
          <w:tab w:val="num" w:pos="5760"/>
        </w:tabs>
        <w:ind w:left="5760" w:hanging="360"/>
      </w:pPr>
      <w:rPr>
        <w:rFonts w:ascii="Wingdings" w:hAnsi="Wingdings" w:hint="default"/>
      </w:rPr>
    </w:lvl>
    <w:lvl w:ilvl="8" w:tplc="7C52D9D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020DED"/>
    <w:multiLevelType w:val="hybridMultilevel"/>
    <w:tmpl w:val="F6547FA8"/>
    <w:lvl w:ilvl="0" w:tplc="DCA65574">
      <w:start w:val="1"/>
      <w:numFmt w:val="bullet"/>
      <w:lvlText w:val=""/>
      <w:lvlJc w:val="left"/>
      <w:pPr>
        <w:tabs>
          <w:tab w:val="num" w:pos="720"/>
        </w:tabs>
        <w:ind w:left="720" w:hanging="360"/>
      </w:pPr>
      <w:rPr>
        <w:rFonts w:ascii="Wingdings" w:hAnsi="Wingdings" w:hint="default"/>
      </w:rPr>
    </w:lvl>
    <w:lvl w:ilvl="1" w:tplc="CB840E2C">
      <w:numFmt w:val="bullet"/>
      <w:lvlText w:val="–"/>
      <w:lvlJc w:val="left"/>
      <w:pPr>
        <w:tabs>
          <w:tab w:val="num" w:pos="1440"/>
        </w:tabs>
        <w:ind w:left="1440" w:hanging="360"/>
      </w:pPr>
      <w:rPr>
        <w:rFonts w:ascii="Arial" w:hAnsi="Arial" w:hint="default"/>
      </w:rPr>
    </w:lvl>
    <w:lvl w:ilvl="2" w:tplc="23DE4848">
      <w:numFmt w:val="bullet"/>
      <w:lvlText w:val="•"/>
      <w:lvlJc w:val="left"/>
      <w:pPr>
        <w:tabs>
          <w:tab w:val="num" w:pos="2160"/>
        </w:tabs>
        <w:ind w:left="2160" w:hanging="360"/>
      </w:pPr>
      <w:rPr>
        <w:rFonts w:ascii="Arial" w:hAnsi="Arial" w:hint="default"/>
      </w:rPr>
    </w:lvl>
    <w:lvl w:ilvl="3" w:tplc="4196A5A0" w:tentative="1">
      <w:start w:val="1"/>
      <w:numFmt w:val="bullet"/>
      <w:lvlText w:val=""/>
      <w:lvlJc w:val="left"/>
      <w:pPr>
        <w:tabs>
          <w:tab w:val="num" w:pos="2880"/>
        </w:tabs>
        <w:ind w:left="2880" w:hanging="360"/>
      </w:pPr>
      <w:rPr>
        <w:rFonts w:ascii="Wingdings" w:hAnsi="Wingdings" w:hint="default"/>
      </w:rPr>
    </w:lvl>
    <w:lvl w:ilvl="4" w:tplc="6A8AB894" w:tentative="1">
      <w:start w:val="1"/>
      <w:numFmt w:val="bullet"/>
      <w:lvlText w:val=""/>
      <w:lvlJc w:val="left"/>
      <w:pPr>
        <w:tabs>
          <w:tab w:val="num" w:pos="3600"/>
        </w:tabs>
        <w:ind w:left="3600" w:hanging="360"/>
      </w:pPr>
      <w:rPr>
        <w:rFonts w:ascii="Wingdings" w:hAnsi="Wingdings" w:hint="default"/>
      </w:rPr>
    </w:lvl>
    <w:lvl w:ilvl="5" w:tplc="76F8716A" w:tentative="1">
      <w:start w:val="1"/>
      <w:numFmt w:val="bullet"/>
      <w:lvlText w:val=""/>
      <w:lvlJc w:val="left"/>
      <w:pPr>
        <w:tabs>
          <w:tab w:val="num" w:pos="4320"/>
        </w:tabs>
        <w:ind w:left="4320" w:hanging="360"/>
      </w:pPr>
      <w:rPr>
        <w:rFonts w:ascii="Wingdings" w:hAnsi="Wingdings" w:hint="default"/>
      </w:rPr>
    </w:lvl>
    <w:lvl w:ilvl="6" w:tplc="637279DC" w:tentative="1">
      <w:start w:val="1"/>
      <w:numFmt w:val="bullet"/>
      <w:lvlText w:val=""/>
      <w:lvlJc w:val="left"/>
      <w:pPr>
        <w:tabs>
          <w:tab w:val="num" w:pos="5040"/>
        </w:tabs>
        <w:ind w:left="5040" w:hanging="360"/>
      </w:pPr>
      <w:rPr>
        <w:rFonts w:ascii="Wingdings" w:hAnsi="Wingdings" w:hint="default"/>
      </w:rPr>
    </w:lvl>
    <w:lvl w:ilvl="7" w:tplc="8BBAEF50" w:tentative="1">
      <w:start w:val="1"/>
      <w:numFmt w:val="bullet"/>
      <w:lvlText w:val=""/>
      <w:lvlJc w:val="left"/>
      <w:pPr>
        <w:tabs>
          <w:tab w:val="num" w:pos="5760"/>
        </w:tabs>
        <w:ind w:left="5760" w:hanging="360"/>
      </w:pPr>
      <w:rPr>
        <w:rFonts w:ascii="Wingdings" w:hAnsi="Wingdings" w:hint="default"/>
      </w:rPr>
    </w:lvl>
    <w:lvl w:ilvl="8" w:tplc="8F10E7F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7" w15:restartNumberingAfterBreak="0">
    <w:nsid w:val="574A779A"/>
    <w:multiLevelType w:val="hybridMultilevel"/>
    <w:tmpl w:val="EDAEB654"/>
    <w:lvl w:ilvl="0" w:tplc="F0AEF12C">
      <w:numFmt w:val="bullet"/>
      <w:lvlText w:val=""/>
      <w:lvlJc w:val="left"/>
      <w:pPr>
        <w:ind w:left="720" w:hanging="360"/>
      </w:pPr>
      <w:rPr>
        <w:rFonts w:ascii="Symbol" w:eastAsia="MS Mincho" w:hAnsi="Symbol"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DA0919"/>
    <w:multiLevelType w:val="hybridMultilevel"/>
    <w:tmpl w:val="7C3458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9BC511B"/>
    <w:multiLevelType w:val="hybridMultilevel"/>
    <w:tmpl w:val="877ACFB0"/>
    <w:lvl w:ilvl="0" w:tplc="0CBE56EA">
      <w:start w:val="1"/>
      <w:numFmt w:val="bullet"/>
      <w:lvlText w:val=""/>
      <w:lvlJc w:val="left"/>
      <w:pPr>
        <w:tabs>
          <w:tab w:val="num" w:pos="720"/>
        </w:tabs>
        <w:ind w:left="720" w:hanging="360"/>
      </w:pPr>
      <w:rPr>
        <w:rFonts w:ascii="Wingdings" w:hAnsi="Wingdings" w:hint="default"/>
      </w:rPr>
    </w:lvl>
    <w:lvl w:ilvl="1" w:tplc="AFE0A8BC">
      <w:numFmt w:val="bullet"/>
      <w:lvlText w:val="–"/>
      <w:lvlJc w:val="left"/>
      <w:pPr>
        <w:tabs>
          <w:tab w:val="num" w:pos="1440"/>
        </w:tabs>
        <w:ind w:left="1440" w:hanging="360"/>
      </w:pPr>
      <w:rPr>
        <w:rFonts w:ascii="Arial" w:hAnsi="Arial" w:hint="default"/>
      </w:rPr>
    </w:lvl>
    <w:lvl w:ilvl="2" w:tplc="E75C5E1A" w:tentative="1">
      <w:start w:val="1"/>
      <w:numFmt w:val="bullet"/>
      <w:lvlText w:val=""/>
      <w:lvlJc w:val="left"/>
      <w:pPr>
        <w:tabs>
          <w:tab w:val="num" w:pos="2160"/>
        </w:tabs>
        <w:ind w:left="2160" w:hanging="360"/>
      </w:pPr>
      <w:rPr>
        <w:rFonts w:ascii="Wingdings" w:hAnsi="Wingdings" w:hint="default"/>
      </w:rPr>
    </w:lvl>
    <w:lvl w:ilvl="3" w:tplc="A88EB92C" w:tentative="1">
      <w:start w:val="1"/>
      <w:numFmt w:val="bullet"/>
      <w:lvlText w:val=""/>
      <w:lvlJc w:val="left"/>
      <w:pPr>
        <w:tabs>
          <w:tab w:val="num" w:pos="2880"/>
        </w:tabs>
        <w:ind w:left="2880" w:hanging="360"/>
      </w:pPr>
      <w:rPr>
        <w:rFonts w:ascii="Wingdings" w:hAnsi="Wingdings" w:hint="default"/>
      </w:rPr>
    </w:lvl>
    <w:lvl w:ilvl="4" w:tplc="72D0FEB4" w:tentative="1">
      <w:start w:val="1"/>
      <w:numFmt w:val="bullet"/>
      <w:lvlText w:val=""/>
      <w:lvlJc w:val="left"/>
      <w:pPr>
        <w:tabs>
          <w:tab w:val="num" w:pos="3600"/>
        </w:tabs>
        <w:ind w:left="3600" w:hanging="360"/>
      </w:pPr>
      <w:rPr>
        <w:rFonts w:ascii="Wingdings" w:hAnsi="Wingdings" w:hint="default"/>
      </w:rPr>
    </w:lvl>
    <w:lvl w:ilvl="5" w:tplc="C2A26FC8" w:tentative="1">
      <w:start w:val="1"/>
      <w:numFmt w:val="bullet"/>
      <w:lvlText w:val=""/>
      <w:lvlJc w:val="left"/>
      <w:pPr>
        <w:tabs>
          <w:tab w:val="num" w:pos="4320"/>
        </w:tabs>
        <w:ind w:left="4320" w:hanging="360"/>
      </w:pPr>
      <w:rPr>
        <w:rFonts w:ascii="Wingdings" w:hAnsi="Wingdings" w:hint="default"/>
      </w:rPr>
    </w:lvl>
    <w:lvl w:ilvl="6" w:tplc="DB4CA3D6" w:tentative="1">
      <w:start w:val="1"/>
      <w:numFmt w:val="bullet"/>
      <w:lvlText w:val=""/>
      <w:lvlJc w:val="left"/>
      <w:pPr>
        <w:tabs>
          <w:tab w:val="num" w:pos="5040"/>
        </w:tabs>
        <w:ind w:left="5040" w:hanging="360"/>
      </w:pPr>
      <w:rPr>
        <w:rFonts w:ascii="Wingdings" w:hAnsi="Wingdings" w:hint="default"/>
      </w:rPr>
    </w:lvl>
    <w:lvl w:ilvl="7" w:tplc="D222E940" w:tentative="1">
      <w:start w:val="1"/>
      <w:numFmt w:val="bullet"/>
      <w:lvlText w:val=""/>
      <w:lvlJc w:val="left"/>
      <w:pPr>
        <w:tabs>
          <w:tab w:val="num" w:pos="5760"/>
        </w:tabs>
        <w:ind w:left="5760" w:hanging="360"/>
      </w:pPr>
      <w:rPr>
        <w:rFonts w:ascii="Wingdings" w:hAnsi="Wingdings" w:hint="default"/>
      </w:rPr>
    </w:lvl>
    <w:lvl w:ilvl="8" w:tplc="E24AB1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E55F23"/>
    <w:multiLevelType w:val="hybridMultilevel"/>
    <w:tmpl w:val="F4F29CB8"/>
    <w:lvl w:ilvl="0" w:tplc="8CFADDD0">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61FF3AAD"/>
    <w:multiLevelType w:val="hybridMultilevel"/>
    <w:tmpl w:val="7F1820AC"/>
    <w:lvl w:ilvl="0" w:tplc="CFACA616">
      <w:start w:val="1"/>
      <w:numFmt w:val="bullet"/>
      <w:lvlText w:val=""/>
      <w:lvlJc w:val="left"/>
      <w:pPr>
        <w:tabs>
          <w:tab w:val="num" w:pos="720"/>
        </w:tabs>
        <w:ind w:left="720" w:hanging="360"/>
      </w:pPr>
      <w:rPr>
        <w:rFonts w:ascii="Wingdings" w:hAnsi="Wingdings" w:hint="default"/>
      </w:rPr>
    </w:lvl>
    <w:lvl w:ilvl="1" w:tplc="0304F58A" w:tentative="1">
      <w:start w:val="1"/>
      <w:numFmt w:val="bullet"/>
      <w:lvlText w:val=""/>
      <w:lvlJc w:val="left"/>
      <w:pPr>
        <w:tabs>
          <w:tab w:val="num" w:pos="1440"/>
        </w:tabs>
        <w:ind w:left="1440" w:hanging="360"/>
      </w:pPr>
      <w:rPr>
        <w:rFonts w:ascii="Wingdings" w:hAnsi="Wingdings" w:hint="default"/>
      </w:rPr>
    </w:lvl>
    <w:lvl w:ilvl="2" w:tplc="310C0EA0" w:tentative="1">
      <w:start w:val="1"/>
      <w:numFmt w:val="bullet"/>
      <w:lvlText w:val=""/>
      <w:lvlJc w:val="left"/>
      <w:pPr>
        <w:tabs>
          <w:tab w:val="num" w:pos="2160"/>
        </w:tabs>
        <w:ind w:left="2160" w:hanging="360"/>
      </w:pPr>
      <w:rPr>
        <w:rFonts w:ascii="Wingdings" w:hAnsi="Wingdings" w:hint="default"/>
      </w:rPr>
    </w:lvl>
    <w:lvl w:ilvl="3" w:tplc="7A4C138E" w:tentative="1">
      <w:start w:val="1"/>
      <w:numFmt w:val="bullet"/>
      <w:lvlText w:val=""/>
      <w:lvlJc w:val="left"/>
      <w:pPr>
        <w:tabs>
          <w:tab w:val="num" w:pos="2880"/>
        </w:tabs>
        <w:ind w:left="2880" w:hanging="360"/>
      </w:pPr>
      <w:rPr>
        <w:rFonts w:ascii="Wingdings" w:hAnsi="Wingdings" w:hint="default"/>
      </w:rPr>
    </w:lvl>
    <w:lvl w:ilvl="4" w:tplc="7E365D8E" w:tentative="1">
      <w:start w:val="1"/>
      <w:numFmt w:val="bullet"/>
      <w:lvlText w:val=""/>
      <w:lvlJc w:val="left"/>
      <w:pPr>
        <w:tabs>
          <w:tab w:val="num" w:pos="3600"/>
        </w:tabs>
        <w:ind w:left="3600" w:hanging="360"/>
      </w:pPr>
      <w:rPr>
        <w:rFonts w:ascii="Wingdings" w:hAnsi="Wingdings" w:hint="default"/>
      </w:rPr>
    </w:lvl>
    <w:lvl w:ilvl="5" w:tplc="A6966426" w:tentative="1">
      <w:start w:val="1"/>
      <w:numFmt w:val="bullet"/>
      <w:lvlText w:val=""/>
      <w:lvlJc w:val="left"/>
      <w:pPr>
        <w:tabs>
          <w:tab w:val="num" w:pos="4320"/>
        </w:tabs>
        <w:ind w:left="4320" w:hanging="360"/>
      </w:pPr>
      <w:rPr>
        <w:rFonts w:ascii="Wingdings" w:hAnsi="Wingdings" w:hint="default"/>
      </w:rPr>
    </w:lvl>
    <w:lvl w:ilvl="6" w:tplc="6AC231D0" w:tentative="1">
      <w:start w:val="1"/>
      <w:numFmt w:val="bullet"/>
      <w:lvlText w:val=""/>
      <w:lvlJc w:val="left"/>
      <w:pPr>
        <w:tabs>
          <w:tab w:val="num" w:pos="5040"/>
        </w:tabs>
        <w:ind w:left="5040" w:hanging="360"/>
      </w:pPr>
      <w:rPr>
        <w:rFonts w:ascii="Wingdings" w:hAnsi="Wingdings" w:hint="default"/>
      </w:rPr>
    </w:lvl>
    <w:lvl w:ilvl="7" w:tplc="84B479D0" w:tentative="1">
      <w:start w:val="1"/>
      <w:numFmt w:val="bullet"/>
      <w:lvlText w:val=""/>
      <w:lvlJc w:val="left"/>
      <w:pPr>
        <w:tabs>
          <w:tab w:val="num" w:pos="5760"/>
        </w:tabs>
        <w:ind w:left="5760" w:hanging="360"/>
      </w:pPr>
      <w:rPr>
        <w:rFonts w:ascii="Wingdings" w:hAnsi="Wingdings" w:hint="default"/>
      </w:rPr>
    </w:lvl>
    <w:lvl w:ilvl="8" w:tplc="89424E8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954D9A"/>
    <w:multiLevelType w:val="hybridMultilevel"/>
    <w:tmpl w:val="482AC778"/>
    <w:lvl w:ilvl="0" w:tplc="8A566F6E">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15:restartNumberingAfterBreak="0">
    <w:nsid w:val="699007F9"/>
    <w:multiLevelType w:val="hybridMultilevel"/>
    <w:tmpl w:val="37B23A6A"/>
    <w:lvl w:ilvl="0" w:tplc="7682EB88">
      <w:start w:val="1"/>
      <w:numFmt w:val="bullet"/>
      <w:lvlText w:val="•"/>
      <w:lvlJc w:val="left"/>
      <w:pPr>
        <w:tabs>
          <w:tab w:val="num" w:pos="720"/>
        </w:tabs>
        <w:ind w:left="720" w:hanging="360"/>
      </w:pPr>
      <w:rPr>
        <w:rFonts w:ascii="Arial" w:hAnsi="Arial" w:hint="default"/>
      </w:rPr>
    </w:lvl>
    <w:lvl w:ilvl="1" w:tplc="692296F0" w:tentative="1">
      <w:start w:val="1"/>
      <w:numFmt w:val="bullet"/>
      <w:lvlText w:val="•"/>
      <w:lvlJc w:val="left"/>
      <w:pPr>
        <w:tabs>
          <w:tab w:val="num" w:pos="1440"/>
        </w:tabs>
        <w:ind w:left="1440" w:hanging="360"/>
      </w:pPr>
      <w:rPr>
        <w:rFonts w:ascii="Arial" w:hAnsi="Arial" w:hint="default"/>
      </w:rPr>
    </w:lvl>
    <w:lvl w:ilvl="2" w:tplc="E5B6FFE6" w:tentative="1">
      <w:start w:val="1"/>
      <w:numFmt w:val="bullet"/>
      <w:lvlText w:val="•"/>
      <w:lvlJc w:val="left"/>
      <w:pPr>
        <w:tabs>
          <w:tab w:val="num" w:pos="2160"/>
        </w:tabs>
        <w:ind w:left="2160" w:hanging="360"/>
      </w:pPr>
      <w:rPr>
        <w:rFonts w:ascii="Arial" w:hAnsi="Arial" w:hint="default"/>
      </w:rPr>
    </w:lvl>
    <w:lvl w:ilvl="3" w:tplc="CE12381C" w:tentative="1">
      <w:start w:val="1"/>
      <w:numFmt w:val="bullet"/>
      <w:lvlText w:val="•"/>
      <w:lvlJc w:val="left"/>
      <w:pPr>
        <w:tabs>
          <w:tab w:val="num" w:pos="2880"/>
        </w:tabs>
        <w:ind w:left="2880" w:hanging="360"/>
      </w:pPr>
      <w:rPr>
        <w:rFonts w:ascii="Arial" w:hAnsi="Arial" w:hint="default"/>
      </w:rPr>
    </w:lvl>
    <w:lvl w:ilvl="4" w:tplc="0B4A5780" w:tentative="1">
      <w:start w:val="1"/>
      <w:numFmt w:val="bullet"/>
      <w:lvlText w:val="•"/>
      <w:lvlJc w:val="left"/>
      <w:pPr>
        <w:tabs>
          <w:tab w:val="num" w:pos="3600"/>
        </w:tabs>
        <w:ind w:left="3600" w:hanging="360"/>
      </w:pPr>
      <w:rPr>
        <w:rFonts w:ascii="Arial" w:hAnsi="Arial" w:hint="default"/>
      </w:rPr>
    </w:lvl>
    <w:lvl w:ilvl="5" w:tplc="4A26F588" w:tentative="1">
      <w:start w:val="1"/>
      <w:numFmt w:val="bullet"/>
      <w:lvlText w:val="•"/>
      <w:lvlJc w:val="left"/>
      <w:pPr>
        <w:tabs>
          <w:tab w:val="num" w:pos="4320"/>
        </w:tabs>
        <w:ind w:left="4320" w:hanging="360"/>
      </w:pPr>
      <w:rPr>
        <w:rFonts w:ascii="Arial" w:hAnsi="Arial" w:hint="default"/>
      </w:rPr>
    </w:lvl>
    <w:lvl w:ilvl="6" w:tplc="101EA89E" w:tentative="1">
      <w:start w:val="1"/>
      <w:numFmt w:val="bullet"/>
      <w:lvlText w:val="•"/>
      <w:lvlJc w:val="left"/>
      <w:pPr>
        <w:tabs>
          <w:tab w:val="num" w:pos="5040"/>
        </w:tabs>
        <w:ind w:left="5040" w:hanging="360"/>
      </w:pPr>
      <w:rPr>
        <w:rFonts w:ascii="Arial" w:hAnsi="Arial" w:hint="default"/>
      </w:rPr>
    </w:lvl>
    <w:lvl w:ilvl="7" w:tplc="344A8A2E" w:tentative="1">
      <w:start w:val="1"/>
      <w:numFmt w:val="bullet"/>
      <w:lvlText w:val="•"/>
      <w:lvlJc w:val="left"/>
      <w:pPr>
        <w:tabs>
          <w:tab w:val="num" w:pos="5760"/>
        </w:tabs>
        <w:ind w:left="5760" w:hanging="360"/>
      </w:pPr>
      <w:rPr>
        <w:rFonts w:ascii="Arial" w:hAnsi="Arial" w:hint="default"/>
      </w:rPr>
    </w:lvl>
    <w:lvl w:ilvl="8" w:tplc="93BAB3D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9AB1FC5"/>
    <w:multiLevelType w:val="hybridMultilevel"/>
    <w:tmpl w:val="15082B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EA617D5"/>
    <w:multiLevelType w:val="hybridMultilevel"/>
    <w:tmpl w:val="D8FA765E"/>
    <w:lvl w:ilvl="0" w:tplc="760ABC92">
      <w:start w:val="1"/>
      <w:numFmt w:val="bullet"/>
      <w:lvlText w:val="-"/>
      <w:lvlJc w:val="left"/>
      <w:pPr>
        <w:tabs>
          <w:tab w:val="num" w:pos="720"/>
        </w:tabs>
        <w:ind w:left="720" w:hanging="360"/>
      </w:pPr>
      <w:rPr>
        <w:rFonts w:ascii="Times New Roman" w:hAnsi="Times New Roman" w:hint="default"/>
      </w:rPr>
    </w:lvl>
    <w:lvl w:ilvl="1" w:tplc="A18E4BB8">
      <w:start w:val="1"/>
      <w:numFmt w:val="bullet"/>
      <w:lvlText w:val="-"/>
      <w:lvlJc w:val="left"/>
      <w:pPr>
        <w:tabs>
          <w:tab w:val="num" w:pos="1440"/>
        </w:tabs>
        <w:ind w:left="1440" w:hanging="360"/>
      </w:pPr>
      <w:rPr>
        <w:rFonts w:ascii="Times New Roman" w:hAnsi="Times New Roman" w:hint="default"/>
      </w:rPr>
    </w:lvl>
    <w:lvl w:ilvl="2" w:tplc="332A5478">
      <w:numFmt w:val="bullet"/>
      <w:lvlText w:val="-"/>
      <w:lvlJc w:val="left"/>
      <w:pPr>
        <w:tabs>
          <w:tab w:val="num" w:pos="2160"/>
        </w:tabs>
        <w:ind w:left="2160" w:hanging="360"/>
      </w:pPr>
      <w:rPr>
        <w:rFonts w:ascii="Times New Roman" w:hAnsi="Times New Roman" w:hint="default"/>
      </w:rPr>
    </w:lvl>
    <w:lvl w:ilvl="3" w:tplc="1156955A" w:tentative="1">
      <w:start w:val="1"/>
      <w:numFmt w:val="bullet"/>
      <w:lvlText w:val="-"/>
      <w:lvlJc w:val="left"/>
      <w:pPr>
        <w:tabs>
          <w:tab w:val="num" w:pos="2880"/>
        </w:tabs>
        <w:ind w:left="2880" w:hanging="360"/>
      </w:pPr>
      <w:rPr>
        <w:rFonts w:ascii="Times New Roman" w:hAnsi="Times New Roman" w:hint="default"/>
      </w:rPr>
    </w:lvl>
    <w:lvl w:ilvl="4" w:tplc="2CD2D054" w:tentative="1">
      <w:start w:val="1"/>
      <w:numFmt w:val="bullet"/>
      <w:lvlText w:val="-"/>
      <w:lvlJc w:val="left"/>
      <w:pPr>
        <w:tabs>
          <w:tab w:val="num" w:pos="3600"/>
        </w:tabs>
        <w:ind w:left="3600" w:hanging="360"/>
      </w:pPr>
      <w:rPr>
        <w:rFonts w:ascii="Times New Roman" w:hAnsi="Times New Roman" w:hint="default"/>
      </w:rPr>
    </w:lvl>
    <w:lvl w:ilvl="5" w:tplc="AC9C5FE0" w:tentative="1">
      <w:start w:val="1"/>
      <w:numFmt w:val="bullet"/>
      <w:lvlText w:val="-"/>
      <w:lvlJc w:val="left"/>
      <w:pPr>
        <w:tabs>
          <w:tab w:val="num" w:pos="4320"/>
        </w:tabs>
        <w:ind w:left="4320" w:hanging="360"/>
      </w:pPr>
      <w:rPr>
        <w:rFonts w:ascii="Times New Roman" w:hAnsi="Times New Roman" w:hint="default"/>
      </w:rPr>
    </w:lvl>
    <w:lvl w:ilvl="6" w:tplc="A3A457B2" w:tentative="1">
      <w:start w:val="1"/>
      <w:numFmt w:val="bullet"/>
      <w:lvlText w:val="-"/>
      <w:lvlJc w:val="left"/>
      <w:pPr>
        <w:tabs>
          <w:tab w:val="num" w:pos="5040"/>
        </w:tabs>
        <w:ind w:left="5040" w:hanging="360"/>
      </w:pPr>
      <w:rPr>
        <w:rFonts w:ascii="Times New Roman" w:hAnsi="Times New Roman" w:hint="default"/>
      </w:rPr>
    </w:lvl>
    <w:lvl w:ilvl="7" w:tplc="9A368986" w:tentative="1">
      <w:start w:val="1"/>
      <w:numFmt w:val="bullet"/>
      <w:lvlText w:val="-"/>
      <w:lvlJc w:val="left"/>
      <w:pPr>
        <w:tabs>
          <w:tab w:val="num" w:pos="5760"/>
        </w:tabs>
        <w:ind w:left="5760" w:hanging="360"/>
      </w:pPr>
      <w:rPr>
        <w:rFonts w:ascii="Times New Roman" w:hAnsi="Times New Roman" w:hint="default"/>
      </w:rPr>
    </w:lvl>
    <w:lvl w:ilvl="8" w:tplc="5144FCF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EF16FC6"/>
    <w:multiLevelType w:val="hybridMultilevel"/>
    <w:tmpl w:val="A8622658"/>
    <w:lvl w:ilvl="0" w:tplc="4B9ACB96">
      <w:start w:val="1"/>
      <w:numFmt w:val="bullet"/>
      <w:lvlText w:val=""/>
      <w:lvlJc w:val="left"/>
      <w:pPr>
        <w:tabs>
          <w:tab w:val="num" w:pos="720"/>
        </w:tabs>
        <w:ind w:left="720" w:hanging="360"/>
      </w:pPr>
      <w:rPr>
        <w:rFonts w:ascii="Wingdings" w:hAnsi="Wingdings" w:hint="default"/>
      </w:rPr>
    </w:lvl>
    <w:lvl w:ilvl="1" w:tplc="D2CA1848">
      <w:numFmt w:val="bullet"/>
      <w:lvlText w:val="–"/>
      <w:lvlJc w:val="left"/>
      <w:pPr>
        <w:tabs>
          <w:tab w:val="num" w:pos="1440"/>
        </w:tabs>
        <w:ind w:left="1440" w:hanging="360"/>
      </w:pPr>
      <w:rPr>
        <w:rFonts w:ascii="Arial" w:hAnsi="Arial" w:hint="default"/>
      </w:rPr>
    </w:lvl>
    <w:lvl w:ilvl="2" w:tplc="D7EAD930" w:tentative="1">
      <w:start w:val="1"/>
      <w:numFmt w:val="bullet"/>
      <w:lvlText w:val=""/>
      <w:lvlJc w:val="left"/>
      <w:pPr>
        <w:tabs>
          <w:tab w:val="num" w:pos="2160"/>
        </w:tabs>
        <w:ind w:left="2160" w:hanging="360"/>
      </w:pPr>
      <w:rPr>
        <w:rFonts w:ascii="Wingdings" w:hAnsi="Wingdings" w:hint="default"/>
      </w:rPr>
    </w:lvl>
    <w:lvl w:ilvl="3" w:tplc="B57247CA" w:tentative="1">
      <w:start w:val="1"/>
      <w:numFmt w:val="bullet"/>
      <w:lvlText w:val=""/>
      <w:lvlJc w:val="left"/>
      <w:pPr>
        <w:tabs>
          <w:tab w:val="num" w:pos="2880"/>
        </w:tabs>
        <w:ind w:left="2880" w:hanging="360"/>
      </w:pPr>
      <w:rPr>
        <w:rFonts w:ascii="Wingdings" w:hAnsi="Wingdings" w:hint="default"/>
      </w:rPr>
    </w:lvl>
    <w:lvl w:ilvl="4" w:tplc="8208D4A0" w:tentative="1">
      <w:start w:val="1"/>
      <w:numFmt w:val="bullet"/>
      <w:lvlText w:val=""/>
      <w:lvlJc w:val="left"/>
      <w:pPr>
        <w:tabs>
          <w:tab w:val="num" w:pos="3600"/>
        </w:tabs>
        <w:ind w:left="3600" w:hanging="360"/>
      </w:pPr>
      <w:rPr>
        <w:rFonts w:ascii="Wingdings" w:hAnsi="Wingdings" w:hint="default"/>
      </w:rPr>
    </w:lvl>
    <w:lvl w:ilvl="5" w:tplc="877C31B8" w:tentative="1">
      <w:start w:val="1"/>
      <w:numFmt w:val="bullet"/>
      <w:lvlText w:val=""/>
      <w:lvlJc w:val="left"/>
      <w:pPr>
        <w:tabs>
          <w:tab w:val="num" w:pos="4320"/>
        </w:tabs>
        <w:ind w:left="4320" w:hanging="360"/>
      </w:pPr>
      <w:rPr>
        <w:rFonts w:ascii="Wingdings" w:hAnsi="Wingdings" w:hint="default"/>
      </w:rPr>
    </w:lvl>
    <w:lvl w:ilvl="6" w:tplc="BBFA04BA" w:tentative="1">
      <w:start w:val="1"/>
      <w:numFmt w:val="bullet"/>
      <w:lvlText w:val=""/>
      <w:lvlJc w:val="left"/>
      <w:pPr>
        <w:tabs>
          <w:tab w:val="num" w:pos="5040"/>
        </w:tabs>
        <w:ind w:left="5040" w:hanging="360"/>
      </w:pPr>
      <w:rPr>
        <w:rFonts w:ascii="Wingdings" w:hAnsi="Wingdings" w:hint="default"/>
      </w:rPr>
    </w:lvl>
    <w:lvl w:ilvl="7" w:tplc="C20E0BB8" w:tentative="1">
      <w:start w:val="1"/>
      <w:numFmt w:val="bullet"/>
      <w:lvlText w:val=""/>
      <w:lvlJc w:val="left"/>
      <w:pPr>
        <w:tabs>
          <w:tab w:val="num" w:pos="5760"/>
        </w:tabs>
        <w:ind w:left="5760" w:hanging="360"/>
      </w:pPr>
      <w:rPr>
        <w:rFonts w:ascii="Wingdings" w:hAnsi="Wingdings" w:hint="default"/>
      </w:rPr>
    </w:lvl>
    <w:lvl w:ilvl="8" w:tplc="135AE12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28" w15:restartNumberingAfterBreak="0">
    <w:nsid w:val="74D67685"/>
    <w:multiLevelType w:val="hybridMultilevel"/>
    <w:tmpl w:val="316077BA"/>
    <w:lvl w:ilvl="0" w:tplc="8DCEAFD6">
      <w:start w:val="1"/>
      <w:numFmt w:val="bullet"/>
      <w:lvlText w:val="–"/>
      <w:lvlJc w:val="left"/>
      <w:pPr>
        <w:tabs>
          <w:tab w:val="num" w:pos="720"/>
        </w:tabs>
        <w:ind w:left="720" w:hanging="360"/>
      </w:pPr>
      <w:rPr>
        <w:rFonts w:ascii="Arial" w:hAnsi="Arial" w:hint="default"/>
      </w:rPr>
    </w:lvl>
    <w:lvl w:ilvl="1" w:tplc="574A173E">
      <w:start w:val="1"/>
      <w:numFmt w:val="bullet"/>
      <w:lvlText w:val="–"/>
      <w:lvlJc w:val="left"/>
      <w:pPr>
        <w:tabs>
          <w:tab w:val="num" w:pos="1440"/>
        </w:tabs>
        <w:ind w:left="1440" w:hanging="360"/>
      </w:pPr>
      <w:rPr>
        <w:rFonts w:ascii="Arial" w:hAnsi="Arial" w:hint="default"/>
      </w:rPr>
    </w:lvl>
    <w:lvl w:ilvl="2" w:tplc="2BD26194" w:tentative="1">
      <w:start w:val="1"/>
      <w:numFmt w:val="bullet"/>
      <w:lvlText w:val="–"/>
      <w:lvlJc w:val="left"/>
      <w:pPr>
        <w:tabs>
          <w:tab w:val="num" w:pos="2160"/>
        </w:tabs>
        <w:ind w:left="2160" w:hanging="360"/>
      </w:pPr>
      <w:rPr>
        <w:rFonts w:ascii="Arial" w:hAnsi="Arial" w:hint="default"/>
      </w:rPr>
    </w:lvl>
    <w:lvl w:ilvl="3" w:tplc="C2C0F2CA" w:tentative="1">
      <w:start w:val="1"/>
      <w:numFmt w:val="bullet"/>
      <w:lvlText w:val="–"/>
      <w:lvlJc w:val="left"/>
      <w:pPr>
        <w:tabs>
          <w:tab w:val="num" w:pos="2880"/>
        </w:tabs>
        <w:ind w:left="2880" w:hanging="360"/>
      </w:pPr>
      <w:rPr>
        <w:rFonts w:ascii="Arial" w:hAnsi="Arial" w:hint="default"/>
      </w:rPr>
    </w:lvl>
    <w:lvl w:ilvl="4" w:tplc="DB48F67E" w:tentative="1">
      <w:start w:val="1"/>
      <w:numFmt w:val="bullet"/>
      <w:lvlText w:val="–"/>
      <w:lvlJc w:val="left"/>
      <w:pPr>
        <w:tabs>
          <w:tab w:val="num" w:pos="3600"/>
        </w:tabs>
        <w:ind w:left="3600" w:hanging="360"/>
      </w:pPr>
      <w:rPr>
        <w:rFonts w:ascii="Arial" w:hAnsi="Arial" w:hint="default"/>
      </w:rPr>
    </w:lvl>
    <w:lvl w:ilvl="5" w:tplc="0478AD9E" w:tentative="1">
      <w:start w:val="1"/>
      <w:numFmt w:val="bullet"/>
      <w:lvlText w:val="–"/>
      <w:lvlJc w:val="left"/>
      <w:pPr>
        <w:tabs>
          <w:tab w:val="num" w:pos="4320"/>
        </w:tabs>
        <w:ind w:left="4320" w:hanging="360"/>
      </w:pPr>
      <w:rPr>
        <w:rFonts w:ascii="Arial" w:hAnsi="Arial" w:hint="default"/>
      </w:rPr>
    </w:lvl>
    <w:lvl w:ilvl="6" w:tplc="0E7629C0" w:tentative="1">
      <w:start w:val="1"/>
      <w:numFmt w:val="bullet"/>
      <w:lvlText w:val="–"/>
      <w:lvlJc w:val="left"/>
      <w:pPr>
        <w:tabs>
          <w:tab w:val="num" w:pos="5040"/>
        </w:tabs>
        <w:ind w:left="5040" w:hanging="360"/>
      </w:pPr>
      <w:rPr>
        <w:rFonts w:ascii="Arial" w:hAnsi="Arial" w:hint="default"/>
      </w:rPr>
    </w:lvl>
    <w:lvl w:ilvl="7" w:tplc="22B6E91C" w:tentative="1">
      <w:start w:val="1"/>
      <w:numFmt w:val="bullet"/>
      <w:lvlText w:val="–"/>
      <w:lvlJc w:val="left"/>
      <w:pPr>
        <w:tabs>
          <w:tab w:val="num" w:pos="5760"/>
        </w:tabs>
        <w:ind w:left="5760" w:hanging="360"/>
      </w:pPr>
      <w:rPr>
        <w:rFonts w:ascii="Arial" w:hAnsi="Arial" w:hint="default"/>
      </w:rPr>
    </w:lvl>
    <w:lvl w:ilvl="8" w:tplc="83FA72C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CD258A7"/>
    <w:multiLevelType w:val="hybridMultilevel"/>
    <w:tmpl w:val="AACCD6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23444625">
    <w:abstractNumId w:val="16"/>
  </w:num>
  <w:num w:numId="2" w16cid:durableId="2079209220">
    <w:abstractNumId w:val="9"/>
  </w:num>
  <w:num w:numId="3" w16cid:durableId="225916746">
    <w:abstractNumId w:val="12"/>
  </w:num>
  <w:num w:numId="4" w16cid:durableId="986864156">
    <w:abstractNumId w:val="3"/>
  </w:num>
  <w:num w:numId="5" w16cid:durableId="1730301394">
    <w:abstractNumId w:val="27"/>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6" w16cid:durableId="1071923097">
    <w:abstractNumId w:val="27"/>
  </w:num>
  <w:num w:numId="7" w16cid:durableId="1959140442">
    <w:abstractNumId w:val="5"/>
  </w:num>
  <w:num w:numId="8" w16cid:durableId="1986541344">
    <w:abstractNumId w:val="7"/>
  </w:num>
  <w:num w:numId="9" w16cid:durableId="763308678">
    <w:abstractNumId w:val="13"/>
  </w:num>
  <w:num w:numId="10" w16cid:durableId="1789884947">
    <w:abstractNumId w:val="14"/>
  </w:num>
  <w:num w:numId="11" w16cid:durableId="990448798">
    <w:abstractNumId w:val="2"/>
  </w:num>
  <w:num w:numId="12" w16cid:durableId="732314087">
    <w:abstractNumId w:val="28"/>
  </w:num>
  <w:num w:numId="13" w16cid:durableId="343828922">
    <w:abstractNumId w:val="19"/>
  </w:num>
  <w:num w:numId="14" w16cid:durableId="1748729659">
    <w:abstractNumId w:val="15"/>
  </w:num>
  <w:num w:numId="15" w16cid:durableId="1522550098">
    <w:abstractNumId w:val="21"/>
  </w:num>
  <w:num w:numId="16" w16cid:durableId="575238574">
    <w:abstractNumId w:val="10"/>
  </w:num>
  <w:num w:numId="17" w16cid:durableId="2125150757">
    <w:abstractNumId w:val="1"/>
  </w:num>
  <w:num w:numId="18" w16cid:durableId="1494641296">
    <w:abstractNumId w:val="23"/>
  </w:num>
  <w:num w:numId="19" w16cid:durableId="1859075920">
    <w:abstractNumId w:val="26"/>
  </w:num>
  <w:num w:numId="20" w16cid:durableId="1149857405">
    <w:abstractNumId w:val="25"/>
  </w:num>
  <w:num w:numId="21" w16cid:durableId="1489709677">
    <w:abstractNumId w:val="0"/>
  </w:num>
  <w:num w:numId="22" w16cid:durableId="1205020535">
    <w:abstractNumId w:val="6"/>
  </w:num>
  <w:num w:numId="23" w16cid:durableId="1500345893">
    <w:abstractNumId w:val="13"/>
  </w:num>
  <w:num w:numId="24" w16cid:durableId="1931769672">
    <w:abstractNumId w:val="13"/>
  </w:num>
  <w:num w:numId="25" w16cid:durableId="25251220">
    <w:abstractNumId w:val="27"/>
  </w:num>
  <w:num w:numId="26" w16cid:durableId="783882903">
    <w:abstractNumId w:val="13"/>
  </w:num>
  <w:num w:numId="27" w16cid:durableId="832377384">
    <w:abstractNumId w:val="27"/>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Heading2"/>
        <w:lvlText w:val="%1%2."/>
        <w:lvlJc w:val="left"/>
        <w:pPr>
          <w:ind w:left="0" w:firstLine="0"/>
        </w:pPr>
        <w:rPr>
          <w:rFonts w:hint="default"/>
          <w:color w:val="auto"/>
        </w:rPr>
      </w:lvl>
    </w:lvlOverride>
    <w:lvlOverride w:ilvl="2">
      <w:startOverride w:val="1"/>
      <w:lvl w:ilvl="2">
        <w:start w:val="1"/>
        <w:numFmt w:val="decimal"/>
        <w:lvlRestart w:val="0"/>
        <w:pStyle w:val="Heading3"/>
        <w:lvlText w:val="%1%2.%3."/>
        <w:lvlJc w:val="left"/>
        <w:pPr>
          <w:ind w:left="0" w:firstLine="0"/>
        </w:pPr>
        <w:rPr>
          <w:rFonts w:hint="default"/>
        </w:rPr>
      </w:lvl>
    </w:lvlOverride>
    <w:lvlOverride w:ilvl="3">
      <w:startOverride w:val="1"/>
      <w:lvl w:ilvl="3">
        <w:start w:val="1"/>
        <w:numFmt w:val="none"/>
        <w:lvlRestart w:val="0"/>
        <w:pStyle w:val="Heading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28" w16cid:durableId="907108026">
    <w:abstractNumId w:val="27"/>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Heading2"/>
        <w:lvlText w:val="%1%2."/>
        <w:lvlJc w:val="left"/>
        <w:pPr>
          <w:ind w:left="0" w:firstLine="0"/>
        </w:pPr>
        <w:rPr>
          <w:rFonts w:hint="default"/>
          <w:color w:val="auto"/>
        </w:rPr>
      </w:lvl>
    </w:lvlOverride>
    <w:lvlOverride w:ilvl="2">
      <w:startOverride w:val="1"/>
      <w:lvl w:ilvl="2">
        <w:start w:val="1"/>
        <w:numFmt w:val="decimal"/>
        <w:lvlRestart w:val="0"/>
        <w:pStyle w:val="Heading3"/>
        <w:lvlText w:val="%1%2.%3."/>
        <w:lvlJc w:val="left"/>
        <w:pPr>
          <w:ind w:left="0" w:firstLine="0"/>
        </w:pPr>
        <w:rPr>
          <w:rFonts w:hint="default"/>
        </w:rPr>
      </w:lvl>
    </w:lvlOverride>
    <w:lvlOverride w:ilvl="3">
      <w:startOverride w:val="1"/>
      <w:lvl w:ilvl="3">
        <w:start w:val="1"/>
        <w:numFmt w:val="none"/>
        <w:lvlRestart w:val="0"/>
        <w:pStyle w:val="Heading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29" w16cid:durableId="1174615185">
    <w:abstractNumId w:val="8"/>
  </w:num>
  <w:num w:numId="30" w16cid:durableId="990330915">
    <w:abstractNumId w:val="27"/>
  </w:num>
  <w:num w:numId="31" w16cid:durableId="116993401">
    <w:abstractNumId w:val="22"/>
  </w:num>
  <w:num w:numId="32" w16cid:durableId="2016103136">
    <w:abstractNumId w:val="20"/>
  </w:num>
  <w:num w:numId="33" w16cid:durableId="793254546">
    <w:abstractNumId w:val="29"/>
  </w:num>
  <w:num w:numId="34" w16cid:durableId="873804874">
    <w:abstractNumId w:val="18"/>
  </w:num>
  <w:num w:numId="35" w16cid:durableId="1493717913">
    <w:abstractNumId w:val="24"/>
  </w:num>
  <w:num w:numId="36" w16cid:durableId="506795190">
    <w:abstractNumId w:val="27"/>
  </w:num>
  <w:num w:numId="37" w16cid:durableId="9964999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7083437">
    <w:abstractNumId w:val="27"/>
  </w:num>
  <w:num w:numId="39" w16cid:durableId="6826293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923055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118967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750225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68663389">
    <w:abstractNumId w:val="4"/>
  </w:num>
  <w:num w:numId="44" w16cid:durableId="1418135985">
    <w:abstractNumId w:val="11"/>
  </w:num>
  <w:num w:numId="45" w16cid:durableId="946347622">
    <w:abstractNumId w:val="17"/>
  </w:num>
  <w:num w:numId="46" w16cid:durableId="1466269653">
    <w:abstractNumId w:val="27"/>
  </w:num>
  <w:num w:numId="47" w16cid:durableId="141318246">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s-419"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438"/>
    <w:rsid w:val="00004D8F"/>
    <w:rsid w:val="000108DD"/>
    <w:rsid w:val="00011A14"/>
    <w:rsid w:val="000229AB"/>
    <w:rsid w:val="000229CD"/>
    <w:rsid w:val="0002569A"/>
    <w:rsid w:val="0002589C"/>
    <w:rsid w:val="0003428E"/>
    <w:rsid w:val="0003614A"/>
    <w:rsid w:val="00037321"/>
    <w:rsid w:val="00040F85"/>
    <w:rsid w:val="00042A88"/>
    <w:rsid w:val="00042D4F"/>
    <w:rsid w:val="000456D8"/>
    <w:rsid w:val="00064E81"/>
    <w:rsid w:val="0006774C"/>
    <w:rsid w:val="00071580"/>
    <w:rsid w:val="000A0299"/>
    <w:rsid w:val="000A1E92"/>
    <w:rsid w:val="000A2990"/>
    <w:rsid w:val="000A37FE"/>
    <w:rsid w:val="000C5A21"/>
    <w:rsid w:val="000D129B"/>
    <w:rsid w:val="000D4841"/>
    <w:rsid w:val="000D4DDE"/>
    <w:rsid w:val="000D649F"/>
    <w:rsid w:val="000D65BE"/>
    <w:rsid w:val="000D72A0"/>
    <w:rsid w:val="000E6104"/>
    <w:rsid w:val="000F0769"/>
    <w:rsid w:val="000F4C35"/>
    <w:rsid w:val="000F6A2B"/>
    <w:rsid w:val="000F78C1"/>
    <w:rsid w:val="000F7E94"/>
    <w:rsid w:val="00106C83"/>
    <w:rsid w:val="001119D6"/>
    <w:rsid w:val="00117752"/>
    <w:rsid w:val="00117D78"/>
    <w:rsid w:val="00123E4D"/>
    <w:rsid w:val="001308F2"/>
    <w:rsid w:val="001313E8"/>
    <w:rsid w:val="001330DE"/>
    <w:rsid w:val="00134F1C"/>
    <w:rsid w:val="00143F8A"/>
    <w:rsid w:val="001475CA"/>
    <w:rsid w:val="001503B1"/>
    <w:rsid w:val="00151987"/>
    <w:rsid w:val="00154EED"/>
    <w:rsid w:val="00167D4A"/>
    <w:rsid w:val="0017146B"/>
    <w:rsid w:val="001730B2"/>
    <w:rsid w:val="00184106"/>
    <w:rsid w:val="00196D47"/>
    <w:rsid w:val="001A0B23"/>
    <w:rsid w:val="001A2796"/>
    <w:rsid w:val="001A27C8"/>
    <w:rsid w:val="001C5440"/>
    <w:rsid w:val="001C58F5"/>
    <w:rsid w:val="001C71BC"/>
    <w:rsid w:val="001D4725"/>
    <w:rsid w:val="001D5CEE"/>
    <w:rsid w:val="001D7310"/>
    <w:rsid w:val="001E00D8"/>
    <w:rsid w:val="001E3F06"/>
    <w:rsid w:val="001E40F5"/>
    <w:rsid w:val="001F0259"/>
    <w:rsid w:val="001F3D74"/>
    <w:rsid w:val="0020091C"/>
    <w:rsid w:val="00200C83"/>
    <w:rsid w:val="002071D9"/>
    <w:rsid w:val="002205B0"/>
    <w:rsid w:val="00220D6B"/>
    <w:rsid w:val="002210A1"/>
    <w:rsid w:val="00230202"/>
    <w:rsid w:val="002329DF"/>
    <w:rsid w:val="00233D63"/>
    <w:rsid w:val="0024146B"/>
    <w:rsid w:val="00242115"/>
    <w:rsid w:val="002450E6"/>
    <w:rsid w:val="00245115"/>
    <w:rsid w:val="0024630C"/>
    <w:rsid w:val="0024752B"/>
    <w:rsid w:val="00256822"/>
    <w:rsid w:val="0026525A"/>
    <w:rsid w:val="00265660"/>
    <w:rsid w:val="002673BF"/>
    <w:rsid w:val="002676B0"/>
    <w:rsid w:val="00271F5B"/>
    <w:rsid w:val="00274790"/>
    <w:rsid w:val="00274DD6"/>
    <w:rsid w:val="00276A8F"/>
    <w:rsid w:val="00280DFA"/>
    <w:rsid w:val="00285214"/>
    <w:rsid w:val="00285755"/>
    <w:rsid w:val="002A1F9C"/>
    <w:rsid w:val="002B29C2"/>
    <w:rsid w:val="002B29F0"/>
    <w:rsid w:val="002B6D44"/>
    <w:rsid w:val="002B713C"/>
    <w:rsid w:val="002C1CFB"/>
    <w:rsid w:val="002C2F7B"/>
    <w:rsid w:val="002C4208"/>
    <w:rsid w:val="002D5DB9"/>
    <w:rsid w:val="002D76E7"/>
    <w:rsid w:val="002E10B4"/>
    <w:rsid w:val="002E75D1"/>
    <w:rsid w:val="002F1862"/>
    <w:rsid w:val="003022A8"/>
    <w:rsid w:val="00315F14"/>
    <w:rsid w:val="00320B8C"/>
    <w:rsid w:val="00322009"/>
    <w:rsid w:val="00326D25"/>
    <w:rsid w:val="00330D4F"/>
    <w:rsid w:val="00331070"/>
    <w:rsid w:val="00335348"/>
    <w:rsid w:val="00352DE1"/>
    <w:rsid w:val="00353C59"/>
    <w:rsid w:val="00361111"/>
    <w:rsid w:val="0036149E"/>
    <w:rsid w:val="00371EAE"/>
    <w:rsid w:val="003728E6"/>
    <w:rsid w:val="00375761"/>
    <w:rsid w:val="0037582C"/>
    <w:rsid w:val="00396FC0"/>
    <w:rsid w:val="0039757A"/>
    <w:rsid w:val="003B5E0E"/>
    <w:rsid w:val="003B6904"/>
    <w:rsid w:val="003B6E7C"/>
    <w:rsid w:val="003C3BBA"/>
    <w:rsid w:val="003D255A"/>
    <w:rsid w:val="003E2E9E"/>
    <w:rsid w:val="003E6A1F"/>
    <w:rsid w:val="003E6F64"/>
    <w:rsid w:val="00401360"/>
    <w:rsid w:val="0040215E"/>
    <w:rsid w:val="00416949"/>
    <w:rsid w:val="0042468E"/>
    <w:rsid w:val="00426AD8"/>
    <w:rsid w:val="00426B5A"/>
    <w:rsid w:val="00426FAD"/>
    <w:rsid w:val="00427764"/>
    <w:rsid w:val="004363D1"/>
    <w:rsid w:val="004370D8"/>
    <w:rsid w:val="00444A83"/>
    <w:rsid w:val="0045775A"/>
    <w:rsid w:val="00462EC4"/>
    <w:rsid w:val="00463C4A"/>
    <w:rsid w:val="0047200F"/>
    <w:rsid w:val="00472C43"/>
    <w:rsid w:val="00476B83"/>
    <w:rsid w:val="004810AF"/>
    <w:rsid w:val="004C04B5"/>
    <w:rsid w:val="004C0DE4"/>
    <w:rsid w:val="004C2141"/>
    <w:rsid w:val="004C3DFA"/>
    <w:rsid w:val="004C41DE"/>
    <w:rsid w:val="004C6D99"/>
    <w:rsid w:val="004D15BF"/>
    <w:rsid w:val="004E3799"/>
    <w:rsid w:val="004E6EFA"/>
    <w:rsid w:val="004F06DF"/>
    <w:rsid w:val="004F0A46"/>
    <w:rsid w:val="00503E37"/>
    <w:rsid w:val="00514091"/>
    <w:rsid w:val="0051544C"/>
    <w:rsid w:val="00523DF4"/>
    <w:rsid w:val="0052712B"/>
    <w:rsid w:val="00532A0F"/>
    <w:rsid w:val="00537496"/>
    <w:rsid w:val="00542979"/>
    <w:rsid w:val="00542DF1"/>
    <w:rsid w:val="00544ED3"/>
    <w:rsid w:val="00563A27"/>
    <w:rsid w:val="00567737"/>
    <w:rsid w:val="0057432A"/>
    <w:rsid w:val="0058477B"/>
    <w:rsid w:val="0058654F"/>
    <w:rsid w:val="00596174"/>
    <w:rsid w:val="00596ACA"/>
    <w:rsid w:val="005A14B7"/>
    <w:rsid w:val="005A3A0D"/>
    <w:rsid w:val="005A6129"/>
    <w:rsid w:val="005A717B"/>
    <w:rsid w:val="005B2D3B"/>
    <w:rsid w:val="005B5314"/>
    <w:rsid w:val="005D2D4A"/>
    <w:rsid w:val="005D3246"/>
    <w:rsid w:val="005E39BC"/>
    <w:rsid w:val="005E4686"/>
    <w:rsid w:val="005F00A0"/>
    <w:rsid w:val="0060001B"/>
    <w:rsid w:val="0062000A"/>
    <w:rsid w:val="00624785"/>
    <w:rsid w:val="006363DA"/>
    <w:rsid w:val="00643EE5"/>
    <w:rsid w:val="0064634D"/>
    <w:rsid w:val="00647F33"/>
    <w:rsid w:val="00653D74"/>
    <w:rsid w:val="00662532"/>
    <w:rsid w:val="0067562C"/>
    <w:rsid w:val="00690400"/>
    <w:rsid w:val="006A54B0"/>
    <w:rsid w:val="006B0F06"/>
    <w:rsid w:val="006B2274"/>
    <w:rsid w:val="006B5FF6"/>
    <w:rsid w:val="006E7943"/>
    <w:rsid w:val="006F38B8"/>
    <w:rsid w:val="007000FE"/>
    <w:rsid w:val="00717C6F"/>
    <w:rsid w:val="0073024E"/>
    <w:rsid w:val="007445DA"/>
    <w:rsid w:val="007451B3"/>
    <w:rsid w:val="0074738E"/>
    <w:rsid w:val="007538F5"/>
    <w:rsid w:val="00756574"/>
    <w:rsid w:val="00764E7C"/>
    <w:rsid w:val="00781EB9"/>
    <w:rsid w:val="00784F96"/>
    <w:rsid w:val="007900C4"/>
    <w:rsid w:val="0079076C"/>
    <w:rsid w:val="007927B1"/>
    <w:rsid w:val="00796DB0"/>
    <w:rsid w:val="007A19C9"/>
    <w:rsid w:val="007A4C35"/>
    <w:rsid w:val="007A6508"/>
    <w:rsid w:val="007B1A3C"/>
    <w:rsid w:val="007B354C"/>
    <w:rsid w:val="007B4FD1"/>
    <w:rsid w:val="007D4B9C"/>
    <w:rsid w:val="007E742C"/>
    <w:rsid w:val="007F47BD"/>
    <w:rsid w:val="00802381"/>
    <w:rsid w:val="0080473B"/>
    <w:rsid w:val="00806BDC"/>
    <w:rsid w:val="00812F6E"/>
    <w:rsid w:val="0081493C"/>
    <w:rsid w:val="00816429"/>
    <w:rsid w:val="0083073B"/>
    <w:rsid w:val="008378FF"/>
    <w:rsid w:val="00846405"/>
    <w:rsid w:val="008528F8"/>
    <w:rsid w:val="008556A3"/>
    <w:rsid w:val="0088072D"/>
    <w:rsid w:val="00883848"/>
    <w:rsid w:val="00885E2F"/>
    <w:rsid w:val="00887755"/>
    <w:rsid w:val="00897ED5"/>
    <w:rsid w:val="008A5C2D"/>
    <w:rsid w:val="008B0278"/>
    <w:rsid w:val="008B488F"/>
    <w:rsid w:val="008B6BB9"/>
    <w:rsid w:val="008C15C2"/>
    <w:rsid w:val="008C4501"/>
    <w:rsid w:val="008D0D6F"/>
    <w:rsid w:val="008D3872"/>
    <w:rsid w:val="008D4A80"/>
    <w:rsid w:val="008E266D"/>
    <w:rsid w:val="008E4F72"/>
    <w:rsid w:val="008E7486"/>
    <w:rsid w:val="008F2B17"/>
    <w:rsid w:val="008F4C67"/>
    <w:rsid w:val="008F6895"/>
    <w:rsid w:val="008F6E82"/>
    <w:rsid w:val="009000C4"/>
    <w:rsid w:val="00911543"/>
    <w:rsid w:val="009519C9"/>
    <w:rsid w:val="00954C60"/>
    <w:rsid w:val="009701FD"/>
    <w:rsid w:val="009822A6"/>
    <w:rsid w:val="00982A8E"/>
    <w:rsid w:val="00991E3F"/>
    <w:rsid w:val="00992616"/>
    <w:rsid w:val="00992FA8"/>
    <w:rsid w:val="009A5565"/>
    <w:rsid w:val="009A5CA4"/>
    <w:rsid w:val="009A7A3A"/>
    <w:rsid w:val="009D0B86"/>
    <w:rsid w:val="009D5C67"/>
    <w:rsid w:val="009D6303"/>
    <w:rsid w:val="009D7D16"/>
    <w:rsid w:val="009E0D5B"/>
    <w:rsid w:val="009E1558"/>
    <w:rsid w:val="009E3D9A"/>
    <w:rsid w:val="009F45CF"/>
    <w:rsid w:val="009F5525"/>
    <w:rsid w:val="00A06947"/>
    <w:rsid w:val="00A14F88"/>
    <w:rsid w:val="00A15FFE"/>
    <w:rsid w:val="00A16B37"/>
    <w:rsid w:val="00A23263"/>
    <w:rsid w:val="00A36348"/>
    <w:rsid w:val="00A42898"/>
    <w:rsid w:val="00A42C17"/>
    <w:rsid w:val="00A502B4"/>
    <w:rsid w:val="00A5418C"/>
    <w:rsid w:val="00A54B8A"/>
    <w:rsid w:val="00A743E1"/>
    <w:rsid w:val="00A7482A"/>
    <w:rsid w:val="00A80322"/>
    <w:rsid w:val="00A8347F"/>
    <w:rsid w:val="00A85642"/>
    <w:rsid w:val="00A926D2"/>
    <w:rsid w:val="00A9760C"/>
    <w:rsid w:val="00AA17AC"/>
    <w:rsid w:val="00AB6ACE"/>
    <w:rsid w:val="00AC31FA"/>
    <w:rsid w:val="00AC5A3A"/>
    <w:rsid w:val="00AD5F19"/>
    <w:rsid w:val="00AF0E1E"/>
    <w:rsid w:val="00AF211E"/>
    <w:rsid w:val="00AF454E"/>
    <w:rsid w:val="00AF6294"/>
    <w:rsid w:val="00B00B61"/>
    <w:rsid w:val="00B1499B"/>
    <w:rsid w:val="00B23ADF"/>
    <w:rsid w:val="00B25571"/>
    <w:rsid w:val="00B267D4"/>
    <w:rsid w:val="00B26E1C"/>
    <w:rsid w:val="00B418F3"/>
    <w:rsid w:val="00B52BC0"/>
    <w:rsid w:val="00B5313F"/>
    <w:rsid w:val="00B60B99"/>
    <w:rsid w:val="00B61D9F"/>
    <w:rsid w:val="00B633FB"/>
    <w:rsid w:val="00B63F0A"/>
    <w:rsid w:val="00B82FA5"/>
    <w:rsid w:val="00B925E0"/>
    <w:rsid w:val="00BA0DC5"/>
    <w:rsid w:val="00BB08BB"/>
    <w:rsid w:val="00BB6441"/>
    <w:rsid w:val="00BB72C1"/>
    <w:rsid w:val="00BD012A"/>
    <w:rsid w:val="00BD13A7"/>
    <w:rsid w:val="00BD1400"/>
    <w:rsid w:val="00BD2195"/>
    <w:rsid w:val="00BD605C"/>
    <w:rsid w:val="00BE1EA8"/>
    <w:rsid w:val="00BE2A76"/>
    <w:rsid w:val="00BE3C90"/>
    <w:rsid w:val="00BF06F3"/>
    <w:rsid w:val="00BF36E7"/>
    <w:rsid w:val="00C0042E"/>
    <w:rsid w:val="00C012AC"/>
    <w:rsid w:val="00C02918"/>
    <w:rsid w:val="00C03E75"/>
    <w:rsid w:val="00C07CD3"/>
    <w:rsid w:val="00C15662"/>
    <w:rsid w:val="00C16F07"/>
    <w:rsid w:val="00C212E9"/>
    <w:rsid w:val="00C222B3"/>
    <w:rsid w:val="00C33FE7"/>
    <w:rsid w:val="00C34AB9"/>
    <w:rsid w:val="00C350CC"/>
    <w:rsid w:val="00C36721"/>
    <w:rsid w:val="00C45227"/>
    <w:rsid w:val="00C5799A"/>
    <w:rsid w:val="00C60FE8"/>
    <w:rsid w:val="00C645B7"/>
    <w:rsid w:val="00C65E60"/>
    <w:rsid w:val="00C74D9E"/>
    <w:rsid w:val="00C854BC"/>
    <w:rsid w:val="00C87C15"/>
    <w:rsid w:val="00CB4C4D"/>
    <w:rsid w:val="00CB5815"/>
    <w:rsid w:val="00CC036A"/>
    <w:rsid w:val="00CC0772"/>
    <w:rsid w:val="00CC1B17"/>
    <w:rsid w:val="00CC5FFB"/>
    <w:rsid w:val="00CD0D1F"/>
    <w:rsid w:val="00CD2796"/>
    <w:rsid w:val="00CD4F61"/>
    <w:rsid w:val="00CD6FE8"/>
    <w:rsid w:val="00CE1973"/>
    <w:rsid w:val="00CE3EE5"/>
    <w:rsid w:val="00CE5A52"/>
    <w:rsid w:val="00CF1602"/>
    <w:rsid w:val="00CF7AF3"/>
    <w:rsid w:val="00CF7BAB"/>
    <w:rsid w:val="00D03493"/>
    <w:rsid w:val="00D04DF5"/>
    <w:rsid w:val="00D125B9"/>
    <w:rsid w:val="00D25A22"/>
    <w:rsid w:val="00D26ADA"/>
    <w:rsid w:val="00D35A78"/>
    <w:rsid w:val="00D42712"/>
    <w:rsid w:val="00D555A1"/>
    <w:rsid w:val="00D57D07"/>
    <w:rsid w:val="00D64DC2"/>
    <w:rsid w:val="00D7207C"/>
    <w:rsid w:val="00D73BF3"/>
    <w:rsid w:val="00D761D6"/>
    <w:rsid w:val="00D8373B"/>
    <w:rsid w:val="00D9126E"/>
    <w:rsid w:val="00D925E4"/>
    <w:rsid w:val="00D92821"/>
    <w:rsid w:val="00D938DE"/>
    <w:rsid w:val="00DA222C"/>
    <w:rsid w:val="00DA4583"/>
    <w:rsid w:val="00DA46CA"/>
    <w:rsid w:val="00DB3AFF"/>
    <w:rsid w:val="00DD5685"/>
    <w:rsid w:val="00DE175F"/>
    <w:rsid w:val="00DE3583"/>
    <w:rsid w:val="00DE4235"/>
    <w:rsid w:val="00DF1ED8"/>
    <w:rsid w:val="00DF21EB"/>
    <w:rsid w:val="00DF7B99"/>
    <w:rsid w:val="00E071EC"/>
    <w:rsid w:val="00E15278"/>
    <w:rsid w:val="00E20E70"/>
    <w:rsid w:val="00E22C87"/>
    <w:rsid w:val="00E25B68"/>
    <w:rsid w:val="00E31FB8"/>
    <w:rsid w:val="00E34ACD"/>
    <w:rsid w:val="00E35213"/>
    <w:rsid w:val="00E37D9D"/>
    <w:rsid w:val="00E4145B"/>
    <w:rsid w:val="00E467AE"/>
    <w:rsid w:val="00E51D9D"/>
    <w:rsid w:val="00E52256"/>
    <w:rsid w:val="00E52AC8"/>
    <w:rsid w:val="00E5620C"/>
    <w:rsid w:val="00E71EA2"/>
    <w:rsid w:val="00E73386"/>
    <w:rsid w:val="00E84003"/>
    <w:rsid w:val="00E847CA"/>
    <w:rsid w:val="00E918CE"/>
    <w:rsid w:val="00EA35BB"/>
    <w:rsid w:val="00EA4466"/>
    <w:rsid w:val="00EA72B1"/>
    <w:rsid w:val="00EB2302"/>
    <w:rsid w:val="00EB4D28"/>
    <w:rsid w:val="00EC10FC"/>
    <w:rsid w:val="00EC388F"/>
    <w:rsid w:val="00EC5911"/>
    <w:rsid w:val="00EC6E59"/>
    <w:rsid w:val="00EC6E80"/>
    <w:rsid w:val="00EC70AE"/>
    <w:rsid w:val="00EC737B"/>
    <w:rsid w:val="00ED3460"/>
    <w:rsid w:val="00ED7617"/>
    <w:rsid w:val="00EE0041"/>
    <w:rsid w:val="00EE29B9"/>
    <w:rsid w:val="00EF1148"/>
    <w:rsid w:val="00EF3682"/>
    <w:rsid w:val="00EF3793"/>
    <w:rsid w:val="00EF388A"/>
    <w:rsid w:val="00F004EE"/>
    <w:rsid w:val="00F02BC4"/>
    <w:rsid w:val="00F04FED"/>
    <w:rsid w:val="00F05102"/>
    <w:rsid w:val="00F07A06"/>
    <w:rsid w:val="00F11098"/>
    <w:rsid w:val="00F143AD"/>
    <w:rsid w:val="00F237FD"/>
    <w:rsid w:val="00F37EC7"/>
    <w:rsid w:val="00F40F18"/>
    <w:rsid w:val="00F42E23"/>
    <w:rsid w:val="00F434F3"/>
    <w:rsid w:val="00F45EEE"/>
    <w:rsid w:val="00F51E9C"/>
    <w:rsid w:val="00F523CA"/>
    <w:rsid w:val="00F52D71"/>
    <w:rsid w:val="00F55FEF"/>
    <w:rsid w:val="00F56958"/>
    <w:rsid w:val="00F647C9"/>
    <w:rsid w:val="00F6577A"/>
    <w:rsid w:val="00F73F1C"/>
    <w:rsid w:val="00F74A9D"/>
    <w:rsid w:val="00F84A73"/>
    <w:rsid w:val="00F92628"/>
    <w:rsid w:val="00F93323"/>
    <w:rsid w:val="00F948FF"/>
    <w:rsid w:val="00FA11B4"/>
    <w:rsid w:val="00FA16EA"/>
    <w:rsid w:val="00FB490B"/>
    <w:rsid w:val="00FB594F"/>
    <w:rsid w:val="00FB6068"/>
    <w:rsid w:val="00FC3183"/>
    <w:rsid w:val="00FD18C3"/>
    <w:rsid w:val="00FD2346"/>
    <w:rsid w:val="00FD5254"/>
    <w:rsid w:val="00FF0E7D"/>
    <w:rsid w:val="00FF2583"/>
    <w:rsid w:val="00FF386F"/>
    <w:rsid w:val="00FF4A9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95A32"/>
  <w15:docId w15:val="{952FE3BA-A979-4362-9943-CB491A2C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9" w:qFormat="1"/>
    <w:lsdException w:name="heading 2" w:locked="0" w:uiPriority="4" w:qFormat="1"/>
    <w:lsdException w:name="heading 3" w:locked="0" w:uiPriority="4" w:qFormat="1"/>
    <w:lsdException w:name="heading 4" w:locked="0" w:uiPriority="0" w:qFormat="1"/>
    <w:lsdException w:name="heading 5" w:locked="0" w:uiPriority="9" w:qFormat="1"/>
    <w:lsdException w:name="heading 6" w:locked="0" w:uiPriority="0"/>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99"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iPriority="99"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5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link w:val="Heading1Char"/>
    <w:uiPriority w:val="9"/>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6"/>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6"/>
      </w:numPr>
      <w:spacing w:before="240" w:after="240" w:line="240" w:lineRule="exact"/>
      <w:outlineLvl w:val="2"/>
    </w:pPr>
    <w:rPr>
      <w:b/>
      <w:lang w:eastAsia="en-US"/>
    </w:rPr>
  </w:style>
  <w:style w:type="paragraph" w:styleId="Heading4">
    <w:name w:val="heading 4"/>
    <w:aliases w:val="3rd level paper heading"/>
    <w:basedOn w:val="Normal"/>
    <w:next w:val="BodyText"/>
    <w:link w:val="Heading4Char"/>
    <w:uiPriority w:val="4"/>
    <w:qFormat/>
    <w:rsid w:val="00897ED5"/>
    <w:pPr>
      <w:widowControl w:val="0"/>
      <w:numPr>
        <w:ilvl w:val="3"/>
        <w:numId w:val="6"/>
      </w:numPr>
      <w:spacing w:before="100" w:beforeAutospacing="1" w:after="100" w:afterAutospacing="1" w:line="240" w:lineRule="atLeast"/>
      <w:outlineLvl w:val="3"/>
    </w:pPr>
    <w:rPr>
      <w:i/>
      <w:sz w:val="20"/>
      <w:lang w:val="en-US"/>
    </w:rPr>
  </w:style>
  <w:style w:type="paragraph" w:styleId="Heading5">
    <w:name w:val="heading 5"/>
    <w:basedOn w:val="Normal"/>
    <w:next w:val="Normal"/>
    <w:link w:val="Heading5Char"/>
    <w:uiPriority w:val="9"/>
    <w:qFormat/>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link w:val="FootnoteTextChar"/>
    <w:uiPriority w:val="99"/>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3"/>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7"/>
      </w:numPr>
      <w:ind w:left="709"/>
    </w:pPr>
  </w:style>
  <w:style w:type="paragraph" w:customStyle="1" w:styleId="ListNumbered">
    <w:name w:val="List Numbered"/>
    <w:basedOn w:val="BodyText"/>
    <w:uiPriority w:val="5"/>
    <w:qFormat/>
    <w:locked/>
    <w:rsid w:val="00717C6F"/>
    <w:pPr>
      <w:numPr>
        <w:numId w:val="8"/>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uiPriority w:val="99"/>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4"/>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uiPriority w:val="59"/>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9"/>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99"/>
    <w:unhideWhenUsed/>
    <w:locked/>
    <w:rsid w:val="004F06DF"/>
    <w:rPr>
      <w:color w:val="0000FF"/>
      <w:u w:val="single"/>
    </w:rPr>
  </w:style>
  <w:style w:type="paragraph" w:styleId="ListParagraph">
    <w:name w:val="List Paragraph"/>
    <w:basedOn w:val="Normal"/>
    <w:uiPriority w:val="34"/>
    <w:qFormat/>
    <w:locked/>
    <w:rsid w:val="00B925E0"/>
    <w:pPr>
      <w:ind w:left="720"/>
      <w:contextualSpacing/>
    </w:pPr>
  </w:style>
  <w:style w:type="character" w:styleId="UnresolvedMention">
    <w:name w:val="Unresolved Mention"/>
    <w:basedOn w:val="DefaultParagraphFont"/>
    <w:uiPriority w:val="99"/>
    <w:semiHidden/>
    <w:unhideWhenUsed/>
    <w:rsid w:val="00B925E0"/>
    <w:rPr>
      <w:color w:val="605E5C"/>
      <w:shd w:val="clear" w:color="auto" w:fill="E1DFDD"/>
    </w:rPr>
  </w:style>
  <w:style w:type="character" w:customStyle="1" w:styleId="Heading5Char">
    <w:name w:val="Heading 5 Char"/>
    <w:basedOn w:val="DefaultParagraphFont"/>
    <w:link w:val="Heading5"/>
    <w:uiPriority w:val="9"/>
    <w:rsid w:val="00EF3793"/>
    <w:rPr>
      <w:b/>
      <w:bCs/>
      <w:i/>
      <w:iCs/>
      <w:sz w:val="26"/>
      <w:szCs w:val="26"/>
      <w:lang w:val="en-US" w:eastAsia="en-US"/>
    </w:rPr>
  </w:style>
  <w:style w:type="character" w:styleId="Strong">
    <w:name w:val="Strong"/>
    <w:basedOn w:val="DefaultParagraphFont"/>
    <w:uiPriority w:val="22"/>
    <w:qFormat/>
    <w:locked/>
    <w:rsid w:val="00BF06F3"/>
    <w:rPr>
      <w:b/>
      <w:bCs/>
    </w:rPr>
  </w:style>
  <w:style w:type="character" w:customStyle="1" w:styleId="jpfdse">
    <w:name w:val="jpfdse"/>
    <w:basedOn w:val="DefaultParagraphFont"/>
    <w:rsid w:val="006E7943"/>
  </w:style>
  <w:style w:type="character" w:customStyle="1" w:styleId="Heading1Char">
    <w:name w:val="Heading 1 Char"/>
    <w:aliases w:val="Paper title Char"/>
    <w:basedOn w:val="DefaultParagraphFont"/>
    <w:link w:val="Heading1"/>
    <w:uiPriority w:val="9"/>
    <w:rsid w:val="00040F85"/>
    <w:rPr>
      <w:rFonts w:ascii="Times New Roman Bold" w:hAnsi="Times New Roman Bold"/>
      <w:b/>
      <w:caps/>
      <w:sz w:val="24"/>
      <w:lang w:val="en-US" w:eastAsia="en-US"/>
    </w:rPr>
  </w:style>
  <w:style w:type="character" w:customStyle="1" w:styleId="orange">
    <w:name w:val="orange"/>
    <w:basedOn w:val="DefaultParagraphFont"/>
    <w:rsid w:val="00040F85"/>
  </w:style>
  <w:style w:type="paragraph" w:customStyle="1" w:styleId="footer-navlist-item">
    <w:name w:val="footer-nav__list-item"/>
    <w:basedOn w:val="Normal"/>
    <w:rsid w:val="0060001B"/>
    <w:pPr>
      <w:overflowPunct/>
      <w:autoSpaceDE/>
      <w:autoSpaceDN/>
      <w:adjustRightInd/>
      <w:spacing w:before="100" w:beforeAutospacing="1" w:after="100" w:afterAutospacing="1"/>
      <w:textAlignment w:val="auto"/>
    </w:pPr>
    <w:rPr>
      <w:sz w:val="24"/>
      <w:szCs w:val="24"/>
      <w:lang w:val="fr-FR" w:eastAsia="fr-FR"/>
    </w:rPr>
  </w:style>
  <w:style w:type="paragraph" w:styleId="EndnoteText">
    <w:name w:val="endnote text"/>
    <w:basedOn w:val="Normal"/>
    <w:link w:val="EndnoteTextChar"/>
    <w:uiPriority w:val="49"/>
    <w:semiHidden/>
    <w:unhideWhenUsed/>
    <w:locked/>
    <w:rsid w:val="00320B8C"/>
    <w:rPr>
      <w:sz w:val="20"/>
    </w:rPr>
  </w:style>
  <w:style w:type="character" w:customStyle="1" w:styleId="EndnoteTextChar">
    <w:name w:val="Endnote Text Char"/>
    <w:basedOn w:val="DefaultParagraphFont"/>
    <w:link w:val="EndnoteText"/>
    <w:uiPriority w:val="49"/>
    <w:semiHidden/>
    <w:rsid w:val="00320B8C"/>
    <w:rPr>
      <w:lang w:eastAsia="en-US"/>
    </w:rPr>
  </w:style>
  <w:style w:type="character" w:styleId="EndnoteReference">
    <w:name w:val="endnote reference"/>
    <w:basedOn w:val="DefaultParagraphFont"/>
    <w:uiPriority w:val="49"/>
    <w:semiHidden/>
    <w:unhideWhenUsed/>
    <w:locked/>
    <w:rsid w:val="00320B8C"/>
    <w:rPr>
      <w:vertAlign w:val="superscript"/>
    </w:rPr>
  </w:style>
  <w:style w:type="paragraph" w:styleId="NormalWeb">
    <w:name w:val="Normal (Web)"/>
    <w:basedOn w:val="Normal"/>
    <w:uiPriority w:val="99"/>
    <w:semiHidden/>
    <w:unhideWhenUsed/>
    <w:locked/>
    <w:rsid w:val="0045775A"/>
    <w:pPr>
      <w:overflowPunct/>
      <w:autoSpaceDE/>
      <w:autoSpaceDN/>
      <w:adjustRightInd/>
      <w:spacing w:before="100" w:beforeAutospacing="1" w:after="100" w:afterAutospacing="1"/>
      <w:textAlignment w:val="auto"/>
    </w:pPr>
    <w:rPr>
      <w:sz w:val="24"/>
      <w:szCs w:val="24"/>
      <w:lang w:val="fr-FR" w:eastAsia="fr-FR"/>
    </w:rPr>
  </w:style>
  <w:style w:type="character" w:styleId="FollowedHyperlink">
    <w:name w:val="FollowedHyperlink"/>
    <w:basedOn w:val="DefaultParagraphFont"/>
    <w:uiPriority w:val="49"/>
    <w:semiHidden/>
    <w:unhideWhenUsed/>
    <w:locked/>
    <w:rsid w:val="00EA72B1"/>
    <w:rPr>
      <w:color w:val="800080" w:themeColor="followedHyperlink"/>
      <w:u w:val="single"/>
    </w:rPr>
  </w:style>
  <w:style w:type="character" w:customStyle="1" w:styleId="lwtgtseg1">
    <w:name w:val="lwtgtseg_1"/>
    <w:basedOn w:val="DefaultParagraphFont"/>
    <w:rsid w:val="00335348"/>
  </w:style>
  <w:style w:type="character" w:customStyle="1" w:styleId="lwtgtseg3">
    <w:name w:val="lwtgtseg_3"/>
    <w:basedOn w:val="DefaultParagraphFont"/>
    <w:rsid w:val="00335348"/>
  </w:style>
  <w:style w:type="character" w:customStyle="1" w:styleId="lwtgtseg4">
    <w:name w:val="lwtgtseg_4"/>
    <w:basedOn w:val="DefaultParagraphFont"/>
    <w:rsid w:val="00335348"/>
  </w:style>
  <w:style w:type="character" w:customStyle="1" w:styleId="lwtgtseg6">
    <w:name w:val="lwtgtseg_6"/>
    <w:basedOn w:val="DefaultParagraphFont"/>
    <w:rsid w:val="00335348"/>
  </w:style>
  <w:style w:type="character" w:customStyle="1" w:styleId="lwtgtseg8">
    <w:name w:val="lwtgtseg_8"/>
    <w:basedOn w:val="DefaultParagraphFont"/>
    <w:rsid w:val="00335348"/>
  </w:style>
  <w:style w:type="character" w:customStyle="1" w:styleId="lwtgtseg9">
    <w:name w:val="lwtgtseg_9"/>
    <w:basedOn w:val="DefaultParagraphFont"/>
    <w:rsid w:val="00335348"/>
  </w:style>
  <w:style w:type="character" w:customStyle="1" w:styleId="lwtgtseg11">
    <w:name w:val="lwtgtseg_11"/>
    <w:basedOn w:val="DefaultParagraphFont"/>
    <w:rsid w:val="00335348"/>
  </w:style>
  <w:style w:type="character" w:customStyle="1" w:styleId="lwtgtseg12">
    <w:name w:val="lwtgtseg_12"/>
    <w:basedOn w:val="DefaultParagraphFont"/>
    <w:rsid w:val="00335348"/>
  </w:style>
  <w:style w:type="character" w:customStyle="1" w:styleId="lwtgtseg14">
    <w:name w:val="lwtgtseg_14"/>
    <w:basedOn w:val="DefaultParagraphFont"/>
    <w:rsid w:val="00335348"/>
  </w:style>
  <w:style w:type="character" w:customStyle="1" w:styleId="Heading4Char">
    <w:name w:val="Heading 4 Char"/>
    <w:aliases w:val="3rd level paper heading Char"/>
    <w:basedOn w:val="DefaultParagraphFont"/>
    <w:link w:val="Heading4"/>
    <w:uiPriority w:val="4"/>
    <w:rsid w:val="009A5565"/>
    <w:rPr>
      <w:i/>
      <w:lang w:val="en-US" w:eastAsia="en-US"/>
    </w:rPr>
  </w:style>
  <w:style w:type="character" w:customStyle="1" w:styleId="FootnoteTextChar">
    <w:name w:val="Footnote Text Char"/>
    <w:basedOn w:val="DefaultParagraphFont"/>
    <w:link w:val="FootnoteText"/>
    <w:uiPriority w:val="99"/>
    <w:rsid w:val="00DE4235"/>
    <w:rPr>
      <w:sz w:val="18"/>
      <w:lang w:eastAsia="en-US"/>
    </w:rPr>
  </w:style>
  <w:style w:type="character" w:styleId="CommentReference">
    <w:name w:val="annotation reference"/>
    <w:basedOn w:val="DefaultParagraphFont"/>
    <w:uiPriority w:val="99"/>
    <w:semiHidden/>
    <w:unhideWhenUsed/>
    <w:locked/>
    <w:rsid w:val="00DE4235"/>
    <w:rPr>
      <w:sz w:val="16"/>
      <w:szCs w:val="16"/>
    </w:rPr>
  </w:style>
  <w:style w:type="paragraph" w:customStyle="1" w:styleId="wText">
    <w:name w:val="wText"/>
    <w:basedOn w:val="Normal"/>
    <w:link w:val="wTextChar"/>
    <w:uiPriority w:val="2"/>
    <w:qFormat/>
    <w:rsid w:val="000D65BE"/>
    <w:pPr>
      <w:overflowPunct/>
      <w:autoSpaceDE/>
      <w:autoSpaceDN/>
      <w:adjustRightInd/>
      <w:spacing w:after="180"/>
      <w:jc w:val="both"/>
      <w:textAlignment w:val="auto"/>
    </w:pPr>
    <w:rPr>
      <w:rFonts w:eastAsia="MS Mincho"/>
      <w:szCs w:val="22"/>
      <w:lang w:val="fr-FR"/>
    </w:rPr>
  </w:style>
  <w:style w:type="character" w:customStyle="1" w:styleId="wTextChar">
    <w:name w:val="wText Char"/>
    <w:basedOn w:val="DefaultParagraphFont"/>
    <w:link w:val="wText"/>
    <w:uiPriority w:val="2"/>
    <w:rsid w:val="000D65BE"/>
    <w:rPr>
      <w:rFonts w:eastAsia="MS Mincho"/>
      <w:sz w:val="22"/>
      <w:szCs w:val="22"/>
      <w:lang w:val="fr-FR" w:eastAsia="en-US"/>
    </w:rPr>
  </w:style>
  <w:style w:type="paragraph" w:styleId="PlainText">
    <w:name w:val="Plain Text"/>
    <w:basedOn w:val="Normal"/>
    <w:link w:val="PlainTextChar"/>
    <w:uiPriority w:val="99"/>
    <w:semiHidden/>
    <w:unhideWhenUsed/>
    <w:locked/>
    <w:rsid w:val="00EC70AE"/>
    <w:pPr>
      <w:overflowPunct/>
      <w:autoSpaceDE/>
      <w:autoSpaceDN/>
      <w:adjustRightInd/>
      <w:textAlignment w:val="auto"/>
    </w:pPr>
    <w:rPr>
      <w:rFonts w:ascii="Calibri" w:eastAsiaTheme="minorHAnsi" w:hAnsi="Calibri" w:cstheme="minorBidi"/>
      <w:kern w:val="2"/>
      <w:szCs w:val="21"/>
      <w:lang w:val="fr-FR"/>
      <w14:ligatures w14:val="standardContextual"/>
    </w:rPr>
  </w:style>
  <w:style w:type="character" w:customStyle="1" w:styleId="PlainTextChar">
    <w:name w:val="Plain Text Char"/>
    <w:basedOn w:val="DefaultParagraphFont"/>
    <w:link w:val="PlainText"/>
    <w:uiPriority w:val="99"/>
    <w:semiHidden/>
    <w:rsid w:val="00EC70AE"/>
    <w:rPr>
      <w:rFonts w:ascii="Calibri" w:eastAsiaTheme="minorHAnsi" w:hAnsi="Calibri" w:cstheme="minorBidi"/>
      <w:kern w:val="2"/>
      <w:sz w:val="22"/>
      <w:szCs w:val="21"/>
      <w:lang w:val="fr-FR"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2566">
      <w:bodyDiv w:val="1"/>
      <w:marLeft w:val="0"/>
      <w:marRight w:val="0"/>
      <w:marTop w:val="0"/>
      <w:marBottom w:val="0"/>
      <w:divBdr>
        <w:top w:val="none" w:sz="0" w:space="0" w:color="auto"/>
        <w:left w:val="none" w:sz="0" w:space="0" w:color="auto"/>
        <w:bottom w:val="none" w:sz="0" w:space="0" w:color="auto"/>
        <w:right w:val="none" w:sz="0" w:space="0" w:color="auto"/>
      </w:divBdr>
    </w:div>
    <w:div w:id="55978716">
      <w:bodyDiv w:val="1"/>
      <w:marLeft w:val="0"/>
      <w:marRight w:val="0"/>
      <w:marTop w:val="0"/>
      <w:marBottom w:val="0"/>
      <w:divBdr>
        <w:top w:val="none" w:sz="0" w:space="0" w:color="auto"/>
        <w:left w:val="none" w:sz="0" w:space="0" w:color="auto"/>
        <w:bottom w:val="none" w:sz="0" w:space="0" w:color="auto"/>
        <w:right w:val="none" w:sz="0" w:space="0" w:color="auto"/>
      </w:divBdr>
    </w:div>
    <w:div w:id="100032994">
      <w:bodyDiv w:val="1"/>
      <w:marLeft w:val="0"/>
      <w:marRight w:val="0"/>
      <w:marTop w:val="0"/>
      <w:marBottom w:val="0"/>
      <w:divBdr>
        <w:top w:val="none" w:sz="0" w:space="0" w:color="auto"/>
        <w:left w:val="none" w:sz="0" w:space="0" w:color="auto"/>
        <w:bottom w:val="none" w:sz="0" w:space="0" w:color="auto"/>
        <w:right w:val="none" w:sz="0" w:space="0" w:color="auto"/>
      </w:divBdr>
      <w:divsChild>
        <w:div w:id="17397289">
          <w:marLeft w:val="994"/>
          <w:marRight w:val="0"/>
          <w:marTop w:val="0"/>
          <w:marBottom w:val="0"/>
          <w:divBdr>
            <w:top w:val="none" w:sz="0" w:space="0" w:color="auto"/>
            <w:left w:val="none" w:sz="0" w:space="0" w:color="auto"/>
            <w:bottom w:val="none" w:sz="0" w:space="0" w:color="auto"/>
            <w:right w:val="none" w:sz="0" w:space="0" w:color="auto"/>
          </w:divBdr>
        </w:div>
        <w:div w:id="1170753142">
          <w:marLeft w:val="1714"/>
          <w:marRight w:val="0"/>
          <w:marTop w:val="0"/>
          <w:marBottom w:val="0"/>
          <w:divBdr>
            <w:top w:val="none" w:sz="0" w:space="0" w:color="auto"/>
            <w:left w:val="none" w:sz="0" w:space="0" w:color="auto"/>
            <w:bottom w:val="none" w:sz="0" w:space="0" w:color="auto"/>
            <w:right w:val="none" w:sz="0" w:space="0" w:color="auto"/>
          </w:divBdr>
        </w:div>
        <w:div w:id="1606812215">
          <w:marLeft w:val="1714"/>
          <w:marRight w:val="0"/>
          <w:marTop w:val="0"/>
          <w:marBottom w:val="0"/>
          <w:divBdr>
            <w:top w:val="none" w:sz="0" w:space="0" w:color="auto"/>
            <w:left w:val="none" w:sz="0" w:space="0" w:color="auto"/>
            <w:bottom w:val="none" w:sz="0" w:space="0" w:color="auto"/>
            <w:right w:val="none" w:sz="0" w:space="0" w:color="auto"/>
          </w:divBdr>
        </w:div>
        <w:div w:id="379862533">
          <w:marLeft w:val="1714"/>
          <w:marRight w:val="0"/>
          <w:marTop w:val="0"/>
          <w:marBottom w:val="0"/>
          <w:divBdr>
            <w:top w:val="none" w:sz="0" w:space="0" w:color="auto"/>
            <w:left w:val="none" w:sz="0" w:space="0" w:color="auto"/>
            <w:bottom w:val="none" w:sz="0" w:space="0" w:color="auto"/>
            <w:right w:val="none" w:sz="0" w:space="0" w:color="auto"/>
          </w:divBdr>
        </w:div>
        <w:div w:id="901675353">
          <w:marLeft w:val="994"/>
          <w:marRight w:val="0"/>
          <w:marTop w:val="0"/>
          <w:marBottom w:val="0"/>
          <w:divBdr>
            <w:top w:val="none" w:sz="0" w:space="0" w:color="auto"/>
            <w:left w:val="none" w:sz="0" w:space="0" w:color="auto"/>
            <w:bottom w:val="none" w:sz="0" w:space="0" w:color="auto"/>
            <w:right w:val="none" w:sz="0" w:space="0" w:color="auto"/>
          </w:divBdr>
        </w:div>
        <w:div w:id="1389844166">
          <w:marLeft w:val="994"/>
          <w:marRight w:val="0"/>
          <w:marTop w:val="0"/>
          <w:marBottom w:val="0"/>
          <w:divBdr>
            <w:top w:val="none" w:sz="0" w:space="0" w:color="auto"/>
            <w:left w:val="none" w:sz="0" w:space="0" w:color="auto"/>
            <w:bottom w:val="none" w:sz="0" w:space="0" w:color="auto"/>
            <w:right w:val="none" w:sz="0" w:space="0" w:color="auto"/>
          </w:divBdr>
        </w:div>
      </w:divsChild>
    </w:div>
    <w:div w:id="174809036">
      <w:bodyDiv w:val="1"/>
      <w:marLeft w:val="0"/>
      <w:marRight w:val="0"/>
      <w:marTop w:val="0"/>
      <w:marBottom w:val="0"/>
      <w:divBdr>
        <w:top w:val="none" w:sz="0" w:space="0" w:color="auto"/>
        <w:left w:val="none" w:sz="0" w:space="0" w:color="auto"/>
        <w:bottom w:val="none" w:sz="0" w:space="0" w:color="auto"/>
        <w:right w:val="none" w:sz="0" w:space="0" w:color="auto"/>
      </w:divBdr>
      <w:divsChild>
        <w:div w:id="1882790124">
          <w:marLeft w:val="547"/>
          <w:marRight w:val="0"/>
          <w:marTop w:val="200"/>
          <w:marBottom w:val="0"/>
          <w:divBdr>
            <w:top w:val="none" w:sz="0" w:space="0" w:color="auto"/>
            <w:left w:val="none" w:sz="0" w:space="0" w:color="auto"/>
            <w:bottom w:val="none" w:sz="0" w:space="0" w:color="auto"/>
            <w:right w:val="none" w:sz="0" w:space="0" w:color="auto"/>
          </w:divBdr>
        </w:div>
        <w:div w:id="1744788702">
          <w:marLeft w:val="547"/>
          <w:marRight w:val="0"/>
          <w:marTop w:val="200"/>
          <w:marBottom w:val="0"/>
          <w:divBdr>
            <w:top w:val="none" w:sz="0" w:space="0" w:color="auto"/>
            <w:left w:val="none" w:sz="0" w:space="0" w:color="auto"/>
            <w:bottom w:val="none" w:sz="0" w:space="0" w:color="auto"/>
            <w:right w:val="none" w:sz="0" w:space="0" w:color="auto"/>
          </w:divBdr>
        </w:div>
        <w:div w:id="519323340">
          <w:marLeft w:val="907"/>
          <w:marRight w:val="0"/>
          <w:marTop w:val="200"/>
          <w:marBottom w:val="0"/>
          <w:divBdr>
            <w:top w:val="none" w:sz="0" w:space="0" w:color="auto"/>
            <w:left w:val="none" w:sz="0" w:space="0" w:color="auto"/>
            <w:bottom w:val="none" w:sz="0" w:space="0" w:color="auto"/>
            <w:right w:val="none" w:sz="0" w:space="0" w:color="auto"/>
          </w:divBdr>
        </w:div>
        <w:div w:id="950942635">
          <w:marLeft w:val="907"/>
          <w:marRight w:val="0"/>
          <w:marTop w:val="200"/>
          <w:marBottom w:val="0"/>
          <w:divBdr>
            <w:top w:val="none" w:sz="0" w:space="0" w:color="auto"/>
            <w:left w:val="none" w:sz="0" w:space="0" w:color="auto"/>
            <w:bottom w:val="none" w:sz="0" w:space="0" w:color="auto"/>
            <w:right w:val="none" w:sz="0" w:space="0" w:color="auto"/>
          </w:divBdr>
        </w:div>
        <w:div w:id="628322429">
          <w:marLeft w:val="547"/>
          <w:marRight w:val="0"/>
          <w:marTop w:val="200"/>
          <w:marBottom w:val="0"/>
          <w:divBdr>
            <w:top w:val="none" w:sz="0" w:space="0" w:color="auto"/>
            <w:left w:val="none" w:sz="0" w:space="0" w:color="auto"/>
            <w:bottom w:val="none" w:sz="0" w:space="0" w:color="auto"/>
            <w:right w:val="none" w:sz="0" w:space="0" w:color="auto"/>
          </w:divBdr>
        </w:div>
      </w:divsChild>
    </w:div>
    <w:div w:id="275214208">
      <w:bodyDiv w:val="1"/>
      <w:marLeft w:val="0"/>
      <w:marRight w:val="0"/>
      <w:marTop w:val="0"/>
      <w:marBottom w:val="0"/>
      <w:divBdr>
        <w:top w:val="none" w:sz="0" w:space="0" w:color="auto"/>
        <w:left w:val="none" w:sz="0" w:space="0" w:color="auto"/>
        <w:bottom w:val="none" w:sz="0" w:space="0" w:color="auto"/>
        <w:right w:val="none" w:sz="0" w:space="0" w:color="auto"/>
      </w:divBdr>
    </w:div>
    <w:div w:id="447821810">
      <w:bodyDiv w:val="1"/>
      <w:marLeft w:val="0"/>
      <w:marRight w:val="0"/>
      <w:marTop w:val="0"/>
      <w:marBottom w:val="0"/>
      <w:divBdr>
        <w:top w:val="none" w:sz="0" w:space="0" w:color="auto"/>
        <w:left w:val="none" w:sz="0" w:space="0" w:color="auto"/>
        <w:bottom w:val="none" w:sz="0" w:space="0" w:color="auto"/>
        <w:right w:val="none" w:sz="0" w:space="0" w:color="auto"/>
      </w:divBdr>
      <w:divsChild>
        <w:div w:id="1772237709">
          <w:marLeft w:val="562"/>
          <w:marRight w:val="0"/>
          <w:marTop w:val="200"/>
          <w:marBottom w:val="0"/>
          <w:divBdr>
            <w:top w:val="none" w:sz="0" w:space="0" w:color="auto"/>
            <w:left w:val="none" w:sz="0" w:space="0" w:color="auto"/>
            <w:bottom w:val="none" w:sz="0" w:space="0" w:color="auto"/>
            <w:right w:val="none" w:sz="0" w:space="0" w:color="auto"/>
          </w:divBdr>
        </w:div>
        <w:div w:id="1386829470">
          <w:marLeft w:val="907"/>
          <w:marRight w:val="0"/>
          <w:marTop w:val="200"/>
          <w:marBottom w:val="0"/>
          <w:divBdr>
            <w:top w:val="none" w:sz="0" w:space="0" w:color="auto"/>
            <w:left w:val="none" w:sz="0" w:space="0" w:color="auto"/>
            <w:bottom w:val="none" w:sz="0" w:space="0" w:color="auto"/>
            <w:right w:val="none" w:sz="0" w:space="0" w:color="auto"/>
          </w:divBdr>
        </w:div>
        <w:div w:id="1765612019">
          <w:marLeft w:val="907"/>
          <w:marRight w:val="0"/>
          <w:marTop w:val="200"/>
          <w:marBottom w:val="0"/>
          <w:divBdr>
            <w:top w:val="none" w:sz="0" w:space="0" w:color="auto"/>
            <w:left w:val="none" w:sz="0" w:space="0" w:color="auto"/>
            <w:bottom w:val="none" w:sz="0" w:space="0" w:color="auto"/>
            <w:right w:val="none" w:sz="0" w:space="0" w:color="auto"/>
          </w:divBdr>
        </w:div>
      </w:divsChild>
    </w:div>
    <w:div w:id="452138684">
      <w:bodyDiv w:val="1"/>
      <w:marLeft w:val="0"/>
      <w:marRight w:val="0"/>
      <w:marTop w:val="0"/>
      <w:marBottom w:val="0"/>
      <w:divBdr>
        <w:top w:val="none" w:sz="0" w:space="0" w:color="auto"/>
        <w:left w:val="none" w:sz="0" w:space="0" w:color="auto"/>
        <w:bottom w:val="none" w:sz="0" w:space="0" w:color="auto"/>
        <w:right w:val="none" w:sz="0" w:space="0" w:color="auto"/>
      </w:divBdr>
    </w:div>
    <w:div w:id="479225532">
      <w:bodyDiv w:val="1"/>
      <w:marLeft w:val="0"/>
      <w:marRight w:val="0"/>
      <w:marTop w:val="0"/>
      <w:marBottom w:val="0"/>
      <w:divBdr>
        <w:top w:val="none" w:sz="0" w:space="0" w:color="auto"/>
        <w:left w:val="none" w:sz="0" w:space="0" w:color="auto"/>
        <w:bottom w:val="none" w:sz="0" w:space="0" w:color="auto"/>
        <w:right w:val="none" w:sz="0" w:space="0" w:color="auto"/>
      </w:divBdr>
    </w:div>
    <w:div w:id="563806756">
      <w:bodyDiv w:val="1"/>
      <w:marLeft w:val="0"/>
      <w:marRight w:val="0"/>
      <w:marTop w:val="0"/>
      <w:marBottom w:val="0"/>
      <w:divBdr>
        <w:top w:val="none" w:sz="0" w:space="0" w:color="auto"/>
        <w:left w:val="none" w:sz="0" w:space="0" w:color="auto"/>
        <w:bottom w:val="none" w:sz="0" w:space="0" w:color="auto"/>
        <w:right w:val="none" w:sz="0" w:space="0" w:color="auto"/>
      </w:divBdr>
      <w:divsChild>
        <w:div w:id="726607039">
          <w:marLeft w:val="907"/>
          <w:marRight w:val="0"/>
          <w:marTop w:val="200"/>
          <w:marBottom w:val="0"/>
          <w:divBdr>
            <w:top w:val="none" w:sz="0" w:space="0" w:color="auto"/>
            <w:left w:val="none" w:sz="0" w:space="0" w:color="auto"/>
            <w:bottom w:val="none" w:sz="0" w:space="0" w:color="auto"/>
            <w:right w:val="none" w:sz="0" w:space="0" w:color="auto"/>
          </w:divBdr>
        </w:div>
        <w:div w:id="57435637">
          <w:marLeft w:val="907"/>
          <w:marRight w:val="0"/>
          <w:marTop w:val="200"/>
          <w:marBottom w:val="0"/>
          <w:divBdr>
            <w:top w:val="none" w:sz="0" w:space="0" w:color="auto"/>
            <w:left w:val="none" w:sz="0" w:space="0" w:color="auto"/>
            <w:bottom w:val="none" w:sz="0" w:space="0" w:color="auto"/>
            <w:right w:val="none" w:sz="0" w:space="0" w:color="auto"/>
          </w:divBdr>
        </w:div>
        <w:div w:id="1908607338">
          <w:marLeft w:val="907"/>
          <w:marRight w:val="0"/>
          <w:marTop w:val="200"/>
          <w:marBottom w:val="0"/>
          <w:divBdr>
            <w:top w:val="none" w:sz="0" w:space="0" w:color="auto"/>
            <w:left w:val="none" w:sz="0" w:space="0" w:color="auto"/>
            <w:bottom w:val="none" w:sz="0" w:space="0" w:color="auto"/>
            <w:right w:val="none" w:sz="0" w:space="0" w:color="auto"/>
          </w:divBdr>
        </w:div>
      </w:divsChild>
    </w:div>
    <w:div w:id="630790167">
      <w:bodyDiv w:val="1"/>
      <w:marLeft w:val="0"/>
      <w:marRight w:val="0"/>
      <w:marTop w:val="0"/>
      <w:marBottom w:val="0"/>
      <w:divBdr>
        <w:top w:val="none" w:sz="0" w:space="0" w:color="auto"/>
        <w:left w:val="none" w:sz="0" w:space="0" w:color="auto"/>
        <w:bottom w:val="none" w:sz="0" w:space="0" w:color="auto"/>
        <w:right w:val="none" w:sz="0" w:space="0" w:color="auto"/>
      </w:divBdr>
      <w:divsChild>
        <w:div w:id="161942818">
          <w:marLeft w:val="274"/>
          <w:marRight w:val="0"/>
          <w:marTop w:val="0"/>
          <w:marBottom w:val="0"/>
          <w:divBdr>
            <w:top w:val="none" w:sz="0" w:space="0" w:color="auto"/>
            <w:left w:val="none" w:sz="0" w:space="0" w:color="auto"/>
            <w:bottom w:val="none" w:sz="0" w:space="0" w:color="auto"/>
            <w:right w:val="none" w:sz="0" w:space="0" w:color="auto"/>
          </w:divBdr>
        </w:div>
        <w:div w:id="1055739817">
          <w:marLeft w:val="274"/>
          <w:marRight w:val="0"/>
          <w:marTop w:val="0"/>
          <w:marBottom w:val="0"/>
          <w:divBdr>
            <w:top w:val="none" w:sz="0" w:space="0" w:color="auto"/>
            <w:left w:val="none" w:sz="0" w:space="0" w:color="auto"/>
            <w:bottom w:val="none" w:sz="0" w:space="0" w:color="auto"/>
            <w:right w:val="none" w:sz="0" w:space="0" w:color="auto"/>
          </w:divBdr>
        </w:div>
      </w:divsChild>
    </w:div>
    <w:div w:id="816265675">
      <w:bodyDiv w:val="1"/>
      <w:marLeft w:val="0"/>
      <w:marRight w:val="0"/>
      <w:marTop w:val="0"/>
      <w:marBottom w:val="0"/>
      <w:divBdr>
        <w:top w:val="none" w:sz="0" w:space="0" w:color="auto"/>
        <w:left w:val="none" w:sz="0" w:space="0" w:color="auto"/>
        <w:bottom w:val="none" w:sz="0" w:space="0" w:color="auto"/>
        <w:right w:val="none" w:sz="0" w:space="0" w:color="auto"/>
      </w:divBdr>
      <w:divsChild>
        <w:div w:id="1606689679">
          <w:marLeft w:val="547"/>
          <w:marRight w:val="0"/>
          <w:marTop w:val="200"/>
          <w:marBottom w:val="0"/>
          <w:divBdr>
            <w:top w:val="none" w:sz="0" w:space="0" w:color="auto"/>
            <w:left w:val="none" w:sz="0" w:space="0" w:color="auto"/>
            <w:bottom w:val="none" w:sz="0" w:space="0" w:color="auto"/>
            <w:right w:val="none" w:sz="0" w:space="0" w:color="auto"/>
          </w:divBdr>
        </w:div>
        <w:div w:id="684789882">
          <w:marLeft w:val="547"/>
          <w:marRight w:val="0"/>
          <w:marTop w:val="200"/>
          <w:marBottom w:val="0"/>
          <w:divBdr>
            <w:top w:val="none" w:sz="0" w:space="0" w:color="auto"/>
            <w:left w:val="none" w:sz="0" w:space="0" w:color="auto"/>
            <w:bottom w:val="none" w:sz="0" w:space="0" w:color="auto"/>
            <w:right w:val="none" w:sz="0" w:space="0" w:color="auto"/>
          </w:divBdr>
        </w:div>
        <w:div w:id="1358971633">
          <w:marLeft w:val="547"/>
          <w:marRight w:val="0"/>
          <w:marTop w:val="200"/>
          <w:marBottom w:val="0"/>
          <w:divBdr>
            <w:top w:val="none" w:sz="0" w:space="0" w:color="auto"/>
            <w:left w:val="none" w:sz="0" w:space="0" w:color="auto"/>
            <w:bottom w:val="none" w:sz="0" w:space="0" w:color="auto"/>
            <w:right w:val="none" w:sz="0" w:space="0" w:color="auto"/>
          </w:divBdr>
        </w:div>
        <w:div w:id="2019967666">
          <w:marLeft w:val="907"/>
          <w:marRight w:val="0"/>
          <w:marTop w:val="200"/>
          <w:marBottom w:val="0"/>
          <w:divBdr>
            <w:top w:val="none" w:sz="0" w:space="0" w:color="auto"/>
            <w:left w:val="none" w:sz="0" w:space="0" w:color="auto"/>
            <w:bottom w:val="none" w:sz="0" w:space="0" w:color="auto"/>
            <w:right w:val="none" w:sz="0" w:space="0" w:color="auto"/>
          </w:divBdr>
        </w:div>
      </w:divsChild>
    </w:div>
    <w:div w:id="940181470">
      <w:bodyDiv w:val="1"/>
      <w:marLeft w:val="0"/>
      <w:marRight w:val="0"/>
      <w:marTop w:val="0"/>
      <w:marBottom w:val="0"/>
      <w:divBdr>
        <w:top w:val="none" w:sz="0" w:space="0" w:color="auto"/>
        <w:left w:val="none" w:sz="0" w:space="0" w:color="auto"/>
        <w:bottom w:val="none" w:sz="0" w:space="0" w:color="auto"/>
        <w:right w:val="none" w:sz="0" w:space="0" w:color="auto"/>
      </w:divBdr>
    </w:div>
    <w:div w:id="958486467">
      <w:bodyDiv w:val="1"/>
      <w:marLeft w:val="0"/>
      <w:marRight w:val="0"/>
      <w:marTop w:val="0"/>
      <w:marBottom w:val="0"/>
      <w:divBdr>
        <w:top w:val="none" w:sz="0" w:space="0" w:color="auto"/>
        <w:left w:val="none" w:sz="0" w:space="0" w:color="auto"/>
        <w:bottom w:val="none" w:sz="0" w:space="0" w:color="auto"/>
        <w:right w:val="none" w:sz="0" w:space="0" w:color="auto"/>
      </w:divBdr>
    </w:div>
    <w:div w:id="1001276924">
      <w:bodyDiv w:val="1"/>
      <w:marLeft w:val="0"/>
      <w:marRight w:val="0"/>
      <w:marTop w:val="0"/>
      <w:marBottom w:val="0"/>
      <w:divBdr>
        <w:top w:val="none" w:sz="0" w:space="0" w:color="auto"/>
        <w:left w:val="none" w:sz="0" w:space="0" w:color="auto"/>
        <w:bottom w:val="none" w:sz="0" w:space="0" w:color="auto"/>
        <w:right w:val="none" w:sz="0" w:space="0" w:color="auto"/>
      </w:divBdr>
      <w:divsChild>
        <w:div w:id="1715084127">
          <w:marLeft w:val="547"/>
          <w:marRight w:val="0"/>
          <w:marTop w:val="200"/>
          <w:marBottom w:val="0"/>
          <w:divBdr>
            <w:top w:val="none" w:sz="0" w:space="0" w:color="auto"/>
            <w:left w:val="none" w:sz="0" w:space="0" w:color="auto"/>
            <w:bottom w:val="none" w:sz="0" w:space="0" w:color="auto"/>
            <w:right w:val="none" w:sz="0" w:space="0" w:color="auto"/>
          </w:divBdr>
        </w:div>
        <w:div w:id="774788571">
          <w:marLeft w:val="547"/>
          <w:marRight w:val="0"/>
          <w:marTop w:val="200"/>
          <w:marBottom w:val="0"/>
          <w:divBdr>
            <w:top w:val="none" w:sz="0" w:space="0" w:color="auto"/>
            <w:left w:val="none" w:sz="0" w:space="0" w:color="auto"/>
            <w:bottom w:val="none" w:sz="0" w:space="0" w:color="auto"/>
            <w:right w:val="none" w:sz="0" w:space="0" w:color="auto"/>
          </w:divBdr>
        </w:div>
        <w:div w:id="1755125801">
          <w:marLeft w:val="907"/>
          <w:marRight w:val="0"/>
          <w:marTop w:val="200"/>
          <w:marBottom w:val="0"/>
          <w:divBdr>
            <w:top w:val="none" w:sz="0" w:space="0" w:color="auto"/>
            <w:left w:val="none" w:sz="0" w:space="0" w:color="auto"/>
            <w:bottom w:val="none" w:sz="0" w:space="0" w:color="auto"/>
            <w:right w:val="none" w:sz="0" w:space="0" w:color="auto"/>
          </w:divBdr>
        </w:div>
        <w:div w:id="582952170">
          <w:marLeft w:val="907"/>
          <w:marRight w:val="0"/>
          <w:marTop w:val="200"/>
          <w:marBottom w:val="0"/>
          <w:divBdr>
            <w:top w:val="none" w:sz="0" w:space="0" w:color="auto"/>
            <w:left w:val="none" w:sz="0" w:space="0" w:color="auto"/>
            <w:bottom w:val="none" w:sz="0" w:space="0" w:color="auto"/>
            <w:right w:val="none" w:sz="0" w:space="0" w:color="auto"/>
          </w:divBdr>
        </w:div>
      </w:divsChild>
    </w:div>
    <w:div w:id="1037896534">
      <w:bodyDiv w:val="1"/>
      <w:marLeft w:val="0"/>
      <w:marRight w:val="0"/>
      <w:marTop w:val="0"/>
      <w:marBottom w:val="0"/>
      <w:divBdr>
        <w:top w:val="none" w:sz="0" w:space="0" w:color="auto"/>
        <w:left w:val="none" w:sz="0" w:space="0" w:color="auto"/>
        <w:bottom w:val="none" w:sz="0" w:space="0" w:color="auto"/>
        <w:right w:val="none" w:sz="0" w:space="0" w:color="auto"/>
      </w:divBdr>
      <w:divsChild>
        <w:div w:id="338629110">
          <w:marLeft w:val="562"/>
          <w:marRight w:val="0"/>
          <w:marTop w:val="200"/>
          <w:marBottom w:val="0"/>
          <w:divBdr>
            <w:top w:val="none" w:sz="0" w:space="0" w:color="auto"/>
            <w:left w:val="none" w:sz="0" w:space="0" w:color="auto"/>
            <w:bottom w:val="none" w:sz="0" w:space="0" w:color="auto"/>
            <w:right w:val="none" w:sz="0" w:space="0" w:color="auto"/>
          </w:divBdr>
        </w:div>
        <w:div w:id="1304697482">
          <w:marLeft w:val="907"/>
          <w:marRight w:val="0"/>
          <w:marTop w:val="200"/>
          <w:marBottom w:val="0"/>
          <w:divBdr>
            <w:top w:val="none" w:sz="0" w:space="0" w:color="auto"/>
            <w:left w:val="none" w:sz="0" w:space="0" w:color="auto"/>
            <w:bottom w:val="none" w:sz="0" w:space="0" w:color="auto"/>
            <w:right w:val="none" w:sz="0" w:space="0" w:color="auto"/>
          </w:divBdr>
        </w:div>
        <w:div w:id="39674716">
          <w:marLeft w:val="1267"/>
          <w:marRight w:val="0"/>
          <w:marTop w:val="200"/>
          <w:marBottom w:val="0"/>
          <w:divBdr>
            <w:top w:val="none" w:sz="0" w:space="0" w:color="auto"/>
            <w:left w:val="none" w:sz="0" w:space="0" w:color="auto"/>
            <w:bottom w:val="none" w:sz="0" w:space="0" w:color="auto"/>
            <w:right w:val="none" w:sz="0" w:space="0" w:color="auto"/>
          </w:divBdr>
        </w:div>
        <w:div w:id="184713094">
          <w:marLeft w:val="1267"/>
          <w:marRight w:val="0"/>
          <w:marTop w:val="200"/>
          <w:marBottom w:val="0"/>
          <w:divBdr>
            <w:top w:val="none" w:sz="0" w:space="0" w:color="auto"/>
            <w:left w:val="none" w:sz="0" w:space="0" w:color="auto"/>
            <w:bottom w:val="none" w:sz="0" w:space="0" w:color="auto"/>
            <w:right w:val="none" w:sz="0" w:space="0" w:color="auto"/>
          </w:divBdr>
        </w:div>
        <w:div w:id="1202089199">
          <w:marLeft w:val="1267"/>
          <w:marRight w:val="0"/>
          <w:marTop w:val="200"/>
          <w:marBottom w:val="0"/>
          <w:divBdr>
            <w:top w:val="none" w:sz="0" w:space="0" w:color="auto"/>
            <w:left w:val="none" w:sz="0" w:space="0" w:color="auto"/>
            <w:bottom w:val="none" w:sz="0" w:space="0" w:color="auto"/>
            <w:right w:val="none" w:sz="0" w:space="0" w:color="auto"/>
          </w:divBdr>
        </w:div>
      </w:divsChild>
    </w:div>
    <w:div w:id="1109396885">
      <w:bodyDiv w:val="1"/>
      <w:marLeft w:val="0"/>
      <w:marRight w:val="0"/>
      <w:marTop w:val="0"/>
      <w:marBottom w:val="0"/>
      <w:divBdr>
        <w:top w:val="none" w:sz="0" w:space="0" w:color="auto"/>
        <w:left w:val="none" w:sz="0" w:space="0" w:color="auto"/>
        <w:bottom w:val="none" w:sz="0" w:space="0" w:color="auto"/>
        <w:right w:val="none" w:sz="0" w:space="0" w:color="auto"/>
      </w:divBdr>
      <w:divsChild>
        <w:div w:id="1998222289">
          <w:marLeft w:val="547"/>
          <w:marRight w:val="0"/>
          <w:marTop w:val="200"/>
          <w:marBottom w:val="0"/>
          <w:divBdr>
            <w:top w:val="none" w:sz="0" w:space="0" w:color="auto"/>
            <w:left w:val="none" w:sz="0" w:space="0" w:color="auto"/>
            <w:bottom w:val="none" w:sz="0" w:space="0" w:color="auto"/>
            <w:right w:val="none" w:sz="0" w:space="0" w:color="auto"/>
          </w:divBdr>
        </w:div>
        <w:div w:id="205920746">
          <w:marLeft w:val="907"/>
          <w:marRight w:val="0"/>
          <w:marTop w:val="200"/>
          <w:marBottom w:val="0"/>
          <w:divBdr>
            <w:top w:val="none" w:sz="0" w:space="0" w:color="auto"/>
            <w:left w:val="none" w:sz="0" w:space="0" w:color="auto"/>
            <w:bottom w:val="none" w:sz="0" w:space="0" w:color="auto"/>
            <w:right w:val="none" w:sz="0" w:space="0" w:color="auto"/>
          </w:divBdr>
        </w:div>
        <w:div w:id="1974484840">
          <w:marLeft w:val="907"/>
          <w:marRight w:val="0"/>
          <w:marTop w:val="200"/>
          <w:marBottom w:val="0"/>
          <w:divBdr>
            <w:top w:val="none" w:sz="0" w:space="0" w:color="auto"/>
            <w:left w:val="none" w:sz="0" w:space="0" w:color="auto"/>
            <w:bottom w:val="none" w:sz="0" w:space="0" w:color="auto"/>
            <w:right w:val="none" w:sz="0" w:space="0" w:color="auto"/>
          </w:divBdr>
        </w:div>
        <w:div w:id="1453018306">
          <w:marLeft w:val="907"/>
          <w:marRight w:val="0"/>
          <w:marTop w:val="200"/>
          <w:marBottom w:val="0"/>
          <w:divBdr>
            <w:top w:val="none" w:sz="0" w:space="0" w:color="auto"/>
            <w:left w:val="none" w:sz="0" w:space="0" w:color="auto"/>
            <w:bottom w:val="none" w:sz="0" w:space="0" w:color="auto"/>
            <w:right w:val="none" w:sz="0" w:space="0" w:color="auto"/>
          </w:divBdr>
        </w:div>
      </w:divsChild>
    </w:div>
    <w:div w:id="1114860277">
      <w:bodyDiv w:val="1"/>
      <w:marLeft w:val="0"/>
      <w:marRight w:val="0"/>
      <w:marTop w:val="0"/>
      <w:marBottom w:val="0"/>
      <w:divBdr>
        <w:top w:val="none" w:sz="0" w:space="0" w:color="auto"/>
        <w:left w:val="none" w:sz="0" w:space="0" w:color="auto"/>
        <w:bottom w:val="none" w:sz="0" w:space="0" w:color="auto"/>
        <w:right w:val="none" w:sz="0" w:space="0" w:color="auto"/>
      </w:divBdr>
    </w:div>
    <w:div w:id="1139153822">
      <w:bodyDiv w:val="1"/>
      <w:marLeft w:val="0"/>
      <w:marRight w:val="0"/>
      <w:marTop w:val="0"/>
      <w:marBottom w:val="0"/>
      <w:divBdr>
        <w:top w:val="none" w:sz="0" w:space="0" w:color="auto"/>
        <w:left w:val="none" w:sz="0" w:space="0" w:color="auto"/>
        <w:bottom w:val="none" w:sz="0" w:space="0" w:color="auto"/>
        <w:right w:val="none" w:sz="0" w:space="0" w:color="auto"/>
      </w:divBdr>
      <w:divsChild>
        <w:div w:id="9569822">
          <w:marLeft w:val="562"/>
          <w:marRight w:val="0"/>
          <w:marTop w:val="200"/>
          <w:marBottom w:val="0"/>
          <w:divBdr>
            <w:top w:val="none" w:sz="0" w:space="0" w:color="auto"/>
            <w:left w:val="none" w:sz="0" w:space="0" w:color="auto"/>
            <w:bottom w:val="none" w:sz="0" w:space="0" w:color="auto"/>
            <w:right w:val="none" w:sz="0" w:space="0" w:color="auto"/>
          </w:divBdr>
        </w:div>
        <w:div w:id="566260092">
          <w:marLeft w:val="907"/>
          <w:marRight w:val="0"/>
          <w:marTop w:val="200"/>
          <w:marBottom w:val="0"/>
          <w:divBdr>
            <w:top w:val="none" w:sz="0" w:space="0" w:color="auto"/>
            <w:left w:val="none" w:sz="0" w:space="0" w:color="auto"/>
            <w:bottom w:val="none" w:sz="0" w:space="0" w:color="auto"/>
            <w:right w:val="none" w:sz="0" w:space="0" w:color="auto"/>
          </w:divBdr>
        </w:div>
        <w:div w:id="1684477442">
          <w:marLeft w:val="907"/>
          <w:marRight w:val="0"/>
          <w:marTop w:val="200"/>
          <w:marBottom w:val="0"/>
          <w:divBdr>
            <w:top w:val="none" w:sz="0" w:space="0" w:color="auto"/>
            <w:left w:val="none" w:sz="0" w:space="0" w:color="auto"/>
            <w:bottom w:val="none" w:sz="0" w:space="0" w:color="auto"/>
            <w:right w:val="none" w:sz="0" w:space="0" w:color="auto"/>
          </w:divBdr>
        </w:div>
        <w:div w:id="1959951624">
          <w:marLeft w:val="1267"/>
          <w:marRight w:val="0"/>
          <w:marTop w:val="200"/>
          <w:marBottom w:val="0"/>
          <w:divBdr>
            <w:top w:val="none" w:sz="0" w:space="0" w:color="auto"/>
            <w:left w:val="none" w:sz="0" w:space="0" w:color="auto"/>
            <w:bottom w:val="none" w:sz="0" w:space="0" w:color="auto"/>
            <w:right w:val="none" w:sz="0" w:space="0" w:color="auto"/>
          </w:divBdr>
        </w:div>
        <w:div w:id="764573963">
          <w:marLeft w:val="1267"/>
          <w:marRight w:val="0"/>
          <w:marTop w:val="200"/>
          <w:marBottom w:val="0"/>
          <w:divBdr>
            <w:top w:val="none" w:sz="0" w:space="0" w:color="auto"/>
            <w:left w:val="none" w:sz="0" w:space="0" w:color="auto"/>
            <w:bottom w:val="none" w:sz="0" w:space="0" w:color="auto"/>
            <w:right w:val="none" w:sz="0" w:space="0" w:color="auto"/>
          </w:divBdr>
        </w:div>
      </w:divsChild>
    </w:div>
    <w:div w:id="1186553094">
      <w:bodyDiv w:val="1"/>
      <w:marLeft w:val="0"/>
      <w:marRight w:val="0"/>
      <w:marTop w:val="0"/>
      <w:marBottom w:val="0"/>
      <w:divBdr>
        <w:top w:val="none" w:sz="0" w:space="0" w:color="auto"/>
        <w:left w:val="none" w:sz="0" w:space="0" w:color="auto"/>
        <w:bottom w:val="none" w:sz="0" w:space="0" w:color="auto"/>
        <w:right w:val="none" w:sz="0" w:space="0" w:color="auto"/>
      </w:divBdr>
      <w:divsChild>
        <w:div w:id="140969054">
          <w:marLeft w:val="446"/>
          <w:marRight w:val="0"/>
          <w:marTop w:val="200"/>
          <w:marBottom w:val="0"/>
          <w:divBdr>
            <w:top w:val="none" w:sz="0" w:space="0" w:color="auto"/>
            <w:left w:val="none" w:sz="0" w:space="0" w:color="auto"/>
            <w:bottom w:val="none" w:sz="0" w:space="0" w:color="auto"/>
            <w:right w:val="none" w:sz="0" w:space="0" w:color="auto"/>
          </w:divBdr>
        </w:div>
        <w:div w:id="1857881652">
          <w:marLeft w:val="1166"/>
          <w:marRight w:val="0"/>
          <w:marTop w:val="200"/>
          <w:marBottom w:val="0"/>
          <w:divBdr>
            <w:top w:val="none" w:sz="0" w:space="0" w:color="auto"/>
            <w:left w:val="none" w:sz="0" w:space="0" w:color="auto"/>
            <w:bottom w:val="none" w:sz="0" w:space="0" w:color="auto"/>
            <w:right w:val="none" w:sz="0" w:space="0" w:color="auto"/>
          </w:divBdr>
        </w:div>
        <w:div w:id="1746873705">
          <w:marLeft w:val="446"/>
          <w:marRight w:val="0"/>
          <w:marTop w:val="200"/>
          <w:marBottom w:val="0"/>
          <w:divBdr>
            <w:top w:val="none" w:sz="0" w:space="0" w:color="auto"/>
            <w:left w:val="none" w:sz="0" w:space="0" w:color="auto"/>
            <w:bottom w:val="none" w:sz="0" w:space="0" w:color="auto"/>
            <w:right w:val="none" w:sz="0" w:space="0" w:color="auto"/>
          </w:divBdr>
        </w:div>
        <w:div w:id="805468985">
          <w:marLeft w:val="446"/>
          <w:marRight w:val="0"/>
          <w:marTop w:val="200"/>
          <w:marBottom w:val="0"/>
          <w:divBdr>
            <w:top w:val="none" w:sz="0" w:space="0" w:color="auto"/>
            <w:left w:val="none" w:sz="0" w:space="0" w:color="auto"/>
            <w:bottom w:val="none" w:sz="0" w:space="0" w:color="auto"/>
            <w:right w:val="none" w:sz="0" w:space="0" w:color="auto"/>
          </w:divBdr>
        </w:div>
        <w:div w:id="2040470827">
          <w:marLeft w:val="446"/>
          <w:marRight w:val="0"/>
          <w:marTop w:val="120"/>
          <w:marBottom w:val="0"/>
          <w:divBdr>
            <w:top w:val="none" w:sz="0" w:space="0" w:color="auto"/>
            <w:left w:val="none" w:sz="0" w:space="0" w:color="auto"/>
            <w:bottom w:val="none" w:sz="0" w:space="0" w:color="auto"/>
            <w:right w:val="none" w:sz="0" w:space="0" w:color="auto"/>
          </w:divBdr>
        </w:div>
        <w:div w:id="217058910">
          <w:marLeft w:val="446"/>
          <w:marRight w:val="0"/>
          <w:marTop w:val="120"/>
          <w:marBottom w:val="0"/>
          <w:divBdr>
            <w:top w:val="none" w:sz="0" w:space="0" w:color="auto"/>
            <w:left w:val="none" w:sz="0" w:space="0" w:color="auto"/>
            <w:bottom w:val="none" w:sz="0" w:space="0" w:color="auto"/>
            <w:right w:val="none" w:sz="0" w:space="0" w:color="auto"/>
          </w:divBdr>
        </w:div>
      </w:divsChild>
    </w:div>
    <w:div w:id="1221088762">
      <w:bodyDiv w:val="1"/>
      <w:marLeft w:val="0"/>
      <w:marRight w:val="0"/>
      <w:marTop w:val="0"/>
      <w:marBottom w:val="0"/>
      <w:divBdr>
        <w:top w:val="none" w:sz="0" w:space="0" w:color="auto"/>
        <w:left w:val="none" w:sz="0" w:space="0" w:color="auto"/>
        <w:bottom w:val="none" w:sz="0" w:space="0" w:color="auto"/>
        <w:right w:val="none" w:sz="0" w:space="0" w:color="auto"/>
      </w:divBdr>
    </w:div>
    <w:div w:id="1236085361">
      <w:bodyDiv w:val="1"/>
      <w:marLeft w:val="0"/>
      <w:marRight w:val="0"/>
      <w:marTop w:val="0"/>
      <w:marBottom w:val="0"/>
      <w:divBdr>
        <w:top w:val="none" w:sz="0" w:space="0" w:color="auto"/>
        <w:left w:val="none" w:sz="0" w:space="0" w:color="auto"/>
        <w:bottom w:val="none" w:sz="0" w:space="0" w:color="auto"/>
        <w:right w:val="none" w:sz="0" w:space="0" w:color="auto"/>
      </w:divBdr>
      <w:divsChild>
        <w:div w:id="1010521609">
          <w:marLeft w:val="562"/>
          <w:marRight w:val="0"/>
          <w:marTop w:val="200"/>
          <w:marBottom w:val="0"/>
          <w:divBdr>
            <w:top w:val="none" w:sz="0" w:space="0" w:color="auto"/>
            <w:left w:val="none" w:sz="0" w:space="0" w:color="auto"/>
            <w:bottom w:val="none" w:sz="0" w:space="0" w:color="auto"/>
            <w:right w:val="none" w:sz="0" w:space="0" w:color="auto"/>
          </w:divBdr>
        </w:div>
        <w:div w:id="1426879700">
          <w:marLeft w:val="907"/>
          <w:marRight w:val="0"/>
          <w:marTop w:val="200"/>
          <w:marBottom w:val="0"/>
          <w:divBdr>
            <w:top w:val="none" w:sz="0" w:space="0" w:color="auto"/>
            <w:left w:val="none" w:sz="0" w:space="0" w:color="auto"/>
            <w:bottom w:val="none" w:sz="0" w:space="0" w:color="auto"/>
            <w:right w:val="none" w:sz="0" w:space="0" w:color="auto"/>
          </w:divBdr>
        </w:div>
        <w:div w:id="573666799">
          <w:marLeft w:val="907"/>
          <w:marRight w:val="0"/>
          <w:marTop w:val="200"/>
          <w:marBottom w:val="0"/>
          <w:divBdr>
            <w:top w:val="none" w:sz="0" w:space="0" w:color="auto"/>
            <w:left w:val="none" w:sz="0" w:space="0" w:color="auto"/>
            <w:bottom w:val="none" w:sz="0" w:space="0" w:color="auto"/>
            <w:right w:val="none" w:sz="0" w:space="0" w:color="auto"/>
          </w:divBdr>
        </w:div>
        <w:div w:id="970401620">
          <w:marLeft w:val="907"/>
          <w:marRight w:val="0"/>
          <w:marTop w:val="200"/>
          <w:marBottom w:val="0"/>
          <w:divBdr>
            <w:top w:val="none" w:sz="0" w:space="0" w:color="auto"/>
            <w:left w:val="none" w:sz="0" w:space="0" w:color="auto"/>
            <w:bottom w:val="none" w:sz="0" w:space="0" w:color="auto"/>
            <w:right w:val="none" w:sz="0" w:space="0" w:color="auto"/>
          </w:divBdr>
        </w:div>
      </w:divsChild>
    </w:div>
    <w:div w:id="1241864207">
      <w:bodyDiv w:val="1"/>
      <w:marLeft w:val="0"/>
      <w:marRight w:val="0"/>
      <w:marTop w:val="0"/>
      <w:marBottom w:val="0"/>
      <w:divBdr>
        <w:top w:val="none" w:sz="0" w:space="0" w:color="auto"/>
        <w:left w:val="none" w:sz="0" w:space="0" w:color="auto"/>
        <w:bottom w:val="none" w:sz="0" w:space="0" w:color="auto"/>
        <w:right w:val="none" w:sz="0" w:space="0" w:color="auto"/>
      </w:divBdr>
      <w:divsChild>
        <w:div w:id="120466896">
          <w:marLeft w:val="547"/>
          <w:marRight w:val="0"/>
          <w:marTop w:val="200"/>
          <w:marBottom w:val="0"/>
          <w:divBdr>
            <w:top w:val="none" w:sz="0" w:space="0" w:color="auto"/>
            <w:left w:val="none" w:sz="0" w:space="0" w:color="auto"/>
            <w:bottom w:val="none" w:sz="0" w:space="0" w:color="auto"/>
            <w:right w:val="none" w:sz="0" w:space="0" w:color="auto"/>
          </w:divBdr>
        </w:div>
        <w:div w:id="1847674697">
          <w:marLeft w:val="547"/>
          <w:marRight w:val="0"/>
          <w:marTop w:val="200"/>
          <w:marBottom w:val="0"/>
          <w:divBdr>
            <w:top w:val="none" w:sz="0" w:space="0" w:color="auto"/>
            <w:left w:val="none" w:sz="0" w:space="0" w:color="auto"/>
            <w:bottom w:val="none" w:sz="0" w:space="0" w:color="auto"/>
            <w:right w:val="none" w:sz="0" w:space="0" w:color="auto"/>
          </w:divBdr>
        </w:div>
        <w:div w:id="1104152225">
          <w:marLeft w:val="547"/>
          <w:marRight w:val="0"/>
          <w:marTop w:val="200"/>
          <w:marBottom w:val="0"/>
          <w:divBdr>
            <w:top w:val="none" w:sz="0" w:space="0" w:color="auto"/>
            <w:left w:val="none" w:sz="0" w:space="0" w:color="auto"/>
            <w:bottom w:val="none" w:sz="0" w:space="0" w:color="auto"/>
            <w:right w:val="none" w:sz="0" w:space="0" w:color="auto"/>
          </w:divBdr>
        </w:div>
      </w:divsChild>
    </w:div>
    <w:div w:id="1359502818">
      <w:bodyDiv w:val="1"/>
      <w:marLeft w:val="0"/>
      <w:marRight w:val="0"/>
      <w:marTop w:val="0"/>
      <w:marBottom w:val="0"/>
      <w:divBdr>
        <w:top w:val="none" w:sz="0" w:space="0" w:color="auto"/>
        <w:left w:val="none" w:sz="0" w:space="0" w:color="auto"/>
        <w:bottom w:val="none" w:sz="0" w:space="0" w:color="auto"/>
        <w:right w:val="none" w:sz="0" w:space="0" w:color="auto"/>
      </w:divBdr>
    </w:div>
    <w:div w:id="1386682462">
      <w:bodyDiv w:val="1"/>
      <w:marLeft w:val="0"/>
      <w:marRight w:val="0"/>
      <w:marTop w:val="0"/>
      <w:marBottom w:val="0"/>
      <w:divBdr>
        <w:top w:val="none" w:sz="0" w:space="0" w:color="auto"/>
        <w:left w:val="none" w:sz="0" w:space="0" w:color="auto"/>
        <w:bottom w:val="none" w:sz="0" w:space="0" w:color="auto"/>
        <w:right w:val="none" w:sz="0" w:space="0" w:color="auto"/>
      </w:divBdr>
    </w:div>
    <w:div w:id="1413043437">
      <w:bodyDiv w:val="1"/>
      <w:marLeft w:val="0"/>
      <w:marRight w:val="0"/>
      <w:marTop w:val="0"/>
      <w:marBottom w:val="0"/>
      <w:divBdr>
        <w:top w:val="none" w:sz="0" w:space="0" w:color="auto"/>
        <w:left w:val="none" w:sz="0" w:space="0" w:color="auto"/>
        <w:bottom w:val="none" w:sz="0" w:space="0" w:color="auto"/>
        <w:right w:val="none" w:sz="0" w:space="0" w:color="auto"/>
      </w:divBdr>
      <w:divsChild>
        <w:div w:id="825316526">
          <w:marLeft w:val="547"/>
          <w:marRight w:val="0"/>
          <w:marTop w:val="200"/>
          <w:marBottom w:val="0"/>
          <w:divBdr>
            <w:top w:val="none" w:sz="0" w:space="0" w:color="auto"/>
            <w:left w:val="none" w:sz="0" w:space="0" w:color="auto"/>
            <w:bottom w:val="none" w:sz="0" w:space="0" w:color="auto"/>
            <w:right w:val="none" w:sz="0" w:space="0" w:color="auto"/>
          </w:divBdr>
        </w:div>
        <w:div w:id="903679675">
          <w:marLeft w:val="907"/>
          <w:marRight w:val="0"/>
          <w:marTop w:val="200"/>
          <w:marBottom w:val="0"/>
          <w:divBdr>
            <w:top w:val="none" w:sz="0" w:space="0" w:color="auto"/>
            <w:left w:val="none" w:sz="0" w:space="0" w:color="auto"/>
            <w:bottom w:val="none" w:sz="0" w:space="0" w:color="auto"/>
            <w:right w:val="none" w:sz="0" w:space="0" w:color="auto"/>
          </w:divBdr>
        </w:div>
        <w:div w:id="974599157">
          <w:marLeft w:val="907"/>
          <w:marRight w:val="0"/>
          <w:marTop w:val="200"/>
          <w:marBottom w:val="0"/>
          <w:divBdr>
            <w:top w:val="none" w:sz="0" w:space="0" w:color="auto"/>
            <w:left w:val="none" w:sz="0" w:space="0" w:color="auto"/>
            <w:bottom w:val="none" w:sz="0" w:space="0" w:color="auto"/>
            <w:right w:val="none" w:sz="0" w:space="0" w:color="auto"/>
          </w:divBdr>
        </w:div>
        <w:div w:id="234819882">
          <w:marLeft w:val="547"/>
          <w:marRight w:val="0"/>
          <w:marTop w:val="200"/>
          <w:marBottom w:val="0"/>
          <w:divBdr>
            <w:top w:val="none" w:sz="0" w:space="0" w:color="auto"/>
            <w:left w:val="none" w:sz="0" w:space="0" w:color="auto"/>
            <w:bottom w:val="none" w:sz="0" w:space="0" w:color="auto"/>
            <w:right w:val="none" w:sz="0" w:space="0" w:color="auto"/>
          </w:divBdr>
        </w:div>
        <w:div w:id="1300308638">
          <w:marLeft w:val="907"/>
          <w:marRight w:val="0"/>
          <w:marTop w:val="200"/>
          <w:marBottom w:val="0"/>
          <w:divBdr>
            <w:top w:val="none" w:sz="0" w:space="0" w:color="auto"/>
            <w:left w:val="none" w:sz="0" w:space="0" w:color="auto"/>
            <w:bottom w:val="none" w:sz="0" w:space="0" w:color="auto"/>
            <w:right w:val="none" w:sz="0" w:space="0" w:color="auto"/>
          </w:divBdr>
        </w:div>
        <w:div w:id="1329212758">
          <w:marLeft w:val="907"/>
          <w:marRight w:val="0"/>
          <w:marTop w:val="200"/>
          <w:marBottom w:val="0"/>
          <w:divBdr>
            <w:top w:val="none" w:sz="0" w:space="0" w:color="auto"/>
            <w:left w:val="none" w:sz="0" w:space="0" w:color="auto"/>
            <w:bottom w:val="none" w:sz="0" w:space="0" w:color="auto"/>
            <w:right w:val="none" w:sz="0" w:space="0" w:color="auto"/>
          </w:divBdr>
        </w:div>
      </w:divsChild>
    </w:div>
    <w:div w:id="1442645756">
      <w:bodyDiv w:val="1"/>
      <w:marLeft w:val="0"/>
      <w:marRight w:val="0"/>
      <w:marTop w:val="0"/>
      <w:marBottom w:val="0"/>
      <w:divBdr>
        <w:top w:val="none" w:sz="0" w:space="0" w:color="auto"/>
        <w:left w:val="none" w:sz="0" w:space="0" w:color="auto"/>
        <w:bottom w:val="none" w:sz="0" w:space="0" w:color="auto"/>
        <w:right w:val="none" w:sz="0" w:space="0" w:color="auto"/>
      </w:divBdr>
    </w:div>
    <w:div w:id="1477260342">
      <w:bodyDiv w:val="1"/>
      <w:marLeft w:val="0"/>
      <w:marRight w:val="0"/>
      <w:marTop w:val="0"/>
      <w:marBottom w:val="0"/>
      <w:divBdr>
        <w:top w:val="none" w:sz="0" w:space="0" w:color="auto"/>
        <w:left w:val="none" w:sz="0" w:space="0" w:color="auto"/>
        <w:bottom w:val="none" w:sz="0" w:space="0" w:color="auto"/>
        <w:right w:val="none" w:sz="0" w:space="0" w:color="auto"/>
      </w:divBdr>
    </w:div>
    <w:div w:id="1671523532">
      <w:bodyDiv w:val="1"/>
      <w:marLeft w:val="0"/>
      <w:marRight w:val="0"/>
      <w:marTop w:val="0"/>
      <w:marBottom w:val="0"/>
      <w:divBdr>
        <w:top w:val="none" w:sz="0" w:space="0" w:color="auto"/>
        <w:left w:val="none" w:sz="0" w:space="0" w:color="auto"/>
        <w:bottom w:val="none" w:sz="0" w:space="0" w:color="auto"/>
        <w:right w:val="none" w:sz="0" w:space="0" w:color="auto"/>
      </w:divBdr>
    </w:div>
    <w:div w:id="1935818466">
      <w:bodyDiv w:val="1"/>
      <w:marLeft w:val="0"/>
      <w:marRight w:val="0"/>
      <w:marTop w:val="0"/>
      <w:marBottom w:val="0"/>
      <w:divBdr>
        <w:top w:val="none" w:sz="0" w:space="0" w:color="auto"/>
        <w:left w:val="none" w:sz="0" w:space="0" w:color="auto"/>
        <w:bottom w:val="none" w:sz="0" w:space="0" w:color="auto"/>
        <w:right w:val="none" w:sz="0" w:space="0" w:color="auto"/>
      </w:divBdr>
    </w:div>
    <w:div w:id="2043288359">
      <w:bodyDiv w:val="1"/>
      <w:marLeft w:val="0"/>
      <w:marRight w:val="0"/>
      <w:marTop w:val="0"/>
      <w:marBottom w:val="0"/>
      <w:divBdr>
        <w:top w:val="none" w:sz="0" w:space="0" w:color="auto"/>
        <w:left w:val="none" w:sz="0" w:space="0" w:color="auto"/>
        <w:bottom w:val="none" w:sz="0" w:space="0" w:color="auto"/>
        <w:right w:val="none" w:sz="0" w:space="0" w:color="auto"/>
      </w:divBdr>
    </w:div>
    <w:div w:id="2141260756">
      <w:bodyDiv w:val="1"/>
      <w:marLeft w:val="0"/>
      <w:marRight w:val="0"/>
      <w:marTop w:val="0"/>
      <w:marBottom w:val="0"/>
      <w:divBdr>
        <w:top w:val="none" w:sz="0" w:space="0" w:color="auto"/>
        <w:left w:val="none" w:sz="0" w:space="0" w:color="auto"/>
        <w:bottom w:val="none" w:sz="0" w:space="0" w:color="auto"/>
        <w:right w:val="none" w:sz="0" w:space="0" w:color="auto"/>
      </w:divBdr>
      <w:divsChild>
        <w:div w:id="473378831">
          <w:marLeft w:val="547"/>
          <w:marRight w:val="0"/>
          <w:marTop w:val="200"/>
          <w:marBottom w:val="0"/>
          <w:divBdr>
            <w:top w:val="none" w:sz="0" w:space="0" w:color="auto"/>
            <w:left w:val="none" w:sz="0" w:space="0" w:color="auto"/>
            <w:bottom w:val="none" w:sz="0" w:space="0" w:color="auto"/>
            <w:right w:val="none" w:sz="0" w:space="0" w:color="auto"/>
          </w:divBdr>
        </w:div>
        <w:div w:id="1300919371">
          <w:marLeft w:val="547"/>
          <w:marRight w:val="0"/>
          <w:marTop w:val="200"/>
          <w:marBottom w:val="0"/>
          <w:divBdr>
            <w:top w:val="none" w:sz="0" w:space="0" w:color="auto"/>
            <w:left w:val="none" w:sz="0" w:space="0" w:color="auto"/>
            <w:bottom w:val="none" w:sz="0" w:space="0" w:color="auto"/>
            <w:right w:val="none" w:sz="0" w:space="0" w:color="auto"/>
          </w:divBdr>
        </w:div>
        <w:div w:id="1544781367">
          <w:marLeft w:val="907"/>
          <w:marRight w:val="0"/>
          <w:marTop w:val="200"/>
          <w:marBottom w:val="0"/>
          <w:divBdr>
            <w:top w:val="none" w:sz="0" w:space="0" w:color="auto"/>
            <w:left w:val="none" w:sz="0" w:space="0" w:color="auto"/>
            <w:bottom w:val="none" w:sz="0" w:space="0" w:color="auto"/>
            <w:right w:val="none" w:sz="0" w:space="0" w:color="auto"/>
          </w:divBdr>
        </w:div>
        <w:div w:id="1436171939">
          <w:marLeft w:val="907"/>
          <w:marRight w:val="0"/>
          <w:marTop w:val="200"/>
          <w:marBottom w:val="0"/>
          <w:divBdr>
            <w:top w:val="none" w:sz="0" w:space="0" w:color="auto"/>
            <w:left w:val="none" w:sz="0" w:space="0" w:color="auto"/>
            <w:bottom w:val="none" w:sz="0" w:space="0" w:color="auto"/>
            <w:right w:val="none" w:sz="0" w:space="0" w:color="auto"/>
          </w:divBdr>
        </w:div>
        <w:div w:id="85762529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D72D8323497419D0B0D490876AA9F" ma:contentTypeVersion="15" ma:contentTypeDescription="Create a new document." ma:contentTypeScope="" ma:versionID="3a24465035cb8b25a2285c02f74eba9b">
  <xsd:schema xmlns:xsd="http://www.w3.org/2001/XMLSchema" xmlns:xs="http://www.w3.org/2001/XMLSchema" xmlns:p="http://schemas.microsoft.com/office/2006/metadata/properties" xmlns:ns2="http://schemas.microsoft.com/sharepoint/v3/fields" xmlns:ns3="9a0cca68-9885-4579-a121-0ff71e341cd0" targetNamespace="http://schemas.microsoft.com/office/2006/metadata/properties" ma:root="true" ma:fieldsID="6df0075af1bdf4a1181bb0cd339a45ba" ns2:_="" ns3:_="">
    <xsd:import namespace="http://schemas.microsoft.com/sharepoint/v3/fields"/>
    <xsd:import namespace="9a0cca68-9885-4579-a121-0ff71e341cd0"/>
    <xsd:element name="properties">
      <xsd:complexType>
        <xsd:sequence>
          <xsd:element name="documentManagement">
            <xsd:complexType>
              <xsd:all>
                <xsd:element ref="ns2:_DCDateCreated" minOccurs="0"/>
                <xsd:element ref="ns2:_Version"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ma:readOnly="false">
      <xsd:simpleType>
        <xsd:restriction base="dms:DateTime"/>
      </xsd:simpleType>
    </xsd:element>
    <xsd:element name="_Version" ma:index="3"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cca68-9885-4579-a121-0ff71e341cd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5.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_dlc_DocIdPersistId xmlns="9a0cca68-9885-4579-a121-0ff71e341cd0" xsi:nil="true"/>
    <_DCDateCreated xmlns="http://schemas.microsoft.com/sharepoint/v3/fields" xsi:nil="true"/>
    <_dlc_DocId xmlns="9a0cca68-9885-4579-a121-0ff71e341cd0">4HWPYYT6XAN2-2121337104-8393</_dlc_DocId>
    <_dlc_DocIdUrl xmlns="9a0cca68-9885-4579-a121-0ff71e341cd0">
      <Url>https://nsns-new.sg.iaea.org/meetings/_layouts/15/DocIdRedir.aspx?ID=4HWPYYT6XAN2-2121337104-8393</Url>
      <Description>4HWPYYT6XAN2-2121337104-8393</Description>
    </_dlc_DocIdUrl>
  </documentManagement>
</p:properties>
</file>

<file path=customXml/itemProps1.xml><?xml version="1.0" encoding="utf-8"?>
<ds:datastoreItem xmlns:ds="http://schemas.openxmlformats.org/officeDocument/2006/customXml" ds:itemID="{27BE94C2-5F68-4097-AF76-2524047BD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a0cca68-9885-4579-a121-0ff71e341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053951-862C-42BF-B886-50856CF0AEF5}">
  <ds:schemaRefs>
    <ds:schemaRef ds:uri="http://schemas.microsoft.com/sharepoint/events"/>
  </ds:schemaRefs>
</ds:datastoreItem>
</file>

<file path=customXml/itemProps3.xml><?xml version="1.0" encoding="utf-8"?>
<ds:datastoreItem xmlns:ds="http://schemas.openxmlformats.org/officeDocument/2006/customXml" ds:itemID="{C6D817FB-1837-4E6D-A5D5-156D5AC4FB5F}">
  <ds:schemaRefs>
    <ds:schemaRef ds:uri="http://schemas.microsoft.com/sharepoint/v3/contenttype/forms"/>
  </ds:schemaRefs>
</ds:datastoreItem>
</file>

<file path=customXml/itemProps4.xml><?xml version="1.0" encoding="utf-8"?>
<ds:datastoreItem xmlns:ds="http://schemas.openxmlformats.org/officeDocument/2006/customXml" ds:itemID="{76C0EB1B-2459-43CE-9F65-C989FA23CB2B}">
  <ds:schemaRefs>
    <ds:schemaRef ds:uri="http://schemas.openxmlformats.org/officeDocument/2006/bibliography"/>
  </ds:schemaRefs>
</ds:datastoreItem>
</file>

<file path=customXml/itemProps5.xml><?xml version="1.0" encoding="utf-8"?>
<ds:datastoreItem xmlns:ds="http://schemas.openxmlformats.org/officeDocument/2006/customXml" ds:itemID="{67A277B6-36A2-436B-8C92-9C32115A04DF}">
  <ds:schemaRefs>
    <ds:schemaRef ds:uri="http://schemas.microsoft.com/office/2006/metadata/properties"/>
    <ds:schemaRef ds:uri="http://schemas.microsoft.com/office/infopath/2007/PartnerControls"/>
    <ds:schemaRef ds:uri="http://schemas.microsoft.com/sharepoint/v3/fields"/>
    <ds:schemaRef ds:uri="9a0cca68-9885-4579-a121-0ff71e341cd0"/>
  </ds:schemaRefs>
</ds:datastoreItem>
</file>

<file path=docProps/app.xml><?xml version="1.0" encoding="utf-8"?>
<Properties xmlns="http://schemas.openxmlformats.org/officeDocument/2006/extended-properties" xmlns:vt="http://schemas.openxmlformats.org/officeDocument/2006/docPropsVTypes">
  <Template>IAEA Blank (r01).dotx</Template>
  <TotalTime>61</TotalTime>
  <Pages>7</Pages>
  <Words>3898</Words>
  <Characters>20544</Characters>
  <Application>Microsoft Office Word</Application>
  <DocSecurity>0</DocSecurity>
  <Lines>3424</Lines>
  <Paragraphs>2036</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Vasquez-Maignan, Ximena</cp:lastModifiedBy>
  <cp:revision>4</cp:revision>
  <cp:lastPrinted>2024-06-30T23:12:00Z</cp:lastPrinted>
  <dcterms:created xsi:type="dcterms:W3CDTF">2024-08-16T13:58:00Z</dcterms:created>
  <dcterms:modified xsi:type="dcterms:W3CDTF">2024-08-20T13:47:00Z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0x010100D90D72D8323497419D0B0D490876AA9F</vt:lpwstr>
  </property>
  <property fmtid="{D5CDD505-2E9C-101B-9397-08002B2CF9AE}" pid="12" name="_dlc_DocIdItemGuid">
    <vt:lpwstr>061d8fe4-c58e-48da-b299-db7bcc303392</vt:lpwstr>
  </property>
  <property fmtid="{D5CDD505-2E9C-101B-9397-08002B2CF9AE}" pid="13" name="WC_LAST_MODIFIED">
    <vt:lpwstr>9/11/2023 6:57:30 PM</vt:lpwstr>
  </property>
  <property fmtid="{D5CDD505-2E9C-101B-9397-08002B2CF9AE}" pid="14" name="NRT_DocNumber">
    <vt:lpwstr/>
  </property>
  <property fmtid="{D5CDD505-2E9C-101B-9397-08002B2CF9AE}" pid="15" name="NRT_DocVersion">
    <vt:lpwstr/>
  </property>
  <property fmtid="{D5CDD505-2E9C-101B-9397-08002B2CF9AE}" pid="16" name="NRT_DocName">
    <vt:lpwstr/>
  </property>
  <property fmtid="{D5CDD505-2E9C-101B-9397-08002B2CF9AE}" pid="17" name="NRT_AuthorDescription">
    <vt:lpwstr/>
  </property>
  <property fmtid="{D5CDD505-2E9C-101B-9397-08002B2CF9AE}" pid="18" name="NRT_Author">
    <vt:lpwstr/>
  </property>
  <property fmtid="{D5CDD505-2E9C-101B-9397-08002B2CF9AE}" pid="19" name="NRT_Operator">
    <vt:lpwstr/>
  </property>
  <property fmtid="{D5CDD505-2E9C-101B-9397-08002B2CF9AE}" pid="20" name="NRT_Database">
    <vt:lpwstr/>
  </property>
  <property fmtid="{D5CDD505-2E9C-101B-9397-08002B2CF9AE}" pid="21" name="NRT_ELITE_CLIENT">
    <vt:lpwstr/>
  </property>
  <property fmtid="{D5CDD505-2E9C-101B-9397-08002B2CF9AE}" pid="22" name="NRT_ELITE_MATTER">
    <vt:lpwstr/>
  </property>
  <property fmtid="{D5CDD505-2E9C-101B-9397-08002B2CF9AE}" pid="23" name="pDocRef">
    <vt:lpwstr/>
  </property>
  <property fmtid="{D5CDD505-2E9C-101B-9397-08002B2CF9AE}" pid="24" name="pDocNumber">
    <vt:lpwstr/>
  </property>
</Properties>
</file>