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4E" w:rsidRDefault="00ED5F4E" w:rsidP="00537496">
      <w:pPr>
        <w:pStyle w:val="Heading1"/>
      </w:pPr>
      <w:r w:rsidRPr="00ED5F4E">
        <w:t>Techno-Economic Analysis of SMR Cogeneration with Desalination: A Case Study in Türkiye</w:t>
      </w:r>
    </w:p>
    <w:p w:rsidR="00802381" w:rsidRDefault="00802381" w:rsidP="00537496">
      <w:pPr>
        <w:pStyle w:val="Authornameandaffiliation"/>
      </w:pPr>
    </w:p>
    <w:p w:rsidR="003B5E0E" w:rsidRDefault="00ED5F4E" w:rsidP="00537496">
      <w:pPr>
        <w:pStyle w:val="Authornameandaffiliation"/>
      </w:pPr>
      <w:r>
        <w:t>O.Y</w:t>
      </w:r>
      <w:r w:rsidR="00537496">
        <w:t>.</w:t>
      </w:r>
      <w:r>
        <w:t>KUTLU</w:t>
      </w:r>
    </w:p>
    <w:p w:rsidR="00FF386F" w:rsidRDefault="00ED5F4E" w:rsidP="00537496">
      <w:pPr>
        <w:pStyle w:val="Authornameandaffiliation"/>
      </w:pPr>
      <w:r>
        <w:t>Turkish Energy Nuclear and Mineral Research Agency</w:t>
      </w:r>
    </w:p>
    <w:p w:rsidR="00FF386F" w:rsidRDefault="00ED5F4E" w:rsidP="00537496">
      <w:pPr>
        <w:pStyle w:val="Authornameandaffiliation"/>
      </w:pPr>
      <w:r>
        <w:rPr>
          <w:lang w:val="tr-TR"/>
        </w:rPr>
        <w:t>Küçükçekmece</w:t>
      </w:r>
      <w:r w:rsidR="00FF386F">
        <w:t>/</w:t>
      </w:r>
      <w:r>
        <w:t>İstanbul</w:t>
      </w:r>
      <w:r w:rsidR="00FF386F">
        <w:t xml:space="preserve">, </w:t>
      </w:r>
      <w:r>
        <w:t>Türkiye</w:t>
      </w:r>
    </w:p>
    <w:p w:rsidR="00FF386F" w:rsidRDefault="00ED5F4E" w:rsidP="00537496">
      <w:pPr>
        <w:pStyle w:val="Authornameandaffiliation"/>
      </w:pPr>
      <w:r>
        <w:t>Email: osmanyucehan.kutlu@tenmak</w:t>
      </w:r>
      <w:r w:rsidR="00FF386F">
        <w:t>.</w:t>
      </w:r>
      <w:r>
        <w:t>gov.tr</w:t>
      </w:r>
    </w:p>
    <w:p w:rsidR="00FF386F" w:rsidRDefault="00FF386F" w:rsidP="00ED5F4E">
      <w:pPr>
        <w:pStyle w:val="Authornameandaffiliation"/>
        <w:ind w:left="0"/>
      </w:pPr>
    </w:p>
    <w:p w:rsidR="00FF386F" w:rsidRDefault="00FF386F" w:rsidP="00537496">
      <w:pPr>
        <w:pStyle w:val="Authornameandaffiliation"/>
      </w:pPr>
    </w:p>
    <w:p w:rsidR="00647F33" w:rsidRPr="00647F33" w:rsidRDefault="00647F33" w:rsidP="00537496">
      <w:pPr>
        <w:pStyle w:val="Authornameandaffiliation"/>
        <w:rPr>
          <w:b/>
        </w:rPr>
      </w:pPr>
      <w:r w:rsidRPr="00647F33">
        <w:rPr>
          <w:b/>
        </w:rPr>
        <w:t>Abstract</w:t>
      </w:r>
    </w:p>
    <w:p w:rsidR="00647F33" w:rsidRDefault="00647F33" w:rsidP="00537496">
      <w:pPr>
        <w:pStyle w:val="Authornameandaffiliation"/>
      </w:pPr>
    </w:p>
    <w:p w:rsidR="000A4DEE" w:rsidRDefault="000A4DEE" w:rsidP="00537496">
      <w:pPr>
        <w:pStyle w:val="Abstracttext"/>
      </w:pPr>
      <w:r w:rsidRPr="000A4DEE">
        <w:t>In the face of escalating global water scarcity, integrating Small Modular Reactors (SMRs) with desalination emerg</w:t>
      </w:r>
      <w:r>
        <w:t>es as a promising solution. The</w:t>
      </w:r>
      <w:r w:rsidRPr="000A4DEE">
        <w:t xml:space="preserve"> study assesses the feasibility and economic viability of SMRs for cogeneration with desalination, focusing on Türkiye</w:t>
      </w:r>
      <w:r>
        <w:t>.</w:t>
      </w:r>
      <w:r w:rsidR="00874CAF" w:rsidRPr="00874CAF">
        <w:t xml:space="preserve"> The paper investigates the SMR and desalination system coupling in technical and geological aspects.   Different desalination technologies a</w:t>
      </w:r>
      <w:r w:rsidR="00874CAF">
        <w:t>nalyzed for different locations.</w:t>
      </w:r>
      <w:r>
        <w:t xml:space="preserve"> In scope of the paper, three possible </w:t>
      </w:r>
      <w:r w:rsidR="00005434">
        <w:t>Nuclear Power Plant (</w:t>
      </w:r>
      <w:r>
        <w:t>NPP</w:t>
      </w:r>
      <w:r w:rsidR="00005434">
        <w:t>)</w:t>
      </w:r>
      <w:r>
        <w:t xml:space="preserve"> sites considered for SMR and desalination plant deployment. Two of these sites, Igneada and Sinop are at black sea coast whereas remaining site Akkuyu is</w:t>
      </w:r>
      <w:r w:rsidR="00D45298">
        <w:t xml:space="preserve"> at Mediterranean coast. </w:t>
      </w:r>
      <w:r w:rsidR="00B115B8">
        <w:t>Aim of the study is to find best option for d</w:t>
      </w:r>
      <w:r w:rsidR="00D45298">
        <w:t>esalination with SMR at these mentioned locations. For this purpose three diff</w:t>
      </w:r>
      <w:r w:rsidR="00005434">
        <w:t>erent desalination technologies; Multi Stage Flash (</w:t>
      </w:r>
      <w:r w:rsidR="00D45298">
        <w:t>MSF</w:t>
      </w:r>
      <w:r w:rsidR="00005434">
        <w:t>)</w:t>
      </w:r>
      <w:r w:rsidR="00D45298">
        <w:t>,</w:t>
      </w:r>
      <w:r w:rsidR="00005434">
        <w:t xml:space="preserve"> Multi Effect Distillation (</w:t>
      </w:r>
      <w:r w:rsidR="00D45298">
        <w:t>MED</w:t>
      </w:r>
      <w:r w:rsidR="00005434">
        <w:t>)</w:t>
      </w:r>
      <w:r w:rsidR="00D45298">
        <w:t xml:space="preserve"> and </w:t>
      </w:r>
      <w:r w:rsidR="00005434">
        <w:t>Reverse Osmosis (</w:t>
      </w:r>
      <w:r w:rsidR="00D45298">
        <w:t>RO</w:t>
      </w:r>
      <w:r w:rsidR="00005434">
        <w:t>)</w:t>
      </w:r>
      <w:r w:rsidR="00D45298">
        <w:t xml:space="preserve"> coupled with SMART SMR and economic performance was analyzed with DEEP software. Results showed that Black sea region offers better desalination economy than the Med</w:t>
      </w:r>
      <w:r w:rsidR="001C6C9C">
        <w:t>iterranean region. Thus RO offered</w:t>
      </w:r>
      <w:r w:rsidR="00D45298">
        <w:t xml:space="preserve"> the lowest water cost between </w:t>
      </w:r>
      <w:r w:rsidR="00874CAF">
        <w:t xml:space="preserve">coupled </w:t>
      </w:r>
      <w:r w:rsidR="00D45298">
        <w:t xml:space="preserve">desalination plants. </w:t>
      </w:r>
    </w:p>
    <w:p w:rsidR="00647F33" w:rsidRPr="00BD605C" w:rsidRDefault="00647F33" w:rsidP="00537496">
      <w:pPr>
        <w:pStyle w:val="Abstracttext"/>
      </w:pPr>
    </w:p>
    <w:p w:rsidR="00647F33" w:rsidRDefault="00F523CA" w:rsidP="00537496">
      <w:pPr>
        <w:pStyle w:val="Heading2"/>
        <w:numPr>
          <w:ilvl w:val="1"/>
          <w:numId w:val="10"/>
        </w:numPr>
      </w:pPr>
      <w:r>
        <w:t>INTRODUCTION</w:t>
      </w:r>
    </w:p>
    <w:p w:rsidR="00CA6EBA" w:rsidRDefault="002F3EF7" w:rsidP="00537496">
      <w:pPr>
        <w:pStyle w:val="BodyText"/>
      </w:pPr>
      <w:r>
        <w:t>In the face of global water scarcity, desalination technologies emerge as viable solution for world potable water need.</w:t>
      </w:r>
      <w:r w:rsidR="001979A5">
        <w:t xml:space="preserve"> Desalination is a power extensive process and using fossil fuelled energy sources causes increase in greenhouse gas </w:t>
      </w:r>
      <w:r w:rsidR="00005434">
        <w:t>emissions. Nuclear</w:t>
      </w:r>
      <w:r w:rsidR="00476794">
        <w:t xml:space="preserve"> d</w:t>
      </w:r>
      <w:r>
        <w:t xml:space="preserve">esalination </w:t>
      </w:r>
      <w:r w:rsidR="00476794">
        <w:t xml:space="preserve">is gaining interest as nuclear heat can replace the use of fossil fuels in </w:t>
      </w:r>
      <w:r w:rsidR="00CD615A">
        <w:t>energy</w:t>
      </w:r>
      <w:r w:rsidR="00476794">
        <w:t xml:space="preserve"> requirement of the desalination process. </w:t>
      </w:r>
      <w:r w:rsidR="00CD615A">
        <w:t>In nuclear desalination, potable water produced from sea water by using nuclear reactor as source of energy</w:t>
      </w:r>
      <w:r w:rsidR="007D12F2">
        <w:fldChar w:fldCharType="begin"/>
      </w:r>
      <w:r w:rsidR="00D5113D">
        <w:instrText xml:space="preserve"> ADDIN ZOTERO_ITEM CSL_CITATION {"citationID":"YnR99C5S","properties":{"formattedCitation":"[1]","plainCitation":"[1]","noteIndex":0},"citationItems":[{"id":954,"uris":["http://zotero.org/users/7292730/items/WB8H9FWI"],"itemData":{"id":954,"type":"book","collection-number":"400","collection-title":"Technical Reports Series","event-place":"Vienna","ISBN":"92-0-102400-2","publisher":"INTERNATIONAL ATOMIC ENERGY AGENCY","publisher-place":"Vienna","title":"Introduction of Nuclear Desalination","URL":"https://www.iaea.org/publications/5925/introduction-of-nuclear-desalination","issued":{"date-parts":[["2001"]]}}}],"schema":"https://github.com/citation-style-language/schema/raw/master/csl-citation.json"} </w:instrText>
      </w:r>
      <w:r w:rsidR="007D12F2">
        <w:fldChar w:fldCharType="separate"/>
      </w:r>
      <w:r w:rsidR="00B368B8" w:rsidRPr="00B368B8">
        <w:t>[1]</w:t>
      </w:r>
      <w:r w:rsidR="007D12F2">
        <w:fldChar w:fldCharType="end"/>
      </w:r>
      <w:r w:rsidR="00CD615A">
        <w:t>.</w:t>
      </w:r>
      <w:r w:rsidR="00E61985">
        <w:t xml:space="preserve"> </w:t>
      </w:r>
      <w:r w:rsidR="00983498">
        <w:t>Currently, small</w:t>
      </w:r>
      <w:r w:rsidR="00840EC6">
        <w:t xml:space="preserve"> modular reactors (SMRs) as a carbon free, reliable source of nuclear energy are</w:t>
      </w:r>
      <w:r w:rsidR="00650D3F">
        <w:t xml:space="preserve"> attracting attention in </w:t>
      </w:r>
      <w:r w:rsidR="00840EC6">
        <w:t xml:space="preserve">transition of fossil fuel energy sources. SMRs are innovative nuclear reactor that can produce power up to 300 MW(e). </w:t>
      </w:r>
      <w:r w:rsidR="00031BB2" w:rsidRPr="00031BB2">
        <w:t>More than 80 commercial designs for Small Modular Reactors (SMRs) ar</w:t>
      </w:r>
      <w:bookmarkStart w:id="0" w:name="_GoBack"/>
      <w:bookmarkEnd w:id="0"/>
      <w:r w:rsidR="00031BB2" w:rsidRPr="00031BB2">
        <w:t>e presently in development worldwide, with the aim of fulfilling various needs and applications, including electricity generation, hybrid energy systems, heating, water desalination, and industrial steam production.</w:t>
      </w:r>
      <w:r w:rsidR="007D12F2">
        <w:fldChar w:fldCharType="begin"/>
      </w:r>
      <w:r w:rsidR="00D5113D">
        <w:instrText xml:space="preserve"> ADDIN ZOTERO_ITEM CSL_CITATION {"citationID":"nrAPFsW7","properties":{"formattedCitation":"[2]","plainCitation":"[2]","noteIndex":0},"citationItems":[{"id":950,"uris":["http://zotero.org/users/7292730/items/X88RKVMG"],"itemData":{"id":950,"type":"webpage","abstract":"Small modular reactors (SMRs) are advanced nuclear reactors that have a power capacity of up to 300 MW(e) per unit, which is about one-third of the generating capacity of traditional nuclear power reactors.","genre":"Text","language":"en","note":"publisher: IAEA","title":"What are Small Modular Reactors (SMRs)?","URL":"https://www.iaea.org/newscenter/news/what-are-small-modular-reactors-smrs","accessed":{"date-parts":[["2024",5,29]]},"issued":{"date-parts":[["2023",9,13]]}}}],"schema":"https://github.com/citation-style-language/schema/raw/master/csl-citation.json"} </w:instrText>
      </w:r>
      <w:r w:rsidR="007D12F2">
        <w:fldChar w:fldCharType="separate"/>
      </w:r>
      <w:r w:rsidR="00E368FB" w:rsidRPr="00E368FB">
        <w:t>[2]</w:t>
      </w:r>
      <w:r w:rsidR="007D12F2">
        <w:fldChar w:fldCharType="end"/>
      </w:r>
      <w:r w:rsidR="00840EC6">
        <w:t>.</w:t>
      </w:r>
      <w:r w:rsidR="00355535">
        <w:t xml:space="preserve"> Desalination as a coupling option is viable alternative for countries with water </w:t>
      </w:r>
      <w:r w:rsidR="00D5113D">
        <w:t>scarcity. Several</w:t>
      </w:r>
      <w:r w:rsidR="00E368FB">
        <w:t xml:space="preserve"> studies assessed the technical and </w:t>
      </w:r>
      <w:r w:rsidR="005C2A02">
        <w:t>economic</w:t>
      </w:r>
      <w:r w:rsidR="00E368FB">
        <w:t xml:space="preserve"> performance of </w:t>
      </w:r>
      <w:r w:rsidR="00616864">
        <w:t xml:space="preserve">nuclear </w:t>
      </w:r>
      <w:r w:rsidR="00E368FB">
        <w:t xml:space="preserve">desalination with SMRs </w:t>
      </w:r>
      <w:r w:rsidR="007D12F2">
        <w:fldChar w:fldCharType="begin"/>
      </w:r>
      <w:r w:rsidR="00D5113D">
        <w:instrText xml:space="preserve"> ADDIN ZOTERO_ITEM CSL_CITATION {"citationID":"gKzQ93BE","properties":{"formattedCitation":"[3], [4], [5]","plainCitation":"[3], [4], [5]","noteIndex":0},"citationItems":[{"id":149,"uris":["http://zotero.org/users/7292730/items/IGU95ALI"],"itemData":{"id":149,"type":"article-journal","abstract":"The worldwide demand for potable water has been steadily growing and is projected to accelerate while natural reserves of fresh water are generally ﬂat or diminishing. Desalination of seawater or brackish groundwater is expected to make up the difference; however, the desalination of water is energy intensive, requiring large amounts of electricity and/or thermal energy. Nuclear energy is an attractive option for large scale desalination application since the thermal energy produced in a nuclear plant can provide both electricity and heat for clean water production without the emission of greenhouse gases or the variability of renewable sources. A particularly attractive option for nuclear desalination is to couple a desalination plant with a new generation of designs — small modular reactors. The NuScale small modular reactor design is especially well suited for the cogeneration of electricity and clean water because of the enhanced safety, improved affordability, and deployment ﬂexibilities of the plant design, which provides a cost-effective approach to expanding global desalination capacity. Parametric studies were performed to evaluate the technical and economic considerations of coupling a NuScale plant to a variety of different desalination technologies. The study concludes that although a NuScale plant coupled to a reverse osmosis desalination plant provides the most favorable economics, NuScale design features offer several ﬂexibilities for coupling to thermal distillation plants and hybrid plant conﬁgurations.","container-title":"Desalination","DOI":"10.1016/j.desal.2014.02.023","ISSN":"00119164","journalAbbreviation":"Desalination","language":"en","page":"84-93","source":"DOI.org (Crossref)","title":"NuScale small modular reactor for Co-generation of electricity and water","volume":"340","author":[{"family":"Ingersoll","given":"D.T."},{"family":"Houghton","given":"Z.J."},{"family":"Bromm","given":"R."},{"family":"Desportes","given":"C."}],"issued":{"date-parts":[["2014",5]]}}},{"id":943,"uris":["http://zotero.org/users/7292730/items/AV7XD9DP"],"itemData":{"id":943,"type":"article-journal","abstract":"In the existing nuclear power plants, almost 60 to 70% of produced heat in the reactor is released to the ambient through the condenser, which can be used as the feedwater of reverse osmosis (RO) desalination plants. Although increasing the temperature of RO feedwater improves the overall performance, the quality of produced water decreases. This difficulty can be solved by blending the high-quality water produced by thermal desalination plants (DPs) with RO products. However, supplying the required energy for driving the thermal DP needs to consume a huge amount of fossil fuel, which is contrary to net zero-emission goals. In this study, three different scenarios, based on the solar plant (SP) (scenario 1), small modular reactor (SMR) (scenario 2), and the hybrid SMR-SP (scenario 3) for supplying the required energy of DP have been suggested. According to the techno-economic evaluation conducted in this study, using the SMR as the auxiliary heat source of the SP in the third scenario can be considered as a promising technology, which is associated with several benefits. However, the average water cost in scenario 2 is 66 centm3, which almost 8.5 and 5% is less than scenarios 1 and 3, respectively.","container-title":"Desalination","DOI":"10.1016/j.desal.2021.115476","ISSN":"0011-9164","journalAbbreviation":"Desalination","page":"115476","source":"ScienceDirect","title":"Towards net-zero emissions through the hybrid SMR-solar cogeneration plant equipped with modular PCM storage system for seawater desalination","volume":"524","author":[{"family":"Sadeghi","given":"Khashayar"},{"family":"Ghazaie","given":"Seyed Hadi"},{"family":"Chebac","given":"Riccardo"},{"family":"Sokolova","given":"Ekaterina"},{"family":"Fedorovich","given":"Evgeniy"},{"family":"Cammi","given":"Antonio"},{"family":"Ricotti","given":"Marco Enrico"},{"family":"Shirani","given":"Amir Saeed"}],"issued":{"date-parts":[["2022",2,15]]}}},{"id":942,"uris":["http://zotero.org/users/7292730/items/CQSE4XM9"],"itemData":{"id":942,"type":"article-journal","abstract":"The aim of the paper is to assess the feasibility of nuclear desalination, which will be obtained using both electricity and heat generated by nuclear power plant to remove salt and minerals from seawater. The integration of a water desalination plant into a small and modular nuclear power plant is described by considering a combination of a variety of seawater desalination co-generation configurations/ techniques (thermal or membrane in single or hybrid mode) to show they are successfully coupled with SMRs (of different types) to produce water and electricity at different scales. Running SMRs as base load plants is more economical and simpler than requiring them to follow load. Therefore, in a cogeneration mode and while grid load is low, they may run at full capacity even if their capacity exceeds water demands. The proposed solution was numerically investigated from both thermodynamic and economic points of view using the Desalination Economic Evaluation Program (DEEP) software made available by the IAEA. The study highlights the role of factors such as site characteristics, plant capacity, feed/product-water quality, energy costs, in affecting the economics of desalination regardless of the energy source used. The economics of nuclear desalination has been found to be competitive with other desalination techniques driven by other sources of energy. Results show that e.g., for an average per capita electricity consumption of 4.7 MWh/year and 80.3 m3/year of water, the CAREM25 reactor coupled to a desalination plant could produce electricity for 35,000 inhabitants and water for domestic use for 200,000 inhabitants.","container-title":"Nuclear Engineering and Design","DOI":"10.1016/j.nucengdes.2023.112897","ISSN":"0029-5493","journalAbbreviation":"Nuclear Engineering and Design","page":"112897","source":"ScienceDirect","title":"Feasibility study of desalination plant powered by SMR","volume":"418","author":[{"family":"Buzzetti","given":"Renato"},{"family":"Lo Frano","given":"Rosa"},{"family":"Cancemi","given":"Angelo Salvatore"}],"issued":{"date-parts":[["2024",3,1]]}}}],"schema":"https://github.com/citation-style-language/schema/raw/master/csl-citation.json"} </w:instrText>
      </w:r>
      <w:r w:rsidR="007D12F2">
        <w:fldChar w:fldCharType="separate"/>
      </w:r>
      <w:r w:rsidR="00E368FB" w:rsidRPr="00E368FB">
        <w:t>[3], [4], [5]</w:t>
      </w:r>
      <w:r w:rsidR="007D12F2">
        <w:fldChar w:fldCharType="end"/>
      </w:r>
      <w:r w:rsidR="00E368FB">
        <w:t xml:space="preserve">. </w:t>
      </w:r>
      <w:r w:rsidR="00741ABD">
        <w:t xml:space="preserve">These researches highlight the potential benefit of desalination with SMR for their focus locations. The </w:t>
      </w:r>
      <w:r w:rsidR="00E61985">
        <w:t>paper considers different coupling options for the selected SMR type and assesses</w:t>
      </w:r>
      <w:r w:rsidR="00741ABD">
        <w:t xml:space="preserve"> the potential locations for the deployment in Türkiye with regard to water production cost.</w:t>
      </w:r>
    </w:p>
    <w:p w:rsidR="00CA6EBA" w:rsidRDefault="00CA6EBA" w:rsidP="00537496">
      <w:pPr>
        <w:pStyle w:val="BodyText"/>
      </w:pPr>
    </w:p>
    <w:p w:rsidR="00E25B68" w:rsidRDefault="00CA6EBA" w:rsidP="0026525A">
      <w:pPr>
        <w:pStyle w:val="Heading2"/>
        <w:numPr>
          <w:ilvl w:val="1"/>
          <w:numId w:val="10"/>
        </w:numPr>
      </w:pPr>
      <w:r>
        <w:t xml:space="preserve">smr deployment locations </w:t>
      </w:r>
    </w:p>
    <w:p w:rsidR="00815CB3" w:rsidRDefault="00D5113D" w:rsidP="00DF0B01">
      <w:pPr>
        <w:pStyle w:val="BodyText"/>
      </w:pPr>
      <w:r w:rsidRPr="00D5113D">
        <w:t>Efficiency of Desalination can be affected by conditions of the location such as water stress, high water costs and natural parameters (sea water salinity and temperature). For instance, energy intensity of membrane process can be decreased by high water temperatures and low water salinity</w:t>
      </w:r>
      <w:r>
        <w:fldChar w:fldCharType="begin"/>
      </w:r>
      <w:r>
        <w:instrText xml:space="preserve"> ADDIN ZOTERO_ITEM CSL_CITATION {"citationID":"pInZo5OA","properties":{"formattedCitation":"[6]","plainCitation":"[6]","noteIndex":0},"citationItems":[{"id":967,"uris":["http://zotero.org/users/7292730/items/8WS8P2CN"],"itemData":{"id":967,"type":"article-journal","abstract":"Global water planners are increasingly considering seawater desalination as an alternative to traditional freshwater supplies. Since desalination is both expensive and energy intensive, taking advantage of favorable natural and societal conditions while siting desalination facilities can provide significant financial and environmental returns. Currently, policy makers do not use a location-specific integrated analytical framework to determine where natural and societal conditions are conducive to desalination. This analysis seeks to fill that gap by demonstrating a multi-criteria, geographically-resolved methodology for identifying suitable regions for desalination infrastructure where 1) available renewable resources can offset part of the fossil energy load; 2) feedwater characteristics reduce the total energy needed for desalination; and 3) human populations have capacity and willingness to pay for desalinated water. This work demonstrates the method with a quantitative global analysis that identifies favorable sites for solar-aided seawater reverse osmosis desalination (SWRO) based on specific target criteria. Location-based data about natural conditions (solar insolation, ocean salinity, and ocean temperature) are integrated and mapped with social indicators (water stress, prevailing water prices, and population) to identify regions where solar-aided SWRO has the highest potential. This work concludes that water-stressed tropical and subtropical cities show the highest potential for economically sustainable solar-aided SWRO.","container-title":"Desalination","DOI":"10.1016/j.desal.2014.02.004","ISSN":"0011-9164","journalAbbreviation":"Desalination","page":"10-17","title":"Where does solar-aided seawater desalination make sense? A method for identifying sustainable sites","volume":"339","author":[{"family":"Grubert","given":"Emily A."},{"family":"Stillwell","given":"Ashlynn S."},{"family":"Webber","given":"Michael E."}],"issued":{"date-parts":[["2014",4,15]]}}}],"schema":"https://github.com/citation-style-language/schema/raw/master/csl-citation.json"} </w:instrText>
      </w:r>
      <w:r>
        <w:fldChar w:fldCharType="separate"/>
      </w:r>
      <w:r w:rsidRPr="00D5113D">
        <w:t>[6]</w:t>
      </w:r>
      <w:r>
        <w:fldChar w:fldCharType="end"/>
      </w:r>
      <w:r>
        <w:t xml:space="preserve">. </w:t>
      </w:r>
      <w:r w:rsidR="00DF0B01">
        <w:t xml:space="preserve">Location of the SMR site affect the efficiency of the desalination </w:t>
      </w:r>
      <w:r>
        <w:t>plant</w:t>
      </w:r>
      <w:r w:rsidR="00DF0B01">
        <w:t xml:space="preserve"> coupled in SMR </w:t>
      </w:r>
      <w:r>
        <w:t>if</w:t>
      </w:r>
      <w:r w:rsidR="00DF0B01">
        <w:t xml:space="preserve"> </w:t>
      </w:r>
      <w:r>
        <w:t xml:space="preserve">the natural conditions of the location are different. </w:t>
      </w:r>
      <w:r w:rsidR="00DF0B01">
        <w:t xml:space="preserve">Therefore a detailed analysis must be made in location selection process to have better desalination efficiency. </w:t>
      </w:r>
      <w:r w:rsidR="00815CB3" w:rsidRPr="00815CB3">
        <w:t>Türkiye borders three different seas: the Black Sea to the north, the Aegean Sea to the west, and the Mediterranean Sea to the south, covering the country. The Black Sea water has lower salinity and average temperature compared to the seawater of the Mediterranean and Aegean Seas.</w:t>
      </w:r>
    </w:p>
    <w:p w:rsidR="00541C64" w:rsidRDefault="00DF0B01" w:rsidP="00DF0B01">
      <w:pPr>
        <w:pStyle w:val="BodyText"/>
      </w:pPr>
      <w:r>
        <w:t xml:space="preserve">In scope of this paper, three locations were selected for deployment of a SMR </w:t>
      </w:r>
      <w:r w:rsidR="006439EF">
        <w:t xml:space="preserve">coupled </w:t>
      </w:r>
      <w:r>
        <w:t xml:space="preserve">with desalination system. </w:t>
      </w:r>
      <w:r w:rsidR="006439EF">
        <w:t xml:space="preserve">Akkuyu, Sinop and Igneada are the nuclear power plant locations in consideration at </w:t>
      </w:r>
      <w:r w:rsidR="00F66417">
        <w:t>Türkiye</w:t>
      </w:r>
      <w:r w:rsidR="006439EF">
        <w:t xml:space="preserve">. Akkuyu </w:t>
      </w:r>
      <w:r w:rsidR="00541C64">
        <w:t xml:space="preserve">site </w:t>
      </w:r>
      <w:r w:rsidR="00302925">
        <w:t>has already housing a VVER-1200</w:t>
      </w:r>
      <w:r w:rsidR="00541C64">
        <w:t xml:space="preserve"> nuclear power plant close to commissioning, Sinop site is</w:t>
      </w:r>
      <w:r w:rsidR="006439EF">
        <w:t xml:space="preserve"> already </w:t>
      </w:r>
      <w:r w:rsidR="00005434">
        <w:lastRenderedPageBreak/>
        <w:t>licensed</w:t>
      </w:r>
      <w:r w:rsidR="006439EF">
        <w:t xml:space="preserve"> for NPP and </w:t>
      </w:r>
      <w:r w:rsidR="00E61985">
        <w:t>discussions for Igneada are</w:t>
      </w:r>
      <w:r w:rsidR="006439EF">
        <w:t xml:space="preserve"> in progress. </w:t>
      </w:r>
      <w:r w:rsidR="00F66417">
        <w:t xml:space="preserve">Fig. </w:t>
      </w:r>
      <w:r w:rsidR="00541C64">
        <w:t>1</w:t>
      </w:r>
      <w:r w:rsidR="00F66417">
        <w:t>.</w:t>
      </w:r>
      <w:r w:rsidR="00541C64">
        <w:t xml:space="preserve"> shows</w:t>
      </w:r>
      <w:r w:rsidR="00F66417">
        <w:t xml:space="preserve"> the</w:t>
      </w:r>
      <w:r w:rsidR="00541C64">
        <w:t xml:space="preserve"> locations of these sites where water intake conducted for desalination systems.</w:t>
      </w:r>
    </w:p>
    <w:p w:rsidR="00F66417" w:rsidRDefault="00F66417" w:rsidP="00F66417">
      <w:pPr>
        <w:pStyle w:val="BodyText"/>
      </w:pPr>
    </w:p>
    <w:p w:rsidR="00F66417" w:rsidRDefault="00F66417" w:rsidP="00F66417">
      <w:pPr>
        <w:pStyle w:val="BodyText"/>
      </w:pPr>
      <w:r>
        <w:rPr>
          <w:rFonts w:ascii="Arial" w:hAnsi="Arial" w:cs="Arial"/>
          <w:noProof/>
          <w:color w:val="000000"/>
          <w:sz w:val="22"/>
          <w:szCs w:val="22"/>
          <w:bdr w:val="none" w:sz="0" w:space="0" w:color="auto" w:frame="1"/>
          <w:lang w:val="tr-TR" w:eastAsia="tr-TR"/>
        </w:rPr>
        <w:drawing>
          <wp:inline distT="0" distB="0" distL="0" distR="0">
            <wp:extent cx="4695874" cy="2200940"/>
            <wp:effectExtent l="0" t="0" r="0" b="8890"/>
            <wp:docPr id="3" name="Resim 3" descr="https://lh7-us.googleusercontent.com/8fcExGV6FQkHyRJRMAdSkF-kWBd3GwLSApRjxGiVKOmn7oa5RnH2E-SNLX059uekx0wlBVDbeXB2Ri0j7cMyldwolOamt15LWGwEQRdYVfzTsgQNwLXC-DEYHt9hcg1VC6v916m39F5cnUeBucIvv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8fcExGV6FQkHyRJRMAdSkF-kWBd3GwLSApRjxGiVKOmn7oa5RnH2E-SNLX059uekx0wlBVDbeXB2Ri0j7cMyldwolOamt15LWGwEQRdYVfzTsgQNwLXC-DEYHt9hcg1VC6v916m39F5cnUeBucIvvF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8146" cy="2202005"/>
                    </a:xfrm>
                    <a:prstGeom prst="rect">
                      <a:avLst/>
                    </a:prstGeom>
                    <a:noFill/>
                    <a:ln>
                      <a:noFill/>
                    </a:ln>
                  </pic:spPr>
                </pic:pic>
              </a:graphicData>
            </a:graphic>
          </wp:inline>
        </w:drawing>
      </w:r>
    </w:p>
    <w:p w:rsidR="00F66417" w:rsidRDefault="007D12F2" w:rsidP="00F66417">
      <w:pPr>
        <w:pStyle w:val="BodyText"/>
      </w:pPr>
      <w:r w:rsidRPr="007D12F2">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1.8pt;margin-top:13.35pt;width:304.2pt;height:14.6pt;z-index:25166643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" stroked="f">
            <v:path arrowok="t"/>
            <v:textbox style="mso-fit-shape-to-text:t" inset="0,0,0,0">
              <w:txbxContent>
                <w:p w:rsidR="00F66417" w:rsidRPr="00802381" w:rsidRDefault="00F66417" w:rsidP="00F66417">
                  <w:pPr>
                    <w:pStyle w:val="Caption"/>
                    <w:jc w:val="center"/>
                    <w:rPr>
                      <w:i/>
                      <w:sz w:val="20"/>
                    </w:rPr>
                  </w:pPr>
                  <w:r w:rsidRPr="00802381">
                    <w:rPr>
                      <w:i/>
                    </w:rPr>
                    <w:t xml:space="preserve">FIG. </w:t>
                  </w:r>
                  <w:r w:rsidR="007D12F2" w:rsidRPr="00802381">
                    <w:rPr>
                      <w:i/>
                    </w:rPr>
                    <w:fldChar w:fldCharType="begin"/>
                  </w:r>
                  <w:r w:rsidRPr="00802381">
                    <w:rPr>
                      <w:i/>
                    </w:rPr>
                    <w:instrText xml:space="preserve"> SEQ Figure \* ARABIC </w:instrText>
                  </w:r>
                  <w:r w:rsidR="007D12F2" w:rsidRPr="00802381">
                    <w:rPr>
                      <w:i/>
                    </w:rPr>
                    <w:fldChar w:fldCharType="separate"/>
                  </w:r>
                  <w:r w:rsidR="006A5F49">
                    <w:rPr>
                      <w:i/>
                      <w:noProof/>
                    </w:rPr>
                    <w:t>1</w:t>
                  </w:r>
                  <w:r w:rsidR="007D12F2" w:rsidRPr="00802381">
                    <w:rPr>
                      <w:i/>
                    </w:rPr>
                    <w:fldChar w:fldCharType="end"/>
                  </w:r>
                  <w:r>
                    <w:rPr>
                      <w:i/>
                    </w:rPr>
                    <w:t xml:space="preserve">. </w:t>
                  </w:r>
                  <w:r w:rsidR="00E04B8C">
                    <w:rPr>
                      <w:i/>
                    </w:rPr>
                    <w:t>Desalination locations (Red: Akkuyu, Blue: Igneada, Black: Sinop)</w:t>
                  </w:r>
                </w:p>
              </w:txbxContent>
            </v:textbox>
            <w10:wrap type="topAndBottom" anchorx="margin"/>
          </v:shape>
        </w:pict>
      </w:r>
    </w:p>
    <w:p w:rsidR="00541C64" w:rsidRDefault="00541C64" w:rsidP="00DF0B01">
      <w:pPr>
        <w:pStyle w:val="BodyText"/>
      </w:pPr>
    </w:p>
    <w:p w:rsidR="00541C64" w:rsidRDefault="000E3C2D" w:rsidP="00541C64">
      <w:pPr>
        <w:pStyle w:val="BodyText"/>
      </w:pPr>
      <w:r>
        <w:t xml:space="preserve">Average seawater temperature and salinity distributions of these locations </w:t>
      </w:r>
      <w:r w:rsidR="00E61985">
        <w:t>are retrieved</w:t>
      </w:r>
      <w:r w:rsidR="00FB2787">
        <w:t xml:space="preserve"> from NASA satellite image system with using </w:t>
      </w:r>
      <w:r w:rsidR="00E61985">
        <w:t>Google</w:t>
      </w:r>
      <w:r w:rsidR="00FB2787">
        <w:t xml:space="preserve"> earth engine (gee)</w:t>
      </w:r>
      <w:r w:rsidR="007D12F2">
        <w:fldChar w:fldCharType="begin"/>
      </w:r>
      <w:r w:rsidR="00D5113D">
        <w:instrText xml:space="preserve"> ADDIN ZOTERO_ITEM CSL_CITATION {"citationID":"3KjC54RX","properties":{"formattedCitation":"[7], [8]","plainCitation":"[7], [8]","noteIndex":0},"citationItems":[{"id":960,"uris":["http://zotero.org/users/7292730/items/TLKPRL6M"],"itemData":{"id":960,"type":"article-journal","language":"en","title":"GCOM-C/SGLI Sea Surface Temperature (SST) ATBD","author":[{"family":"Kurihara","given":"Yukio"}],"issued":{"date-parts":[["2021"]]}}},{"id":959,"uris":["http://zotero.org/users/7292730/items/I4P2Z2SH"],"itemData":{"id":959,"type":"chapter","abstract":"A fully three dimensional, multivariate, variational ocean data assimilation system has been developed that produces simultaneous analyses of temperature, salinity, geopotential and vector velocity. The analysis is run in real-time and is being evaluated as the data assimilation component of the Hybrid Coordinate Ocean Model (HYCOM) forecast system at the U.S. Naval Oceanographic Office. Global prediction of the ocean weather requires that the ocean model is run at very high resolution. Currently, global HYCOM is executed at 1/12 degree resolution ( </w:instrText>
      </w:r>
      <w:r w:rsidR="00D5113D">
        <w:rPr>
          <w:rFonts w:ascii="Cambria Math" w:hAnsi="Cambria Math" w:cs="Cambria Math"/>
        </w:rPr>
        <w:instrText>∼</w:instrText>
      </w:r>
      <w:r w:rsidR="00D5113D">
        <w:instrText xml:space="preserve"> 7 km mid-latitude grid mesh), with plans to move to a 1/25 degree resolution grid in the near future ( </w:instrText>
      </w:r>
      <w:r w:rsidR="00D5113D">
        <w:rPr>
          <w:rFonts w:ascii="Cambria Math" w:hAnsi="Cambria Math" w:cs="Cambria Math"/>
        </w:rPr>
        <w:instrText>∼</w:instrText>
      </w:r>
      <w:r w:rsidR="00D5113D">
        <w:instrText xml:space="preserve"> 3 km mid-latitude grid mesh). These high resolution global grids present challenges for the analysis given the huge model state vector and the ever increasing number of satellite and in situ ocean observations available for the assimilation. In this paper the development and evaluation of the new oceanographic three-dimensional variational (3DVAR) data assimilation is described. Special emphasis is placed on documenting the capabilities built into the 3DVAR to make the system efficient for use in global HYCOM.","container-title":"Data Assimilation for Atmospheric, Oceanic and Hydrologic Applications (Vol. II)","event-place":"Berlin, Heidelberg","ISBN":"978-3-642-35088-7","note":"DOI: 10.1007/978-3-642-35088-7_13","page":"303–343","publisher":"Springer Berlin Heidelberg","publisher-place":"Berlin, Heidelberg","title":"Variational Data Assimilation for the Global Ocean","URL":"https://doi.org/10.1007/978-3-642-35088-7_13","author":[{"family":"Cummings","given":"James A."},{"family":"Smedstad","given":"Ole Martin"}],"editor":[{"family":"Park","given":"Seon Ki"},{"family":"Xu","given":"Liang"}],"issued":{"date-parts":[["2013"]]}}}],"schema":"https://github.com/citation-style-language/schema/raw/master/csl-citation.json"} </w:instrText>
      </w:r>
      <w:r w:rsidR="007D12F2">
        <w:fldChar w:fldCharType="separate"/>
      </w:r>
      <w:r w:rsidR="00D5113D" w:rsidRPr="00D5113D">
        <w:t>[7], [8]</w:t>
      </w:r>
      <w:r w:rsidR="007D12F2">
        <w:fldChar w:fldCharType="end"/>
      </w:r>
      <w:r w:rsidR="00FB2787">
        <w:t>. Each location has a different salinity but salinity values are nearly constant during the year</w:t>
      </w:r>
      <w:r w:rsidR="00541C64">
        <w:t xml:space="preserve">. Mediterranean Sea is </w:t>
      </w:r>
      <w:r w:rsidR="00DD53D0">
        <w:t xml:space="preserve">a </w:t>
      </w:r>
      <w:r w:rsidR="00541C64">
        <w:t xml:space="preserve">salty sea and seawater at Akkuyu coast is quite salty </w:t>
      </w:r>
      <w:r>
        <w:t>comparing</w:t>
      </w:r>
      <w:r w:rsidR="00541C64">
        <w:t xml:space="preserve"> the seawater at other locations. Tabl</w:t>
      </w:r>
      <w:r w:rsidR="00E04B8C">
        <w:t xml:space="preserve">e </w:t>
      </w:r>
      <w:r w:rsidR="00541C64">
        <w:t>1</w:t>
      </w:r>
      <w:r w:rsidR="00E04B8C">
        <w:t>.</w:t>
      </w:r>
      <w:r w:rsidR="00541C64">
        <w:t xml:space="preserve"> shows the yea</w:t>
      </w:r>
      <w:r w:rsidR="00624ED9">
        <w:t xml:space="preserve">rly average seawater salinity </w:t>
      </w:r>
      <w:r w:rsidR="00361890">
        <w:t xml:space="preserve">and seawater surface temperature </w:t>
      </w:r>
      <w:r w:rsidR="00624ED9">
        <w:t>values for each site.</w:t>
      </w:r>
    </w:p>
    <w:p w:rsidR="00F66417" w:rsidRDefault="00F66417" w:rsidP="00541C64">
      <w:pPr>
        <w:pStyle w:val="BodyText"/>
      </w:pPr>
    </w:p>
    <w:p w:rsidR="00F66417" w:rsidRDefault="00F66417" w:rsidP="00F66417">
      <w:pPr>
        <w:pStyle w:val="BodyText"/>
        <w:ind w:firstLine="0"/>
      </w:pPr>
      <w:r>
        <w:t>TABLE 1.</w:t>
      </w:r>
      <w:r>
        <w:tab/>
      </w:r>
      <w:r w:rsidR="00E04B8C">
        <w:t>Yearly average salinity and seawater temperature values.</w:t>
      </w:r>
    </w:p>
    <w:p w:rsidR="00F66417" w:rsidRDefault="00F66417" w:rsidP="00F66417">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741"/>
        <w:gridCol w:w="1741"/>
        <w:gridCol w:w="1742"/>
      </w:tblGrid>
      <w:tr w:rsidR="00F66417" w:rsidTr="003504B3">
        <w:trPr>
          <w:jc w:val="center"/>
        </w:trPr>
        <w:tc>
          <w:tcPr>
            <w:tcW w:w="1741" w:type="dxa"/>
            <w:tcBorders>
              <w:top w:val="single" w:sz="4" w:space="0" w:color="auto"/>
              <w:bottom w:val="single" w:sz="4" w:space="0" w:color="auto"/>
            </w:tcBorders>
          </w:tcPr>
          <w:p w:rsidR="00F66417" w:rsidRDefault="00F66417" w:rsidP="00F66417">
            <w:pPr>
              <w:pStyle w:val="BodyText"/>
              <w:ind w:firstLine="0"/>
            </w:pPr>
            <w:r>
              <w:t>Site</w:t>
            </w:r>
          </w:p>
        </w:tc>
        <w:tc>
          <w:tcPr>
            <w:tcW w:w="1741" w:type="dxa"/>
            <w:tcBorders>
              <w:top w:val="single" w:sz="4" w:space="0" w:color="auto"/>
              <w:bottom w:val="single" w:sz="4" w:space="0" w:color="auto"/>
            </w:tcBorders>
          </w:tcPr>
          <w:p w:rsidR="00F66417" w:rsidRDefault="00F66417" w:rsidP="003504B3">
            <w:pPr>
              <w:pStyle w:val="BodyText"/>
              <w:ind w:firstLine="0"/>
              <w:jc w:val="center"/>
            </w:pPr>
            <w:r>
              <w:t xml:space="preserve">Salinity </w:t>
            </w:r>
            <w:r w:rsidR="00E04B8C">
              <w:t>[psu]</w:t>
            </w:r>
          </w:p>
        </w:tc>
        <w:tc>
          <w:tcPr>
            <w:tcW w:w="1742" w:type="dxa"/>
            <w:tcBorders>
              <w:top w:val="single" w:sz="4" w:space="0" w:color="auto"/>
              <w:bottom w:val="single" w:sz="4" w:space="0" w:color="auto"/>
            </w:tcBorders>
          </w:tcPr>
          <w:p w:rsidR="00F66417" w:rsidRPr="00F66417" w:rsidRDefault="00F66417" w:rsidP="00E04B8C">
            <w:pPr>
              <w:pStyle w:val="BodyText"/>
              <w:ind w:firstLine="0"/>
              <w:jc w:val="center"/>
              <w:rPr>
                <w:sz w:val="22"/>
              </w:rPr>
            </w:pPr>
            <w:r>
              <w:t>Sea</w:t>
            </w:r>
            <w:r w:rsidR="00E04B8C">
              <w:t>w</w:t>
            </w:r>
            <w:r>
              <w:t>ater Temp[C</w:t>
            </w:r>
            <w:r>
              <w:rPr>
                <w:sz w:val="22"/>
              </w:rPr>
              <w:t>]</w:t>
            </w:r>
          </w:p>
        </w:tc>
      </w:tr>
      <w:tr w:rsidR="00F66417" w:rsidTr="003504B3">
        <w:trPr>
          <w:jc w:val="center"/>
        </w:trPr>
        <w:tc>
          <w:tcPr>
            <w:tcW w:w="1741" w:type="dxa"/>
            <w:tcBorders>
              <w:top w:val="single" w:sz="4" w:space="0" w:color="auto"/>
            </w:tcBorders>
          </w:tcPr>
          <w:p w:rsidR="00F66417" w:rsidRDefault="00F66417" w:rsidP="003504B3">
            <w:pPr>
              <w:pStyle w:val="BodyText"/>
              <w:ind w:firstLine="0"/>
            </w:pPr>
            <w:r>
              <w:rPr>
                <w:rStyle w:val="TabletextChar"/>
              </w:rPr>
              <w:t>Akkuyu</w:t>
            </w:r>
          </w:p>
        </w:tc>
        <w:tc>
          <w:tcPr>
            <w:tcW w:w="1741" w:type="dxa"/>
            <w:tcBorders>
              <w:top w:val="single" w:sz="4" w:space="0" w:color="auto"/>
            </w:tcBorders>
          </w:tcPr>
          <w:p w:rsidR="00F66417" w:rsidRDefault="00E04B8C" w:rsidP="003504B3">
            <w:pPr>
              <w:pStyle w:val="BodyText"/>
              <w:ind w:firstLine="0"/>
              <w:jc w:val="center"/>
            </w:pPr>
            <w:r>
              <w:t>39.15</w:t>
            </w:r>
          </w:p>
        </w:tc>
        <w:tc>
          <w:tcPr>
            <w:tcW w:w="1742" w:type="dxa"/>
            <w:tcBorders>
              <w:top w:val="single" w:sz="4" w:space="0" w:color="auto"/>
            </w:tcBorders>
          </w:tcPr>
          <w:p w:rsidR="00F66417" w:rsidRDefault="00E04B8C" w:rsidP="003504B3">
            <w:pPr>
              <w:pStyle w:val="BodyText"/>
              <w:ind w:firstLine="0"/>
              <w:jc w:val="center"/>
            </w:pPr>
            <w:r>
              <w:t>24.04</w:t>
            </w:r>
          </w:p>
        </w:tc>
      </w:tr>
      <w:tr w:rsidR="00F66417" w:rsidTr="003504B3">
        <w:trPr>
          <w:jc w:val="center"/>
        </w:trPr>
        <w:tc>
          <w:tcPr>
            <w:tcW w:w="1741" w:type="dxa"/>
          </w:tcPr>
          <w:p w:rsidR="00F66417" w:rsidRDefault="00F66417" w:rsidP="003504B3">
            <w:pPr>
              <w:pStyle w:val="BodyText"/>
              <w:ind w:firstLine="0"/>
            </w:pPr>
            <w:r>
              <w:t>Igneada</w:t>
            </w:r>
          </w:p>
        </w:tc>
        <w:tc>
          <w:tcPr>
            <w:tcW w:w="1741" w:type="dxa"/>
          </w:tcPr>
          <w:p w:rsidR="00F66417" w:rsidRDefault="00E04B8C" w:rsidP="003504B3">
            <w:pPr>
              <w:pStyle w:val="BodyText"/>
              <w:ind w:firstLine="0"/>
              <w:jc w:val="center"/>
            </w:pPr>
            <w:r>
              <w:t>18.77</w:t>
            </w:r>
          </w:p>
        </w:tc>
        <w:tc>
          <w:tcPr>
            <w:tcW w:w="1742" w:type="dxa"/>
          </w:tcPr>
          <w:p w:rsidR="00F66417" w:rsidRDefault="00E04B8C" w:rsidP="003504B3">
            <w:pPr>
              <w:pStyle w:val="BodyText"/>
              <w:ind w:firstLine="0"/>
              <w:jc w:val="center"/>
            </w:pPr>
            <w:r>
              <w:t>18.99</w:t>
            </w:r>
          </w:p>
        </w:tc>
      </w:tr>
      <w:tr w:rsidR="00F66417" w:rsidTr="003504B3">
        <w:trPr>
          <w:jc w:val="center"/>
        </w:trPr>
        <w:tc>
          <w:tcPr>
            <w:tcW w:w="1741" w:type="dxa"/>
          </w:tcPr>
          <w:p w:rsidR="00F66417" w:rsidRDefault="00F66417" w:rsidP="003504B3">
            <w:pPr>
              <w:pStyle w:val="BodyText"/>
              <w:ind w:firstLine="0"/>
            </w:pPr>
            <w:r>
              <w:t>Sinop</w:t>
            </w:r>
          </w:p>
        </w:tc>
        <w:tc>
          <w:tcPr>
            <w:tcW w:w="1741" w:type="dxa"/>
          </w:tcPr>
          <w:p w:rsidR="00F66417" w:rsidRDefault="00E04B8C" w:rsidP="003504B3">
            <w:pPr>
              <w:pStyle w:val="BodyText"/>
              <w:ind w:firstLine="0"/>
              <w:jc w:val="center"/>
            </w:pPr>
            <w:r>
              <w:t>18.48</w:t>
            </w:r>
          </w:p>
        </w:tc>
        <w:tc>
          <w:tcPr>
            <w:tcW w:w="1742" w:type="dxa"/>
          </w:tcPr>
          <w:p w:rsidR="00F66417" w:rsidRDefault="00E04B8C" w:rsidP="003504B3">
            <w:pPr>
              <w:pStyle w:val="BodyText"/>
              <w:ind w:firstLine="0"/>
              <w:jc w:val="center"/>
            </w:pPr>
            <w:r>
              <w:t>19.48</w:t>
            </w:r>
          </w:p>
        </w:tc>
      </w:tr>
    </w:tbl>
    <w:p w:rsidR="005D1C02" w:rsidRPr="00EE0041" w:rsidRDefault="005D1C02" w:rsidP="00541C64">
      <w:pPr>
        <w:pStyle w:val="BodyText"/>
      </w:pPr>
    </w:p>
    <w:p w:rsidR="00361890" w:rsidRDefault="00361890" w:rsidP="00361890">
      <w:pPr>
        <w:pStyle w:val="BodyText"/>
      </w:pPr>
      <w:r>
        <w:t xml:space="preserve">Distribution of daily averaged sea surface temperature values for each site over year 2022 was presented at </w:t>
      </w:r>
      <w:r w:rsidR="00F66417">
        <w:t xml:space="preserve">Fig. </w:t>
      </w:r>
      <w:r>
        <w:t xml:space="preserve">2. Yearly averaged values </w:t>
      </w:r>
      <w:r w:rsidR="00874CAF">
        <w:t xml:space="preserve">for 2022 </w:t>
      </w:r>
      <w:r>
        <w:t>were used in the analysis. Further analysis</w:t>
      </w:r>
      <w:r w:rsidR="005D1C02">
        <w:t xml:space="preserve"> concerning </w:t>
      </w:r>
      <w:r w:rsidR="00F66417">
        <w:t xml:space="preserve">a better </w:t>
      </w:r>
      <w:r w:rsidR="005D1C02">
        <w:t xml:space="preserve">economical dispatch could use hourly temperature values for assessment of economic performance. </w:t>
      </w:r>
    </w:p>
    <w:p w:rsidR="00DF0B01" w:rsidRDefault="00DF0B01" w:rsidP="00537496">
      <w:pPr>
        <w:pStyle w:val="BodyText"/>
      </w:pPr>
    </w:p>
    <w:p w:rsidR="00F66417" w:rsidRDefault="007D12F2" w:rsidP="00537496">
      <w:pPr>
        <w:pStyle w:val="BodyText"/>
      </w:pPr>
      <w:r w:rsidRPr="007D12F2">
        <w:rPr>
          <w:noProof/>
          <w:lang w:val="en-US"/>
        </w:rPr>
        <w:pict>
          <v:shape id="_x0000_s1027" type="#_x0000_t202" style="position:absolute;left:0;text-align:left;margin-left:29.2pt;margin-top:222.3pt;width:330.75pt;height:14.6pt;z-index:25166438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" stroked="f">
            <v:path arrowok="t"/>
            <v:textbox style="mso-fit-shape-to-text:t" inset="0,0,0,0">
              <w:txbxContent>
                <w:p w:rsidR="00F66417" w:rsidRPr="00802381" w:rsidRDefault="00F66417" w:rsidP="00F66417">
                  <w:pPr>
                    <w:pStyle w:val="Caption"/>
                    <w:jc w:val="center"/>
                    <w:rPr>
                      <w:i/>
                      <w:sz w:val="20"/>
                    </w:rPr>
                  </w:pPr>
                  <w:r w:rsidRPr="00802381">
                    <w:rPr>
                      <w:i/>
                    </w:rPr>
                    <w:t xml:space="preserve">FIG. </w:t>
                  </w:r>
                  <w:r w:rsidR="007D12F2" w:rsidRPr="00802381">
                    <w:rPr>
                      <w:i/>
                    </w:rPr>
                    <w:fldChar w:fldCharType="begin"/>
                  </w:r>
                  <w:r w:rsidRPr="00802381">
                    <w:rPr>
                      <w:i/>
                    </w:rPr>
                    <w:instrText xml:space="preserve"> SEQ Figure \* ARABIC </w:instrText>
                  </w:r>
                  <w:r w:rsidR="007D12F2" w:rsidRPr="00802381">
                    <w:rPr>
                      <w:i/>
                    </w:rPr>
                    <w:fldChar w:fldCharType="separate"/>
                  </w:r>
                  <w:r w:rsidR="006A5F49">
                    <w:rPr>
                      <w:i/>
                      <w:noProof/>
                    </w:rPr>
                    <w:t>2</w:t>
                  </w:r>
                  <w:r w:rsidR="007D12F2" w:rsidRPr="00802381">
                    <w:rPr>
                      <w:i/>
                    </w:rPr>
                    <w:fldChar w:fldCharType="end"/>
                  </w:r>
                  <w:r>
                    <w:rPr>
                      <w:i/>
                    </w:rPr>
                    <w:t xml:space="preserve">. </w:t>
                  </w:r>
                  <w:r w:rsidR="005C6701">
                    <w:rPr>
                      <w:i/>
                    </w:rPr>
                    <w:t>Daily averaged seawater surface temperatures for year 2022 in deployment sites</w:t>
                  </w:r>
                  <w:r>
                    <w:rPr>
                      <w:i/>
                    </w:rPr>
                    <w:t>.</w:t>
                  </w:r>
                </w:p>
              </w:txbxContent>
            </v:textbox>
            <w10:wrap type="topAndBottom" anchorx="margin"/>
          </v:shape>
        </w:pict>
      </w:r>
      <w:r w:rsidR="00F66417">
        <w:rPr>
          <w:rFonts w:ascii="Arial" w:hAnsi="Arial" w:cs="Arial"/>
          <w:noProof/>
          <w:color w:val="000000"/>
          <w:sz w:val="22"/>
          <w:szCs w:val="22"/>
          <w:bdr w:val="none" w:sz="0" w:space="0" w:color="auto" w:frame="1"/>
          <w:lang w:val="tr-TR" w:eastAsia="tr-TR"/>
        </w:rPr>
        <w:drawing>
          <wp:inline distT="0" distB="0" distL="0" distR="0">
            <wp:extent cx="3912781" cy="2736856"/>
            <wp:effectExtent l="0" t="0" r="0" b="6350"/>
            <wp:docPr id="5" name="Resim 5" descr="https://lh7-us.googleusercontent.com/Xt-TcX7aIxLuWJNAwK4oPq7UAx-9PSGpL4OjpGMywMuP1Y_Bg-e620H0Dffwgvas9BqkRVVLyKW797-ho8vtpxehMXhhgtlgSUoVeVVCb2QJJqTXnW0ldsH0Y8jbexR71G8IXLpI6agDk67HGtFR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Xt-TcX7aIxLuWJNAwK4oPq7UAx-9PSGpL4OjpGMywMuP1Y_Bg-e620H0Dffwgvas9BqkRVVLyKW797-ho8vtpxehMXhhgtlgSUoVeVVCb2QJJqTXnW0ldsH0Y8jbexR71G8IXLpI6agDk67HGtFRw-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5765" cy="2745938"/>
                    </a:xfrm>
                    <a:prstGeom prst="rect">
                      <a:avLst/>
                    </a:prstGeom>
                    <a:noFill/>
                    <a:ln>
                      <a:noFill/>
                    </a:ln>
                  </pic:spPr>
                </pic:pic>
              </a:graphicData>
            </a:graphic>
          </wp:inline>
        </w:drawing>
      </w:r>
    </w:p>
    <w:p w:rsidR="00CE1A85" w:rsidRDefault="00320AA7" w:rsidP="00537496">
      <w:pPr>
        <w:pStyle w:val="Heading2"/>
      </w:pPr>
      <w:r>
        <w:lastRenderedPageBreak/>
        <w:t>system overview</w:t>
      </w:r>
    </w:p>
    <w:p w:rsidR="00CE1A85" w:rsidRDefault="00CE1A85" w:rsidP="00CE1A85">
      <w:pPr>
        <w:pStyle w:val="Heading3"/>
      </w:pPr>
      <w:r>
        <w:t xml:space="preserve">SMR </w:t>
      </w:r>
    </w:p>
    <w:p w:rsidR="00CE1A85" w:rsidRDefault="00CE1A85" w:rsidP="00CE1A85">
      <w:pPr>
        <w:pStyle w:val="BodyText"/>
      </w:pPr>
      <w:r>
        <w:t xml:space="preserve">In the analysis a light water </w:t>
      </w:r>
      <w:r w:rsidR="0068605F">
        <w:t xml:space="preserve">pressurized small modular </w:t>
      </w:r>
      <w:r w:rsidR="000E3C2D">
        <w:t>reactor; System</w:t>
      </w:r>
      <w:r w:rsidR="0068605F">
        <w:t xml:space="preserve"> Integrated Modular Advanced Reactor (</w:t>
      </w:r>
      <w:r>
        <w:t>SMART</w:t>
      </w:r>
      <w:r w:rsidR="0068605F">
        <w:t>)</w:t>
      </w:r>
      <w:r>
        <w:t xml:space="preserve"> is chosen regarding its </w:t>
      </w:r>
      <w:r w:rsidR="0068605F">
        <w:t>availability to multi-pur</w:t>
      </w:r>
      <w:r w:rsidR="005C6701">
        <w:t>pose applications including sea</w:t>
      </w:r>
      <w:r w:rsidR="0068605F">
        <w:t xml:space="preserve">water </w:t>
      </w:r>
      <w:r w:rsidR="005C6701">
        <w:t xml:space="preserve">desalination. </w:t>
      </w:r>
      <w:r w:rsidR="00EE6651">
        <w:t>SMART power plant data that has been used in calculations is shown in the Table 2.</w:t>
      </w:r>
    </w:p>
    <w:p w:rsidR="00EE6651" w:rsidRDefault="00EE6651" w:rsidP="00CE1A85">
      <w:pPr>
        <w:pStyle w:val="BodyText"/>
      </w:pPr>
    </w:p>
    <w:p w:rsidR="00EE6651" w:rsidRDefault="00EE6651" w:rsidP="00EE6651">
      <w:pPr>
        <w:pStyle w:val="BodyText"/>
        <w:ind w:firstLine="0"/>
      </w:pPr>
      <w:r>
        <w:t>TABLE 2.</w:t>
      </w:r>
      <w:r>
        <w:tab/>
        <w:t xml:space="preserve">SMART </w:t>
      </w:r>
      <w:r w:rsidR="001146F1">
        <w:t>SMR parameters for economical evaluation</w:t>
      </w:r>
      <w:r w:rsidR="007D12F2">
        <w:fldChar w:fldCharType="begin"/>
      </w:r>
      <w:r w:rsidR="00D5113D">
        <w:instrText xml:space="preserve"> ADDIN ZOTERO_ITEM CSL_CITATION {"citationID":"cBEJiuNh","properties":{"formattedCitation":"[5]","plainCitation":"[5]","noteIndex":0},"citationItems":[{"id":942,"uris":["http://zotero.org/users/7292730/items/CQSE4XM9"],"itemData":{"id":942,"type":"article-journal","abstract":"The aim of the paper is to assess the feasibility of nuclear desalination, which will be obtained using both electricity and heat generated by nuclear power plant to remove salt and minerals from seawater. The integration of a water desalination plant into a small and modular nuclear power plant is described by considering a combination of a variety of seawater desalination co-generation configurations/ techniques (thermal or membrane in single or hybrid mode) to show they are successfully coupled with SMRs (of different types) to produce water and electricity at different scales. Running SMRs as base load plants is more economical and simpler than requiring them to follow load. Therefore, in a cogeneration mode and while grid load is low, they may run at full capacity even if their capacity exceeds water demands. The proposed solution was numerically investigated from both thermodynamic and economic points of view using the Desalination Economic Evaluation Program (DEEP) software made available by the IAEA. The study highlights the role of factors such as site characteristics, plant capacity, feed/product-water quality, energy costs, in affecting the economics of desalination regardless of the energy source used. The economics of nuclear desalination has been found to be competitive with other desalination techniques driven by other sources of energy. Results show that e.g., for an average per capita electricity consumption of 4.7 MWh/year and 80.3 m3/year of water, the CAREM25 reactor coupled to a desalination plant could produce electricity for 35,000 inhabitants and water for domestic use for 200,000 inhabitants.","container-title":"Nuclear Engineering and Design","DOI":"10.1016/j.nucengdes.2023.112897","ISSN":"0029-5493","journalAbbreviation":"Nuclear Engineering and Design","page":"112897","source":"ScienceDirect","title":"Feasibility study of desalination plant powered by SMR","volume":"418","author":[{"family":"Buzzetti","given":"Renato"},{"family":"Lo Frano","given":"Rosa"},{"family":"Cancemi","given":"Angelo Salvatore"}],"issued":{"date-parts":[["2024",3,1]]}}}],"schema":"https://github.com/citation-style-language/schema/raw/master/csl-citation.json"} </w:instrText>
      </w:r>
      <w:r w:rsidR="007D12F2">
        <w:fldChar w:fldCharType="separate"/>
      </w:r>
      <w:r w:rsidR="001146F1" w:rsidRPr="001146F1">
        <w:t>[5]</w:t>
      </w:r>
      <w:r w:rsidR="007D12F2">
        <w:fldChar w:fldCharType="end"/>
      </w:r>
      <w:r w:rsidR="001146F1">
        <w:t>.</w:t>
      </w:r>
    </w:p>
    <w:p w:rsidR="00EE6651" w:rsidRDefault="00EE6651" w:rsidP="00EE6651">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3110"/>
        <w:gridCol w:w="3110"/>
      </w:tblGrid>
      <w:tr w:rsidR="00485101" w:rsidTr="00485101">
        <w:trPr>
          <w:trHeight w:val="208"/>
          <w:jc w:val="center"/>
        </w:trPr>
        <w:tc>
          <w:tcPr>
            <w:tcW w:w="3110" w:type="dxa"/>
            <w:tcBorders>
              <w:top w:val="single" w:sz="4" w:space="0" w:color="auto"/>
              <w:bottom w:val="single" w:sz="4" w:space="0" w:color="auto"/>
            </w:tcBorders>
          </w:tcPr>
          <w:p w:rsidR="00485101" w:rsidRDefault="00485101" w:rsidP="003504B3">
            <w:pPr>
              <w:pStyle w:val="BodyText"/>
              <w:ind w:firstLine="0"/>
            </w:pPr>
            <w:r>
              <w:t>Parameter</w:t>
            </w:r>
          </w:p>
        </w:tc>
        <w:tc>
          <w:tcPr>
            <w:tcW w:w="3110" w:type="dxa"/>
            <w:tcBorders>
              <w:top w:val="single" w:sz="4" w:space="0" w:color="auto"/>
              <w:bottom w:val="single" w:sz="4" w:space="0" w:color="auto"/>
            </w:tcBorders>
          </w:tcPr>
          <w:p w:rsidR="00485101" w:rsidRDefault="00485101" w:rsidP="003504B3">
            <w:pPr>
              <w:pStyle w:val="BodyText"/>
              <w:ind w:firstLine="0"/>
              <w:jc w:val="center"/>
            </w:pPr>
            <w:r>
              <w:t>Value</w:t>
            </w:r>
          </w:p>
        </w:tc>
      </w:tr>
      <w:tr w:rsidR="00485101" w:rsidTr="00485101">
        <w:trPr>
          <w:trHeight w:val="305"/>
          <w:jc w:val="center"/>
        </w:trPr>
        <w:tc>
          <w:tcPr>
            <w:tcW w:w="3110" w:type="dxa"/>
            <w:tcBorders>
              <w:top w:val="single" w:sz="4" w:space="0" w:color="auto"/>
            </w:tcBorders>
          </w:tcPr>
          <w:p w:rsidR="001146F1" w:rsidRDefault="00485101" w:rsidP="003504B3">
            <w:pPr>
              <w:pStyle w:val="BodyText"/>
              <w:ind w:firstLine="0"/>
            </w:pPr>
            <w:r w:rsidRPr="00485101">
              <w:t>Main Steam Temperature [C]</w:t>
            </w:r>
          </w:p>
          <w:p w:rsidR="00485101" w:rsidRDefault="001146F1" w:rsidP="003504B3">
            <w:pPr>
              <w:pStyle w:val="BodyText"/>
              <w:ind w:firstLine="0"/>
            </w:pPr>
            <w:r>
              <w:t>Net Efficiency[%]</w:t>
            </w:r>
          </w:p>
        </w:tc>
        <w:tc>
          <w:tcPr>
            <w:tcW w:w="3110" w:type="dxa"/>
            <w:tcBorders>
              <w:top w:val="single" w:sz="4" w:space="0" w:color="auto"/>
            </w:tcBorders>
          </w:tcPr>
          <w:p w:rsidR="00485101" w:rsidRDefault="00485101" w:rsidP="003504B3">
            <w:pPr>
              <w:pStyle w:val="BodyText"/>
              <w:ind w:firstLine="0"/>
              <w:jc w:val="center"/>
            </w:pPr>
            <w:r>
              <w:t>296</w:t>
            </w:r>
          </w:p>
          <w:p w:rsidR="001146F1" w:rsidRDefault="001146F1" w:rsidP="003504B3">
            <w:pPr>
              <w:pStyle w:val="BodyText"/>
              <w:ind w:firstLine="0"/>
              <w:jc w:val="center"/>
            </w:pPr>
            <w:r>
              <w:t>32</w:t>
            </w:r>
          </w:p>
        </w:tc>
      </w:tr>
      <w:tr w:rsidR="00485101" w:rsidTr="00485101">
        <w:trPr>
          <w:trHeight w:val="208"/>
          <w:jc w:val="center"/>
        </w:trPr>
        <w:tc>
          <w:tcPr>
            <w:tcW w:w="3110" w:type="dxa"/>
          </w:tcPr>
          <w:p w:rsidR="00485101" w:rsidRDefault="00485101" w:rsidP="003504B3">
            <w:pPr>
              <w:pStyle w:val="BodyText"/>
              <w:ind w:firstLine="0"/>
            </w:pPr>
            <w:r>
              <w:t>Auxiliary loads [%]</w:t>
            </w:r>
          </w:p>
        </w:tc>
        <w:tc>
          <w:tcPr>
            <w:tcW w:w="3110" w:type="dxa"/>
          </w:tcPr>
          <w:p w:rsidR="00485101" w:rsidRDefault="00485101" w:rsidP="003504B3">
            <w:pPr>
              <w:pStyle w:val="BodyText"/>
              <w:ind w:firstLine="0"/>
              <w:jc w:val="center"/>
            </w:pPr>
            <w:r>
              <w:t>5.3</w:t>
            </w:r>
          </w:p>
        </w:tc>
      </w:tr>
      <w:tr w:rsidR="00485101" w:rsidTr="00485101">
        <w:trPr>
          <w:trHeight w:val="208"/>
          <w:jc w:val="center"/>
        </w:trPr>
        <w:tc>
          <w:tcPr>
            <w:tcW w:w="3110" w:type="dxa"/>
          </w:tcPr>
          <w:p w:rsidR="00485101" w:rsidRDefault="00485101" w:rsidP="003504B3">
            <w:pPr>
              <w:pStyle w:val="BodyText"/>
              <w:ind w:firstLine="0"/>
            </w:pPr>
            <w:r>
              <w:t>Specific Construction Cost [$/kW]</w:t>
            </w:r>
          </w:p>
        </w:tc>
        <w:tc>
          <w:tcPr>
            <w:tcW w:w="3110" w:type="dxa"/>
          </w:tcPr>
          <w:p w:rsidR="00485101" w:rsidRDefault="00485101" w:rsidP="003504B3">
            <w:pPr>
              <w:pStyle w:val="BodyText"/>
              <w:ind w:firstLine="0"/>
              <w:jc w:val="center"/>
            </w:pPr>
            <w:r>
              <w:t>1714</w:t>
            </w:r>
          </w:p>
        </w:tc>
      </w:tr>
      <w:tr w:rsidR="00485101" w:rsidTr="00485101">
        <w:trPr>
          <w:trHeight w:val="208"/>
          <w:jc w:val="center"/>
        </w:trPr>
        <w:tc>
          <w:tcPr>
            <w:tcW w:w="3110" w:type="dxa"/>
          </w:tcPr>
          <w:p w:rsidR="00485101" w:rsidRDefault="00485101" w:rsidP="003504B3">
            <w:pPr>
              <w:pStyle w:val="BodyText"/>
              <w:ind w:firstLine="0"/>
            </w:pPr>
            <w:r>
              <w:t>Specific Fuel Cost [$/kW]</w:t>
            </w:r>
          </w:p>
        </w:tc>
        <w:tc>
          <w:tcPr>
            <w:tcW w:w="3110" w:type="dxa"/>
          </w:tcPr>
          <w:p w:rsidR="00485101" w:rsidRDefault="00485101" w:rsidP="003504B3">
            <w:pPr>
              <w:pStyle w:val="BodyText"/>
              <w:ind w:firstLine="0"/>
              <w:jc w:val="center"/>
            </w:pPr>
            <w:r>
              <w:t>8</w:t>
            </w:r>
          </w:p>
        </w:tc>
      </w:tr>
      <w:tr w:rsidR="00485101" w:rsidTr="00485101">
        <w:trPr>
          <w:trHeight w:val="208"/>
          <w:jc w:val="center"/>
        </w:trPr>
        <w:tc>
          <w:tcPr>
            <w:tcW w:w="3110" w:type="dxa"/>
          </w:tcPr>
          <w:p w:rsidR="00485101" w:rsidRDefault="00485101" w:rsidP="003504B3">
            <w:pPr>
              <w:pStyle w:val="BodyText"/>
              <w:ind w:firstLine="0"/>
            </w:pPr>
            <w:r>
              <w:t>Specific O&amp;M Cost [$/kW]</w:t>
            </w:r>
          </w:p>
        </w:tc>
        <w:tc>
          <w:tcPr>
            <w:tcW w:w="3110" w:type="dxa"/>
          </w:tcPr>
          <w:p w:rsidR="00485101" w:rsidRDefault="00485101" w:rsidP="003504B3">
            <w:pPr>
              <w:pStyle w:val="BodyText"/>
              <w:ind w:firstLine="0"/>
              <w:jc w:val="center"/>
            </w:pPr>
            <w:r>
              <w:t>5.59</w:t>
            </w:r>
          </w:p>
        </w:tc>
      </w:tr>
      <w:tr w:rsidR="001146F1" w:rsidTr="00485101">
        <w:trPr>
          <w:trHeight w:val="208"/>
          <w:jc w:val="center"/>
        </w:trPr>
        <w:tc>
          <w:tcPr>
            <w:tcW w:w="3110" w:type="dxa"/>
          </w:tcPr>
          <w:p w:rsidR="001146F1" w:rsidRDefault="001146F1" w:rsidP="003504B3">
            <w:pPr>
              <w:pStyle w:val="BodyText"/>
              <w:ind w:firstLine="0"/>
            </w:pPr>
            <w:r>
              <w:t>Discount rate [%]</w:t>
            </w:r>
          </w:p>
        </w:tc>
        <w:tc>
          <w:tcPr>
            <w:tcW w:w="3110" w:type="dxa"/>
          </w:tcPr>
          <w:p w:rsidR="001146F1" w:rsidRDefault="001146F1" w:rsidP="003504B3">
            <w:pPr>
              <w:pStyle w:val="BodyText"/>
              <w:ind w:firstLine="0"/>
              <w:jc w:val="center"/>
            </w:pPr>
            <w:r>
              <w:t>6</w:t>
            </w:r>
          </w:p>
        </w:tc>
      </w:tr>
      <w:tr w:rsidR="001146F1" w:rsidTr="00485101">
        <w:trPr>
          <w:trHeight w:val="208"/>
          <w:jc w:val="center"/>
        </w:trPr>
        <w:tc>
          <w:tcPr>
            <w:tcW w:w="3110" w:type="dxa"/>
          </w:tcPr>
          <w:p w:rsidR="001146F1" w:rsidRDefault="001146F1" w:rsidP="003504B3">
            <w:pPr>
              <w:pStyle w:val="BodyText"/>
              <w:ind w:firstLine="0"/>
            </w:pPr>
            <w:r>
              <w:t>Interest rate [%]</w:t>
            </w:r>
          </w:p>
        </w:tc>
        <w:tc>
          <w:tcPr>
            <w:tcW w:w="3110" w:type="dxa"/>
          </w:tcPr>
          <w:p w:rsidR="001146F1" w:rsidRDefault="001146F1" w:rsidP="003504B3">
            <w:pPr>
              <w:pStyle w:val="BodyText"/>
              <w:ind w:firstLine="0"/>
              <w:jc w:val="center"/>
            </w:pPr>
            <w:r>
              <w:t>6</w:t>
            </w:r>
          </w:p>
        </w:tc>
      </w:tr>
    </w:tbl>
    <w:p w:rsidR="00CE1A85" w:rsidRPr="00CE1A85" w:rsidRDefault="00CE1A85" w:rsidP="00CE1A85">
      <w:pPr>
        <w:pStyle w:val="BodyText"/>
      </w:pPr>
    </w:p>
    <w:p w:rsidR="0068605F" w:rsidRDefault="0068605F" w:rsidP="0068605F">
      <w:pPr>
        <w:pStyle w:val="Heading3"/>
      </w:pPr>
      <w:r>
        <w:t>Desalination Plants</w:t>
      </w:r>
    </w:p>
    <w:p w:rsidR="000E3C2D" w:rsidRDefault="00B368B8" w:rsidP="00F40106">
      <w:pPr>
        <w:pStyle w:val="BodyText"/>
      </w:pPr>
      <w:r>
        <w:t xml:space="preserve">Commercial seawater desalination processes that are proven and reliable for large scale freshwater production are multi-stage flash (MSF) and multi-effect distillation (MED) for evaporative desalination and reverse osmosis (RO) for membrane </w:t>
      </w:r>
      <w:r w:rsidR="00D06F01">
        <w:t xml:space="preserve">desalination. </w:t>
      </w:r>
      <w:r w:rsidR="00F40106">
        <w:t xml:space="preserve">MSF and MED desalinate water through evaporation and condensation, RO uses osmotic membranes separation of the salt from the water </w:t>
      </w:r>
      <w:r w:rsidR="007D12F2">
        <w:fldChar w:fldCharType="begin"/>
      </w:r>
      <w:r w:rsidR="00D5113D">
        <w:instrText xml:space="preserve"> ADDIN ZOTERO_ITEM CSL_CITATION {"citationID":"7ivdZFtu","properties":{"formattedCitation":"[1]","plainCitation":"[1]","noteIndex":0},"citationItems":[{"id":954,"uris":["http://zotero.org/users/7292730/items/WB8H9FWI"],"itemData":{"id":954,"type":"book","collection-number":"400","collection-title":"Technical Reports Series","event-place":"Vienna","ISBN":"92-0-102400-2","publisher":"INTERNATIONAL ATOMIC ENERGY AGENCY","publisher-place":"Vienna","title":"Introduction of Nuclear Desalination","URL":"https://www.iaea.org/publications/5925/introduction-of-nuclear-desalination","issued":{"date-parts":[["2001"]]}}}],"schema":"https://github.com/citation-style-language/schema/raw/master/csl-citation.json"} </w:instrText>
      </w:r>
      <w:r w:rsidR="007D12F2">
        <w:fldChar w:fldCharType="separate"/>
      </w:r>
      <w:r w:rsidR="00F40106" w:rsidRPr="008A6535">
        <w:t>[1]</w:t>
      </w:r>
      <w:r w:rsidR="007D12F2">
        <w:fldChar w:fldCharType="end"/>
      </w:r>
      <w:r w:rsidR="00F40106">
        <w:t xml:space="preserve">. </w:t>
      </w:r>
      <w:r w:rsidR="00EE6651">
        <w:t xml:space="preserve">Properties of these systems that used in calculation is presented in Table </w:t>
      </w:r>
      <w:r w:rsidR="000E3C2D">
        <w:t xml:space="preserve">3. </w:t>
      </w:r>
    </w:p>
    <w:p w:rsidR="000E3C2D" w:rsidRDefault="000E3C2D" w:rsidP="00F40106">
      <w:pPr>
        <w:pStyle w:val="BodyText"/>
      </w:pPr>
    </w:p>
    <w:p w:rsidR="000E3C2D" w:rsidRDefault="000E3C2D" w:rsidP="000E3C2D">
      <w:pPr>
        <w:pStyle w:val="BodyText"/>
        <w:ind w:firstLine="0"/>
      </w:pPr>
      <w:r>
        <w:t>TABLE 3.</w:t>
      </w:r>
      <w:r>
        <w:tab/>
        <w:t>SMART SMR parameters for economical evaluation</w:t>
      </w:r>
      <w:r w:rsidR="007D12F2">
        <w:fldChar w:fldCharType="begin"/>
      </w:r>
      <w:r w:rsidR="00D5113D">
        <w:instrText xml:space="preserve"> ADDIN ZOTERO_ITEM CSL_CITATION {"citationID":"48QpqdyV","properties":{"formattedCitation":"[5]","plainCitation":"[5]","noteIndex":0},"citationItems":[{"id":942,"uris":["http://zotero.org/users/7292730/items/CQSE4XM9"],"itemData":{"id":942,"type":"article-journal","abstract":"The aim of the paper is to assess the feasibility of nuclear desalination, which will be obtained using both electricity and heat generated by nuclear power plant to remove salt and minerals from seawater. The integration of a water desalination plant into a small and modular nuclear power plant is described by considering a combination of a variety of seawater desalination co-generation configurations/ techniques (thermal or membrane in single or hybrid mode) to show they are successfully coupled with SMRs (of different types) to produce water and electricity at different scales. Running SMRs as base load plants is more economical and simpler than requiring them to follow load. Therefore, in a cogeneration mode and while grid load is low, they may run at full capacity even if their capacity exceeds water demands. The proposed solution was numerically investigated from both thermodynamic and economic points of view using the Desalination Economic Evaluation Program (DEEP) software made available by the IAEA. The study highlights the role of factors such as site characteristics, plant capacity, feed/product-water quality, energy costs, in affecting the economics of desalination regardless of the energy source used. The economics of nuclear desalination has been found to be competitive with other desalination techniques driven by other sources of energy. Results show that e.g., for an average per capita electricity consumption of 4.7 MWh/year and 80.3 m3/year of water, the CAREM25 reactor coupled to a desalination plant could produce electricity for 35,000 inhabitants and water for domestic use for 200,000 inhabitants.","container-title":"Nuclear Engineering and Design","DOI":"10.1016/j.nucengdes.2023.112897","ISSN":"0029-5493","journalAbbreviation":"Nuclear Engineering and Design","page":"112897","source":"ScienceDirect","title":"Feasibility study of desalination plant powered by SMR","volume":"418","author":[{"family":"Buzzetti","given":"Renato"},{"family":"Lo Frano","given":"Rosa"},{"family":"Cancemi","given":"Angelo Salvatore"}],"issued":{"date-parts":[["2024",3,1]]}}}],"schema":"https://github.com/citation-style-language/schema/raw/master/csl-citation.json"} </w:instrText>
      </w:r>
      <w:r w:rsidR="007D12F2">
        <w:fldChar w:fldCharType="separate"/>
      </w:r>
      <w:r w:rsidRPr="001146F1">
        <w:t>[5]</w:t>
      </w:r>
      <w:r w:rsidR="007D12F2">
        <w:fldChar w:fldCharType="end"/>
      </w:r>
      <w:r>
        <w:t>.</w:t>
      </w:r>
    </w:p>
    <w:p w:rsidR="004206D4" w:rsidRDefault="004206D4" w:rsidP="00F40106">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3072"/>
        <w:gridCol w:w="901"/>
        <w:gridCol w:w="1084"/>
        <w:gridCol w:w="1042"/>
      </w:tblGrid>
      <w:tr w:rsidR="000E3C2D" w:rsidTr="000E3C2D">
        <w:trPr>
          <w:jc w:val="center"/>
        </w:trPr>
        <w:tc>
          <w:tcPr>
            <w:tcW w:w="3072" w:type="dxa"/>
            <w:tcBorders>
              <w:top w:val="single" w:sz="4" w:space="0" w:color="auto"/>
              <w:bottom w:val="single" w:sz="4" w:space="0" w:color="auto"/>
            </w:tcBorders>
          </w:tcPr>
          <w:p w:rsidR="000E3C2D" w:rsidRDefault="000E3C2D" w:rsidP="00DC59CB">
            <w:pPr>
              <w:pStyle w:val="BodyText"/>
              <w:ind w:firstLine="0"/>
            </w:pPr>
            <w:r>
              <w:t>Desalination plant</w:t>
            </w:r>
          </w:p>
        </w:tc>
        <w:tc>
          <w:tcPr>
            <w:tcW w:w="901" w:type="dxa"/>
            <w:tcBorders>
              <w:top w:val="single" w:sz="4" w:space="0" w:color="auto"/>
              <w:bottom w:val="single" w:sz="4" w:space="0" w:color="auto"/>
            </w:tcBorders>
          </w:tcPr>
          <w:p w:rsidR="000E3C2D" w:rsidRDefault="000E3C2D" w:rsidP="00DC59CB">
            <w:pPr>
              <w:pStyle w:val="BodyText"/>
              <w:ind w:firstLine="0"/>
              <w:jc w:val="center"/>
            </w:pPr>
            <w:r>
              <w:t>MSF</w:t>
            </w:r>
          </w:p>
        </w:tc>
        <w:tc>
          <w:tcPr>
            <w:tcW w:w="1084" w:type="dxa"/>
            <w:tcBorders>
              <w:top w:val="single" w:sz="4" w:space="0" w:color="auto"/>
              <w:bottom w:val="single" w:sz="4" w:space="0" w:color="auto"/>
            </w:tcBorders>
          </w:tcPr>
          <w:p w:rsidR="000E3C2D" w:rsidRPr="00F66417" w:rsidRDefault="000E3C2D" w:rsidP="00DC59CB">
            <w:pPr>
              <w:pStyle w:val="BodyText"/>
              <w:ind w:firstLine="0"/>
              <w:jc w:val="center"/>
              <w:rPr>
                <w:sz w:val="22"/>
              </w:rPr>
            </w:pPr>
            <w:r>
              <w:t>MED</w:t>
            </w:r>
          </w:p>
        </w:tc>
        <w:tc>
          <w:tcPr>
            <w:tcW w:w="1042" w:type="dxa"/>
            <w:tcBorders>
              <w:top w:val="single" w:sz="4" w:space="0" w:color="auto"/>
              <w:bottom w:val="single" w:sz="4" w:space="0" w:color="auto"/>
            </w:tcBorders>
          </w:tcPr>
          <w:p w:rsidR="000E3C2D" w:rsidRDefault="000E3C2D" w:rsidP="00DC59CB">
            <w:pPr>
              <w:pStyle w:val="BodyText"/>
              <w:ind w:firstLine="0"/>
              <w:jc w:val="center"/>
            </w:pPr>
            <w:r>
              <w:t>RO</w:t>
            </w:r>
          </w:p>
        </w:tc>
      </w:tr>
      <w:tr w:rsidR="000E3C2D" w:rsidTr="000E3C2D">
        <w:trPr>
          <w:jc w:val="center"/>
        </w:trPr>
        <w:tc>
          <w:tcPr>
            <w:tcW w:w="3072" w:type="dxa"/>
            <w:tcBorders>
              <w:top w:val="single" w:sz="4" w:space="0" w:color="auto"/>
            </w:tcBorders>
          </w:tcPr>
          <w:p w:rsidR="000E3C2D" w:rsidRDefault="000E3C2D" w:rsidP="00DC59CB">
            <w:pPr>
              <w:pStyle w:val="BodyText"/>
              <w:ind w:firstLine="0"/>
            </w:pPr>
            <w:r>
              <w:rPr>
                <w:rStyle w:val="TabletextChar"/>
              </w:rPr>
              <w:t>Max Brine Temperature [C]</w:t>
            </w:r>
          </w:p>
        </w:tc>
        <w:tc>
          <w:tcPr>
            <w:tcW w:w="901" w:type="dxa"/>
            <w:tcBorders>
              <w:top w:val="single" w:sz="4" w:space="0" w:color="auto"/>
            </w:tcBorders>
          </w:tcPr>
          <w:p w:rsidR="000E3C2D" w:rsidRDefault="000E3C2D" w:rsidP="00DC59CB">
            <w:pPr>
              <w:pStyle w:val="BodyText"/>
              <w:ind w:firstLine="0"/>
              <w:jc w:val="center"/>
            </w:pPr>
            <w:r>
              <w:t>110</w:t>
            </w:r>
          </w:p>
        </w:tc>
        <w:tc>
          <w:tcPr>
            <w:tcW w:w="1084" w:type="dxa"/>
            <w:tcBorders>
              <w:top w:val="single" w:sz="4" w:space="0" w:color="auto"/>
            </w:tcBorders>
          </w:tcPr>
          <w:p w:rsidR="000E3C2D" w:rsidRDefault="000E3C2D" w:rsidP="00DC59CB">
            <w:pPr>
              <w:pStyle w:val="BodyText"/>
              <w:ind w:firstLine="0"/>
              <w:jc w:val="center"/>
            </w:pPr>
            <w:r>
              <w:t>65</w:t>
            </w:r>
          </w:p>
        </w:tc>
        <w:tc>
          <w:tcPr>
            <w:tcW w:w="1042" w:type="dxa"/>
            <w:tcBorders>
              <w:top w:val="single" w:sz="4" w:space="0" w:color="auto"/>
            </w:tcBorders>
          </w:tcPr>
          <w:p w:rsidR="000E3C2D" w:rsidRDefault="000E3C2D" w:rsidP="00DC59CB">
            <w:pPr>
              <w:pStyle w:val="BodyText"/>
              <w:ind w:firstLine="0"/>
              <w:jc w:val="center"/>
            </w:pPr>
            <w:r>
              <w:t>N/A</w:t>
            </w:r>
          </w:p>
        </w:tc>
      </w:tr>
      <w:tr w:rsidR="000E3C2D" w:rsidTr="000E3C2D">
        <w:trPr>
          <w:jc w:val="center"/>
        </w:trPr>
        <w:tc>
          <w:tcPr>
            <w:tcW w:w="3072" w:type="dxa"/>
          </w:tcPr>
          <w:p w:rsidR="000E3C2D" w:rsidRDefault="000E3C2D" w:rsidP="00DC59CB">
            <w:pPr>
              <w:pStyle w:val="BodyText"/>
              <w:ind w:firstLine="0"/>
            </w:pPr>
            <w:r>
              <w:t>Membrane Pressure [bar]</w:t>
            </w:r>
          </w:p>
        </w:tc>
        <w:tc>
          <w:tcPr>
            <w:tcW w:w="901" w:type="dxa"/>
          </w:tcPr>
          <w:p w:rsidR="000E3C2D" w:rsidRDefault="000E3C2D" w:rsidP="00DC59CB">
            <w:pPr>
              <w:pStyle w:val="BodyText"/>
              <w:ind w:firstLine="0"/>
              <w:jc w:val="center"/>
            </w:pPr>
            <w:r>
              <w:t>N/A</w:t>
            </w:r>
          </w:p>
        </w:tc>
        <w:tc>
          <w:tcPr>
            <w:tcW w:w="1084" w:type="dxa"/>
          </w:tcPr>
          <w:p w:rsidR="000E3C2D" w:rsidRDefault="000E3C2D" w:rsidP="00DC59CB">
            <w:pPr>
              <w:pStyle w:val="BodyText"/>
              <w:ind w:firstLine="0"/>
              <w:jc w:val="center"/>
            </w:pPr>
            <w:r>
              <w:t>N/A</w:t>
            </w:r>
          </w:p>
        </w:tc>
        <w:tc>
          <w:tcPr>
            <w:tcW w:w="1042" w:type="dxa"/>
          </w:tcPr>
          <w:p w:rsidR="000E3C2D" w:rsidRDefault="000E3C2D" w:rsidP="00DC59CB">
            <w:pPr>
              <w:pStyle w:val="BodyText"/>
              <w:ind w:firstLine="0"/>
              <w:jc w:val="center"/>
            </w:pPr>
            <w:r>
              <w:t>69</w:t>
            </w:r>
          </w:p>
        </w:tc>
      </w:tr>
      <w:tr w:rsidR="000E3C2D" w:rsidTr="000E3C2D">
        <w:trPr>
          <w:jc w:val="center"/>
        </w:trPr>
        <w:tc>
          <w:tcPr>
            <w:tcW w:w="3072" w:type="dxa"/>
          </w:tcPr>
          <w:p w:rsidR="000E3C2D" w:rsidRDefault="000E3C2D" w:rsidP="00DC59CB">
            <w:pPr>
              <w:pStyle w:val="BodyText"/>
              <w:ind w:firstLine="0"/>
            </w:pPr>
            <w:r>
              <w:t>In/Outfall Specific Cost Factor [%]</w:t>
            </w:r>
          </w:p>
        </w:tc>
        <w:tc>
          <w:tcPr>
            <w:tcW w:w="901" w:type="dxa"/>
          </w:tcPr>
          <w:p w:rsidR="000E3C2D" w:rsidRDefault="000E3C2D" w:rsidP="00DC59CB">
            <w:pPr>
              <w:pStyle w:val="BodyText"/>
              <w:ind w:firstLine="0"/>
              <w:jc w:val="center"/>
            </w:pPr>
            <w:r>
              <w:t>10</w:t>
            </w:r>
          </w:p>
        </w:tc>
        <w:tc>
          <w:tcPr>
            <w:tcW w:w="1084" w:type="dxa"/>
          </w:tcPr>
          <w:p w:rsidR="000E3C2D" w:rsidRDefault="000E3C2D" w:rsidP="00DC59CB">
            <w:pPr>
              <w:pStyle w:val="BodyText"/>
              <w:ind w:firstLine="0"/>
              <w:jc w:val="center"/>
            </w:pPr>
            <w:r>
              <w:t>7</w:t>
            </w:r>
          </w:p>
        </w:tc>
        <w:tc>
          <w:tcPr>
            <w:tcW w:w="1042" w:type="dxa"/>
          </w:tcPr>
          <w:p w:rsidR="000E3C2D" w:rsidRDefault="000E3C2D" w:rsidP="00DC59CB">
            <w:pPr>
              <w:pStyle w:val="BodyText"/>
              <w:ind w:firstLine="0"/>
              <w:jc w:val="center"/>
            </w:pPr>
            <w:r>
              <w:t>7</w:t>
            </w:r>
          </w:p>
        </w:tc>
      </w:tr>
      <w:tr w:rsidR="000E3C2D" w:rsidTr="000E3C2D">
        <w:trPr>
          <w:jc w:val="center"/>
        </w:trPr>
        <w:tc>
          <w:tcPr>
            <w:tcW w:w="3072" w:type="dxa"/>
          </w:tcPr>
          <w:p w:rsidR="000E3C2D" w:rsidRDefault="000E3C2D" w:rsidP="00DC59CB">
            <w:pPr>
              <w:pStyle w:val="BodyText"/>
              <w:ind w:firstLine="0"/>
            </w:pPr>
            <w:r>
              <w:t>Operational Availability [%]</w:t>
            </w:r>
          </w:p>
        </w:tc>
        <w:tc>
          <w:tcPr>
            <w:tcW w:w="901" w:type="dxa"/>
          </w:tcPr>
          <w:p w:rsidR="000E3C2D" w:rsidRDefault="000E3C2D" w:rsidP="00DC59CB">
            <w:pPr>
              <w:pStyle w:val="BodyText"/>
              <w:ind w:firstLine="0"/>
              <w:jc w:val="center"/>
            </w:pPr>
            <w:r>
              <w:t>90</w:t>
            </w:r>
          </w:p>
        </w:tc>
        <w:tc>
          <w:tcPr>
            <w:tcW w:w="1084" w:type="dxa"/>
          </w:tcPr>
          <w:p w:rsidR="000E3C2D" w:rsidRDefault="000E3C2D" w:rsidP="00DC59CB">
            <w:pPr>
              <w:pStyle w:val="BodyText"/>
              <w:ind w:firstLine="0"/>
              <w:jc w:val="center"/>
            </w:pPr>
            <w:r>
              <w:t>90</w:t>
            </w:r>
          </w:p>
        </w:tc>
        <w:tc>
          <w:tcPr>
            <w:tcW w:w="1042" w:type="dxa"/>
          </w:tcPr>
          <w:p w:rsidR="000E3C2D" w:rsidRDefault="000E3C2D" w:rsidP="00DC59CB">
            <w:pPr>
              <w:pStyle w:val="BodyText"/>
              <w:ind w:firstLine="0"/>
              <w:jc w:val="center"/>
            </w:pPr>
            <w:r>
              <w:t>90</w:t>
            </w:r>
          </w:p>
        </w:tc>
      </w:tr>
      <w:tr w:rsidR="000E3C2D" w:rsidTr="000E3C2D">
        <w:trPr>
          <w:jc w:val="center"/>
        </w:trPr>
        <w:tc>
          <w:tcPr>
            <w:tcW w:w="3072" w:type="dxa"/>
          </w:tcPr>
          <w:p w:rsidR="000E3C2D" w:rsidRPr="000E3C2D" w:rsidRDefault="000E3C2D" w:rsidP="00DC59CB">
            <w:pPr>
              <w:pStyle w:val="BodyText"/>
              <w:ind w:firstLine="0"/>
            </w:pPr>
            <w:r>
              <w:t>Base Unit Cost [$/m</w:t>
            </w:r>
            <w:r w:rsidRPr="000E3C2D">
              <w:rPr>
                <w:vertAlign w:val="superscript"/>
              </w:rPr>
              <w:t>3</w:t>
            </w:r>
            <w:r>
              <w:t>]</w:t>
            </w:r>
          </w:p>
        </w:tc>
        <w:tc>
          <w:tcPr>
            <w:tcW w:w="901" w:type="dxa"/>
          </w:tcPr>
          <w:p w:rsidR="000E3C2D" w:rsidRDefault="000E3C2D" w:rsidP="00DC59CB">
            <w:pPr>
              <w:pStyle w:val="BodyText"/>
              <w:ind w:firstLine="0"/>
              <w:jc w:val="center"/>
            </w:pPr>
            <w:r>
              <w:t>1000</w:t>
            </w:r>
          </w:p>
        </w:tc>
        <w:tc>
          <w:tcPr>
            <w:tcW w:w="1084" w:type="dxa"/>
          </w:tcPr>
          <w:p w:rsidR="000E3C2D" w:rsidRDefault="000E3C2D" w:rsidP="00DC59CB">
            <w:pPr>
              <w:pStyle w:val="BodyText"/>
              <w:ind w:firstLine="0"/>
              <w:jc w:val="center"/>
            </w:pPr>
            <w:r>
              <w:t>900</w:t>
            </w:r>
          </w:p>
        </w:tc>
        <w:tc>
          <w:tcPr>
            <w:tcW w:w="1042" w:type="dxa"/>
          </w:tcPr>
          <w:p w:rsidR="000E3C2D" w:rsidRDefault="000E3C2D" w:rsidP="00DC59CB">
            <w:pPr>
              <w:pStyle w:val="BodyText"/>
              <w:ind w:firstLine="0"/>
              <w:jc w:val="center"/>
            </w:pPr>
            <w:r>
              <w:t>900</w:t>
            </w:r>
          </w:p>
        </w:tc>
      </w:tr>
      <w:tr w:rsidR="00062244" w:rsidTr="000E3C2D">
        <w:trPr>
          <w:jc w:val="center"/>
        </w:trPr>
        <w:tc>
          <w:tcPr>
            <w:tcW w:w="3072" w:type="dxa"/>
          </w:tcPr>
          <w:p w:rsidR="00062244" w:rsidRDefault="00062244" w:rsidP="00DC59CB">
            <w:pPr>
              <w:pStyle w:val="BodyText"/>
              <w:ind w:firstLine="0"/>
            </w:pPr>
            <w:r>
              <w:t>Water Capacity [m</w:t>
            </w:r>
            <w:r w:rsidRPr="00062244">
              <w:rPr>
                <w:vertAlign w:val="superscript"/>
              </w:rPr>
              <w:t>3</w:t>
            </w:r>
            <w:r>
              <w:t>/d]</w:t>
            </w:r>
          </w:p>
        </w:tc>
        <w:tc>
          <w:tcPr>
            <w:tcW w:w="901" w:type="dxa"/>
          </w:tcPr>
          <w:p w:rsidR="00062244" w:rsidRDefault="00062244" w:rsidP="00DC59CB">
            <w:pPr>
              <w:pStyle w:val="BodyText"/>
              <w:ind w:firstLine="0"/>
              <w:jc w:val="center"/>
            </w:pPr>
            <w:r>
              <w:t>40000</w:t>
            </w:r>
          </w:p>
        </w:tc>
        <w:tc>
          <w:tcPr>
            <w:tcW w:w="1084" w:type="dxa"/>
          </w:tcPr>
          <w:p w:rsidR="00062244" w:rsidRDefault="00062244" w:rsidP="00DC59CB">
            <w:pPr>
              <w:pStyle w:val="BodyText"/>
              <w:ind w:firstLine="0"/>
              <w:jc w:val="center"/>
            </w:pPr>
            <w:r>
              <w:t>40000</w:t>
            </w:r>
          </w:p>
        </w:tc>
        <w:tc>
          <w:tcPr>
            <w:tcW w:w="1042" w:type="dxa"/>
          </w:tcPr>
          <w:p w:rsidR="00062244" w:rsidRDefault="00062244" w:rsidP="00DC59CB">
            <w:pPr>
              <w:pStyle w:val="BodyText"/>
              <w:ind w:firstLine="0"/>
              <w:jc w:val="center"/>
            </w:pPr>
            <w:r>
              <w:t>40000</w:t>
            </w:r>
          </w:p>
        </w:tc>
      </w:tr>
    </w:tbl>
    <w:p w:rsidR="000E3C2D" w:rsidRDefault="000E3C2D" w:rsidP="00F40106">
      <w:pPr>
        <w:pStyle w:val="BodyText"/>
      </w:pPr>
    </w:p>
    <w:p w:rsidR="0068605F" w:rsidRDefault="00983498" w:rsidP="00C57A00">
      <w:pPr>
        <w:pStyle w:val="Heading2"/>
        <w:rPr>
          <w:lang w:val="en-US"/>
        </w:rPr>
      </w:pPr>
      <w:r>
        <w:rPr>
          <w:lang w:val="en-US"/>
        </w:rPr>
        <w:t>Economic</w:t>
      </w:r>
      <w:r w:rsidR="0068605F">
        <w:rPr>
          <w:lang w:val="en-US"/>
        </w:rPr>
        <w:t xml:space="preserve"> Assessment</w:t>
      </w:r>
    </w:p>
    <w:p w:rsidR="00983498" w:rsidRDefault="00983498" w:rsidP="004206D4">
      <w:pPr>
        <w:pStyle w:val="BodyText"/>
      </w:pPr>
      <w:r>
        <w:rPr>
          <w:lang w:val="en-US"/>
        </w:rPr>
        <w:t>T</w:t>
      </w:r>
      <w:r w:rsidR="004206D4">
        <w:rPr>
          <w:lang w:val="en-US"/>
        </w:rPr>
        <w:t xml:space="preserve">hermodynamic and economic analysis conducted with using IAEA Desalination Economic Evaluation Program (DEEP version 5.1). </w:t>
      </w:r>
      <w:r w:rsidR="004206D4">
        <w:t>The DEEP program has both nuclear and fossil power options, heating and power plants and also heat-only plants can be coupled with distillation processes of MSF and MED and membrane process of RO in DEEP software and for each case the performance and economic evaluation is made automatically for selected desalination technology</w:t>
      </w:r>
      <w:r w:rsidR="007D12F2">
        <w:fldChar w:fldCharType="begin"/>
      </w:r>
      <w:r w:rsidR="00D5113D">
        <w:instrText xml:space="preserve"> ADDIN ZOTERO_ITEM CSL_CITATION {"citationID":"CyX5xKNL","properties":{"formattedCitation":"[9]","plainCitation":"[9]","noteIndex":0},"citationItems":[{"id":953,"uris":["http://zotero.org/users/7292730/items/9Z2C7WWC"],"itemData":{"id":953,"type":"book","collection-number":"14","collection-title":"Computer Manual Series","event-place":"Vienna","publisher":"INTERNATIONAL ATOMIC ENERGY AGENCY","publisher-place":"Vienna","title":"Desalination Economic Evaluation Program (DEEP)","URL":"https://www.iaea.org/publications/6049/desalination-economic-evaluation-program-deep","issued":{"date-parts":[["2000"]]}}}],"schema":"https://github.com/citation-style-language/schema/raw/master/csl-citation.json"} </w:instrText>
      </w:r>
      <w:r w:rsidR="007D12F2">
        <w:fldChar w:fldCharType="separate"/>
      </w:r>
      <w:r w:rsidR="00D5113D" w:rsidRPr="00D5113D">
        <w:t>[9]</w:t>
      </w:r>
      <w:r w:rsidR="007D12F2">
        <w:fldChar w:fldCharType="end"/>
      </w:r>
      <w:r w:rsidR="004206D4">
        <w:t xml:space="preserve">. </w:t>
      </w:r>
    </w:p>
    <w:p w:rsidR="00983498" w:rsidRDefault="00983498" w:rsidP="004206D4">
      <w:pPr>
        <w:pStyle w:val="BodyText"/>
        <w:rPr>
          <w:lang w:val="en-US"/>
        </w:rPr>
      </w:pPr>
      <w:r>
        <w:t xml:space="preserve">In the analysis SMART SMR is coupled with desalination systems of MSF, MED and RO. MSF and MED systems both connected with thermal and power lines. </w:t>
      </w:r>
      <w:r w:rsidRPr="00FA707E">
        <w:rPr>
          <w:lang w:val="en-US"/>
        </w:rPr>
        <w:t>The main difference</w:t>
      </w:r>
      <w:r>
        <w:rPr>
          <w:lang w:val="en-US"/>
        </w:rPr>
        <w:t xml:space="preserve"> between nuclear and fossil fueled power plants in case of </w:t>
      </w:r>
      <w:r w:rsidRPr="00FA707E">
        <w:rPr>
          <w:lang w:val="en-US"/>
        </w:rPr>
        <w:t xml:space="preserve">thermal </w:t>
      </w:r>
      <w:r>
        <w:rPr>
          <w:lang w:val="en-US"/>
        </w:rPr>
        <w:t xml:space="preserve">coupling of distillation desalination plant is </w:t>
      </w:r>
      <w:r w:rsidRPr="00FA707E">
        <w:rPr>
          <w:lang w:val="en-US"/>
        </w:rPr>
        <w:t>the</w:t>
      </w:r>
      <w:r>
        <w:rPr>
          <w:lang w:val="en-US"/>
        </w:rPr>
        <w:t xml:space="preserve"> requirement of</w:t>
      </w:r>
      <w:r w:rsidRPr="00FA707E">
        <w:rPr>
          <w:lang w:val="en-US"/>
        </w:rPr>
        <w:t xml:space="preserve"> installation of an intermediate loop in</w:t>
      </w:r>
      <w:r>
        <w:rPr>
          <w:lang w:val="en-US"/>
        </w:rPr>
        <w:t xml:space="preserve"> case of a nuclear plant. This</w:t>
      </w:r>
      <w:r w:rsidRPr="00FA707E">
        <w:rPr>
          <w:lang w:val="en-US"/>
        </w:rPr>
        <w:t xml:space="preserve"> intermediate loop</w:t>
      </w:r>
      <w:r>
        <w:rPr>
          <w:lang w:val="en-US"/>
        </w:rPr>
        <w:t xml:space="preserve"> provides a barrier against mitigation of radioactivity to </w:t>
      </w:r>
      <w:r w:rsidR="005073B4">
        <w:rPr>
          <w:lang w:val="en-US"/>
        </w:rPr>
        <w:t xml:space="preserve">the </w:t>
      </w:r>
      <w:r>
        <w:rPr>
          <w:lang w:val="en-US"/>
        </w:rPr>
        <w:t xml:space="preserve">desalination system </w:t>
      </w:r>
      <w:r w:rsidR="007D12F2">
        <w:rPr>
          <w:lang w:val="en-US"/>
        </w:rPr>
        <w:fldChar w:fldCharType="begin"/>
      </w:r>
      <w:r w:rsidR="00D5113D">
        <w:rPr>
          <w:lang w:val="en-US"/>
        </w:rPr>
        <w:instrText xml:space="preserve"> ADDIN ZOTERO_ITEM CSL_CITATION {"citationID":"jlJ8pSHY","properties":{"formattedCitation":"[10]","plainCitation":"[10]","noteIndex":0},"citationItems":[{"id":955,"uris":["http://zotero.org/users/7292730/items/5Z244CS4"],"itemData":{"id":955,"type":"book","collection-number":"1642","collection-title":"TECDOC Series","event-place":"Vienna","ISBN":"978-92-0-100810-7","publisher":"INTERNATIONAL ATOMIC ENERGY AGENCY","publisher-place":"Vienna","title":"Environmental Impact Assessment of Nuclear Desalination","URL":"https://www.iaea.org/publications/8262/environmental-impact-assessment-of-nuclear-desalination","issued":{"date-parts":[["2010"]]}}}],"schema":"https://github.com/citation-style-language/schema/raw/master/csl-citation.json"} </w:instrText>
      </w:r>
      <w:r w:rsidR="007D12F2">
        <w:rPr>
          <w:lang w:val="en-US"/>
        </w:rPr>
        <w:fldChar w:fldCharType="separate"/>
      </w:r>
      <w:r w:rsidR="00D5113D" w:rsidRPr="00D5113D">
        <w:t>[10]</w:t>
      </w:r>
      <w:r w:rsidR="007D12F2">
        <w:rPr>
          <w:lang w:val="en-US"/>
        </w:rPr>
        <w:fldChar w:fldCharType="end"/>
      </w:r>
      <w:r w:rsidRPr="00FA707E">
        <w:rPr>
          <w:lang w:val="en-US"/>
        </w:rPr>
        <w:t>.</w:t>
      </w:r>
      <w:r w:rsidR="00B115B8">
        <w:rPr>
          <w:lang w:val="en-US"/>
        </w:rPr>
        <w:t>In the analysis intermediate</w:t>
      </w:r>
      <w:r w:rsidR="00A247F8">
        <w:rPr>
          <w:lang w:val="en-US"/>
        </w:rPr>
        <w:t xml:space="preserve"> loop was used for MSF and MED, which in turn slightly increased the cost of desalination in these systems. </w:t>
      </w:r>
    </w:p>
    <w:p w:rsidR="00D5021A" w:rsidRPr="005E3101" w:rsidRDefault="005073B4" w:rsidP="0081297F">
      <w:pPr>
        <w:pStyle w:val="BodyText"/>
      </w:pPr>
      <w:r>
        <w:lastRenderedPageBreak/>
        <w:t xml:space="preserve">Thermal coupling </w:t>
      </w:r>
      <w:r w:rsidR="00CC3D6A">
        <w:t xml:space="preserve">of </w:t>
      </w:r>
      <w:r>
        <w:t>SMRs with desalination systems by cogeneration requires steam extraction from turbine</w:t>
      </w:r>
      <w:r w:rsidR="00CC3D6A">
        <w:t>,</w:t>
      </w:r>
      <w:r>
        <w:t xml:space="preserve"> this extraction can be seen in Fig. 3. and Fig. 4. </w:t>
      </w:r>
      <w:r w:rsidR="005E3101">
        <w:t xml:space="preserve">since both MSF and MED systems thermally connected to SMR. </w:t>
      </w:r>
      <w:r w:rsidR="00001701">
        <w:t>RO system only connected electrically since it does not require hot steam from turbine as can be seen from Fig. 5.</w:t>
      </w:r>
    </w:p>
    <w:p w:rsidR="0081297F" w:rsidRPr="0081297F" w:rsidRDefault="0081297F" w:rsidP="0081297F">
      <w:pPr>
        <w:pStyle w:val="BodyText"/>
        <w:rPr>
          <w:lang w:val="en-US"/>
        </w:rPr>
      </w:pPr>
    </w:p>
    <w:p w:rsidR="00BB6A81" w:rsidRDefault="006D5EA2" w:rsidP="00BB6A81">
      <w:pPr>
        <w:pStyle w:val="BodyText"/>
        <w:rPr>
          <w:lang w:val="en-US"/>
        </w:rPr>
      </w:pPr>
      <w:r>
        <w:rPr>
          <w:noProof/>
          <w:lang w:val="tr-TR" w:eastAsia="tr-TR"/>
        </w:rPr>
        <w:drawing>
          <wp:inline distT="0" distB="0" distL="0" distR="0">
            <wp:extent cx="3977726" cy="2091193"/>
            <wp:effectExtent l="19050" t="0" r="372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980343" cy="2092569"/>
                    </a:xfrm>
                    <a:prstGeom prst="rect">
                      <a:avLst/>
                    </a:prstGeom>
                    <a:noFill/>
                    <a:ln w="9525">
                      <a:noFill/>
                      <a:miter lim="800000"/>
                      <a:headEnd/>
                      <a:tailEnd/>
                    </a:ln>
                  </pic:spPr>
                </pic:pic>
              </a:graphicData>
            </a:graphic>
          </wp:inline>
        </w:drawing>
      </w:r>
    </w:p>
    <w:p w:rsidR="00076CBD" w:rsidRDefault="007D12F2" w:rsidP="00BB6A81">
      <w:pPr>
        <w:pStyle w:val="BodyText"/>
        <w:rPr>
          <w:lang w:val="en-US"/>
        </w:rPr>
      </w:pPr>
      <w:r w:rsidRPr="007D12F2">
        <w:rPr>
          <w:noProof/>
          <w:lang w:val="en-US"/>
        </w:rPr>
        <w:pict>
          <v:shape id="_x0000_s1028" type="#_x0000_t202" style="position:absolute;left:0;text-align:left;margin-left:28.45pt;margin-top:1.05pt;width:304.2pt;height:14.6pt;z-index:25166745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" stroked="f">
            <v:path arrowok="t"/>
            <v:textbox style="mso-fit-shape-to-text:t" inset="0,0,0,0">
              <w:txbxContent>
                <w:p w:rsidR="005E3101" w:rsidRPr="00802381" w:rsidRDefault="005E3101" w:rsidP="005E3101">
                  <w:pPr>
                    <w:pStyle w:val="Caption"/>
                    <w:rPr>
                      <w:i/>
                      <w:sz w:val="20"/>
                    </w:rPr>
                  </w:pPr>
                  <w:r w:rsidRPr="00802381">
                    <w:rPr>
                      <w:i/>
                    </w:rPr>
                    <w:t xml:space="preserve">FIG. </w:t>
                  </w:r>
                  <w:r w:rsidR="007D12F2" w:rsidRPr="00802381">
                    <w:rPr>
                      <w:i/>
                    </w:rPr>
                    <w:fldChar w:fldCharType="begin"/>
                  </w:r>
                  <w:r w:rsidRPr="00802381">
                    <w:rPr>
                      <w:i/>
                    </w:rPr>
                    <w:instrText xml:space="preserve"> SEQ Figure \* ARABIC </w:instrText>
                  </w:r>
                  <w:r w:rsidR="007D12F2" w:rsidRPr="00802381">
                    <w:rPr>
                      <w:i/>
                    </w:rPr>
                    <w:fldChar w:fldCharType="separate"/>
                  </w:r>
                  <w:r w:rsidR="006A5F49">
                    <w:rPr>
                      <w:i/>
                      <w:noProof/>
                    </w:rPr>
                    <w:t>3</w:t>
                  </w:r>
                  <w:r w:rsidR="007D12F2" w:rsidRPr="00802381">
                    <w:rPr>
                      <w:i/>
                    </w:rPr>
                    <w:fldChar w:fldCharType="end"/>
                  </w:r>
                  <w:r>
                    <w:rPr>
                      <w:i/>
                    </w:rPr>
                    <w:t>. SMART-MSF coupling in DEEP.</w:t>
                  </w:r>
                </w:p>
              </w:txbxContent>
            </v:textbox>
            <w10:wrap type="topAndBottom" anchorx="margin"/>
          </v:shape>
        </w:pict>
      </w:r>
    </w:p>
    <w:p w:rsidR="00076CBD" w:rsidRDefault="007D12F2" w:rsidP="00BB6A81">
      <w:pPr>
        <w:pStyle w:val="BodyText"/>
        <w:rPr>
          <w:lang w:val="en-US"/>
        </w:rPr>
      </w:pPr>
      <w:r w:rsidRPr="007D12F2">
        <w:rPr>
          <w:noProof/>
          <w:lang w:val="en-US"/>
        </w:rPr>
        <w:pict>
          <v:shape id="_x0000_s1029" type="#_x0000_t202" style="position:absolute;left:0;text-align:left;margin-left:28.45pt;margin-top:161.05pt;width:304.2pt;height:14.6pt;z-index:251668480;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" stroked="f">
            <v:path arrowok="t"/>
            <v:textbox style="mso-fit-shape-to-text:t" inset="0,0,0,0">
              <w:txbxContent>
                <w:p w:rsidR="00001701" w:rsidRPr="00802381" w:rsidRDefault="00001701" w:rsidP="00001701">
                  <w:pPr>
                    <w:pStyle w:val="Caption"/>
                    <w:rPr>
                      <w:i/>
                      <w:sz w:val="20"/>
                    </w:rPr>
                  </w:pPr>
                  <w:r w:rsidRPr="00802381">
                    <w:rPr>
                      <w:i/>
                    </w:rPr>
                    <w:t xml:space="preserve">FIG. </w:t>
                  </w:r>
                  <w:r w:rsidR="007D12F2" w:rsidRPr="00802381">
                    <w:rPr>
                      <w:i/>
                    </w:rPr>
                    <w:fldChar w:fldCharType="begin"/>
                  </w:r>
                  <w:r w:rsidRPr="00802381">
                    <w:rPr>
                      <w:i/>
                    </w:rPr>
                    <w:instrText xml:space="preserve"> SEQ Figure \* ARABIC </w:instrText>
                  </w:r>
                  <w:r w:rsidR="007D12F2" w:rsidRPr="00802381">
                    <w:rPr>
                      <w:i/>
                    </w:rPr>
                    <w:fldChar w:fldCharType="separate"/>
                  </w:r>
                  <w:r w:rsidR="006A5F49">
                    <w:rPr>
                      <w:i/>
                      <w:noProof/>
                    </w:rPr>
                    <w:t>4</w:t>
                  </w:r>
                  <w:r w:rsidR="007D12F2" w:rsidRPr="00802381">
                    <w:rPr>
                      <w:i/>
                    </w:rPr>
                    <w:fldChar w:fldCharType="end"/>
                  </w:r>
                  <w:r>
                    <w:rPr>
                      <w:i/>
                    </w:rPr>
                    <w:t>. SMART-MED coupling in DEEP.</w:t>
                  </w:r>
                </w:p>
              </w:txbxContent>
            </v:textbox>
            <w10:wrap type="topAndBottom" anchorx="margin"/>
          </v:shape>
        </w:pict>
      </w:r>
      <w:r w:rsidR="00076CBD">
        <w:rPr>
          <w:noProof/>
          <w:lang w:val="tr-TR" w:eastAsia="tr-TR"/>
        </w:rPr>
        <w:drawing>
          <wp:inline distT="0" distB="0" distL="0" distR="0">
            <wp:extent cx="3995419" cy="2011680"/>
            <wp:effectExtent l="19050" t="0" r="508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995131" cy="2011535"/>
                    </a:xfrm>
                    <a:prstGeom prst="rect">
                      <a:avLst/>
                    </a:prstGeom>
                    <a:noFill/>
                    <a:ln w="9525">
                      <a:noFill/>
                      <a:miter lim="800000"/>
                      <a:headEnd/>
                      <a:tailEnd/>
                    </a:ln>
                  </pic:spPr>
                </pic:pic>
              </a:graphicData>
            </a:graphic>
          </wp:inline>
        </w:drawing>
      </w:r>
    </w:p>
    <w:p w:rsidR="00900D43" w:rsidRDefault="00900D43" w:rsidP="00BB6A81">
      <w:pPr>
        <w:pStyle w:val="BodyText"/>
        <w:rPr>
          <w:lang w:val="en-US"/>
        </w:rPr>
      </w:pPr>
    </w:p>
    <w:p w:rsidR="00900D43" w:rsidRDefault="007D12F2" w:rsidP="00BB6A81">
      <w:pPr>
        <w:pStyle w:val="BodyText"/>
        <w:rPr>
          <w:lang w:val="en-US"/>
        </w:rPr>
      </w:pPr>
      <w:r w:rsidRPr="007D12F2">
        <w:rPr>
          <w:noProof/>
          <w:lang w:val="en-US"/>
        </w:rPr>
        <w:pict>
          <v:shape id="_x0000_s1030" type="#_x0000_t202" style="position:absolute;left:0;text-align:left;margin-left:28.45pt;margin-top:147.65pt;width:304.2pt;height:14.6pt;z-index:25166950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" stroked="f">
            <v:path arrowok="t"/>
            <v:textbox style="mso-fit-shape-to-text:t" inset="0,0,0,0">
              <w:txbxContent>
                <w:p w:rsidR="00001701" w:rsidRPr="00802381" w:rsidRDefault="00001701" w:rsidP="00001701">
                  <w:pPr>
                    <w:pStyle w:val="Caption"/>
                    <w:rPr>
                      <w:i/>
                      <w:sz w:val="20"/>
                    </w:rPr>
                  </w:pPr>
                  <w:r w:rsidRPr="00802381">
                    <w:rPr>
                      <w:i/>
                    </w:rPr>
                    <w:t xml:space="preserve">FIG. </w:t>
                  </w:r>
                  <w:r w:rsidR="007D12F2" w:rsidRPr="00802381">
                    <w:rPr>
                      <w:i/>
                    </w:rPr>
                    <w:fldChar w:fldCharType="begin"/>
                  </w:r>
                  <w:r w:rsidRPr="00802381">
                    <w:rPr>
                      <w:i/>
                    </w:rPr>
                    <w:instrText xml:space="preserve"> SEQ Figure \* ARABIC </w:instrText>
                  </w:r>
                  <w:r w:rsidR="007D12F2" w:rsidRPr="00802381">
                    <w:rPr>
                      <w:i/>
                    </w:rPr>
                    <w:fldChar w:fldCharType="separate"/>
                  </w:r>
                  <w:r w:rsidR="006A5F49">
                    <w:rPr>
                      <w:i/>
                      <w:noProof/>
                    </w:rPr>
                    <w:t>5</w:t>
                  </w:r>
                  <w:r w:rsidR="007D12F2" w:rsidRPr="00802381">
                    <w:rPr>
                      <w:i/>
                    </w:rPr>
                    <w:fldChar w:fldCharType="end"/>
                  </w:r>
                  <w:r>
                    <w:rPr>
                      <w:i/>
                    </w:rPr>
                    <w:t>. SMART-RO coupling in DEEP.</w:t>
                  </w:r>
                </w:p>
              </w:txbxContent>
            </v:textbox>
            <w10:wrap type="topAndBottom" anchorx="margin"/>
          </v:shape>
        </w:pict>
      </w:r>
      <w:r w:rsidR="00900D43">
        <w:rPr>
          <w:noProof/>
          <w:lang w:val="tr-TR" w:eastAsia="tr-TR"/>
        </w:rPr>
        <w:drawing>
          <wp:inline distT="0" distB="0" distL="0" distR="0">
            <wp:extent cx="4063846" cy="182084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063970" cy="1820904"/>
                    </a:xfrm>
                    <a:prstGeom prst="rect">
                      <a:avLst/>
                    </a:prstGeom>
                    <a:noFill/>
                    <a:ln w="9525">
                      <a:noFill/>
                      <a:miter lim="800000"/>
                      <a:headEnd/>
                      <a:tailEnd/>
                    </a:ln>
                  </pic:spPr>
                </pic:pic>
              </a:graphicData>
            </a:graphic>
          </wp:inline>
        </w:drawing>
      </w:r>
    </w:p>
    <w:p w:rsidR="00001701" w:rsidRDefault="00001701" w:rsidP="00BB6A81">
      <w:pPr>
        <w:pStyle w:val="BodyText"/>
        <w:rPr>
          <w:lang w:val="en-US"/>
        </w:rPr>
      </w:pPr>
    </w:p>
    <w:p w:rsidR="005073B4" w:rsidRDefault="00001701" w:rsidP="00BB6A81">
      <w:pPr>
        <w:pStyle w:val="BodyText"/>
        <w:rPr>
          <w:lang w:val="en-US"/>
        </w:rPr>
      </w:pPr>
      <w:r>
        <w:rPr>
          <w:lang w:val="en-US"/>
        </w:rPr>
        <w:t xml:space="preserve">Each coupling </w:t>
      </w:r>
      <w:r w:rsidR="00B115B8">
        <w:rPr>
          <w:lang w:val="en-US"/>
        </w:rPr>
        <w:t>assessed separately for</w:t>
      </w:r>
      <w:r>
        <w:rPr>
          <w:lang w:val="en-US"/>
        </w:rPr>
        <w:t xml:space="preserve"> Akkuyu, Igneada and Sinop. </w:t>
      </w:r>
      <w:r w:rsidR="005073B4">
        <w:rPr>
          <w:lang w:val="en-US"/>
        </w:rPr>
        <w:t xml:space="preserve">Water cost for </w:t>
      </w:r>
      <w:r>
        <w:rPr>
          <w:lang w:val="en-US"/>
        </w:rPr>
        <w:t>all</w:t>
      </w:r>
      <w:r w:rsidR="005073B4">
        <w:rPr>
          <w:lang w:val="en-US"/>
        </w:rPr>
        <w:t xml:space="preserve"> desalination system</w:t>
      </w:r>
      <w:r>
        <w:rPr>
          <w:lang w:val="en-US"/>
        </w:rPr>
        <w:t>s</w:t>
      </w:r>
      <w:r w:rsidR="005073B4">
        <w:rPr>
          <w:lang w:val="en-US"/>
        </w:rPr>
        <w:t xml:space="preserve"> at proposed SMR location</w:t>
      </w:r>
      <w:r>
        <w:rPr>
          <w:lang w:val="en-US"/>
        </w:rPr>
        <w:t>s</w:t>
      </w:r>
      <w:r w:rsidR="005073B4">
        <w:rPr>
          <w:lang w:val="en-US"/>
        </w:rPr>
        <w:t xml:space="preserve"> is shown in Fig. 6. </w:t>
      </w:r>
      <w:r w:rsidR="005E3101">
        <w:rPr>
          <w:lang w:val="en-US"/>
        </w:rPr>
        <w:t>Biggest costs derive from O&amp;M for MED and RO, cost of heat is dominant for MSF.</w:t>
      </w:r>
      <w:r w:rsidR="002F4768">
        <w:rPr>
          <w:lang w:val="en-US"/>
        </w:rPr>
        <w:t xml:space="preserve"> Fig 6. shows that RO system offers the lowest water cost for all regions. Desalination in Akkuyu costs more than Igneada and Akkuyu for all desalination technologies.</w:t>
      </w:r>
      <w:r w:rsidR="00C956C6">
        <w:rPr>
          <w:lang w:val="en-US"/>
        </w:rPr>
        <w:t xml:space="preserve"> </w:t>
      </w:r>
    </w:p>
    <w:p w:rsidR="005E3101" w:rsidRDefault="005E3101" w:rsidP="00BB6A81">
      <w:pPr>
        <w:pStyle w:val="BodyText"/>
        <w:rPr>
          <w:lang w:val="en-US"/>
        </w:rPr>
      </w:pPr>
      <w:r w:rsidRPr="005E3101">
        <w:rPr>
          <w:noProof/>
          <w:lang w:val="tr-TR" w:eastAsia="tr-TR"/>
        </w:rPr>
        <w:lastRenderedPageBreak/>
        <w:drawing>
          <wp:inline distT="0" distB="0" distL="0" distR="0">
            <wp:extent cx="4665028" cy="1256307"/>
            <wp:effectExtent l="19050" t="0" r="2222" b="0"/>
            <wp:docPr id="8" name="Picture 5" descr="waterCo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osts.png"/>
                    <pic:cNvPicPr/>
                  </pic:nvPicPr>
                  <pic:blipFill>
                    <a:blip r:embed="rId13"/>
                    <a:stretch>
                      <a:fillRect/>
                    </a:stretch>
                  </pic:blipFill>
                  <pic:spPr>
                    <a:xfrm>
                      <a:off x="0" y="0"/>
                      <a:ext cx="4668451" cy="1257229"/>
                    </a:xfrm>
                    <a:prstGeom prst="rect">
                      <a:avLst/>
                    </a:prstGeom>
                  </pic:spPr>
                </pic:pic>
              </a:graphicData>
            </a:graphic>
          </wp:inline>
        </w:drawing>
      </w:r>
    </w:p>
    <w:p w:rsidR="005E3101" w:rsidRPr="00BB6A81" w:rsidRDefault="00C956C6" w:rsidP="00BB6A81">
      <w:pPr>
        <w:pStyle w:val="BodyText"/>
        <w:rPr>
          <w:lang w:val="en-US"/>
        </w:rPr>
      </w:pPr>
      <w:r>
        <w:rPr>
          <w:lang w:val="en-US"/>
        </w:rPr>
        <w:t>In RO plants, increase in water temperature</w:t>
      </w:r>
      <w:r w:rsidR="007D12F2" w:rsidRPr="007D12F2">
        <w:rPr>
          <w:noProof/>
          <w:lang w:val="en-US"/>
        </w:rPr>
        <w:pict>
          <v:shape id="_x0000_s1031" type="#_x0000_t202" style="position:absolute;left:0;text-align:left;margin-left:36.1pt;margin-top:6.3pt;width:304.2pt;height:14.6pt;z-index:251670528;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" stroked="f">
            <v:path arrowok="t"/>
            <v:textbox style="mso-next-textbox:#_x0000_s1031;mso-fit-shape-to-text:t" inset="0,0,0,0">
              <w:txbxContent>
                <w:p w:rsidR="00001701" w:rsidRPr="00802381" w:rsidRDefault="00001701" w:rsidP="00001701">
                  <w:pPr>
                    <w:pStyle w:val="Caption"/>
                    <w:rPr>
                      <w:i/>
                      <w:sz w:val="20"/>
                    </w:rPr>
                  </w:pPr>
                  <w:r w:rsidRPr="00802381">
                    <w:rPr>
                      <w:i/>
                    </w:rPr>
                    <w:t xml:space="preserve">FIG. </w:t>
                  </w:r>
                  <w:r w:rsidR="007D12F2" w:rsidRPr="00802381">
                    <w:rPr>
                      <w:i/>
                    </w:rPr>
                    <w:fldChar w:fldCharType="begin"/>
                  </w:r>
                  <w:r w:rsidRPr="00802381">
                    <w:rPr>
                      <w:i/>
                    </w:rPr>
                    <w:instrText xml:space="preserve"> SEQ Figure \* ARABIC </w:instrText>
                  </w:r>
                  <w:r w:rsidR="007D12F2" w:rsidRPr="00802381">
                    <w:rPr>
                      <w:i/>
                    </w:rPr>
                    <w:fldChar w:fldCharType="separate"/>
                  </w:r>
                  <w:r w:rsidR="006A5F49">
                    <w:rPr>
                      <w:i/>
                      <w:noProof/>
                    </w:rPr>
                    <w:t>6</w:t>
                  </w:r>
                  <w:r w:rsidR="007D12F2" w:rsidRPr="00802381">
                    <w:rPr>
                      <w:i/>
                    </w:rPr>
                    <w:fldChar w:fldCharType="end"/>
                  </w:r>
                  <w:r>
                    <w:rPr>
                      <w:i/>
                    </w:rPr>
                    <w:t>. Comparison of water cost</w:t>
                  </w:r>
                  <w:r w:rsidR="005C2A02">
                    <w:rPr>
                      <w:i/>
                    </w:rPr>
                    <w:t>s</w:t>
                  </w:r>
                </w:p>
              </w:txbxContent>
            </v:textbox>
            <w10:wrap type="topAndBottom" anchorx="margin"/>
          </v:shape>
        </w:pict>
      </w:r>
      <w:r>
        <w:rPr>
          <w:lang w:val="en-US"/>
        </w:rPr>
        <w:t xml:space="preserve"> increases the viscosity of the water which in turn eases the permeability through the membrane but on the other hand high water temperature causes high osmotic pressure which reduces the permeability of the water through the membrane</w:t>
      </w:r>
      <w:r w:rsidR="00C435EF">
        <w:rPr>
          <w:lang w:val="en-US"/>
        </w:rPr>
        <w:t xml:space="preserve">. Also in RO plants electricity required for the process rises with the salinity of the water </w:t>
      </w:r>
      <w:r w:rsidR="00C435EF">
        <w:rPr>
          <w:lang w:val="en-US"/>
        </w:rPr>
        <w:fldChar w:fldCharType="begin"/>
      </w:r>
      <w:r w:rsidR="00C435EF">
        <w:rPr>
          <w:lang w:val="en-US"/>
        </w:rPr>
        <w:instrText xml:space="preserve"> ADDIN ZOTERO_ITEM CSL_CITATION {"citationID":"Ne6CmCnC","properties":{"formattedCitation":"[9]","plainCitation":"[9]","noteIndex":0},"citationItems":[{"id":953,"uris":["http://zotero.org/users/7292730/items/9Z2C7WWC"],"itemData":{"id":953,"type":"book","collection-number":"14","collection-title":"Computer Manual Series","event-place":"Vienna","publisher":"INTERNATIONAL ATOMIC ENERGY AGENCY","publisher-place":"Vienna","title":"Desalination Economic Evaluation Program (DEEP)","URL":"https://www.iaea.org/publications/6049/desalination-economic-evaluation-program-deep","issued":{"date-parts":[["2000"]]}}}],"schema":"https://github.com/citation-style-language/schema/raw/master/csl-citation.json"} </w:instrText>
      </w:r>
      <w:r w:rsidR="00C435EF">
        <w:rPr>
          <w:lang w:val="en-US"/>
        </w:rPr>
        <w:fldChar w:fldCharType="separate"/>
      </w:r>
      <w:r w:rsidR="00C435EF" w:rsidRPr="00C435EF">
        <w:t>[9]</w:t>
      </w:r>
      <w:r w:rsidR="00C435EF">
        <w:rPr>
          <w:lang w:val="en-US"/>
        </w:rPr>
        <w:fldChar w:fldCharType="end"/>
      </w:r>
      <w:r w:rsidR="00C435EF">
        <w:rPr>
          <w:lang w:val="en-US"/>
        </w:rPr>
        <w:t>.</w:t>
      </w:r>
      <w:r w:rsidR="002F4768">
        <w:rPr>
          <w:lang w:val="en-US"/>
        </w:rPr>
        <w:t xml:space="preserve"> Therefore</w:t>
      </w:r>
      <w:r w:rsidR="0061593D">
        <w:rPr>
          <w:lang w:val="en-US"/>
        </w:rPr>
        <w:t xml:space="preserve">, </w:t>
      </w:r>
      <w:r w:rsidR="002F4768">
        <w:rPr>
          <w:lang w:val="en-US"/>
        </w:rPr>
        <w:t xml:space="preserve">high water cost in Akkuyu </w:t>
      </w:r>
      <w:r w:rsidR="0061593D">
        <w:rPr>
          <w:lang w:val="en-US"/>
        </w:rPr>
        <w:t xml:space="preserve">indicated that salinity differences in sea waters have a more dominant effect than temperature differences at RO plants in Türkiye. </w:t>
      </w:r>
    </w:p>
    <w:p w:rsidR="00BB6A81" w:rsidRDefault="00BB6A81" w:rsidP="00BB6A81">
      <w:pPr>
        <w:pStyle w:val="Heading2"/>
        <w:rPr>
          <w:lang w:val="en-US"/>
        </w:rPr>
      </w:pPr>
      <w:r>
        <w:rPr>
          <w:lang w:val="en-US"/>
        </w:rPr>
        <w:t>CONCLUSION</w:t>
      </w:r>
    </w:p>
    <w:p w:rsidR="00A247F8" w:rsidRDefault="00062244" w:rsidP="00983498">
      <w:pPr>
        <w:pStyle w:val="BodyText"/>
        <w:rPr>
          <w:lang w:val="en-US"/>
        </w:rPr>
      </w:pPr>
      <w:r>
        <w:t>Aim of the study was to find best option for desalination with SMR at NPP site locations</w:t>
      </w:r>
      <w:r w:rsidR="00181AAF">
        <w:t xml:space="preserve"> in Türkiye</w:t>
      </w:r>
      <w:r>
        <w:t>.</w:t>
      </w:r>
      <w:r w:rsidR="00615CF4">
        <w:t xml:space="preserve"> </w:t>
      </w:r>
      <w:r w:rsidR="00CC3D6A" w:rsidRPr="00CC3D6A">
        <w:rPr>
          <w:lang w:val="en-US"/>
        </w:rPr>
        <w:t xml:space="preserve">Igneada and Sinop </w:t>
      </w:r>
      <w:r w:rsidR="00CC3D6A">
        <w:rPr>
          <w:lang w:val="en-US"/>
        </w:rPr>
        <w:t xml:space="preserve">both has a </w:t>
      </w:r>
      <w:r w:rsidR="00CC3D6A" w:rsidRPr="00CC3D6A">
        <w:rPr>
          <w:lang w:val="en-US"/>
        </w:rPr>
        <w:t xml:space="preserve">coast on the Black Sea, whereas Akkuyu is located near the Mediterranean Sea, which has a much higher salinity compared to the Black </w:t>
      </w:r>
      <w:r w:rsidR="00615CF4" w:rsidRPr="00CC3D6A">
        <w:rPr>
          <w:lang w:val="en-US"/>
        </w:rPr>
        <w:t>Sea.</w:t>
      </w:r>
      <w:r w:rsidR="00615CF4">
        <w:rPr>
          <w:lang w:val="en-US"/>
        </w:rPr>
        <w:t xml:space="preserve"> Mediterranean</w:t>
      </w:r>
      <w:r w:rsidR="00A247F8">
        <w:rPr>
          <w:lang w:val="en-US"/>
        </w:rPr>
        <w:t xml:space="preserve"> seawater is also hotter than </w:t>
      </w:r>
      <w:r w:rsidR="006A5F49">
        <w:rPr>
          <w:lang w:val="en-US"/>
        </w:rPr>
        <w:t>Black S</w:t>
      </w:r>
      <w:r w:rsidR="00A247F8">
        <w:rPr>
          <w:lang w:val="en-US"/>
        </w:rPr>
        <w:t xml:space="preserve">ea water which </w:t>
      </w:r>
      <w:r w:rsidR="00CC3D6A">
        <w:rPr>
          <w:lang w:val="en-US"/>
        </w:rPr>
        <w:t xml:space="preserve">instead </w:t>
      </w:r>
      <w:r w:rsidR="00A247F8">
        <w:rPr>
          <w:lang w:val="en-US"/>
        </w:rPr>
        <w:t>comes handy in desalina</w:t>
      </w:r>
      <w:r w:rsidR="00181AAF">
        <w:rPr>
          <w:lang w:val="en-US"/>
        </w:rPr>
        <w:t>tion process. But analysis showed</w:t>
      </w:r>
      <w:r w:rsidR="00A247F8">
        <w:rPr>
          <w:lang w:val="en-US"/>
        </w:rPr>
        <w:t xml:space="preserve"> us that the advantage of using hot water in </w:t>
      </w:r>
      <w:r>
        <w:rPr>
          <w:lang w:val="en-US"/>
        </w:rPr>
        <w:t>desalination</w:t>
      </w:r>
      <w:r w:rsidR="00A247F8">
        <w:rPr>
          <w:lang w:val="en-US"/>
        </w:rPr>
        <w:t xml:space="preserve"> is low against the salinity value of the </w:t>
      </w:r>
      <w:r w:rsidR="00CC3D6A">
        <w:rPr>
          <w:lang w:val="en-US"/>
        </w:rPr>
        <w:t>sea</w:t>
      </w:r>
      <w:r w:rsidR="00A247F8">
        <w:rPr>
          <w:lang w:val="en-US"/>
        </w:rPr>
        <w:t xml:space="preserve">water. Salty </w:t>
      </w:r>
      <w:r w:rsidR="00181AAF">
        <w:rPr>
          <w:lang w:val="en-US"/>
        </w:rPr>
        <w:t>sea</w:t>
      </w:r>
      <w:r w:rsidR="00A247F8">
        <w:rPr>
          <w:lang w:val="en-US"/>
        </w:rPr>
        <w:t xml:space="preserve">water of Akkuyu caused higher costs for water desalination in </w:t>
      </w:r>
      <w:r w:rsidR="00181AAF">
        <w:rPr>
          <w:lang w:val="en-US"/>
        </w:rPr>
        <w:t xml:space="preserve">all desalination plants. Therefore Black Sea region offers a more advantageous seawater for the desalination in Türkiye. </w:t>
      </w:r>
    </w:p>
    <w:p w:rsidR="007E5928" w:rsidRDefault="005C2A02" w:rsidP="007E5928">
      <w:pPr>
        <w:pStyle w:val="BodyText"/>
        <w:rPr>
          <w:lang w:val="en-US"/>
        </w:rPr>
      </w:pPr>
      <w:r>
        <w:rPr>
          <w:lang w:val="en-US"/>
        </w:rPr>
        <w:t xml:space="preserve">While RO offers the minimum cost, </w:t>
      </w:r>
      <w:r w:rsidR="00181AAF">
        <w:rPr>
          <w:lang w:val="en-US"/>
        </w:rPr>
        <w:t xml:space="preserve">total dissolved solids (TDS) in </w:t>
      </w:r>
      <w:r>
        <w:rPr>
          <w:lang w:val="en-US"/>
        </w:rPr>
        <w:t>product water of RO is the higher than MSF and MED.  Also for RO plant, cost of electricity is a</w:t>
      </w:r>
      <w:r w:rsidR="00181AAF">
        <w:rPr>
          <w:lang w:val="en-US"/>
        </w:rPr>
        <w:t>n</w:t>
      </w:r>
      <w:r w:rsidR="00615CF4">
        <w:rPr>
          <w:lang w:val="en-US"/>
        </w:rPr>
        <w:t xml:space="preserve"> </w:t>
      </w:r>
      <w:r w:rsidR="00181AAF">
        <w:rPr>
          <w:lang w:val="en-US"/>
        </w:rPr>
        <w:t>important</w:t>
      </w:r>
      <w:r>
        <w:rPr>
          <w:lang w:val="en-US"/>
        </w:rPr>
        <w:t xml:space="preserve"> factor in determination of cost of water </w:t>
      </w:r>
      <w:r w:rsidR="00181AAF">
        <w:rPr>
          <w:lang w:val="en-US"/>
        </w:rPr>
        <w:t xml:space="preserve">thus the </w:t>
      </w:r>
      <w:r w:rsidR="00062244">
        <w:rPr>
          <w:lang w:val="en-US"/>
        </w:rPr>
        <w:t>water cost in RO would be more sensitive to changes in electricity prices</w:t>
      </w:r>
      <w:r>
        <w:rPr>
          <w:lang w:val="en-US"/>
        </w:rPr>
        <w:t xml:space="preserve">. </w:t>
      </w:r>
      <w:r w:rsidR="00181AAF">
        <w:rPr>
          <w:lang w:val="en-US"/>
        </w:rPr>
        <w:t>Consequently a careful analysis must be made by also considering special agreements for electricity market when making the decision about desalination plant technology selection.</w:t>
      </w:r>
    </w:p>
    <w:p w:rsidR="00D26ADA" w:rsidRPr="00285755" w:rsidRDefault="00D26ADA" w:rsidP="00537496">
      <w:pPr>
        <w:pStyle w:val="Otherunnumberedheadings"/>
      </w:pPr>
      <w:r>
        <w:t>References</w:t>
      </w:r>
    </w:p>
    <w:p w:rsidR="00C435EF" w:rsidRPr="00C435EF" w:rsidRDefault="007D12F2" w:rsidP="00C435EF">
      <w:pPr>
        <w:pStyle w:val="Bibliography"/>
        <w:rPr>
          <w:sz w:val="18"/>
        </w:rPr>
      </w:pPr>
      <w:r w:rsidRPr="007D12F2">
        <w:fldChar w:fldCharType="begin"/>
      </w:r>
      <w:r w:rsidR="00616864">
        <w:instrText xml:space="preserve"> ADDIN ZOTERO_BIBL {"uncited":[],"omitted":[],"custom":[]} CSL_BIBLIOGRAPHY </w:instrText>
      </w:r>
      <w:r w:rsidRPr="007D12F2">
        <w:fldChar w:fldCharType="separate"/>
      </w:r>
      <w:r w:rsidR="00C435EF" w:rsidRPr="00C435EF">
        <w:rPr>
          <w:sz w:val="18"/>
        </w:rPr>
        <w:t>[1]</w:t>
      </w:r>
      <w:r w:rsidR="00C435EF" w:rsidRPr="00C435EF">
        <w:rPr>
          <w:sz w:val="18"/>
        </w:rPr>
        <w:tab/>
      </w:r>
      <w:r w:rsidR="00C435EF" w:rsidRPr="00C435EF">
        <w:rPr>
          <w:i/>
          <w:iCs/>
          <w:sz w:val="18"/>
        </w:rPr>
        <w:t>Introduction of Nuclear Desalination</w:t>
      </w:r>
      <w:r w:rsidR="00C435EF" w:rsidRPr="00C435EF">
        <w:rPr>
          <w:sz w:val="18"/>
        </w:rPr>
        <w:t>. in Technical Reports Series, no. 400. Vienna: INTERNATIONAL ATOMIC ENERGY AGENCY, 2001. [Online]. Available: https://www.iaea.org/publications/5925/introduction-of-nuclear-desalination</w:t>
      </w:r>
    </w:p>
    <w:p w:rsidR="00C435EF" w:rsidRPr="00C435EF" w:rsidRDefault="00C435EF" w:rsidP="00C435EF">
      <w:pPr>
        <w:pStyle w:val="Bibliography"/>
        <w:rPr>
          <w:sz w:val="18"/>
        </w:rPr>
      </w:pPr>
      <w:r w:rsidRPr="00C435EF">
        <w:rPr>
          <w:sz w:val="18"/>
        </w:rPr>
        <w:t>[2]</w:t>
      </w:r>
      <w:r w:rsidRPr="00C435EF">
        <w:rPr>
          <w:sz w:val="18"/>
        </w:rPr>
        <w:tab/>
        <w:t>“What are Small Modular Reactors (SMRs)?” Accessed: May 29, 2024. [Online]. Available: https://www.iaea.org/newscenter/news/what-are-small-modular-reactors-smrs</w:t>
      </w:r>
    </w:p>
    <w:p w:rsidR="00C435EF" w:rsidRPr="00C435EF" w:rsidRDefault="00C435EF" w:rsidP="00C435EF">
      <w:pPr>
        <w:pStyle w:val="Bibliography"/>
        <w:rPr>
          <w:sz w:val="18"/>
        </w:rPr>
      </w:pPr>
      <w:r w:rsidRPr="00C435EF">
        <w:rPr>
          <w:sz w:val="18"/>
        </w:rPr>
        <w:t>[3]</w:t>
      </w:r>
      <w:r w:rsidRPr="00C435EF">
        <w:rPr>
          <w:sz w:val="18"/>
        </w:rPr>
        <w:tab/>
        <w:t xml:space="preserve">D. T. Ingersoll, Z. J. Houghton, R. Bromm, and C. Desportes, “NuScale small modular reactor for Co-generation of electricity and water,” </w:t>
      </w:r>
      <w:r w:rsidRPr="00C435EF">
        <w:rPr>
          <w:i/>
          <w:iCs/>
          <w:sz w:val="18"/>
        </w:rPr>
        <w:t>Desalination</w:t>
      </w:r>
      <w:r w:rsidRPr="00C435EF">
        <w:rPr>
          <w:sz w:val="18"/>
        </w:rPr>
        <w:t>, vol. 340, pp. 84–93, May 2014, doi: 10.1016/j.desal.2014.02.023.</w:t>
      </w:r>
    </w:p>
    <w:p w:rsidR="00C435EF" w:rsidRPr="00C435EF" w:rsidRDefault="00C435EF" w:rsidP="00C435EF">
      <w:pPr>
        <w:pStyle w:val="Bibliography"/>
        <w:rPr>
          <w:sz w:val="18"/>
        </w:rPr>
      </w:pPr>
      <w:r w:rsidRPr="00C435EF">
        <w:rPr>
          <w:sz w:val="18"/>
        </w:rPr>
        <w:t>[4]</w:t>
      </w:r>
      <w:r w:rsidRPr="00C435EF">
        <w:rPr>
          <w:sz w:val="18"/>
        </w:rPr>
        <w:tab/>
        <w:t xml:space="preserve">K. Sadeghi </w:t>
      </w:r>
      <w:r w:rsidRPr="00C435EF">
        <w:rPr>
          <w:i/>
          <w:iCs/>
          <w:sz w:val="18"/>
        </w:rPr>
        <w:t>et al.</w:t>
      </w:r>
      <w:r w:rsidRPr="00C435EF">
        <w:rPr>
          <w:sz w:val="18"/>
        </w:rPr>
        <w:t xml:space="preserve">, “Towards net-zero emissions through the hybrid SMR-solar cogeneration plant equipped with modular PCM storage system for seawater desalination,” </w:t>
      </w:r>
      <w:r w:rsidRPr="00C435EF">
        <w:rPr>
          <w:i/>
          <w:iCs/>
          <w:sz w:val="18"/>
        </w:rPr>
        <w:t>Desalination</w:t>
      </w:r>
      <w:r w:rsidRPr="00C435EF">
        <w:rPr>
          <w:sz w:val="18"/>
        </w:rPr>
        <w:t>, vol. 524, p. 115476, Feb. 2022, doi: 10.1016/j.desal.2021.115476.</w:t>
      </w:r>
    </w:p>
    <w:p w:rsidR="00C435EF" w:rsidRPr="00C435EF" w:rsidRDefault="00C435EF" w:rsidP="00C435EF">
      <w:pPr>
        <w:pStyle w:val="Bibliography"/>
        <w:rPr>
          <w:sz w:val="18"/>
        </w:rPr>
      </w:pPr>
      <w:r w:rsidRPr="00C435EF">
        <w:rPr>
          <w:sz w:val="18"/>
        </w:rPr>
        <w:t>[5]</w:t>
      </w:r>
      <w:r w:rsidRPr="00C435EF">
        <w:rPr>
          <w:sz w:val="18"/>
        </w:rPr>
        <w:tab/>
        <w:t xml:space="preserve">R. Buzzetti, R. Lo Frano, and A. S. Cancemi, “Feasibility study of desalination plant powered by SMR,” </w:t>
      </w:r>
      <w:r w:rsidRPr="00C435EF">
        <w:rPr>
          <w:i/>
          <w:iCs/>
          <w:sz w:val="18"/>
        </w:rPr>
        <w:t>Nucl. Eng. Des.</w:t>
      </w:r>
      <w:r w:rsidRPr="00C435EF">
        <w:rPr>
          <w:sz w:val="18"/>
        </w:rPr>
        <w:t>, vol. 418, p. 112897, Mar. 2024, doi: 10.1016/j.nucengdes.2023.112897.</w:t>
      </w:r>
    </w:p>
    <w:p w:rsidR="00C435EF" w:rsidRPr="00C435EF" w:rsidRDefault="00C435EF" w:rsidP="00C435EF">
      <w:pPr>
        <w:pStyle w:val="Bibliography"/>
        <w:rPr>
          <w:sz w:val="18"/>
        </w:rPr>
      </w:pPr>
      <w:r w:rsidRPr="00C435EF">
        <w:rPr>
          <w:sz w:val="18"/>
        </w:rPr>
        <w:t>[6]</w:t>
      </w:r>
      <w:r w:rsidRPr="00C435EF">
        <w:rPr>
          <w:sz w:val="18"/>
        </w:rPr>
        <w:tab/>
        <w:t xml:space="preserve">E. A. Grubert, A. S. Stillwell, and M. E. Webber, “Where does solar-aided seawater desalination make sense? A method for identifying sustainable sites,” </w:t>
      </w:r>
      <w:r w:rsidRPr="00C435EF">
        <w:rPr>
          <w:i/>
          <w:iCs/>
          <w:sz w:val="18"/>
        </w:rPr>
        <w:t>Desalination</w:t>
      </w:r>
      <w:r w:rsidRPr="00C435EF">
        <w:rPr>
          <w:sz w:val="18"/>
        </w:rPr>
        <w:t>, vol. 339, pp. 10–17, Apr. 2014, doi: 10.1016/j.desal.2014.02.004.</w:t>
      </w:r>
    </w:p>
    <w:p w:rsidR="00C435EF" w:rsidRPr="00C435EF" w:rsidRDefault="00C435EF" w:rsidP="00C435EF">
      <w:pPr>
        <w:pStyle w:val="Bibliography"/>
        <w:rPr>
          <w:sz w:val="18"/>
        </w:rPr>
      </w:pPr>
      <w:r w:rsidRPr="00C435EF">
        <w:rPr>
          <w:sz w:val="18"/>
        </w:rPr>
        <w:t>[7]</w:t>
      </w:r>
      <w:r w:rsidRPr="00C435EF">
        <w:rPr>
          <w:sz w:val="18"/>
        </w:rPr>
        <w:tab/>
        <w:t>Y. Kurihara, “GCOM-C/SGLI Sea Surface Temperature (SST) ATBD,” 2021.</w:t>
      </w:r>
    </w:p>
    <w:p w:rsidR="00C435EF" w:rsidRPr="00C435EF" w:rsidRDefault="00C435EF" w:rsidP="00C435EF">
      <w:pPr>
        <w:pStyle w:val="Bibliography"/>
        <w:rPr>
          <w:sz w:val="18"/>
        </w:rPr>
      </w:pPr>
      <w:r w:rsidRPr="00C435EF">
        <w:rPr>
          <w:sz w:val="18"/>
        </w:rPr>
        <w:t>[8]</w:t>
      </w:r>
      <w:r w:rsidRPr="00C435EF">
        <w:rPr>
          <w:sz w:val="18"/>
        </w:rPr>
        <w:tab/>
        <w:t xml:space="preserve">J. A. Cummings and O. M. Smedstad, “Variational Data Assimilation for the Global Ocean,” in </w:t>
      </w:r>
      <w:r w:rsidRPr="00C435EF">
        <w:rPr>
          <w:i/>
          <w:iCs/>
          <w:sz w:val="18"/>
        </w:rPr>
        <w:t>Data Assimilation for Atmospheric, Oceanic and Hydrologic Applications (Vol. II)</w:t>
      </w:r>
      <w:r w:rsidRPr="00C435EF">
        <w:rPr>
          <w:sz w:val="18"/>
        </w:rPr>
        <w:t>, S. K. Park and L. Xu, Eds., Berlin, Heidelberg: Springer Berlin Heidelberg, 2013, pp. 303–343. doi: 10.1007/978-3-642-35088-7_13.</w:t>
      </w:r>
    </w:p>
    <w:p w:rsidR="00C435EF" w:rsidRPr="00C435EF" w:rsidRDefault="00C435EF" w:rsidP="00C435EF">
      <w:pPr>
        <w:pStyle w:val="Bibliography"/>
        <w:rPr>
          <w:sz w:val="18"/>
        </w:rPr>
      </w:pPr>
      <w:r w:rsidRPr="00C435EF">
        <w:rPr>
          <w:sz w:val="18"/>
        </w:rPr>
        <w:t>[9]</w:t>
      </w:r>
      <w:r w:rsidRPr="00C435EF">
        <w:rPr>
          <w:sz w:val="18"/>
        </w:rPr>
        <w:tab/>
      </w:r>
      <w:r w:rsidRPr="00C435EF">
        <w:rPr>
          <w:i/>
          <w:iCs/>
          <w:sz w:val="18"/>
        </w:rPr>
        <w:t>Desalination Economic Evaluation Program (DEEP)</w:t>
      </w:r>
      <w:r w:rsidRPr="00C435EF">
        <w:rPr>
          <w:sz w:val="18"/>
        </w:rPr>
        <w:t>. in Computer Manual Series, no. 14. Vienna: INTERNATIONAL ATOMIC ENERGY AGENCY, 2000. [Online]. Available: https://www.iaea.org/publications/6049/desalination-economic-evaluation-program-deep</w:t>
      </w:r>
    </w:p>
    <w:p w:rsidR="00C435EF" w:rsidRPr="00C435EF" w:rsidRDefault="00C435EF" w:rsidP="00C435EF">
      <w:pPr>
        <w:pStyle w:val="Bibliography"/>
        <w:rPr>
          <w:sz w:val="18"/>
        </w:rPr>
      </w:pPr>
      <w:r w:rsidRPr="00C435EF">
        <w:rPr>
          <w:sz w:val="18"/>
        </w:rPr>
        <w:t>[10]</w:t>
      </w:r>
      <w:r w:rsidRPr="00C435EF">
        <w:rPr>
          <w:sz w:val="18"/>
        </w:rPr>
        <w:tab/>
      </w:r>
      <w:r w:rsidRPr="00C435EF">
        <w:rPr>
          <w:i/>
          <w:iCs/>
          <w:sz w:val="18"/>
        </w:rPr>
        <w:t>Environmental Impact Assessment of Nuclear Desalination</w:t>
      </w:r>
      <w:r w:rsidRPr="00C435EF">
        <w:rPr>
          <w:sz w:val="18"/>
        </w:rPr>
        <w:t>. in TECDOC Series, no. 1642. Vienna: INTERNATIONAL ATOMIC ENERGY AGENCY, 2010. [Online]. Available: https://www.iaea.org/publications/8262/environmental-impact-assessment-of-nuclear-desalination</w:t>
      </w:r>
    </w:p>
    <w:p w:rsidR="00F45EEE" w:rsidRPr="00662532" w:rsidRDefault="007D12F2" w:rsidP="0061593D">
      <w:pPr>
        <w:pStyle w:val="Referencelist"/>
        <w:numPr>
          <w:ilvl w:val="0"/>
          <w:numId w:val="0"/>
        </w:numPr>
        <w:ind w:left="360"/>
      </w:pPr>
      <w:r>
        <w:fldChar w:fldCharType="end"/>
      </w:r>
    </w:p>
    <w:sectPr w:rsidR="00F45EEE" w:rsidRPr="00662532"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7E1" w:rsidRDefault="002E77E1">
      <w:r>
        <w:separator/>
      </w:r>
    </w:p>
  </w:endnote>
  <w:endnote w:type="continuationSeparator" w:id="1">
    <w:p w:rsidR="002E77E1" w:rsidRDefault="002E7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70" w:rsidRDefault="007D12F2">
    <w:pPr>
      <w:pStyle w:val="zyxClassification1"/>
    </w:pPr>
    <w:r>
      <w:fldChar w:fldCharType="begin"/>
    </w:r>
    <w:r w:rsidR="00E20E70">
      <w:instrText xml:space="preserve"> DOCPROPERTY "IaeaClassification"  \* MERGEFORMAT </w:instrText>
    </w:r>
    <w:r>
      <w:fldChar w:fldCharType="end"/>
    </w:r>
  </w:p>
  <w:p w:rsidR="00E20E70" w:rsidRDefault="007D12F2">
    <w:pPr>
      <w:pStyle w:val="zyxClassification2"/>
    </w:pPr>
    <w:r>
      <w:fldChar w:fldCharType="begin"/>
    </w:r>
    <w:r w:rsidR="00E20E70">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70" w:rsidRDefault="007D12F2">
    <w:pPr>
      <w:pStyle w:val="zyxClassification1"/>
    </w:pPr>
    <w:r>
      <w:fldChar w:fldCharType="begin"/>
    </w:r>
    <w:r w:rsidR="00E20E70">
      <w:instrText xml:space="preserve"> DOCPROPERTY "IaeaClassification"  \* MERGEFORMAT </w:instrText>
    </w:r>
    <w:r>
      <w:fldChar w:fldCharType="end"/>
    </w:r>
  </w:p>
  <w:p w:rsidR="00E20E70" w:rsidRPr="00037321" w:rsidRDefault="007D12F2">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00037321"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1C6C9C">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390" w:tblpY="15707"/>
      <w:tblOverlap w:val="never"/>
      <w:tblW w:w="10314" w:type="dxa"/>
      <w:tblLook w:val="0000"/>
    </w:tblPr>
    <w:tblGrid>
      <w:gridCol w:w="4644"/>
      <w:gridCol w:w="5670"/>
    </w:tblGrid>
    <w:tr w:rsidR="00E20E70">
      <w:trPr>
        <w:cantSplit/>
      </w:trPr>
      <w:tc>
        <w:tcPr>
          <w:tcW w:w="4644" w:type="dxa"/>
        </w:tcPr>
        <w:p w:rsidR="00E20E70" w:rsidRDefault="007D12F2">
          <w:pPr>
            <w:pStyle w:val="zyxDistribution"/>
            <w:framePr w:wrap="auto" w:vAnchor="margin" w:hAnchor="text" w:xAlign="left" w:yAlign="inline"/>
            <w:suppressOverlap w:val="0"/>
          </w:pPr>
          <w:r>
            <w:fldChar w:fldCharType="begin"/>
          </w:r>
          <w:r w:rsidR="00E20E70">
            <w:instrText xml:space="preserve"> DOCPROPERTY "IaeaDistribution"  \* MERGEFORMAT </w:instrText>
          </w:r>
          <w:r>
            <w:fldChar w:fldCharType="end"/>
          </w:r>
        </w:p>
        <w:p w:rsidR="00E20E70" w:rsidRDefault="007D12F2">
          <w:pPr>
            <w:pStyle w:val="zyxSensitivity"/>
            <w:framePr w:wrap="auto" w:vAnchor="margin" w:hAnchor="text" w:xAlign="left" w:yAlign="inline"/>
            <w:suppressOverlap w:val="0"/>
          </w:pPr>
          <w:r>
            <w:fldChar w:fldCharType="begin"/>
          </w:r>
          <w:r w:rsidR="00E20E70">
            <w:instrText xml:space="preserve"> DOCPROPERTY "IaeaSensitivity"  \* MERGEFORMAT </w:instrText>
          </w:r>
          <w:r>
            <w:fldChar w:fldCharType="end"/>
          </w:r>
        </w:p>
      </w:tc>
      <w:bookmarkStart w:id="2" w:name="DOC_bkmClassification2"/>
      <w:tc>
        <w:tcPr>
          <w:tcW w:w="5670" w:type="dxa"/>
          <w:tcMar>
            <w:right w:w="249" w:type="dxa"/>
          </w:tcMar>
        </w:tcPr>
        <w:p w:rsidR="00E20E70" w:rsidRDefault="007D12F2">
          <w:pPr>
            <w:pStyle w:val="zyxConfidBlack"/>
            <w:framePr w:wrap="auto" w:vAnchor="margin" w:hAnchor="text" w:xAlign="left" w:yAlign="inline"/>
            <w:suppressOverlap w:val="0"/>
          </w:pPr>
          <w:r>
            <w:fldChar w:fldCharType="begin"/>
          </w:r>
          <w:r w:rsidR="00E20E70">
            <w:instrText xml:space="preserve"> DOCPROPERTY "IaeaClassification"  \* MERGEFORMAT </w:instrText>
          </w:r>
          <w:r>
            <w:fldChar w:fldCharType="end"/>
          </w:r>
          <w:bookmarkEnd w:id="2"/>
        </w:p>
        <w:p w:rsidR="00E20E70" w:rsidRDefault="007D12F2">
          <w:pPr>
            <w:spacing w:after="20" w:line="220" w:lineRule="exact"/>
            <w:jc w:val="right"/>
            <w:rPr>
              <w:rFonts w:ascii="Arial" w:hAnsi="Arial" w:cs="Arial"/>
              <w:color w:val="FF0000"/>
            </w:rPr>
          </w:pPr>
          <w:r>
            <w:rPr>
              <w:rFonts w:ascii="Arial" w:hAnsi="Arial"/>
              <w:b/>
            </w:rPr>
            <w:fldChar w:fldCharType="begin"/>
          </w:r>
          <w:r w:rsidR="00E20E70">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sidR="00E20E70">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rsidR="00E20E70" w:rsidRDefault="007D12F2">
    <w:r>
      <w:rPr>
        <w:sz w:val="16"/>
      </w:rPr>
      <w:fldChar w:fldCharType="begin"/>
    </w:r>
    <w:r w:rsidR="00E20E70">
      <w:rPr>
        <w:sz w:val="16"/>
      </w:rPr>
      <w:instrText xml:space="preserve"> FILENAME \* MERGEFORMAT </w:instrText>
    </w:r>
    <w:r>
      <w:rPr>
        <w:sz w:val="16"/>
      </w:rPr>
      <w:fldChar w:fldCharType="separate"/>
    </w:r>
    <w:r w:rsidR="006A5F49">
      <w:rPr>
        <w:noProof/>
        <w:sz w:val="16"/>
      </w:rPr>
      <w:t>Paper_Techno-Economic Analysis of SMR Cogeneration with Desalination</w:t>
    </w:r>
    <w:r>
      <w:rPr>
        <w:sz w:val="16"/>
      </w:rPr>
      <w:fldChar w:fldCharType="end"/>
    </w:r>
    <w:bookmarkEnd w:id="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7E1" w:rsidRDefault="002E77E1">
      <w:r>
        <w:t>___________________________________________________________________________</w:t>
      </w:r>
    </w:p>
  </w:footnote>
  <w:footnote w:type="continuationSeparator" w:id="1">
    <w:p w:rsidR="002E77E1" w:rsidRDefault="002E77E1">
      <w:r>
        <w:t>___________________________________________________________________________</w:t>
      </w:r>
    </w:p>
  </w:footnote>
  <w:footnote w:type="continuationNotice" w:id="2">
    <w:p w:rsidR="002E77E1" w:rsidRDefault="002E77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01" w:rsidRDefault="005C6701" w:rsidP="005C6701">
    <w:pPr>
      <w:pStyle w:val="Runninghead"/>
    </w:pPr>
    <w:r>
      <w:tab/>
      <w:t>IAEA-CN-123/45</w:t>
    </w:r>
  </w:p>
  <w:p w:rsidR="00E20E70" w:rsidRDefault="00CF7AF3" w:rsidP="00CF7AF3">
    <w:pPr>
      <w:pStyle w:val="zyxClassification1"/>
      <w:tabs>
        <w:tab w:val="left" w:pos="3956"/>
        <w:tab w:val="right" w:pos="9071"/>
      </w:tabs>
      <w:jc w:val="left"/>
    </w:pPr>
    <w:r>
      <w:tab/>
    </w:r>
    <w:r w:rsidR="007D12F2">
      <w:fldChar w:fldCharType="begin"/>
    </w:r>
    <w:r w:rsidR="00E20E70">
      <w:instrText xml:space="preserve"> DOCPROPERTY "IaeaClassification"  \* MERGEFORMAT </w:instrText>
    </w:r>
    <w:r w:rsidR="007D12F2">
      <w:fldChar w:fldCharType="end"/>
    </w:r>
  </w:p>
  <w:p w:rsidR="00E20E70" w:rsidRDefault="007D12F2">
    <w:pPr>
      <w:pStyle w:val="zyxClassification2"/>
    </w:pPr>
    <w:r>
      <w:fldChar w:fldCharType="begin"/>
    </w:r>
    <w:r w:rsidR="00E20E70">
      <w:instrText>DOCPROPERTY "IaeaClassification2"  \* MERGEFORMAT</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70" w:rsidRDefault="000A4DEE" w:rsidP="00B82FA5">
    <w:pPr>
      <w:pStyle w:val="Runninghead"/>
    </w:pPr>
    <w:r>
      <w:t>O. Y. KUTLU</w:t>
    </w:r>
  </w:p>
  <w:p w:rsidR="00037321" w:rsidRPr="009E1558" w:rsidRDefault="00037321" w:rsidP="00037321">
    <w:pPr>
      <w:jc w:val="center"/>
      <w:rPr>
        <w:color w:val="BFBFBF" w:themeColor="background1" w:themeShade="BF"/>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333" w:tblpY="228"/>
      <w:tblOverlap w:val="never"/>
      <w:tblW w:w="10319" w:type="dxa"/>
      <w:tblLayout w:type="fixed"/>
      <w:tblLook w:val="0000"/>
    </w:tblPr>
    <w:tblGrid>
      <w:gridCol w:w="979"/>
      <w:gridCol w:w="3638"/>
      <w:gridCol w:w="5702"/>
    </w:tblGrid>
    <w:tr w:rsidR="00E20E70">
      <w:trPr>
        <w:cantSplit/>
        <w:trHeight w:val="716"/>
      </w:trPr>
      <w:tc>
        <w:tcPr>
          <w:tcW w:w="979" w:type="dxa"/>
          <w:vMerge w:val="restart"/>
        </w:tcPr>
        <w:p w:rsidR="00E20E70" w:rsidRDefault="00E20E70">
          <w:pPr>
            <w:spacing w:before="180"/>
            <w:ind w:left="17"/>
          </w:pPr>
        </w:p>
      </w:tc>
      <w:tc>
        <w:tcPr>
          <w:tcW w:w="3638" w:type="dxa"/>
          <w:vAlign w:val="bottom"/>
        </w:tcPr>
        <w:p w:rsidR="00E20E70" w:rsidRDefault="00E20E70">
          <w:pPr>
            <w:spacing w:after="20"/>
          </w:pPr>
        </w:p>
      </w:tc>
      <w:bookmarkStart w:id="1" w:name="DOC_bkmClassification1"/>
      <w:tc>
        <w:tcPr>
          <w:tcW w:w="5702" w:type="dxa"/>
          <w:vMerge w:val="restart"/>
          <w:tcMar>
            <w:right w:w="193" w:type="dxa"/>
          </w:tcMar>
        </w:tcPr>
        <w:p w:rsidR="00E20E70" w:rsidRDefault="007D12F2">
          <w:pPr>
            <w:pStyle w:val="zyxConfidBlack"/>
            <w:framePr w:wrap="auto" w:vAnchor="margin" w:hAnchor="text" w:xAlign="left" w:yAlign="inline"/>
            <w:suppressOverlap w:val="0"/>
          </w:pPr>
          <w:r>
            <w:fldChar w:fldCharType="begin"/>
          </w:r>
          <w:r w:rsidR="00E20E70">
            <w:instrText xml:space="preserve"> DOCPROPERTY "IaeaClassification"  \* MERGEFORMAT </w:instrText>
          </w:r>
          <w:r>
            <w:fldChar w:fldCharType="end"/>
          </w:r>
          <w:bookmarkEnd w:id="1"/>
        </w:p>
        <w:p w:rsidR="00E20E70" w:rsidRDefault="007D12F2">
          <w:pPr>
            <w:pStyle w:val="zyxConfid2Red"/>
          </w:pPr>
          <w:r>
            <w:fldChar w:fldCharType="begin"/>
          </w:r>
          <w:r w:rsidR="00E20E70">
            <w:instrText>DOCPROPERTY "IaeaClassification2"  \* MERGEFORMAT</w:instrText>
          </w:r>
          <w:r>
            <w:fldChar w:fldCharType="end"/>
          </w:r>
        </w:p>
      </w:tc>
    </w:tr>
    <w:tr w:rsidR="00E20E70">
      <w:trPr>
        <w:cantSplit/>
        <w:trHeight w:val="167"/>
      </w:trPr>
      <w:tc>
        <w:tcPr>
          <w:tcW w:w="979" w:type="dxa"/>
          <w:vMerge/>
        </w:tcPr>
        <w:p w:rsidR="00E20E70" w:rsidRDefault="00E20E70">
          <w:pPr>
            <w:spacing w:before="57"/>
          </w:pPr>
        </w:p>
      </w:tc>
      <w:tc>
        <w:tcPr>
          <w:tcW w:w="3638" w:type="dxa"/>
          <w:vAlign w:val="bottom"/>
        </w:tcPr>
        <w:p w:rsidR="00E20E70" w:rsidRDefault="00E20E70">
          <w:pPr>
            <w:pStyle w:val="Heading9"/>
            <w:spacing w:before="0" w:after="10"/>
          </w:pPr>
        </w:p>
      </w:tc>
      <w:tc>
        <w:tcPr>
          <w:tcW w:w="5702" w:type="dxa"/>
          <w:vMerge/>
          <w:vAlign w:val="bottom"/>
        </w:tcPr>
        <w:p w:rsidR="00E20E70" w:rsidRDefault="00E20E70">
          <w:pPr>
            <w:pStyle w:val="Heading9"/>
            <w:spacing w:before="0" w:after="10"/>
          </w:pPr>
        </w:p>
      </w:tc>
    </w:tr>
  </w:tbl>
  <w:p w:rsidR="00E20E70" w:rsidRDefault="00E20E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0"/>
    <w:footnote w:id="1"/>
    <w:footnote w:id="2"/>
  </w:footnotePr>
  <w:endnotePr>
    <w:endnote w:id="0"/>
    <w:endnote w:id="1"/>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701"/>
    <w:rsid w:val="00005434"/>
    <w:rsid w:val="000229AB"/>
    <w:rsid w:val="0002569A"/>
    <w:rsid w:val="00026131"/>
    <w:rsid w:val="00031BB2"/>
    <w:rsid w:val="00037321"/>
    <w:rsid w:val="00062244"/>
    <w:rsid w:val="00076CBD"/>
    <w:rsid w:val="00087F86"/>
    <w:rsid w:val="000A0299"/>
    <w:rsid w:val="000A4DEE"/>
    <w:rsid w:val="000C6F25"/>
    <w:rsid w:val="000E3C2D"/>
    <w:rsid w:val="000F7E94"/>
    <w:rsid w:val="001119D6"/>
    <w:rsid w:val="001146F1"/>
    <w:rsid w:val="001308F2"/>
    <w:rsid w:val="001313E8"/>
    <w:rsid w:val="00181AAF"/>
    <w:rsid w:val="001979A5"/>
    <w:rsid w:val="001A5A70"/>
    <w:rsid w:val="001C58F5"/>
    <w:rsid w:val="001C6C9C"/>
    <w:rsid w:val="001D5CEE"/>
    <w:rsid w:val="001E57DA"/>
    <w:rsid w:val="002071D9"/>
    <w:rsid w:val="00227FCF"/>
    <w:rsid w:val="00256822"/>
    <w:rsid w:val="0026525A"/>
    <w:rsid w:val="00274790"/>
    <w:rsid w:val="00285755"/>
    <w:rsid w:val="002A1F9C"/>
    <w:rsid w:val="002B18CD"/>
    <w:rsid w:val="002B29C2"/>
    <w:rsid w:val="002C4208"/>
    <w:rsid w:val="002E36E6"/>
    <w:rsid w:val="002E77E1"/>
    <w:rsid w:val="002F3EF7"/>
    <w:rsid w:val="002F4768"/>
    <w:rsid w:val="00302925"/>
    <w:rsid w:val="00320AA7"/>
    <w:rsid w:val="00352DE1"/>
    <w:rsid w:val="00355535"/>
    <w:rsid w:val="00361890"/>
    <w:rsid w:val="003728E6"/>
    <w:rsid w:val="003A0279"/>
    <w:rsid w:val="003B5E0E"/>
    <w:rsid w:val="003D255A"/>
    <w:rsid w:val="00416949"/>
    <w:rsid w:val="004206D4"/>
    <w:rsid w:val="0043025C"/>
    <w:rsid w:val="004370D8"/>
    <w:rsid w:val="0045141E"/>
    <w:rsid w:val="00472C43"/>
    <w:rsid w:val="00476794"/>
    <w:rsid w:val="00480CC6"/>
    <w:rsid w:val="00482A14"/>
    <w:rsid w:val="00485101"/>
    <w:rsid w:val="00493D87"/>
    <w:rsid w:val="005073B4"/>
    <w:rsid w:val="00537496"/>
    <w:rsid w:val="00540380"/>
    <w:rsid w:val="00541C64"/>
    <w:rsid w:val="00544ED3"/>
    <w:rsid w:val="0058477B"/>
    <w:rsid w:val="0058654F"/>
    <w:rsid w:val="00596ACA"/>
    <w:rsid w:val="005C2A02"/>
    <w:rsid w:val="005C6701"/>
    <w:rsid w:val="005D1C02"/>
    <w:rsid w:val="005E3101"/>
    <w:rsid w:val="005E39BC"/>
    <w:rsid w:val="005F00A0"/>
    <w:rsid w:val="0061593D"/>
    <w:rsid w:val="00615CF4"/>
    <w:rsid w:val="00616864"/>
    <w:rsid w:val="00624ED9"/>
    <w:rsid w:val="006439EF"/>
    <w:rsid w:val="00647F33"/>
    <w:rsid w:val="00650D3F"/>
    <w:rsid w:val="00662532"/>
    <w:rsid w:val="0068605F"/>
    <w:rsid w:val="006A5F49"/>
    <w:rsid w:val="006B2274"/>
    <w:rsid w:val="006D5EA2"/>
    <w:rsid w:val="00717C6F"/>
    <w:rsid w:val="00722A45"/>
    <w:rsid w:val="00735EDE"/>
    <w:rsid w:val="00740CEB"/>
    <w:rsid w:val="00741ABD"/>
    <w:rsid w:val="007445DA"/>
    <w:rsid w:val="00754204"/>
    <w:rsid w:val="00760A3F"/>
    <w:rsid w:val="00775F18"/>
    <w:rsid w:val="007B4FD1"/>
    <w:rsid w:val="007D12F2"/>
    <w:rsid w:val="007E5928"/>
    <w:rsid w:val="00802381"/>
    <w:rsid w:val="0081297F"/>
    <w:rsid w:val="00815CB3"/>
    <w:rsid w:val="00840EC6"/>
    <w:rsid w:val="00874CAF"/>
    <w:rsid w:val="00883848"/>
    <w:rsid w:val="00884908"/>
    <w:rsid w:val="00897ED5"/>
    <w:rsid w:val="008A6535"/>
    <w:rsid w:val="008B6BB9"/>
    <w:rsid w:val="00900D43"/>
    <w:rsid w:val="009033A8"/>
    <w:rsid w:val="00905752"/>
    <w:rsid w:val="00911543"/>
    <w:rsid w:val="00917BE7"/>
    <w:rsid w:val="009519C9"/>
    <w:rsid w:val="00982FD1"/>
    <w:rsid w:val="00983498"/>
    <w:rsid w:val="009B7183"/>
    <w:rsid w:val="009D0B86"/>
    <w:rsid w:val="009E0D5B"/>
    <w:rsid w:val="009E1558"/>
    <w:rsid w:val="00A247F8"/>
    <w:rsid w:val="00A42898"/>
    <w:rsid w:val="00AB6ACE"/>
    <w:rsid w:val="00AC5A3A"/>
    <w:rsid w:val="00B115B8"/>
    <w:rsid w:val="00B368B8"/>
    <w:rsid w:val="00B82FA5"/>
    <w:rsid w:val="00BB6A81"/>
    <w:rsid w:val="00BD1400"/>
    <w:rsid w:val="00BD605C"/>
    <w:rsid w:val="00BE2A76"/>
    <w:rsid w:val="00BE41E8"/>
    <w:rsid w:val="00C36FF3"/>
    <w:rsid w:val="00C435EF"/>
    <w:rsid w:val="00C57A00"/>
    <w:rsid w:val="00C65E60"/>
    <w:rsid w:val="00C7606D"/>
    <w:rsid w:val="00C956C6"/>
    <w:rsid w:val="00CA6EBA"/>
    <w:rsid w:val="00CC3D6A"/>
    <w:rsid w:val="00CD615A"/>
    <w:rsid w:val="00CE1A85"/>
    <w:rsid w:val="00CE5A52"/>
    <w:rsid w:val="00CF7AF3"/>
    <w:rsid w:val="00D06F01"/>
    <w:rsid w:val="00D26ADA"/>
    <w:rsid w:val="00D35A78"/>
    <w:rsid w:val="00D45298"/>
    <w:rsid w:val="00D5021A"/>
    <w:rsid w:val="00D5113D"/>
    <w:rsid w:val="00D555A1"/>
    <w:rsid w:val="00D64DC2"/>
    <w:rsid w:val="00DA0E38"/>
    <w:rsid w:val="00DA46CA"/>
    <w:rsid w:val="00DD53D0"/>
    <w:rsid w:val="00DF0B01"/>
    <w:rsid w:val="00DF21EB"/>
    <w:rsid w:val="00E04B8C"/>
    <w:rsid w:val="00E1051F"/>
    <w:rsid w:val="00E20E70"/>
    <w:rsid w:val="00E25B68"/>
    <w:rsid w:val="00E368FB"/>
    <w:rsid w:val="00E61985"/>
    <w:rsid w:val="00E84003"/>
    <w:rsid w:val="00EC10FC"/>
    <w:rsid w:val="00ED5F4E"/>
    <w:rsid w:val="00EE0041"/>
    <w:rsid w:val="00EE29B9"/>
    <w:rsid w:val="00EE6651"/>
    <w:rsid w:val="00F004EE"/>
    <w:rsid w:val="00F05FF2"/>
    <w:rsid w:val="00F11A1A"/>
    <w:rsid w:val="00F40106"/>
    <w:rsid w:val="00F42E23"/>
    <w:rsid w:val="00F45EEE"/>
    <w:rsid w:val="00F51E9C"/>
    <w:rsid w:val="00F523CA"/>
    <w:rsid w:val="00F66417"/>
    <w:rsid w:val="00F74A9D"/>
    <w:rsid w:val="00FA707E"/>
    <w:rsid w:val="00FB2787"/>
    <w:rsid w:val="00FF386F"/>
    <w:rsid w:val="00FF6F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4"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rsid w:val="009B7183"/>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rsid w:val="009B7183"/>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rsid w:val="009B7183"/>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rsid w:val="009B7183"/>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rsid w:val="009B7183"/>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rsid w:val="009B7183"/>
    <w:pPr>
      <w:ind w:left="1134" w:hanging="675"/>
    </w:pPr>
  </w:style>
  <w:style w:type="paragraph" w:customStyle="1" w:styleId="BodyTextMultiline">
    <w:name w:val="Body Text Multiline"/>
    <w:basedOn w:val="BodyText"/>
    <w:locked/>
    <w:rsid w:val="009B7183"/>
    <w:pPr>
      <w:numPr>
        <w:numId w:val="1"/>
      </w:numPr>
    </w:pPr>
  </w:style>
  <w:style w:type="paragraph" w:customStyle="1" w:styleId="BodyTextSummary">
    <w:name w:val="Body Text Summary"/>
    <w:uiPriority w:val="49"/>
    <w:locked/>
    <w:rsid w:val="009B7183"/>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rsid w:val="009B7183"/>
    <w:pPr>
      <w:spacing w:after="85"/>
    </w:pPr>
    <w:rPr>
      <w:bCs/>
      <w:sz w:val="18"/>
      <w:lang w:val="en-US" w:eastAsia="en-US"/>
    </w:rPr>
  </w:style>
  <w:style w:type="paragraph" w:styleId="Footer">
    <w:name w:val="footer"/>
    <w:basedOn w:val="Normal"/>
    <w:link w:val="FooterChar"/>
    <w:uiPriority w:val="99"/>
    <w:locked/>
    <w:rsid w:val="009B7183"/>
    <w:pPr>
      <w:overflowPunct/>
      <w:autoSpaceDE/>
      <w:autoSpaceDN/>
      <w:adjustRightInd/>
      <w:textAlignment w:val="auto"/>
    </w:pPr>
    <w:rPr>
      <w:sz w:val="2"/>
      <w:lang w:val="en-US"/>
    </w:rPr>
  </w:style>
  <w:style w:type="paragraph" w:styleId="FootnoteText">
    <w:name w:val="footnote text"/>
    <w:semiHidden/>
    <w:locked/>
    <w:rsid w:val="009B7183"/>
    <w:pPr>
      <w:tabs>
        <w:tab w:val="left" w:pos="459"/>
      </w:tabs>
      <w:spacing w:before="142"/>
      <w:ind w:left="459"/>
      <w:jc w:val="both"/>
    </w:pPr>
    <w:rPr>
      <w:sz w:val="18"/>
      <w:lang w:eastAsia="en-US"/>
    </w:rPr>
  </w:style>
  <w:style w:type="paragraph" w:styleId="Header">
    <w:name w:val="header"/>
    <w:next w:val="BodyText"/>
    <w:uiPriority w:val="49"/>
    <w:locked/>
    <w:rsid w:val="009B7183"/>
    <w:pPr>
      <w:spacing w:after="85"/>
    </w:pPr>
    <w:rPr>
      <w:sz w:val="18"/>
      <w:lang w:val="en-US" w:eastAsia="en-US"/>
    </w:rPr>
  </w:style>
  <w:style w:type="paragraph" w:customStyle="1" w:styleId="ListBulleted">
    <w:name w:val="List Bulleted"/>
    <w:uiPriority w:val="7"/>
    <w:qFormat/>
    <w:locked/>
    <w:rsid w:val="009B7183"/>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rsid w:val="009B7183"/>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rsid w:val="009B7183"/>
    <w:pPr>
      <w:spacing w:after="20" w:line="220" w:lineRule="exact"/>
      <w:jc w:val="right"/>
    </w:pPr>
    <w:rPr>
      <w:rFonts w:ascii="Arial" w:hAnsi="Arial" w:cs="Arial"/>
      <w:color w:val="FF0000"/>
    </w:rPr>
  </w:style>
  <w:style w:type="paragraph" w:customStyle="1" w:styleId="zyxConfidRed">
    <w:name w:val="zyxConfidRed"/>
    <w:uiPriority w:val="49"/>
    <w:locked/>
    <w:rsid w:val="009B7183"/>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rsid w:val="009B7183"/>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rsid w:val="009B7183"/>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rsid w:val="009B7183"/>
    <w:pPr>
      <w:spacing w:after="60" w:line="280" w:lineRule="exact"/>
      <w:ind w:left="113"/>
    </w:pPr>
    <w:rPr>
      <w:sz w:val="22"/>
      <w:lang w:eastAsia="en-US"/>
    </w:rPr>
  </w:style>
  <w:style w:type="paragraph" w:customStyle="1" w:styleId="zyxFillIn">
    <w:name w:val="zyxFill_In"/>
    <w:basedOn w:val="zyxPrePrint"/>
    <w:uiPriority w:val="49"/>
    <w:locked/>
    <w:rsid w:val="009B7183"/>
    <w:rPr>
      <w:b/>
    </w:rPr>
  </w:style>
  <w:style w:type="paragraph" w:customStyle="1" w:styleId="zyxLogo">
    <w:name w:val="zyxLogo"/>
    <w:basedOn w:val="Normal"/>
    <w:uiPriority w:val="49"/>
    <w:locked/>
    <w:rsid w:val="009B7183"/>
    <w:pPr>
      <w:keepNext/>
      <w:spacing w:after="10"/>
    </w:pPr>
    <w:rPr>
      <w:rFonts w:ascii="Arial" w:hAnsi="Arial"/>
      <w:b/>
      <w:sz w:val="13"/>
    </w:rPr>
  </w:style>
  <w:style w:type="paragraph" w:customStyle="1" w:styleId="zyxP1Footer">
    <w:name w:val="zyxP1_Footer"/>
    <w:basedOn w:val="Normal"/>
    <w:uiPriority w:val="49"/>
    <w:locked/>
    <w:rsid w:val="009B7183"/>
    <w:pPr>
      <w:widowControl w:val="0"/>
      <w:spacing w:line="160" w:lineRule="exact"/>
      <w:ind w:left="108"/>
    </w:pPr>
    <w:rPr>
      <w:sz w:val="14"/>
    </w:rPr>
  </w:style>
  <w:style w:type="paragraph" w:customStyle="1" w:styleId="zyxSensitivity">
    <w:name w:val="zyxSensitivity"/>
    <w:basedOn w:val="Normal"/>
    <w:uiPriority w:val="49"/>
    <w:locked/>
    <w:rsid w:val="009B7183"/>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rsid w:val="009B7183"/>
    <w:pPr>
      <w:keepNext/>
      <w:spacing w:line="420" w:lineRule="exact"/>
    </w:pPr>
    <w:rPr>
      <w:rFonts w:ascii="Arial" w:hAnsi="Arial"/>
      <w:sz w:val="40"/>
    </w:rPr>
  </w:style>
  <w:style w:type="character" w:styleId="FootnoteReference">
    <w:name w:val="footnote reference"/>
    <w:basedOn w:val="DefaultParagraphFont"/>
    <w:semiHidden/>
    <w:locked/>
    <w:rsid w:val="009B7183"/>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rsid w:val="009B7183"/>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rsid w:val="009B7183"/>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rsid w:val="009B7183"/>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Bibliography">
    <w:name w:val="Bibliography"/>
    <w:basedOn w:val="Normal"/>
    <w:next w:val="Normal"/>
    <w:uiPriority w:val="37"/>
    <w:unhideWhenUsed/>
    <w:locked/>
    <w:rsid w:val="00616864"/>
    <w:pPr>
      <w:tabs>
        <w:tab w:val="left" w:pos="384"/>
      </w:tabs>
      <w:ind w:left="384" w:hanging="38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1E9E351C-9D8E-4846-A7F3-4FA888FD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128</TotalTime>
  <Pages>5</Pages>
  <Words>4991</Words>
  <Characters>28450</Characters>
  <Application>Microsoft Office Word</Application>
  <DocSecurity>0</DocSecurity>
  <Lines>237</Lines>
  <Paragraphs>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IAEA</vt:lpstr>
      <vt:lpstr>IAEA</vt:lpstr>
    </vt:vector>
  </TitlesOfParts>
  <Company>IAEA</Company>
  <LinksUpToDate>false</LinksUpToDate>
  <CharactersWithSpaces>33375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Yucehan Kutlu</cp:lastModifiedBy>
  <cp:revision>7</cp:revision>
  <cp:lastPrinted>2024-05-31T09:45:00Z</cp:lastPrinted>
  <dcterms:created xsi:type="dcterms:W3CDTF">2024-05-31T11:27:00Z</dcterms:created>
  <dcterms:modified xsi:type="dcterms:W3CDTF">2024-09-05T08:59:00Z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zotero-version="6.0.36"&gt;&lt;session id="pztkvcBK"/&gt;&lt;style id="http://www.zotero.org/styles/ieee" locale="en-US" hasBibliography="1" bibliographyStyleHasBeenSet="1"/&gt;&lt;prefs&gt;&lt;pref name="fieldType" value="Field"/&gt;&lt;pref name="automaticJour</vt:lpwstr>
  </property>
  <property fmtid="{D5CDD505-2E9C-101B-9397-08002B2CF9AE}" pid="12" name="ZOTERO_PREF_2">
    <vt:lpwstr>nalAbbreviations" value="true"/&gt;&lt;/prefs&gt;&lt;/data&gt;</vt:lpwstr>
  </property>
</Properties>
</file>