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217402" w14:textId="0C5792E5" w:rsidR="00B06AC1" w:rsidRDefault="00085536" w:rsidP="00537496">
      <w:pPr>
        <w:pStyle w:val="Heading1"/>
      </w:pPr>
      <w:r w:rsidRPr="00085536">
        <w:t>U</w:t>
      </w:r>
      <w:r w:rsidR="00A02D51">
        <w:t>.</w:t>
      </w:r>
      <w:r w:rsidR="00074DB1">
        <w:t>S</w:t>
      </w:r>
      <w:r w:rsidR="00A02D51">
        <w:t>.</w:t>
      </w:r>
      <w:r w:rsidRPr="00085536">
        <w:t xml:space="preserve">–UK Bi-Lateral Collaboration on </w:t>
      </w:r>
    </w:p>
    <w:p w14:paraId="65801447" w14:textId="77777777" w:rsidR="00B06AC1" w:rsidRDefault="00085536" w:rsidP="00537496">
      <w:pPr>
        <w:pStyle w:val="Heading1"/>
      </w:pPr>
      <w:r w:rsidRPr="00085536">
        <w:t xml:space="preserve">Safeguards Analysis for </w:t>
      </w:r>
    </w:p>
    <w:p w14:paraId="45A501F0" w14:textId="076C6C36" w:rsidR="00E20E70" w:rsidRPr="00EE29B9" w:rsidRDefault="00085536" w:rsidP="00537496">
      <w:pPr>
        <w:pStyle w:val="Heading1"/>
      </w:pPr>
      <w:r w:rsidRPr="00085536">
        <w:t>a Nominal Molten Salt Reactor Design</w:t>
      </w:r>
    </w:p>
    <w:p w14:paraId="4D1B799F" w14:textId="77777777" w:rsidR="00802381" w:rsidRDefault="00802381" w:rsidP="00537496">
      <w:pPr>
        <w:pStyle w:val="Authornameandaffiliation"/>
      </w:pPr>
    </w:p>
    <w:p w14:paraId="439DBE4F" w14:textId="77777777" w:rsidR="005872E1" w:rsidRDefault="005872E1" w:rsidP="00537496">
      <w:pPr>
        <w:pStyle w:val="Authornameandaffiliation"/>
      </w:pPr>
    </w:p>
    <w:p w14:paraId="3D569707" w14:textId="77777777" w:rsidR="00B41170" w:rsidRPr="006403AB" w:rsidRDefault="00085536" w:rsidP="00085536">
      <w:pPr>
        <w:pStyle w:val="Authornameandaffiliation"/>
        <w:rPr>
          <w:caps/>
        </w:rPr>
      </w:pPr>
      <w:r w:rsidRPr="006403AB">
        <w:rPr>
          <w:caps/>
        </w:rPr>
        <w:t>L</w:t>
      </w:r>
      <w:r w:rsidR="00A732AC" w:rsidRPr="006403AB">
        <w:rPr>
          <w:caps/>
        </w:rPr>
        <w:t>.M. Scott</w:t>
      </w:r>
      <w:r w:rsidRPr="006403AB">
        <w:rPr>
          <w:caps/>
        </w:rPr>
        <w:t xml:space="preserve"> </w:t>
      </w:r>
    </w:p>
    <w:p w14:paraId="2F74E77C" w14:textId="2D43B62A" w:rsidR="00B41170" w:rsidRDefault="00B41170" w:rsidP="00B41170">
      <w:pPr>
        <w:pStyle w:val="Authornameandaffiliation"/>
      </w:pPr>
      <w:r>
        <w:t>Oak Ridge National Laboratory</w:t>
      </w:r>
    </w:p>
    <w:p w14:paraId="32E14B93" w14:textId="00405FEC" w:rsidR="00B41170" w:rsidRDefault="00B41170" w:rsidP="00B41170">
      <w:pPr>
        <w:pStyle w:val="Authornameandaffiliation"/>
      </w:pPr>
      <w:r>
        <w:t>Oak Ridge, Tennessee, USA</w:t>
      </w:r>
    </w:p>
    <w:p w14:paraId="081D23D7" w14:textId="56ED3C2F" w:rsidR="00B41170" w:rsidRDefault="00B41170" w:rsidP="00B41170">
      <w:pPr>
        <w:pStyle w:val="Authornameandaffiliation"/>
      </w:pPr>
      <w:r>
        <w:t xml:space="preserve">Email: </w:t>
      </w:r>
      <w:r w:rsidR="002D4D93">
        <w:t>scottlm@ornl.gov</w:t>
      </w:r>
    </w:p>
    <w:p w14:paraId="40954953" w14:textId="77777777" w:rsidR="00B41170" w:rsidRDefault="00B41170" w:rsidP="00085536">
      <w:pPr>
        <w:pStyle w:val="Authornameandaffiliation"/>
      </w:pPr>
    </w:p>
    <w:p w14:paraId="3114D11F" w14:textId="5CDA366C" w:rsidR="00D174E2" w:rsidRPr="006403AB" w:rsidRDefault="00085536" w:rsidP="00D174E2">
      <w:pPr>
        <w:pStyle w:val="Authornameandaffiliation"/>
        <w:rPr>
          <w:caps/>
        </w:rPr>
      </w:pPr>
      <w:r w:rsidRPr="006403AB">
        <w:rPr>
          <w:caps/>
        </w:rPr>
        <w:t>S</w:t>
      </w:r>
      <w:r w:rsidR="00737377" w:rsidRPr="006403AB">
        <w:rPr>
          <w:caps/>
        </w:rPr>
        <w:t xml:space="preserve">. </w:t>
      </w:r>
      <w:r w:rsidRPr="006403AB">
        <w:rPr>
          <w:caps/>
        </w:rPr>
        <w:t xml:space="preserve">Atkinson </w:t>
      </w:r>
    </w:p>
    <w:p w14:paraId="5A3C5A30" w14:textId="77777777" w:rsidR="00D174E2" w:rsidRPr="006403AB" w:rsidRDefault="00085536" w:rsidP="00D174E2">
      <w:pPr>
        <w:pStyle w:val="Authornameandaffiliation"/>
        <w:rPr>
          <w:caps/>
        </w:rPr>
      </w:pPr>
      <w:r w:rsidRPr="006403AB">
        <w:rPr>
          <w:caps/>
        </w:rPr>
        <w:t>M</w:t>
      </w:r>
      <w:r w:rsidR="00D174E2" w:rsidRPr="006403AB">
        <w:rPr>
          <w:caps/>
        </w:rPr>
        <w:t>.</w:t>
      </w:r>
      <w:r w:rsidRPr="006403AB">
        <w:rPr>
          <w:caps/>
        </w:rPr>
        <w:t xml:space="preserve"> Edmondson </w:t>
      </w:r>
    </w:p>
    <w:p w14:paraId="2084A20C" w14:textId="156872D3" w:rsidR="00D174E2" w:rsidRPr="006403AB" w:rsidRDefault="00085536" w:rsidP="00D174E2">
      <w:pPr>
        <w:pStyle w:val="Authornameandaffiliation"/>
        <w:rPr>
          <w:caps/>
        </w:rPr>
      </w:pPr>
      <w:r w:rsidRPr="006403AB">
        <w:rPr>
          <w:caps/>
        </w:rPr>
        <w:t>M</w:t>
      </w:r>
      <w:r w:rsidR="000E24EA">
        <w:rPr>
          <w:caps/>
        </w:rPr>
        <w:t xml:space="preserve">. </w:t>
      </w:r>
      <w:r w:rsidRPr="006403AB">
        <w:rPr>
          <w:caps/>
        </w:rPr>
        <w:t>Budsworth</w:t>
      </w:r>
      <w:r w:rsidR="004C131A" w:rsidRPr="006403AB">
        <w:rPr>
          <w:caps/>
        </w:rPr>
        <w:t xml:space="preserve"> </w:t>
      </w:r>
    </w:p>
    <w:p w14:paraId="2116FB54" w14:textId="2389479B" w:rsidR="00D174E2" w:rsidRDefault="00D174E2" w:rsidP="00D174E2">
      <w:pPr>
        <w:pStyle w:val="Authornameandaffiliation"/>
      </w:pPr>
      <w:r>
        <w:t>National Nuclear Laboratory</w:t>
      </w:r>
    </w:p>
    <w:p w14:paraId="06E739B2" w14:textId="75E8DC16" w:rsidR="00D174E2" w:rsidRDefault="00AE6A73" w:rsidP="00D174E2">
      <w:pPr>
        <w:pStyle w:val="Authornameandaffiliation"/>
      </w:pPr>
      <w:r w:rsidRPr="00AE6A73">
        <w:t>Warrington</w:t>
      </w:r>
      <w:r w:rsidR="00D174E2">
        <w:t>, England</w:t>
      </w:r>
      <w:r>
        <w:t>, UK</w:t>
      </w:r>
    </w:p>
    <w:p w14:paraId="3788ABFD" w14:textId="77777777" w:rsidR="00D174E2" w:rsidRDefault="00D174E2" w:rsidP="000E24EA">
      <w:pPr>
        <w:pStyle w:val="Authornameandaffiliation"/>
        <w:ind w:left="0"/>
      </w:pPr>
    </w:p>
    <w:p w14:paraId="4A36FE37" w14:textId="5392AC8D" w:rsidR="00D174E2" w:rsidRPr="00C0633D" w:rsidRDefault="00EA5765" w:rsidP="00D174E2">
      <w:pPr>
        <w:pStyle w:val="Authornameandaffiliation"/>
        <w:rPr>
          <w:caps/>
        </w:rPr>
      </w:pPr>
      <w:r w:rsidRPr="00C0633D">
        <w:rPr>
          <w:caps/>
        </w:rPr>
        <w:t>R.</w:t>
      </w:r>
      <w:r w:rsidR="00905AB0" w:rsidRPr="00C0633D">
        <w:rPr>
          <w:caps/>
        </w:rPr>
        <w:t xml:space="preserve">R. </w:t>
      </w:r>
      <w:r w:rsidR="001C1B73" w:rsidRPr="00C0633D">
        <w:rPr>
          <w:caps/>
        </w:rPr>
        <w:t>Smith</w:t>
      </w:r>
    </w:p>
    <w:p w14:paraId="0F52FDA7" w14:textId="6F876317" w:rsidR="00A064EF" w:rsidRPr="006D0BA7" w:rsidRDefault="001C1B73" w:rsidP="006D0BA7">
      <w:pPr>
        <w:pStyle w:val="Authornameandaffiliation"/>
        <w:rPr>
          <w:caps/>
        </w:rPr>
      </w:pPr>
      <w:r w:rsidRPr="00C0633D">
        <w:rPr>
          <w:caps/>
        </w:rPr>
        <w:t>B</w:t>
      </w:r>
      <w:r w:rsidR="00EA5765" w:rsidRPr="00C0633D">
        <w:rPr>
          <w:caps/>
        </w:rPr>
        <w:t xml:space="preserve">. </w:t>
      </w:r>
      <w:r w:rsidRPr="00C0633D">
        <w:rPr>
          <w:caps/>
        </w:rPr>
        <w:t>Aranguren</w:t>
      </w:r>
    </w:p>
    <w:p w14:paraId="6EA5F0B1" w14:textId="77777777" w:rsidR="00EA5765" w:rsidRDefault="00EA5765" w:rsidP="00EA5765">
      <w:pPr>
        <w:pStyle w:val="Authornameandaffiliation"/>
      </w:pPr>
      <w:r>
        <w:t>U.S. Department of Energy/National Nuclear Security Administration</w:t>
      </w:r>
    </w:p>
    <w:p w14:paraId="6F0F96CE" w14:textId="77777777" w:rsidR="00EA5765" w:rsidRDefault="00EA5765" w:rsidP="00EA5765">
      <w:pPr>
        <w:pStyle w:val="Authornameandaffiliation"/>
      </w:pPr>
      <w:r>
        <w:t>Washington, DC, USA</w:t>
      </w:r>
    </w:p>
    <w:p w14:paraId="1DAE9757" w14:textId="77777777" w:rsidR="00D174E2" w:rsidRPr="000E24EA" w:rsidRDefault="00D174E2" w:rsidP="000E24EA">
      <w:pPr>
        <w:pStyle w:val="Authornameandaffiliation"/>
        <w:ind w:left="0"/>
      </w:pPr>
    </w:p>
    <w:p w14:paraId="7B9D915A" w14:textId="7998FC68" w:rsidR="00D174E2" w:rsidRPr="000E24EA" w:rsidRDefault="00150794" w:rsidP="00D174E2">
      <w:pPr>
        <w:pStyle w:val="Authornameandaffiliation"/>
        <w:rPr>
          <w:caps/>
        </w:rPr>
      </w:pPr>
      <w:r w:rsidRPr="000E24EA">
        <w:rPr>
          <w:caps/>
        </w:rPr>
        <w:t>L</w:t>
      </w:r>
      <w:r w:rsidR="000E24EA">
        <w:rPr>
          <w:caps/>
        </w:rPr>
        <w:t xml:space="preserve">. </w:t>
      </w:r>
      <w:r w:rsidRPr="000E24EA">
        <w:rPr>
          <w:caps/>
        </w:rPr>
        <w:t>Timewell</w:t>
      </w:r>
    </w:p>
    <w:p w14:paraId="787BC99D" w14:textId="327F44D0" w:rsidR="00D174E2" w:rsidRPr="000E24EA" w:rsidRDefault="00FD5A76" w:rsidP="00D174E2">
      <w:pPr>
        <w:pStyle w:val="Authornameandaffiliation"/>
        <w:rPr>
          <w:caps/>
        </w:rPr>
      </w:pPr>
      <w:r w:rsidRPr="000E24EA">
        <w:rPr>
          <w:caps/>
        </w:rPr>
        <w:t>A</w:t>
      </w:r>
      <w:r w:rsidR="000E24EA">
        <w:rPr>
          <w:caps/>
        </w:rPr>
        <w:t xml:space="preserve">. </w:t>
      </w:r>
      <w:r w:rsidRPr="000E24EA">
        <w:rPr>
          <w:caps/>
        </w:rPr>
        <w:t>Girling</w:t>
      </w:r>
    </w:p>
    <w:p w14:paraId="574B4E49" w14:textId="5AF3FD87" w:rsidR="00D174E2" w:rsidRDefault="000E24EA" w:rsidP="00D174E2">
      <w:pPr>
        <w:pStyle w:val="Authornameandaffiliation"/>
      </w:pPr>
      <w:r>
        <w:t>U.K. Department of Energy Security &amp; Net Zero</w:t>
      </w:r>
    </w:p>
    <w:p w14:paraId="31F7E590" w14:textId="16A49CB9" w:rsidR="000E24EA" w:rsidRDefault="000E24EA" w:rsidP="00D174E2">
      <w:pPr>
        <w:pStyle w:val="Authornameandaffiliation"/>
      </w:pPr>
      <w:r>
        <w:t>London, England, UK</w:t>
      </w:r>
    </w:p>
    <w:p w14:paraId="41717B75" w14:textId="77777777" w:rsidR="006D0BA7" w:rsidRDefault="006D0BA7" w:rsidP="00D174E2">
      <w:pPr>
        <w:pStyle w:val="Authornameandaffiliation"/>
      </w:pPr>
    </w:p>
    <w:p w14:paraId="74BCC491" w14:textId="655D662B" w:rsidR="006D0BA7" w:rsidRDefault="006D0BA7" w:rsidP="006D0BA7">
      <w:pPr>
        <w:pStyle w:val="Authornameandaffiliation"/>
        <w:rPr>
          <w:caps/>
        </w:rPr>
      </w:pPr>
      <w:r>
        <w:rPr>
          <w:caps/>
        </w:rPr>
        <w:t>K.J. Steenhoek</w:t>
      </w:r>
    </w:p>
    <w:p w14:paraId="5136FA7F" w14:textId="00D6373E" w:rsidR="00CA6CF0" w:rsidRDefault="00CA6CF0" w:rsidP="00CA6CF0">
      <w:pPr>
        <w:pStyle w:val="Authornameandaffiliation"/>
      </w:pPr>
      <w:r>
        <w:t>Oberon Three, LL</w:t>
      </w:r>
      <w:r w:rsidR="002B44BB">
        <w:t>C</w:t>
      </w:r>
    </w:p>
    <w:p w14:paraId="4534AB36" w14:textId="77777777" w:rsidR="00CA6CF0" w:rsidRDefault="00CA6CF0" w:rsidP="00CA6CF0">
      <w:pPr>
        <w:pStyle w:val="Authornameandaffiliation"/>
      </w:pPr>
      <w:r>
        <w:t>London, England, UK</w:t>
      </w:r>
    </w:p>
    <w:p w14:paraId="0BB7F184" w14:textId="77777777" w:rsidR="002F765A" w:rsidRDefault="002F765A" w:rsidP="00682460">
      <w:pPr>
        <w:pStyle w:val="Authornameandaffiliation"/>
        <w:ind w:left="0"/>
      </w:pPr>
    </w:p>
    <w:p w14:paraId="2C7F19CB" w14:textId="77777777" w:rsidR="00FF386F" w:rsidRDefault="00FF386F" w:rsidP="009124D1">
      <w:pPr>
        <w:pStyle w:val="Authornameandaffiliation"/>
        <w:ind w:left="0"/>
      </w:pPr>
    </w:p>
    <w:p w14:paraId="230D4575" w14:textId="197B0FF8" w:rsidR="00647F33" w:rsidRPr="00647F33" w:rsidRDefault="00647F33" w:rsidP="00537496">
      <w:pPr>
        <w:pStyle w:val="Authornameandaffiliation"/>
        <w:rPr>
          <w:b/>
        </w:rPr>
      </w:pPr>
      <w:r w:rsidRPr="00647F33">
        <w:rPr>
          <w:b/>
        </w:rPr>
        <w:t>Abstract</w:t>
      </w:r>
    </w:p>
    <w:p w14:paraId="4F2E62A2" w14:textId="77777777" w:rsidR="00647F33" w:rsidRDefault="00647F33" w:rsidP="00537496">
      <w:pPr>
        <w:pStyle w:val="Authornameandaffiliation"/>
      </w:pPr>
    </w:p>
    <w:p w14:paraId="2D9BE698" w14:textId="5271A06B" w:rsidR="00F842FC" w:rsidRPr="000A71C3" w:rsidRDefault="00F842FC" w:rsidP="00F842FC">
      <w:pPr>
        <w:pStyle w:val="BodyText"/>
        <w:rPr>
          <w:sz w:val="18"/>
          <w:szCs w:val="18"/>
        </w:rPr>
      </w:pPr>
      <w:r w:rsidRPr="000A71C3">
        <w:rPr>
          <w:sz w:val="18"/>
          <w:szCs w:val="18"/>
        </w:rPr>
        <w:t xml:space="preserve">This </w:t>
      </w:r>
      <w:r w:rsidR="009669E6" w:rsidRPr="000A71C3">
        <w:rPr>
          <w:sz w:val="18"/>
          <w:szCs w:val="18"/>
        </w:rPr>
        <w:t xml:space="preserve">work </w:t>
      </w:r>
      <w:r w:rsidRPr="000A71C3">
        <w:rPr>
          <w:sz w:val="18"/>
          <w:szCs w:val="18"/>
        </w:rPr>
        <w:t xml:space="preserve">introduces a nominal </w:t>
      </w:r>
      <w:r w:rsidR="009669E6" w:rsidRPr="000A71C3">
        <w:rPr>
          <w:sz w:val="18"/>
          <w:szCs w:val="18"/>
        </w:rPr>
        <w:t>molten salt reactor (</w:t>
      </w:r>
      <w:r w:rsidRPr="000A71C3">
        <w:rPr>
          <w:sz w:val="18"/>
          <w:szCs w:val="18"/>
        </w:rPr>
        <w:t>MSR</w:t>
      </w:r>
      <w:r w:rsidR="009669E6" w:rsidRPr="000A71C3">
        <w:rPr>
          <w:sz w:val="18"/>
          <w:szCs w:val="18"/>
        </w:rPr>
        <w:t>)</w:t>
      </w:r>
      <w:r w:rsidRPr="000A71C3">
        <w:rPr>
          <w:sz w:val="18"/>
          <w:szCs w:val="18"/>
        </w:rPr>
        <w:t xml:space="preserve"> design </w:t>
      </w:r>
      <w:r w:rsidR="0098338C" w:rsidRPr="000A71C3">
        <w:rPr>
          <w:sz w:val="18"/>
          <w:szCs w:val="18"/>
        </w:rPr>
        <w:t>and the basis for developing a</w:t>
      </w:r>
      <w:r w:rsidR="009669E6" w:rsidRPr="000A71C3">
        <w:rPr>
          <w:sz w:val="18"/>
          <w:szCs w:val="18"/>
        </w:rPr>
        <w:t xml:space="preserve"> </w:t>
      </w:r>
      <w:r w:rsidR="00147C3B" w:rsidRPr="000A71C3">
        <w:rPr>
          <w:sz w:val="18"/>
          <w:szCs w:val="18"/>
        </w:rPr>
        <w:t>broadly applicable</w:t>
      </w:r>
      <w:r w:rsidR="009669E6" w:rsidRPr="000A71C3">
        <w:rPr>
          <w:sz w:val="18"/>
          <w:szCs w:val="18"/>
        </w:rPr>
        <w:t xml:space="preserve"> </w:t>
      </w:r>
      <w:r w:rsidRPr="000A71C3">
        <w:rPr>
          <w:sz w:val="18"/>
          <w:szCs w:val="18"/>
        </w:rPr>
        <w:t>safeguard</w:t>
      </w:r>
      <w:r w:rsidR="009669E6" w:rsidRPr="000A71C3">
        <w:rPr>
          <w:sz w:val="18"/>
          <w:szCs w:val="18"/>
        </w:rPr>
        <w:t>s</w:t>
      </w:r>
      <w:r w:rsidRPr="000A71C3">
        <w:rPr>
          <w:sz w:val="18"/>
          <w:szCs w:val="18"/>
        </w:rPr>
        <w:t xml:space="preserve"> analysis. Th</w:t>
      </w:r>
      <w:r w:rsidR="009669E6" w:rsidRPr="000A71C3">
        <w:rPr>
          <w:sz w:val="18"/>
          <w:szCs w:val="18"/>
        </w:rPr>
        <w:t>e simplified methodology is presented as a</w:t>
      </w:r>
      <w:r w:rsidRPr="000A71C3">
        <w:rPr>
          <w:sz w:val="18"/>
          <w:szCs w:val="18"/>
        </w:rPr>
        <w:t xml:space="preserve"> baseline from which more complex designs can be assessed, and the starting point for what is likely to be a multi-year programme</w:t>
      </w:r>
      <w:r w:rsidR="00375ADC" w:rsidRPr="000A71C3">
        <w:rPr>
          <w:sz w:val="18"/>
          <w:szCs w:val="18"/>
        </w:rPr>
        <w:t xml:space="preserve"> to investigate the component-level safeguards considerations</w:t>
      </w:r>
      <w:r w:rsidRPr="000A71C3">
        <w:rPr>
          <w:sz w:val="18"/>
          <w:szCs w:val="18"/>
        </w:rPr>
        <w:t>.</w:t>
      </w:r>
      <w:r w:rsidR="00375ADC" w:rsidRPr="000A71C3">
        <w:rPr>
          <w:sz w:val="18"/>
          <w:szCs w:val="18"/>
        </w:rPr>
        <w:t xml:space="preserve"> </w:t>
      </w:r>
      <w:r w:rsidRPr="000A71C3">
        <w:rPr>
          <w:sz w:val="18"/>
          <w:szCs w:val="18"/>
        </w:rPr>
        <w:t>This will include benchmarking where existing safeguard technology</w:t>
      </w:r>
      <w:r w:rsidR="002F1C87" w:rsidRPr="000A71C3">
        <w:rPr>
          <w:sz w:val="18"/>
          <w:szCs w:val="18"/>
        </w:rPr>
        <w:t xml:space="preserve"> and methods are</w:t>
      </w:r>
      <w:r w:rsidRPr="000A71C3">
        <w:rPr>
          <w:sz w:val="18"/>
          <w:szCs w:val="18"/>
        </w:rPr>
        <w:t xml:space="preserve"> appropriate and where novel approaches for achieving the IAEA objectives are required. </w:t>
      </w:r>
    </w:p>
    <w:p w14:paraId="03C6D75B" w14:textId="616112A5" w:rsidR="00647F33" w:rsidRDefault="00F523CA" w:rsidP="00537496">
      <w:pPr>
        <w:pStyle w:val="Heading2"/>
        <w:numPr>
          <w:ilvl w:val="1"/>
          <w:numId w:val="10"/>
        </w:numPr>
      </w:pPr>
      <w:r>
        <w:t>INTRODUCTION</w:t>
      </w:r>
    </w:p>
    <w:p w14:paraId="3CECEEFA" w14:textId="08CB8182" w:rsidR="00640203" w:rsidRDefault="0081269A" w:rsidP="0081269A">
      <w:pPr>
        <w:pStyle w:val="BodyText"/>
      </w:pPr>
      <w:r>
        <w:t xml:space="preserve">Several economic and environmental factors are driving new levels of innovation in the advanced nuclear sector. Advanced reactor technologies </w:t>
      </w:r>
      <w:r w:rsidR="00640203">
        <w:t>represent a significa</w:t>
      </w:r>
      <w:r w:rsidR="00C96B1C">
        <w:t>nt</w:t>
      </w:r>
      <w:r w:rsidR="00640203">
        <w:t xml:space="preserve"> departure from conventional reactor technology</w:t>
      </w:r>
      <w:r w:rsidR="00B263A6">
        <w:t xml:space="preserve"> </w:t>
      </w:r>
      <w:r w:rsidR="00343248">
        <w:t>and</w:t>
      </w:r>
      <w:r w:rsidR="00640203">
        <w:t xml:space="preserve"> offer both new opportunities and new challenges. One technology generating significant interest across the global nuclear community is the Molten Salt Reactor (MSR). MSRs</w:t>
      </w:r>
      <w:r w:rsidR="00B263A6">
        <w:t>, like all generation IV reactors</w:t>
      </w:r>
      <w:r w:rsidR="00343248">
        <w:t>,</w:t>
      </w:r>
      <w:r w:rsidR="00640203">
        <w:t xml:space="preserve"> </w:t>
      </w:r>
      <w:r w:rsidR="00B263A6">
        <w:t>promise</w:t>
      </w:r>
      <w:r w:rsidR="00640203">
        <w:t xml:space="preserve"> </w:t>
      </w:r>
      <w:r w:rsidR="00DF3ECC">
        <w:t>the</w:t>
      </w:r>
      <w:r>
        <w:t xml:space="preserve"> potential for improved</w:t>
      </w:r>
      <w:r w:rsidR="00DF3ECC">
        <w:t xml:space="preserve"> </w:t>
      </w:r>
      <w:r w:rsidR="00640203">
        <w:t xml:space="preserve">safety, efficiency, </w:t>
      </w:r>
      <w:r w:rsidR="00DF3ECC">
        <w:t xml:space="preserve">and deployment </w:t>
      </w:r>
      <w:r w:rsidR="00640203">
        <w:t>flexibilit</w:t>
      </w:r>
      <w:r w:rsidR="00DF3ECC">
        <w:t>y for a variety of industrial and power generation applications</w:t>
      </w:r>
      <w:r w:rsidR="00640203">
        <w:t xml:space="preserve">. However, </w:t>
      </w:r>
      <w:r w:rsidR="00B263A6">
        <w:t>MSRs are distinct among this generation of reactor in using a liquid fuel</w:t>
      </w:r>
      <w:r w:rsidR="00B263A6">
        <w:rPr>
          <w:rStyle w:val="FootnoteReference"/>
        </w:rPr>
        <w:footnoteReference w:id="2"/>
      </w:r>
      <w:r w:rsidR="00DE1D68">
        <w:t>.</w:t>
      </w:r>
      <w:r w:rsidR="00B263A6">
        <w:t xml:space="preserve"> </w:t>
      </w:r>
      <w:r w:rsidR="00DE1D68">
        <w:t xml:space="preserve">Alongside </w:t>
      </w:r>
      <w:r w:rsidR="00640203">
        <w:t>their transformative potential, the proliferation risks associated with MSR technology necessitate rigorous International Atomic Energy Agency (IAEA) safeguards to ensure nuclear non-proliferation objectives are upheld.</w:t>
      </w:r>
    </w:p>
    <w:p w14:paraId="47F3141A" w14:textId="426F24B2" w:rsidR="00640203" w:rsidRDefault="00640203" w:rsidP="00640203">
      <w:pPr>
        <w:pStyle w:val="BodyText"/>
      </w:pPr>
      <w:r>
        <w:t xml:space="preserve">The IAEA plays a pivotal role in establishing and implementing safeguards measures to prevent the diversion of nuclear materials for </w:t>
      </w:r>
      <w:r w:rsidR="00960B43">
        <w:t xml:space="preserve">non-peaceful </w:t>
      </w:r>
      <w:r>
        <w:t xml:space="preserve">purposes while facilitating the peaceful uses of nuclear energy. </w:t>
      </w:r>
      <w:r w:rsidR="008E6008">
        <w:t xml:space="preserve">To this point, </w:t>
      </w:r>
      <w:r w:rsidR="00797621">
        <w:t xml:space="preserve">IAEA </w:t>
      </w:r>
      <w:r w:rsidR="008E6008">
        <w:t xml:space="preserve">safeguards </w:t>
      </w:r>
      <w:r w:rsidR="00925EEC">
        <w:t>approaches</w:t>
      </w:r>
      <w:r w:rsidR="00797621">
        <w:t xml:space="preserve"> for reactor</w:t>
      </w:r>
      <w:r w:rsidR="00B178FD">
        <w:t>s</w:t>
      </w:r>
      <w:r w:rsidR="00925EEC">
        <w:t xml:space="preserve"> have been </w:t>
      </w:r>
      <w:r w:rsidR="00B178FD">
        <w:t>applied predominantly to</w:t>
      </w:r>
      <w:r w:rsidR="00925EEC">
        <w:t xml:space="preserve"> the operational fleet </w:t>
      </w:r>
      <w:r w:rsidR="00797621">
        <w:t xml:space="preserve">comprised of light water reactors (LWRs) and </w:t>
      </w:r>
      <w:r w:rsidR="003214C5">
        <w:t>pressurized heavy water reactors</w:t>
      </w:r>
      <w:r w:rsidR="00B32D32">
        <w:t>.</w:t>
      </w:r>
      <w:r w:rsidR="00797621">
        <w:t xml:space="preserve"> </w:t>
      </w:r>
      <w:r>
        <w:t xml:space="preserve">MSRs </w:t>
      </w:r>
      <w:r w:rsidR="00440383">
        <w:t xml:space="preserve">are </w:t>
      </w:r>
      <w:r w:rsidR="00777134">
        <w:t>notably distinct from</w:t>
      </w:r>
      <w:r w:rsidR="00B32D32">
        <w:t xml:space="preserve"> </w:t>
      </w:r>
      <w:r w:rsidR="00B32D32">
        <w:lastRenderedPageBreak/>
        <w:t>these designs that utilize</w:t>
      </w:r>
      <w:r w:rsidR="00777134">
        <w:t xml:space="preserve"> fuel in large, distinct items</w:t>
      </w:r>
      <w:r w:rsidR="00B32D32">
        <w:t>,</w:t>
      </w:r>
      <w:r w:rsidR="00777134">
        <w:t xml:space="preserve"> and </w:t>
      </w:r>
      <w:r w:rsidR="00B32D32">
        <w:t xml:space="preserve">they </w:t>
      </w:r>
      <w:r>
        <w:t xml:space="preserve">pose unique challenges that present an opportunity to reevaluate conventional safeguards approaches. </w:t>
      </w:r>
      <w:r w:rsidR="00D42319">
        <w:t>The IAEA recently published some of the known challenges for safeguarding liquid fuelled reactors</w:t>
      </w:r>
      <w:r w:rsidR="00343248">
        <w:t xml:space="preserve"> and how</w:t>
      </w:r>
      <w:r w:rsidR="00D42319">
        <w:t xml:space="preserve"> member states should support in overcoming these challenges </w:t>
      </w:r>
      <w:sdt>
        <w:sdtPr>
          <w:id w:val="-397287562"/>
          <w:citation/>
        </w:sdtPr>
        <w:sdtContent>
          <w:r w:rsidR="00D42319">
            <w:fldChar w:fldCharType="begin"/>
          </w:r>
          <w:r w:rsidR="00D42319">
            <w:instrText xml:space="preserve"> CITATION IAE23 \l 2057 </w:instrText>
          </w:r>
          <w:r w:rsidR="00D42319">
            <w:fldChar w:fldCharType="separate"/>
          </w:r>
          <w:r w:rsidR="005E1966">
            <w:rPr>
              <w:noProof/>
            </w:rPr>
            <w:t>[1]</w:t>
          </w:r>
          <w:r w:rsidR="00D42319">
            <w:fldChar w:fldCharType="end"/>
          </w:r>
        </w:sdtContent>
      </w:sdt>
      <w:r w:rsidR="00D42319">
        <w:t xml:space="preserve">. </w:t>
      </w:r>
    </w:p>
    <w:p w14:paraId="4B45A347" w14:textId="7A9C2673" w:rsidR="00640203" w:rsidRDefault="00640203" w:rsidP="00640203">
      <w:pPr>
        <w:pStyle w:val="BodyText"/>
      </w:pPr>
      <w:r>
        <w:t>In this endeavour, partners from across the UK and the U</w:t>
      </w:r>
      <w:r w:rsidR="0081269A">
        <w:t>.</w:t>
      </w:r>
      <w:r>
        <w:t>S</w:t>
      </w:r>
      <w:r w:rsidR="0081269A">
        <w:t>.</w:t>
      </w:r>
      <w:r>
        <w:t>, as part of a newly established technical collaboration, have combined efforts to define a joint approach to MSR safeguards. The paper describes the unique challenges of MSRs, and explores how a paradigm shift in safeguards philosophy, grounded in a systems perspective, could result in a more efficient verification regime. The approach remains steadfast in achieving the fundamental objectives and outcomes of safeguards – “</w:t>
      </w:r>
      <w:r w:rsidR="00E31EB4" w:rsidRPr="00E31EB4">
        <w:rPr>
          <w:i/>
          <w:iCs/>
        </w:rPr>
        <w:t xml:space="preserve">To detect any diversion of declared nuclear material </w:t>
      </w:r>
      <w:r w:rsidR="00E31EB4">
        <w:rPr>
          <w:i/>
          <w:iCs/>
        </w:rPr>
        <w:t>or production of undeclared nuclear material</w:t>
      </w:r>
      <w:r>
        <w:t>”</w:t>
      </w:r>
      <w:r w:rsidR="00E31EB4">
        <w:t xml:space="preserve"> </w:t>
      </w:r>
      <w:sdt>
        <w:sdtPr>
          <w:id w:val="1213542802"/>
          <w:citation/>
        </w:sdtPr>
        <w:sdtContent>
          <w:r w:rsidR="00E31EB4">
            <w:fldChar w:fldCharType="begin"/>
          </w:r>
          <w:r w:rsidR="00E31EB4">
            <w:instrText xml:space="preserve"> CITATION IAE22 \l 2057 </w:instrText>
          </w:r>
          <w:r w:rsidR="00E31EB4">
            <w:fldChar w:fldCharType="separate"/>
          </w:r>
          <w:r w:rsidR="005E1966">
            <w:rPr>
              <w:noProof/>
            </w:rPr>
            <w:t>[2]</w:t>
          </w:r>
          <w:r w:rsidR="00E31EB4">
            <w:fldChar w:fldCharType="end"/>
          </w:r>
        </w:sdtContent>
      </w:sdt>
      <w:r>
        <w:t xml:space="preserve"> </w:t>
      </w:r>
      <w:r w:rsidR="0027292A">
        <w:t>–</w:t>
      </w:r>
      <w:r>
        <w:t xml:space="preserve"> while challenging some of the conventional methods employed by the IAEA.</w:t>
      </w:r>
    </w:p>
    <w:p w14:paraId="20C938E3" w14:textId="3DF39ADE" w:rsidR="00640203" w:rsidRDefault="00640203" w:rsidP="00F842FC">
      <w:pPr>
        <w:pStyle w:val="BodyText"/>
      </w:pPr>
      <w:r>
        <w:t>In re</w:t>
      </w:r>
      <w:r w:rsidR="0027292A">
        <w:t>-</w:t>
      </w:r>
      <w:r>
        <w:t xml:space="preserve">evaluating safeguards for MSRs, this paper endeavours to contribute to the ongoing discourse surrounding nuclear non-proliferation and the safe and secure deployment of advanced nuclear technologies. By bridging the gap between technological advancements and safeguards implementation, this research aims to foster confidence in the peaceful uses of MSRs while safeguarding against the </w:t>
      </w:r>
      <w:r w:rsidR="00877BFA">
        <w:t>diversion of nuclear material or</w:t>
      </w:r>
      <w:r>
        <w:t xml:space="preserve"> misuse of </w:t>
      </w:r>
      <w:r w:rsidR="00F66C76">
        <w:t>future MSR facilities</w:t>
      </w:r>
      <w:r>
        <w:t>.</w:t>
      </w:r>
      <w:r w:rsidR="00F842FC">
        <w:t xml:space="preserve"> </w:t>
      </w:r>
      <w:r>
        <w:t xml:space="preserve">Ultimately, the development of an effective safeguards regime for MSRs is imperative for unlocking the full potential of this innovative technology </w:t>
      </w:r>
      <w:r w:rsidR="0027292A">
        <w:t xml:space="preserve">to </w:t>
      </w:r>
      <w:r>
        <w:t xml:space="preserve">address global energy challenges. </w:t>
      </w:r>
      <w:r w:rsidR="0027292A">
        <w:t xml:space="preserve">Open minds, </w:t>
      </w:r>
      <w:r>
        <w:t>collaboration and innovation</w:t>
      </w:r>
      <w:r w:rsidR="0027292A">
        <w:t xml:space="preserve"> will be need</w:t>
      </w:r>
      <w:r w:rsidR="00DE1D68">
        <w:t>ed</w:t>
      </w:r>
      <w:r w:rsidR="0027292A">
        <w:t xml:space="preserve"> to</w:t>
      </w:r>
      <w:r>
        <w:t xml:space="preserve"> ensure the safe, secure, and sustainable deployment of </w:t>
      </w:r>
      <w:r w:rsidR="00D42319">
        <w:t>MSRs</w:t>
      </w:r>
      <w:r>
        <w:t xml:space="preserve"> on a global scale.</w:t>
      </w:r>
    </w:p>
    <w:p w14:paraId="7B6656E1" w14:textId="4B9E080C" w:rsidR="00085536" w:rsidRDefault="00085536" w:rsidP="00085536">
      <w:pPr>
        <w:pStyle w:val="Heading2"/>
        <w:numPr>
          <w:ilvl w:val="1"/>
          <w:numId w:val="10"/>
        </w:numPr>
      </w:pPr>
      <w:r>
        <w:t>Conventional Safeguards approaches</w:t>
      </w:r>
      <w:r w:rsidR="00494E65">
        <w:t xml:space="preserve"> </w:t>
      </w:r>
    </w:p>
    <w:p w14:paraId="4728BD90" w14:textId="10218B23" w:rsidR="00D316ED" w:rsidRPr="00D316ED" w:rsidRDefault="00D316ED" w:rsidP="00D316ED">
      <w:pPr>
        <w:pStyle w:val="BodyText"/>
      </w:pPr>
      <w:r w:rsidRPr="00D316ED">
        <w:t xml:space="preserve">For </w:t>
      </w:r>
      <w:r>
        <w:t>existing</w:t>
      </w:r>
      <w:r w:rsidRPr="00D316ED">
        <w:t xml:space="preserve"> commercial reactors, nuclear material safeguards have been </w:t>
      </w:r>
      <w:r w:rsidR="00343248">
        <w:t>largely</w:t>
      </w:r>
      <w:r w:rsidRPr="00D316ED">
        <w:t xml:space="preserve"> standardized</w:t>
      </w:r>
      <w:r w:rsidR="00343248">
        <w:t>,</w:t>
      </w:r>
      <w:r w:rsidRPr="00D316ED">
        <w:t xml:space="preserve"> primarily because of the low variation in reactor and fuel designs. </w:t>
      </w:r>
      <w:r>
        <w:t>Most</w:t>
      </w:r>
      <w:r w:rsidRPr="00D316ED">
        <w:t xml:space="preserve"> reactors are either pressurized, light-water reactors (PWRs) or boiling, light-water reactors (</w:t>
      </w:r>
      <w:r w:rsidR="007B11AD">
        <w:t>BWRs</w:t>
      </w:r>
      <w:r w:rsidRPr="00D316ED">
        <w:t>) that use a static, metal clad</w:t>
      </w:r>
      <w:r w:rsidR="00650F2A">
        <w:t>, low</w:t>
      </w:r>
      <w:r w:rsidR="000547B1">
        <w:t xml:space="preserve"> enriched</w:t>
      </w:r>
      <w:r w:rsidRPr="00D316ED">
        <w:t xml:space="preserve"> fuel </w:t>
      </w:r>
      <w:r w:rsidR="000547B1">
        <w:t>of</w:t>
      </w:r>
      <w:r w:rsidRPr="00D316ED">
        <w:t xml:space="preserve"> less than 5% </w:t>
      </w:r>
      <w:r w:rsidRPr="00D316ED">
        <w:rPr>
          <w:vertAlign w:val="superscript"/>
        </w:rPr>
        <w:t>235</w:t>
      </w:r>
      <w:r w:rsidRPr="00D316ED">
        <w:t xml:space="preserve">U. The fuel is a series of uranium-dioxide pellets stacked inside metal cladding then fabricated with supporting components into a single “fuel rod”, These fuel rods are then combined in specific geometric patterns called “fuel assemblies”, </w:t>
      </w:r>
      <w:r w:rsidR="00A35955">
        <w:t xml:space="preserve">assemblies may </w:t>
      </w:r>
      <w:r w:rsidRPr="00D316ED">
        <w:t xml:space="preserve">also include </w:t>
      </w:r>
      <w:r w:rsidR="008350F1">
        <w:t xml:space="preserve">space to accommodate </w:t>
      </w:r>
      <w:r w:rsidRPr="00D316ED">
        <w:t>moderat</w:t>
      </w:r>
      <w:r w:rsidR="008350F1">
        <w:t>ors</w:t>
      </w:r>
      <w:r w:rsidRPr="00D316ED">
        <w:t xml:space="preserve"> and control rod</w:t>
      </w:r>
      <w:r w:rsidR="008350F1">
        <w:t>s</w:t>
      </w:r>
      <w:r w:rsidRPr="00D316ED">
        <w:t xml:space="preserve">. </w:t>
      </w:r>
      <w:r w:rsidR="00343248">
        <w:t xml:space="preserve">Due to this configuration, conventional reactor safeguards </w:t>
      </w:r>
      <w:r w:rsidR="008E5BC4">
        <w:t>utilize</w:t>
      </w:r>
      <w:r w:rsidR="00343248">
        <w:t xml:space="preserve"> </w:t>
      </w:r>
      <w:r w:rsidR="00343248" w:rsidRPr="00D551E3">
        <w:rPr>
          <w:i/>
          <w:iCs/>
        </w:rPr>
        <w:t>item accountancy</w:t>
      </w:r>
      <w:r w:rsidR="00D551E3">
        <w:t>, where each fuel assembly has a</w:t>
      </w:r>
      <w:r w:rsidRPr="00D316ED">
        <w:t xml:space="preserve"> unique</w:t>
      </w:r>
      <w:r w:rsidR="00DF3ECC">
        <w:t>,</w:t>
      </w:r>
      <w:r w:rsidRPr="00D316ED">
        <w:t xml:space="preserve"> </w:t>
      </w:r>
      <w:r w:rsidR="00456BE1">
        <w:t>identification</w:t>
      </w:r>
      <w:r w:rsidR="00971B51">
        <w:t xml:space="preserve"> (</w:t>
      </w:r>
      <w:r w:rsidR="00D551E3">
        <w:t>U</w:t>
      </w:r>
      <w:r w:rsidR="00971B51">
        <w:t>ID)</w:t>
      </w:r>
      <w:r w:rsidRPr="00D316ED">
        <w:t xml:space="preserve"> number that must be documented by the reactor operat</w:t>
      </w:r>
      <w:r w:rsidR="00226688">
        <w:t>or</w:t>
      </w:r>
      <w:r w:rsidR="00D551E3">
        <w:t xml:space="preserve"> and</w:t>
      </w:r>
      <w:r w:rsidR="00B57D8D">
        <w:t xml:space="preserve"> confirmed</w:t>
      </w:r>
      <w:r w:rsidR="00D551E3">
        <w:t xml:space="preserve"> by the IAEA</w:t>
      </w:r>
      <w:r w:rsidRPr="00D316ED">
        <w:t xml:space="preserve">. </w:t>
      </w:r>
    </w:p>
    <w:p w14:paraId="17AC5BEE" w14:textId="2EA08BC4" w:rsidR="004B68CD" w:rsidRDefault="00226BFE" w:rsidP="00226BFE">
      <w:pPr>
        <w:pStyle w:val="BodyText"/>
        <w:rPr>
          <w:lang w:val="en-US"/>
        </w:rPr>
      </w:pPr>
      <w:r>
        <w:rPr>
          <w:lang w:val="en-US"/>
        </w:rPr>
        <w:t>The IAEA has decades of experience implementing safeguards for conventional reactors</w:t>
      </w:r>
      <w:r w:rsidR="003644CD">
        <w:rPr>
          <w:lang w:val="en-US"/>
        </w:rPr>
        <w:t>, and the safeguards approaches for traditional reactor and fuel designs are well developed and documente</w:t>
      </w:r>
      <w:r w:rsidR="004B68CD">
        <w:rPr>
          <w:lang w:val="en-US"/>
        </w:rPr>
        <w:t xml:space="preserve">d. </w:t>
      </w:r>
      <w:r w:rsidR="008140D7">
        <w:rPr>
          <w:lang w:val="en-US"/>
        </w:rPr>
        <w:t xml:space="preserve">Fuel identification practices must be combined with </w:t>
      </w:r>
      <w:r w:rsidR="006A4EDE">
        <w:rPr>
          <w:lang w:val="en-US"/>
        </w:rPr>
        <w:t xml:space="preserve">some nondestructive assay (NDA) measurement for verification and integrating elements of containment and surveillance ensures continuity of knowledge through the fuel’s lifecycle. Refueling </w:t>
      </w:r>
      <w:r w:rsidR="00A22C2A">
        <w:rPr>
          <w:lang w:val="en-US"/>
        </w:rPr>
        <w:t>requires a reactor shut-down period that occurs in known interval</w:t>
      </w:r>
      <w:r w:rsidR="00634849">
        <w:rPr>
          <w:lang w:val="en-US"/>
        </w:rPr>
        <w:t>s</w:t>
      </w:r>
      <w:r w:rsidR="00A22C2A">
        <w:rPr>
          <w:lang w:val="en-US"/>
        </w:rPr>
        <w:t xml:space="preserve">, and </w:t>
      </w:r>
      <w:r w:rsidR="00634849">
        <w:rPr>
          <w:lang w:val="en-US"/>
        </w:rPr>
        <w:t>spent fuel discharged from a reactor</w:t>
      </w:r>
      <w:r w:rsidR="002F441D">
        <w:rPr>
          <w:lang w:val="en-US"/>
        </w:rPr>
        <w:t xml:space="preserve"> is monitored constantly. S</w:t>
      </w:r>
      <w:r w:rsidR="007A28ED">
        <w:rPr>
          <w:lang w:val="en-US"/>
        </w:rPr>
        <w:t>imilar combinations of visual confirmation</w:t>
      </w:r>
      <w:r w:rsidR="00172A06">
        <w:rPr>
          <w:lang w:val="en-US"/>
        </w:rPr>
        <w:t xml:space="preserve"> and </w:t>
      </w:r>
      <w:r w:rsidR="00F045DC">
        <w:rPr>
          <w:lang w:val="en-US"/>
        </w:rPr>
        <w:t>surveillance</w:t>
      </w:r>
      <w:r w:rsidR="007A28ED">
        <w:rPr>
          <w:lang w:val="en-US"/>
        </w:rPr>
        <w:t xml:space="preserve"> are combined with </w:t>
      </w:r>
      <w:r w:rsidR="00F045DC">
        <w:rPr>
          <w:lang w:val="en-US"/>
        </w:rPr>
        <w:t xml:space="preserve">NDA </w:t>
      </w:r>
      <w:r w:rsidR="007A28ED">
        <w:rPr>
          <w:lang w:val="en-US"/>
        </w:rPr>
        <w:t xml:space="preserve">measurements to </w:t>
      </w:r>
      <w:r w:rsidR="00172A06">
        <w:rPr>
          <w:lang w:val="en-US"/>
        </w:rPr>
        <w:t>provide</w:t>
      </w:r>
      <w:r w:rsidR="00682395">
        <w:rPr>
          <w:lang w:val="en-US"/>
        </w:rPr>
        <w:t xml:space="preserve"> assurance that spent fuel is handled </w:t>
      </w:r>
      <w:r w:rsidR="00172A06">
        <w:rPr>
          <w:lang w:val="en-US"/>
        </w:rPr>
        <w:t>as declared</w:t>
      </w:r>
      <w:r w:rsidR="00DF3ECC">
        <w:rPr>
          <w:lang w:val="en-US"/>
        </w:rPr>
        <w:t>.</w:t>
      </w:r>
    </w:p>
    <w:p w14:paraId="22BC70A0" w14:textId="601EAA2E" w:rsidR="00682395" w:rsidRPr="00226688" w:rsidRDefault="0052418A" w:rsidP="00682395">
      <w:pPr>
        <w:pStyle w:val="BodyText"/>
        <w:rPr>
          <w:lang w:val="en-US"/>
        </w:rPr>
      </w:pPr>
      <w:r>
        <w:rPr>
          <w:lang w:val="en-US"/>
        </w:rPr>
        <w:t xml:space="preserve">Online </w:t>
      </w:r>
      <w:r w:rsidR="00993C6C">
        <w:rPr>
          <w:lang w:val="en-US"/>
        </w:rPr>
        <w:t xml:space="preserve">refueling designs also exist with known safeguards approaches. </w:t>
      </w:r>
      <w:r w:rsidR="00682395" w:rsidRPr="00DE5F22">
        <w:rPr>
          <w:lang w:val="en-US"/>
        </w:rPr>
        <w:t>Canada Deuterium Uranium (CANDU) reactors can replace fuel bundles during operations</w:t>
      </w:r>
      <w:r w:rsidR="00682395">
        <w:rPr>
          <w:lang w:val="en-US"/>
        </w:rPr>
        <w:t>,</w:t>
      </w:r>
      <w:r w:rsidR="00682395" w:rsidRPr="00DE5F22">
        <w:rPr>
          <w:lang w:val="en-US"/>
        </w:rPr>
        <w:t xml:space="preserve"> leading to improvements in the efficiency of the reactor operations. </w:t>
      </w:r>
      <w:r w:rsidR="00D825E1">
        <w:rPr>
          <w:lang w:val="en-US"/>
        </w:rPr>
        <w:t xml:space="preserve">These reactors rely on constant </w:t>
      </w:r>
      <w:r w:rsidR="004C2CC8">
        <w:rPr>
          <w:lang w:val="en-US"/>
        </w:rPr>
        <w:t xml:space="preserve">process </w:t>
      </w:r>
      <w:r w:rsidR="00D825E1">
        <w:rPr>
          <w:lang w:val="en-US"/>
        </w:rPr>
        <w:t xml:space="preserve">monitoring and surveillance techniques, </w:t>
      </w:r>
      <w:r w:rsidR="004C2CC8">
        <w:rPr>
          <w:lang w:val="en-US"/>
        </w:rPr>
        <w:t>and they required the development of unique NDA measurement systems to track discharged fuel from the reactor</w:t>
      </w:r>
      <w:r w:rsidR="00682395" w:rsidRPr="00DE5F22">
        <w:rPr>
          <w:lang w:val="en-US"/>
        </w:rPr>
        <w:t>.</w:t>
      </w:r>
    </w:p>
    <w:p w14:paraId="4CE3F94A" w14:textId="1C6EFDEB" w:rsidR="00226BFE" w:rsidRPr="00FC4D30" w:rsidRDefault="00576717" w:rsidP="00226BFE">
      <w:pPr>
        <w:pStyle w:val="BodyText"/>
      </w:pPr>
      <w:r>
        <w:rPr>
          <w:lang w:val="en-US"/>
        </w:rPr>
        <w:t>T</w:t>
      </w:r>
      <w:r w:rsidR="00226BFE">
        <w:rPr>
          <w:lang w:val="en-US"/>
        </w:rPr>
        <w:t xml:space="preserve">he use of fissile material dissolved into the primary coolant and continuously circulated through the entire reactor system means that some traditional safeguards and material accountancy methods will not suffice. </w:t>
      </w:r>
      <w:r w:rsidR="00DF7216">
        <w:rPr>
          <w:lang w:val="en-US"/>
        </w:rPr>
        <w:t>T</w:t>
      </w:r>
      <w:r w:rsidR="00CB2253" w:rsidRPr="00DE5F22">
        <w:rPr>
          <w:lang w:val="en-US"/>
        </w:rPr>
        <w:t>here remains a distinct differe</w:t>
      </w:r>
      <w:r w:rsidR="00B856C2">
        <w:rPr>
          <w:lang w:val="en-US"/>
        </w:rPr>
        <w:t xml:space="preserve">nce between </w:t>
      </w:r>
      <w:r w:rsidR="00CB2253" w:rsidRPr="00DE5F22">
        <w:rPr>
          <w:lang w:val="en-US"/>
        </w:rPr>
        <w:t xml:space="preserve">discrete </w:t>
      </w:r>
      <w:r w:rsidR="00B856C2">
        <w:rPr>
          <w:lang w:val="en-US"/>
        </w:rPr>
        <w:t>offline re</w:t>
      </w:r>
      <w:r w:rsidR="00CB2253" w:rsidRPr="00DE5F22">
        <w:rPr>
          <w:lang w:val="en-US"/>
        </w:rPr>
        <w:t>fuel</w:t>
      </w:r>
      <w:r w:rsidR="00B856C2">
        <w:rPr>
          <w:lang w:val="en-US"/>
        </w:rPr>
        <w:t>ing cycles</w:t>
      </w:r>
      <w:r w:rsidR="00CB2253" w:rsidRPr="00DE5F22">
        <w:rPr>
          <w:lang w:val="en-US"/>
        </w:rPr>
        <w:t xml:space="preserve"> </w:t>
      </w:r>
      <w:r w:rsidR="00DF7216">
        <w:rPr>
          <w:lang w:val="en-US"/>
        </w:rPr>
        <w:t xml:space="preserve">or </w:t>
      </w:r>
      <w:r w:rsidR="008E2F2E">
        <w:rPr>
          <w:lang w:val="en-US"/>
        </w:rPr>
        <w:t xml:space="preserve">online refueling of bundles </w:t>
      </w:r>
      <w:r w:rsidR="00CB2253" w:rsidRPr="00DE5F22">
        <w:rPr>
          <w:lang w:val="en-US"/>
        </w:rPr>
        <w:t xml:space="preserve">during operation and </w:t>
      </w:r>
      <w:r w:rsidR="001F5B22">
        <w:rPr>
          <w:lang w:val="en-US"/>
        </w:rPr>
        <w:t>introducing</w:t>
      </w:r>
      <w:r w:rsidR="00CB2253" w:rsidRPr="00DE5F22">
        <w:rPr>
          <w:lang w:val="en-US"/>
        </w:rPr>
        <w:t xml:space="preserve"> a set volume of molten salt </w:t>
      </w:r>
      <w:r w:rsidR="00A428C9">
        <w:rPr>
          <w:lang w:val="en-US"/>
        </w:rPr>
        <w:t>with known</w:t>
      </w:r>
      <w:r w:rsidR="00CB2253" w:rsidRPr="00DE5F22">
        <w:rPr>
          <w:lang w:val="en-US"/>
        </w:rPr>
        <w:t xml:space="preserve"> fuel </w:t>
      </w:r>
      <w:r w:rsidR="00A428C9">
        <w:rPr>
          <w:lang w:val="en-US"/>
        </w:rPr>
        <w:t xml:space="preserve">concentrations </w:t>
      </w:r>
      <w:r w:rsidR="00CB2253" w:rsidRPr="00DE5F22">
        <w:rPr>
          <w:lang w:val="en-US"/>
        </w:rPr>
        <w:t>into a dynamic system</w:t>
      </w:r>
      <w:r w:rsidR="000F60E9">
        <w:rPr>
          <w:lang w:val="en-US"/>
        </w:rPr>
        <w:t xml:space="preserve">. </w:t>
      </w:r>
      <w:r w:rsidR="00226BFE">
        <w:rPr>
          <w:lang w:val="en-US"/>
        </w:rPr>
        <w:t xml:space="preserve">While there is IAEA experience with </w:t>
      </w:r>
      <w:r w:rsidR="00DF3ECC">
        <w:rPr>
          <w:lang w:val="en-US"/>
        </w:rPr>
        <w:t>continuously circulating</w:t>
      </w:r>
      <w:r w:rsidR="00FD649A">
        <w:rPr>
          <w:lang w:val="en-US"/>
        </w:rPr>
        <w:t xml:space="preserve"> aqueous </w:t>
      </w:r>
      <w:r w:rsidR="00226BFE">
        <w:rPr>
          <w:lang w:val="en-US"/>
        </w:rPr>
        <w:t xml:space="preserve">reprocessing facilities worldwide, the safeguards methods and approaches for a MSR may require a paradigm shift that merges elements of traditional LWR, CANDU, and reprocessing facility techniques. This may include a greater reliance on containment and surveillance, absence verification, novel and/or indirect monitoring techniques, and the need for more of an objective-focused systems-based approach. </w:t>
      </w:r>
    </w:p>
    <w:p w14:paraId="74CD1556" w14:textId="40883D22" w:rsidR="00E25B68" w:rsidRDefault="00085536" w:rsidP="0026525A">
      <w:pPr>
        <w:pStyle w:val="Heading2"/>
        <w:numPr>
          <w:ilvl w:val="1"/>
          <w:numId w:val="10"/>
        </w:numPr>
      </w:pPr>
      <w:r>
        <w:t>Defining a nominal msr system</w:t>
      </w:r>
      <w:r w:rsidR="00494E65">
        <w:t xml:space="preserve"> </w:t>
      </w:r>
    </w:p>
    <w:p w14:paraId="272A5042" w14:textId="6BE542BF" w:rsidR="00826092" w:rsidRDefault="007B11AD" w:rsidP="007B11AD">
      <w:pPr>
        <w:pStyle w:val="BodyText"/>
      </w:pPr>
      <w:r>
        <w:lastRenderedPageBreak/>
        <w:t>To</w:t>
      </w:r>
      <w:r w:rsidR="00AE4413">
        <w:t xml:space="preserve"> define a system-level safeguards approach</w:t>
      </w:r>
      <w:r w:rsidR="00826092">
        <w:t xml:space="preserve">, there needs to be some agreement on a nominal MSR system design. The developmental space for MSR technologies is </w:t>
      </w:r>
      <w:r w:rsidR="00F00C0D">
        <w:t xml:space="preserve">extremely </w:t>
      </w:r>
      <w:r w:rsidR="00826092">
        <w:t>diverse</w:t>
      </w:r>
      <w:r w:rsidR="00C37F93">
        <w:t>,</w:t>
      </w:r>
      <w:r w:rsidR="00F00C0D">
        <w:t xml:space="preserve"> so it is important to develop a model th</w:t>
      </w:r>
      <w:r w:rsidR="00C37F93">
        <w:t>at</w:t>
      </w:r>
      <w:r w:rsidR="00F00C0D">
        <w:t xml:space="preserve"> comprises systems and technologies that are common across </w:t>
      </w:r>
      <w:r w:rsidR="003D4DF2">
        <w:t>most</w:t>
      </w:r>
      <w:r w:rsidR="00F00C0D">
        <w:t xml:space="preserve"> designs</w:t>
      </w:r>
      <w:r w:rsidR="00826092">
        <w:t xml:space="preserve">. </w:t>
      </w:r>
      <w:r w:rsidR="00F00C0D">
        <w:t>While the aspiration is that the methods developed can be applied to complex designs</w:t>
      </w:r>
      <w:r w:rsidR="00C37F93">
        <w:t>,</w:t>
      </w:r>
      <w:r w:rsidR="00F00C0D">
        <w:t xml:space="preserve"> such as the </w:t>
      </w:r>
      <w:r w:rsidR="00826092">
        <w:t>fast fission spectrum, chloride salt</w:t>
      </w:r>
      <w:r w:rsidR="008771AD">
        <w:t>-</w:t>
      </w:r>
      <w:r w:rsidR="00DA2EC7">
        <w:t>fueled design that</w:t>
      </w:r>
      <w:r w:rsidR="00D50C64">
        <w:t xml:space="preserve"> may</w:t>
      </w:r>
      <w:r w:rsidR="00DA2EC7">
        <w:t xml:space="preserve"> include</w:t>
      </w:r>
      <w:r w:rsidR="00826092">
        <w:t xml:space="preserve"> online chemical processing</w:t>
      </w:r>
      <w:r w:rsidR="00DA2EC7">
        <w:t xml:space="preserve">, this </w:t>
      </w:r>
      <w:r w:rsidR="00AE4413">
        <w:t>introduces too much complexity at this early stage</w:t>
      </w:r>
      <w:r w:rsidR="00826092">
        <w:t>.</w:t>
      </w:r>
      <w:r w:rsidR="000713D2">
        <w:t xml:space="preserve"> </w:t>
      </w:r>
    </w:p>
    <w:p w14:paraId="692EE92D" w14:textId="0BB13ED5" w:rsidR="00B11B78" w:rsidRPr="00F21DB5" w:rsidRDefault="0098338C" w:rsidP="00F21DB5">
      <w:pPr>
        <w:pStyle w:val="BodyText"/>
      </w:pPr>
      <w:r>
        <w:t>The following</w:t>
      </w:r>
      <w:r w:rsidR="00826092">
        <w:t xml:space="preserve"> nominal MSR design represents a wide array of domestic design interests from both partner countries</w:t>
      </w:r>
      <w:r w:rsidR="000B5D4B">
        <w:t xml:space="preserve"> (Fig</w:t>
      </w:r>
      <w:r w:rsidR="009F6A19">
        <w:t>.</w:t>
      </w:r>
      <w:r w:rsidR="000B5D4B">
        <w:t xml:space="preserve"> 1)</w:t>
      </w:r>
      <w:r w:rsidR="00826092">
        <w:t xml:space="preserve">. The </w:t>
      </w:r>
      <w:r w:rsidR="006E758B">
        <w:t xml:space="preserve">basic design </w:t>
      </w:r>
      <w:r w:rsidR="00DA2EC7">
        <w:t>is</w:t>
      </w:r>
      <w:r w:rsidR="006E758B">
        <w:t xml:space="preserve"> a </w:t>
      </w:r>
      <w:r w:rsidR="00DA2EC7">
        <w:t>fuel-</w:t>
      </w:r>
      <w:r w:rsidR="006E758B">
        <w:t>salt matrix with a single, loop design. From a point of simplicity, this design would encompass many of the design characteristics of the Molten Salt Reactor Experiment</w:t>
      </w:r>
      <w:r w:rsidR="00E13939">
        <w:t xml:space="preserve"> (MSRE)</w:t>
      </w:r>
      <w:r w:rsidR="00DA2EC7">
        <w:t xml:space="preserve"> </w:t>
      </w:r>
      <w:sdt>
        <w:sdtPr>
          <w:id w:val="675464312"/>
          <w:citation/>
        </w:sdtPr>
        <w:sdtContent>
          <w:r w:rsidR="00050414">
            <w:fldChar w:fldCharType="begin"/>
          </w:r>
          <w:r w:rsidR="00050414">
            <w:rPr>
              <w:lang w:val="en-US"/>
            </w:rPr>
            <w:instrText xml:space="preserve"> CITATION Rob65 \l 1033 </w:instrText>
          </w:r>
          <w:r w:rsidR="00050414">
            <w:fldChar w:fldCharType="separate"/>
          </w:r>
          <w:r w:rsidR="005E1966" w:rsidRPr="005E1966">
            <w:rPr>
              <w:noProof/>
              <w:lang w:val="en-US"/>
            </w:rPr>
            <w:t>[3]</w:t>
          </w:r>
          <w:r w:rsidR="00050414">
            <w:fldChar w:fldCharType="end"/>
          </w:r>
        </w:sdtContent>
      </w:sdt>
      <w:r w:rsidR="006E758B">
        <w:t xml:space="preserve"> at Oak Ridge National Laboratory. </w:t>
      </w:r>
      <w:r w:rsidR="00DA2EC7">
        <w:t>T</w:t>
      </w:r>
      <w:r w:rsidR="006E758B">
        <w:t xml:space="preserve">his design does not </w:t>
      </w:r>
      <w:r w:rsidR="00AE4413">
        <w:t>address</w:t>
      </w:r>
      <w:r w:rsidR="006E758B">
        <w:t xml:space="preserve"> all the known safeguards challenges associated with MSRs, but it does provide a model to </w:t>
      </w:r>
      <w:r w:rsidR="000713D2">
        <w:t>start developing a</w:t>
      </w:r>
      <w:r w:rsidR="00AE4413">
        <w:t xml:space="preserve"> systems</w:t>
      </w:r>
      <w:r w:rsidR="000713D2">
        <w:t xml:space="preserve"> approach</w:t>
      </w:r>
      <w:r w:rsidR="00826092" w:rsidRPr="00B11B78">
        <w:rPr>
          <w:lang w:val="en-US"/>
        </w:rPr>
        <w:t xml:space="preserve">. </w:t>
      </w:r>
      <w:r w:rsidR="00F21DB5">
        <w:rPr>
          <w:lang w:val="en-US"/>
        </w:rPr>
        <w:t>T</w:t>
      </w:r>
      <w:r w:rsidR="006E758B">
        <w:rPr>
          <w:lang w:val="en-US"/>
        </w:rPr>
        <w:t>he nominal MSR design has the</w:t>
      </w:r>
      <w:r w:rsidR="00B11B78" w:rsidRPr="00B11B78">
        <w:rPr>
          <w:lang w:val="en-US"/>
        </w:rPr>
        <w:t xml:space="preserve"> following characteristics:</w:t>
      </w:r>
    </w:p>
    <w:p w14:paraId="3C38F784" w14:textId="77777777" w:rsidR="008261D0" w:rsidRPr="00B11B78" w:rsidRDefault="008261D0" w:rsidP="00B11B78">
      <w:pPr>
        <w:pStyle w:val="BodyText"/>
        <w:rPr>
          <w:lang w:val="en-US"/>
        </w:rPr>
      </w:pPr>
    </w:p>
    <w:p w14:paraId="58733B1A" w14:textId="0BED76B0" w:rsidR="000D3657" w:rsidRPr="000D3657" w:rsidRDefault="00B11B78" w:rsidP="000D3657">
      <w:pPr>
        <w:pStyle w:val="BodyText"/>
        <w:numPr>
          <w:ilvl w:val="0"/>
          <w:numId w:val="20"/>
        </w:numPr>
        <w:ind w:left="709"/>
      </w:pPr>
      <w:r w:rsidRPr="008261D0">
        <w:rPr>
          <w:lang w:val="en-US"/>
        </w:rPr>
        <w:t xml:space="preserve">Liquid-fueled with </w:t>
      </w:r>
      <w:r w:rsidR="00DA2EC7" w:rsidRPr="008261D0">
        <w:rPr>
          <w:lang w:val="en-US"/>
        </w:rPr>
        <w:t>low-enriched uranium</w:t>
      </w:r>
      <w:r w:rsidR="000D3657">
        <w:rPr>
          <w:lang w:val="en-US"/>
        </w:rPr>
        <w:t>;</w:t>
      </w:r>
    </w:p>
    <w:p w14:paraId="2BDF2D61" w14:textId="2FEEFE87" w:rsidR="000D3657" w:rsidRDefault="00B11B78" w:rsidP="000D3657">
      <w:pPr>
        <w:pStyle w:val="BodyText"/>
        <w:numPr>
          <w:ilvl w:val="0"/>
          <w:numId w:val="20"/>
        </w:numPr>
        <w:ind w:left="709"/>
      </w:pPr>
      <w:r w:rsidRPr="000D3657">
        <w:rPr>
          <w:lang w:val="en-US"/>
        </w:rPr>
        <w:t>Fluoride</w:t>
      </w:r>
      <w:r w:rsidR="00051640" w:rsidRPr="000D3657">
        <w:rPr>
          <w:lang w:val="en-US"/>
        </w:rPr>
        <w:t>-</w:t>
      </w:r>
      <w:r w:rsidR="00BB3156" w:rsidRPr="000D3657">
        <w:rPr>
          <w:lang w:val="en-US"/>
        </w:rPr>
        <w:t xml:space="preserve">compounded </w:t>
      </w:r>
      <w:r w:rsidRPr="000D3657">
        <w:rPr>
          <w:lang w:val="en-US"/>
        </w:rPr>
        <w:t>salt</w:t>
      </w:r>
      <w:r w:rsidR="000D3657">
        <w:rPr>
          <w:lang w:val="en-US"/>
        </w:rPr>
        <w:t>;</w:t>
      </w:r>
    </w:p>
    <w:p w14:paraId="666EB830" w14:textId="7EA74A8B" w:rsidR="000D3657" w:rsidRDefault="00B11B78" w:rsidP="000D3657">
      <w:pPr>
        <w:pStyle w:val="BodyText"/>
        <w:numPr>
          <w:ilvl w:val="0"/>
          <w:numId w:val="20"/>
        </w:numPr>
        <w:ind w:left="709"/>
      </w:pPr>
      <w:r w:rsidRPr="000D3657">
        <w:rPr>
          <w:lang w:val="en-US"/>
        </w:rPr>
        <w:t>Thermal neutron spectrum with graphite moderator</w:t>
      </w:r>
      <w:r w:rsidR="000D3657">
        <w:rPr>
          <w:lang w:val="en-US"/>
        </w:rPr>
        <w:t>;</w:t>
      </w:r>
    </w:p>
    <w:p w14:paraId="3D94CB0D" w14:textId="3FBC45E3" w:rsidR="000D3657" w:rsidRDefault="00B11B78" w:rsidP="000D3657">
      <w:pPr>
        <w:pStyle w:val="BodyText"/>
        <w:numPr>
          <w:ilvl w:val="0"/>
          <w:numId w:val="20"/>
        </w:numPr>
        <w:ind w:left="709"/>
      </w:pPr>
      <w:r w:rsidRPr="000D3657">
        <w:rPr>
          <w:lang w:val="en-US"/>
        </w:rPr>
        <w:t>Single, primary loop circuit (single loop to balance of plant)</w:t>
      </w:r>
      <w:r w:rsidR="000D3657">
        <w:rPr>
          <w:lang w:val="en-US"/>
        </w:rPr>
        <w:t>;</w:t>
      </w:r>
    </w:p>
    <w:p w14:paraId="4B4C7F76" w14:textId="49D62F89" w:rsidR="000D3657" w:rsidRDefault="00B11B78" w:rsidP="000D3657">
      <w:pPr>
        <w:pStyle w:val="BodyText"/>
        <w:numPr>
          <w:ilvl w:val="0"/>
          <w:numId w:val="20"/>
        </w:numPr>
        <w:ind w:left="709"/>
      </w:pPr>
      <w:r w:rsidRPr="000D3657">
        <w:rPr>
          <w:lang w:val="en-US"/>
        </w:rPr>
        <w:t>No online chemical processing</w:t>
      </w:r>
      <w:r w:rsidR="000D3657">
        <w:rPr>
          <w:lang w:val="en-US"/>
        </w:rPr>
        <w:t>; and</w:t>
      </w:r>
    </w:p>
    <w:p w14:paraId="45BDAC80" w14:textId="7904E184" w:rsidR="00B11B78" w:rsidRPr="000D3657" w:rsidRDefault="00B11B78" w:rsidP="000D3657">
      <w:pPr>
        <w:pStyle w:val="BodyText"/>
        <w:numPr>
          <w:ilvl w:val="0"/>
          <w:numId w:val="20"/>
        </w:numPr>
        <w:ind w:left="709"/>
      </w:pPr>
      <w:r w:rsidRPr="000D3657">
        <w:rPr>
          <w:lang w:val="en-US"/>
        </w:rPr>
        <w:t xml:space="preserve">Simplified </w:t>
      </w:r>
      <w:r w:rsidR="000713D2" w:rsidRPr="000D3657">
        <w:rPr>
          <w:lang w:val="en-US"/>
        </w:rPr>
        <w:t xml:space="preserve">once through </w:t>
      </w:r>
      <w:r w:rsidRPr="000D3657">
        <w:rPr>
          <w:lang w:val="en-US"/>
        </w:rPr>
        <w:t xml:space="preserve">off-gas and waste removal process. </w:t>
      </w:r>
    </w:p>
    <w:p w14:paraId="0BED9307" w14:textId="77777777" w:rsidR="00134025" w:rsidRPr="00B11B78" w:rsidRDefault="00134025" w:rsidP="00134025">
      <w:pPr>
        <w:pStyle w:val="BodyText"/>
        <w:ind w:left="1440" w:firstLine="0"/>
        <w:rPr>
          <w:lang w:val="en-US"/>
        </w:rPr>
      </w:pPr>
    </w:p>
    <w:p w14:paraId="4769D20C" w14:textId="48600ACA" w:rsidR="00B11B78" w:rsidRDefault="00C84C65" w:rsidP="00C571EF">
      <w:pPr>
        <w:pStyle w:val="BodyText"/>
        <w:ind w:firstLine="0"/>
        <w:jc w:val="center"/>
      </w:pPr>
      <w:r>
        <w:rPr>
          <w:noProof/>
        </w:rPr>
        <w:drawing>
          <wp:inline distT="0" distB="0" distL="0" distR="0" wp14:anchorId="36A85E77" wp14:editId="3F642E29">
            <wp:extent cx="2948026" cy="1662026"/>
            <wp:effectExtent l="0" t="0" r="0" b="0"/>
            <wp:docPr id="1929178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963616" cy="1670815"/>
                    </a:xfrm>
                    <a:prstGeom prst="rect">
                      <a:avLst/>
                    </a:prstGeom>
                    <a:noFill/>
                  </pic:spPr>
                </pic:pic>
              </a:graphicData>
            </a:graphic>
          </wp:inline>
        </w:drawing>
      </w:r>
    </w:p>
    <w:p w14:paraId="09F240BD" w14:textId="56A4281D" w:rsidR="00B11B78" w:rsidRPr="00B11B78" w:rsidRDefault="00B11B78" w:rsidP="00B11B78">
      <w:pPr>
        <w:pStyle w:val="BodyText"/>
        <w:ind w:firstLine="0"/>
        <w:jc w:val="center"/>
        <w:rPr>
          <w:i/>
          <w:iCs/>
          <w:sz w:val="18"/>
          <w:szCs w:val="18"/>
        </w:rPr>
      </w:pPr>
      <w:r w:rsidRPr="00B11B78">
        <w:rPr>
          <w:i/>
          <w:iCs/>
          <w:sz w:val="18"/>
          <w:szCs w:val="18"/>
        </w:rPr>
        <w:t xml:space="preserve">FIG 1. Nominal MSR flowsheet for safeguards analysis. </w:t>
      </w:r>
    </w:p>
    <w:p w14:paraId="69AF3549" w14:textId="77777777" w:rsidR="00B11B78" w:rsidRDefault="00B11B78" w:rsidP="00431A0B">
      <w:pPr>
        <w:pStyle w:val="BodyText"/>
        <w:ind w:firstLine="0"/>
      </w:pPr>
    </w:p>
    <w:p w14:paraId="5C1DAED7" w14:textId="3E6F1620" w:rsidR="00B11B78" w:rsidRPr="00B11B78" w:rsidRDefault="00B11B78" w:rsidP="00431A0B">
      <w:pPr>
        <w:pStyle w:val="BodyText"/>
      </w:pPr>
      <w:r>
        <w:t>The f</w:t>
      </w:r>
      <w:r w:rsidRPr="00B11B78">
        <w:t xml:space="preserve">resh </w:t>
      </w:r>
      <w:r>
        <w:t>f</w:t>
      </w:r>
      <w:r w:rsidRPr="00B11B78">
        <w:t xml:space="preserve">uel </w:t>
      </w:r>
      <w:r>
        <w:t>s</w:t>
      </w:r>
      <w:r w:rsidRPr="00B11B78">
        <w:t>upply</w:t>
      </w:r>
      <w:r>
        <w:t xml:space="preserve"> </w:t>
      </w:r>
      <w:r w:rsidR="0090736B">
        <w:t xml:space="preserve">(A) </w:t>
      </w:r>
      <w:r>
        <w:t xml:space="preserve">is simplified as a </w:t>
      </w:r>
      <w:r w:rsidR="00436B18">
        <w:t>single stage</w:t>
      </w:r>
      <w:r>
        <w:t>. It</w:t>
      </w:r>
      <w:r w:rsidRPr="00B11B78">
        <w:t xml:space="preserve"> contains all necessary equipment to prepare and load the salt into the reactor core</w:t>
      </w:r>
      <w:r w:rsidR="00DE65C3">
        <w:t>;</w:t>
      </w:r>
      <w:r w:rsidRPr="00B11B78">
        <w:t xml:space="preserve"> </w:t>
      </w:r>
      <w:r>
        <w:t>this stage</w:t>
      </w:r>
      <w:r w:rsidRPr="00B11B78">
        <w:t xml:space="preserve"> accounts for the entire feed source of fuel salt into the reactor system. </w:t>
      </w:r>
      <w:r>
        <w:t>In a more realistic representation, there will likely be material balance area</w:t>
      </w:r>
      <w:r w:rsidR="00DA2EC7">
        <w:t>s</w:t>
      </w:r>
      <w:r w:rsidR="00DC0D25">
        <w:t xml:space="preserve"> and controls associated with </w:t>
      </w:r>
      <w:r w:rsidR="00543086">
        <w:t>these process steps</w:t>
      </w:r>
      <w:r>
        <w:t xml:space="preserve">. However, for this simplified approach, this </w:t>
      </w:r>
      <w:r w:rsidR="0090736B">
        <w:t>stage serves primarily to provide the fuel input to the MSR system</w:t>
      </w:r>
      <w:r w:rsidR="0051035B">
        <w:t>, both initially at the beginning of the reactor life and over reactor lifetime as makeup fuel salt</w:t>
      </w:r>
      <w:r w:rsidR="0090736B">
        <w:t xml:space="preserve">. </w:t>
      </w:r>
      <w:r w:rsidR="00687FE2">
        <w:t xml:space="preserve">It is assumed that all salt that is prepared in this stage enters the reactor, and there is no fuel stockpile. </w:t>
      </w:r>
    </w:p>
    <w:p w14:paraId="1A7DC0E5" w14:textId="77777777" w:rsidR="00687FE2" w:rsidRDefault="0090736B" w:rsidP="00431A0B">
      <w:pPr>
        <w:pStyle w:val="BodyText"/>
      </w:pPr>
      <w:r>
        <w:t xml:space="preserve">The reactor core </w:t>
      </w:r>
      <w:r w:rsidR="00687FE2">
        <w:t xml:space="preserve">(B) </w:t>
      </w:r>
      <w:r>
        <w:t xml:space="preserve">is represented by a series of inlets and outlets to other necessary </w:t>
      </w:r>
      <w:r w:rsidR="00687FE2">
        <w:t>sub-systems</w:t>
      </w:r>
      <w:r>
        <w:t xml:space="preserve">. The material balance across the reactor </w:t>
      </w:r>
      <w:r w:rsidR="007B11AD">
        <w:t xml:space="preserve">vessel boundary </w:t>
      </w:r>
      <w:r>
        <w:t>will represent the primary concern from a safeguards approach, and to simplify this, the fuel salt has two points of entry, from the fresh fuel stage (</w:t>
      </w:r>
      <w:r w:rsidR="00F75428">
        <w:t xml:space="preserve">A </w:t>
      </w:r>
      <w:r w:rsidR="000B5D4B">
        <w:t xml:space="preserve">→ </w:t>
      </w:r>
      <w:r>
        <w:t>B</w:t>
      </w:r>
      <w:r w:rsidR="00687FE2">
        <w:t>)</w:t>
      </w:r>
      <w:r>
        <w:t xml:space="preserve"> and one for recirculated fuel from the primary </w:t>
      </w:r>
      <w:r w:rsidR="00687FE2">
        <w:t>fuel loop</w:t>
      </w:r>
      <w:r>
        <w:t xml:space="preserve"> (</w:t>
      </w:r>
      <w:r w:rsidR="00687FE2">
        <w:t>C, C → B</w:t>
      </w:r>
      <w:r>
        <w:t>)</w:t>
      </w:r>
      <w:r w:rsidR="000B5D4B">
        <w:t>. Similarly, there are</w:t>
      </w:r>
      <w:r>
        <w:t xml:space="preserve"> t</w:t>
      </w:r>
      <w:r w:rsidR="0032296F">
        <w:t>hree</w:t>
      </w:r>
      <w:r>
        <w:t xml:space="preserve"> points of outlet</w:t>
      </w:r>
      <w:r w:rsidR="00687FE2">
        <w:t xml:space="preserve"> from the reactor core</w:t>
      </w:r>
      <w:r>
        <w:t xml:space="preserve">, one for discharge to the primary </w:t>
      </w:r>
      <w:r w:rsidR="00687FE2">
        <w:t xml:space="preserve">fuel </w:t>
      </w:r>
      <w:r>
        <w:t>loop</w:t>
      </w:r>
      <w:r w:rsidR="00687FE2">
        <w:t xml:space="preserve"> </w:t>
      </w:r>
      <w:r>
        <w:t>(</w:t>
      </w:r>
      <w:r w:rsidR="00687FE2">
        <w:t>B → C</w:t>
      </w:r>
      <w:r>
        <w:t>)</w:t>
      </w:r>
      <w:r w:rsidR="0032296F">
        <w:t>,</w:t>
      </w:r>
      <w:r>
        <w:t xml:space="preserve"> one for discharge to </w:t>
      </w:r>
      <w:r w:rsidR="00687FE2">
        <w:t xml:space="preserve">the off-gas system </w:t>
      </w:r>
      <w:r>
        <w:t>(</w:t>
      </w:r>
      <w:r w:rsidR="00687FE2">
        <w:t>D, B → D</w:t>
      </w:r>
      <w:r>
        <w:t>)</w:t>
      </w:r>
      <w:r w:rsidR="0032296F">
        <w:t xml:space="preserve">, and one for discharge </w:t>
      </w:r>
      <w:r w:rsidR="00687FE2">
        <w:t>to holding tanks</w:t>
      </w:r>
      <w:r w:rsidR="0032296F">
        <w:t xml:space="preserve"> (</w:t>
      </w:r>
      <w:r w:rsidR="00687FE2">
        <w:t>E, B → E</w:t>
      </w:r>
      <w:r w:rsidR="0032296F">
        <w:t>)</w:t>
      </w:r>
      <w:r>
        <w:t xml:space="preserve">. This mass balance will provide the basis for most </w:t>
      </w:r>
      <w:r w:rsidR="00735711">
        <w:t>of the</w:t>
      </w:r>
      <w:r>
        <w:t xml:space="preserve"> discussion on the safeguards approach, </w:t>
      </w:r>
      <w:r w:rsidR="00226C00">
        <w:t xml:space="preserve">and it is meant to simplify the entire system </w:t>
      </w:r>
      <w:r w:rsidR="00027797">
        <w:t>to allow for</w:t>
      </w:r>
      <w:r w:rsidR="00983DA6">
        <w:t xml:space="preserve"> such a</w:t>
      </w:r>
      <w:r w:rsidR="00027797">
        <w:t xml:space="preserve"> </w:t>
      </w:r>
      <w:r w:rsidR="004F2EF6">
        <w:t>discussion</w:t>
      </w:r>
      <w:r w:rsidR="00027797">
        <w:t xml:space="preserve">. </w:t>
      </w:r>
    </w:p>
    <w:p w14:paraId="72C3C605" w14:textId="29BCE9DE" w:rsidR="00B11B78" w:rsidRDefault="00027797" w:rsidP="00687FE2">
      <w:pPr>
        <w:pStyle w:val="BodyText"/>
      </w:pPr>
      <w:r>
        <w:t xml:space="preserve">As the system-level analyses develop and progress, this simplification will be </w:t>
      </w:r>
      <w:r w:rsidR="00983DA6">
        <w:t>modified</w:t>
      </w:r>
      <w:r w:rsidR="00743F56">
        <w:t xml:space="preserve">; however, </w:t>
      </w:r>
      <w:r w:rsidR="00983DA6">
        <w:t>a</w:t>
      </w:r>
      <w:r w:rsidR="00743F56">
        <w:t xml:space="preserve"> fully efficient </w:t>
      </w:r>
      <w:r w:rsidR="00983DA6">
        <w:t xml:space="preserve">flow </w:t>
      </w:r>
      <w:r w:rsidR="00743F56">
        <w:t>system drawn around the reactor core boundary allows for a basis of an integrated safeguards approach.</w:t>
      </w:r>
      <w:r w:rsidR="00687FE2">
        <w:t xml:space="preserve"> Simplifications are also made for </w:t>
      </w:r>
      <w:r w:rsidR="0032296F">
        <w:t xml:space="preserve">all the key system components in a primary </w:t>
      </w:r>
      <w:r w:rsidR="00687FE2">
        <w:t>fuel loop</w:t>
      </w:r>
      <w:r w:rsidR="0032296F">
        <w:t xml:space="preserve"> (</w:t>
      </w:r>
      <w:r w:rsidR="00687FE2">
        <w:t>C</w:t>
      </w:r>
      <w:r w:rsidR="0032296F">
        <w:t>).</w:t>
      </w:r>
      <w:r w:rsidR="008463EE">
        <w:t xml:space="preserve"> </w:t>
      </w:r>
      <w:r w:rsidR="0032296F">
        <w:t xml:space="preserve">For this design, the primary loop is a single loop that includes the </w:t>
      </w:r>
      <w:r w:rsidR="0032296F" w:rsidRPr="00B11B78">
        <w:t xml:space="preserve">piping, pumps, </w:t>
      </w:r>
      <w:r w:rsidR="0032296F">
        <w:t>two-phase mixers, and other process components.</w:t>
      </w:r>
      <w:r w:rsidR="00687FE2">
        <w:t xml:space="preserve"> </w:t>
      </w:r>
      <w:r w:rsidR="00544D49">
        <w:t>This design</w:t>
      </w:r>
      <w:r w:rsidR="0032296F">
        <w:t xml:space="preserve"> includes </w:t>
      </w:r>
      <w:r w:rsidR="00127D70">
        <w:t>a heat</w:t>
      </w:r>
      <w:r w:rsidR="0032296F" w:rsidRPr="00B11B78">
        <w:t xml:space="preserve"> exchanger</w:t>
      </w:r>
      <w:r w:rsidR="00AA4824">
        <w:t xml:space="preserve"> (HX)</w:t>
      </w:r>
      <w:r w:rsidR="0032296F">
        <w:t xml:space="preserve">, where it is assumed that the thermal energy is </w:t>
      </w:r>
      <w:r w:rsidR="006E758B" w:rsidRPr="00B11B78">
        <w:t>discharged</w:t>
      </w:r>
      <w:r w:rsidR="0032296F" w:rsidRPr="00B11B78">
        <w:t xml:space="preserve"> to balance of plant</w:t>
      </w:r>
      <w:r w:rsidR="0032296F">
        <w:t xml:space="preserve"> and the fuel salt is circulated back to the reactor core. </w:t>
      </w:r>
      <w:r w:rsidR="00687FE2">
        <w:t>Finally, the two discharge streams for</w:t>
      </w:r>
      <w:r w:rsidR="00544D49">
        <w:t xml:space="preserve"> </w:t>
      </w:r>
      <w:r w:rsidR="00687FE2">
        <w:t xml:space="preserve">the </w:t>
      </w:r>
      <w:r w:rsidR="00544D49">
        <w:t xml:space="preserve">off-gas </w:t>
      </w:r>
      <w:r w:rsidR="00687FE2">
        <w:t xml:space="preserve">system </w:t>
      </w:r>
      <w:r w:rsidR="00544D49">
        <w:t>(</w:t>
      </w:r>
      <w:r w:rsidR="00687FE2">
        <w:t>D</w:t>
      </w:r>
      <w:r w:rsidR="00544D49">
        <w:t>)</w:t>
      </w:r>
      <w:r w:rsidR="00687FE2">
        <w:t xml:space="preserve"> and irradiated salt holding tanks (E)</w:t>
      </w:r>
      <w:r w:rsidR="00544D49">
        <w:t xml:space="preserve"> </w:t>
      </w:r>
      <w:r w:rsidR="00576717">
        <w:t>are</w:t>
      </w:r>
      <w:r w:rsidR="00544D49">
        <w:t xml:space="preserve"> simplified as generic holding tanks for materials discharged from the system. </w:t>
      </w:r>
      <w:r w:rsidR="00D316ED">
        <w:t xml:space="preserve">This system does not include any chemical processing or waste scrubbing. </w:t>
      </w:r>
      <w:r w:rsidR="000B7681">
        <w:lastRenderedPageBreak/>
        <w:t xml:space="preserve">As the component-level analyses develop, these systems </w:t>
      </w:r>
      <w:r w:rsidR="00E340E0">
        <w:t xml:space="preserve">will be </w:t>
      </w:r>
      <w:r w:rsidR="000B7681">
        <w:t xml:space="preserve">developed further to allow for a more </w:t>
      </w:r>
      <w:r w:rsidR="00D316ED">
        <w:t>realistic safeguards assessment.</w:t>
      </w:r>
    </w:p>
    <w:p w14:paraId="5ECEEC6B" w14:textId="17356420" w:rsidR="006E758B" w:rsidRDefault="001306C6" w:rsidP="004F396F">
      <w:pPr>
        <w:pStyle w:val="Heading2"/>
        <w:numPr>
          <w:ilvl w:val="1"/>
          <w:numId w:val="10"/>
        </w:numPr>
      </w:pPr>
      <w:r>
        <w:t>MSR Component</w:t>
      </w:r>
      <w:r w:rsidR="00650F2A">
        <w:t xml:space="preserve">-Based Safeguards </w:t>
      </w:r>
      <w:r w:rsidR="001C2BB1">
        <w:t>Challenges</w:t>
      </w:r>
    </w:p>
    <w:p w14:paraId="51E2E84A" w14:textId="1999C4E4" w:rsidR="004F396F" w:rsidRDefault="0031449C" w:rsidP="00BE1A62">
      <w:pPr>
        <w:pStyle w:val="BodyText"/>
      </w:pPr>
      <w:r>
        <w:t xml:space="preserve">MSRs </w:t>
      </w:r>
      <w:r w:rsidR="00DC0D25">
        <w:t xml:space="preserve">operate </w:t>
      </w:r>
      <w:r>
        <w:t>differently to conventional reactors</w:t>
      </w:r>
      <w:r w:rsidR="0063571F">
        <w:t>;</w:t>
      </w:r>
      <w:r w:rsidR="00DC0D25" w:rsidRPr="00DC0D25">
        <w:t xml:space="preserve"> </w:t>
      </w:r>
      <w:r w:rsidR="00DC0D25">
        <w:t xml:space="preserve">operations are more </w:t>
      </w:r>
      <w:r w:rsidR="0063571F">
        <w:t xml:space="preserve">analogous to a </w:t>
      </w:r>
      <w:r w:rsidR="007B11AD">
        <w:t>chemical processing plant</w:t>
      </w:r>
      <w:r w:rsidR="00DC0D25">
        <w:t xml:space="preserve"> than </w:t>
      </w:r>
      <w:r w:rsidR="007B11AD">
        <w:t xml:space="preserve">a </w:t>
      </w:r>
      <w:r w:rsidR="00DC0D25">
        <w:t>conventional reactor</w:t>
      </w:r>
      <w:r w:rsidR="0063571F">
        <w:t>.</w:t>
      </w:r>
      <w:r>
        <w:t xml:space="preserve"> </w:t>
      </w:r>
      <w:r w:rsidR="0063571F">
        <w:t>Fully understanding the material flow paths within the design is essential to ensure that no material is being diverted</w:t>
      </w:r>
      <w:r w:rsidR="009A2376">
        <w:t xml:space="preserve"> and the reactor is not being misused to </w:t>
      </w:r>
      <w:r w:rsidR="00B2736A">
        <w:t>produce undeclared material</w:t>
      </w:r>
      <w:r w:rsidR="0063571F">
        <w:t xml:space="preserve">. Understanding the </w:t>
      </w:r>
      <w:r w:rsidR="009D6E9D">
        <w:t xml:space="preserve">material </w:t>
      </w:r>
      <w:r w:rsidR="0063571F">
        <w:t xml:space="preserve">flow sheets and confirming the specification and operation of installed components will be critical to </w:t>
      </w:r>
      <w:r w:rsidR="00B2736A">
        <w:t>effective</w:t>
      </w:r>
      <w:r w:rsidR="0063571F">
        <w:t xml:space="preserve"> </w:t>
      </w:r>
      <w:r w:rsidR="00B2736A">
        <w:t xml:space="preserve">implementation of </w:t>
      </w:r>
      <w:r w:rsidR="0063571F">
        <w:t>safeguard</w:t>
      </w:r>
      <w:r w:rsidR="00B2736A">
        <w:t xml:space="preserve">s in </w:t>
      </w:r>
      <w:r w:rsidR="0063571F">
        <w:t>MSRs</w:t>
      </w:r>
      <w:r>
        <w:t xml:space="preserve">. </w:t>
      </w:r>
      <w:r w:rsidR="002B5135">
        <w:t xml:space="preserve">New </w:t>
      </w:r>
      <w:r w:rsidR="008C196A">
        <w:t xml:space="preserve">reactor </w:t>
      </w:r>
      <w:r w:rsidR="002B5135">
        <w:t>facilities that differ significantly in design and operations</w:t>
      </w:r>
      <w:r w:rsidR="00590A63">
        <w:t>, like MSRs,</w:t>
      </w:r>
      <w:r w:rsidR="0063571F">
        <w:t xml:space="preserve"> may </w:t>
      </w:r>
      <w:r w:rsidR="00116ADE">
        <w:t>require new</w:t>
      </w:r>
      <w:r w:rsidR="008C196A">
        <w:t xml:space="preserve"> or modified</w:t>
      </w:r>
      <w:r w:rsidR="00116ADE">
        <w:t xml:space="preserve"> inspector </w:t>
      </w:r>
      <w:r w:rsidR="00436B18">
        <w:t>skill sets</w:t>
      </w:r>
      <w:r w:rsidR="00BE76F2">
        <w:t xml:space="preserve">. </w:t>
      </w:r>
    </w:p>
    <w:p w14:paraId="756012A2" w14:textId="122D7DE8" w:rsidR="00BE76F2" w:rsidRDefault="00BE76F2" w:rsidP="00BE1A62">
      <w:pPr>
        <w:pStyle w:val="BodyText"/>
      </w:pPr>
      <w:r>
        <w:t xml:space="preserve">This section provides an overview of the </w:t>
      </w:r>
      <w:r w:rsidR="00DB641C">
        <w:t xml:space="preserve">safeguards </w:t>
      </w:r>
      <w:r>
        <w:t xml:space="preserve">considerations </w:t>
      </w:r>
      <w:r w:rsidR="00DB641C">
        <w:t xml:space="preserve">for </w:t>
      </w:r>
      <w:r>
        <w:t xml:space="preserve">key components </w:t>
      </w:r>
      <w:r w:rsidR="004154E6">
        <w:t>of</w:t>
      </w:r>
      <w:r w:rsidR="00C1100A">
        <w:t xml:space="preserve"> </w:t>
      </w:r>
      <w:r>
        <w:t>the</w:t>
      </w:r>
      <w:r w:rsidR="002177C1">
        <w:t xml:space="preserve"> nominal</w:t>
      </w:r>
      <w:r>
        <w:t xml:space="preserve"> </w:t>
      </w:r>
      <w:r w:rsidR="004154E6">
        <w:t xml:space="preserve">MSR </w:t>
      </w:r>
      <w:r>
        <w:t>design</w:t>
      </w:r>
      <w:r w:rsidR="004154E6">
        <w:t>. Each of these components will be analysed in depth in follow-on efforts</w:t>
      </w:r>
      <w:r w:rsidR="0098338C">
        <w:t>.</w:t>
      </w:r>
      <w:r w:rsidR="002177C1">
        <w:t xml:space="preserve"> </w:t>
      </w:r>
      <w:r>
        <w:t xml:space="preserve">As a multi-year programme, the </w:t>
      </w:r>
      <w:r w:rsidR="0072051B">
        <w:t>component-specific approaches</w:t>
      </w:r>
      <w:r>
        <w:t xml:space="preserve"> </w:t>
      </w:r>
      <w:r w:rsidR="00116ADE">
        <w:t xml:space="preserve">on </w:t>
      </w:r>
      <w:r>
        <w:t xml:space="preserve">how to </w:t>
      </w:r>
      <w:r w:rsidR="00116ADE">
        <w:t>meet</w:t>
      </w:r>
      <w:r>
        <w:t xml:space="preserve"> IAEA safeguarding objectives </w:t>
      </w:r>
      <w:r w:rsidR="00116ADE">
        <w:t xml:space="preserve">for MSRs </w:t>
      </w:r>
      <w:r>
        <w:t>will develop over time</w:t>
      </w:r>
      <w:r w:rsidR="0072051B">
        <w:t xml:space="preserve">, but the broad, system-level approach defined in this work should serve as the basis for </w:t>
      </w:r>
      <w:r w:rsidR="003807E2">
        <w:t>analysis</w:t>
      </w:r>
      <w:r>
        <w:t xml:space="preserve">. </w:t>
      </w:r>
    </w:p>
    <w:p w14:paraId="6B4DB000" w14:textId="5C2A9A85" w:rsidR="008B6BB9" w:rsidRPr="00EE0041" w:rsidRDefault="00DE1435" w:rsidP="00537496">
      <w:pPr>
        <w:pStyle w:val="Heading3"/>
      </w:pPr>
      <w:r>
        <w:t xml:space="preserve">Initial and </w:t>
      </w:r>
      <w:r w:rsidR="00E51CF2">
        <w:t>o</w:t>
      </w:r>
      <w:r w:rsidR="00494E65">
        <w:t xml:space="preserve">nline fuel </w:t>
      </w:r>
      <w:r w:rsidR="00E51CF2">
        <w:t xml:space="preserve">additions </w:t>
      </w:r>
    </w:p>
    <w:p w14:paraId="1048C677" w14:textId="6A809E31" w:rsidR="00A07E33" w:rsidRDefault="002177C1" w:rsidP="000E4852">
      <w:pPr>
        <w:pStyle w:val="BodyText"/>
      </w:pPr>
      <w:r>
        <w:t>The nominal design</w:t>
      </w:r>
      <w:r w:rsidR="00F003DC">
        <w:t xml:space="preserve"> will </w:t>
      </w:r>
      <w:r>
        <w:t>have a location</w:t>
      </w:r>
      <w:r w:rsidR="00F003DC">
        <w:t xml:space="preserve"> to add fresh fuel and/or </w:t>
      </w:r>
      <w:r w:rsidR="00C419A0">
        <w:t xml:space="preserve">other non-nuclear </w:t>
      </w:r>
      <w:r w:rsidR="00F003DC">
        <w:t>material</w:t>
      </w:r>
      <w:r>
        <w:t>s</w:t>
      </w:r>
      <w:r w:rsidR="00C419A0">
        <w:t xml:space="preserve"> (e.g., to control chemistry)</w:t>
      </w:r>
      <w:r w:rsidR="00F003DC">
        <w:t xml:space="preserve">. The frequency and </w:t>
      </w:r>
      <w:r w:rsidR="0083059E">
        <w:t xml:space="preserve">method </w:t>
      </w:r>
      <w:r w:rsidR="00F003DC">
        <w:t>of addition of</w:t>
      </w:r>
      <w:r w:rsidR="00D12E39">
        <w:t xml:space="preserve"> fresh or compensatory fuel-salt compounds</w:t>
      </w:r>
      <w:r w:rsidR="00F003DC">
        <w:t xml:space="preserve"> </w:t>
      </w:r>
      <w:r w:rsidR="00D63FDC">
        <w:t xml:space="preserve">may </w:t>
      </w:r>
      <w:r w:rsidR="00F003DC">
        <w:t xml:space="preserve">vary </w:t>
      </w:r>
      <w:r w:rsidR="00D63FDC">
        <w:t xml:space="preserve">for specific designs, </w:t>
      </w:r>
      <w:r w:rsidR="00F003DC">
        <w:t xml:space="preserve">and </w:t>
      </w:r>
      <w:r w:rsidR="00D63FDC">
        <w:t xml:space="preserve">each design </w:t>
      </w:r>
      <w:r w:rsidR="00F003DC">
        <w:t xml:space="preserve">could </w:t>
      </w:r>
      <w:r w:rsidR="00D63FDC">
        <w:t>rely on either a</w:t>
      </w:r>
      <w:r w:rsidR="00F003DC">
        <w:t xml:space="preserve"> batch or continuous process</w:t>
      </w:r>
      <w:r w:rsidR="001835F0">
        <w:t xml:space="preserve"> </w:t>
      </w:r>
      <w:r w:rsidR="00D63FDC">
        <w:t>of</w:t>
      </w:r>
      <w:r w:rsidR="001835F0">
        <w:t xml:space="preserve"> a solid (cool) or liquid (hot, molten)</w:t>
      </w:r>
      <w:r w:rsidR="00D63FDC">
        <w:t xml:space="preserve"> salt additions</w:t>
      </w:r>
      <w:r w:rsidR="0063571F">
        <w:t>. The composition of added fuel salt will be</w:t>
      </w:r>
      <w:r w:rsidR="00F003DC">
        <w:t xml:space="preserve"> </w:t>
      </w:r>
      <w:r w:rsidR="00D63FDC">
        <w:t xml:space="preserve">predominantly </w:t>
      </w:r>
      <w:r w:rsidR="00F003DC">
        <w:t xml:space="preserve">based on </w:t>
      </w:r>
      <w:r w:rsidR="00454BB1">
        <w:t>mode</w:t>
      </w:r>
      <w:r w:rsidR="00F0743E">
        <w:t>l</w:t>
      </w:r>
      <w:r w:rsidR="00454BB1">
        <w:t>led</w:t>
      </w:r>
      <w:r w:rsidR="009677BF">
        <w:t xml:space="preserve"> and anticipated reactor operations</w:t>
      </w:r>
      <w:r w:rsidR="001835F0">
        <w:t xml:space="preserve">. Monitoring </w:t>
      </w:r>
      <w:r w:rsidR="00154599">
        <w:t xml:space="preserve">addition </w:t>
      </w:r>
      <w:r w:rsidR="001835F0">
        <w:t>of the fuel</w:t>
      </w:r>
      <w:r w:rsidR="00F003DC">
        <w:t xml:space="preserve"> </w:t>
      </w:r>
      <w:r w:rsidR="00154599">
        <w:t>salt to the reactor system</w:t>
      </w:r>
      <w:r w:rsidR="00F003DC">
        <w:t xml:space="preserve"> is challenging</w:t>
      </w:r>
      <w:r w:rsidR="00DF3ECC">
        <w:t xml:space="preserve">. Because of increased </w:t>
      </w:r>
      <w:r w:rsidR="00E340E0">
        <w:t>frequency of additions to control the chemistry</w:t>
      </w:r>
      <w:r w:rsidR="00DF3ECC">
        <w:t>, it is anticipated that</w:t>
      </w:r>
      <w:r w:rsidR="00F003DC">
        <w:t xml:space="preserve"> IAEA inspectors </w:t>
      </w:r>
      <w:r w:rsidR="00DF3ECC">
        <w:t>may not</w:t>
      </w:r>
      <w:r w:rsidR="00F003DC">
        <w:t xml:space="preserve"> </w:t>
      </w:r>
      <w:r w:rsidR="00454BB1">
        <w:t xml:space="preserve">always </w:t>
      </w:r>
      <w:r w:rsidR="00F003DC">
        <w:t>be on site to verify the materials being added to the core</w:t>
      </w:r>
      <w:r w:rsidR="00F467DF">
        <w:t xml:space="preserve">. Monitoring quantities and composition of fresh fuel feed </w:t>
      </w:r>
      <w:r w:rsidR="0039276E">
        <w:t xml:space="preserve">added to the reactor </w:t>
      </w:r>
      <w:r w:rsidR="00F467DF">
        <w:t>is c</w:t>
      </w:r>
      <w:r w:rsidR="001D63F1">
        <w:t xml:space="preserve">ritical to </w:t>
      </w:r>
      <w:r w:rsidR="0039276E">
        <w:t xml:space="preserve">anticipating and detecting </w:t>
      </w:r>
      <w:r w:rsidR="00C1100A">
        <w:t xml:space="preserve">potential </w:t>
      </w:r>
      <w:r w:rsidR="001D63F1">
        <w:t xml:space="preserve">diversion and </w:t>
      </w:r>
      <w:r w:rsidR="00C1100A">
        <w:t xml:space="preserve">misuse </w:t>
      </w:r>
      <w:r w:rsidR="001D63F1">
        <w:t>scenarios</w:t>
      </w:r>
      <w:r w:rsidR="00F003DC">
        <w:t xml:space="preserve">. </w:t>
      </w:r>
      <w:r w:rsidR="00931257">
        <w:t xml:space="preserve">A full analysis of the fuelling system is required to understand potential diversion pathways; </w:t>
      </w:r>
      <w:r w:rsidR="00B650FF">
        <w:t>however, because of</w:t>
      </w:r>
      <w:r w:rsidR="00931257">
        <w:t xml:space="preserve"> the air-sensitive nature of the fuel salt (related to its corrosivity</w:t>
      </w:r>
      <w:r w:rsidR="00931257" w:rsidRPr="00931257">
        <w:t xml:space="preserve"> </w:t>
      </w:r>
      <w:sdt>
        <w:sdtPr>
          <w:id w:val="1593052586"/>
          <w:citation/>
        </w:sdtPr>
        <w:sdtContent>
          <w:r w:rsidR="00931257">
            <w:fldChar w:fldCharType="begin"/>
          </w:r>
          <w:r w:rsidR="00931257">
            <w:instrText xml:space="preserve"> CITATION SGu18 \l 2057 </w:instrText>
          </w:r>
          <w:r w:rsidR="00931257">
            <w:fldChar w:fldCharType="separate"/>
          </w:r>
          <w:r w:rsidR="005E1966">
            <w:rPr>
              <w:noProof/>
            </w:rPr>
            <w:t>[4]</w:t>
          </w:r>
          <w:r w:rsidR="00931257">
            <w:fldChar w:fldCharType="end"/>
          </w:r>
        </w:sdtContent>
      </w:sdt>
      <w:r w:rsidR="00931257">
        <w:t>)</w:t>
      </w:r>
      <w:r w:rsidR="00B650FF">
        <w:t>,</w:t>
      </w:r>
      <w:r w:rsidR="00931257">
        <w:t xml:space="preserve"> it is likely that the fuel will be managed in air-tight, sealed containers</w:t>
      </w:r>
      <w:r w:rsidR="00B650FF">
        <w:t>.</w:t>
      </w:r>
      <w:r w:rsidR="00931257">
        <w:t xml:space="preserve"> </w:t>
      </w:r>
      <w:r w:rsidR="00B650FF">
        <w:t>T</w:t>
      </w:r>
      <w:r w:rsidR="00931257">
        <w:t xml:space="preserve">his may simplify accountancy </w:t>
      </w:r>
      <w:r w:rsidR="00823109">
        <w:t>if</w:t>
      </w:r>
      <w:r w:rsidR="00931257">
        <w:t xml:space="preserve"> containment can be assured after manufacture and prior to addition to the reactor.</w:t>
      </w:r>
    </w:p>
    <w:p w14:paraId="1C4FD391" w14:textId="48092B1E" w:rsidR="00511B1F" w:rsidRDefault="00FC427A" w:rsidP="00511B1F">
      <w:pPr>
        <w:pStyle w:val="Heading3"/>
      </w:pPr>
      <w:r>
        <w:t>Safeguarding approach to the</w:t>
      </w:r>
      <w:r w:rsidR="00511B1F">
        <w:t xml:space="preserve"> inside of the core</w:t>
      </w:r>
    </w:p>
    <w:p w14:paraId="2E0076A3" w14:textId="519D720B" w:rsidR="00D32B80" w:rsidRPr="00D32B80" w:rsidRDefault="00D32B80" w:rsidP="00D32B80">
      <w:pPr>
        <w:pStyle w:val="BodyText"/>
      </w:pPr>
      <w:r>
        <w:t xml:space="preserve">The core represents a challenging </w:t>
      </w:r>
      <w:r w:rsidR="00A01C80">
        <w:t xml:space="preserve">situation from a </w:t>
      </w:r>
      <w:r w:rsidR="00321E25">
        <w:t xml:space="preserve">traditional </w:t>
      </w:r>
      <w:r w:rsidR="00A01C80">
        <w:t xml:space="preserve">safeguards approach. </w:t>
      </w:r>
      <w:r w:rsidR="00455A60">
        <w:t>T</w:t>
      </w:r>
      <w:r w:rsidR="000061F3">
        <w:t xml:space="preserve">he </w:t>
      </w:r>
      <w:r w:rsidR="008A5173">
        <w:t xml:space="preserve">fuel </w:t>
      </w:r>
      <w:r w:rsidR="00455A60">
        <w:t xml:space="preserve">undergoes </w:t>
      </w:r>
      <w:r w:rsidR="008A5173">
        <w:t>irradiation and transmutation,</w:t>
      </w:r>
      <w:r w:rsidR="00574B1B">
        <w:t xml:space="preserve"> and</w:t>
      </w:r>
      <w:r w:rsidR="008A5173">
        <w:t xml:space="preserve"> </w:t>
      </w:r>
      <w:r w:rsidR="00175A6A">
        <w:t xml:space="preserve">monitoring these changes will be difficult. </w:t>
      </w:r>
      <w:r w:rsidR="00574B1B">
        <w:t xml:space="preserve">In addition, the </w:t>
      </w:r>
      <w:r w:rsidR="00E92568">
        <w:t xml:space="preserve">core physics and fuel-salt chemistry will </w:t>
      </w:r>
      <w:r w:rsidR="009E3FE0">
        <w:t xml:space="preserve">constantly affect each other, causing a series of feedback mechanisms that </w:t>
      </w:r>
      <w:r w:rsidR="00FF3AA3">
        <w:t xml:space="preserve">drives an equilibrium balance. </w:t>
      </w:r>
      <w:r w:rsidR="00D238FB">
        <w:t>M</w:t>
      </w:r>
      <w:r w:rsidR="00C974EC">
        <w:t>aterial monitoring</w:t>
      </w:r>
      <w:r w:rsidR="0076759A">
        <w:t xml:space="preserve"> and</w:t>
      </w:r>
      <w:r w:rsidR="00C974EC">
        <w:t xml:space="preserve"> accounting methods </w:t>
      </w:r>
      <w:r w:rsidR="009C17BE">
        <w:t xml:space="preserve">will have to combine elements </w:t>
      </w:r>
      <w:r w:rsidR="00977A5A">
        <w:t xml:space="preserve">both item and bulk handling facilities - </w:t>
      </w:r>
      <w:r w:rsidR="00545683">
        <w:t>taking learning from</w:t>
      </w:r>
      <w:r w:rsidR="00C45791">
        <w:t>;</w:t>
      </w:r>
      <w:r w:rsidR="00545683">
        <w:t xml:space="preserve"> </w:t>
      </w:r>
      <w:r w:rsidR="009C17BE">
        <w:t>aqueous</w:t>
      </w:r>
      <w:r w:rsidR="00852436">
        <w:t xml:space="preserve"> chemical processes</w:t>
      </w:r>
      <w:r w:rsidR="00E704D3">
        <w:t>, liquid metal</w:t>
      </w:r>
      <w:r w:rsidR="00852436">
        <w:t xml:space="preserve">-cooled </w:t>
      </w:r>
      <w:r w:rsidR="00D238FB">
        <w:t>reactor</w:t>
      </w:r>
      <w:r w:rsidR="00C45791">
        <w:t>s</w:t>
      </w:r>
      <w:r w:rsidR="00E704D3">
        <w:t xml:space="preserve">, and </w:t>
      </w:r>
      <w:r w:rsidR="00D238FB">
        <w:t xml:space="preserve">traditional LWR containment and surveillance methods. </w:t>
      </w:r>
      <w:r w:rsidR="0039290B">
        <w:t>Specific challenges for discussion are presented, but this is not meant to be an exhaustive list. The following subsections represent the areas most pertinent to this safeguards analysis.</w:t>
      </w:r>
    </w:p>
    <w:p w14:paraId="08316974" w14:textId="6C37C97E" w:rsidR="00346FB4" w:rsidRDefault="001708DF" w:rsidP="00346FB4">
      <w:pPr>
        <w:pStyle w:val="Heading4"/>
        <w:ind w:left="0"/>
      </w:pPr>
      <w:r>
        <w:t>Reactor misuse through fertile material</w:t>
      </w:r>
      <w:r w:rsidR="00346FB4">
        <w:t xml:space="preserve"> irradiat</w:t>
      </w:r>
      <w:r>
        <w:t>ion</w:t>
      </w:r>
    </w:p>
    <w:p w14:paraId="3E176D7C" w14:textId="614D595C" w:rsidR="00931257" w:rsidRDefault="0089616C" w:rsidP="00931257">
      <w:pPr>
        <w:pStyle w:val="BodyText"/>
      </w:pPr>
      <w:r>
        <w:t xml:space="preserve">Introducing </w:t>
      </w:r>
      <w:r w:rsidR="003C0886">
        <w:t>fertile material</w:t>
      </w:r>
      <w:r>
        <w:t>,</w:t>
      </w:r>
      <w:r w:rsidR="003C0886">
        <w:t xml:space="preserve"> such as </w:t>
      </w:r>
      <w:r w:rsidR="003C0886" w:rsidRPr="003C0886">
        <w:rPr>
          <w:vertAlign w:val="superscript"/>
        </w:rPr>
        <w:t>238</w:t>
      </w:r>
      <w:r w:rsidR="003C0886">
        <w:t>U</w:t>
      </w:r>
      <w:r>
        <w:t>,</w:t>
      </w:r>
      <w:r w:rsidR="003C0886">
        <w:t xml:space="preserve"> into the </w:t>
      </w:r>
      <w:r w:rsidR="00D73889">
        <w:t xml:space="preserve">nominal </w:t>
      </w:r>
      <w:r w:rsidR="003C0886">
        <w:t>core can act as a target to</w:t>
      </w:r>
      <w:r w:rsidR="00CB6779">
        <w:t xml:space="preserve"> produce</w:t>
      </w:r>
      <w:r w:rsidR="003C0886">
        <w:t xml:space="preserve"> plutonium</w:t>
      </w:r>
      <w:r w:rsidR="000957A9">
        <w:t xml:space="preserve"> (Pu)</w:t>
      </w:r>
      <w:r w:rsidR="003C0886">
        <w:t>.</w:t>
      </w:r>
      <w:r w:rsidR="00346FB4">
        <w:t xml:space="preserve"> To safeguard against this </w:t>
      </w:r>
      <w:r>
        <w:t>in</w:t>
      </w:r>
      <w:r w:rsidR="00346FB4">
        <w:t xml:space="preserve"> LWRs</w:t>
      </w:r>
      <w:r>
        <w:t>,</w:t>
      </w:r>
      <w:r w:rsidR="00346FB4">
        <w:t xml:space="preserve"> </w:t>
      </w:r>
      <w:r w:rsidR="003C0886">
        <w:t>the</w:t>
      </w:r>
      <w:r w:rsidR="00346FB4">
        <w:t xml:space="preserve"> IAEA </w:t>
      </w:r>
      <w:r w:rsidR="003C0886">
        <w:t>can inspect</w:t>
      </w:r>
      <w:r w:rsidR="00346FB4">
        <w:t xml:space="preserve"> </w:t>
      </w:r>
      <w:r w:rsidR="00D73889">
        <w:t xml:space="preserve">components entering the core and inside </w:t>
      </w:r>
      <w:r w:rsidR="00346FB4">
        <w:t xml:space="preserve">the core </w:t>
      </w:r>
      <w:r>
        <w:t>during planned outages</w:t>
      </w:r>
      <w:r w:rsidR="00CB6779">
        <w:t>,</w:t>
      </w:r>
      <w:r>
        <w:t xml:space="preserve"> such as maintenance or refuelling </w:t>
      </w:r>
      <w:r w:rsidR="00346FB4">
        <w:t xml:space="preserve">to ensure no targets exist. </w:t>
      </w:r>
      <w:r w:rsidR="00931257">
        <w:t>The fluid nature of the fuel in t</w:t>
      </w:r>
      <w:r w:rsidR="00D73889">
        <w:t xml:space="preserve">he </w:t>
      </w:r>
      <w:r w:rsidR="00E874A1">
        <w:t>MSR</w:t>
      </w:r>
      <w:r w:rsidR="00C4129E">
        <w:t>s</w:t>
      </w:r>
      <w:r w:rsidR="00E874A1">
        <w:t xml:space="preserve"> </w:t>
      </w:r>
      <w:r w:rsidR="00931257">
        <w:t xml:space="preserve">does not guarantee homogeneity of the system and assurance that the core does not contain breeding </w:t>
      </w:r>
      <w:r w:rsidR="00874829">
        <w:t>blankets, targets, or pathways for the introduction of fertile material</w:t>
      </w:r>
      <w:r w:rsidR="00931257">
        <w:t>. Moreover, the requirement to keep the core under an inert atmosphere</w:t>
      </w:r>
      <w:r w:rsidR="004E2826">
        <w:t>, combined with</w:t>
      </w:r>
      <w:r w:rsidR="00AD1B34">
        <w:t xml:space="preserve"> </w:t>
      </w:r>
      <w:r w:rsidR="00E24F15">
        <w:t xml:space="preserve">a </w:t>
      </w:r>
      <w:r w:rsidR="00AD1B34">
        <w:t xml:space="preserve">high radiation </w:t>
      </w:r>
      <w:r w:rsidR="004E2826">
        <w:t>environment</w:t>
      </w:r>
      <w:r w:rsidR="00E24F15">
        <w:t>,</w:t>
      </w:r>
      <w:r w:rsidR="004E2826">
        <w:t xml:space="preserve"> </w:t>
      </w:r>
      <w:r w:rsidR="00931257">
        <w:t xml:space="preserve">further hampers </w:t>
      </w:r>
      <w:r w:rsidR="00E874A1">
        <w:t xml:space="preserve">visual </w:t>
      </w:r>
      <w:r w:rsidR="00346FB4">
        <w:t>inspections and surveillance</w:t>
      </w:r>
      <w:r w:rsidR="005A3276">
        <w:t xml:space="preserve">, </w:t>
      </w:r>
      <w:r w:rsidR="005A3276" w:rsidRPr="005A3276">
        <w:t>necessitat</w:t>
      </w:r>
      <w:r w:rsidR="005A3276">
        <w:t>ing</w:t>
      </w:r>
      <w:r w:rsidR="005A3276" w:rsidRPr="005A3276">
        <w:t xml:space="preserve"> new</w:t>
      </w:r>
      <w:r w:rsidR="005A3276">
        <w:t xml:space="preserve"> or </w:t>
      </w:r>
      <w:r w:rsidR="005A3276" w:rsidRPr="005A3276">
        <w:t>novel sampling strategie</w:t>
      </w:r>
      <w:r w:rsidR="005A3276">
        <w:t>s</w:t>
      </w:r>
      <w:r w:rsidR="00E874A1">
        <w:t>.</w:t>
      </w:r>
      <w:r w:rsidR="00B44A15">
        <w:t xml:space="preserve"> </w:t>
      </w:r>
    </w:p>
    <w:p w14:paraId="17109C89" w14:textId="051D62A3" w:rsidR="00F708FC" w:rsidRDefault="00BA19E3" w:rsidP="00BE1A62">
      <w:pPr>
        <w:pStyle w:val="BodyText"/>
      </w:pPr>
      <w:r>
        <w:t>As with any design,</w:t>
      </w:r>
      <w:r w:rsidR="00346FB4">
        <w:t xml:space="preserve"> periods of maintenance</w:t>
      </w:r>
      <w:r w:rsidR="0089616C">
        <w:t>,</w:t>
      </w:r>
      <w:r w:rsidR="00346FB4">
        <w:t xml:space="preserve"> where key core components </w:t>
      </w:r>
      <w:r>
        <w:t>might be replaced</w:t>
      </w:r>
      <w:r w:rsidR="0089616C">
        <w:t>,</w:t>
      </w:r>
      <w:r>
        <w:t xml:space="preserve"> are </w:t>
      </w:r>
      <w:r w:rsidR="0089616C">
        <w:t>likely and</w:t>
      </w:r>
      <w:r>
        <w:t xml:space="preserve"> </w:t>
      </w:r>
      <w:r w:rsidR="0089616C">
        <w:t>should be considered</w:t>
      </w:r>
      <w:r>
        <w:t>. However, the design lives of many MSRs are significantly shorter th</w:t>
      </w:r>
      <w:r w:rsidR="00B22DC5">
        <w:t>a</w:t>
      </w:r>
      <w:r>
        <w:t>n LWR</w:t>
      </w:r>
      <w:r w:rsidR="00F7668A">
        <w:t>,</w:t>
      </w:r>
      <w:r>
        <w:t xml:space="preserve"> </w:t>
      </w:r>
      <w:r w:rsidR="0071373C">
        <w:t xml:space="preserve">and </w:t>
      </w:r>
      <w:r w:rsidR="00305353">
        <w:t xml:space="preserve">several </w:t>
      </w:r>
      <w:r w:rsidR="00305353">
        <w:lastRenderedPageBreak/>
        <w:t xml:space="preserve">designs </w:t>
      </w:r>
      <w:r w:rsidR="005912CF">
        <w:t>propose to replace the entire system on a 4-to-7 year cycle</w:t>
      </w:r>
      <w:r w:rsidR="00346FB4">
        <w:t xml:space="preserve">. Similarly to LWR safeguards, </w:t>
      </w:r>
      <w:r w:rsidR="0089616C">
        <w:t xml:space="preserve">any </w:t>
      </w:r>
      <w:r w:rsidR="000C3277">
        <w:t xml:space="preserve">maintenance periods </w:t>
      </w:r>
      <w:r>
        <w:t>would be</w:t>
      </w:r>
      <w:r w:rsidR="000C3277">
        <w:t xml:space="preserve"> scheduled</w:t>
      </w:r>
      <w:r w:rsidR="007F6589">
        <w:t>,</w:t>
      </w:r>
      <w:r w:rsidR="000C3277">
        <w:t xml:space="preserve"> and IAEA </w:t>
      </w:r>
      <w:r w:rsidR="0034637F">
        <w:t>inspectors’</w:t>
      </w:r>
      <w:r w:rsidR="000C3277">
        <w:t xml:space="preserve"> presen</w:t>
      </w:r>
      <w:r>
        <w:t xml:space="preserve">ce </w:t>
      </w:r>
      <w:r w:rsidR="00F7234D">
        <w:t xml:space="preserve">during the </w:t>
      </w:r>
      <w:r w:rsidR="00E8392D">
        <w:t xml:space="preserve">reactor outage </w:t>
      </w:r>
      <w:r w:rsidR="007F6589">
        <w:t>would be encouraged</w:t>
      </w:r>
      <w:r w:rsidR="000C3277">
        <w:t xml:space="preserve">. </w:t>
      </w:r>
      <w:r w:rsidR="00B17EDD">
        <w:t>For the nominal MSR</w:t>
      </w:r>
      <w:r w:rsidR="0089616C">
        <w:t>,</w:t>
      </w:r>
      <w:r w:rsidR="00B17EDD">
        <w:t xml:space="preserve"> the </w:t>
      </w:r>
      <w:r w:rsidR="0089616C">
        <w:t>team</w:t>
      </w:r>
      <w:r w:rsidR="00B17EDD">
        <w:t xml:space="preserve"> will aim to understand </w:t>
      </w:r>
      <w:r w:rsidR="000C3277">
        <w:t xml:space="preserve">what </w:t>
      </w:r>
      <w:r w:rsidR="007F6589">
        <w:t xml:space="preserve">is involved during </w:t>
      </w:r>
      <w:r w:rsidR="000C3277">
        <w:t xml:space="preserve">maintenance periods, but </w:t>
      </w:r>
      <w:r w:rsidR="00B45062">
        <w:t xml:space="preserve">there are </w:t>
      </w:r>
      <w:r w:rsidR="009D2D5A">
        <w:t>misuse scenarios where replaced</w:t>
      </w:r>
      <w:r w:rsidR="000C3277">
        <w:t xml:space="preserve"> </w:t>
      </w:r>
      <w:r w:rsidR="009D2D5A">
        <w:t>core</w:t>
      </w:r>
      <w:r w:rsidR="000C3277">
        <w:t xml:space="preserve"> </w:t>
      </w:r>
      <w:r w:rsidR="009D2D5A">
        <w:t>elements,</w:t>
      </w:r>
      <w:r w:rsidR="000C3277">
        <w:t xml:space="preserve"> such as graphite and metallic components</w:t>
      </w:r>
      <w:r w:rsidR="009D2D5A">
        <w:t>,</w:t>
      </w:r>
      <w:r w:rsidR="000C3277">
        <w:t xml:space="preserve"> could contain targets. </w:t>
      </w:r>
    </w:p>
    <w:p w14:paraId="6A3CF565" w14:textId="183775A5" w:rsidR="000C3277" w:rsidRDefault="000C3277" w:rsidP="000C3277">
      <w:pPr>
        <w:pStyle w:val="Heading4"/>
        <w:ind w:left="0"/>
      </w:pPr>
      <w:r>
        <w:t>Material accountancy</w:t>
      </w:r>
    </w:p>
    <w:p w14:paraId="4CE4A2DF" w14:textId="1F76A102" w:rsidR="006527DB" w:rsidRPr="00BE1A62" w:rsidRDefault="006527DB" w:rsidP="00BE1A62">
      <w:pPr>
        <w:pStyle w:val="BodyText"/>
      </w:pPr>
      <w:r w:rsidRPr="00BE1A62">
        <w:t>In LWR systems</w:t>
      </w:r>
      <w:r w:rsidR="006E014F">
        <w:t>,</w:t>
      </w:r>
      <w:r w:rsidRPr="00BE1A62">
        <w:t xml:space="preserve"> there is often extensive modelling and simulation </w:t>
      </w:r>
      <w:r w:rsidR="006E014F">
        <w:t xml:space="preserve">efforts </w:t>
      </w:r>
      <w:r w:rsidRPr="00BE1A62">
        <w:t xml:space="preserve">to determine the </w:t>
      </w:r>
      <w:r w:rsidR="00DD37AB">
        <w:t>Pu</w:t>
      </w:r>
      <w:r w:rsidRPr="00BE1A62">
        <w:t xml:space="preserve"> content of each fuel assembly based on its irradiation history. This is confirmed by methods such as </w:t>
      </w:r>
      <w:r w:rsidR="003E5D60" w:rsidRPr="00BE1A62">
        <w:t xml:space="preserve">gamma spectroscopy </w:t>
      </w:r>
      <w:r w:rsidR="003E5D60">
        <w:t xml:space="preserve">or </w:t>
      </w:r>
      <w:r w:rsidRPr="00BE1A62">
        <w:t xml:space="preserve">post irradiation examination which can be performed by the IAEA to </w:t>
      </w:r>
      <w:r w:rsidR="00203611">
        <w:t>confirm</w:t>
      </w:r>
      <w:r w:rsidRPr="00BE1A62">
        <w:t xml:space="preserve"> the </w:t>
      </w:r>
      <w:r w:rsidR="00200CFE">
        <w:t>burnup</w:t>
      </w:r>
      <w:r w:rsidR="00F716A6">
        <w:t xml:space="preserve">, which can be directly linked to the </w:t>
      </w:r>
      <w:r w:rsidR="00DD37AB">
        <w:t>Pu</w:t>
      </w:r>
      <w:r w:rsidR="00F716A6">
        <w:t xml:space="preserve"> content produced</w:t>
      </w:r>
      <w:r w:rsidR="00203611">
        <w:t xml:space="preserve">. </w:t>
      </w:r>
      <w:r w:rsidR="008B5140" w:rsidRPr="00BE1A62">
        <w:t xml:space="preserve">As LWRs </w:t>
      </w:r>
      <w:r w:rsidR="003D42E2">
        <w:t>have operated for decades under safeguards</w:t>
      </w:r>
      <w:r w:rsidR="008B5140" w:rsidRPr="00BE1A62">
        <w:t xml:space="preserve">, </w:t>
      </w:r>
      <w:r w:rsidR="003E5D60">
        <w:t>previous operations can be used as a benchmark</w:t>
      </w:r>
      <w:r w:rsidR="00203611">
        <w:t xml:space="preserve"> and</w:t>
      </w:r>
      <w:r w:rsidR="003E5D60">
        <w:t xml:space="preserve"> </w:t>
      </w:r>
      <w:r w:rsidR="00203611">
        <w:t>the large number of deployed</w:t>
      </w:r>
      <w:r w:rsidR="008B5140" w:rsidRPr="00BE1A62">
        <w:t xml:space="preserve"> LWR</w:t>
      </w:r>
      <w:r w:rsidR="00203611">
        <w:t>s</w:t>
      </w:r>
      <w:r w:rsidR="008B5140" w:rsidRPr="00BE1A62">
        <w:t xml:space="preserve"> </w:t>
      </w:r>
      <w:r w:rsidR="00203611">
        <w:t>provides a wealth</w:t>
      </w:r>
      <w:r w:rsidR="003E5D60">
        <w:t xml:space="preserve"> of experience and data to </w:t>
      </w:r>
      <w:r w:rsidR="00203611">
        <w:t>underpin confidence and validate techniques</w:t>
      </w:r>
      <w:r w:rsidR="008B5140" w:rsidRPr="00BE1A62">
        <w:t>.</w:t>
      </w:r>
      <w:r w:rsidR="00DA3E7F">
        <w:t xml:space="preserve"> A </w:t>
      </w:r>
      <w:r w:rsidR="006B3C7D">
        <w:t xml:space="preserve">tabled </w:t>
      </w:r>
      <w:r w:rsidR="00DA3E7F">
        <w:t>summary of th</w:t>
      </w:r>
      <w:r w:rsidR="006B3C7D">
        <w:t xml:space="preserve">e challenges for in-core material accountancy is provided in Appendix A. </w:t>
      </w:r>
    </w:p>
    <w:p w14:paraId="5021685C" w14:textId="7315C3B2" w:rsidR="00013FEB" w:rsidRPr="00BE1A62" w:rsidRDefault="003E5D60" w:rsidP="00BE1A62">
      <w:pPr>
        <w:pStyle w:val="BodyText"/>
      </w:pPr>
      <w:r>
        <w:t>Fission products in</w:t>
      </w:r>
      <w:r w:rsidR="000147B0" w:rsidRPr="00BE1A62">
        <w:t xml:space="preserve"> MSR</w:t>
      </w:r>
      <w:r>
        <w:t>s</w:t>
      </w:r>
      <w:r w:rsidR="000147B0" w:rsidRPr="00BE1A62">
        <w:t xml:space="preserve"> </w:t>
      </w:r>
      <w:r>
        <w:t>may be dissolved in</w:t>
      </w:r>
      <w:r w:rsidR="000147B0" w:rsidRPr="00BE1A62">
        <w:t xml:space="preserve"> </w:t>
      </w:r>
      <w:r>
        <w:t xml:space="preserve">the carrier salt, deposit </w:t>
      </w:r>
      <w:r w:rsidR="000147B0" w:rsidRPr="00BE1A62">
        <w:t>in the primary circuit or bubble out as off-gasses</w:t>
      </w:r>
      <w:r w:rsidR="00BA19E3">
        <w:t xml:space="preserve"> – they are not retained in fuel pellets</w:t>
      </w:r>
      <w:r w:rsidR="005E1966">
        <w:t xml:space="preserve"> or assemblies like in LWRs</w:t>
      </w:r>
      <w:sdt>
        <w:sdtPr>
          <w:id w:val="-1423791569"/>
          <w:citation/>
        </w:sdtPr>
        <w:sdtContent>
          <w:sdt>
            <w:sdtPr>
              <w:id w:val="1278596294"/>
              <w:citation/>
            </w:sdtPr>
            <w:sdtContent>
              <w:r w:rsidR="008D6DA3">
                <w:fldChar w:fldCharType="begin"/>
              </w:r>
              <w:r w:rsidR="008D6DA3">
                <w:instrText xml:space="preserve"> CITATION EMA22 \l 2057 </w:instrText>
              </w:r>
              <w:r w:rsidR="008D6DA3">
                <w:fldChar w:fldCharType="separate"/>
              </w:r>
              <w:r w:rsidR="005E1966">
                <w:rPr>
                  <w:noProof/>
                </w:rPr>
                <w:t xml:space="preserve"> [5]</w:t>
              </w:r>
              <w:r w:rsidR="008D6DA3">
                <w:fldChar w:fldCharType="end"/>
              </w:r>
            </w:sdtContent>
          </w:sdt>
        </w:sdtContent>
      </w:sdt>
      <w:r w:rsidR="000147B0" w:rsidRPr="00BE1A62">
        <w:t xml:space="preserve">. The gaseous fission products </w:t>
      </w:r>
      <w:r>
        <w:t>may</w:t>
      </w:r>
      <w:r w:rsidRPr="00BE1A62">
        <w:t xml:space="preserve"> </w:t>
      </w:r>
      <w:r w:rsidR="000147B0" w:rsidRPr="00BE1A62">
        <w:t>be assisted in leaving the core by helium</w:t>
      </w:r>
      <w:r>
        <w:t xml:space="preserve"> (or similar gas)</w:t>
      </w:r>
      <w:r w:rsidR="000147B0" w:rsidRPr="00BE1A62">
        <w:t xml:space="preserve"> bubbling to the off-gas system. The rates at which these processes occur will depend on the </w:t>
      </w:r>
      <w:r>
        <w:t>MSR</w:t>
      </w:r>
      <w:r w:rsidR="00636740">
        <w:t xml:space="preserve"> </w:t>
      </w:r>
      <w:r w:rsidR="000147B0" w:rsidRPr="00BE1A62">
        <w:t xml:space="preserve">design, </w:t>
      </w:r>
      <w:r>
        <w:t>including</w:t>
      </w:r>
      <w:r w:rsidR="000147B0" w:rsidRPr="00BE1A62">
        <w:t xml:space="preserve"> the composition of the salt, </w:t>
      </w:r>
      <w:r>
        <w:t xml:space="preserve">operating </w:t>
      </w:r>
      <w:r w:rsidR="000147B0" w:rsidRPr="00BE1A62">
        <w:t xml:space="preserve">temperature, </w:t>
      </w:r>
      <w:r>
        <w:t xml:space="preserve">fuel </w:t>
      </w:r>
      <w:r w:rsidR="000147B0" w:rsidRPr="00BE1A62">
        <w:t>burn</w:t>
      </w:r>
      <w:r>
        <w:t>-</w:t>
      </w:r>
      <w:r w:rsidR="000147B0" w:rsidRPr="00BE1A62">
        <w:t>u</w:t>
      </w:r>
      <w:r>
        <w:t>p</w:t>
      </w:r>
      <w:r w:rsidR="00203611">
        <w:t xml:space="preserve"> etc</w:t>
      </w:r>
      <w:r w:rsidR="000147B0" w:rsidRPr="00BE1A62">
        <w:t xml:space="preserve">. </w:t>
      </w:r>
      <w:r>
        <w:t>Uncertainties and dynamic effects in the chemistry of the system</w:t>
      </w:r>
      <w:r w:rsidR="002E40CB">
        <w:t xml:space="preserve">, such as </w:t>
      </w:r>
      <w:r>
        <w:t>temperature dependence of fission product solubility</w:t>
      </w:r>
      <w:r w:rsidR="002E40CB">
        <w:t>,</w:t>
      </w:r>
      <w:r>
        <w:t xml:space="preserve"> </w:t>
      </w:r>
      <w:r w:rsidR="000147B0" w:rsidRPr="00BE1A62">
        <w:t>make modelling and simulation challenging</w:t>
      </w:r>
      <w:r w:rsidR="00185C21">
        <w:t>. Modern computational codes and improved understanding of specific systems may alleviate this challenge</w:t>
      </w:r>
      <w:r w:rsidR="002E40CB">
        <w:t>,</w:t>
      </w:r>
      <w:r w:rsidR="00185C21">
        <w:t xml:space="preserve"> but there are no universal models applicable to all MSRs</w:t>
      </w:r>
      <w:r w:rsidR="000147B0" w:rsidRPr="00BE1A62">
        <w:t xml:space="preserve">. </w:t>
      </w:r>
    </w:p>
    <w:p w14:paraId="415A0B15" w14:textId="477F7535" w:rsidR="004612F7" w:rsidRPr="00CA7B1F" w:rsidRDefault="00185C21" w:rsidP="00CA7B1F">
      <w:pPr>
        <w:pStyle w:val="BodyText"/>
      </w:pPr>
      <w:r>
        <w:t xml:space="preserve">The proportion of the fuel salt in the reactor core versus the </w:t>
      </w:r>
      <w:r w:rsidR="00233F72">
        <w:t xml:space="preserve">primary </w:t>
      </w:r>
      <w:r>
        <w:t>circuit</w:t>
      </w:r>
      <w:r w:rsidR="00233F72">
        <w:t>,</w:t>
      </w:r>
      <w:r>
        <w:t xml:space="preserve"> and the mass flow rate between them</w:t>
      </w:r>
      <w:r w:rsidR="00233F72">
        <w:t>,</w:t>
      </w:r>
      <w:r>
        <w:t xml:space="preserve"> will also be design specific.</w:t>
      </w:r>
      <w:r w:rsidR="00013FEB" w:rsidRPr="00BE1A62">
        <w:t xml:space="preserve"> </w:t>
      </w:r>
      <w:r>
        <w:t>Quantification of these properties is challenging since fundamental properties of the fuel salt such as density will change with temperature and</w:t>
      </w:r>
      <w:r w:rsidR="00FC5822">
        <w:t>,</w:t>
      </w:r>
      <w:r>
        <w:t xml:space="preserve"> as more fission products</w:t>
      </w:r>
      <w:r w:rsidR="00FC5822">
        <w:t>,</w:t>
      </w:r>
      <w:r>
        <w:t xml:space="preserve"> are introduced and the system deviates from an initial composition.</w:t>
      </w:r>
      <w:r w:rsidR="001B6AFE" w:rsidRPr="00BE1A62">
        <w:t xml:space="preserve"> </w:t>
      </w:r>
    </w:p>
    <w:p w14:paraId="76586B92" w14:textId="32B887F2" w:rsidR="00636740" w:rsidRPr="003868F7" w:rsidRDefault="00701328" w:rsidP="00CA7B1F">
      <w:pPr>
        <w:pStyle w:val="BodyText"/>
        <w:rPr>
          <w:lang w:val="en-US"/>
        </w:rPr>
      </w:pPr>
      <w:r>
        <w:rPr>
          <w:lang w:val="en-US"/>
        </w:rPr>
        <w:t>Conventional methods of measurement of reactor fuel may not be appropriate to MSRs. Alternative approaches, design specific codes / models and novel measurement techniques are likely to be needed. T</w:t>
      </w:r>
      <w:r w:rsidR="00FE4916">
        <w:rPr>
          <w:lang w:val="en-US"/>
        </w:rPr>
        <w:t>hese will be explored throughout the programme</w:t>
      </w:r>
      <w:r w:rsidR="009144B3">
        <w:rPr>
          <w:lang w:val="en-US"/>
        </w:rPr>
        <w:t>.</w:t>
      </w:r>
      <w:r w:rsidR="003868F7">
        <w:rPr>
          <w:lang w:val="en-US"/>
        </w:rPr>
        <w:t xml:space="preserve"> </w:t>
      </w:r>
      <w:r w:rsidR="008C4D9E">
        <w:rPr>
          <w:lang w:val="en-US"/>
        </w:rPr>
        <w:t>It is possible that MSRs will necessitate a shift away from accountancy while the material is in the core</w:t>
      </w:r>
      <w:r w:rsidR="00FB1543">
        <w:rPr>
          <w:lang w:val="en-US"/>
        </w:rPr>
        <w:t xml:space="preserve"> utilizing a black-box approach much like a bulk handling facility</w:t>
      </w:r>
      <w:r w:rsidR="008C4D9E">
        <w:rPr>
          <w:lang w:val="en-US"/>
        </w:rPr>
        <w:t>, and place a greater focus on containment and surveillance</w:t>
      </w:r>
      <w:r w:rsidR="00D13B61">
        <w:rPr>
          <w:lang w:val="en-US"/>
        </w:rPr>
        <w:t>,</w:t>
      </w:r>
      <w:r w:rsidR="005045F2">
        <w:rPr>
          <w:lang w:val="en-US"/>
        </w:rPr>
        <w:t xml:space="preserve"> </w:t>
      </w:r>
      <w:r w:rsidR="008C4D9E">
        <w:rPr>
          <w:lang w:val="en-US"/>
        </w:rPr>
        <w:t>etc.</w:t>
      </w:r>
    </w:p>
    <w:p w14:paraId="1D3F9ED7" w14:textId="50B87AA2" w:rsidR="003868F7" w:rsidRDefault="00203611" w:rsidP="003868F7">
      <w:pPr>
        <w:pStyle w:val="Heading4"/>
        <w:ind w:left="0"/>
      </w:pPr>
      <w:r>
        <w:t xml:space="preserve">Diversion </w:t>
      </w:r>
      <w:r w:rsidR="003868F7">
        <w:t>of material</w:t>
      </w:r>
    </w:p>
    <w:p w14:paraId="21F05D7F" w14:textId="2BAAB16D" w:rsidR="003868F7" w:rsidRDefault="003868F7" w:rsidP="00DE0027">
      <w:pPr>
        <w:pStyle w:val="BodyText"/>
      </w:pPr>
      <w:r>
        <w:t xml:space="preserve">The </w:t>
      </w:r>
      <w:r w:rsidR="00203611">
        <w:t xml:space="preserve">diversion </w:t>
      </w:r>
      <w:r>
        <w:t xml:space="preserve">of </w:t>
      </w:r>
      <w:r w:rsidR="00744F82">
        <w:t>nuclear material in</w:t>
      </w:r>
      <w:r>
        <w:t xml:space="preserve"> irradiated </w:t>
      </w:r>
      <w:r w:rsidR="00744F82">
        <w:t xml:space="preserve">fuel salt </w:t>
      </w:r>
      <w:r w:rsidR="00701328">
        <w:t>from the</w:t>
      </w:r>
      <w:r w:rsidR="00FE4916">
        <w:t xml:space="preserve"> </w:t>
      </w:r>
      <w:r>
        <w:t xml:space="preserve">core </w:t>
      </w:r>
      <w:r w:rsidR="00701328">
        <w:t xml:space="preserve">would be simplest </w:t>
      </w:r>
      <w:r w:rsidR="00744F82">
        <w:t xml:space="preserve">through </w:t>
      </w:r>
      <w:r w:rsidR="00701328">
        <w:t>designed</w:t>
      </w:r>
      <w:r>
        <w:t xml:space="preserve"> inlets and outlets which must be </w:t>
      </w:r>
      <w:r w:rsidR="00A17F64">
        <w:t>constantly monitored</w:t>
      </w:r>
      <w:r>
        <w:t xml:space="preserve">. </w:t>
      </w:r>
      <w:r w:rsidR="00701328">
        <w:t>The ability to divert material from outlets introduced during operation would be difficult due to the potential to introduce air and moisture into the system</w:t>
      </w:r>
      <w:r w:rsidR="00203611">
        <w:t>,</w:t>
      </w:r>
      <w:r w:rsidR="00701328">
        <w:t xml:space="preserve"> not to mention the high temperatures and radioactive environment involved.</w:t>
      </w:r>
      <w:r w:rsidR="00AC7B94">
        <w:t xml:space="preserve"> Several academic studies have </w:t>
      </w:r>
      <w:r w:rsidR="00DA6345">
        <w:t xml:space="preserve">assessed the potential measurement techniques and </w:t>
      </w:r>
      <w:r w:rsidR="0015015D">
        <w:t xml:space="preserve">modelled associated uncertainties with novel fuel forms </w:t>
      </w:r>
      <w:sdt>
        <w:sdtPr>
          <w:id w:val="88198390"/>
          <w:citation/>
        </w:sdtPr>
        <w:sdtContent>
          <w:r w:rsidR="00050414">
            <w:fldChar w:fldCharType="begin"/>
          </w:r>
          <w:r w:rsidR="00050414">
            <w:rPr>
              <w:lang w:val="en-US"/>
            </w:rPr>
            <w:instrText xml:space="preserve">CITATION Sha23 \l 1033 </w:instrText>
          </w:r>
          <w:r w:rsidR="00050414">
            <w:fldChar w:fldCharType="separate"/>
          </w:r>
          <w:r w:rsidR="005E1966" w:rsidRPr="005E1966">
            <w:rPr>
              <w:noProof/>
              <w:lang w:val="en-US"/>
            </w:rPr>
            <w:t>[6]</w:t>
          </w:r>
          <w:r w:rsidR="00050414">
            <w:fldChar w:fldCharType="end"/>
          </w:r>
        </w:sdtContent>
      </w:sdt>
      <w:r w:rsidR="00050414">
        <w:t xml:space="preserve"> </w:t>
      </w:r>
      <w:sdt>
        <w:sdtPr>
          <w:id w:val="2121952223"/>
          <w:citation/>
        </w:sdtPr>
        <w:sdtContent>
          <w:r w:rsidR="00050414">
            <w:fldChar w:fldCharType="begin"/>
          </w:r>
          <w:r w:rsidR="00050414">
            <w:rPr>
              <w:lang w:val="en-US"/>
            </w:rPr>
            <w:instrText xml:space="preserve"> CITATION Jia23 \l 1033 </w:instrText>
          </w:r>
          <w:r w:rsidR="00050414">
            <w:fldChar w:fldCharType="separate"/>
          </w:r>
          <w:r w:rsidR="005E1966" w:rsidRPr="005E1966">
            <w:rPr>
              <w:noProof/>
              <w:lang w:val="en-US"/>
            </w:rPr>
            <w:t>[7]</w:t>
          </w:r>
          <w:r w:rsidR="00050414">
            <w:fldChar w:fldCharType="end"/>
          </w:r>
        </w:sdtContent>
      </w:sdt>
      <w:r w:rsidR="0015015D">
        <w:t xml:space="preserve">. </w:t>
      </w:r>
    </w:p>
    <w:p w14:paraId="799A70E2" w14:textId="6DB86D06" w:rsidR="00DE0027" w:rsidRDefault="00DE0027" w:rsidP="00DE0027">
      <w:pPr>
        <w:pStyle w:val="BodyText"/>
      </w:pPr>
      <w:r>
        <w:t>During normal operation fuel salt</w:t>
      </w:r>
      <w:r w:rsidR="00C43E78">
        <w:t xml:space="preserve"> flow should be understood and the </w:t>
      </w:r>
      <w:r>
        <w:t xml:space="preserve">process flow </w:t>
      </w:r>
      <w:r w:rsidR="00C43E78">
        <w:t>characteristics would be expected to be shared an</w:t>
      </w:r>
      <w:r w:rsidR="00FE4916">
        <w:t>d</w:t>
      </w:r>
      <w:r>
        <w:t xml:space="preserve"> understood by the IAEA. </w:t>
      </w:r>
      <w:r w:rsidR="00647B43">
        <w:t>A</w:t>
      </w:r>
      <w:r w:rsidR="0050336E">
        <w:t>ll</w:t>
      </w:r>
      <w:r>
        <w:t xml:space="preserve"> flow path</w:t>
      </w:r>
      <w:r w:rsidR="0050336E">
        <w:t>s</w:t>
      </w:r>
      <w:r>
        <w:t xml:space="preserve"> in the facility</w:t>
      </w:r>
      <w:r w:rsidR="00AA4824">
        <w:t>, whether</w:t>
      </w:r>
      <w:r w:rsidR="00647B43">
        <w:t xml:space="preserve"> they plan to contain nuclear material</w:t>
      </w:r>
      <w:r w:rsidR="00AA4824">
        <w:t>,</w:t>
      </w:r>
      <w:r w:rsidR="00647B43">
        <w:t xml:space="preserve"> </w:t>
      </w:r>
      <w:r w:rsidR="0050336E">
        <w:t>should be</w:t>
      </w:r>
      <w:r>
        <w:t xml:space="preserve"> </w:t>
      </w:r>
      <w:r w:rsidR="00FE4916">
        <w:t>declared</w:t>
      </w:r>
      <w:r>
        <w:t xml:space="preserve"> </w:t>
      </w:r>
      <w:r w:rsidR="00FE4916">
        <w:t>to</w:t>
      </w:r>
      <w:r>
        <w:t xml:space="preserve"> the IAEA</w:t>
      </w:r>
      <w:r w:rsidR="00937499">
        <w:t xml:space="preserve"> through the Design Information Questionnaire</w:t>
      </w:r>
      <w:r w:rsidR="0050336E">
        <w:t>,</w:t>
      </w:r>
      <w:r>
        <w:t xml:space="preserve"> with the expected </w:t>
      </w:r>
      <w:r w:rsidR="00F21F33">
        <w:t xml:space="preserve">materials declared for </w:t>
      </w:r>
      <w:r>
        <w:t xml:space="preserve">each path during operation, especially paths </w:t>
      </w:r>
      <w:r w:rsidR="00C43E78">
        <w:t xml:space="preserve">that </w:t>
      </w:r>
      <w:r>
        <w:t xml:space="preserve">could lead to materials being removed from the core. </w:t>
      </w:r>
      <w:r w:rsidR="00C43E78">
        <w:t xml:space="preserve">Methods for monitoring of flow and </w:t>
      </w:r>
      <w:r w:rsidR="00FE4916">
        <w:t xml:space="preserve">methods of assisting the IAEA in reviewing the flow diagrams </w:t>
      </w:r>
      <w:r w:rsidR="0050336E">
        <w:t>c</w:t>
      </w:r>
      <w:r w:rsidR="00C43E78">
        <w:t>ould be beneficial</w:t>
      </w:r>
      <w:r w:rsidR="009B1948">
        <w:t xml:space="preserve">. </w:t>
      </w:r>
    </w:p>
    <w:p w14:paraId="6FF87FE4" w14:textId="730E3546" w:rsidR="00DE0027" w:rsidRDefault="00C43E78" w:rsidP="00DE0027">
      <w:pPr>
        <w:pStyle w:val="BodyText"/>
      </w:pPr>
      <w:r>
        <w:t xml:space="preserve">If </w:t>
      </w:r>
      <w:r w:rsidR="00455A60">
        <w:t xml:space="preserve">the </w:t>
      </w:r>
      <w:r>
        <w:t>introduction of non-</w:t>
      </w:r>
      <w:r w:rsidR="0050336E">
        <w:t xml:space="preserve">declared </w:t>
      </w:r>
      <w:r w:rsidR="00937499">
        <w:t xml:space="preserve">pathways out of the reactor system </w:t>
      </w:r>
      <w:r>
        <w:t xml:space="preserve">were possible, </w:t>
      </w:r>
      <w:r w:rsidR="00436B18">
        <w:t xml:space="preserve">methods to detect and identify these undeclared pathways would be critical. </w:t>
      </w:r>
      <w:r w:rsidR="00B279DA">
        <w:t>Unattended monitoring d</w:t>
      </w:r>
      <w:r w:rsidR="00DE0027">
        <w:t xml:space="preserve">etection systems on site </w:t>
      </w:r>
      <w:r w:rsidR="00B279DA">
        <w:t>should be considered to monitor for</w:t>
      </w:r>
      <w:r w:rsidR="00EB65D3">
        <w:t xml:space="preserve"> this</w:t>
      </w:r>
      <w:r w:rsidR="004D3F82">
        <w:t xml:space="preserve"> </w:t>
      </w:r>
      <w:r w:rsidR="0098297E">
        <w:t>scenario</w:t>
      </w:r>
      <w:r w:rsidR="004D3F82">
        <w:t xml:space="preserve"> </w:t>
      </w:r>
      <w:r w:rsidR="0098297E">
        <w:t xml:space="preserve">with </w:t>
      </w:r>
      <w:r w:rsidR="00920EFE">
        <w:t xml:space="preserve">data </w:t>
      </w:r>
      <w:r w:rsidR="0098297E">
        <w:t xml:space="preserve">remotely </w:t>
      </w:r>
      <w:r w:rsidR="00AA4824">
        <w:t>transmitted to</w:t>
      </w:r>
      <w:r w:rsidR="004D3F82">
        <w:t xml:space="preserve"> the IAEA</w:t>
      </w:r>
      <w:r w:rsidR="00EB65D3">
        <w:t xml:space="preserve">. </w:t>
      </w:r>
      <w:r w:rsidR="004D3F82">
        <w:t xml:space="preserve">If </w:t>
      </w:r>
      <w:r w:rsidR="00EB65D3">
        <w:t xml:space="preserve">special equipment </w:t>
      </w:r>
      <w:r w:rsidR="004D3F82">
        <w:t xml:space="preserve">was </w:t>
      </w:r>
      <w:r>
        <w:t xml:space="preserve">developed </w:t>
      </w:r>
      <w:r w:rsidR="00920EFE">
        <w:t xml:space="preserve">by the State </w:t>
      </w:r>
      <w:r w:rsidR="004D3F82">
        <w:t xml:space="preserve">to avoid this detection, this </w:t>
      </w:r>
      <w:r w:rsidR="00EB65D3">
        <w:t>would</w:t>
      </w:r>
      <w:r w:rsidR="004D3F82">
        <w:t xml:space="preserve"> require heavily shielded and seal</w:t>
      </w:r>
      <w:r w:rsidR="009B1948">
        <w:t>able systems</w:t>
      </w:r>
      <w:r w:rsidR="004D3F82">
        <w:t xml:space="preserve"> </w:t>
      </w:r>
      <w:r w:rsidR="00EB65D3">
        <w:t>on site to handle and remove the fuel salt</w:t>
      </w:r>
      <w:r w:rsidR="00127B91">
        <w:t>.</w:t>
      </w:r>
    </w:p>
    <w:p w14:paraId="4F75342F" w14:textId="6FC7CD67" w:rsidR="00591F30" w:rsidRDefault="00591F30" w:rsidP="00DE0027">
      <w:pPr>
        <w:pStyle w:val="BodyText"/>
      </w:pPr>
      <w:r>
        <w:t xml:space="preserve">One of the most challenging scenarios for diversion is mitigating the risk that small volumes, over a long period of time, are diverted from the core. This is referred to as a bias defect in IAEA Bulk Handling Facility </w:t>
      </w:r>
      <w:r>
        <w:lastRenderedPageBreak/>
        <w:t xml:space="preserve">safeguards vernacular. The ability to do this in a liquid fuelled reactor is far greater than those with solid fuel. Appropriate safeguards measures need to be identified or developed to detect this. </w:t>
      </w:r>
    </w:p>
    <w:p w14:paraId="124A15AA" w14:textId="52A09B02" w:rsidR="00EB65D3" w:rsidRDefault="0013555F" w:rsidP="00EB65D3">
      <w:pPr>
        <w:pStyle w:val="Heading4"/>
        <w:ind w:left="0"/>
      </w:pPr>
      <w:r>
        <w:t>Operational</w:t>
      </w:r>
      <w:r w:rsidR="00EB65D3">
        <w:t xml:space="preserve"> misuse</w:t>
      </w:r>
    </w:p>
    <w:p w14:paraId="28D629B5" w14:textId="49DD8828" w:rsidR="00EB65D3" w:rsidRDefault="00AE111F" w:rsidP="00EB65D3">
      <w:pPr>
        <w:pStyle w:val="BodyText"/>
        <w:rPr>
          <w:lang w:val="en-US"/>
        </w:rPr>
      </w:pPr>
      <w:r>
        <w:rPr>
          <w:lang w:val="en-US"/>
        </w:rPr>
        <w:t>For LWRs,</w:t>
      </w:r>
      <w:r w:rsidR="00BF3DF8">
        <w:rPr>
          <w:lang w:val="en-US"/>
        </w:rPr>
        <w:t xml:space="preserve"> the IAEA has</w:t>
      </w:r>
      <w:r w:rsidR="00355473">
        <w:rPr>
          <w:lang w:val="en-US"/>
        </w:rPr>
        <w:t xml:space="preserve"> </w:t>
      </w:r>
      <w:r w:rsidR="00BF3DF8">
        <w:rPr>
          <w:lang w:val="en-US"/>
        </w:rPr>
        <w:t>verification technologies</w:t>
      </w:r>
      <w:r w:rsidR="00D72D4E">
        <w:rPr>
          <w:lang w:val="en-US"/>
        </w:rPr>
        <w:t xml:space="preserve"> to monitor power</w:t>
      </w:r>
      <w:r w:rsidR="00EB65D3">
        <w:rPr>
          <w:lang w:val="en-US"/>
        </w:rPr>
        <w:t xml:space="preserve"> </w:t>
      </w:r>
      <w:r>
        <w:rPr>
          <w:lang w:val="en-US"/>
        </w:rPr>
        <w:t>and</w:t>
      </w:r>
      <w:r w:rsidR="00EB65D3">
        <w:rPr>
          <w:lang w:val="en-US"/>
        </w:rPr>
        <w:t xml:space="preserve"> ensure that the </w:t>
      </w:r>
      <w:r w:rsidR="00BF3DF8">
        <w:rPr>
          <w:lang w:val="en-US"/>
        </w:rPr>
        <w:t>facilities are not</w:t>
      </w:r>
      <w:r w:rsidR="009B1948">
        <w:rPr>
          <w:lang w:val="en-US"/>
        </w:rPr>
        <w:t xml:space="preserve"> </w:t>
      </w:r>
      <w:r w:rsidR="00D56D88">
        <w:rPr>
          <w:lang w:val="en-US"/>
        </w:rPr>
        <w:t>misused for</w:t>
      </w:r>
      <w:r w:rsidR="00BF3DF8">
        <w:rPr>
          <w:lang w:val="en-US"/>
        </w:rPr>
        <w:t xml:space="preserve"> undeclared production of </w:t>
      </w:r>
      <w:r w:rsidR="00DD37AB">
        <w:rPr>
          <w:lang w:val="en-US"/>
        </w:rPr>
        <w:t>Pu</w:t>
      </w:r>
      <w:r w:rsidR="00355473">
        <w:rPr>
          <w:lang w:val="en-US"/>
        </w:rPr>
        <w:t>.</w:t>
      </w:r>
      <w:r w:rsidR="00EB65D3">
        <w:rPr>
          <w:lang w:val="en-US"/>
        </w:rPr>
        <w:t xml:space="preserve"> </w:t>
      </w:r>
      <w:r w:rsidR="00132994">
        <w:rPr>
          <w:lang w:val="en-US"/>
        </w:rPr>
        <w:t xml:space="preserve">From a safety perspective, </w:t>
      </w:r>
      <w:r w:rsidR="00DE7C55">
        <w:rPr>
          <w:lang w:val="en-US"/>
        </w:rPr>
        <w:t xml:space="preserve">LWRs </w:t>
      </w:r>
      <w:r w:rsidR="00256561">
        <w:rPr>
          <w:lang w:val="en-US"/>
        </w:rPr>
        <w:t xml:space="preserve">have maximum temperature </w:t>
      </w:r>
      <w:r w:rsidR="00DE7C55">
        <w:rPr>
          <w:lang w:val="en-US"/>
        </w:rPr>
        <w:t xml:space="preserve">limits </w:t>
      </w:r>
      <w:r w:rsidR="00256561">
        <w:rPr>
          <w:lang w:val="en-US"/>
        </w:rPr>
        <w:t>based on</w:t>
      </w:r>
      <w:r w:rsidR="00DE7C55">
        <w:rPr>
          <w:lang w:val="en-US"/>
        </w:rPr>
        <w:t xml:space="preserve"> the fuel </w:t>
      </w:r>
      <w:r w:rsidR="009B1948">
        <w:rPr>
          <w:lang w:val="en-US"/>
        </w:rPr>
        <w:t xml:space="preserve">cladding </w:t>
      </w:r>
      <w:r w:rsidR="00DE7C55">
        <w:rPr>
          <w:lang w:val="en-US"/>
        </w:rPr>
        <w:t>melting</w:t>
      </w:r>
      <w:r w:rsidR="00256561">
        <w:rPr>
          <w:lang w:val="en-US"/>
        </w:rPr>
        <w:t xml:space="preserve"> point</w:t>
      </w:r>
      <w:r w:rsidR="00DE7C55">
        <w:rPr>
          <w:lang w:val="en-US"/>
        </w:rPr>
        <w:t>. In MSR systems</w:t>
      </w:r>
      <w:r w:rsidR="00BE163A">
        <w:rPr>
          <w:lang w:val="en-US"/>
        </w:rPr>
        <w:t xml:space="preserve"> t</w:t>
      </w:r>
      <w:r w:rsidR="00F44B3C">
        <w:rPr>
          <w:lang w:val="en-US"/>
        </w:rPr>
        <w:t>he core</w:t>
      </w:r>
      <w:r w:rsidR="00DE7C55">
        <w:rPr>
          <w:lang w:val="en-US"/>
        </w:rPr>
        <w:t xml:space="preserve"> environment </w:t>
      </w:r>
      <w:r w:rsidR="00F44B3C">
        <w:rPr>
          <w:lang w:val="en-US"/>
        </w:rPr>
        <w:t xml:space="preserve">may be too </w:t>
      </w:r>
      <w:r w:rsidR="00C66464">
        <w:rPr>
          <w:lang w:val="en-US"/>
        </w:rPr>
        <w:t>hot or too corrosive</w:t>
      </w:r>
      <w:r w:rsidR="00DE7C55">
        <w:rPr>
          <w:lang w:val="en-US"/>
        </w:rPr>
        <w:t xml:space="preserve"> to </w:t>
      </w:r>
      <w:r w:rsidR="00F80C9C">
        <w:rPr>
          <w:lang w:val="en-US"/>
        </w:rPr>
        <w:t xml:space="preserve">effectively </w:t>
      </w:r>
      <w:r w:rsidR="00C66464">
        <w:rPr>
          <w:lang w:val="en-US"/>
        </w:rPr>
        <w:t xml:space="preserve">deploy traditional </w:t>
      </w:r>
      <w:r w:rsidR="00DE7C55">
        <w:rPr>
          <w:lang w:val="en-US"/>
        </w:rPr>
        <w:t>detector systems</w:t>
      </w:r>
      <w:r w:rsidR="00F80C9C">
        <w:rPr>
          <w:lang w:val="en-US"/>
        </w:rPr>
        <w:t xml:space="preserve">. In addition, the </w:t>
      </w:r>
      <w:r w:rsidR="000B403E">
        <w:rPr>
          <w:lang w:val="en-US"/>
        </w:rPr>
        <w:t xml:space="preserve">use of a fuel-salt as the primary circuit fluid </w:t>
      </w:r>
      <w:r w:rsidR="00CA0E59">
        <w:rPr>
          <w:lang w:val="en-US"/>
        </w:rPr>
        <w:t>creates an operational misuse pathway surrounding each engineering component in the system.</w:t>
      </w:r>
      <w:r w:rsidR="008463EE">
        <w:rPr>
          <w:lang w:val="en-US"/>
        </w:rPr>
        <w:t xml:space="preserve"> </w:t>
      </w:r>
    </w:p>
    <w:p w14:paraId="3A28C86B" w14:textId="10D50158" w:rsidR="0097031C" w:rsidRDefault="00C5715C" w:rsidP="00BC00CB">
      <w:pPr>
        <w:pStyle w:val="BodyText"/>
        <w:rPr>
          <w:lang w:val="en-US"/>
        </w:rPr>
      </w:pPr>
      <w:r>
        <w:rPr>
          <w:lang w:val="en-US"/>
        </w:rPr>
        <w:t>N</w:t>
      </w:r>
      <w:r w:rsidR="009B1948">
        <w:rPr>
          <w:lang w:val="en-US"/>
        </w:rPr>
        <w:t>eutron</w:t>
      </w:r>
      <w:r w:rsidR="0097031C">
        <w:rPr>
          <w:lang w:val="en-US"/>
        </w:rPr>
        <w:t xml:space="preserve"> flux detectors outside of the core can provide an indication of the power levels within the facility, but the accuracy of these detectors will be dependent on the physical arrangement of the facility and will need to be </w:t>
      </w:r>
      <w:r w:rsidR="00EB6B71">
        <w:rPr>
          <w:lang w:val="en-US"/>
        </w:rPr>
        <w:t>validated</w:t>
      </w:r>
      <w:r w:rsidR="00436B18">
        <w:rPr>
          <w:lang w:val="en-US"/>
        </w:rPr>
        <w:t>. Misuse of the reactor to</w:t>
      </w:r>
      <w:r w:rsidR="00FD4F95">
        <w:rPr>
          <w:lang w:val="en-US"/>
        </w:rPr>
        <w:t xml:space="preserve"> produce</w:t>
      </w:r>
      <w:r w:rsidR="00436B18">
        <w:rPr>
          <w:lang w:val="en-US"/>
        </w:rPr>
        <w:t xml:space="preserve"> </w:t>
      </w:r>
      <w:r w:rsidR="00DD37AB">
        <w:rPr>
          <w:lang w:val="en-US"/>
        </w:rPr>
        <w:t>Pu</w:t>
      </w:r>
      <w:r w:rsidR="00436B18">
        <w:rPr>
          <w:lang w:val="en-US"/>
        </w:rPr>
        <w:t xml:space="preserve"> may hinder reactor operations and performance over a prolonged period</w:t>
      </w:r>
      <w:r>
        <w:rPr>
          <w:lang w:val="en-US"/>
        </w:rPr>
        <w:t xml:space="preserve">, and the </w:t>
      </w:r>
      <w:r w:rsidR="00BE163A">
        <w:rPr>
          <w:lang w:val="en-US"/>
        </w:rPr>
        <w:t xml:space="preserve">Pu </w:t>
      </w:r>
      <w:r>
        <w:rPr>
          <w:lang w:val="en-US"/>
        </w:rPr>
        <w:t>produced would still be in the core and require extraction.</w:t>
      </w:r>
      <w:r w:rsidR="0097031C">
        <w:rPr>
          <w:lang w:val="en-US"/>
        </w:rPr>
        <w:t xml:space="preserve"> </w:t>
      </w:r>
      <w:r>
        <w:rPr>
          <w:lang w:val="en-US"/>
        </w:rPr>
        <w:t xml:space="preserve">It may be possible to build in safeguard controls into </w:t>
      </w:r>
      <w:r w:rsidR="00DB38F6">
        <w:rPr>
          <w:lang w:val="en-US"/>
        </w:rPr>
        <w:t xml:space="preserve">MSR </w:t>
      </w:r>
      <w:r w:rsidR="0097031C">
        <w:rPr>
          <w:lang w:val="en-US"/>
        </w:rPr>
        <w:t>instrument and control systems</w:t>
      </w:r>
      <w:r w:rsidR="00FD4F95">
        <w:rPr>
          <w:lang w:val="en-US"/>
        </w:rPr>
        <w:t>,</w:t>
      </w:r>
      <w:r w:rsidR="0097031C">
        <w:rPr>
          <w:lang w:val="en-US"/>
        </w:rPr>
        <w:t xml:space="preserve"> </w:t>
      </w:r>
      <w:r w:rsidR="00FD4F95">
        <w:rPr>
          <w:lang w:val="en-US"/>
        </w:rPr>
        <w:t xml:space="preserve">that </w:t>
      </w:r>
      <w:r w:rsidR="009B1948">
        <w:rPr>
          <w:lang w:val="en-US"/>
        </w:rPr>
        <w:t>could reduc</w:t>
      </w:r>
      <w:r w:rsidR="00DB38F6">
        <w:rPr>
          <w:lang w:val="en-US"/>
        </w:rPr>
        <w:t>e</w:t>
      </w:r>
      <w:r w:rsidR="009B1948">
        <w:rPr>
          <w:lang w:val="en-US"/>
        </w:rPr>
        <w:t xml:space="preserve"> the </w:t>
      </w:r>
      <w:r>
        <w:rPr>
          <w:lang w:val="en-US"/>
        </w:rPr>
        <w:t>risk</w:t>
      </w:r>
      <w:r w:rsidR="009B1948">
        <w:rPr>
          <w:lang w:val="en-US"/>
        </w:rPr>
        <w:t xml:space="preserve"> of misuse.</w:t>
      </w:r>
      <w:r w:rsidR="00FB1543">
        <w:rPr>
          <w:lang w:val="en-US"/>
        </w:rPr>
        <w:t xml:space="preserve"> A final concern is the use of the reactor flux to irradiate target channels preplaced in the structure of containment regions of the core..</w:t>
      </w:r>
    </w:p>
    <w:p w14:paraId="5255B532" w14:textId="2AFAF599" w:rsidR="00F708FC" w:rsidRPr="00EE0041" w:rsidRDefault="00FC427A" w:rsidP="00F708FC">
      <w:pPr>
        <w:pStyle w:val="Heading3"/>
      </w:pPr>
      <w:r>
        <w:t xml:space="preserve">Safeguarding approach to the </w:t>
      </w:r>
      <w:r w:rsidR="00F708FC">
        <w:t xml:space="preserve">primary loop to the </w:t>
      </w:r>
      <w:r w:rsidR="00C5715C">
        <w:t>heat exchanger</w:t>
      </w:r>
    </w:p>
    <w:p w14:paraId="672750DC" w14:textId="1C278051" w:rsidR="00AD7AC8" w:rsidRDefault="008462A3" w:rsidP="00AD7AC8">
      <w:pPr>
        <w:pStyle w:val="BodyText"/>
      </w:pPr>
      <w:r>
        <w:t>In LWRs</w:t>
      </w:r>
      <w:r w:rsidR="00DB38F6">
        <w:t>,</w:t>
      </w:r>
      <w:r>
        <w:t xml:space="preserve"> there is no nuclear material </w:t>
      </w:r>
      <w:r w:rsidR="00A17B2C">
        <w:t>in the coolant loop</w:t>
      </w:r>
      <w:r w:rsidR="00237F3A">
        <w:t>.</w:t>
      </w:r>
      <w:r>
        <w:t xml:space="preserve"> </w:t>
      </w:r>
      <w:r w:rsidR="00695DC7">
        <w:t>In MSRs</w:t>
      </w:r>
      <w:r w:rsidR="00DB38F6">
        <w:t>,</w:t>
      </w:r>
      <w:r w:rsidR="00695DC7">
        <w:t xml:space="preserve"> the fuel </w:t>
      </w:r>
      <w:r w:rsidR="00237F3A">
        <w:t xml:space="preserve">exists within </w:t>
      </w:r>
      <w:r w:rsidR="00695DC7">
        <w:t xml:space="preserve">the </w:t>
      </w:r>
      <w:r w:rsidR="00AA4824">
        <w:t>primary</w:t>
      </w:r>
      <w:r w:rsidR="00237F3A">
        <w:t xml:space="preserve"> salt loop</w:t>
      </w:r>
      <w:r w:rsidR="00234C04">
        <w:t xml:space="preserve"> </w:t>
      </w:r>
      <w:r w:rsidR="00360E69">
        <w:t>(</w:t>
      </w:r>
      <w:r w:rsidR="00234C04">
        <w:t>i.e. the flow of coolant</w:t>
      </w:r>
      <w:r w:rsidR="00360E69">
        <w:t xml:space="preserve">, </w:t>
      </w:r>
      <w:r w:rsidR="00234C04">
        <w:t>in this case fuel salt) out of, and back into, the core.</w:t>
      </w:r>
      <w:r w:rsidR="00695DC7">
        <w:t xml:space="preserve"> In all reactors</w:t>
      </w:r>
      <w:r w:rsidR="00DB38F6">
        <w:t>,</w:t>
      </w:r>
      <w:r w:rsidR="00695DC7">
        <w:t xml:space="preserve"> the primary loop uses a</w:t>
      </w:r>
      <w:r w:rsidR="00D56D88">
        <w:t xml:space="preserve"> </w:t>
      </w:r>
      <w:r w:rsidR="00695DC7">
        <w:t xml:space="preserve">HX to transfer heat away from the core for </w:t>
      </w:r>
      <w:r w:rsidR="00DD4F5B">
        <w:t>use in other areas of the plant</w:t>
      </w:r>
      <w:r w:rsidR="00695DC7">
        <w:t xml:space="preserve">. </w:t>
      </w:r>
      <w:r w:rsidR="00AD7AC8">
        <w:t xml:space="preserve">As there are delayed neutrons within the </w:t>
      </w:r>
      <w:r w:rsidR="00234C04">
        <w:t xml:space="preserve">MSR </w:t>
      </w:r>
      <w:r w:rsidR="00AD7AC8">
        <w:t xml:space="preserve">HX, this could also be a location for potential breeding targets which should be checked during the commissioning of the facility. </w:t>
      </w:r>
    </w:p>
    <w:p w14:paraId="62DEA610" w14:textId="01D02362" w:rsidR="00F708FC" w:rsidRDefault="00AD7AC8" w:rsidP="00AA4824">
      <w:pPr>
        <w:pStyle w:val="BodyText"/>
      </w:pPr>
      <w:r>
        <w:t xml:space="preserve">Additionally, almost all MSR designs will include a secondary </w:t>
      </w:r>
      <w:r w:rsidR="008F764C">
        <w:t>fluid loop that carries</w:t>
      </w:r>
      <w:r w:rsidR="00695DC7">
        <w:t xml:space="preserve"> heat away from the </w:t>
      </w:r>
      <w:r w:rsidR="008F764C">
        <w:t xml:space="preserve">primary </w:t>
      </w:r>
      <w:r w:rsidR="00695DC7">
        <w:t xml:space="preserve">HX </w:t>
      </w:r>
      <w:r w:rsidR="008F764C">
        <w:t>and contains</w:t>
      </w:r>
      <w:r w:rsidR="00695DC7">
        <w:t xml:space="preserve"> </w:t>
      </w:r>
      <w:r w:rsidR="008F764C">
        <w:t xml:space="preserve">a </w:t>
      </w:r>
      <w:r w:rsidR="00695DC7">
        <w:t>fluid with suitable heat transfer characteristics</w:t>
      </w:r>
      <w:r w:rsidR="008F764C">
        <w:t xml:space="preserve">, such as another </w:t>
      </w:r>
      <w:r w:rsidR="00695DC7">
        <w:t>salt, steam, gas</w:t>
      </w:r>
      <w:r w:rsidR="008F764C">
        <w:t>,</w:t>
      </w:r>
      <w:r w:rsidR="00695DC7">
        <w:t xml:space="preserve"> or other material. Controls </w:t>
      </w:r>
      <w:r w:rsidR="0029232E">
        <w:t xml:space="preserve">may </w:t>
      </w:r>
      <w:r w:rsidR="00D56D88">
        <w:t>need</w:t>
      </w:r>
      <w:r w:rsidR="00695DC7">
        <w:t xml:space="preserve"> to be introduced to ensure that material cannot be diverted into the secondary circuit. </w:t>
      </w:r>
      <w:r w:rsidR="0080253C">
        <w:t>However, for this initial effort</w:t>
      </w:r>
      <w:r w:rsidR="00794250">
        <w:t xml:space="preserve"> the assumption is made</w:t>
      </w:r>
      <w:r w:rsidR="0080253C">
        <w:t xml:space="preserve"> that all material </w:t>
      </w:r>
      <w:r>
        <w:t xml:space="preserve">remains in the primary circuit and only heat is discharged to the balance of plant. </w:t>
      </w:r>
    </w:p>
    <w:p w14:paraId="66B01B98" w14:textId="49BBA07A" w:rsidR="00F708FC" w:rsidRPr="00EE0041" w:rsidRDefault="00FC427A" w:rsidP="00F708FC">
      <w:pPr>
        <w:pStyle w:val="Heading3"/>
      </w:pPr>
      <w:r>
        <w:t xml:space="preserve">Safeguarding approach to the </w:t>
      </w:r>
      <w:r w:rsidR="00F708FC">
        <w:t>off-gas</w:t>
      </w:r>
    </w:p>
    <w:p w14:paraId="7ED0DCB9" w14:textId="49AAE54B" w:rsidR="00FC427A" w:rsidRDefault="0067509E" w:rsidP="00846B44">
      <w:pPr>
        <w:pStyle w:val="BodyText"/>
      </w:pPr>
      <w:r>
        <w:t xml:space="preserve">The off-gas system in MSR’s provides challenges for material accountancy as the volume of material which reaches the system will depend on operational characteristics </w:t>
      </w:r>
      <w:r w:rsidR="00043F05">
        <w:t>e.g.</w:t>
      </w:r>
      <w:r>
        <w:t xml:space="preserve"> power</w:t>
      </w:r>
      <w:r w:rsidR="000B5D4B">
        <w:t>, temperature, cover gas flow rate,</w:t>
      </w:r>
      <w:r>
        <w:t xml:space="preserve"> and</w:t>
      </w:r>
      <w:r w:rsidR="00043F05">
        <w:t>, if present,</w:t>
      </w:r>
      <w:r>
        <w:t xml:space="preserve"> bubbling flow rate. </w:t>
      </w:r>
      <w:r w:rsidR="00043F05">
        <w:t xml:space="preserve">Moreover, highly </w:t>
      </w:r>
      <w:r w:rsidR="00234C04">
        <w:t xml:space="preserve">neutron </w:t>
      </w:r>
      <w:r w:rsidR="00043F05">
        <w:t>absorbing off-gasses</w:t>
      </w:r>
      <w:r w:rsidR="00A567E9">
        <w:t>,</w:t>
      </w:r>
      <w:r w:rsidR="00043F05">
        <w:t xml:space="preserve"> such as </w:t>
      </w:r>
      <w:r w:rsidR="00507E03" w:rsidRPr="00575657">
        <w:rPr>
          <w:vertAlign w:val="superscript"/>
        </w:rPr>
        <w:t>135</w:t>
      </w:r>
      <w:r w:rsidR="00507E03" w:rsidRPr="00E303F6">
        <w:rPr>
          <w:color w:val="000000"/>
        </w:rPr>
        <w:t xml:space="preserve">Xe </w:t>
      </w:r>
      <w:r w:rsidR="00507E03">
        <w:rPr>
          <w:color w:val="000000"/>
        </w:rPr>
        <w:t xml:space="preserve"> </w:t>
      </w:r>
      <w:r w:rsidR="00234C04">
        <w:rPr>
          <w:color w:val="000000"/>
        </w:rPr>
        <w:t xml:space="preserve">will </w:t>
      </w:r>
      <w:r w:rsidR="00507E03">
        <w:rPr>
          <w:color w:val="000000"/>
        </w:rPr>
        <w:t>be produced</w:t>
      </w:r>
      <w:r w:rsidR="0041253E">
        <w:rPr>
          <w:color w:val="000000"/>
        </w:rPr>
        <w:t>,</w:t>
      </w:r>
      <w:r w:rsidR="00507E03">
        <w:rPr>
          <w:color w:val="000000"/>
        </w:rPr>
        <w:t xml:space="preserve"> and</w:t>
      </w:r>
      <w:r w:rsidR="00794250">
        <w:rPr>
          <w:color w:val="000000"/>
        </w:rPr>
        <w:t xml:space="preserve"> this could be removed to increase the efficiency of the system. </w:t>
      </w:r>
      <w:r w:rsidR="00507E03">
        <w:rPr>
          <w:color w:val="000000"/>
        </w:rPr>
        <w:t xml:space="preserve"> </w:t>
      </w:r>
    </w:p>
    <w:p w14:paraId="52E3268C" w14:textId="6BEF0DF6" w:rsidR="00142E4D" w:rsidRDefault="00142E4D" w:rsidP="00846B44">
      <w:pPr>
        <w:pStyle w:val="BodyText"/>
      </w:pPr>
      <w:r>
        <w:t xml:space="preserve">The off-gas system could act as a diversion path of material if the core was operated in such a way that </w:t>
      </w:r>
      <w:r w:rsidR="00043F05">
        <w:t>un</w:t>
      </w:r>
      <w:r>
        <w:t xml:space="preserve">monitored material could leave the core. </w:t>
      </w:r>
      <w:r w:rsidR="007E47DE">
        <w:t xml:space="preserve">The experience of </w:t>
      </w:r>
      <w:r>
        <w:t>MSRE</w:t>
      </w:r>
      <w:r w:rsidR="001F1362">
        <w:t xml:space="preserve"> </w:t>
      </w:r>
      <w:sdt>
        <w:sdtPr>
          <w:id w:val="1330025663"/>
          <w:citation/>
        </w:sdtPr>
        <w:sdtContent>
          <w:r w:rsidR="00050414">
            <w:fldChar w:fldCharType="begin"/>
          </w:r>
          <w:r w:rsidR="00050414">
            <w:rPr>
              <w:lang w:val="en-US"/>
            </w:rPr>
            <w:instrText xml:space="preserve"> CITATION Hau70 \l 1033 </w:instrText>
          </w:r>
          <w:r w:rsidR="00050414">
            <w:fldChar w:fldCharType="separate"/>
          </w:r>
          <w:r w:rsidR="005E1966" w:rsidRPr="005E1966">
            <w:rPr>
              <w:noProof/>
              <w:lang w:val="en-US"/>
            </w:rPr>
            <w:t>[8]</w:t>
          </w:r>
          <w:r w:rsidR="00050414">
            <w:fldChar w:fldCharType="end"/>
          </w:r>
        </w:sdtContent>
      </w:sdt>
      <w:r w:rsidR="00D27952">
        <w:t xml:space="preserve"> provided</w:t>
      </w:r>
      <w:r>
        <w:t xml:space="preserve"> no evidence th</w:t>
      </w:r>
      <w:r w:rsidR="00D27952">
        <w:t>at</w:t>
      </w:r>
      <w:r>
        <w:t xml:space="preserve"> uranium o</w:t>
      </w:r>
      <w:r w:rsidR="00D27952">
        <w:t>r</w:t>
      </w:r>
      <w:r>
        <w:t xml:space="preserve"> </w:t>
      </w:r>
      <w:r w:rsidR="00DD37AB">
        <w:t>Pu</w:t>
      </w:r>
      <w:r>
        <w:t xml:space="preserve"> were found within the off-gas system. However, </w:t>
      </w:r>
      <w:r w:rsidR="00FF2C76">
        <w:t xml:space="preserve">the off-gas </w:t>
      </w:r>
      <w:r w:rsidR="008771AD">
        <w:t>system and other two-phase separations components</w:t>
      </w:r>
      <w:r w:rsidR="00246B56">
        <w:t xml:space="preserve"> should include </w:t>
      </w:r>
      <w:r w:rsidR="00806156">
        <w:t xml:space="preserve">an effective safeguards </w:t>
      </w:r>
      <w:r w:rsidR="00F12C9A">
        <w:t>approach should include monitoring</w:t>
      </w:r>
      <w:r w:rsidR="00246B56">
        <w:t xml:space="preserve"> for regulatory and operations purposes</w:t>
      </w:r>
      <w:r>
        <w:t xml:space="preserve">. </w:t>
      </w:r>
      <w:r w:rsidR="00575657">
        <w:t>For</w:t>
      </w:r>
      <w:r w:rsidR="00507E03">
        <w:t xml:space="preserve"> this and subsequent studies, </w:t>
      </w:r>
      <w:r w:rsidR="00507E03">
        <w:rPr>
          <w:color w:val="000000"/>
        </w:rPr>
        <w:t xml:space="preserve">the </w:t>
      </w:r>
      <w:r w:rsidR="008771AD">
        <w:rPr>
          <w:color w:val="000000"/>
        </w:rPr>
        <w:t>amounts,</w:t>
      </w:r>
      <w:r w:rsidR="00507E03">
        <w:rPr>
          <w:color w:val="000000"/>
        </w:rPr>
        <w:t xml:space="preserve"> and quantities of materials </w:t>
      </w:r>
      <w:r w:rsidR="00575657">
        <w:rPr>
          <w:color w:val="000000"/>
        </w:rPr>
        <w:t>in the</w:t>
      </w:r>
      <w:r w:rsidR="00575657" w:rsidRPr="00246B56">
        <w:rPr>
          <w:color w:val="000000"/>
        </w:rPr>
        <w:t xml:space="preserve"> off-gas</w:t>
      </w:r>
      <w:r w:rsidR="008771AD" w:rsidRPr="00246B56">
        <w:rPr>
          <w:color w:val="000000"/>
        </w:rPr>
        <w:t xml:space="preserve"> </w:t>
      </w:r>
      <w:r w:rsidR="00F12C9A">
        <w:t>streams for nuclear material</w:t>
      </w:r>
      <w:r>
        <w:t xml:space="preserve">. </w:t>
      </w:r>
      <w:r w:rsidR="008771AD">
        <w:rPr>
          <w:color w:val="000000"/>
        </w:rPr>
        <w:t>and other dependent components are integral to the system</w:t>
      </w:r>
      <w:r w:rsidR="00246B56">
        <w:rPr>
          <w:color w:val="000000"/>
        </w:rPr>
        <w:t>-level</w:t>
      </w:r>
      <w:r w:rsidR="00575657">
        <w:rPr>
          <w:color w:val="000000"/>
        </w:rPr>
        <w:t xml:space="preserve"> </w:t>
      </w:r>
      <w:r w:rsidR="00507E03">
        <w:rPr>
          <w:color w:val="000000"/>
        </w:rPr>
        <w:t>mass balance.</w:t>
      </w:r>
      <w:r w:rsidR="00507E03" w:rsidRPr="00246B56">
        <w:rPr>
          <w:color w:val="000000"/>
        </w:rPr>
        <w:t xml:space="preserve"> </w:t>
      </w:r>
    </w:p>
    <w:p w14:paraId="40CD8911" w14:textId="5D29AF0E" w:rsidR="003C517B" w:rsidRDefault="003C517B" w:rsidP="00846B44">
      <w:pPr>
        <w:pStyle w:val="BodyText"/>
      </w:pPr>
      <w:r>
        <w:t xml:space="preserve">Most off-gas systems use an autonomous system due to the high levels of radioactivity. </w:t>
      </w:r>
      <w:r w:rsidR="00D27952">
        <w:t xml:space="preserve">Monitoring </w:t>
      </w:r>
      <w:r>
        <w:t>the</w:t>
      </w:r>
      <w:r w:rsidR="00D27952">
        <w:t xml:space="preserve"> off-gas may provide an</w:t>
      </w:r>
      <w:r>
        <w:t xml:space="preserve"> opportunity determine some operational </w:t>
      </w:r>
      <w:r w:rsidR="00B62DD8">
        <w:t>parameters</w:t>
      </w:r>
      <w:r w:rsidR="00D27952">
        <w:t xml:space="preserve"> </w:t>
      </w:r>
      <w:sdt>
        <w:sdtPr>
          <w:id w:val="-1849549823"/>
          <w:citation/>
        </w:sdtPr>
        <w:sdtContent>
          <w:r w:rsidR="00B62DD8">
            <w:fldChar w:fldCharType="begin"/>
          </w:r>
          <w:r w:rsidR="00B62DD8">
            <w:instrText xml:space="preserve"> CITATION NDu23 \l 2057 </w:instrText>
          </w:r>
          <w:r w:rsidR="00B62DD8">
            <w:fldChar w:fldCharType="separate"/>
          </w:r>
          <w:r w:rsidR="005E1966">
            <w:rPr>
              <w:noProof/>
            </w:rPr>
            <w:t>[9]</w:t>
          </w:r>
          <w:r w:rsidR="00B62DD8">
            <w:fldChar w:fldCharType="end"/>
          </w:r>
        </w:sdtContent>
      </w:sdt>
      <w:r>
        <w:t xml:space="preserve">. </w:t>
      </w:r>
      <w:r w:rsidR="00D27952">
        <w:t>Approaches to characterisation of the off-gas composition for the purpose of safeguarding need to be fully defined.</w:t>
      </w:r>
    </w:p>
    <w:p w14:paraId="52C443E6" w14:textId="6C32739A" w:rsidR="00FC427A" w:rsidRPr="00EE0041" w:rsidRDefault="00FC427A" w:rsidP="00FC427A">
      <w:pPr>
        <w:pStyle w:val="Heading3"/>
      </w:pPr>
      <w:bookmarkStart w:id="0" w:name="_Ref166487060"/>
      <w:r>
        <w:t xml:space="preserve">Safeguarding approach to the </w:t>
      </w:r>
      <w:r w:rsidR="00542012">
        <w:t xml:space="preserve">irradiated </w:t>
      </w:r>
      <w:r>
        <w:t>fuel</w:t>
      </w:r>
      <w:r w:rsidR="003C517B">
        <w:t xml:space="preserve">, </w:t>
      </w:r>
      <w:r>
        <w:t>drain tank</w:t>
      </w:r>
      <w:bookmarkEnd w:id="0"/>
      <w:r w:rsidR="003C517B">
        <w:t xml:space="preserve"> and spill tray</w:t>
      </w:r>
    </w:p>
    <w:p w14:paraId="384DD0CB" w14:textId="2F15E55A" w:rsidR="00511B1F" w:rsidRDefault="00542012" w:rsidP="00846116">
      <w:pPr>
        <w:pStyle w:val="BodyText"/>
      </w:pPr>
      <w:r>
        <w:t xml:space="preserve">Irradiated </w:t>
      </w:r>
      <w:r w:rsidR="00D27952">
        <w:t xml:space="preserve">fuel removal, </w:t>
      </w:r>
      <w:r w:rsidR="00BE7426">
        <w:t xml:space="preserve">including the use of drain tanks and a </w:t>
      </w:r>
      <w:r w:rsidR="00D27952">
        <w:t>spill tray</w:t>
      </w:r>
      <w:r w:rsidR="008C4D9E">
        <w:t>,</w:t>
      </w:r>
      <w:r w:rsidR="00D27952">
        <w:t xml:space="preserve"> present </w:t>
      </w:r>
      <w:r w:rsidR="00846116">
        <w:t>potential exit points</w:t>
      </w:r>
      <w:r w:rsidR="0072176F">
        <w:t xml:space="preserve"> from</w:t>
      </w:r>
      <w:r w:rsidR="00846116">
        <w:t xml:space="preserve"> the MSR system</w:t>
      </w:r>
      <w:r w:rsidR="008F764C">
        <w:t>;</w:t>
      </w:r>
      <w:r w:rsidR="00D27952">
        <w:t xml:space="preserve"> the methods for monitoring these need to be determined. </w:t>
      </w:r>
      <w:r w:rsidR="00640203">
        <w:t>Some of the implications on safeguards will depend on how the system is being implemented and operated</w:t>
      </w:r>
      <w:r w:rsidR="00847437">
        <w:t>. For example,</w:t>
      </w:r>
      <w:r w:rsidR="00D27952">
        <w:t xml:space="preserve"> </w:t>
      </w:r>
      <w:r w:rsidR="00640203">
        <w:t xml:space="preserve">the spill tray </w:t>
      </w:r>
      <w:r w:rsidR="00D27952">
        <w:t xml:space="preserve">and </w:t>
      </w:r>
      <w:r w:rsidR="00640203">
        <w:t>drain tank</w:t>
      </w:r>
      <w:r w:rsidR="00D27952">
        <w:t xml:space="preserve"> might be</w:t>
      </w:r>
      <w:r w:rsidR="00640203">
        <w:t xml:space="preserve"> a single system</w:t>
      </w:r>
      <w:r w:rsidR="008F764C">
        <w:t xml:space="preserve">, or they may be a series of tanks with separate </w:t>
      </w:r>
      <w:r w:rsidR="00847437">
        <w:t>flow pathways</w:t>
      </w:r>
      <w:r w:rsidR="00640203">
        <w:t>.</w:t>
      </w:r>
    </w:p>
    <w:p w14:paraId="04B70E98" w14:textId="16E60185" w:rsidR="00640203" w:rsidRDefault="00640203" w:rsidP="00846116">
      <w:pPr>
        <w:pStyle w:val="BodyText"/>
      </w:pPr>
      <w:r>
        <w:lastRenderedPageBreak/>
        <w:t xml:space="preserve">Material accountancy for each of these processes </w:t>
      </w:r>
      <w:r w:rsidR="009E66BA">
        <w:t xml:space="preserve">might </w:t>
      </w:r>
      <w:r>
        <w:t xml:space="preserve">be </w:t>
      </w:r>
      <w:r w:rsidR="002E6EA6">
        <w:t xml:space="preserve">possible, </w:t>
      </w:r>
      <w:r>
        <w:t>by weigh</w:t>
      </w:r>
      <w:r w:rsidR="009E66BA">
        <w:t>ing</w:t>
      </w:r>
      <w:r>
        <w:t xml:space="preserve"> the </w:t>
      </w:r>
      <w:r w:rsidR="009E66BA">
        <w:t xml:space="preserve">removed </w:t>
      </w:r>
      <w:r>
        <w:t>salt</w:t>
      </w:r>
      <w:r w:rsidR="00E936D9">
        <w:t xml:space="preserve"> </w:t>
      </w:r>
      <w:r w:rsidR="002E6EA6">
        <w:t>for example</w:t>
      </w:r>
      <w:r w:rsidR="00847437">
        <w:t xml:space="preserve">, but the degree of assurance </w:t>
      </w:r>
      <w:r w:rsidR="00D53DDD">
        <w:t xml:space="preserve">may be insufficient for current uncertainty standards. </w:t>
      </w:r>
      <w:r w:rsidR="00BE7426">
        <w:t xml:space="preserve">As the fuel-salt exits the system, heat </w:t>
      </w:r>
      <w:r w:rsidR="002E6EA6">
        <w:t xml:space="preserve">may </w:t>
      </w:r>
      <w:r w:rsidR="00BE7426">
        <w:t>be applied until it reaches the drain tank to maintain a liquid state</w:t>
      </w:r>
      <w:r w:rsidR="00E20925">
        <w:t>.</w:t>
      </w:r>
      <w:r w:rsidR="00BE7426">
        <w:t xml:space="preserve"> </w:t>
      </w:r>
      <w:r w:rsidR="00E20925">
        <w:t xml:space="preserve">However, </w:t>
      </w:r>
      <w:r w:rsidR="006513F0">
        <w:t>until</w:t>
      </w:r>
      <w:r w:rsidR="00BE7426">
        <w:t xml:space="preserve"> the fuel-salt deposits in the waste or drain tank vessels, the use of more conventional </w:t>
      </w:r>
      <w:r w:rsidR="003E6198">
        <w:t xml:space="preserve">safeguards methods </w:t>
      </w:r>
      <w:r w:rsidR="006513F0">
        <w:t>during material transit</w:t>
      </w:r>
      <w:r w:rsidR="002E6EA6">
        <w:t xml:space="preserve"> from the primary loop</w:t>
      </w:r>
      <w:r w:rsidR="006513F0">
        <w:t xml:space="preserve"> </w:t>
      </w:r>
      <w:r w:rsidR="003E6198">
        <w:t xml:space="preserve">may </w:t>
      </w:r>
      <w:r w:rsidR="006513F0">
        <w:t>not be sufficient</w:t>
      </w:r>
      <w:r w:rsidR="008771AD">
        <w:t xml:space="preserve">. It should be noted that the radiation safety concerns associated with these fuels may present challenges, but they </w:t>
      </w:r>
      <w:r w:rsidR="002E6EA6">
        <w:t xml:space="preserve">will </w:t>
      </w:r>
      <w:r w:rsidR="008771AD">
        <w:t xml:space="preserve"> not </w:t>
      </w:r>
      <w:r w:rsidR="002E6EA6">
        <w:t xml:space="preserve">be </w:t>
      </w:r>
      <w:r w:rsidR="008771AD">
        <w:t>cov</w:t>
      </w:r>
      <w:r w:rsidR="00E936D9">
        <w:t>er</w:t>
      </w:r>
      <w:r w:rsidR="008771AD">
        <w:t xml:space="preserve">ed in this </w:t>
      </w:r>
      <w:r w:rsidR="006513F0">
        <w:t>effort</w:t>
      </w:r>
      <w:r w:rsidR="008771AD">
        <w:t xml:space="preserve">. </w:t>
      </w:r>
    </w:p>
    <w:p w14:paraId="3BF706F3" w14:textId="1C3F6515" w:rsidR="003868F7" w:rsidRDefault="000D1634" w:rsidP="00EA5B19">
      <w:pPr>
        <w:pStyle w:val="BodyText"/>
      </w:pPr>
      <w:r>
        <w:t xml:space="preserve">Diversion is </w:t>
      </w:r>
      <w:r w:rsidR="008C4D9E">
        <w:t xml:space="preserve">a </w:t>
      </w:r>
      <w:r>
        <w:t xml:space="preserve">risk </w:t>
      </w:r>
      <w:r w:rsidR="00FC60C7">
        <w:t>in all pathways that exit</w:t>
      </w:r>
      <w:r w:rsidR="001B46AE">
        <w:t xml:space="preserve"> </w:t>
      </w:r>
      <w:r w:rsidR="00FC60C7">
        <w:t xml:space="preserve">the reactor system </w:t>
      </w:r>
      <w:r w:rsidR="007C0DAF">
        <w:t>unless continually monitored</w:t>
      </w:r>
      <w:r w:rsidR="008C4D9E">
        <w:t>,</w:t>
      </w:r>
      <w:r w:rsidR="007C0DAF">
        <w:t xml:space="preserve"> which </w:t>
      </w:r>
      <w:r w:rsidR="00B64402">
        <w:t xml:space="preserve">will be challenging. </w:t>
      </w:r>
      <w:r w:rsidR="007C0DAF">
        <w:t>Opportunities to control material removal nee</w:t>
      </w:r>
      <w:r w:rsidR="008C4D9E">
        <w:t>ds</w:t>
      </w:r>
      <w:r w:rsidR="007C0DAF">
        <w:t xml:space="preserve"> consideration, e.g. containment of removed </w:t>
      </w:r>
      <w:r>
        <w:t xml:space="preserve">material until periodic inspection </w:t>
      </w:r>
      <w:r w:rsidR="007C0DAF">
        <w:t>and permission for release or</w:t>
      </w:r>
      <w:r>
        <w:t xml:space="preserve"> automated procedures </w:t>
      </w:r>
      <w:r w:rsidR="007C0DAF">
        <w:t xml:space="preserve">with </w:t>
      </w:r>
      <w:r w:rsidR="0054030C">
        <w:t xml:space="preserve">near real time </w:t>
      </w:r>
      <w:r>
        <w:t xml:space="preserve">data </w:t>
      </w:r>
      <w:r w:rsidR="0054030C">
        <w:t>remotely transmitted</w:t>
      </w:r>
      <w:r>
        <w:t xml:space="preserve"> to the IAEA</w:t>
      </w:r>
      <w:r w:rsidR="0007693D">
        <w:t>.</w:t>
      </w:r>
      <w:r>
        <w:t xml:space="preserve"> </w:t>
      </w:r>
    </w:p>
    <w:p w14:paraId="5EB3E22E" w14:textId="518AB8E6" w:rsidR="00416781" w:rsidRPr="0007693D" w:rsidRDefault="00D365D5" w:rsidP="00511B1F">
      <w:pPr>
        <w:pStyle w:val="Heading2"/>
        <w:numPr>
          <w:ilvl w:val="1"/>
          <w:numId w:val="10"/>
        </w:numPr>
      </w:pPr>
      <w:r>
        <w:t>Systems</w:t>
      </w:r>
      <w:r w:rsidR="003E4D98">
        <w:t>-LEvel Safeguards Approach</w:t>
      </w:r>
    </w:p>
    <w:p w14:paraId="53FA08E1" w14:textId="1962F7DF" w:rsidR="00233905" w:rsidRDefault="00134011" w:rsidP="00BE1A62">
      <w:pPr>
        <w:pStyle w:val="BodyText"/>
      </w:pPr>
      <w:r>
        <w:t>This work aims to</w:t>
      </w:r>
      <w:r w:rsidR="000D3AB2">
        <w:t xml:space="preserve"> use a nominal MSR design to illustrate how a systems approach can </w:t>
      </w:r>
      <w:r w:rsidR="005B4B51">
        <w:t>aid</w:t>
      </w:r>
      <w:r w:rsidR="000D3AB2">
        <w:t xml:space="preserve"> in </w:t>
      </w:r>
      <w:r w:rsidR="005B4B51">
        <w:t>the construction of an</w:t>
      </w:r>
      <w:r w:rsidR="000D3AB2">
        <w:t xml:space="preserve"> effective and efficient verification regime that meet</w:t>
      </w:r>
      <w:r w:rsidR="005B4B51">
        <w:t>s</w:t>
      </w:r>
      <w:r w:rsidR="000D3AB2">
        <w:t xml:space="preserve"> </w:t>
      </w:r>
      <w:r w:rsidR="005B4B51">
        <w:t xml:space="preserve">IAEA </w:t>
      </w:r>
      <w:r w:rsidR="000D3AB2">
        <w:t>safeguards objectives</w:t>
      </w:r>
      <w:r>
        <w:t xml:space="preserve">. </w:t>
      </w:r>
      <w:r w:rsidR="00010378">
        <w:t>D</w:t>
      </w:r>
      <w:r>
        <w:t xml:space="preserve">efining </w:t>
      </w:r>
      <w:r w:rsidR="00C15171">
        <w:t xml:space="preserve">the </w:t>
      </w:r>
      <w:r w:rsidR="00010378">
        <w:t xml:space="preserve">MSR </w:t>
      </w:r>
      <w:r w:rsidR="00C15171">
        <w:t>system</w:t>
      </w:r>
      <w:r w:rsidR="00B51D6E">
        <w:t xml:space="preserve"> with</w:t>
      </w:r>
      <w:r w:rsidR="00C15171">
        <w:t xml:space="preserve"> a series of key </w:t>
      </w:r>
      <w:r w:rsidR="00010378">
        <w:t>material flow assumption</w:t>
      </w:r>
      <w:r w:rsidR="00B51D6E">
        <w:t xml:space="preserve">s allows for the development of </w:t>
      </w:r>
      <w:r>
        <w:t>a repeatable methodology</w:t>
      </w:r>
      <w:r w:rsidR="005B4B51">
        <w:t xml:space="preserve"> that provides the framework to assess the </w:t>
      </w:r>
      <w:r w:rsidR="00563BFC">
        <w:t>sufficiency of</w:t>
      </w:r>
      <w:r w:rsidR="008A3A85">
        <w:t xml:space="preserve"> </w:t>
      </w:r>
      <w:r w:rsidR="00A90663">
        <w:t>existing</w:t>
      </w:r>
      <w:r w:rsidR="008A3A85">
        <w:t xml:space="preserve"> safeguards </w:t>
      </w:r>
      <w:r w:rsidR="00A90663">
        <w:t>methods</w:t>
      </w:r>
      <w:r w:rsidR="008A3A85">
        <w:t xml:space="preserve"> </w:t>
      </w:r>
      <w:r w:rsidR="00A90663">
        <w:t xml:space="preserve">to </w:t>
      </w:r>
      <w:r w:rsidR="008A3A85">
        <w:t>MSR</w:t>
      </w:r>
      <w:r w:rsidR="00A90663">
        <w:t xml:space="preserve"> designs</w:t>
      </w:r>
      <w:r w:rsidR="00FA4A04">
        <w:t>.</w:t>
      </w:r>
      <w:r w:rsidR="005C39EE">
        <w:t xml:space="preserve"> Where gaps or limitations in existing safeguards approaches</w:t>
      </w:r>
      <w:r w:rsidR="00250DB6">
        <w:t xml:space="preserve"> are identified</w:t>
      </w:r>
      <w:r w:rsidR="005C39EE">
        <w:t xml:space="preserve">, </w:t>
      </w:r>
      <w:r w:rsidR="00250DB6">
        <w:t xml:space="preserve">recommendations can be made for novel methods, </w:t>
      </w:r>
      <w:r w:rsidR="00233905">
        <w:t>technologies</w:t>
      </w:r>
      <w:r w:rsidR="00250DB6">
        <w:t xml:space="preserve"> or </w:t>
      </w:r>
      <w:r w:rsidR="005B4B51">
        <w:t>underpinning research required to meet</w:t>
      </w:r>
      <w:r w:rsidR="00A90663">
        <w:t xml:space="preserve"> IAEA safeguards objectives.</w:t>
      </w:r>
      <w:r w:rsidR="008463EE">
        <w:t xml:space="preserve"> </w:t>
      </w:r>
    </w:p>
    <w:p w14:paraId="11EACE2A" w14:textId="4AAA96AD" w:rsidR="00F21DB5" w:rsidRDefault="00E97088" w:rsidP="00BE1A62">
      <w:pPr>
        <w:pStyle w:val="BodyText"/>
      </w:pPr>
      <w:r>
        <w:t>Th</w:t>
      </w:r>
      <w:r w:rsidR="00233905">
        <w:t>e proposed methodology relies on</w:t>
      </w:r>
      <w:r w:rsidR="00E10DF1">
        <w:t xml:space="preserve"> process</w:t>
      </w:r>
      <w:r w:rsidR="00233905">
        <w:t xml:space="preserve"> </w:t>
      </w:r>
      <w:r w:rsidR="00E10DF1">
        <w:t xml:space="preserve">repeatability at both the </w:t>
      </w:r>
      <w:r w:rsidR="005B045D">
        <w:t xml:space="preserve">full </w:t>
      </w:r>
      <w:r w:rsidR="00E10DF1">
        <w:t>system</w:t>
      </w:r>
      <w:r w:rsidR="005B045D">
        <w:t>, sub-system,</w:t>
      </w:r>
      <w:r w:rsidR="00E10DF1">
        <w:t xml:space="preserve"> and component levels of the nominal MSR design. </w:t>
      </w:r>
      <w:r w:rsidR="00CE17E9">
        <w:t xml:space="preserve">Each assessment begins with the definition of </w:t>
      </w:r>
      <w:r w:rsidR="00237AD0">
        <w:t>key assumptions t</w:t>
      </w:r>
      <w:r w:rsidR="00283438">
        <w:t>hat</w:t>
      </w:r>
      <w:r w:rsidR="00237AD0">
        <w:t xml:space="preserve"> </w:t>
      </w:r>
      <w:r w:rsidR="00631D48">
        <w:t>create</w:t>
      </w:r>
      <w:r w:rsidR="00237AD0">
        <w:t xml:space="preserve"> an ideal </w:t>
      </w:r>
      <w:r w:rsidR="00764503">
        <w:t xml:space="preserve">material flow </w:t>
      </w:r>
      <w:r w:rsidR="00563BFC">
        <w:t>state</w:t>
      </w:r>
      <w:r w:rsidR="002D213A">
        <w:t>.</w:t>
      </w:r>
      <w:r w:rsidR="00217F79">
        <w:t xml:space="preserve"> there is no material loss as the </w:t>
      </w:r>
      <w:r w:rsidR="00631D48">
        <w:t xml:space="preserve">fuel-salt matrix flows </w:t>
      </w:r>
      <w:r w:rsidR="00563BFC">
        <w:t>between two</w:t>
      </w:r>
      <w:r w:rsidR="00631D48">
        <w:t xml:space="preserve"> sub-systems</w:t>
      </w:r>
      <w:r w:rsidR="002D213A">
        <w:t xml:space="preserve"> of the MSR</w:t>
      </w:r>
      <w:r w:rsidR="00631D48">
        <w:t>.</w:t>
      </w:r>
      <w:r w:rsidR="00B73A32">
        <w:t xml:space="preserve"> </w:t>
      </w:r>
      <w:r w:rsidR="00392515">
        <w:t>From this initial assumption, each sub-system</w:t>
      </w:r>
      <w:r w:rsidR="00F15CC0">
        <w:t xml:space="preserve"> will be analysed with a series of hypothetical </w:t>
      </w:r>
      <w:r w:rsidR="002D213A">
        <w:t xml:space="preserve">scenarios </w:t>
      </w:r>
      <w:r w:rsidR="00F15CC0">
        <w:t xml:space="preserve">or alterations </w:t>
      </w:r>
      <w:r w:rsidR="006843BE">
        <w:t xml:space="preserve">that could </w:t>
      </w:r>
      <w:r w:rsidR="002D213A">
        <w:t xml:space="preserve">challenge </w:t>
      </w:r>
      <w:r w:rsidR="006843BE">
        <w:t xml:space="preserve">this assumption. </w:t>
      </w:r>
      <w:r w:rsidR="00F21DB5">
        <w:t xml:space="preserve">The system-level construction for this ideal system is shown in Fig. 2. </w:t>
      </w:r>
    </w:p>
    <w:p w14:paraId="3B5C2DE3" w14:textId="77777777" w:rsidR="00F25BFA" w:rsidRDefault="00F25BFA" w:rsidP="00F21DB5">
      <w:pPr>
        <w:pStyle w:val="BodyText"/>
        <w:ind w:firstLine="0"/>
        <w:jc w:val="center"/>
        <w:rPr>
          <w:i/>
          <w:iCs/>
          <w:sz w:val="18"/>
          <w:szCs w:val="18"/>
        </w:rPr>
      </w:pPr>
    </w:p>
    <w:p w14:paraId="102F4D52" w14:textId="3B3F774D" w:rsidR="00F25BFA" w:rsidRDefault="00F25BFA" w:rsidP="00F21DB5">
      <w:pPr>
        <w:pStyle w:val="BodyText"/>
        <w:ind w:firstLine="0"/>
        <w:jc w:val="center"/>
        <w:rPr>
          <w:i/>
          <w:iCs/>
          <w:sz w:val="18"/>
          <w:szCs w:val="18"/>
        </w:rPr>
      </w:pPr>
      <w:r>
        <w:rPr>
          <w:noProof/>
        </w:rPr>
        <w:drawing>
          <wp:inline distT="0" distB="0" distL="0" distR="0" wp14:anchorId="0CD0857D" wp14:editId="5037CAD8">
            <wp:extent cx="3760013" cy="1855639"/>
            <wp:effectExtent l="0" t="0" r="0" b="0"/>
            <wp:docPr id="8590964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9096475" name=""/>
                    <pic:cNvPicPr/>
                  </pic:nvPicPr>
                  <pic:blipFill>
                    <a:blip r:embed="rId12"/>
                    <a:stretch>
                      <a:fillRect/>
                    </a:stretch>
                  </pic:blipFill>
                  <pic:spPr>
                    <a:xfrm>
                      <a:off x="0" y="0"/>
                      <a:ext cx="3802964" cy="1876836"/>
                    </a:xfrm>
                    <a:prstGeom prst="rect">
                      <a:avLst/>
                    </a:prstGeom>
                  </pic:spPr>
                </pic:pic>
              </a:graphicData>
            </a:graphic>
          </wp:inline>
        </w:drawing>
      </w:r>
    </w:p>
    <w:p w14:paraId="17406392" w14:textId="77777777" w:rsidR="00563BFC" w:rsidRDefault="00563BFC" w:rsidP="00563BFC">
      <w:pPr>
        <w:pStyle w:val="BodyText"/>
        <w:ind w:firstLine="0"/>
        <w:jc w:val="center"/>
        <w:rPr>
          <w:i/>
          <w:iCs/>
          <w:sz w:val="18"/>
          <w:szCs w:val="18"/>
        </w:rPr>
      </w:pPr>
      <w:r w:rsidRPr="00B11B78">
        <w:rPr>
          <w:i/>
          <w:iCs/>
          <w:sz w:val="18"/>
          <w:szCs w:val="18"/>
        </w:rPr>
        <w:t xml:space="preserve">FIG </w:t>
      </w:r>
      <w:r>
        <w:rPr>
          <w:i/>
          <w:iCs/>
          <w:sz w:val="18"/>
          <w:szCs w:val="18"/>
        </w:rPr>
        <w:t>2</w:t>
      </w:r>
      <w:r w:rsidRPr="00B11B78">
        <w:rPr>
          <w:i/>
          <w:iCs/>
          <w:sz w:val="18"/>
          <w:szCs w:val="18"/>
        </w:rPr>
        <w:t xml:space="preserve">. </w:t>
      </w:r>
      <w:r>
        <w:rPr>
          <w:i/>
          <w:iCs/>
          <w:sz w:val="18"/>
          <w:szCs w:val="18"/>
        </w:rPr>
        <w:t xml:space="preserve">Material flow boundary conditions for safeguards approach of nominal MSR. </w:t>
      </w:r>
      <w:r w:rsidRPr="00B11B78">
        <w:rPr>
          <w:i/>
          <w:iCs/>
          <w:sz w:val="18"/>
          <w:szCs w:val="18"/>
        </w:rPr>
        <w:t xml:space="preserve"> </w:t>
      </w:r>
    </w:p>
    <w:p w14:paraId="62CD0418" w14:textId="77777777" w:rsidR="00F21DB5" w:rsidRDefault="00F21DB5" w:rsidP="00563BFC">
      <w:pPr>
        <w:pStyle w:val="BodyText"/>
        <w:ind w:firstLine="0"/>
      </w:pPr>
    </w:p>
    <w:p w14:paraId="2CC3494F" w14:textId="495E81EB" w:rsidR="0081269A" w:rsidRDefault="00B4509C" w:rsidP="0041253E">
      <w:pPr>
        <w:pStyle w:val="BodyText"/>
      </w:pPr>
      <w:r>
        <w:t xml:space="preserve">This exercise allows a team of experts to test and </w:t>
      </w:r>
      <w:r w:rsidR="00301104">
        <w:t>benchmark</w:t>
      </w:r>
      <w:r w:rsidR="007F1A3E">
        <w:t xml:space="preserve"> the MSR system against IAEA safeguards objectives</w:t>
      </w:r>
      <w:r>
        <w:t xml:space="preserve"> </w:t>
      </w:r>
      <w:r w:rsidR="00694CCB">
        <w:t xml:space="preserve">from the perspective of a </w:t>
      </w:r>
      <w:r w:rsidR="009B4B55">
        <w:t xml:space="preserve">state </w:t>
      </w:r>
      <w:r w:rsidR="00694CCB">
        <w:t xml:space="preserve">proliferator. Some of the analytical </w:t>
      </w:r>
      <w:r w:rsidR="00C07127">
        <w:t xml:space="preserve">“challenges” can include assessing how including </w:t>
      </w:r>
      <w:r w:rsidR="00EE0BA5">
        <w:t xml:space="preserve">necessary </w:t>
      </w:r>
      <w:r w:rsidR="00C07127">
        <w:t xml:space="preserve">sub-system components (such as pumps, piping, </w:t>
      </w:r>
      <w:r w:rsidR="00EE0BA5">
        <w:t xml:space="preserve">and vessels) alters the </w:t>
      </w:r>
      <w:r w:rsidR="00764503">
        <w:t>ideal state assumption</w:t>
      </w:r>
      <w:r w:rsidR="00BD3D61">
        <w:t xml:space="preserve"> and in</w:t>
      </w:r>
      <w:r w:rsidR="002E7272">
        <w:t>tro</w:t>
      </w:r>
      <w:r w:rsidR="00BD3D61">
        <w:t>duces diversion pathways</w:t>
      </w:r>
      <w:r w:rsidR="00764503">
        <w:t>.</w:t>
      </w:r>
      <w:r w:rsidR="006C7F2F">
        <w:t xml:space="preserve"> </w:t>
      </w:r>
      <w:r w:rsidR="00F77998">
        <w:t xml:space="preserve">Additionally, assessing any mechanical, nuclear, or chemical changes to the material </w:t>
      </w:r>
      <w:r w:rsidR="00716401">
        <w:t>from</w:t>
      </w:r>
      <w:r w:rsidR="006C7F2F">
        <w:t xml:space="preserve"> </w:t>
      </w:r>
      <w:r w:rsidR="00F5261A">
        <w:t>operational conditions</w:t>
      </w:r>
      <w:r w:rsidR="00716401">
        <w:t xml:space="preserve"> </w:t>
      </w:r>
      <w:r w:rsidR="001C2626">
        <w:t xml:space="preserve">provide a </w:t>
      </w:r>
      <w:r w:rsidR="00767988">
        <w:t xml:space="preserve">comprehensive analysis for </w:t>
      </w:r>
      <w:r w:rsidR="00301104">
        <w:t xml:space="preserve">reactor misuse scenarios. </w:t>
      </w:r>
      <w:r w:rsidR="00CD5092">
        <w:t xml:space="preserve">For each </w:t>
      </w:r>
      <w:r w:rsidR="004F5C6E">
        <w:t xml:space="preserve">identified diversion pathway or misuse scenario, either a solution can be proposed to re-establish an ideal flow </w:t>
      </w:r>
      <w:r w:rsidR="0023504B">
        <w:t xml:space="preserve">state, or a gap in the safeguards approach can be defined </w:t>
      </w:r>
      <w:r w:rsidR="00FB7AC1">
        <w:t xml:space="preserve">for future assessment. </w:t>
      </w:r>
      <w:r w:rsidR="00F21DB5">
        <w:t xml:space="preserve">As the sub-system assessment develops, </w:t>
      </w:r>
      <w:r w:rsidR="00341664">
        <w:t>series</w:t>
      </w:r>
      <w:r w:rsidR="00F21DB5">
        <w:t xml:space="preserve"> of these analyses </w:t>
      </w:r>
      <w:r w:rsidR="002E7272">
        <w:t>should</w:t>
      </w:r>
      <w:r w:rsidR="00F21DB5">
        <w:t xml:space="preserve"> be integrated</w:t>
      </w:r>
      <w:r w:rsidR="002E7272">
        <w:t>,</w:t>
      </w:r>
      <w:r w:rsidR="00F21DB5">
        <w:t xml:space="preserve"> first as coupled sub-system analyses, then </w:t>
      </w:r>
      <w:r w:rsidR="00341664">
        <w:t>into</w:t>
      </w:r>
      <w:r w:rsidR="00F21DB5">
        <w:t xml:space="preserve"> a system-level </w:t>
      </w:r>
      <w:r w:rsidR="00341664">
        <w:t xml:space="preserve">safeguards </w:t>
      </w:r>
      <w:r w:rsidR="00F21DB5">
        <w:t>approach.</w:t>
      </w:r>
      <w:r w:rsidR="00341664">
        <w:t xml:space="preserve"> </w:t>
      </w:r>
    </w:p>
    <w:p w14:paraId="1E3E1645" w14:textId="56E0F9CE" w:rsidR="00194AB0" w:rsidRPr="0081269A" w:rsidRDefault="00341664" w:rsidP="0081269A">
      <w:pPr>
        <w:pStyle w:val="BodyText"/>
      </w:pPr>
      <w:r>
        <w:t>The next stage of the programme will be to define the nominal and related systems in detail (starting from MSRE)</w:t>
      </w:r>
      <w:r w:rsidR="002E7272">
        <w:t xml:space="preserve">, followed by the </w:t>
      </w:r>
      <w:r w:rsidR="0081269A">
        <w:t>initiation of sub-</w:t>
      </w:r>
      <w:r>
        <w:t>system</w:t>
      </w:r>
      <w:r w:rsidR="0081269A">
        <w:t xml:space="preserve"> safeguards analyse</w:t>
      </w:r>
      <w:r>
        <w:t>s</w:t>
      </w:r>
      <w:r w:rsidR="0081269A">
        <w:t xml:space="preserve">, each </w:t>
      </w:r>
      <w:r w:rsidR="002E7272">
        <w:t>will be interrogated by a community of technical experts</w:t>
      </w:r>
      <w:r w:rsidR="0081269A">
        <w:t>. As the methodology is adapted and</w:t>
      </w:r>
      <w:r>
        <w:t xml:space="preserve"> refined</w:t>
      </w:r>
      <w:r w:rsidR="0081269A">
        <w:t xml:space="preserve">, it should provide </w:t>
      </w:r>
      <w:r w:rsidR="00F30591">
        <w:t xml:space="preserve">useful </w:t>
      </w:r>
      <w:r w:rsidR="0081269A">
        <w:t>recommendations to MSR developers on how to consider safeguards during the design phases of their reactors</w:t>
      </w:r>
      <w:r w:rsidR="00F30591">
        <w:t>,</w:t>
      </w:r>
      <w:r w:rsidR="0081269A">
        <w:t xml:space="preserve"> and </w:t>
      </w:r>
      <w:r w:rsidR="00F30591">
        <w:t xml:space="preserve">to the </w:t>
      </w:r>
      <w:r w:rsidR="0081269A">
        <w:t>IAEA o</w:t>
      </w:r>
      <w:r w:rsidR="00F30591">
        <w:t>n</w:t>
      </w:r>
      <w:r w:rsidR="0081269A">
        <w:t xml:space="preserve"> </w:t>
      </w:r>
      <w:r w:rsidR="00F30591">
        <w:t xml:space="preserve">the implementation  of safeguards </w:t>
      </w:r>
      <w:r w:rsidR="0081269A">
        <w:t xml:space="preserve">approaches </w:t>
      </w:r>
      <w:r w:rsidR="00F30591">
        <w:t>and where work is required to address gaps</w:t>
      </w:r>
      <w:r w:rsidR="0081269A">
        <w:t>.</w:t>
      </w:r>
      <w:r w:rsidR="00194AB0">
        <w:br w:type="page"/>
      </w:r>
    </w:p>
    <w:p w14:paraId="394E8E43" w14:textId="79391741" w:rsidR="005E1966" w:rsidRDefault="00717C6F" w:rsidP="00537496">
      <w:pPr>
        <w:pStyle w:val="Otherunnumberedheadings"/>
        <w:rPr>
          <w:rFonts w:ascii="Times New Roman" w:hAnsi="Times New Roman"/>
          <w:b w:val="0"/>
          <w:caps w:val="0"/>
          <w:noProof/>
          <w:lang w:eastAsia="en-GB"/>
        </w:rPr>
      </w:pPr>
      <w:r>
        <w:lastRenderedPageBreak/>
        <w:t>REFERENCES</w:t>
      </w:r>
      <w:r w:rsidR="00E31EB4">
        <w:rPr>
          <w:rFonts w:ascii="Times New Roman" w:hAnsi="Times New Roman"/>
          <w:b w:val="0"/>
        </w:rPr>
        <w:fldChar w:fldCharType="begin"/>
      </w:r>
      <w:r w:rsidR="00E31EB4">
        <w:instrText xml:space="preserve"> BIBLIOGRAPHY  \l 2057 </w:instrText>
      </w:r>
      <w:r w:rsidR="00E31EB4">
        <w:rPr>
          <w:rFonts w:ascii="Times New Roman" w:hAnsi="Times New Roman"/>
          <w:b w:val="0"/>
        </w:rPr>
        <w:fldChar w:fldCharType="separat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2"/>
        <w:gridCol w:w="8695"/>
      </w:tblGrid>
      <w:tr w:rsidR="005E1966" w14:paraId="2B128AA9" w14:textId="77777777">
        <w:trPr>
          <w:divId w:val="676159237"/>
          <w:tblCellSpacing w:w="15" w:type="dxa"/>
        </w:trPr>
        <w:tc>
          <w:tcPr>
            <w:tcW w:w="50" w:type="pct"/>
            <w:hideMark/>
          </w:tcPr>
          <w:p w14:paraId="6765EB88" w14:textId="7B279A12" w:rsidR="005E1966" w:rsidRDefault="005E1966">
            <w:pPr>
              <w:pStyle w:val="Bibliography"/>
              <w:rPr>
                <w:noProof/>
                <w:sz w:val="24"/>
                <w:szCs w:val="24"/>
              </w:rPr>
            </w:pPr>
            <w:r>
              <w:rPr>
                <w:noProof/>
              </w:rPr>
              <w:t xml:space="preserve">[1] </w:t>
            </w:r>
          </w:p>
        </w:tc>
        <w:tc>
          <w:tcPr>
            <w:tcW w:w="0" w:type="auto"/>
            <w:hideMark/>
          </w:tcPr>
          <w:p w14:paraId="4C09B286" w14:textId="0401F725" w:rsidR="005E1966" w:rsidRPr="0034637F" w:rsidRDefault="005E1966">
            <w:pPr>
              <w:pStyle w:val="Bibliography"/>
              <w:rPr>
                <w:noProof/>
                <w:sz w:val="18"/>
                <w:szCs w:val="16"/>
              </w:rPr>
            </w:pPr>
            <w:r w:rsidRPr="0034637F">
              <w:rPr>
                <w:noProof/>
                <w:sz w:val="18"/>
                <w:szCs w:val="16"/>
              </w:rPr>
              <w:t>IAEA, “Applicability of IAEA safety standards to non-water cooled reactors and small modular reactors - Safet</w:t>
            </w:r>
            <w:r w:rsidR="00304F8E" w:rsidRPr="0034637F">
              <w:rPr>
                <w:noProof/>
                <w:sz w:val="18"/>
                <w:szCs w:val="16"/>
              </w:rPr>
              <w:t>y</w:t>
            </w:r>
            <w:r w:rsidRPr="0034637F">
              <w:rPr>
                <w:noProof/>
                <w:sz w:val="18"/>
                <w:szCs w:val="16"/>
              </w:rPr>
              <w:t xml:space="preserve"> Report Series No.123,” IAEA, Vienna, 2023.</w:t>
            </w:r>
          </w:p>
        </w:tc>
      </w:tr>
      <w:tr w:rsidR="005E1966" w14:paraId="442B28B0" w14:textId="77777777">
        <w:trPr>
          <w:divId w:val="676159237"/>
          <w:tblCellSpacing w:w="15" w:type="dxa"/>
        </w:trPr>
        <w:tc>
          <w:tcPr>
            <w:tcW w:w="50" w:type="pct"/>
            <w:hideMark/>
          </w:tcPr>
          <w:p w14:paraId="015E2FEB" w14:textId="77777777" w:rsidR="005E1966" w:rsidRDefault="005E1966">
            <w:pPr>
              <w:pStyle w:val="Bibliography"/>
              <w:rPr>
                <w:noProof/>
              </w:rPr>
            </w:pPr>
            <w:r>
              <w:rPr>
                <w:noProof/>
              </w:rPr>
              <w:t xml:space="preserve">[2] </w:t>
            </w:r>
          </w:p>
        </w:tc>
        <w:tc>
          <w:tcPr>
            <w:tcW w:w="0" w:type="auto"/>
            <w:hideMark/>
          </w:tcPr>
          <w:p w14:paraId="1560F888" w14:textId="77777777" w:rsidR="005E1966" w:rsidRPr="0034637F" w:rsidRDefault="005E1966">
            <w:pPr>
              <w:pStyle w:val="Bibliography"/>
              <w:rPr>
                <w:noProof/>
                <w:sz w:val="18"/>
                <w:szCs w:val="16"/>
              </w:rPr>
            </w:pPr>
            <w:r w:rsidRPr="0034637F">
              <w:rPr>
                <w:noProof/>
                <w:sz w:val="18"/>
                <w:szCs w:val="16"/>
              </w:rPr>
              <w:t>IAEA, “IAEA SAFEGUARDS GLOSSARY,” IAEA, Vienna, 2022.</w:t>
            </w:r>
          </w:p>
        </w:tc>
      </w:tr>
      <w:tr w:rsidR="005E1966" w14:paraId="62E12EF0" w14:textId="77777777">
        <w:trPr>
          <w:divId w:val="676159237"/>
          <w:tblCellSpacing w:w="15" w:type="dxa"/>
        </w:trPr>
        <w:tc>
          <w:tcPr>
            <w:tcW w:w="50" w:type="pct"/>
            <w:hideMark/>
          </w:tcPr>
          <w:p w14:paraId="46C4BE84" w14:textId="77777777" w:rsidR="005E1966" w:rsidRDefault="005E1966">
            <w:pPr>
              <w:pStyle w:val="Bibliography"/>
              <w:rPr>
                <w:noProof/>
              </w:rPr>
            </w:pPr>
            <w:r>
              <w:rPr>
                <w:noProof/>
              </w:rPr>
              <w:t xml:space="preserve">[3] </w:t>
            </w:r>
          </w:p>
        </w:tc>
        <w:tc>
          <w:tcPr>
            <w:tcW w:w="0" w:type="auto"/>
            <w:hideMark/>
          </w:tcPr>
          <w:p w14:paraId="04CDB68F" w14:textId="27E96FB6" w:rsidR="005E1966" w:rsidRPr="0034637F" w:rsidRDefault="005E1966">
            <w:pPr>
              <w:pStyle w:val="Bibliography"/>
              <w:rPr>
                <w:noProof/>
                <w:sz w:val="18"/>
                <w:szCs w:val="16"/>
              </w:rPr>
            </w:pPr>
            <w:r w:rsidRPr="0034637F">
              <w:rPr>
                <w:noProof/>
                <w:sz w:val="18"/>
                <w:szCs w:val="16"/>
              </w:rPr>
              <w:t>R</w:t>
            </w:r>
            <w:r w:rsidR="009C63CA">
              <w:rPr>
                <w:noProof/>
                <w:sz w:val="18"/>
                <w:szCs w:val="16"/>
              </w:rPr>
              <w:t>OBERTSON</w:t>
            </w:r>
            <w:r w:rsidRPr="0034637F">
              <w:rPr>
                <w:noProof/>
                <w:sz w:val="18"/>
                <w:szCs w:val="16"/>
              </w:rPr>
              <w:t>,</w:t>
            </w:r>
            <w:r w:rsidR="009C63CA">
              <w:rPr>
                <w:noProof/>
                <w:sz w:val="18"/>
                <w:szCs w:val="16"/>
              </w:rPr>
              <w:t xml:space="preserve"> R. C.</w:t>
            </w:r>
            <w:r w:rsidRPr="0034637F">
              <w:rPr>
                <w:noProof/>
                <w:sz w:val="18"/>
                <w:szCs w:val="16"/>
              </w:rPr>
              <w:t xml:space="preserve"> “MSRE Design and Operations Report Part I: Description of Reactor Design,” Oak Ridge National Laboratory, Oak Ridge, 1965.</w:t>
            </w:r>
          </w:p>
        </w:tc>
      </w:tr>
      <w:tr w:rsidR="005E1966" w14:paraId="4B62B432" w14:textId="77777777">
        <w:trPr>
          <w:divId w:val="676159237"/>
          <w:tblCellSpacing w:w="15" w:type="dxa"/>
        </w:trPr>
        <w:tc>
          <w:tcPr>
            <w:tcW w:w="50" w:type="pct"/>
            <w:hideMark/>
          </w:tcPr>
          <w:p w14:paraId="73D2A6B8" w14:textId="77777777" w:rsidR="005E1966" w:rsidRDefault="005E1966">
            <w:pPr>
              <w:pStyle w:val="Bibliography"/>
              <w:rPr>
                <w:noProof/>
              </w:rPr>
            </w:pPr>
            <w:r>
              <w:rPr>
                <w:noProof/>
              </w:rPr>
              <w:t xml:space="preserve">[4] </w:t>
            </w:r>
          </w:p>
        </w:tc>
        <w:tc>
          <w:tcPr>
            <w:tcW w:w="0" w:type="auto"/>
            <w:hideMark/>
          </w:tcPr>
          <w:p w14:paraId="7352D282" w14:textId="5BC9371B" w:rsidR="005E1966" w:rsidRPr="0034637F" w:rsidRDefault="005E1966">
            <w:pPr>
              <w:pStyle w:val="Bibliography"/>
              <w:rPr>
                <w:noProof/>
                <w:sz w:val="18"/>
                <w:szCs w:val="16"/>
              </w:rPr>
            </w:pPr>
            <w:r w:rsidRPr="0034637F">
              <w:rPr>
                <w:noProof/>
                <w:sz w:val="18"/>
                <w:szCs w:val="16"/>
              </w:rPr>
              <w:t>G</w:t>
            </w:r>
            <w:r w:rsidR="009C63CA">
              <w:rPr>
                <w:noProof/>
                <w:sz w:val="18"/>
                <w:szCs w:val="16"/>
              </w:rPr>
              <w:t xml:space="preserve">UOA, S., ZHANGA, J., WUB, W., ZHOUB, W., </w:t>
            </w:r>
            <w:r w:rsidRPr="0034637F">
              <w:rPr>
                <w:noProof/>
                <w:sz w:val="18"/>
                <w:szCs w:val="16"/>
              </w:rPr>
              <w:t xml:space="preserve">“Corrosion in the molten fluoride and chloride salts and materials development for nuclear applications,” </w:t>
            </w:r>
            <w:r w:rsidRPr="0034637F">
              <w:rPr>
                <w:i/>
                <w:iCs/>
                <w:noProof/>
                <w:sz w:val="18"/>
                <w:szCs w:val="16"/>
              </w:rPr>
              <w:t xml:space="preserve">Progress in Materials Science, </w:t>
            </w:r>
            <w:r w:rsidRPr="0034637F">
              <w:rPr>
                <w:noProof/>
                <w:sz w:val="18"/>
                <w:szCs w:val="16"/>
              </w:rPr>
              <w:t xml:space="preserve">vol. 97, pp. 448-487, 2018. </w:t>
            </w:r>
          </w:p>
        </w:tc>
      </w:tr>
      <w:tr w:rsidR="005E1966" w14:paraId="52B96201" w14:textId="77777777">
        <w:trPr>
          <w:divId w:val="676159237"/>
          <w:tblCellSpacing w:w="15" w:type="dxa"/>
        </w:trPr>
        <w:tc>
          <w:tcPr>
            <w:tcW w:w="50" w:type="pct"/>
            <w:hideMark/>
          </w:tcPr>
          <w:p w14:paraId="24A7BC74" w14:textId="77777777" w:rsidR="005E1966" w:rsidRDefault="005E1966">
            <w:pPr>
              <w:pStyle w:val="Bibliography"/>
              <w:rPr>
                <w:noProof/>
              </w:rPr>
            </w:pPr>
            <w:r>
              <w:rPr>
                <w:noProof/>
              </w:rPr>
              <w:t xml:space="preserve">[5] </w:t>
            </w:r>
          </w:p>
        </w:tc>
        <w:tc>
          <w:tcPr>
            <w:tcW w:w="0" w:type="auto"/>
            <w:hideMark/>
          </w:tcPr>
          <w:p w14:paraId="51F58342" w14:textId="2E7468C1" w:rsidR="005E1966" w:rsidRPr="0034637F" w:rsidRDefault="005E1966">
            <w:pPr>
              <w:pStyle w:val="Bibliography"/>
              <w:rPr>
                <w:noProof/>
                <w:sz w:val="18"/>
                <w:szCs w:val="16"/>
              </w:rPr>
            </w:pPr>
            <w:r w:rsidRPr="0034637F">
              <w:rPr>
                <w:noProof/>
                <w:sz w:val="18"/>
                <w:szCs w:val="16"/>
              </w:rPr>
              <w:t>F</w:t>
            </w:r>
            <w:r w:rsidR="009C63CA">
              <w:rPr>
                <w:noProof/>
                <w:sz w:val="18"/>
                <w:szCs w:val="16"/>
              </w:rPr>
              <w:t>REDERIX, E. M. A.</w:t>
            </w:r>
            <w:r w:rsidRPr="0034637F">
              <w:rPr>
                <w:noProof/>
                <w:sz w:val="18"/>
                <w:szCs w:val="16"/>
              </w:rPr>
              <w:t xml:space="preserve">, “Estimates of noble metal particle growth in a molten salt reactor,” </w:t>
            </w:r>
            <w:r w:rsidRPr="0034637F">
              <w:rPr>
                <w:i/>
                <w:iCs/>
                <w:noProof/>
                <w:sz w:val="18"/>
                <w:szCs w:val="16"/>
              </w:rPr>
              <w:t xml:space="preserve">Colloids and Surfaces A: Physicochemical and Engineering Aspects, </w:t>
            </w:r>
            <w:r w:rsidRPr="0034637F">
              <w:rPr>
                <w:noProof/>
                <w:sz w:val="18"/>
                <w:szCs w:val="16"/>
              </w:rPr>
              <w:t xml:space="preserve">vol. 655, no. 130167, 2022. </w:t>
            </w:r>
          </w:p>
        </w:tc>
      </w:tr>
      <w:tr w:rsidR="005E1966" w14:paraId="36C94F5F" w14:textId="77777777">
        <w:trPr>
          <w:divId w:val="676159237"/>
          <w:tblCellSpacing w:w="15" w:type="dxa"/>
        </w:trPr>
        <w:tc>
          <w:tcPr>
            <w:tcW w:w="50" w:type="pct"/>
            <w:hideMark/>
          </w:tcPr>
          <w:p w14:paraId="2CF190D6" w14:textId="77777777" w:rsidR="005E1966" w:rsidRDefault="005E1966">
            <w:pPr>
              <w:pStyle w:val="Bibliography"/>
              <w:rPr>
                <w:noProof/>
              </w:rPr>
            </w:pPr>
            <w:r>
              <w:rPr>
                <w:noProof/>
              </w:rPr>
              <w:t xml:space="preserve">[6] </w:t>
            </w:r>
          </w:p>
        </w:tc>
        <w:tc>
          <w:tcPr>
            <w:tcW w:w="0" w:type="auto"/>
            <w:hideMark/>
          </w:tcPr>
          <w:p w14:paraId="4A4E3EBA" w14:textId="383C1CFA" w:rsidR="005E1966" w:rsidRPr="0034637F" w:rsidRDefault="005E1966">
            <w:pPr>
              <w:pStyle w:val="Bibliography"/>
              <w:rPr>
                <w:noProof/>
                <w:sz w:val="18"/>
                <w:szCs w:val="16"/>
              </w:rPr>
            </w:pPr>
            <w:r w:rsidRPr="0034637F">
              <w:rPr>
                <w:noProof/>
                <w:sz w:val="18"/>
                <w:szCs w:val="16"/>
              </w:rPr>
              <w:t>S</w:t>
            </w:r>
            <w:r w:rsidR="009C63CA">
              <w:rPr>
                <w:noProof/>
                <w:sz w:val="18"/>
                <w:szCs w:val="16"/>
              </w:rPr>
              <w:t>HABAZI, S., RICHARDS, S., SEIFERT, L., MARTINSON, S. BEAUVAIS, Z. S.,</w:t>
            </w:r>
            <w:r w:rsidRPr="0034637F">
              <w:rPr>
                <w:noProof/>
                <w:sz w:val="18"/>
                <w:szCs w:val="16"/>
              </w:rPr>
              <w:t xml:space="preserve"> “Radiochemical Transport Analysis to Identify Potential Safeguards Approaches for Molten Salt Reactors,” in </w:t>
            </w:r>
            <w:r w:rsidRPr="0034637F">
              <w:rPr>
                <w:i/>
                <w:iCs/>
                <w:noProof/>
                <w:sz w:val="18"/>
                <w:szCs w:val="16"/>
              </w:rPr>
              <w:t>American Nuclear Socitey Winter Meeting</w:t>
            </w:r>
            <w:r w:rsidRPr="0034637F">
              <w:rPr>
                <w:noProof/>
                <w:sz w:val="18"/>
                <w:szCs w:val="16"/>
              </w:rPr>
              <w:t xml:space="preserve">, Washington, DC, 2023. </w:t>
            </w:r>
          </w:p>
        </w:tc>
      </w:tr>
      <w:tr w:rsidR="005E1966" w14:paraId="0FAF3BD8" w14:textId="77777777">
        <w:trPr>
          <w:divId w:val="676159237"/>
          <w:tblCellSpacing w:w="15" w:type="dxa"/>
        </w:trPr>
        <w:tc>
          <w:tcPr>
            <w:tcW w:w="50" w:type="pct"/>
            <w:hideMark/>
          </w:tcPr>
          <w:p w14:paraId="63F6B545" w14:textId="77777777" w:rsidR="005E1966" w:rsidRDefault="005E1966">
            <w:pPr>
              <w:pStyle w:val="Bibliography"/>
              <w:rPr>
                <w:noProof/>
              </w:rPr>
            </w:pPr>
            <w:r>
              <w:rPr>
                <w:noProof/>
              </w:rPr>
              <w:t xml:space="preserve">[7] </w:t>
            </w:r>
          </w:p>
        </w:tc>
        <w:tc>
          <w:tcPr>
            <w:tcW w:w="0" w:type="auto"/>
            <w:hideMark/>
          </w:tcPr>
          <w:p w14:paraId="0A94F608" w14:textId="32A65E64" w:rsidR="005E1966" w:rsidRPr="0034637F" w:rsidRDefault="005E1966">
            <w:pPr>
              <w:pStyle w:val="Bibliography"/>
              <w:rPr>
                <w:noProof/>
                <w:sz w:val="18"/>
                <w:szCs w:val="16"/>
              </w:rPr>
            </w:pPr>
            <w:r w:rsidRPr="0034637F">
              <w:rPr>
                <w:noProof/>
                <w:sz w:val="18"/>
                <w:szCs w:val="16"/>
              </w:rPr>
              <w:t>H</w:t>
            </w:r>
            <w:r w:rsidR="009C63CA">
              <w:rPr>
                <w:noProof/>
                <w:sz w:val="18"/>
                <w:szCs w:val="16"/>
              </w:rPr>
              <w:t xml:space="preserve">U, J., HARTANTO, </w:t>
            </w:r>
            <w:r w:rsidRPr="0034637F">
              <w:rPr>
                <w:noProof/>
                <w:sz w:val="18"/>
                <w:szCs w:val="16"/>
              </w:rPr>
              <w:t>D.</w:t>
            </w:r>
            <w:r w:rsidR="009C63CA">
              <w:rPr>
                <w:noProof/>
                <w:sz w:val="18"/>
                <w:szCs w:val="16"/>
              </w:rPr>
              <w:t xml:space="preserve">, </w:t>
            </w:r>
            <w:r w:rsidRPr="0034637F">
              <w:rPr>
                <w:noProof/>
                <w:sz w:val="18"/>
                <w:szCs w:val="16"/>
              </w:rPr>
              <w:t>V</w:t>
            </w:r>
            <w:r w:rsidR="009C63CA">
              <w:rPr>
                <w:noProof/>
                <w:sz w:val="18"/>
                <w:szCs w:val="16"/>
              </w:rPr>
              <w:t xml:space="preserve">ENKATARAMAN, R., McELROY, R., </w:t>
            </w:r>
            <w:r w:rsidRPr="0034637F">
              <w:rPr>
                <w:noProof/>
                <w:sz w:val="18"/>
                <w:szCs w:val="16"/>
              </w:rPr>
              <w:t xml:space="preserve">“Identify and Assess Technical Challenges in Safeguards Measurements of Fresh Advanced Reactor Fuels,” in </w:t>
            </w:r>
            <w:r w:rsidRPr="0034637F">
              <w:rPr>
                <w:i/>
                <w:iCs/>
                <w:noProof/>
                <w:sz w:val="18"/>
                <w:szCs w:val="16"/>
              </w:rPr>
              <w:t>American Nuclear Society Winter Meeting</w:t>
            </w:r>
            <w:r w:rsidRPr="0034637F">
              <w:rPr>
                <w:noProof/>
                <w:sz w:val="18"/>
                <w:szCs w:val="16"/>
              </w:rPr>
              <w:t xml:space="preserve">, Washington, DC, 2023. </w:t>
            </w:r>
          </w:p>
        </w:tc>
      </w:tr>
      <w:tr w:rsidR="005E1966" w14:paraId="0ED06A67" w14:textId="77777777">
        <w:trPr>
          <w:divId w:val="676159237"/>
          <w:tblCellSpacing w:w="15" w:type="dxa"/>
        </w:trPr>
        <w:tc>
          <w:tcPr>
            <w:tcW w:w="50" w:type="pct"/>
            <w:hideMark/>
          </w:tcPr>
          <w:p w14:paraId="50978404" w14:textId="77777777" w:rsidR="005E1966" w:rsidRDefault="005E1966">
            <w:pPr>
              <w:pStyle w:val="Bibliography"/>
              <w:rPr>
                <w:noProof/>
              </w:rPr>
            </w:pPr>
            <w:r>
              <w:rPr>
                <w:noProof/>
              </w:rPr>
              <w:t xml:space="preserve">[8] </w:t>
            </w:r>
          </w:p>
        </w:tc>
        <w:tc>
          <w:tcPr>
            <w:tcW w:w="0" w:type="auto"/>
            <w:hideMark/>
          </w:tcPr>
          <w:p w14:paraId="5FB07048" w14:textId="3DDC0CBE" w:rsidR="005E1966" w:rsidRPr="0034637F" w:rsidRDefault="005E1966">
            <w:pPr>
              <w:pStyle w:val="Bibliography"/>
              <w:rPr>
                <w:noProof/>
                <w:sz w:val="18"/>
                <w:szCs w:val="16"/>
              </w:rPr>
            </w:pPr>
            <w:r w:rsidRPr="0034637F">
              <w:rPr>
                <w:noProof/>
                <w:sz w:val="18"/>
                <w:szCs w:val="16"/>
              </w:rPr>
              <w:t>H</w:t>
            </w:r>
            <w:r w:rsidR="009C63CA">
              <w:rPr>
                <w:noProof/>
                <w:sz w:val="18"/>
                <w:szCs w:val="16"/>
              </w:rPr>
              <w:t>AUBENREICH, P. N., ENGEL, J. R.</w:t>
            </w:r>
            <w:r w:rsidRPr="0034637F">
              <w:rPr>
                <w:noProof/>
                <w:sz w:val="18"/>
                <w:szCs w:val="16"/>
              </w:rPr>
              <w:t>, “Experience with the Molten-Salt Reactor Experiment,” Oak Ridge National Laboratory, Oak Ridge, 1970.</w:t>
            </w:r>
          </w:p>
        </w:tc>
      </w:tr>
      <w:tr w:rsidR="005E1966" w14:paraId="6B2CC435" w14:textId="77777777">
        <w:trPr>
          <w:divId w:val="676159237"/>
          <w:tblCellSpacing w:w="15" w:type="dxa"/>
        </w:trPr>
        <w:tc>
          <w:tcPr>
            <w:tcW w:w="50" w:type="pct"/>
            <w:hideMark/>
          </w:tcPr>
          <w:p w14:paraId="6C8EA8A3" w14:textId="77777777" w:rsidR="005E1966" w:rsidRDefault="005E1966">
            <w:pPr>
              <w:pStyle w:val="Bibliography"/>
              <w:rPr>
                <w:noProof/>
              </w:rPr>
            </w:pPr>
            <w:r>
              <w:rPr>
                <w:noProof/>
              </w:rPr>
              <w:t xml:space="preserve">[9] </w:t>
            </w:r>
          </w:p>
        </w:tc>
        <w:tc>
          <w:tcPr>
            <w:tcW w:w="0" w:type="auto"/>
            <w:hideMark/>
          </w:tcPr>
          <w:p w14:paraId="37E87066" w14:textId="02D7AB0D" w:rsidR="005E1966" w:rsidRPr="0034637F" w:rsidRDefault="005E1966">
            <w:pPr>
              <w:pStyle w:val="Bibliography"/>
              <w:rPr>
                <w:noProof/>
                <w:sz w:val="18"/>
                <w:szCs w:val="16"/>
              </w:rPr>
            </w:pPr>
            <w:r w:rsidRPr="0034637F">
              <w:rPr>
                <w:noProof/>
                <w:sz w:val="18"/>
                <w:szCs w:val="16"/>
              </w:rPr>
              <w:t>D</w:t>
            </w:r>
            <w:r w:rsidR="009C63CA">
              <w:rPr>
                <w:noProof/>
                <w:sz w:val="18"/>
                <w:szCs w:val="16"/>
              </w:rPr>
              <w:t>UNKLE, N., WHEELER, A., RICHARDSON, J., BOGETIC, S., CHAVALA, O., SKUTNIK, S. E.,</w:t>
            </w:r>
            <w:r w:rsidRPr="0034637F">
              <w:rPr>
                <w:noProof/>
                <w:sz w:val="18"/>
                <w:szCs w:val="16"/>
              </w:rPr>
              <w:t xml:space="preserve"> “Plutonium Signatures in Molten-Salt Reactor Off-Gas Tank and Safeguards Considerations,” </w:t>
            </w:r>
            <w:r w:rsidRPr="0034637F">
              <w:rPr>
                <w:i/>
                <w:iCs/>
                <w:noProof/>
                <w:sz w:val="18"/>
                <w:szCs w:val="16"/>
              </w:rPr>
              <w:t xml:space="preserve">Journal of Nuclear Engineering, </w:t>
            </w:r>
            <w:r w:rsidRPr="0034637F">
              <w:rPr>
                <w:noProof/>
                <w:sz w:val="18"/>
                <w:szCs w:val="16"/>
              </w:rPr>
              <w:t xml:space="preserve">vol. 4, no. 2, pp. 391-411, 2023. </w:t>
            </w:r>
          </w:p>
        </w:tc>
      </w:tr>
    </w:tbl>
    <w:p w14:paraId="2F700636" w14:textId="77777777" w:rsidR="005E1966" w:rsidRDefault="005E1966">
      <w:pPr>
        <w:divId w:val="676159237"/>
        <w:rPr>
          <w:noProof/>
        </w:rPr>
      </w:pPr>
    </w:p>
    <w:p w14:paraId="15F4F300" w14:textId="58586C1A" w:rsidR="00285755" w:rsidRDefault="00E31EB4" w:rsidP="00537496">
      <w:pPr>
        <w:pStyle w:val="Otherunnumberedheadings"/>
      </w:pPr>
      <w:r>
        <w:fldChar w:fldCharType="end"/>
      </w:r>
      <w:r w:rsidR="00285755" w:rsidRPr="00285755">
        <w:t>ACKNOWLEDGEMENTS</w:t>
      </w:r>
    </w:p>
    <w:p w14:paraId="3BA56E06" w14:textId="114E8D79" w:rsidR="00F45EEE" w:rsidRDefault="00634014" w:rsidP="002D4D93">
      <w:pPr>
        <w:pStyle w:val="BodyText"/>
        <w:jc w:val="left"/>
      </w:pPr>
      <w:r>
        <w:t xml:space="preserve">This work is supported by </w:t>
      </w:r>
      <w:r w:rsidR="000E5E83">
        <w:t xml:space="preserve">national sponsors at the United States National Nuclear Administration’s Office of International Nuclear Safeguards and the United Kingdom’s Department for Energy Security and Net Zero. </w:t>
      </w:r>
      <w:r w:rsidR="002D4D93">
        <w:t xml:space="preserve">Additional acknowledgements are given to the team of U.S. subject matter experts that contributed to discussions and reviewed this work. This group included Karen Hogue and Hunter Andrews from Oak Ridge National Laboratory, Ammon Williams from Idaho National Laboratory, and Patricia Paviet and Rob Marek from Pacific Northwest National Laboratory. </w:t>
      </w:r>
    </w:p>
    <w:p w14:paraId="11773610" w14:textId="77777777" w:rsidR="00CA7B1F" w:rsidRDefault="00CA7B1F" w:rsidP="00537496">
      <w:pPr>
        <w:pStyle w:val="BodyText"/>
        <w:ind w:firstLine="0"/>
        <w:jc w:val="left"/>
      </w:pPr>
    </w:p>
    <w:p w14:paraId="4BD22F55" w14:textId="77777777" w:rsidR="00CA7B1F" w:rsidRDefault="00CA7B1F">
      <w:pPr>
        <w:overflowPunct/>
        <w:autoSpaceDE/>
        <w:autoSpaceDN/>
        <w:adjustRightInd/>
        <w:textAlignment w:val="auto"/>
        <w:rPr>
          <w:rFonts w:ascii="Times New Roman Bold" w:hAnsi="Times New Roman Bold"/>
          <w:b/>
          <w:caps/>
          <w:sz w:val="20"/>
        </w:rPr>
      </w:pPr>
      <w:r>
        <w:br w:type="page"/>
      </w:r>
    </w:p>
    <w:p w14:paraId="62257754" w14:textId="2CA18759" w:rsidR="00CA7B1F" w:rsidRPr="00D26ADA" w:rsidRDefault="00CA7B1F" w:rsidP="00CA7B1F">
      <w:pPr>
        <w:pStyle w:val="Otherunnumberedheadings"/>
      </w:pPr>
      <w:r>
        <w:lastRenderedPageBreak/>
        <w:t>Appendix A: Summary of In Core Nuclear Material Accountancy Challenges</w:t>
      </w:r>
    </w:p>
    <w:p w14:paraId="5CE20A32" w14:textId="77777777" w:rsidR="00CA7B1F" w:rsidRPr="004612F7" w:rsidRDefault="00CA7B1F" w:rsidP="00CA7B1F">
      <w:pPr>
        <w:pStyle w:val="BodyText"/>
        <w:rPr>
          <w:lang w:val="en-US"/>
        </w:rPr>
      </w:pPr>
      <w:r w:rsidRPr="004612F7">
        <w:rPr>
          <w:lang w:val="en-US"/>
        </w:rPr>
        <w:t>TABLE 1.</w:t>
      </w:r>
      <w:r w:rsidRPr="004612F7">
        <w:rPr>
          <w:lang w:val="en-US"/>
        </w:rPr>
        <w:tab/>
      </w:r>
      <w:r>
        <w:rPr>
          <w:lang w:val="en-US"/>
        </w:rPr>
        <w:t>Summary of in core material accountancy challenges</w:t>
      </w:r>
    </w:p>
    <w:p w14:paraId="66ADF5F4" w14:textId="77777777" w:rsidR="00CA7B1F" w:rsidRPr="004612F7" w:rsidRDefault="00CA7B1F" w:rsidP="00CA7B1F">
      <w:pPr>
        <w:pStyle w:val="Tabletext"/>
        <w:rPr>
          <w:lang w:val="en-US"/>
        </w:rPr>
      </w:pPr>
    </w:p>
    <w:tbl>
      <w:tblPr>
        <w:tblStyle w:val="TableGrid"/>
        <w:tblW w:w="8995" w:type="dxa"/>
        <w:tblLook w:val="04A0" w:firstRow="1" w:lastRow="0" w:firstColumn="1" w:lastColumn="0" w:noHBand="0" w:noVBand="1"/>
      </w:tblPr>
      <w:tblGrid>
        <w:gridCol w:w="2425"/>
        <w:gridCol w:w="6570"/>
      </w:tblGrid>
      <w:tr w:rsidR="00CA7B1F" w14:paraId="2B9DFAAC" w14:textId="77777777" w:rsidTr="002F7E05">
        <w:tc>
          <w:tcPr>
            <w:tcW w:w="2425" w:type="dxa"/>
            <w:vAlign w:val="center"/>
          </w:tcPr>
          <w:p w14:paraId="3AC19105" w14:textId="77777777" w:rsidR="00CA7B1F" w:rsidRPr="002F7E05" w:rsidRDefault="00CA7B1F" w:rsidP="002F7E05">
            <w:pPr>
              <w:pStyle w:val="BodyText"/>
              <w:spacing w:before="40" w:after="40" w:line="0" w:lineRule="atLeast"/>
              <w:ind w:firstLine="0"/>
              <w:jc w:val="left"/>
              <w:rPr>
                <w:b/>
                <w:bCs/>
                <w:lang w:val="en-US"/>
              </w:rPr>
            </w:pPr>
            <w:r w:rsidRPr="002F7E05">
              <w:rPr>
                <w:b/>
                <w:bCs/>
                <w:lang w:val="en-US"/>
              </w:rPr>
              <w:t>Challenge</w:t>
            </w:r>
          </w:p>
        </w:tc>
        <w:tc>
          <w:tcPr>
            <w:tcW w:w="6570" w:type="dxa"/>
            <w:vAlign w:val="center"/>
          </w:tcPr>
          <w:p w14:paraId="2EE53E91" w14:textId="77777777" w:rsidR="00CA7B1F" w:rsidRPr="002F7E05" w:rsidRDefault="00CA7B1F" w:rsidP="002F7E05">
            <w:pPr>
              <w:pStyle w:val="BodyText"/>
              <w:spacing w:before="40" w:after="40" w:line="0" w:lineRule="atLeast"/>
              <w:ind w:firstLine="0"/>
              <w:jc w:val="left"/>
              <w:rPr>
                <w:b/>
                <w:bCs/>
                <w:lang w:val="en-US"/>
              </w:rPr>
            </w:pPr>
            <w:r w:rsidRPr="002F7E05">
              <w:rPr>
                <w:b/>
                <w:bCs/>
                <w:lang w:val="en-US"/>
              </w:rPr>
              <w:t>Description</w:t>
            </w:r>
          </w:p>
        </w:tc>
      </w:tr>
      <w:tr w:rsidR="00CA7B1F" w14:paraId="4615BA01" w14:textId="77777777">
        <w:tc>
          <w:tcPr>
            <w:tcW w:w="2425" w:type="dxa"/>
          </w:tcPr>
          <w:p w14:paraId="66A66296" w14:textId="77777777" w:rsidR="00CA7B1F" w:rsidRDefault="00CA7B1F">
            <w:pPr>
              <w:pStyle w:val="BodyText"/>
              <w:spacing w:before="40" w:after="40" w:line="0" w:lineRule="atLeast"/>
              <w:ind w:firstLine="0"/>
              <w:jc w:val="left"/>
              <w:rPr>
                <w:lang w:val="en-US"/>
              </w:rPr>
            </w:pPr>
            <w:r w:rsidRPr="00AA06C2">
              <w:t>Change due to fission</w:t>
            </w:r>
          </w:p>
        </w:tc>
        <w:tc>
          <w:tcPr>
            <w:tcW w:w="6570" w:type="dxa"/>
            <w:vAlign w:val="center"/>
          </w:tcPr>
          <w:p w14:paraId="182106FC" w14:textId="77777777" w:rsidR="00CA7B1F" w:rsidRDefault="00CA7B1F">
            <w:pPr>
              <w:pStyle w:val="BodyText"/>
              <w:spacing w:before="40" w:after="40" w:line="0" w:lineRule="atLeast"/>
              <w:ind w:firstLine="0"/>
              <w:jc w:val="left"/>
              <w:rPr>
                <w:lang w:val="en-US"/>
              </w:rPr>
            </w:pPr>
            <w:r>
              <w:rPr>
                <w:lang w:val="en-US"/>
              </w:rPr>
              <w:t xml:space="preserve">The material composition is continuously changing due to fission. </w:t>
            </w:r>
          </w:p>
        </w:tc>
      </w:tr>
      <w:tr w:rsidR="00CA7B1F" w14:paraId="04EFDD7F" w14:textId="77777777">
        <w:tc>
          <w:tcPr>
            <w:tcW w:w="2425" w:type="dxa"/>
          </w:tcPr>
          <w:p w14:paraId="4A8D84A4" w14:textId="77777777" w:rsidR="00CA7B1F" w:rsidRDefault="00CA7B1F">
            <w:pPr>
              <w:pStyle w:val="BodyText"/>
              <w:spacing w:before="40" w:after="40" w:line="0" w:lineRule="atLeast"/>
              <w:ind w:firstLine="0"/>
              <w:jc w:val="left"/>
              <w:rPr>
                <w:lang w:val="en-US"/>
              </w:rPr>
            </w:pPr>
            <w:r w:rsidRPr="00AA06C2">
              <w:t>Material added to the core</w:t>
            </w:r>
          </w:p>
        </w:tc>
        <w:tc>
          <w:tcPr>
            <w:tcW w:w="6570" w:type="dxa"/>
            <w:vAlign w:val="center"/>
          </w:tcPr>
          <w:p w14:paraId="32265DF9" w14:textId="77777777" w:rsidR="00CA7B1F" w:rsidRDefault="00CA7B1F">
            <w:pPr>
              <w:pStyle w:val="BodyText"/>
              <w:spacing w:before="40" w:after="40" w:line="0" w:lineRule="atLeast"/>
              <w:ind w:firstLine="0"/>
              <w:jc w:val="left"/>
              <w:rPr>
                <w:lang w:val="en-US"/>
              </w:rPr>
            </w:pPr>
            <w:r>
              <w:rPr>
                <w:lang w:val="en-US"/>
              </w:rPr>
              <w:t>Fresh fuel and other elements to control redox chemistry may be added. These will impact thermophysical and thermochemical properties of the salt, and the quantities of nuclear material within the system. All penetrations into the system needed to be monitored to identify introduction of undeclared fertile material or any undeclared removal of nuclear material.</w:t>
            </w:r>
          </w:p>
        </w:tc>
      </w:tr>
      <w:tr w:rsidR="00CA7B1F" w14:paraId="3CD53115" w14:textId="77777777">
        <w:tc>
          <w:tcPr>
            <w:tcW w:w="2425" w:type="dxa"/>
          </w:tcPr>
          <w:p w14:paraId="011101EB" w14:textId="77777777" w:rsidR="00CA7B1F" w:rsidRDefault="00CA7B1F">
            <w:pPr>
              <w:pStyle w:val="BodyText"/>
              <w:spacing w:before="40" w:after="40" w:line="0" w:lineRule="atLeast"/>
              <w:ind w:firstLine="0"/>
              <w:jc w:val="left"/>
              <w:rPr>
                <w:lang w:val="en-US"/>
              </w:rPr>
            </w:pPr>
            <w:r w:rsidRPr="00AA06C2">
              <w:t>Plating out in the core</w:t>
            </w:r>
          </w:p>
        </w:tc>
        <w:tc>
          <w:tcPr>
            <w:tcW w:w="6570" w:type="dxa"/>
            <w:vAlign w:val="center"/>
          </w:tcPr>
          <w:p w14:paraId="0483515E" w14:textId="77777777" w:rsidR="00CA7B1F" w:rsidRDefault="00CA7B1F">
            <w:pPr>
              <w:pStyle w:val="BodyText"/>
              <w:spacing w:before="40" w:after="40" w:line="0" w:lineRule="atLeast"/>
              <w:ind w:firstLine="0"/>
              <w:jc w:val="left"/>
              <w:rPr>
                <w:lang w:val="en-US"/>
              </w:rPr>
            </w:pPr>
            <w:r>
              <w:rPr>
                <w:lang w:val="en-US"/>
              </w:rPr>
              <w:t xml:space="preserve">Some insoluble fission products may plate out inside the primary circuit. </w:t>
            </w:r>
          </w:p>
        </w:tc>
      </w:tr>
      <w:tr w:rsidR="00CA7B1F" w14:paraId="432A1B47" w14:textId="77777777">
        <w:tc>
          <w:tcPr>
            <w:tcW w:w="2425" w:type="dxa"/>
          </w:tcPr>
          <w:p w14:paraId="59C8BEDD" w14:textId="77777777" w:rsidR="00CA7B1F" w:rsidRDefault="00CA7B1F">
            <w:pPr>
              <w:pStyle w:val="BodyText"/>
              <w:spacing w:before="40" w:after="40" w:line="0" w:lineRule="atLeast"/>
              <w:ind w:firstLine="0"/>
              <w:jc w:val="left"/>
              <w:rPr>
                <w:lang w:val="en-US"/>
              </w:rPr>
            </w:pPr>
            <w:r w:rsidRPr="00AA06C2">
              <w:t xml:space="preserve">Movement of material </w:t>
            </w:r>
          </w:p>
        </w:tc>
        <w:tc>
          <w:tcPr>
            <w:tcW w:w="6570" w:type="dxa"/>
            <w:vAlign w:val="center"/>
          </w:tcPr>
          <w:p w14:paraId="054F02C6" w14:textId="77777777" w:rsidR="00CA7B1F" w:rsidRDefault="00CA7B1F">
            <w:pPr>
              <w:pStyle w:val="BodyText"/>
              <w:spacing w:before="40" w:after="40" w:line="0" w:lineRule="atLeast"/>
              <w:ind w:firstLine="0"/>
              <w:jc w:val="left"/>
              <w:rPr>
                <w:lang w:val="en-US"/>
              </w:rPr>
            </w:pPr>
            <w:r>
              <w:rPr>
                <w:lang w:val="en-US"/>
              </w:rPr>
              <w:t xml:space="preserve">The composition at any point of the fuel salt during its flow through the primary circuit is challenging to assess. </w:t>
            </w:r>
          </w:p>
        </w:tc>
      </w:tr>
      <w:tr w:rsidR="00CA7B1F" w14:paraId="2D04CFB4" w14:textId="77777777">
        <w:tc>
          <w:tcPr>
            <w:tcW w:w="2425" w:type="dxa"/>
          </w:tcPr>
          <w:p w14:paraId="41655938" w14:textId="77777777" w:rsidR="00CA7B1F" w:rsidRDefault="00CA7B1F">
            <w:pPr>
              <w:pStyle w:val="BodyText"/>
              <w:spacing w:before="40" w:after="40" w:line="0" w:lineRule="atLeast"/>
              <w:ind w:firstLine="0"/>
              <w:jc w:val="left"/>
              <w:rPr>
                <w:lang w:val="en-US"/>
              </w:rPr>
            </w:pPr>
            <w:r w:rsidRPr="00AA06C2">
              <w:t>Movement of off-gas</w:t>
            </w:r>
          </w:p>
        </w:tc>
        <w:tc>
          <w:tcPr>
            <w:tcW w:w="6570" w:type="dxa"/>
            <w:vAlign w:val="center"/>
          </w:tcPr>
          <w:p w14:paraId="681C9ECB" w14:textId="77777777" w:rsidR="00CA7B1F" w:rsidRDefault="00CA7B1F">
            <w:pPr>
              <w:pStyle w:val="BodyText"/>
              <w:spacing w:before="40" w:after="40" w:line="0" w:lineRule="atLeast"/>
              <w:ind w:firstLine="0"/>
              <w:jc w:val="left"/>
              <w:rPr>
                <w:lang w:val="en-US"/>
              </w:rPr>
            </w:pPr>
            <w:r>
              <w:rPr>
                <w:lang w:val="en-US"/>
              </w:rPr>
              <w:t>Gases will be produced and may carry salt or fission products into the off-gas treatment</w:t>
            </w:r>
          </w:p>
        </w:tc>
      </w:tr>
      <w:tr w:rsidR="00CA7B1F" w14:paraId="07A2C744" w14:textId="77777777">
        <w:tc>
          <w:tcPr>
            <w:tcW w:w="2425" w:type="dxa"/>
          </w:tcPr>
          <w:p w14:paraId="2CA0ECD5" w14:textId="77777777" w:rsidR="00CA7B1F" w:rsidRDefault="00CA7B1F">
            <w:pPr>
              <w:pStyle w:val="BodyText"/>
              <w:spacing w:before="40" w:after="40" w:line="0" w:lineRule="atLeast"/>
              <w:ind w:firstLine="0"/>
              <w:jc w:val="left"/>
              <w:rPr>
                <w:lang w:val="en-US"/>
              </w:rPr>
            </w:pPr>
            <w:r w:rsidRPr="00AA06C2">
              <w:t xml:space="preserve">Flow rate </w:t>
            </w:r>
          </w:p>
        </w:tc>
        <w:tc>
          <w:tcPr>
            <w:tcW w:w="6570" w:type="dxa"/>
            <w:vAlign w:val="center"/>
          </w:tcPr>
          <w:p w14:paraId="34AA62F3" w14:textId="77777777" w:rsidR="00CA7B1F" w:rsidRDefault="00CA7B1F">
            <w:pPr>
              <w:pStyle w:val="BodyText"/>
              <w:spacing w:before="40" w:after="40" w:line="0" w:lineRule="atLeast"/>
              <w:ind w:firstLine="0"/>
              <w:jc w:val="left"/>
              <w:rPr>
                <w:lang w:val="en-US"/>
              </w:rPr>
            </w:pPr>
            <w:r>
              <w:rPr>
                <w:lang w:val="en-US"/>
              </w:rPr>
              <w:t xml:space="preserve">The mass flow rate of the fuel can increase the power and therefore make it challenging to accurately determine the power profile and therefore Pu content. </w:t>
            </w:r>
          </w:p>
        </w:tc>
      </w:tr>
      <w:tr w:rsidR="00CA7B1F" w14:paraId="46B17458" w14:textId="77777777">
        <w:tc>
          <w:tcPr>
            <w:tcW w:w="2425" w:type="dxa"/>
          </w:tcPr>
          <w:p w14:paraId="0AC33E05" w14:textId="77777777" w:rsidR="00CA7B1F" w:rsidRDefault="00CA7B1F">
            <w:pPr>
              <w:pStyle w:val="BodyText"/>
              <w:spacing w:before="40" w:after="40" w:line="0" w:lineRule="atLeast"/>
              <w:ind w:firstLine="0"/>
              <w:jc w:val="left"/>
              <w:rPr>
                <w:lang w:val="en-US"/>
              </w:rPr>
            </w:pPr>
            <w:r w:rsidRPr="00AA06C2">
              <w:t>Material leaving the core</w:t>
            </w:r>
          </w:p>
        </w:tc>
        <w:tc>
          <w:tcPr>
            <w:tcW w:w="6570" w:type="dxa"/>
            <w:vAlign w:val="center"/>
          </w:tcPr>
          <w:p w14:paraId="7F2EEFC6" w14:textId="77777777" w:rsidR="00CA7B1F" w:rsidRDefault="00CA7B1F">
            <w:pPr>
              <w:pStyle w:val="BodyText"/>
              <w:spacing w:before="40" w:after="40" w:line="0" w:lineRule="atLeast"/>
              <w:ind w:firstLine="0"/>
              <w:jc w:val="left"/>
              <w:rPr>
                <w:lang w:val="en-US"/>
              </w:rPr>
            </w:pPr>
            <w:r>
              <w:rPr>
                <w:lang w:val="en-US"/>
              </w:rPr>
              <w:t>Nuclear material in unintentional material leaks, sampling and irradiated fuel removal would need to be quantified. Measurement of hot, corrosive molten salt is challenging.</w:t>
            </w:r>
          </w:p>
        </w:tc>
      </w:tr>
    </w:tbl>
    <w:p w14:paraId="33B281AC" w14:textId="77777777" w:rsidR="00CA7B1F" w:rsidRPr="00662532" w:rsidRDefault="00CA7B1F" w:rsidP="00537496">
      <w:pPr>
        <w:pStyle w:val="BodyText"/>
        <w:ind w:firstLine="0"/>
        <w:jc w:val="left"/>
      </w:pPr>
    </w:p>
    <w:sectPr w:rsidR="00CA7B1F" w:rsidRPr="00662532" w:rsidSect="002879A1">
      <w:headerReference w:type="even" r:id="rId13"/>
      <w:headerReference w:type="default" r:id="rId14"/>
      <w:footerReference w:type="even" r:id="rId15"/>
      <w:footerReference w:type="default" r:id="rId16"/>
      <w:headerReference w:type="first" r:id="rId17"/>
      <w:footerReference w:type="first" r:id="rId18"/>
      <w:type w:val="oddPage"/>
      <w:pgSz w:w="11907" w:h="16840" w:code="9"/>
      <w:pgMar w:top="1440" w:right="1440" w:bottom="1440" w:left="1440" w:header="539" w:footer="964"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FB9A79" w14:textId="77777777" w:rsidR="00373B6C" w:rsidRDefault="00373B6C">
      <w:r>
        <w:separator/>
      </w:r>
    </w:p>
  </w:endnote>
  <w:endnote w:type="continuationSeparator" w:id="0">
    <w:p w14:paraId="7349A936" w14:textId="77777777" w:rsidR="00373B6C" w:rsidRDefault="00373B6C">
      <w:r>
        <w:continuationSeparator/>
      </w:r>
    </w:p>
  </w:endnote>
  <w:endnote w:type="continuationNotice" w:id="1">
    <w:p w14:paraId="0DD518E7" w14:textId="77777777" w:rsidR="00373B6C" w:rsidRDefault="00373B6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 New Roman (Body CS)">
    <w:altName w:val="Times New Roman"/>
    <w:charset w:val="00"/>
    <w:family w:val="roman"/>
    <w:pitch w:val="variable"/>
    <w:sig w:usb0="E0002AE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0FF961" w14:textId="71EB65A1" w:rsidR="00E20E70" w:rsidRDefault="00E20E70">
    <w:pPr>
      <w:pStyle w:val="zyxClassification1"/>
    </w:pPr>
    <w:r>
      <w:fldChar w:fldCharType="begin"/>
    </w:r>
    <w:r>
      <w:instrText xml:space="preserve"> DOCPROPERTY "IaeaClassification"  \* MERGEFORMAT </w:instrText>
    </w:r>
    <w:r>
      <w:fldChar w:fldCharType="end"/>
    </w:r>
  </w:p>
  <w:p w14:paraId="1FDEB1B7" w14:textId="0ED3327B" w:rsidR="00E20E70" w:rsidRDefault="00E20E70">
    <w:pPr>
      <w:pStyle w:val="zyxClassification2"/>
    </w:pPr>
    <w:r>
      <w:fldChar w:fldCharType="begin"/>
    </w:r>
    <w:r>
      <w:instrText>DOCPROPERTY "IaeaClassification2"  \* MERGEFORMAT</w:instrTex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6B308E" w14:textId="74B9F514" w:rsidR="00E20E70" w:rsidRDefault="00E20E70">
    <w:pPr>
      <w:pStyle w:val="zyxClassification1"/>
    </w:pPr>
    <w:r>
      <w:fldChar w:fldCharType="begin"/>
    </w:r>
    <w:r>
      <w:instrText xml:space="preserve"> DOCPROPERTY "IaeaClassification"  \* MERGEFORMAT </w:instrText>
    </w:r>
    <w:r>
      <w:fldChar w:fldCharType="end"/>
    </w:r>
  </w:p>
  <w:p w14:paraId="7E32AC2C" w14:textId="07C52EB6" w:rsidR="00E20E70" w:rsidRPr="00037321" w:rsidRDefault="00037321">
    <w:pPr>
      <w:pStyle w:val="zyxClassification2"/>
      <w:rPr>
        <w:rFonts w:ascii="Times New Roman" w:hAnsi="Times New Roman" w:cs="Times New Roman"/>
        <w:sz w:val="20"/>
      </w:rPr>
    </w:pPr>
    <w:r w:rsidRPr="00037321">
      <w:rPr>
        <w:rFonts w:ascii="Times New Roman" w:hAnsi="Times New Roman" w:cs="Times New Roman"/>
        <w:sz w:val="20"/>
      </w:rPr>
      <w:fldChar w:fldCharType="begin"/>
    </w:r>
    <w:r w:rsidRPr="00037321">
      <w:rPr>
        <w:rFonts w:ascii="Times New Roman" w:hAnsi="Times New Roman" w:cs="Times New Roman"/>
        <w:sz w:val="20"/>
      </w:rPr>
      <w:instrText xml:space="preserve"> PAGE </w:instrText>
    </w:r>
    <w:r w:rsidRPr="00037321">
      <w:rPr>
        <w:rFonts w:ascii="Times New Roman" w:hAnsi="Times New Roman" w:cs="Times New Roman"/>
        <w:sz w:val="20"/>
      </w:rPr>
      <w:fldChar w:fldCharType="separate"/>
    </w:r>
    <w:r w:rsidR="0026525A">
      <w:rPr>
        <w:rFonts w:ascii="Times New Roman" w:hAnsi="Times New Roman" w:cs="Times New Roman"/>
        <w:noProof/>
        <w:sz w:val="20"/>
      </w:rPr>
      <w:t>1</w:t>
    </w:r>
    <w:r w:rsidRPr="00037321">
      <w:rPr>
        <w:rFonts w:ascii="Times New Roman" w:hAnsi="Times New Roman" w:cs="Times New Roman"/>
        <w:sz w:val="20"/>
      </w:rPr>
      <w:fldChar w:fldCharType="end"/>
    </w:r>
    <w:r w:rsidR="00E20E70" w:rsidRPr="00037321">
      <w:rPr>
        <w:rFonts w:ascii="Times New Roman" w:hAnsi="Times New Roman" w:cs="Times New Roman"/>
        <w:sz w:val="20"/>
      </w:rPr>
      <w:fldChar w:fldCharType="begin"/>
    </w:r>
    <w:r w:rsidR="00E20E70" w:rsidRPr="00037321">
      <w:rPr>
        <w:rFonts w:ascii="Times New Roman" w:hAnsi="Times New Roman" w:cs="Times New Roman"/>
        <w:sz w:val="20"/>
      </w:rPr>
      <w:instrText>DOCPROPERTY "IaeaClassification2"  \* MERGEFORMAT</w:instrText>
    </w:r>
    <w:r w:rsidR="00E20E70" w:rsidRPr="00037321">
      <w:rPr>
        <w:rFonts w:ascii="Times New Roman" w:hAnsi="Times New Roman" w:cs="Times New Roman"/>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vertAnchor="page" w:horzAnchor="page" w:tblpX="1390" w:tblpY="15707"/>
      <w:tblOverlap w:val="never"/>
      <w:tblW w:w="10314" w:type="dxa"/>
      <w:tblLook w:val="0000" w:firstRow="0" w:lastRow="0" w:firstColumn="0" w:lastColumn="0" w:noHBand="0" w:noVBand="0"/>
    </w:tblPr>
    <w:tblGrid>
      <w:gridCol w:w="4644"/>
      <w:gridCol w:w="5670"/>
    </w:tblGrid>
    <w:tr w:rsidR="00E20E70" w14:paraId="2AC0DA17" w14:textId="77777777">
      <w:trPr>
        <w:cantSplit/>
      </w:trPr>
      <w:tc>
        <w:tcPr>
          <w:tcW w:w="4644" w:type="dxa"/>
        </w:tcPr>
        <w:p w14:paraId="6CFF9F49" w14:textId="0172A26A" w:rsidR="00E20E70" w:rsidRDefault="00E20E70">
          <w:pPr>
            <w:pStyle w:val="zyxDistribution"/>
            <w:framePr w:wrap="auto" w:vAnchor="margin" w:hAnchor="text" w:xAlign="left" w:yAlign="inline"/>
            <w:suppressOverlap w:val="0"/>
          </w:pPr>
          <w:r>
            <w:fldChar w:fldCharType="begin"/>
          </w:r>
          <w:r>
            <w:instrText xml:space="preserve"> DOCPROPERTY "IaeaDistribution"  \* MERGEFORMAT </w:instrText>
          </w:r>
          <w:r>
            <w:fldChar w:fldCharType="end"/>
          </w:r>
        </w:p>
        <w:p w14:paraId="258EA1F7" w14:textId="573F31D8" w:rsidR="00E20E70" w:rsidRDefault="00E20E70">
          <w:pPr>
            <w:pStyle w:val="zyxSensitivity"/>
            <w:framePr w:wrap="auto" w:vAnchor="margin" w:hAnchor="text" w:xAlign="left" w:yAlign="inline"/>
            <w:suppressOverlap w:val="0"/>
          </w:pPr>
          <w:r>
            <w:fldChar w:fldCharType="begin"/>
          </w:r>
          <w:r>
            <w:instrText xml:space="preserve"> DOCPROPERTY "IaeaSensitivity"  \* MERGEFORMAT </w:instrText>
          </w:r>
          <w:r>
            <w:fldChar w:fldCharType="end"/>
          </w:r>
        </w:p>
      </w:tc>
      <w:bookmarkStart w:id="2" w:name="DOC_bkmClassification2"/>
      <w:tc>
        <w:tcPr>
          <w:tcW w:w="5670" w:type="dxa"/>
          <w:tcMar>
            <w:right w:w="249" w:type="dxa"/>
          </w:tcMar>
        </w:tcPr>
        <w:p w14:paraId="6BE850AD" w14:textId="6BACBAB6" w:rsidR="00E20E70" w:rsidRDefault="00E20E70">
          <w:pPr>
            <w:pStyle w:val="zyxConfidBlack"/>
            <w:framePr w:wrap="auto" w:vAnchor="margin" w:hAnchor="text" w:xAlign="left" w:yAlign="inline"/>
            <w:suppressOverlap w:val="0"/>
          </w:pPr>
          <w:r>
            <w:fldChar w:fldCharType="begin"/>
          </w:r>
          <w:r>
            <w:instrText xml:space="preserve"> DOCPROPERTY "IaeaClassification"  \* MERGEFORMAT </w:instrText>
          </w:r>
          <w:r>
            <w:fldChar w:fldCharType="end"/>
          </w:r>
        </w:p>
        <w:bookmarkEnd w:id="2"/>
        <w:p w14:paraId="4A6BF5C8" w14:textId="4D4577F5" w:rsidR="00E20E70" w:rsidRDefault="00E20E70">
          <w:pPr>
            <w:spacing w:after="20" w:line="220" w:lineRule="exact"/>
            <w:jc w:val="right"/>
            <w:rPr>
              <w:rFonts w:ascii="Arial" w:hAnsi="Arial" w:cs="Arial"/>
              <w:color w:val="FF0000"/>
            </w:rPr>
          </w:pPr>
          <w:r>
            <w:rPr>
              <w:rFonts w:ascii="Arial" w:hAnsi="Arial"/>
              <w:b/>
            </w:rPr>
            <w:fldChar w:fldCharType="begin"/>
          </w:r>
          <w:r>
            <w:rPr>
              <w:rFonts w:ascii="Arial" w:hAnsi="Arial"/>
              <w:b/>
            </w:rPr>
            <w:instrText>DOCPROPERTY "IaeaConfidentialAttachments"  \* MERGEFORMAT</w:instrText>
          </w:r>
          <w:r>
            <w:rPr>
              <w:rFonts w:ascii="Arial" w:hAnsi="Arial"/>
              <w:b/>
            </w:rPr>
            <w:fldChar w:fldCharType="end"/>
          </w:r>
          <w:r>
            <w:rPr>
              <w:rFonts w:ascii="Arial" w:hAnsi="Arial" w:cs="Arial"/>
              <w:color w:val="FF0000"/>
            </w:rPr>
            <w:fldChar w:fldCharType="begin"/>
          </w:r>
          <w:r>
            <w:rPr>
              <w:rFonts w:ascii="Arial" w:hAnsi="Arial" w:cs="Arial"/>
              <w:color w:val="FF0000"/>
            </w:rPr>
            <w:instrText>DOCPROPERTY "IaeaClassification2"  \* MERGEFORMAT</w:instrText>
          </w:r>
          <w:r>
            <w:rPr>
              <w:rFonts w:ascii="Arial" w:hAnsi="Arial" w:cs="Arial"/>
              <w:color w:val="FF0000"/>
            </w:rPr>
            <w:fldChar w:fldCharType="end"/>
          </w:r>
        </w:p>
      </w:tc>
    </w:tr>
  </w:tbl>
  <w:bookmarkStart w:id="3" w:name="DOC_bkmFileName"/>
  <w:p w14:paraId="437B756E" w14:textId="14A092E5" w:rsidR="00E20E70" w:rsidRDefault="00E20E70">
    <w:r>
      <w:rPr>
        <w:sz w:val="16"/>
      </w:rPr>
      <w:fldChar w:fldCharType="begin"/>
    </w:r>
    <w:r>
      <w:rPr>
        <w:sz w:val="16"/>
      </w:rPr>
      <w:instrText xml:space="preserve"> FILENAME \* MERGEFORMAT </w:instrText>
    </w:r>
    <w:r>
      <w:rPr>
        <w:sz w:val="16"/>
      </w:rPr>
      <w:fldChar w:fldCharType="separate"/>
    </w:r>
    <w:r w:rsidR="00FF6F19">
      <w:rPr>
        <w:noProof/>
        <w:sz w:val="16"/>
      </w:rPr>
      <w:t>Conference Proceedings_Example paper.docx</w:t>
    </w:r>
    <w:r>
      <w:rPr>
        <w:sz w:val="16"/>
      </w:rPr>
      <w:fldChar w:fldCharType="end"/>
    </w:r>
    <w:bookmarkEnd w:id="3"/>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7E8EE5" w14:textId="77777777" w:rsidR="00373B6C" w:rsidRDefault="00373B6C">
      <w:r>
        <w:t>___________________________________________________________________________</w:t>
      </w:r>
    </w:p>
  </w:footnote>
  <w:footnote w:type="continuationSeparator" w:id="0">
    <w:p w14:paraId="7FD09BFF" w14:textId="77777777" w:rsidR="00373B6C" w:rsidRDefault="00373B6C">
      <w:r>
        <w:t>___________________________________________________________________________</w:t>
      </w:r>
    </w:p>
  </w:footnote>
  <w:footnote w:type="continuationNotice" w:id="1">
    <w:p w14:paraId="1A23CDEC" w14:textId="77777777" w:rsidR="00373B6C" w:rsidRDefault="00373B6C"/>
  </w:footnote>
  <w:footnote w:id="2">
    <w:p w14:paraId="1DD96ED9" w14:textId="45B5CE46" w:rsidR="00B263A6" w:rsidRDefault="00B263A6">
      <w:pPr>
        <w:pStyle w:val="FootnoteText"/>
      </w:pPr>
      <w:r>
        <w:rPr>
          <w:rStyle w:val="FootnoteReference"/>
        </w:rPr>
        <w:footnoteRef/>
      </w:r>
      <w:r>
        <w:t xml:space="preserve"> For the purposes of this paper, MSRs are considered to have fuel dissolved in a carrier salt, </w:t>
      </w:r>
      <w:r w:rsidR="007B11AD">
        <w:t>or a “liquid-fueled MSR”. T</w:t>
      </w:r>
      <w:r>
        <w:t>he authors acknowledge this is not the case for all molten salt reactors.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2F522D" w14:textId="64DB539F" w:rsidR="00CF7AF3" w:rsidRDefault="00CF7AF3" w:rsidP="00CF7AF3">
    <w:pPr>
      <w:pStyle w:val="Runninghead"/>
    </w:pPr>
    <w:r>
      <w:tab/>
    </w:r>
    <w:r w:rsidR="0034637F" w:rsidRPr="0034637F">
      <w:t>IAEA-CN-327/399</w:t>
    </w:r>
  </w:p>
  <w:p w14:paraId="6E7E9A0F" w14:textId="18B87A12" w:rsidR="00E20E70" w:rsidRDefault="00CF7AF3" w:rsidP="00CF7AF3">
    <w:pPr>
      <w:pStyle w:val="zyxClassification1"/>
      <w:tabs>
        <w:tab w:val="left" w:pos="3956"/>
        <w:tab w:val="right" w:pos="9071"/>
      </w:tabs>
      <w:jc w:val="left"/>
    </w:pPr>
    <w:r>
      <w:tab/>
    </w:r>
    <w:r w:rsidR="00E20E70">
      <w:fldChar w:fldCharType="begin"/>
    </w:r>
    <w:r w:rsidR="00E20E70">
      <w:instrText xml:space="preserve"> DOCPROPERTY "IaeaClassification"  \* MERGEFORMAT </w:instrText>
    </w:r>
    <w:r w:rsidR="00E20E70">
      <w:fldChar w:fldCharType="end"/>
    </w:r>
  </w:p>
  <w:p w14:paraId="09E92CEF" w14:textId="58EFCBEB" w:rsidR="00E20E70" w:rsidRDefault="00E20E70">
    <w:pPr>
      <w:pStyle w:val="zyxClassification2"/>
    </w:pPr>
    <w:r>
      <w:fldChar w:fldCharType="begin"/>
    </w:r>
    <w:r>
      <w:instrText>DOCPROPERTY "IaeaClassification2"  \* MERGEFORMAT</w:instrTex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D9C4E1" w14:textId="18145EDE" w:rsidR="00E20E70" w:rsidRDefault="00FE596E" w:rsidP="00B82FA5">
    <w:pPr>
      <w:pStyle w:val="Runninghead"/>
    </w:pPr>
    <w:r>
      <w:t xml:space="preserve">SCOTT, </w:t>
    </w:r>
    <w:r w:rsidR="00C04F07">
      <w:t xml:space="preserve">ATKINSON, </w:t>
    </w:r>
    <w:r>
      <w:t>et al.</w:t>
    </w:r>
  </w:p>
  <w:p w14:paraId="2762EF17" w14:textId="0E1A83F1" w:rsidR="00037321" w:rsidRPr="009E1558" w:rsidRDefault="00037321" w:rsidP="00FE596E">
    <w:pPr>
      <w:rPr>
        <w:color w:val="BFBFBF" w:themeColor="background1" w:themeShade="BF"/>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vertAnchor="page" w:horzAnchor="page" w:tblpX="1333" w:tblpY="228"/>
      <w:tblOverlap w:val="never"/>
      <w:tblW w:w="10319" w:type="dxa"/>
      <w:tblLayout w:type="fixed"/>
      <w:tblLook w:val="0000" w:firstRow="0" w:lastRow="0" w:firstColumn="0" w:lastColumn="0" w:noHBand="0" w:noVBand="0"/>
    </w:tblPr>
    <w:tblGrid>
      <w:gridCol w:w="979"/>
      <w:gridCol w:w="3638"/>
      <w:gridCol w:w="5702"/>
    </w:tblGrid>
    <w:tr w:rsidR="00E20E70" w14:paraId="2C69EA9B" w14:textId="77777777">
      <w:trPr>
        <w:cantSplit/>
        <w:trHeight w:val="716"/>
      </w:trPr>
      <w:tc>
        <w:tcPr>
          <w:tcW w:w="979" w:type="dxa"/>
          <w:vMerge w:val="restart"/>
        </w:tcPr>
        <w:p w14:paraId="2A6ADF80" w14:textId="77777777" w:rsidR="00E20E70" w:rsidRDefault="00E20E70">
          <w:pPr>
            <w:spacing w:before="180"/>
            <w:ind w:left="17"/>
          </w:pPr>
        </w:p>
      </w:tc>
      <w:tc>
        <w:tcPr>
          <w:tcW w:w="3638" w:type="dxa"/>
          <w:vAlign w:val="bottom"/>
        </w:tcPr>
        <w:p w14:paraId="610CF310" w14:textId="77777777" w:rsidR="00E20E70" w:rsidRDefault="00E20E70">
          <w:pPr>
            <w:spacing w:after="20"/>
          </w:pPr>
        </w:p>
      </w:tc>
      <w:bookmarkStart w:id="1" w:name="DOC_bkmClassification1"/>
      <w:tc>
        <w:tcPr>
          <w:tcW w:w="5702" w:type="dxa"/>
          <w:vMerge w:val="restart"/>
          <w:tcMar>
            <w:right w:w="193" w:type="dxa"/>
          </w:tcMar>
        </w:tcPr>
        <w:p w14:paraId="48D5842E" w14:textId="65BC9385" w:rsidR="00E20E70" w:rsidRDefault="00E20E70">
          <w:pPr>
            <w:pStyle w:val="zyxConfidBlack"/>
            <w:framePr w:wrap="auto" w:vAnchor="margin" w:hAnchor="text" w:xAlign="left" w:yAlign="inline"/>
            <w:suppressOverlap w:val="0"/>
          </w:pPr>
          <w:r>
            <w:fldChar w:fldCharType="begin"/>
          </w:r>
          <w:r>
            <w:instrText xml:space="preserve"> DOCPROPERTY "IaeaClassification"  \* MERGEFORMAT </w:instrText>
          </w:r>
          <w:r>
            <w:fldChar w:fldCharType="end"/>
          </w:r>
        </w:p>
        <w:bookmarkEnd w:id="1"/>
        <w:p w14:paraId="423CAA9C" w14:textId="4809B93E" w:rsidR="00E20E70" w:rsidRDefault="00E20E70">
          <w:pPr>
            <w:pStyle w:val="zyxConfid2Red"/>
          </w:pPr>
          <w:r>
            <w:fldChar w:fldCharType="begin"/>
          </w:r>
          <w:r>
            <w:instrText>DOCPROPERTY "IaeaClassification2"  \* MERGEFORMAT</w:instrText>
          </w:r>
          <w:r>
            <w:fldChar w:fldCharType="end"/>
          </w:r>
        </w:p>
      </w:tc>
    </w:tr>
    <w:tr w:rsidR="00E20E70" w14:paraId="7130D945" w14:textId="77777777">
      <w:trPr>
        <w:cantSplit/>
        <w:trHeight w:val="167"/>
      </w:trPr>
      <w:tc>
        <w:tcPr>
          <w:tcW w:w="979" w:type="dxa"/>
          <w:vMerge/>
        </w:tcPr>
        <w:p w14:paraId="7659FE2B" w14:textId="77777777" w:rsidR="00E20E70" w:rsidRDefault="00E20E70">
          <w:pPr>
            <w:spacing w:before="57"/>
          </w:pPr>
        </w:p>
      </w:tc>
      <w:tc>
        <w:tcPr>
          <w:tcW w:w="3638" w:type="dxa"/>
          <w:vAlign w:val="bottom"/>
        </w:tcPr>
        <w:p w14:paraId="7578AADC" w14:textId="77777777" w:rsidR="00E20E70" w:rsidRDefault="00E20E70">
          <w:pPr>
            <w:pStyle w:val="Heading9"/>
            <w:spacing w:before="0" w:after="10"/>
          </w:pPr>
        </w:p>
      </w:tc>
      <w:tc>
        <w:tcPr>
          <w:tcW w:w="5702" w:type="dxa"/>
          <w:vMerge/>
          <w:vAlign w:val="bottom"/>
        </w:tcPr>
        <w:p w14:paraId="313FA1D9" w14:textId="77777777" w:rsidR="00E20E70" w:rsidRDefault="00E20E70">
          <w:pPr>
            <w:pStyle w:val="Heading9"/>
            <w:spacing w:before="0" w:after="10"/>
          </w:pPr>
        </w:p>
      </w:tc>
    </w:tr>
  </w:tbl>
  <w:p w14:paraId="7A0C2B4B" w14:textId="77777777" w:rsidR="00E20E70" w:rsidRDefault="00E20E7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5E0975"/>
    <w:multiLevelType w:val="hybridMultilevel"/>
    <w:tmpl w:val="21EA69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0B6C94"/>
    <w:multiLevelType w:val="hybridMultilevel"/>
    <w:tmpl w:val="F3DCCE32"/>
    <w:lvl w:ilvl="0" w:tplc="FFFFFFFF">
      <w:start w:val="1"/>
      <w:numFmt w:val="upperRoman"/>
      <w:lvlText w:val="%1."/>
      <w:lvlJc w:val="right"/>
      <w:pPr>
        <w:ind w:left="720" w:hanging="360"/>
      </w:pPr>
    </w:lvl>
    <w:lvl w:ilvl="1" w:tplc="04090001">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start w:val="1"/>
      <w:numFmt w:val="lowerLetter"/>
      <w:lvlText w:val="%4."/>
      <w:lvlJc w:val="left"/>
      <w:pPr>
        <w:ind w:left="2880" w:hanging="360"/>
      </w:pPr>
    </w:lvl>
    <w:lvl w:ilvl="4" w:tplc="FFFFFFFF">
      <w:start w:val="1"/>
      <w:numFmt w:val="decimal"/>
      <w:lvlText w:val="%5."/>
      <w:lvlJc w:val="left"/>
      <w:pPr>
        <w:ind w:left="3600" w:hanging="360"/>
      </w:pPr>
    </w:lvl>
    <w:lvl w:ilvl="5" w:tplc="FFFFFFFF">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A271E86"/>
    <w:multiLevelType w:val="multilevel"/>
    <w:tmpl w:val="A08A77CA"/>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DA24264"/>
    <w:multiLevelType w:val="multilevel"/>
    <w:tmpl w:val="F1EC865C"/>
    <w:lvl w:ilvl="0">
      <w:start w:val="1"/>
      <w:numFmt w:val="decimal"/>
      <w:pStyle w:val="AgendaList"/>
      <w:lvlText w:val="%1."/>
      <w:lvlJc w:val="left"/>
      <w:pPr>
        <w:tabs>
          <w:tab w:val="num" w:pos="459"/>
        </w:tabs>
        <w:ind w:left="459" w:hanging="459"/>
      </w:pPr>
      <w:rPr>
        <w:rFonts w:ascii="Times New Roman" w:hAnsi="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919"/>
        </w:tabs>
        <w:ind w:left="919" w:hanging="459"/>
      </w:pPr>
      <w:rPr>
        <w:rFonts w:ascii="Times New Roman" w:hAnsi="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1378"/>
        </w:tabs>
        <w:ind w:left="1378" w:hanging="459"/>
      </w:pPr>
      <w:rPr>
        <w:rFonts w:ascii="Times New Roman" w:cs="Times New Roman"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811"/>
        </w:tabs>
        <w:ind w:left="811" w:hanging="360"/>
      </w:pPr>
      <w:rPr>
        <w:rFonts w:hint="default"/>
      </w:rPr>
    </w:lvl>
    <w:lvl w:ilvl="4">
      <w:start w:val="1"/>
      <w:numFmt w:val="lowerLetter"/>
      <w:lvlText w:val="(%5)"/>
      <w:lvlJc w:val="left"/>
      <w:pPr>
        <w:tabs>
          <w:tab w:val="num" w:pos="1171"/>
        </w:tabs>
        <w:ind w:left="1171" w:hanging="360"/>
      </w:pPr>
      <w:rPr>
        <w:rFonts w:hint="default"/>
      </w:rPr>
    </w:lvl>
    <w:lvl w:ilvl="5">
      <w:start w:val="1"/>
      <w:numFmt w:val="lowerRoman"/>
      <w:lvlText w:val="(%6)"/>
      <w:lvlJc w:val="left"/>
      <w:pPr>
        <w:tabs>
          <w:tab w:val="num" w:pos="1531"/>
        </w:tabs>
        <w:ind w:left="1531" w:hanging="360"/>
      </w:pPr>
      <w:rPr>
        <w:rFonts w:hint="default"/>
      </w:rPr>
    </w:lvl>
    <w:lvl w:ilvl="6">
      <w:start w:val="1"/>
      <w:numFmt w:val="decimal"/>
      <w:lvlText w:val="%7."/>
      <w:lvlJc w:val="left"/>
      <w:pPr>
        <w:tabs>
          <w:tab w:val="num" w:pos="1891"/>
        </w:tabs>
        <w:ind w:left="1891" w:hanging="360"/>
      </w:pPr>
      <w:rPr>
        <w:rFonts w:hint="default"/>
      </w:rPr>
    </w:lvl>
    <w:lvl w:ilvl="7">
      <w:start w:val="1"/>
      <w:numFmt w:val="lowerLetter"/>
      <w:lvlText w:val="%8."/>
      <w:lvlJc w:val="left"/>
      <w:pPr>
        <w:tabs>
          <w:tab w:val="num" w:pos="2251"/>
        </w:tabs>
        <w:ind w:left="2251" w:hanging="360"/>
      </w:pPr>
      <w:rPr>
        <w:rFonts w:hint="default"/>
      </w:rPr>
    </w:lvl>
    <w:lvl w:ilvl="8">
      <w:start w:val="1"/>
      <w:numFmt w:val="lowerRoman"/>
      <w:lvlText w:val="%9."/>
      <w:lvlJc w:val="left"/>
      <w:pPr>
        <w:tabs>
          <w:tab w:val="num" w:pos="2611"/>
        </w:tabs>
        <w:ind w:left="2611" w:hanging="360"/>
      </w:pPr>
      <w:rPr>
        <w:rFonts w:hint="default"/>
      </w:rPr>
    </w:lvl>
  </w:abstractNum>
  <w:abstractNum w:abstractNumId="4" w15:restartNumberingAfterBreak="0">
    <w:nsid w:val="179F5671"/>
    <w:multiLevelType w:val="hybridMultilevel"/>
    <w:tmpl w:val="67246400"/>
    <w:name w:val="HeadingTemplate2"/>
    <w:lvl w:ilvl="0" w:tplc="EDCE82DC">
      <w:start w:val="1"/>
      <w:numFmt w:val="bullet"/>
      <w:pStyle w:val="ListEmdash"/>
      <w:lvlText w:val="—"/>
      <w:lvlJc w:val="left"/>
      <w:pPr>
        <w:ind w:left="1287" w:hanging="360"/>
      </w:pPr>
      <w:rPr>
        <w:rFonts w:ascii="Times New Roman" w:hAnsi="Times New Roman" w:cs="Times New Roman"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5" w15:restartNumberingAfterBreak="0">
    <w:nsid w:val="1CE663AE"/>
    <w:multiLevelType w:val="hybridMultilevel"/>
    <w:tmpl w:val="2BB4F1C6"/>
    <w:name w:val="HeadingTemplate22"/>
    <w:lvl w:ilvl="0" w:tplc="DB862C6E">
      <w:start w:val="1"/>
      <w:numFmt w:val="lowerLetter"/>
      <w:pStyle w:val="ListNumbered"/>
      <w:lvlText w:val="(%1)"/>
      <w:lvlJc w:val="left"/>
      <w:pPr>
        <w:ind w:left="720" w:hanging="360"/>
      </w:pPr>
      <w:rPr>
        <w:rFonts w:hint="default"/>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F583872"/>
    <w:multiLevelType w:val="hybridMultilevel"/>
    <w:tmpl w:val="3170DCCE"/>
    <w:lvl w:ilvl="0" w:tplc="3FF29240">
      <w:start w:val="1"/>
      <w:numFmt w:val="bullet"/>
      <w:pStyle w:val="BodyTextSummary"/>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90134AF"/>
    <w:multiLevelType w:val="hybridMultilevel"/>
    <w:tmpl w:val="0116EC84"/>
    <w:lvl w:ilvl="0" w:tplc="E69699C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0C540B8"/>
    <w:multiLevelType w:val="hybridMultilevel"/>
    <w:tmpl w:val="EA742534"/>
    <w:lvl w:ilvl="0" w:tplc="FF68CE92">
      <w:start w:val="1"/>
      <w:numFmt w:val="bullet"/>
      <w:pStyle w:val="ListBulleted"/>
      <w:lvlText w:val=""/>
      <w:lvlJc w:val="left"/>
      <w:pPr>
        <w:tabs>
          <w:tab w:val="num" w:pos="1179"/>
        </w:tabs>
        <w:ind w:left="1179" w:hanging="360"/>
      </w:pPr>
      <w:rPr>
        <w:rFonts w:ascii="Symbol" w:hAnsi="Symbol" w:hint="default"/>
      </w:rPr>
    </w:lvl>
    <w:lvl w:ilvl="1" w:tplc="04090003" w:tentative="1">
      <w:start w:val="1"/>
      <w:numFmt w:val="bullet"/>
      <w:lvlText w:val="o"/>
      <w:lvlJc w:val="left"/>
      <w:pPr>
        <w:tabs>
          <w:tab w:val="num" w:pos="1899"/>
        </w:tabs>
        <w:ind w:left="1899" w:hanging="360"/>
      </w:pPr>
      <w:rPr>
        <w:rFonts w:ascii="Courier New" w:hAnsi="Courier New" w:hint="default"/>
      </w:rPr>
    </w:lvl>
    <w:lvl w:ilvl="2" w:tplc="04090005" w:tentative="1">
      <w:start w:val="1"/>
      <w:numFmt w:val="bullet"/>
      <w:lvlText w:val=""/>
      <w:lvlJc w:val="left"/>
      <w:pPr>
        <w:tabs>
          <w:tab w:val="num" w:pos="2619"/>
        </w:tabs>
        <w:ind w:left="2619" w:hanging="360"/>
      </w:pPr>
      <w:rPr>
        <w:rFonts w:ascii="Wingdings" w:hAnsi="Wingdings" w:hint="default"/>
      </w:rPr>
    </w:lvl>
    <w:lvl w:ilvl="3" w:tplc="04090001" w:tentative="1">
      <w:start w:val="1"/>
      <w:numFmt w:val="bullet"/>
      <w:lvlText w:val=""/>
      <w:lvlJc w:val="left"/>
      <w:pPr>
        <w:tabs>
          <w:tab w:val="num" w:pos="3339"/>
        </w:tabs>
        <w:ind w:left="3339" w:hanging="360"/>
      </w:pPr>
      <w:rPr>
        <w:rFonts w:ascii="Symbol" w:hAnsi="Symbol" w:hint="default"/>
      </w:rPr>
    </w:lvl>
    <w:lvl w:ilvl="4" w:tplc="04090003" w:tentative="1">
      <w:start w:val="1"/>
      <w:numFmt w:val="bullet"/>
      <w:lvlText w:val="o"/>
      <w:lvlJc w:val="left"/>
      <w:pPr>
        <w:tabs>
          <w:tab w:val="num" w:pos="4059"/>
        </w:tabs>
        <w:ind w:left="4059" w:hanging="360"/>
      </w:pPr>
      <w:rPr>
        <w:rFonts w:ascii="Courier New" w:hAnsi="Courier New" w:hint="default"/>
      </w:rPr>
    </w:lvl>
    <w:lvl w:ilvl="5" w:tplc="04090005" w:tentative="1">
      <w:start w:val="1"/>
      <w:numFmt w:val="bullet"/>
      <w:lvlText w:val=""/>
      <w:lvlJc w:val="left"/>
      <w:pPr>
        <w:tabs>
          <w:tab w:val="num" w:pos="4779"/>
        </w:tabs>
        <w:ind w:left="4779" w:hanging="360"/>
      </w:pPr>
      <w:rPr>
        <w:rFonts w:ascii="Wingdings" w:hAnsi="Wingdings" w:hint="default"/>
      </w:rPr>
    </w:lvl>
    <w:lvl w:ilvl="6" w:tplc="04090001" w:tentative="1">
      <w:start w:val="1"/>
      <w:numFmt w:val="bullet"/>
      <w:lvlText w:val=""/>
      <w:lvlJc w:val="left"/>
      <w:pPr>
        <w:tabs>
          <w:tab w:val="num" w:pos="5499"/>
        </w:tabs>
        <w:ind w:left="5499" w:hanging="360"/>
      </w:pPr>
      <w:rPr>
        <w:rFonts w:ascii="Symbol" w:hAnsi="Symbol" w:hint="default"/>
      </w:rPr>
    </w:lvl>
    <w:lvl w:ilvl="7" w:tplc="04090003" w:tentative="1">
      <w:start w:val="1"/>
      <w:numFmt w:val="bullet"/>
      <w:lvlText w:val="o"/>
      <w:lvlJc w:val="left"/>
      <w:pPr>
        <w:tabs>
          <w:tab w:val="num" w:pos="6219"/>
        </w:tabs>
        <w:ind w:left="6219" w:hanging="360"/>
      </w:pPr>
      <w:rPr>
        <w:rFonts w:ascii="Courier New" w:hAnsi="Courier New" w:hint="default"/>
      </w:rPr>
    </w:lvl>
    <w:lvl w:ilvl="8" w:tplc="04090005" w:tentative="1">
      <w:start w:val="1"/>
      <w:numFmt w:val="bullet"/>
      <w:lvlText w:val=""/>
      <w:lvlJc w:val="left"/>
      <w:pPr>
        <w:tabs>
          <w:tab w:val="num" w:pos="6939"/>
        </w:tabs>
        <w:ind w:left="6939" w:hanging="360"/>
      </w:pPr>
      <w:rPr>
        <w:rFonts w:ascii="Wingdings" w:hAnsi="Wingdings" w:hint="default"/>
      </w:rPr>
    </w:lvl>
  </w:abstractNum>
  <w:abstractNum w:abstractNumId="9" w15:restartNumberingAfterBreak="0">
    <w:nsid w:val="3D18048A"/>
    <w:multiLevelType w:val="hybridMultilevel"/>
    <w:tmpl w:val="1642268C"/>
    <w:name w:val="HeadingTemplate222"/>
    <w:lvl w:ilvl="0" w:tplc="309A0324">
      <w:start w:val="1"/>
      <w:numFmt w:val="decimal"/>
      <w:pStyle w:val="Reference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EA864F4"/>
    <w:multiLevelType w:val="hybridMultilevel"/>
    <w:tmpl w:val="4E489A2E"/>
    <w:lvl w:ilvl="0" w:tplc="3D626C0E">
      <w:start w:val="1"/>
      <w:numFmt w:val="decimal"/>
      <w:lvlText w:val="%1)"/>
      <w:lvlJc w:val="left"/>
      <w:pPr>
        <w:ind w:left="720" w:hanging="360"/>
      </w:pPr>
    </w:lvl>
    <w:lvl w:ilvl="1" w:tplc="E17CD520">
      <w:start w:val="1"/>
      <w:numFmt w:val="decimal"/>
      <w:lvlText w:val="%2)"/>
      <w:lvlJc w:val="left"/>
      <w:pPr>
        <w:ind w:left="720" w:hanging="360"/>
      </w:pPr>
    </w:lvl>
    <w:lvl w:ilvl="2" w:tplc="CF0A3136">
      <w:start w:val="1"/>
      <w:numFmt w:val="decimal"/>
      <w:lvlText w:val="%3)"/>
      <w:lvlJc w:val="left"/>
      <w:pPr>
        <w:ind w:left="720" w:hanging="360"/>
      </w:pPr>
    </w:lvl>
    <w:lvl w:ilvl="3" w:tplc="3076638E">
      <w:start w:val="1"/>
      <w:numFmt w:val="decimal"/>
      <w:lvlText w:val="%4)"/>
      <w:lvlJc w:val="left"/>
      <w:pPr>
        <w:ind w:left="720" w:hanging="360"/>
      </w:pPr>
    </w:lvl>
    <w:lvl w:ilvl="4" w:tplc="C8480254">
      <w:start w:val="1"/>
      <w:numFmt w:val="decimal"/>
      <w:lvlText w:val="%5)"/>
      <w:lvlJc w:val="left"/>
      <w:pPr>
        <w:ind w:left="720" w:hanging="360"/>
      </w:pPr>
    </w:lvl>
    <w:lvl w:ilvl="5" w:tplc="A81E2EDC">
      <w:start w:val="1"/>
      <w:numFmt w:val="decimal"/>
      <w:lvlText w:val="%6)"/>
      <w:lvlJc w:val="left"/>
      <w:pPr>
        <w:ind w:left="720" w:hanging="360"/>
      </w:pPr>
    </w:lvl>
    <w:lvl w:ilvl="6" w:tplc="1C4E1AF0">
      <w:start w:val="1"/>
      <w:numFmt w:val="decimal"/>
      <w:lvlText w:val="%7)"/>
      <w:lvlJc w:val="left"/>
      <w:pPr>
        <w:ind w:left="720" w:hanging="360"/>
      </w:pPr>
    </w:lvl>
    <w:lvl w:ilvl="7" w:tplc="D702E8BC">
      <w:start w:val="1"/>
      <w:numFmt w:val="decimal"/>
      <w:lvlText w:val="%8)"/>
      <w:lvlJc w:val="left"/>
      <w:pPr>
        <w:ind w:left="720" w:hanging="360"/>
      </w:pPr>
    </w:lvl>
    <w:lvl w:ilvl="8" w:tplc="0A9C7A6A">
      <w:start w:val="1"/>
      <w:numFmt w:val="decimal"/>
      <w:lvlText w:val="%9)"/>
      <w:lvlJc w:val="left"/>
      <w:pPr>
        <w:ind w:left="720" w:hanging="360"/>
      </w:pPr>
    </w:lvl>
  </w:abstractNum>
  <w:abstractNum w:abstractNumId="11" w15:restartNumberingAfterBreak="0">
    <w:nsid w:val="5117250B"/>
    <w:multiLevelType w:val="multilevel"/>
    <w:tmpl w:val="CC8CC4DE"/>
    <w:name w:val="MultilevelTemplate"/>
    <w:lvl w:ilvl="0">
      <w:start w:val="1"/>
      <w:numFmt w:val="decimal"/>
      <w:lvlRestart w:val="0"/>
      <w:pStyle w:val="BodyTextMultiline"/>
      <w:lvlText w:val="%1."/>
      <w:lvlJc w:val="left"/>
      <w:pPr>
        <w:tabs>
          <w:tab w:val="num" w:pos="459"/>
        </w:tabs>
        <w:ind w:left="0" w:firstLine="0"/>
      </w:pPr>
    </w:lvl>
    <w:lvl w:ilvl="1">
      <w:start w:val="1"/>
      <w:numFmt w:val="decimal"/>
      <w:lvlText w:val="%1.%2."/>
      <w:lvlJc w:val="left"/>
      <w:pPr>
        <w:tabs>
          <w:tab w:val="num" w:pos="918"/>
        </w:tabs>
        <w:ind w:left="459" w:firstLine="0"/>
      </w:pPr>
    </w:lvl>
    <w:lvl w:ilvl="2">
      <w:start w:val="1"/>
      <w:numFmt w:val="decimal"/>
      <w:lvlText w:val="%1.%2.%3."/>
      <w:lvlJc w:val="left"/>
      <w:pPr>
        <w:tabs>
          <w:tab w:val="num" w:pos="1378"/>
        </w:tabs>
        <w:ind w:left="918" w:firstLine="0"/>
      </w:pPr>
    </w:lvl>
    <w:lvl w:ilvl="3">
      <w:start w:val="1"/>
      <w:numFmt w:val="decimal"/>
      <w:lvlText w:val="%1.%2.%3.%4."/>
      <w:lvlJc w:val="left"/>
      <w:pPr>
        <w:tabs>
          <w:tab w:val="num" w:pos="1837"/>
        </w:tabs>
        <w:ind w:left="1378" w:firstLine="0"/>
      </w:pPr>
    </w:lvl>
    <w:lvl w:ilvl="4">
      <w:start w:val="1"/>
      <w:numFmt w:val="decimal"/>
      <w:lvlText w:val="%1.%2.%3.%4.%5."/>
      <w:lvlJc w:val="left"/>
      <w:pPr>
        <w:tabs>
          <w:tab w:val="num" w:pos="2517"/>
        </w:tabs>
        <w:ind w:left="2234" w:hanging="794"/>
      </w:pPr>
    </w:lvl>
    <w:lvl w:ilvl="5">
      <w:start w:val="1"/>
      <w:numFmt w:val="decimal"/>
      <w:lvlText w:val="%1.%2.%3.%4.%5.%6."/>
      <w:lvlJc w:val="left"/>
      <w:pPr>
        <w:tabs>
          <w:tab w:val="num" w:pos="2880"/>
        </w:tabs>
        <w:ind w:left="2738" w:hanging="941"/>
      </w:pPr>
    </w:lvl>
    <w:lvl w:ilvl="6">
      <w:start w:val="1"/>
      <w:numFmt w:val="decimal"/>
      <w:lvlText w:val="%1.%2.%3.%4.%5.%6.%7."/>
      <w:lvlJc w:val="left"/>
      <w:pPr>
        <w:tabs>
          <w:tab w:val="num" w:pos="3600"/>
        </w:tabs>
        <w:ind w:left="3237" w:hanging="1077"/>
      </w:pPr>
    </w:lvl>
    <w:lvl w:ilvl="7">
      <w:start w:val="1"/>
      <w:numFmt w:val="decimal"/>
      <w:lvlText w:val="%1.%2.%3.%4.%5.%6.%7.%8."/>
      <w:lvlJc w:val="left"/>
      <w:pPr>
        <w:tabs>
          <w:tab w:val="num" w:pos="3957"/>
        </w:tabs>
        <w:ind w:left="3742" w:hanging="1225"/>
      </w:pPr>
    </w:lvl>
    <w:lvl w:ilvl="8">
      <w:start w:val="1"/>
      <w:numFmt w:val="decimal"/>
      <w:lvlText w:val="%1.%2.%3.%4.%5.%6.%7.%8.%9."/>
      <w:lvlJc w:val="left"/>
      <w:pPr>
        <w:tabs>
          <w:tab w:val="num" w:pos="4677"/>
        </w:tabs>
        <w:ind w:left="4320" w:hanging="1440"/>
      </w:pPr>
    </w:lvl>
  </w:abstractNum>
  <w:abstractNum w:abstractNumId="12" w15:restartNumberingAfterBreak="0">
    <w:nsid w:val="59EA217A"/>
    <w:multiLevelType w:val="hybridMultilevel"/>
    <w:tmpl w:val="7DCEBCBE"/>
    <w:lvl w:ilvl="0" w:tplc="C1DCCBEE">
      <w:start w:val="1"/>
      <w:numFmt w:val="bullet"/>
      <w:lvlText w:val="-"/>
      <w:lvlJc w:val="left"/>
      <w:pPr>
        <w:tabs>
          <w:tab w:val="num" w:pos="919"/>
        </w:tabs>
        <w:ind w:left="919" w:hanging="460"/>
      </w:pPr>
      <w:rPr>
        <w:rFonts w:ascii="Times New Roman" w:hAnsi="Times New Roman" w:cs="Times New Roman"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E8252C9"/>
    <w:multiLevelType w:val="hybridMultilevel"/>
    <w:tmpl w:val="B43A93BA"/>
    <w:lvl w:ilvl="0" w:tplc="CFBE2F4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FD51093"/>
    <w:multiLevelType w:val="multilevel"/>
    <w:tmpl w:val="D8FA943C"/>
    <w:name w:val="HeadingTemplate"/>
    <w:lvl w:ilvl="0">
      <w:start w:val="1"/>
      <w:numFmt w:val="none"/>
      <w:lvlRestart w:val="0"/>
      <w:lvlText w:val=""/>
      <w:lvlJc w:val="left"/>
      <w:pPr>
        <w:tabs>
          <w:tab w:val="num" w:pos="459"/>
        </w:tabs>
        <w:ind w:left="0" w:firstLine="0"/>
      </w:pPr>
      <w:rPr>
        <w:rFonts w:hint="default"/>
      </w:rPr>
    </w:lvl>
    <w:lvl w:ilvl="1">
      <w:start w:val="1"/>
      <w:numFmt w:val="decimal"/>
      <w:lvlRestart w:val="0"/>
      <w:pStyle w:val="Heading2"/>
      <w:suff w:val="space"/>
      <w:lvlText w:val="%1%2."/>
      <w:lvlJc w:val="left"/>
      <w:pPr>
        <w:ind w:left="0" w:firstLine="0"/>
      </w:pPr>
      <w:rPr>
        <w:rFonts w:hint="default"/>
        <w:color w:val="auto"/>
      </w:rPr>
    </w:lvl>
    <w:lvl w:ilvl="2">
      <w:start w:val="1"/>
      <w:numFmt w:val="decimal"/>
      <w:lvlRestart w:val="0"/>
      <w:pStyle w:val="Heading3"/>
      <w:lvlText w:val="%1%2.%3."/>
      <w:lvlJc w:val="left"/>
      <w:pPr>
        <w:ind w:left="0" w:firstLine="0"/>
      </w:pPr>
      <w:rPr>
        <w:rFonts w:hint="default"/>
      </w:rPr>
    </w:lvl>
    <w:lvl w:ilvl="3">
      <w:start w:val="1"/>
      <w:numFmt w:val="decimal"/>
      <w:lvlRestart w:val="0"/>
      <w:pStyle w:val="Heading4"/>
      <w:lvlText w:val="%2.%3.%4."/>
      <w:lvlJc w:val="left"/>
      <w:pPr>
        <w:ind w:left="1701" w:firstLine="0"/>
      </w:pPr>
      <w:rPr>
        <w:rFonts w:hint="default"/>
      </w:rPr>
    </w:lvl>
    <w:lvl w:ilvl="4">
      <w:start w:val="1"/>
      <w:numFmt w:val="lowerLetter"/>
      <w:lvlRestart w:val="0"/>
      <w:lvlText w:val="%1(%5)"/>
      <w:lvlJc w:val="left"/>
      <w:pPr>
        <w:tabs>
          <w:tab w:val="num" w:pos="3345"/>
        </w:tabs>
        <w:ind w:left="2268" w:firstLine="0"/>
      </w:pPr>
      <w:rPr>
        <w:rFonts w:hint="default"/>
        <w:sz w:val="20"/>
      </w:rPr>
    </w:lvl>
    <w:lvl w:ilvl="5">
      <w:start w:val="1"/>
      <w:numFmt w:val="decimal"/>
      <w:lvlText w:val="%1.%2.%3.%4.%5.%6"/>
      <w:lvlJc w:val="left"/>
      <w:pPr>
        <w:tabs>
          <w:tab w:val="num" w:pos="3912"/>
        </w:tabs>
        <w:ind w:left="2835" w:firstLine="0"/>
      </w:pPr>
      <w:rPr>
        <w:rFonts w:hint="default"/>
      </w:rPr>
    </w:lvl>
    <w:lvl w:ilvl="6">
      <w:start w:val="1"/>
      <w:numFmt w:val="decimal"/>
      <w:lvlText w:val="%1.%2.%3.%4.%5.%6.%7"/>
      <w:lvlJc w:val="left"/>
      <w:pPr>
        <w:tabs>
          <w:tab w:val="num" w:pos="2432"/>
        </w:tabs>
        <w:ind w:left="2432" w:hanging="1298"/>
      </w:pPr>
      <w:rPr>
        <w:rFonts w:hint="default"/>
      </w:rPr>
    </w:lvl>
    <w:lvl w:ilvl="7">
      <w:start w:val="1"/>
      <w:numFmt w:val="decimal"/>
      <w:lvlText w:val="%1.%2.%3.%4.%5.%6.%7.%8"/>
      <w:lvlJc w:val="left"/>
      <w:pPr>
        <w:tabs>
          <w:tab w:val="num" w:pos="2574"/>
        </w:tabs>
        <w:ind w:left="2574" w:hanging="1440"/>
      </w:pPr>
      <w:rPr>
        <w:rFonts w:hint="default"/>
      </w:rPr>
    </w:lvl>
    <w:lvl w:ilvl="8">
      <w:start w:val="1"/>
      <w:numFmt w:val="decimal"/>
      <w:lvlText w:val="%1.%2.%3.%4.%5.%6.%7.%8.%9"/>
      <w:lvlJc w:val="left"/>
      <w:pPr>
        <w:tabs>
          <w:tab w:val="num" w:pos="2716"/>
        </w:tabs>
        <w:ind w:left="2716" w:hanging="1582"/>
      </w:pPr>
      <w:rPr>
        <w:rFonts w:hint="default"/>
      </w:rPr>
    </w:lvl>
  </w:abstractNum>
  <w:abstractNum w:abstractNumId="15" w15:restartNumberingAfterBreak="0">
    <w:nsid w:val="7665634F"/>
    <w:multiLevelType w:val="hybridMultilevel"/>
    <w:tmpl w:val="34482B46"/>
    <w:lvl w:ilvl="0" w:tplc="4A587E7C">
      <w:start w:val="1"/>
      <w:numFmt w:val="decimal"/>
      <w:lvlText w:val="%1."/>
      <w:lvlJc w:val="left"/>
      <w:pPr>
        <w:tabs>
          <w:tab w:val="num" w:pos="919"/>
        </w:tabs>
        <w:ind w:left="919" w:hanging="460"/>
      </w:pPr>
      <w:rPr>
        <w:rFonts w:ascii="Times New Roman" w:hAnsi="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6" w15:restartNumberingAfterBreak="0">
    <w:nsid w:val="7E5D0713"/>
    <w:multiLevelType w:val="hybridMultilevel"/>
    <w:tmpl w:val="FB4415F2"/>
    <w:lvl w:ilvl="0" w:tplc="93247716">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num w:numId="1" w16cid:durableId="1485078158">
    <w:abstractNumId w:val="11"/>
  </w:num>
  <w:num w:numId="2" w16cid:durableId="59716700">
    <w:abstractNumId w:val="6"/>
  </w:num>
  <w:num w:numId="3" w16cid:durableId="731540123">
    <w:abstractNumId w:val="14"/>
  </w:num>
  <w:num w:numId="4" w16cid:durableId="744034000">
    <w:abstractNumId w:val="14"/>
  </w:num>
  <w:num w:numId="5" w16cid:durableId="1474641089">
    <w:abstractNumId w:val="14"/>
  </w:num>
  <w:num w:numId="6" w16cid:durableId="528497540">
    <w:abstractNumId w:val="8"/>
  </w:num>
  <w:num w:numId="7" w16cid:durableId="176696273">
    <w:abstractNumId w:val="12"/>
  </w:num>
  <w:num w:numId="8" w16cid:durableId="1131169468">
    <w:abstractNumId w:val="15"/>
  </w:num>
  <w:num w:numId="9" w16cid:durableId="1007632637">
    <w:abstractNumId w:val="3"/>
  </w:num>
  <w:num w:numId="10" w16cid:durableId="422917246">
    <w:abstractNumId w:val="14"/>
    <w:lvlOverride w:ilvl="0">
      <w:lvl w:ilvl="0">
        <w:start w:val="1"/>
        <w:numFmt w:val="none"/>
        <w:lvlRestart w:val="0"/>
        <w:lvlText w:val=""/>
        <w:lvlJc w:val="left"/>
        <w:pPr>
          <w:tabs>
            <w:tab w:val="num" w:pos="459"/>
          </w:tabs>
          <w:ind w:left="0" w:firstLine="0"/>
        </w:pPr>
        <w:rPr>
          <w:rFonts w:hint="default"/>
        </w:rPr>
      </w:lvl>
    </w:lvlOverride>
    <w:lvlOverride w:ilvl="1">
      <w:lvl w:ilvl="1">
        <w:start w:val="1"/>
        <w:numFmt w:val="decimal"/>
        <w:lvlRestart w:val="0"/>
        <w:pStyle w:val="Heading2"/>
        <w:lvlText w:val="%1%2."/>
        <w:lvlJc w:val="left"/>
        <w:pPr>
          <w:ind w:left="0" w:firstLine="0"/>
        </w:pPr>
        <w:rPr>
          <w:rFonts w:hint="default"/>
          <w:color w:val="auto"/>
        </w:rPr>
      </w:lvl>
    </w:lvlOverride>
    <w:lvlOverride w:ilvl="2">
      <w:lvl w:ilvl="2">
        <w:start w:val="1"/>
        <w:numFmt w:val="decimal"/>
        <w:lvlRestart w:val="0"/>
        <w:pStyle w:val="Heading3"/>
        <w:lvlText w:val="%1%2.%3."/>
        <w:lvlJc w:val="left"/>
        <w:pPr>
          <w:ind w:left="0" w:firstLine="0"/>
        </w:pPr>
        <w:rPr>
          <w:rFonts w:hint="default"/>
        </w:rPr>
      </w:lvl>
    </w:lvlOverride>
    <w:lvlOverride w:ilvl="3">
      <w:lvl w:ilvl="3">
        <w:start w:val="1"/>
        <w:numFmt w:val="none"/>
        <w:lvlRestart w:val="0"/>
        <w:pStyle w:val="Heading4"/>
        <w:lvlText w:val=""/>
        <w:lvlJc w:val="left"/>
        <w:pPr>
          <w:tabs>
            <w:tab w:val="num" w:pos="2058"/>
          </w:tabs>
          <w:ind w:left="1701" w:firstLine="0"/>
        </w:pPr>
        <w:rPr>
          <w:rFonts w:hint="default"/>
        </w:rPr>
      </w:lvl>
    </w:lvlOverride>
    <w:lvlOverride w:ilvl="4">
      <w:lvl w:ilvl="4">
        <w:start w:val="1"/>
        <w:numFmt w:val="lowerLetter"/>
        <w:lvlRestart w:val="0"/>
        <w:lvlText w:val="%1(%5)"/>
        <w:lvlJc w:val="left"/>
        <w:pPr>
          <w:tabs>
            <w:tab w:val="num" w:pos="3345"/>
          </w:tabs>
          <w:ind w:left="2268" w:firstLine="0"/>
        </w:pPr>
        <w:rPr>
          <w:rFonts w:hint="default"/>
          <w:sz w:val="20"/>
        </w:rPr>
      </w:lvl>
    </w:lvlOverride>
    <w:lvlOverride w:ilvl="5">
      <w:lvl w:ilvl="5">
        <w:start w:val="1"/>
        <w:numFmt w:val="decimal"/>
        <w:lvlText w:val="%1.%2.%3.%4.%5.%6"/>
        <w:lvlJc w:val="left"/>
        <w:pPr>
          <w:tabs>
            <w:tab w:val="num" w:pos="3912"/>
          </w:tabs>
          <w:ind w:left="2835" w:firstLine="0"/>
        </w:pPr>
        <w:rPr>
          <w:rFonts w:hint="default"/>
        </w:rPr>
      </w:lvl>
    </w:lvlOverride>
    <w:lvlOverride w:ilvl="6">
      <w:lvl w:ilvl="6">
        <w:start w:val="1"/>
        <w:numFmt w:val="decimal"/>
        <w:lvlText w:val="%1.%2.%3.%4.%5.%6.%7"/>
        <w:lvlJc w:val="left"/>
        <w:pPr>
          <w:tabs>
            <w:tab w:val="num" w:pos="2432"/>
          </w:tabs>
          <w:ind w:left="2432" w:hanging="1298"/>
        </w:pPr>
        <w:rPr>
          <w:rFonts w:hint="default"/>
        </w:rPr>
      </w:lvl>
    </w:lvlOverride>
    <w:lvlOverride w:ilvl="7">
      <w:lvl w:ilvl="7">
        <w:start w:val="1"/>
        <w:numFmt w:val="decimal"/>
        <w:lvlText w:val="%1.%2.%3.%4.%5.%6.%7.%8"/>
        <w:lvlJc w:val="left"/>
        <w:pPr>
          <w:tabs>
            <w:tab w:val="num" w:pos="2574"/>
          </w:tabs>
          <w:ind w:left="2574" w:hanging="1440"/>
        </w:pPr>
        <w:rPr>
          <w:rFonts w:hint="default"/>
        </w:rPr>
      </w:lvl>
    </w:lvlOverride>
    <w:lvlOverride w:ilvl="8">
      <w:lvl w:ilvl="8">
        <w:start w:val="1"/>
        <w:numFmt w:val="decimal"/>
        <w:lvlText w:val="%1.%2.%3.%4.%5.%6.%7.%8.%9"/>
        <w:lvlJc w:val="left"/>
        <w:pPr>
          <w:tabs>
            <w:tab w:val="num" w:pos="2716"/>
          </w:tabs>
          <w:ind w:left="2716" w:hanging="1582"/>
        </w:pPr>
        <w:rPr>
          <w:rFonts w:hint="default"/>
        </w:rPr>
      </w:lvl>
    </w:lvlOverride>
  </w:num>
  <w:num w:numId="11" w16cid:durableId="1785685054">
    <w:abstractNumId w:val="14"/>
  </w:num>
  <w:num w:numId="12" w16cid:durableId="468400009">
    <w:abstractNumId w:val="14"/>
  </w:num>
  <w:num w:numId="13" w16cid:durableId="1927378143">
    <w:abstractNumId w:val="14"/>
  </w:num>
  <w:num w:numId="14" w16cid:durableId="1289622783">
    <w:abstractNumId w:val="14"/>
    <w:lvlOverride w:ilvl="0">
      <w:lvl w:ilvl="0">
        <w:start w:val="1"/>
        <w:numFmt w:val="none"/>
        <w:lvlRestart w:val="0"/>
        <w:lvlText w:val=""/>
        <w:lvlJc w:val="left"/>
        <w:pPr>
          <w:tabs>
            <w:tab w:val="num" w:pos="459"/>
          </w:tabs>
          <w:ind w:left="0" w:firstLine="0"/>
        </w:pPr>
        <w:rPr>
          <w:rFonts w:hint="default"/>
        </w:rPr>
      </w:lvl>
    </w:lvlOverride>
    <w:lvlOverride w:ilvl="1">
      <w:lvl w:ilvl="1">
        <w:start w:val="1"/>
        <w:numFmt w:val="decimal"/>
        <w:lvlRestart w:val="0"/>
        <w:pStyle w:val="Heading2"/>
        <w:suff w:val="space"/>
        <w:lvlText w:val="%1%2."/>
        <w:lvlJc w:val="left"/>
        <w:pPr>
          <w:ind w:left="0" w:firstLine="0"/>
        </w:pPr>
        <w:rPr>
          <w:rFonts w:hint="default"/>
          <w:color w:val="auto"/>
        </w:rPr>
      </w:lvl>
    </w:lvlOverride>
    <w:lvlOverride w:ilvl="2">
      <w:lvl w:ilvl="2">
        <w:start w:val="1"/>
        <w:numFmt w:val="decimal"/>
        <w:lvlRestart w:val="0"/>
        <w:pStyle w:val="Heading3"/>
        <w:suff w:val="space"/>
        <w:lvlText w:val="%1%2.%3."/>
        <w:lvlJc w:val="left"/>
        <w:pPr>
          <w:ind w:left="0" w:firstLine="0"/>
        </w:pPr>
        <w:rPr>
          <w:rFonts w:hint="default"/>
        </w:rPr>
      </w:lvl>
    </w:lvlOverride>
    <w:lvlOverride w:ilvl="3">
      <w:lvl w:ilvl="3">
        <w:start w:val="1"/>
        <w:numFmt w:val="decimal"/>
        <w:lvlRestart w:val="0"/>
        <w:pStyle w:val="Heading4"/>
        <w:lvlText w:val="%2.%3.%4"/>
        <w:lvlJc w:val="left"/>
        <w:pPr>
          <w:tabs>
            <w:tab w:val="num" w:pos="2058"/>
          </w:tabs>
          <w:ind w:left="1701" w:firstLine="0"/>
        </w:pPr>
        <w:rPr>
          <w:rFonts w:hint="default"/>
        </w:rPr>
      </w:lvl>
    </w:lvlOverride>
    <w:lvlOverride w:ilvl="4">
      <w:lvl w:ilvl="4">
        <w:start w:val="1"/>
        <w:numFmt w:val="lowerLetter"/>
        <w:lvlRestart w:val="0"/>
        <w:lvlText w:val="%1(%5)"/>
        <w:lvlJc w:val="left"/>
        <w:pPr>
          <w:tabs>
            <w:tab w:val="num" w:pos="3345"/>
          </w:tabs>
          <w:ind w:left="2268" w:firstLine="0"/>
        </w:pPr>
        <w:rPr>
          <w:rFonts w:hint="default"/>
          <w:sz w:val="20"/>
        </w:rPr>
      </w:lvl>
    </w:lvlOverride>
    <w:lvlOverride w:ilvl="5">
      <w:lvl w:ilvl="5">
        <w:start w:val="1"/>
        <w:numFmt w:val="decimal"/>
        <w:lvlText w:val="%1.%2.%3.%4.%5.%6"/>
        <w:lvlJc w:val="left"/>
        <w:pPr>
          <w:tabs>
            <w:tab w:val="num" w:pos="3912"/>
          </w:tabs>
          <w:ind w:left="2835" w:firstLine="0"/>
        </w:pPr>
        <w:rPr>
          <w:rFonts w:hint="default"/>
        </w:rPr>
      </w:lvl>
    </w:lvlOverride>
    <w:lvlOverride w:ilvl="6">
      <w:lvl w:ilvl="6">
        <w:start w:val="1"/>
        <w:numFmt w:val="decimal"/>
        <w:lvlText w:val="%1.%2.%3.%4.%5.%6.%7"/>
        <w:lvlJc w:val="left"/>
        <w:pPr>
          <w:tabs>
            <w:tab w:val="num" w:pos="2432"/>
          </w:tabs>
          <w:ind w:left="2432" w:hanging="1298"/>
        </w:pPr>
        <w:rPr>
          <w:rFonts w:hint="default"/>
        </w:rPr>
      </w:lvl>
    </w:lvlOverride>
    <w:lvlOverride w:ilvl="7">
      <w:lvl w:ilvl="7">
        <w:start w:val="1"/>
        <w:numFmt w:val="decimal"/>
        <w:lvlText w:val="%1.%2.%3.%4.%5.%6.%7.%8"/>
        <w:lvlJc w:val="left"/>
        <w:pPr>
          <w:tabs>
            <w:tab w:val="num" w:pos="2574"/>
          </w:tabs>
          <w:ind w:left="2574" w:hanging="1440"/>
        </w:pPr>
        <w:rPr>
          <w:rFonts w:hint="default"/>
        </w:rPr>
      </w:lvl>
    </w:lvlOverride>
    <w:lvlOverride w:ilvl="8">
      <w:lvl w:ilvl="8">
        <w:start w:val="1"/>
        <w:numFmt w:val="decimal"/>
        <w:lvlText w:val="%1.%2.%3.%4.%5.%6.%7.%8.%9"/>
        <w:lvlJc w:val="left"/>
        <w:pPr>
          <w:tabs>
            <w:tab w:val="num" w:pos="2716"/>
          </w:tabs>
          <w:ind w:left="2716" w:hanging="1582"/>
        </w:pPr>
        <w:rPr>
          <w:rFonts w:hint="default"/>
        </w:rPr>
      </w:lvl>
    </w:lvlOverride>
  </w:num>
  <w:num w:numId="15" w16cid:durableId="1037123319">
    <w:abstractNumId w:val="14"/>
  </w:num>
  <w:num w:numId="16" w16cid:durableId="656224632">
    <w:abstractNumId w:val="14"/>
  </w:num>
  <w:num w:numId="17" w16cid:durableId="784034295">
    <w:abstractNumId w:val="14"/>
  </w:num>
  <w:num w:numId="18" w16cid:durableId="12935558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07238170">
    <w:abstractNumId w:val="14"/>
  </w:num>
  <w:num w:numId="20" w16cid:durableId="2113888906">
    <w:abstractNumId w:val="4"/>
  </w:num>
  <w:num w:numId="21" w16cid:durableId="1417746791">
    <w:abstractNumId w:val="14"/>
  </w:num>
  <w:num w:numId="22" w16cid:durableId="1720975952">
    <w:abstractNumId w:val="5"/>
  </w:num>
  <w:num w:numId="23" w16cid:durableId="983584939">
    <w:abstractNumId w:val="2"/>
  </w:num>
  <w:num w:numId="24" w16cid:durableId="76482875">
    <w:abstractNumId w:val="13"/>
  </w:num>
  <w:num w:numId="25" w16cid:durableId="1024988134">
    <w:abstractNumId w:val="14"/>
  </w:num>
  <w:num w:numId="26" w16cid:durableId="2000382986">
    <w:abstractNumId w:val="14"/>
  </w:num>
  <w:num w:numId="27" w16cid:durableId="1390575348">
    <w:abstractNumId w:val="14"/>
  </w:num>
  <w:num w:numId="28" w16cid:durableId="621231405">
    <w:abstractNumId w:val="14"/>
  </w:num>
  <w:num w:numId="29" w16cid:durableId="995762299">
    <w:abstractNumId w:val="14"/>
  </w:num>
  <w:num w:numId="30" w16cid:durableId="320278723">
    <w:abstractNumId w:val="9"/>
  </w:num>
  <w:num w:numId="31" w16cid:durableId="1695614948">
    <w:abstractNumId w:val="9"/>
  </w:num>
  <w:num w:numId="32" w16cid:durableId="195823161">
    <w:abstractNumId w:val="14"/>
  </w:num>
  <w:num w:numId="33" w16cid:durableId="1244994383">
    <w:abstractNumId w:val="16"/>
  </w:num>
  <w:num w:numId="34" w16cid:durableId="1212694034">
    <w:abstractNumId w:val="1"/>
  </w:num>
  <w:num w:numId="35" w16cid:durableId="288976022">
    <w:abstractNumId w:val="7"/>
  </w:num>
  <w:num w:numId="36" w16cid:durableId="1701390892">
    <w:abstractNumId w:val="10"/>
  </w:num>
  <w:num w:numId="37" w16cid:durableId="3704184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en-GB" w:vendorID="64" w:dllVersion="5" w:nlCheck="1" w:checkStyle="1"/>
  <w:activeWritingStyle w:appName="MSWord" w:lang="en-US" w:vendorID="64" w:dllVersion="5" w:nlCheck="1" w:checkStyle="1"/>
  <w:activeWritingStyle w:appName="MSWord" w:lang="en-GB" w:vendorID="64" w:dllVersion="6" w:nlCheck="1" w:checkStyle="1"/>
  <w:activeWritingStyle w:appName="MSWord" w:lang="en-US" w:vendorID="64" w:dllVersion="6" w:nlCheck="1" w:checkStyle="1"/>
  <w:activeWritingStyle w:appName="MSWord" w:lang="en-US" w:vendorID="64" w:dllVersion="0" w:nlCheck="1" w:checkStyle="0"/>
  <w:activeWritingStyle w:appName="MSWord" w:lang="en-GB"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evenAndOddHeaders/>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LG_chkAction" w:val="0"/>
    <w:docVar w:name="DLG_chkApproval" w:val="-1"/>
    <w:docVar w:name="DLG_chkClearance" w:val="0"/>
    <w:docVar w:name="DLG_chkDiscuss" w:val="0"/>
    <w:docVar w:name="DLG_chkDraft" w:val="0"/>
    <w:docVar w:name="DLG_chkFiling" w:val="0"/>
    <w:docVar w:name="DLG_chkInformation" w:val="0"/>
    <w:docVar w:name="DLG_chkPassOn" w:val="0"/>
    <w:docVar w:name="DLG_chkRCS" w:val="0"/>
    <w:docVar w:name="DLG_chkRequest" w:val="0"/>
    <w:docVar w:name="DLG_chkReturn" w:val="0"/>
    <w:docVar w:name="DLG_chkSignature" w:val="0"/>
    <w:docVar w:name="DLG_txtSubject" w:val="Subject"/>
    <w:docVar w:name="SEC_Classification" w:val="None"/>
    <w:docVar w:name="SEC_ConfidentialAttachments" w:val="False"/>
  </w:docVars>
  <w:rsids>
    <w:rsidRoot w:val="00037321"/>
    <w:rsid w:val="00002D1D"/>
    <w:rsid w:val="000061F3"/>
    <w:rsid w:val="00007FE1"/>
    <w:rsid w:val="00010378"/>
    <w:rsid w:val="00013FEB"/>
    <w:rsid w:val="000147B0"/>
    <w:rsid w:val="000229AB"/>
    <w:rsid w:val="0002569A"/>
    <w:rsid w:val="00027279"/>
    <w:rsid w:val="00027797"/>
    <w:rsid w:val="00032CBF"/>
    <w:rsid w:val="000332C8"/>
    <w:rsid w:val="00037321"/>
    <w:rsid w:val="00040F01"/>
    <w:rsid w:val="00043F05"/>
    <w:rsid w:val="00050414"/>
    <w:rsid w:val="00050B6B"/>
    <w:rsid w:val="00051640"/>
    <w:rsid w:val="000547B1"/>
    <w:rsid w:val="000713D2"/>
    <w:rsid w:val="00074DB1"/>
    <w:rsid w:val="00075176"/>
    <w:rsid w:val="0007693D"/>
    <w:rsid w:val="00085536"/>
    <w:rsid w:val="00087945"/>
    <w:rsid w:val="00090FC5"/>
    <w:rsid w:val="0009329A"/>
    <w:rsid w:val="000957A9"/>
    <w:rsid w:val="000A0299"/>
    <w:rsid w:val="000A285E"/>
    <w:rsid w:val="000A5739"/>
    <w:rsid w:val="000A71C3"/>
    <w:rsid w:val="000B26C2"/>
    <w:rsid w:val="000B359C"/>
    <w:rsid w:val="000B403E"/>
    <w:rsid w:val="000B5112"/>
    <w:rsid w:val="000B5D4B"/>
    <w:rsid w:val="000B7681"/>
    <w:rsid w:val="000C0871"/>
    <w:rsid w:val="000C3277"/>
    <w:rsid w:val="000C3580"/>
    <w:rsid w:val="000C6F25"/>
    <w:rsid w:val="000D1634"/>
    <w:rsid w:val="000D3657"/>
    <w:rsid w:val="000D3AB2"/>
    <w:rsid w:val="000E24EA"/>
    <w:rsid w:val="000E4852"/>
    <w:rsid w:val="000E5E83"/>
    <w:rsid w:val="000F60E9"/>
    <w:rsid w:val="000F7E94"/>
    <w:rsid w:val="001119D6"/>
    <w:rsid w:val="00116124"/>
    <w:rsid w:val="00116ADE"/>
    <w:rsid w:val="00122A63"/>
    <w:rsid w:val="001247E9"/>
    <w:rsid w:val="00127A61"/>
    <w:rsid w:val="00127B91"/>
    <w:rsid w:val="00127D70"/>
    <w:rsid w:val="001306C6"/>
    <w:rsid w:val="001308F2"/>
    <w:rsid w:val="001313E8"/>
    <w:rsid w:val="00132994"/>
    <w:rsid w:val="00134011"/>
    <w:rsid w:val="00134025"/>
    <w:rsid w:val="0013555F"/>
    <w:rsid w:val="0013630D"/>
    <w:rsid w:val="0013660F"/>
    <w:rsid w:val="00142232"/>
    <w:rsid w:val="00142E4D"/>
    <w:rsid w:val="00147C3B"/>
    <w:rsid w:val="0015015D"/>
    <w:rsid w:val="00150794"/>
    <w:rsid w:val="00154599"/>
    <w:rsid w:val="00157719"/>
    <w:rsid w:val="00162ECF"/>
    <w:rsid w:val="001708DF"/>
    <w:rsid w:val="00172A06"/>
    <w:rsid w:val="001746B7"/>
    <w:rsid w:val="00175A6A"/>
    <w:rsid w:val="001835F0"/>
    <w:rsid w:val="00185C21"/>
    <w:rsid w:val="00187FAC"/>
    <w:rsid w:val="00192FEF"/>
    <w:rsid w:val="00194AB0"/>
    <w:rsid w:val="00196ABD"/>
    <w:rsid w:val="001B46AE"/>
    <w:rsid w:val="001B6AFE"/>
    <w:rsid w:val="001C1B73"/>
    <w:rsid w:val="001C2626"/>
    <w:rsid w:val="001C2BB1"/>
    <w:rsid w:val="001C58F5"/>
    <w:rsid w:val="001C686D"/>
    <w:rsid w:val="001D088B"/>
    <w:rsid w:val="001D5CEE"/>
    <w:rsid w:val="001D63F1"/>
    <w:rsid w:val="001D79B7"/>
    <w:rsid w:val="001F1362"/>
    <w:rsid w:val="001F5B22"/>
    <w:rsid w:val="00200CFE"/>
    <w:rsid w:val="00203611"/>
    <w:rsid w:val="002071D9"/>
    <w:rsid w:val="00217795"/>
    <w:rsid w:val="002177C1"/>
    <w:rsid w:val="00217F79"/>
    <w:rsid w:val="00221598"/>
    <w:rsid w:val="00226688"/>
    <w:rsid w:val="00226780"/>
    <w:rsid w:val="00226BFE"/>
    <w:rsid w:val="00226C00"/>
    <w:rsid w:val="002333D7"/>
    <w:rsid w:val="00233905"/>
    <w:rsid w:val="00233F72"/>
    <w:rsid w:val="00234C04"/>
    <w:rsid w:val="0023504B"/>
    <w:rsid w:val="00237AD0"/>
    <w:rsid w:val="00237F3A"/>
    <w:rsid w:val="00246A2D"/>
    <w:rsid w:val="00246B56"/>
    <w:rsid w:val="00250B77"/>
    <w:rsid w:val="00250DB6"/>
    <w:rsid w:val="0025274D"/>
    <w:rsid w:val="00252C65"/>
    <w:rsid w:val="00252E88"/>
    <w:rsid w:val="00256561"/>
    <w:rsid w:val="00256822"/>
    <w:rsid w:val="00260030"/>
    <w:rsid w:val="002625DC"/>
    <w:rsid w:val="0026525A"/>
    <w:rsid w:val="0027292A"/>
    <w:rsid w:val="00274790"/>
    <w:rsid w:val="0027588C"/>
    <w:rsid w:val="00275B66"/>
    <w:rsid w:val="00283438"/>
    <w:rsid w:val="00285755"/>
    <w:rsid w:val="002879A1"/>
    <w:rsid w:val="0029232E"/>
    <w:rsid w:val="00294832"/>
    <w:rsid w:val="002976B5"/>
    <w:rsid w:val="002A1F9C"/>
    <w:rsid w:val="002A376C"/>
    <w:rsid w:val="002A52F2"/>
    <w:rsid w:val="002B29C2"/>
    <w:rsid w:val="002B44BB"/>
    <w:rsid w:val="002B5135"/>
    <w:rsid w:val="002B7BDF"/>
    <w:rsid w:val="002C4208"/>
    <w:rsid w:val="002C723E"/>
    <w:rsid w:val="002C75BC"/>
    <w:rsid w:val="002C7D28"/>
    <w:rsid w:val="002D213A"/>
    <w:rsid w:val="002D4D93"/>
    <w:rsid w:val="002D7436"/>
    <w:rsid w:val="002E3BD6"/>
    <w:rsid w:val="002E40CB"/>
    <w:rsid w:val="002E6EA6"/>
    <w:rsid w:val="002E7272"/>
    <w:rsid w:val="002F1C87"/>
    <w:rsid w:val="002F441D"/>
    <w:rsid w:val="002F765A"/>
    <w:rsid w:val="002F7E05"/>
    <w:rsid w:val="00301104"/>
    <w:rsid w:val="00302A08"/>
    <w:rsid w:val="00302CFD"/>
    <w:rsid w:val="00304F8E"/>
    <w:rsid w:val="00305353"/>
    <w:rsid w:val="0031449C"/>
    <w:rsid w:val="00316629"/>
    <w:rsid w:val="00317560"/>
    <w:rsid w:val="003214C5"/>
    <w:rsid w:val="00321E25"/>
    <w:rsid w:val="00321F09"/>
    <w:rsid w:val="0032296F"/>
    <w:rsid w:val="00323CD5"/>
    <w:rsid w:val="00326906"/>
    <w:rsid w:val="00341664"/>
    <w:rsid w:val="00343248"/>
    <w:rsid w:val="0034455D"/>
    <w:rsid w:val="00345814"/>
    <w:rsid w:val="00345BA9"/>
    <w:rsid w:val="0034637F"/>
    <w:rsid w:val="0034672E"/>
    <w:rsid w:val="00346FB4"/>
    <w:rsid w:val="00350E18"/>
    <w:rsid w:val="00352DE1"/>
    <w:rsid w:val="00355473"/>
    <w:rsid w:val="00360E69"/>
    <w:rsid w:val="003644CD"/>
    <w:rsid w:val="003728E6"/>
    <w:rsid w:val="00373B6C"/>
    <w:rsid w:val="00375ADC"/>
    <w:rsid w:val="003807E2"/>
    <w:rsid w:val="003868F7"/>
    <w:rsid w:val="00392515"/>
    <w:rsid w:val="0039276E"/>
    <w:rsid w:val="0039290B"/>
    <w:rsid w:val="003B270D"/>
    <w:rsid w:val="003B50E5"/>
    <w:rsid w:val="003B5E0E"/>
    <w:rsid w:val="003C0886"/>
    <w:rsid w:val="003C39A9"/>
    <w:rsid w:val="003C517B"/>
    <w:rsid w:val="003D255A"/>
    <w:rsid w:val="003D42E2"/>
    <w:rsid w:val="003D4DF2"/>
    <w:rsid w:val="003E4D98"/>
    <w:rsid w:val="003E5D60"/>
    <w:rsid w:val="003E6198"/>
    <w:rsid w:val="003F12CD"/>
    <w:rsid w:val="003F482A"/>
    <w:rsid w:val="0040608C"/>
    <w:rsid w:val="0041253E"/>
    <w:rsid w:val="004154E6"/>
    <w:rsid w:val="00416781"/>
    <w:rsid w:val="00416949"/>
    <w:rsid w:val="00416F06"/>
    <w:rsid w:val="0041798A"/>
    <w:rsid w:val="004252D4"/>
    <w:rsid w:val="00431A0B"/>
    <w:rsid w:val="00436B18"/>
    <w:rsid w:val="004370D8"/>
    <w:rsid w:val="00440383"/>
    <w:rsid w:val="004431BF"/>
    <w:rsid w:val="004443EE"/>
    <w:rsid w:val="00451608"/>
    <w:rsid w:val="00454BB1"/>
    <w:rsid w:val="00455A60"/>
    <w:rsid w:val="00456BE1"/>
    <w:rsid w:val="004612F7"/>
    <w:rsid w:val="0046462A"/>
    <w:rsid w:val="0046638C"/>
    <w:rsid w:val="004717CC"/>
    <w:rsid w:val="00472C43"/>
    <w:rsid w:val="00473A8F"/>
    <w:rsid w:val="0047678A"/>
    <w:rsid w:val="00494E65"/>
    <w:rsid w:val="004B0A4A"/>
    <w:rsid w:val="004B68CD"/>
    <w:rsid w:val="004C131A"/>
    <w:rsid w:val="004C187D"/>
    <w:rsid w:val="004C2CC8"/>
    <w:rsid w:val="004C42F5"/>
    <w:rsid w:val="004C4EAB"/>
    <w:rsid w:val="004D3F82"/>
    <w:rsid w:val="004E0850"/>
    <w:rsid w:val="004E0CCC"/>
    <w:rsid w:val="004E2826"/>
    <w:rsid w:val="004E3A1C"/>
    <w:rsid w:val="004F2EF6"/>
    <w:rsid w:val="004F396F"/>
    <w:rsid w:val="004F561A"/>
    <w:rsid w:val="004F5C6E"/>
    <w:rsid w:val="00500F4E"/>
    <w:rsid w:val="0050336E"/>
    <w:rsid w:val="005045F2"/>
    <w:rsid w:val="00504B4E"/>
    <w:rsid w:val="0050791F"/>
    <w:rsid w:val="00507A47"/>
    <w:rsid w:val="00507E03"/>
    <w:rsid w:val="0051035B"/>
    <w:rsid w:val="00511B1F"/>
    <w:rsid w:val="00520252"/>
    <w:rsid w:val="0052418A"/>
    <w:rsid w:val="00524ADC"/>
    <w:rsid w:val="00532549"/>
    <w:rsid w:val="00537496"/>
    <w:rsid w:val="0054030C"/>
    <w:rsid w:val="0054158E"/>
    <w:rsid w:val="00541881"/>
    <w:rsid w:val="00542012"/>
    <w:rsid w:val="00543086"/>
    <w:rsid w:val="00544D49"/>
    <w:rsid w:val="00544ED3"/>
    <w:rsid w:val="00545683"/>
    <w:rsid w:val="00563BFC"/>
    <w:rsid w:val="00571715"/>
    <w:rsid w:val="00574B1B"/>
    <w:rsid w:val="00575657"/>
    <w:rsid w:val="00576140"/>
    <w:rsid w:val="00576717"/>
    <w:rsid w:val="00577E0E"/>
    <w:rsid w:val="00577F44"/>
    <w:rsid w:val="00580607"/>
    <w:rsid w:val="0058477B"/>
    <w:rsid w:val="0058654F"/>
    <w:rsid w:val="005872E1"/>
    <w:rsid w:val="00590A63"/>
    <w:rsid w:val="005912CF"/>
    <w:rsid w:val="00591F30"/>
    <w:rsid w:val="005963A8"/>
    <w:rsid w:val="00596A66"/>
    <w:rsid w:val="00596ACA"/>
    <w:rsid w:val="005A030C"/>
    <w:rsid w:val="005A3276"/>
    <w:rsid w:val="005B045D"/>
    <w:rsid w:val="005B375B"/>
    <w:rsid w:val="005B4B51"/>
    <w:rsid w:val="005B4F16"/>
    <w:rsid w:val="005C3779"/>
    <w:rsid w:val="005C39EE"/>
    <w:rsid w:val="005D0401"/>
    <w:rsid w:val="005D4868"/>
    <w:rsid w:val="005E1966"/>
    <w:rsid w:val="005E3858"/>
    <w:rsid w:val="005E39BC"/>
    <w:rsid w:val="005E43BF"/>
    <w:rsid w:val="005F00A0"/>
    <w:rsid w:val="005F2D17"/>
    <w:rsid w:val="00600E2E"/>
    <w:rsid w:val="00602FD4"/>
    <w:rsid w:val="006120F8"/>
    <w:rsid w:val="0062591D"/>
    <w:rsid w:val="0062650C"/>
    <w:rsid w:val="00631D48"/>
    <w:rsid w:val="00634014"/>
    <w:rsid w:val="00634849"/>
    <w:rsid w:val="0063571F"/>
    <w:rsid w:val="00636740"/>
    <w:rsid w:val="00640203"/>
    <w:rsid w:val="006402F6"/>
    <w:rsid w:val="006403AB"/>
    <w:rsid w:val="00643C46"/>
    <w:rsid w:val="00646997"/>
    <w:rsid w:val="00647B43"/>
    <w:rsid w:val="00647F33"/>
    <w:rsid w:val="00650F2A"/>
    <w:rsid w:val="006513F0"/>
    <w:rsid w:val="006527DB"/>
    <w:rsid w:val="00654FE7"/>
    <w:rsid w:val="00662532"/>
    <w:rsid w:val="00663C09"/>
    <w:rsid w:val="0067509E"/>
    <w:rsid w:val="0067732A"/>
    <w:rsid w:val="006812E7"/>
    <w:rsid w:val="00682395"/>
    <w:rsid w:val="00682460"/>
    <w:rsid w:val="006843BE"/>
    <w:rsid w:val="00687FE2"/>
    <w:rsid w:val="00694CCB"/>
    <w:rsid w:val="00695DC7"/>
    <w:rsid w:val="006A0A84"/>
    <w:rsid w:val="006A1998"/>
    <w:rsid w:val="006A481C"/>
    <w:rsid w:val="006A4EDE"/>
    <w:rsid w:val="006A7037"/>
    <w:rsid w:val="006B2274"/>
    <w:rsid w:val="006B3C7D"/>
    <w:rsid w:val="006C7F2F"/>
    <w:rsid w:val="006D0BA7"/>
    <w:rsid w:val="006D426A"/>
    <w:rsid w:val="006E014F"/>
    <w:rsid w:val="006E758B"/>
    <w:rsid w:val="006E7890"/>
    <w:rsid w:val="006F16E3"/>
    <w:rsid w:val="006F6D7E"/>
    <w:rsid w:val="00701328"/>
    <w:rsid w:val="007034AF"/>
    <w:rsid w:val="0071025A"/>
    <w:rsid w:val="0071062A"/>
    <w:rsid w:val="00713340"/>
    <w:rsid w:val="0071373C"/>
    <w:rsid w:val="00716401"/>
    <w:rsid w:val="00717C6F"/>
    <w:rsid w:val="00717F66"/>
    <w:rsid w:val="0072051B"/>
    <w:rsid w:val="0072088F"/>
    <w:rsid w:val="0072176F"/>
    <w:rsid w:val="00722744"/>
    <w:rsid w:val="007244F8"/>
    <w:rsid w:val="007305D1"/>
    <w:rsid w:val="0073421F"/>
    <w:rsid w:val="00735711"/>
    <w:rsid w:val="00737377"/>
    <w:rsid w:val="00743F56"/>
    <w:rsid w:val="007445DA"/>
    <w:rsid w:val="00744F82"/>
    <w:rsid w:val="00746927"/>
    <w:rsid w:val="00754204"/>
    <w:rsid w:val="007576EC"/>
    <w:rsid w:val="00764503"/>
    <w:rsid w:val="0076759A"/>
    <w:rsid w:val="00767988"/>
    <w:rsid w:val="00777134"/>
    <w:rsid w:val="00781545"/>
    <w:rsid w:val="00794250"/>
    <w:rsid w:val="0079472D"/>
    <w:rsid w:val="00797621"/>
    <w:rsid w:val="007A28BB"/>
    <w:rsid w:val="007A28ED"/>
    <w:rsid w:val="007A400D"/>
    <w:rsid w:val="007B11AD"/>
    <w:rsid w:val="007B35C7"/>
    <w:rsid w:val="007B4FD1"/>
    <w:rsid w:val="007C0DAF"/>
    <w:rsid w:val="007D3032"/>
    <w:rsid w:val="007D5E31"/>
    <w:rsid w:val="007E2670"/>
    <w:rsid w:val="007E47DE"/>
    <w:rsid w:val="007F1A3E"/>
    <w:rsid w:val="007F6589"/>
    <w:rsid w:val="007F6F19"/>
    <w:rsid w:val="00802381"/>
    <w:rsid w:val="0080253C"/>
    <w:rsid w:val="00806156"/>
    <w:rsid w:val="008115F0"/>
    <w:rsid w:val="0081269A"/>
    <w:rsid w:val="008140D7"/>
    <w:rsid w:val="00823109"/>
    <w:rsid w:val="00824B55"/>
    <w:rsid w:val="00824D9E"/>
    <w:rsid w:val="00826092"/>
    <w:rsid w:val="008261D0"/>
    <w:rsid w:val="0083059E"/>
    <w:rsid w:val="008350F1"/>
    <w:rsid w:val="00840717"/>
    <w:rsid w:val="00846116"/>
    <w:rsid w:val="008462A3"/>
    <w:rsid w:val="008463EE"/>
    <w:rsid w:val="00846B44"/>
    <w:rsid w:val="00847437"/>
    <w:rsid w:val="00852436"/>
    <w:rsid w:val="00854F31"/>
    <w:rsid w:val="00857A84"/>
    <w:rsid w:val="0086015C"/>
    <w:rsid w:val="008623EE"/>
    <w:rsid w:val="008640D1"/>
    <w:rsid w:val="00874829"/>
    <w:rsid w:val="008763D2"/>
    <w:rsid w:val="008771AD"/>
    <w:rsid w:val="008776E2"/>
    <w:rsid w:val="00877BFA"/>
    <w:rsid w:val="00881994"/>
    <w:rsid w:val="00882D5F"/>
    <w:rsid w:val="00883848"/>
    <w:rsid w:val="008936CA"/>
    <w:rsid w:val="0089616C"/>
    <w:rsid w:val="00897ED5"/>
    <w:rsid w:val="008A3A85"/>
    <w:rsid w:val="008A5173"/>
    <w:rsid w:val="008B5140"/>
    <w:rsid w:val="008B5AE8"/>
    <w:rsid w:val="008B6BB9"/>
    <w:rsid w:val="008C109A"/>
    <w:rsid w:val="008C196A"/>
    <w:rsid w:val="008C4D9E"/>
    <w:rsid w:val="008C7CEB"/>
    <w:rsid w:val="008D088A"/>
    <w:rsid w:val="008D6DA3"/>
    <w:rsid w:val="008E0B8A"/>
    <w:rsid w:val="008E1142"/>
    <w:rsid w:val="008E2F2E"/>
    <w:rsid w:val="008E452E"/>
    <w:rsid w:val="008E5BC4"/>
    <w:rsid w:val="008E6008"/>
    <w:rsid w:val="008F764C"/>
    <w:rsid w:val="0090062A"/>
    <w:rsid w:val="009012DF"/>
    <w:rsid w:val="00905AB0"/>
    <w:rsid w:val="00906CA5"/>
    <w:rsid w:val="0090736B"/>
    <w:rsid w:val="00911543"/>
    <w:rsid w:val="009124D1"/>
    <w:rsid w:val="009144B3"/>
    <w:rsid w:val="00920EFE"/>
    <w:rsid w:val="00925EEC"/>
    <w:rsid w:val="00927211"/>
    <w:rsid w:val="00931257"/>
    <w:rsid w:val="00931F5E"/>
    <w:rsid w:val="00937499"/>
    <w:rsid w:val="0095049C"/>
    <w:rsid w:val="009519C9"/>
    <w:rsid w:val="0095726B"/>
    <w:rsid w:val="00960B43"/>
    <w:rsid w:val="0096292E"/>
    <w:rsid w:val="00965F56"/>
    <w:rsid w:val="009669E6"/>
    <w:rsid w:val="009677BF"/>
    <w:rsid w:val="0097031C"/>
    <w:rsid w:val="00971B51"/>
    <w:rsid w:val="00977A5A"/>
    <w:rsid w:val="00981789"/>
    <w:rsid w:val="00982447"/>
    <w:rsid w:val="0098297E"/>
    <w:rsid w:val="0098338C"/>
    <w:rsid w:val="00983DA6"/>
    <w:rsid w:val="00984658"/>
    <w:rsid w:val="009867BC"/>
    <w:rsid w:val="009875C2"/>
    <w:rsid w:val="00993C6C"/>
    <w:rsid w:val="009A0710"/>
    <w:rsid w:val="009A2376"/>
    <w:rsid w:val="009B1948"/>
    <w:rsid w:val="009B4B55"/>
    <w:rsid w:val="009C17BE"/>
    <w:rsid w:val="009C2DC4"/>
    <w:rsid w:val="009C300C"/>
    <w:rsid w:val="009C63CA"/>
    <w:rsid w:val="009D0B86"/>
    <w:rsid w:val="009D2D5A"/>
    <w:rsid w:val="009D6E9D"/>
    <w:rsid w:val="009E0D5B"/>
    <w:rsid w:val="009E1558"/>
    <w:rsid w:val="009E19E4"/>
    <w:rsid w:val="009E3FE0"/>
    <w:rsid w:val="009E66BA"/>
    <w:rsid w:val="009F6A19"/>
    <w:rsid w:val="00A00A82"/>
    <w:rsid w:val="00A01C80"/>
    <w:rsid w:val="00A02D51"/>
    <w:rsid w:val="00A05C33"/>
    <w:rsid w:val="00A064EF"/>
    <w:rsid w:val="00A07E33"/>
    <w:rsid w:val="00A17B2C"/>
    <w:rsid w:val="00A17F64"/>
    <w:rsid w:val="00A22C2A"/>
    <w:rsid w:val="00A23C67"/>
    <w:rsid w:val="00A25BE9"/>
    <w:rsid w:val="00A33FFA"/>
    <w:rsid w:val="00A35955"/>
    <w:rsid w:val="00A42898"/>
    <w:rsid w:val="00A428C9"/>
    <w:rsid w:val="00A4352D"/>
    <w:rsid w:val="00A43D58"/>
    <w:rsid w:val="00A53CDA"/>
    <w:rsid w:val="00A567E9"/>
    <w:rsid w:val="00A6153F"/>
    <w:rsid w:val="00A66A4D"/>
    <w:rsid w:val="00A67328"/>
    <w:rsid w:val="00A67632"/>
    <w:rsid w:val="00A732AC"/>
    <w:rsid w:val="00A767CB"/>
    <w:rsid w:val="00A77C6B"/>
    <w:rsid w:val="00A90663"/>
    <w:rsid w:val="00A918A6"/>
    <w:rsid w:val="00AA4824"/>
    <w:rsid w:val="00AA5970"/>
    <w:rsid w:val="00AB0A7B"/>
    <w:rsid w:val="00AB6ACE"/>
    <w:rsid w:val="00AC0A12"/>
    <w:rsid w:val="00AC5A3A"/>
    <w:rsid w:val="00AC7B94"/>
    <w:rsid w:val="00AD1B34"/>
    <w:rsid w:val="00AD3C9A"/>
    <w:rsid w:val="00AD7AC8"/>
    <w:rsid w:val="00AE111F"/>
    <w:rsid w:val="00AE16B2"/>
    <w:rsid w:val="00AE428E"/>
    <w:rsid w:val="00AE4413"/>
    <w:rsid w:val="00AE6A73"/>
    <w:rsid w:val="00AE70AF"/>
    <w:rsid w:val="00AF68A3"/>
    <w:rsid w:val="00B06AC1"/>
    <w:rsid w:val="00B11B78"/>
    <w:rsid w:val="00B178FD"/>
    <w:rsid w:val="00B17EDD"/>
    <w:rsid w:val="00B203C9"/>
    <w:rsid w:val="00B21448"/>
    <w:rsid w:val="00B22DC5"/>
    <w:rsid w:val="00B263A6"/>
    <w:rsid w:val="00B2736A"/>
    <w:rsid w:val="00B279DA"/>
    <w:rsid w:val="00B32D32"/>
    <w:rsid w:val="00B33AC6"/>
    <w:rsid w:val="00B35503"/>
    <w:rsid w:val="00B3667A"/>
    <w:rsid w:val="00B41170"/>
    <w:rsid w:val="00B416EF"/>
    <w:rsid w:val="00B42ABB"/>
    <w:rsid w:val="00B44A15"/>
    <w:rsid w:val="00B45062"/>
    <w:rsid w:val="00B4509C"/>
    <w:rsid w:val="00B45EB6"/>
    <w:rsid w:val="00B511DD"/>
    <w:rsid w:val="00B51D6E"/>
    <w:rsid w:val="00B57D8D"/>
    <w:rsid w:val="00B62DD8"/>
    <w:rsid w:val="00B64402"/>
    <w:rsid w:val="00B650FF"/>
    <w:rsid w:val="00B67AA7"/>
    <w:rsid w:val="00B70D5F"/>
    <w:rsid w:val="00B72F78"/>
    <w:rsid w:val="00B73A32"/>
    <w:rsid w:val="00B82FA5"/>
    <w:rsid w:val="00B856C2"/>
    <w:rsid w:val="00BA19E3"/>
    <w:rsid w:val="00BA2763"/>
    <w:rsid w:val="00BB3156"/>
    <w:rsid w:val="00BC00CB"/>
    <w:rsid w:val="00BC1D16"/>
    <w:rsid w:val="00BD1400"/>
    <w:rsid w:val="00BD3D61"/>
    <w:rsid w:val="00BD5626"/>
    <w:rsid w:val="00BD605C"/>
    <w:rsid w:val="00BE163A"/>
    <w:rsid w:val="00BE1A62"/>
    <w:rsid w:val="00BE2A76"/>
    <w:rsid w:val="00BE7426"/>
    <w:rsid w:val="00BE76F2"/>
    <w:rsid w:val="00BF3DF8"/>
    <w:rsid w:val="00C02742"/>
    <w:rsid w:val="00C03F03"/>
    <w:rsid w:val="00C04F07"/>
    <w:rsid w:val="00C0633D"/>
    <w:rsid w:val="00C07127"/>
    <w:rsid w:val="00C1100A"/>
    <w:rsid w:val="00C15171"/>
    <w:rsid w:val="00C31DA7"/>
    <w:rsid w:val="00C37F93"/>
    <w:rsid w:val="00C4129E"/>
    <w:rsid w:val="00C419A0"/>
    <w:rsid w:val="00C43E78"/>
    <w:rsid w:val="00C44FEE"/>
    <w:rsid w:val="00C45791"/>
    <w:rsid w:val="00C5715C"/>
    <w:rsid w:val="00C571EF"/>
    <w:rsid w:val="00C65E60"/>
    <w:rsid w:val="00C66464"/>
    <w:rsid w:val="00C73BA4"/>
    <w:rsid w:val="00C8211A"/>
    <w:rsid w:val="00C84C65"/>
    <w:rsid w:val="00C96B1C"/>
    <w:rsid w:val="00C974EC"/>
    <w:rsid w:val="00CA0E59"/>
    <w:rsid w:val="00CA215D"/>
    <w:rsid w:val="00CA6CF0"/>
    <w:rsid w:val="00CA7B1F"/>
    <w:rsid w:val="00CB2253"/>
    <w:rsid w:val="00CB47C9"/>
    <w:rsid w:val="00CB5B92"/>
    <w:rsid w:val="00CB6779"/>
    <w:rsid w:val="00CD5092"/>
    <w:rsid w:val="00CE051C"/>
    <w:rsid w:val="00CE17E9"/>
    <w:rsid w:val="00CE2CB7"/>
    <w:rsid w:val="00CE5A52"/>
    <w:rsid w:val="00CF7AF3"/>
    <w:rsid w:val="00CF7B55"/>
    <w:rsid w:val="00D06F5B"/>
    <w:rsid w:val="00D12E39"/>
    <w:rsid w:val="00D13B61"/>
    <w:rsid w:val="00D1722D"/>
    <w:rsid w:val="00D174E2"/>
    <w:rsid w:val="00D23388"/>
    <w:rsid w:val="00D238FB"/>
    <w:rsid w:val="00D26ADA"/>
    <w:rsid w:val="00D27952"/>
    <w:rsid w:val="00D3112F"/>
    <w:rsid w:val="00D316ED"/>
    <w:rsid w:val="00D32B80"/>
    <w:rsid w:val="00D35A78"/>
    <w:rsid w:val="00D365D5"/>
    <w:rsid w:val="00D40E48"/>
    <w:rsid w:val="00D42319"/>
    <w:rsid w:val="00D50C64"/>
    <w:rsid w:val="00D53DDD"/>
    <w:rsid w:val="00D551E3"/>
    <w:rsid w:val="00D555A1"/>
    <w:rsid w:val="00D56D88"/>
    <w:rsid w:val="00D623B9"/>
    <w:rsid w:val="00D63FDC"/>
    <w:rsid w:val="00D64DC2"/>
    <w:rsid w:val="00D67CE7"/>
    <w:rsid w:val="00D72D4E"/>
    <w:rsid w:val="00D73889"/>
    <w:rsid w:val="00D77862"/>
    <w:rsid w:val="00D802E4"/>
    <w:rsid w:val="00D80DB5"/>
    <w:rsid w:val="00D825E1"/>
    <w:rsid w:val="00D91CC5"/>
    <w:rsid w:val="00D9535C"/>
    <w:rsid w:val="00D957B4"/>
    <w:rsid w:val="00D9744E"/>
    <w:rsid w:val="00DA2EC7"/>
    <w:rsid w:val="00DA3E7F"/>
    <w:rsid w:val="00DA46CA"/>
    <w:rsid w:val="00DA6345"/>
    <w:rsid w:val="00DB2193"/>
    <w:rsid w:val="00DB22D8"/>
    <w:rsid w:val="00DB38F6"/>
    <w:rsid w:val="00DB641C"/>
    <w:rsid w:val="00DC0D25"/>
    <w:rsid w:val="00DC7872"/>
    <w:rsid w:val="00DC7BBB"/>
    <w:rsid w:val="00DD37AB"/>
    <w:rsid w:val="00DD4F5B"/>
    <w:rsid w:val="00DE0027"/>
    <w:rsid w:val="00DE1435"/>
    <w:rsid w:val="00DE1D68"/>
    <w:rsid w:val="00DE3E5A"/>
    <w:rsid w:val="00DE5F22"/>
    <w:rsid w:val="00DE65C3"/>
    <w:rsid w:val="00DE7C55"/>
    <w:rsid w:val="00DF21EB"/>
    <w:rsid w:val="00DF3ECC"/>
    <w:rsid w:val="00DF7216"/>
    <w:rsid w:val="00E10DF1"/>
    <w:rsid w:val="00E13939"/>
    <w:rsid w:val="00E14CBD"/>
    <w:rsid w:val="00E20925"/>
    <w:rsid w:val="00E20E70"/>
    <w:rsid w:val="00E24F15"/>
    <w:rsid w:val="00E25B68"/>
    <w:rsid w:val="00E303F6"/>
    <w:rsid w:val="00E31EB4"/>
    <w:rsid w:val="00E340E0"/>
    <w:rsid w:val="00E504F9"/>
    <w:rsid w:val="00E51CF2"/>
    <w:rsid w:val="00E52617"/>
    <w:rsid w:val="00E54D56"/>
    <w:rsid w:val="00E704D3"/>
    <w:rsid w:val="00E73DAE"/>
    <w:rsid w:val="00E75E9D"/>
    <w:rsid w:val="00E77457"/>
    <w:rsid w:val="00E8392D"/>
    <w:rsid w:val="00E84003"/>
    <w:rsid w:val="00E8690F"/>
    <w:rsid w:val="00E874A1"/>
    <w:rsid w:val="00E9071C"/>
    <w:rsid w:val="00E92568"/>
    <w:rsid w:val="00E936D9"/>
    <w:rsid w:val="00E97088"/>
    <w:rsid w:val="00EA5765"/>
    <w:rsid w:val="00EA5B19"/>
    <w:rsid w:val="00EB4502"/>
    <w:rsid w:val="00EB65D3"/>
    <w:rsid w:val="00EB6B71"/>
    <w:rsid w:val="00EC10FC"/>
    <w:rsid w:val="00EE0041"/>
    <w:rsid w:val="00EE0BA5"/>
    <w:rsid w:val="00EE11ED"/>
    <w:rsid w:val="00EE29B9"/>
    <w:rsid w:val="00EE5654"/>
    <w:rsid w:val="00F003DC"/>
    <w:rsid w:val="00F004EE"/>
    <w:rsid w:val="00F00C0D"/>
    <w:rsid w:val="00F03598"/>
    <w:rsid w:val="00F03B69"/>
    <w:rsid w:val="00F045DC"/>
    <w:rsid w:val="00F0743E"/>
    <w:rsid w:val="00F12C9A"/>
    <w:rsid w:val="00F15CC0"/>
    <w:rsid w:val="00F21DB5"/>
    <w:rsid w:val="00F21F33"/>
    <w:rsid w:val="00F24384"/>
    <w:rsid w:val="00F25BFA"/>
    <w:rsid w:val="00F30591"/>
    <w:rsid w:val="00F334F8"/>
    <w:rsid w:val="00F33E4B"/>
    <w:rsid w:val="00F3492B"/>
    <w:rsid w:val="00F42E23"/>
    <w:rsid w:val="00F44B3C"/>
    <w:rsid w:val="00F45EEE"/>
    <w:rsid w:val="00F467DF"/>
    <w:rsid w:val="00F51E9C"/>
    <w:rsid w:val="00F523CA"/>
    <w:rsid w:val="00F5261A"/>
    <w:rsid w:val="00F535ED"/>
    <w:rsid w:val="00F641C9"/>
    <w:rsid w:val="00F66C76"/>
    <w:rsid w:val="00F676C2"/>
    <w:rsid w:val="00F70527"/>
    <w:rsid w:val="00F708FC"/>
    <w:rsid w:val="00F716A6"/>
    <w:rsid w:val="00F7234D"/>
    <w:rsid w:val="00F74A9D"/>
    <w:rsid w:val="00F75428"/>
    <w:rsid w:val="00F75D59"/>
    <w:rsid w:val="00F76243"/>
    <w:rsid w:val="00F7668A"/>
    <w:rsid w:val="00F77998"/>
    <w:rsid w:val="00F80C9C"/>
    <w:rsid w:val="00F842FC"/>
    <w:rsid w:val="00FA4A04"/>
    <w:rsid w:val="00FA5EE7"/>
    <w:rsid w:val="00FB1543"/>
    <w:rsid w:val="00FB6C36"/>
    <w:rsid w:val="00FB7AC1"/>
    <w:rsid w:val="00FC427A"/>
    <w:rsid w:val="00FC4822"/>
    <w:rsid w:val="00FC4D30"/>
    <w:rsid w:val="00FC5822"/>
    <w:rsid w:val="00FC60C7"/>
    <w:rsid w:val="00FD31C5"/>
    <w:rsid w:val="00FD4455"/>
    <w:rsid w:val="00FD4F95"/>
    <w:rsid w:val="00FD5A76"/>
    <w:rsid w:val="00FD649A"/>
    <w:rsid w:val="00FE2922"/>
    <w:rsid w:val="00FE4916"/>
    <w:rsid w:val="00FE596E"/>
    <w:rsid w:val="00FE6C4C"/>
    <w:rsid w:val="00FF2C76"/>
    <w:rsid w:val="00FF386F"/>
    <w:rsid w:val="00FF3AA3"/>
    <w:rsid w:val="00FF6F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DEFFAC"/>
  <w15:docId w15:val="{A9E6F33F-7467-48CD-88A3-9E0BF23C0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1" w:defUIPriority="49" w:defSemiHidden="0" w:defUnhideWhenUsed="0" w:defQFormat="0" w:count="376">
    <w:lsdException w:name="Normal" w:locked="0"/>
    <w:lsdException w:name="heading 1" w:locked="0" w:uiPriority="0" w:qFormat="1"/>
    <w:lsdException w:name="heading 2" w:locked="0" w:uiPriority="4" w:qFormat="1"/>
    <w:lsdException w:name="heading 3" w:locked="0" w:uiPriority="4" w:qFormat="1"/>
    <w:lsdException w:name="heading 4" w:locked="0" w:uiPriority="0" w:qFormat="1"/>
    <w:lsdException w:name="heading 5" w:locked="0" w:uiPriority="0"/>
    <w:lsdException w:name="heading 6" w:locked="0" w:uiPriority="0"/>
    <w:lsdException w:name="heading 7" w:locked="0" w:uiPriority="0"/>
    <w:lsdException w:name="heading 8" w:locked="0" w:uiPriority="0"/>
    <w:lsdException w:name="heading 9" w:locked="0" w:uiPriority="0"/>
    <w:lsdException w:name="footnote text" w:locked="0" w:uiPriority="0"/>
    <w:lsdException w:name="header" w:locked="0" w:uiPriority="0"/>
    <w:lsdException w:name="footer" w:locked="0" w:uiPriority="99"/>
    <w:lsdException w:name="caption" w:locked="0" w:uiPriority="0"/>
    <w:lsdException w:name="footnote reference" w:locked="0" w:uiPriority="0"/>
    <w:lsdException w:name="List Bullet" w:locked="0"/>
    <w:lsdException w:name="Title" w:locked="0" w:uiPriority="0"/>
    <w:lsdException w:name="Default Paragraph Font" w:locked="0" w:uiPriority="0"/>
    <w:lsdException w:name="Body Text" w:locked="0" w:uiPriority="0" w:qFormat="1"/>
    <w:lsdException w:name="Body Text Indent" w:locked="0" w:uiPriority="0"/>
    <w:lsdException w:name="Subtitle" w:locked="0" w:uiPriority="0" w:qFormat="1"/>
    <w:lsdException w:name="HTML Top of Form" w:locked="0" w:uiPriority="0"/>
    <w:lsdException w:name="HTML Bottom of Form" w:locked="0" w:uiPriority="0"/>
    <w:lsdException w:name="HTML Acronym" w:uiPriority="19"/>
    <w:lsdException w:name="HTML Address" w:uiPriority="19"/>
    <w:lsdException w:name="Normal Table" w:locked="0" w:semiHidden="1" w:uiPriority="0" w:unhideWhenUsed="1"/>
    <w:lsdException w:name="No List" w:locked="0" w:uiPriority="0"/>
    <w:lsdException w:name="Outline List 1" w:uiPriority="0"/>
    <w:lsdException w:name="Outline List 2" w:uiPriority="0"/>
    <w:lsdException w:name="Outline List 3" w:uiPriority="0"/>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locked="0"/>
    <w:lsdException w:name="Table Grid" w:locked="0" w:uiPriority="59"/>
    <w:lsdException w:name="Table Theme" w:semiHidden="1" w:uiPriority="0" w:unhideWhenUsed="1"/>
    <w:lsdException w:name="Placeholder Text" w:semiHidden="1"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uiPriority w:val="49"/>
    <w:rsid w:val="00CF7AF3"/>
    <w:pPr>
      <w:overflowPunct w:val="0"/>
      <w:autoSpaceDE w:val="0"/>
      <w:autoSpaceDN w:val="0"/>
      <w:adjustRightInd w:val="0"/>
      <w:textAlignment w:val="baseline"/>
    </w:pPr>
    <w:rPr>
      <w:sz w:val="22"/>
      <w:lang w:eastAsia="en-US"/>
    </w:rPr>
  </w:style>
  <w:style w:type="paragraph" w:styleId="Heading1">
    <w:name w:val="heading 1"/>
    <w:aliases w:val="Paper title"/>
    <w:next w:val="Subtitle"/>
    <w:uiPriority w:val="4"/>
    <w:qFormat/>
    <w:rsid w:val="00EE29B9"/>
    <w:pPr>
      <w:spacing w:line="280" w:lineRule="atLeast"/>
      <w:ind w:left="567" w:right="567"/>
      <w:outlineLvl w:val="0"/>
    </w:pPr>
    <w:rPr>
      <w:rFonts w:ascii="Times New Roman Bold" w:hAnsi="Times New Roman Bold"/>
      <w:b/>
      <w:caps/>
      <w:sz w:val="24"/>
      <w:lang w:val="en-US" w:eastAsia="en-US"/>
    </w:rPr>
  </w:style>
  <w:style w:type="paragraph" w:styleId="Heading2">
    <w:name w:val="heading 2"/>
    <w:aliases w:val="1st level paper heading"/>
    <w:next w:val="BodyText"/>
    <w:uiPriority w:val="4"/>
    <w:qFormat/>
    <w:rsid w:val="00EE0041"/>
    <w:pPr>
      <w:widowControl w:val="0"/>
      <w:numPr>
        <w:ilvl w:val="1"/>
        <w:numId w:val="12"/>
      </w:numPr>
      <w:spacing w:before="100" w:beforeAutospacing="1" w:after="100" w:afterAutospacing="1" w:line="280" w:lineRule="atLeast"/>
      <w:outlineLvl w:val="1"/>
    </w:pPr>
    <w:rPr>
      <w:caps/>
      <w:lang w:eastAsia="en-US"/>
    </w:rPr>
  </w:style>
  <w:style w:type="paragraph" w:styleId="Heading3">
    <w:name w:val="heading 3"/>
    <w:aliases w:val="2nd level paper heading"/>
    <w:next w:val="BodyText"/>
    <w:uiPriority w:val="4"/>
    <w:qFormat/>
    <w:rsid w:val="00897ED5"/>
    <w:pPr>
      <w:widowControl w:val="0"/>
      <w:numPr>
        <w:ilvl w:val="2"/>
        <w:numId w:val="12"/>
      </w:numPr>
      <w:spacing w:before="240" w:after="240" w:line="240" w:lineRule="exact"/>
      <w:outlineLvl w:val="2"/>
    </w:pPr>
    <w:rPr>
      <w:b/>
      <w:lang w:eastAsia="en-US"/>
    </w:rPr>
  </w:style>
  <w:style w:type="paragraph" w:styleId="Heading4">
    <w:name w:val="heading 4"/>
    <w:aliases w:val="3rd level paper heading"/>
    <w:basedOn w:val="Normal"/>
    <w:next w:val="BodyText"/>
    <w:uiPriority w:val="4"/>
    <w:qFormat/>
    <w:rsid w:val="00897ED5"/>
    <w:pPr>
      <w:widowControl w:val="0"/>
      <w:numPr>
        <w:ilvl w:val="3"/>
        <w:numId w:val="12"/>
      </w:numPr>
      <w:spacing w:before="100" w:beforeAutospacing="1" w:after="100" w:afterAutospacing="1" w:line="240" w:lineRule="atLeast"/>
      <w:outlineLvl w:val="3"/>
    </w:pPr>
    <w:rPr>
      <w:i/>
      <w:sz w:val="20"/>
      <w:lang w:val="en-US"/>
    </w:rPr>
  </w:style>
  <w:style w:type="paragraph" w:styleId="Heading5">
    <w:name w:val="heading 5"/>
    <w:basedOn w:val="Normal"/>
    <w:next w:val="Normal"/>
    <w:uiPriority w:val="19"/>
    <w:locked/>
    <w:pPr>
      <w:overflowPunct/>
      <w:autoSpaceDE/>
      <w:autoSpaceDN/>
      <w:adjustRightInd/>
      <w:spacing w:before="240" w:after="60"/>
      <w:textAlignment w:val="auto"/>
      <w:outlineLvl w:val="4"/>
    </w:pPr>
    <w:rPr>
      <w:b/>
      <w:bCs/>
      <w:i/>
      <w:iCs/>
      <w:sz w:val="26"/>
      <w:szCs w:val="26"/>
      <w:lang w:val="en-US"/>
    </w:rPr>
  </w:style>
  <w:style w:type="paragraph" w:styleId="Heading6">
    <w:name w:val="heading 6"/>
    <w:basedOn w:val="Normal"/>
    <w:next w:val="Normal"/>
    <w:uiPriority w:val="19"/>
    <w:locked/>
    <w:pPr>
      <w:overflowPunct/>
      <w:autoSpaceDE/>
      <w:autoSpaceDN/>
      <w:adjustRightInd/>
      <w:spacing w:before="240" w:after="60"/>
      <w:textAlignment w:val="auto"/>
      <w:outlineLvl w:val="5"/>
    </w:pPr>
    <w:rPr>
      <w:b/>
      <w:bCs/>
      <w:szCs w:val="22"/>
      <w:lang w:val="en-US"/>
    </w:rPr>
  </w:style>
  <w:style w:type="paragraph" w:styleId="Heading7">
    <w:name w:val="heading 7"/>
    <w:basedOn w:val="Normal"/>
    <w:next w:val="Normal"/>
    <w:uiPriority w:val="19"/>
    <w:locked/>
    <w:pPr>
      <w:overflowPunct/>
      <w:autoSpaceDE/>
      <w:autoSpaceDN/>
      <w:adjustRightInd/>
      <w:spacing w:before="240" w:after="60"/>
      <w:textAlignment w:val="auto"/>
      <w:outlineLvl w:val="6"/>
    </w:pPr>
    <w:rPr>
      <w:szCs w:val="24"/>
      <w:lang w:val="en-US"/>
    </w:rPr>
  </w:style>
  <w:style w:type="paragraph" w:styleId="Heading8">
    <w:name w:val="heading 8"/>
    <w:basedOn w:val="Normal"/>
    <w:next w:val="Normal"/>
    <w:uiPriority w:val="19"/>
    <w:locked/>
    <w:pPr>
      <w:overflowPunct/>
      <w:autoSpaceDE/>
      <w:autoSpaceDN/>
      <w:adjustRightInd/>
      <w:spacing w:before="240" w:after="60"/>
      <w:textAlignment w:val="auto"/>
      <w:outlineLvl w:val="7"/>
    </w:pPr>
    <w:rPr>
      <w:i/>
      <w:iCs/>
      <w:szCs w:val="24"/>
      <w:lang w:val="en-US"/>
    </w:rPr>
  </w:style>
  <w:style w:type="paragraph" w:styleId="Heading9">
    <w:name w:val="heading 9"/>
    <w:basedOn w:val="Normal"/>
    <w:next w:val="Normal"/>
    <w:uiPriority w:val="19"/>
    <w:locked/>
    <w:pPr>
      <w:overflowPunct/>
      <w:autoSpaceDE/>
      <w:autoSpaceDN/>
      <w:adjustRightInd/>
      <w:spacing w:before="240" w:after="60"/>
      <w:textAlignment w:val="auto"/>
      <w:outlineLvl w:val="8"/>
    </w:pPr>
    <w:rPr>
      <w:rFonts w:ascii="Arial" w:hAnsi="Arial" w:cs="Arial"/>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qFormat/>
    <w:rsid w:val="00647F33"/>
    <w:pPr>
      <w:spacing w:line="260" w:lineRule="atLeast"/>
      <w:ind w:firstLine="567"/>
      <w:contextualSpacing/>
      <w:jc w:val="both"/>
    </w:pPr>
    <w:rPr>
      <w:lang w:eastAsia="en-US"/>
    </w:rPr>
  </w:style>
  <w:style w:type="paragraph" w:styleId="BodyTextIndent">
    <w:name w:val="Body Text Indent"/>
    <w:basedOn w:val="BodyText"/>
    <w:uiPriority w:val="49"/>
    <w:locked/>
    <w:pPr>
      <w:ind w:left="1134" w:hanging="675"/>
    </w:pPr>
  </w:style>
  <w:style w:type="paragraph" w:customStyle="1" w:styleId="BodyTextMultiline">
    <w:name w:val="Body Text Multiline"/>
    <w:basedOn w:val="BodyText"/>
    <w:locked/>
    <w:pPr>
      <w:numPr>
        <w:numId w:val="1"/>
      </w:numPr>
    </w:pPr>
  </w:style>
  <w:style w:type="paragraph" w:customStyle="1" w:styleId="BodyTextSummary">
    <w:name w:val="Body Text Summary"/>
    <w:uiPriority w:val="49"/>
    <w:locked/>
    <w:pPr>
      <w:numPr>
        <w:numId w:val="2"/>
      </w:numPr>
      <w:tabs>
        <w:tab w:val="clear" w:pos="720"/>
      </w:tabs>
      <w:spacing w:after="170" w:line="280" w:lineRule="atLeast"/>
      <w:ind w:left="572" w:hanging="459"/>
      <w:jc w:val="both"/>
    </w:pPr>
    <w:rPr>
      <w:sz w:val="22"/>
      <w:szCs w:val="22"/>
      <w:lang w:eastAsia="en-US"/>
    </w:rPr>
  </w:style>
  <w:style w:type="paragraph" w:styleId="Caption">
    <w:name w:val="caption"/>
    <w:next w:val="Normal"/>
    <w:uiPriority w:val="49"/>
    <w:pPr>
      <w:spacing w:after="85"/>
    </w:pPr>
    <w:rPr>
      <w:bCs/>
      <w:sz w:val="18"/>
      <w:lang w:val="en-US" w:eastAsia="en-US"/>
    </w:rPr>
  </w:style>
  <w:style w:type="paragraph" w:styleId="Footer">
    <w:name w:val="footer"/>
    <w:basedOn w:val="Normal"/>
    <w:link w:val="FooterChar"/>
    <w:uiPriority w:val="99"/>
    <w:locked/>
    <w:pPr>
      <w:overflowPunct/>
      <w:autoSpaceDE/>
      <w:autoSpaceDN/>
      <w:adjustRightInd/>
      <w:textAlignment w:val="auto"/>
    </w:pPr>
    <w:rPr>
      <w:sz w:val="2"/>
      <w:lang w:val="en-US"/>
    </w:rPr>
  </w:style>
  <w:style w:type="paragraph" w:styleId="FootnoteText">
    <w:name w:val="footnote text"/>
    <w:semiHidden/>
    <w:locked/>
    <w:pPr>
      <w:tabs>
        <w:tab w:val="left" w:pos="459"/>
      </w:tabs>
      <w:spacing w:before="142"/>
      <w:ind w:left="459"/>
      <w:jc w:val="both"/>
    </w:pPr>
    <w:rPr>
      <w:sz w:val="18"/>
      <w:lang w:eastAsia="en-US"/>
    </w:rPr>
  </w:style>
  <w:style w:type="paragraph" w:styleId="Header">
    <w:name w:val="header"/>
    <w:next w:val="BodyText"/>
    <w:uiPriority w:val="49"/>
    <w:locked/>
    <w:pPr>
      <w:spacing w:after="85"/>
    </w:pPr>
    <w:rPr>
      <w:sz w:val="18"/>
      <w:lang w:val="en-US" w:eastAsia="en-US"/>
    </w:rPr>
  </w:style>
  <w:style w:type="paragraph" w:customStyle="1" w:styleId="ListBulleted">
    <w:name w:val="List Bulleted"/>
    <w:uiPriority w:val="7"/>
    <w:qFormat/>
    <w:locked/>
    <w:pPr>
      <w:numPr>
        <w:numId w:val="6"/>
      </w:numPr>
      <w:tabs>
        <w:tab w:val="clear" w:pos="1179"/>
        <w:tab w:val="left" w:pos="919"/>
      </w:tabs>
      <w:ind w:left="918" w:right="1134" w:hanging="459"/>
      <w:jc w:val="both"/>
    </w:pPr>
    <w:rPr>
      <w:sz w:val="22"/>
      <w:lang w:eastAsia="en-US"/>
    </w:rPr>
  </w:style>
  <w:style w:type="paragraph" w:customStyle="1" w:styleId="ListEmdash">
    <w:name w:val="List Emdash"/>
    <w:basedOn w:val="BodyText"/>
    <w:uiPriority w:val="6"/>
    <w:qFormat/>
    <w:rsid w:val="00717C6F"/>
    <w:pPr>
      <w:numPr>
        <w:numId w:val="20"/>
      </w:numPr>
      <w:ind w:left="709"/>
    </w:pPr>
  </w:style>
  <w:style w:type="paragraph" w:customStyle="1" w:styleId="ListNumbered">
    <w:name w:val="List Numbered"/>
    <w:basedOn w:val="BodyText"/>
    <w:uiPriority w:val="5"/>
    <w:qFormat/>
    <w:locked/>
    <w:rsid w:val="00717C6F"/>
    <w:pPr>
      <w:numPr>
        <w:numId w:val="22"/>
      </w:numPr>
    </w:pPr>
  </w:style>
  <w:style w:type="paragraph" w:styleId="Title">
    <w:name w:val="Title"/>
    <w:uiPriority w:val="2"/>
    <w:locked/>
    <w:pPr>
      <w:widowControl w:val="0"/>
      <w:spacing w:line="440" w:lineRule="exact"/>
      <w:jc w:val="center"/>
      <w:outlineLvl w:val="0"/>
    </w:pPr>
    <w:rPr>
      <w:rFonts w:ascii="Arial" w:hAnsi="Arial" w:cs="Arial"/>
      <w:bCs/>
      <w:sz w:val="42"/>
      <w:szCs w:val="32"/>
      <w:lang w:eastAsia="en-US"/>
    </w:rPr>
  </w:style>
  <w:style w:type="paragraph" w:customStyle="1" w:styleId="zyxConfid2Red">
    <w:name w:val="zyxConfid2Red"/>
    <w:basedOn w:val="Normal"/>
    <w:uiPriority w:val="49"/>
    <w:locked/>
    <w:pPr>
      <w:spacing w:after="20" w:line="220" w:lineRule="exact"/>
      <w:jc w:val="right"/>
    </w:pPr>
    <w:rPr>
      <w:rFonts w:ascii="Arial" w:hAnsi="Arial" w:cs="Arial"/>
      <w:color w:val="FF0000"/>
    </w:rPr>
  </w:style>
  <w:style w:type="paragraph" w:customStyle="1" w:styleId="zyxConfidRed">
    <w:name w:val="zyxConfidRed"/>
    <w:uiPriority w:val="49"/>
    <w:locked/>
    <w:pPr>
      <w:widowControl w:val="0"/>
      <w:spacing w:before="80"/>
      <w:jc w:val="right"/>
    </w:pPr>
    <w:rPr>
      <w:rFonts w:ascii="Arial" w:hAnsi="Arial"/>
      <w:b/>
      <w:caps/>
      <w:color w:val="FF0000"/>
      <w:sz w:val="40"/>
      <w:lang w:eastAsia="en-US"/>
    </w:rPr>
  </w:style>
  <w:style w:type="paragraph" w:customStyle="1" w:styleId="zyxConfidBlack">
    <w:name w:val="zyxConfidBlack"/>
    <w:basedOn w:val="zyxConfidRed"/>
    <w:uiPriority w:val="49"/>
    <w:locked/>
    <w:pPr>
      <w:framePr w:wrap="auto" w:vAnchor="page" w:hAnchor="page" w:x="1333" w:y="228"/>
      <w:widowControl/>
      <w:overflowPunct w:val="0"/>
      <w:autoSpaceDE w:val="0"/>
      <w:autoSpaceDN w:val="0"/>
      <w:adjustRightInd w:val="0"/>
      <w:suppressOverlap/>
      <w:textAlignment w:val="baseline"/>
    </w:pPr>
    <w:rPr>
      <w:rFonts w:cs="Arial"/>
      <w:bCs/>
      <w:color w:val="000000"/>
    </w:rPr>
  </w:style>
  <w:style w:type="paragraph" w:customStyle="1" w:styleId="zyxDistribution">
    <w:name w:val="zyxDistribution"/>
    <w:basedOn w:val="Normal"/>
    <w:uiPriority w:val="49"/>
    <w:locked/>
    <w:pPr>
      <w:framePr w:wrap="around" w:vAnchor="page" w:hAnchor="page" w:x="1390" w:y="15707"/>
      <w:widowControl w:val="0"/>
      <w:overflowPunct/>
      <w:autoSpaceDE/>
      <w:autoSpaceDN/>
      <w:adjustRightInd/>
      <w:spacing w:before="240" w:after="20"/>
      <w:ind w:left="142"/>
      <w:suppressOverlap/>
      <w:textAlignment w:val="auto"/>
    </w:pPr>
    <w:rPr>
      <w:rFonts w:ascii="Arial" w:hAnsi="Arial"/>
      <w:b/>
    </w:rPr>
  </w:style>
  <w:style w:type="paragraph" w:customStyle="1" w:styleId="zyxPrePrint">
    <w:name w:val="zyxPrePrint"/>
    <w:uiPriority w:val="49"/>
    <w:locked/>
    <w:pPr>
      <w:spacing w:after="60" w:line="280" w:lineRule="exact"/>
      <w:ind w:left="113"/>
    </w:pPr>
    <w:rPr>
      <w:sz w:val="22"/>
      <w:lang w:eastAsia="en-US"/>
    </w:rPr>
  </w:style>
  <w:style w:type="paragraph" w:customStyle="1" w:styleId="zyxFillIn">
    <w:name w:val="zyxFill_In"/>
    <w:basedOn w:val="zyxPrePrint"/>
    <w:uiPriority w:val="49"/>
    <w:locked/>
    <w:rPr>
      <w:b/>
    </w:rPr>
  </w:style>
  <w:style w:type="paragraph" w:customStyle="1" w:styleId="zyxLogo">
    <w:name w:val="zyxLogo"/>
    <w:basedOn w:val="Normal"/>
    <w:uiPriority w:val="49"/>
    <w:locked/>
    <w:pPr>
      <w:keepNext/>
      <w:spacing w:after="10"/>
    </w:pPr>
    <w:rPr>
      <w:rFonts w:ascii="Arial" w:hAnsi="Arial"/>
      <w:b/>
      <w:sz w:val="13"/>
    </w:rPr>
  </w:style>
  <w:style w:type="paragraph" w:customStyle="1" w:styleId="zyxP1Footer">
    <w:name w:val="zyxP1_Footer"/>
    <w:basedOn w:val="Normal"/>
    <w:uiPriority w:val="49"/>
    <w:locked/>
    <w:pPr>
      <w:widowControl w:val="0"/>
      <w:spacing w:line="160" w:lineRule="exact"/>
      <w:ind w:left="108"/>
    </w:pPr>
    <w:rPr>
      <w:sz w:val="14"/>
    </w:rPr>
  </w:style>
  <w:style w:type="paragraph" w:customStyle="1" w:styleId="zyxSensitivity">
    <w:name w:val="zyxSensitivity"/>
    <w:basedOn w:val="Normal"/>
    <w:uiPriority w:val="49"/>
    <w:locked/>
    <w:pPr>
      <w:framePr w:wrap="around" w:vAnchor="page" w:hAnchor="page" w:x="1390" w:y="15707"/>
      <w:widowControl w:val="0"/>
      <w:overflowPunct/>
      <w:autoSpaceDE/>
      <w:autoSpaceDN/>
      <w:adjustRightInd/>
      <w:spacing w:line="220" w:lineRule="exact"/>
      <w:ind w:left="142"/>
      <w:suppressOverlap/>
      <w:textAlignment w:val="auto"/>
    </w:pPr>
    <w:rPr>
      <w:rFonts w:ascii="Arial" w:hAnsi="Arial"/>
      <w:b/>
    </w:rPr>
  </w:style>
  <w:style w:type="paragraph" w:customStyle="1" w:styleId="zyxTitle">
    <w:name w:val="zyxTitle"/>
    <w:basedOn w:val="Normal"/>
    <w:uiPriority w:val="49"/>
    <w:locked/>
    <w:pPr>
      <w:keepNext/>
      <w:spacing w:line="420" w:lineRule="exact"/>
    </w:pPr>
    <w:rPr>
      <w:rFonts w:ascii="Arial" w:hAnsi="Arial"/>
      <w:sz w:val="40"/>
    </w:rPr>
  </w:style>
  <w:style w:type="character" w:styleId="FootnoteReference">
    <w:name w:val="footnote reference"/>
    <w:basedOn w:val="DefaultParagraphFont"/>
    <w:semiHidden/>
    <w:locked/>
    <w:rPr>
      <w:vertAlign w:val="superscript"/>
    </w:rPr>
  </w:style>
  <w:style w:type="paragraph" w:styleId="Subtitle">
    <w:name w:val="Subtitle"/>
    <w:next w:val="BodyText"/>
    <w:uiPriority w:val="3"/>
    <w:qFormat/>
    <w:rsid w:val="00B82FA5"/>
    <w:pPr>
      <w:spacing w:after="100" w:afterAutospacing="1" w:line="280" w:lineRule="atLeast"/>
      <w:ind w:left="567" w:right="567"/>
      <w:contextualSpacing/>
    </w:pPr>
    <w:rPr>
      <w:rFonts w:cs="Arial"/>
      <w:b/>
      <w:i/>
      <w:sz w:val="24"/>
      <w:szCs w:val="24"/>
      <w:lang w:val="en-US" w:eastAsia="en-US"/>
    </w:rPr>
  </w:style>
  <w:style w:type="paragraph" w:customStyle="1" w:styleId="AgendaList">
    <w:name w:val="Agenda List"/>
    <w:uiPriority w:val="49"/>
    <w:locked/>
    <w:pPr>
      <w:numPr>
        <w:numId w:val="9"/>
      </w:numPr>
      <w:tabs>
        <w:tab w:val="clear" w:pos="459"/>
        <w:tab w:val="left" w:pos="919"/>
      </w:tabs>
      <w:spacing w:after="240" w:line="240" w:lineRule="exact"/>
      <w:ind w:left="918"/>
      <w:jc w:val="both"/>
    </w:pPr>
    <w:rPr>
      <w:sz w:val="22"/>
      <w:lang w:eastAsia="en-US"/>
    </w:rPr>
  </w:style>
  <w:style w:type="paragraph" w:customStyle="1" w:styleId="zyxClassification1">
    <w:name w:val="zyxClassification1"/>
    <w:basedOn w:val="BodyText"/>
    <w:uiPriority w:val="49"/>
    <w:locked/>
    <w:pPr>
      <w:spacing w:line="280" w:lineRule="exact"/>
      <w:jc w:val="right"/>
    </w:pPr>
    <w:rPr>
      <w:rFonts w:ascii="Arial" w:hAnsi="Arial" w:cs="Arial"/>
      <w:b/>
      <w:bCs/>
      <w:caps/>
      <w:sz w:val="24"/>
    </w:rPr>
  </w:style>
  <w:style w:type="paragraph" w:customStyle="1" w:styleId="zyxClassification2">
    <w:name w:val="zyxClassification2"/>
    <w:basedOn w:val="Footer"/>
    <w:uiPriority w:val="49"/>
    <w:locked/>
    <w:pPr>
      <w:tabs>
        <w:tab w:val="center" w:pos="4320"/>
        <w:tab w:val="right" w:pos="8640"/>
      </w:tabs>
      <w:overflowPunct w:val="0"/>
      <w:autoSpaceDE w:val="0"/>
      <w:autoSpaceDN w:val="0"/>
      <w:adjustRightInd w:val="0"/>
      <w:ind w:firstLine="567"/>
      <w:jc w:val="right"/>
      <w:textAlignment w:val="baseline"/>
    </w:pPr>
    <w:rPr>
      <w:rFonts w:ascii="Arial" w:hAnsi="Arial" w:cs="Arial"/>
      <w:sz w:val="16"/>
      <w:lang w:val="en-GB"/>
    </w:rPr>
  </w:style>
  <w:style w:type="character" w:customStyle="1" w:styleId="FooterChar">
    <w:name w:val="Footer Char"/>
    <w:basedOn w:val="DefaultParagraphFont"/>
    <w:link w:val="Footer"/>
    <w:uiPriority w:val="99"/>
    <w:rsid w:val="00037321"/>
    <w:rPr>
      <w:sz w:val="2"/>
      <w:lang w:val="en-US" w:eastAsia="en-US"/>
    </w:rPr>
  </w:style>
  <w:style w:type="paragraph" w:customStyle="1" w:styleId="Runninghead">
    <w:name w:val="Running head"/>
    <w:basedOn w:val="Normal"/>
    <w:link w:val="RunningheadChar"/>
    <w:uiPriority w:val="49"/>
    <w:qFormat/>
    <w:rsid w:val="00B82FA5"/>
    <w:pPr>
      <w:jc w:val="center"/>
    </w:pPr>
    <w:rPr>
      <w:b/>
      <w:sz w:val="16"/>
      <w:szCs w:val="16"/>
    </w:rPr>
  </w:style>
  <w:style w:type="paragraph" w:customStyle="1" w:styleId="Authornameandaffiliation">
    <w:name w:val="Author name and affiliation"/>
    <w:link w:val="AuthornameandaffiliationChar"/>
    <w:uiPriority w:val="49"/>
    <w:qFormat/>
    <w:rsid w:val="00647F33"/>
    <w:pPr>
      <w:ind w:left="567"/>
      <w:contextualSpacing/>
    </w:pPr>
    <w:rPr>
      <w:lang w:val="en-US" w:eastAsia="en-US"/>
    </w:rPr>
  </w:style>
  <w:style w:type="character" w:customStyle="1" w:styleId="RunningheadChar">
    <w:name w:val="Running head Char"/>
    <w:basedOn w:val="DefaultParagraphFont"/>
    <w:link w:val="Runninghead"/>
    <w:uiPriority w:val="49"/>
    <w:rsid w:val="00B82FA5"/>
    <w:rPr>
      <w:b/>
      <w:sz w:val="16"/>
      <w:szCs w:val="16"/>
      <w:lang w:eastAsia="en-US"/>
    </w:rPr>
  </w:style>
  <w:style w:type="paragraph" w:customStyle="1" w:styleId="Abstracttext">
    <w:name w:val="Abstract text"/>
    <w:basedOn w:val="Authornameandaffiliation"/>
    <w:link w:val="AbstracttextChar"/>
    <w:uiPriority w:val="49"/>
    <w:qFormat/>
    <w:rsid w:val="00BD605C"/>
    <w:pPr>
      <w:spacing w:line="240" w:lineRule="atLeast"/>
      <w:ind w:left="0" w:firstLine="567"/>
    </w:pPr>
    <w:rPr>
      <w:sz w:val="18"/>
    </w:rPr>
  </w:style>
  <w:style w:type="character" w:customStyle="1" w:styleId="BodyTextChar">
    <w:name w:val="Body Text Char"/>
    <w:basedOn w:val="DefaultParagraphFont"/>
    <w:link w:val="BodyText"/>
    <w:rsid w:val="00647F33"/>
    <w:rPr>
      <w:lang w:eastAsia="en-US"/>
    </w:rPr>
  </w:style>
  <w:style w:type="character" w:customStyle="1" w:styleId="AuthornameandaffiliationChar">
    <w:name w:val="Author name and affiliation Char"/>
    <w:basedOn w:val="BodyTextChar"/>
    <w:link w:val="Authornameandaffiliation"/>
    <w:uiPriority w:val="49"/>
    <w:rsid w:val="00647F33"/>
    <w:rPr>
      <w:lang w:val="en-US" w:eastAsia="en-US"/>
    </w:rPr>
  </w:style>
  <w:style w:type="table" w:styleId="TableGrid">
    <w:name w:val="Table Grid"/>
    <w:basedOn w:val="TableNormal"/>
    <w:uiPriority w:val="59"/>
    <w:locked/>
    <w:rsid w:val="00472C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stracttextChar">
    <w:name w:val="Abstract text Char"/>
    <w:basedOn w:val="AuthornameandaffiliationChar"/>
    <w:link w:val="Abstracttext"/>
    <w:uiPriority w:val="49"/>
    <w:rsid w:val="00BD605C"/>
    <w:rPr>
      <w:sz w:val="18"/>
      <w:lang w:val="en-US" w:eastAsia="en-US"/>
    </w:rPr>
  </w:style>
  <w:style w:type="paragraph" w:styleId="BalloonText">
    <w:name w:val="Balloon Text"/>
    <w:basedOn w:val="Normal"/>
    <w:link w:val="BalloonTextChar"/>
    <w:uiPriority w:val="49"/>
    <w:locked/>
    <w:rsid w:val="005F00A0"/>
    <w:rPr>
      <w:rFonts w:ascii="Tahoma" w:hAnsi="Tahoma" w:cs="Tahoma"/>
      <w:sz w:val="16"/>
      <w:szCs w:val="16"/>
    </w:rPr>
  </w:style>
  <w:style w:type="character" w:customStyle="1" w:styleId="BalloonTextChar">
    <w:name w:val="Balloon Text Char"/>
    <w:basedOn w:val="DefaultParagraphFont"/>
    <w:link w:val="BalloonText"/>
    <w:uiPriority w:val="49"/>
    <w:rsid w:val="005F00A0"/>
    <w:rPr>
      <w:rFonts w:ascii="Tahoma" w:hAnsi="Tahoma" w:cs="Tahoma"/>
      <w:sz w:val="16"/>
      <w:szCs w:val="16"/>
      <w:lang w:eastAsia="en-US"/>
    </w:rPr>
  </w:style>
  <w:style w:type="paragraph" w:customStyle="1" w:styleId="Figurecaption">
    <w:name w:val="Figure caption"/>
    <w:basedOn w:val="BodyText"/>
    <w:link w:val="FigurecaptionChar"/>
    <w:uiPriority w:val="49"/>
    <w:qFormat/>
    <w:locked/>
    <w:rsid w:val="00717C6F"/>
    <w:pPr>
      <w:jc w:val="center"/>
    </w:pPr>
    <w:rPr>
      <w:i/>
      <w:sz w:val="18"/>
    </w:rPr>
  </w:style>
  <w:style w:type="paragraph" w:customStyle="1" w:styleId="Otherunnumberedheadings">
    <w:name w:val="Other unnumbered headings"/>
    <w:next w:val="BodyText"/>
    <w:link w:val="OtherunnumberedheadingsChar"/>
    <w:uiPriority w:val="49"/>
    <w:qFormat/>
    <w:locked/>
    <w:rsid w:val="00D26ADA"/>
    <w:pPr>
      <w:spacing w:before="100" w:beforeAutospacing="1" w:after="100" w:afterAutospacing="1" w:line="260" w:lineRule="atLeast"/>
      <w:jc w:val="center"/>
    </w:pPr>
    <w:rPr>
      <w:rFonts w:ascii="Times New Roman Bold" w:hAnsi="Times New Roman Bold"/>
      <w:b/>
      <w:caps/>
      <w:lang w:eastAsia="en-US"/>
    </w:rPr>
  </w:style>
  <w:style w:type="character" w:customStyle="1" w:styleId="FigurecaptionChar">
    <w:name w:val="Figure caption Char"/>
    <w:basedOn w:val="BodyTextChar"/>
    <w:link w:val="Figurecaption"/>
    <w:uiPriority w:val="49"/>
    <w:rsid w:val="00717C6F"/>
    <w:rPr>
      <w:i/>
      <w:sz w:val="18"/>
      <w:lang w:eastAsia="en-US"/>
    </w:rPr>
  </w:style>
  <w:style w:type="paragraph" w:customStyle="1" w:styleId="Referencelist">
    <w:name w:val="Reference list"/>
    <w:basedOn w:val="BodyText"/>
    <w:link w:val="ReferencelistChar"/>
    <w:uiPriority w:val="49"/>
    <w:qFormat/>
    <w:rsid w:val="009E0D5B"/>
    <w:pPr>
      <w:numPr>
        <w:numId w:val="30"/>
      </w:numPr>
    </w:pPr>
    <w:rPr>
      <w:sz w:val="18"/>
      <w:szCs w:val="18"/>
    </w:rPr>
  </w:style>
  <w:style w:type="character" w:customStyle="1" w:styleId="OtherunnumberedheadingsChar">
    <w:name w:val="Other unnumbered headings Char"/>
    <w:basedOn w:val="BodyTextChar"/>
    <w:link w:val="Otherunnumberedheadings"/>
    <w:uiPriority w:val="49"/>
    <w:rsid w:val="00D26ADA"/>
    <w:rPr>
      <w:rFonts w:ascii="Times New Roman Bold" w:hAnsi="Times New Roman Bold"/>
      <w:b/>
      <w:caps/>
      <w:lang w:eastAsia="en-US"/>
    </w:rPr>
  </w:style>
  <w:style w:type="character" w:customStyle="1" w:styleId="ReferencelistChar">
    <w:name w:val="Reference list Char"/>
    <w:basedOn w:val="BodyTextChar"/>
    <w:link w:val="Referencelist"/>
    <w:uiPriority w:val="49"/>
    <w:rsid w:val="009E0D5B"/>
    <w:rPr>
      <w:sz w:val="18"/>
      <w:szCs w:val="18"/>
      <w:lang w:eastAsia="en-US"/>
    </w:rPr>
  </w:style>
  <w:style w:type="paragraph" w:customStyle="1" w:styleId="Tabletext">
    <w:name w:val="Table text"/>
    <w:basedOn w:val="BodyText"/>
    <w:link w:val="TabletextChar"/>
    <w:uiPriority w:val="49"/>
    <w:qFormat/>
    <w:rsid w:val="00883848"/>
    <w:pPr>
      <w:ind w:firstLine="0"/>
    </w:pPr>
  </w:style>
  <w:style w:type="character" w:customStyle="1" w:styleId="TabletextChar">
    <w:name w:val="Table text Char"/>
    <w:basedOn w:val="BodyTextChar"/>
    <w:link w:val="Tabletext"/>
    <w:uiPriority w:val="49"/>
    <w:rsid w:val="00883848"/>
    <w:rPr>
      <w:lang w:eastAsia="en-US"/>
    </w:rPr>
  </w:style>
  <w:style w:type="character" w:styleId="CommentReference">
    <w:name w:val="annotation reference"/>
    <w:basedOn w:val="DefaultParagraphFont"/>
    <w:uiPriority w:val="49"/>
    <w:locked/>
    <w:rsid w:val="004F396F"/>
    <w:rPr>
      <w:sz w:val="16"/>
      <w:szCs w:val="16"/>
    </w:rPr>
  </w:style>
  <w:style w:type="paragraph" w:styleId="CommentText">
    <w:name w:val="annotation text"/>
    <w:basedOn w:val="Normal"/>
    <w:link w:val="CommentTextChar"/>
    <w:uiPriority w:val="49"/>
    <w:locked/>
    <w:rsid w:val="004F396F"/>
    <w:rPr>
      <w:sz w:val="20"/>
    </w:rPr>
  </w:style>
  <w:style w:type="character" w:customStyle="1" w:styleId="CommentTextChar">
    <w:name w:val="Comment Text Char"/>
    <w:basedOn w:val="DefaultParagraphFont"/>
    <w:link w:val="CommentText"/>
    <w:uiPriority w:val="49"/>
    <w:rsid w:val="004F396F"/>
    <w:rPr>
      <w:lang w:eastAsia="en-US"/>
    </w:rPr>
  </w:style>
  <w:style w:type="paragraph" w:styleId="CommentSubject">
    <w:name w:val="annotation subject"/>
    <w:basedOn w:val="CommentText"/>
    <w:next w:val="CommentText"/>
    <w:link w:val="CommentSubjectChar"/>
    <w:uiPriority w:val="49"/>
    <w:locked/>
    <w:rsid w:val="004F396F"/>
    <w:rPr>
      <w:b/>
      <w:bCs/>
    </w:rPr>
  </w:style>
  <w:style w:type="character" w:customStyle="1" w:styleId="CommentSubjectChar">
    <w:name w:val="Comment Subject Char"/>
    <w:basedOn w:val="CommentTextChar"/>
    <w:link w:val="CommentSubject"/>
    <w:uiPriority w:val="49"/>
    <w:rsid w:val="004F396F"/>
    <w:rPr>
      <w:b/>
      <w:bCs/>
      <w:lang w:eastAsia="en-US"/>
    </w:rPr>
  </w:style>
  <w:style w:type="character" w:customStyle="1" w:styleId="ui-provider">
    <w:name w:val="ui-provider"/>
    <w:basedOn w:val="DefaultParagraphFont"/>
    <w:rsid w:val="004F396F"/>
  </w:style>
  <w:style w:type="paragraph" w:styleId="ListParagraph">
    <w:name w:val="List Paragraph"/>
    <w:basedOn w:val="Normal"/>
    <w:uiPriority w:val="34"/>
    <w:qFormat/>
    <w:locked/>
    <w:rsid w:val="00B11B78"/>
    <w:pPr>
      <w:overflowPunct/>
      <w:autoSpaceDE/>
      <w:autoSpaceDN/>
      <w:adjustRightInd/>
      <w:ind w:left="720"/>
      <w:contextualSpacing/>
      <w:textAlignment w:val="auto"/>
    </w:pPr>
    <w:rPr>
      <w:rFonts w:eastAsiaTheme="minorHAnsi" w:cs="Times New Roman (Body CS)"/>
      <w:sz w:val="24"/>
      <w:szCs w:val="24"/>
      <w:lang w:val="en-US"/>
    </w:rPr>
  </w:style>
  <w:style w:type="paragraph" w:styleId="Revision">
    <w:name w:val="Revision"/>
    <w:hidden/>
    <w:uiPriority w:val="99"/>
    <w:semiHidden/>
    <w:rsid w:val="00456BE1"/>
    <w:rPr>
      <w:sz w:val="22"/>
      <w:lang w:eastAsia="en-US"/>
    </w:rPr>
  </w:style>
  <w:style w:type="paragraph" w:styleId="Bibliography">
    <w:name w:val="Bibliography"/>
    <w:basedOn w:val="Normal"/>
    <w:next w:val="Normal"/>
    <w:uiPriority w:val="37"/>
    <w:unhideWhenUsed/>
    <w:locked/>
    <w:rsid w:val="00E31EB4"/>
  </w:style>
  <w:style w:type="character" w:styleId="Hyperlink">
    <w:name w:val="Hyperlink"/>
    <w:basedOn w:val="DefaultParagraphFont"/>
    <w:uiPriority w:val="49"/>
    <w:locked/>
    <w:rsid w:val="007B11AD"/>
    <w:rPr>
      <w:color w:val="0000FF" w:themeColor="hyperlink"/>
      <w:u w:val="single"/>
    </w:rPr>
  </w:style>
  <w:style w:type="character" w:styleId="UnresolvedMention">
    <w:name w:val="Unresolved Mention"/>
    <w:basedOn w:val="DefaultParagraphFont"/>
    <w:uiPriority w:val="99"/>
    <w:semiHidden/>
    <w:unhideWhenUsed/>
    <w:rsid w:val="007B11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909872">
      <w:bodyDiv w:val="1"/>
      <w:marLeft w:val="0"/>
      <w:marRight w:val="0"/>
      <w:marTop w:val="0"/>
      <w:marBottom w:val="0"/>
      <w:divBdr>
        <w:top w:val="none" w:sz="0" w:space="0" w:color="auto"/>
        <w:left w:val="none" w:sz="0" w:space="0" w:color="auto"/>
        <w:bottom w:val="none" w:sz="0" w:space="0" w:color="auto"/>
        <w:right w:val="none" w:sz="0" w:space="0" w:color="auto"/>
      </w:divBdr>
    </w:div>
    <w:div w:id="340279697">
      <w:bodyDiv w:val="1"/>
      <w:marLeft w:val="0"/>
      <w:marRight w:val="0"/>
      <w:marTop w:val="0"/>
      <w:marBottom w:val="0"/>
      <w:divBdr>
        <w:top w:val="none" w:sz="0" w:space="0" w:color="auto"/>
        <w:left w:val="none" w:sz="0" w:space="0" w:color="auto"/>
        <w:bottom w:val="none" w:sz="0" w:space="0" w:color="auto"/>
        <w:right w:val="none" w:sz="0" w:space="0" w:color="auto"/>
      </w:divBdr>
    </w:div>
    <w:div w:id="352268566">
      <w:bodyDiv w:val="1"/>
      <w:marLeft w:val="0"/>
      <w:marRight w:val="0"/>
      <w:marTop w:val="0"/>
      <w:marBottom w:val="0"/>
      <w:divBdr>
        <w:top w:val="none" w:sz="0" w:space="0" w:color="auto"/>
        <w:left w:val="none" w:sz="0" w:space="0" w:color="auto"/>
        <w:bottom w:val="none" w:sz="0" w:space="0" w:color="auto"/>
        <w:right w:val="none" w:sz="0" w:space="0" w:color="auto"/>
      </w:divBdr>
    </w:div>
    <w:div w:id="441069633">
      <w:bodyDiv w:val="1"/>
      <w:marLeft w:val="0"/>
      <w:marRight w:val="0"/>
      <w:marTop w:val="0"/>
      <w:marBottom w:val="0"/>
      <w:divBdr>
        <w:top w:val="none" w:sz="0" w:space="0" w:color="auto"/>
        <w:left w:val="none" w:sz="0" w:space="0" w:color="auto"/>
        <w:bottom w:val="none" w:sz="0" w:space="0" w:color="auto"/>
        <w:right w:val="none" w:sz="0" w:space="0" w:color="auto"/>
      </w:divBdr>
    </w:div>
    <w:div w:id="535387379">
      <w:bodyDiv w:val="1"/>
      <w:marLeft w:val="0"/>
      <w:marRight w:val="0"/>
      <w:marTop w:val="0"/>
      <w:marBottom w:val="0"/>
      <w:divBdr>
        <w:top w:val="none" w:sz="0" w:space="0" w:color="auto"/>
        <w:left w:val="none" w:sz="0" w:space="0" w:color="auto"/>
        <w:bottom w:val="none" w:sz="0" w:space="0" w:color="auto"/>
        <w:right w:val="none" w:sz="0" w:space="0" w:color="auto"/>
      </w:divBdr>
    </w:div>
    <w:div w:id="549658894">
      <w:bodyDiv w:val="1"/>
      <w:marLeft w:val="0"/>
      <w:marRight w:val="0"/>
      <w:marTop w:val="0"/>
      <w:marBottom w:val="0"/>
      <w:divBdr>
        <w:top w:val="none" w:sz="0" w:space="0" w:color="auto"/>
        <w:left w:val="none" w:sz="0" w:space="0" w:color="auto"/>
        <w:bottom w:val="none" w:sz="0" w:space="0" w:color="auto"/>
        <w:right w:val="none" w:sz="0" w:space="0" w:color="auto"/>
      </w:divBdr>
    </w:div>
    <w:div w:id="602954177">
      <w:bodyDiv w:val="1"/>
      <w:marLeft w:val="0"/>
      <w:marRight w:val="0"/>
      <w:marTop w:val="0"/>
      <w:marBottom w:val="0"/>
      <w:divBdr>
        <w:top w:val="none" w:sz="0" w:space="0" w:color="auto"/>
        <w:left w:val="none" w:sz="0" w:space="0" w:color="auto"/>
        <w:bottom w:val="none" w:sz="0" w:space="0" w:color="auto"/>
        <w:right w:val="none" w:sz="0" w:space="0" w:color="auto"/>
      </w:divBdr>
    </w:div>
    <w:div w:id="676159237">
      <w:bodyDiv w:val="1"/>
      <w:marLeft w:val="0"/>
      <w:marRight w:val="0"/>
      <w:marTop w:val="0"/>
      <w:marBottom w:val="0"/>
      <w:divBdr>
        <w:top w:val="none" w:sz="0" w:space="0" w:color="auto"/>
        <w:left w:val="none" w:sz="0" w:space="0" w:color="auto"/>
        <w:bottom w:val="none" w:sz="0" w:space="0" w:color="auto"/>
        <w:right w:val="none" w:sz="0" w:space="0" w:color="auto"/>
      </w:divBdr>
    </w:div>
    <w:div w:id="695539594">
      <w:bodyDiv w:val="1"/>
      <w:marLeft w:val="0"/>
      <w:marRight w:val="0"/>
      <w:marTop w:val="0"/>
      <w:marBottom w:val="0"/>
      <w:divBdr>
        <w:top w:val="none" w:sz="0" w:space="0" w:color="auto"/>
        <w:left w:val="none" w:sz="0" w:space="0" w:color="auto"/>
        <w:bottom w:val="none" w:sz="0" w:space="0" w:color="auto"/>
        <w:right w:val="none" w:sz="0" w:space="0" w:color="auto"/>
      </w:divBdr>
    </w:div>
    <w:div w:id="741833006">
      <w:bodyDiv w:val="1"/>
      <w:marLeft w:val="0"/>
      <w:marRight w:val="0"/>
      <w:marTop w:val="0"/>
      <w:marBottom w:val="0"/>
      <w:divBdr>
        <w:top w:val="none" w:sz="0" w:space="0" w:color="auto"/>
        <w:left w:val="none" w:sz="0" w:space="0" w:color="auto"/>
        <w:bottom w:val="none" w:sz="0" w:space="0" w:color="auto"/>
        <w:right w:val="none" w:sz="0" w:space="0" w:color="auto"/>
      </w:divBdr>
    </w:div>
    <w:div w:id="811290928">
      <w:bodyDiv w:val="1"/>
      <w:marLeft w:val="0"/>
      <w:marRight w:val="0"/>
      <w:marTop w:val="0"/>
      <w:marBottom w:val="0"/>
      <w:divBdr>
        <w:top w:val="none" w:sz="0" w:space="0" w:color="auto"/>
        <w:left w:val="none" w:sz="0" w:space="0" w:color="auto"/>
        <w:bottom w:val="none" w:sz="0" w:space="0" w:color="auto"/>
        <w:right w:val="none" w:sz="0" w:space="0" w:color="auto"/>
      </w:divBdr>
    </w:div>
    <w:div w:id="849178672">
      <w:bodyDiv w:val="1"/>
      <w:marLeft w:val="0"/>
      <w:marRight w:val="0"/>
      <w:marTop w:val="0"/>
      <w:marBottom w:val="0"/>
      <w:divBdr>
        <w:top w:val="none" w:sz="0" w:space="0" w:color="auto"/>
        <w:left w:val="none" w:sz="0" w:space="0" w:color="auto"/>
        <w:bottom w:val="none" w:sz="0" w:space="0" w:color="auto"/>
        <w:right w:val="none" w:sz="0" w:space="0" w:color="auto"/>
      </w:divBdr>
    </w:div>
    <w:div w:id="856238568">
      <w:bodyDiv w:val="1"/>
      <w:marLeft w:val="0"/>
      <w:marRight w:val="0"/>
      <w:marTop w:val="0"/>
      <w:marBottom w:val="0"/>
      <w:divBdr>
        <w:top w:val="none" w:sz="0" w:space="0" w:color="auto"/>
        <w:left w:val="none" w:sz="0" w:space="0" w:color="auto"/>
        <w:bottom w:val="none" w:sz="0" w:space="0" w:color="auto"/>
        <w:right w:val="none" w:sz="0" w:space="0" w:color="auto"/>
      </w:divBdr>
    </w:div>
    <w:div w:id="978805534">
      <w:bodyDiv w:val="1"/>
      <w:marLeft w:val="0"/>
      <w:marRight w:val="0"/>
      <w:marTop w:val="0"/>
      <w:marBottom w:val="0"/>
      <w:divBdr>
        <w:top w:val="none" w:sz="0" w:space="0" w:color="auto"/>
        <w:left w:val="none" w:sz="0" w:space="0" w:color="auto"/>
        <w:bottom w:val="none" w:sz="0" w:space="0" w:color="auto"/>
        <w:right w:val="none" w:sz="0" w:space="0" w:color="auto"/>
      </w:divBdr>
    </w:div>
    <w:div w:id="993870458">
      <w:bodyDiv w:val="1"/>
      <w:marLeft w:val="0"/>
      <w:marRight w:val="0"/>
      <w:marTop w:val="0"/>
      <w:marBottom w:val="0"/>
      <w:divBdr>
        <w:top w:val="none" w:sz="0" w:space="0" w:color="auto"/>
        <w:left w:val="none" w:sz="0" w:space="0" w:color="auto"/>
        <w:bottom w:val="none" w:sz="0" w:space="0" w:color="auto"/>
        <w:right w:val="none" w:sz="0" w:space="0" w:color="auto"/>
      </w:divBdr>
    </w:div>
    <w:div w:id="1022393501">
      <w:bodyDiv w:val="1"/>
      <w:marLeft w:val="0"/>
      <w:marRight w:val="0"/>
      <w:marTop w:val="0"/>
      <w:marBottom w:val="0"/>
      <w:divBdr>
        <w:top w:val="none" w:sz="0" w:space="0" w:color="auto"/>
        <w:left w:val="none" w:sz="0" w:space="0" w:color="auto"/>
        <w:bottom w:val="none" w:sz="0" w:space="0" w:color="auto"/>
        <w:right w:val="none" w:sz="0" w:space="0" w:color="auto"/>
      </w:divBdr>
    </w:div>
    <w:div w:id="1039666826">
      <w:bodyDiv w:val="1"/>
      <w:marLeft w:val="0"/>
      <w:marRight w:val="0"/>
      <w:marTop w:val="0"/>
      <w:marBottom w:val="0"/>
      <w:divBdr>
        <w:top w:val="none" w:sz="0" w:space="0" w:color="auto"/>
        <w:left w:val="none" w:sz="0" w:space="0" w:color="auto"/>
        <w:bottom w:val="none" w:sz="0" w:space="0" w:color="auto"/>
        <w:right w:val="none" w:sz="0" w:space="0" w:color="auto"/>
      </w:divBdr>
    </w:div>
    <w:div w:id="1052193721">
      <w:bodyDiv w:val="1"/>
      <w:marLeft w:val="0"/>
      <w:marRight w:val="0"/>
      <w:marTop w:val="0"/>
      <w:marBottom w:val="0"/>
      <w:divBdr>
        <w:top w:val="none" w:sz="0" w:space="0" w:color="auto"/>
        <w:left w:val="none" w:sz="0" w:space="0" w:color="auto"/>
        <w:bottom w:val="none" w:sz="0" w:space="0" w:color="auto"/>
        <w:right w:val="none" w:sz="0" w:space="0" w:color="auto"/>
      </w:divBdr>
    </w:div>
    <w:div w:id="1198467977">
      <w:bodyDiv w:val="1"/>
      <w:marLeft w:val="0"/>
      <w:marRight w:val="0"/>
      <w:marTop w:val="0"/>
      <w:marBottom w:val="0"/>
      <w:divBdr>
        <w:top w:val="none" w:sz="0" w:space="0" w:color="auto"/>
        <w:left w:val="none" w:sz="0" w:space="0" w:color="auto"/>
        <w:bottom w:val="none" w:sz="0" w:space="0" w:color="auto"/>
        <w:right w:val="none" w:sz="0" w:space="0" w:color="auto"/>
      </w:divBdr>
    </w:div>
    <w:div w:id="1240944109">
      <w:bodyDiv w:val="1"/>
      <w:marLeft w:val="0"/>
      <w:marRight w:val="0"/>
      <w:marTop w:val="0"/>
      <w:marBottom w:val="0"/>
      <w:divBdr>
        <w:top w:val="none" w:sz="0" w:space="0" w:color="auto"/>
        <w:left w:val="none" w:sz="0" w:space="0" w:color="auto"/>
        <w:bottom w:val="none" w:sz="0" w:space="0" w:color="auto"/>
        <w:right w:val="none" w:sz="0" w:space="0" w:color="auto"/>
      </w:divBdr>
    </w:div>
    <w:div w:id="1278487134">
      <w:bodyDiv w:val="1"/>
      <w:marLeft w:val="0"/>
      <w:marRight w:val="0"/>
      <w:marTop w:val="0"/>
      <w:marBottom w:val="0"/>
      <w:divBdr>
        <w:top w:val="none" w:sz="0" w:space="0" w:color="auto"/>
        <w:left w:val="none" w:sz="0" w:space="0" w:color="auto"/>
        <w:bottom w:val="none" w:sz="0" w:space="0" w:color="auto"/>
        <w:right w:val="none" w:sz="0" w:space="0" w:color="auto"/>
      </w:divBdr>
    </w:div>
    <w:div w:id="1293174734">
      <w:bodyDiv w:val="1"/>
      <w:marLeft w:val="0"/>
      <w:marRight w:val="0"/>
      <w:marTop w:val="0"/>
      <w:marBottom w:val="0"/>
      <w:divBdr>
        <w:top w:val="none" w:sz="0" w:space="0" w:color="auto"/>
        <w:left w:val="none" w:sz="0" w:space="0" w:color="auto"/>
        <w:bottom w:val="none" w:sz="0" w:space="0" w:color="auto"/>
        <w:right w:val="none" w:sz="0" w:space="0" w:color="auto"/>
      </w:divBdr>
    </w:div>
    <w:div w:id="1304697665">
      <w:bodyDiv w:val="1"/>
      <w:marLeft w:val="0"/>
      <w:marRight w:val="0"/>
      <w:marTop w:val="0"/>
      <w:marBottom w:val="0"/>
      <w:divBdr>
        <w:top w:val="none" w:sz="0" w:space="0" w:color="auto"/>
        <w:left w:val="none" w:sz="0" w:space="0" w:color="auto"/>
        <w:bottom w:val="none" w:sz="0" w:space="0" w:color="auto"/>
        <w:right w:val="none" w:sz="0" w:space="0" w:color="auto"/>
      </w:divBdr>
    </w:div>
    <w:div w:id="1342127894">
      <w:bodyDiv w:val="1"/>
      <w:marLeft w:val="0"/>
      <w:marRight w:val="0"/>
      <w:marTop w:val="0"/>
      <w:marBottom w:val="0"/>
      <w:divBdr>
        <w:top w:val="none" w:sz="0" w:space="0" w:color="auto"/>
        <w:left w:val="none" w:sz="0" w:space="0" w:color="auto"/>
        <w:bottom w:val="none" w:sz="0" w:space="0" w:color="auto"/>
        <w:right w:val="none" w:sz="0" w:space="0" w:color="auto"/>
      </w:divBdr>
    </w:div>
    <w:div w:id="1401750284">
      <w:bodyDiv w:val="1"/>
      <w:marLeft w:val="0"/>
      <w:marRight w:val="0"/>
      <w:marTop w:val="0"/>
      <w:marBottom w:val="0"/>
      <w:divBdr>
        <w:top w:val="none" w:sz="0" w:space="0" w:color="auto"/>
        <w:left w:val="none" w:sz="0" w:space="0" w:color="auto"/>
        <w:bottom w:val="none" w:sz="0" w:space="0" w:color="auto"/>
        <w:right w:val="none" w:sz="0" w:space="0" w:color="auto"/>
      </w:divBdr>
    </w:div>
    <w:div w:id="1485388562">
      <w:bodyDiv w:val="1"/>
      <w:marLeft w:val="0"/>
      <w:marRight w:val="0"/>
      <w:marTop w:val="0"/>
      <w:marBottom w:val="0"/>
      <w:divBdr>
        <w:top w:val="none" w:sz="0" w:space="0" w:color="auto"/>
        <w:left w:val="none" w:sz="0" w:space="0" w:color="auto"/>
        <w:bottom w:val="none" w:sz="0" w:space="0" w:color="auto"/>
        <w:right w:val="none" w:sz="0" w:space="0" w:color="auto"/>
      </w:divBdr>
    </w:div>
    <w:div w:id="1595355657">
      <w:bodyDiv w:val="1"/>
      <w:marLeft w:val="0"/>
      <w:marRight w:val="0"/>
      <w:marTop w:val="0"/>
      <w:marBottom w:val="0"/>
      <w:divBdr>
        <w:top w:val="none" w:sz="0" w:space="0" w:color="auto"/>
        <w:left w:val="none" w:sz="0" w:space="0" w:color="auto"/>
        <w:bottom w:val="none" w:sz="0" w:space="0" w:color="auto"/>
        <w:right w:val="none" w:sz="0" w:space="0" w:color="auto"/>
      </w:divBdr>
    </w:div>
    <w:div w:id="1699357989">
      <w:bodyDiv w:val="1"/>
      <w:marLeft w:val="0"/>
      <w:marRight w:val="0"/>
      <w:marTop w:val="0"/>
      <w:marBottom w:val="0"/>
      <w:divBdr>
        <w:top w:val="none" w:sz="0" w:space="0" w:color="auto"/>
        <w:left w:val="none" w:sz="0" w:space="0" w:color="auto"/>
        <w:bottom w:val="none" w:sz="0" w:space="0" w:color="auto"/>
        <w:right w:val="none" w:sz="0" w:space="0" w:color="auto"/>
      </w:divBdr>
    </w:div>
    <w:div w:id="1715957567">
      <w:bodyDiv w:val="1"/>
      <w:marLeft w:val="0"/>
      <w:marRight w:val="0"/>
      <w:marTop w:val="0"/>
      <w:marBottom w:val="0"/>
      <w:divBdr>
        <w:top w:val="none" w:sz="0" w:space="0" w:color="auto"/>
        <w:left w:val="none" w:sz="0" w:space="0" w:color="auto"/>
        <w:bottom w:val="none" w:sz="0" w:space="0" w:color="auto"/>
        <w:right w:val="none" w:sz="0" w:space="0" w:color="auto"/>
      </w:divBdr>
    </w:div>
    <w:div w:id="1733389489">
      <w:bodyDiv w:val="1"/>
      <w:marLeft w:val="0"/>
      <w:marRight w:val="0"/>
      <w:marTop w:val="0"/>
      <w:marBottom w:val="0"/>
      <w:divBdr>
        <w:top w:val="none" w:sz="0" w:space="0" w:color="auto"/>
        <w:left w:val="none" w:sz="0" w:space="0" w:color="auto"/>
        <w:bottom w:val="none" w:sz="0" w:space="0" w:color="auto"/>
        <w:right w:val="none" w:sz="0" w:space="0" w:color="auto"/>
      </w:divBdr>
    </w:div>
    <w:div w:id="1764690664">
      <w:bodyDiv w:val="1"/>
      <w:marLeft w:val="0"/>
      <w:marRight w:val="0"/>
      <w:marTop w:val="0"/>
      <w:marBottom w:val="0"/>
      <w:divBdr>
        <w:top w:val="none" w:sz="0" w:space="0" w:color="auto"/>
        <w:left w:val="none" w:sz="0" w:space="0" w:color="auto"/>
        <w:bottom w:val="none" w:sz="0" w:space="0" w:color="auto"/>
        <w:right w:val="none" w:sz="0" w:space="0" w:color="auto"/>
      </w:divBdr>
    </w:div>
    <w:div w:id="1904216091">
      <w:bodyDiv w:val="1"/>
      <w:marLeft w:val="0"/>
      <w:marRight w:val="0"/>
      <w:marTop w:val="0"/>
      <w:marBottom w:val="0"/>
      <w:divBdr>
        <w:top w:val="none" w:sz="0" w:space="0" w:color="auto"/>
        <w:left w:val="none" w:sz="0" w:space="0" w:color="auto"/>
        <w:bottom w:val="none" w:sz="0" w:space="0" w:color="auto"/>
        <w:right w:val="none" w:sz="0" w:space="0" w:color="auto"/>
      </w:divBdr>
    </w:div>
    <w:div w:id="1925646505">
      <w:bodyDiv w:val="1"/>
      <w:marLeft w:val="0"/>
      <w:marRight w:val="0"/>
      <w:marTop w:val="0"/>
      <w:marBottom w:val="0"/>
      <w:divBdr>
        <w:top w:val="none" w:sz="0" w:space="0" w:color="auto"/>
        <w:left w:val="none" w:sz="0" w:space="0" w:color="auto"/>
        <w:bottom w:val="none" w:sz="0" w:space="0" w:color="auto"/>
        <w:right w:val="none" w:sz="0" w:space="0" w:color="auto"/>
      </w:divBdr>
    </w:div>
    <w:div w:id="1946041192">
      <w:bodyDiv w:val="1"/>
      <w:marLeft w:val="0"/>
      <w:marRight w:val="0"/>
      <w:marTop w:val="0"/>
      <w:marBottom w:val="0"/>
      <w:divBdr>
        <w:top w:val="none" w:sz="0" w:space="0" w:color="auto"/>
        <w:left w:val="none" w:sz="0" w:space="0" w:color="auto"/>
        <w:bottom w:val="none" w:sz="0" w:space="0" w:color="auto"/>
        <w:right w:val="none" w:sz="0" w:space="0" w:color="auto"/>
      </w:divBdr>
    </w:div>
    <w:div w:id="2027710273">
      <w:bodyDiv w:val="1"/>
      <w:marLeft w:val="0"/>
      <w:marRight w:val="0"/>
      <w:marTop w:val="0"/>
      <w:marBottom w:val="0"/>
      <w:divBdr>
        <w:top w:val="none" w:sz="0" w:space="0" w:color="auto"/>
        <w:left w:val="none" w:sz="0" w:space="0" w:color="auto"/>
        <w:bottom w:val="none" w:sz="0" w:space="0" w:color="auto"/>
        <w:right w:val="none" w:sz="0" w:space="0" w:color="auto"/>
      </w:divBdr>
    </w:div>
    <w:div w:id="2133673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IAEA\Templates\O365\IAEA%20Blank%20(r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IEEE2006OfficeOnline.xsl" StyleName="IEEE" Version="2006">
  <b:Source>
    <b:Tag>IAE22</b:Tag>
    <b:SourceType>Report</b:SourceType>
    <b:Guid>{C3D67597-FAE0-44BB-9F3D-A09D136EF7D7}</b:Guid>
    <b:Author>
      <b:Author>
        <b:Corporate>IAEA</b:Corporate>
      </b:Author>
    </b:Author>
    <b:Title>IAEA SAFEGUARDS GLOSSARY</b:Title>
    <b:Year>2022</b:Year>
    <b:Publisher>IAEA</b:Publisher>
    <b:City>Vienna</b:City>
    <b:RefOrder>2</b:RefOrder>
  </b:Source>
  <b:Source>
    <b:Tag>IAE23</b:Tag>
    <b:SourceType>Report</b:SourceType>
    <b:Guid>{97736B3E-A4C5-42D7-B062-997BCDE83757}</b:Guid>
    <b:Author>
      <b:Author>
        <b:Corporate>IAEA</b:Corporate>
      </b:Author>
    </b:Author>
    <b:Title>Applicability of IAEA safety standards to non-water cooled reactors and small modular reactors - Safett Report Series No.123</b:Title>
    <b:Year>2023</b:Year>
    <b:Publisher>IAEA</b:Publisher>
    <b:City>Vienna</b:City>
    <b:RefOrder>1</b:RefOrder>
  </b:Source>
  <b:Source>
    <b:Tag>SGu18</b:Tag>
    <b:SourceType>JournalArticle</b:SourceType>
    <b:Guid>{FFC093B8-B0D5-4FE1-96A8-D681486F5CA9}</b:Guid>
    <b:Title>Corrosion in the molten fluoride and chloride salts and materials development for nuclear applications</b:Title>
    <b:Year>2018</b:Year>
    <b:Author>
      <b:Author>
        <b:NameList>
          <b:Person>
            <b:Last>S.Guoa</b:Last>
          </b:Person>
          <b:Person>
            <b:Last>J.Zhanga</b:Last>
          </b:Person>
          <b:Person>
            <b:Last>W.Wub</b:Last>
          </b:Person>
          <b:Person>
            <b:Last>W.Zhoub</b:Last>
          </b:Person>
        </b:NameList>
      </b:Author>
    </b:Author>
    <b:JournalName>Progress in Materials Science</b:JournalName>
    <b:Pages>448-487</b:Pages>
    <b:Volume>97</b:Volume>
    <b:RefOrder>4</b:RefOrder>
  </b:Source>
  <b:Source>
    <b:Tag>EMA22</b:Tag>
    <b:SourceType>JournalArticle</b:SourceType>
    <b:Guid>{E90F5397-0178-4A4D-AFE9-923950178A1A}</b:Guid>
    <b:Author>
      <b:Author>
        <b:NameList>
          <b:Person>
            <b:Last>E.M.A.Frederix</b:Last>
          </b:Person>
        </b:NameList>
      </b:Author>
    </b:Author>
    <b:Title>Estimates of noble metal particle growth in a molten salt reactor</b:Title>
    <b:JournalName>Colloids and Surfaces A: Physicochemical and Engineering Aspects</b:JournalName>
    <b:Year>2022</b:Year>
    <b:Volume>655</b:Volume>
    <b:Issue>130167</b:Issue>
    <b:RefOrder>5</b:RefOrder>
  </b:Source>
  <b:Source>
    <b:Tag>NDu23</b:Tag>
    <b:SourceType>JournalArticle</b:SourceType>
    <b:Guid>{2FB2BD8B-2713-4A6B-B006-62F12F0010DA}</b:Guid>
    <b:Author>
      <b:Author>
        <b:NameList>
          <b:Person>
            <b:Last>N.Dunkle</b:Last>
          </b:Person>
          <b:Person>
            <b:Last>A.Wheeler</b:Last>
          </b:Person>
          <b:Person>
            <b:Last>J.Richardson</b:Last>
          </b:Person>
          <b:Person>
            <b:Last>S.Bogetic</b:Last>
          </b:Person>
          <b:Person>
            <b:Last>O.Chvala</b:Last>
          </b:Person>
          <b:Person>
            <b:Last>S.E.Skutnik</b:Last>
          </b:Person>
        </b:NameList>
      </b:Author>
    </b:Author>
    <b:Title>Plutonium Signatures in Molten-Salt Reactor Off-Gas Tank and Safeguards Considerations</b:Title>
    <b:JournalName>Journal of Nuclear Engineering</b:JournalName>
    <b:Year>2023</b:Year>
    <b:Pages>391-411</b:Pages>
    <b:Volume>4</b:Volume>
    <b:Issue>2</b:Issue>
    <b:RefOrder>9</b:RefOrder>
  </b:Source>
  <b:Source>
    <b:Tag>Rob65</b:Tag>
    <b:SourceType>Report</b:SourceType>
    <b:Guid>{2BCA2A9F-A406-41ED-B249-2287684DA004}</b:Guid>
    <b:Title>MSRE Design and Operations Report Part I: Description of Reactor Design</b:Title>
    <b:Year>1965</b:Year>
    <b:City>Oak Ridge</b:City>
    <b:Publisher>Oak Ridge National Laboratory</b:Publisher>
    <b:Author>
      <b:Author>
        <b:NameList>
          <b:Person>
            <b:Last>Robertson</b:Last>
            <b:First>R.</b:First>
            <b:Middle>C.</b:Middle>
          </b:Person>
        </b:NameList>
      </b:Author>
    </b:Author>
    <b:RefOrder>3</b:RefOrder>
  </b:Source>
  <b:Source>
    <b:Tag>Jia23</b:Tag>
    <b:SourceType>ConferenceProceedings</b:SourceType>
    <b:Guid>{9F033E2B-952D-4545-9E18-4D606239F019}</b:Guid>
    <b:Author>
      <b:Author>
        <b:NameList>
          <b:Person>
            <b:Last>Hu</b:Last>
            <b:First>Jianwei</b:First>
          </b:Person>
          <b:Person>
            <b:Last>Hartanto</b:Last>
            <b:First>Donny</b:First>
          </b:Person>
          <b:Person>
            <b:Last>Venkataraman</b:Last>
            <b:First>Ramkumar</b:First>
          </b:Person>
          <b:Person>
            <b:Last>McElroy</b:Last>
            <b:First>Robert</b:First>
          </b:Person>
        </b:NameList>
      </b:Author>
    </b:Author>
    <b:Title>Identify and Assess Technical Challenges in Safeguards Measurements of Fresh Advanced Reactor Fuels</b:Title>
    <b:Year>2023</b:Year>
    <b:ConferenceName>American Nuclear Society Winter Meeting</b:ConferenceName>
    <b:City>Washington, DC</b:City>
    <b:RefOrder>7</b:RefOrder>
  </b:Source>
  <b:Source>
    <b:Tag>Sha23</b:Tag>
    <b:SourceType>ConferenceProceedings</b:SourceType>
    <b:Guid>{1A460658-2FDB-4F7C-9CD9-E920F74984B7}</b:Guid>
    <b:Title>Radiochemical Transport Analysis to Identify Potential Safeguards Approaches for Molten Salt Reactors</b:Title>
    <b:Year>2023</b:Year>
    <b:City>Washington, DC</b:City>
    <b:Author>
      <b:Author>
        <b:NameList>
          <b:Person>
            <b:Last>Shabazi</b:Last>
            <b:First>Shayan</b:First>
          </b:Person>
          <b:Person>
            <b:Last>Richards</b:Last>
            <b:First>Scott</b:First>
          </b:Person>
          <b:Person>
            <b:Last>Seifert</b:Last>
            <b:First>Luke</b:First>
          </b:Person>
          <b:Person>
            <b:Last>Martinson</b:Last>
            <b:First>Sean</b:First>
          </b:Person>
          <b:Person>
            <b:Last>Beauvais</b:Last>
            <b:First>Zachery</b:First>
            <b:Middle>S.</b:Middle>
          </b:Person>
        </b:NameList>
      </b:Author>
    </b:Author>
    <b:ConferenceName>American Nuclear Socitey Winter Meeting</b:ConferenceName>
    <b:RefOrder>6</b:RefOrder>
  </b:Source>
  <b:Source>
    <b:Tag>Hau70</b:Tag>
    <b:SourceType>Report</b:SourceType>
    <b:Guid>{06390F2B-3BB4-4B81-A65A-ABE11C4CE5EC}</b:Guid>
    <b:Author>
      <b:Author>
        <b:NameList>
          <b:Person>
            <b:Last>Haubenreich</b:Last>
            <b:First>P.</b:First>
            <b:Middle>N.</b:Middle>
          </b:Person>
          <b:Person>
            <b:Last>Engel</b:Last>
            <b:First>J.</b:First>
            <b:Middle>R.</b:Middle>
          </b:Person>
        </b:NameList>
      </b:Author>
    </b:Author>
    <b:Title>Experience with the Molten-Salt Reactor Experiment</b:Title>
    <b:Year>1970</b:Year>
    <b:City>Oak Ridge</b:City>
    <b:Publisher>Oak Ridge National Laboratory</b:Publisher>
    <b:RefOrder>8</b:RefOrder>
  </b:Source>
</b:Sourc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8f52849-dce4-49b1-959e-51e8d1e15033">
      <Terms xmlns="http://schemas.microsoft.com/office/infopath/2007/PartnerControls"/>
    </lcf76f155ced4ddcb4097134ff3c332f>
    <TaxCatchAll xmlns="0a20205c-0631-4ff0-81c6-46eee12fe7e9" xsi:nil="true"/>
    <SharedWithUsers xmlns="3ea7356d-eb79-4cde-a822-302839f86ba7">
      <UserInfo>
        <DisplayName>Veal, Kevin</DisplayName>
        <AccountId>13</AccountId>
        <AccountType/>
      </UserInfo>
      <UserInfo>
        <DisplayName>Smith, Ruth R.</DisplayName>
        <AccountId>14</AccountId>
        <AccountType/>
      </UserInfo>
      <UserInfo>
        <DisplayName>Aranguren Barrado, Begona (CONTR)</DisplayName>
        <AccountId>89</AccountId>
        <AccountType/>
      </UserInfo>
      <UserInfo>
        <DisplayName>Scott, Logan (CONTR)</DisplayName>
        <AccountId>142</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112086490473440BF2001DB84D11813" ma:contentTypeVersion="14" ma:contentTypeDescription="Create a new document." ma:contentTypeScope="" ma:versionID="1e498e6c9f7cce462e96bcc65dddff30">
  <xsd:schema xmlns:xsd="http://www.w3.org/2001/XMLSchema" xmlns:xs="http://www.w3.org/2001/XMLSchema" xmlns:p="http://schemas.microsoft.com/office/2006/metadata/properties" xmlns:ns2="08f52849-dce4-49b1-959e-51e8d1e15033" xmlns:ns3="3ea7356d-eb79-4cde-a822-302839f86ba7" xmlns:ns4="0a20205c-0631-4ff0-81c6-46eee12fe7e9" targetNamespace="http://schemas.microsoft.com/office/2006/metadata/properties" ma:root="true" ma:fieldsID="b53ac7630cfe5e45c0d80c6f0c9ebd2f" ns2:_="" ns3:_="" ns4:_="">
    <xsd:import namespace="08f52849-dce4-49b1-959e-51e8d1e15033"/>
    <xsd:import namespace="3ea7356d-eb79-4cde-a822-302839f86ba7"/>
    <xsd:import namespace="0a20205c-0631-4ff0-81c6-46eee12fe7e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4:TaxCatchAll" minOccurs="0"/>
                <xsd:element ref="ns2:MediaServiceOCR" minOccurs="0"/>
                <xsd:element ref="ns2:MediaServiceGenerationTime" minOccurs="0"/>
                <xsd:element ref="ns2:MediaServiceEventHashCode" minOccurs="0"/>
                <xsd:element ref="ns2:MediaServiceObjectDetectorVersions"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f52849-dce4-49b1-959e-51e8d1e150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6d46bd7-4a58-4bc0-a217-7245e6e7041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ea7356d-eb79-4cde-a822-302839f86ba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a20205c-0631-4ff0-81c6-46eee12fe7e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1ef636a-6f35-43d4-8575-dcae2f27d0e7}" ma:internalName="TaxCatchAll" ma:showField="CatchAllData" ma:web="3ea7356d-eb79-4cde-a822-302839f86b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075CA9B-8CE3-43AA-909D-358816A89DDC}">
  <ds:schemaRefs>
    <ds:schemaRef ds:uri="http://schemas.openxmlformats.org/officeDocument/2006/bibliography"/>
  </ds:schemaRefs>
</ds:datastoreItem>
</file>

<file path=customXml/itemProps2.xml><?xml version="1.0" encoding="utf-8"?>
<ds:datastoreItem xmlns:ds="http://schemas.openxmlformats.org/officeDocument/2006/customXml" ds:itemID="{CD145C43-E186-4CCF-894A-15438F0344BD}">
  <ds:schemaRefs>
    <ds:schemaRef ds:uri="http://schemas.microsoft.com/office/2006/metadata/properties"/>
    <ds:schemaRef ds:uri="http://schemas.microsoft.com/office/infopath/2007/PartnerControls"/>
    <ds:schemaRef ds:uri="08f52849-dce4-49b1-959e-51e8d1e15033"/>
    <ds:schemaRef ds:uri="0a20205c-0631-4ff0-81c6-46eee12fe7e9"/>
    <ds:schemaRef ds:uri="3ea7356d-eb79-4cde-a822-302839f86ba7"/>
  </ds:schemaRefs>
</ds:datastoreItem>
</file>

<file path=customXml/itemProps3.xml><?xml version="1.0" encoding="utf-8"?>
<ds:datastoreItem xmlns:ds="http://schemas.openxmlformats.org/officeDocument/2006/customXml" ds:itemID="{B8FF0660-A0C0-47FE-9ACC-34D65C17A5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f52849-dce4-49b1-959e-51e8d1e15033"/>
    <ds:schemaRef ds:uri="3ea7356d-eb79-4cde-a822-302839f86ba7"/>
    <ds:schemaRef ds:uri="0a20205c-0631-4ff0-81c6-46eee12fe7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3472797-85FB-4EDE-847A-599DB1EE83A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IAEA Blank (r01)</Template>
  <TotalTime>1</TotalTime>
  <Pages>9</Pages>
  <Words>4785</Words>
  <Characters>27281</Characters>
  <Application>Microsoft Office Word</Application>
  <DocSecurity>0</DocSecurity>
  <Lines>227</Lines>
  <Paragraphs>64</Paragraphs>
  <ScaleCrop>false</ScaleCrop>
  <HeadingPairs>
    <vt:vector size="2" baseType="variant">
      <vt:variant>
        <vt:lpstr>Title</vt:lpstr>
      </vt:variant>
      <vt:variant>
        <vt:i4>1</vt:i4>
      </vt:variant>
    </vt:vector>
  </HeadingPairs>
  <TitlesOfParts>
    <vt:vector size="1" baseType="lpstr">
      <vt:lpstr>IAEA</vt:lpstr>
    </vt:vector>
  </TitlesOfParts>
  <Company>IAEA</Company>
  <LinksUpToDate>false</LinksUpToDate>
  <CharactersWithSpaces>32002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IAEA</dc:title>
  <dc:subject/>
  <dc:creator>Gemma Anna Ruffino</dc:creator>
  <cp:keywords/>
  <dc:description/>
  <cp:lastModifiedBy>Scott, Logan (CONTR)</cp:lastModifiedBy>
  <cp:revision>3</cp:revision>
  <cp:lastPrinted>2024-03-19T22:52:00Z</cp:lastPrinted>
  <dcterms:created xsi:type="dcterms:W3CDTF">2024-09-07T01:52:00Z</dcterms:created>
  <dcterms:modified xsi:type="dcterms:W3CDTF">2024-09-07T01:53:00Z</dcterms:modified>
  <cp:category>IAEA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aeaClassification">
    <vt:lpwstr/>
  </property>
  <property fmtid="{D5CDD505-2E9C-101B-9397-08002B2CF9AE}" pid="3" name="IaeaSensitivity">
    <vt:lpwstr/>
  </property>
  <property fmtid="{D5CDD505-2E9C-101B-9397-08002B2CF9AE}" pid="4" name="IaeaDistribution">
    <vt:lpwstr/>
  </property>
  <property fmtid="{D5CDD505-2E9C-101B-9397-08002B2CF9AE}" pid="5" name="IaeaSecurityClassifier">
    <vt:lpwstr/>
  </property>
  <property fmtid="{D5CDD505-2E9C-101B-9397-08002B2CF9AE}" pid="6" name="IaeaClassificationDate">
    <vt:lpwstr/>
  </property>
  <property fmtid="{D5CDD505-2E9C-101B-9397-08002B2CF9AE}" pid="7" name="IaeaTransmission">
    <vt:lpwstr/>
  </property>
  <property fmtid="{D5CDD505-2E9C-101B-9397-08002B2CF9AE}" pid="8" name="IaeaConfidentialAttachments">
    <vt:lpwstr/>
  </property>
  <property fmtid="{D5CDD505-2E9C-101B-9397-08002B2CF9AE}" pid="9" name="Typist">
    <vt:lpwstr>Initials-Ext</vt:lpwstr>
  </property>
  <property fmtid="{D5CDD505-2E9C-101B-9397-08002B2CF9AE}" pid="10" name="IaeaClassification2">
    <vt:lpwstr/>
  </property>
  <property fmtid="{D5CDD505-2E9C-101B-9397-08002B2CF9AE}" pid="11" name="ContentTypeId">
    <vt:lpwstr>0x0101003112086490473440BF2001DB84D11813</vt:lpwstr>
  </property>
  <property fmtid="{D5CDD505-2E9C-101B-9397-08002B2CF9AE}" pid="12" name="MediaServiceImageTags">
    <vt:lpwstr/>
  </property>
  <property fmtid="{D5CDD505-2E9C-101B-9397-08002B2CF9AE}" pid="13" name="Offisync_UniqueId">
    <vt:lpwstr>444333</vt:lpwstr>
  </property>
  <property fmtid="{D5CDD505-2E9C-101B-9397-08002B2CF9AE}" pid="14" name="Offisync_ServerID">
    <vt:lpwstr>1cb63754-bba9-41b9-ac2f-694933b04be2</vt:lpwstr>
  </property>
  <property fmtid="{D5CDD505-2E9C-101B-9397-08002B2CF9AE}" pid="15" name="Offisync_UpdateToken">
    <vt:lpwstr>1</vt:lpwstr>
  </property>
  <property fmtid="{D5CDD505-2E9C-101B-9397-08002B2CF9AE}" pid="16" name="Jive_LatestUserAccountName">
    <vt:lpwstr>mike.j.edmondson@uknnl.com</vt:lpwstr>
  </property>
  <property fmtid="{D5CDD505-2E9C-101B-9397-08002B2CF9AE}" pid="17" name="Offisync_ProviderInitializationData">
    <vt:lpwstr>https://ecosystem.org.uk</vt:lpwstr>
  </property>
  <property fmtid="{D5CDD505-2E9C-101B-9397-08002B2CF9AE}" pid="18" name="Jive_VersionGuid">
    <vt:lpwstr>5b59507d-60ff-4a98-9861-d48a6dae26bf</vt:lpwstr>
  </property>
</Properties>
</file>