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7A3E1587" w:rsidR="00E20E70" w:rsidRPr="000D31F3" w:rsidRDefault="00453486" w:rsidP="00703A32">
      <w:pPr>
        <w:pStyle w:val="Heading1"/>
      </w:pPr>
      <w:r w:rsidRPr="0032223C">
        <w:rPr>
          <w:lang w:val="en-GB"/>
        </w:rPr>
        <w:t>Small Modular Reactors and cogeneration: impact</w:t>
      </w:r>
      <w:r w:rsidR="00703A32">
        <w:rPr>
          <w:lang w:val="en-GB"/>
        </w:rPr>
        <w:t xml:space="preserve"> </w:t>
      </w:r>
      <w:r w:rsidRPr="0032223C">
        <w:rPr>
          <w:lang w:val="en-GB"/>
        </w:rPr>
        <w:t>of</w:t>
      </w:r>
      <w:r w:rsidR="00703A32">
        <w:rPr>
          <w:lang w:val="en-GB"/>
        </w:rPr>
        <w:t xml:space="preserve"> </w:t>
      </w:r>
      <w:r w:rsidRPr="0032223C">
        <w:rPr>
          <w:lang w:val="en-GB"/>
        </w:rPr>
        <w:t xml:space="preserve">steam extraction on power </w:t>
      </w:r>
      <w:r w:rsidRPr="000D31F3">
        <w:t>conversion performance</w:t>
      </w:r>
    </w:p>
    <w:p w14:paraId="4D1B799F" w14:textId="77777777" w:rsidR="00802381" w:rsidRPr="000D31F3" w:rsidRDefault="00802381" w:rsidP="00537496">
      <w:pPr>
        <w:pStyle w:val="Authornameandaffiliation"/>
      </w:pPr>
    </w:p>
    <w:p w14:paraId="32159D0F" w14:textId="1EE497CB" w:rsidR="003B5E0E" w:rsidRPr="00EE55DA" w:rsidRDefault="00921BFF" w:rsidP="00537496">
      <w:pPr>
        <w:pStyle w:val="Authornameandaffiliation"/>
        <w:rPr>
          <w:lang w:val="it-IT"/>
        </w:rPr>
      </w:pPr>
      <w:r w:rsidRPr="00EE55DA">
        <w:rPr>
          <w:lang w:val="it-IT"/>
        </w:rPr>
        <w:t xml:space="preserve">G. C. </w:t>
      </w:r>
      <w:r w:rsidR="001F0982" w:rsidRPr="00EE55DA">
        <w:rPr>
          <w:lang w:val="it-IT"/>
        </w:rPr>
        <w:t>MASOTTI</w:t>
      </w:r>
      <w:r w:rsidRPr="00EE55DA">
        <w:rPr>
          <w:lang w:val="it-IT"/>
        </w:rPr>
        <w:t>, S. LORENZI, M. E. RICOTTI</w:t>
      </w:r>
    </w:p>
    <w:p w14:paraId="02370931" w14:textId="0348C5F3" w:rsidR="00FF386F" w:rsidRPr="00EE55DA" w:rsidRDefault="00D354EE" w:rsidP="00537496">
      <w:pPr>
        <w:pStyle w:val="Authornameandaffiliation"/>
        <w:rPr>
          <w:lang w:val="it-IT"/>
        </w:rPr>
      </w:pPr>
      <w:r w:rsidRPr="00EE55DA">
        <w:rPr>
          <w:lang w:val="it-IT"/>
        </w:rPr>
        <w:t>Politecnico</w:t>
      </w:r>
      <w:r w:rsidR="001F0982" w:rsidRPr="00EE55DA">
        <w:rPr>
          <w:lang w:val="it-IT"/>
        </w:rPr>
        <w:t xml:space="preserve"> di Milano</w:t>
      </w:r>
    </w:p>
    <w:p w14:paraId="14684DE2" w14:textId="42A71BB5" w:rsidR="00FF386F" w:rsidRPr="00EE55DA" w:rsidRDefault="001F0982" w:rsidP="00537496">
      <w:pPr>
        <w:pStyle w:val="Authornameandaffiliation"/>
        <w:rPr>
          <w:lang w:val="it-IT"/>
        </w:rPr>
      </w:pPr>
      <w:r w:rsidRPr="00EE55DA">
        <w:rPr>
          <w:lang w:val="it-IT"/>
        </w:rPr>
        <w:t>Milan</w:t>
      </w:r>
      <w:r w:rsidR="00FF386F" w:rsidRPr="00EE55DA">
        <w:rPr>
          <w:lang w:val="it-IT"/>
        </w:rPr>
        <w:t xml:space="preserve">, </w:t>
      </w:r>
      <w:proofErr w:type="spellStart"/>
      <w:r w:rsidRPr="00EE55DA">
        <w:rPr>
          <w:lang w:val="it-IT"/>
        </w:rPr>
        <w:t>Italy</w:t>
      </w:r>
      <w:proofErr w:type="spellEnd"/>
    </w:p>
    <w:p w14:paraId="0080899C" w14:textId="65D91AD7" w:rsidR="00FF386F" w:rsidRPr="002468E6" w:rsidRDefault="00FF386F" w:rsidP="00537496">
      <w:pPr>
        <w:pStyle w:val="Authornameandaffiliation"/>
        <w:rPr>
          <w:lang w:val="it-IT"/>
        </w:rPr>
      </w:pPr>
      <w:proofErr w:type="gramStart"/>
      <w:r w:rsidRPr="002468E6">
        <w:rPr>
          <w:lang w:val="it-IT"/>
        </w:rPr>
        <w:t>Email</w:t>
      </w:r>
      <w:proofErr w:type="gramEnd"/>
      <w:r w:rsidRPr="002468E6">
        <w:rPr>
          <w:lang w:val="it-IT"/>
        </w:rPr>
        <w:t xml:space="preserve">: </w:t>
      </w:r>
      <w:r w:rsidR="00984713" w:rsidRPr="002468E6">
        <w:rPr>
          <w:lang w:val="it-IT"/>
        </w:rPr>
        <w:t>stefano.lorenzi</w:t>
      </w:r>
      <w:r w:rsidRPr="002468E6">
        <w:rPr>
          <w:lang w:val="it-IT"/>
        </w:rPr>
        <w:t>@</w:t>
      </w:r>
      <w:r w:rsidR="00984713" w:rsidRPr="002468E6">
        <w:rPr>
          <w:lang w:val="it-IT"/>
        </w:rPr>
        <w:t>polimi.it</w:t>
      </w:r>
    </w:p>
    <w:p w14:paraId="2C7F19CB" w14:textId="77777777" w:rsidR="00FF386F" w:rsidRPr="002468E6" w:rsidRDefault="00FF386F" w:rsidP="00984713">
      <w:pPr>
        <w:pStyle w:val="Authornameandaffiliation"/>
        <w:ind w:left="0"/>
        <w:rPr>
          <w:lang w:val="it-IT"/>
        </w:rPr>
      </w:pPr>
    </w:p>
    <w:p w14:paraId="230D4575" w14:textId="77777777" w:rsidR="00647F33" w:rsidRPr="003E0053" w:rsidRDefault="00647F33" w:rsidP="00537496">
      <w:pPr>
        <w:pStyle w:val="Authornameandaffiliation"/>
        <w:rPr>
          <w:b/>
        </w:rPr>
      </w:pPr>
      <w:r w:rsidRPr="003E0053">
        <w:rPr>
          <w:b/>
        </w:rPr>
        <w:t>Abstract</w:t>
      </w:r>
    </w:p>
    <w:p w14:paraId="5EA2EF79" w14:textId="77777777" w:rsidR="00907B87" w:rsidRPr="003E0053" w:rsidRDefault="00907B87" w:rsidP="00537496">
      <w:pPr>
        <w:pStyle w:val="Authornameandaffiliation"/>
        <w:rPr>
          <w:b/>
        </w:rPr>
      </w:pPr>
    </w:p>
    <w:p w14:paraId="44C232B9" w14:textId="1F7B2BE2" w:rsidR="00D840F1" w:rsidRPr="0032223C" w:rsidRDefault="00D840F1" w:rsidP="00F34069">
      <w:pPr>
        <w:pStyle w:val="Abstracttext"/>
        <w:jc w:val="both"/>
        <w:rPr>
          <w:lang w:val="en-GB"/>
        </w:rPr>
      </w:pPr>
      <w:r w:rsidRPr="0032223C">
        <w:rPr>
          <w:lang w:val="en-GB"/>
        </w:rPr>
        <w:t>The evolving energy landscape requires a shift in the operational paradigm of nuclear power plants, traditionally employed as electric power generators, to meet the increasing need for grid flexibility and leverage dispatchable and low-carbon thermal power to decarbonise hard-to-abate processes.</w:t>
      </w:r>
    </w:p>
    <w:p w14:paraId="6920C6DC" w14:textId="77777777" w:rsidR="00D840F1" w:rsidRPr="0032223C" w:rsidRDefault="00D840F1" w:rsidP="00F34069">
      <w:pPr>
        <w:pStyle w:val="Abstracttext"/>
        <w:jc w:val="both"/>
        <w:rPr>
          <w:lang w:val="en-GB"/>
        </w:rPr>
      </w:pPr>
      <w:r w:rsidRPr="0032223C">
        <w:rPr>
          <w:lang w:val="en-GB"/>
        </w:rPr>
        <w:t xml:space="preserve">These requirements can be met by extracting steam from the power conversion cycle to drive non-electric applications, such as high-temperature steam electrolysis for hydrogen production, which is the reference end-use considered in this study. In this work, the impact of different steam extraction and return points in terms of pressure, temperature, and mass flow rate on the performance of the balance of plant of a light-water cooled Small Modular Reactor (SMR) is investigated. The power conversion system of the SMR has been modelled and optimised, aiming to maximise cycle efficiency in response to different cogeneration requirements (up to 36 </w:t>
      </w:r>
      <w:proofErr w:type="spellStart"/>
      <w:r w:rsidRPr="0032223C">
        <w:rPr>
          <w:lang w:val="en-GB"/>
        </w:rPr>
        <w:t>MWth</w:t>
      </w:r>
      <w:proofErr w:type="spellEnd"/>
      <w:r w:rsidRPr="0032223C">
        <w:rPr>
          <w:lang w:val="en-GB"/>
        </w:rPr>
        <w:t>), using the EBSILON Professional tool.</w:t>
      </w:r>
    </w:p>
    <w:p w14:paraId="418AC57B" w14:textId="1A87F213" w:rsidR="00647F33" w:rsidRDefault="00D840F1" w:rsidP="00F34069">
      <w:pPr>
        <w:pStyle w:val="Abstracttext"/>
        <w:jc w:val="both"/>
        <w:rPr>
          <w:lang w:val="en-GB"/>
        </w:rPr>
      </w:pPr>
      <w:r w:rsidRPr="0032223C">
        <w:rPr>
          <w:lang w:val="en-GB"/>
        </w:rPr>
        <w:t xml:space="preserve">The results show that the steam </w:t>
      </w:r>
      <w:r w:rsidR="00756A33">
        <w:rPr>
          <w:lang w:val="en-GB"/>
        </w:rPr>
        <w:t>extraction</w:t>
      </w:r>
      <w:r w:rsidR="00756A33" w:rsidRPr="0032223C">
        <w:rPr>
          <w:lang w:val="en-GB"/>
        </w:rPr>
        <w:t xml:space="preserve"> </w:t>
      </w:r>
      <w:r w:rsidRPr="0032223C">
        <w:rPr>
          <w:lang w:val="en-GB"/>
        </w:rPr>
        <w:t xml:space="preserve">points </w:t>
      </w:r>
      <w:r w:rsidR="00756A33">
        <w:rPr>
          <w:lang w:val="en-GB"/>
        </w:rPr>
        <w:t>upstream</w:t>
      </w:r>
      <w:r w:rsidR="00756A33" w:rsidRPr="0032223C">
        <w:rPr>
          <w:lang w:val="en-GB"/>
        </w:rPr>
        <w:t xml:space="preserve"> </w:t>
      </w:r>
      <w:r w:rsidRPr="0032223C">
        <w:rPr>
          <w:lang w:val="en-GB"/>
        </w:rPr>
        <w:t>of the heat delivery to the end-user have the largest impact on the overall cycle performance. Such analysis offers a general overview of nuclear cogeneration opportunities, providing a quantitative evaluation of the impact of converting an SMR’s balance of plant to drive non-electric applications.</w:t>
      </w:r>
    </w:p>
    <w:p w14:paraId="0F019147" w14:textId="77777777" w:rsidR="00D5470F" w:rsidRPr="0032223C" w:rsidRDefault="00D5470F" w:rsidP="00D5470F">
      <w:pPr>
        <w:pStyle w:val="Abstracttext"/>
        <w:ind w:firstLine="0"/>
        <w:jc w:val="both"/>
        <w:rPr>
          <w:lang w:val="en-GB"/>
        </w:rPr>
      </w:pPr>
    </w:p>
    <w:p w14:paraId="03C6D75B" w14:textId="77777777" w:rsidR="00647F33" w:rsidRPr="0032223C" w:rsidRDefault="00F523CA" w:rsidP="00537496">
      <w:pPr>
        <w:pStyle w:val="Heading2"/>
        <w:numPr>
          <w:ilvl w:val="1"/>
          <w:numId w:val="10"/>
        </w:numPr>
      </w:pPr>
      <w:r w:rsidRPr="0032223C">
        <w:t>INTRODUCTION</w:t>
      </w:r>
    </w:p>
    <w:p w14:paraId="5ADB4F17" w14:textId="42495B59" w:rsidR="00A94D09" w:rsidRDefault="008C6EF6" w:rsidP="00A94D09">
      <w:pPr>
        <w:pStyle w:val="BodyText"/>
      </w:pPr>
      <w:r>
        <w:t>To address</w:t>
      </w:r>
      <w:r w:rsidR="00A94D09">
        <w:t xml:space="preserve"> climate change mitigation objectives, the energy system is facing a radical transformation, transitioning from a heavy reliance on fossil fuels to low-carbon </w:t>
      </w:r>
      <w:r w:rsidR="004B11AD">
        <w:t>alternatives</w:t>
      </w:r>
      <w:r w:rsidR="00A94D09">
        <w:t xml:space="preserve">, including renewable sources and nuclear power. </w:t>
      </w:r>
      <w:r w:rsidR="004B11AD">
        <w:t>However, t</w:t>
      </w:r>
      <w:r w:rsidR="00A94D09">
        <w:t xml:space="preserve">he surge of variable renewable sources, such as wind and solar power, has raised concerns about the stability of the power grid due to their intermittent nature. As a result, </w:t>
      </w:r>
      <w:r w:rsidR="00151345">
        <w:t>the</w:t>
      </w:r>
      <w:r w:rsidR="00A94D09">
        <w:t xml:space="preserve"> increasingly fluctuating load demand </w:t>
      </w:r>
      <w:r w:rsidR="00746AA2">
        <w:t>requires</w:t>
      </w:r>
      <w:r w:rsidR="00A94D09">
        <w:t xml:space="preserve"> </w:t>
      </w:r>
      <w:r w:rsidR="00043BC2">
        <w:t>the deployment</w:t>
      </w:r>
      <w:r w:rsidR="00302993">
        <w:t xml:space="preserve"> of</w:t>
      </w:r>
      <w:r w:rsidR="00043BC2">
        <w:t xml:space="preserve"> </w:t>
      </w:r>
      <w:r w:rsidR="00A94D09">
        <w:t>dispatchable generators</w:t>
      </w:r>
      <w:r w:rsidR="00302993">
        <w:t xml:space="preserve"> like</w:t>
      </w:r>
      <w:r w:rsidR="00A94D09">
        <w:t xml:space="preserve"> nuclear power plants. The latter have been traditionally operated as baseload power sources due to the technical and economic advantages of this operational mode</w:t>
      </w:r>
      <w:r w:rsidR="00DE28F6">
        <w:t xml:space="preserve"> </w:t>
      </w:r>
      <w:r w:rsidR="002B0F70">
        <w:t>[1]</w:t>
      </w:r>
      <w:r w:rsidR="00A94D09">
        <w:t xml:space="preserve">. However, the </w:t>
      </w:r>
      <w:r w:rsidR="00D45C1B">
        <w:t>growing</w:t>
      </w:r>
      <w:r w:rsidR="00A94D09">
        <w:t xml:space="preserve"> demand for flexible operation</w:t>
      </w:r>
      <w:r w:rsidR="00EE63E6">
        <w:t>s</w:t>
      </w:r>
      <w:r w:rsidR="00A94D09">
        <w:t xml:space="preserve"> </w:t>
      </w:r>
      <w:r w:rsidR="00DB15CD">
        <w:t>translates into a revaluation of</w:t>
      </w:r>
      <w:r w:rsidR="00A94D09">
        <w:t xml:space="preserve"> the role of nuclear in the energy transition. A</w:t>
      </w:r>
      <w:r w:rsidR="003350DA">
        <w:t xml:space="preserve">n emerging application </w:t>
      </w:r>
      <w:r w:rsidR="00A94D09">
        <w:t>is the potential integration of nuclear reactor</w:t>
      </w:r>
      <w:r w:rsidR="003350DA">
        <w:t>s</w:t>
      </w:r>
      <w:r w:rsidR="00A94D09">
        <w:t xml:space="preserve"> in a so-called nuclear hybrid energy system (NHES), </w:t>
      </w:r>
      <w:r w:rsidR="000617F0">
        <w:t>where</w:t>
      </w:r>
      <w:r w:rsidR="00A94D09">
        <w:t xml:space="preserve"> the reactor is strongly interconnected</w:t>
      </w:r>
      <w:r w:rsidR="000617F0">
        <w:t>, for example,</w:t>
      </w:r>
      <w:r w:rsidR="00A94D09">
        <w:t xml:space="preserve"> with energy storage devices and non-electric applications. In this context, Small Modular Reactors (SMR) are seen as </w:t>
      </w:r>
      <w:r w:rsidR="00763B79">
        <w:t>particularly well suited</w:t>
      </w:r>
      <w:r w:rsidR="00A94D09">
        <w:t xml:space="preserve"> for this kind of application, mainly </w:t>
      </w:r>
      <w:r w:rsidR="00763B79">
        <w:t>due to their size compatibility with</w:t>
      </w:r>
      <w:r w:rsidR="009C04D4">
        <w:t xml:space="preserve"> the</w:t>
      </w:r>
      <w:r w:rsidR="00A94D09">
        <w:t xml:space="preserve"> industrial processes to be </w:t>
      </w:r>
      <w:r w:rsidR="009C04D4">
        <w:t>integrated</w:t>
      </w:r>
      <w:r w:rsidR="00A94D09">
        <w:t xml:space="preserve"> within the NHES. A key advantage </w:t>
      </w:r>
      <w:r w:rsidR="00C403E4">
        <w:t xml:space="preserve">of </w:t>
      </w:r>
      <w:r w:rsidR="009C04D4">
        <w:t>such</w:t>
      </w:r>
      <w:r w:rsidR="00A94D09">
        <w:t xml:space="preserve"> system</w:t>
      </w:r>
      <w:r w:rsidR="009C04D4">
        <w:t>s</w:t>
      </w:r>
      <w:r w:rsidR="00A94D09">
        <w:t xml:space="preserve"> is the ability to meet variable load demands while operating the reactor at nominal conditions</w:t>
      </w:r>
      <w:r w:rsidR="00C403E4">
        <w:t>;</w:t>
      </w:r>
      <w:r w:rsidR="00A94D09">
        <w:t xml:space="preserve"> specifically, the reactor power can be allocated either for electricity production or to drive non-electric applications according to external demands and market conditions</w:t>
      </w:r>
      <w:r w:rsidR="007F31F1">
        <w:t xml:space="preserve"> [2]</w:t>
      </w:r>
      <w:r w:rsidR="00A94D09">
        <w:t xml:space="preserve">. </w:t>
      </w:r>
    </w:p>
    <w:p w14:paraId="0C2DAE71" w14:textId="607B7F38" w:rsidR="00A94D09" w:rsidRDefault="00A94D09" w:rsidP="00D5470F">
      <w:pPr>
        <w:pStyle w:val="BodyText"/>
      </w:pPr>
      <w:r>
        <w:t>A non-electric application that is drawing particular attention is hydrogen production via high temperature steam electrolysis (HTSE). This technology allows</w:t>
      </w:r>
      <w:r w:rsidR="0063042F">
        <w:t xml:space="preserve"> </w:t>
      </w:r>
      <w:r w:rsidR="00A05A63">
        <w:t>to produce</w:t>
      </w:r>
      <w:r w:rsidR="00757266">
        <w:t xml:space="preserve"> </w:t>
      </w:r>
      <w:r>
        <w:t xml:space="preserve">hydrogen at higher efficiencies compared to conventional low-temperature </w:t>
      </w:r>
      <w:r w:rsidR="00D511BE">
        <w:t>electrolysers</w:t>
      </w:r>
      <w:r>
        <w:t xml:space="preserve"> </w:t>
      </w:r>
      <w:r w:rsidR="00EB2611">
        <w:t>[3]</w:t>
      </w:r>
      <w:r>
        <w:t xml:space="preserve">. In this system, the water splitting process is performed with superheated steam at around 750°C rather than liquid water, which results in the need </w:t>
      </w:r>
      <w:r w:rsidR="002D52A0">
        <w:t>for</w:t>
      </w:r>
      <w:r>
        <w:t xml:space="preserve"> a thermal energy source to ensure full evaporation of the process water</w:t>
      </w:r>
      <w:r w:rsidR="000C0C0B">
        <w:t xml:space="preserve"> and to bring the steam to the required conditions for the </w:t>
      </w:r>
      <w:r w:rsidR="00131D6A">
        <w:t>HTSE</w:t>
      </w:r>
      <w:r>
        <w:t xml:space="preserve">. </w:t>
      </w:r>
      <w:r w:rsidR="008D17CB">
        <w:t xml:space="preserve">The former </w:t>
      </w:r>
      <w:r>
        <w:t xml:space="preserve">heat can be supplied </w:t>
      </w:r>
      <w:r w:rsidR="00D4413F">
        <w:t xml:space="preserve">by </w:t>
      </w:r>
      <w:r>
        <w:t>extracting thermal power from the reactor’s balance of plant</w:t>
      </w:r>
      <w:r w:rsidR="00C425E6">
        <w:t xml:space="preserve"> (BOP)</w:t>
      </w:r>
      <w:r w:rsidR="00974BA0">
        <w:t xml:space="preserve"> and used to increase the process water temperature to up to</w:t>
      </w:r>
      <w:r w:rsidR="004216CC">
        <w:t xml:space="preserve"> around</w:t>
      </w:r>
      <w:r w:rsidR="00974BA0">
        <w:t xml:space="preserve"> 150°C </w:t>
      </w:r>
      <w:r w:rsidR="00FB773A">
        <w:t>[</w:t>
      </w:r>
      <w:r w:rsidR="006A7981">
        <w:t>4</w:t>
      </w:r>
      <w:r w:rsidR="00FB773A">
        <w:t>]</w:t>
      </w:r>
      <w:r>
        <w:t xml:space="preserve">. </w:t>
      </w:r>
      <w:r w:rsidR="00637111">
        <w:t>Ultimately, t</w:t>
      </w:r>
      <w:r>
        <w:t xml:space="preserve">he </w:t>
      </w:r>
      <w:r w:rsidR="002F6777">
        <w:t>electrolyser</w:t>
      </w:r>
      <w:r>
        <w:t xml:space="preserve"> temperature requirements </w:t>
      </w:r>
      <w:r w:rsidR="00637111">
        <w:t>are</w:t>
      </w:r>
      <w:r>
        <w:t xml:space="preserve"> met by increasing the fluid’s temperature through recuperation heat exchangers and electrical heaters. When integrated </w:t>
      </w:r>
      <w:r w:rsidR="002F6777">
        <w:t>within</w:t>
      </w:r>
      <w:r>
        <w:t xml:space="preserve"> a NHES, thermal and electrical power can be allocated for hydrogen production according to external load demands while keeping the reactor running at full power. </w:t>
      </w:r>
      <w:r w:rsidR="00AF6C55">
        <w:t xml:space="preserve">In general, </w:t>
      </w:r>
      <w:r w:rsidR="006D398A">
        <w:t xml:space="preserve">for a HTSE, the </w:t>
      </w:r>
      <w:r w:rsidR="00963C5B">
        <w:t>portion</w:t>
      </w:r>
      <w:r w:rsidR="006D398A">
        <w:t xml:space="preserve"> of electrical power</w:t>
      </w:r>
      <w:r w:rsidR="00575CD4">
        <w:t xml:space="preserve"> needed</w:t>
      </w:r>
      <w:r w:rsidR="006D398A">
        <w:t xml:space="preserve"> </w:t>
      </w:r>
      <w:r w:rsidR="00963C5B">
        <w:t>to drive the electrolyser is significantly higher compared to the required thermal power input</w:t>
      </w:r>
      <w:r w:rsidR="009E6E6F">
        <w:t xml:space="preserve">, </w:t>
      </w:r>
      <w:r w:rsidR="007750E0">
        <w:t xml:space="preserve">resulting in </w:t>
      </w:r>
      <w:r w:rsidR="00C63F24">
        <w:t>the potential integration of megawatt-scale electrolysers requiring a small fraction of thermal power extracted from the BOP</w:t>
      </w:r>
      <w:r w:rsidR="009E004D">
        <w:t xml:space="preserve"> [4]</w:t>
      </w:r>
      <w:r w:rsidR="00C63F24">
        <w:t>.</w:t>
      </w:r>
    </w:p>
    <w:p w14:paraId="36A7672F" w14:textId="30835E68" w:rsidR="00A94D09" w:rsidRDefault="00A94D09" w:rsidP="0018226D">
      <w:pPr>
        <w:pStyle w:val="BodyText"/>
      </w:pPr>
      <w:r>
        <w:lastRenderedPageBreak/>
        <w:t xml:space="preserve">The aim of this study is to investigate the impact of different steam extraction and return points </w:t>
      </w:r>
      <w:r w:rsidR="00F304E4">
        <w:t>o</w:t>
      </w:r>
      <w:r>
        <w:t xml:space="preserve">n the reactor’s balance of plant for different nominal thermal power </w:t>
      </w:r>
      <w:r w:rsidR="00994B8B">
        <w:t>extractions</w:t>
      </w:r>
      <w:r>
        <w:t xml:space="preserve">. A balance of plant architecture for a light-water cooled SMR is proposed and optimised for full power operation, following an adaptation of the plant to account for the steam extraction to drive the hydrogen production process. The objective is to provide a quantitative estimation of the advantages in terms of power conversion performances of extracting steam </w:t>
      </w:r>
      <w:r w:rsidR="00BB0FF4">
        <w:t>at</w:t>
      </w:r>
      <w:r>
        <w:t xml:space="preserve"> one point with respect to another and, similarly, of returning the condensate after heat delivery to the non-electric application </w:t>
      </w:r>
      <w:r w:rsidR="00BB0FF4">
        <w:t>at</w:t>
      </w:r>
      <w:r>
        <w:t xml:space="preserve"> a specific point.</w:t>
      </w:r>
    </w:p>
    <w:p w14:paraId="095582A7" w14:textId="6E4E772A" w:rsidR="00BA6A99" w:rsidRDefault="00BA6A99" w:rsidP="00BA6A99">
      <w:pPr>
        <w:pStyle w:val="Heading2"/>
      </w:pPr>
      <w:r>
        <w:t xml:space="preserve">       The e-smr reactor</w:t>
      </w:r>
    </w:p>
    <w:p w14:paraId="406767CF" w14:textId="06A60833" w:rsidR="00007102" w:rsidRDefault="00007102" w:rsidP="00007102">
      <w:pPr>
        <w:pStyle w:val="BodyText"/>
      </w:pPr>
      <w:r>
        <w:t>The reference nuclear reactor considered in this analysis is a light-water cooled, pressuri</w:t>
      </w:r>
      <w:r w:rsidR="00114AFF">
        <w:t>s</w:t>
      </w:r>
      <w:r>
        <w:t xml:space="preserve">ed Small Modular Reactor (SMR). Specifically, the study is based on the design investigated in Euratom’s ELSMOR project </w:t>
      </w:r>
      <w:r w:rsidR="00701AA1">
        <w:t>[5]</w:t>
      </w:r>
      <w:r>
        <w:t xml:space="preserve">, where a comprehensive description of the thermal-hydraulic characteristics of the conceptual European SMR (E-SMR) design has been conceived. </w:t>
      </w:r>
    </w:p>
    <w:p w14:paraId="3100B5D0" w14:textId="49B8CEF0" w:rsidR="00B93B52" w:rsidRDefault="00007102" w:rsidP="00007102">
      <w:pPr>
        <w:pStyle w:val="BodyText"/>
      </w:pPr>
      <w:r>
        <w:t xml:space="preserve">As an integral pressurised water reactor, all primary components, ranging from the core to the steam generator, are enclosed within the reactor pressure vessel. A module of the latter reactor is anticipated to have a rated thermal power of 540 </w:t>
      </w:r>
      <w:proofErr w:type="spellStart"/>
      <w:r>
        <w:t>MWth</w:t>
      </w:r>
      <w:proofErr w:type="spellEnd"/>
      <w:r>
        <w:t xml:space="preserve"> and an electrical power output of 170 MWe. A plant will be composed of two modules, each with its own turbogenerator. Given that the proposed analysis is limited to the reactor’s balance of plant, the only parameters that have been considered are those related to the steam generator’s secondary side, outlined in T</w:t>
      </w:r>
      <w:r w:rsidR="00C8681B">
        <w:t>able</w:t>
      </w:r>
      <w:r>
        <w:t xml:space="preserve"> 1, which determine the steam conditions driving the power conversion cycle.</w:t>
      </w:r>
    </w:p>
    <w:p w14:paraId="0921BBF8" w14:textId="77777777" w:rsidR="00B93B52" w:rsidRDefault="00B93B52" w:rsidP="00537496">
      <w:pPr>
        <w:pStyle w:val="BodyText"/>
      </w:pPr>
    </w:p>
    <w:p w14:paraId="3B6020B1" w14:textId="7E8AB9A1" w:rsidR="00640807" w:rsidRPr="0032223C" w:rsidRDefault="00640807" w:rsidP="00640807">
      <w:pPr>
        <w:pStyle w:val="BodyText"/>
        <w:ind w:firstLine="0"/>
      </w:pPr>
      <w:r w:rsidRPr="0032223C">
        <w:t>TABLE 1.</w:t>
      </w:r>
      <w:r w:rsidRPr="0032223C">
        <w:tab/>
      </w:r>
      <w:r w:rsidR="009E5FFD">
        <w:t xml:space="preserve">E-SMR </w:t>
      </w:r>
      <w:r w:rsidR="00B40D35">
        <w:t xml:space="preserve">STEAM GENERATOR SECONDARY SIDE </w:t>
      </w:r>
      <w:r w:rsidR="009E5FFD">
        <w:t>MAIN PARAMETERS</w:t>
      </w:r>
      <w:r w:rsidR="000C4FB2">
        <w:t>.</w:t>
      </w:r>
    </w:p>
    <w:p w14:paraId="71D2E9F5" w14:textId="77777777" w:rsidR="00640807" w:rsidRPr="0032223C" w:rsidRDefault="00640807" w:rsidP="00640807">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1741"/>
        <w:gridCol w:w="1742"/>
      </w:tblGrid>
      <w:tr w:rsidR="00640807" w:rsidRPr="0032223C" w14:paraId="3F2CE2DE" w14:textId="77777777" w:rsidTr="00FC46E9">
        <w:trPr>
          <w:jc w:val="center"/>
        </w:trPr>
        <w:tc>
          <w:tcPr>
            <w:tcW w:w="1740" w:type="dxa"/>
            <w:tcBorders>
              <w:top w:val="single" w:sz="4" w:space="0" w:color="auto"/>
              <w:bottom w:val="single" w:sz="4" w:space="0" w:color="auto"/>
            </w:tcBorders>
          </w:tcPr>
          <w:p w14:paraId="43665D08" w14:textId="7D152E94" w:rsidR="00640807" w:rsidRPr="0032223C" w:rsidRDefault="009E5FFD" w:rsidP="00B85AE3">
            <w:pPr>
              <w:pStyle w:val="BodyText"/>
              <w:ind w:firstLine="0"/>
            </w:pPr>
            <w:r>
              <w:t>Parameter</w:t>
            </w:r>
          </w:p>
        </w:tc>
        <w:tc>
          <w:tcPr>
            <w:tcW w:w="1741" w:type="dxa"/>
            <w:tcBorders>
              <w:top w:val="single" w:sz="4" w:space="0" w:color="auto"/>
              <w:bottom w:val="single" w:sz="4" w:space="0" w:color="auto"/>
            </w:tcBorders>
          </w:tcPr>
          <w:p w14:paraId="490BCD81" w14:textId="1BFD2058" w:rsidR="00640807" w:rsidRPr="0032223C" w:rsidRDefault="009E5FFD" w:rsidP="00B85AE3">
            <w:pPr>
              <w:pStyle w:val="BodyText"/>
              <w:ind w:firstLine="0"/>
              <w:jc w:val="center"/>
            </w:pPr>
            <w:r>
              <w:t>Value</w:t>
            </w:r>
          </w:p>
        </w:tc>
        <w:tc>
          <w:tcPr>
            <w:tcW w:w="1742" w:type="dxa"/>
            <w:tcBorders>
              <w:top w:val="single" w:sz="4" w:space="0" w:color="auto"/>
              <w:bottom w:val="single" w:sz="4" w:space="0" w:color="auto"/>
            </w:tcBorders>
          </w:tcPr>
          <w:p w14:paraId="64D7A048" w14:textId="044F9D6D" w:rsidR="00640807" w:rsidRPr="0032223C" w:rsidRDefault="009E5FFD" w:rsidP="00EF6B94">
            <w:pPr>
              <w:pStyle w:val="BodyText"/>
              <w:ind w:firstLine="0"/>
              <w:jc w:val="center"/>
            </w:pPr>
            <w:r>
              <w:t>Unit</w:t>
            </w:r>
          </w:p>
        </w:tc>
      </w:tr>
      <w:tr w:rsidR="00640807" w:rsidRPr="0032223C" w14:paraId="48F686E8" w14:textId="77777777" w:rsidTr="00FC46E9">
        <w:trPr>
          <w:jc w:val="center"/>
        </w:trPr>
        <w:tc>
          <w:tcPr>
            <w:tcW w:w="1740" w:type="dxa"/>
            <w:tcBorders>
              <w:top w:val="single" w:sz="4" w:space="0" w:color="auto"/>
            </w:tcBorders>
          </w:tcPr>
          <w:p w14:paraId="38082A07" w14:textId="6AF39509" w:rsidR="00640807" w:rsidRPr="0032223C" w:rsidRDefault="00B40D35" w:rsidP="00B85AE3">
            <w:pPr>
              <w:pStyle w:val="BodyText"/>
              <w:ind w:firstLine="0"/>
            </w:pPr>
            <w:r>
              <w:rPr>
                <w:rStyle w:val="TabletextChar"/>
              </w:rPr>
              <w:t>Exchanged power</w:t>
            </w:r>
          </w:p>
        </w:tc>
        <w:tc>
          <w:tcPr>
            <w:tcW w:w="1741" w:type="dxa"/>
            <w:tcBorders>
              <w:top w:val="single" w:sz="4" w:space="0" w:color="auto"/>
            </w:tcBorders>
          </w:tcPr>
          <w:p w14:paraId="2C411E0B" w14:textId="0F21DC70" w:rsidR="00640807" w:rsidRPr="0032223C" w:rsidRDefault="009E5FFD" w:rsidP="007D27A9">
            <w:pPr>
              <w:pStyle w:val="BodyText"/>
              <w:ind w:firstLine="0"/>
              <w:jc w:val="right"/>
            </w:pPr>
            <w:r>
              <w:t>540</w:t>
            </w:r>
          </w:p>
        </w:tc>
        <w:tc>
          <w:tcPr>
            <w:tcW w:w="1742" w:type="dxa"/>
            <w:tcBorders>
              <w:top w:val="single" w:sz="4" w:space="0" w:color="auto"/>
            </w:tcBorders>
          </w:tcPr>
          <w:p w14:paraId="592A5B1F" w14:textId="44BD542A" w:rsidR="00640807" w:rsidRPr="0032223C" w:rsidRDefault="009E5FFD" w:rsidP="00EF6B94">
            <w:pPr>
              <w:pStyle w:val="BodyText"/>
              <w:ind w:firstLine="0"/>
              <w:jc w:val="left"/>
            </w:pPr>
            <w:proofErr w:type="spellStart"/>
            <w:r>
              <w:t>MWth</w:t>
            </w:r>
            <w:proofErr w:type="spellEnd"/>
          </w:p>
        </w:tc>
      </w:tr>
      <w:tr w:rsidR="00640807" w:rsidRPr="0032223C" w14:paraId="28BA0481" w14:textId="77777777" w:rsidTr="00FC46E9">
        <w:trPr>
          <w:jc w:val="center"/>
        </w:trPr>
        <w:tc>
          <w:tcPr>
            <w:tcW w:w="1740" w:type="dxa"/>
          </w:tcPr>
          <w:p w14:paraId="34A25989" w14:textId="4524F696" w:rsidR="00486762" w:rsidRPr="0032223C" w:rsidRDefault="00B40D35" w:rsidP="00B85AE3">
            <w:pPr>
              <w:pStyle w:val="BodyText"/>
              <w:ind w:firstLine="0"/>
            </w:pPr>
            <w:r>
              <w:t>Inlet temperature</w:t>
            </w:r>
          </w:p>
        </w:tc>
        <w:tc>
          <w:tcPr>
            <w:tcW w:w="1741" w:type="dxa"/>
          </w:tcPr>
          <w:p w14:paraId="53519BC9" w14:textId="74D45E16" w:rsidR="00640807" w:rsidRPr="0032223C" w:rsidRDefault="00486762" w:rsidP="007D27A9">
            <w:pPr>
              <w:pStyle w:val="BodyText"/>
              <w:ind w:firstLine="0"/>
              <w:jc w:val="right"/>
            </w:pPr>
            <w:r>
              <w:t>163.8</w:t>
            </w:r>
          </w:p>
        </w:tc>
        <w:tc>
          <w:tcPr>
            <w:tcW w:w="1742" w:type="dxa"/>
          </w:tcPr>
          <w:p w14:paraId="7CD23EA4" w14:textId="7B19BADE" w:rsidR="00640807" w:rsidRPr="0032223C" w:rsidRDefault="00486762" w:rsidP="00EF6B94">
            <w:pPr>
              <w:pStyle w:val="BodyText"/>
              <w:ind w:firstLine="0"/>
              <w:jc w:val="left"/>
            </w:pPr>
            <w:r>
              <w:t>°C</w:t>
            </w:r>
          </w:p>
        </w:tc>
      </w:tr>
      <w:tr w:rsidR="00486762" w:rsidRPr="0032223C" w14:paraId="305D4856" w14:textId="77777777" w:rsidTr="00FC46E9">
        <w:trPr>
          <w:jc w:val="center"/>
        </w:trPr>
        <w:tc>
          <w:tcPr>
            <w:tcW w:w="1740" w:type="dxa"/>
          </w:tcPr>
          <w:p w14:paraId="5E851B78" w14:textId="03656A13" w:rsidR="00486762" w:rsidRDefault="00B40D35" w:rsidP="00B85AE3">
            <w:pPr>
              <w:pStyle w:val="BodyText"/>
              <w:ind w:firstLine="0"/>
            </w:pPr>
            <w:r>
              <w:t>Outlet temperature</w:t>
            </w:r>
          </w:p>
        </w:tc>
        <w:tc>
          <w:tcPr>
            <w:tcW w:w="1741" w:type="dxa"/>
          </w:tcPr>
          <w:p w14:paraId="337BBAD6" w14:textId="5F28391A" w:rsidR="00486762" w:rsidRDefault="00486762" w:rsidP="007D27A9">
            <w:pPr>
              <w:pStyle w:val="BodyText"/>
              <w:ind w:firstLine="0"/>
              <w:jc w:val="right"/>
            </w:pPr>
            <w:r>
              <w:t>300</w:t>
            </w:r>
          </w:p>
        </w:tc>
        <w:tc>
          <w:tcPr>
            <w:tcW w:w="1742" w:type="dxa"/>
          </w:tcPr>
          <w:p w14:paraId="2CBB8154" w14:textId="5E6CEC74" w:rsidR="00486762" w:rsidRDefault="00486762" w:rsidP="00EF6B94">
            <w:pPr>
              <w:pStyle w:val="BodyText"/>
              <w:ind w:firstLine="0"/>
              <w:jc w:val="left"/>
            </w:pPr>
            <w:r>
              <w:t>°C</w:t>
            </w:r>
          </w:p>
        </w:tc>
      </w:tr>
      <w:tr w:rsidR="00486762" w:rsidRPr="0032223C" w14:paraId="680C201A" w14:textId="77777777" w:rsidTr="00FC46E9">
        <w:trPr>
          <w:jc w:val="center"/>
        </w:trPr>
        <w:tc>
          <w:tcPr>
            <w:tcW w:w="1740" w:type="dxa"/>
          </w:tcPr>
          <w:p w14:paraId="22B03AF8" w14:textId="1F23A333" w:rsidR="00486762" w:rsidRDefault="00B40D35" w:rsidP="00B85AE3">
            <w:pPr>
              <w:pStyle w:val="BodyText"/>
              <w:ind w:firstLine="0"/>
            </w:pPr>
            <w:r>
              <w:t>Pressure</w:t>
            </w:r>
          </w:p>
        </w:tc>
        <w:tc>
          <w:tcPr>
            <w:tcW w:w="1741" w:type="dxa"/>
          </w:tcPr>
          <w:p w14:paraId="5DD3121C" w14:textId="789DD374" w:rsidR="00486762" w:rsidRDefault="00B40D35" w:rsidP="007D27A9">
            <w:pPr>
              <w:pStyle w:val="BodyText"/>
              <w:ind w:firstLine="0"/>
              <w:jc w:val="right"/>
            </w:pPr>
            <w:r>
              <w:t>45</w:t>
            </w:r>
          </w:p>
        </w:tc>
        <w:tc>
          <w:tcPr>
            <w:tcW w:w="1742" w:type="dxa"/>
          </w:tcPr>
          <w:p w14:paraId="056AAA18" w14:textId="16EF245A" w:rsidR="00486762" w:rsidRDefault="00B40D35" w:rsidP="00EF6B94">
            <w:pPr>
              <w:pStyle w:val="BodyText"/>
              <w:ind w:firstLine="0"/>
              <w:jc w:val="left"/>
            </w:pPr>
            <w:r>
              <w:t>bar</w:t>
            </w:r>
          </w:p>
        </w:tc>
      </w:tr>
    </w:tbl>
    <w:p w14:paraId="35B66C57" w14:textId="77777777" w:rsidR="00A94D09" w:rsidRDefault="00A94D09" w:rsidP="00640807">
      <w:pPr>
        <w:pStyle w:val="BodyText"/>
        <w:ind w:firstLine="0"/>
      </w:pPr>
    </w:p>
    <w:p w14:paraId="059D044F" w14:textId="5C617531" w:rsidR="002C1060" w:rsidRDefault="00B87F33" w:rsidP="002C1060">
      <w:pPr>
        <w:pStyle w:val="Heading2"/>
      </w:pPr>
      <w:r>
        <w:t xml:space="preserve">       </w:t>
      </w:r>
      <w:r w:rsidR="002C1060">
        <w:t xml:space="preserve">balance of plant </w:t>
      </w:r>
      <w:r w:rsidR="00794B33">
        <w:t>architectures</w:t>
      </w:r>
      <w:r>
        <w:t xml:space="preserve"> </w:t>
      </w:r>
      <w:r w:rsidR="002C1060">
        <w:t xml:space="preserve"> </w:t>
      </w:r>
    </w:p>
    <w:p w14:paraId="0C720DA3" w14:textId="78FC2BC4" w:rsidR="00A35066" w:rsidRDefault="00F85E99" w:rsidP="00D3662C">
      <w:pPr>
        <w:pStyle w:val="BodyText"/>
      </w:pPr>
      <w:r>
        <w:t xml:space="preserve">This section provides an overview of the </w:t>
      </w:r>
      <w:r w:rsidR="008D1360">
        <w:t xml:space="preserve">BOP layout considered as a reference, starting from the </w:t>
      </w:r>
      <w:r w:rsidR="00145EF2">
        <w:t>architecture optimi</w:t>
      </w:r>
      <w:r w:rsidR="007E7423">
        <w:t>s</w:t>
      </w:r>
      <w:r w:rsidR="00145EF2">
        <w:t xml:space="preserve">ed for full power operation before presenting the layout encompassing the steam extraction and return points considered in this analysis. </w:t>
      </w:r>
      <w:r w:rsidR="006A67F4">
        <w:t>The architectures</w:t>
      </w:r>
      <w:r w:rsidR="00746C17">
        <w:t xml:space="preserve"> were developed with the EBSILON</w:t>
      </w:r>
      <w:r w:rsidR="00B703F4">
        <w:t>®</w:t>
      </w:r>
      <w:r w:rsidR="00746C17">
        <w:t xml:space="preserve"> Professional tool</w:t>
      </w:r>
      <w:r w:rsidR="003D5276">
        <w:t xml:space="preserve">, a commercial </w:t>
      </w:r>
      <w:r w:rsidR="005708FB">
        <w:t xml:space="preserve">software </w:t>
      </w:r>
      <w:r w:rsidR="00FC23A1">
        <w:t xml:space="preserve">for the simulation of </w:t>
      </w:r>
      <w:r w:rsidR="00750888">
        <w:t>power plants and other thermodynamic systems in both nominal and off-design conditions</w:t>
      </w:r>
      <w:r w:rsidR="00756A33">
        <w:t xml:space="preserve"> [6]</w:t>
      </w:r>
      <w:r w:rsidR="00750888">
        <w:t>.</w:t>
      </w:r>
    </w:p>
    <w:p w14:paraId="2E4278DA" w14:textId="6BDFD2A2" w:rsidR="009D6FC5" w:rsidRDefault="00046C35" w:rsidP="009D6FC5">
      <w:pPr>
        <w:pStyle w:val="Heading3"/>
      </w:pPr>
      <w:r>
        <w:t>BOP architecture for full power operation</w:t>
      </w:r>
    </w:p>
    <w:p w14:paraId="02B52B17" w14:textId="0C5EEE2F" w:rsidR="00046C35" w:rsidRDefault="00A35F0B" w:rsidP="00046C35">
      <w:pPr>
        <w:pStyle w:val="BodyText"/>
      </w:pPr>
      <w:r>
        <w:t xml:space="preserve">The scope of the </w:t>
      </w:r>
      <w:proofErr w:type="gramStart"/>
      <w:r>
        <w:t>aforementioned ELSMOR</w:t>
      </w:r>
      <w:proofErr w:type="gramEnd"/>
      <w:r>
        <w:t xml:space="preserve"> project </w:t>
      </w:r>
      <w:r w:rsidR="00A35066">
        <w:t xml:space="preserve">was mainly devoted to safety analyses of light-water cooled SMRs, </w:t>
      </w:r>
      <w:r w:rsidR="00843EEE">
        <w:t xml:space="preserve">resulting in a dataset centred on the nuclear steam supply system features rather than on the full plant architecture. For this reason, </w:t>
      </w:r>
      <w:r w:rsidR="00EF3361">
        <w:t xml:space="preserve">no reference BOP architecture has been proposed in the framework of this project. </w:t>
      </w:r>
      <w:r w:rsidR="00640EB9">
        <w:t>Nevertheless</w:t>
      </w:r>
      <w:r w:rsidR="00DD6357">
        <w:t>, a BOP architecture tailored to the E-SMR operating conditions</w:t>
      </w:r>
      <w:r w:rsidR="00647EBA">
        <w:t xml:space="preserve">, </w:t>
      </w:r>
      <w:r w:rsidR="00DD6357">
        <w:t>developed with the CYCLOP</w:t>
      </w:r>
      <w:r w:rsidR="00202E2A">
        <w:t xml:space="preserve"> tool</w:t>
      </w:r>
      <w:r w:rsidR="00975464">
        <w:t xml:space="preserve"> </w:t>
      </w:r>
      <w:r w:rsidR="004B556B">
        <w:t>[</w:t>
      </w:r>
      <w:r w:rsidR="0018226D">
        <w:t>7</w:t>
      </w:r>
      <w:r w:rsidR="004B556B">
        <w:t>]</w:t>
      </w:r>
      <w:r w:rsidR="00202E2A">
        <w:t xml:space="preserve">, </w:t>
      </w:r>
      <w:r w:rsidR="00975464">
        <w:t>a software developed by CEA</w:t>
      </w:r>
      <w:r w:rsidR="00000771">
        <w:t xml:space="preserve"> for the optimisation of thermodynamic cycles</w:t>
      </w:r>
      <w:r w:rsidR="00647EBA">
        <w:t>, has been proposed in previous studies</w:t>
      </w:r>
      <w:r w:rsidR="0018226D">
        <w:t xml:space="preserve"> [8]</w:t>
      </w:r>
      <w:r w:rsidR="00000771">
        <w:t xml:space="preserve">. </w:t>
      </w:r>
    </w:p>
    <w:p w14:paraId="50965376" w14:textId="3F65B46D" w:rsidR="008B4BE1" w:rsidRDefault="00CF2C6D" w:rsidP="008B4BE1">
      <w:pPr>
        <w:pStyle w:val="BodyText"/>
      </w:pPr>
      <w:r>
        <w:t xml:space="preserve">The BOP proposed in this work, shown in </w:t>
      </w:r>
      <w:r w:rsidR="007102E1" w:rsidRPr="007102E1">
        <w:fldChar w:fldCharType="begin"/>
      </w:r>
      <w:r w:rsidR="007102E1" w:rsidRPr="007102E1">
        <w:instrText xml:space="preserve"> REF _Ref164517925 \h  \* MERGEFORMAT </w:instrText>
      </w:r>
      <w:r w:rsidR="007102E1" w:rsidRPr="007102E1">
        <w:fldChar w:fldCharType="separate"/>
      </w:r>
      <w:r w:rsidR="007102E1" w:rsidRPr="007102E1">
        <w:t>F</w:t>
      </w:r>
      <w:r w:rsidR="007102E1">
        <w:t>ig</w:t>
      </w:r>
      <w:r w:rsidR="007102E1" w:rsidRPr="007102E1">
        <w:t xml:space="preserve">. </w:t>
      </w:r>
      <w:r w:rsidR="007102E1" w:rsidRPr="007102E1">
        <w:rPr>
          <w:noProof/>
        </w:rPr>
        <w:t>1</w:t>
      </w:r>
      <w:r w:rsidR="007102E1" w:rsidRPr="007102E1">
        <w:fldChar w:fldCharType="end"/>
      </w:r>
      <w:r>
        <w:t xml:space="preserve">, </w:t>
      </w:r>
      <w:r w:rsidR="00736D5B">
        <w:t xml:space="preserve">has been built </w:t>
      </w:r>
      <w:r w:rsidR="003C1D28">
        <w:t xml:space="preserve">considering the architecture developed in the latter </w:t>
      </w:r>
      <w:r w:rsidR="002468E6">
        <w:t>stu</w:t>
      </w:r>
      <w:r w:rsidR="003F1F74">
        <w:t>dies</w:t>
      </w:r>
      <w:r w:rsidR="003C1D28">
        <w:t xml:space="preserve"> as </w:t>
      </w:r>
      <w:r w:rsidR="00F854E3">
        <w:t>a reference (</w:t>
      </w:r>
      <w:r w:rsidR="00930B75">
        <w:t>for example</w:t>
      </w:r>
      <w:r w:rsidR="00F854E3">
        <w:t>, in terms of</w:t>
      </w:r>
      <w:r w:rsidR="00ED227D">
        <w:t xml:space="preserve"> the</w:t>
      </w:r>
      <w:r w:rsidR="00F854E3">
        <w:t xml:space="preserve"> number of feedwater preheaters), </w:t>
      </w:r>
      <w:r w:rsidR="001E4C1D">
        <w:t xml:space="preserve">tailoring it </w:t>
      </w:r>
      <w:r w:rsidR="00BA1FA6">
        <w:t>to the scope of this analysis,</w:t>
      </w:r>
      <w:r w:rsidR="003404BF">
        <w:t xml:space="preserve"> i.e., in </w:t>
      </w:r>
      <w:r w:rsidR="0043116E">
        <w:t xml:space="preserve">the spirit of </w:t>
      </w:r>
      <w:r w:rsidR="00B93CD2">
        <w:t xml:space="preserve">having a </w:t>
      </w:r>
      <w:r w:rsidR="00276432">
        <w:t xml:space="preserve">framework </w:t>
      </w:r>
      <w:r w:rsidR="00C120EB">
        <w:t xml:space="preserve">to facilitate the </w:t>
      </w:r>
      <w:r w:rsidR="00F37091">
        <w:t>analysis of se</w:t>
      </w:r>
      <w:r w:rsidR="00146460">
        <w:t xml:space="preserve">veral steam extraction and return points with minimal modifications </w:t>
      </w:r>
      <w:r w:rsidR="00150BD8">
        <w:t>to</w:t>
      </w:r>
      <w:r w:rsidR="00146460">
        <w:t xml:space="preserve"> the reference architecture.</w:t>
      </w:r>
      <w:r w:rsidR="007260BE">
        <w:t xml:space="preserve"> </w:t>
      </w:r>
      <w:r w:rsidR="003C0E4E">
        <w:t xml:space="preserve">The main components on which the proposed design is built are the </w:t>
      </w:r>
      <w:r w:rsidR="008B4BE1">
        <w:t>following:</w:t>
      </w:r>
    </w:p>
    <w:p w14:paraId="7D7261F0" w14:textId="03047EA7" w:rsidR="008B4BE1" w:rsidRDefault="008B4BE1" w:rsidP="008B4BE1">
      <w:pPr>
        <w:pStyle w:val="ListEmdash"/>
      </w:pPr>
      <w:r>
        <w:lastRenderedPageBreak/>
        <w:t xml:space="preserve">A steam generator, whose operating conditions on the secondary side are </w:t>
      </w:r>
      <w:r w:rsidR="00C574C0">
        <w:t xml:space="preserve">provided in the </w:t>
      </w:r>
      <w:r w:rsidR="00D34F1C">
        <w:t xml:space="preserve">E-SMR dataset. </w:t>
      </w:r>
      <w:r w:rsidR="009E5762">
        <w:t xml:space="preserve">This component has been modelled with EBSILON’s </w:t>
      </w:r>
      <w:r w:rsidR="009E5762" w:rsidRPr="009E5762">
        <w:rPr>
          <w:i/>
          <w:iCs/>
        </w:rPr>
        <w:t>Steam Generator</w:t>
      </w:r>
      <w:r w:rsidR="009E5762">
        <w:rPr>
          <w:i/>
          <w:iCs/>
        </w:rPr>
        <w:t xml:space="preserve"> </w:t>
      </w:r>
      <w:r w:rsidR="009E5762">
        <w:t xml:space="preserve">component, </w:t>
      </w:r>
      <w:r w:rsidR="00112509">
        <w:t>imposing the required fluid conditions in terms of outlet temperature and pressure and the exchanged thermal power.</w:t>
      </w:r>
    </w:p>
    <w:p w14:paraId="43DB9283" w14:textId="25742945" w:rsidR="00112509" w:rsidRDefault="002E444C" w:rsidP="008B4BE1">
      <w:pPr>
        <w:pStyle w:val="ListEmdash"/>
      </w:pPr>
      <w:r>
        <w:t>A high-pressure (HP) and low-pressure (LP) turbine,</w:t>
      </w:r>
      <w:r w:rsidR="008777B9">
        <w:t xml:space="preserve"> both divided</w:t>
      </w:r>
      <w:r w:rsidR="00CD7053">
        <w:t xml:space="preserve"> in</w:t>
      </w:r>
      <w:r w:rsidR="00327981">
        <w:t>to</w:t>
      </w:r>
      <w:r w:rsidR="00CD7053">
        <w:t xml:space="preserve"> two stages</w:t>
      </w:r>
      <w:r>
        <w:t xml:space="preserve"> </w:t>
      </w:r>
      <w:r w:rsidR="006D23D9">
        <w:t xml:space="preserve">represented by the </w:t>
      </w:r>
      <w:r w:rsidR="006D23D9" w:rsidRPr="006D23D9">
        <w:rPr>
          <w:i/>
          <w:iCs/>
        </w:rPr>
        <w:t>Steam Turbine</w:t>
      </w:r>
      <w:r w:rsidR="00CE49B4">
        <w:rPr>
          <w:i/>
          <w:iCs/>
        </w:rPr>
        <w:t xml:space="preserve"> (SCC)</w:t>
      </w:r>
      <w:r w:rsidR="006D23D9">
        <w:t xml:space="preserve"> component, </w:t>
      </w:r>
      <w:r w:rsidR="00732BA7">
        <w:t xml:space="preserve">are used to convert the </w:t>
      </w:r>
      <w:r w:rsidR="00EB4D09">
        <w:t xml:space="preserve">thermal energy of the fluid into mechanical energy. </w:t>
      </w:r>
      <w:r w:rsidR="00E3456F">
        <w:t>For each stage, a</w:t>
      </w:r>
      <w:r w:rsidR="003C6BD7">
        <w:t xml:space="preserve"> dry</w:t>
      </w:r>
      <w:r w:rsidR="00E3456F">
        <w:t xml:space="preserve"> isentropic efficiency of 0.88 is assumed. </w:t>
      </w:r>
      <w:r w:rsidR="003D3B99">
        <w:t xml:space="preserve">Moreover, the component’s model allows for the specification of the number of steam ports </w:t>
      </w:r>
      <w:r w:rsidR="00171E82">
        <w:t>at the outlet</w:t>
      </w:r>
      <w:r w:rsidR="002B70D2">
        <w:t>: in the full power architecture, additional ports are present both in</w:t>
      </w:r>
      <w:r w:rsidR="00DD63F7">
        <w:t xml:space="preserve"> the</w:t>
      </w:r>
      <w:r w:rsidR="002B70D2">
        <w:t xml:space="preserve"> </w:t>
      </w:r>
      <w:r w:rsidR="002F3C57">
        <w:t>HP and LP stage</w:t>
      </w:r>
      <w:r w:rsidR="00CD7053">
        <w:t>s</w:t>
      </w:r>
      <w:r w:rsidR="002F3C57">
        <w:t xml:space="preserve"> to consider</w:t>
      </w:r>
      <w:r w:rsidR="00C122FC">
        <w:t xml:space="preserve"> the steam bleeding to the</w:t>
      </w:r>
      <w:r w:rsidR="00D93FB1">
        <w:t xml:space="preserve"> HP and LP</w:t>
      </w:r>
      <w:r w:rsidR="00C122FC">
        <w:t xml:space="preserve"> </w:t>
      </w:r>
      <w:r w:rsidR="005C06F3">
        <w:t>feedwater preheater</w:t>
      </w:r>
      <w:r w:rsidR="00DD63F7">
        <w:t>s</w:t>
      </w:r>
      <w:r w:rsidR="005C06F3">
        <w:t>.</w:t>
      </w:r>
    </w:p>
    <w:p w14:paraId="35AC593A" w14:textId="79237AD5" w:rsidR="005C06F3" w:rsidRDefault="005C06F3" w:rsidP="008B4BE1">
      <w:pPr>
        <w:pStyle w:val="ListEmdash"/>
      </w:pPr>
      <w:r>
        <w:t xml:space="preserve">The latter components, together with </w:t>
      </w:r>
      <w:r w:rsidR="00D93FB1">
        <w:t>the reheater located between the two turbine</w:t>
      </w:r>
      <w:r w:rsidR="00CC04D8">
        <w:t>s</w:t>
      </w:r>
      <w:r w:rsidR="00D93FB1">
        <w:t xml:space="preserve">, </w:t>
      </w:r>
      <w:r w:rsidR="001969BA">
        <w:t xml:space="preserve">have been modelled </w:t>
      </w:r>
      <w:r w:rsidR="00224840">
        <w:t>using</w:t>
      </w:r>
      <w:r w:rsidR="000F0D3A">
        <w:t xml:space="preserve"> EBSILON’s </w:t>
      </w:r>
      <w:r w:rsidR="00064613" w:rsidRPr="00064613">
        <w:rPr>
          <w:i/>
          <w:iCs/>
        </w:rPr>
        <w:t>Feed Water Preheater / Heating Condenser</w:t>
      </w:r>
      <w:r w:rsidR="00064613">
        <w:rPr>
          <w:i/>
          <w:iCs/>
        </w:rPr>
        <w:t xml:space="preserve"> </w:t>
      </w:r>
      <w:r w:rsidR="00064613">
        <w:t xml:space="preserve">component, </w:t>
      </w:r>
      <w:r w:rsidR="00A93B6C">
        <w:t xml:space="preserve">which imposes full condensation on the heat exchanger’s hot side, </w:t>
      </w:r>
      <w:r w:rsidR="002C40FD">
        <w:t>which translate</w:t>
      </w:r>
      <w:r w:rsidR="00924A6A">
        <w:t>s</w:t>
      </w:r>
      <w:r w:rsidR="002C40FD">
        <w:t xml:space="preserve"> into a saturated liquid outlet, and a user-defined </w:t>
      </w:r>
      <w:r w:rsidR="00EF5405" w:rsidRPr="00EF5405">
        <w:t>upper terminal temperature difference</w:t>
      </w:r>
      <w:r w:rsidR="0047424C">
        <w:t xml:space="preserve">, assumed to be 5°C </w:t>
      </w:r>
      <w:r w:rsidR="00594303">
        <w:t>for</w:t>
      </w:r>
      <w:r w:rsidR="0047424C">
        <w:t xml:space="preserve"> each heat exchanger.</w:t>
      </w:r>
    </w:p>
    <w:p w14:paraId="75011977" w14:textId="0229DA62" w:rsidR="00E47F8B" w:rsidRPr="00E47F8B" w:rsidRDefault="0067007C" w:rsidP="008B4BE1">
      <w:pPr>
        <w:pStyle w:val="ListEmdash"/>
        <w:rPr>
          <w:i/>
          <w:iCs/>
        </w:rPr>
      </w:pPr>
      <w:r>
        <w:t xml:space="preserve">The </w:t>
      </w:r>
      <w:r w:rsidR="00310744" w:rsidRPr="00310744">
        <w:rPr>
          <w:i/>
          <w:iCs/>
        </w:rPr>
        <w:t>Control Valve</w:t>
      </w:r>
      <w:r w:rsidR="00310744">
        <w:rPr>
          <w:i/>
          <w:iCs/>
        </w:rPr>
        <w:t xml:space="preserve"> </w:t>
      </w:r>
      <w:r w:rsidR="00310744">
        <w:t xml:space="preserve">component </w:t>
      </w:r>
      <w:r w:rsidR="00C318AF">
        <w:t xml:space="preserve">has been selected to model the turbine admission valve for the HP and LP </w:t>
      </w:r>
      <w:r w:rsidR="00CC04D8">
        <w:t>turbines</w:t>
      </w:r>
      <w:r w:rsidR="00C318AF">
        <w:t xml:space="preserve">. </w:t>
      </w:r>
      <w:r w:rsidR="008E688D">
        <w:t xml:space="preserve">These components, which </w:t>
      </w:r>
      <w:r w:rsidR="00A21E98">
        <w:t xml:space="preserve">lead to a pressure drop of 1 bar </w:t>
      </w:r>
      <w:r w:rsidR="00BF76E1">
        <w:t>for</w:t>
      </w:r>
      <w:r w:rsidR="00A21E98">
        <w:t xml:space="preserve"> the fluid entering </w:t>
      </w:r>
      <w:r w:rsidR="00995915">
        <w:t xml:space="preserve">the turbines, play a fundamental role in terms of flexible operation: </w:t>
      </w:r>
      <w:r w:rsidR="001307D7">
        <w:t xml:space="preserve">the </w:t>
      </w:r>
      <w:r w:rsidR="005531FD">
        <w:t>electrical power output</w:t>
      </w:r>
      <w:r w:rsidR="00A21A66">
        <w:t>,</w:t>
      </w:r>
      <w:r w:rsidR="005531FD">
        <w:t xml:space="preserve"> or, </w:t>
      </w:r>
      <w:r w:rsidR="001D41ED">
        <w:t xml:space="preserve">in the case of </w:t>
      </w:r>
      <w:r w:rsidR="007C30D6">
        <w:t xml:space="preserve">an </w:t>
      </w:r>
      <w:r w:rsidR="001D41ED">
        <w:t>SMR</w:t>
      </w:r>
      <w:r w:rsidR="007C30D6">
        <w:t xml:space="preserve"> operated in cogeneration mode</w:t>
      </w:r>
      <w:r w:rsidR="001D41ED">
        <w:t xml:space="preserve">, the thermal power delivered to the </w:t>
      </w:r>
      <w:r w:rsidR="00A07719">
        <w:t>non-electric application, can be adjusted according to the demand with the support of these valves</w:t>
      </w:r>
      <w:r w:rsidR="00545268">
        <w:t>.</w:t>
      </w:r>
    </w:p>
    <w:p w14:paraId="19C10D97" w14:textId="0C9CAA0F" w:rsidR="0047424C" w:rsidRPr="00DF5CC6" w:rsidRDefault="00E47F8B" w:rsidP="008B4BE1">
      <w:pPr>
        <w:pStyle w:val="ListEmdash"/>
        <w:rPr>
          <w:i/>
          <w:iCs/>
        </w:rPr>
      </w:pPr>
      <w:r>
        <w:t>The wet steam</w:t>
      </w:r>
      <w:r w:rsidR="001B5B9C">
        <w:t xml:space="preserve"> at the outlet of the </w:t>
      </w:r>
      <w:r w:rsidR="003438A2">
        <w:t xml:space="preserve">HP turbine </w:t>
      </w:r>
      <w:r w:rsidR="00531118">
        <w:t xml:space="preserve">is dried in a moisture separator, </w:t>
      </w:r>
      <w:r w:rsidR="00DF5CC6">
        <w:t xml:space="preserve">simulated through the </w:t>
      </w:r>
      <w:r w:rsidR="00DF5CC6" w:rsidRPr="00DF5CC6">
        <w:rPr>
          <w:i/>
          <w:iCs/>
        </w:rPr>
        <w:t>Drain</w:t>
      </w:r>
      <w:r w:rsidR="00DF5CC6">
        <w:t xml:space="preserve"> component.</w:t>
      </w:r>
    </w:p>
    <w:p w14:paraId="68B74341" w14:textId="5A6DE517" w:rsidR="00DF5CC6" w:rsidRPr="006068CB" w:rsidRDefault="00D4273A" w:rsidP="008B4BE1">
      <w:pPr>
        <w:pStyle w:val="ListEmdash"/>
        <w:rPr>
          <w:i/>
          <w:iCs/>
        </w:rPr>
      </w:pPr>
      <w:r>
        <w:t xml:space="preserve">A condenser, modelled with the </w:t>
      </w:r>
      <w:r w:rsidRPr="0047332B">
        <w:rPr>
          <w:i/>
          <w:iCs/>
        </w:rPr>
        <w:t xml:space="preserve">Steam </w:t>
      </w:r>
      <w:r w:rsidR="0047332B" w:rsidRPr="0047332B">
        <w:rPr>
          <w:i/>
          <w:iCs/>
        </w:rPr>
        <w:t>Turbine Condenser</w:t>
      </w:r>
      <w:r w:rsidR="0047332B">
        <w:rPr>
          <w:i/>
          <w:iCs/>
        </w:rPr>
        <w:t xml:space="preserve"> </w:t>
      </w:r>
      <w:r w:rsidR="0047332B">
        <w:t xml:space="preserve">component, is located at the LP turbine stage outlet. </w:t>
      </w:r>
      <w:r w:rsidR="00171CC6">
        <w:t>This component is used to fix the condensation pressure</w:t>
      </w:r>
      <w:r w:rsidR="00F446BD">
        <w:t xml:space="preserve"> at 0.07 bar</w:t>
      </w:r>
      <w:r w:rsidR="00171CC6">
        <w:t xml:space="preserve"> and imposes saturated liquid conditions at the </w:t>
      </w:r>
      <w:r w:rsidR="006068CB">
        <w:t>hot side outlet.</w:t>
      </w:r>
    </w:p>
    <w:p w14:paraId="1FE8C79F" w14:textId="12027BBA" w:rsidR="006068CB" w:rsidRPr="002D2377" w:rsidRDefault="00BB7BEB" w:rsidP="006068CB">
      <w:pPr>
        <w:pStyle w:val="ListEmdash"/>
        <w:rPr>
          <w:i/>
          <w:iCs/>
        </w:rPr>
      </w:pPr>
      <w:r>
        <w:t xml:space="preserve">The pressure in the feedwater line </w:t>
      </w:r>
      <w:r w:rsidR="00A74B0F">
        <w:t xml:space="preserve">is increased from the condenser pressure up to the steam generator inlet pressure by a HP and LP pump, represented by EBSILON’s </w:t>
      </w:r>
      <w:r w:rsidR="00A74B0F" w:rsidRPr="00A74B0F">
        <w:rPr>
          <w:i/>
          <w:iCs/>
        </w:rPr>
        <w:t>Pump</w:t>
      </w:r>
      <w:r w:rsidR="00A74B0F">
        <w:t xml:space="preserve"> component. </w:t>
      </w:r>
      <w:r w:rsidR="009C4D7F">
        <w:t>These machines will absorb a portion of the electrical power produced by the plant</w:t>
      </w:r>
      <w:r w:rsidR="002D2377">
        <w:t xml:space="preserve">, which has </w:t>
      </w:r>
      <w:r w:rsidR="007B59ED">
        <w:t xml:space="preserve">not </w:t>
      </w:r>
      <w:r w:rsidR="002D2377">
        <w:t>been accounted for in the proposed analysis.</w:t>
      </w:r>
    </w:p>
    <w:p w14:paraId="7F0898F4" w14:textId="5460F9DF" w:rsidR="008B4BE1" w:rsidRDefault="0075246E" w:rsidP="00046C35">
      <w:pPr>
        <w:pStyle w:val="ListEmdash"/>
      </w:pPr>
      <w:r>
        <w:t xml:space="preserve">Various streams, including the </w:t>
      </w:r>
      <w:r w:rsidR="00671276">
        <w:t>condensate at the HP preheater a</w:t>
      </w:r>
      <w:r w:rsidR="0057235C">
        <w:t>nd reheater hot side outlet as well as the liquid drained in the moisture separator, are mixed with the main feedwater flow in</w:t>
      </w:r>
      <w:r w:rsidR="00E01611">
        <w:t xml:space="preserve"> a</w:t>
      </w:r>
      <w:r w:rsidR="0057235C">
        <w:t xml:space="preserve"> </w:t>
      </w:r>
      <w:r w:rsidR="00166A6B">
        <w:t>feedwater tank</w:t>
      </w:r>
      <w:r w:rsidR="00E01611">
        <w:t xml:space="preserve">, simulated with the support of the </w:t>
      </w:r>
      <w:r w:rsidR="00235B7B" w:rsidRPr="00235B7B">
        <w:rPr>
          <w:i/>
          <w:iCs/>
        </w:rPr>
        <w:t>Water Tank</w:t>
      </w:r>
      <w:r w:rsidR="00235B7B">
        <w:t xml:space="preserve"> component.</w:t>
      </w:r>
    </w:p>
    <w:p w14:paraId="1C7F9391" w14:textId="673614AE" w:rsidR="00046C35" w:rsidRDefault="00F0525D" w:rsidP="00F0525D">
      <w:pPr>
        <w:pStyle w:val="BodyText"/>
        <w:ind w:firstLine="0"/>
      </w:pPr>
      <w:r>
        <w:t>The operational points in the thermodynamic cycle</w:t>
      </w:r>
      <w:r w:rsidR="0095256E">
        <w:t xml:space="preserve"> </w:t>
      </w:r>
      <w:r w:rsidR="00BB0826">
        <w:t>have been determined through an optimi</w:t>
      </w:r>
      <w:r w:rsidR="00D91084">
        <w:t>s</w:t>
      </w:r>
      <w:r w:rsidR="00BB0826">
        <w:t xml:space="preserve">ation of the cycle, </w:t>
      </w:r>
      <w:r w:rsidR="00456220">
        <w:t>set up to maximi</w:t>
      </w:r>
      <w:r w:rsidR="00D91084">
        <w:t>s</w:t>
      </w:r>
      <w:r w:rsidR="00456220">
        <w:t>e the electrical power output</w:t>
      </w:r>
      <w:r w:rsidR="005D24B7">
        <w:t>, and thus the efficiency,</w:t>
      </w:r>
      <w:r w:rsidR="00456220">
        <w:t xml:space="preserve"> of the cycle. </w:t>
      </w:r>
      <w:r w:rsidR="00A24382">
        <w:t>The selected optimi</w:t>
      </w:r>
      <w:r w:rsidR="00D91084">
        <w:t>s</w:t>
      </w:r>
      <w:r w:rsidR="00A24382">
        <w:t>ation variables were the pressure levels between two turbine stages,</w:t>
      </w:r>
      <w:r w:rsidR="00960D8D">
        <w:t xml:space="preserve"> which </w:t>
      </w:r>
      <w:r w:rsidR="00C236EB">
        <w:t xml:space="preserve">will </w:t>
      </w:r>
      <w:r w:rsidR="001C1E9C">
        <w:t xml:space="preserve">have a key role </w:t>
      </w:r>
      <w:r w:rsidR="00372D07">
        <w:t>in the perspective of</w:t>
      </w:r>
      <w:r w:rsidR="007469EA">
        <w:t xml:space="preserve"> steam extraction </w:t>
      </w:r>
      <w:r w:rsidR="00C236EB">
        <w:t>for cogeneration purposes.</w:t>
      </w:r>
      <w:r w:rsidR="00C768D7">
        <w:t xml:space="preserve"> </w:t>
      </w:r>
      <w:r w:rsidR="00CB5401">
        <w:t>A genetic algorithm optimi</w:t>
      </w:r>
      <w:r w:rsidR="008A6D4B">
        <w:t>s</w:t>
      </w:r>
      <w:r w:rsidR="00CB5401">
        <w:t xml:space="preserve">ation, included in </w:t>
      </w:r>
      <w:r w:rsidR="008D127B">
        <w:t>EBSILON’s</w:t>
      </w:r>
      <w:r w:rsidR="00CB5401">
        <w:t xml:space="preserve"> </w:t>
      </w:r>
      <w:proofErr w:type="spellStart"/>
      <w:r w:rsidR="00CB5401">
        <w:t>EbsOptimize</w:t>
      </w:r>
      <w:proofErr w:type="spellEnd"/>
      <w:r w:rsidR="00CB5401">
        <w:t xml:space="preserve"> module</w:t>
      </w:r>
      <w:r w:rsidR="008D127B">
        <w:t xml:space="preserve">, has been adopted to determine the </w:t>
      </w:r>
      <w:r w:rsidR="005D24B7">
        <w:t>opt</w:t>
      </w:r>
      <w:r w:rsidR="00564A85">
        <w:t xml:space="preserve">imal values of the latter variables. </w:t>
      </w:r>
      <w:r w:rsidR="00C768D7">
        <w:t xml:space="preserve">The </w:t>
      </w:r>
      <w:r w:rsidR="00F42528">
        <w:t>optimi</w:t>
      </w:r>
      <w:r w:rsidR="008A6D4B">
        <w:t>s</w:t>
      </w:r>
      <w:r w:rsidR="00F42528">
        <w:t xml:space="preserve">ation resulted in a gross power output of </w:t>
      </w:r>
      <w:r w:rsidR="00611F4A">
        <w:t>17</w:t>
      </w:r>
      <w:r w:rsidR="00454A12">
        <w:t>5</w:t>
      </w:r>
      <w:r w:rsidR="00121CC5">
        <w:t>.3</w:t>
      </w:r>
      <w:r w:rsidR="00324D60">
        <w:t>2</w:t>
      </w:r>
      <w:r w:rsidR="00611F4A">
        <w:t xml:space="preserve"> MWe</w:t>
      </w:r>
      <w:r w:rsidR="001026E8">
        <w:t xml:space="preserve"> and a cycle efficiency of 3</w:t>
      </w:r>
      <w:r w:rsidR="006340A1">
        <w:t>2.5</w:t>
      </w:r>
      <w:r w:rsidR="001026E8">
        <w:t xml:space="preserve">%, in line with the </w:t>
      </w:r>
      <w:r w:rsidR="00FB4674">
        <w:t xml:space="preserve">anticipated </w:t>
      </w:r>
      <w:r w:rsidR="001026E8">
        <w:t xml:space="preserve">nominal power </w:t>
      </w:r>
      <w:r w:rsidR="00462053">
        <w:t xml:space="preserve">of 170 MWe </w:t>
      </w:r>
      <w:r w:rsidR="00FB4674">
        <w:t>for</w:t>
      </w:r>
      <w:r w:rsidR="00462053">
        <w:t xml:space="preserve"> the </w:t>
      </w:r>
      <w:r w:rsidR="00CF6236">
        <w:t>E-SMR</w:t>
      </w:r>
      <w:r w:rsidR="00462053">
        <w:t xml:space="preserve"> reactor</w:t>
      </w:r>
      <w:r w:rsidR="00645FAA">
        <w:t>.</w:t>
      </w:r>
      <w:r w:rsidR="005F3609">
        <w:t xml:space="preserve"> </w:t>
      </w:r>
    </w:p>
    <w:p w14:paraId="3712A8FD" w14:textId="77777777" w:rsidR="00533B32" w:rsidRDefault="00533B32" w:rsidP="00F0525D">
      <w:pPr>
        <w:pStyle w:val="BodyText"/>
        <w:ind w:firstLine="0"/>
      </w:pPr>
    </w:p>
    <w:p w14:paraId="2D8088ED" w14:textId="77777777" w:rsidR="00533B32" w:rsidRDefault="00533B32" w:rsidP="00533B32">
      <w:pPr>
        <w:pStyle w:val="Heading3"/>
      </w:pPr>
      <w:r>
        <w:t>BOP architectures in cogeneration mode</w:t>
      </w:r>
    </w:p>
    <w:p w14:paraId="7E62FD40" w14:textId="45653399" w:rsidR="004B49AF" w:rsidRDefault="00533B32" w:rsidP="00533B32">
      <w:pPr>
        <w:pStyle w:val="BodyText"/>
      </w:pPr>
      <w:r>
        <w:t xml:space="preserve">The architecture presented in </w:t>
      </w:r>
      <w:r w:rsidR="00A176DD" w:rsidRPr="00A176DD">
        <w:fldChar w:fldCharType="begin"/>
      </w:r>
      <w:r w:rsidR="00A176DD" w:rsidRPr="00A176DD">
        <w:instrText xml:space="preserve"> REF _Ref164517925 \h  \* MERGEFORMAT </w:instrText>
      </w:r>
      <w:r w:rsidR="00A176DD" w:rsidRPr="00A176DD">
        <w:fldChar w:fldCharType="separate"/>
      </w:r>
      <w:r w:rsidR="00A176DD" w:rsidRPr="00A176DD">
        <w:t>F</w:t>
      </w:r>
      <w:r w:rsidR="00A176DD">
        <w:t>ig</w:t>
      </w:r>
      <w:r w:rsidR="00A176DD" w:rsidRPr="00A176DD">
        <w:t xml:space="preserve">. </w:t>
      </w:r>
      <w:r w:rsidR="00A176DD" w:rsidRPr="00A176DD">
        <w:rPr>
          <w:noProof/>
        </w:rPr>
        <w:t>1</w:t>
      </w:r>
      <w:r w:rsidR="00A176DD" w:rsidRPr="00A176DD">
        <w:fldChar w:fldCharType="end"/>
      </w:r>
      <w:r>
        <w:t xml:space="preserve"> has been modified to include different steam extraction points, intended to represent the </w:t>
      </w:r>
      <w:r w:rsidR="00015B46">
        <w:t>interface with the non-electric application</w:t>
      </w:r>
      <w:r>
        <w:t>.</w:t>
      </w:r>
      <w:r w:rsidR="00A5281A">
        <w:t xml:space="preserve"> </w:t>
      </w:r>
      <w:r w:rsidR="00D84E50">
        <w:t>The goal of the analysis is to analyse the impact of</w:t>
      </w:r>
      <w:r w:rsidR="00ED2A2E">
        <w:t xml:space="preserve"> these extraction points, combined with different return points, </w:t>
      </w:r>
      <w:r w:rsidR="003035C9">
        <w:t>for different cogeneration requirements</w:t>
      </w:r>
      <w:r w:rsidR="00D54FDC">
        <w:t xml:space="preserve"> in terms of extracted power on </w:t>
      </w:r>
      <w:r w:rsidR="00652C75">
        <w:t xml:space="preserve">the steam cycle, evaluating the </w:t>
      </w:r>
      <w:r w:rsidR="004933EB">
        <w:t>influences</w:t>
      </w:r>
      <w:r w:rsidR="00652C75">
        <w:t xml:space="preserve"> on the operating conditions and performances with respect to the </w:t>
      </w:r>
      <w:r w:rsidR="00886D43">
        <w:t>architecture optimised for full power operation.</w:t>
      </w:r>
      <w:r w:rsidR="00BF6586">
        <w:t xml:space="preserve"> </w:t>
      </w:r>
      <w:r w:rsidR="00333C84">
        <w:t>The steam cycle has been optimised assuming to have the latter steam extractions at nominal conditions, without addressing the impact on the cycle performance in off-design conditions.</w:t>
      </w:r>
    </w:p>
    <w:p w14:paraId="68024C97" w14:textId="748A3344" w:rsidR="008E4636" w:rsidRDefault="00EA53C1" w:rsidP="008E4636">
      <w:pPr>
        <w:pStyle w:val="BodyText"/>
      </w:pPr>
      <w:r>
        <w:rPr>
          <w:noProof/>
        </w:rPr>
        <w:lastRenderedPageBreak/>
        <w:drawing>
          <wp:inline distT="0" distB="0" distL="0" distR="0" wp14:anchorId="5598A41F" wp14:editId="75785865">
            <wp:extent cx="5225547" cy="2559503"/>
            <wp:effectExtent l="0" t="0" r="0" b="6350"/>
            <wp:docPr id="5941727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72717" name="Picture 594172717"/>
                    <pic:cNvPicPr/>
                  </pic:nvPicPr>
                  <pic:blipFill rotWithShape="1">
                    <a:blip r:embed="rId8" cstate="print">
                      <a:extLst>
                        <a:ext uri="{28A0092B-C50C-407E-A947-70E740481C1C}">
                          <a14:useLocalDpi xmlns:a14="http://schemas.microsoft.com/office/drawing/2010/main" val="0"/>
                        </a:ext>
                      </a:extLst>
                    </a:blip>
                    <a:srcRect t="7055" b="5874"/>
                    <a:stretch/>
                  </pic:blipFill>
                  <pic:spPr bwMode="auto">
                    <a:xfrm>
                      <a:off x="0" y="0"/>
                      <a:ext cx="5303083" cy="2597481"/>
                    </a:xfrm>
                    <a:prstGeom prst="rect">
                      <a:avLst/>
                    </a:prstGeom>
                    <a:ln>
                      <a:noFill/>
                    </a:ln>
                    <a:extLst>
                      <a:ext uri="{53640926-AAD7-44D8-BBD7-CCE9431645EC}">
                        <a14:shadowObscured xmlns:a14="http://schemas.microsoft.com/office/drawing/2010/main"/>
                      </a:ext>
                    </a:extLst>
                  </pic:spPr>
                </pic:pic>
              </a:graphicData>
            </a:graphic>
          </wp:inline>
        </w:drawing>
      </w:r>
    </w:p>
    <w:p w14:paraId="50B93B28" w14:textId="0FB74A0B" w:rsidR="008E4636" w:rsidRDefault="008E4636" w:rsidP="00550CDA">
      <w:pPr>
        <w:pStyle w:val="BodyText"/>
      </w:pPr>
      <w:r w:rsidRPr="0032223C">
        <w:rPr>
          <w:noProof/>
          <w:lang w:eastAsia="en-GB"/>
        </w:rPr>
        <mc:AlternateContent>
          <mc:Choice Requires="wps">
            <w:drawing>
              <wp:anchor distT="0" distB="0" distL="114300" distR="114300" simplePos="0" relativeHeight="251661312" behindDoc="0" locked="0" layoutInCell="1" allowOverlap="1" wp14:anchorId="066AB747" wp14:editId="677E3484">
                <wp:simplePos x="0" y="0"/>
                <wp:positionH relativeFrom="column">
                  <wp:posOffset>975194</wp:posOffset>
                </wp:positionH>
                <wp:positionV relativeFrom="paragraph">
                  <wp:posOffset>79375</wp:posOffset>
                </wp:positionV>
                <wp:extent cx="3862705" cy="186690"/>
                <wp:effectExtent l="0" t="0" r="3175" b="5080"/>
                <wp:wrapSquare wrapText="bothSides"/>
                <wp:docPr id="375853653" name="Text Box 375853653"/>
                <wp:cNvGraphicFramePr/>
                <a:graphic xmlns:a="http://schemas.openxmlformats.org/drawingml/2006/main">
                  <a:graphicData uri="http://schemas.microsoft.com/office/word/2010/wordprocessingShape">
                    <wps:wsp>
                      <wps:cNvSpPr txBox="1"/>
                      <wps:spPr>
                        <a:xfrm>
                          <a:off x="0" y="0"/>
                          <a:ext cx="3862705" cy="186690"/>
                        </a:xfrm>
                        <a:prstGeom prst="rect">
                          <a:avLst/>
                        </a:prstGeom>
                        <a:solidFill>
                          <a:prstClr val="white"/>
                        </a:solidFill>
                        <a:ln>
                          <a:noFill/>
                        </a:ln>
                        <a:effectLst/>
                      </wps:spPr>
                      <wps:txbx>
                        <w:txbxContent>
                          <w:p w14:paraId="027B0E84" w14:textId="3064BFFB" w:rsidR="001A3D00" w:rsidRPr="00802381" w:rsidRDefault="001A3D00" w:rsidP="001A3D00">
                            <w:pPr>
                              <w:pStyle w:val="Caption"/>
                              <w:jc w:val="center"/>
                              <w:rPr>
                                <w:i/>
                                <w:sz w:val="20"/>
                              </w:rPr>
                            </w:pPr>
                            <w:bookmarkStart w:id="0" w:name="_Ref16451792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0"/>
                            <w:r>
                              <w:rPr>
                                <w:i/>
                              </w:rPr>
                              <w:t xml:space="preserve">. </w:t>
                            </w:r>
                            <w:r w:rsidR="00CD54CD">
                              <w:rPr>
                                <w:i/>
                              </w:rPr>
                              <w:t>BOP architecture in full power mode</w:t>
                            </w:r>
                            <w:r w:rsidR="00CF47D8">
                              <w:rPr>
                                <w:i/>
                              </w:rPr>
                              <w:t>, with steam extraction and return points</w:t>
                            </w:r>
                            <w:r>
                              <w:rPr>
                                <w:i/>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6AB747" id="_x0000_t202" coordsize="21600,21600" o:spt="202" path="m,l,21600r21600,l21600,xe">
                <v:stroke joinstyle="miter"/>
                <v:path gradientshapeok="t" o:connecttype="rect"/>
              </v:shapetype>
              <v:shape id="Text Box 375853653" o:spid="_x0000_s1026" type="#_x0000_t202" style="position:absolute;left:0;text-align:left;margin-left:76.8pt;margin-top:6.25pt;width:304.15pt;height:14.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" stroked="f">
                <v:textbox style="mso-fit-shape-to-text:t" inset="0,0,0,0">
                  <w:txbxContent>
                    <w:p w14:paraId="027B0E84" w14:textId="3064BFFB" w:rsidR="001A3D00" w:rsidRPr="00802381" w:rsidRDefault="001A3D00" w:rsidP="001A3D00">
                      <w:pPr>
                        <w:pStyle w:val="Caption"/>
                        <w:jc w:val="center"/>
                        <w:rPr>
                          <w:i/>
                          <w:sz w:val="20"/>
                        </w:rPr>
                      </w:pPr>
                      <w:bookmarkStart w:id="23" w:name="_Ref16451792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23"/>
                      <w:r>
                        <w:rPr>
                          <w:i/>
                        </w:rPr>
                        <w:t xml:space="preserve">. </w:t>
                      </w:r>
                      <w:r w:rsidR="00CD54CD">
                        <w:rPr>
                          <w:i/>
                        </w:rPr>
                        <w:t>BOP architecture in full power mode</w:t>
                      </w:r>
                      <w:r w:rsidR="00CF47D8">
                        <w:rPr>
                          <w:i/>
                        </w:rPr>
                        <w:t>, with steam extraction and return points</w:t>
                      </w:r>
                      <w:r>
                        <w:rPr>
                          <w:i/>
                        </w:rPr>
                        <w:t>.</w:t>
                      </w:r>
                    </w:p>
                  </w:txbxContent>
                </v:textbox>
                <w10:wrap type="square"/>
              </v:shape>
            </w:pict>
          </mc:Fallback>
        </mc:AlternateContent>
      </w:r>
    </w:p>
    <w:p w14:paraId="7104CC62" w14:textId="77777777" w:rsidR="008E4636" w:rsidRDefault="008E4636" w:rsidP="00550CDA">
      <w:pPr>
        <w:pStyle w:val="BodyText"/>
      </w:pPr>
    </w:p>
    <w:p w14:paraId="08C5CFEB" w14:textId="77777777" w:rsidR="008E4636" w:rsidRDefault="008E4636" w:rsidP="00550CDA">
      <w:pPr>
        <w:pStyle w:val="BodyText"/>
      </w:pPr>
    </w:p>
    <w:p w14:paraId="6CDFBC22" w14:textId="79D0CFEC" w:rsidR="002E51B7" w:rsidRDefault="00E91C53" w:rsidP="00550CDA">
      <w:pPr>
        <w:pStyle w:val="BodyText"/>
      </w:pPr>
      <w:r>
        <w:t xml:space="preserve">Different end-user requirements </w:t>
      </w:r>
      <w:r w:rsidR="00DE62A9">
        <w:t>are analysed</w:t>
      </w:r>
      <w:r w:rsidR="003B5E82">
        <w:t xml:space="preserve">, both in terms of thermal power demand and steam temperature. </w:t>
      </w:r>
      <w:proofErr w:type="gramStart"/>
      <w:r w:rsidR="003B5E82">
        <w:t xml:space="preserve">In particular, </w:t>
      </w:r>
      <w:r w:rsidR="00EE07B5">
        <w:t>f</w:t>
      </w:r>
      <w:r w:rsidR="00164D65">
        <w:t>ive</w:t>
      </w:r>
      <w:proofErr w:type="gramEnd"/>
      <w:r w:rsidR="00164D65">
        <w:t xml:space="preserve"> extracted power levels </w:t>
      </w:r>
      <w:r w:rsidR="00DE62A9">
        <w:t>are</w:t>
      </w:r>
      <w:r w:rsidR="00164D65">
        <w:t xml:space="preserve"> considered, up to 36 </w:t>
      </w:r>
      <w:proofErr w:type="spellStart"/>
      <w:r w:rsidR="00164D65">
        <w:t>MWth</w:t>
      </w:r>
      <w:proofErr w:type="spellEnd"/>
      <w:r w:rsidR="00164D65">
        <w:t>. The analysis ha</w:t>
      </w:r>
      <w:r w:rsidR="008C032F">
        <w:t xml:space="preserve">s been limited to this </w:t>
      </w:r>
      <w:r w:rsidR="00714582">
        <w:t xml:space="preserve">amount </w:t>
      </w:r>
      <w:r w:rsidR="008B076D">
        <w:t>to be consistent with the reference non-electric application of this study</w:t>
      </w:r>
      <w:r w:rsidR="00E60CEC">
        <w:t xml:space="preserve">, hydrogen production via HTSE. </w:t>
      </w:r>
      <w:r w:rsidR="00C86ADF">
        <w:t>This industrial process requires a significantly larger portion of electrical power with respect to thermal power</w:t>
      </w:r>
      <w:r w:rsidR="00804E21">
        <w:t>,</w:t>
      </w:r>
      <w:r w:rsidR="00C86ADF">
        <w:t xml:space="preserve"> and </w:t>
      </w:r>
      <w:r w:rsidR="000C4C4C">
        <w:t xml:space="preserve">in </w:t>
      </w:r>
      <w:r w:rsidR="00804E21">
        <w:t xml:space="preserve">the </w:t>
      </w:r>
      <w:r w:rsidR="000C4C4C">
        <w:t xml:space="preserve">case of power extractions beyond 36 </w:t>
      </w:r>
      <w:proofErr w:type="spellStart"/>
      <w:r w:rsidR="000C4C4C">
        <w:t>MWth</w:t>
      </w:r>
      <w:proofErr w:type="spellEnd"/>
      <w:r w:rsidR="000C4C4C">
        <w:t xml:space="preserve">, the net electrical power output of the BOP would be hardly able to meet the electricity requirements of the hydrogen production plant. </w:t>
      </w:r>
    </w:p>
    <w:p w14:paraId="699D3836" w14:textId="1B168650" w:rsidR="00C872CA" w:rsidRDefault="00550CDA" w:rsidP="002E51B7">
      <w:pPr>
        <w:pStyle w:val="BodyText"/>
      </w:pPr>
      <w:r>
        <w:t xml:space="preserve">Moreover, three different steam extraction and return points </w:t>
      </w:r>
      <w:r w:rsidR="00721C0D">
        <w:t xml:space="preserve">are </w:t>
      </w:r>
      <w:r w:rsidR="00DC7C24">
        <w:t>accounted for</w:t>
      </w:r>
      <w:r w:rsidR="002E51B7">
        <w:t xml:space="preserve">. </w:t>
      </w:r>
      <w:r w:rsidR="00165DCE">
        <w:t>The steam extraction points are highlighted by a circular shape in</w:t>
      </w:r>
      <w:r w:rsidR="00721C0D">
        <w:t xml:space="preserve"> </w:t>
      </w:r>
      <w:r w:rsidR="003D1B3E" w:rsidRPr="003D1B3E">
        <w:fldChar w:fldCharType="begin"/>
      </w:r>
      <w:r w:rsidR="003D1B3E" w:rsidRPr="003D1B3E">
        <w:instrText xml:space="preserve"> REF _Ref164517925 \h  \* MERGEFORMAT </w:instrText>
      </w:r>
      <w:r w:rsidR="003D1B3E" w:rsidRPr="003D1B3E">
        <w:fldChar w:fldCharType="separate"/>
      </w:r>
      <w:r w:rsidR="003D1B3E" w:rsidRPr="003D1B3E">
        <w:t>F</w:t>
      </w:r>
      <w:r w:rsidR="003D1B3E">
        <w:t>ig</w:t>
      </w:r>
      <w:r w:rsidR="003D1B3E" w:rsidRPr="003D1B3E">
        <w:t xml:space="preserve">. </w:t>
      </w:r>
      <w:r w:rsidR="003D1B3E" w:rsidRPr="003D1B3E">
        <w:rPr>
          <w:noProof/>
        </w:rPr>
        <w:t>1</w:t>
      </w:r>
      <w:r w:rsidR="003D1B3E" w:rsidRPr="003D1B3E">
        <w:fldChar w:fldCharType="end"/>
      </w:r>
      <w:r w:rsidR="002E51B7">
        <w:t xml:space="preserve">. They are subdivided according </w:t>
      </w:r>
      <w:r w:rsidR="008363E7">
        <w:t xml:space="preserve">to the temperature level of the steam </w:t>
      </w:r>
      <w:r w:rsidR="00E402AA">
        <w:t>at</w:t>
      </w:r>
      <w:r w:rsidR="008363E7">
        <w:t xml:space="preserve"> the corresponding point of the cycle. </w:t>
      </w:r>
      <w:r w:rsidR="00C872CA">
        <w:t>Assuming a temperature requirement for the HTSE of at least 150°C, the following extraction points have been identified:</w:t>
      </w:r>
    </w:p>
    <w:p w14:paraId="43127422" w14:textId="682FC8D4" w:rsidR="00550CDA" w:rsidRDefault="00E42F7B" w:rsidP="00DA7503">
      <w:pPr>
        <w:pStyle w:val="ListEmdash"/>
      </w:pPr>
      <w:r>
        <w:t xml:space="preserve">A </w:t>
      </w:r>
      <w:r w:rsidR="00DA7503">
        <w:t>high temperature (HT) extraction</w:t>
      </w:r>
      <w:r>
        <w:t xml:space="preserve"> point</w:t>
      </w:r>
      <w:r w:rsidR="00C872CA">
        <w:t xml:space="preserve"> </w:t>
      </w:r>
      <w:r w:rsidR="00DA7503">
        <w:t xml:space="preserve">is located at the steam generator outlet. The fluid conditions at this point </w:t>
      </w:r>
      <w:r w:rsidR="007C6D71">
        <w:t xml:space="preserve">are dictated by the E-SMR operational data and are reported in </w:t>
      </w:r>
      <w:r w:rsidR="00FD738E">
        <w:t>Table 1</w:t>
      </w:r>
      <w:r w:rsidR="007C6D71">
        <w:t xml:space="preserve">. </w:t>
      </w:r>
    </w:p>
    <w:p w14:paraId="0C818DD6" w14:textId="56E01752" w:rsidR="00DB415E" w:rsidRDefault="00F307F9" w:rsidP="00DA7503">
      <w:pPr>
        <w:pStyle w:val="ListEmdash"/>
      </w:pPr>
      <w:r>
        <w:t>Steam extraction at the outlet of the first HP turbine stage is labelled as</w:t>
      </w:r>
      <w:r w:rsidR="00B74D2E">
        <w:t xml:space="preserve"> an</w:t>
      </w:r>
      <w:r>
        <w:t xml:space="preserve"> intermediate temperature (IT)</w:t>
      </w:r>
      <w:r w:rsidR="00DF177E">
        <w:t xml:space="preserve"> extraction point, as it occurs around 230°C</w:t>
      </w:r>
      <w:r w:rsidR="00CF6236">
        <w:t xml:space="preserve"> and 25 bar</w:t>
      </w:r>
      <w:r w:rsidR="00DF177E">
        <w:t>.</w:t>
      </w:r>
    </w:p>
    <w:p w14:paraId="63B466FF" w14:textId="4EF44298" w:rsidR="00DF177E" w:rsidRDefault="006F25EA" w:rsidP="00DA7503">
      <w:pPr>
        <w:pStyle w:val="ListEmdash"/>
      </w:pPr>
      <w:r>
        <w:t xml:space="preserve">Lastly, </w:t>
      </w:r>
      <w:r w:rsidR="0058289E">
        <w:t xml:space="preserve">low temperature (LT) extraction is performed at the </w:t>
      </w:r>
      <w:r w:rsidR="00CC58EE">
        <w:t xml:space="preserve">second HP turbine stage outlet, </w:t>
      </w:r>
      <w:r w:rsidR="00D2524A">
        <w:t>with a temperature</w:t>
      </w:r>
      <w:r w:rsidR="00B74D2E">
        <w:t xml:space="preserve"> of</w:t>
      </w:r>
      <w:r w:rsidR="00D2524A">
        <w:t xml:space="preserve"> around 168°C</w:t>
      </w:r>
      <w:r w:rsidR="00CF6236">
        <w:t>, corresponding to a pressure level of 7.7 bar</w:t>
      </w:r>
      <w:r w:rsidR="00D2524A">
        <w:t>.</w:t>
      </w:r>
    </w:p>
    <w:p w14:paraId="016479A7" w14:textId="77C3AC6B" w:rsidR="003D1DE1" w:rsidRDefault="00410E1E" w:rsidP="003D1DE1">
      <w:pPr>
        <w:pStyle w:val="ListEmdash"/>
        <w:numPr>
          <w:ilvl w:val="0"/>
          <w:numId w:val="0"/>
        </w:numPr>
      </w:pPr>
      <w:r>
        <w:t xml:space="preserve">As a result, </w:t>
      </w:r>
      <w:r w:rsidR="008A3DE6">
        <w:t xml:space="preserve">according </w:t>
      </w:r>
      <w:r w:rsidR="00CF6058">
        <w:t>to the extraction point, the steam might be in superheated or two-phase conditions.</w:t>
      </w:r>
      <w:r w:rsidR="00C75322">
        <w:t xml:space="preserve"> </w:t>
      </w:r>
      <w:r w:rsidR="006A083B">
        <w:t xml:space="preserve">In general, the </w:t>
      </w:r>
      <w:r w:rsidR="009A6AC8">
        <w:t>extracted heat quality is dictated by the temperature requirements of non-electric applications</w:t>
      </w:r>
      <w:r w:rsidR="00311994">
        <w:t xml:space="preserve"> </w:t>
      </w:r>
      <w:r w:rsidR="00F560AC">
        <w:t>[9]</w:t>
      </w:r>
      <w:r w:rsidR="009A6AC8">
        <w:t xml:space="preserve">. </w:t>
      </w:r>
      <w:r w:rsidR="00311994">
        <w:t xml:space="preserve">High and intermediate temperature steam conditions might be suitable to power industrial processes </w:t>
      </w:r>
      <w:r w:rsidR="0007082C">
        <w:t xml:space="preserve">such as pulp and paper manufacturing </w:t>
      </w:r>
      <w:r w:rsidR="003E306D">
        <w:t>and oil refining.</w:t>
      </w:r>
      <w:r w:rsidR="008720AA">
        <w:t xml:space="preserve"> </w:t>
      </w:r>
      <w:r w:rsidR="00CA54AA">
        <w:t xml:space="preserve">For instance, </w:t>
      </w:r>
      <w:r w:rsidR="00A25061">
        <w:t xml:space="preserve">steam at </w:t>
      </w:r>
      <w:r w:rsidR="00FA5E1F">
        <w:t>220°C</w:t>
      </w:r>
      <w:r w:rsidR="002E17D3">
        <w:t xml:space="preserve"> is delivered from the </w:t>
      </w:r>
      <w:proofErr w:type="spellStart"/>
      <w:r w:rsidR="002E17D3">
        <w:t>Gösgen</w:t>
      </w:r>
      <w:proofErr w:type="spellEnd"/>
      <w:r w:rsidR="002E17D3">
        <w:t xml:space="preserve"> nuclear power plant in </w:t>
      </w:r>
      <w:r w:rsidR="00103077">
        <w:t xml:space="preserve">Switzerland to a nearby cardboard factory </w:t>
      </w:r>
      <w:r w:rsidR="00316EA3">
        <w:t>[9]</w:t>
      </w:r>
      <w:r w:rsidR="00103077">
        <w:t xml:space="preserve">. </w:t>
      </w:r>
      <w:r w:rsidR="00133B52">
        <w:t>Low temperature applications, usually below 150</w:t>
      </w:r>
      <w:r w:rsidR="004A5186">
        <w:t xml:space="preserve">°C, include district heating and seawater desalination. </w:t>
      </w:r>
      <w:r w:rsidR="00F43B94">
        <w:t xml:space="preserve">As a result, it would be possible to drive the latter processes, as well as HTSE, </w:t>
      </w:r>
      <w:r w:rsidR="00C21D45">
        <w:t xml:space="preserve">by </w:t>
      </w:r>
      <w:r w:rsidR="00FC45A3">
        <w:t xml:space="preserve">exploiting </w:t>
      </w:r>
      <w:r w:rsidR="003D1DE1">
        <w:t xml:space="preserve">steam at the HP turbine outlet. </w:t>
      </w:r>
      <w:r w:rsidR="00635075">
        <w:t xml:space="preserve">Other steam extraction points, e.g., </w:t>
      </w:r>
      <w:r w:rsidR="00387F0F">
        <w:t xml:space="preserve">between the two LP turbine stages or at </w:t>
      </w:r>
      <w:r w:rsidR="00050A9D">
        <w:t xml:space="preserve">the </w:t>
      </w:r>
      <w:r w:rsidR="00387F0F">
        <w:t>LP turbine outlet, were discarded</w:t>
      </w:r>
      <w:r w:rsidR="007912DD">
        <w:t xml:space="preserve"> </w:t>
      </w:r>
      <w:r w:rsidR="00387F0F">
        <w:t>due to the low temperature levels</w:t>
      </w:r>
      <w:r w:rsidR="00D24F8C">
        <w:t>,</w:t>
      </w:r>
      <w:r w:rsidR="00FC5A3F">
        <w:t xml:space="preserve"> which would not be compatible with the HTSE requirements.</w:t>
      </w:r>
    </w:p>
    <w:p w14:paraId="10A4961C" w14:textId="69998AB5" w:rsidR="003D1DE1" w:rsidRDefault="00C61510" w:rsidP="003D1DE1">
      <w:pPr>
        <w:pStyle w:val="BodyText"/>
      </w:pPr>
      <w:r>
        <w:t xml:space="preserve">Similarly, three return points </w:t>
      </w:r>
      <w:r w:rsidR="007431D4">
        <w:t>are</w:t>
      </w:r>
      <w:r>
        <w:t xml:space="preserve"> considered for the reinjection of the fluid downstream</w:t>
      </w:r>
      <w:r w:rsidR="004B5333">
        <w:t xml:space="preserve"> of the heat </w:t>
      </w:r>
      <w:r w:rsidR="00FC2F09">
        <w:t>delivery to the end-user</w:t>
      </w:r>
      <w:r w:rsidR="00067898">
        <w:t xml:space="preserve">, identified by a diamond shape in </w:t>
      </w:r>
      <w:r w:rsidR="007431D4" w:rsidRPr="007431D4">
        <w:fldChar w:fldCharType="begin"/>
      </w:r>
      <w:r w:rsidR="007431D4" w:rsidRPr="007431D4">
        <w:instrText xml:space="preserve"> REF _Ref164517925 \h  \* MERGEFORMAT </w:instrText>
      </w:r>
      <w:r w:rsidR="007431D4" w:rsidRPr="007431D4">
        <w:fldChar w:fldCharType="separate"/>
      </w:r>
      <w:r w:rsidR="007431D4" w:rsidRPr="007431D4">
        <w:t>F</w:t>
      </w:r>
      <w:r w:rsidR="007431D4">
        <w:t>ig</w:t>
      </w:r>
      <w:r w:rsidR="007431D4" w:rsidRPr="007431D4">
        <w:t xml:space="preserve">. </w:t>
      </w:r>
      <w:r w:rsidR="007431D4" w:rsidRPr="007431D4">
        <w:rPr>
          <w:noProof/>
        </w:rPr>
        <w:t>1</w:t>
      </w:r>
      <w:r w:rsidR="007431D4" w:rsidRPr="007431D4">
        <w:fldChar w:fldCharType="end"/>
      </w:r>
      <w:r w:rsidR="00FC2F09">
        <w:t>:</w:t>
      </w:r>
    </w:p>
    <w:p w14:paraId="07702A0A" w14:textId="3D61C592" w:rsidR="00FC2F09" w:rsidRDefault="00FC2F09" w:rsidP="00FC2F09">
      <w:pPr>
        <w:pStyle w:val="ListEmdash"/>
      </w:pPr>
      <w:r>
        <w:t xml:space="preserve">A low pressure return </w:t>
      </w:r>
      <w:r w:rsidR="00067898">
        <w:t xml:space="preserve">point </w:t>
      </w:r>
      <w:r>
        <w:t xml:space="preserve">at the condenser, </w:t>
      </w:r>
      <w:r w:rsidR="00601F10">
        <w:t xml:space="preserve">with the extracted fluid being reinjected in the condenser shell together with the </w:t>
      </w:r>
      <w:r w:rsidR="00D30487">
        <w:t>turbine discharge.</w:t>
      </w:r>
    </w:p>
    <w:p w14:paraId="680CC302" w14:textId="01EE6412" w:rsidR="00D30487" w:rsidRDefault="00D30487" w:rsidP="00FC2F09">
      <w:pPr>
        <w:pStyle w:val="ListEmdash"/>
      </w:pPr>
      <w:r>
        <w:t xml:space="preserve">Secondly, </w:t>
      </w:r>
      <w:r w:rsidR="00A008BB">
        <w:t>reinjection in the low-pressure feedwater preheater (LP-FWH) is evaluated</w:t>
      </w:r>
      <w:r w:rsidR="0092087A">
        <w:t>.</w:t>
      </w:r>
    </w:p>
    <w:p w14:paraId="579A84B3" w14:textId="5E22F140" w:rsidR="0092087A" w:rsidRDefault="0092087A" w:rsidP="00FC2F09">
      <w:pPr>
        <w:pStyle w:val="ListEmdash"/>
      </w:pPr>
      <w:r>
        <w:t>Steam return in the feedwater tank (FW-Tank) is then considered.</w:t>
      </w:r>
    </w:p>
    <w:p w14:paraId="5FAD53FC" w14:textId="0D3EEA32" w:rsidR="003C72E9" w:rsidRDefault="000324D7" w:rsidP="008E4636">
      <w:pPr>
        <w:pStyle w:val="ListEmdash"/>
        <w:numPr>
          <w:ilvl w:val="0"/>
          <w:numId w:val="0"/>
        </w:numPr>
      </w:pPr>
      <w:r>
        <w:t xml:space="preserve">In each </w:t>
      </w:r>
      <w:r w:rsidR="00CD5824">
        <w:t>case study</w:t>
      </w:r>
      <w:r>
        <w:t>, the return points are a</w:t>
      </w:r>
      <w:r w:rsidR="00B7303C">
        <w:t>t a</w:t>
      </w:r>
      <w:r>
        <w:t xml:space="preserve"> lower pressure with respect to the steam extraction</w:t>
      </w:r>
      <w:r w:rsidR="00C05911">
        <w:t xml:space="preserve">. </w:t>
      </w:r>
      <w:r w:rsidR="00CD5824">
        <w:t>Consequently</w:t>
      </w:r>
      <w:r w:rsidR="005E0691">
        <w:t xml:space="preserve">, it is assumed that the </w:t>
      </w:r>
      <w:r w:rsidR="00367026">
        <w:t>heat transfer to the end-user occurs at the extraction pressure</w:t>
      </w:r>
      <w:r w:rsidR="00DA1504">
        <w:t>, after which the flow is throttled</w:t>
      </w:r>
      <w:r w:rsidR="004B0B96">
        <w:t xml:space="preserve"> to </w:t>
      </w:r>
      <w:r w:rsidR="00733ED8">
        <w:t xml:space="preserve">match </w:t>
      </w:r>
      <w:r w:rsidR="004B0B96">
        <w:t xml:space="preserve">the pressure </w:t>
      </w:r>
      <w:r w:rsidR="00733ED8">
        <w:t>at</w:t>
      </w:r>
      <w:r w:rsidR="004B0B96">
        <w:t xml:space="preserve"> the return point.</w:t>
      </w:r>
    </w:p>
    <w:p w14:paraId="030731AF" w14:textId="09BCF779" w:rsidR="003C72E9" w:rsidRDefault="003C72E9" w:rsidP="00537496">
      <w:pPr>
        <w:pStyle w:val="BodyText"/>
      </w:pPr>
    </w:p>
    <w:p w14:paraId="3A65E9CB" w14:textId="26ED6306" w:rsidR="008B4643" w:rsidRPr="004D73A1" w:rsidRDefault="00A90A51" w:rsidP="00CA44C2">
      <w:pPr>
        <w:pStyle w:val="BodyText"/>
        <w:ind w:firstLine="0"/>
      </w:pPr>
      <w:r w:rsidRPr="00A90A51">
        <w:lastRenderedPageBreak/>
        <w:fldChar w:fldCharType="begin"/>
      </w:r>
      <w:r w:rsidRPr="00A90A51">
        <w:instrText xml:space="preserve"> REF _Ref165284129 \h  \* MERGEFORMAT </w:instrText>
      </w:r>
      <w:r w:rsidRPr="00A90A51">
        <w:fldChar w:fldCharType="separate"/>
      </w:r>
      <w:r w:rsidRPr="00A90A51">
        <w:t>F</w:t>
      </w:r>
      <w:r>
        <w:t>ig</w:t>
      </w:r>
      <w:r w:rsidRPr="00A90A51">
        <w:t xml:space="preserve">. </w:t>
      </w:r>
      <w:r w:rsidRPr="00A90A51">
        <w:rPr>
          <w:noProof/>
        </w:rPr>
        <w:t>2</w:t>
      </w:r>
      <w:r w:rsidRPr="00A90A51">
        <w:fldChar w:fldCharType="end"/>
      </w:r>
      <w:r>
        <w:t xml:space="preserve"> </w:t>
      </w:r>
      <w:r w:rsidR="006F6E30" w:rsidRPr="001B2CA4">
        <w:t xml:space="preserve">shows an </w:t>
      </w:r>
      <w:r w:rsidR="00C055D3" w:rsidRPr="001B2CA4">
        <w:t>illustration</w:t>
      </w:r>
      <w:r w:rsidR="006F6E30" w:rsidRPr="001B2CA4">
        <w:t xml:space="preserve"> </w:t>
      </w:r>
      <w:r w:rsidR="00E8440E" w:rsidRPr="001B2CA4">
        <w:t>of the</w:t>
      </w:r>
      <w:r w:rsidR="00576F84">
        <w:t xml:space="preserve"> modified</w:t>
      </w:r>
      <w:r w:rsidR="00E8440E" w:rsidRPr="001B2CA4">
        <w:t xml:space="preserve"> steam cycle </w:t>
      </w:r>
      <w:r w:rsidR="00842A79" w:rsidRPr="001B2CA4">
        <w:t xml:space="preserve">to account for the thermal power extraction for cogeneration purposes. In the proposed example, </w:t>
      </w:r>
      <w:r w:rsidR="00C055D3" w:rsidRPr="001B2CA4">
        <w:t xml:space="preserve">steam is extracted downstream of the HP turbine, </w:t>
      </w:r>
      <w:r w:rsidR="002F7C7A" w:rsidRPr="001B2CA4">
        <w:t xml:space="preserve">flows to </w:t>
      </w:r>
      <w:r w:rsidR="00D82C5D" w:rsidRPr="001B2CA4">
        <w:t xml:space="preserve">EBSILON’s </w:t>
      </w:r>
      <w:r w:rsidR="00D82C5D" w:rsidRPr="001B2CA4">
        <w:rPr>
          <w:i/>
          <w:iCs/>
        </w:rPr>
        <w:t xml:space="preserve">Heat Consumer </w:t>
      </w:r>
      <w:r w:rsidR="00D82C5D" w:rsidRPr="001B2CA4">
        <w:t>component</w:t>
      </w:r>
      <w:r w:rsidR="005B35BC" w:rsidRPr="001B2CA4">
        <w:t xml:space="preserve">, representing the thermal power extraction, and is then reinjected in the feedwater tank. An analogous approach has been adopted to </w:t>
      </w:r>
      <w:r w:rsidR="00ED6D9C" w:rsidRPr="001B2CA4">
        <w:t>analyse</w:t>
      </w:r>
      <w:r w:rsidR="00E77BEB">
        <w:t xml:space="preserve"> the other steam extraction and return points. </w:t>
      </w:r>
      <w:r w:rsidR="00FF1E84">
        <w:t xml:space="preserve">The </w:t>
      </w:r>
      <w:r w:rsidR="00FF1E84" w:rsidRPr="001B2CA4">
        <w:rPr>
          <w:i/>
          <w:iCs/>
        </w:rPr>
        <w:t xml:space="preserve">Heat Consumer </w:t>
      </w:r>
      <w:r w:rsidR="00FF1E84" w:rsidRPr="001B2CA4">
        <w:t>component</w:t>
      </w:r>
      <w:r w:rsidR="00FF1E84">
        <w:t xml:space="preserve"> is used to impose full condensation of the steam, and the </w:t>
      </w:r>
      <w:r w:rsidR="00782498">
        <w:t xml:space="preserve">extracted flow rate is controlled to meet the </w:t>
      </w:r>
      <w:r w:rsidR="00DB16C0">
        <w:t>thermal power requirements</w:t>
      </w:r>
      <w:r w:rsidR="00640807">
        <w:t xml:space="preserve"> (in the example in </w:t>
      </w:r>
      <w:r w:rsidRPr="00A90A51">
        <w:fldChar w:fldCharType="begin"/>
      </w:r>
      <w:r w:rsidRPr="00A90A51">
        <w:instrText xml:space="preserve"> REF _Ref165284129 \h  \* MERGEFORMAT </w:instrText>
      </w:r>
      <w:r w:rsidRPr="00A90A51">
        <w:fldChar w:fldCharType="separate"/>
      </w:r>
      <w:r w:rsidRPr="00A90A51">
        <w:t>F</w:t>
      </w:r>
      <w:r>
        <w:t>ig</w:t>
      </w:r>
      <w:r w:rsidRPr="00A90A51">
        <w:t xml:space="preserve">. </w:t>
      </w:r>
      <w:r w:rsidRPr="00A90A51">
        <w:rPr>
          <w:noProof/>
        </w:rPr>
        <w:t>2</w:t>
      </w:r>
      <w:r w:rsidRPr="00A90A51">
        <w:fldChar w:fldCharType="end"/>
      </w:r>
      <w:r w:rsidR="00640807">
        <w:t xml:space="preserve">, 36 </w:t>
      </w:r>
      <w:proofErr w:type="spellStart"/>
      <w:r w:rsidR="00640807">
        <w:t>MWth</w:t>
      </w:r>
      <w:proofErr w:type="spellEnd"/>
      <w:r w:rsidR="00640807">
        <w:t xml:space="preserve">). </w:t>
      </w:r>
      <w:r w:rsidR="00782498">
        <w:t xml:space="preserve"> </w:t>
      </w:r>
    </w:p>
    <w:p w14:paraId="624F311E" w14:textId="77777777" w:rsidR="008B4643" w:rsidRPr="00E8440E" w:rsidRDefault="008B4643" w:rsidP="00CA44C2">
      <w:pPr>
        <w:pStyle w:val="BodyText"/>
        <w:ind w:firstLine="0"/>
        <w:rPr>
          <w:lang w:val="en-US"/>
        </w:rPr>
      </w:pPr>
    </w:p>
    <w:p w14:paraId="3D616CFC" w14:textId="77777777" w:rsidR="008B4643" w:rsidRPr="00E8440E" w:rsidRDefault="008B4643" w:rsidP="00CA44C2">
      <w:pPr>
        <w:pStyle w:val="BodyText"/>
        <w:ind w:firstLine="0"/>
        <w:rPr>
          <w:lang w:val="en-US"/>
        </w:rPr>
      </w:pPr>
    </w:p>
    <w:p w14:paraId="2EFE5F8E" w14:textId="07BE3AA5" w:rsidR="008B4643" w:rsidRDefault="005849FA" w:rsidP="005849FA">
      <w:pPr>
        <w:pStyle w:val="BodyText"/>
        <w:ind w:firstLine="0"/>
        <w:jc w:val="center"/>
      </w:pPr>
      <w:r>
        <w:rPr>
          <w:noProof/>
        </w:rPr>
        <w:drawing>
          <wp:inline distT="0" distB="0" distL="0" distR="0" wp14:anchorId="27DC7F1F" wp14:editId="67994185">
            <wp:extent cx="5091061" cy="2259874"/>
            <wp:effectExtent l="0" t="0" r="1905" b="0"/>
            <wp:docPr id="6850934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93492" name="Picture 685093492"/>
                    <pic:cNvPicPr/>
                  </pic:nvPicPr>
                  <pic:blipFill>
                    <a:blip r:embed="rId9">
                      <a:extLst>
                        <a:ext uri="{28A0092B-C50C-407E-A947-70E740481C1C}">
                          <a14:useLocalDpi xmlns:a14="http://schemas.microsoft.com/office/drawing/2010/main" val="0"/>
                        </a:ext>
                      </a:extLst>
                    </a:blip>
                    <a:stretch>
                      <a:fillRect/>
                    </a:stretch>
                  </pic:blipFill>
                  <pic:spPr>
                    <a:xfrm>
                      <a:off x="0" y="0"/>
                      <a:ext cx="5140572" cy="2281851"/>
                    </a:xfrm>
                    <a:prstGeom prst="rect">
                      <a:avLst/>
                    </a:prstGeom>
                  </pic:spPr>
                </pic:pic>
              </a:graphicData>
            </a:graphic>
          </wp:inline>
        </w:drawing>
      </w:r>
    </w:p>
    <w:p w14:paraId="1A393BCA" w14:textId="5BFCA928" w:rsidR="008B4643" w:rsidRDefault="004E0DF9" w:rsidP="007526D5">
      <w:pPr>
        <w:pStyle w:val="BodyText"/>
        <w:ind w:firstLine="0"/>
        <w:jc w:val="center"/>
      </w:pPr>
      <w:r w:rsidRPr="0032223C">
        <w:rPr>
          <w:noProof/>
          <w:lang w:eastAsia="en-GB"/>
        </w:rPr>
        <mc:AlternateContent>
          <mc:Choice Requires="wps">
            <w:drawing>
              <wp:anchor distT="0" distB="0" distL="114300" distR="114300" simplePos="0" relativeHeight="251663360" behindDoc="0" locked="0" layoutInCell="1" allowOverlap="1" wp14:anchorId="0BBF2CEC" wp14:editId="01A7AC55">
                <wp:simplePos x="0" y="0"/>
                <wp:positionH relativeFrom="column">
                  <wp:posOffset>316451</wp:posOffset>
                </wp:positionH>
                <wp:positionV relativeFrom="paragraph">
                  <wp:posOffset>168910</wp:posOffset>
                </wp:positionV>
                <wp:extent cx="4945380" cy="186690"/>
                <wp:effectExtent l="0" t="0" r="0" b="5080"/>
                <wp:wrapSquare wrapText="bothSides"/>
                <wp:docPr id="2010304338" name="Text Box 2010304338"/>
                <wp:cNvGraphicFramePr/>
                <a:graphic xmlns:a="http://schemas.openxmlformats.org/drawingml/2006/main">
                  <a:graphicData uri="http://schemas.microsoft.com/office/word/2010/wordprocessingShape">
                    <wps:wsp>
                      <wps:cNvSpPr txBox="1"/>
                      <wps:spPr>
                        <a:xfrm>
                          <a:off x="0" y="0"/>
                          <a:ext cx="4945380" cy="186690"/>
                        </a:xfrm>
                        <a:prstGeom prst="rect">
                          <a:avLst/>
                        </a:prstGeom>
                        <a:solidFill>
                          <a:prstClr val="white"/>
                        </a:solidFill>
                        <a:ln>
                          <a:noFill/>
                        </a:ln>
                        <a:effectLst/>
                      </wps:spPr>
                      <wps:txbx>
                        <w:txbxContent>
                          <w:p w14:paraId="52F12D9A" w14:textId="764384A9" w:rsidR="00E154C1" w:rsidRPr="00802381" w:rsidRDefault="00E154C1" w:rsidP="00E154C1">
                            <w:pPr>
                              <w:pStyle w:val="Caption"/>
                              <w:jc w:val="center"/>
                              <w:rPr>
                                <w:i/>
                                <w:sz w:val="20"/>
                              </w:rPr>
                            </w:pPr>
                            <w:bookmarkStart w:id="1" w:name="_Ref165284129"/>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4E0DF9">
                              <w:rPr>
                                <w:i/>
                                <w:noProof/>
                              </w:rPr>
                              <w:t>2</w:t>
                            </w:r>
                            <w:r w:rsidRPr="00802381">
                              <w:rPr>
                                <w:i/>
                              </w:rPr>
                              <w:fldChar w:fldCharType="end"/>
                            </w:r>
                            <w:bookmarkEnd w:id="1"/>
                            <w:r>
                              <w:rPr>
                                <w:i/>
                              </w:rPr>
                              <w:t xml:space="preserve">. BOP architecture </w:t>
                            </w:r>
                            <w:r w:rsidR="004E0DF9">
                              <w:rPr>
                                <w:i/>
                              </w:rPr>
                              <w:t xml:space="preserve">in cogeneration mode, with LT steam extraction and FW-Tank return.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BF2CEC" id="Text Box 2010304338" o:spid="_x0000_s1027" type="#_x0000_t202" style="position:absolute;left:0;text-align:left;margin-left:24.9pt;margin-top:13.3pt;width:389.4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" stroked="f">
                <v:textbox style="mso-fit-shape-to-text:t" inset="0,0,0,0">
                  <w:txbxContent>
                    <w:p w14:paraId="52F12D9A" w14:textId="764384A9" w:rsidR="00E154C1" w:rsidRPr="00802381" w:rsidRDefault="00E154C1" w:rsidP="00E154C1">
                      <w:pPr>
                        <w:pStyle w:val="Caption"/>
                        <w:jc w:val="center"/>
                        <w:rPr>
                          <w:i/>
                          <w:sz w:val="20"/>
                        </w:rPr>
                      </w:pPr>
                      <w:bookmarkStart w:id="26" w:name="_Ref165284129"/>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4E0DF9">
                        <w:rPr>
                          <w:i/>
                          <w:noProof/>
                        </w:rPr>
                        <w:t>2</w:t>
                      </w:r>
                      <w:r w:rsidRPr="00802381">
                        <w:rPr>
                          <w:i/>
                        </w:rPr>
                        <w:fldChar w:fldCharType="end"/>
                      </w:r>
                      <w:bookmarkEnd w:id="26"/>
                      <w:r>
                        <w:rPr>
                          <w:i/>
                        </w:rPr>
                        <w:t xml:space="preserve">. BOP architecture </w:t>
                      </w:r>
                      <w:r w:rsidR="004E0DF9">
                        <w:rPr>
                          <w:i/>
                        </w:rPr>
                        <w:t xml:space="preserve">in cogeneration mode, with LT steam extraction and FW-Tank return.   </w:t>
                      </w:r>
                    </w:p>
                  </w:txbxContent>
                </v:textbox>
                <w10:wrap type="square"/>
              </v:shape>
            </w:pict>
          </mc:Fallback>
        </mc:AlternateContent>
      </w:r>
    </w:p>
    <w:p w14:paraId="6CA757C3" w14:textId="177A8DC1" w:rsidR="00E154C1" w:rsidRDefault="00CA44C2" w:rsidP="00E154C1">
      <w:pPr>
        <w:pStyle w:val="Heading2"/>
        <w:numPr>
          <w:ilvl w:val="0"/>
          <w:numId w:val="0"/>
        </w:numPr>
      </w:pPr>
      <w:r>
        <w:t xml:space="preserve">     </w:t>
      </w:r>
    </w:p>
    <w:p w14:paraId="557C117F" w14:textId="076FF219" w:rsidR="00CA44C2" w:rsidRDefault="00CA44C2" w:rsidP="00CA44C2">
      <w:pPr>
        <w:pStyle w:val="Heading2"/>
      </w:pPr>
      <w:r>
        <w:t>RESULTS</w:t>
      </w:r>
    </w:p>
    <w:p w14:paraId="175429BD" w14:textId="60235869" w:rsidR="004E0DF9" w:rsidRDefault="00751439" w:rsidP="004E0DF9">
      <w:pPr>
        <w:pStyle w:val="BodyText"/>
      </w:pPr>
      <w:r>
        <w:t xml:space="preserve">In this section, the results obtained by </w:t>
      </w:r>
      <w:r w:rsidR="008F6182">
        <w:t xml:space="preserve">optimising the </w:t>
      </w:r>
      <w:r w:rsidR="003405AD">
        <w:t xml:space="preserve">BOP configurations described above are presented. The </w:t>
      </w:r>
      <w:r w:rsidR="001C7D82">
        <w:t xml:space="preserve">figure of merit adopted for the comparison is the </w:t>
      </w:r>
      <w:r w:rsidR="000B2554">
        <w:t xml:space="preserve">gross </w:t>
      </w:r>
      <w:r w:rsidR="001C7D82">
        <w:t xml:space="preserve">electrical power output, </w:t>
      </w:r>
      <w:r w:rsidR="001E1A5D">
        <w:t xml:space="preserve">which is strongly correlated </w:t>
      </w:r>
      <w:r w:rsidR="003F7675">
        <w:t xml:space="preserve">to the system’s efficiencies. </w:t>
      </w:r>
      <w:r w:rsidR="00D870E4">
        <w:t xml:space="preserve">Two efficiencies have been considered for the analysis: the electrical efficiency, defined as the ratio between electrical power generation and </w:t>
      </w:r>
      <w:r w:rsidR="00A645A1">
        <w:t>thermal power supplied by the nuclear reactor, a</w:t>
      </w:r>
      <w:r w:rsidR="00B2673E">
        <w:t>n</w:t>
      </w:r>
      <w:r w:rsidR="00A645A1">
        <w:t xml:space="preserve">d the overall efficiency, which accounts for the </w:t>
      </w:r>
      <w:r w:rsidR="00B2673E">
        <w:t xml:space="preserve">extracted thermal power as a valuable commodity. </w:t>
      </w:r>
    </w:p>
    <w:p w14:paraId="71A3E01A" w14:textId="3C159468" w:rsidR="00B2673E" w:rsidRDefault="00B2673E" w:rsidP="004E0DF9">
      <w:pPr>
        <w:pStyle w:val="BodyText"/>
      </w:pPr>
      <w:r>
        <w:t xml:space="preserve">The differences </w:t>
      </w:r>
      <w:r w:rsidR="00773B5E">
        <w:t xml:space="preserve">for </w:t>
      </w:r>
      <w:r w:rsidR="00636373">
        <w:t xml:space="preserve">the several </w:t>
      </w:r>
      <w:r w:rsidR="00773B5E">
        <w:t>extraction and return points are displayed in</w:t>
      </w:r>
      <w:r w:rsidR="00783C27">
        <w:t xml:space="preserve"> </w:t>
      </w:r>
      <w:r w:rsidR="00783C27" w:rsidRPr="00783C27">
        <w:fldChar w:fldCharType="begin"/>
      </w:r>
      <w:r w:rsidR="00783C27" w:rsidRPr="00783C27">
        <w:instrText xml:space="preserve"> REF _Ref165284290 \h  \* MERGEFORMAT </w:instrText>
      </w:r>
      <w:r w:rsidR="00783C27" w:rsidRPr="00783C27">
        <w:fldChar w:fldCharType="separate"/>
      </w:r>
      <w:r w:rsidR="00783C27" w:rsidRPr="00783C27">
        <w:t>F</w:t>
      </w:r>
      <w:r w:rsidR="00783C27">
        <w:t>ig</w:t>
      </w:r>
      <w:r w:rsidR="00783C27" w:rsidRPr="00783C27">
        <w:t xml:space="preserve">. </w:t>
      </w:r>
      <w:r w:rsidR="00783C27" w:rsidRPr="00783C27">
        <w:rPr>
          <w:noProof/>
        </w:rPr>
        <w:t>3</w:t>
      </w:r>
      <w:r w:rsidR="00783C27" w:rsidRPr="00783C27">
        <w:fldChar w:fldCharType="end"/>
      </w:r>
      <w:r w:rsidR="00773B5E">
        <w:t xml:space="preserve">. </w:t>
      </w:r>
      <w:r w:rsidR="00000FC1">
        <w:t xml:space="preserve">The impact of the steam extraction </w:t>
      </w:r>
      <w:r w:rsidR="00BA5E73">
        <w:t>points</w:t>
      </w:r>
      <w:r w:rsidR="0015046C">
        <w:t xml:space="preserve"> for the same return point, i.e., FW-Tank, is shown on the left-hand side of the figure. </w:t>
      </w:r>
      <w:r w:rsidR="005E758E">
        <w:t xml:space="preserve">In general, the lower the pressure and temperature of the steam extraction point, </w:t>
      </w:r>
      <w:r w:rsidR="00393C62">
        <w:t>the higher the power generated by the steam cycle and</w:t>
      </w:r>
      <w:r w:rsidR="00D24E01">
        <w:t>,</w:t>
      </w:r>
      <w:r w:rsidR="00393C62">
        <w:t xml:space="preserve"> consequently</w:t>
      </w:r>
      <w:r w:rsidR="00D24E01">
        <w:t>,</w:t>
      </w:r>
      <w:r w:rsidR="00393C62">
        <w:t xml:space="preserve"> the efficiencies of the </w:t>
      </w:r>
      <w:r w:rsidR="001764F3">
        <w:t xml:space="preserve">system. </w:t>
      </w:r>
      <w:r w:rsidR="004309D7">
        <w:t xml:space="preserve">Moreover, the </w:t>
      </w:r>
      <w:r w:rsidR="006544A3">
        <w:t xml:space="preserve">impact of the extraction point on the cycle’s performance </w:t>
      </w:r>
      <w:r w:rsidR="00980F44">
        <w:t xml:space="preserve">becomes more significant at higher thermal power extractions. </w:t>
      </w:r>
      <w:r w:rsidR="004D73A1">
        <w:t xml:space="preserve">For low powers delivered to the non-electric application, e.g., 6 </w:t>
      </w:r>
      <w:proofErr w:type="spellStart"/>
      <w:r w:rsidR="004D73A1">
        <w:t>MWth</w:t>
      </w:r>
      <w:proofErr w:type="spellEnd"/>
      <w:r w:rsidR="004D73A1">
        <w:t xml:space="preserve">, </w:t>
      </w:r>
      <w:r w:rsidR="00F1298A">
        <w:t xml:space="preserve">the difference between </w:t>
      </w:r>
      <w:r w:rsidR="001830C8">
        <w:t xml:space="preserve">the HT and LT extraction configuration is less than 1 MWe, whereas it increases to </w:t>
      </w:r>
      <w:r w:rsidR="008C7C73">
        <w:t xml:space="preserve">about </w:t>
      </w:r>
      <w:r w:rsidR="00BF61F3">
        <w:t xml:space="preserve">4.5 MWe </w:t>
      </w:r>
      <w:r w:rsidR="00A609F0">
        <w:t xml:space="preserve">in the case of a 36 </w:t>
      </w:r>
      <w:proofErr w:type="spellStart"/>
      <w:r w:rsidR="00A609F0">
        <w:t>MWth</w:t>
      </w:r>
      <w:proofErr w:type="spellEnd"/>
      <w:r w:rsidR="00A609F0">
        <w:t xml:space="preserve"> extraction.</w:t>
      </w:r>
    </w:p>
    <w:p w14:paraId="7481C097" w14:textId="63C194DD" w:rsidR="00CA44C2" w:rsidRDefault="00F52738" w:rsidP="004B2BDA">
      <w:pPr>
        <w:pStyle w:val="BodyText"/>
      </w:pPr>
      <w:r>
        <w:t xml:space="preserve">The </w:t>
      </w:r>
      <w:r w:rsidR="006C7E6B">
        <w:t xml:space="preserve">steam extraction point </w:t>
      </w:r>
      <w:r w:rsidR="008972B1">
        <w:t xml:space="preserve">showing the best performance, i.e., LT extraction, has been considered as a reference to evaluate the impact of </w:t>
      </w:r>
      <w:r w:rsidR="002D1C88">
        <w:t xml:space="preserve">the potential return point on the steam cycle’s </w:t>
      </w:r>
      <w:r w:rsidR="00471D36">
        <w:t xml:space="preserve">power output. </w:t>
      </w:r>
      <w:r w:rsidR="00684AEF">
        <w:t xml:space="preserve">It is worth noting that the viability of extracting a large amount of thermal power at this temperature is strongly related to the industrial process temperature levels, since the difference between the two should be sufficiently high to enable a thermal power flow and meet the </w:t>
      </w:r>
      <w:r w:rsidR="00212A97">
        <w:t xml:space="preserve">desired </w:t>
      </w:r>
      <w:r w:rsidR="00684AEF">
        <w:t xml:space="preserve">intermediate heat exchanger cold side outlet temperature </w:t>
      </w:r>
      <w:r w:rsidR="00212A97">
        <w:t>conditions</w:t>
      </w:r>
      <w:r w:rsidR="00684AEF">
        <w:t xml:space="preserve">. </w:t>
      </w:r>
      <w:r w:rsidR="001D3CC6">
        <w:t>The results, reported on the right-hand side of</w:t>
      </w:r>
      <w:r w:rsidR="00BA5E73">
        <w:t xml:space="preserve"> F</w:t>
      </w:r>
      <w:r w:rsidR="00BA5E73" w:rsidRPr="00BA5E73">
        <w:fldChar w:fldCharType="begin"/>
      </w:r>
      <w:r w:rsidR="00BA5E73" w:rsidRPr="00BA5E73">
        <w:instrText xml:space="preserve"> REF _Ref165284290 \h  \* MERGEFORMAT </w:instrText>
      </w:r>
      <w:r w:rsidR="00BA5E73" w:rsidRPr="00BA5E73">
        <w:fldChar w:fldCharType="separate"/>
      </w:r>
      <w:r w:rsidR="00BA5E73">
        <w:t>ig</w:t>
      </w:r>
      <w:r w:rsidR="00BA5E73" w:rsidRPr="00BA5E73">
        <w:t xml:space="preserve">. </w:t>
      </w:r>
      <w:r w:rsidR="00BA5E73" w:rsidRPr="00BA5E73">
        <w:rPr>
          <w:noProof/>
        </w:rPr>
        <w:t>3</w:t>
      </w:r>
      <w:r w:rsidR="00BA5E73" w:rsidRPr="00BA5E73">
        <w:fldChar w:fldCharType="end"/>
      </w:r>
      <w:r w:rsidR="001D3CC6">
        <w:t xml:space="preserve">, show </w:t>
      </w:r>
      <w:r w:rsidR="00AF0CCD">
        <w:t xml:space="preserve">that the highest power output is achieved by reinjecting the condensate resulting from the thermal power extraction </w:t>
      </w:r>
      <w:r w:rsidR="00AD498E">
        <w:t>in</w:t>
      </w:r>
      <w:r w:rsidR="00AF0CCD">
        <w:t xml:space="preserve">to the feedwater tank, while the </w:t>
      </w:r>
      <w:r w:rsidR="002000E5">
        <w:t xml:space="preserve">performances worsen when considering the condenser as </w:t>
      </w:r>
      <w:r w:rsidR="00AD498E">
        <w:t xml:space="preserve">the </w:t>
      </w:r>
      <w:r w:rsidR="002000E5">
        <w:t>return point.</w:t>
      </w:r>
      <w:r w:rsidR="00684AEF">
        <w:t xml:space="preserve"> </w:t>
      </w:r>
      <w:r w:rsidR="00680007">
        <w:t xml:space="preserve">However, the difference for the various return points </w:t>
      </w:r>
      <w:r w:rsidR="00526A9A">
        <w:t>is</w:t>
      </w:r>
      <w:r w:rsidR="00680007">
        <w:t xml:space="preserve"> not as significant as for the extraction points, </w:t>
      </w:r>
      <w:r w:rsidR="005234AB">
        <w:t xml:space="preserve">since </w:t>
      </w:r>
      <w:r w:rsidR="004241AA">
        <w:t xml:space="preserve">the power generation difference between the </w:t>
      </w:r>
      <w:r w:rsidR="00AD4969">
        <w:t xml:space="preserve">FW-tank and Condenser return is 0.3 MWe and 1.9 MWe for 6 </w:t>
      </w:r>
      <w:proofErr w:type="spellStart"/>
      <w:r w:rsidR="00AD4969">
        <w:t>MWth</w:t>
      </w:r>
      <w:proofErr w:type="spellEnd"/>
      <w:r w:rsidR="00AD4969">
        <w:t xml:space="preserve"> and </w:t>
      </w:r>
      <w:r w:rsidR="00444864">
        <w:t xml:space="preserve">36 </w:t>
      </w:r>
      <w:proofErr w:type="spellStart"/>
      <w:r w:rsidR="00444864">
        <w:t>MWth</w:t>
      </w:r>
      <w:proofErr w:type="spellEnd"/>
      <w:r w:rsidR="00444864">
        <w:t xml:space="preserve">, respectively. </w:t>
      </w:r>
      <w:r w:rsidR="00526A9A">
        <w:t xml:space="preserve">This trend can be explained by the </w:t>
      </w:r>
      <w:r w:rsidR="00040C18">
        <w:t xml:space="preserve">potential recovery of the residual energy of the condensate return in the steam cycle. </w:t>
      </w:r>
      <w:r w:rsidR="009F5124">
        <w:t xml:space="preserve">Considering the </w:t>
      </w:r>
      <w:r w:rsidR="00326C5C">
        <w:t xml:space="preserve">fluid’s return to the condenser, its </w:t>
      </w:r>
      <w:r w:rsidR="007064EA">
        <w:t>residual energy is discharged to the environment without contributing to the overall economy of the steam cycle.</w:t>
      </w:r>
      <w:r w:rsidR="00B94840">
        <w:t xml:space="preserve"> </w:t>
      </w:r>
      <w:r w:rsidR="005403D8">
        <w:t xml:space="preserve">On the other hand, by returning the condensate in a later stage of the feedwater line, its energy </w:t>
      </w:r>
      <w:r w:rsidR="005403D8">
        <w:lastRenderedPageBreak/>
        <w:t xml:space="preserve">can reduce the </w:t>
      </w:r>
      <w:r w:rsidR="00CD3057">
        <w:t xml:space="preserve">recuperation requirements of the cycle to meet the steam generator inlet temperature conditions, </w:t>
      </w:r>
      <w:r w:rsidR="00A0405B">
        <w:t>e.g., by reducing the bleeding requirements for the feedwater preheating</w:t>
      </w:r>
      <w:r w:rsidR="00210B33">
        <w:t xml:space="preserve">, thus increasing the electrical power generation and the cycle’s efficiency. </w:t>
      </w:r>
    </w:p>
    <w:p w14:paraId="4355C757" w14:textId="77777777" w:rsidR="00CA44C2" w:rsidRDefault="00CA44C2" w:rsidP="00CA44C2">
      <w:pPr>
        <w:pStyle w:val="BodyText"/>
      </w:pPr>
    </w:p>
    <w:p w14:paraId="761CC15A" w14:textId="77777777" w:rsidR="00CA44C2" w:rsidRDefault="00CA44C2" w:rsidP="00CA44C2">
      <w:pPr>
        <w:pStyle w:val="BodyText"/>
      </w:pPr>
    </w:p>
    <w:p w14:paraId="58ACF303" w14:textId="23323DD9" w:rsidR="00EE7D29" w:rsidRDefault="005659DD" w:rsidP="001E40F2">
      <w:pPr>
        <w:pStyle w:val="BodyText"/>
        <w:ind w:firstLine="0"/>
        <w:jc w:val="center"/>
      </w:pPr>
      <w:r w:rsidRPr="0032223C">
        <w:rPr>
          <w:noProof/>
          <w:lang w:eastAsia="en-GB"/>
        </w:rPr>
        <mc:AlternateContent>
          <mc:Choice Requires="wps">
            <w:drawing>
              <wp:anchor distT="0" distB="0" distL="114300" distR="114300" simplePos="0" relativeHeight="251665408" behindDoc="0" locked="0" layoutInCell="1" allowOverlap="1" wp14:anchorId="2445015A" wp14:editId="0E2AB323">
                <wp:simplePos x="0" y="0"/>
                <wp:positionH relativeFrom="column">
                  <wp:posOffset>57785</wp:posOffset>
                </wp:positionH>
                <wp:positionV relativeFrom="paragraph">
                  <wp:posOffset>2085401</wp:posOffset>
                </wp:positionV>
                <wp:extent cx="5864225" cy="186690"/>
                <wp:effectExtent l="0" t="0" r="3175" b="5080"/>
                <wp:wrapSquare wrapText="bothSides"/>
                <wp:docPr id="855364357" name="Text Box 855364357"/>
                <wp:cNvGraphicFramePr/>
                <a:graphic xmlns:a="http://schemas.openxmlformats.org/drawingml/2006/main">
                  <a:graphicData uri="http://schemas.microsoft.com/office/word/2010/wordprocessingShape">
                    <wps:wsp>
                      <wps:cNvSpPr txBox="1"/>
                      <wps:spPr>
                        <a:xfrm>
                          <a:off x="0" y="0"/>
                          <a:ext cx="5864225" cy="186690"/>
                        </a:xfrm>
                        <a:prstGeom prst="rect">
                          <a:avLst/>
                        </a:prstGeom>
                        <a:solidFill>
                          <a:prstClr val="white"/>
                        </a:solidFill>
                        <a:ln>
                          <a:noFill/>
                        </a:ln>
                        <a:effectLst/>
                      </wps:spPr>
                      <wps:txbx>
                        <w:txbxContent>
                          <w:p w14:paraId="1675EF54" w14:textId="092B8CD8" w:rsidR="004B2BDA" w:rsidRPr="00802381" w:rsidRDefault="004B2BDA" w:rsidP="004B2BDA">
                            <w:pPr>
                              <w:pStyle w:val="Caption"/>
                              <w:jc w:val="center"/>
                              <w:rPr>
                                <w:i/>
                                <w:sz w:val="20"/>
                              </w:rPr>
                            </w:pPr>
                            <w:bookmarkStart w:id="2" w:name="_Ref165284290"/>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3</w:t>
                            </w:r>
                            <w:r w:rsidRPr="00802381">
                              <w:rPr>
                                <w:i/>
                              </w:rPr>
                              <w:fldChar w:fldCharType="end"/>
                            </w:r>
                            <w:bookmarkEnd w:id="2"/>
                            <w:r>
                              <w:rPr>
                                <w:i/>
                              </w:rPr>
                              <w:t>. Impact of extraction and return points on the power generated</w:t>
                            </w:r>
                            <w:r w:rsidR="005659DD">
                              <w:rPr>
                                <w:i/>
                              </w:rPr>
                              <w:t xml:space="preserve"> by the cycle for different thermal power extractions</w:t>
                            </w:r>
                            <w:r>
                              <w:rPr>
                                <w:i/>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45015A" id="Text Box 855364357" o:spid="_x0000_s1028" type="#_x0000_t202" style="position:absolute;left:0;text-align:left;margin-left:4.55pt;margin-top:164.2pt;width:461.7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" stroked="f">
                <v:textbox style="mso-fit-shape-to-text:t" inset="0,0,0,0">
                  <w:txbxContent>
                    <w:p w14:paraId="1675EF54" w14:textId="092B8CD8" w:rsidR="004B2BDA" w:rsidRPr="00802381" w:rsidRDefault="004B2BDA" w:rsidP="004B2BDA">
                      <w:pPr>
                        <w:pStyle w:val="Caption"/>
                        <w:jc w:val="center"/>
                        <w:rPr>
                          <w:i/>
                          <w:sz w:val="20"/>
                        </w:rPr>
                      </w:pPr>
                      <w:bookmarkStart w:id="34" w:name="_Ref165284290"/>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3</w:t>
                      </w:r>
                      <w:r w:rsidRPr="00802381">
                        <w:rPr>
                          <w:i/>
                        </w:rPr>
                        <w:fldChar w:fldCharType="end"/>
                      </w:r>
                      <w:bookmarkEnd w:id="34"/>
                      <w:r>
                        <w:rPr>
                          <w:i/>
                        </w:rPr>
                        <w:t>. Impact of extraction and return points on the power generated</w:t>
                      </w:r>
                      <w:r w:rsidR="005659DD">
                        <w:rPr>
                          <w:i/>
                        </w:rPr>
                        <w:t xml:space="preserve"> by the cycle for different thermal power extractions</w:t>
                      </w:r>
                      <w:r>
                        <w:rPr>
                          <w:i/>
                        </w:rPr>
                        <w:t xml:space="preserve">.   </w:t>
                      </w:r>
                    </w:p>
                  </w:txbxContent>
                </v:textbox>
                <w10:wrap type="square"/>
              </v:shape>
            </w:pict>
          </mc:Fallback>
        </mc:AlternateContent>
      </w:r>
      <w:r w:rsidR="00634502">
        <w:rPr>
          <w:noProof/>
        </w:rPr>
        <w:drawing>
          <wp:inline distT="0" distB="0" distL="0" distR="0" wp14:anchorId="47DC79CA" wp14:editId="10CBD990">
            <wp:extent cx="5713427" cy="2080431"/>
            <wp:effectExtent l="0" t="0" r="1905" b="2540"/>
            <wp:docPr id="20198289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28992" name="Picture 2019828992"/>
                    <pic:cNvPicPr/>
                  </pic:nvPicPr>
                  <pic:blipFill>
                    <a:blip r:embed="rId10">
                      <a:extLst>
                        <a:ext uri="{28A0092B-C50C-407E-A947-70E740481C1C}">
                          <a14:useLocalDpi xmlns:a14="http://schemas.microsoft.com/office/drawing/2010/main" val="0"/>
                        </a:ext>
                      </a:extLst>
                    </a:blip>
                    <a:stretch>
                      <a:fillRect/>
                    </a:stretch>
                  </pic:blipFill>
                  <pic:spPr>
                    <a:xfrm>
                      <a:off x="0" y="0"/>
                      <a:ext cx="5792853" cy="2109352"/>
                    </a:xfrm>
                    <a:prstGeom prst="rect">
                      <a:avLst/>
                    </a:prstGeom>
                  </pic:spPr>
                </pic:pic>
              </a:graphicData>
            </a:graphic>
          </wp:inline>
        </w:drawing>
      </w:r>
    </w:p>
    <w:p w14:paraId="74C390C7" w14:textId="12961863" w:rsidR="004D73A1" w:rsidRDefault="004D73A1" w:rsidP="00744DED">
      <w:pPr>
        <w:pStyle w:val="BodyText"/>
        <w:jc w:val="center"/>
      </w:pPr>
    </w:p>
    <w:p w14:paraId="071CA501" w14:textId="0C9A9BB4" w:rsidR="00EE7D29" w:rsidRDefault="00CE437E" w:rsidP="00565BBC">
      <w:pPr>
        <w:pStyle w:val="BodyText"/>
      </w:pPr>
      <w:r>
        <w:t xml:space="preserve">The </w:t>
      </w:r>
      <w:r w:rsidR="00F31585">
        <w:t xml:space="preserve">impact of </w:t>
      </w:r>
      <w:r w:rsidR="00816938">
        <w:t xml:space="preserve">thermal power extraction in the different configurations has direct implications </w:t>
      </w:r>
      <w:r w:rsidR="009A3EAA">
        <w:t>for</w:t>
      </w:r>
      <w:r w:rsidR="00816938">
        <w:t xml:space="preserve"> the steam cycle efficiencies, as shown in</w:t>
      </w:r>
      <w:r w:rsidR="00DA3BD4">
        <w:t xml:space="preserve"> </w:t>
      </w:r>
      <w:r w:rsidR="00DA3BD4" w:rsidRPr="00DA3BD4">
        <w:fldChar w:fldCharType="begin"/>
      </w:r>
      <w:r w:rsidR="00DA3BD4" w:rsidRPr="00DA3BD4">
        <w:instrText xml:space="preserve"> REF _Ref165296098 \h  \* MERGEFORMAT </w:instrText>
      </w:r>
      <w:r w:rsidR="00DA3BD4" w:rsidRPr="00DA3BD4">
        <w:fldChar w:fldCharType="separate"/>
      </w:r>
      <w:r w:rsidR="00DA3BD4" w:rsidRPr="00DA3BD4">
        <w:t>F</w:t>
      </w:r>
      <w:r w:rsidR="00DA3BD4">
        <w:t>ig</w:t>
      </w:r>
      <w:r w:rsidR="00DA3BD4" w:rsidRPr="00DA3BD4">
        <w:t xml:space="preserve">. </w:t>
      </w:r>
      <w:r w:rsidR="00DA3BD4" w:rsidRPr="00DA3BD4">
        <w:rPr>
          <w:noProof/>
        </w:rPr>
        <w:t>4</w:t>
      </w:r>
      <w:r w:rsidR="00DA3BD4" w:rsidRPr="00DA3BD4">
        <w:fldChar w:fldCharType="end"/>
      </w:r>
      <w:r w:rsidR="00816938">
        <w:t xml:space="preserve">. </w:t>
      </w:r>
      <w:r w:rsidR="00216F19">
        <w:t xml:space="preserve">The graphic illustrates the </w:t>
      </w:r>
      <w:r w:rsidR="008A183A">
        <w:t>efficiency variation for the</w:t>
      </w:r>
      <w:r w:rsidR="00216F19">
        <w:t xml:space="preserve"> </w:t>
      </w:r>
      <w:r w:rsidR="00BA2A51">
        <w:t xml:space="preserve">most and least </w:t>
      </w:r>
      <w:r w:rsidR="001204F3">
        <w:t>performant interface</w:t>
      </w:r>
      <w:r w:rsidR="002638C2">
        <w:t>s</w:t>
      </w:r>
      <w:r w:rsidR="001204F3">
        <w:t xml:space="preserve"> </w:t>
      </w:r>
      <w:r w:rsidR="008A183A">
        <w:t>with the non-electric user, namely LT and HT ex</w:t>
      </w:r>
      <w:r w:rsidR="00430F1B">
        <w:t xml:space="preserve">traction levels and, for the return points, </w:t>
      </w:r>
      <w:r w:rsidR="00B87196">
        <w:t xml:space="preserve">the feedwater </w:t>
      </w:r>
      <w:r w:rsidR="009A3EAA">
        <w:t>tank,</w:t>
      </w:r>
      <w:r w:rsidR="00B87196">
        <w:t xml:space="preserve"> and the condenser, respectively. The electrical efficiency of the system, shown in the lower part of the figure, </w:t>
      </w:r>
      <w:r w:rsidR="00EC5EB6">
        <w:t>is linearly decreasing with the extracted thermal power</w:t>
      </w:r>
      <w:r w:rsidR="001B31E1">
        <w:t xml:space="preserve"> due to the resulting decrease in electrical power output. </w:t>
      </w:r>
      <w:r w:rsidR="00764516">
        <w:t xml:space="preserve">The </w:t>
      </w:r>
      <w:r w:rsidR="00F13997">
        <w:t xml:space="preserve">extraction and return points have a direct impact on the gradient of this trend, with the </w:t>
      </w:r>
      <w:r w:rsidR="00AB14F8">
        <w:t xml:space="preserve">most </w:t>
      </w:r>
      <w:r w:rsidR="00624DBC">
        <w:t xml:space="preserve">performant configuration, i.e., LT extraction and FW-Tank return, </w:t>
      </w:r>
      <w:r w:rsidR="00CC6AD5">
        <w:t xml:space="preserve">showing </w:t>
      </w:r>
      <w:r w:rsidR="007D607A">
        <w:t>the</w:t>
      </w:r>
      <w:r w:rsidR="00CC6AD5">
        <w:t xml:space="preserve"> lowe</w:t>
      </w:r>
      <w:r w:rsidR="007D607A">
        <w:t>st</w:t>
      </w:r>
      <w:r w:rsidR="00CC6AD5">
        <w:t xml:space="preserve"> efficiency degradation with extracted thermal power. </w:t>
      </w:r>
      <w:r w:rsidR="00A34B76">
        <w:t xml:space="preserve">The same outcomes in terms of impact of steam extraction and return points are valid also for the overall efficiency, </w:t>
      </w:r>
      <w:r w:rsidR="00697C36">
        <w:t xml:space="preserve">which accounts for the power delivered to the non-electric application as a valuable output of the system. </w:t>
      </w:r>
      <w:r w:rsidR="00777496">
        <w:t>The improvement in terms of efficiency</w:t>
      </w:r>
      <w:r w:rsidR="00691A29">
        <w:t xml:space="preserve"> for the 36 </w:t>
      </w:r>
      <w:proofErr w:type="spellStart"/>
      <w:r w:rsidR="00691A29">
        <w:t>MWth</w:t>
      </w:r>
      <w:proofErr w:type="spellEnd"/>
      <w:r w:rsidR="00691A29">
        <w:t xml:space="preserve"> in the most performant configuration with respect to the </w:t>
      </w:r>
      <w:r w:rsidR="00CD61F7">
        <w:t>less effective combination with HT extraction and condenser return is about</w:t>
      </w:r>
      <w:r w:rsidR="000B1470">
        <w:t xml:space="preserve"> 1.6%</w:t>
      </w:r>
      <w:r w:rsidR="0067196D">
        <w:t>,</w:t>
      </w:r>
      <w:r w:rsidR="000B1470">
        <w:t xml:space="preserve"> and, according to this trend, </w:t>
      </w:r>
      <w:r w:rsidR="00D5678F">
        <w:t xml:space="preserve">it is poised to increase </w:t>
      </w:r>
      <w:r w:rsidR="00AC4BC4">
        <w:t xml:space="preserve">for higher </w:t>
      </w:r>
      <w:r w:rsidR="00761C31">
        <w:t>extracted thermal power levels.</w:t>
      </w:r>
      <w:r w:rsidR="00D5678F">
        <w:t xml:space="preserve"> </w:t>
      </w:r>
    </w:p>
    <w:p w14:paraId="2D1F309F" w14:textId="77777777" w:rsidR="00DD54A9" w:rsidRDefault="00DD54A9" w:rsidP="00565BBC">
      <w:pPr>
        <w:pStyle w:val="BodyText"/>
      </w:pPr>
    </w:p>
    <w:p w14:paraId="2C147A00" w14:textId="77777777" w:rsidR="00DD54A9" w:rsidRDefault="00DD54A9" w:rsidP="00565BBC">
      <w:pPr>
        <w:pStyle w:val="BodyText"/>
      </w:pPr>
    </w:p>
    <w:p w14:paraId="2D22EE5E" w14:textId="06655F90" w:rsidR="00EE7D29" w:rsidRDefault="00212A97" w:rsidP="00212A97">
      <w:pPr>
        <w:pStyle w:val="BodyText"/>
        <w:ind w:firstLine="0"/>
        <w:jc w:val="left"/>
      </w:pPr>
      <w:r>
        <w:rPr>
          <w:noProof/>
        </w:rPr>
        <w:drawing>
          <wp:inline distT="0" distB="0" distL="0" distR="0" wp14:anchorId="7A0FD98C" wp14:editId="2FE3FD4B">
            <wp:extent cx="6184542" cy="2213610"/>
            <wp:effectExtent l="0" t="0" r="635" b="0"/>
            <wp:docPr id="20256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4016" name="Picture 202564016"/>
                    <pic:cNvPicPr/>
                  </pic:nvPicPr>
                  <pic:blipFill>
                    <a:blip r:embed="rId11">
                      <a:extLst>
                        <a:ext uri="{28A0092B-C50C-407E-A947-70E740481C1C}">
                          <a14:useLocalDpi xmlns:a14="http://schemas.microsoft.com/office/drawing/2010/main" val="0"/>
                        </a:ext>
                      </a:extLst>
                    </a:blip>
                    <a:stretch>
                      <a:fillRect/>
                    </a:stretch>
                  </pic:blipFill>
                  <pic:spPr>
                    <a:xfrm>
                      <a:off x="0" y="0"/>
                      <a:ext cx="6217040" cy="2225242"/>
                    </a:xfrm>
                    <a:prstGeom prst="rect">
                      <a:avLst/>
                    </a:prstGeom>
                  </pic:spPr>
                </pic:pic>
              </a:graphicData>
            </a:graphic>
          </wp:inline>
        </w:drawing>
      </w:r>
    </w:p>
    <w:p w14:paraId="5597DD22" w14:textId="3DB6F961" w:rsidR="00CA44C2" w:rsidRDefault="005659DD" w:rsidP="00CA44C2">
      <w:pPr>
        <w:pStyle w:val="BodyText"/>
      </w:pPr>
      <w:r w:rsidRPr="0032223C">
        <w:rPr>
          <w:noProof/>
          <w:lang w:eastAsia="en-GB"/>
        </w:rPr>
        <mc:AlternateContent>
          <mc:Choice Requires="wps">
            <w:drawing>
              <wp:anchor distT="0" distB="0" distL="114300" distR="114300" simplePos="0" relativeHeight="251667456" behindDoc="0" locked="0" layoutInCell="1" allowOverlap="1" wp14:anchorId="2F89C559" wp14:editId="16C6A84E">
                <wp:simplePos x="0" y="0"/>
                <wp:positionH relativeFrom="column">
                  <wp:posOffset>633751</wp:posOffset>
                </wp:positionH>
                <wp:positionV relativeFrom="paragraph">
                  <wp:posOffset>91993</wp:posOffset>
                </wp:positionV>
                <wp:extent cx="5117465" cy="186690"/>
                <wp:effectExtent l="0" t="0" r="635" b="5080"/>
                <wp:wrapSquare wrapText="bothSides"/>
                <wp:docPr id="1689946843" name="Text Box 1689946843"/>
                <wp:cNvGraphicFramePr/>
                <a:graphic xmlns:a="http://schemas.openxmlformats.org/drawingml/2006/main">
                  <a:graphicData uri="http://schemas.microsoft.com/office/word/2010/wordprocessingShape">
                    <wps:wsp>
                      <wps:cNvSpPr txBox="1"/>
                      <wps:spPr>
                        <a:xfrm>
                          <a:off x="0" y="0"/>
                          <a:ext cx="5117465" cy="186690"/>
                        </a:xfrm>
                        <a:prstGeom prst="rect">
                          <a:avLst/>
                        </a:prstGeom>
                        <a:solidFill>
                          <a:prstClr val="white"/>
                        </a:solidFill>
                        <a:ln>
                          <a:noFill/>
                        </a:ln>
                        <a:effectLst/>
                      </wps:spPr>
                      <wps:txbx>
                        <w:txbxContent>
                          <w:p w14:paraId="78C029CE" w14:textId="7927FB18" w:rsidR="005659DD" w:rsidRPr="00802381" w:rsidRDefault="005659DD" w:rsidP="005659DD">
                            <w:pPr>
                              <w:pStyle w:val="Caption"/>
                              <w:jc w:val="center"/>
                              <w:rPr>
                                <w:i/>
                                <w:sz w:val="20"/>
                              </w:rPr>
                            </w:pPr>
                            <w:bookmarkStart w:id="3" w:name="_Ref165296098"/>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430F7C">
                              <w:rPr>
                                <w:i/>
                                <w:noProof/>
                              </w:rPr>
                              <w:t>4</w:t>
                            </w:r>
                            <w:r w:rsidRPr="00802381">
                              <w:rPr>
                                <w:i/>
                              </w:rPr>
                              <w:fldChar w:fldCharType="end"/>
                            </w:r>
                            <w:bookmarkEnd w:id="3"/>
                            <w:r>
                              <w:rPr>
                                <w:i/>
                              </w:rPr>
                              <w:t xml:space="preserve">. </w:t>
                            </w:r>
                            <w:r w:rsidR="00430F7C">
                              <w:rPr>
                                <w:i/>
                              </w:rPr>
                              <w:t>Variation of electric and overall efficiency for different configurations and thermal power extractions.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89C559" id="Text Box 1689946843" o:spid="_x0000_s1029" type="#_x0000_t202" style="position:absolute;left:0;text-align:left;margin-left:49.9pt;margin-top:7.25pt;width:402.95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" stroked="f">
                <v:textbox style="mso-fit-shape-to-text:t" inset="0,0,0,0">
                  <w:txbxContent>
                    <w:p w14:paraId="78C029CE" w14:textId="7927FB18" w:rsidR="005659DD" w:rsidRPr="00802381" w:rsidRDefault="005659DD" w:rsidP="005659DD">
                      <w:pPr>
                        <w:pStyle w:val="Caption"/>
                        <w:jc w:val="center"/>
                        <w:rPr>
                          <w:i/>
                          <w:sz w:val="20"/>
                        </w:rPr>
                      </w:pPr>
                      <w:bookmarkStart w:id="37" w:name="_Ref165296098"/>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430F7C">
                        <w:rPr>
                          <w:i/>
                          <w:noProof/>
                        </w:rPr>
                        <w:t>4</w:t>
                      </w:r>
                      <w:r w:rsidRPr="00802381">
                        <w:rPr>
                          <w:i/>
                        </w:rPr>
                        <w:fldChar w:fldCharType="end"/>
                      </w:r>
                      <w:bookmarkEnd w:id="37"/>
                      <w:r>
                        <w:rPr>
                          <w:i/>
                        </w:rPr>
                        <w:t xml:space="preserve">. </w:t>
                      </w:r>
                      <w:r w:rsidR="00430F7C">
                        <w:rPr>
                          <w:i/>
                        </w:rPr>
                        <w:t>Variation of electric and overall efficiency for different configurations and thermal power extractions.</w:t>
                      </w:r>
                    </w:p>
                  </w:txbxContent>
                </v:textbox>
                <w10:wrap type="square"/>
              </v:shape>
            </w:pict>
          </mc:Fallback>
        </mc:AlternateContent>
      </w:r>
    </w:p>
    <w:p w14:paraId="53B90CA1" w14:textId="77777777" w:rsidR="00CA44C2" w:rsidRDefault="00CA44C2" w:rsidP="00CA44C2">
      <w:pPr>
        <w:pStyle w:val="BodyText"/>
      </w:pPr>
    </w:p>
    <w:p w14:paraId="44F0AC33" w14:textId="77777777" w:rsidR="00043CFC" w:rsidRDefault="00043CFC" w:rsidP="00CA44C2">
      <w:pPr>
        <w:pStyle w:val="BodyText"/>
      </w:pPr>
    </w:p>
    <w:p w14:paraId="326D1B8A" w14:textId="77777777" w:rsidR="00212A97" w:rsidRDefault="00212A97" w:rsidP="00CA44C2">
      <w:pPr>
        <w:pStyle w:val="BodyText"/>
      </w:pPr>
    </w:p>
    <w:p w14:paraId="4A798D8C" w14:textId="77777777" w:rsidR="001E40F2" w:rsidRPr="00CA44C2" w:rsidRDefault="001E40F2" w:rsidP="00F67617">
      <w:pPr>
        <w:pStyle w:val="BodyText"/>
        <w:ind w:firstLine="0"/>
      </w:pPr>
    </w:p>
    <w:p w14:paraId="74CD1556" w14:textId="3CAF882B" w:rsidR="00E25B68" w:rsidRDefault="00D34B21" w:rsidP="0026525A">
      <w:pPr>
        <w:pStyle w:val="Heading2"/>
        <w:numPr>
          <w:ilvl w:val="1"/>
          <w:numId w:val="10"/>
        </w:numPr>
      </w:pPr>
      <w:r>
        <w:lastRenderedPageBreak/>
        <w:t>CONCLUSIONS</w:t>
      </w:r>
    </w:p>
    <w:p w14:paraId="25ADB7D5" w14:textId="22EB2C04" w:rsidR="0075230B" w:rsidRDefault="001C60D9" w:rsidP="0075230B">
      <w:pPr>
        <w:pStyle w:val="BodyText"/>
      </w:pPr>
      <w:r>
        <w:t>T</w:t>
      </w:r>
      <w:r w:rsidR="0075230B" w:rsidRPr="0075230B">
        <w:t>his work focused on the impact</w:t>
      </w:r>
      <w:r w:rsidR="00FA7B88">
        <w:t xml:space="preserve"> of</w:t>
      </w:r>
      <w:r w:rsidR="0075230B" w:rsidRPr="0075230B">
        <w:t xml:space="preserve"> thermal power extraction in</w:t>
      </w:r>
      <w:r w:rsidR="0075230B">
        <w:t>t</w:t>
      </w:r>
      <w:r w:rsidR="0075230B" w:rsidRPr="0075230B">
        <w:t>erfaces on a light-water cooled SMR balance of plant performances, with spec</w:t>
      </w:r>
      <w:r w:rsidR="0075230B">
        <w:t>i</w:t>
      </w:r>
      <w:r w:rsidR="0075230B" w:rsidRPr="0075230B">
        <w:t xml:space="preserve">fic attention </w:t>
      </w:r>
      <w:r w:rsidR="00F67617">
        <w:t>given to</w:t>
      </w:r>
      <w:r w:rsidR="0075230B" w:rsidRPr="0075230B">
        <w:t xml:space="preserve"> the context of hydrogen production via HTSE. Consequently, the analysis is limited to thermal outputs up to 36 </w:t>
      </w:r>
      <w:proofErr w:type="spellStart"/>
      <w:r w:rsidR="0075230B" w:rsidRPr="0075230B">
        <w:t>MWth</w:t>
      </w:r>
      <w:proofErr w:type="spellEnd"/>
      <w:r w:rsidR="0075230B" w:rsidRPr="0075230B">
        <w:t xml:space="preserve"> and a</w:t>
      </w:r>
      <w:r w:rsidR="0075230B">
        <w:t>n</w:t>
      </w:r>
      <w:r w:rsidR="0075230B" w:rsidRPr="0075230B">
        <w:t xml:space="preserve"> extracted heat temperature higher than 150°C. A reference BOP layout has been optimised for full power operation with the EBSILON Professional software, and then it has been adapted</w:t>
      </w:r>
      <w:r w:rsidR="00DA2BF1">
        <w:t xml:space="preserve"> and optimised</w:t>
      </w:r>
      <w:r w:rsidR="0075230B" w:rsidRPr="0075230B">
        <w:t xml:space="preserve"> to account for different steam extraction and return points.</w:t>
      </w:r>
    </w:p>
    <w:p w14:paraId="08BAD146" w14:textId="545F795F" w:rsidR="007D1BB2" w:rsidRDefault="007D1BB2" w:rsidP="0075230B">
      <w:pPr>
        <w:pStyle w:val="BodyText"/>
      </w:pPr>
      <w:r>
        <w:t>T</w:t>
      </w:r>
      <w:r w:rsidR="00F60AC4">
        <w:t xml:space="preserve">he results underscored the significant impact of the steam extraction point </w:t>
      </w:r>
      <w:r w:rsidR="00D17019">
        <w:t xml:space="preserve">in determining the overall performance of the steam cycle with respect to the condensate return point. </w:t>
      </w:r>
      <w:r w:rsidR="008F72BF">
        <w:t xml:space="preserve">Notably, a linear decrease </w:t>
      </w:r>
      <w:r w:rsidR="0075237C">
        <w:t>in</w:t>
      </w:r>
      <w:r w:rsidR="008F72BF">
        <w:t xml:space="preserve"> generated</w:t>
      </w:r>
      <w:r w:rsidR="00F24968">
        <w:t xml:space="preserve"> power with increasing extracted thermal powers is obtained, </w:t>
      </w:r>
      <w:r w:rsidR="00384EF2">
        <w:t xml:space="preserve">with HT extraction exhibiting a more pronounced effect </w:t>
      </w:r>
      <w:r w:rsidR="00F84BDD">
        <w:t>compared</w:t>
      </w:r>
      <w:r w:rsidR="00384EF2">
        <w:t xml:space="preserve"> to LT extractions. </w:t>
      </w:r>
      <w:r w:rsidR="00F84BDD">
        <w:t xml:space="preserve">On the other hand, </w:t>
      </w:r>
      <w:r w:rsidR="00DA2BF1">
        <w:t xml:space="preserve">the </w:t>
      </w:r>
      <w:r w:rsidR="00D37E8B">
        <w:t>analysis o</w:t>
      </w:r>
      <w:r w:rsidR="00677E0F">
        <w:t>f</w:t>
      </w:r>
      <w:r w:rsidR="00D37E8B">
        <w:t xml:space="preserve"> the condensate </w:t>
      </w:r>
      <w:proofErr w:type="gramStart"/>
      <w:r w:rsidR="00D37E8B">
        <w:t>return</w:t>
      </w:r>
      <w:proofErr w:type="gramEnd"/>
      <w:r w:rsidR="00D37E8B">
        <w:t xml:space="preserve"> points emphasised the </w:t>
      </w:r>
      <w:r w:rsidR="000E45E1">
        <w:t xml:space="preserve">importance of recovering the energy of the flow driving the non-electric application </w:t>
      </w:r>
      <w:r w:rsidR="00460256">
        <w:t xml:space="preserve">to achieve higher system efficiencies. </w:t>
      </w:r>
    </w:p>
    <w:p w14:paraId="3054F9AA" w14:textId="4C9898BB" w:rsidR="00460256" w:rsidRPr="0075230B" w:rsidRDefault="00056C3B" w:rsidP="00490A1F">
      <w:pPr>
        <w:pStyle w:val="BodyText"/>
      </w:pPr>
      <w:r>
        <w:t>The proposed analysis is limited to</w:t>
      </w:r>
      <w:r w:rsidR="00E23141">
        <w:t xml:space="preserve"> </w:t>
      </w:r>
      <w:r w:rsidR="0021176C">
        <w:t>nominal steam cycle conditions without considering off-design operation</w:t>
      </w:r>
      <w:r w:rsidR="00CB7A0B">
        <w:t>s</w:t>
      </w:r>
      <w:r w:rsidR="0021176C">
        <w:t xml:space="preserve">. </w:t>
      </w:r>
      <w:r w:rsidR="004D571C">
        <w:t>The latter is particularly importan</w:t>
      </w:r>
      <w:r w:rsidR="00102A51">
        <w:t>t</w:t>
      </w:r>
      <w:r w:rsidR="004D571C">
        <w:t xml:space="preserve"> in </w:t>
      </w:r>
      <w:r w:rsidR="009B1FBF">
        <w:t>the</w:t>
      </w:r>
      <w:r w:rsidR="004D571C">
        <w:t xml:space="preserve"> context of </w:t>
      </w:r>
      <w:r w:rsidR="003C0337">
        <w:t>growing</w:t>
      </w:r>
      <w:r w:rsidR="00835EA4">
        <w:t xml:space="preserve"> flexibility needs </w:t>
      </w:r>
      <w:r w:rsidR="00115FA8">
        <w:t>for</w:t>
      </w:r>
      <w:r w:rsidR="00835EA4">
        <w:t xml:space="preserve"> dispatchable generators such as nuclear power plants</w:t>
      </w:r>
      <w:r w:rsidR="00735358">
        <w:t xml:space="preserve"> coupled to non-electric applications, which are required to dynamically allocate </w:t>
      </w:r>
      <w:r w:rsidR="00317C83">
        <w:t xml:space="preserve">power for electricity generation and cogeneration purposes according to market demands. </w:t>
      </w:r>
      <w:r w:rsidR="00471F47">
        <w:t xml:space="preserve">Moreover, </w:t>
      </w:r>
      <w:r w:rsidR="005E31E9">
        <w:t xml:space="preserve">since the boundaries set in this study have been set to the SMR’s balance of plant, the </w:t>
      </w:r>
      <w:r w:rsidR="00D16D8B">
        <w:t xml:space="preserve">gained insights can be extended to a wide range of non-electric applications. </w:t>
      </w:r>
      <w:r w:rsidR="0005792C">
        <w:t xml:space="preserve">For the latter, it might be worth increasing the extracted power levels considered in this study, </w:t>
      </w:r>
      <w:r w:rsidR="003448A1">
        <w:t xml:space="preserve">which have been limited to 36 </w:t>
      </w:r>
      <w:proofErr w:type="spellStart"/>
      <w:r w:rsidR="003448A1">
        <w:t>MWth</w:t>
      </w:r>
      <w:proofErr w:type="spellEnd"/>
      <w:r w:rsidR="003448A1">
        <w:t xml:space="preserve"> </w:t>
      </w:r>
      <w:r w:rsidR="00CB7A0B">
        <w:t>due to</w:t>
      </w:r>
      <w:r w:rsidR="003448A1">
        <w:t xml:space="preserve"> the peculiar power requirements of </w:t>
      </w:r>
      <w:r w:rsidR="00465F1D">
        <w:t xml:space="preserve">HTSE. </w:t>
      </w:r>
      <w:r w:rsidR="0005792C">
        <w:t xml:space="preserve"> </w:t>
      </w:r>
    </w:p>
    <w:p w14:paraId="79618BA4" w14:textId="77777777" w:rsidR="00E407E2" w:rsidRPr="00E407E2" w:rsidRDefault="00E407E2" w:rsidP="00E407E2">
      <w:pPr>
        <w:pStyle w:val="BodyText"/>
      </w:pPr>
    </w:p>
    <w:p w14:paraId="485D5736" w14:textId="77777777" w:rsidR="00430F7C" w:rsidRPr="0032223C" w:rsidRDefault="00430F7C" w:rsidP="00490A1F">
      <w:pPr>
        <w:pStyle w:val="BodyText"/>
        <w:ind w:firstLine="0"/>
      </w:pPr>
    </w:p>
    <w:p w14:paraId="32B76F9D" w14:textId="77777777" w:rsidR="00D26ADA" w:rsidRPr="0032223C" w:rsidRDefault="00D26ADA" w:rsidP="00537496">
      <w:pPr>
        <w:pStyle w:val="Otherunnumberedheadings"/>
      </w:pPr>
      <w:r w:rsidRPr="0032223C">
        <w:t>References</w:t>
      </w:r>
    </w:p>
    <w:p w14:paraId="4241B3E0" w14:textId="66F2987C" w:rsidR="00285755" w:rsidRDefault="00EE5665" w:rsidP="00537496">
      <w:pPr>
        <w:pStyle w:val="Referencelist"/>
      </w:pPr>
      <w:r w:rsidRPr="00EE5665">
        <w:t>INTERNATIONAL ATOMIC ENERGY AGENCY, Non-baseload Operation in Nuclear Power Plants: Load Following and Frequency Control Modes of Flexible Operation, IAEA Nuclear Energy Series No. NP-T-3.23, IAEA, Vienna (2018)</w:t>
      </w:r>
      <w:r w:rsidR="00D26ADA" w:rsidRPr="0032223C">
        <w:t>.</w:t>
      </w:r>
    </w:p>
    <w:p w14:paraId="6FCE6534" w14:textId="23810245" w:rsidR="00B5722E" w:rsidRDefault="00D2509A" w:rsidP="00537496">
      <w:pPr>
        <w:pStyle w:val="Referencelist"/>
      </w:pPr>
      <w:r w:rsidRPr="00D2509A">
        <w:t>INTERNATIONAL ATOMIC ENERGY AGENCY, Nuclear–Renewable Hybrid Energy Systems, IAEA Nuclear Energy Series No. NR-T-1.24, IAEA, Vienna (2023)</w:t>
      </w:r>
      <w:r>
        <w:t>.</w:t>
      </w:r>
    </w:p>
    <w:p w14:paraId="601C5370" w14:textId="0CC7A395" w:rsidR="005422C1" w:rsidRPr="005422C1" w:rsidRDefault="005422C1" w:rsidP="005422C1">
      <w:pPr>
        <w:pStyle w:val="Referencelist"/>
      </w:pPr>
      <w:r>
        <w:t>LANGE</w:t>
      </w:r>
      <w:r w:rsidRPr="005422C1">
        <w:t xml:space="preserve">, </w:t>
      </w:r>
      <w:r>
        <w:t>H</w:t>
      </w:r>
      <w:r w:rsidRPr="005422C1">
        <w:t xml:space="preserve">., </w:t>
      </w:r>
      <w:r w:rsidR="00060C39">
        <w:t>KLOSE</w:t>
      </w:r>
      <w:r w:rsidRPr="005422C1">
        <w:t xml:space="preserve">, </w:t>
      </w:r>
      <w:r w:rsidR="00060C39">
        <w:t>A</w:t>
      </w:r>
      <w:r w:rsidRPr="005422C1">
        <w:t xml:space="preserve">., </w:t>
      </w:r>
      <w:r w:rsidR="00060C39">
        <w:t>LIPPMAN</w:t>
      </w:r>
      <w:r w:rsidR="009219B7">
        <w:t>N</w:t>
      </w:r>
      <w:r w:rsidRPr="005422C1">
        <w:t xml:space="preserve">, </w:t>
      </w:r>
      <w:r w:rsidR="00060C39">
        <w:t>W</w:t>
      </w:r>
      <w:r w:rsidRPr="005422C1">
        <w:t>.</w:t>
      </w:r>
      <w:r w:rsidR="00060C39">
        <w:t>, URBAS</w:t>
      </w:r>
      <w:r w:rsidRPr="005422C1">
        <w:t>,</w:t>
      </w:r>
      <w:r w:rsidR="00060C39">
        <w:t xml:space="preserve"> L.,</w:t>
      </w:r>
      <w:r w:rsidRPr="005422C1">
        <w:t xml:space="preserve"> </w:t>
      </w:r>
      <w:r w:rsidR="003D0780">
        <w:t>Technical</w:t>
      </w:r>
      <w:r w:rsidR="00F20CD3">
        <w:t xml:space="preserve"> evaluation of the flexibility of water electrolysis systems to increase energy flexibility: A review</w:t>
      </w:r>
      <w:r w:rsidRPr="005422C1">
        <w:t xml:space="preserve">, </w:t>
      </w:r>
      <w:r w:rsidR="002815AC" w:rsidRPr="00321071">
        <w:rPr>
          <w:i/>
          <w:iCs/>
        </w:rPr>
        <w:t>In J Hydrogen Energy</w:t>
      </w:r>
      <w:r w:rsidRPr="005422C1">
        <w:t xml:space="preserve"> </w:t>
      </w:r>
      <w:r w:rsidR="00DB5819">
        <w:rPr>
          <w:b/>
          <w:bCs/>
        </w:rPr>
        <w:t>48</w:t>
      </w:r>
      <w:r w:rsidRPr="005422C1">
        <w:t xml:space="preserve"> </w:t>
      </w:r>
      <w:r w:rsidR="009219B7">
        <w:t>42</w:t>
      </w:r>
      <w:r w:rsidRPr="005422C1">
        <w:t xml:space="preserve"> (</w:t>
      </w:r>
      <w:r w:rsidR="002815AC">
        <w:t>2023</w:t>
      </w:r>
      <w:r w:rsidRPr="005422C1">
        <w:t xml:space="preserve">) </w:t>
      </w:r>
      <w:r w:rsidR="002815AC">
        <w:t>15771</w:t>
      </w:r>
      <w:r w:rsidRPr="005422C1">
        <w:t>–</w:t>
      </w:r>
      <w:r w:rsidR="002815AC">
        <w:t>83</w:t>
      </w:r>
      <w:r w:rsidRPr="005422C1">
        <w:t>.</w:t>
      </w:r>
    </w:p>
    <w:p w14:paraId="7F868333" w14:textId="1EB26BD5" w:rsidR="00D2509A" w:rsidRDefault="00E01487" w:rsidP="00537496">
      <w:pPr>
        <w:pStyle w:val="Referencelist"/>
      </w:pPr>
      <w:r>
        <w:t>GIANCHINO, A., Integrated nuclear-solid oxide electrolysis systems for electricity and hydrogen production</w:t>
      </w:r>
      <w:r w:rsidR="00047D5B">
        <w:t xml:space="preserve">, Master Thesis, </w:t>
      </w:r>
      <w:proofErr w:type="spellStart"/>
      <w:r w:rsidR="00047D5B">
        <w:t>Politecnico</w:t>
      </w:r>
      <w:proofErr w:type="spellEnd"/>
      <w:r w:rsidR="00047D5B">
        <w:t xml:space="preserve"> di Milano (2023).</w:t>
      </w:r>
    </w:p>
    <w:p w14:paraId="0BB5BA61" w14:textId="7A783576" w:rsidR="00756A33" w:rsidRDefault="00701AA1" w:rsidP="00756A33">
      <w:pPr>
        <w:pStyle w:val="Referencelist"/>
        <w:rPr>
          <w:lang w:val="en-US"/>
        </w:rPr>
      </w:pPr>
      <w:r w:rsidRPr="001C1DA3">
        <w:rPr>
          <w:lang w:val="en-US"/>
        </w:rPr>
        <w:t>LANSOU</w:t>
      </w:r>
      <w:r w:rsidR="001C1DA3" w:rsidRPr="001C1DA3">
        <w:rPr>
          <w:lang w:val="en-US"/>
        </w:rPr>
        <w:t xml:space="preserve">, S., </w:t>
      </w:r>
      <w:r w:rsidR="001C1DA3" w:rsidRPr="00F65B57">
        <w:rPr>
          <w:i/>
          <w:iCs/>
          <w:lang w:val="en-US"/>
        </w:rPr>
        <w:t>et al.</w:t>
      </w:r>
      <w:r w:rsidR="001C1DA3" w:rsidRPr="001C1DA3">
        <w:rPr>
          <w:lang w:val="en-US"/>
        </w:rPr>
        <w:t>, ELSMOR</w:t>
      </w:r>
      <w:r w:rsidR="001C1DA3">
        <w:rPr>
          <w:lang w:val="en-US"/>
        </w:rPr>
        <w:t xml:space="preserve"> – towards European Licensing of Small Modular Reactors: M</w:t>
      </w:r>
      <w:r w:rsidR="007F396E">
        <w:rPr>
          <w:lang w:val="en-US"/>
        </w:rPr>
        <w:t xml:space="preserve">ethodology recommendations for light-water small modular reactors safety assessment, </w:t>
      </w:r>
      <w:r w:rsidR="007F396E" w:rsidRPr="00321071">
        <w:rPr>
          <w:i/>
          <w:iCs/>
          <w:lang w:val="en-US"/>
        </w:rPr>
        <w:t>Open Res Europe</w:t>
      </w:r>
      <w:r w:rsidR="007F396E">
        <w:rPr>
          <w:lang w:val="en-US"/>
        </w:rPr>
        <w:t xml:space="preserve"> </w:t>
      </w:r>
      <w:r w:rsidR="007F396E" w:rsidRPr="007F396E">
        <w:rPr>
          <w:b/>
          <w:bCs/>
          <w:lang w:val="en-US"/>
        </w:rPr>
        <w:t>3</w:t>
      </w:r>
      <w:r w:rsidR="007F396E">
        <w:rPr>
          <w:b/>
          <w:bCs/>
          <w:lang w:val="en-US"/>
        </w:rPr>
        <w:t xml:space="preserve"> </w:t>
      </w:r>
      <w:r w:rsidR="007F396E">
        <w:rPr>
          <w:lang w:val="en-US"/>
        </w:rPr>
        <w:t xml:space="preserve">(2023) </w:t>
      </w:r>
      <w:r w:rsidR="00F65B57">
        <w:rPr>
          <w:lang w:val="en-US"/>
        </w:rPr>
        <w:t>158.</w:t>
      </w:r>
    </w:p>
    <w:p w14:paraId="2F630CE5" w14:textId="09DB5CA3" w:rsidR="00756A33" w:rsidRPr="00756A33" w:rsidRDefault="00756A33" w:rsidP="00756A33">
      <w:pPr>
        <w:pStyle w:val="Referencelist"/>
        <w:rPr>
          <w:lang w:val="en-US"/>
        </w:rPr>
      </w:pPr>
      <w:r>
        <w:rPr>
          <w:lang w:val="en-US"/>
        </w:rPr>
        <w:t xml:space="preserve">IQONY SOLUTIONS, </w:t>
      </w:r>
      <w:proofErr w:type="spellStart"/>
      <w:r w:rsidRPr="00756A33">
        <w:rPr>
          <w:lang w:val="en-US"/>
        </w:rPr>
        <w:t>Ebsilon®Professional</w:t>
      </w:r>
      <w:proofErr w:type="spellEnd"/>
      <w:r w:rsidRPr="00756A33">
        <w:rPr>
          <w:lang w:val="en-US"/>
        </w:rPr>
        <w:t xml:space="preserve"> (2024),</w:t>
      </w:r>
      <w:r>
        <w:rPr>
          <w:lang w:val="en-US"/>
        </w:rPr>
        <w:t xml:space="preserve"> </w:t>
      </w:r>
      <w:r w:rsidR="00681FB7" w:rsidRPr="00681FB7">
        <w:rPr>
          <w:lang w:val="en-US"/>
        </w:rPr>
        <w:t>https://systemtechnologies.iqony.energy/en/products/ebsilon-professional</w:t>
      </w:r>
      <w:r w:rsidR="00681FB7">
        <w:rPr>
          <w:lang w:val="en-US"/>
        </w:rPr>
        <w:t>.</w:t>
      </w:r>
    </w:p>
    <w:p w14:paraId="19B7FAEB" w14:textId="12483633" w:rsidR="004B556B" w:rsidRDefault="00CF435C" w:rsidP="004B556B">
      <w:pPr>
        <w:pStyle w:val="Referencelist"/>
        <w:rPr>
          <w:lang w:val="en-US"/>
        </w:rPr>
      </w:pPr>
      <w:r>
        <w:rPr>
          <w:lang w:val="en-US"/>
        </w:rPr>
        <w:t>HAUBENSACK</w:t>
      </w:r>
      <w:r w:rsidR="004B556B" w:rsidRPr="004B556B">
        <w:rPr>
          <w:lang w:val="en-US"/>
        </w:rPr>
        <w:t xml:space="preserve">, </w:t>
      </w:r>
      <w:r>
        <w:rPr>
          <w:lang w:val="en-US"/>
        </w:rPr>
        <w:t>D</w:t>
      </w:r>
      <w:r w:rsidR="004B556B" w:rsidRPr="004B556B">
        <w:rPr>
          <w:lang w:val="en-US"/>
        </w:rPr>
        <w:t>.,</w:t>
      </w:r>
      <w:r>
        <w:rPr>
          <w:lang w:val="en-US"/>
        </w:rPr>
        <w:t xml:space="preserve"> THÉVENOT, C., DUMAZ, P.,</w:t>
      </w:r>
      <w:r w:rsidR="004B556B" w:rsidRPr="004B556B">
        <w:rPr>
          <w:lang w:val="en-US"/>
        </w:rPr>
        <w:t xml:space="preserve"> “</w:t>
      </w:r>
      <w:r w:rsidR="00AE6DC0">
        <w:rPr>
          <w:lang w:val="en-US"/>
        </w:rPr>
        <w:t xml:space="preserve">The Copernic / </w:t>
      </w:r>
      <w:proofErr w:type="spellStart"/>
      <w:r w:rsidR="00AE6DC0">
        <w:rPr>
          <w:lang w:val="en-US"/>
        </w:rPr>
        <w:t>Cyclop</w:t>
      </w:r>
      <w:proofErr w:type="spellEnd"/>
      <w:r w:rsidR="00AE6DC0">
        <w:rPr>
          <w:lang w:val="en-US"/>
        </w:rPr>
        <w:t xml:space="preserve"> Computer Tool: Pre-Conceptual Design of Generation 4 Nuclear Systems</w:t>
      </w:r>
      <w:r w:rsidR="004B556B" w:rsidRPr="004B556B">
        <w:rPr>
          <w:lang w:val="en-US"/>
        </w:rPr>
        <w:t xml:space="preserve">”, </w:t>
      </w:r>
      <w:r w:rsidR="00091943" w:rsidRPr="00794950">
        <w:rPr>
          <w:i/>
          <w:iCs/>
          <w:lang w:val="en-US"/>
        </w:rPr>
        <w:t>2</w:t>
      </w:r>
      <w:r w:rsidR="00091943" w:rsidRPr="00794950">
        <w:rPr>
          <w:i/>
          <w:iCs/>
          <w:vertAlign w:val="superscript"/>
          <w:lang w:val="en-US"/>
        </w:rPr>
        <w:t>nd</w:t>
      </w:r>
      <w:r w:rsidR="00091943" w:rsidRPr="00794950">
        <w:rPr>
          <w:i/>
          <w:iCs/>
          <w:lang w:val="en-US"/>
        </w:rPr>
        <w:t xml:space="preserve"> International Topical Meeting on High Temperature Reactor Technology</w:t>
      </w:r>
      <w:r w:rsidR="00091943">
        <w:rPr>
          <w:lang w:val="en-US"/>
        </w:rPr>
        <w:t>, Beijing</w:t>
      </w:r>
      <w:r w:rsidR="004B556B" w:rsidRPr="004B556B">
        <w:rPr>
          <w:lang w:val="en-US"/>
        </w:rPr>
        <w:t xml:space="preserve"> (</w:t>
      </w:r>
      <w:r w:rsidR="00091943">
        <w:rPr>
          <w:lang w:val="en-US"/>
        </w:rPr>
        <w:t>2004</w:t>
      </w:r>
      <w:r w:rsidR="004B556B" w:rsidRPr="004B556B">
        <w:rPr>
          <w:lang w:val="en-US"/>
        </w:rPr>
        <w:t>).</w:t>
      </w:r>
    </w:p>
    <w:p w14:paraId="5ECC29FB" w14:textId="2CB6604F" w:rsidR="0018226D" w:rsidRPr="0018226D" w:rsidRDefault="0018226D" w:rsidP="0018226D">
      <w:pPr>
        <w:pStyle w:val="Referencelist"/>
        <w:rPr>
          <w:lang w:val="en-US"/>
        </w:rPr>
      </w:pPr>
      <w:r w:rsidRPr="00803107">
        <w:rPr>
          <w:lang w:val="en-US"/>
        </w:rPr>
        <w:t xml:space="preserve">MASOTTI, G. C., HAUBENSACK, D., IKONEN, J.-P., LINDROOS, T. J., LORENZI, S., PAVEL, G. L., RICOTTI, M. E., “Dynamic Modelling and </w:t>
      </w:r>
      <w:proofErr w:type="spellStart"/>
      <w:r w:rsidRPr="00803107">
        <w:rPr>
          <w:lang w:val="en-US"/>
        </w:rPr>
        <w:t>Optimisa</w:t>
      </w:r>
      <w:r>
        <w:rPr>
          <w:lang w:val="en-US"/>
        </w:rPr>
        <w:t>tion</w:t>
      </w:r>
      <w:proofErr w:type="spellEnd"/>
      <w:r>
        <w:rPr>
          <w:lang w:val="en-US"/>
        </w:rPr>
        <w:t xml:space="preserve"> of a Small Modular Reactor for Electricity Production and District Heating in the Helsinki Region”, </w:t>
      </w:r>
      <w:r w:rsidRPr="005F4F45">
        <w:rPr>
          <w:i/>
          <w:iCs/>
          <w:lang w:val="en-US"/>
        </w:rPr>
        <w:t>International Congress on Advances in Nuclear Power Plants (ICAPP)</w:t>
      </w:r>
      <w:r>
        <w:rPr>
          <w:lang w:val="en-US"/>
        </w:rPr>
        <w:t>, Las Vegas, NV (2024).</w:t>
      </w:r>
    </w:p>
    <w:p w14:paraId="5484D80B" w14:textId="6C5F3A24" w:rsidR="004B556B" w:rsidRDefault="00316EA3" w:rsidP="00537496">
      <w:pPr>
        <w:pStyle w:val="Referencelist"/>
        <w:rPr>
          <w:lang w:val="en-US"/>
        </w:rPr>
      </w:pPr>
      <w:r w:rsidRPr="00316EA3">
        <w:rPr>
          <w:lang w:val="en-US"/>
        </w:rPr>
        <w:t>INTERNATIONAL ATOMIC ENERGY AGENCY, Guidance on Nuclear Energy Cogeneration, IAEA Nuclear Energy Series No. NP-T-1.17, IAEA, Vienna (2019)</w:t>
      </w:r>
      <w:r>
        <w:rPr>
          <w:lang w:val="en-US"/>
        </w:rPr>
        <w:t>.</w:t>
      </w:r>
    </w:p>
    <w:p w14:paraId="535E394E" w14:textId="77777777" w:rsidR="00316EA3" w:rsidRPr="00CE2F9A" w:rsidRDefault="00316EA3" w:rsidP="001E40F2">
      <w:pPr>
        <w:pStyle w:val="Referencelist"/>
        <w:numPr>
          <w:ilvl w:val="0"/>
          <w:numId w:val="0"/>
        </w:numPr>
        <w:ind w:left="720" w:hanging="360"/>
        <w:rPr>
          <w:lang w:val="en-US"/>
        </w:rPr>
      </w:pPr>
    </w:p>
    <w:p w14:paraId="3BA56E06" w14:textId="77777777" w:rsidR="00F45EEE" w:rsidRPr="00CE2F9A" w:rsidRDefault="00F45EEE" w:rsidP="00537496">
      <w:pPr>
        <w:pStyle w:val="BodyText"/>
        <w:ind w:firstLine="0"/>
        <w:jc w:val="left"/>
        <w:rPr>
          <w:lang w:val="en-US"/>
        </w:rPr>
      </w:pPr>
    </w:p>
    <w:sectPr w:rsidR="00F45EEE" w:rsidRPr="00CE2F9A" w:rsidSect="0077712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E125" w14:textId="77777777" w:rsidR="007337D0" w:rsidRDefault="007337D0">
      <w:r>
        <w:separator/>
      </w:r>
    </w:p>
  </w:endnote>
  <w:endnote w:type="continuationSeparator" w:id="0">
    <w:p w14:paraId="0BB92ED9" w14:textId="77777777" w:rsidR="007337D0" w:rsidRDefault="0073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5"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6"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910E" w14:textId="77777777" w:rsidR="007337D0" w:rsidRDefault="007337D0">
      <w:r>
        <w:t>___________________________________________________________________________</w:t>
      </w:r>
    </w:p>
  </w:footnote>
  <w:footnote w:type="continuationSeparator" w:id="0">
    <w:p w14:paraId="47192638" w14:textId="77777777" w:rsidR="007337D0" w:rsidRDefault="007337D0">
      <w:r>
        <w:t>___________________________________________________________________________</w:t>
      </w:r>
    </w:p>
  </w:footnote>
  <w:footnote w:type="continuationNotice" w:id="1">
    <w:p w14:paraId="57B7EE24" w14:textId="77777777" w:rsidR="007337D0" w:rsidRDefault="00733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2205668E" w:rsidR="00CF7AF3" w:rsidRDefault="00CF7AF3" w:rsidP="00CF7AF3">
    <w:pPr>
      <w:pStyle w:val="Runninghead"/>
    </w:pPr>
    <w:r>
      <w:tab/>
      <w:t>IAEA-CN-</w:t>
    </w:r>
    <w:r w:rsidR="00372292">
      <w:t>327</w:t>
    </w:r>
    <w:r>
      <w:t>/</w:t>
    </w:r>
    <w:r w:rsidR="00372292">
      <w:t>277</w:t>
    </w:r>
  </w:p>
  <w:p w14:paraId="6E7E9A0F" w14:textId="18B87A12" w:rsidR="00E20E70" w:rsidRDefault="00CF7AF3" w:rsidP="00372292">
    <w:pPr>
      <w:pStyle w:val="zyxClassification1"/>
      <w:tabs>
        <w:tab w:val="left" w:pos="3956"/>
        <w:tab w:val="right" w:pos="9071"/>
      </w:tabs>
      <w:ind w:firstLine="0"/>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3582C694" w:rsidR="00037321" w:rsidRPr="00D72E55" w:rsidRDefault="004E1792" w:rsidP="00D72E55">
    <w:pPr>
      <w:pStyle w:val="Runninghead"/>
    </w:pPr>
    <w:r>
      <w:t>MASOTTI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4"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469"/>
    <w:multiLevelType w:val="multilevel"/>
    <w:tmpl w:val="D8FA943C"/>
    <w:styleLink w:val="CurrentList1"/>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235F9C"/>
    <w:multiLevelType w:val="hybridMultilevel"/>
    <w:tmpl w:val="28D0FF04"/>
    <w:lvl w:ilvl="0" w:tplc="D9F8869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6AA572D"/>
    <w:multiLevelType w:val="hybridMultilevel"/>
    <w:tmpl w:val="F4D2BE56"/>
    <w:lvl w:ilvl="0" w:tplc="1624A3F8">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ED21969"/>
    <w:multiLevelType w:val="hybridMultilevel"/>
    <w:tmpl w:val="E870AEB4"/>
    <w:lvl w:ilvl="0" w:tplc="C73E349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485078158">
    <w:abstractNumId w:val="8"/>
  </w:num>
  <w:num w:numId="2" w16cid:durableId="59716700">
    <w:abstractNumId w:val="5"/>
  </w:num>
  <w:num w:numId="3" w16cid:durableId="731540123">
    <w:abstractNumId w:val="13"/>
  </w:num>
  <w:num w:numId="4" w16cid:durableId="744034000">
    <w:abstractNumId w:val="13"/>
  </w:num>
  <w:num w:numId="5" w16cid:durableId="1474641089">
    <w:abstractNumId w:val="13"/>
  </w:num>
  <w:num w:numId="6" w16cid:durableId="528497540">
    <w:abstractNumId w:val="6"/>
  </w:num>
  <w:num w:numId="7" w16cid:durableId="176696273">
    <w:abstractNumId w:val="9"/>
  </w:num>
  <w:num w:numId="8" w16cid:durableId="1131169468">
    <w:abstractNumId w:val="14"/>
  </w:num>
  <w:num w:numId="9" w16cid:durableId="1007632637">
    <w:abstractNumId w:val="2"/>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3"/>
  </w:num>
  <w:num w:numId="21" w16cid:durableId="1417746791">
    <w:abstractNumId w:val="13"/>
  </w:num>
  <w:num w:numId="22" w16cid:durableId="1720975952">
    <w:abstractNumId w:val="4"/>
  </w:num>
  <w:num w:numId="23" w16cid:durableId="983584939">
    <w:abstractNumId w:val="1"/>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7"/>
  </w:num>
  <w:num w:numId="31" w16cid:durableId="1695614948">
    <w:abstractNumId w:val="7"/>
  </w:num>
  <w:num w:numId="32" w16cid:durableId="195823161">
    <w:abstractNumId w:val="13"/>
  </w:num>
  <w:num w:numId="33" w16cid:durableId="1359164949">
    <w:abstractNumId w:val="0"/>
  </w:num>
  <w:num w:numId="34" w16cid:durableId="900485958">
    <w:abstractNumId w:val="15"/>
  </w:num>
  <w:num w:numId="35" w16cid:durableId="1118715597">
    <w:abstractNumId w:val="11"/>
  </w:num>
  <w:num w:numId="36" w16cid:durableId="966857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771"/>
    <w:rsid w:val="00000FC1"/>
    <w:rsid w:val="00007102"/>
    <w:rsid w:val="00015B46"/>
    <w:rsid w:val="00017917"/>
    <w:rsid w:val="000229AB"/>
    <w:rsid w:val="0002569A"/>
    <w:rsid w:val="00030E11"/>
    <w:rsid w:val="00030ED8"/>
    <w:rsid w:val="000324D7"/>
    <w:rsid w:val="000368DD"/>
    <w:rsid w:val="00037321"/>
    <w:rsid w:val="00040C18"/>
    <w:rsid w:val="00040FC4"/>
    <w:rsid w:val="00043BC2"/>
    <w:rsid w:val="00043CFC"/>
    <w:rsid w:val="00046C35"/>
    <w:rsid w:val="00047D5B"/>
    <w:rsid w:val="0005079D"/>
    <w:rsid w:val="00050A9D"/>
    <w:rsid w:val="00056C3B"/>
    <w:rsid w:val="0005792C"/>
    <w:rsid w:val="00060C39"/>
    <w:rsid w:val="000617F0"/>
    <w:rsid w:val="00064613"/>
    <w:rsid w:val="00067898"/>
    <w:rsid w:val="0007082C"/>
    <w:rsid w:val="000725AE"/>
    <w:rsid w:val="00091943"/>
    <w:rsid w:val="000954EC"/>
    <w:rsid w:val="000A0299"/>
    <w:rsid w:val="000B1470"/>
    <w:rsid w:val="000B1F29"/>
    <w:rsid w:val="000B2554"/>
    <w:rsid w:val="000C0C0B"/>
    <w:rsid w:val="000C4C4C"/>
    <w:rsid w:val="000C4FB2"/>
    <w:rsid w:val="000C6F25"/>
    <w:rsid w:val="000D31F3"/>
    <w:rsid w:val="000D53F5"/>
    <w:rsid w:val="000E45E1"/>
    <w:rsid w:val="000F0D3A"/>
    <w:rsid w:val="000F16C9"/>
    <w:rsid w:val="000F7E94"/>
    <w:rsid w:val="001026E8"/>
    <w:rsid w:val="00102A51"/>
    <w:rsid w:val="00103077"/>
    <w:rsid w:val="00103DAB"/>
    <w:rsid w:val="00107891"/>
    <w:rsid w:val="001119D6"/>
    <w:rsid w:val="00112509"/>
    <w:rsid w:val="00114AFF"/>
    <w:rsid w:val="00115FA8"/>
    <w:rsid w:val="001175DC"/>
    <w:rsid w:val="001204F3"/>
    <w:rsid w:val="00121CC5"/>
    <w:rsid w:val="00126454"/>
    <w:rsid w:val="001307D7"/>
    <w:rsid w:val="001308F2"/>
    <w:rsid w:val="001313E8"/>
    <w:rsid w:val="00131D6A"/>
    <w:rsid w:val="00133B52"/>
    <w:rsid w:val="00136F6F"/>
    <w:rsid w:val="00145EF2"/>
    <w:rsid w:val="00146460"/>
    <w:rsid w:val="0015046C"/>
    <w:rsid w:val="00150BD8"/>
    <w:rsid w:val="00151345"/>
    <w:rsid w:val="00164D65"/>
    <w:rsid w:val="00165DCE"/>
    <w:rsid w:val="00166A6B"/>
    <w:rsid w:val="00171CC6"/>
    <w:rsid w:val="00171E82"/>
    <w:rsid w:val="001764F3"/>
    <w:rsid w:val="0018226D"/>
    <w:rsid w:val="001830C8"/>
    <w:rsid w:val="001914CC"/>
    <w:rsid w:val="001969BA"/>
    <w:rsid w:val="001A3D00"/>
    <w:rsid w:val="001B2CA4"/>
    <w:rsid w:val="001B31E1"/>
    <w:rsid w:val="001B5B9C"/>
    <w:rsid w:val="001C1DA3"/>
    <w:rsid w:val="001C1E9C"/>
    <w:rsid w:val="001C58F5"/>
    <w:rsid w:val="001C5AF4"/>
    <w:rsid w:val="001C60D9"/>
    <w:rsid w:val="001C7D82"/>
    <w:rsid w:val="001D3CC6"/>
    <w:rsid w:val="001D41ED"/>
    <w:rsid w:val="001D58D7"/>
    <w:rsid w:val="001D5CEE"/>
    <w:rsid w:val="001E1A5D"/>
    <w:rsid w:val="001E40F2"/>
    <w:rsid w:val="001E4C1D"/>
    <w:rsid w:val="001F0982"/>
    <w:rsid w:val="001F7C7D"/>
    <w:rsid w:val="002000E5"/>
    <w:rsid w:val="00202E2A"/>
    <w:rsid w:val="002071D9"/>
    <w:rsid w:val="00210B33"/>
    <w:rsid w:val="0021176C"/>
    <w:rsid w:val="00212A97"/>
    <w:rsid w:val="00216F19"/>
    <w:rsid w:val="00224840"/>
    <w:rsid w:val="00232C10"/>
    <w:rsid w:val="00235B7B"/>
    <w:rsid w:val="002468E6"/>
    <w:rsid w:val="00256822"/>
    <w:rsid w:val="002638C2"/>
    <w:rsid w:val="0026525A"/>
    <w:rsid w:val="00271072"/>
    <w:rsid w:val="00274790"/>
    <w:rsid w:val="00276432"/>
    <w:rsid w:val="002815AC"/>
    <w:rsid w:val="00285755"/>
    <w:rsid w:val="002A0811"/>
    <w:rsid w:val="002A1F9C"/>
    <w:rsid w:val="002A6F2A"/>
    <w:rsid w:val="002B0F70"/>
    <w:rsid w:val="002B29C2"/>
    <w:rsid w:val="002B70D2"/>
    <w:rsid w:val="002C1060"/>
    <w:rsid w:val="002C40FD"/>
    <w:rsid w:val="002C4208"/>
    <w:rsid w:val="002D1C88"/>
    <w:rsid w:val="002D2377"/>
    <w:rsid w:val="002D4431"/>
    <w:rsid w:val="002D52A0"/>
    <w:rsid w:val="002E1051"/>
    <w:rsid w:val="002E17D3"/>
    <w:rsid w:val="002E1F72"/>
    <w:rsid w:val="002E2CB0"/>
    <w:rsid w:val="002E444C"/>
    <w:rsid w:val="002E51B7"/>
    <w:rsid w:val="002E5823"/>
    <w:rsid w:val="002F3C57"/>
    <w:rsid w:val="002F6777"/>
    <w:rsid w:val="002F7C7A"/>
    <w:rsid w:val="00302993"/>
    <w:rsid w:val="003035C9"/>
    <w:rsid w:val="00310744"/>
    <w:rsid w:val="00311994"/>
    <w:rsid w:val="00316EA3"/>
    <w:rsid w:val="00317C83"/>
    <w:rsid w:val="00321071"/>
    <w:rsid w:val="0032223C"/>
    <w:rsid w:val="00324D60"/>
    <w:rsid w:val="0032511E"/>
    <w:rsid w:val="00326C5C"/>
    <w:rsid w:val="00327981"/>
    <w:rsid w:val="00333C84"/>
    <w:rsid w:val="003350DA"/>
    <w:rsid w:val="00335F1F"/>
    <w:rsid w:val="003404BF"/>
    <w:rsid w:val="003405AD"/>
    <w:rsid w:val="00341248"/>
    <w:rsid w:val="003438A2"/>
    <w:rsid w:val="00343D26"/>
    <w:rsid w:val="003448A1"/>
    <w:rsid w:val="003462AD"/>
    <w:rsid w:val="00352DE1"/>
    <w:rsid w:val="00367026"/>
    <w:rsid w:val="00372292"/>
    <w:rsid w:val="003728E6"/>
    <w:rsid w:val="00372D07"/>
    <w:rsid w:val="00384EF2"/>
    <w:rsid w:val="00387F0F"/>
    <w:rsid w:val="00393C62"/>
    <w:rsid w:val="003B5E0E"/>
    <w:rsid w:val="003B5E82"/>
    <w:rsid w:val="003B6630"/>
    <w:rsid w:val="003C0337"/>
    <w:rsid w:val="003C0E4E"/>
    <w:rsid w:val="003C1D28"/>
    <w:rsid w:val="003C5F56"/>
    <w:rsid w:val="003C6BD7"/>
    <w:rsid w:val="003C6E3B"/>
    <w:rsid w:val="003C72E9"/>
    <w:rsid w:val="003D0780"/>
    <w:rsid w:val="003D1B3E"/>
    <w:rsid w:val="003D1DE1"/>
    <w:rsid w:val="003D255A"/>
    <w:rsid w:val="003D2833"/>
    <w:rsid w:val="003D31AE"/>
    <w:rsid w:val="003D3B99"/>
    <w:rsid w:val="003D5276"/>
    <w:rsid w:val="003D7717"/>
    <w:rsid w:val="003E0053"/>
    <w:rsid w:val="003E306D"/>
    <w:rsid w:val="003F1142"/>
    <w:rsid w:val="003F1F74"/>
    <w:rsid w:val="003F7675"/>
    <w:rsid w:val="004014F5"/>
    <w:rsid w:val="00406371"/>
    <w:rsid w:val="00410E1E"/>
    <w:rsid w:val="00416949"/>
    <w:rsid w:val="004176DA"/>
    <w:rsid w:val="004216CC"/>
    <w:rsid w:val="00423695"/>
    <w:rsid w:val="004241AA"/>
    <w:rsid w:val="004309D7"/>
    <w:rsid w:val="00430A65"/>
    <w:rsid w:val="00430F1B"/>
    <w:rsid w:val="00430F7C"/>
    <w:rsid w:val="0043116E"/>
    <w:rsid w:val="004370D8"/>
    <w:rsid w:val="00444864"/>
    <w:rsid w:val="004451B5"/>
    <w:rsid w:val="00453486"/>
    <w:rsid w:val="00453E7D"/>
    <w:rsid w:val="00454A12"/>
    <w:rsid w:val="00456220"/>
    <w:rsid w:val="00460256"/>
    <w:rsid w:val="00462053"/>
    <w:rsid w:val="00465F1D"/>
    <w:rsid w:val="00471D36"/>
    <w:rsid w:val="00471F47"/>
    <w:rsid w:val="00472C43"/>
    <w:rsid w:val="0047332B"/>
    <w:rsid w:val="0047424C"/>
    <w:rsid w:val="00486762"/>
    <w:rsid w:val="00490A1F"/>
    <w:rsid w:val="004933EB"/>
    <w:rsid w:val="004A5186"/>
    <w:rsid w:val="004B0B96"/>
    <w:rsid w:val="004B11AD"/>
    <w:rsid w:val="004B2BDA"/>
    <w:rsid w:val="004B49AF"/>
    <w:rsid w:val="004B5333"/>
    <w:rsid w:val="004B556B"/>
    <w:rsid w:val="004C3D9C"/>
    <w:rsid w:val="004D0B43"/>
    <w:rsid w:val="004D571C"/>
    <w:rsid w:val="004D73A1"/>
    <w:rsid w:val="004E0DF9"/>
    <w:rsid w:val="004E1792"/>
    <w:rsid w:val="004E67E2"/>
    <w:rsid w:val="00502A60"/>
    <w:rsid w:val="00503CD4"/>
    <w:rsid w:val="005203E5"/>
    <w:rsid w:val="0052178A"/>
    <w:rsid w:val="005234AB"/>
    <w:rsid w:val="005258E9"/>
    <w:rsid w:val="00526A9A"/>
    <w:rsid w:val="00531118"/>
    <w:rsid w:val="00533B32"/>
    <w:rsid w:val="00537496"/>
    <w:rsid w:val="005403D8"/>
    <w:rsid w:val="005422C1"/>
    <w:rsid w:val="00544712"/>
    <w:rsid w:val="00544ED3"/>
    <w:rsid w:val="00545268"/>
    <w:rsid w:val="00545C90"/>
    <w:rsid w:val="00550CDA"/>
    <w:rsid w:val="005531FD"/>
    <w:rsid w:val="00557154"/>
    <w:rsid w:val="00564A85"/>
    <w:rsid w:val="005659DD"/>
    <w:rsid w:val="00565BBC"/>
    <w:rsid w:val="005708FB"/>
    <w:rsid w:val="0057235C"/>
    <w:rsid w:val="00575CD4"/>
    <w:rsid w:val="00576F84"/>
    <w:rsid w:val="0058289E"/>
    <w:rsid w:val="0058477B"/>
    <w:rsid w:val="005849FA"/>
    <w:rsid w:val="0058654F"/>
    <w:rsid w:val="00594303"/>
    <w:rsid w:val="00596ACA"/>
    <w:rsid w:val="005A5770"/>
    <w:rsid w:val="005B35BC"/>
    <w:rsid w:val="005B64FB"/>
    <w:rsid w:val="005B6F39"/>
    <w:rsid w:val="005C06F3"/>
    <w:rsid w:val="005C27E3"/>
    <w:rsid w:val="005D24B7"/>
    <w:rsid w:val="005E0691"/>
    <w:rsid w:val="005E31E9"/>
    <w:rsid w:val="005E39BC"/>
    <w:rsid w:val="005E758E"/>
    <w:rsid w:val="005F00A0"/>
    <w:rsid w:val="005F2EBE"/>
    <w:rsid w:val="005F3609"/>
    <w:rsid w:val="00601F10"/>
    <w:rsid w:val="006068CB"/>
    <w:rsid w:val="0061032C"/>
    <w:rsid w:val="00611F4A"/>
    <w:rsid w:val="00624DBC"/>
    <w:rsid w:val="0063042F"/>
    <w:rsid w:val="00633137"/>
    <w:rsid w:val="006340A1"/>
    <w:rsid w:val="00634502"/>
    <w:rsid w:val="00635075"/>
    <w:rsid w:val="00636373"/>
    <w:rsid w:val="00637111"/>
    <w:rsid w:val="0063738C"/>
    <w:rsid w:val="00640807"/>
    <w:rsid w:val="00640EB9"/>
    <w:rsid w:val="00645FAA"/>
    <w:rsid w:val="00647EBA"/>
    <w:rsid w:val="00647F33"/>
    <w:rsid w:val="00651BE2"/>
    <w:rsid w:val="00652C75"/>
    <w:rsid w:val="006544A3"/>
    <w:rsid w:val="00660DFF"/>
    <w:rsid w:val="00662532"/>
    <w:rsid w:val="00662791"/>
    <w:rsid w:val="0067007C"/>
    <w:rsid w:val="0067041E"/>
    <w:rsid w:val="00671276"/>
    <w:rsid w:val="0067196D"/>
    <w:rsid w:val="00677E0F"/>
    <w:rsid w:val="00680007"/>
    <w:rsid w:val="00681FB7"/>
    <w:rsid w:val="00684AEF"/>
    <w:rsid w:val="00686C55"/>
    <w:rsid w:val="00691A29"/>
    <w:rsid w:val="00697C36"/>
    <w:rsid w:val="006A083B"/>
    <w:rsid w:val="006A2365"/>
    <w:rsid w:val="006A397B"/>
    <w:rsid w:val="006A596A"/>
    <w:rsid w:val="006A67F4"/>
    <w:rsid w:val="006A7981"/>
    <w:rsid w:val="006B2274"/>
    <w:rsid w:val="006C4079"/>
    <w:rsid w:val="006C7E6B"/>
    <w:rsid w:val="006C7ED8"/>
    <w:rsid w:val="006C7F59"/>
    <w:rsid w:val="006D23D9"/>
    <w:rsid w:val="006D398A"/>
    <w:rsid w:val="006F25EA"/>
    <w:rsid w:val="006F6E30"/>
    <w:rsid w:val="00701AA1"/>
    <w:rsid w:val="00703A32"/>
    <w:rsid w:val="007064EA"/>
    <w:rsid w:val="007102E1"/>
    <w:rsid w:val="00714582"/>
    <w:rsid w:val="00715E0B"/>
    <w:rsid w:val="00717C6F"/>
    <w:rsid w:val="00720892"/>
    <w:rsid w:val="00721C0D"/>
    <w:rsid w:val="00724842"/>
    <w:rsid w:val="007260BE"/>
    <w:rsid w:val="00732BA7"/>
    <w:rsid w:val="007337D0"/>
    <w:rsid w:val="00733ED8"/>
    <w:rsid w:val="00735358"/>
    <w:rsid w:val="00736D5B"/>
    <w:rsid w:val="007431D4"/>
    <w:rsid w:val="007445DA"/>
    <w:rsid w:val="00744DED"/>
    <w:rsid w:val="007469EA"/>
    <w:rsid w:val="00746AA2"/>
    <w:rsid w:val="00746C17"/>
    <w:rsid w:val="00750888"/>
    <w:rsid w:val="00751439"/>
    <w:rsid w:val="0075230B"/>
    <w:rsid w:val="0075237C"/>
    <w:rsid w:val="0075246E"/>
    <w:rsid w:val="007526D5"/>
    <w:rsid w:val="00754204"/>
    <w:rsid w:val="00756A33"/>
    <w:rsid w:val="00757266"/>
    <w:rsid w:val="00761C31"/>
    <w:rsid w:val="00763B79"/>
    <w:rsid w:val="00764516"/>
    <w:rsid w:val="00766F79"/>
    <w:rsid w:val="00773B5E"/>
    <w:rsid w:val="007750E0"/>
    <w:rsid w:val="0077587F"/>
    <w:rsid w:val="00776521"/>
    <w:rsid w:val="0077712A"/>
    <w:rsid w:val="00777496"/>
    <w:rsid w:val="00782498"/>
    <w:rsid w:val="00783C27"/>
    <w:rsid w:val="00784E78"/>
    <w:rsid w:val="007912DD"/>
    <w:rsid w:val="00794950"/>
    <w:rsid w:val="00794B33"/>
    <w:rsid w:val="007A61BA"/>
    <w:rsid w:val="007B4FD1"/>
    <w:rsid w:val="007B59ED"/>
    <w:rsid w:val="007C30D6"/>
    <w:rsid w:val="007C30FE"/>
    <w:rsid w:val="007C6D71"/>
    <w:rsid w:val="007D1BB2"/>
    <w:rsid w:val="007D27A9"/>
    <w:rsid w:val="007D607A"/>
    <w:rsid w:val="007E7423"/>
    <w:rsid w:val="007F31F1"/>
    <w:rsid w:val="007F396E"/>
    <w:rsid w:val="007F4FF7"/>
    <w:rsid w:val="00802381"/>
    <w:rsid w:val="00804E21"/>
    <w:rsid w:val="00806022"/>
    <w:rsid w:val="00813CD1"/>
    <w:rsid w:val="00816938"/>
    <w:rsid w:val="00832F40"/>
    <w:rsid w:val="00833858"/>
    <w:rsid w:val="008341FF"/>
    <w:rsid w:val="00835EA4"/>
    <w:rsid w:val="008363E7"/>
    <w:rsid w:val="00842A79"/>
    <w:rsid w:val="00843EEE"/>
    <w:rsid w:val="00851AEC"/>
    <w:rsid w:val="008720AA"/>
    <w:rsid w:val="00874C80"/>
    <w:rsid w:val="008777B9"/>
    <w:rsid w:val="008817CC"/>
    <w:rsid w:val="00881990"/>
    <w:rsid w:val="00883848"/>
    <w:rsid w:val="00886D43"/>
    <w:rsid w:val="008972B1"/>
    <w:rsid w:val="00897ED5"/>
    <w:rsid w:val="008A183A"/>
    <w:rsid w:val="008A1DC0"/>
    <w:rsid w:val="008A3DE6"/>
    <w:rsid w:val="008A6D4B"/>
    <w:rsid w:val="008B076D"/>
    <w:rsid w:val="008B4643"/>
    <w:rsid w:val="008B4BE1"/>
    <w:rsid w:val="008B6BB9"/>
    <w:rsid w:val="008C008A"/>
    <w:rsid w:val="008C032F"/>
    <w:rsid w:val="008C6BC5"/>
    <w:rsid w:val="008C6EF6"/>
    <w:rsid w:val="008C7357"/>
    <w:rsid w:val="008C7C73"/>
    <w:rsid w:val="008D127B"/>
    <w:rsid w:val="008D1360"/>
    <w:rsid w:val="008D17CB"/>
    <w:rsid w:val="008E2266"/>
    <w:rsid w:val="008E4636"/>
    <w:rsid w:val="008E688D"/>
    <w:rsid w:val="008F6182"/>
    <w:rsid w:val="008F72BF"/>
    <w:rsid w:val="009031E5"/>
    <w:rsid w:val="00907B87"/>
    <w:rsid w:val="009112DB"/>
    <w:rsid w:val="00911543"/>
    <w:rsid w:val="009202A5"/>
    <w:rsid w:val="0092087A"/>
    <w:rsid w:val="009219B7"/>
    <w:rsid w:val="00921BFF"/>
    <w:rsid w:val="00924A6A"/>
    <w:rsid w:val="00930B75"/>
    <w:rsid w:val="0093164C"/>
    <w:rsid w:val="00941619"/>
    <w:rsid w:val="009519C9"/>
    <w:rsid w:val="0095256E"/>
    <w:rsid w:val="00960D8D"/>
    <w:rsid w:val="00963C5B"/>
    <w:rsid w:val="00974BA0"/>
    <w:rsid w:val="00975464"/>
    <w:rsid w:val="00980F44"/>
    <w:rsid w:val="00984713"/>
    <w:rsid w:val="00994B8B"/>
    <w:rsid w:val="00995915"/>
    <w:rsid w:val="009A3EAA"/>
    <w:rsid w:val="009A4F44"/>
    <w:rsid w:val="009A6AC8"/>
    <w:rsid w:val="009B1FBF"/>
    <w:rsid w:val="009B352F"/>
    <w:rsid w:val="009B4211"/>
    <w:rsid w:val="009B5105"/>
    <w:rsid w:val="009C04D4"/>
    <w:rsid w:val="009C4D7F"/>
    <w:rsid w:val="009C79AA"/>
    <w:rsid w:val="009C7D55"/>
    <w:rsid w:val="009D0B86"/>
    <w:rsid w:val="009D6FC5"/>
    <w:rsid w:val="009E004D"/>
    <w:rsid w:val="009E0D5B"/>
    <w:rsid w:val="009E1558"/>
    <w:rsid w:val="009E5762"/>
    <w:rsid w:val="009E5FFD"/>
    <w:rsid w:val="009E6E6F"/>
    <w:rsid w:val="009F3FFA"/>
    <w:rsid w:val="009F5124"/>
    <w:rsid w:val="009F66EF"/>
    <w:rsid w:val="00A008BB"/>
    <w:rsid w:val="00A0405B"/>
    <w:rsid w:val="00A04E5E"/>
    <w:rsid w:val="00A0534E"/>
    <w:rsid w:val="00A05A63"/>
    <w:rsid w:val="00A07719"/>
    <w:rsid w:val="00A176DD"/>
    <w:rsid w:val="00A21A66"/>
    <w:rsid w:val="00A21E98"/>
    <w:rsid w:val="00A24382"/>
    <w:rsid w:val="00A25061"/>
    <w:rsid w:val="00A31ED1"/>
    <w:rsid w:val="00A34B76"/>
    <w:rsid w:val="00A35066"/>
    <w:rsid w:val="00A35F0B"/>
    <w:rsid w:val="00A37CC1"/>
    <w:rsid w:val="00A409A0"/>
    <w:rsid w:val="00A42898"/>
    <w:rsid w:val="00A43C94"/>
    <w:rsid w:val="00A50F34"/>
    <w:rsid w:val="00A5281A"/>
    <w:rsid w:val="00A52F0D"/>
    <w:rsid w:val="00A609F0"/>
    <w:rsid w:val="00A645A1"/>
    <w:rsid w:val="00A65B3A"/>
    <w:rsid w:val="00A671C1"/>
    <w:rsid w:val="00A74B0F"/>
    <w:rsid w:val="00A90A51"/>
    <w:rsid w:val="00A90F55"/>
    <w:rsid w:val="00A93B6C"/>
    <w:rsid w:val="00A94D09"/>
    <w:rsid w:val="00AB14F8"/>
    <w:rsid w:val="00AB2950"/>
    <w:rsid w:val="00AB45C5"/>
    <w:rsid w:val="00AB485A"/>
    <w:rsid w:val="00AB515E"/>
    <w:rsid w:val="00AB6A09"/>
    <w:rsid w:val="00AB6ACE"/>
    <w:rsid w:val="00AC0654"/>
    <w:rsid w:val="00AC0E5C"/>
    <w:rsid w:val="00AC4BC4"/>
    <w:rsid w:val="00AC5A3A"/>
    <w:rsid w:val="00AD4969"/>
    <w:rsid w:val="00AD498E"/>
    <w:rsid w:val="00AE6DC0"/>
    <w:rsid w:val="00AF0CCD"/>
    <w:rsid w:val="00AF4254"/>
    <w:rsid w:val="00AF6C55"/>
    <w:rsid w:val="00B01132"/>
    <w:rsid w:val="00B11DF9"/>
    <w:rsid w:val="00B2673E"/>
    <w:rsid w:val="00B32542"/>
    <w:rsid w:val="00B40D35"/>
    <w:rsid w:val="00B43AB5"/>
    <w:rsid w:val="00B5722E"/>
    <w:rsid w:val="00B60EC2"/>
    <w:rsid w:val="00B703F4"/>
    <w:rsid w:val="00B7303C"/>
    <w:rsid w:val="00B74D2E"/>
    <w:rsid w:val="00B82FA5"/>
    <w:rsid w:val="00B87196"/>
    <w:rsid w:val="00B87F33"/>
    <w:rsid w:val="00B93B52"/>
    <w:rsid w:val="00B93CD2"/>
    <w:rsid w:val="00B94840"/>
    <w:rsid w:val="00BA1FA6"/>
    <w:rsid w:val="00BA2A51"/>
    <w:rsid w:val="00BA3C20"/>
    <w:rsid w:val="00BA5E73"/>
    <w:rsid w:val="00BA6A99"/>
    <w:rsid w:val="00BB0826"/>
    <w:rsid w:val="00BB0FF4"/>
    <w:rsid w:val="00BB7BEB"/>
    <w:rsid w:val="00BC2873"/>
    <w:rsid w:val="00BD1400"/>
    <w:rsid w:val="00BD605C"/>
    <w:rsid w:val="00BE0EDE"/>
    <w:rsid w:val="00BE2A76"/>
    <w:rsid w:val="00BF61F3"/>
    <w:rsid w:val="00BF6586"/>
    <w:rsid w:val="00BF76E1"/>
    <w:rsid w:val="00C00810"/>
    <w:rsid w:val="00C00D31"/>
    <w:rsid w:val="00C055D3"/>
    <w:rsid w:val="00C05911"/>
    <w:rsid w:val="00C120EB"/>
    <w:rsid w:val="00C122FC"/>
    <w:rsid w:val="00C21D45"/>
    <w:rsid w:val="00C236EB"/>
    <w:rsid w:val="00C318AF"/>
    <w:rsid w:val="00C358D5"/>
    <w:rsid w:val="00C403E4"/>
    <w:rsid w:val="00C425E6"/>
    <w:rsid w:val="00C521AE"/>
    <w:rsid w:val="00C53152"/>
    <w:rsid w:val="00C574C0"/>
    <w:rsid w:val="00C61510"/>
    <w:rsid w:val="00C63F24"/>
    <w:rsid w:val="00C65E60"/>
    <w:rsid w:val="00C75322"/>
    <w:rsid w:val="00C768D7"/>
    <w:rsid w:val="00C8681B"/>
    <w:rsid w:val="00C86ADF"/>
    <w:rsid w:val="00C872CA"/>
    <w:rsid w:val="00C94C3C"/>
    <w:rsid w:val="00CA44C2"/>
    <w:rsid w:val="00CA54AA"/>
    <w:rsid w:val="00CB5401"/>
    <w:rsid w:val="00CB7A0B"/>
    <w:rsid w:val="00CB7EDC"/>
    <w:rsid w:val="00CC04D8"/>
    <w:rsid w:val="00CC58EE"/>
    <w:rsid w:val="00CC6AD5"/>
    <w:rsid w:val="00CD3057"/>
    <w:rsid w:val="00CD54CD"/>
    <w:rsid w:val="00CD5824"/>
    <w:rsid w:val="00CD61F7"/>
    <w:rsid w:val="00CD7053"/>
    <w:rsid w:val="00CE2F9A"/>
    <w:rsid w:val="00CE437E"/>
    <w:rsid w:val="00CE49B4"/>
    <w:rsid w:val="00CE5A52"/>
    <w:rsid w:val="00CF2C6D"/>
    <w:rsid w:val="00CF435C"/>
    <w:rsid w:val="00CF47D8"/>
    <w:rsid w:val="00CF5837"/>
    <w:rsid w:val="00CF6058"/>
    <w:rsid w:val="00CF6236"/>
    <w:rsid w:val="00CF7AF3"/>
    <w:rsid w:val="00D01364"/>
    <w:rsid w:val="00D04BFF"/>
    <w:rsid w:val="00D04FD0"/>
    <w:rsid w:val="00D15779"/>
    <w:rsid w:val="00D16D8B"/>
    <w:rsid w:val="00D17019"/>
    <w:rsid w:val="00D225C8"/>
    <w:rsid w:val="00D24E01"/>
    <w:rsid w:val="00D24F8C"/>
    <w:rsid w:val="00D2509A"/>
    <w:rsid w:val="00D2524A"/>
    <w:rsid w:val="00D26ADA"/>
    <w:rsid w:val="00D30487"/>
    <w:rsid w:val="00D34B21"/>
    <w:rsid w:val="00D34F1C"/>
    <w:rsid w:val="00D354EE"/>
    <w:rsid w:val="00D35A78"/>
    <w:rsid w:val="00D3662C"/>
    <w:rsid w:val="00D37E8B"/>
    <w:rsid w:val="00D4273A"/>
    <w:rsid w:val="00D4413F"/>
    <w:rsid w:val="00D4503B"/>
    <w:rsid w:val="00D45863"/>
    <w:rsid w:val="00D45C1B"/>
    <w:rsid w:val="00D511BE"/>
    <w:rsid w:val="00D5470F"/>
    <w:rsid w:val="00D54FDC"/>
    <w:rsid w:val="00D555A1"/>
    <w:rsid w:val="00D5678F"/>
    <w:rsid w:val="00D57B01"/>
    <w:rsid w:val="00D61A4E"/>
    <w:rsid w:val="00D61BC6"/>
    <w:rsid w:val="00D64DC2"/>
    <w:rsid w:val="00D6638B"/>
    <w:rsid w:val="00D671E1"/>
    <w:rsid w:val="00D67BC9"/>
    <w:rsid w:val="00D72E55"/>
    <w:rsid w:val="00D74E89"/>
    <w:rsid w:val="00D82C5D"/>
    <w:rsid w:val="00D840F1"/>
    <w:rsid w:val="00D84E50"/>
    <w:rsid w:val="00D870E4"/>
    <w:rsid w:val="00D91084"/>
    <w:rsid w:val="00D93FB1"/>
    <w:rsid w:val="00DA1504"/>
    <w:rsid w:val="00DA2930"/>
    <w:rsid w:val="00DA2BF1"/>
    <w:rsid w:val="00DA3BD4"/>
    <w:rsid w:val="00DA46CA"/>
    <w:rsid w:val="00DA7503"/>
    <w:rsid w:val="00DB15CD"/>
    <w:rsid w:val="00DB16C0"/>
    <w:rsid w:val="00DB2728"/>
    <w:rsid w:val="00DB415E"/>
    <w:rsid w:val="00DB5819"/>
    <w:rsid w:val="00DC7C24"/>
    <w:rsid w:val="00DD54A9"/>
    <w:rsid w:val="00DD6357"/>
    <w:rsid w:val="00DD63F7"/>
    <w:rsid w:val="00DE28F6"/>
    <w:rsid w:val="00DE62A9"/>
    <w:rsid w:val="00DF177E"/>
    <w:rsid w:val="00DF21EB"/>
    <w:rsid w:val="00DF5CC6"/>
    <w:rsid w:val="00E01487"/>
    <w:rsid w:val="00E01611"/>
    <w:rsid w:val="00E02EA9"/>
    <w:rsid w:val="00E03255"/>
    <w:rsid w:val="00E1246B"/>
    <w:rsid w:val="00E154C1"/>
    <w:rsid w:val="00E17430"/>
    <w:rsid w:val="00E20E70"/>
    <w:rsid w:val="00E23141"/>
    <w:rsid w:val="00E25B68"/>
    <w:rsid w:val="00E3456F"/>
    <w:rsid w:val="00E345D6"/>
    <w:rsid w:val="00E402AA"/>
    <w:rsid w:val="00E407E2"/>
    <w:rsid w:val="00E41017"/>
    <w:rsid w:val="00E42F7B"/>
    <w:rsid w:val="00E47F8B"/>
    <w:rsid w:val="00E60CEC"/>
    <w:rsid w:val="00E65E8A"/>
    <w:rsid w:val="00E77BEB"/>
    <w:rsid w:val="00E83BA4"/>
    <w:rsid w:val="00E84003"/>
    <w:rsid w:val="00E8440E"/>
    <w:rsid w:val="00E85AB0"/>
    <w:rsid w:val="00E91C53"/>
    <w:rsid w:val="00EA53C1"/>
    <w:rsid w:val="00EA6BA2"/>
    <w:rsid w:val="00EB2611"/>
    <w:rsid w:val="00EB4D09"/>
    <w:rsid w:val="00EC10FC"/>
    <w:rsid w:val="00EC5EB6"/>
    <w:rsid w:val="00ED143A"/>
    <w:rsid w:val="00ED227D"/>
    <w:rsid w:val="00ED2A2E"/>
    <w:rsid w:val="00ED6D47"/>
    <w:rsid w:val="00ED6D9C"/>
    <w:rsid w:val="00EE0041"/>
    <w:rsid w:val="00EE07B5"/>
    <w:rsid w:val="00EE29B9"/>
    <w:rsid w:val="00EE55DA"/>
    <w:rsid w:val="00EE5665"/>
    <w:rsid w:val="00EE63E6"/>
    <w:rsid w:val="00EE7D29"/>
    <w:rsid w:val="00EF0101"/>
    <w:rsid w:val="00EF3361"/>
    <w:rsid w:val="00EF5405"/>
    <w:rsid w:val="00EF6B94"/>
    <w:rsid w:val="00F004EE"/>
    <w:rsid w:val="00F0525D"/>
    <w:rsid w:val="00F1298A"/>
    <w:rsid w:val="00F13997"/>
    <w:rsid w:val="00F144A3"/>
    <w:rsid w:val="00F20CD3"/>
    <w:rsid w:val="00F24968"/>
    <w:rsid w:val="00F304E4"/>
    <w:rsid w:val="00F307F9"/>
    <w:rsid w:val="00F31585"/>
    <w:rsid w:val="00F34069"/>
    <w:rsid w:val="00F37091"/>
    <w:rsid w:val="00F42528"/>
    <w:rsid w:val="00F42E23"/>
    <w:rsid w:val="00F43B94"/>
    <w:rsid w:val="00F446BD"/>
    <w:rsid w:val="00F45EEE"/>
    <w:rsid w:val="00F46389"/>
    <w:rsid w:val="00F46EDA"/>
    <w:rsid w:val="00F515B5"/>
    <w:rsid w:val="00F51E9C"/>
    <w:rsid w:val="00F523CA"/>
    <w:rsid w:val="00F52738"/>
    <w:rsid w:val="00F560AC"/>
    <w:rsid w:val="00F568D7"/>
    <w:rsid w:val="00F60AC4"/>
    <w:rsid w:val="00F65B57"/>
    <w:rsid w:val="00F67617"/>
    <w:rsid w:val="00F72266"/>
    <w:rsid w:val="00F74A9D"/>
    <w:rsid w:val="00F84BDD"/>
    <w:rsid w:val="00F854E3"/>
    <w:rsid w:val="00F85E99"/>
    <w:rsid w:val="00F934DB"/>
    <w:rsid w:val="00FA1F52"/>
    <w:rsid w:val="00FA5E1F"/>
    <w:rsid w:val="00FA7B88"/>
    <w:rsid w:val="00FB22B7"/>
    <w:rsid w:val="00FB4674"/>
    <w:rsid w:val="00FB5950"/>
    <w:rsid w:val="00FB7384"/>
    <w:rsid w:val="00FB773A"/>
    <w:rsid w:val="00FC23A1"/>
    <w:rsid w:val="00FC2F09"/>
    <w:rsid w:val="00FC45A3"/>
    <w:rsid w:val="00FC46E9"/>
    <w:rsid w:val="00FC48B9"/>
    <w:rsid w:val="00FC5A3F"/>
    <w:rsid w:val="00FD738E"/>
    <w:rsid w:val="00FF1E84"/>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907B87"/>
    <w:rPr>
      <w:sz w:val="22"/>
      <w:lang w:eastAsia="en-US"/>
    </w:rPr>
  </w:style>
  <w:style w:type="numbering" w:customStyle="1" w:styleId="CurrentList1">
    <w:name w:val="Current List1"/>
    <w:uiPriority w:val="99"/>
    <w:rsid w:val="00B87F33"/>
    <w:pPr>
      <w:numPr>
        <w:numId w:val="33"/>
      </w:numPr>
    </w:pPr>
  </w:style>
  <w:style w:type="character" w:customStyle="1" w:styleId="Heading3Char">
    <w:name w:val="Heading 3 Char"/>
    <w:aliases w:val="2nd level paper heading Char"/>
    <w:basedOn w:val="DefaultParagraphFont"/>
    <w:link w:val="Heading3"/>
    <w:uiPriority w:val="4"/>
    <w:rsid w:val="00533B32"/>
    <w:rPr>
      <w:b/>
      <w:lang w:eastAsia="en-US"/>
    </w:rPr>
  </w:style>
  <w:style w:type="character" w:styleId="CommentReference">
    <w:name w:val="annotation reference"/>
    <w:basedOn w:val="DefaultParagraphFont"/>
    <w:uiPriority w:val="49"/>
    <w:locked/>
    <w:rsid w:val="00D225C8"/>
    <w:rPr>
      <w:sz w:val="16"/>
      <w:szCs w:val="16"/>
    </w:rPr>
  </w:style>
  <w:style w:type="paragraph" w:styleId="CommentText">
    <w:name w:val="annotation text"/>
    <w:basedOn w:val="Normal"/>
    <w:link w:val="CommentTextChar"/>
    <w:uiPriority w:val="49"/>
    <w:locked/>
    <w:rsid w:val="00D225C8"/>
    <w:rPr>
      <w:sz w:val="20"/>
    </w:rPr>
  </w:style>
  <w:style w:type="character" w:customStyle="1" w:styleId="CommentTextChar">
    <w:name w:val="Comment Text Char"/>
    <w:basedOn w:val="DefaultParagraphFont"/>
    <w:link w:val="CommentText"/>
    <w:uiPriority w:val="49"/>
    <w:rsid w:val="00D225C8"/>
    <w:rPr>
      <w:lang w:eastAsia="en-US"/>
    </w:rPr>
  </w:style>
  <w:style w:type="paragraph" w:styleId="CommentSubject">
    <w:name w:val="annotation subject"/>
    <w:basedOn w:val="CommentText"/>
    <w:next w:val="CommentText"/>
    <w:link w:val="CommentSubjectChar"/>
    <w:uiPriority w:val="49"/>
    <w:locked/>
    <w:rsid w:val="00D225C8"/>
    <w:rPr>
      <w:b/>
      <w:bCs/>
    </w:rPr>
  </w:style>
  <w:style w:type="character" w:customStyle="1" w:styleId="CommentSubjectChar">
    <w:name w:val="Comment Subject Char"/>
    <w:basedOn w:val="CommentTextChar"/>
    <w:link w:val="CommentSubject"/>
    <w:uiPriority w:val="49"/>
    <w:rsid w:val="00D225C8"/>
    <w:rPr>
      <w:b/>
      <w:bCs/>
      <w:lang w:eastAsia="en-US"/>
    </w:rPr>
  </w:style>
  <w:style w:type="character" w:styleId="PlaceholderText">
    <w:name w:val="Placeholder Text"/>
    <w:basedOn w:val="DefaultParagraphFont"/>
    <w:uiPriority w:val="99"/>
    <w:semiHidden/>
    <w:locked/>
    <w:rsid w:val="00A671C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561997">
      <w:bodyDiv w:val="1"/>
      <w:marLeft w:val="0"/>
      <w:marRight w:val="0"/>
      <w:marTop w:val="0"/>
      <w:marBottom w:val="0"/>
      <w:divBdr>
        <w:top w:val="none" w:sz="0" w:space="0" w:color="auto"/>
        <w:left w:val="none" w:sz="0" w:space="0" w:color="auto"/>
        <w:bottom w:val="none" w:sz="0" w:space="0" w:color="auto"/>
        <w:right w:val="none" w:sz="0" w:space="0" w:color="auto"/>
      </w:divBdr>
      <w:divsChild>
        <w:div w:id="710811725">
          <w:marLeft w:val="0"/>
          <w:marRight w:val="0"/>
          <w:marTop w:val="0"/>
          <w:marBottom w:val="0"/>
          <w:divBdr>
            <w:top w:val="none" w:sz="0" w:space="0" w:color="auto"/>
            <w:left w:val="none" w:sz="0" w:space="0" w:color="auto"/>
            <w:bottom w:val="none" w:sz="0" w:space="0" w:color="auto"/>
            <w:right w:val="none" w:sz="0" w:space="0" w:color="auto"/>
          </w:divBdr>
          <w:divsChild>
            <w:div w:id="723287557">
              <w:marLeft w:val="0"/>
              <w:marRight w:val="0"/>
              <w:marTop w:val="0"/>
              <w:marBottom w:val="0"/>
              <w:divBdr>
                <w:top w:val="none" w:sz="0" w:space="0" w:color="auto"/>
                <w:left w:val="none" w:sz="0" w:space="0" w:color="auto"/>
                <w:bottom w:val="none" w:sz="0" w:space="0" w:color="auto"/>
                <w:right w:val="none" w:sz="0" w:space="0" w:color="auto"/>
              </w:divBdr>
              <w:divsChild>
                <w:div w:id="8999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647</TotalTime>
  <Pages>7</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Guido Carlo Masotti</cp:lastModifiedBy>
  <cp:revision>657</cp:revision>
  <cp:lastPrinted>2024-03-19T13:52:00Z</cp:lastPrinted>
  <dcterms:created xsi:type="dcterms:W3CDTF">2024-03-19T07:55:00Z</dcterms:created>
  <dcterms:modified xsi:type="dcterms:W3CDTF">2024-06-12T13:15:00Z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ZOTERO_PREF_1">
    <vt:lpwstr>&lt;data data-version="3" zotero-version="6.0.33"&gt;&lt;session id="D6cLnpyi"/&gt;&lt;style id="" hasBibliography="0" bibliographyStyleHasBeenSet="0"/&gt;&lt;prefs/&gt;&lt;/data&gt;</vt:lpwstr>
  </property>
</Properties>
</file>