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37C86" w14:textId="77777777" w:rsidR="00647AE3" w:rsidRDefault="00F73A7A" w:rsidP="00E75A33">
      <w:pPr>
        <w:pStyle w:val="Titre1"/>
        <w:rPr>
          <w:rFonts w:asciiTheme="majorBidi" w:hAnsiTheme="majorBidi" w:cstheme="majorBidi"/>
          <w:bCs/>
          <w:sz w:val="28"/>
          <w:szCs w:val="28"/>
        </w:rPr>
      </w:pPr>
      <w:r w:rsidRPr="00F73A7A">
        <w:rPr>
          <w:rFonts w:asciiTheme="majorBidi" w:hAnsiTheme="majorBidi" w:cstheme="majorBidi"/>
          <w:bCs/>
          <w:sz w:val="28"/>
          <w:szCs w:val="28"/>
        </w:rPr>
        <w:t>Nuclear Hydrogen Production Analysis for</w:t>
      </w:r>
    </w:p>
    <w:p w14:paraId="7A489224" w14:textId="6D8CE78F" w:rsidR="003B5E0E" w:rsidRPr="003B5E0E" w:rsidRDefault="00F73A7A" w:rsidP="00E75A33">
      <w:pPr>
        <w:pStyle w:val="Titre1"/>
      </w:pPr>
      <w:r w:rsidRPr="00F73A7A">
        <w:rPr>
          <w:rFonts w:asciiTheme="majorBidi" w:hAnsiTheme="majorBidi" w:cstheme="majorBidi"/>
          <w:bCs/>
          <w:sz w:val="28"/>
          <w:szCs w:val="28"/>
        </w:rPr>
        <w:t>GT-HTR using HEEP Software</w:t>
      </w:r>
      <w:r w:rsidRPr="00202350">
        <w:rPr>
          <w:rFonts w:asciiTheme="majorBidi" w:hAnsiTheme="majorBidi" w:cstheme="majorBidi"/>
          <w:bCs/>
          <w:sz w:val="28"/>
          <w:szCs w:val="28"/>
        </w:rPr>
        <w:t xml:space="preserve"> </w:t>
      </w:r>
    </w:p>
    <w:p w14:paraId="4D1B799F" w14:textId="77777777" w:rsidR="00802381" w:rsidRDefault="00802381" w:rsidP="00537496">
      <w:pPr>
        <w:pStyle w:val="Authornameandaffiliation"/>
      </w:pPr>
    </w:p>
    <w:p w14:paraId="19053127" w14:textId="77777777" w:rsidR="0009386E" w:rsidRDefault="0009386E" w:rsidP="0009386E">
      <w:pPr>
        <w:pStyle w:val="Authornameandaffiliation"/>
      </w:pPr>
      <w:r>
        <w:t>W</w:t>
      </w:r>
      <w:r w:rsidRPr="00FF386F">
        <w:t xml:space="preserve">. </w:t>
      </w:r>
      <w:r>
        <w:t>DRIDI</w:t>
      </w:r>
    </w:p>
    <w:p w14:paraId="773B5139" w14:textId="77777777" w:rsidR="0009386E" w:rsidRDefault="0009386E" w:rsidP="0009386E">
      <w:pPr>
        <w:ind w:left="567"/>
        <w:rPr>
          <w:rFonts w:asciiTheme="majorBidi" w:hAnsiTheme="majorBidi" w:cstheme="majorBidi"/>
          <w:sz w:val="20"/>
        </w:rPr>
      </w:pPr>
      <w:r w:rsidRPr="00AB3EED">
        <w:rPr>
          <w:rFonts w:asciiTheme="majorBidi" w:hAnsiTheme="majorBidi" w:cstheme="majorBidi"/>
          <w:sz w:val="20"/>
        </w:rPr>
        <w:t xml:space="preserve">Laboratory of Energy and Matter for Development of Nuclear Science (LR16CNSTN02), </w:t>
      </w:r>
    </w:p>
    <w:p w14:paraId="39A7F06B" w14:textId="77777777" w:rsidR="0009386E" w:rsidRPr="00AB3EED" w:rsidRDefault="0009386E" w:rsidP="0009386E">
      <w:pPr>
        <w:ind w:left="567"/>
        <w:rPr>
          <w:sz w:val="20"/>
        </w:rPr>
      </w:pPr>
      <w:r w:rsidRPr="00AB3EED">
        <w:rPr>
          <w:rFonts w:asciiTheme="majorBidi" w:hAnsiTheme="majorBidi" w:cstheme="majorBidi"/>
          <w:sz w:val="20"/>
        </w:rPr>
        <w:t>National</w:t>
      </w:r>
      <w:r>
        <w:rPr>
          <w:rFonts w:asciiTheme="majorBidi" w:hAnsiTheme="majorBidi" w:cstheme="majorBidi"/>
          <w:sz w:val="20"/>
        </w:rPr>
        <w:t xml:space="preserve"> </w:t>
      </w:r>
      <w:r w:rsidRPr="00AB3EED">
        <w:rPr>
          <w:rFonts w:asciiTheme="majorBidi" w:hAnsiTheme="majorBidi" w:cstheme="majorBidi"/>
          <w:sz w:val="20"/>
        </w:rPr>
        <w:t>Centre of Nuclear Science and Technology</w:t>
      </w:r>
    </w:p>
    <w:p w14:paraId="7ABF0452" w14:textId="77777777" w:rsidR="0009386E" w:rsidRDefault="0009386E" w:rsidP="0009386E">
      <w:pPr>
        <w:pStyle w:val="Authornameandaffiliation"/>
      </w:pPr>
      <w:r>
        <w:t>Sidi-Thabet/Ariana, Tunisia</w:t>
      </w:r>
    </w:p>
    <w:p w14:paraId="5E2BDA1F" w14:textId="0D15BA9F" w:rsidR="00FF386F" w:rsidRDefault="0009386E" w:rsidP="0009386E">
      <w:pPr>
        <w:pStyle w:val="Authornameandaffiliation"/>
        <w:rPr>
          <w:rStyle w:val="Lienhypertexte"/>
          <w:rFonts w:asciiTheme="majorBidi" w:hAnsiTheme="majorBidi" w:cstheme="majorBidi"/>
        </w:rPr>
      </w:pPr>
      <w:r w:rsidRPr="00F62367">
        <w:t xml:space="preserve">Email: </w:t>
      </w:r>
      <w:hyperlink r:id="rId8" w:history="1">
        <w:r w:rsidRPr="00F62367">
          <w:rPr>
            <w:rStyle w:val="Lienhypertexte"/>
            <w:rFonts w:asciiTheme="majorBidi" w:hAnsiTheme="majorBidi" w:cstheme="majorBidi"/>
          </w:rPr>
          <w:t>walid.dridi@cnstn.rnrt.tn</w:t>
        </w:r>
      </w:hyperlink>
    </w:p>
    <w:p w14:paraId="05E0C3C4" w14:textId="77777777" w:rsidR="0009386E" w:rsidRDefault="0009386E" w:rsidP="0009386E">
      <w:pPr>
        <w:pStyle w:val="Authornameandaffiliation"/>
      </w:pPr>
    </w:p>
    <w:p w14:paraId="14C2FBCB" w14:textId="77777777" w:rsidR="0009386E" w:rsidRDefault="0009386E" w:rsidP="0009386E">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3A744D89" w14:textId="033F13AA" w:rsidR="00966783" w:rsidRPr="00E75A33" w:rsidRDefault="00966783" w:rsidP="00B92C78">
      <w:pPr>
        <w:spacing w:line="260" w:lineRule="atLeast"/>
        <w:ind w:firstLine="567"/>
        <w:jc w:val="both"/>
        <w:rPr>
          <w:rFonts w:asciiTheme="majorBidi" w:hAnsiTheme="majorBidi" w:cstheme="majorBidi"/>
          <w:sz w:val="18"/>
          <w:szCs w:val="18"/>
          <w:shd w:val="clear" w:color="auto" w:fill="FFFFFF"/>
        </w:rPr>
      </w:pPr>
      <w:r w:rsidRPr="00E75A33">
        <w:rPr>
          <w:rFonts w:asciiTheme="majorBidi" w:hAnsiTheme="majorBidi" w:cstheme="majorBidi"/>
          <w:sz w:val="18"/>
          <w:szCs w:val="18"/>
        </w:rPr>
        <w:t>Hydrogen demand is expected to sharply increase shortly as technology development uses hydrogen as a new energy source. Currently hydrogen production relies primarily on fossil fuels, which are neither environmentally friendly nor economically efficient. In order to establish a hydrogen economy, it is imperative to produce a large amount of hydrogen in a clean, safe, and efficient manner. Nuclear production of hydrogen could enable a massive production of hydrogen at affordable prices while also reducing environmental pollution by cutting down on carbon dioxide emissions.</w:t>
      </w:r>
      <w:r w:rsidR="00E75A33" w:rsidRPr="00E75A33">
        <w:rPr>
          <w:rFonts w:asciiTheme="majorBidi" w:hAnsiTheme="majorBidi" w:cstheme="majorBidi"/>
          <w:sz w:val="18"/>
          <w:szCs w:val="18"/>
        </w:rPr>
        <w:t xml:space="preserve"> </w:t>
      </w:r>
      <w:r w:rsidR="00B92C78" w:rsidRPr="00B92C78">
        <w:rPr>
          <w:rFonts w:asciiTheme="majorBidi" w:hAnsiTheme="majorBidi" w:cstheme="majorBidi"/>
          <w:sz w:val="18"/>
          <w:szCs w:val="18"/>
        </w:rPr>
        <w:t>Otherwise, both the need for using low-carbon energy sources and the significant advantage of SMRs lies in their adaptability to be coupled with other energy systems, like hydrogen production plants, to generate a cogeneration plant, which can efficiently produce both electricity and hydrogen while reducing overall emissions</w:t>
      </w:r>
      <w:r w:rsidR="00B92C78">
        <w:rPr>
          <w:rFonts w:asciiTheme="majorBidi" w:hAnsiTheme="majorBidi" w:cstheme="majorBidi"/>
          <w:sz w:val="18"/>
          <w:szCs w:val="18"/>
        </w:rPr>
        <w:t>.</w:t>
      </w:r>
      <w:r w:rsidR="00E75A33" w:rsidRPr="00E75A33">
        <w:rPr>
          <w:rFonts w:asciiTheme="majorBidi" w:hAnsiTheme="majorBidi" w:cstheme="majorBidi"/>
          <w:sz w:val="18"/>
          <w:szCs w:val="18"/>
        </w:rPr>
        <w:t xml:space="preserve"> </w:t>
      </w:r>
      <w:r w:rsidRPr="00E75A33">
        <w:rPr>
          <w:rFonts w:asciiTheme="majorBidi" w:hAnsiTheme="majorBidi" w:cstheme="majorBidi"/>
          <w:sz w:val="18"/>
          <w:szCs w:val="18"/>
        </w:rPr>
        <w:t xml:space="preserve">A Gas-Turbine </w:t>
      </w:r>
      <w:r w:rsidR="00182FDD" w:rsidRPr="00E75A33">
        <w:rPr>
          <w:rFonts w:asciiTheme="majorBidi" w:hAnsiTheme="majorBidi" w:cstheme="majorBidi"/>
          <w:sz w:val="18"/>
          <w:szCs w:val="18"/>
        </w:rPr>
        <w:t xml:space="preserve">Modular-Helium </w:t>
      </w:r>
      <w:r w:rsidRPr="00E75A33">
        <w:rPr>
          <w:rFonts w:asciiTheme="majorBidi" w:hAnsiTheme="majorBidi" w:cstheme="majorBidi"/>
          <w:sz w:val="18"/>
          <w:szCs w:val="18"/>
        </w:rPr>
        <w:t>Reactor (GT-</w:t>
      </w:r>
      <w:r w:rsidR="00182FDD" w:rsidRPr="00E75A33">
        <w:rPr>
          <w:rFonts w:asciiTheme="majorBidi" w:hAnsiTheme="majorBidi" w:cstheme="majorBidi"/>
          <w:sz w:val="18"/>
          <w:szCs w:val="18"/>
        </w:rPr>
        <w:t>MH</w:t>
      </w:r>
      <w:r w:rsidRPr="00E75A33">
        <w:rPr>
          <w:rFonts w:asciiTheme="majorBidi" w:hAnsiTheme="majorBidi" w:cstheme="majorBidi"/>
          <w:sz w:val="18"/>
          <w:szCs w:val="18"/>
        </w:rPr>
        <w:t>R</w:t>
      </w:r>
      <w:r w:rsidR="00182FDD" w:rsidRPr="00E75A33">
        <w:rPr>
          <w:rFonts w:asciiTheme="majorBidi" w:hAnsiTheme="majorBidi" w:cstheme="majorBidi"/>
          <w:sz w:val="18"/>
          <w:szCs w:val="18"/>
        </w:rPr>
        <w:t>6</w:t>
      </w:r>
      <w:r w:rsidRPr="00E75A33">
        <w:rPr>
          <w:rFonts w:asciiTheme="majorBidi" w:hAnsiTheme="majorBidi" w:cstheme="majorBidi"/>
          <w:sz w:val="18"/>
          <w:szCs w:val="18"/>
        </w:rPr>
        <w:t xml:space="preserve">00) </w:t>
      </w:r>
      <w:r w:rsidRPr="00E75A33">
        <w:rPr>
          <w:rFonts w:asciiTheme="majorBidi" w:hAnsiTheme="majorBidi" w:cstheme="majorBidi"/>
          <w:sz w:val="18"/>
          <w:szCs w:val="18"/>
          <w:shd w:val="clear" w:color="auto" w:fill="FFFFFF"/>
        </w:rPr>
        <w:t xml:space="preserve">is an efficient reactor that can be used </w:t>
      </w:r>
      <w:r w:rsidRPr="00E75A33">
        <w:rPr>
          <w:rFonts w:asciiTheme="majorBidi" w:hAnsiTheme="majorBidi" w:cstheme="majorBidi"/>
          <w:sz w:val="18"/>
          <w:szCs w:val="18"/>
        </w:rPr>
        <w:t xml:space="preserve">with the thermo-chemical </w:t>
      </w:r>
      <w:proofErr w:type="spellStart"/>
      <w:r w:rsidRPr="00E75A33">
        <w:rPr>
          <w:rFonts w:asciiTheme="majorBidi" w:hAnsiTheme="majorBidi" w:cstheme="majorBidi"/>
          <w:sz w:val="18"/>
          <w:szCs w:val="18"/>
        </w:rPr>
        <w:t>Sulfur</w:t>
      </w:r>
      <w:proofErr w:type="spellEnd"/>
      <w:r w:rsidRPr="00E75A33">
        <w:rPr>
          <w:rFonts w:asciiTheme="majorBidi" w:hAnsiTheme="majorBidi" w:cstheme="majorBidi"/>
          <w:sz w:val="18"/>
          <w:szCs w:val="18"/>
        </w:rPr>
        <w:t xml:space="preserve"> Iodine (SI) cycle to produce hydrogen. </w:t>
      </w:r>
      <w:r w:rsidRPr="00E75A33">
        <w:rPr>
          <w:rFonts w:asciiTheme="majorBidi" w:hAnsiTheme="majorBidi" w:cstheme="majorBidi"/>
          <w:sz w:val="18"/>
          <w:szCs w:val="18"/>
          <w:shd w:val="clear" w:color="auto" w:fill="FFFFFF"/>
        </w:rPr>
        <w:t>To evaluate the economy of the nuclear hydrogen production system, the International Atomic Energy Agency (IAEA) has developed software tools such as HEEP (Hydrogen Economy Evaluation Program) [2, 3]</w:t>
      </w:r>
      <w:r w:rsidRPr="00E75A33">
        <w:rPr>
          <w:rFonts w:asciiTheme="majorBidi" w:hAnsiTheme="majorBidi" w:cstheme="majorBidi"/>
          <w:sz w:val="18"/>
          <w:szCs w:val="18"/>
        </w:rPr>
        <w:t xml:space="preserve">. </w:t>
      </w:r>
      <w:r w:rsidRPr="00E75A33">
        <w:rPr>
          <w:rFonts w:asciiTheme="majorBidi" w:hAnsiTheme="majorBidi" w:cstheme="majorBidi"/>
          <w:sz w:val="18"/>
          <w:szCs w:val="18"/>
          <w:shd w:val="clear" w:color="auto" w:fill="FFFFFF"/>
        </w:rPr>
        <w:t xml:space="preserve">This paper uses HEEP to calculate the Levelized </w:t>
      </w:r>
      <w:r w:rsidR="00C87775" w:rsidRPr="00E75A33">
        <w:rPr>
          <w:rFonts w:asciiTheme="majorBidi" w:hAnsiTheme="majorBidi" w:cstheme="majorBidi"/>
          <w:sz w:val="18"/>
          <w:szCs w:val="18"/>
          <w:shd w:val="clear" w:color="auto" w:fill="FFFFFF"/>
        </w:rPr>
        <w:t>cost of</w:t>
      </w:r>
      <w:r w:rsidRPr="00E75A33">
        <w:rPr>
          <w:rFonts w:asciiTheme="majorBidi" w:hAnsiTheme="majorBidi" w:cstheme="majorBidi"/>
          <w:sz w:val="18"/>
          <w:szCs w:val="18"/>
          <w:shd w:val="clear" w:color="auto" w:fill="FFFFFF"/>
        </w:rPr>
        <w:t xml:space="preserve"> Hydrogen (L</w:t>
      </w:r>
      <w:r w:rsidR="00C87775" w:rsidRPr="00E75A33">
        <w:rPr>
          <w:rFonts w:asciiTheme="majorBidi" w:hAnsiTheme="majorBidi" w:cstheme="majorBidi"/>
          <w:sz w:val="18"/>
          <w:szCs w:val="18"/>
          <w:shd w:val="clear" w:color="auto" w:fill="FFFFFF"/>
        </w:rPr>
        <w:t>COH</w:t>
      </w:r>
      <w:r w:rsidRPr="00E75A33">
        <w:rPr>
          <w:rFonts w:asciiTheme="majorBidi" w:hAnsiTheme="majorBidi" w:cstheme="majorBidi"/>
          <w:sz w:val="18"/>
          <w:szCs w:val="18"/>
          <w:shd w:val="clear" w:color="auto" w:fill="FFFFFF"/>
        </w:rPr>
        <w:t xml:space="preserve">) for a nuclear hydrogen production plant consisting </w:t>
      </w:r>
      <w:r w:rsidRPr="00B92C78">
        <w:rPr>
          <w:rFonts w:asciiTheme="majorBidi" w:hAnsiTheme="majorBidi" w:cstheme="majorBidi"/>
          <w:sz w:val="18"/>
          <w:szCs w:val="18"/>
          <w:shd w:val="clear" w:color="auto" w:fill="FFFFFF"/>
        </w:rPr>
        <w:t xml:space="preserve">of </w:t>
      </w:r>
      <w:r w:rsidR="007D014D" w:rsidRPr="00B92C78">
        <w:rPr>
          <w:rFonts w:asciiTheme="majorBidi" w:hAnsiTheme="majorBidi" w:cstheme="majorBidi"/>
          <w:sz w:val="18"/>
          <w:szCs w:val="18"/>
          <w:shd w:val="clear" w:color="auto" w:fill="FFFFFF"/>
        </w:rPr>
        <w:t>four</w:t>
      </w:r>
      <w:r w:rsidRPr="00B92C78">
        <w:rPr>
          <w:rFonts w:asciiTheme="majorBidi" w:hAnsiTheme="majorBidi" w:cstheme="majorBidi"/>
          <w:sz w:val="18"/>
          <w:szCs w:val="18"/>
          <w:shd w:val="clear" w:color="auto" w:fill="FFFFFF"/>
        </w:rPr>
        <w:t xml:space="preserve"> modules</w:t>
      </w:r>
      <w:r w:rsidRPr="00E75A33">
        <w:rPr>
          <w:rFonts w:asciiTheme="majorBidi" w:hAnsiTheme="majorBidi" w:cstheme="majorBidi"/>
          <w:sz w:val="18"/>
          <w:szCs w:val="18"/>
          <w:shd w:val="clear" w:color="auto" w:fill="FFFFFF"/>
        </w:rPr>
        <w:t xml:space="preserve"> of </w:t>
      </w:r>
      <w:r w:rsidR="00182FDD" w:rsidRPr="00E75A33">
        <w:rPr>
          <w:rFonts w:asciiTheme="majorBidi" w:hAnsiTheme="majorBidi" w:cstheme="majorBidi"/>
          <w:sz w:val="18"/>
          <w:szCs w:val="18"/>
          <w:shd w:val="clear" w:color="auto" w:fill="FFFFFF"/>
        </w:rPr>
        <w:t>6</w:t>
      </w:r>
      <w:r w:rsidRPr="00E75A33">
        <w:rPr>
          <w:rFonts w:asciiTheme="majorBidi" w:hAnsiTheme="majorBidi" w:cstheme="majorBidi"/>
          <w:sz w:val="18"/>
          <w:szCs w:val="18"/>
          <w:shd w:val="clear" w:color="auto" w:fill="FFFFFF"/>
        </w:rPr>
        <w:t xml:space="preserve">00 </w:t>
      </w:r>
      <w:proofErr w:type="spellStart"/>
      <w:r w:rsidRPr="00E75A33">
        <w:rPr>
          <w:rFonts w:asciiTheme="majorBidi" w:hAnsiTheme="majorBidi" w:cstheme="majorBidi"/>
          <w:sz w:val="18"/>
          <w:szCs w:val="18"/>
          <w:shd w:val="clear" w:color="auto" w:fill="FFFFFF"/>
        </w:rPr>
        <w:t>MWth</w:t>
      </w:r>
      <w:proofErr w:type="spellEnd"/>
      <w:r w:rsidRPr="00E75A33">
        <w:rPr>
          <w:rFonts w:asciiTheme="majorBidi" w:hAnsiTheme="majorBidi" w:cstheme="majorBidi"/>
          <w:sz w:val="18"/>
          <w:szCs w:val="18"/>
          <w:shd w:val="clear" w:color="auto" w:fill="FFFFFF"/>
        </w:rPr>
        <w:t xml:space="preserve"> GT-</w:t>
      </w:r>
      <w:r w:rsidR="00182FDD" w:rsidRPr="00E75A33">
        <w:rPr>
          <w:rFonts w:asciiTheme="majorBidi" w:hAnsiTheme="majorBidi" w:cstheme="majorBidi"/>
          <w:sz w:val="18"/>
          <w:szCs w:val="18"/>
          <w:shd w:val="clear" w:color="auto" w:fill="FFFFFF"/>
        </w:rPr>
        <w:t>MH</w:t>
      </w:r>
      <w:r w:rsidRPr="00E75A33">
        <w:rPr>
          <w:rFonts w:asciiTheme="majorBidi" w:hAnsiTheme="majorBidi" w:cstheme="majorBidi"/>
          <w:sz w:val="18"/>
          <w:szCs w:val="18"/>
          <w:shd w:val="clear" w:color="auto" w:fill="FFFFFF"/>
        </w:rPr>
        <w:t>R coupled with the SI process.</w:t>
      </w:r>
    </w:p>
    <w:p w14:paraId="03C6D75B" w14:textId="77777777" w:rsidR="00647F33" w:rsidRDefault="00F523CA" w:rsidP="00537496">
      <w:pPr>
        <w:pStyle w:val="Titre2"/>
        <w:numPr>
          <w:ilvl w:val="1"/>
          <w:numId w:val="10"/>
        </w:numPr>
      </w:pPr>
      <w:r>
        <w:t>INTRODUCTION</w:t>
      </w:r>
    </w:p>
    <w:p w14:paraId="7683C44C" w14:textId="5E5DE2CB" w:rsidR="00ED1CD3" w:rsidRDefault="00ED1CD3" w:rsidP="00BB0B75">
      <w:pPr>
        <w:overflowPunct/>
        <w:spacing w:line="260" w:lineRule="atLeast"/>
        <w:ind w:firstLine="567"/>
        <w:jc w:val="both"/>
        <w:textAlignment w:val="auto"/>
        <w:rPr>
          <w:rFonts w:asciiTheme="majorBidi" w:hAnsiTheme="majorBidi" w:cstheme="majorBidi"/>
          <w:color w:val="1C1C1C"/>
          <w:sz w:val="18"/>
          <w:szCs w:val="18"/>
          <w:shd w:val="clear" w:color="auto" w:fill="FFFFFF"/>
        </w:rPr>
      </w:pPr>
      <w:r w:rsidRPr="00ED1CD3">
        <w:rPr>
          <w:rFonts w:asciiTheme="majorBidi" w:hAnsiTheme="majorBidi" w:cstheme="majorBidi"/>
          <w:color w:val="1C1C1C"/>
          <w:sz w:val="18"/>
          <w:szCs w:val="18"/>
          <w:shd w:val="clear" w:color="auto" w:fill="FFFFFF"/>
        </w:rPr>
        <w:t xml:space="preserve">The worldwide need for energy rises in line with increasing population and prosperity. As a result, energy plays a vital part in shaping the policies of both local and international governments, as well as their economic strategies, environmental policies, sustainability efforts, and social development </w:t>
      </w:r>
      <w:r w:rsidRPr="00606558">
        <w:rPr>
          <w:rFonts w:asciiTheme="majorBidi" w:hAnsiTheme="majorBidi" w:cstheme="majorBidi"/>
          <w:b/>
          <w:bCs/>
          <w:color w:val="1C1C1C"/>
          <w:sz w:val="18"/>
          <w:szCs w:val="18"/>
          <w:shd w:val="clear" w:color="auto" w:fill="FFFFFF"/>
        </w:rPr>
        <w:t>[1]</w:t>
      </w:r>
      <w:r w:rsidRPr="00ED1CD3">
        <w:rPr>
          <w:rFonts w:asciiTheme="majorBidi" w:hAnsiTheme="majorBidi" w:cstheme="majorBidi"/>
          <w:color w:val="1C1C1C"/>
          <w:sz w:val="18"/>
          <w:szCs w:val="18"/>
          <w:shd w:val="clear" w:color="auto" w:fill="FFFFFF"/>
        </w:rPr>
        <w:t>. Energy systems reliant on fossil fuels are viewed as unsustainable due to their limited reserves and impact on the environment. The transition from fossil fuels to nuclear and renewable resources is anticipated due to the growing demand for energy and mounting concerns regarding environmental issues such as global warming.</w:t>
      </w:r>
      <w:r w:rsidR="00BB0B75">
        <w:rPr>
          <w:rFonts w:asciiTheme="majorBidi" w:hAnsiTheme="majorBidi" w:cstheme="majorBidi"/>
          <w:color w:val="1C1C1C"/>
          <w:sz w:val="18"/>
          <w:szCs w:val="18"/>
          <w:shd w:val="clear" w:color="auto" w:fill="FFFFFF"/>
        </w:rPr>
        <w:t xml:space="preserve"> </w:t>
      </w:r>
      <w:r w:rsidRPr="00606558">
        <w:rPr>
          <w:rFonts w:asciiTheme="majorBidi" w:hAnsiTheme="majorBidi" w:cstheme="majorBidi"/>
          <w:color w:val="1C1C1C"/>
          <w:sz w:val="18"/>
          <w:szCs w:val="18"/>
          <w:shd w:val="clear" w:color="auto" w:fill="FFFFFF"/>
        </w:rPr>
        <w:t xml:space="preserve">Hydrogen is anticipated to emerge as the primary solution for addressing our current energy and environmental challenges, according to numerous energy experts and stakeholders. It is free of carbon, does not release greenhouse gases, and does not contribute to global warming. Hydrogen is viewed as a promising option for serving as an excellent energy carrier, expanding markets for renewable and nuclear energy resources, promoting sustainability, and addressing environmental issues </w:t>
      </w:r>
      <w:r w:rsidRPr="00606558">
        <w:rPr>
          <w:rFonts w:asciiTheme="majorBidi" w:hAnsiTheme="majorBidi" w:cstheme="majorBidi"/>
          <w:b/>
          <w:bCs/>
          <w:color w:val="1C1C1C"/>
          <w:sz w:val="18"/>
          <w:szCs w:val="18"/>
          <w:shd w:val="clear" w:color="auto" w:fill="FFFFFF"/>
        </w:rPr>
        <w:t>[2]</w:t>
      </w:r>
      <w:r w:rsidRPr="00606558">
        <w:rPr>
          <w:rFonts w:asciiTheme="majorBidi" w:hAnsiTheme="majorBidi" w:cstheme="majorBidi"/>
          <w:color w:val="1C1C1C"/>
          <w:sz w:val="18"/>
          <w:szCs w:val="18"/>
          <w:shd w:val="clear" w:color="auto" w:fill="FFFFFF"/>
        </w:rPr>
        <w:t xml:space="preserve">. Although hydrogen is naturally abundant in the form of water, it is not found in its pure form, necessitating its production in a sustainable and eco-friendly manner. Various methods for </w:t>
      </w:r>
      <w:r w:rsidR="00606558" w:rsidRPr="00606558">
        <w:rPr>
          <w:rFonts w:asciiTheme="majorBidi" w:hAnsiTheme="majorBidi" w:cstheme="majorBidi"/>
          <w:color w:val="1C1C1C"/>
          <w:sz w:val="18"/>
          <w:szCs w:val="18"/>
          <w:shd w:val="clear" w:color="auto" w:fill="FFFFFF"/>
        </w:rPr>
        <w:t xml:space="preserve">producing </w:t>
      </w:r>
      <w:r w:rsidRPr="00606558">
        <w:rPr>
          <w:rFonts w:asciiTheme="majorBidi" w:hAnsiTheme="majorBidi" w:cstheme="majorBidi"/>
          <w:color w:val="1C1C1C"/>
          <w:sz w:val="18"/>
          <w:szCs w:val="18"/>
          <w:shd w:val="clear" w:color="auto" w:fill="FFFFFF"/>
        </w:rPr>
        <w:t xml:space="preserve">this include </w:t>
      </w:r>
      <w:r w:rsidR="00606558" w:rsidRPr="00606558">
        <w:rPr>
          <w:rFonts w:asciiTheme="majorBidi" w:hAnsiTheme="majorBidi" w:cstheme="majorBidi"/>
          <w:color w:val="1C1C1C"/>
          <w:sz w:val="18"/>
          <w:szCs w:val="18"/>
          <w:shd w:val="clear" w:color="auto" w:fill="FFFFFF"/>
        </w:rPr>
        <w:t xml:space="preserve">thermochemical water decomposition, water electrolysis, </w:t>
      </w:r>
      <w:r w:rsidRPr="00606558">
        <w:rPr>
          <w:rFonts w:asciiTheme="majorBidi" w:hAnsiTheme="majorBidi" w:cstheme="majorBidi"/>
          <w:color w:val="1C1C1C"/>
          <w:sz w:val="18"/>
          <w:szCs w:val="18"/>
          <w:shd w:val="clear" w:color="auto" w:fill="FFFFFF"/>
        </w:rPr>
        <w:t xml:space="preserve">coal gasification, and </w:t>
      </w:r>
      <w:r w:rsidR="00606558" w:rsidRPr="00606558">
        <w:rPr>
          <w:rFonts w:asciiTheme="majorBidi" w:hAnsiTheme="majorBidi" w:cstheme="majorBidi"/>
          <w:color w:val="1C1C1C"/>
          <w:sz w:val="18"/>
          <w:szCs w:val="18"/>
          <w:shd w:val="clear" w:color="auto" w:fill="FFFFFF"/>
        </w:rPr>
        <w:t xml:space="preserve">steam reforming of natural gas </w:t>
      </w:r>
      <w:r w:rsidRPr="00606558">
        <w:rPr>
          <w:rFonts w:asciiTheme="majorBidi" w:hAnsiTheme="majorBidi" w:cstheme="majorBidi"/>
          <w:b/>
          <w:bCs/>
          <w:color w:val="1C1C1C"/>
          <w:sz w:val="18"/>
          <w:szCs w:val="18"/>
          <w:shd w:val="clear" w:color="auto" w:fill="FFFFFF"/>
        </w:rPr>
        <w:t>[3]</w:t>
      </w:r>
      <w:r w:rsidRPr="00606558">
        <w:rPr>
          <w:rFonts w:asciiTheme="majorBidi" w:hAnsiTheme="majorBidi" w:cstheme="majorBidi"/>
          <w:color w:val="1C1C1C"/>
          <w:sz w:val="18"/>
          <w:szCs w:val="18"/>
          <w:shd w:val="clear" w:color="auto" w:fill="FFFFFF"/>
        </w:rPr>
        <w:t>.</w:t>
      </w:r>
    </w:p>
    <w:p w14:paraId="1CF2D555" w14:textId="33E57E75" w:rsidR="0049672C" w:rsidRDefault="00A87E24" w:rsidP="00E75A33">
      <w:pPr>
        <w:overflowPunct/>
        <w:spacing w:after="240"/>
        <w:ind w:firstLine="567"/>
        <w:jc w:val="both"/>
        <w:textAlignment w:val="auto"/>
        <w:rPr>
          <w:rFonts w:asciiTheme="majorBidi" w:hAnsiTheme="majorBidi" w:cstheme="majorBidi"/>
          <w:color w:val="000000"/>
          <w:sz w:val="18"/>
          <w:szCs w:val="18"/>
          <w:lang w:val="en-US" w:eastAsia="en-GB"/>
        </w:rPr>
      </w:pPr>
      <w:r w:rsidRPr="00A87E24">
        <w:rPr>
          <w:rFonts w:asciiTheme="majorBidi" w:hAnsiTheme="majorBidi" w:cstheme="majorBidi"/>
          <w:color w:val="000000"/>
          <w:sz w:val="18"/>
          <w:szCs w:val="18"/>
          <w:lang w:val="en-US" w:eastAsia="en-GB"/>
        </w:rPr>
        <w:t>The main methods for production of hydrogen from</w:t>
      </w:r>
      <w:r>
        <w:rPr>
          <w:rFonts w:asciiTheme="majorBidi" w:hAnsiTheme="majorBidi" w:cstheme="majorBidi"/>
          <w:color w:val="000000"/>
          <w:sz w:val="18"/>
          <w:szCs w:val="18"/>
          <w:lang w:val="en-US" w:eastAsia="en-GB"/>
        </w:rPr>
        <w:t xml:space="preserve"> </w:t>
      </w:r>
      <w:r w:rsidR="00606558">
        <w:rPr>
          <w:rFonts w:asciiTheme="majorBidi" w:hAnsiTheme="majorBidi" w:cstheme="majorBidi"/>
          <w:color w:val="000000"/>
          <w:sz w:val="18"/>
          <w:szCs w:val="18"/>
          <w:lang w:val="en-US" w:eastAsia="en-GB"/>
        </w:rPr>
        <w:t xml:space="preserve">diverse </w:t>
      </w:r>
      <w:r w:rsidRPr="00A87E24">
        <w:rPr>
          <w:rFonts w:asciiTheme="majorBidi" w:hAnsiTheme="majorBidi" w:cstheme="majorBidi"/>
          <w:color w:val="000000"/>
          <w:sz w:val="18"/>
          <w:szCs w:val="18"/>
          <w:lang w:val="en-US" w:eastAsia="en-GB"/>
        </w:rPr>
        <w:t xml:space="preserve">energy sources are </w:t>
      </w:r>
      <w:r w:rsidR="00606558">
        <w:rPr>
          <w:rFonts w:asciiTheme="majorBidi" w:hAnsiTheme="majorBidi" w:cstheme="majorBidi"/>
          <w:color w:val="000000"/>
          <w:sz w:val="18"/>
          <w:szCs w:val="18"/>
          <w:lang w:val="en-US" w:eastAsia="en-GB"/>
        </w:rPr>
        <w:t>displayed</w:t>
      </w:r>
      <w:r w:rsidRPr="00A87E24">
        <w:rPr>
          <w:rFonts w:asciiTheme="majorBidi" w:hAnsiTheme="majorBidi" w:cstheme="majorBidi"/>
          <w:color w:val="000000"/>
          <w:sz w:val="18"/>
          <w:szCs w:val="18"/>
          <w:lang w:val="en-US" w:eastAsia="en-GB"/>
        </w:rPr>
        <w:t xml:space="preserve"> in </w:t>
      </w:r>
      <w:r w:rsidRPr="00606558">
        <w:rPr>
          <w:rFonts w:asciiTheme="majorBidi" w:hAnsiTheme="majorBidi" w:cstheme="majorBidi"/>
          <w:b/>
          <w:bCs/>
          <w:sz w:val="18"/>
          <w:szCs w:val="18"/>
          <w:lang w:val="en-US" w:eastAsia="en-GB"/>
        </w:rPr>
        <w:t>Fig. 1</w:t>
      </w:r>
      <w:r w:rsidRPr="00A87E24">
        <w:rPr>
          <w:rFonts w:asciiTheme="majorBidi" w:hAnsiTheme="majorBidi" w:cstheme="majorBidi"/>
          <w:color w:val="000000"/>
          <w:sz w:val="18"/>
          <w:szCs w:val="18"/>
          <w:lang w:val="en-US" w:eastAsia="en-GB"/>
        </w:rPr>
        <w:t>.</w:t>
      </w:r>
    </w:p>
    <w:p w14:paraId="6D8BC1D8" w14:textId="2A51AC63" w:rsidR="00273A94" w:rsidRDefault="00731E76" w:rsidP="00273A94">
      <w:pPr>
        <w:overflowPunct/>
        <w:jc w:val="center"/>
        <w:textAlignment w:val="auto"/>
        <w:rPr>
          <w:rFonts w:asciiTheme="majorBidi" w:hAnsiTheme="majorBidi" w:cstheme="majorBidi"/>
          <w:color w:val="000000"/>
          <w:sz w:val="18"/>
          <w:szCs w:val="18"/>
          <w:lang w:val="en-US" w:eastAsia="en-GB"/>
        </w:rPr>
      </w:pPr>
      <w:r>
        <w:rPr>
          <w:noProof/>
        </w:rPr>
        <w:drawing>
          <wp:inline distT="0" distB="0" distL="0" distR="0" wp14:anchorId="1A4F1CF8" wp14:editId="475587A0">
            <wp:extent cx="2943225" cy="1993628"/>
            <wp:effectExtent l="0" t="0" r="0" b="6985"/>
            <wp:docPr id="957508466" name="Image 1" descr="Une image contenant texte, capture d’écran, diagramm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08466" name="Image 1" descr="Une image contenant texte, capture d’écran, diagramme, Plan&#10;&#10;Description générée automatiquement"/>
                    <pic:cNvPicPr/>
                  </pic:nvPicPr>
                  <pic:blipFill>
                    <a:blip r:embed="rId9"/>
                    <a:stretch>
                      <a:fillRect/>
                    </a:stretch>
                  </pic:blipFill>
                  <pic:spPr>
                    <a:xfrm>
                      <a:off x="0" y="0"/>
                      <a:ext cx="2962112" cy="2006421"/>
                    </a:xfrm>
                    <a:prstGeom prst="rect">
                      <a:avLst/>
                    </a:prstGeom>
                  </pic:spPr>
                </pic:pic>
              </a:graphicData>
            </a:graphic>
          </wp:inline>
        </w:drawing>
      </w:r>
    </w:p>
    <w:p w14:paraId="41E25A81" w14:textId="50DD4A73" w:rsidR="00731E76" w:rsidRPr="00802381" w:rsidRDefault="00731E76" w:rsidP="00731E76">
      <w:pPr>
        <w:pStyle w:val="Lgende"/>
        <w:jc w:val="center"/>
        <w:rPr>
          <w:i/>
          <w:sz w:val="20"/>
        </w:rPr>
      </w:pPr>
      <w:r w:rsidRPr="000A60B8">
        <w:rPr>
          <w:i/>
        </w:rPr>
        <w:lastRenderedPageBreak/>
        <w:t xml:space="preserve">FIG. </w:t>
      </w:r>
      <w:r w:rsidR="000A60B8" w:rsidRPr="000A60B8">
        <w:rPr>
          <w:i/>
        </w:rPr>
        <w:t>1. Techniques used for Hydrogen production [3]</w:t>
      </w:r>
      <w:r w:rsidRPr="000A60B8">
        <w:rPr>
          <w:i/>
        </w:rPr>
        <w:t>.</w:t>
      </w:r>
    </w:p>
    <w:p w14:paraId="239CB522" w14:textId="44EA1B3A" w:rsidR="00A87E24" w:rsidRPr="00B43EF1" w:rsidRDefault="00B43EF1" w:rsidP="00B43EF1">
      <w:pPr>
        <w:overflowPunct/>
        <w:spacing w:line="260" w:lineRule="atLeast"/>
        <w:ind w:firstLine="567"/>
        <w:jc w:val="both"/>
        <w:textAlignment w:val="auto"/>
        <w:rPr>
          <w:rFonts w:asciiTheme="majorBidi" w:hAnsiTheme="majorBidi" w:cstheme="majorBidi"/>
          <w:sz w:val="18"/>
          <w:szCs w:val="18"/>
          <w:lang w:val="en-US" w:eastAsia="en-GB"/>
        </w:rPr>
      </w:pPr>
      <w:r w:rsidRPr="00B43EF1">
        <w:rPr>
          <w:rFonts w:asciiTheme="majorBidi" w:hAnsiTheme="majorBidi" w:cstheme="majorBidi"/>
          <w:color w:val="1C1C1C"/>
          <w:sz w:val="18"/>
          <w:szCs w:val="18"/>
          <w:shd w:val="clear" w:color="auto" w:fill="FFFFFF"/>
        </w:rPr>
        <w:t>Nuclear hydrogen production can be achieved through different methods, such as low-temperature electrolysis, high-temperature electrolysis, thermochemical, and hybrid processes. Low-temperature electrolysis involves using electrical power to split water into hydrogen and oxygen, but it consumes a high amount of electricity (~1.23 V/molH2O). On the other hand, high-temperature electrolysis, also known as steam electrolysis, requires less electrical energy compared to low-temperature electrolysis when splitting steam into hydrogen and oxygen. This method can achieve higher efficiencies by using heat as an energy source, although it is not yet commercially available. However, Idaho National Laboratory (INL) has demonstrated a lab-scale solid oxide electrolysis cell (SOEC) [4]. Thermochemical processes use a series of chemical reactions to split water into hydrogen and byproducts using high and/or medium-grade heat. Although heat is the primary energy source for these processes, additional electrical power is often necessary for certain electrolytic processes.</w:t>
      </w:r>
    </w:p>
    <w:p w14:paraId="43D0A74F" w14:textId="77777777" w:rsidR="00FD7556" w:rsidRPr="00FD7556" w:rsidRDefault="00FD7556" w:rsidP="00FD7556">
      <w:pPr>
        <w:overflowPunct/>
        <w:spacing w:line="260" w:lineRule="atLeast"/>
        <w:ind w:firstLine="567"/>
        <w:jc w:val="both"/>
        <w:textAlignment w:val="auto"/>
        <w:rPr>
          <w:rFonts w:asciiTheme="majorBidi" w:hAnsiTheme="majorBidi" w:cstheme="majorBidi"/>
          <w:color w:val="1C1C1C"/>
          <w:sz w:val="18"/>
          <w:szCs w:val="18"/>
          <w:shd w:val="clear" w:color="auto" w:fill="FFFFFF"/>
        </w:rPr>
      </w:pPr>
      <w:r w:rsidRPr="00FD7556">
        <w:rPr>
          <w:rFonts w:asciiTheme="majorBidi" w:hAnsiTheme="majorBidi" w:cstheme="majorBidi"/>
          <w:color w:val="1C1C1C"/>
          <w:sz w:val="18"/>
          <w:szCs w:val="18"/>
          <w:shd w:val="clear" w:color="auto" w:fill="FFFFFF"/>
        </w:rPr>
        <w:t>The development of small modular reactors (SMRs) has been advancing significantly in recent years, with some reactors and demonstration projects currently under construction [4]. Nearly all companies in the nuclear power industry have introduced their own SMRs, based on the structural features of their larger, already deployed nuclear reactors, as well as other specialized SMR designs. Most of these reactors are water-cooled typical or integral pressurized water reactors, and several high-temperature gas-cooled, sodium, and lead alloy-cooled fast SMRs are in the research and development stage [5]. In addition to their small size, the innovative and unique properties of SMRs enhance the safety margins and reliability of nuclear energy use. Ultimately, these characteristics support the public acceptance of nuclear energy in countries and regions planning for the construction of nuclear power plants (NPPs). The main characteristics of SMRs that have generated interest in these nuclear reactors are their modular construction, size, and the possibility of being connected to other energy-generating systems.</w:t>
      </w:r>
    </w:p>
    <w:p w14:paraId="407AE010" w14:textId="202180F5" w:rsidR="006400FE" w:rsidRPr="00E75A33" w:rsidRDefault="00766B7D" w:rsidP="00E75A33">
      <w:pPr>
        <w:overflowPunct/>
        <w:spacing w:line="260" w:lineRule="atLeast"/>
        <w:ind w:firstLine="567"/>
        <w:jc w:val="both"/>
        <w:textAlignment w:val="auto"/>
        <w:rPr>
          <w:rFonts w:asciiTheme="majorBidi" w:hAnsiTheme="majorBidi" w:cstheme="majorBidi"/>
          <w:sz w:val="18"/>
          <w:szCs w:val="18"/>
        </w:rPr>
      </w:pPr>
      <w:r w:rsidRPr="00766B7D">
        <w:rPr>
          <w:rFonts w:asciiTheme="majorBidi" w:hAnsiTheme="majorBidi" w:cstheme="majorBidi"/>
          <w:color w:val="1C1C1C"/>
          <w:sz w:val="18"/>
          <w:szCs w:val="18"/>
          <w:shd w:val="clear" w:color="auto" w:fill="FFFFFF"/>
        </w:rPr>
        <w:t xml:space="preserve">Small and mid-sized nuclear reactors serve as an alternative to traditional fossil fuel-based power plants and can be installed independently or as part of a larger complex. However, some countries are seeking to reduce their reliance on nuclear power plants, particularly large-scale ones, in </w:t>
      </w:r>
      <w:proofErr w:type="spellStart"/>
      <w:r w:rsidRPr="00766B7D">
        <w:rPr>
          <w:rFonts w:asciiTheme="majorBidi" w:hAnsiTheme="majorBidi" w:cstheme="majorBidi"/>
          <w:color w:val="1C1C1C"/>
          <w:sz w:val="18"/>
          <w:szCs w:val="18"/>
          <w:shd w:val="clear" w:color="auto" w:fill="FFFFFF"/>
        </w:rPr>
        <w:t>favor</w:t>
      </w:r>
      <w:proofErr w:type="spellEnd"/>
      <w:r w:rsidRPr="00766B7D">
        <w:rPr>
          <w:rFonts w:asciiTheme="majorBidi" w:hAnsiTheme="majorBidi" w:cstheme="majorBidi"/>
          <w:color w:val="1C1C1C"/>
          <w:sz w:val="18"/>
          <w:szCs w:val="18"/>
          <w:shd w:val="clear" w:color="auto" w:fill="FFFFFF"/>
        </w:rPr>
        <w:t xml:space="preserve"> of developing renewable energy-based power plants</w:t>
      </w:r>
      <w:r w:rsidR="000C6AA6">
        <w:rPr>
          <w:rFonts w:asciiTheme="majorBidi" w:hAnsiTheme="majorBidi" w:cstheme="majorBidi"/>
          <w:color w:val="1C1C1C"/>
          <w:sz w:val="18"/>
          <w:szCs w:val="18"/>
          <w:shd w:val="clear" w:color="auto" w:fill="FFFFFF"/>
        </w:rPr>
        <w:t xml:space="preserve"> </w:t>
      </w:r>
      <w:r w:rsidR="000C6AA6" w:rsidRPr="000C6AA6">
        <w:rPr>
          <w:rFonts w:asciiTheme="majorBidi" w:hAnsiTheme="majorBidi" w:cstheme="majorBidi"/>
          <w:b/>
          <w:bCs/>
          <w:color w:val="1C1C1C"/>
          <w:sz w:val="18"/>
          <w:szCs w:val="18"/>
          <w:shd w:val="clear" w:color="auto" w:fill="FFFFFF"/>
        </w:rPr>
        <w:t>[6]</w:t>
      </w:r>
      <w:r w:rsidRPr="00766B7D">
        <w:rPr>
          <w:rFonts w:asciiTheme="majorBidi" w:hAnsiTheme="majorBidi" w:cstheme="majorBidi"/>
          <w:color w:val="1C1C1C"/>
          <w:sz w:val="18"/>
          <w:szCs w:val="18"/>
          <w:shd w:val="clear" w:color="auto" w:fill="FFFFFF"/>
        </w:rPr>
        <w:t>. Many experts have proposed using renewable energy sources for hydrogen production due to their environmental benefits. However, the intermittent nature and lower intensity of renewable energy sources make it difficult to use them as the primary energy source for large-scale hydrogen production plants</w:t>
      </w:r>
      <w:r w:rsidR="000C6AA6">
        <w:rPr>
          <w:rFonts w:asciiTheme="majorBidi" w:hAnsiTheme="majorBidi" w:cstheme="majorBidi"/>
          <w:color w:val="1C1C1C"/>
          <w:sz w:val="18"/>
          <w:szCs w:val="18"/>
          <w:shd w:val="clear" w:color="auto" w:fill="FFFFFF"/>
        </w:rPr>
        <w:t xml:space="preserve"> </w:t>
      </w:r>
      <w:r w:rsidR="000C6AA6" w:rsidRPr="000C6AA6">
        <w:rPr>
          <w:rFonts w:asciiTheme="majorBidi" w:hAnsiTheme="majorBidi" w:cstheme="majorBidi"/>
          <w:b/>
          <w:bCs/>
          <w:color w:val="1C1C1C"/>
          <w:sz w:val="18"/>
          <w:szCs w:val="18"/>
          <w:shd w:val="clear" w:color="auto" w:fill="FFFFFF"/>
        </w:rPr>
        <w:t>[6,7]</w:t>
      </w:r>
      <w:r w:rsidRPr="00766B7D">
        <w:rPr>
          <w:rFonts w:asciiTheme="majorBidi" w:hAnsiTheme="majorBidi" w:cstheme="majorBidi"/>
          <w:color w:val="1C1C1C"/>
          <w:sz w:val="18"/>
          <w:szCs w:val="18"/>
          <w:shd w:val="clear" w:color="auto" w:fill="FFFFFF"/>
        </w:rPr>
        <w:t>. One potential solution is to combine renewable energy sources with nuclear or other power plants to take advantage of different energy sources.</w:t>
      </w:r>
      <w:r w:rsidR="00E75A33">
        <w:rPr>
          <w:rFonts w:asciiTheme="majorBidi" w:hAnsiTheme="majorBidi" w:cstheme="majorBidi"/>
          <w:color w:val="1C1C1C"/>
          <w:sz w:val="18"/>
          <w:szCs w:val="18"/>
          <w:shd w:val="clear" w:color="auto" w:fill="FFFFFF"/>
        </w:rPr>
        <w:t xml:space="preserve"> </w:t>
      </w:r>
      <w:r w:rsidR="006400FE" w:rsidRPr="00E75A33">
        <w:rPr>
          <w:rFonts w:asciiTheme="majorBidi" w:hAnsiTheme="majorBidi" w:cstheme="majorBidi"/>
          <w:sz w:val="18"/>
          <w:szCs w:val="18"/>
        </w:rPr>
        <w:t xml:space="preserve">A </w:t>
      </w:r>
      <w:r w:rsidR="00951859" w:rsidRPr="00E75A33">
        <w:rPr>
          <w:sz w:val="18"/>
          <w:szCs w:val="18"/>
          <w:lang w:val="en-US"/>
        </w:rPr>
        <w:t xml:space="preserve">gas turbine modular helium reactor (GT-MHR) </w:t>
      </w:r>
      <w:r w:rsidR="00951859" w:rsidRPr="00E75A33">
        <w:rPr>
          <w:rFonts w:asciiTheme="majorBidi" w:hAnsiTheme="majorBidi" w:cstheme="majorBidi"/>
          <w:sz w:val="18"/>
          <w:szCs w:val="18"/>
        </w:rPr>
        <w:t>is</w:t>
      </w:r>
      <w:r w:rsidR="006400FE" w:rsidRPr="00E75A33">
        <w:rPr>
          <w:rFonts w:asciiTheme="majorBidi" w:hAnsiTheme="majorBidi" w:cstheme="majorBidi"/>
          <w:sz w:val="18"/>
          <w:szCs w:val="18"/>
        </w:rPr>
        <w:t xml:space="preserve"> considered as an efficient reactor to couple with the thermo-chemical </w:t>
      </w:r>
      <w:proofErr w:type="spellStart"/>
      <w:r w:rsidR="006400FE" w:rsidRPr="00E75A33">
        <w:rPr>
          <w:rFonts w:asciiTheme="majorBidi" w:hAnsiTheme="majorBidi" w:cstheme="majorBidi"/>
          <w:sz w:val="18"/>
          <w:szCs w:val="18"/>
        </w:rPr>
        <w:t>Sulfur</w:t>
      </w:r>
      <w:proofErr w:type="spellEnd"/>
      <w:r w:rsidR="006400FE" w:rsidRPr="00E75A33">
        <w:rPr>
          <w:rFonts w:asciiTheme="majorBidi" w:hAnsiTheme="majorBidi" w:cstheme="majorBidi"/>
          <w:sz w:val="18"/>
          <w:szCs w:val="18"/>
        </w:rPr>
        <w:t xml:space="preserve"> Iodine (SI) cycle to achieve the hydrogen economy.</w:t>
      </w:r>
    </w:p>
    <w:p w14:paraId="748DBB36" w14:textId="6FDF3A80" w:rsidR="00C94F74" w:rsidRPr="00E75A33" w:rsidRDefault="00C94F74" w:rsidP="00C94F74">
      <w:pPr>
        <w:overflowPunct/>
        <w:autoSpaceDE/>
        <w:autoSpaceDN/>
        <w:adjustRightInd/>
        <w:spacing w:line="260" w:lineRule="atLeast"/>
        <w:ind w:firstLine="567"/>
        <w:jc w:val="both"/>
        <w:textAlignment w:val="auto"/>
        <w:rPr>
          <w:rFonts w:asciiTheme="majorBidi" w:hAnsiTheme="majorBidi" w:cstheme="majorBidi"/>
          <w:color w:val="1C1C1C"/>
          <w:sz w:val="18"/>
          <w:szCs w:val="18"/>
          <w:shd w:val="clear" w:color="auto" w:fill="FFFFFF"/>
        </w:rPr>
      </w:pPr>
      <w:r w:rsidRPr="00E75A33">
        <w:rPr>
          <w:rFonts w:asciiTheme="majorBidi" w:hAnsiTheme="majorBidi" w:cstheme="majorBidi"/>
          <w:color w:val="1C1C1C"/>
          <w:sz w:val="18"/>
          <w:szCs w:val="18"/>
          <w:shd w:val="clear" w:color="auto" w:fill="FFFFFF"/>
        </w:rPr>
        <w:t xml:space="preserve">HEEP, short for Hydrogen Economy Evaluation Program, is a software tool developed by the IAEA </w:t>
      </w:r>
      <w:r w:rsidR="009B06CF" w:rsidRPr="00E75A33">
        <w:rPr>
          <w:rFonts w:asciiTheme="majorBidi" w:hAnsiTheme="majorBidi" w:cstheme="majorBidi"/>
          <w:b/>
          <w:bCs/>
          <w:color w:val="1C1C1C"/>
          <w:sz w:val="18"/>
          <w:szCs w:val="18"/>
          <w:shd w:val="clear" w:color="auto" w:fill="FFFFFF"/>
        </w:rPr>
        <w:t>[8]</w:t>
      </w:r>
      <w:r w:rsidR="009B06CF" w:rsidRPr="00E75A33">
        <w:rPr>
          <w:rFonts w:asciiTheme="majorBidi" w:hAnsiTheme="majorBidi" w:cstheme="majorBidi"/>
          <w:color w:val="1C1C1C"/>
          <w:sz w:val="18"/>
          <w:szCs w:val="18"/>
          <w:shd w:val="clear" w:color="auto" w:fill="FFFFFF"/>
        </w:rPr>
        <w:t xml:space="preserve"> </w:t>
      </w:r>
      <w:r w:rsidRPr="00E75A33">
        <w:rPr>
          <w:rFonts w:asciiTheme="majorBidi" w:hAnsiTheme="majorBidi" w:cstheme="majorBidi"/>
          <w:color w:val="1C1C1C"/>
          <w:sz w:val="18"/>
          <w:szCs w:val="18"/>
          <w:shd w:val="clear" w:color="auto" w:fill="FFFFFF"/>
        </w:rPr>
        <w:t xml:space="preserve">to assess the economic viability of nuclear hydrogen production by estimating the cost of unit hydrogen production. The research paper calculates the </w:t>
      </w:r>
      <w:r w:rsidR="00C87775" w:rsidRPr="00E75A33">
        <w:rPr>
          <w:rFonts w:asciiTheme="majorBidi" w:hAnsiTheme="majorBidi" w:cstheme="majorBidi"/>
          <w:sz w:val="18"/>
          <w:szCs w:val="18"/>
          <w:shd w:val="clear" w:color="auto" w:fill="FFFFFF"/>
        </w:rPr>
        <w:t>Levelized cost of Hydrogen (LCOH)</w:t>
      </w:r>
      <w:r w:rsidRPr="00E75A33">
        <w:rPr>
          <w:rFonts w:asciiTheme="majorBidi" w:hAnsiTheme="majorBidi" w:cstheme="majorBidi"/>
          <w:color w:val="1C1C1C"/>
          <w:sz w:val="18"/>
          <w:szCs w:val="18"/>
          <w:shd w:val="clear" w:color="auto" w:fill="FFFFFF"/>
        </w:rPr>
        <w:t xml:space="preserve"> using HEEP for a nuclear hydrogen production plant, comprising </w:t>
      </w:r>
      <w:r w:rsidR="00194043">
        <w:rPr>
          <w:rFonts w:asciiTheme="majorBidi" w:hAnsiTheme="majorBidi" w:cstheme="majorBidi"/>
          <w:color w:val="1C1C1C"/>
          <w:sz w:val="18"/>
          <w:szCs w:val="18"/>
          <w:shd w:val="clear" w:color="auto" w:fill="FFFFFF"/>
        </w:rPr>
        <w:t>4</w:t>
      </w:r>
      <w:r w:rsidRPr="00E75A33">
        <w:rPr>
          <w:rFonts w:asciiTheme="majorBidi" w:hAnsiTheme="majorBidi" w:cstheme="majorBidi"/>
          <w:color w:val="1C1C1C"/>
          <w:sz w:val="18"/>
          <w:szCs w:val="18"/>
          <w:shd w:val="clear" w:color="auto" w:fill="FFFFFF"/>
        </w:rPr>
        <w:t xml:space="preserve"> modules of </w:t>
      </w:r>
      <w:r w:rsidRPr="00147719">
        <w:rPr>
          <w:rFonts w:asciiTheme="majorBidi" w:hAnsiTheme="majorBidi" w:cstheme="majorBidi"/>
          <w:color w:val="1C1C1C"/>
          <w:sz w:val="18"/>
          <w:szCs w:val="18"/>
          <w:shd w:val="clear" w:color="auto" w:fill="FFFFFF"/>
        </w:rPr>
        <w:t xml:space="preserve">600 </w:t>
      </w:r>
      <w:proofErr w:type="spellStart"/>
      <w:r w:rsidRPr="00147719">
        <w:rPr>
          <w:rFonts w:asciiTheme="majorBidi" w:hAnsiTheme="majorBidi" w:cstheme="majorBidi"/>
          <w:color w:val="1C1C1C"/>
          <w:sz w:val="18"/>
          <w:szCs w:val="18"/>
          <w:shd w:val="clear" w:color="auto" w:fill="FFFFFF"/>
        </w:rPr>
        <w:t>MWth</w:t>
      </w:r>
      <w:proofErr w:type="spellEnd"/>
      <w:r w:rsidRPr="00147719">
        <w:rPr>
          <w:rFonts w:asciiTheme="majorBidi" w:hAnsiTheme="majorBidi" w:cstheme="majorBidi"/>
          <w:color w:val="1C1C1C"/>
          <w:sz w:val="18"/>
          <w:szCs w:val="18"/>
          <w:shd w:val="clear" w:color="auto" w:fill="FFFFFF"/>
        </w:rPr>
        <w:t xml:space="preserve"> GT-</w:t>
      </w:r>
      <w:r w:rsidR="00147719" w:rsidRPr="00147719">
        <w:rPr>
          <w:rFonts w:asciiTheme="majorBidi" w:hAnsiTheme="majorBidi" w:cstheme="majorBidi"/>
          <w:color w:val="1C1C1C"/>
          <w:sz w:val="18"/>
          <w:szCs w:val="18"/>
          <w:shd w:val="clear" w:color="auto" w:fill="FFFFFF"/>
        </w:rPr>
        <w:t>MHR</w:t>
      </w:r>
      <w:r w:rsidRPr="00E75A33">
        <w:rPr>
          <w:rFonts w:asciiTheme="majorBidi" w:hAnsiTheme="majorBidi" w:cstheme="majorBidi"/>
          <w:color w:val="1C1C1C"/>
          <w:sz w:val="18"/>
          <w:szCs w:val="18"/>
          <w:shd w:val="clear" w:color="auto" w:fill="FFFFFF"/>
        </w:rPr>
        <w:t xml:space="preserve"> coupled with the SI process. The study examines various scenarios for hydrogen storage (compressed gas, liquefaction, metal hydrides) and transportation (pipeline and truck).</w:t>
      </w:r>
    </w:p>
    <w:p w14:paraId="74CD1556" w14:textId="28E1EE63" w:rsidR="00E25B68" w:rsidRDefault="002344E7" w:rsidP="0026525A">
      <w:pPr>
        <w:pStyle w:val="Titre2"/>
        <w:numPr>
          <w:ilvl w:val="1"/>
          <w:numId w:val="10"/>
        </w:numPr>
      </w:pPr>
      <w:r>
        <w:t>methods and materials</w:t>
      </w:r>
      <w:r w:rsidR="00023B31">
        <w:t xml:space="preserve"> </w:t>
      </w:r>
    </w:p>
    <w:p w14:paraId="414BE3CB" w14:textId="175DDD04" w:rsidR="001B25A4" w:rsidRDefault="001B25A4" w:rsidP="00023B31">
      <w:pPr>
        <w:pStyle w:val="Titre3"/>
      </w:pPr>
      <w:r>
        <w:t>GT-MHR applications</w:t>
      </w:r>
    </w:p>
    <w:p w14:paraId="50319CBA" w14:textId="626E9848" w:rsidR="005E73CA" w:rsidRDefault="005E73CA" w:rsidP="005E73CA">
      <w:pPr>
        <w:spacing w:line="260" w:lineRule="atLeast"/>
        <w:ind w:firstLine="567"/>
        <w:jc w:val="both"/>
        <w:rPr>
          <w:rFonts w:asciiTheme="majorBidi" w:hAnsiTheme="majorBidi" w:cstheme="majorBidi"/>
          <w:sz w:val="18"/>
          <w:szCs w:val="18"/>
          <w:lang w:val="en-US"/>
        </w:rPr>
      </w:pPr>
      <w:r w:rsidRPr="005E73CA">
        <w:rPr>
          <w:sz w:val="18"/>
          <w:szCs w:val="18"/>
          <w:lang w:val="en-US"/>
        </w:rPr>
        <w:t>The gas turbine modular helium reactor (GT-MHR) couples a HTGR with a Brayton power conversion cycle to produce electricity at high efficiency</w:t>
      </w:r>
      <w:r w:rsidR="00BD5700">
        <w:rPr>
          <w:sz w:val="18"/>
          <w:szCs w:val="18"/>
          <w:lang w:val="en-US"/>
        </w:rPr>
        <w:t xml:space="preserve"> </w:t>
      </w:r>
      <w:r w:rsidR="00BD5700" w:rsidRPr="00BD5700">
        <w:rPr>
          <w:b/>
          <w:bCs/>
          <w:sz w:val="18"/>
          <w:szCs w:val="18"/>
          <w:lang w:val="en-US"/>
        </w:rPr>
        <w:t>[5]</w:t>
      </w:r>
      <w:r w:rsidRPr="005E73CA">
        <w:rPr>
          <w:sz w:val="18"/>
          <w:szCs w:val="18"/>
          <w:lang w:val="en-US"/>
        </w:rPr>
        <w:t xml:space="preserve">. </w:t>
      </w:r>
      <w:r w:rsidRPr="005E73CA">
        <w:rPr>
          <w:rFonts w:asciiTheme="majorBidi" w:hAnsiTheme="majorBidi" w:cstheme="majorBidi"/>
          <w:sz w:val="18"/>
          <w:szCs w:val="18"/>
          <w:lang w:val="en-US"/>
        </w:rPr>
        <w:t xml:space="preserve">GT-MHT is expected for many applications taking advantage of their high temperature helium coolant of maximum 850 °C. Electricity generation, hydrogen production, process steam supply, and waste heat utilization are anticipated utilizing heat of various temperature ranges. </w:t>
      </w:r>
      <w:r w:rsidRPr="005E73CA">
        <w:rPr>
          <w:rFonts w:asciiTheme="majorBidi" w:hAnsiTheme="majorBidi" w:cstheme="majorBidi"/>
          <w:b/>
          <w:bCs/>
          <w:sz w:val="18"/>
          <w:szCs w:val="18"/>
          <w:lang w:val="en-US"/>
        </w:rPr>
        <w:t>Fig. 2</w:t>
      </w:r>
      <w:r w:rsidRPr="005E73CA">
        <w:rPr>
          <w:rFonts w:asciiTheme="majorBidi" w:hAnsiTheme="majorBidi" w:cstheme="majorBidi"/>
          <w:sz w:val="18"/>
          <w:szCs w:val="18"/>
          <w:lang w:val="en-US"/>
        </w:rPr>
        <w:t xml:space="preserve"> illustrates examples of heat applications. </w:t>
      </w:r>
    </w:p>
    <w:p w14:paraId="63CB4657" w14:textId="77777777" w:rsidR="005E73CA" w:rsidRPr="005E73CA" w:rsidRDefault="005E73CA" w:rsidP="005E73CA">
      <w:pPr>
        <w:spacing w:line="260" w:lineRule="atLeast"/>
        <w:ind w:firstLine="567"/>
        <w:jc w:val="both"/>
        <w:rPr>
          <w:rFonts w:asciiTheme="majorBidi" w:hAnsiTheme="majorBidi" w:cstheme="majorBidi"/>
          <w:sz w:val="18"/>
          <w:szCs w:val="18"/>
          <w:lang w:val="en-US"/>
        </w:rPr>
      </w:pPr>
    </w:p>
    <w:p w14:paraId="1677EF9B" w14:textId="379AEB24" w:rsidR="001B25A4" w:rsidRPr="001B25A4" w:rsidRDefault="005E73CA" w:rsidP="005E73CA">
      <w:pPr>
        <w:pStyle w:val="Lgende"/>
        <w:jc w:val="center"/>
        <w:rPr>
          <w:iCs/>
        </w:rPr>
      </w:pPr>
      <w:r>
        <w:rPr>
          <w:noProof/>
        </w:rPr>
        <w:drawing>
          <wp:inline distT="0" distB="0" distL="0" distR="0" wp14:anchorId="4D3B8933" wp14:editId="5392DF22">
            <wp:extent cx="3143250" cy="1745905"/>
            <wp:effectExtent l="0" t="0" r="0" b="6985"/>
            <wp:docPr id="543557193" name="Image 1" descr="Une image contenant texte, capture d’écran,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57193" name="Image 1" descr="Une image contenant texte, capture d’écran, diagramme&#10;&#10;Description générée automatiquement"/>
                    <pic:cNvPicPr/>
                  </pic:nvPicPr>
                  <pic:blipFill>
                    <a:blip r:embed="rId10"/>
                    <a:stretch>
                      <a:fillRect/>
                    </a:stretch>
                  </pic:blipFill>
                  <pic:spPr>
                    <a:xfrm>
                      <a:off x="0" y="0"/>
                      <a:ext cx="3210052" cy="1783010"/>
                    </a:xfrm>
                    <a:prstGeom prst="rect">
                      <a:avLst/>
                    </a:prstGeom>
                  </pic:spPr>
                </pic:pic>
              </a:graphicData>
            </a:graphic>
          </wp:inline>
        </w:drawing>
      </w:r>
    </w:p>
    <w:p w14:paraId="59915178" w14:textId="78C83BC3" w:rsidR="001B25A4" w:rsidRPr="00802381" w:rsidRDefault="001B25A4" w:rsidP="001B25A4">
      <w:pPr>
        <w:pStyle w:val="Lgende"/>
        <w:jc w:val="center"/>
        <w:rPr>
          <w:i/>
          <w:sz w:val="20"/>
        </w:rPr>
      </w:pPr>
      <w:r w:rsidRPr="000A60B8">
        <w:rPr>
          <w:i/>
        </w:rPr>
        <w:lastRenderedPageBreak/>
        <w:t xml:space="preserve">FIG. </w:t>
      </w:r>
      <w:r>
        <w:rPr>
          <w:i/>
        </w:rPr>
        <w:t>2</w:t>
      </w:r>
      <w:r w:rsidRPr="000A60B8">
        <w:rPr>
          <w:i/>
        </w:rPr>
        <w:t xml:space="preserve">. </w:t>
      </w:r>
      <w:r>
        <w:rPr>
          <w:i/>
        </w:rPr>
        <w:t>GT-MHR applications</w:t>
      </w:r>
      <w:r w:rsidRPr="000A60B8">
        <w:rPr>
          <w:i/>
        </w:rPr>
        <w:t>.</w:t>
      </w:r>
    </w:p>
    <w:p w14:paraId="47E93B36" w14:textId="2DE383E5" w:rsidR="001B25A4" w:rsidRPr="00917386" w:rsidRDefault="005E73CA" w:rsidP="00917386">
      <w:pPr>
        <w:spacing w:line="260" w:lineRule="atLeast"/>
        <w:ind w:firstLine="567"/>
        <w:jc w:val="both"/>
        <w:rPr>
          <w:rFonts w:asciiTheme="majorBidi" w:hAnsiTheme="majorBidi" w:cstheme="majorBidi"/>
          <w:sz w:val="18"/>
          <w:szCs w:val="18"/>
          <w:lang w:val="en-US"/>
        </w:rPr>
      </w:pPr>
      <w:r w:rsidRPr="005E73CA">
        <w:rPr>
          <w:rFonts w:asciiTheme="majorBidi" w:hAnsiTheme="majorBidi" w:cstheme="majorBidi"/>
          <w:sz w:val="18"/>
          <w:szCs w:val="18"/>
          <w:lang w:val="en-US"/>
        </w:rPr>
        <w:t>As the reactor unit can produce high coolant outlet temperatures, the modular helium reactor system can also efficiently produce hydrogen, e.g. by high temperature electrolysis or thermochemical water splitting.</w:t>
      </w:r>
    </w:p>
    <w:p w14:paraId="3ABA6DE1" w14:textId="1999EDFE" w:rsidR="00023B31" w:rsidRDefault="001E11DC" w:rsidP="00023B31">
      <w:pPr>
        <w:pStyle w:val="Titre3"/>
      </w:pPr>
      <w:r>
        <w:t>HEEP software</w:t>
      </w:r>
    </w:p>
    <w:p w14:paraId="081EF890" w14:textId="6A0CF0A1" w:rsidR="006B43C5" w:rsidRPr="006B43C5" w:rsidRDefault="006B43C5" w:rsidP="006B43C5">
      <w:pPr>
        <w:overflowPunct/>
        <w:spacing w:line="260" w:lineRule="atLeast"/>
        <w:ind w:firstLine="567"/>
        <w:jc w:val="both"/>
        <w:textAlignment w:val="auto"/>
        <w:rPr>
          <w:rFonts w:asciiTheme="majorBidi" w:hAnsiTheme="majorBidi" w:cstheme="majorBidi"/>
          <w:color w:val="1C1C1C"/>
          <w:sz w:val="18"/>
          <w:szCs w:val="18"/>
          <w:shd w:val="clear" w:color="auto" w:fill="FFFFFF"/>
        </w:rPr>
      </w:pPr>
      <w:r w:rsidRPr="006B43C5">
        <w:rPr>
          <w:rFonts w:asciiTheme="majorBidi" w:hAnsiTheme="majorBidi" w:cstheme="majorBidi"/>
          <w:color w:val="1C1C1C"/>
          <w:sz w:val="18"/>
          <w:szCs w:val="18"/>
          <w:shd w:val="clear" w:color="auto" w:fill="FFFFFF"/>
        </w:rPr>
        <w:t xml:space="preserve">The HEEP software package, developed by the IAEA, is a newly released tool for evaluating the economic aspects of large-scale nuclear hydrogen production, including storage and transportation options </w:t>
      </w:r>
      <w:r w:rsidRPr="009060D8">
        <w:rPr>
          <w:rFonts w:asciiTheme="majorBidi" w:hAnsiTheme="majorBidi" w:cstheme="majorBidi"/>
          <w:b/>
          <w:bCs/>
          <w:color w:val="1C1C1C"/>
          <w:sz w:val="18"/>
          <w:szCs w:val="18"/>
          <w:shd w:val="clear" w:color="auto" w:fill="FFFFFF"/>
        </w:rPr>
        <w:t>[</w:t>
      </w:r>
      <w:r w:rsidR="00847E58" w:rsidRPr="009060D8">
        <w:rPr>
          <w:rFonts w:asciiTheme="majorBidi" w:hAnsiTheme="majorBidi" w:cstheme="majorBidi"/>
          <w:b/>
          <w:bCs/>
          <w:color w:val="1C1C1C"/>
          <w:sz w:val="18"/>
          <w:szCs w:val="18"/>
          <w:shd w:val="clear" w:color="auto" w:fill="FFFFFF"/>
        </w:rPr>
        <w:t>9</w:t>
      </w:r>
      <w:r w:rsidRPr="009060D8">
        <w:rPr>
          <w:rFonts w:asciiTheme="majorBidi" w:hAnsiTheme="majorBidi" w:cstheme="majorBidi"/>
          <w:b/>
          <w:bCs/>
          <w:color w:val="1C1C1C"/>
          <w:sz w:val="18"/>
          <w:szCs w:val="18"/>
          <w:shd w:val="clear" w:color="auto" w:fill="FFFFFF"/>
        </w:rPr>
        <w:t>]</w:t>
      </w:r>
      <w:r w:rsidRPr="006B43C5">
        <w:rPr>
          <w:rFonts w:asciiTheme="majorBidi" w:hAnsiTheme="majorBidi" w:cstheme="majorBidi"/>
          <w:color w:val="1C1C1C"/>
          <w:sz w:val="18"/>
          <w:szCs w:val="18"/>
          <w:shd w:val="clear" w:color="auto" w:fill="FFFFFF"/>
        </w:rPr>
        <w:t xml:space="preserve">. It can assess various hydrogen production methods, such as low and high-temperature electrolysis, thermo-electro-chemical hydrogen production, and steam methane reforming, in terms of their economic viability. The software includes details such as capacities, total capital cost, initial and annual fuel costs for cost estimation </w:t>
      </w:r>
      <w:r w:rsidRPr="009060D8">
        <w:rPr>
          <w:rFonts w:asciiTheme="majorBidi" w:hAnsiTheme="majorBidi" w:cstheme="majorBidi"/>
          <w:b/>
          <w:bCs/>
          <w:color w:val="1C1C1C"/>
          <w:sz w:val="18"/>
          <w:szCs w:val="18"/>
          <w:shd w:val="clear" w:color="auto" w:fill="FFFFFF"/>
        </w:rPr>
        <w:t>[1</w:t>
      </w:r>
      <w:r w:rsidR="00847E58" w:rsidRPr="009060D8">
        <w:rPr>
          <w:rFonts w:asciiTheme="majorBidi" w:hAnsiTheme="majorBidi" w:cstheme="majorBidi"/>
          <w:b/>
          <w:bCs/>
          <w:color w:val="1C1C1C"/>
          <w:sz w:val="18"/>
          <w:szCs w:val="18"/>
          <w:shd w:val="clear" w:color="auto" w:fill="FFFFFF"/>
        </w:rPr>
        <w:t>0</w:t>
      </w:r>
      <w:r w:rsidRPr="009060D8">
        <w:rPr>
          <w:rFonts w:asciiTheme="majorBidi" w:hAnsiTheme="majorBidi" w:cstheme="majorBidi"/>
          <w:b/>
          <w:bCs/>
          <w:color w:val="1C1C1C"/>
          <w:sz w:val="18"/>
          <w:szCs w:val="18"/>
          <w:shd w:val="clear" w:color="auto" w:fill="FFFFFF"/>
        </w:rPr>
        <w:t>]</w:t>
      </w:r>
      <w:r w:rsidRPr="006B43C5">
        <w:rPr>
          <w:rFonts w:asciiTheme="majorBidi" w:hAnsiTheme="majorBidi" w:cstheme="majorBidi"/>
          <w:color w:val="1C1C1C"/>
          <w:sz w:val="18"/>
          <w:szCs w:val="18"/>
          <w:shd w:val="clear" w:color="auto" w:fill="FFFFFF"/>
        </w:rPr>
        <w:t xml:space="preserve">. </w:t>
      </w:r>
      <w:r w:rsidR="00780BFD" w:rsidRPr="00780BFD">
        <w:rPr>
          <w:rFonts w:asciiTheme="majorBidi" w:hAnsiTheme="majorBidi" w:cstheme="majorBidi"/>
          <w:color w:val="1C1C1C"/>
          <w:sz w:val="18"/>
          <w:szCs w:val="18"/>
          <w:shd w:val="clear" w:color="auto" w:fill="FFFFFF"/>
        </w:rPr>
        <w:t>The</w:t>
      </w:r>
      <w:r w:rsidRPr="006B43C5">
        <w:rPr>
          <w:rFonts w:asciiTheme="majorBidi" w:hAnsiTheme="majorBidi" w:cstheme="majorBidi"/>
          <w:color w:val="1C1C1C"/>
          <w:sz w:val="18"/>
          <w:szCs w:val="18"/>
          <w:shd w:val="clear" w:color="auto" w:fill="FFFFFF"/>
        </w:rPr>
        <w:t xml:space="preserve"> technical details and specific case studies about the HEEP software package, including cost items (capital or fixed cost, operational costs, decommissioning cost), and an execution module for levelized costs of hydrogen production, can be found in other sources </w:t>
      </w:r>
      <w:r w:rsidRPr="009060D8">
        <w:rPr>
          <w:rFonts w:asciiTheme="majorBidi" w:hAnsiTheme="majorBidi" w:cstheme="majorBidi"/>
          <w:b/>
          <w:bCs/>
          <w:color w:val="1C1C1C"/>
          <w:sz w:val="18"/>
          <w:szCs w:val="18"/>
          <w:shd w:val="clear" w:color="auto" w:fill="FFFFFF"/>
        </w:rPr>
        <w:t>[</w:t>
      </w:r>
      <w:r w:rsidR="00847E58" w:rsidRPr="009060D8">
        <w:rPr>
          <w:rFonts w:asciiTheme="majorBidi" w:hAnsiTheme="majorBidi" w:cstheme="majorBidi"/>
          <w:b/>
          <w:bCs/>
          <w:color w:val="1C1C1C"/>
          <w:sz w:val="18"/>
          <w:szCs w:val="18"/>
          <w:shd w:val="clear" w:color="auto" w:fill="FFFFFF"/>
        </w:rPr>
        <w:t>9-11</w:t>
      </w:r>
      <w:r w:rsidRPr="009060D8">
        <w:rPr>
          <w:rFonts w:asciiTheme="majorBidi" w:hAnsiTheme="majorBidi" w:cstheme="majorBidi"/>
          <w:b/>
          <w:bCs/>
          <w:color w:val="1C1C1C"/>
          <w:sz w:val="18"/>
          <w:szCs w:val="18"/>
          <w:shd w:val="clear" w:color="auto" w:fill="FFFFFF"/>
        </w:rPr>
        <w:t>]</w:t>
      </w:r>
      <w:r w:rsidRPr="006B43C5">
        <w:rPr>
          <w:rFonts w:asciiTheme="majorBidi" w:hAnsiTheme="majorBidi" w:cstheme="majorBidi"/>
          <w:color w:val="1C1C1C"/>
          <w:sz w:val="18"/>
          <w:szCs w:val="18"/>
          <w:shd w:val="clear" w:color="auto" w:fill="FFFFFF"/>
        </w:rPr>
        <w:t>.</w:t>
      </w:r>
    </w:p>
    <w:p w14:paraId="7CC2CFB4" w14:textId="77777777" w:rsidR="00594F64" w:rsidRDefault="00594F64" w:rsidP="00C94AF9">
      <w:pPr>
        <w:overflowPunct/>
        <w:spacing w:line="260" w:lineRule="atLeast"/>
        <w:jc w:val="both"/>
        <w:textAlignment w:val="auto"/>
        <w:rPr>
          <w:rFonts w:asciiTheme="majorBidi" w:hAnsiTheme="majorBidi" w:cstheme="majorBidi"/>
          <w:color w:val="000000"/>
          <w:sz w:val="18"/>
          <w:szCs w:val="18"/>
          <w:lang w:val="en-US" w:eastAsia="en-GB"/>
        </w:rPr>
      </w:pPr>
    </w:p>
    <w:p w14:paraId="2AFD6ABF" w14:textId="16CDB23C" w:rsidR="006A1874" w:rsidRDefault="006A1874" w:rsidP="006A1874">
      <w:pPr>
        <w:overflowPunct/>
        <w:spacing w:line="260" w:lineRule="atLeast"/>
        <w:jc w:val="center"/>
        <w:textAlignment w:val="auto"/>
        <w:rPr>
          <w:rFonts w:asciiTheme="majorBidi" w:hAnsiTheme="majorBidi" w:cstheme="majorBidi"/>
          <w:color w:val="000000"/>
          <w:sz w:val="18"/>
          <w:szCs w:val="18"/>
          <w:lang w:val="en-US" w:eastAsia="en-GB"/>
        </w:rPr>
      </w:pPr>
      <w:r>
        <w:rPr>
          <w:noProof/>
        </w:rPr>
        <w:drawing>
          <wp:inline distT="0" distB="0" distL="0" distR="0" wp14:anchorId="6C3B6682" wp14:editId="53FE11CA">
            <wp:extent cx="3476625" cy="1235131"/>
            <wp:effectExtent l="0" t="0" r="0" b="3175"/>
            <wp:docPr id="4664475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47593" name=""/>
                    <pic:cNvPicPr/>
                  </pic:nvPicPr>
                  <pic:blipFill>
                    <a:blip r:embed="rId11"/>
                    <a:stretch>
                      <a:fillRect/>
                    </a:stretch>
                  </pic:blipFill>
                  <pic:spPr>
                    <a:xfrm>
                      <a:off x="0" y="0"/>
                      <a:ext cx="3504847" cy="1245157"/>
                    </a:xfrm>
                    <a:prstGeom prst="rect">
                      <a:avLst/>
                    </a:prstGeom>
                  </pic:spPr>
                </pic:pic>
              </a:graphicData>
            </a:graphic>
          </wp:inline>
        </w:drawing>
      </w:r>
    </w:p>
    <w:p w14:paraId="3D6EF148" w14:textId="741ADBA8" w:rsidR="006A1874" w:rsidRPr="00802381" w:rsidRDefault="006A1874" w:rsidP="006A1874">
      <w:pPr>
        <w:pStyle w:val="Lgende"/>
        <w:jc w:val="center"/>
        <w:rPr>
          <w:i/>
          <w:sz w:val="20"/>
        </w:rPr>
      </w:pPr>
      <w:r w:rsidRPr="000A60B8">
        <w:rPr>
          <w:i/>
        </w:rPr>
        <w:t xml:space="preserve">FIG. </w:t>
      </w:r>
      <w:r w:rsidR="00242F54">
        <w:rPr>
          <w:i/>
        </w:rPr>
        <w:t>2</w:t>
      </w:r>
      <w:r w:rsidRPr="000A60B8">
        <w:rPr>
          <w:i/>
        </w:rPr>
        <w:t xml:space="preserve">. </w:t>
      </w:r>
      <w:r w:rsidRPr="006A1874">
        <w:rPr>
          <w:rFonts w:asciiTheme="majorBidi" w:hAnsiTheme="majorBidi" w:cstheme="majorBidi"/>
          <w:i/>
          <w:iCs/>
          <w:szCs w:val="18"/>
          <w:lang w:eastAsia="en-GB"/>
        </w:rPr>
        <w:t>Scenarios of hydrogen storage and transportation</w:t>
      </w:r>
      <w:r w:rsidRPr="000A60B8">
        <w:rPr>
          <w:i/>
        </w:rPr>
        <w:t xml:space="preserve"> [3].</w:t>
      </w:r>
    </w:p>
    <w:p w14:paraId="09A6E0BF" w14:textId="0D7FCB9E" w:rsidR="006A1874" w:rsidRPr="006A1874" w:rsidRDefault="006A1874" w:rsidP="006A1874">
      <w:pPr>
        <w:overflowPunct/>
        <w:textAlignment w:val="auto"/>
        <w:rPr>
          <w:rFonts w:asciiTheme="majorBidi" w:hAnsiTheme="majorBidi" w:cstheme="majorBidi"/>
          <w:i/>
          <w:iCs/>
          <w:color w:val="000000"/>
          <w:sz w:val="18"/>
          <w:szCs w:val="18"/>
          <w:lang w:val="en-US" w:eastAsia="en-GB"/>
        </w:rPr>
      </w:pPr>
    </w:p>
    <w:p w14:paraId="19A551AD" w14:textId="5CEDBA0F" w:rsidR="006A1874" w:rsidRPr="006A1874" w:rsidRDefault="006A1874" w:rsidP="006A1874">
      <w:pPr>
        <w:overflowPunct/>
        <w:spacing w:line="260" w:lineRule="atLeast"/>
        <w:ind w:firstLine="567"/>
        <w:jc w:val="both"/>
        <w:textAlignment w:val="auto"/>
        <w:rPr>
          <w:rFonts w:asciiTheme="majorBidi" w:hAnsiTheme="majorBidi" w:cstheme="majorBidi"/>
          <w:color w:val="1C1C1C"/>
          <w:sz w:val="18"/>
          <w:szCs w:val="18"/>
          <w:shd w:val="clear" w:color="auto" w:fill="FFFFFF"/>
        </w:rPr>
      </w:pPr>
      <w:r w:rsidRPr="006A1874">
        <w:rPr>
          <w:rFonts w:asciiTheme="majorBidi" w:hAnsiTheme="majorBidi" w:cstheme="majorBidi"/>
          <w:color w:val="1C1C1C"/>
          <w:sz w:val="18"/>
          <w:szCs w:val="18"/>
          <w:shd w:val="clear" w:color="auto" w:fill="FFFFFF"/>
        </w:rPr>
        <w:t xml:space="preserve">The study compares the costs of producing hydrogen using </w:t>
      </w:r>
      <w:r w:rsidRPr="00147719">
        <w:rPr>
          <w:sz w:val="18"/>
          <w:szCs w:val="18"/>
          <w:lang w:val="en-US"/>
        </w:rPr>
        <w:t>GT-MHR</w:t>
      </w:r>
      <w:r w:rsidRPr="006A1874">
        <w:rPr>
          <w:rFonts w:asciiTheme="majorBidi" w:hAnsiTheme="majorBidi" w:cstheme="majorBidi"/>
          <w:color w:val="1C1C1C"/>
          <w:sz w:val="18"/>
          <w:szCs w:val="18"/>
          <w:shd w:val="clear" w:color="auto" w:fill="FFFFFF"/>
        </w:rPr>
        <w:t xml:space="preserve">. It considers different scenarios for storing and transporting hydrogen, as shown in </w:t>
      </w:r>
      <w:r w:rsidRPr="006A1874">
        <w:rPr>
          <w:rFonts w:asciiTheme="majorBidi" w:hAnsiTheme="majorBidi" w:cstheme="majorBidi"/>
          <w:b/>
          <w:bCs/>
          <w:color w:val="1C1C1C"/>
          <w:sz w:val="18"/>
          <w:szCs w:val="18"/>
          <w:shd w:val="clear" w:color="auto" w:fill="FFFFFF"/>
        </w:rPr>
        <w:t>Fig. 2</w:t>
      </w:r>
      <w:r w:rsidRPr="006A1874">
        <w:rPr>
          <w:rFonts w:asciiTheme="majorBidi" w:hAnsiTheme="majorBidi" w:cstheme="majorBidi"/>
          <w:color w:val="1C1C1C"/>
          <w:sz w:val="18"/>
          <w:szCs w:val="18"/>
          <w:shd w:val="clear" w:color="auto" w:fill="FFFFFF"/>
        </w:rPr>
        <w:t xml:space="preserve">. Each nuclear plant is assumed to have one type of hydrogen generation plant. The study evaluates the cost of producing hydrogen and storing it using different storage and transportation methods, except for metal hydride storage and liquefaction, which cannot be transported through pipelines. The levelized cost of hydrogen is calculated by the HEEP, which considers the present value of generated hydrogen, storage, and transportation compared to the present value of gross hydrogen generated </w:t>
      </w:r>
      <w:r w:rsidRPr="009060D8">
        <w:rPr>
          <w:rFonts w:asciiTheme="majorBidi" w:hAnsiTheme="majorBidi" w:cstheme="majorBidi"/>
          <w:b/>
          <w:bCs/>
          <w:color w:val="1C1C1C"/>
          <w:sz w:val="18"/>
          <w:szCs w:val="18"/>
          <w:shd w:val="clear" w:color="auto" w:fill="FFFFFF"/>
        </w:rPr>
        <w:t>[9]</w:t>
      </w:r>
      <w:r w:rsidRPr="006A1874">
        <w:rPr>
          <w:rFonts w:asciiTheme="majorBidi" w:hAnsiTheme="majorBidi" w:cstheme="majorBidi"/>
          <w:color w:val="1C1C1C"/>
          <w:sz w:val="18"/>
          <w:szCs w:val="18"/>
          <w:shd w:val="clear" w:color="auto" w:fill="FFFFFF"/>
        </w:rPr>
        <w:t>.</w:t>
      </w:r>
    </w:p>
    <w:p w14:paraId="0E0111E9" w14:textId="77777777" w:rsidR="00594F64" w:rsidRPr="00C94AF9" w:rsidRDefault="00594F64" w:rsidP="00C94AF9">
      <w:pPr>
        <w:overflowPunct/>
        <w:spacing w:line="260" w:lineRule="atLeast"/>
        <w:jc w:val="both"/>
        <w:textAlignment w:val="auto"/>
        <w:rPr>
          <w:rFonts w:asciiTheme="majorBidi" w:hAnsiTheme="majorBidi" w:cstheme="majorBidi"/>
          <w:color w:val="000000"/>
          <w:sz w:val="18"/>
          <w:szCs w:val="18"/>
          <w:lang w:val="en-US" w:eastAsia="en-GB"/>
        </w:rPr>
      </w:pPr>
    </w:p>
    <w:p w14:paraId="0041B48B" w14:textId="1EC48D6B" w:rsidR="00594F64" w:rsidRPr="00C94AF9" w:rsidRDefault="00000000" w:rsidP="00C94AF9">
      <w:pPr>
        <w:overflowPunct/>
        <w:spacing w:line="260" w:lineRule="atLeast"/>
        <w:jc w:val="both"/>
        <w:textAlignment w:val="auto"/>
        <w:rPr>
          <w:rFonts w:asciiTheme="majorBidi" w:hAnsiTheme="majorBidi" w:cstheme="majorBidi"/>
          <w:color w:val="000000"/>
          <w:sz w:val="18"/>
          <w:szCs w:val="18"/>
          <w:lang w:val="en-US" w:eastAsia="en-GB"/>
        </w:rPr>
      </w:pPr>
      <m:oMathPara>
        <m:oMath>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C</m:t>
              </m:r>
            </m:e>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H</m:t>
                  </m:r>
                </m:e>
                <m:sub>
                  <m:r>
                    <w:rPr>
                      <w:rFonts w:ascii="Cambria Math" w:hAnsi="Cambria Math" w:cstheme="majorBidi"/>
                      <w:color w:val="000000"/>
                      <w:sz w:val="18"/>
                      <w:szCs w:val="18"/>
                      <w:lang w:val="en-US" w:eastAsia="en-GB"/>
                    </w:rPr>
                    <m:t>2</m:t>
                  </m:r>
                </m:sub>
              </m:sSub>
            </m:sub>
          </m:sSub>
          <m:r>
            <w:rPr>
              <w:rFonts w:ascii="Cambria Math" w:hAnsi="Cambria Math" w:cstheme="majorBidi"/>
              <w:color w:val="000000"/>
              <w:sz w:val="18"/>
              <w:szCs w:val="18"/>
              <w:lang w:val="en-US" w:eastAsia="en-GB"/>
            </w:rPr>
            <m:t xml:space="preserve"> = </m:t>
          </m:r>
          <m:f>
            <m:fPr>
              <m:ctrlPr>
                <w:rPr>
                  <w:rFonts w:ascii="Cambria Math" w:hAnsi="Cambria Math" w:cstheme="majorBidi"/>
                  <w:i/>
                  <w:color w:val="000000"/>
                  <w:sz w:val="18"/>
                  <w:szCs w:val="18"/>
                  <w:lang w:val="en-US" w:eastAsia="en-GB"/>
                </w:rPr>
              </m:ctrlPr>
            </m:fPr>
            <m:num>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G</m:t>
                  </m:r>
                </m:e>
                <m:sub>
                  <m:r>
                    <w:rPr>
                      <w:rFonts w:ascii="Cambria Math" w:hAnsi="Cambria Math" w:cstheme="majorBidi"/>
                      <w:color w:val="000000"/>
                      <w:sz w:val="18"/>
                      <w:szCs w:val="18"/>
                      <w:lang w:val="en-US" w:eastAsia="en-GB"/>
                    </w:rPr>
                    <m:t>NPP</m:t>
                  </m:r>
                </m:sub>
              </m:sSub>
              <m:d>
                <m:dPr>
                  <m:ctrlPr>
                    <w:rPr>
                      <w:rFonts w:ascii="Cambria Math" w:hAnsi="Cambria Math" w:cstheme="majorBidi"/>
                      <w:i/>
                      <w:color w:val="000000"/>
                      <w:sz w:val="18"/>
                      <w:szCs w:val="18"/>
                      <w:lang w:val="en-US" w:eastAsia="en-GB"/>
                    </w:rPr>
                  </m:ctrlPr>
                </m:dPr>
                <m:e>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e>
              </m:d>
              <m:r>
                <w:rPr>
                  <w:rFonts w:ascii="Cambria Math" w:hAnsi="Cambria Math" w:cstheme="majorBidi"/>
                  <w:color w:val="000000"/>
                  <w:sz w:val="18"/>
                  <w:szCs w:val="18"/>
                  <w:lang w:val="en-US" w:eastAsia="en-GB"/>
                </w:rPr>
                <m:t xml:space="preserve"> + </m:t>
              </m:r>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G</m:t>
                  </m:r>
                </m:e>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H</m:t>
                      </m:r>
                    </m:e>
                    <m:sub>
                      <m:r>
                        <w:rPr>
                          <w:rFonts w:ascii="Cambria Math" w:hAnsi="Cambria Math" w:cstheme="majorBidi"/>
                          <w:color w:val="000000"/>
                          <w:sz w:val="18"/>
                          <w:szCs w:val="18"/>
                          <w:lang w:val="en-US" w:eastAsia="en-GB"/>
                        </w:rPr>
                        <m:t>2</m:t>
                      </m:r>
                    </m:sub>
                  </m:sSub>
                  <m:r>
                    <w:rPr>
                      <w:rFonts w:ascii="Cambria Math" w:hAnsi="Cambria Math" w:cstheme="majorBidi"/>
                      <w:color w:val="000000"/>
                      <w:sz w:val="18"/>
                      <w:szCs w:val="18"/>
                      <w:lang w:val="en-US" w:eastAsia="en-GB"/>
                    </w:rPr>
                    <m:t>GP</m:t>
                  </m:r>
                </m:sub>
              </m:sSub>
              <m:d>
                <m:dPr>
                  <m:ctrlPr>
                    <w:rPr>
                      <w:rFonts w:ascii="Cambria Math" w:hAnsi="Cambria Math" w:cstheme="majorBidi"/>
                      <w:i/>
                      <w:color w:val="000000"/>
                      <w:sz w:val="18"/>
                      <w:szCs w:val="18"/>
                      <w:lang w:val="en-US" w:eastAsia="en-GB"/>
                    </w:rPr>
                  </m:ctrlPr>
                </m:dPr>
                <m:e>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e>
              </m:d>
              <m:r>
                <w:rPr>
                  <w:rFonts w:ascii="Cambria Math" w:hAnsi="Cambria Math" w:cstheme="majorBidi"/>
                  <w:color w:val="000000"/>
                  <w:sz w:val="18"/>
                  <w:szCs w:val="18"/>
                  <w:lang w:val="en-US" w:eastAsia="en-GB"/>
                </w:rPr>
                <m:t xml:space="preserve"> + </m:t>
              </m:r>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G</m:t>
                  </m:r>
                </m:e>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H</m:t>
                      </m:r>
                    </m:e>
                    <m:sub>
                      <m:r>
                        <w:rPr>
                          <w:rFonts w:ascii="Cambria Math" w:hAnsi="Cambria Math" w:cstheme="majorBidi"/>
                          <w:color w:val="000000"/>
                          <w:sz w:val="18"/>
                          <w:szCs w:val="18"/>
                          <w:lang w:val="en-US" w:eastAsia="en-GB"/>
                        </w:rPr>
                        <m:t>2</m:t>
                      </m:r>
                    </m:sub>
                  </m:sSub>
                  <m:r>
                    <w:rPr>
                      <w:rFonts w:ascii="Cambria Math" w:hAnsi="Cambria Math" w:cstheme="majorBidi"/>
                      <w:color w:val="000000"/>
                      <w:sz w:val="18"/>
                      <w:szCs w:val="18"/>
                      <w:lang w:val="en-US" w:eastAsia="en-GB"/>
                    </w:rPr>
                    <m:t>T</m:t>
                  </m:r>
                </m:sub>
              </m:sSub>
              <m:d>
                <m:dPr>
                  <m:ctrlPr>
                    <w:rPr>
                      <w:rFonts w:ascii="Cambria Math" w:hAnsi="Cambria Math" w:cstheme="majorBidi"/>
                      <w:i/>
                      <w:color w:val="000000"/>
                      <w:sz w:val="18"/>
                      <w:szCs w:val="18"/>
                      <w:lang w:val="en-US" w:eastAsia="en-GB"/>
                    </w:rPr>
                  </m:ctrlPr>
                </m:dPr>
                <m:e>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e>
              </m:d>
            </m:num>
            <m:den>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G</m:t>
                  </m:r>
                </m:e>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H</m:t>
                      </m:r>
                    </m:e>
                    <m:sub>
                      <m:r>
                        <w:rPr>
                          <w:rFonts w:ascii="Cambria Math" w:hAnsi="Cambria Math" w:cstheme="majorBidi"/>
                          <w:color w:val="000000"/>
                          <w:sz w:val="18"/>
                          <w:szCs w:val="18"/>
                          <w:lang w:val="en-US" w:eastAsia="en-GB"/>
                        </w:rPr>
                        <m:t>2</m:t>
                      </m:r>
                    </m:sub>
                  </m:sSub>
                </m:sub>
              </m:sSub>
              <m:d>
                <m:dPr>
                  <m:ctrlPr>
                    <w:rPr>
                      <w:rFonts w:ascii="Cambria Math" w:hAnsi="Cambria Math" w:cstheme="majorBidi"/>
                      <w:i/>
                      <w:color w:val="000000"/>
                      <w:sz w:val="18"/>
                      <w:szCs w:val="18"/>
                      <w:lang w:val="en-US" w:eastAsia="en-GB"/>
                    </w:rPr>
                  </m:ctrlPr>
                </m:dPr>
                <m:e>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e>
              </m:d>
            </m:den>
          </m:f>
          <m:r>
            <w:rPr>
              <w:rFonts w:ascii="Cambria Math" w:hAnsi="Cambria Math" w:cstheme="majorBidi"/>
              <w:color w:val="000000"/>
              <w:sz w:val="18"/>
              <w:szCs w:val="18"/>
              <w:lang w:val="en-US" w:eastAsia="en-GB"/>
            </w:rPr>
            <m:t xml:space="preserve"> </m:t>
          </m:r>
          <m:d>
            <m:dPr>
              <m:begChr m:val="["/>
              <m:endChr m:val="]"/>
              <m:ctrlPr>
                <w:rPr>
                  <w:rFonts w:ascii="Cambria Math" w:hAnsi="Cambria Math" w:cstheme="majorBidi"/>
                  <w:i/>
                  <w:color w:val="000000"/>
                  <w:sz w:val="18"/>
                  <w:szCs w:val="18"/>
                  <w:lang w:val="en-US" w:eastAsia="en-GB"/>
                </w:rPr>
              </m:ctrlPr>
            </m:dPr>
            <m:e>
              <m:r>
                <w:rPr>
                  <w:rFonts w:ascii="Cambria Math" w:hAnsi="Cambria Math" w:cstheme="majorBidi"/>
                  <w:color w:val="000000"/>
                  <w:sz w:val="18"/>
                  <w:szCs w:val="18"/>
                  <w:lang w:val="en-US" w:eastAsia="en-GB"/>
                </w:rPr>
                <m:t>$USD/kg</m:t>
              </m:r>
            </m:e>
          </m:d>
        </m:oMath>
      </m:oMathPara>
    </w:p>
    <w:p w14:paraId="07C46CF1" w14:textId="210FC5E7" w:rsidR="00594F64" w:rsidRPr="00C94AF9" w:rsidRDefault="00594F64" w:rsidP="006A1874">
      <w:pPr>
        <w:overflowPunct/>
        <w:spacing w:line="260" w:lineRule="atLeast"/>
        <w:jc w:val="both"/>
        <w:textAlignment w:val="auto"/>
        <w:rPr>
          <w:rFonts w:asciiTheme="majorBidi" w:hAnsiTheme="majorBidi" w:cstheme="majorBidi"/>
          <w:color w:val="000000"/>
          <w:sz w:val="18"/>
          <w:szCs w:val="18"/>
          <w:lang w:val="en-US" w:eastAsia="en-GB"/>
        </w:rPr>
      </w:pPr>
      <w:r w:rsidRPr="00780BFD">
        <w:rPr>
          <w:rFonts w:asciiTheme="majorBidi" w:hAnsiTheme="majorBidi" w:cstheme="majorBidi"/>
          <w:color w:val="000000"/>
          <w:sz w:val="18"/>
          <w:szCs w:val="18"/>
          <w:lang w:val="en-US" w:eastAsia="en-GB"/>
        </w:rPr>
        <w:t>where E, C</w:t>
      </w:r>
      <w:r w:rsidR="006A1874" w:rsidRPr="00780BFD">
        <w:rPr>
          <w:rFonts w:asciiTheme="majorBidi" w:hAnsiTheme="majorBidi" w:cstheme="majorBidi"/>
          <w:color w:val="000000"/>
          <w:sz w:val="18"/>
          <w:szCs w:val="18"/>
          <w:lang w:val="en-US" w:eastAsia="en-GB"/>
        </w:rPr>
        <w:t>,</w:t>
      </w:r>
      <w:r w:rsidRPr="00780BFD">
        <w:rPr>
          <w:rFonts w:asciiTheme="majorBidi" w:hAnsiTheme="majorBidi" w:cstheme="majorBidi"/>
          <w:color w:val="000000"/>
          <w:sz w:val="18"/>
          <w:szCs w:val="18"/>
          <w:lang w:val="en-US" w:eastAsia="en-GB"/>
        </w:rPr>
        <w:t xml:space="preserve"> and G refer to expenditures, subscripts NPP,</w:t>
      </w:r>
      <w:r w:rsidR="00C94AF9" w:rsidRPr="00780BFD">
        <w:rPr>
          <w:rFonts w:asciiTheme="majorBidi" w:hAnsiTheme="majorBidi" w:cstheme="majorBidi"/>
          <w:color w:val="000000"/>
          <w:sz w:val="18"/>
          <w:szCs w:val="18"/>
          <w:lang w:val="en-US" w:eastAsia="en-GB"/>
        </w:rPr>
        <w:t xml:space="preserve"> </w:t>
      </w:r>
      <w:r w:rsidRPr="00780BFD">
        <w:rPr>
          <w:rFonts w:asciiTheme="majorBidi" w:hAnsiTheme="majorBidi" w:cstheme="majorBidi"/>
          <w:color w:val="000000"/>
          <w:sz w:val="18"/>
          <w:szCs w:val="18"/>
          <w:lang w:val="en-US" w:eastAsia="en-GB"/>
        </w:rPr>
        <w:t>H</w:t>
      </w:r>
      <w:r w:rsidRPr="00780BFD">
        <w:rPr>
          <w:rFonts w:asciiTheme="majorBidi" w:hAnsiTheme="majorBidi" w:cstheme="majorBidi"/>
          <w:color w:val="000000"/>
          <w:sz w:val="18"/>
          <w:szCs w:val="18"/>
          <w:vertAlign w:val="subscript"/>
          <w:lang w:val="en-US" w:eastAsia="en-GB"/>
        </w:rPr>
        <w:t>2</w:t>
      </w:r>
      <w:r w:rsidRPr="00780BFD">
        <w:rPr>
          <w:rFonts w:asciiTheme="majorBidi" w:hAnsiTheme="majorBidi" w:cstheme="majorBidi"/>
          <w:color w:val="000000"/>
          <w:sz w:val="18"/>
          <w:szCs w:val="18"/>
          <w:lang w:val="en-US" w:eastAsia="en-GB"/>
        </w:rPr>
        <w:t>GP, and H</w:t>
      </w:r>
      <w:r w:rsidRPr="00780BFD">
        <w:rPr>
          <w:rFonts w:asciiTheme="majorBidi" w:hAnsiTheme="majorBidi" w:cstheme="majorBidi"/>
          <w:color w:val="000000"/>
          <w:sz w:val="18"/>
          <w:szCs w:val="18"/>
          <w:vertAlign w:val="subscript"/>
          <w:lang w:val="en-US" w:eastAsia="en-GB"/>
        </w:rPr>
        <w:t>2</w:t>
      </w:r>
      <w:r w:rsidRPr="00780BFD">
        <w:rPr>
          <w:rFonts w:asciiTheme="majorBidi" w:hAnsiTheme="majorBidi" w:cstheme="majorBidi"/>
          <w:color w:val="000000"/>
          <w:sz w:val="18"/>
          <w:szCs w:val="18"/>
          <w:lang w:val="en-US" w:eastAsia="en-GB"/>
        </w:rPr>
        <w:t>T refer to nuclear power plant, hydrogen generation</w:t>
      </w:r>
      <w:r w:rsidR="006A1874" w:rsidRPr="00780BFD">
        <w:rPr>
          <w:rFonts w:asciiTheme="majorBidi" w:hAnsiTheme="majorBidi" w:cstheme="majorBidi"/>
          <w:color w:val="000000"/>
          <w:sz w:val="18"/>
          <w:szCs w:val="18"/>
          <w:lang w:val="en-US" w:eastAsia="en-GB"/>
        </w:rPr>
        <w:t xml:space="preserve"> </w:t>
      </w:r>
      <w:r w:rsidRPr="00780BFD">
        <w:rPr>
          <w:rFonts w:asciiTheme="majorBidi" w:hAnsiTheme="majorBidi" w:cstheme="majorBidi"/>
          <w:color w:val="000000"/>
          <w:sz w:val="18"/>
          <w:szCs w:val="18"/>
          <w:lang w:val="en-US" w:eastAsia="en-GB"/>
        </w:rPr>
        <w:t>and storage, and hydrogen transportation, respectively.</w:t>
      </w:r>
      <w:r w:rsidR="00C94AF9" w:rsidRPr="00780BFD">
        <w:rPr>
          <w:rFonts w:asciiTheme="majorBidi" w:hAnsiTheme="majorBidi" w:cstheme="majorBidi"/>
          <w:color w:val="000000"/>
          <w:sz w:val="18"/>
          <w:szCs w:val="18"/>
          <w:lang w:val="en-US" w:eastAsia="en-GB"/>
        </w:rPr>
        <w:t xml:space="preserve"> </w:t>
      </w:r>
      <w:r w:rsidRPr="00780BFD">
        <w:rPr>
          <w:rFonts w:asciiTheme="majorBidi" w:hAnsiTheme="majorBidi" w:cstheme="majorBidi"/>
          <w:color w:val="000000"/>
          <w:sz w:val="18"/>
          <w:szCs w:val="18"/>
          <w:lang w:val="en-US" w:eastAsia="en-GB"/>
        </w:rPr>
        <w:t>The present values of expenditures are calculated with the</w:t>
      </w:r>
      <w:r w:rsidR="00C94AF9" w:rsidRPr="00780BFD">
        <w:rPr>
          <w:rFonts w:asciiTheme="majorBidi" w:hAnsiTheme="majorBidi" w:cstheme="majorBidi"/>
          <w:color w:val="000000"/>
          <w:sz w:val="18"/>
          <w:szCs w:val="18"/>
          <w:lang w:val="en-US" w:eastAsia="en-GB"/>
        </w:rPr>
        <w:t xml:space="preserve"> </w:t>
      </w:r>
      <w:r w:rsidRPr="00780BFD">
        <w:rPr>
          <w:rFonts w:asciiTheme="majorBidi" w:hAnsiTheme="majorBidi" w:cstheme="majorBidi"/>
          <w:color w:val="000000"/>
          <w:sz w:val="18"/>
          <w:szCs w:val="18"/>
          <w:lang w:val="en-US" w:eastAsia="en-GB"/>
        </w:rPr>
        <w:t xml:space="preserve">following </w:t>
      </w:r>
      <w:r w:rsidRPr="00780BFD">
        <w:rPr>
          <w:rFonts w:asciiTheme="majorBidi" w:hAnsiTheme="majorBidi" w:cstheme="majorBidi"/>
          <w:sz w:val="18"/>
          <w:szCs w:val="18"/>
          <w:lang w:val="en-US" w:eastAsia="en-GB"/>
        </w:rPr>
        <w:t xml:space="preserve">definition </w:t>
      </w:r>
      <w:r w:rsidRPr="00780BFD">
        <w:rPr>
          <w:rFonts w:asciiTheme="majorBidi" w:hAnsiTheme="majorBidi" w:cstheme="majorBidi"/>
          <w:b/>
          <w:bCs/>
          <w:sz w:val="18"/>
          <w:szCs w:val="18"/>
          <w:lang w:val="en-US" w:eastAsia="en-GB"/>
        </w:rPr>
        <w:t>[</w:t>
      </w:r>
      <w:r w:rsidR="006A1874" w:rsidRPr="00780BFD">
        <w:rPr>
          <w:rFonts w:asciiTheme="majorBidi" w:hAnsiTheme="majorBidi" w:cstheme="majorBidi"/>
          <w:b/>
          <w:bCs/>
          <w:sz w:val="18"/>
          <w:szCs w:val="18"/>
          <w:lang w:val="en-US" w:eastAsia="en-GB"/>
        </w:rPr>
        <w:t>9,</w:t>
      </w:r>
      <w:r w:rsidRPr="00780BFD">
        <w:rPr>
          <w:rFonts w:asciiTheme="majorBidi" w:hAnsiTheme="majorBidi" w:cstheme="majorBidi"/>
          <w:b/>
          <w:bCs/>
          <w:sz w:val="18"/>
          <w:szCs w:val="18"/>
          <w:lang w:val="en-US" w:eastAsia="en-GB"/>
        </w:rPr>
        <w:t>10</w:t>
      </w:r>
      <w:r w:rsidR="006A1874" w:rsidRPr="00780BFD">
        <w:rPr>
          <w:rFonts w:asciiTheme="majorBidi" w:hAnsiTheme="majorBidi" w:cstheme="majorBidi"/>
          <w:b/>
          <w:bCs/>
          <w:sz w:val="18"/>
          <w:szCs w:val="18"/>
          <w:lang w:val="en-US" w:eastAsia="en-GB"/>
        </w:rPr>
        <w:t>]</w:t>
      </w:r>
      <w:r w:rsidRPr="00780BFD">
        <w:rPr>
          <w:rFonts w:asciiTheme="majorBidi" w:hAnsiTheme="majorBidi" w:cstheme="majorBidi"/>
          <w:sz w:val="18"/>
          <w:szCs w:val="18"/>
          <w:lang w:val="en-US" w:eastAsia="en-GB"/>
        </w:rPr>
        <w:t>:</w:t>
      </w:r>
    </w:p>
    <w:p w14:paraId="6B5A57D7" w14:textId="7B08DB81" w:rsidR="00594F64" w:rsidRPr="00C94AF9" w:rsidRDefault="000927CA" w:rsidP="00C94AF9">
      <w:pPr>
        <w:overflowPunct/>
        <w:spacing w:line="260" w:lineRule="atLeast"/>
        <w:jc w:val="both"/>
        <w:textAlignment w:val="auto"/>
        <w:rPr>
          <w:rFonts w:asciiTheme="majorBidi" w:hAnsiTheme="majorBidi" w:cstheme="majorBidi"/>
          <w:color w:val="000000"/>
          <w:sz w:val="18"/>
          <w:szCs w:val="18"/>
          <w:lang w:val="en-US" w:eastAsia="en-GB"/>
        </w:rPr>
      </w:pPr>
      <m:oMathPara>
        <m:oMath>
          <m:r>
            <w:rPr>
              <w:rFonts w:ascii="Cambria Math" w:hAnsi="Cambria Math" w:cstheme="majorBidi"/>
              <w:color w:val="000000"/>
              <w:sz w:val="18"/>
              <w:szCs w:val="18"/>
              <w:lang w:val="en-US" w:eastAsia="en-GB"/>
            </w:rPr>
            <m:t>E</m:t>
          </m:r>
          <m:d>
            <m:dPr>
              <m:ctrlPr>
                <w:rPr>
                  <w:rFonts w:ascii="Cambria Math" w:hAnsi="Cambria Math" w:cstheme="majorBidi"/>
                  <w:i/>
                  <w:color w:val="000000"/>
                  <w:sz w:val="18"/>
                  <w:szCs w:val="18"/>
                  <w:lang w:val="en-US" w:eastAsia="en-GB"/>
                </w:rPr>
              </m:ctrlPr>
            </m:dPr>
            <m:e>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e>
          </m:d>
          <m:r>
            <w:rPr>
              <w:rFonts w:ascii="Cambria Math" w:hAnsi="Cambria Math" w:cstheme="majorBidi"/>
              <w:color w:val="000000"/>
              <w:sz w:val="18"/>
              <w:szCs w:val="18"/>
              <w:lang w:val="en-US" w:eastAsia="en-GB"/>
            </w:rPr>
            <m:t xml:space="preserve"> = </m:t>
          </m:r>
          <m:nary>
            <m:naryPr>
              <m:chr m:val="∑"/>
              <m:limLoc m:val="undOvr"/>
              <m:ctrlPr>
                <w:rPr>
                  <w:rFonts w:ascii="Cambria Math" w:hAnsi="Cambria Math" w:cstheme="majorBidi"/>
                  <w:i/>
                  <w:color w:val="000000"/>
                  <w:sz w:val="18"/>
                  <w:szCs w:val="18"/>
                  <w:lang w:val="en-US" w:eastAsia="en-GB"/>
                </w:rPr>
              </m:ctrlPr>
            </m:naryPr>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start</m:t>
                  </m:r>
                </m:sub>
              </m:sSub>
            </m:sub>
            <m:sup>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end</m:t>
                  </m:r>
                </m:sub>
              </m:sSub>
            </m:sup>
            <m:e>
              <m:f>
                <m:fPr>
                  <m:ctrlPr>
                    <w:rPr>
                      <w:rFonts w:ascii="Cambria Math" w:hAnsi="Cambria Math" w:cstheme="majorBidi"/>
                      <w:i/>
                      <w:color w:val="000000"/>
                      <w:sz w:val="18"/>
                      <w:szCs w:val="18"/>
                      <w:lang w:val="en-US" w:eastAsia="en-GB"/>
                    </w:rPr>
                  </m:ctrlPr>
                </m:fPr>
                <m:num>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CI</m:t>
                      </m:r>
                    </m:e>
                    <m:sub>
                      <m:r>
                        <w:rPr>
                          <w:rFonts w:ascii="Cambria Math" w:hAnsi="Cambria Math" w:cstheme="majorBidi"/>
                          <w:color w:val="000000"/>
                          <w:sz w:val="18"/>
                          <w:szCs w:val="18"/>
                          <w:lang w:val="en-US" w:eastAsia="en-GB"/>
                        </w:rPr>
                        <m:t>t</m:t>
                      </m:r>
                    </m:sub>
                  </m:sSub>
                </m:num>
                <m:den>
                  <m:sSup>
                    <m:sSupPr>
                      <m:ctrlPr>
                        <w:rPr>
                          <w:rFonts w:ascii="Cambria Math" w:hAnsi="Cambria Math" w:cstheme="majorBidi"/>
                          <w:i/>
                          <w:color w:val="000000"/>
                          <w:sz w:val="18"/>
                          <w:szCs w:val="18"/>
                          <w:lang w:val="en-US" w:eastAsia="en-GB"/>
                        </w:rPr>
                      </m:ctrlPr>
                    </m:sSupPr>
                    <m:e>
                      <m:d>
                        <m:dPr>
                          <m:ctrlPr>
                            <w:rPr>
                              <w:rFonts w:ascii="Cambria Math" w:hAnsi="Cambria Math" w:cstheme="majorBidi"/>
                              <w:i/>
                              <w:color w:val="000000"/>
                              <w:sz w:val="18"/>
                              <w:szCs w:val="18"/>
                              <w:lang w:val="en-US" w:eastAsia="en-GB"/>
                            </w:rPr>
                          </m:ctrlPr>
                        </m:dPr>
                        <m:e>
                          <m:r>
                            <w:rPr>
                              <w:rFonts w:ascii="Cambria Math" w:hAnsi="Cambria Math" w:cstheme="majorBidi"/>
                              <w:color w:val="000000"/>
                              <w:sz w:val="18"/>
                              <w:szCs w:val="18"/>
                              <w:lang w:val="en-US" w:eastAsia="en-GB"/>
                            </w:rPr>
                            <m:t>1+r</m:t>
                          </m:r>
                        </m:e>
                      </m:d>
                    </m:e>
                    <m:sup>
                      <m:r>
                        <w:rPr>
                          <w:rFonts w:ascii="Cambria Math" w:hAnsi="Cambria Math" w:cstheme="majorBidi"/>
                          <w:color w:val="000000"/>
                          <w:sz w:val="18"/>
                          <w:szCs w:val="18"/>
                          <w:lang w:val="en-US" w:eastAsia="en-GB"/>
                        </w:rPr>
                        <m:t>t-</m:t>
                      </m:r>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sup>
                  </m:sSup>
                </m:den>
              </m:f>
              <m:r>
                <w:rPr>
                  <w:rFonts w:ascii="Cambria Math" w:hAnsi="Cambria Math" w:cstheme="majorBidi"/>
                  <w:color w:val="000000"/>
                  <w:sz w:val="18"/>
                  <w:szCs w:val="18"/>
                  <w:lang w:val="en-US" w:eastAsia="en-GB"/>
                </w:rPr>
                <m:t xml:space="preserve"> + </m:t>
              </m:r>
            </m:e>
          </m:nary>
          <m:nary>
            <m:naryPr>
              <m:chr m:val="∑"/>
              <m:limLoc m:val="undOvr"/>
              <m:ctrlPr>
                <w:rPr>
                  <w:rFonts w:ascii="Cambria Math" w:hAnsi="Cambria Math" w:cstheme="majorBidi"/>
                  <w:i/>
                  <w:color w:val="000000"/>
                  <w:sz w:val="18"/>
                  <w:szCs w:val="18"/>
                  <w:lang w:val="en-US" w:eastAsia="en-GB"/>
                </w:rPr>
              </m:ctrlPr>
            </m:naryPr>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start</m:t>
                  </m:r>
                </m:sub>
              </m:sSub>
            </m:sub>
            <m:sup>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end</m:t>
                  </m:r>
                </m:sub>
              </m:sSub>
            </m:sup>
            <m:e>
              <m:f>
                <m:fPr>
                  <m:ctrlPr>
                    <w:rPr>
                      <w:rFonts w:ascii="Cambria Math" w:hAnsi="Cambria Math" w:cstheme="majorBidi"/>
                      <w:i/>
                      <w:color w:val="000000"/>
                      <w:sz w:val="18"/>
                      <w:szCs w:val="18"/>
                      <w:lang w:val="en-US" w:eastAsia="en-GB"/>
                    </w:rPr>
                  </m:ctrlPr>
                </m:fPr>
                <m:num>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R</m:t>
                      </m:r>
                    </m:e>
                    <m:sub>
                      <m:r>
                        <w:rPr>
                          <w:rFonts w:ascii="Cambria Math" w:hAnsi="Cambria Math" w:cstheme="majorBidi"/>
                          <w:color w:val="000000"/>
                          <w:sz w:val="18"/>
                          <w:szCs w:val="18"/>
                          <w:lang w:val="en-US" w:eastAsia="en-GB"/>
                        </w:rPr>
                        <m:t>t</m:t>
                      </m:r>
                    </m:sub>
                  </m:sSub>
                </m:num>
                <m:den>
                  <m:sSup>
                    <m:sSupPr>
                      <m:ctrlPr>
                        <w:rPr>
                          <w:rFonts w:ascii="Cambria Math" w:hAnsi="Cambria Math" w:cstheme="majorBidi"/>
                          <w:i/>
                          <w:color w:val="000000"/>
                          <w:sz w:val="18"/>
                          <w:szCs w:val="18"/>
                          <w:lang w:val="en-US" w:eastAsia="en-GB"/>
                        </w:rPr>
                      </m:ctrlPr>
                    </m:sSupPr>
                    <m:e>
                      <m:d>
                        <m:dPr>
                          <m:ctrlPr>
                            <w:rPr>
                              <w:rFonts w:ascii="Cambria Math" w:hAnsi="Cambria Math" w:cstheme="majorBidi"/>
                              <w:i/>
                              <w:color w:val="000000"/>
                              <w:sz w:val="18"/>
                              <w:szCs w:val="18"/>
                              <w:lang w:val="en-US" w:eastAsia="en-GB"/>
                            </w:rPr>
                          </m:ctrlPr>
                        </m:dPr>
                        <m:e>
                          <m:r>
                            <w:rPr>
                              <w:rFonts w:ascii="Cambria Math" w:hAnsi="Cambria Math" w:cstheme="majorBidi"/>
                              <w:color w:val="000000"/>
                              <w:sz w:val="18"/>
                              <w:szCs w:val="18"/>
                              <w:lang w:val="en-US" w:eastAsia="en-GB"/>
                            </w:rPr>
                            <m:t>1+r</m:t>
                          </m:r>
                        </m:e>
                      </m:d>
                    </m:e>
                    <m:sup>
                      <m:r>
                        <w:rPr>
                          <w:rFonts w:ascii="Cambria Math" w:hAnsi="Cambria Math" w:cstheme="majorBidi"/>
                          <w:color w:val="000000"/>
                          <w:sz w:val="18"/>
                          <w:szCs w:val="18"/>
                          <w:lang w:val="en-US" w:eastAsia="en-GB"/>
                        </w:rPr>
                        <m:t>t-</m:t>
                      </m:r>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sup>
                  </m:sSup>
                </m:den>
              </m:f>
              <m:r>
                <w:rPr>
                  <w:rFonts w:ascii="Cambria Math" w:hAnsi="Cambria Math" w:cstheme="majorBidi"/>
                  <w:color w:val="000000"/>
                  <w:sz w:val="18"/>
                  <w:szCs w:val="18"/>
                  <w:lang w:val="en-US" w:eastAsia="en-GB"/>
                </w:rPr>
                <m:t xml:space="preserve"> + </m:t>
              </m:r>
            </m:e>
          </m:nary>
          <m:nary>
            <m:naryPr>
              <m:chr m:val="∑"/>
              <m:limLoc m:val="undOvr"/>
              <m:ctrlPr>
                <w:rPr>
                  <w:rFonts w:ascii="Cambria Math" w:hAnsi="Cambria Math" w:cstheme="majorBidi"/>
                  <w:i/>
                  <w:color w:val="000000"/>
                  <w:sz w:val="18"/>
                  <w:szCs w:val="18"/>
                  <w:lang w:val="en-US" w:eastAsia="en-GB"/>
                </w:rPr>
              </m:ctrlPr>
            </m:naryPr>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start</m:t>
                  </m:r>
                </m:sub>
              </m:sSub>
            </m:sub>
            <m:sup>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end</m:t>
                  </m:r>
                </m:sub>
              </m:sSub>
            </m:sup>
            <m:e>
              <m:f>
                <m:fPr>
                  <m:ctrlPr>
                    <w:rPr>
                      <w:rFonts w:ascii="Cambria Math" w:hAnsi="Cambria Math" w:cstheme="majorBidi"/>
                      <w:i/>
                      <w:color w:val="000000"/>
                      <w:sz w:val="18"/>
                      <w:szCs w:val="18"/>
                      <w:lang w:val="en-US" w:eastAsia="en-GB"/>
                    </w:rPr>
                  </m:ctrlPr>
                </m:fPr>
                <m:num>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DC</m:t>
                      </m:r>
                    </m:e>
                    <m:sub>
                      <m:r>
                        <w:rPr>
                          <w:rFonts w:ascii="Cambria Math" w:hAnsi="Cambria Math" w:cstheme="majorBidi"/>
                          <w:color w:val="000000"/>
                          <w:sz w:val="18"/>
                          <w:szCs w:val="18"/>
                          <w:lang w:val="en-US" w:eastAsia="en-GB"/>
                        </w:rPr>
                        <m:t>t</m:t>
                      </m:r>
                    </m:sub>
                  </m:sSub>
                </m:num>
                <m:den>
                  <m:sSup>
                    <m:sSupPr>
                      <m:ctrlPr>
                        <w:rPr>
                          <w:rFonts w:ascii="Cambria Math" w:hAnsi="Cambria Math" w:cstheme="majorBidi"/>
                          <w:i/>
                          <w:color w:val="000000"/>
                          <w:sz w:val="18"/>
                          <w:szCs w:val="18"/>
                          <w:lang w:val="en-US" w:eastAsia="en-GB"/>
                        </w:rPr>
                      </m:ctrlPr>
                    </m:sSupPr>
                    <m:e>
                      <m:d>
                        <m:dPr>
                          <m:ctrlPr>
                            <w:rPr>
                              <w:rFonts w:ascii="Cambria Math" w:hAnsi="Cambria Math" w:cstheme="majorBidi"/>
                              <w:i/>
                              <w:color w:val="000000"/>
                              <w:sz w:val="18"/>
                              <w:szCs w:val="18"/>
                              <w:lang w:val="en-US" w:eastAsia="en-GB"/>
                            </w:rPr>
                          </m:ctrlPr>
                        </m:dPr>
                        <m:e>
                          <m:r>
                            <w:rPr>
                              <w:rFonts w:ascii="Cambria Math" w:hAnsi="Cambria Math" w:cstheme="majorBidi"/>
                              <w:color w:val="000000"/>
                              <w:sz w:val="18"/>
                              <w:szCs w:val="18"/>
                              <w:lang w:val="en-US" w:eastAsia="en-GB"/>
                            </w:rPr>
                            <m:t>1+r</m:t>
                          </m:r>
                        </m:e>
                      </m:d>
                    </m:e>
                    <m:sup>
                      <m:r>
                        <w:rPr>
                          <w:rFonts w:ascii="Cambria Math" w:hAnsi="Cambria Math" w:cstheme="majorBidi"/>
                          <w:color w:val="000000"/>
                          <w:sz w:val="18"/>
                          <w:szCs w:val="18"/>
                          <w:lang w:val="en-US" w:eastAsia="en-GB"/>
                        </w:rPr>
                        <m:t>t-</m:t>
                      </m:r>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sup>
                  </m:sSup>
                </m:den>
              </m:f>
              <m:r>
                <w:rPr>
                  <w:rFonts w:ascii="Cambria Math" w:hAnsi="Cambria Math" w:cstheme="majorBidi"/>
                  <w:color w:val="000000"/>
                  <w:sz w:val="18"/>
                  <w:szCs w:val="18"/>
                  <w:lang w:val="en-US" w:eastAsia="en-GB"/>
                </w:rPr>
                <m:t xml:space="preserve"> </m:t>
              </m:r>
            </m:e>
          </m:nary>
        </m:oMath>
      </m:oMathPara>
    </w:p>
    <w:p w14:paraId="0AACAB9A" w14:textId="46F2C56B" w:rsidR="00594F64" w:rsidRPr="00780BFD" w:rsidRDefault="00594F64" w:rsidP="00C94AF9">
      <w:pPr>
        <w:overflowPunct/>
        <w:spacing w:line="260" w:lineRule="atLeast"/>
        <w:jc w:val="both"/>
        <w:textAlignment w:val="auto"/>
        <w:rPr>
          <w:rFonts w:asciiTheme="majorBidi" w:hAnsiTheme="majorBidi" w:cstheme="majorBidi"/>
          <w:sz w:val="18"/>
          <w:szCs w:val="18"/>
          <w:lang w:val="en-US" w:eastAsia="en-GB"/>
        </w:rPr>
      </w:pPr>
      <w:r w:rsidRPr="00780BFD">
        <w:rPr>
          <w:rFonts w:asciiTheme="majorBidi" w:hAnsiTheme="majorBidi" w:cstheme="majorBidi"/>
          <w:sz w:val="18"/>
          <w:szCs w:val="18"/>
          <w:lang w:val="en-US" w:eastAsia="en-GB"/>
        </w:rPr>
        <w:t>Here, CI, R</w:t>
      </w:r>
      <w:r w:rsidR="006A1874" w:rsidRPr="00780BFD">
        <w:rPr>
          <w:rFonts w:asciiTheme="majorBidi" w:hAnsiTheme="majorBidi" w:cstheme="majorBidi"/>
          <w:sz w:val="18"/>
          <w:szCs w:val="18"/>
          <w:lang w:val="en-US" w:eastAsia="en-GB"/>
        </w:rPr>
        <w:t>,</w:t>
      </w:r>
      <w:r w:rsidRPr="00780BFD">
        <w:rPr>
          <w:rFonts w:asciiTheme="majorBidi" w:hAnsiTheme="majorBidi" w:cstheme="majorBidi"/>
          <w:sz w:val="18"/>
          <w:szCs w:val="18"/>
          <w:lang w:val="en-US" w:eastAsia="en-GB"/>
        </w:rPr>
        <w:t xml:space="preserve"> and DC refer to capital investment expenditures,</w:t>
      </w:r>
      <w:r w:rsidR="00C94AF9" w:rsidRPr="00780BFD">
        <w:rPr>
          <w:rFonts w:asciiTheme="majorBidi" w:hAnsiTheme="majorBidi" w:cstheme="majorBidi"/>
          <w:sz w:val="18"/>
          <w:szCs w:val="18"/>
          <w:lang w:val="en-US" w:eastAsia="en-GB"/>
        </w:rPr>
        <w:t xml:space="preserve"> </w:t>
      </w:r>
      <w:r w:rsidRPr="00780BFD">
        <w:rPr>
          <w:rFonts w:asciiTheme="majorBidi" w:hAnsiTheme="majorBidi" w:cstheme="majorBidi"/>
          <w:sz w:val="18"/>
          <w:szCs w:val="18"/>
          <w:lang w:val="en-US" w:eastAsia="en-GB"/>
        </w:rPr>
        <w:t>facility running expenditures and decommissioning expenditures</w:t>
      </w:r>
    </w:p>
    <w:p w14:paraId="40029D42" w14:textId="2EAF80D8" w:rsidR="00B24078" w:rsidRPr="00147719" w:rsidRDefault="00594F64" w:rsidP="00147719">
      <w:pPr>
        <w:overflowPunct/>
        <w:spacing w:line="260" w:lineRule="atLeast"/>
        <w:jc w:val="both"/>
        <w:textAlignment w:val="auto"/>
        <w:rPr>
          <w:rFonts w:asciiTheme="majorBidi" w:hAnsiTheme="majorBidi" w:cstheme="majorBidi"/>
          <w:sz w:val="18"/>
          <w:szCs w:val="18"/>
          <w:lang w:val="en-US" w:eastAsia="en-GB"/>
        </w:rPr>
      </w:pPr>
      <w:r w:rsidRPr="00780BFD">
        <w:rPr>
          <w:rFonts w:asciiTheme="majorBidi" w:hAnsiTheme="majorBidi" w:cstheme="majorBidi"/>
          <w:sz w:val="18"/>
          <w:szCs w:val="18"/>
          <w:lang w:val="en-US" w:eastAsia="en-GB"/>
        </w:rPr>
        <w:t>for the year t, respectively. Subscript 0 is for the base</w:t>
      </w:r>
      <w:r w:rsidR="00C94AF9" w:rsidRPr="00780BFD">
        <w:rPr>
          <w:rFonts w:asciiTheme="majorBidi" w:hAnsiTheme="majorBidi" w:cstheme="majorBidi"/>
          <w:sz w:val="18"/>
          <w:szCs w:val="18"/>
          <w:lang w:val="en-US" w:eastAsia="en-GB"/>
        </w:rPr>
        <w:t xml:space="preserve"> </w:t>
      </w:r>
      <w:r w:rsidRPr="00780BFD">
        <w:rPr>
          <w:rFonts w:asciiTheme="majorBidi" w:hAnsiTheme="majorBidi" w:cstheme="majorBidi"/>
          <w:sz w:val="18"/>
          <w:szCs w:val="18"/>
          <w:lang w:val="en-US" w:eastAsia="en-GB"/>
        </w:rPr>
        <w:t xml:space="preserve">year, and r is </w:t>
      </w:r>
      <w:r w:rsidR="006A1874" w:rsidRPr="00780BFD">
        <w:rPr>
          <w:rFonts w:asciiTheme="majorBidi" w:hAnsiTheme="majorBidi" w:cstheme="majorBidi"/>
          <w:sz w:val="18"/>
          <w:szCs w:val="18"/>
          <w:lang w:val="en-US" w:eastAsia="en-GB"/>
        </w:rPr>
        <w:t xml:space="preserve">the </w:t>
      </w:r>
      <w:r w:rsidRPr="00780BFD">
        <w:rPr>
          <w:rFonts w:asciiTheme="majorBidi" w:hAnsiTheme="majorBidi" w:cstheme="majorBidi"/>
          <w:sz w:val="18"/>
          <w:szCs w:val="18"/>
          <w:lang w:val="en-US" w:eastAsia="en-GB"/>
        </w:rPr>
        <w:t>real discount rate. The present value of the gross</w:t>
      </w:r>
      <w:r w:rsidR="00C94AF9" w:rsidRPr="00780BFD">
        <w:rPr>
          <w:rFonts w:asciiTheme="majorBidi" w:hAnsiTheme="majorBidi" w:cstheme="majorBidi"/>
          <w:sz w:val="18"/>
          <w:szCs w:val="18"/>
          <w:lang w:val="en-US" w:eastAsia="en-GB"/>
        </w:rPr>
        <w:t xml:space="preserve"> </w:t>
      </w:r>
      <w:r w:rsidRPr="00780BFD">
        <w:rPr>
          <w:rFonts w:asciiTheme="majorBidi" w:hAnsiTheme="majorBidi" w:cstheme="majorBidi"/>
          <w:sz w:val="18"/>
          <w:szCs w:val="18"/>
          <w:lang w:val="en-US" w:eastAsia="en-GB"/>
        </w:rPr>
        <w:t>hydrogen generation for the time t</w:t>
      </w:r>
      <w:r w:rsidRPr="00780BFD">
        <w:rPr>
          <w:rFonts w:asciiTheme="majorBidi" w:hAnsiTheme="majorBidi" w:cstheme="majorBidi"/>
          <w:sz w:val="18"/>
          <w:szCs w:val="18"/>
          <w:vertAlign w:val="subscript"/>
          <w:lang w:val="en-US" w:eastAsia="en-GB"/>
        </w:rPr>
        <w:t>0</w:t>
      </w:r>
      <w:r w:rsidRPr="00780BFD">
        <w:rPr>
          <w:rFonts w:asciiTheme="majorBidi" w:hAnsiTheme="majorBidi" w:cstheme="majorBidi"/>
          <w:sz w:val="18"/>
          <w:szCs w:val="18"/>
          <w:lang w:val="en-US" w:eastAsia="en-GB"/>
        </w:rPr>
        <w:t xml:space="preserve"> is given as follows:</w:t>
      </w:r>
      <w:r w:rsidR="00C94AF9">
        <w:rPr>
          <w:rFonts w:asciiTheme="majorBidi" w:hAnsiTheme="majorBidi" w:cstheme="majorBidi"/>
          <w:sz w:val="18"/>
          <w:szCs w:val="18"/>
          <w:lang w:val="en-US" w:eastAsia="en-GB"/>
        </w:rPr>
        <w:t xml:space="preserve"> </w:t>
      </w:r>
    </w:p>
    <w:p w14:paraId="278C996A" w14:textId="36EEC41C" w:rsidR="00B24078" w:rsidRPr="00C94AF9" w:rsidRDefault="00000000" w:rsidP="00C94AF9">
      <w:pPr>
        <w:overflowPunct/>
        <w:spacing w:line="260" w:lineRule="atLeast"/>
        <w:jc w:val="both"/>
        <w:textAlignment w:val="auto"/>
        <w:rPr>
          <w:rFonts w:asciiTheme="majorBidi" w:hAnsiTheme="majorBidi" w:cstheme="majorBidi"/>
          <w:color w:val="000000"/>
          <w:sz w:val="18"/>
          <w:szCs w:val="18"/>
          <w:lang w:val="fr-FR" w:eastAsia="en-GB"/>
        </w:rPr>
      </w:pPr>
      <m:oMathPara>
        <m:oMath>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G</m:t>
              </m:r>
            </m:e>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H</m:t>
                  </m:r>
                </m:e>
                <m:sub>
                  <m:r>
                    <w:rPr>
                      <w:rFonts w:ascii="Cambria Math" w:hAnsi="Cambria Math" w:cstheme="majorBidi"/>
                      <w:color w:val="000000"/>
                      <w:sz w:val="18"/>
                      <w:szCs w:val="18"/>
                      <w:lang w:val="en-US" w:eastAsia="en-GB"/>
                    </w:rPr>
                    <m:t>2</m:t>
                  </m:r>
                </m:sub>
              </m:sSub>
            </m:sub>
          </m:sSub>
          <m:d>
            <m:dPr>
              <m:ctrlPr>
                <w:rPr>
                  <w:rFonts w:ascii="Cambria Math" w:hAnsi="Cambria Math" w:cstheme="majorBidi"/>
                  <w:i/>
                  <w:color w:val="000000"/>
                  <w:sz w:val="18"/>
                  <w:szCs w:val="18"/>
                  <w:lang w:val="en-US" w:eastAsia="en-GB"/>
                </w:rPr>
              </m:ctrlPr>
            </m:dPr>
            <m:e>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e>
          </m:d>
          <m:r>
            <w:rPr>
              <w:rFonts w:ascii="Cambria Math" w:hAnsi="Cambria Math" w:cstheme="majorBidi"/>
              <w:color w:val="000000"/>
              <w:sz w:val="18"/>
              <w:szCs w:val="18"/>
              <w:lang w:val="en-US" w:eastAsia="en-GB"/>
            </w:rPr>
            <m:t xml:space="preserve"> = </m:t>
          </m:r>
          <m:nary>
            <m:naryPr>
              <m:chr m:val="∑"/>
              <m:limLoc m:val="undOvr"/>
              <m:ctrlPr>
                <w:rPr>
                  <w:rFonts w:ascii="Cambria Math" w:hAnsi="Cambria Math" w:cstheme="majorBidi"/>
                  <w:i/>
                  <w:color w:val="000000"/>
                  <w:sz w:val="18"/>
                  <w:szCs w:val="18"/>
                  <w:lang w:val="en-US" w:eastAsia="en-GB"/>
                </w:rPr>
              </m:ctrlPr>
            </m:naryPr>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start</m:t>
                  </m:r>
                </m:sub>
              </m:sSub>
            </m:sub>
            <m:sup>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end</m:t>
                  </m:r>
                </m:sub>
              </m:sSub>
            </m:sup>
            <m:e>
              <m:f>
                <m:fPr>
                  <m:ctrlPr>
                    <w:rPr>
                      <w:rFonts w:ascii="Cambria Math" w:hAnsi="Cambria Math" w:cstheme="majorBidi"/>
                      <w:i/>
                      <w:color w:val="000000"/>
                      <w:sz w:val="18"/>
                      <w:szCs w:val="18"/>
                      <w:lang w:val="en-US" w:eastAsia="en-GB"/>
                    </w:rPr>
                  </m:ctrlPr>
                </m:fPr>
                <m:num>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G</m:t>
                      </m:r>
                    </m:e>
                    <m:sub>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H</m:t>
                          </m:r>
                        </m:e>
                        <m:sub>
                          <m:r>
                            <w:rPr>
                              <w:rFonts w:ascii="Cambria Math" w:hAnsi="Cambria Math" w:cstheme="majorBidi"/>
                              <w:color w:val="000000"/>
                              <w:sz w:val="18"/>
                              <w:szCs w:val="18"/>
                              <w:lang w:val="en-US" w:eastAsia="en-GB"/>
                            </w:rPr>
                            <m:t>2</m:t>
                          </m:r>
                        </m:sub>
                      </m:sSub>
                    </m:sub>
                  </m:sSub>
                  <m:d>
                    <m:dPr>
                      <m:ctrlPr>
                        <w:rPr>
                          <w:rFonts w:ascii="Cambria Math" w:hAnsi="Cambria Math" w:cstheme="majorBidi"/>
                          <w:i/>
                          <w:color w:val="000000"/>
                          <w:sz w:val="18"/>
                          <w:szCs w:val="18"/>
                          <w:lang w:val="en-US" w:eastAsia="en-GB"/>
                        </w:rPr>
                      </m:ctrlPr>
                    </m:dPr>
                    <m:e>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e>
                  </m:d>
                </m:num>
                <m:den>
                  <m:sSup>
                    <m:sSupPr>
                      <m:ctrlPr>
                        <w:rPr>
                          <w:rFonts w:ascii="Cambria Math" w:hAnsi="Cambria Math" w:cstheme="majorBidi"/>
                          <w:i/>
                          <w:color w:val="000000"/>
                          <w:sz w:val="18"/>
                          <w:szCs w:val="18"/>
                          <w:lang w:val="en-US" w:eastAsia="en-GB"/>
                        </w:rPr>
                      </m:ctrlPr>
                    </m:sSupPr>
                    <m:e>
                      <m:d>
                        <m:dPr>
                          <m:ctrlPr>
                            <w:rPr>
                              <w:rFonts w:ascii="Cambria Math" w:hAnsi="Cambria Math" w:cstheme="majorBidi"/>
                              <w:i/>
                              <w:color w:val="000000"/>
                              <w:sz w:val="18"/>
                              <w:szCs w:val="18"/>
                              <w:lang w:val="en-US" w:eastAsia="en-GB"/>
                            </w:rPr>
                          </m:ctrlPr>
                        </m:dPr>
                        <m:e>
                          <m:r>
                            <w:rPr>
                              <w:rFonts w:ascii="Cambria Math" w:hAnsi="Cambria Math" w:cstheme="majorBidi"/>
                              <w:color w:val="000000"/>
                              <w:sz w:val="18"/>
                              <w:szCs w:val="18"/>
                              <w:lang w:val="en-US" w:eastAsia="en-GB"/>
                            </w:rPr>
                            <m:t>1+r</m:t>
                          </m:r>
                        </m:e>
                      </m:d>
                    </m:e>
                    <m:sup>
                      <m:r>
                        <w:rPr>
                          <w:rFonts w:ascii="Cambria Math" w:hAnsi="Cambria Math" w:cstheme="majorBidi"/>
                          <w:color w:val="000000"/>
                          <w:sz w:val="18"/>
                          <w:szCs w:val="18"/>
                          <w:lang w:val="en-US" w:eastAsia="en-GB"/>
                        </w:rPr>
                        <m:t>t-</m:t>
                      </m:r>
                      <m:sSub>
                        <m:sSubPr>
                          <m:ctrlPr>
                            <w:rPr>
                              <w:rFonts w:ascii="Cambria Math" w:hAnsi="Cambria Math" w:cstheme="majorBidi"/>
                              <w:i/>
                              <w:color w:val="000000"/>
                              <w:sz w:val="18"/>
                              <w:szCs w:val="18"/>
                              <w:lang w:val="en-US" w:eastAsia="en-GB"/>
                            </w:rPr>
                          </m:ctrlPr>
                        </m:sSubPr>
                        <m:e>
                          <m:r>
                            <w:rPr>
                              <w:rFonts w:ascii="Cambria Math" w:hAnsi="Cambria Math" w:cstheme="majorBidi"/>
                              <w:color w:val="000000"/>
                              <w:sz w:val="18"/>
                              <w:szCs w:val="18"/>
                              <w:lang w:val="en-US" w:eastAsia="en-GB"/>
                            </w:rPr>
                            <m:t>t</m:t>
                          </m:r>
                        </m:e>
                        <m:sub>
                          <m:r>
                            <w:rPr>
                              <w:rFonts w:ascii="Cambria Math" w:hAnsi="Cambria Math" w:cstheme="majorBidi"/>
                              <w:color w:val="000000"/>
                              <w:sz w:val="18"/>
                              <w:szCs w:val="18"/>
                              <w:lang w:val="en-US" w:eastAsia="en-GB"/>
                            </w:rPr>
                            <m:t>0</m:t>
                          </m:r>
                        </m:sub>
                      </m:sSub>
                    </m:sup>
                  </m:sSup>
                </m:den>
              </m:f>
              <m:r>
                <w:rPr>
                  <w:rFonts w:ascii="Cambria Math" w:hAnsi="Cambria Math" w:cstheme="majorBidi"/>
                  <w:color w:val="000000"/>
                  <w:sz w:val="18"/>
                  <w:szCs w:val="18"/>
                  <w:lang w:val="en-US" w:eastAsia="en-GB"/>
                </w:rPr>
                <m:t xml:space="preserve"> </m:t>
              </m:r>
            </m:e>
          </m:nary>
        </m:oMath>
      </m:oMathPara>
    </w:p>
    <w:p w14:paraId="7BD58231" w14:textId="3CF47468" w:rsidR="002344E7" w:rsidRDefault="00301CAE" w:rsidP="002344E7">
      <w:pPr>
        <w:pStyle w:val="Titre3"/>
      </w:pPr>
      <w:r>
        <w:t>Configuration of Nuclear Hydrogen Production</w:t>
      </w:r>
    </w:p>
    <w:p w14:paraId="33C8EB85" w14:textId="77777777" w:rsidR="00D13FE0" w:rsidRDefault="00D13FE0" w:rsidP="005E078F">
      <w:pPr>
        <w:pStyle w:val="Corpsdetexte"/>
        <w:rPr>
          <w:rFonts w:asciiTheme="majorBidi" w:hAnsiTheme="majorBidi" w:cstheme="majorBidi"/>
          <w:sz w:val="18"/>
          <w:szCs w:val="18"/>
        </w:rPr>
      </w:pPr>
      <w:r w:rsidRPr="00301CAE">
        <w:rPr>
          <w:rFonts w:asciiTheme="majorBidi" w:hAnsiTheme="majorBidi" w:cstheme="majorBidi"/>
          <w:sz w:val="18"/>
          <w:szCs w:val="18"/>
        </w:rPr>
        <w:t>The nuclear hydrogen production system consists of four major sub-systems as explained below.</w:t>
      </w:r>
    </w:p>
    <w:p w14:paraId="59EF69D9" w14:textId="77777777" w:rsidR="00D13FE0" w:rsidRDefault="00D13FE0" w:rsidP="005E078F">
      <w:pPr>
        <w:pStyle w:val="Corpsdetexte"/>
        <w:rPr>
          <w:rFonts w:asciiTheme="majorBidi" w:hAnsiTheme="majorBidi" w:cstheme="majorBidi"/>
          <w:color w:val="1C1C1C"/>
          <w:sz w:val="18"/>
          <w:szCs w:val="18"/>
          <w:shd w:val="clear" w:color="auto" w:fill="FFFFFF"/>
        </w:rPr>
      </w:pPr>
    </w:p>
    <w:p w14:paraId="3E91C64C" w14:textId="552B4F02" w:rsidR="002036DB" w:rsidRDefault="001558D5" w:rsidP="009060D8">
      <w:pPr>
        <w:pStyle w:val="Titre4"/>
        <w:numPr>
          <w:ilvl w:val="2"/>
          <w:numId w:val="33"/>
        </w:numPr>
        <w:spacing w:before="0" w:beforeAutospacing="0" w:after="0" w:afterAutospacing="0"/>
      </w:pPr>
      <w:r w:rsidRPr="001558D5">
        <w:rPr>
          <w:rFonts w:asciiTheme="majorBidi" w:hAnsiTheme="majorBidi" w:cstheme="majorBidi"/>
        </w:rPr>
        <w:t>NHSS (Nuclear Heat Supply System)</w:t>
      </w:r>
    </w:p>
    <w:p w14:paraId="24011F1C" w14:textId="5C57E0B0" w:rsidR="00BD08BA" w:rsidRPr="009060D8" w:rsidRDefault="001558D5" w:rsidP="009060D8">
      <w:pPr>
        <w:pStyle w:val="Corpsdetexte"/>
        <w:rPr>
          <w:rFonts w:asciiTheme="majorBidi" w:hAnsiTheme="majorBidi" w:cstheme="majorBidi"/>
          <w:color w:val="1C1C1C"/>
          <w:sz w:val="18"/>
          <w:szCs w:val="18"/>
          <w:shd w:val="clear" w:color="auto" w:fill="FFFFFF"/>
        </w:rPr>
      </w:pPr>
      <w:r w:rsidRPr="001558D5">
        <w:rPr>
          <w:rFonts w:asciiTheme="majorBidi" w:hAnsiTheme="majorBidi" w:cstheme="majorBidi"/>
          <w:sz w:val="18"/>
          <w:szCs w:val="18"/>
        </w:rPr>
        <w:t xml:space="preserve">NHSS is a </w:t>
      </w:r>
      <w:r w:rsidR="00514266" w:rsidRPr="00147719">
        <w:rPr>
          <w:rFonts w:asciiTheme="majorBidi" w:hAnsiTheme="majorBidi" w:cstheme="majorBidi"/>
          <w:sz w:val="18"/>
          <w:szCs w:val="18"/>
        </w:rPr>
        <w:t>GT-</w:t>
      </w:r>
      <w:r w:rsidR="00147719" w:rsidRPr="00147719">
        <w:rPr>
          <w:rFonts w:asciiTheme="majorBidi" w:hAnsiTheme="majorBidi" w:cstheme="majorBidi"/>
          <w:sz w:val="18"/>
          <w:szCs w:val="18"/>
        </w:rPr>
        <w:t>MHR</w:t>
      </w:r>
      <w:r w:rsidRPr="001558D5">
        <w:rPr>
          <w:rFonts w:asciiTheme="majorBidi" w:hAnsiTheme="majorBidi" w:cstheme="majorBidi"/>
          <w:sz w:val="18"/>
          <w:szCs w:val="18"/>
        </w:rPr>
        <w:t xml:space="preserve"> reactor with a core outlet temperature higher than </w:t>
      </w:r>
      <w:r w:rsidR="00BC083C">
        <w:rPr>
          <w:rFonts w:asciiTheme="majorBidi" w:hAnsiTheme="majorBidi" w:cstheme="majorBidi"/>
          <w:sz w:val="18"/>
          <w:szCs w:val="18"/>
        </w:rPr>
        <w:t>8</w:t>
      </w:r>
      <w:r w:rsidRPr="001558D5">
        <w:rPr>
          <w:rFonts w:asciiTheme="majorBidi" w:hAnsiTheme="majorBidi" w:cstheme="majorBidi"/>
          <w:sz w:val="18"/>
          <w:szCs w:val="18"/>
        </w:rPr>
        <w:t>50°C, which transfers energy in the form of either heat or electricity to the hydrogen production plant</w:t>
      </w:r>
      <w:r>
        <w:rPr>
          <w:rFonts w:asciiTheme="majorBidi" w:hAnsiTheme="majorBidi" w:cstheme="majorBidi"/>
          <w:sz w:val="18"/>
          <w:szCs w:val="18"/>
        </w:rPr>
        <w:t>.</w:t>
      </w:r>
    </w:p>
    <w:p w14:paraId="50EE339B" w14:textId="0E02D52E" w:rsidR="00B26D0C" w:rsidRPr="009060D8" w:rsidRDefault="00A65635" w:rsidP="009060D8">
      <w:pPr>
        <w:pStyle w:val="Titre4"/>
        <w:numPr>
          <w:ilvl w:val="2"/>
          <w:numId w:val="33"/>
        </w:numPr>
        <w:spacing w:after="0" w:afterAutospacing="0"/>
        <w:rPr>
          <w:lang w:val="it-IT"/>
        </w:rPr>
      </w:pPr>
      <w:r w:rsidRPr="009060D8">
        <w:rPr>
          <w:rFonts w:asciiTheme="majorBidi" w:hAnsiTheme="majorBidi" w:cstheme="majorBidi"/>
        </w:rPr>
        <w:t>PCS (Power Conversion System)</w:t>
      </w:r>
    </w:p>
    <w:p w14:paraId="3A0F4CB3" w14:textId="75D12FB7" w:rsidR="00B26D0C" w:rsidRDefault="00374059" w:rsidP="009060D8">
      <w:pPr>
        <w:pStyle w:val="Corpsdetexte"/>
        <w:rPr>
          <w:rFonts w:asciiTheme="majorBidi" w:hAnsiTheme="majorBidi" w:cstheme="majorBidi"/>
          <w:color w:val="1C1C1C"/>
          <w:sz w:val="18"/>
          <w:szCs w:val="18"/>
          <w:shd w:val="clear" w:color="auto" w:fill="FFFFFF"/>
        </w:rPr>
      </w:pPr>
      <w:r w:rsidRPr="00374059">
        <w:rPr>
          <w:rFonts w:asciiTheme="majorBidi" w:hAnsiTheme="majorBidi" w:cstheme="majorBidi"/>
          <w:sz w:val="18"/>
          <w:szCs w:val="18"/>
        </w:rPr>
        <w:lastRenderedPageBreak/>
        <w:t>PCS is a system that produces electricity from the high temperature heat from the reactor. PCS produces electricity using reactor high heat with gas turbine or steam turbine.</w:t>
      </w:r>
    </w:p>
    <w:p w14:paraId="10F14354" w14:textId="77777777" w:rsidR="009C63DD" w:rsidRDefault="009C63DD" w:rsidP="009C63DD">
      <w:pPr>
        <w:pStyle w:val="Corpsdetexte"/>
        <w:rPr>
          <w:iCs/>
        </w:rPr>
      </w:pPr>
    </w:p>
    <w:p w14:paraId="14C825FA" w14:textId="47935F3B" w:rsidR="007117D3" w:rsidRPr="007117D3" w:rsidRDefault="007117D3" w:rsidP="009060D8">
      <w:pPr>
        <w:jc w:val="both"/>
        <w:rPr>
          <w:rFonts w:asciiTheme="majorBidi" w:hAnsiTheme="majorBidi" w:cstheme="majorBidi"/>
          <w:i/>
          <w:iCs/>
          <w:sz w:val="20"/>
        </w:rPr>
      </w:pPr>
      <w:r w:rsidRPr="007117D3">
        <w:rPr>
          <w:rFonts w:asciiTheme="majorBidi" w:hAnsiTheme="majorBidi" w:cstheme="majorBidi"/>
          <w:i/>
          <w:iCs/>
          <w:sz w:val="20"/>
        </w:rPr>
        <w:t xml:space="preserve">2.2.3 </w:t>
      </w:r>
      <w:r w:rsidR="004A7CA9">
        <w:rPr>
          <w:rFonts w:asciiTheme="majorBidi" w:hAnsiTheme="majorBidi" w:cstheme="majorBidi"/>
          <w:i/>
          <w:iCs/>
          <w:sz w:val="20"/>
        </w:rPr>
        <w:t xml:space="preserve">    </w:t>
      </w:r>
      <w:r w:rsidRPr="007117D3">
        <w:rPr>
          <w:rFonts w:asciiTheme="majorBidi" w:hAnsiTheme="majorBidi" w:cstheme="majorBidi"/>
          <w:i/>
          <w:iCs/>
          <w:sz w:val="20"/>
        </w:rPr>
        <w:t>HTS (Heat Transport System)</w:t>
      </w:r>
    </w:p>
    <w:p w14:paraId="5D65A197" w14:textId="7489B0CB" w:rsidR="007117D3" w:rsidRDefault="007117D3" w:rsidP="007117D3">
      <w:pPr>
        <w:spacing w:line="260" w:lineRule="atLeast"/>
        <w:ind w:firstLine="567"/>
        <w:jc w:val="both"/>
        <w:rPr>
          <w:rFonts w:asciiTheme="majorBidi" w:hAnsiTheme="majorBidi" w:cstheme="majorBidi"/>
          <w:sz w:val="18"/>
          <w:szCs w:val="18"/>
        </w:rPr>
      </w:pPr>
      <w:r w:rsidRPr="007117D3">
        <w:rPr>
          <w:rFonts w:asciiTheme="majorBidi" w:hAnsiTheme="majorBidi" w:cstheme="majorBidi"/>
          <w:sz w:val="18"/>
          <w:szCs w:val="18"/>
        </w:rPr>
        <w:t xml:space="preserve">The thermal heat generated from </w:t>
      </w:r>
      <w:r w:rsidR="005D434D" w:rsidRPr="00147719">
        <w:rPr>
          <w:rFonts w:asciiTheme="majorBidi" w:hAnsiTheme="majorBidi" w:cstheme="majorBidi"/>
          <w:sz w:val="18"/>
          <w:szCs w:val="18"/>
        </w:rPr>
        <w:t>GT-</w:t>
      </w:r>
      <w:r w:rsidR="00147719" w:rsidRPr="00147719">
        <w:rPr>
          <w:rFonts w:asciiTheme="majorBidi" w:hAnsiTheme="majorBidi" w:cstheme="majorBidi"/>
          <w:sz w:val="18"/>
          <w:szCs w:val="18"/>
        </w:rPr>
        <w:t>MHR</w:t>
      </w:r>
      <w:r w:rsidRPr="007117D3">
        <w:rPr>
          <w:rFonts w:asciiTheme="majorBidi" w:hAnsiTheme="majorBidi" w:cstheme="majorBidi"/>
          <w:sz w:val="18"/>
          <w:szCs w:val="18"/>
        </w:rPr>
        <w:t xml:space="preserve"> should be transported to the SI process to be used directly in hydrogen production. The pressurized helium gas is used as a working fluid to transfer heat from </w:t>
      </w:r>
      <w:r w:rsidR="005D434D" w:rsidRPr="00147719">
        <w:rPr>
          <w:rFonts w:asciiTheme="majorBidi" w:hAnsiTheme="majorBidi" w:cstheme="majorBidi"/>
          <w:sz w:val="18"/>
          <w:szCs w:val="18"/>
        </w:rPr>
        <w:t>GT-</w:t>
      </w:r>
      <w:r w:rsidR="00147719" w:rsidRPr="00147719">
        <w:rPr>
          <w:rFonts w:asciiTheme="majorBidi" w:hAnsiTheme="majorBidi" w:cstheme="majorBidi"/>
          <w:sz w:val="18"/>
          <w:szCs w:val="18"/>
        </w:rPr>
        <w:t>MHR</w:t>
      </w:r>
      <w:r w:rsidRPr="007117D3">
        <w:rPr>
          <w:rFonts w:asciiTheme="majorBidi" w:hAnsiTheme="majorBidi" w:cstheme="majorBidi"/>
          <w:sz w:val="18"/>
          <w:szCs w:val="18"/>
        </w:rPr>
        <w:t xml:space="preserve"> to SI process through the heat transport system.</w:t>
      </w:r>
    </w:p>
    <w:p w14:paraId="66447D3D" w14:textId="77777777" w:rsidR="007117D3" w:rsidRPr="007117D3" w:rsidRDefault="007117D3" w:rsidP="007117D3">
      <w:pPr>
        <w:spacing w:line="360" w:lineRule="auto"/>
        <w:ind w:firstLine="567"/>
        <w:jc w:val="both"/>
        <w:rPr>
          <w:rFonts w:asciiTheme="majorBidi" w:hAnsiTheme="majorBidi" w:cstheme="majorBidi"/>
          <w:sz w:val="18"/>
          <w:szCs w:val="18"/>
        </w:rPr>
      </w:pPr>
    </w:p>
    <w:p w14:paraId="1EF4F96C" w14:textId="06F604EA" w:rsidR="007117D3" w:rsidRPr="007117D3" w:rsidRDefault="007117D3" w:rsidP="007117D3">
      <w:pPr>
        <w:spacing w:line="360" w:lineRule="auto"/>
        <w:jc w:val="both"/>
        <w:rPr>
          <w:rFonts w:asciiTheme="majorBidi" w:hAnsiTheme="majorBidi" w:cstheme="majorBidi"/>
          <w:i/>
          <w:iCs/>
          <w:sz w:val="20"/>
        </w:rPr>
      </w:pPr>
      <w:r w:rsidRPr="00917386">
        <w:rPr>
          <w:rFonts w:asciiTheme="majorBidi" w:hAnsiTheme="majorBidi" w:cstheme="majorBidi"/>
          <w:i/>
          <w:iCs/>
          <w:sz w:val="20"/>
        </w:rPr>
        <w:t xml:space="preserve">2.2.4 </w:t>
      </w:r>
      <w:r w:rsidR="004A7CA9" w:rsidRPr="00917386">
        <w:rPr>
          <w:rFonts w:asciiTheme="majorBidi" w:hAnsiTheme="majorBidi" w:cstheme="majorBidi"/>
          <w:i/>
          <w:iCs/>
          <w:sz w:val="20"/>
        </w:rPr>
        <w:t xml:space="preserve">    </w:t>
      </w:r>
      <w:r w:rsidRPr="00917386">
        <w:rPr>
          <w:rFonts w:asciiTheme="majorBidi" w:hAnsiTheme="majorBidi" w:cstheme="majorBidi"/>
          <w:i/>
          <w:iCs/>
          <w:sz w:val="20"/>
        </w:rPr>
        <w:t>HPS (Hydrogen Production System)</w:t>
      </w:r>
    </w:p>
    <w:p w14:paraId="6E7567E3" w14:textId="5265AF90" w:rsidR="00E1184B" w:rsidRDefault="007117D3" w:rsidP="005D3836">
      <w:pPr>
        <w:spacing w:line="260" w:lineRule="atLeast"/>
        <w:ind w:firstLine="567"/>
        <w:jc w:val="both"/>
        <w:rPr>
          <w:rFonts w:asciiTheme="majorBidi" w:hAnsiTheme="majorBidi" w:cstheme="majorBidi"/>
          <w:sz w:val="18"/>
          <w:szCs w:val="18"/>
          <w:lang w:val="en-US" w:eastAsia="en-GB"/>
        </w:rPr>
      </w:pPr>
      <w:r w:rsidRPr="007117D3">
        <w:rPr>
          <w:rFonts w:asciiTheme="majorBidi" w:hAnsiTheme="majorBidi" w:cstheme="majorBidi"/>
          <w:sz w:val="18"/>
          <w:szCs w:val="18"/>
        </w:rPr>
        <w:t>There are three potential nuclear hydrogen production processes, namely SI</w:t>
      </w:r>
      <w:r w:rsidR="004A7CA9">
        <w:rPr>
          <w:rFonts w:asciiTheme="majorBidi" w:hAnsiTheme="majorBidi" w:cstheme="majorBidi"/>
          <w:sz w:val="18"/>
          <w:szCs w:val="18"/>
        </w:rPr>
        <w:t xml:space="preserve"> </w:t>
      </w:r>
      <w:r w:rsidRPr="007117D3">
        <w:rPr>
          <w:rFonts w:asciiTheme="majorBidi" w:hAnsiTheme="majorBidi" w:cstheme="majorBidi"/>
          <w:sz w:val="18"/>
          <w:szCs w:val="18"/>
        </w:rPr>
        <w:t>(</w:t>
      </w:r>
      <w:proofErr w:type="spellStart"/>
      <w:r w:rsidRPr="007117D3">
        <w:rPr>
          <w:rFonts w:asciiTheme="majorBidi" w:hAnsiTheme="majorBidi" w:cstheme="majorBidi"/>
          <w:sz w:val="18"/>
          <w:szCs w:val="18"/>
        </w:rPr>
        <w:t>Sulfur</w:t>
      </w:r>
      <w:proofErr w:type="spellEnd"/>
      <w:r w:rsidRPr="007117D3">
        <w:rPr>
          <w:rFonts w:asciiTheme="majorBidi" w:hAnsiTheme="majorBidi" w:cstheme="majorBidi"/>
          <w:sz w:val="18"/>
          <w:szCs w:val="18"/>
        </w:rPr>
        <w:t xml:space="preserve"> Iodine) process, </w:t>
      </w:r>
      <w:r w:rsidR="004A7CA9">
        <w:rPr>
          <w:rFonts w:asciiTheme="majorBidi" w:hAnsiTheme="majorBidi" w:cstheme="majorBidi"/>
          <w:sz w:val="18"/>
          <w:szCs w:val="18"/>
        </w:rPr>
        <w:t xml:space="preserve">THE </w:t>
      </w:r>
      <w:r w:rsidRPr="007117D3">
        <w:rPr>
          <w:rFonts w:asciiTheme="majorBidi" w:hAnsiTheme="majorBidi" w:cstheme="majorBidi"/>
          <w:sz w:val="18"/>
          <w:szCs w:val="18"/>
        </w:rPr>
        <w:t>(High Temperature Electrolysis) process, and Hybrid Process.</w:t>
      </w:r>
      <w:r w:rsidR="005D3836">
        <w:rPr>
          <w:rFonts w:asciiTheme="majorBidi" w:hAnsiTheme="majorBidi" w:cstheme="majorBidi"/>
          <w:sz w:val="18"/>
          <w:szCs w:val="18"/>
        </w:rPr>
        <w:t xml:space="preserve"> </w:t>
      </w:r>
      <w:r w:rsidR="00514266" w:rsidRPr="00514266">
        <w:rPr>
          <w:rFonts w:asciiTheme="majorBidi" w:hAnsiTheme="majorBidi" w:cstheme="majorBidi"/>
          <w:sz w:val="18"/>
          <w:szCs w:val="18"/>
          <w:lang w:val="en-US" w:eastAsia="en-GB"/>
        </w:rPr>
        <w:t xml:space="preserve">The original </w:t>
      </w:r>
      <w:proofErr w:type="spellStart"/>
      <w:r w:rsidR="00514266" w:rsidRPr="00514266">
        <w:rPr>
          <w:rFonts w:asciiTheme="majorBidi" w:hAnsiTheme="majorBidi" w:cstheme="majorBidi"/>
          <w:sz w:val="18"/>
          <w:szCs w:val="18"/>
          <w:lang w:val="en-US" w:eastAsia="en-GB"/>
        </w:rPr>
        <w:t>Sulfure</w:t>
      </w:r>
      <w:proofErr w:type="spellEnd"/>
      <w:r w:rsidR="00F8704E">
        <w:rPr>
          <w:rFonts w:asciiTheme="majorBidi" w:hAnsiTheme="majorBidi" w:cstheme="majorBidi"/>
          <w:sz w:val="18"/>
          <w:szCs w:val="18"/>
          <w:lang w:val="en-US" w:eastAsia="en-GB"/>
        </w:rPr>
        <w:t>-</w:t>
      </w:r>
      <w:r w:rsidR="00514266" w:rsidRPr="00514266">
        <w:rPr>
          <w:rFonts w:asciiTheme="majorBidi" w:hAnsiTheme="majorBidi" w:cstheme="majorBidi"/>
          <w:sz w:val="18"/>
          <w:szCs w:val="18"/>
          <w:lang w:val="en-US" w:eastAsia="en-GB"/>
        </w:rPr>
        <w:t>Iodine (SI) process has been proposed by General Atomics (GA) and 75 L/h production is achieved through three key reactions.</w:t>
      </w:r>
    </w:p>
    <w:p w14:paraId="4FFD2493" w14:textId="77777777" w:rsidR="00C21EA9" w:rsidRDefault="00C21EA9" w:rsidP="00C21EA9">
      <w:pPr>
        <w:jc w:val="both"/>
        <w:rPr>
          <w:rFonts w:asciiTheme="majorBidi" w:hAnsiTheme="majorBidi" w:cstheme="majorBidi"/>
          <w:lang w:val="en-US"/>
        </w:rPr>
      </w:pPr>
    </w:p>
    <w:p w14:paraId="3015CD5D" w14:textId="778D9B72" w:rsidR="00C21EA9" w:rsidRPr="00C21EA9" w:rsidRDefault="00C21EA9" w:rsidP="005D3836">
      <w:pPr>
        <w:spacing w:line="260" w:lineRule="atLeast"/>
        <w:ind w:firstLine="567"/>
        <w:jc w:val="both"/>
        <w:rPr>
          <w:rFonts w:asciiTheme="majorBidi" w:hAnsiTheme="majorBidi" w:cstheme="majorBidi"/>
          <w:sz w:val="18"/>
          <w:szCs w:val="18"/>
          <w:lang w:val="en-US"/>
        </w:rPr>
      </w:pPr>
      <w:r w:rsidRPr="00C21EA9">
        <w:rPr>
          <w:rFonts w:asciiTheme="majorBidi" w:hAnsiTheme="majorBidi" w:cstheme="majorBidi"/>
          <w:sz w:val="18"/>
          <w:szCs w:val="18"/>
          <w:lang w:val="en-US"/>
        </w:rPr>
        <w:t>The iodine-sulfur (IS) process is selected as the candidate hydrogen production method considering its potential to produce</w:t>
      </w:r>
      <w:r>
        <w:rPr>
          <w:rFonts w:asciiTheme="majorBidi" w:hAnsiTheme="majorBidi" w:cstheme="majorBidi"/>
          <w:sz w:val="18"/>
          <w:szCs w:val="18"/>
          <w:lang w:val="en-US"/>
        </w:rPr>
        <w:t xml:space="preserve"> </w:t>
      </w:r>
      <w:r w:rsidRPr="00C21EA9">
        <w:rPr>
          <w:rFonts w:asciiTheme="majorBidi" w:hAnsiTheme="majorBidi" w:cstheme="majorBidi"/>
          <w:sz w:val="18"/>
          <w:szCs w:val="18"/>
          <w:lang w:val="en-US"/>
        </w:rPr>
        <w:t>hydrogen with high thermal efficiency from water, which does not emit CO</w:t>
      </w:r>
      <w:r w:rsidRPr="00C21EA9">
        <w:rPr>
          <w:rFonts w:asciiTheme="majorBidi" w:hAnsiTheme="majorBidi" w:cstheme="majorBidi"/>
          <w:sz w:val="18"/>
          <w:szCs w:val="18"/>
          <w:vertAlign w:val="subscript"/>
          <w:lang w:val="en-US"/>
        </w:rPr>
        <w:t>2</w:t>
      </w:r>
      <w:r w:rsidRPr="00C21EA9">
        <w:rPr>
          <w:rFonts w:asciiTheme="majorBidi" w:hAnsiTheme="majorBidi" w:cstheme="majorBidi"/>
          <w:sz w:val="18"/>
          <w:szCs w:val="18"/>
          <w:lang w:val="en-US"/>
        </w:rPr>
        <w:t xml:space="preserve"> from neither material source nor heat source. The IS process consists of the following three chemical reactions</w:t>
      </w:r>
      <w:r w:rsidR="00BD5700">
        <w:rPr>
          <w:rFonts w:asciiTheme="majorBidi" w:hAnsiTheme="majorBidi" w:cstheme="majorBidi"/>
          <w:sz w:val="18"/>
          <w:szCs w:val="18"/>
          <w:lang w:val="en-US"/>
        </w:rPr>
        <w:t xml:space="preserve"> </w:t>
      </w:r>
      <w:r w:rsidR="00BD5700" w:rsidRPr="00BD5700">
        <w:rPr>
          <w:rFonts w:asciiTheme="majorBidi" w:hAnsiTheme="majorBidi" w:cstheme="majorBidi"/>
          <w:b/>
          <w:bCs/>
          <w:sz w:val="18"/>
          <w:szCs w:val="18"/>
          <w:lang w:val="en-US"/>
        </w:rPr>
        <w:t>[12,13]</w:t>
      </w:r>
      <w:r w:rsidRPr="00C21EA9">
        <w:rPr>
          <w:rFonts w:asciiTheme="majorBidi" w:hAnsiTheme="majorBidi" w:cstheme="majorBidi"/>
          <w:sz w:val="18"/>
          <w:szCs w:val="18"/>
          <w:lang w:val="en-US"/>
        </w:rPr>
        <w:t>. H</w:t>
      </w:r>
      <w:r w:rsidRPr="00C21EA9">
        <w:rPr>
          <w:rFonts w:asciiTheme="majorBidi" w:hAnsiTheme="majorBidi" w:cstheme="majorBidi"/>
          <w:sz w:val="18"/>
          <w:szCs w:val="18"/>
          <w:vertAlign w:val="subscript"/>
          <w:lang w:val="en-US"/>
        </w:rPr>
        <w:t>2</w:t>
      </w:r>
      <w:r w:rsidRPr="00C21EA9">
        <w:rPr>
          <w:rFonts w:asciiTheme="majorBidi" w:hAnsiTheme="majorBidi" w:cstheme="majorBidi"/>
          <w:sz w:val="18"/>
          <w:szCs w:val="18"/>
          <w:lang w:val="en-US"/>
        </w:rPr>
        <w:t>O is decomposed thermally into H</w:t>
      </w:r>
      <w:r w:rsidRPr="00C21EA9">
        <w:rPr>
          <w:rFonts w:asciiTheme="majorBidi" w:hAnsiTheme="majorBidi" w:cstheme="majorBidi"/>
          <w:sz w:val="18"/>
          <w:szCs w:val="18"/>
          <w:vertAlign w:val="subscript"/>
          <w:lang w:val="en-US"/>
        </w:rPr>
        <w:t>2</w:t>
      </w:r>
      <w:r w:rsidRPr="00C21EA9">
        <w:rPr>
          <w:rFonts w:asciiTheme="majorBidi" w:hAnsiTheme="majorBidi" w:cstheme="majorBidi"/>
          <w:sz w:val="18"/>
          <w:szCs w:val="18"/>
          <w:lang w:val="en-US"/>
        </w:rPr>
        <w:t xml:space="preserve"> and O</w:t>
      </w:r>
      <w:r w:rsidRPr="00C21EA9">
        <w:rPr>
          <w:rFonts w:asciiTheme="majorBidi" w:hAnsiTheme="majorBidi" w:cstheme="majorBidi"/>
          <w:sz w:val="18"/>
          <w:szCs w:val="18"/>
          <w:vertAlign w:val="subscript"/>
          <w:lang w:val="en-US"/>
        </w:rPr>
        <w:t>2</w:t>
      </w:r>
      <w:r w:rsidRPr="00C21EA9">
        <w:rPr>
          <w:rFonts w:asciiTheme="majorBidi" w:hAnsiTheme="majorBidi" w:cstheme="majorBidi"/>
          <w:sz w:val="18"/>
          <w:szCs w:val="18"/>
          <w:lang w:val="en-US"/>
        </w:rPr>
        <w:t xml:space="preserve"> in total; iodine (I) and sulfur (S) compounds cycle within the process.</w:t>
      </w:r>
    </w:p>
    <w:p w14:paraId="4F742C38" w14:textId="77777777" w:rsidR="00C21EA9" w:rsidRPr="00C21EA9" w:rsidRDefault="00C21EA9" w:rsidP="00C21EA9">
      <w:pPr>
        <w:spacing w:line="260" w:lineRule="atLeast"/>
        <w:jc w:val="both"/>
        <w:rPr>
          <w:rFonts w:asciiTheme="majorBidi" w:hAnsiTheme="majorBidi" w:cstheme="majorBidi"/>
          <w:sz w:val="18"/>
          <w:szCs w:val="18"/>
          <w:lang w:val="en-US"/>
        </w:rPr>
      </w:pPr>
    </w:p>
    <w:p w14:paraId="36D14C77" w14:textId="77777777" w:rsidR="00C21EA9" w:rsidRPr="00C21EA9" w:rsidRDefault="00C21EA9" w:rsidP="009060D8">
      <w:pPr>
        <w:spacing w:line="260" w:lineRule="atLeast"/>
        <w:ind w:left="567"/>
        <w:jc w:val="both"/>
        <w:rPr>
          <w:rFonts w:asciiTheme="majorBidi" w:hAnsiTheme="majorBidi" w:cstheme="majorBidi"/>
          <w:sz w:val="18"/>
          <w:szCs w:val="18"/>
          <w:lang w:val="en-US"/>
        </w:rPr>
      </w:pPr>
      <w:r w:rsidRPr="00C21EA9">
        <w:rPr>
          <w:rFonts w:asciiTheme="majorBidi" w:hAnsiTheme="majorBidi" w:cstheme="majorBidi"/>
          <w:sz w:val="18"/>
          <w:szCs w:val="18"/>
          <w:lang w:val="en-US"/>
        </w:rPr>
        <w:t>I</w:t>
      </w:r>
      <w:r w:rsidRPr="00C21EA9">
        <w:rPr>
          <w:rFonts w:asciiTheme="majorBidi" w:hAnsiTheme="majorBidi" w:cstheme="majorBidi"/>
          <w:sz w:val="18"/>
          <w:szCs w:val="18"/>
          <w:vertAlign w:val="subscript"/>
          <w:lang w:val="en-US"/>
        </w:rPr>
        <w:t>2</w:t>
      </w:r>
      <w:r w:rsidRPr="00C21EA9">
        <w:rPr>
          <w:rFonts w:asciiTheme="majorBidi" w:hAnsiTheme="majorBidi" w:cstheme="majorBidi"/>
          <w:sz w:val="18"/>
          <w:szCs w:val="18"/>
          <w:lang w:val="en-US"/>
        </w:rPr>
        <w:t xml:space="preserve"> </w:t>
      </w:r>
      <w:r w:rsidRPr="00C21EA9">
        <w:rPr>
          <w:rFonts w:asciiTheme="majorBidi" w:eastAsia="STIXTwoMath" w:hAnsiTheme="majorBidi" w:cstheme="majorBidi"/>
          <w:sz w:val="18"/>
          <w:szCs w:val="18"/>
          <w:lang w:val="en-US"/>
        </w:rPr>
        <w:t xml:space="preserve">+ </w:t>
      </w:r>
      <w:r w:rsidRPr="00C21EA9">
        <w:rPr>
          <w:rFonts w:asciiTheme="majorBidi" w:hAnsiTheme="majorBidi" w:cstheme="majorBidi"/>
          <w:sz w:val="18"/>
          <w:szCs w:val="18"/>
          <w:lang w:val="en-US"/>
        </w:rPr>
        <w:t>SO</w:t>
      </w:r>
      <w:r w:rsidRPr="00C21EA9">
        <w:rPr>
          <w:rFonts w:asciiTheme="majorBidi" w:hAnsiTheme="majorBidi" w:cstheme="majorBidi"/>
          <w:sz w:val="18"/>
          <w:szCs w:val="18"/>
          <w:vertAlign w:val="subscript"/>
          <w:lang w:val="en-US"/>
        </w:rPr>
        <w:t>2</w:t>
      </w:r>
      <w:r w:rsidRPr="00C21EA9">
        <w:rPr>
          <w:rFonts w:asciiTheme="majorBidi" w:hAnsiTheme="majorBidi" w:cstheme="majorBidi"/>
          <w:sz w:val="18"/>
          <w:szCs w:val="18"/>
          <w:lang w:val="en-US"/>
        </w:rPr>
        <w:t xml:space="preserve"> </w:t>
      </w:r>
      <w:r w:rsidRPr="00C21EA9">
        <w:rPr>
          <w:rFonts w:asciiTheme="majorBidi" w:eastAsia="STIXTwoMath" w:hAnsiTheme="majorBidi" w:cstheme="majorBidi"/>
          <w:sz w:val="18"/>
          <w:szCs w:val="18"/>
          <w:lang w:val="en-US"/>
        </w:rPr>
        <w:t xml:space="preserve">+ </w:t>
      </w:r>
      <w:r w:rsidRPr="00C21EA9">
        <w:rPr>
          <w:rFonts w:asciiTheme="majorBidi" w:hAnsiTheme="majorBidi" w:cstheme="majorBidi"/>
          <w:sz w:val="18"/>
          <w:szCs w:val="18"/>
          <w:lang w:val="en-US"/>
        </w:rPr>
        <w:t>2H</w:t>
      </w:r>
      <w:r w:rsidRPr="00C21EA9">
        <w:rPr>
          <w:rFonts w:asciiTheme="majorBidi" w:hAnsiTheme="majorBidi" w:cstheme="majorBidi"/>
          <w:sz w:val="18"/>
          <w:szCs w:val="18"/>
          <w:vertAlign w:val="subscript"/>
          <w:lang w:val="en-US"/>
        </w:rPr>
        <w:t>2</w:t>
      </w:r>
      <w:r w:rsidRPr="00C21EA9">
        <w:rPr>
          <w:rFonts w:asciiTheme="majorBidi" w:hAnsiTheme="majorBidi" w:cstheme="majorBidi"/>
          <w:sz w:val="18"/>
          <w:szCs w:val="18"/>
          <w:lang w:val="en-US"/>
        </w:rPr>
        <w:t>O</w:t>
      </w:r>
      <w:r w:rsidRPr="00C21EA9">
        <w:rPr>
          <w:rFonts w:asciiTheme="majorBidi" w:eastAsia="STIXTwoMath" w:hAnsiTheme="majorBidi" w:cstheme="majorBidi"/>
          <w:sz w:val="18"/>
          <w:szCs w:val="18"/>
          <w:lang w:val="en-US"/>
        </w:rPr>
        <w:t xml:space="preserve">→ </w:t>
      </w:r>
      <w:r w:rsidRPr="00C21EA9">
        <w:rPr>
          <w:rFonts w:asciiTheme="majorBidi" w:hAnsiTheme="majorBidi" w:cstheme="majorBidi"/>
          <w:sz w:val="18"/>
          <w:szCs w:val="18"/>
          <w:lang w:val="en-US"/>
        </w:rPr>
        <w:t>H</w:t>
      </w:r>
      <w:r w:rsidRPr="00C21EA9">
        <w:rPr>
          <w:rFonts w:asciiTheme="majorBidi" w:hAnsiTheme="majorBidi" w:cstheme="majorBidi"/>
          <w:sz w:val="18"/>
          <w:szCs w:val="18"/>
          <w:vertAlign w:val="subscript"/>
          <w:lang w:val="en-US"/>
        </w:rPr>
        <w:t>2</w:t>
      </w:r>
      <w:r w:rsidRPr="00C21EA9">
        <w:rPr>
          <w:rFonts w:asciiTheme="majorBidi" w:hAnsiTheme="majorBidi" w:cstheme="majorBidi"/>
          <w:sz w:val="18"/>
          <w:szCs w:val="18"/>
          <w:lang w:val="en-US"/>
        </w:rPr>
        <w:t>SO</w:t>
      </w:r>
      <w:r w:rsidRPr="00C21EA9">
        <w:rPr>
          <w:rFonts w:asciiTheme="majorBidi" w:hAnsiTheme="majorBidi" w:cstheme="majorBidi"/>
          <w:sz w:val="18"/>
          <w:szCs w:val="18"/>
          <w:vertAlign w:val="subscript"/>
          <w:lang w:val="en-US"/>
        </w:rPr>
        <w:t>4</w:t>
      </w:r>
      <w:r w:rsidRPr="00C21EA9">
        <w:rPr>
          <w:rFonts w:asciiTheme="majorBidi" w:hAnsiTheme="majorBidi" w:cstheme="majorBidi"/>
          <w:sz w:val="18"/>
          <w:szCs w:val="18"/>
          <w:lang w:val="en-US"/>
        </w:rPr>
        <w:t xml:space="preserve"> </w:t>
      </w:r>
      <w:r w:rsidRPr="00C21EA9">
        <w:rPr>
          <w:rFonts w:asciiTheme="majorBidi" w:eastAsia="STIXTwoMath" w:hAnsiTheme="majorBidi" w:cstheme="majorBidi"/>
          <w:sz w:val="18"/>
          <w:szCs w:val="18"/>
          <w:lang w:val="en-US"/>
        </w:rPr>
        <w:t xml:space="preserve">+ </w:t>
      </w:r>
      <w:r w:rsidRPr="00C21EA9">
        <w:rPr>
          <w:rFonts w:asciiTheme="majorBidi" w:hAnsiTheme="majorBidi" w:cstheme="majorBidi"/>
          <w:sz w:val="18"/>
          <w:szCs w:val="18"/>
          <w:lang w:val="en-US"/>
        </w:rPr>
        <w:t>2HI (Bunsen reaction)</w:t>
      </w:r>
    </w:p>
    <w:p w14:paraId="166F4F32" w14:textId="77777777" w:rsidR="00C21EA9" w:rsidRPr="00C21EA9" w:rsidRDefault="00C21EA9" w:rsidP="009060D8">
      <w:pPr>
        <w:spacing w:line="260" w:lineRule="atLeast"/>
        <w:ind w:left="567"/>
        <w:jc w:val="both"/>
        <w:rPr>
          <w:rFonts w:asciiTheme="majorBidi" w:hAnsiTheme="majorBidi" w:cstheme="majorBidi"/>
          <w:sz w:val="18"/>
          <w:szCs w:val="18"/>
          <w:lang w:val="it-IT"/>
        </w:rPr>
      </w:pPr>
      <w:r w:rsidRPr="00C21EA9">
        <w:rPr>
          <w:rFonts w:asciiTheme="majorBidi" w:hAnsiTheme="majorBidi" w:cstheme="majorBidi"/>
          <w:sz w:val="18"/>
          <w:szCs w:val="18"/>
          <w:lang w:val="it-IT"/>
        </w:rPr>
        <w:t>H</w:t>
      </w:r>
      <w:r w:rsidRPr="00C21EA9">
        <w:rPr>
          <w:rFonts w:asciiTheme="majorBidi" w:hAnsiTheme="majorBidi" w:cstheme="majorBidi"/>
          <w:sz w:val="18"/>
          <w:szCs w:val="18"/>
          <w:vertAlign w:val="subscript"/>
          <w:lang w:val="it-IT"/>
        </w:rPr>
        <w:t>2</w:t>
      </w:r>
      <w:r w:rsidRPr="00C21EA9">
        <w:rPr>
          <w:rFonts w:asciiTheme="majorBidi" w:hAnsiTheme="majorBidi" w:cstheme="majorBidi"/>
          <w:sz w:val="18"/>
          <w:szCs w:val="18"/>
          <w:lang w:val="it-IT"/>
        </w:rPr>
        <w:t>SO</w:t>
      </w:r>
      <w:r w:rsidRPr="00C21EA9">
        <w:rPr>
          <w:rFonts w:asciiTheme="majorBidi" w:hAnsiTheme="majorBidi" w:cstheme="majorBidi"/>
          <w:sz w:val="18"/>
          <w:szCs w:val="18"/>
          <w:vertAlign w:val="subscript"/>
          <w:lang w:val="it-IT"/>
        </w:rPr>
        <w:t>4</w:t>
      </w:r>
      <w:r w:rsidRPr="00C21EA9">
        <w:rPr>
          <w:rFonts w:asciiTheme="majorBidi" w:hAnsiTheme="majorBidi" w:cstheme="majorBidi"/>
          <w:sz w:val="18"/>
          <w:szCs w:val="18"/>
          <w:lang w:val="it-IT"/>
        </w:rPr>
        <w:t xml:space="preserve"> </w:t>
      </w:r>
      <w:r w:rsidRPr="00C21EA9">
        <w:rPr>
          <w:rFonts w:asciiTheme="majorBidi" w:eastAsia="STIXTwoMath" w:hAnsiTheme="majorBidi" w:cstheme="majorBidi"/>
          <w:sz w:val="18"/>
          <w:szCs w:val="18"/>
          <w:lang w:val="it-IT"/>
        </w:rPr>
        <w:t xml:space="preserve">→ </w:t>
      </w:r>
      <w:r w:rsidRPr="00C21EA9">
        <w:rPr>
          <w:rFonts w:asciiTheme="majorBidi" w:hAnsiTheme="majorBidi" w:cstheme="majorBidi"/>
          <w:sz w:val="18"/>
          <w:szCs w:val="18"/>
          <w:lang w:val="it-IT"/>
        </w:rPr>
        <w:t>H</w:t>
      </w:r>
      <w:r w:rsidRPr="00C21EA9">
        <w:rPr>
          <w:rFonts w:asciiTheme="majorBidi" w:hAnsiTheme="majorBidi" w:cstheme="majorBidi"/>
          <w:sz w:val="18"/>
          <w:szCs w:val="18"/>
          <w:vertAlign w:val="subscript"/>
          <w:lang w:val="it-IT"/>
        </w:rPr>
        <w:t>2</w:t>
      </w:r>
      <w:r w:rsidRPr="00C21EA9">
        <w:rPr>
          <w:rFonts w:asciiTheme="majorBidi" w:hAnsiTheme="majorBidi" w:cstheme="majorBidi"/>
          <w:sz w:val="18"/>
          <w:szCs w:val="18"/>
          <w:lang w:val="it-IT"/>
        </w:rPr>
        <w:t>O</w:t>
      </w:r>
      <w:r w:rsidRPr="00C21EA9">
        <w:rPr>
          <w:rFonts w:asciiTheme="majorBidi" w:eastAsia="STIXTwoMath" w:hAnsiTheme="majorBidi" w:cstheme="majorBidi"/>
          <w:sz w:val="18"/>
          <w:szCs w:val="18"/>
          <w:lang w:val="it-IT"/>
        </w:rPr>
        <w:t xml:space="preserve">+ </w:t>
      </w:r>
      <w:r w:rsidRPr="00C21EA9">
        <w:rPr>
          <w:rFonts w:asciiTheme="majorBidi" w:hAnsiTheme="majorBidi" w:cstheme="majorBidi"/>
          <w:sz w:val="18"/>
          <w:szCs w:val="18"/>
          <w:lang w:val="it-IT"/>
        </w:rPr>
        <w:t>SO</w:t>
      </w:r>
      <w:r w:rsidRPr="00C21EA9">
        <w:rPr>
          <w:rFonts w:asciiTheme="majorBidi" w:hAnsiTheme="majorBidi" w:cstheme="majorBidi"/>
          <w:sz w:val="18"/>
          <w:szCs w:val="18"/>
          <w:vertAlign w:val="subscript"/>
          <w:lang w:val="it-IT"/>
        </w:rPr>
        <w:t>2</w:t>
      </w:r>
      <w:r w:rsidRPr="00C21EA9">
        <w:rPr>
          <w:rFonts w:asciiTheme="majorBidi" w:hAnsiTheme="majorBidi" w:cstheme="majorBidi"/>
          <w:sz w:val="18"/>
          <w:szCs w:val="18"/>
          <w:lang w:val="it-IT"/>
        </w:rPr>
        <w:t xml:space="preserve"> </w:t>
      </w:r>
      <w:r w:rsidRPr="00C21EA9">
        <w:rPr>
          <w:rFonts w:asciiTheme="majorBidi" w:eastAsia="STIXTwoMath" w:hAnsiTheme="majorBidi" w:cstheme="majorBidi"/>
          <w:sz w:val="18"/>
          <w:szCs w:val="18"/>
          <w:lang w:val="it-IT"/>
        </w:rPr>
        <w:t xml:space="preserve">+ </w:t>
      </w:r>
      <w:r w:rsidRPr="00C21EA9">
        <w:rPr>
          <w:rFonts w:asciiTheme="majorBidi" w:hAnsiTheme="majorBidi" w:cstheme="majorBidi"/>
          <w:sz w:val="18"/>
          <w:szCs w:val="18"/>
          <w:lang w:val="it-IT"/>
        </w:rPr>
        <w:t>0.5O</w:t>
      </w:r>
      <w:r w:rsidRPr="00C21EA9">
        <w:rPr>
          <w:rFonts w:asciiTheme="majorBidi" w:hAnsiTheme="majorBidi" w:cstheme="majorBidi"/>
          <w:sz w:val="18"/>
          <w:szCs w:val="18"/>
          <w:vertAlign w:val="subscript"/>
          <w:lang w:val="it-IT"/>
        </w:rPr>
        <w:t>2</w:t>
      </w:r>
    </w:p>
    <w:p w14:paraId="473DDC19" w14:textId="77777777" w:rsidR="00C21EA9" w:rsidRPr="00C21EA9" w:rsidRDefault="00C21EA9" w:rsidP="009060D8">
      <w:pPr>
        <w:spacing w:line="260" w:lineRule="atLeast"/>
        <w:ind w:left="567"/>
        <w:jc w:val="both"/>
        <w:rPr>
          <w:rFonts w:asciiTheme="majorBidi" w:hAnsiTheme="majorBidi" w:cstheme="majorBidi"/>
          <w:sz w:val="18"/>
          <w:szCs w:val="18"/>
          <w:lang w:val="it-IT"/>
        </w:rPr>
      </w:pPr>
      <w:r w:rsidRPr="00C21EA9">
        <w:rPr>
          <w:rFonts w:asciiTheme="majorBidi" w:hAnsiTheme="majorBidi" w:cstheme="majorBidi"/>
          <w:sz w:val="18"/>
          <w:szCs w:val="18"/>
          <w:lang w:val="it-IT"/>
        </w:rPr>
        <w:t xml:space="preserve">2HI </w:t>
      </w:r>
      <w:r w:rsidRPr="00C21EA9">
        <w:rPr>
          <w:rFonts w:asciiTheme="majorBidi" w:eastAsia="STIXTwoMath" w:hAnsiTheme="majorBidi" w:cstheme="majorBidi"/>
          <w:sz w:val="18"/>
          <w:szCs w:val="18"/>
          <w:lang w:val="it-IT"/>
        </w:rPr>
        <w:t xml:space="preserve">→ </w:t>
      </w:r>
      <w:r w:rsidRPr="00C21EA9">
        <w:rPr>
          <w:rFonts w:asciiTheme="majorBidi" w:hAnsiTheme="majorBidi" w:cstheme="majorBidi"/>
          <w:sz w:val="18"/>
          <w:szCs w:val="18"/>
          <w:lang w:val="it-IT"/>
        </w:rPr>
        <w:t>H</w:t>
      </w:r>
      <w:r w:rsidRPr="00C21EA9">
        <w:rPr>
          <w:rFonts w:asciiTheme="majorBidi" w:hAnsiTheme="majorBidi" w:cstheme="majorBidi"/>
          <w:sz w:val="18"/>
          <w:szCs w:val="18"/>
          <w:vertAlign w:val="subscript"/>
          <w:lang w:val="it-IT"/>
        </w:rPr>
        <w:t>2</w:t>
      </w:r>
      <w:r w:rsidRPr="00C21EA9">
        <w:rPr>
          <w:rFonts w:asciiTheme="majorBidi" w:hAnsiTheme="majorBidi" w:cstheme="majorBidi"/>
          <w:sz w:val="18"/>
          <w:szCs w:val="18"/>
          <w:lang w:val="it-IT"/>
        </w:rPr>
        <w:t xml:space="preserve"> </w:t>
      </w:r>
      <w:r w:rsidRPr="00C21EA9">
        <w:rPr>
          <w:rFonts w:asciiTheme="majorBidi" w:eastAsia="STIXTwoMath" w:hAnsiTheme="majorBidi" w:cstheme="majorBidi"/>
          <w:sz w:val="18"/>
          <w:szCs w:val="18"/>
          <w:lang w:val="it-IT"/>
        </w:rPr>
        <w:t xml:space="preserve">+ </w:t>
      </w:r>
      <w:r w:rsidRPr="00C21EA9">
        <w:rPr>
          <w:rFonts w:asciiTheme="majorBidi" w:hAnsiTheme="majorBidi" w:cstheme="majorBidi"/>
          <w:sz w:val="18"/>
          <w:szCs w:val="18"/>
          <w:lang w:val="it-IT"/>
        </w:rPr>
        <w:t>I</w:t>
      </w:r>
      <w:r w:rsidRPr="00C21EA9">
        <w:rPr>
          <w:rFonts w:asciiTheme="majorBidi" w:hAnsiTheme="majorBidi" w:cstheme="majorBidi"/>
          <w:sz w:val="18"/>
          <w:szCs w:val="18"/>
          <w:vertAlign w:val="subscript"/>
          <w:lang w:val="it-IT"/>
        </w:rPr>
        <w:t>2</w:t>
      </w:r>
    </w:p>
    <w:p w14:paraId="4333B613" w14:textId="1DB27999" w:rsidR="00514266" w:rsidRPr="001421F0" w:rsidRDefault="00C21EA9" w:rsidP="001421F0">
      <w:pPr>
        <w:spacing w:line="260" w:lineRule="atLeast"/>
        <w:ind w:firstLine="567"/>
        <w:jc w:val="both"/>
        <w:rPr>
          <w:rFonts w:asciiTheme="majorBidi" w:hAnsiTheme="majorBidi" w:cstheme="majorBidi"/>
          <w:sz w:val="18"/>
          <w:szCs w:val="18"/>
          <w:lang w:val="en-US"/>
        </w:rPr>
      </w:pPr>
      <w:r w:rsidRPr="00C21EA9">
        <w:rPr>
          <w:rFonts w:asciiTheme="majorBidi" w:hAnsiTheme="majorBidi" w:cstheme="majorBidi"/>
          <w:sz w:val="18"/>
          <w:szCs w:val="18"/>
          <w:lang w:val="en-US"/>
        </w:rPr>
        <w:t>The highest temperature requirement in the process is 800-900 °C for H</w:t>
      </w:r>
      <w:r w:rsidRPr="00C21EA9">
        <w:rPr>
          <w:rFonts w:asciiTheme="majorBidi" w:hAnsiTheme="majorBidi" w:cstheme="majorBidi"/>
          <w:sz w:val="18"/>
          <w:szCs w:val="18"/>
          <w:vertAlign w:val="subscript"/>
          <w:lang w:val="en-US"/>
        </w:rPr>
        <w:t>2</w:t>
      </w:r>
      <w:r w:rsidRPr="00C21EA9">
        <w:rPr>
          <w:rFonts w:asciiTheme="majorBidi" w:hAnsiTheme="majorBidi" w:cstheme="majorBidi"/>
          <w:sz w:val="18"/>
          <w:szCs w:val="18"/>
          <w:lang w:val="en-US"/>
        </w:rPr>
        <w:t>SO</w:t>
      </w:r>
      <w:r w:rsidRPr="00C21EA9">
        <w:rPr>
          <w:rFonts w:asciiTheme="majorBidi" w:hAnsiTheme="majorBidi" w:cstheme="majorBidi"/>
          <w:sz w:val="18"/>
          <w:szCs w:val="18"/>
          <w:vertAlign w:val="subscript"/>
          <w:lang w:val="en-US"/>
        </w:rPr>
        <w:t>4</w:t>
      </w:r>
      <w:r w:rsidRPr="00C21EA9">
        <w:rPr>
          <w:rFonts w:asciiTheme="majorBidi" w:hAnsiTheme="majorBidi" w:cstheme="majorBidi"/>
          <w:sz w:val="18"/>
          <w:szCs w:val="18"/>
          <w:lang w:val="en-US"/>
        </w:rPr>
        <w:t xml:space="preserve"> decomposition. The demand matches the maximum temperature of the GT-MHR helium coolant of 850 °C.</w:t>
      </w:r>
    </w:p>
    <w:p w14:paraId="79C3A7C4" w14:textId="4C1BBFFB" w:rsidR="009C63DD" w:rsidRDefault="00F5085C" w:rsidP="009C63DD">
      <w:pPr>
        <w:pStyle w:val="Titre3"/>
      </w:pPr>
      <w:r>
        <w:t>Input data in HEEP software</w:t>
      </w:r>
    </w:p>
    <w:p w14:paraId="0698724E" w14:textId="2C484F4D" w:rsidR="0023268A" w:rsidRPr="0023268A" w:rsidRDefault="0023268A" w:rsidP="0023268A">
      <w:pPr>
        <w:spacing w:after="240"/>
        <w:rPr>
          <w:rFonts w:asciiTheme="majorBidi" w:hAnsiTheme="majorBidi" w:cstheme="majorBidi"/>
          <w:i/>
          <w:iCs/>
          <w:sz w:val="20"/>
        </w:rPr>
      </w:pPr>
      <w:r>
        <w:rPr>
          <w:rFonts w:asciiTheme="majorBidi" w:hAnsiTheme="majorBidi" w:cstheme="majorBidi"/>
          <w:i/>
          <w:iCs/>
          <w:sz w:val="20"/>
        </w:rPr>
        <w:t>2.</w:t>
      </w:r>
      <w:r w:rsidR="00910E62">
        <w:rPr>
          <w:rFonts w:asciiTheme="majorBidi" w:hAnsiTheme="majorBidi" w:cstheme="majorBidi"/>
          <w:i/>
          <w:iCs/>
          <w:sz w:val="20"/>
        </w:rPr>
        <w:t>4</w:t>
      </w:r>
      <w:r w:rsidRPr="0023268A">
        <w:rPr>
          <w:rFonts w:asciiTheme="majorBidi" w:hAnsiTheme="majorBidi" w:cstheme="majorBidi"/>
          <w:i/>
          <w:iCs/>
          <w:sz w:val="20"/>
        </w:rPr>
        <w:t>.1 Model Nuclear Hydrogen Production Plant</w:t>
      </w:r>
    </w:p>
    <w:p w14:paraId="7B8F2061" w14:textId="518B2983" w:rsidR="00CA7074" w:rsidRPr="005E2DC9" w:rsidRDefault="0023268A" w:rsidP="00A85BF5">
      <w:pPr>
        <w:spacing w:line="260" w:lineRule="atLeast"/>
        <w:ind w:firstLine="567"/>
        <w:jc w:val="both"/>
        <w:rPr>
          <w:rFonts w:asciiTheme="majorBidi" w:hAnsiTheme="majorBidi" w:cstheme="majorBidi"/>
          <w:sz w:val="20"/>
        </w:rPr>
      </w:pPr>
      <w:r w:rsidRPr="00B92C78">
        <w:rPr>
          <w:rFonts w:asciiTheme="majorBidi" w:hAnsiTheme="majorBidi" w:cstheme="majorBidi"/>
          <w:sz w:val="20"/>
        </w:rPr>
        <w:t>The four</w:t>
      </w:r>
      <w:r w:rsidRPr="005E2DC9">
        <w:rPr>
          <w:rFonts w:asciiTheme="majorBidi" w:hAnsiTheme="majorBidi" w:cstheme="majorBidi"/>
          <w:sz w:val="20"/>
        </w:rPr>
        <w:t xml:space="preserve"> prismatic modular reactors coupled with SI cycle (</w:t>
      </w:r>
      <w:r w:rsidR="005D434D" w:rsidRPr="005E2DC9">
        <w:rPr>
          <w:rFonts w:asciiTheme="majorBidi" w:hAnsiTheme="majorBidi" w:cstheme="majorBidi"/>
          <w:sz w:val="20"/>
        </w:rPr>
        <w:t>GT-</w:t>
      </w:r>
      <w:r w:rsidR="00147719" w:rsidRPr="005E2DC9">
        <w:rPr>
          <w:rFonts w:asciiTheme="majorBidi" w:hAnsiTheme="majorBidi" w:cstheme="majorBidi"/>
          <w:sz w:val="20"/>
        </w:rPr>
        <w:t>MHR</w:t>
      </w:r>
      <w:r w:rsidRPr="005E2DC9">
        <w:rPr>
          <w:rFonts w:asciiTheme="majorBidi" w:hAnsiTheme="majorBidi" w:cstheme="majorBidi"/>
          <w:sz w:val="20"/>
        </w:rPr>
        <w:t xml:space="preserve">, </w:t>
      </w:r>
      <w:r w:rsidR="00810546" w:rsidRPr="00B92C78">
        <w:rPr>
          <w:rFonts w:asciiTheme="majorBidi" w:hAnsiTheme="majorBidi" w:cstheme="majorBidi"/>
          <w:sz w:val="20"/>
        </w:rPr>
        <w:t>4</w:t>
      </w:r>
      <w:r w:rsidRPr="00B92C78">
        <w:rPr>
          <w:rFonts w:asciiTheme="majorBidi" w:eastAsia="Batang" w:hAnsiTheme="majorBidi" w:cstheme="majorBidi"/>
          <w:sz w:val="20"/>
        </w:rPr>
        <w:t>ⅹ</w:t>
      </w:r>
      <w:r w:rsidRPr="00B92C78">
        <w:rPr>
          <w:rFonts w:asciiTheme="majorBidi" w:hAnsiTheme="majorBidi" w:cstheme="majorBidi"/>
          <w:sz w:val="20"/>
        </w:rPr>
        <w:t>600MWth</w:t>
      </w:r>
      <w:r w:rsidRPr="005E2DC9">
        <w:rPr>
          <w:rFonts w:asciiTheme="majorBidi" w:hAnsiTheme="majorBidi" w:cstheme="majorBidi"/>
          <w:sz w:val="20"/>
        </w:rPr>
        <w:t>) were chosen as a nuclear hydrogen production plant model for the L</w:t>
      </w:r>
      <w:r w:rsidR="00D03F81" w:rsidRPr="005E2DC9">
        <w:rPr>
          <w:rFonts w:asciiTheme="majorBidi" w:hAnsiTheme="majorBidi" w:cstheme="majorBidi"/>
          <w:sz w:val="20"/>
        </w:rPr>
        <w:t>CP</w:t>
      </w:r>
      <w:r w:rsidRPr="005E2DC9">
        <w:rPr>
          <w:rFonts w:asciiTheme="majorBidi" w:hAnsiTheme="majorBidi" w:cstheme="majorBidi"/>
          <w:sz w:val="20"/>
        </w:rPr>
        <w:t xml:space="preserve"> calculation using HEEP software. The specifications of the nuclear hydrogen production plant are shown in </w:t>
      </w:r>
      <w:r w:rsidRPr="005E2DC9">
        <w:rPr>
          <w:rFonts w:asciiTheme="majorBidi" w:hAnsiTheme="majorBidi" w:cstheme="majorBidi"/>
          <w:b/>
          <w:bCs/>
          <w:sz w:val="20"/>
        </w:rPr>
        <w:t>Table 1</w:t>
      </w:r>
      <w:r w:rsidRPr="005E2DC9">
        <w:rPr>
          <w:rFonts w:asciiTheme="majorBidi" w:hAnsiTheme="majorBidi" w:cstheme="majorBidi"/>
          <w:sz w:val="20"/>
        </w:rPr>
        <w:t>.</w:t>
      </w:r>
      <w:r w:rsidR="00A85BF5" w:rsidRPr="005E2DC9">
        <w:rPr>
          <w:rFonts w:asciiTheme="majorBidi" w:hAnsiTheme="majorBidi" w:cstheme="majorBidi"/>
          <w:sz w:val="20"/>
        </w:rPr>
        <w:t xml:space="preserve"> </w:t>
      </w:r>
      <w:r w:rsidRPr="005E2DC9">
        <w:rPr>
          <w:rFonts w:asciiTheme="majorBidi" w:hAnsiTheme="majorBidi" w:cstheme="majorBidi"/>
          <w:sz w:val="20"/>
        </w:rPr>
        <w:t xml:space="preserve">The hydrogen production rate for </w:t>
      </w:r>
      <w:r w:rsidRPr="00B92C78">
        <w:rPr>
          <w:rFonts w:asciiTheme="majorBidi" w:hAnsiTheme="majorBidi" w:cstheme="majorBidi"/>
          <w:sz w:val="20"/>
        </w:rPr>
        <w:t>four</w:t>
      </w:r>
      <w:r w:rsidRPr="005E2DC9">
        <w:rPr>
          <w:rFonts w:asciiTheme="majorBidi" w:hAnsiTheme="majorBidi" w:cstheme="majorBidi"/>
          <w:sz w:val="20"/>
        </w:rPr>
        <w:t xml:space="preserve"> 600MWth prismatic modular reactors is calculated to be about 7.2 kg/s (2</w:t>
      </w:r>
      <w:r w:rsidR="00086E0B">
        <w:rPr>
          <w:rFonts w:asciiTheme="majorBidi" w:hAnsiTheme="majorBidi" w:cstheme="majorBidi"/>
          <w:sz w:val="20"/>
        </w:rPr>
        <w:t>05</w:t>
      </w:r>
      <w:r w:rsidRPr="005E2DC9">
        <w:rPr>
          <w:rFonts w:asciiTheme="majorBidi" w:hAnsiTheme="majorBidi" w:cstheme="majorBidi"/>
          <w:sz w:val="20"/>
        </w:rPr>
        <w:t>,000 tons/year), assuming a plant capacity factor of 0.9 and thermal efficiency of 48 %.</w:t>
      </w:r>
    </w:p>
    <w:p w14:paraId="6FF04A09" w14:textId="282AFE50" w:rsidR="00CA7074" w:rsidRPr="00CA7074" w:rsidRDefault="00CA7074" w:rsidP="00CA7074">
      <w:pPr>
        <w:spacing w:before="240" w:after="240"/>
        <w:rPr>
          <w:rFonts w:asciiTheme="majorBidi" w:hAnsiTheme="majorBidi" w:cstheme="majorBidi"/>
          <w:i/>
          <w:iCs/>
          <w:sz w:val="20"/>
        </w:rPr>
      </w:pPr>
      <w:r>
        <w:rPr>
          <w:rFonts w:asciiTheme="majorBidi" w:hAnsiTheme="majorBidi" w:cstheme="majorBidi"/>
          <w:i/>
          <w:iCs/>
          <w:sz w:val="20"/>
        </w:rPr>
        <w:t>2.</w:t>
      </w:r>
      <w:r w:rsidR="00910E62">
        <w:rPr>
          <w:rFonts w:asciiTheme="majorBidi" w:hAnsiTheme="majorBidi" w:cstheme="majorBidi"/>
          <w:i/>
          <w:iCs/>
          <w:sz w:val="20"/>
        </w:rPr>
        <w:t>4</w:t>
      </w:r>
      <w:r w:rsidRPr="00CA7074">
        <w:rPr>
          <w:rFonts w:asciiTheme="majorBidi" w:hAnsiTheme="majorBidi" w:cstheme="majorBidi"/>
          <w:i/>
          <w:iCs/>
          <w:sz w:val="20"/>
        </w:rPr>
        <w:t>.2 Input Data to HEEP Software</w:t>
      </w:r>
    </w:p>
    <w:p w14:paraId="5D3F6A83" w14:textId="6D60D60B" w:rsidR="00CA7074" w:rsidRPr="005E2DC9" w:rsidRDefault="00CA7074" w:rsidP="00A80441">
      <w:pPr>
        <w:spacing w:line="260" w:lineRule="atLeast"/>
        <w:ind w:firstLine="567"/>
        <w:jc w:val="both"/>
        <w:rPr>
          <w:rFonts w:asciiTheme="majorBidi" w:hAnsiTheme="majorBidi" w:cstheme="majorBidi"/>
          <w:sz w:val="20"/>
        </w:rPr>
      </w:pPr>
      <w:r w:rsidRPr="005E2DC9">
        <w:rPr>
          <w:rFonts w:asciiTheme="majorBidi" w:hAnsiTheme="majorBidi" w:cstheme="majorBidi"/>
          <w:sz w:val="20"/>
        </w:rPr>
        <w:t xml:space="preserve">The </w:t>
      </w:r>
      <w:r w:rsidR="00C87775" w:rsidRPr="005E2DC9">
        <w:rPr>
          <w:rFonts w:asciiTheme="majorBidi" w:hAnsiTheme="majorBidi" w:cstheme="majorBidi"/>
          <w:sz w:val="20"/>
          <w:shd w:val="clear" w:color="auto" w:fill="FFFFFF"/>
        </w:rPr>
        <w:t>Levelized cost of Hydrogen (LCOH)</w:t>
      </w:r>
      <w:r w:rsidR="00752E58" w:rsidRPr="005E2DC9">
        <w:rPr>
          <w:rFonts w:asciiTheme="majorBidi" w:hAnsiTheme="majorBidi" w:cstheme="majorBidi"/>
          <w:color w:val="1C1C1C"/>
          <w:sz w:val="20"/>
          <w:shd w:val="clear" w:color="auto" w:fill="FFFFFF"/>
        </w:rPr>
        <w:t xml:space="preserve"> </w:t>
      </w:r>
      <w:r w:rsidRPr="005E2DC9">
        <w:rPr>
          <w:rFonts w:asciiTheme="majorBidi" w:hAnsiTheme="majorBidi" w:cstheme="majorBidi"/>
          <w:sz w:val="20"/>
        </w:rPr>
        <w:t xml:space="preserve">was calculated using HEEP software. The costs for nuclear hydrogen production plant are summarized on an annual basis in </w:t>
      </w:r>
      <w:r w:rsidRPr="005E2DC9">
        <w:rPr>
          <w:rFonts w:asciiTheme="majorBidi" w:hAnsiTheme="majorBidi" w:cstheme="majorBidi"/>
          <w:b/>
          <w:bCs/>
          <w:sz w:val="20"/>
        </w:rPr>
        <w:t>Table 2</w:t>
      </w:r>
      <w:r w:rsidRPr="005E2DC9">
        <w:rPr>
          <w:rFonts w:asciiTheme="majorBidi" w:hAnsiTheme="majorBidi" w:cstheme="majorBidi"/>
          <w:sz w:val="20"/>
        </w:rPr>
        <w:t xml:space="preserve"> and this will be used as an input to the HEEP software to </w:t>
      </w:r>
      <w:r w:rsidRPr="00A80441">
        <w:rPr>
          <w:rFonts w:asciiTheme="majorBidi" w:hAnsiTheme="majorBidi" w:cstheme="majorBidi"/>
          <w:sz w:val="20"/>
        </w:rPr>
        <w:t xml:space="preserve">calculate </w:t>
      </w:r>
      <w:r w:rsidR="00752E58" w:rsidRPr="00A80441">
        <w:rPr>
          <w:rFonts w:asciiTheme="majorBidi" w:hAnsiTheme="majorBidi" w:cstheme="majorBidi"/>
          <w:color w:val="1C1C1C"/>
          <w:sz w:val="20"/>
          <w:shd w:val="clear" w:color="auto" w:fill="FFFFFF"/>
        </w:rPr>
        <w:t>LC</w:t>
      </w:r>
      <w:r w:rsidR="00C87775" w:rsidRPr="00A80441">
        <w:rPr>
          <w:rFonts w:asciiTheme="majorBidi" w:hAnsiTheme="majorBidi" w:cstheme="majorBidi"/>
          <w:color w:val="1C1C1C"/>
          <w:sz w:val="20"/>
          <w:shd w:val="clear" w:color="auto" w:fill="FFFFFF"/>
        </w:rPr>
        <w:t>O</w:t>
      </w:r>
      <w:r w:rsidR="00752E58" w:rsidRPr="00A80441">
        <w:rPr>
          <w:rFonts w:asciiTheme="majorBidi" w:hAnsiTheme="majorBidi" w:cstheme="majorBidi"/>
          <w:color w:val="1C1C1C"/>
          <w:sz w:val="20"/>
          <w:shd w:val="clear" w:color="auto" w:fill="FFFFFF"/>
        </w:rPr>
        <w:t>H</w:t>
      </w:r>
      <w:r w:rsidRPr="005E2DC9">
        <w:rPr>
          <w:rFonts w:asciiTheme="majorBidi" w:hAnsiTheme="majorBidi" w:cstheme="majorBidi"/>
          <w:sz w:val="20"/>
        </w:rPr>
        <w:t>.</w:t>
      </w:r>
      <w:r w:rsidR="00A85BF5" w:rsidRPr="005E2DC9">
        <w:rPr>
          <w:rFonts w:asciiTheme="majorBidi" w:hAnsiTheme="majorBidi" w:cstheme="majorBidi"/>
          <w:sz w:val="20"/>
        </w:rPr>
        <w:t xml:space="preserve"> </w:t>
      </w:r>
      <w:r w:rsidRPr="005E2DC9">
        <w:rPr>
          <w:rFonts w:asciiTheme="majorBidi" w:hAnsiTheme="majorBidi" w:cstheme="majorBidi"/>
          <w:sz w:val="20"/>
        </w:rPr>
        <w:t>The total capital cost includes all direct and indirect costs, nuclear fuel cost for the initial core plus interest during construction. The fuel cycle costs include nuclear fuel fabrication cost plus spent fuel waste handling and disposal cost.</w:t>
      </w:r>
      <w:r w:rsidR="00A85BF5" w:rsidRPr="005E2DC9">
        <w:rPr>
          <w:rFonts w:asciiTheme="majorBidi" w:hAnsiTheme="majorBidi" w:cstheme="majorBidi"/>
          <w:sz w:val="20"/>
        </w:rPr>
        <w:t xml:space="preserve"> Table 3 displays the time periods and financial features of GT-MHR, hydrogen production plant, storage using liquefaction, and transportation by pipelines. Table 4 illustrates </w:t>
      </w:r>
      <w:r w:rsidR="00147719" w:rsidRPr="005E2DC9">
        <w:rPr>
          <w:rFonts w:asciiTheme="majorBidi" w:hAnsiTheme="majorBidi" w:cstheme="majorBidi"/>
          <w:sz w:val="20"/>
        </w:rPr>
        <w:t>the pipelines features.</w:t>
      </w:r>
    </w:p>
    <w:p w14:paraId="3545D072" w14:textId="6D483B8E" w:rsidR="003A304F" w:rsidRDefault="003A304F" w:rsidP="003A304F">
      <w:pPr>
        <w:pStyle w:val="Corpsdetexte"/>
        <w:ind w:firstLine="0"/>
      </w:pPr>
      <w:r>
        <w:t xml:space="preserve">TABLE </w:t>
      </w:r>
      <w:r w:rsidR="007D2873">
        <w:t>1</w:t>
      </w:r>
      <w:r>
        <w:t xml:space="preserve">. </w:t>
      </w:r>
      <w:r w:rsidRPr="00FA56A1">
        <w:rPr>
          <w:rFonts w:asciiTheme="majorBidi" w:hAnsiTheme="majorBidi" w:cstheme="majorBidi"/>
          <w:caps/>
          <w:sz w:val="18"/>
          <w:szCs w:val="18"/>
        </w:rPr>
        <w:t xml:space="preserve">Nuclear </w:t>
      </w:r>
      <w:r>
        <w:rPr>
          <w:rFonts w:asciiTheme="majorBidi" w:hAnsiTheme="majorBidi" w:cstheme="majorBidi"/>
          <w:caps/>
          <w:sz w:val="18"/>
          <w:szCs w:val="18"/>
        </w:rPr>
        <w:t xml:space="preserve">POWER </w:t>
      </w:r>
      <w:r w:rsidRPr="00FA56A1">
        <w:rPr>
          <w:rFonts w:asciiTheme="majorBidi" w:hAnsiTheme="majorBidi" w:cstheme="majorBidi"/>
          <w:caps/>
          <w:sz w:val="18"/>
          <w:szCs w:val="18"/>
        </w:rPr>
        <w:t>Plant</w:t>
      </w:r>
      <w:r>
        <w:rPr>
          <w:rFonts w:asciiTheme="majorBidi" w:hAnsiTheme="majorBidi" w:cstheme="majorBidi"/>
          <w:caps/>
          <w:sz w:val="18"/>
          <w:szCs w:val="18"/>
        </w:rPr>
        <w:t xml:space="preserve"> AND HYDROGEN GENERATION PLANT </w:t>
      </w:r>
      <w:r>
        <w:t>COSTS</w:t>
      </w:r>
    </w:p>
    <w:p w14:paraId="525A6687" w14:textId="77777777" w:rsidR="003A304F" w:rsidRPr="009656D9" w:rsidRDefault="003A304F" w:rsidP="003A304F">
      <w:pPr>
        <w:pStyle w:val="Corpsdetexte"/>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079"/>
      </w:tblGrid>
      <w:tr w:rsidR="003A304F" w:rsidRPr="009656D9" w14:paraId="53901D08" w14:textId="77777777" w:rsidTr="008A0D4F">
        <w:trPr>
          <w:jc w:val="center"/>
        </w:trPr>
        <w:tc>
          <w:tcPr>
            <w:tcW w:w="3119" w:type="dxa"/>
            <w:tcBorders>
              <w:top w:val="single" w:sz="4" w:space="0" w:color="auto"/>
              <w:bottom w:val="single" w:sz="4" w:space="0" w:color="auto"/>
            </w:tcBorders>
          </w:tcPr>
          <w:p w14:paraId="711C1CF6" w14:textId="33962168" w:rsidR="003A304F" w:rsidRPr="00650FF3" w:rsidRDefault="003A304F" w:rsidP="008A0D4F">
            <w:pPr>
              <w:pStyle w:val="Corpsdetexte"/>
              <w:ind w:firstLine="0"/>
              <w:rPr>
                <w:sz w:val="18"/>
                <w:szCs w:val="18"/>
              </w:rPr>
            </w:pPr>
            <w:r>
              <w:rPr>
                <w:sz w:val="18"/>
                <w:szCs w:val="18"/>
              </w:rPr>
              <w:t xml:space="preserve">Designation </w:t>
            </w:r>
          </w:p>
        </w:tc>
        <w:tc>
          <w:tcPr>
            <w:tcW w:w="3079" w:type="dxa"/>
            <w:tcBorders>
              <w:top w:val="single" w:sz="4" w:space="0" w:color="auto"/>
              <w:bottom w:val="single" w:sz="4" w:space="0" w:color="auto"/>
            </w:tcBorders>
          </w:tcPr>
          <w:p w14:paraId="5E8FF3FD" w14:textId="12F93C80" w:rsidR="003A304F" w:rsidRPr="00650FF3" w:rsidRDefault="003A304F" w:rsidP="008A0D4F">
            <w:pPr>
              <w:pStyle w:val="Corpsdetexte"/>
              <w:ind w:left="-106" w:firstLine="0"/>
              <w:jc w:val="center"/>
              <w:rPr>
                <w:sz w:val="18"/>
                <w:szCs w:val="18"/>
              </w:rPr>
            </w:pPr>
            <w:r>
              <w:rPr>
                <w:sz w:val="18"/>
                <w:szCs w:val="18"/>
              </w:rPr>
              <w:t>Value</w:t>
            </w:r>
          </w:p>
        </w:tc>
      </w:tr>
      <w:tr w:rsidR="003A304F" w:rsidRPr="009656D9" w14:paraId="015FE2D4" w14:textId="77777777" w:rsidTr="008A0D4F">
        <w:trPr>
          <w:jc w:val="center"/>
        </w:trPr>
        <w:tc>
          <w:tcPr>
            <w:tcW w:w="3119" w:type="dxa"/>
            <w:tcBorders>
              <w:top w:val="single" w:sz="4" w:space="0" w:color="auto"/>
            </w:tcBorders>
          </w:tcPr>
          <w:p w14:paraId="5AB699DD" w14:textId="7651AB86" w:rsidR="003A304F" w:rsidRPr="009C76A2" w:rsidRDefault="009C76A2" w:rsidP="008A0D4F">
            <w:pPr>
              <w:pStyle w:val="Corpsdetexte"/>
              <w:ind w:firstLine="0"/>
              <w:rPr>
                <w:b/>
                <w:bCs/>
                <w:sz w:val="18"/>
                <w:szCs w:val="18"/>
              </w:rPr>
            </w:pPr>
            <w:r w:rsidRPr="009C76A2">
              <w:rPr>
                <w:b/>
                <w:bCs/>
                <w:sz w:val="18"/>
                <w:szCs w:val="18"/>
              </w:rPr>
              <w:t>Nuclear power plant</w:t>
            </w:r>
            <w:r w:rsidR="003A304F" w:rsidRPr="009C76A2">
              <w:rPr>
                <w:b/>
                <w:bCs/>
                <w:sz w:val="18"/>
                <w:szCs w:val="18"/>
              </w:rPr>
              <w:t xml:space="preserve"> </w:t>
            </w:r>
          </w:p>
        </w:tc>
        <w:tc>
          <w:tcPr>
            <w:tcW w:w="3079" w:type="dxa"/>
            <w:tcBorders>
              <w:top w:val="single" w:sz="4" w:space="0" w:color="auto"/>
            </w:tcBorders>
          </w:tcPr>
          <w:p w14:paraId="2A39AAF3" w14:textId="02E12841" w:rsidR="003A304F" w:rsidRPr="00650FF3" w:rsidRDefault="003A304F" w:rsidP="008A0D4F">
            <w:pPr>
              <w:pStyle w:val="Corpsdetexte"/>
              <w:ind w:firstLine="0"/>
              <w:jc w:val="center"/>
              <w:rPr>
                <w:sz w:val="18"/>
                <w:szCs w:val="18"/>
              </w:rPr>
            </w:pPr>
          </w:p>
        </w:tc>
      </w:tr>
      <w:tr w:rsidR="003A304F" w:rsidRPr="009656D9" w14:paraId="43274626" w14:textId="77777777" w:rsidTr="008A0D4F">
        <w:trPr>
          <w:jc w:val="center"/>
        </w:trPr>
        <w:tc>
          <w:tcPr>
            <w:tcW w:w="3119" w:type="dxa"/>
          </w:tcPr>
          <w:p w14:paraId="568D9B7B" w14:textId="2A966484" w:rsidR="003A304F" w:rsidRPr="00650FF3" w:rsidRDefault="009C76A2" w:rsidP="008A0D4F">
            <w:pPr>
              <w:pStyle w:val="Corpsdetexte"/>
              <w:ind w:firstLine="0"/>
              <w:rPr>
                <w:sz w:val="18"/>
                <w:szCs w:val="18"/>
              </w:rPr>
            </w:pPr>
            <w:r>
              <w:rPr>
                <w:sz w:val="18"/>
                <w:szCs w:val="18"/>
              </w:rPr>
              <w:t>Thermal ratting per unit</w:t>
            </w:r>
            <w:r w:rsidR="003A304F" w:rsidRPr="00650FF3">
              <w:rPr>
                <w:sz w:val="18"/>
                <w:szCs w:val="18"/>
              </w:rPr>
              <w:t xml:space="preserve"> </w:t>
            </w:r>
          </w:p>
        </w:tc>
        <w:tc>
          <w:tcPr>
            <w:tcW w:w="3079" w:type="dxa"/>
          </w:tcPr>
          <w:p w14:paraId="1192ADEE" w14:textId="4EA38D72" w:rsidR="003A304F" w:rsidRPr="00650FF3" w:rsidRDefault="001B6DEB" w:rsidP="008A0D4F">
            <w:pPr>
              <w:pStyle w:val="Corpsdetexte"/>
              <w:ind w:firstLine="0"/>
              <w:jc w:val="center"/>
              <w:rPr>
                <w:sz w:val="18"/>
                <w:szCs w:val="18"/>
              </w:rPr>
            </w:pPr>
            <w:r>
              <w:rPr>
                <w:sz w:val="18"/>
                <w:szCs w:val="18"/>
              </w:rPr>
              <w:t>600</w:t>
            </w:r>
          </w:p>
        </w:tc>
      </w:tr>
      <w:tr w:rsidR="003A304F" w:rsidRPr="009656D9" w14:paraId="6E306772" w14:textId="77777777" w:rsidTr="008A0D4F">
        <w:trPr>
          <w:jc w:val="center"/>
        </w:trPr>
        <w:tc>
          <w:tcPr>
            <w:tcW w:w="3119" w:type="dxa"/>
          </w:tcPr>
          <w:p w14:paraId="54BAEC9B" w14:textId="4A5C8568" w:rsidR="003A304F" w:rsidRPr="00650FF3" w:rsidRDefault="003A304F" w:rsidP="008A0D4F">
            <w:pPr>
              <w:pStyle w:val="Corpsdetexte"/>
              <w:ind w:firstLine="0"/>
              <w:rPr>
                <w:sz w:val="18"/>
                <w:szCs w:val="18"/>
              </w:rPr>
            </w:pPr>
            <w:r w:rsidRPr="00650FF3">
              <w:rPr>
                <w:sz w:val="18"/>
                <w:szCs w:val="18"/>
              </w:rPr>
              <w:t>Nu</w:t>
            </w:r>
            <w:r w:rsidR="009C76A2">
              <w:rPr>
                <w:sz w:val="18"/>
                <w:szCs w:val="18"/>
              </w:rPr>
              <w:t>mber of units</w:t>
            </w:r>
          </w:p>
        </w:tc>
        <w:tc>
          <w:tcPr>
            <w:tcW w:w="3079" w:type="dxa"/>
          </w:tcPr>
          <w:p w14:paraId="2213D71E" w14:textId="0F6D03A8" w:rsidR="003A304F" w:rsidRPr="00650FF3" w:rsidRDefault="0016723B" w:rsidP="008A0D4F">
            <w:pPr>
              <w:pStyle w:val="Corpsdetexte"/>
              <w:ind w:firstLine="0"/>
              <w:jc w:val="center"/>
              <w:rPr>
                <w:sz w:val="18"/>
                <w:szCs w:val="18"/>
              </w:rPr>
            </w:pPr>
            <w:r>
              <w:rPr>
                <w:sz w:val="18"/>
                <w:szCs w:val="18"/>
              </w:rPr>
              <w:t>2</w:t>
            </w:r>
          </w:p>
        </w:tc>
      </w:tr>
      <w:tr w:rsidR="003A304F" w:rsidRPr="009656D9" w14:paraId="7B7484C7" w14:textId="77777777" w:rsidTr="008A0D4F">
        <w:trPr>
          <w:jc w:val="center"/>
        </w:trPr>
        <w:tc>
          <w:tcPr>
            <w:tcW w:w="3119" w:type="dxa"/>
          </w:tcPr>
          <w:p w14:paraId="51FD808A" w14:textId="4B065006" w:rsidR="003A304F" w:rsidRPr="00650FF3" w:rsidRDefault="009C76A2" w:rsidP="008A0D4F">
            <w:pPr>
              <w:pStyle w:val="Corpsdetexte"/>
              <w:ind w:firstLine="0"/>
              <w:rPr>
                <w:sz w:val="18"/>
                <w:szCs w:val="18"/>
              </w:rPr>
            </w:pPr>
            <w:r>
              <w:rPr>
                <w:sz w:val="18"/>
                <w:szCs w:val="18"/>
              </w:rPr>
              <w:t xml:space="preserve">Electricity rating (MWe/unit) </w:t>
            </w:r>
          </w:p>
        </w:tc>
        <w:tc>
          <w:tcPr>
            <w:tcW w:w="3079" w:type="dxa"/>
          </w:tcPr>
          <w:p w14:paraId="05391F5A" w14:textId="43FDCE87" w:rsidR="003A304F" w:rsidRPr="00650FF3" w:rsidRDefault="001B6DEB" w:rsidP="008A0D4F">
            <w:pPr>
              <w:pStyle w:val="Corpsdetexte"/>
              <w:ind w:firstLine="0"/>
              <w:jc w:val="center"/>
              <w:rPr>
                <w:sz w:val="18"/>
                <w:szCs w:val="18"/>
              </w:rPr>
            </w:pPr>
            <w:r>
              <w:rPr>
                <w:sz w:val="18"/>
                <w:szCs w:val="18"/>
              </w:rPr>
              <w:t>288</w:t>
            </w:r>
          </w:p>
        </w:tc>
      </w:tr>
      <w:tr w:rsidR="009C76A2" w:rsidRPr="009656D9" w14:paraId="003F7943" w14:textId="77777777" w:rsidTr="008A0D4F">
        <w:trPr>
          <w:jc w:val="center"/>
        </w:trPr>
        <w:tc>
          <w:tcPr>
            <w:tcW w:w="3119" w:type="dxa"/>
          </w:tcPr>
          <w:p w14:paraId="1F2067B1" w14:textId="700C96DB" w:rsidR="009C76A2" w:rsidRPr="00650FF3" w:rsidRDefault="009C76A2" w:rsidP="008A0D4F">
            <w:pPr>
              <w:pStyle w:val="Corpsdetexte"/>
              <w:ind w:firstLine="0"/>
              <w:rPr>
                <w:sz w:val="18"/>
                <w:szCs w:val="18"/>
              </w:rPr>
            </w:pPr>
            <w:r>
              <w:rPr>
                <w:sz w:val="18"/>
                <w:szCs w:val="18"/>
              </w:rPr>
              <w:t>Efficiency (%)</w:t>
            </w:r>
          </w:p>
        </w:tc>
        <w:tc>
          <w:tcPr>
            <w:tcW w:w="3079" w:type="dxa"/>
          </w:tcPr>
          <w:p w14:paraId="3936A407" w14:textId="56CC57A6" w:rsidR="009C76A2" w:rsidRPr="00650FF3" w:rsidRDefault="001B6DEB" w:rsidP="008A0D4F">
            <w:pPr>
              <w:pStyle w:val="Corpsdetexte"/>
              <w:ind w:firstLine="0"/>
              <w:jc w:val="center"/>
              <w:rPr>
                <w:sz w:val="18"/>
                <w:szCs w:val="18"/>
              </w:rPr>
            </w:pPr>
            <w:r>
              <w:rPr>
                <w:sz w:val="18"/>
                <w:szCs w:val="18"/>
              </w:rPr>
              <w:t>48</w:t>
            </w:r>
          </w:p>
        </w:tc>
      </w:tr>
      <w:tr w:rsidR="009C76A2" w:rsidRPr="009656D9" w14:paraId="41A40309" w14:textId="77777777" w:rsidTr="00A85BF5">
        <w:trPr>
          <w:jc w:val="center"/>
        </w:trPr>
        <w:tc>
          <w:tcPr>
            <w:tcW w:w="3119" w:type="dxa"/>
            <w:shd w:val="clear" w:color="auto" w:fill="FFFFFF" w:themeFill="background1"/>
          </w:tcPr>
          <w:p w14:paraId="798A616C" w14:textId="4533A365" w:rsidR="009C76A2" w:rsidRPr="00650FF3" w:rsidRDefault="009C76A2" w:rsidP="008A0D4F">
            <w:pPr>
              <w:pStyle w:val="Corpsdetexte"/>
              <w:ind w:firstLine="0"/>
              <w:rPr>
                <w:sz w:val="18"/>
                <w:szCs w:val="18"/>
              </w:rPr>
            </w:pPr>
            <w:r>
              <w:rPr>
                <w:sz w:val="18"/>
                <w:szCs w:val="18"/>
              </w:rPr>
              <w:t>Thermal heat of H</w:t>
            </w:r>
            <w:r w:rsidRPr="009C76A2">
              <w:rPr>
                <w:sz w:val="18"/>
                <w:szCs w:val="18"/>
                <w:vertAlign w:val="subscript"/>
              </w:rPr>
              <w:t>2</w:t>
            </w:r>
            <w:r>
              <w:rPr>
                <w:sz w:val="18"/>
                <w:szCs w:val="18"/>
              </w:rPr>
              <w:t xml:space="preserve"> plant (</w:t>
            </w:r>
            <w:proofErr w:type="spellStart"/>
            <w:r>
              <w:rPr>
                <w:sz w:val="18"/>
                <w:szCs w:val="18"/>
              </w:rPr>
              <w:t>MWth</w:t>
            </w:r>
            <w:proofErr w:type="spellEnd"/>
            <w:r>
              <w:rPr>
                <w:sz w:val="18"/>
                <w:szCs w:val="18"/>
              </w:rPr>
              <w:t>/unit)</w:t>
            </w:r>
          </w:p>
        </w:tc>
        <w:tc>
          <w:tcPr>
            <w:tcW w:w="3079" w:type="dxa"/>
            <w:shd w:val="clear" w:color="auto" w:fill="FFFFFF" w:themeFill="background1"/>
          </w:tcPr>
          <w:p w14:paraId="4CC877AD" w14:textId="066A51BE" w:rsidR="009C76A2" w:rsidRPr="00650FF3" w:rsidRDefault="0016723B" w:rsidP="008A0D4F">
            <w:pPr>
              <w:pStyle w:val="Corpsdetexte"/>
              <w:ind w:firstLine="0"/>
              <w:jc w:val="center"/>
              <w:rPr>
                <w:sz w:val="18"/>
                <w:szCs w:val="18"/>
              </w:rPr>
            </w:pPr>
            <w:r>
              <w:rPr>
                <w:sz w:val="18"/>
                <w:szCs w:val="18"/>
              </w:rPr>
              <w:t>3</w:t>
            </w:r>
            <w:r w:rsidR="00A2447A">
              <w:rPr>
                <w:sz w:val="18"/>
                <w:szCs w:val="18"/>
              </w:rPr>
              <w:t>40</w:t>
            </w:r>
          </w:p>
        </w:tc>
      </w:tr>
      <w:tr w:rsidR="00DD35AC" w:rsidRPr="009656D9" w14:paraId="167A2C0E" w14:textId="77777777" w:rsidTr="00A85BF5">
        <w:trPr>
          <w:jc w:val="center"/>
        </w:trPr>
        <w:tc>
          <w:tcPr>
            <w:tcW w:w="3119" w:type="dxa"/>
            <w:shd w:val="clear" w:color="auto" w:fill="FFFFFF" w:themeFill="background1"/>
          </w:tcPr>
          <w:p w14:paraId="5E5E2144" w14:textId="4DA1271B" w:rsidR="00DD35AC" w:rsidRDefault="00DD35AC" w:rsidP="00DD35AC">
            <w:pPr>
              <w:pStyle w:val="Corpsdetexte"/>
              <w:ind w:firstLine="0"/>
              <w:rPr>
                <w:sz w:val="18"/>
                <w:szCs w:val="18"/>
              </w:rPr>
            </w:pPr>
            <w:r>
              <w:rPr>
                <w:sz w:val="18"/>
                <w:szCs w:val="18"/>
              </w:rPr>
              <w:t>Max specific capital cost (</w:t>
            </w:r>
            <w:r w:rsidRPr="00DD35AC">
              <w:rPr>
                <w:sz w:val="18"/>
                <w:szCs w:val="18"/>
                <w:lang w:val="en-US"/>
              </w:rPr>
              <w:t>$/</w:t>
            </w:r>
            <w:proofErr w:type="spellStart"/>
            <w:r w:rsidRPr="00DD35AC">
              <w:rPr>
                <w:sz w:val="18"/>
                <w:szCs w:val="18"/>
                <w:lang w:val="en-US"/>
              </w:rPr>
              <w:t>kWe</w:t>
            </w:r>
            <w:proofErr w:type="spellEnd"/>
            <w:r>
              <w:rPr>
                <w:sz w:val="18"/>
                <w:szCs w:val="18"/>
              </w:rPr>
              <w:t>)</w:t>
            </w:r>
          </w:p>
        </w:tc>
        <w:tc>
          <w:tcPr>
            <w:tcW w:w="3079" w:type="dxa"/>
            <w:shd w:val="clear" w:color="auto" w:fill="FFFFFF" w:themeFill="background1"/>
          </w:tcPr>
          <w:p w14:paraId="5C2F1D0C" w14:textId="337D5CF0" w:rsidR="00DD35AC" w:rsidRDefault="00DD35AC" w:rsidP="008A0D4F">
            <w:pPr>
              <w:pStyle w:val="Corpsdetexte"/>
              <w:ind w:firstLine="0"/>
              <w:jc w:val="center"/>
              <w:rPr>
                <w:sz w:val="18"/>
                <w:szCs w:val="18"/>
              </w:rPr>
            </w:pPr>
            <w:r>
              <w:rPr>
                <w:sz w:val="18"/>
                <w:szCs w:val="18"/>
              </w:rPr>
              <w:t>5400</w:t>
            </w:r>
          </w:p>
        </w:tc>
      </w:tr>
      <w:tr w:rsidR="009C76A2" w:rsidRPr="009656D9" w14:paraId="1AA065B7" w14:textId="77777777" w:rsidTr="008A0D4F">
        <w:trPr>
          <w:jc w:val="center"/>
        </w:trPr>
        <w:tc>
          <w:tcPr>
            <w:tcW w:w="3119" w:type="dxa"/>
          </w:tcPr>
          <w:p w14:paraId="514F9ABD" w14:textId="7B41DCA2" w:rsidR="009C76A2" w:rsidRPr="00650FF3" w:rsidRDefault="009C76A2" w:rsidP="008A0D4F">
            <w:pPr>
              <w:pStyle w:val="Corpsdetexte"/>
              <w:ind w:firstLine="0"/>
              <w:rPr>
                <w:sz w:val="18"/>
                <w:szCs w:val="18"/>
              </w:rPr>
            </w:pPr>
            <w:r>
              <w:rPr>
                <w:sz w:val="18"/>
                <w:szCs w:val="18"/>
              </w:rPr>
              <w:lastRenderedPageBreak/>
              <w:t>Capital cost (M$)</w:t>
            </w:r>
          </w:p>
        </w:tc>
        <w:tc>
          <w:tcPr>
            <w:tcW w:w="3079" w:type="dxa"/>
          </w:tcPr>
          <w:p w14:paraId="75F0314E" w14:textId="6A89128E" w:rsidR="009C76A2" w:rsidRPr="00650FF3" w:rsidRDefault="00AC263B" w:rsidP="008A0D4F">
            <w:pPr>
              <w:pStyle w:val="Corpsdetexte"/>
              <w:ind w:firstLine="0"/>
              <w:jc w:val="center"/>
              <w:rPr>
                <w:sz w:val="18"/>
                <w:szCs w:val="18"/>
              </w:rPr>
            </w:pPr>
            <w:r>
              <w:rPr>
                <w:sz w:val="18"/>
                <w:szCs w:val="18"/>
              </w:rPr>
              <w:t>1050</w:t>
            </w:r>
          </w:p>
        </w:tc>
      </w:tr>
      <w:tr w:rsidR="009C76A2" w:rsidRPr="009656D9" w14:paraId="1A9A5F45" w14:textId="77777777" w:rsidTr="008A0D4F">
        <w:trPr>
          <w:jc w:val="center"/>
        </w:trPr>
        <w:tc>
          <w:tcPr>
            <w:tcW w:w="3119" w:type="dxa"/>
          </w:tcPr>
          <w:p w14:paraId="64B7C47B" w14:textId="4C3AFBA6" w:rsidR="009C76A2" w:rsidRPr="00650FF3" w:rsidRDefault="009C76A2" w:rsidP="008A0D4F">
            <w:pPr>
              <w:pStyle w:val="Corpsdetexte"/>
              <w:ind w:firstLine="0"/>
              <w:rPr>
                <w:sz w:val="18"/>
                <w:szCs w:val="18"/>
              </w:rPr>
            </w:pPr>
            <w:r>
              <w:rPr>
                <w:sz w:val="18"/>
                <w:szCs w:val="18"/>
              </w:rPr>
              <w:t>O&amp;M cost (%</w:t>
            </w:r>
            <w:r w:rsidR="00A321A5">
              <w:rPr>
                <w:sz w:val="18"/>
                <w:szCs w:val="18"/>
              </w:rPr>
              <w:t xml:space="preserve"> of CC</w:t>
            </w:r>
            <w:r>
              <w:rPr>
                <w:sz w:val="18"/>
                <w:szCs w:val="18"/>
              </w:rPr>
              <w:t>)</w:t>
            </w:r>
          </w:p>
        </w:tc>
        <w:tc>
          <w:tcPr>
            <w:tcW w:w="3079" w:type="dxa"/>
          </w:tcPr>
          <w:p w14:paraId="78F99A1E" w14:textId="1D0F6D1B" w:rsidR="009C76A2" w:rsidRPr="00650FF3" w:rsidRDefault="00A85BF5" w:rsidP="008A0D4F">
            <w:pPr>
              <w:pStyle w:val="Corpsdetexte"/>
              <w:ind w:firstLine="0"/>
              <w:jc w:val="center"/>
              <w:rPr>
                <w:sz w:val="18"/>
                <w:szCs w:val="18"/>
              </w:rPr>
            </w:pPr>
            <w:r>
              <w:rPr>
                <w:sz w:val="18"/>
                <w:szCs w:val="18"/>
              </w:rPr>
              <w:t>5.8</w:t>
            </w:r>
          </w:p>
        </w:tc>
      </w:tr>
      <w:tr w:rsidR="009C76A2" w:rsidRPr="009656D9" w14:paraId="1C29C3C5" w14:textId="77777777" w:rsidTr="008A0D4F">
        <w:trPr>
          <w:jc w:val="center"/>
        </w:trPr>
        <w:tc>
          <w:tcPr>
            <w:tcW w:w="3119" w:type="dxa"/>
          </w:tcPr>
          <w:p w14:paraId="5B169128" w14:textId="3F521698" w:rsidR="009C76A2" w:rsidRPr="00650FF3" w:rsidRDefault="009C76A2" w:rsidP="008A0D4F">
            <w:pPr>
              <w:pStyle w:val="Corpsdetexte"/>
              <w:ind w:firstLine="0"/>
              <w:rPr>
                <w:sz w:val="18"/>
                <w:szCs w:val="18"/>
              </w:rPr>
            </w:pPr>
            <w:r>
              <w:rPr>
                <w:sz w:val="18"/>
                <w:szCs w:val="18"/>
              </w:rPr>
              <w:t>Fuel cost ($/kg)</w:t>
            </w:r>
          </w:p>
        </w:tc>
        <w:tc>
          <w:tcPr>
            <w:tcW w:w="3079" w:type="dxa"/>
          </w:tcPr>
          <w:p w14:paraId="0BCB9542" w14:textId="7E29F5BC" w:rsidR="009C76A2" w:rsidRPr="00650FF3" w:rsidRDefault="00DB7054" w:rsidP="008A0D4F">
            <w:pPr>
              <w:pStyle w:val="Corpsdetexte"/>
              <w:ind w:firstLine="0"/>
              <w:jc w:val="center"/>
              <w:rPr>
                <w:sz w:val="18"/>
                <w:szCs w:val="18"/>
              </w:rPr>
            </w:pPr>
            <w:r>
              <w:rPr>
                <w:sz w:val="18"/>
                <w:szCs w:val="18"/>
              </w:rPr>
              <w:t>270</w:t>
            </w:r>
          </w:p>
        </w:tc>
      </w:tr>
      <w:tr w:rsidR="00A321A5" w:rsidRPr="009656D9" w14:paraId="0A28048E" w14:textId="77777777" w:rsidTr="008A0D4F">
        <w:trPr>
          <w:jc w:val="center"/>
        </w:trPr>
        <w:tc>
          <w:tcPr>
            <w:tcW w:w="3119" w:type="dxa"/>
          </w:tcPr>
          <w:p w14:paraId="5003D75F" w14:textId="184FBD79" w:rsidR="00A321A5" w:rsidRDefault="00A321A5" w:rsidP="008A0D4F">
            <w:pPr>
              <w:pStyle w:val="Corpsdetexte"/>
              <w:ind w:firstLine="0"/>
              <w:rPr>
                <w:sz w:val="18"/>
                <w:szCs w:val="18"/>
              </w:rPr>
            </w:pPr>
            <w:r w:rsidRPr="00A321A5">
              <w:rPr>
                <w:sz w:val="18"/>
                <w:szCs w:val="18"/>
              </w:rPr>
              <w:t>Decommissioning cost</w:t>
            </w:r>
            <w:r>
              <w:rPr>
                <w:sz w:val="18"/>
                <w:szCs w:val="18"/>
              </w:rPr>
              <w:t xml:space="preserve"> (% of CC)</w:t>
            </w:r>
          </w:p>
        </w:tc>
        <w:tc>
          <w:tcPr>
            <w:tcW w:w="3079" w:type="dxa"/>
          </w:tcPr>
          <w:p w14:paraId="3E6A2C08" w14:textId="035877EE" w:rsidR="00A321A5" w:rsidRDefault="002308F6" w:rsidP="008A0D4F">
            <w:pPr>
              <w:pStyle w:val="Corpsdetexte"/>
              <w:ind w:firstLine="0"/>
              <w:jc w:val="center"/>
              <w:rPr>
                <w:sz w:val="18"/>
                <w:szCs w:val="18"/>
              </w:rPr>
            </w:pPr>
            <w:r>
              <w:rPr>
                <w:sz w:val="18"/>
                <w:szCs w:val="18"/>
              </w:rPr>
              <w:t>10</w:t>
            </w:r>
          </w:p>
        </w:tc>
      </w:tr>
      <w:tr w:rsidR="003A304F" w:rsidRPr="009656D9" w14:paraId="3DC25AFB" w14:textId="77777777" w:rsidTr="008A0D4F">
        <w:trPr>
          <w:jc w:val="center"/>
        </w:trPr>
        <w:tc>
          <w:tcPr>
            <w:tcW w:w="3119" w:type="dxa"/>
          </w:tcPr>
          <w:p w14:paraId="4016B244" w14:textId="36C945FC" w:rsidR="003A304F" w:rsidRPr="00650FF3" w:rsidRDefault="009C76A2" w:rsidP="008A0D4F">
            <w:pPr>
              <w:pStyle w:val="Corpsdetexte"/>
              <w:ind w:firstLine="0"/>
              <w:rPr>
                <w:b/>
                <w:bCs/>
                <w:sz w:val="18"/>
                <w:szCs w:val="18"/>
              </w:rPr>
            </w:pPr>
            <w:r>
              <w:rPr>
                <w:b/>
                <w:bCs/>
                <w:sz w:val="18"/>
                <w:szCs w:val="18"/>
              </w:rPr>
              <w:t>Hydrogen generation plant</w:t>
            </w:r>
            <w:r w:rsidR="00205545">
              <w:rPr>
                <w:b/>
                <w:bCs/>
                <w:sz w:val="18"/>
                <w:szCs w:val="18"/>
              </w:rPr>
              <w:t xml:space="preserve"> </w:t>
            </w:r>
            <w:r w:rsidR="008B7BFA" w:rsidRPr="00A2447A">
              <w:rPr>
                <w:b/>
                <w:bCs/>
                <w:sz w:val="18"/>
                <w:szCs w:val="18"/>
                <w:lang w:val="en-US"/>
              </w:rPr>
              <w:t>(per unit)</w:t>
            </w:r>
          </w:p>
        </w:tc>
        <w:tc>
          <w:tcPr>
            <w:tcW w:w="3079" w:type="dxa"/>
          </w:tcPr>
          <w:p w14:paraId="41C1AACD" w14:textId="47B80989" w:rsidR="003A304F" w:rsidRPr="00650FF3" w:rsidRDefault="003A304F" w:rsidP="008A0D4F">
            <w:pPr>
              <w:pStyle w:val="Corpsdetexte"/>
              <w:ind w:firstLine="0"/>
              <w:jc w:val="center"/>
              <w:rPr>
                <w:b/>
                <w:bCs/>
                <w:sz w:val="18"/>
                <w:szCs w:val="18"/>
              </w:rPr>
            </w:pPr>
          </w:p>
        </w:tc>
      </w:tr>
      <w:tr w:rsidR="003A304F" w:rsidRPr="009656D9" w14:paraId="404F4336" w14:textId="77777777" w:rsidTr="008A0D4F">
        <w:trPr>
          <w:jc w:val="center"/>
        </w:trPr>
        <w:tc>
          <w:tcPr>
            <w:tcW w:w="3119" w:type="dxa"/>
          </w:tcPr>
          <w:p w14:paraId="64292739" w14:textId="00258975" w:rsidR="003A304F" w:rsidRPr="00650FF3" w:rsidRDefault="009C76A2" w:rsidP="008A0D4F">
            <w:pPr>
              <w:pStyle w:val="Corpsdetexte"/>
              <w:ind w:firstLine="0"/>
              <w:rPr>
                <w:sz w:val="18"/>
                <w:szCs w:val="18"/>
              </w:rPr>
            </w:pPr>
            <w:r>
              <w:rPr>
                <w:sz w:val="18"/>
                <w:szCs w:val="18"/>
              </w:rPr>
              <w:t>Annual hydrogen generation (ton</w:t>
            </w:r>
            <w:r w:rsidR="00C806AA">
              <w:rPr>
                <w:sz w:val="18"/>
                <w:szCs w:val="18"/>
              </w:rPr>
              <w:t>/year</w:t>
            </w:r>
            <w:r>
              <w:rPr>
                <w:sz w:val="18"/>
                <w:szCs w:val="18"/>
              </w:rPr>
              <w:t>)</w:t>
            </w:r>
          </w:p>
        </w:tc>
        <w:tc>
          <w:tcPr>
            <w:tcW w:w="3079" w:type="dxa"/>
          </w:tcPr>
          <w:p w14:paraId="19D29FF5" w14:textId="471CCAE7" w:rsidR="003A304F" w:rsidRPr="00650FF3" w:rsidRDefault="008B7BFA" w:rsidP="008A0D4F">
            <w:pPr>
              <w:pStyle w:val="Corpsdetexte"/>
              <w:ind w:firstLine="0"/>
              <w:jc w:val="center"/>
              <w:rPr>
                <w:sz w:val="18"/>
                <w:szCs w:val="18"/>
              </w:rPr>
            </w:pPr>
            <w:r>
              <w:rPr>
                <w:sz w:val="18"/>
                <w:szCs w:val="18"/>
              </w:rPr>
              <w:t>32</w:t>
            </w:r>
            <w:r w:rsidR="00C41122">
              <w:rPr>
                <w:sz w:val="18"/>
                <w:szCs w:val="18"/>
              </w:rPr>
              <w:t>,000</w:t>
            </w:r>
          </w:p>
        </w:tc>
      </w:tr>
      <w:tr w:rsidR="003A304F" w:rsidRPr="009656D9" w14:paraId="701511CD" w14:textId="77777777" w:rsidTr="008A0D4F">
        <w:trPr>
          <w:jc w:val="center"/>
        </w:trPr>
        <w:tc>
          <w:tcPr>
            <w:tcW w:w="3119" w:type="dxa"/>
          </w:tcPr>
          <w:p w14:paraId="3BD233DA" w14:textId="11A6C89D" w:rsidR="003A304F" w:rsidRPr="00650FF3" w:rsidRDefault="009C76A2" w:rsidP="008A0D4F">
            <w:pPr>
              <w:pStyle w:val="Corpsdetexte"/>
              <w:ind w:firstLine="0"/>
              <w:rPr>
                <w:sz w:val="18"/>
                <w:szCs w:val="18"/>
              </w:rPr>
            </w:pPr>
            <w:r>
              <w:rPr>
                <w:sz w:val="18"/>
                <w:szCs w:val="18"/>
              </w:rPr>
              <w:t>Thermal energy required (</w:t>
            </w:r>
            <w:proofErr w:type="spellStart"/>
            <w:r>
              <w:rPr>
                <w:sz w:val="18"/>
                <w:szCs w:val="18"/>
              </w:rPr>
              <w:t>MWth</w:t>
            </w:r>
            <w:proofErr w:type="spellEnd"/>
            <w:r>
              <w:rPr>
                <w:sz w:val="18"/>
                <w:szCs w:val="18"/>
              </w:rPr>
              <w:t>)</w:t>
            </w:r>
            <w:r w:rsidR="0016723B">
              <w:rPr>
                <w:sz w:val="18"/>
                <w:szCs w:val="18"/>
              </w:rPr>
              <w:t>/unit</w:t>
            </w:r>
          </w:p>
        </w:tc>
        <w:tc>
          <w:tcPr>
            <w:tcW w:w="3079" w:type="dxa"/>
          </w:tcPr>
          <w:p w14:paraId="0A1C05BE" w14:textId="0D09FC92" w:rsidR="003A304F" w:rsidRPr="00650FF3" w:rsidRDefault="00A2447A" w:rsidP="008A0D4F">
            <w:pPr>
              <w:pStyle w:val="Corpsdetexte"/>
              <w:ind w:firstLine="0"/>
              <w:jc w:val="center"/>
              <w:rPr>
                <w:sz w:val="18"/>
                <w:szCs w:val="18"/>
              </w:rPr>
            </w:pPr>
            <w:r>
              <w:rPr>
                <w:sz w:val="18"/>
                <w:szCs w:val="18"/>
              </w:rPr>
              <w:t>340</w:t>
            </w:r>
          </w:p>
        </w:tc>
      </w:tr>
      <w:tr w:rsidR="003A304F" w:rsidRPr="009656D9" w14:paraId="5AEDF5FE" w14:textId="77777777" w:rsidTr="008A0D4F">
        <w:trPr>
          <w:jc w:val="center"/>
        </w:trPr>
        <w:tc>
          <w:tcPr>
            <w:tcW w:w="3119" w:type="dxa"/>
          </w:tcPr>
          <w:p w14:paraId="7358E61F" w14:textId="32A7D6CD" w:rsidR="003A304F" w:rsidRPr="00650FF3" w:rsidRDefault="003A304F" w:rsidP="008A0D4F">
            <w:pPr>
              <w:pStyle w:val="Corpsdetexte"/>
              <w:ind w:firstLine="0"/>
              <w:rPr>
                <w:sz w:val="18"/>
                <w:szCs w:val="18"/>
              </w:rPr>
            </w:pPr>
            <w:r w:rsidRPr="00650FF3">
              <w:rPr>
                <w:sz w:val="18"/>
                <w:szCs w:val="18"/>
              </w:rPr>
              <w:t>E</w:t>
            </w:r>
            <w:r w:rsidR="009C76A2">
              <w:rPr>
                <w:sz w:val="18"/>
                <w:szCs w:val="18"/>
              </w:rPr>
              <w:t>lectric energy required (MWe)</w:t>
            </w:r>
            <w:r w:rsidR="008D47EB">
              <w:rPr>
                <w:sz w:val="18"/>
                <w:szCs w:val="18"/>
              </w:rPr>
              <w:t>/unit</w:t>
            </w:r>
          </w:p>
        </w:tc>
        <w:tc>
          <w:tcPr>
            <w:tcW w:w="3079" w:type="dxa"/>
          </w:tcPr>
          <w:p w14:paraId="34812ED2" w14:textId="6831A7C6" w:rsidR="003A304F" w:rsidRPr="00650FF3" w:rsidRDefault="00CB7A8B" w:rsidP="008A0D4F">
            <w:pPr>
              <w:pStyle w:val="Corpsdetexte"/>
              <w:ind w:firstLine="0"/>
              <w:jc w:val="center"/>
              <w:rPr>
                <w:sz w:val="18"/>
                <w:szCs w:val="18"/>
              </w:rPr>
            </w:pPr>
            <w:r>
              <w:rPr>
                <w:sz w:val="18"/>
                <w:szCs w:val="18"/>
              </w:rPr>
              <w:t>25.4</w:t>
            </w:r>
          </w:p>
        </w:tc>
      </w:tr>
      <w:tr w:rsidR="003A304F" w:rsidRPr="009656D9" w14:paraId="343C5B40" w14:textId="77777777" w:rsidTr="008A0D4F">
        <w:trPr>
          <w:jc w:val="center"/>
        </w:trPr>
        <w:tc>
          <w:tcPr>
            <w:tcW w:w="3119" w:type="dxa"/>
          </w:tcPr>
          <w:p w14:paraId="76030AF4" w14:textId="32F7F27D" w:rsidR="003A304F" w:rsidRPr="009C76A2" w:rsidRDefault="009C76A2" w:rsidP="008A0D4F">
            <w:pPr>
              <w:pStyle w:val="Corpsdetexte"/>
              <w:ind w:firstLine="0"/>
              <w:rPr>
                <w:sz w:val="18"/>
                <w:szCs w:val="18"/>
              </w:rPr>
            </w:pPr>
            <w:r>
              <w:rPr>
                <w:sz w:val="18"/>
                <w:szCs w:val="18"/>
              </w:rPr>
              <w:t>Capital cost (M$</w:t>
            </w:r>
            <w:r w:rsidR="001B4226">
              <w:rPr>
                <w:sz w:val="18"/>
                <w:szCs w:val="18"/>
              </w:rPr>
              <w:t>/unit</w:t>
            </w:r>
            <w:r>
              <w:rPr>
                <w:sz w:val="18"/>
                <w:szCs w:val="18"/>
              </w:rPr>
              <w:t>)</w:t>
            </w:r>
          </w:p>
        </w:tc>
        <w:tc>
          <w:tcPr>
            <w:tcW w:w="3079" w:type="dxa"/>
          </w:tcPr>
          <w:p w14:paraId="6DC8323E" w14:textId="4033C065" w:rsidR="003A304F" w:rsidRPr="009C76A2" w:rsidRDefault="00F13E0B" w:rsidP="008A0D4F">
            <w:pPr>
              <w:pStyle w:val="Corpsdetexte"/>
              <w:ind w:firstLine="0"/>
              <w:jc w:val="center"/>
              <w:rPr>
                <w:sz w:val="18"/>
                <w:szCs w:val="18"/>
              </w:rPr>
            </w:pPr>
            <w:r>
              <w:rPr>
                <w:sz w:val="18"/>
                <w:szCs w:val="18"/>
              </w:rPr>
              <w:t>209</w:t>
            </w:r>
          </w:p>
        </w:tc>
      </w:tr>
      <w:tr w:rsidR="009C76A2" w:rsidRPr="009656D9" w14:paraId="4807DDB9" w14:textId="77777777" w:rsidTr="008A0D4F">
        <w:trPr>
          <w:jc w:val="center"/>
        </w:trPr>
        <w:tc>
          <w:tcPr>
            <w:tcW w:w="3119" w:type="dxa"/>
          </w:tcPr>
          <w:p w14:paraId="1CFD6217" w14:textId="282900C6" w:rsidR="009C76A2" w:rsidRPr="009C76A2" w:rsidRDefault="009C76A2" w:rsidP="008A0D4F">
            <w:pPr>
              <w:pStyle w:val="Corpsdetexte"/>
              <w:ind w:firstLine="0"/>
              <w:rPr>
                <w:sz w:val="18"/>
                <w:szCs w:val="18"/>
              </w:rPr>
            </w:pPr>
            <w:r>
              <w:rPr>
                <w:sz w:val="18"/>
                <w:szCs w:val="18"/>
              </w:rPr>
              <w:t>Energy usage cost (M$)</w:t>
            </w:r>
          </w:p>
        </w:tc>
        <w:tc>
          <w:tcPr>
            <w:tcW w:w="3079" w:type="dxa"/>
          </w:tcPr>
          <w:p w14:paraId="3FA8C12E" w14:textId="1D104C76" w:rsidR="009C76A2" w:rsidRPr="009C76A2" w:rsidRDefault="00F13E0B" w:rsidP="008A0D4F">
            <w:pPr>
              <w:pStyle w:val="Corpsdetexte"/>
              <w:ind w:firstLine="0"/>
              <w:jc w:val="center"/>
              <w:rPr>
                <w:sz w:val="18"/>
                <w:szCs w:val="18"/>
              </w:rPr>
            </w:pPr>
            <w:r>
              <w:rPr>
                <w:sz w:val="18"/>
                <w:szCs w:val="18"/>
              </w:rPr>
              <w:t>13.27</w:t>
            </w:r>
          </w:p>
        </w:tc>
      </w:tr>
      <w:tr w:rsidR="009C76A2" w:rsidRPr="009656D9" w14:paraId="68D62A9B" w14:textId="77777777" w:rsidTr="008A0D4F">
        <w:trPr>
          <w:jc w:val="center"/>
        </w:trPr>
        <w:tc>
          <w:tcPr>
            <w:tcW w:w="3119" w:type="dxa"/>
          </w:tcPr>
          <w:p w14:paraId="52B6C362" w14:textId="0C72D6BC" w:rsidR="009C76A2" w:rsidRPr="009C76A2" w:rsidRDefault="009C76A2" w:rsidP="008A0D4F">
            <w:pPr>
              <w:pStyle w:val="Corpsdetexte"/>
              <w:ind w:firstLine="0"/>
              <w:rPr>
                <w:sz w:val="18"/>
                <w:szCs w:val="18"/>
              </w:rPr>
            </w:pPr>
            <w:r>
              <w:rPr>
                <w:sz w:val="18"/>
                <w:szCs w:val="18"/>
              </w:rPr>
              <w:t>O&amp;M cost (%)</w:t>
            </w:r>
          </w:p>
        </w:tc>
        <w:tc>
          <w:tcPr>
            <w:tcW w:w="3079" w:type="dxa"/>
          </w:tcPr>
          <w:p w14:paraId="48726D41" w14:textId="2E595DC2" w:rsidR="009C76A2" w:rsidRPr="009C76A2" w:rsidRDefault="007D2873" w:rsidP="008A0D4F">
            <w:pPr>
              <w:pStyle w:val="Corpsdetexte"/>
              <w:ind w:firstLine="0"/>
              <w:jc w:val="center"/>
              <w:rPr>
                <w:sz w:val="18"/>
                <w:szCs w:val="18"/>
              </w:rPr>
            </w:pPr>
            <w:r>
              <w:rPr>
                <w:sz w:val="18"/>
                <w:szCs w:val="18"/>
              </w:rPr>
              <w:t>7.78</w:t>
            </w:r>
          </w:p>
        </w:tc>
      </w:tr>
      <w:tr w:rsidR="00B42117" w:rsidRPr="009656D9" w14:paraId="57B85369" w14:textId="77777777" w:rsidTr="008A0D4F">
        <w:trPr>
          <w:jc w:val="center"/>
        </w:trPr>
        <w:tc>
          <w:tcPr>
            <w:tcW w:w="3119" w:type="dxa"/>
          </w:tcPr>
          <w:p w14:paraId="227C2082" w14:textId="2FC2710A" w:rsidR="00B42117" w:rsidRDefault="00B42117" w:rsidP="008A0D4F">
            <w:pPr>
              <w:pStyle w:val="Corpsdetexte"/>
              <w:ind w:firstLine="0"/>
              <w:rPr>
                <w:sz w:val="18"/>
                <w:szCs w:val="18"/>
              </w:rPr>
            </w:pPr>
            <w:r>
              <w:rPr>
                <w:sz w:val="18"/>
                <w:szCs w:val="18"/>
              </w:rPr>
              <w:t>Decommissioning cost (%)</w:t>
            </w:r>
          </w:p>
        </w:tc>
        <w:tc>
          <w:tcPr>
            <w:tcW w:w="3079" w:type="dxa"/>
          </w:tcPr>
          <w:p w14:paraId="0EF7E928" w14:textId="693928F1" w:rsidR="00B42117" w:rsidRDefault="00B42117" w:rsidP="008A0D4F">
            <w:pPr>
              <w:pStyle w:val="Corpsdetexte"/>
              <w:ind w:firstLine="0"/>
              <w:jc w:val="center"/>
              <w:rPr>
                <w:sz w:val="18"/>
                <w:szCs w:val="18"/>
              </w:rPr>
            </w:pPr>
            <w:r>
              <w:rPr>
                <w:sz w:val="18"/>
                <w:szCs w:val="18"/>
              </w:rPr>
              <w:t>10</w:t>
            </w:r>
          </w:p>
        </w:tc>
      </w:tr>
    </w:tbl>
    <w:p w14:paraId="16DC691E" w14:textId="77777777" w:rsidR="00797D40" w:rsidRDefault="00797D40" w:rsidP="00797D40">
      <w:pPr>
        <w:overflowPunct/>
        <w:autoSpaceDE/>
        <w:autoSpaceDN/>
        <w:adjustRightInd/>
        <w:textAlignment w:val="auto"/>
        <w:rPr>
          <w:rFonts w:asciiTheme="majorBidi" w:hAnsiTheme="majorBidi" w:cstheme="majorBidi"/>
          <w:strike/>
          <w:color w:val="1C1C1C"/>
          <w:sz w:val="18"/>
          <w:szCs w:val="18"/>
          <w:shd w:val="clear" w:color="auto" w:fill="FFFFFF"/>
        </w:rPr>
      </w:pPr>
    </w:p>
    <w:p w14:paraId="050E64E0" w14:textId="77777777" w:rsidR="00797D40" w:rsidRDefault="00797D40" w:rsidP="00797D40">
      <w:pPr>
        <w:overflowPunct/>
        <w:autoSpaceDE/>
        <w:autoSpaceDN/>
        <w:adjustRightInd/>
        <w:textAlignment w:val="auto"/>
        <w:rPr>
          <w:rFonts w:asciiTheme="majorBidi" w:hAnsiTheme="majorBidi" w:cstheme="majorBidi"/>
          <w:strike/>
          <w:color w:val="1C1C1C"/>
          <w:sz w:val="18"/>
          <w:szCs w:val="18"/>
          <w:shd w:val="clear" w:color="auto" w:fill="FFFFFF"/>
        </w:rPr>
      </w:pPr>
    </w:p>
    <w:p w14:paraId="0334B431" w14:textId="5B5A752B" w:rsidR="00797D40" w:rsidRDefault="00797D40" w:rsidP="00797D40">
      <w:pPr>
        <w:pStyle w:val="Corpsdetexte"/>
        <w:ind w:firstLine="0"/>
      </w:pPr>
      <w:r>
        <w:t xml:space="preserve">TABLE </w:t>
      </w:r>
      <w:r w:rsidR="00A85BF5">
        <w:t>2</w:t>
      </w:r>
      <w:r>
        <w:t>.</w:t>
      </w:r>
      <w:r w:rsidR="008621F3">
        <w:t xml:space="preserve"> TIME PERIODS AND FINANCIAL PARAMETERS</w:t>
      </w:r>
    </w:p>
    <w:p w14:paraId="17F165B0" w14:textId="77777777" w:rsidR="00797D40" w:rsidRPr="009656D9" w:rsidRDefault="00797D40" w:rsidP="00797D40">
      <w:pPr>
        <w:pStyle w:val="Corpsdetexte"/>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129"/>
      </w:tblGrid>
      <w:tr w:rsidR="00797D40" w:rsidRPr="009656D9" w14:paraId="55A33E54" w14:textId="77777777" w:rsidTr="002308F6">
        <w:trPr>
          <w:jc w:val="center"/>
        </w:trPr>
        <w:tc>
          <w:tcPr>
            <w:tcW w:w="4253" w:type="dxa"/>
            <w:tcBorders>
              <w:top w:val="single" w:sz="4" w:space="0" w:color="auto"/>
              <w:bottom w:val="single" w:sz="4" w:space="0" w:color="auto"/>
            </w:tcBorders>
          </w:tcPr>
          <w:p w14:paraId="22D6D906" w14:textId="6757FFC1" w:rsidR="00797D40" w:rsidRPr="00650FF3" w:rsidRDefault="003A304F" w:rsidP="008A0D4F">
            <w:pPr>
              <w:pStyle w:val="Corpsdetexte"/>
              <w:ind w:firstLine="0"/>
              <w:rPr>
                <w:sz w:val="18"/>
                <w:szCs w:val="18"/>
              </w:rPr>
            </w:pPr>
            <w:r>
              <w:rPr>
                <w:sz w:val="18"/>
                <w:szCs w:val="18"/>
              </w:rPr>
              <w:t xml:space="preserve">Designation </w:t>
            </w:r>
          </w:p>
        </w:tc>
        <w:tc>
          <w:tcPr>
            <w:tcW w:w="2129" w:type="dxa"/>
            <w:tcBorders>
              <w:top w:val="single" w:sz="4" w:space="0" w:color="auto"/>
              <w:bottom w:val="single" w:sz="4" w:space="0" w:color="auto"/>
            </w:tcBorders>
          </w:tcPr>
          <w:p w14:paraId="27507B9F" w14:textId="7B596F35" w:rsidR="00797D40" w:rsidRPr="00650FF3" w:rsidRDefault="008621F3" w:rsidP="008A0D4F">
            <w:pPr>
              <w:pStyle w:val="Corpsdetexte"/>
              <w:ind w:left="-106" w:firstLine="0"/>
              <w:jc w:val="center"/>
              <w:rPr>
                <w:sz w:val="18"/>
                <w:szCs w:val="18"/>
              </w:rPr>
            </w:pPr>
            <w:r>
              <w:rPr>
                <w:sz w:val="18"/>
                <w:szCs w:val="18"/>
              </w:rPr>
              <w:t>Value</w:t>
            </w:r>
          </w:p>
        </w:tc>
      </w:tr>
      <w:tr w:rsidR="008621F3" w:rsidRPr="009656D9" w14:paraId="7935C8C3" w14:textId="77777777" w:rsidTr="00D30960">
        <w:trPr>
          <w:jc w:val="center"/>
        </w:trPr>
        <w:tc>
          <w:tcPr>
            <w:tcW w:w="6382" w:type="dxa"/>
            <w:gridSpan w:val="2"/>
            <w:tcBorders>
              <w:top w:val="single" w:sz="4" w:space="0" w:color="auto"/>
            </w:tcBorders>
          </w:tcPr>
          <w:p w14:paraId="403CD7F6" w14:textId="0976F904" w:rsidR="008621F3" w:rsidRPr="008621F3" w:rsidRDefault="008621F3" w:rsidP="008621F3">
            <w:pPr>
              <w:pStyle w:val="Corpsdetexte"/>
              <w:ind w:firstLine="0"/>
              <w:rPr>
                <w:b/>
                <w:bCs/>
                <w:sz w:val="18"/>
                <w:szCs w:val="18"/>
              </w:rPr>
            </w:pPr>
            <w:r w:rsidRPr="008621F3">
              <w:rPr>
                <w:b/>
                <w:bCs/>
                <w:sz w:val="18"/>
                <w:szCs w:val="18"/>
              </w:rPr>
              <w:t>General cost and operating parameters</w:t>
            </w:r>
          </w:p>
        </w:tc>
      </w:tr>
      <w:tr w:rsidR="00797D40" w:rsidRPr="009656D9" w14:paraId="5E934516" w14:textId="77777777" w:rsidTr="00147719">
        <w:trPr>
          <w:jc w:val="center"/>
        </w:trPr>
        <w:tc>
          <w:tcPr>
            <w:tcW w:w="4253" w:type="dxa"/>
            <w:shd w:val="clear" w:color="auto" w:fill="FFFFFF" w:themeFill="background1"/>
          </w:tcPr>
          <w:p w14:paraId="1F63DD39" w14:textId="5A979B5A" w:rsidR="00797D40" w:rsidRPr="00650FF3" w:rsidRDefault="008621F3" w:rsidP="008A0D4F">
            <w:pPr>
              <w:pStyle w:val="Corpsdetexte"/>
              <w:ind w:firstLine="0"/>
              <w:rPr>
                <w:sz w:val="18"/>
                <w:szCs w:val="18"/>
              </w:rPr>
            </w:pPr>
            <w:r>
              <w:rPr>
                <w:sz w:val="18"/>
                <w:szCs w:val="18"/>
              </w:rPr>
              <w:t>Discount rate</w:t>
            </w:r>
            <w:r w:rsidR="00797D40" w:rsidRPr="00650FF3">
              <w:rPr>
                <w:sz w:val="18"/>
                <w:szCs w:val="18"/>
              </w:rPr>
              <w:t xml:space="preserve"> </w:t>
            </w:r>
          </w:p>
        </w:tc>
        <w:tc>
          <w:tcPr>
            <w:tcW w:w="2129" w:type="dxa"/>
            <w:shd w:val="clear" w:color="auto" w:fill="FFFFFF" w:themeFill="background1"/>
          </w:tcPr>
          <w:p w14:paraId="552A9B43" w14:textId="1EA429C1" w:rsidR="00797D40" w:rsidRPr="00650FF3" w:rsidRDefault="005F6F9E" w:rsidP="008A0D4F">
            <w:pPr>
              <w:pStyle w:val="Corpsdetexte"/>
              <w:ind w:firstLine="0"/>
              <w:jc w:val="center"/>
              <w:rPr>
                <w:sz w:val="18"/>
                <w:szCs w:val="18"/>
              </w:rPr>
            </w:pPr>
            <w:r>
              <w:rPr>
                <w:sz w:val="18"/>
                <w:szCs w:val="18"/>
              </w:rPr>
              <w:t>10%</w:t>
            </w:r>
          </w:p>
        </w:tc>
      </w:tr>
      <w:tr w:rsidR="008621F3" w:rsidRPr="009656D9" w14:paraId="480DDE10" w14:textId="77777777" w:rsidTr="00147719">
        <w:trPr>
          <w:jc w:val="center"/>
        </w:trPr>
        <w:tc>
          <w:tcPr>
            <w:tcW w:w="4253" w:type="dxa"/>
            <w:shd w:val="clear" w:color="auto" w:fill="FFFFFF" w:themeFill="background1"/>
          </w:tcPr>
          <w:p w14:paraId="4BEB8284" w14:textId="7F97ED44" w:rsidR="008621F3" w:rsidRPr="00650FF3" w:rsidRDefault="008621F3" w:rsidP="008A0D4F">
            <w:pPr>
              <w:pStyle w:val="Corpsdetexte"/>
              <w:ind w:firstLine="0"/>
              <w:rPr>
                <w:sz w:val="18"/>
                <w:szCs w:val="18"/>
              </w:rPr>
            </w:pPr>
            <w:r>
              <w:rPr>
                <w:sz w:val="18"/>
                <w:szCs w:val="18"/>
              </w:rPr>
              <w:t>Inflation rate</w:t>
            </w:r>
          </w:p>
        </w:tc>
        <w:tc>
          <w:tcPr>
            <w:tcW w:w="2129" w:type="dxa"/>
            <w:shd w:val="clear" w:color="auto" w:fill="FFFFFF" w:themeFill="background1"/>
          </w:tcPr>
          <w:p w14:paraId="24FAE41C" w14:textId="7FDFDCB2" w:rsidR="008621F3" w:rsidRPr="00650FF3" w:rsidRDefault="005F6F9E" w:rsidP="008A0D4F">
            <w:pPr>
              <w:pStyle w:val="Corpsdetexte"/>
              <w:ind w:firstLine="0"/>
              <w:jc w:val="center"/>
              <w:rPr>
                <w:sz w:val="18"/>
                <w:szCs w:val="18"/>
              </w:rPr>
            </w:pPr>
            <w:r>
              <w:rPr>
                <w:sz w:val="18"/>
                <w:szCs w:val="18"/>
              </w:rPr>
              <w:t>6%</w:t>
            </w:r>
          </w:p>
        </w:tc>
      </w:tr>
      <w:tr w:rsidR="00797D40" w:rsidRPr="009656D9" w14:paraId="1A320BF6" w14:textId="77777777" w:rsidTr="00147719">
        <w:trPr>
          <w:jc w:val="center"/>
        </w:trPr>
        <w:tc>
          <w:tcPr>
            <w:tcW w:w="4253" w:type="dxa"/>
            <w:shd w:val="clear" w:color="auto" w:fill="FFFFFF" w:themeFill="background1"/>
          </w:tcPr>
          <w:p w14:paraId="52CE3E79" w14:textId="7E944031" w:rsidR="00797D40" w:rsidRPr="00650FF3" w:rsidRDefault="008621F3" w:rsidP="008A0D4F">
            <w:pPr>
              <w:pStyle w:val="Corpsdetexte"/>
              <w:ind w:firstLine="0"/>
              <w:rPr>
                <w:sz w:val="18"/>
                <w:szCs w:val="18"/>
              </w:rPr>
            </w:pPr>
            <w:r>
              <w:rPr>
                <w:sz w:val="18"/>
                <w:szCs w:val="18"/>
              </w:rPr>
              <w:t>Interest rate</w:t>
            </w:r>
          </w:p>
        </w:tc>
        <w:tc>
          <w:tcPr>
            <w:tcW w:w="2129" w:type="dxa"/>
            <w:shd w:val="clear" w:color="auto" w:fill="FFFFFF" w:themeFill="background1"/>
          </w:tcPr>
          <w:p w14:paraId="4D3F8DDC" w14:textId="0C267AB9" w:rsidR="00797D40" w:rsidRPr="00650FF3" w:rsidRDefault="005F6F9E" w:rsidP="008A0D4F">
            <w:pPr>
              <w:pStyle w:val="Corpsdetexte"/>
              <w:ind w:firstLine="0"/>
              <w:jc w:val="center"/>
              <w:rPr>
                <w:sz w:val="18"/>
                <w:szCs w:val="18"/>
              </w:rPr>
            </w:pPr>
            <w:r>
              <w:rPr>
                <w:sz w:val="18"/>
                <w:szCs w:val="18"/>
              </w:rPr>
              <w:t>10%</w:t>
            </w:r>
          </w:p>
        </w:tc>
      </w:tr>
      <w:tr w:rsidR="00797D40" w:rsidRPr="009656D9" w14:paraId="290DCCA8" w14:textId="77777777" w:rsidTr="00147719">
        <w:trPr>
          <w:jc w:val="center"/>
        </w:trPr>
        <w:tc>
          <w:tcPr>
            <w:tcW w:w="4253" w:type="dxa"/>
            <w:shd w:val="clear" w:color="auto" w:fill="FFFFFF" w:themeFill="background1"/>
          </w:tcPr>
          <w:p w14:paraId="0D01AA72" w14:textId="427F9B82" w:rsidR="00797D40" w:rsidRPr="00650FF3" w:rsidRDefault="008621F3" w:rsidP="008A0D4F">
            <w:pPr>
              <w:pStyle w:val="Corpsdetexte"/>
              <w:ind w:firstLine="0"/>
              <w:rPr>
                <w:sz w:val="18"/>
                <w:szCs w:val="18"/>
              </w:rPr>
            </w:pPr>
            <w:r>
              <w:rPr>
                <w:sz w:val="18"/>
                <w:szCs w:val="18"/>
              </w:rPr>
              <w:t>Tax rate</w:t>
            </w:r>
            <w:r w:rsidR="00797D40" w:rsidRPr="00650FF3">
              <w:rPr>
                <w:sz w:val="18"/>
                <w:szCs w:val="18"/>
              </w:rPr>
              <w:t xml:space="preserve"> </w:t>
            </w:r>
          </w:p>
        </w:tc>
        <w:tc>
          <w:tcPr>
            <w:tcW w:w="2129" w:type="dxa"/>
            <w:shd w:val="clear" w:color="auto" w:fill="FFFFFF" w:themeFill="background1"/>
          </w:tcPr>
          <w:p w14:paraId="13F4953C" w14:textId="34BE1EE4" w:rsidR="00797D40" w:rsidRPr="00650FF3" w:rsidRDefault="005F6F9E" w:rsidP="008A0D4F">
            <w:pPr>
              <w:pStyle w:val="Corpsdetexte"/>
              <w:ind w:firstLine="0"/>
              <w:jc w:val="center"/>
              <w:rPr>
                <w:sz w:val="18"/>
                <w:szCs w:val="18"/>
              </w:rPr>
            </w:pPr>
            <w:r>
              <w:rPr>
                <w:sz w:val="18"/>
                <w:szCs w:val="18"/>
              </w:rPr>
              <w:t>20%</w:t>
            </w:r>
          </w:p>
        </w:tc>
      </w:tr>
      <w:tr w:rsidR="008621F3" w:rsidRPr="009656D9" w14:paraId="0CBEB951" w14:textId="77777777" w:rsidTr="00147719">
        <w:trPr>
          <w:jc w:val="center"/>
        </w:trPr>
        <w:tc>
          <w:tcPr>
            <w:tcW w:w="4253" w:type="dxa"/>
            <w:shd w:val="clear" w:color="auto" w:fill="FFFFFF" w:themeFill="background1"/>
          </w:tcPr>
          <w:p w14:paraId="44863A18" w14:textId="3A431DFB" w:rsidR="008621F3" w:rsidRDefault="008621F3" w:rsidP="008A0D4F">
            <w:pPr>
              <w:pStyle w:val="Corpsdetexte"/>
              <w:ind w:firstLine="0"/>
              <w:rPr>
                <w:sz w:val="18"/>
                <w:szCs w:val="18"/>
              </w:rPr>
            </w:pPr>
            <w:r>
              <w:rPr>
                <w:sz w:val="18"/>
                <w:szCs w:val="18"/>
              </w:rPr>
              <w:t>Equity/debt</w:t>
            </w:r>
          </w:p>
        </w:tc>
        <w:tc>
          <w:tcPr>
            <w:tcW w:w="2129" w:type="dxa"/>
            <w:shd w:val="clear" w:color="auto" w:fill="FFFFFF" w:themeFill="background1"/>
          </w:tcPr>
          <w:p w14:paraId="6C6F8142" w14:textId="1C297AD3" w:rsidR="008621F3" w:rsidRPr="00650FF3" w:rsidRDefault="005F6F9E" w:rsidP="008A0D4F">
            <w:pPr>
              <w:pStyle w:val="Corpsdetexte"/>
              <w:ind w:firstLine="0"/>
              <w:jc w:val="center"/>
              <w:rPr>
                <w:sz w:val="18"/>
                <w:szCs w:val="18"/>
              </w:rPr>
            </w:pPr>
            <w:r>
              <w:rPr>
                <w:sz w:val="18"/>
                <w:szCs w:val="18"/>
              </w:rPr>
              <w:t>70%/30%</w:t>
            </w:r>
          </w:p>
        </w:tc>
      </w:tr>
      <w:tr w:rsidR="005F6F9E" w:rsidRPr="009656D9" w14:paraId="7407BEF3" w14:textId="77777777" w:rsidTr="00147719">
        <w:trPr>
          <w:jc w:val="center"/>
        </w:trPr>
        <w:tc>
          <w:tcPr>
            <w:tcW w:w="4253" w:type="dxa"/>
            <w:shd w:val="clear" w:color="auto" w:fill="FFFFFF" w:themeFill="background1"/>
          </w:tcPr>
          <w:p w14:paraId="68F395BB" w14:textId="7870FC0B" w:rsidR="005F6F9E" w:rsidRDefault="005F6F9E" w:rsidP="008A0D4F">
            <w:pPr>
              <w:pStyle w:val="Corpsdetexte"/>
              <w:ind w:firstLine="0"/>
              <w:rPr>
                <w:sz w:val="18"/>
                <w:szCs w:val="18"/>
              </w:rPr>
            </w:pPr>
            <w:r>
              <w:rPr>
                <w:sz w:val="18"/>
                <w:szCs w:val="18"/>
              </w:rPr>
              <w:t>Borrowing interest</w:t>
            </w:r>
          </w:p>
        </w:tc>
        <w:tc>
          <w:tcPr>
            <w:tcW w:w="2129" w:type="dxa"/>
            <w:shd w:val="clear" w:color="auto" w:fill="FFFFFF" w:themeFill="background1"/>
          </w:tcPr>
          <w:p w14:paraId="63C41287" w14:textId="7C9F38F1" w:rsidR="005F6F9E" w:rsidRDefault="00FE5AAC" w:rsidP="008A0D4F">
            <w:pPr>
              <w:pStyle w:val="Corpsdetexte"/>
              <w:ind w:firstLine="0"/>
              <w:jc w:val="center"/>
              <w:rPr>
                <w:sz w:val="18"/>
                <w:szCs w:val="18"/>
              </w:rPr>
            </w:pPr>
            <w:r>
              <w:rPr>
                <w:sz w:val="18"/>
                <w:szCs w:val="18"/>
              </w:rPr>
              <w:t>6</w:t>
            </w:r>
            <w:r w:rsidR="005F6F9E">
              <w:rPr>
                <w:sz w:val="18"/>
                <w:szCs w:val="18"/>
              </w:rPr>
              <w:t>%</w:t>
            </w:r>
          </w:p>
        </w:tc>
      </w:tr>
      <w:tr w:rsidR="008621F3" w:rsidRPr="009656D9" w14:paraId="0D578671" w14:textId="77777777" w:rsidTr="00147719">
        <w:trPr>
          <w:jc w:val="center"/>
        </w:trPr>
        <w:tc>
          <w:tcPr>
            <w:tcW w:w="4253" w:type="dxa"/>
            <w:shd w:val="clear" w:color="auto" w:fill="FFFFFF" w:themeFill="background1"/>
          </w:tcPr>
          <w:p w14:paraId="596CB683" w14:textId="14159339" w:rsidR="008621F3" w:rsidRDefault="008621F3" w:rsidP="008A0D4F">
            <w:pPr>
              <w:pStyle w:val="Corpsdetexte"/>
              <w:ind w:firstLine="0"/>
              <w:rPr>
                <w:sz w:val="18"/>
                <w:szCs w:val="18"/>
              </w:rPr>
            </w:pPr>
            <w:r>
              <w:rPr>
                <w:sz w:val="18"/>
                <w:szCs w:val="18"/>
              </w:rPr>
              <w:t>Depreciation period</w:t>
            </w:r>
          </w:p>
        </w:tc>
        <w:tc>
          <w:tcPr>
            <w:tcW w:w="2129" w:type="dxa"/>
            <w:shd w:val="clear" w:color="auto" w:fill="FFFFFF" w:themeFill="background1"/>
          </w:tcPr>
          <w:p w14:paraId="3AA2A9C4" w14:textId="7BCB6B87" w:rsidR="008621F3" w:rsidRPr="00650FF3" w:rsidRDefault="00A321A5" w:rsidP="008A0D4F">
            <w:pPr>
              <w:pStyle w:val="Corpsdetexte"/>
              <w:ind w:firstLine="0"/>
              <w:jc w:val="center"/>
              <w:rPr>
                <w:sz w:val="18"/>
                <w:szCs w:val="18"/>
              </w:rPr>
            </w:pPr>
            <w:r>
              <w:rPr>
                <w:sz w:val="18"/>
                <w:szCs w:val="18"/>
              </w:rPr>
              <w:t>20 years</w:t>
            </w:r>
          </w:p>
        </w:tc>
      </w:tr>
      <w:tr w:rsidR="008621F3" w:rsidRPr="009656D9" w14:paraId="5ED2D6C1" w14:textId="77777777" w:rsidTr="00147719">
        <w:trPr>
          <w:jc w:val="center"/>
        </w:trPr>
        <w:tc>
          <w:tcPr>
            <w:tcW w:w="4253" w:type="dxa"/>
            <w:shd w:val="clear" w:color="auto" w:fill="FFFFFF" w:themeFill="background1"/>
          </w:tcPr>
          <w:p w14:paraId="71FC069B" w14:textId="296D678B" w:rsidR="008621F3" w:rsidRDefault="008621F3" w:rsidP="008A0D4F">
            <w:pPr>
              <w:pStyle w:val="Corpsdetexte"/>
              <w:ind w:firstLine="0"/>
              <w:rPr>
                <w:sz w:val="18"/>
                <w:szCs w:val="18"/>
              </w:rPr>
            </w:pPr>
            <w:r>
              <w:rPr>
                <w:sz w:val="18"/>
                <w:szCs w:val="18"/>
              </w:rPr>
              <w:t>Construction period</w:t>
            </w:r>
          </w:p>
        </w:tc>
        <w:tc>
          <w:tcPr>
            <w:tcW w:w="2129" w:type="dxa"/>
            <w:shd w:val="clear" w:color="auto" w:fill="FFFFFF" w:themeFill="background1"/>
          </w:tcPr>
          <w:p w14:paraId="6C9658A0" w14:textId="17D38EB5" w:rsidR="008621F3" w:rsidRPr="00650FF3" w:rsidRDefault="00A321A5" w:rsidP="008A0D4F">
            <w:pPr>
              <w:pStyle w:val="Corpsdetexte"/>
              <w:ind w:firstLine="0"/>
              <w:jc w:val="center"/>
              <w:rPr>
                <w:sz w:val="18"/>
                <w:szCs w:val="18"/>
              </w:rPr>
            </w:pPr>
            <w:r>
              <w:rPr>
                <w:sz w:val="18"/>
                <w:szCs w:val="18"/>
              </w:rPr>
              <w:t>4 years</w:t>
            </w:r>
          </w:p>
        </w:tc>
      </w:tr>
      <w:tr w:rsidR="008621F3" w:rsidRPr="009656D9" w14:paraId="4E071A4C" w14:textId="77777777" w:rsidTr="00147719">
        <w:trPr>
          <w:jc w:val="center"/>
        </w:trPr>
        <w:tc>
          <w:tcPr>
            <w:tcW w:w="4253" w:type="dxa"/>
            <w:shd w:val="clear" w:color="auto" w:fill="FFFFFF" w:themeFill="background1"/>
          </w:tcPr>
          <w:p w14:paraId="7B4AB7F3" w14:textId="1FFF9167" w:rsidR="008621F3" w:rsidRDefault="008621F3" w:rsidP="008A0D4F">
            <w:pPr>
              <w:pStyle w:val="Corpsdetexte"/>
              <w:ind w:firstLine="0"/>
              <w:rPr>
                <w:sz w:val="18"/>
                <w:szCs w:val="18"/>
              </w:rPr>
            </w:pPr>
            <w:r>
              <w:rPr>
                <w:sz w:val="18"/>
                <w:szCs w:val="18"/>
              </w:rPr>
              <w:t>Operation lifetime</w:t>
            </w:r>
          </w:p>
        </w:tc>
        <w:tc>
          <w:tcPr>
            <w:tcW w:w="2129" w:type="dxa"/>
            <w:shd w:val="clear" w:color="auto" w:fill="FFFFFF" w:themeFill="background1"/>
          </w:tcPr>
          <w:p w14:paraId="7C7FCDCD" w14:textId="11259586" w:rsidR="008621F3" w:rsidRPr="00650FF3" w:rsidRDefault="00A321A5" w:rsidP="008A0D4F">
            <w:pPr>
              <w:pStyle w:val="Corpsdetexte"/>
              <w:ind w:firstLine="0"/>
              <w:jc w:val="center"/>
              <w:rPr>
                <w:sz w:val="18"/>
                <w:szCs w:val="18"/>
              </w:rPr>
            </w:pPr>
            <w:r>
              <w:rPr>
                <w:sz w:val="18"/>
                <w:szCs w:val="18"/>
              </w:rPr>
              <w:t>60 years</w:t>
            </w:r>
          </w:p>
        </w:tc>
      </w:tr>
      <w:tr w:rsidR="008621F3" w:rsidRPr="009656D9" w14:paraId="3F9B0ADF" w14:textId="77777777" w:rsidTr="00147719">
        <w:trPr>
          <w:jc w:val="center"/>
        </w:trPr>
        <w:tc>
          <w:tcPr>
            <w:tcW w:w="4253" w:type="dxa"/>
            <w:shd w:val="clear" w:color="auto" w:fill="FFFFFF" w:themeFill="background1"/>
          </w:tcPr>
          <w:p w14:paraId="2FFB51A8" w14:textId="78C728A7" w:rsidR="008621F3" w:rsidRDefault="008621F3" w:rsidP="008A0D4F">
            <w:pPr>
              <w:pStyle w:val="Corpsdetexte"/>
              <w:ind w:firstLine="0"/>
              <w:rPr>
                <w:sz w:val="18"/>
                <w:szCs w:val="18"/>
              </w:rPr>
            </w:pPr>
            <w:r>
              <w:rPr>
                <w:sz w:val="18"/>
                <w:szCs w:val="18"/>
              </w:rPr>
              <w:t>Cooling before decommissioning</w:t>
            </w:r>
          </w:p>
        </w:tc>
        <w:tc>
          <w:tcPr>
            <w:tcW w:w="2129" w:type="dxa"/>
            <w:shd w:val="clear" w:color="auto" w:fill="FFFFFF" w:themeFill="background1"/>
          </w:tcPr>
          <w:p w14:paraId="57785D2A" w14:textId="3A096C5D" w:rsidR="008621F3" w:rsidRPr="00650FF3" w:rsidRDefault="00A321A5" w:rsidP="008A0D4F">
            <w:pPr>
              <w:pStyle w:val="Corpsdetexte"/>
              <w:ind w:firstLine="0"/>
              <w:jc w:val="center"/>
              <w:rPr>
                <w:sz w:val="18"/>
                <w:szCs w:val="18"/>
              </w:rPr>
            </w:pPr>
            <w:r>
              <w:rPr>
                <w:sz w:val="18"/>
                <w:szCs w:val="18"/>
              </w:rPr>
              <w:t>1 year</w:t>
            </w:r>
          </w:p>
        </w:tc>
      </w:tr>
      <w:tr w:rsidR="008621F3" w:rsidRPr="009656D9" w14:paraId="058CBE7A" w14:textId="77777777" w:rsidTr="00147719">
        <w:trPr>
          <w:jc w:val="center"/>
        </w:trPr>
        <w:tc>
          <w:tcPr>
            <w:tcW w:w="4253" w:type="dxa"/>
            <w:shd w:val="clear" w:color="auto" w:fill="FFFFFF" w:themeFill="background1"/>
          </w:tcPr>
          <w:p w14:paraId="6D61B5E3" w14:textId="37FA5F5C" w:rsidR="008621F3" w:rsidRDefault="008621F3" w:rsidP="008A0D4F">
            <w:pPr>
              <w:pStyle w:val="Corpsdetexte"/>
              <w:ind w:firstLine="0"/>
              <w:rPr>
                <w:sz w:val="18"/>
                <w:szCs w:val="18"/>
              </w:rPr>
            </w:pPr>
            <w:r>
              <w:rPr>
                <w:sz w:val="18"/>
                <w:szCs w:val="18"/>
              </w:rPr>
              <w:t xml:space="preserve">Decommissioning </w:t>
            </w:r>
          </w:p>
        </w:tc>
        <w:tc>
          <w:tcPr>
            <w:tcW w:w="2129" w:type="dxa"/>
            <w:shd w:val="clear" w:color="auto" w:fill="FFFFFF" w:themeFill="background1"/>
          </w:tcPr>
          <w:p w14:paraId="588BC837" w14:textId="4FBA267A" w:rsidR="008621F3" w:rsidRPr="00650FF3" w:rsidRDefault="00A321A5" w:rsidP="008A0D4F">
            <w:pPr>
              <w:pStyle w:val="Corpsdetexte"/>
              <w:ind w:firstLine="0"/>
              <w:jc w:val="center"/>
              <w:rPr>
                <w:sz w:val="18"/>
                <w:szCs w:val="18"/>
              </w:rPr>
            </w:pPr>
            <w:r>
              <w:rPr>
                <w:sz w:val="18"/>
                <w:szCs w:val="18"/>
              </w:rPr>
              <w:t>9 years</w:t>
            </w:r>
          </w:p>
        </w:tc>
      </w:tr>
      <w:tr w:rsidR="00FE4B46" w:rsidRPr="009656D9" w14:paraId="3A1CC7CE" w14:textId="77777777" w:rsidTr="00147719">
        <w:trPr>
          <w:jc w:val="center"/>
        </w:trPr>
        <w:tc>
          <w:tcPr>
            <w:tcW w:w="4253" w:type="dxa"/>
            <w:shd w:val="clear" w:color="auto" w:fill="FFFFFF" w:themeFill="background1"/>
          </w:tcPr>
          <w:p w14:paraId="2586BB6D" w14:textId="63AB8C74" w:rsidR="00FE4B46" w:rsidRDefault="00900E77" w:rsidP="00900E77">
            <w:pPr>
              <w:pStyle w:val="Corpsdetexte"/>
              <w:ind w:firstLine="0"/>
              <w:rPr>
                <w:sz w:val="18"/>
                <w:szCs w:val="18"/>
              </w:rPr>
            </w:pPr>
            <w:r>
              <w:rPr>
                <w:sz w:val="18"/>
                <w:szCs w:val="18"/>
              </w:rPr>
              <w:t>R</w:t>
            </w:r>
            <w:r w:rsidRPr="00900E77">
              <w:rPr>
                <w:sz w:val="18"/>
                <w:szCs w:val="18"/>
              </w:rPr>
              <w:t>efurbishment</w:t>
            </w:r>
          </w:p>
        </w:tc>
        <w:tc>
          <w:tcPr>
            <w:tcW w:w="2129" w:type="dxa"/>
            <w:shd w:val="clear" w:color="auto" w:fill="FFFFFF" w:themeFill="background1"/>
          </w:tcPr>
          <w:p w14:paraId="3CD10796" w14:textId="1D907201" w:rsidR="00FE4B46" w:rsidRDefault="00900E77" w:rsidP="008A0D4F">
            <w:pPr>
              <w:pStyle w:val="Corpsdetexte"/>
              <w:ind w:firstLine="0"/>
              <w:jc w:val="center"/>
              <w:rPr>
                <w:sz w:val="18"/>
                <w:szCs w:val="18"/>
              </w:rPr>
            </w:pPr>
            <w:r>
              <w:rPr>
                <w:sz w:val="18"/>
                <w:szCs w:val="18"/>
              </w:rPr>
              <w:t>30 years</w:t>
            </w:r>
          </w:p>
        </w:tc>
      </w:tr>
      <w:tr w:rsidR="008621F3" w:rsidRPr="009656D9" w14:paraId="3706909A" w14:textId="77777777" w:rsidTr="00147719">
        <w:trPr>
          <w:jc w:val="center"/>
        </w:trPr>
        <w:tc>
          <w:tcPr>
            <w:tcW w:w="4253" w:type="dxa"/>
            <w:shd w:val="clear" w:color="auto" w:fill="FFFFFF" w:themeFill="background1"/>
          </w:tcPr>
          <w:p w14:paraId="4BCCADE6" w14:textId="7AED9D41" w:rsidR="008621F3" w:rsidRDefault="008621F3" w:rsidP="008A0D4F">
            <w:pPr>
              <w:pStyle w:val="Corpsdetexte"/>
              <w:ind w:firstLine="0"/>
              <w:rPr>
                <w:sz w:val="18"/>
                <w:szCs w:val="18"/>
              </w:rPr>
            </w:pPr>
            <w:r>
              <w:rPr>
                <w:sz w:val="18"/>
                <w:szCs w:val="18"/>
              </w:rPr>
              <w:t>Fuel cycle</w:t>
            </w:r>
          </w:p>
        </w:tc>
        <w:tc>
          <w:tcPr>
            <w:tcW w:w="2129" w:type="dxa"/>
            <w:shd w:val="clear" w:color="auto" w:fill="FFFFFF" w:themeFill="background1"/>
          </w:tcPr>
          <w:p w14:paraId="06384047" w14:textId="6A85D8F1" w:rsidR="008621F3" w:rsidRPr="00650FF3" w:rsidRDefault="00A321A5" w:rsidP="008A0D4F">
            <w:pPr>
              <w:pStyle w:val="Corpsdetexte"/>
              <w:ind w:firstLine="0"/>
              <w:jc w:val="center"/>
              <w:rPr>
                <w:sz w:val="18"/>
                <w:szCs w:val="18"/>
              </w:rPr>
            </w:pPr>
            <w:r>
              <w:rPr>
                <w:sz w:val="18"/>
                <w:szCs w:val="18"/>
              </w:rPr>
              <w:t>2</w:t>
            </w:r>
            <w:r w:rsidR="00537A79">
              <w:rPr>
                <w:sz w:val="18"/>
                <w:szCs w:val="18"/>
              </w:rPr>
              <w:t>4</w:t>
            </w:r>
            <w:r>
              <w:rPr>
                <w:sz w:val="18"/>
                <w:szCs w:val="18"/>
              </w:rPr>
              <w:t xml:space="preserve"> months</w:t>
            </w:r>
          </w:p>
        </w:tc>
      </w:tr>
      <w:tr w:rsidR="008621F3" w:rsidRPr="009656D9" w14:paraId="24956FBA" w14:textId="77777777" w:rsidTr="00147719">
        <w:trPr>
          <w:jc w:val="center"/>
        </w:trPr>
        <w:tc>
          <w:tcPr>
            <w:tcW w:w="4253" w:type="dxa"/>
            <w:shd w:val="clear" w:color="auto" w:fill="FFFFFF" w:themeFill="background1"/>
          </w:tcPr>
          <w:p w14:paraId="1128D887" w14:textId="7B3CE88D" w:rsidR="008621F3" w:rsidRDefault="008621F3" w:rsidP="008A0D4F">
            <w:pPr>
              <w:pStyle w:val="Corpsdetexte"/>
              <w:ind w:firstLine="0"/>
              <w:rPr>
                <w:sz w:val="18"/>
                <w:szCs w:val="18"/>
              </w:rPr>
            </w:pPr>
            <w:r>
              <w:rPr>
                <w:sz w:val="18"/>
                <w:szCs w:val="18"/>
              </w:rPr>
              <w:t>Waste cooling period</w:t>
            </w:r>
          </w:p>
        </w:tc>
        <w:tc>
          <w:tcPr>
            <w:tcW w:w="2129" w:type="dxa"/>
            <w:shd w:val="clear" w:color="auto" w:fill="FFFFFF" w:themeFill="background1"/>
          </w:tcPr>
          <w:p w14:paraId="6707780D" w14:textId="1D96CDBC" w:rsidR="008621F3" w:rsidRPr="00650FF3" w:rsidRDefault="00A321A5" w:rsidP="008A0D4F">
            <w:pPr>
              <w:pStyle w:val="Corpsdetexte"/>
              <w:ind w:firstLine="0"/>
              <w:jc w:val="center"/>
              <w:rPr>
                <w:sz w:val="18"/>
                <w:szCs w:val="18"/>
              </w:rPr>
            </w:pPr>
            <w:r>
              <w:rPr>
                <w:sz w:val="18"/>
                <w:szCs w:val="18"/>
              </w:rPr>
              <w:t>24 months</w:t>
            </w:r>
          </w:p>
        </w:tc>
      </w:tr>
      <w:tr w:rsidR="008621F3" w:rsidRPr="009656D9" w14:paraId="5D42F389" w14:textId="77777777" w:rsidTr="00147719">
        <w:trPr>
          <w:jc w:val="center"/>
        </w:trPr>
        <w:tc>
          <w:tcPr>
            <w:tcW w:w="4253" w:type="dxa"/>
            <w:shd w:val="clear" w:color="auto" w:fill="FFFFFF" w:themeFill="background1"/>
          </w:tcPr>
          <w:p w14:paraId="70ED3FBA" w14:textId="02B529B3" w:rsidR="008621F3" w:rsidRDefault="008621F3" w:rsidP="008A0D4F">
            <w:pPr>
              <w:pStyle w:val="Corpsdetexte"/>
              <w:ind w:firstLine="0"/>
              <w:rPr>
                <w:sz w:val="18"/>
                <w:szCs w:val="18"/>
              </w:rPr>
            </w:pPr>
            <w:r>
              <w:rPr>
                <w:sz w:val="18"/>
                <w:szCs w:val="18"/>
              </w:rPr>
              <w:t>Capacity factor</w:t>
            </w:r>
          </w:p>
        </w:tc>
        <w:tc>
          <w:tcPr>
            <w:tcW w:w="2129" w:type="dxa"/>
            <w:shd w:val="clear" w:color="auto" w:fill="FFFFFF" w:themeFill="background1"/>
          </w:tcPr>
          <w:p w14:paraId="58B2C52B" w14:textId="60A15F39" w:rsidR="008621F3" w:rsidRPr="00650FF3" w:rsidRDefault="00A321A5" w:rsidP="008A0D4F">
            <w:pPr>
              <w:pStyle w:val="Corpsdetexte"/>
              <w:ind w:firstLine="0"/>
              <w:jc w:val="center"/>
              <w:rPr>
                <w:sz w:val="18"/>
                <w:szCs w:val="18"/>
              </w:rPr>
            </w:pPr>
            <w:r>
              <w:rPr>
                <w:sz w:val="18"/>
                <w:szCs w:val="18"/>
              </w:rPr>
              <w:t>90%</w:t>
            </w:r>
          </w:p>
        </w:tc>
      </w:tr>
      <w:tr w:rsidR="008621F3" w:rsidRPr="009656D9" w14:paraId="293C60E8" w14:textId="77777777" w:rsidTr="00147719">
        <w:trPr>
          <w:jc w:val="center"/>
        </w:trPr>
        <w:tc>
          <w:tcPr>
            <w:tcW w:w="4253" w:type="dxa"/>
            <w:shd w:val="clear" w:color="auto" w:fill="FFFFFF" w:themeFill="background1"/>
          </w:tcPr>
          <w:p w14:paraId="4568FD88" w14:textId="343FCDC3" w:rsidR="008621F3" w:rsidRDefault="00917861" w:rsidP="008A0D4F">
            <w:pPr>
              <w:pStyle w:val="Corpsdetexte"/>
              <w:ind w:firstLine="0"/>
              <w:rPr>
                <w:sz w:val="18"/>
                <w:szCs w:val="18"/>
              </w:rPr>
            </w:pPr>
            <w:r>
              <w:rPr>
                <w:sz w:val="18"/>
                <w:szCs w:val="18"/>
              </w:rPr>
              <w:t>Availability factor</w:t>
            </w:r>
          </w:p>
        </w:tc>
        <w:tc>
          <w:tcPr>
            <w:tcW w:w="2129" w:type="dxa"/>
            <w:shd w:val="clear" w:color="auto" w:fill="FFFFFF" w:themeFill="background1"/>
          </w:tcPr>
          <w:p w14:paraId="67D31E40" w14:textId="3F0649DA" w:rsidR="008621F3" w:rsidRPr="00650FF3" w:rsidRDefault="00A321A5" w:rsidP="008A0D4F">
            <w:pPr>
              <w:pStyle w:val="Corpsdetexte"/>
              <w:ind w:firstLine="0"/>
              <w:jc w:val="center"/>
              <w:rPr>
                <w:sz w:val="18"/>
                <w:szCs w:val="18"/>
              </w:rPr>
            </w:pPr>
            <w:r>
              <w:rPr>
                <w:sz w:val="18"/>
                <w:szCs w:val="18"/>
              </w:rPr>
              <w:t>100%</w:t>
            </w:r>
          </w:p>
        </w:tc>
      </w:tr>
      <w:tr w:rsidR="008621F3" w:rsidRPr="009656D9" w14:paraId="39386319" w14:textId="77777777" w:rsidTr="00147719">
        <w:trPr>
          <w:jc w:val="center"/>
        </w:trPr>
        <w:tc>
          <w:tcPr>
            <w:tcW w:w="4253" w:type="dxa"/>
            <w:shd w:val="clear" w:color="auto" w:fill="FFFFFF" w:themeFill="background1"/>
          </w:tcPr>
          <w:p w14:paraId="4692BD75" w14:textId="5C7DE8E3" w:rsidR="008621F3" w:rsidRDefault="00917861" w:rsidP="008A0D4F">
            <w:pPr>
              <w:pStyle w:val="Corpsdetexte"/>
              <w:ind w:firstLine="0"/>
              <w:rPr>
                <w:sz w:val="18"/>
                <w:szCs w:val="18"/>
              </w:rPr>
            </w:pPr>
            <w:r>
              <w:rPr>
                <w:sz w:val="18"/>
                <w:szCs w:val="18"/>
              </w:rPr>
              <w:t xml:space="preserve">Unit cost of grid electricity </w:t>
            </w:r>
            <w:r w:rsidR="00D30960">
              <w:rPr>
                <w:sz w:val="18"/>
                <w:szCs w:val="18"/>
              </w:rPr>
              <w:t>(</w:t>
            </w:r>
            <w:r>
              <w:rPr>
                <w:sz w:val="18"/>
                <w:szCs w:val="18"/>
              </w:rPr>
              <w:t>c$/kWh</w:t>
            </w:r>
            <w:r w:rsidR="00D30960">
              <w:rPr>
                <w:sz w:val="18"/>
                <w:szCs w:val="18"/>
              </w:rPr>
              <w:t>)</w:t>
            </w:r>
          </w:p>
        </w:tc>
        <w:tc>
          <w:tcPr>
            <w:tcW w:w="2129" w:type="dxa"/>
            <w:shd w:val="clear" w:color="auto" w:fill="FFFFFF" w:themeFill="background1"/>
          </w:tcPr>
          <w:p w14:paraId="067B09EC" w14:textId="170451BB" w:rsidR="008621F3" w:rsidRPr="00650FF3" w:rsidRDefault="00A321A5" w:rsidP="008A0D4F">
            <w:pPr>
              <w:pStyle w:val="Corpsdetexte"/>
              <w:ind w:firstLine="0"/>
              <w:jc w:val="center"/>
              <w:rPr>
                <w:sz w:val="18"/>
                <w:szCs w:val="18"/>
              </w:rPr>
            </w:pPr>
            <w:r>
              <w:rPr>
                <w:sz w:val="18"/>
                <w:szCs w:val="18"/>
              </w:rPr>
              <w:t>6.6</w:t>
            </w:r>
          </w:p>
        </w:tc>
      </w:tr>
      <w:tr w:rsidR="008621F3" w:rsidRPr="00A2447A" w14:paraId="100F87C3" w14:textId="77777777" w:rsidTr="00147719">
        <w:trPr>
          <w:jc w:val="center"/>
        </w:trPr>
        <w:tc>
          <w:tcPr>
            <w:tcW w:w="6382" w:type="dxa"/>
            <w:gridSpan w:val="2"/>
            <w:shd w:val="clear" w:color="auto" w:fill="FFFFFF" w:themeFill="background1"/>
          </w:tcPr>
          <w:p w14:paraId="37854E09" w14:textId="0EC1AAFC" w:rsidR="008621F3" w:rsidRPr="00A2447A" w:rsidRDefault="008621F3" w:rsidP="008621F3">
            <w:pPr>
              <w:pStyle w:val="Corpsdetexte"/>
              <w:ind w:firstLine="0"/>
              <w:rPr>
                <w:b/>
                <w:bCs/>
                <w:sz w:val="18"/>
                <w:szCs w:val="18"/>
                <w:lang w:val="en-US"/>
              </w:rPr>
            </w:pPr>
            <w:r w:rsidRPr="00A2447A">
              <w:rPr>
                <w:b/>
                <w:bCs/>
                <w:sz w:val="18"/>
                <w:szCs w:val="18"/>
                <w:lang w:val="en-US"/>
              </w:rPr>
              <w:t>Hydrogen generation plant</w:t>
            </w:r>
            <w:r w:rsidR="00A6630B" w:rsidRPr="00A2447A">
              <w:rPr>
                <w:b/>
                <w:bCs/>
                <w:sz w:val="18"/>
                <w:szCs w:val="18"/>
                <w:lang w:val="en-US"/>
              </w:rPr>
              <w:t xml:space="preserve"> </w:t>
            </w:r>
          </w:p>
        </w:tc>
      </w:tr>
      <w:tr w:rsidR="00797D40" w:rsidRPr="009656D9" w14:paraId="24FD3E40" w14:textId="77777777" w:rsidTr="00147719">
        <w:trPr>
          <w:jc w:val="center"/>
        </w:trPr>
        <w:tc>
          <w:tcPr>
            <w:tcW w:w="4253" w:type="dxa"/>
            <w:shd w:val="clear" w:color="auto" w:fill="FFFFFF" w:themeFill="background1"/>
          </w:tcPr>
          <w:p w14:paraId="2181315C" w14:textId="5D7EA8CC" w:rsidR="00797D40" w:rsidRPr="00322D0A" w:rsidRDefault="00D30960" w:rsidP="008A0D4F">
            <w:pPr>
              <w:pStyle w:val="Corpsdetexte"/>
              <w:ind w:firstLine="0"/>
              <w:rPr>
                <w:sz w:val="18"/>
                <w:szCs w:val="18"/>
              </w:rPr>
            </w:pPr>
            <w:r w:rsidRPr="00322D0A">
              <w:rPr>
                <w:sz w:val="18"/>
                <w:szCs w:val="18"/>
              </w:rPr>
              <w:t>Construction period</w:t>
            </w:r>
          </w:p>
        </w:tc>
        <w:tc>
          <w:tcPr>
            <w:tcW w:w="2129" w:type="dxa"/>
            <w:shd w:val="clear" w:color="auto" w:fill="FFFFFF" w:themeFill="background1"/>
          </w:tcPr>
          <w:p w14:paraId="744F65B1" w14:textId="770DD84E" w:rsidR="00797D40" w:rsidRPr="00650FF3" w:rsidRDefault="00A85BF5" w:rsidP="008A0D4F">
            <w:pPr>
              <w:pStyle w:val="Corpsdetexte"/>
              <w:ind w:firstLine="0"/>
              <w:jc w:val="center"/>
              <w:rPr>
                <w:sz w:val="18"/>
                <w:szCs w:val="18"/>
              </w:rPr>
            </w:pPr>
            <w:r>
              <w:rPr>
                <w:sz w:val="18"/>
                <w:szCs w:val="18"/>
              </w:rPr>
              <w:t>4</w:t>
            </w:r>
            <w:r w:rsidR="00C806AA">
              <w:rPr>
                <w:sz w:val="18"/>
                <w:szCs w:val="18"/>
              </w:rPr>
              <w:t xml:space="preserve"> years</w:t>
            </w:r>
          </w:p>
        </w:tc>
      </w:tr>
      <w:tr w:rsidR="00797D40" w:rsidRPr="009656D9" w14:paraId="44E9B542" w14:textId="77777777" w:rsidTr="00147719">
        <w:trPr>
          <w:jc w:val="center"/>
        </w:trPr>
        <w:tc>
          <w:tcPr>
            <w:tcW w:w="4253" w:type="dxa"/>
            <w:shd w:val="clear" w:color="auto" w:fill="FFFFFF" w:themeFill="background1"/>
          </w:tcPr>
          <w:p w14:paraId="2249D5F9" w14:textId="2C1567B0" w:rsidR="00797D40" w:rsidRPr="00322D0A" w:rsidRDefault="00D30960" w:rsidP="008A0D4F">
            <w:pPr>
              <w:pStyle w:val="Corpsdetexte"/>
              <w:ind w:firstLine="0"/>
              <w:rPr>
                <w:sz w:val="18"/>
                <w:szCs w:val="18"/>
              </w:rPr>
            </w:pPr>
            <w:r w:rsidRPr="00322D0A">
              <w:rPr>
                <w:sz w:val="18"/>
                <w:szCs w:val="18"/>
              </w:rPr>
              <w:t>Operating life</w:t>
            </w:r>
          </w:p>
        </w:tc>
        <w:tc>
          <w:tcPr>
            <w:tcW w:w="2129" w:type="dxa"/>
            <w:shd w:val="clear" w:color="auto" w:fill="FFFFFF" w:themeFill="background1"/>
          </w:tcPr>
          <w:p w14:paraId="05A27831" w14:textId="63BE21E7" w:rsidR="00797D40" w:rsidRPr="00D30960" w:rsidRDefault="00C806AA" w:rsidP="008A0D4F">
            <w:pPr>
              <w:pStyle w:val="Corpsdetexte"/>
              <w:ind w:firstLine="0"/>
              <w:jc w:val="center"/>
              <w:rPr>
                <w:sz w:val="18"/>
                <w:szCs w:val="18"/>
              </w:rPr>
            </w:pPr>
            <w:r>
              <w:rPr>
                <w:sz w:val="18"/>
                <w:szCs w:val="18"/>
              </w:rPr>
              <w:t>60 years</w:t>
            </w:r>
          </w:p>
        </w:tc>
      </w:tr>
      <w:tr w:rsidR="00D30960" w:rsidRPr="009656D9" w14:paraId="4CA9C940" w14:textId="77777777" w:rsidTr="00147719">
        <w:trPr>
          <w:jc w:val="center"/>
        </w:trPr>
        <w:tc>
          <w:tcPr>
            <w:tcW w:w="4253" w:type="dxa"/>
            <w:shd w:val="clear" w:color="auto" w:fill="FFFFFF" w:themeFill="background1"/>
          </w:tcPr>
          <w:p w14:paraId="52E99F21" w14:textId="28BEE4C2" w:rsidR="00D30960" w:rsidRPr="00322D0A" w:rsidRDefault="00D30960" w:rsidP="008A0D4F">
            <w:pPr>
              <w:pStyle w:val="Corpsdetexte"/>
              <w:ind w:firstLine="0"/>
              <w:rPr>
                <w:sz w:val="18"/>
                <w:szCs w:val="18"/>
              </w:rPr>
            </w:pPr>
            <w:r w:rsidRPr="00322D0A">
              <w:rPr>
                <w:sz w:val="18"/>
                <w:szCs w:val="18"/>
              </w:rPr>
              <w:t xml:space="preserve">Cooling before decommissioning </w:t>
            </w:r>
          </w:p>
        </w:tc>
        <w:tc>
          <w:tcPr>
            <w:tcW w:w="2129" w:type="dxa"/>
            <w:shd w:val="clear" w:color="auto" w:fill="FFFFFF" w:themeFill="background1"/>
          </w:tcPr>
          <w:p w14:paraId="678AA35B" w14:textId="3AA7FBB6" w:rsidR="00D30960" w:rsidRPr="00D30960" w:rsidRDefault="00C806AA" w:rsidP="008A0D4F">
            <w:pPr>
              <w:pStyle w:val="Corpsdetexte"/>
              <w:ind w:firstLine="0"/>
              <w:jc w:val="center"/>
              <w:rPr>
                <w:sz w:val="18"/>
                <w:szCs w:val="18"/>
              </w:rPr>
            </w:pPr>
            <w:r>
              <w:rPr>
                <w:sz w:val="18"/>
                <w:szCs w:val="18"/>
              </w:rPr>
              <w:t>1 year</w:t>
            </w:r>
          </w:p>
        </w:tc>
      </w:tr>
      <w:tr w:rsidR="00D30960" w:rsidRPr="009656D9" w14:paraId="1BCECDAD" w14:textId="77777777" w:rsidTr="00147719">
        <w:trPr>
          <w:jc w:val="center"/>
        </w:trPr>
        <w:tc>
          <w:tcPr>
            <w:tcW w:w="4253" w:type="dxa"/>
            <w:shd w:val="clear" w:color="auto" w:fill="FFFFFF" w:themeFill="background1"/>
          </w:tcPr>
          <w:p w14:paraId="39E6F900" w14:textId="67DA3FA8" w:rsidR="00D30960" w:rsidRPr="00322D0A" w:rsidRDefault="00D30960" w:rsidP="008A0D4F">
            <w:pPr>
              <w:pStyle w:val="Corpsdetexte"/>
              <w:ind w:firstLine="0"/>
              <w:rPr>
                <w:sz w:val="18"/>
                <w:szCs w:val="18"/>
              </w:rPr>
            </w:pPr>
            <w:r w:rsidRPr="00322D0A">
              <w:rPr>
                <w:sz w:val="18"/>
                <w:szCs w:val="18"/>
              </w:rPr>
              <w:t>Decommissioning period</w:t>
            </w:r>
          </w:p>
        </w:tc>
        <w:tc>
          <w:tcPr>
            <w:tcW w:w="2129" w:type="dxa"/>
            <w:shd w:val="clear" w:color="auto" w:fill="FFFFFF" w:themeFill="background1"/>
          </w:tcPr>
          <w:p w14:paraId="6CEB5954" w14:textId="561762DE" w:rsidR="00D30960" w:rsidRPr="00D30960" w:rsidRDefault="00C806AA" w:rsidP="008A0D4F">
            <w:pPr>
              <w:pStyle w:val="Corpsdetexte"/>
              <w:ind w:firstLine="0"/>
              <w:jc w:val="center"/>
              <w:rPr>
                <w:sz w:val="18"/>
                <w:szCs w:val="18"/>
              </w:rPr>
            </w:pPr>
            <w:r>
              <w:rPr>
                <w:sz w:val="18"/>
                <w:szCs w:val="18"/>
              </w:rPr>
              <w:t>9 years</w:t>
            </w:r>
          </w:p>
        </w:tc>
      </w:tr>
      <w:tr w:rsidR="00D30960" w:rsidRPr="009656D9" w14:paraId="3C5E7D43" w14:textId="77777777" w:rsidTr="00147719">
        <w:trPr>
          <w:jc w:val="center"/>
        </w:trPr>
        <w:tc>
          <w:tcPr>
            <w:tcW w:w="4253" w:type="dxa"/>
            <w:shd w:val="clear" w:color="auto" w:fill="FFFFFF" w:themeFill="background1"/>
          </w:tcPr>
          <w:p w14:paraId="3DE9B1FE" w14:textId="5208E777" w:rsidR="00D30960" w:rsidRPr="00322D0A" w:rsidRDefault="00D30960" w:rsidP="008A0D4F">
            <w:pPr>
              <w:pStyle w:val="Corpsdetexte"/>
              <w:ind w:firstLine="0"/>
              <w:rPr>
                <w:sz w:val="18"/>
                <w:szCs w:val="18"/>
              </w:rPr>
            </w:pPr>
            <w:r w:rsidRPr="00322D0A">
              <w:rPr>
                <w:sz w:val="18"/>
                <w:szCs w:val="18"/>
              </w:rPr>
              <w:t>Capacity factor</w:t>
            </w:r>
          </w:p>
        </w:tc>
        <w:tc>
          <w:tcPr>
            <w:tcW w:w="2129" w:type="dxa"/>
            <w:shd w:val="clear" w:color="auto" w:fill="FFFFFF" w:themeFill="background1"/>
          </w:tcPr>
          <w:p w14:paraId="495E292D" w14:textId="5AFB765E" w:rsidR="00D30960" w:rsidRPr="00D30960" w:rsidRDefault="00C806AA" w:rsidP="008A0D4F">
            <w:pPr>
              <w:pStyle w:val="Corpsdetexte"/>
              <w:ind w:firstLine="0"/>
              <w:jc w:val="center"/>
              <w:rPr>
                <w:sz w:val="18"/>
                <w:szCs w:val="18"/>
              </w:rPr>
            </w:pPr>
            <w:r>
              <w:rPr>
                <w:sz w:val="18"/>
                <w:szCs w:val="18"/>
              </w:rPr>
              <w:t>90%</w:t>
            </w:r>
          </w:p>
        </w:tc>
      </w:tr>
      <w:tr w:rsidR="00D30960" w:rsidRPr="009656D9" w14:paraId="2FBCF7FE" w14:textId="77777777" w:rsidTr="00147719">
        <w:trPr>
          <w:jc w:val="center"/>
        </w:trPr>
        <w:tc>
          <w:tcPr>
            <w:tcW w:w="4253" w:type="dxa"/>
            <w:shd w:val="clear" w:color="auto" w:fill="FFFFFF" w:themeFill="background1"/>
          </w:tcPr>
          <w:p w14:paraId="5B431B85" w14:textId="194BB736" w:rsidR="00D30960" w:rsidRPr="00322D0A" w:rsidRDefault="00D30960" w:rsidP="008A0D4F">
            <w:pPr>
              <w:pStyle w:val="Corpsdetexte"/>
              <w:ind w:firstLine="0"/>
              <w:rPr>
                <w:sz w:val="18"/>
                <w:szCs w:val="18"/>
              </w:rPr>
            </w:pPr>
            <w:r w:rsidRPr="00322D0A">
              <w:rPr>
                <w:sz w:val="18"/>
                <w:szCs w:val="18"/>
              </w:rPr>
              <w:t>Availability factor</w:t>
            </w:r>
          </w:p>
        </w:tc>
        <w:tc>
          <w:tcPr>
            <w:tcW w:w="2129" w:type="dxa"/>
            <w:shd w:val="clear" w:color="auto" w:fill="FFFFFF" w:themeFill="background1"/>
          </w:tcPr>
          <w:p w14:paraId="3883B4D4" w14:textId="0147B98E" w:rsidR="00D30960" w:rsidRPr="00D30960" w:rsidRDefault="00C806AA" w:rsidP="008A0D4F">
            <w:pPr>
              <w:pStyle w:val="Corpsdetexte"/>
              <w:ind w:firstLine="0"/>
              <w:jc w:val="center"/>
              <w:rPr>
                <w:sz w:val="18"/>
                <w:szCs w:val="18"/>
              </w:rPr>
            </w:pPr>
            <w:r>
              <w:rPr>
                <w:sz w:val="18"/>
                <w:szCs w:val="18"/>
              </w:rPr>
              <w:t>100 %</w:t>
            </w:r>
          </w:p>
        </w:tc>
      </w:tr>
      <w:tr w:rsidR="00D30960" w:rsidRPr="009656D9" w14:paraId="154619B6" w14:textId="77777777" w:rsidTr="00147719">
        <w:trPr>
          <w:jc w:val="center"/>
        </w:trPr>
        <w:tc>
          <w:tcPr>
            <w:tcW w:w="4253" w:type="dxa"/>
            <w:shd w:val="clear" w:color="auto" w:fill="FFFFFF" w:themeFill="background1"/>
          </w:tcPr>
          <w:p w14:paraId="1AE7B170" w14:textId="4507E30A" w:rsidR="00D30960" w:rsidRPr="00D30960" w:rsidRDefault="00D30960" w:rsidP="008A0D4F">
            <w:pPr>
              <w:pStyle w:val="Corpsdetexte"/>
              <w:ind w:firstLine="0"/>
              <w:rPr>
                <w:b/>
                <w:bCs/>
                <w:sz w:val="18"/>
                <w:szCs w:val="18"/>
              </w:rPr>
            </w:pPr>
            <w:r w:rsidRPr="00D30960">
              <w:rPr>
                <w:b/>
                <w:bCs/>
                <w:sz w:val="18"/>
                <w:szCs w:val="18"/>
              </w:rPr>
              <w:t>Storage</w:t>
            </w:r>
          </w:p>
        </w:tc>
        <w:tc>
          <w:tcPr>
            <w:tcW w:w="2129" w:type="dxa"/>
            <w:shd w:val="clear" w:color="auto" w:fill="FFFFFF" w:themeFill="background1"/>
          </w:tcPr>
          <w:p w14:paraId="458EE077" w14:textId="77777777" w:rsidR="00D30960" w:rsidRPr="00D30960" w:rsidRDefault="00D30960" w:rsidP="008A0D4F">
            <w:pPr>
              <w:pStyle w:val="Corpsdetexte"/>
              <w:ind w:firstLine="0"/>
              <w:jc w:val="center"/>
              <w:rPr>
                <w:sz w:val="18"/>
                <w:szCs w:val="18"/>
              </w:rPr>
            </w:pPr>
          </w:p>
        </w:tc>
      </w:tr>
      <w:tr w:rsidR="00D30960" w:rsidRPr="009656D9" w14:paraId="17159175" w14:textId="77777777" w:rsidTr="00147719">
        <w:trPr>
          <w:jc w:val="center"/>
        </w:trPr>
        <w:tc>
          <w:tcPr>
            <w:tcW w:w="4253" w:type="dxa"/>
            <w:shd w:val="clear" w:color="auto" w:fill="FFFFFF" w:themeFill="background1"/>
          </w:tcPr>
          <w:p w14:paraId="29253E4C" w14:textId="258AD67B" w:rsidR="00D30960" w:rsidRPr="00D30960" w:rsidRDefault="00D30960" w:rsidP="008A0D4F">
            <w:pPr>
              <w:pStyle w:val="Corpsdetexte"/>
              <w:ind w:firstLine="0"/>
              <w:rPr>
                <w:sz w:val="18"/>
                <w:szCs w:val="18"/>
              </w:rPr>
            </w:pPr>
            <w:r w:rsidRPr="00D30960">
              <w:rPr>
                <w:sz w:val="18"/>
                <w:szCs w:val="18"/>
              </w:rPr>
              <w:t>Hydrogen storage period, (h)</w:t>
            </w:r>
          </w:p>
        </w:tc>
        <w:tc>
          <w:tcPr>
            <w:tcW w:w="2129" w:type="dxa"/>
            <w:shd w:val="clear" w:color="auto" w:fill="FFFFFF" w:themeFill="background1"/>
          </w:tcPr>
          <w:p w14:paraId="14D3A960" w14:textId="7BF6FEE9" w:rsidR="00D30960" w:rsidRPr="00D30960" w:rsidRDefault="009F2696" w:rsidP="008A0D4F">
            <w:pPr>
              <w:pStyle w:val="Corpsdetexte"/>
              <w:ind w:firstLine="0"/>
              <w:jc w:val="center"/>
              <w:rPr>
                <w:sz w:val="18"/>
                <w:szCs w:val="18"/>
              </w:rPr>
            </w:pPr>
            <w:r>
              <w:rPr>
                <w:sz w:val="18"/>
                <w:szCs w:val="18"/>
              </w:rPr>
              <w:t>168</w:t>
            </w:r>
          </w:p>
        </w:tc>
      </w:tr>
      <w:tr w:rsidR="00D30960" w:rsidRPr="009656D9" w14:paraId="7A498276" w14:textId="77777777" w:rsidTr="00147719">
        <w:trPr>
          <w:jc w:val="center"/>
        </w:trPr>
        <w:tc>
          <w:tcPr>
            <w:tcW w:w="4253" w:type="dxa"/>
            <w:shd w:val="clear" w:color="auto" w:fill="FFFFFF" w:themeFill="background1"/>
          </w:tcPr>
          <w:p w14:paraId="6FF6E825" w14:textId="7D641B28" w:rsidR="00D30960" w:rsidRPr="00D30960" w:rsidRDefault="00D30960" w:rsidP="008A0D4F">
            <w:pPr>
              <w:pStyle w:val="Corpsdetexte"/>
              <w:ind w:firstLine="0"/>
              <w:rPr>
                <w:sz w:val="18"/>
                <w:szCs w:val="18"/>
              </w:rPr>
            </w:pPr>
            <w:r>
              <w:rPr>
                <w:sz w:val="18"/>
                <w:szCs w:val="18"/>
              </w:rPr>
              <w:t>Unit cost of cooling water for storage ($/ML)</w:t>
            </w:r>
          </w:p>
        </w:tc>
        <w:tc>
          <w:tcPr>
            <w:tcW w:w="2129" w:type="dxa"/>
            <w:shd w:val="clear" w:color="auto" w:fill="FFFFFF" w:themeFill="background1"/>
          </w:tcPr>
          <w:p w14:paraId="6E34CA80" w14:textId="5573A914" w:rsidR="00D30960" w:rsidRPr="00D30960" w:rsidRDefault="009F2696" w:rsidP="008A0D4F">
            <w:pPr>
              <w:pStyle w:val="Corpsdetexte"/>
              <w:ind w:firstLine="0"/>
              <w:jc w:val="center"/>
              <w:rPr>
                <w:sz w:val="18"/>
                <w:szCs w:val="18"/>
              </w:rPr>
            </w:pPr>
            <w:r>
              <w:rPr>
                <w:sz w:val="18"/>
                <w:szCs w:val="18"/>
              </w:rPr>
              <w:t>0.00022</w:t>
            </w:r>
          </w:p>
        </w:tc>
      </w:tr>
      <w:tr w:rsidR="00D30960" w:rsidRPr="009656D9" w14:paraId="427A0E1D" w14:textId="77777777" w:rsidTr="00147719">
        <w:trPr>
          <w:jc w:val="center"/>
        </w:trPr>
        <w:tc>
          <w:tcPr>
            <w:tcW w:w="4253" w:type="dxa"/>
            <w:shd w:val="clear" w:color="auto" w:fill="FFFFFF" w:themeFill="background1"/>
          </w:tcPr>
          <w:p w14:paraId="6D9F53A8" w14:textId="7D2A5BA8" w:rsidR="00D30960" w:rsidRDefault="00D30960" w:rsidP="008A0D4F">
            <w:pPr>
              <w:pStyle w:val="Corpsdetexte"/>
              <w:ind w:firstLine="0"/>
              <w:rPr>
                <w:sz w:val="18"/>
                <w:szCs w:val="18"/>
              </w:rPr>
            </w:pPr>
            <w:r>
              <w:rPr>
                <w:sz w:val="18"/>
                <w:szCs w:val="18"/>
              </w:rPr>
              <w:t>O&amp;M cost for hydrogen storage (%)</w:t>
            </w:r>
          </w:p>
        </w:tc>
        <w:tc>
          <w:tcPr>
            <w:tcW w:w="2129" w:type="dxa"/>
            <w:shd w:val="clear" w:color="auto" w:fill="FFFFFF" w:themeFill="background1"/>
          </w:tcPr>
          <w:p w14:paraId="14595762" w14:textId="512A36E9" w:rsidR="00D30960" w:rsidRPr="00D30960" w:rsidRDefault="009F2696" w:rsidP="008A0D4F">
            <w:pPr>
              <w:pStyle w:val="Corpsdetexte"/>
              <w:ind w:firstLine="0"/>
              <w:jc w:val="center"/>
              <w:rPr>
                <w:sz w:val="18"/>
                <w:szCs w:val="18"/>
              </w:rPr>
            </w:pPr>
            <w:r>
              <w:rPr>
                <w:sz w:val="18"/>
                <w:szCs w:val="18"/>
              </w:rPr>
              <w:t>5</w:t>
            </w:r>
          </w:p>
        </w:tc>
      </w:tr>
      <w:tr w:rsidR="00D30960" w:rsidRPr="009656D9" w14:paraId="44894B6B" w14:textId="77777777" w:rsidTr="00147719">
        <w:trPr>
          <w:jc w:val="center"/>
        </w:trPr>
        <w:tc>
          <w:tcPr>
            <w:tcW w:w="4253" w:type="dxa"/>
            <w:shd w:val="clear" w:color="auto" w:fill="FFFFFF" w:themeFill="background1"/>
          </w:tcPr>
          <w:p w14:paraId="7AD11941" w14:textId="40951FFC" w:rsidR="00D30960" w:rsidRPr="00D30960" w:rsidRDefault="00D30960" w:rsidP="008A0D4F">
            <w:pPr>
              <w:pStyle w:val="Corpsdetexte"/>
              <w:ind w:firstLine="0"/>
              <w:rPr>
                <w:b/>
                <w:bCs/>
                <w:sz w:val="18"/>
                <w:szCs w:val="18"/>
              </w:rPr>
            </w:pPr>
            <w:r>
              <w:rPr>
                <w:b/>
                <w:bCs/>
                <w:sz w:val="18"/>
                <w:szCs w:val="18"/>
              </w:rPr>
              <w:t xml:space="preserve">      </w:t>
            </w:r>
            <w:r w:rsidRPr="00D30960">
              <w:rPr>
                <w:b/>
                <w:bCs/>
                <w:sz w:val="18"/>
                <w:szCs w:val="18"/>
              </w:rPr>
              <w:t>Liquefaction</w:t>
            </w:r>
          </w:p>
        </w:tc>
        <w:tc>
          <w:tcPr>
            <w:tcW w:w="2129" w:type="dxa"/>
            <w:shd w:val="clear" w:color="auto" w:fill="FFFFFF" w:themeFill="background1"/>
          </w:tcPr>
          <w:p w14:paraId="42C2C195" w14:textId="77777777" w:rsidR="00D30960" w:rsidRPr="00D30960" w:rsidRDefault="00D30960" w:rsidP="008A0D4F">
            <w:pPr>
              <w:pStyle w:val="Corpsdetexte"/>
              <w:ind w:firstLine="0"/>
              <w:jc w:val="center"/>
              <w:rPr>
                <w:sz w:val="18"/>
                <w:szCs w:val="18"/>
              </w:rPr>
            </w:pPr>
          </w:p>
        </w:tc>
      </w:tr>
      <w:tr w:rsidR="00D30960" w:rsidRPr="009656D9" w14:paraId="4B83BA63" w14:textId="77777777" w:rsidTr="00147719">
        <w:trPr>
          <w:jc w:val="center"/>
        </w:trPr>
        <w:tc>
          <w:tcPr>
            <w:tcW w:w="4253" w:type="dxa"/>
            <w:shd w:val="clear" w:color="auto" w:fill="FFFFFF" w:themeFill="background1"/>
          </w:tcPr>
          <w:p w14:paraId="6880A393" w14:textId="533DF038" w:rsidR="00D30960" w:rsidRPr="00D30960" w:rsidRDefault="00D30960" w:rsidP="008A0D4F">
            <w:pPr>
              <w:pStyle w:val="Corpsdetexte"/>
              <w:ind w:firstLine="0"/>
              <w:rPr>
                <w:sz w:val="18"/>
                <w:szCs w:val="18"/>
              </w:rPr>
            </w:pPr>
            <w:r>
              <w:rPr>
                <w:sz w:val="18"/>
                <w:szCs w:val="18"/>
              </w:rPr>
              <w:t xml:space="preserve">          Cooling water flow rate of liquefaction (L/kg H</w:t>
            </w:r>
            <w:r w:rsidRPr="00D30960">
              <w:rPr>
                <w:sz w:val="18"/>
                <w:szCs w:val="18"/>
                <w:vertAlign w:val="subscript"/>
              </w:rPr>
              <w:t>2</w:t>
            </w:r>
            <w:r>
              <w:rPr>
                <w:sz w:val="18"/>
                <w:szCs w:val="18"/>
              </w:rPr>
              <w:t>)</w:t>
            </w:r>
          </w:p>
        </w:tc>
        <w:tc>
          <w:tcPr>
            <w:tcW w:w="2129" w:type="dxa"/>
            <w:shd w:val="clear" w:color="auto" w:fill="FFFFFF" w:themeFill="background1"/>
          </w:tcPr>
          <w:p w14:paraId="2A1039BC" w14:textId="3298CA5E" w:rsidR="00D30960" w:rsidRPr="00D30960" w:rsidRDefault="00485773" w:rsidP="008A0D4F">
            <w:pPr>
              <w:pStyle w:val="Corpsdetexte"/>
              <w:ind w:firstLine="0"/>
              <w:jc w:val="center"/>
              <w:rPr>
                <w:sz w:val="18"/>
                <w:szCs w:val="18"/>
              </w:rPr>
            </w:pPr>
            <w:r>
              <w:rPr>
                <w:sz w:val="18"/>
                <w:szCs w:val="18"/>
              </w:rPr>
              <w:t>209</w:t>
            </w:r>
          </w:p>
        </w:tc>
      </w:tr>
      <w:tr w:rsidR="00D30960" w:rsidRPr="009656D9" w14:paraId="484977F9" w14:textId="77777777" w:rsidTr="00147719">
        <w:trPr>
          <w:jc w:val="center"/>
        </w:trPr>
        <w:tc>
          <w:tcPr>
            <w:tcW w:w="4253" w:type="dxa"/>
            <w:shd w:val="clear" w:color="auto" w:fill="FFFFFF" w:themeFill="background1"/>
          </w:tcPr>
          <w:p w14:paraId="146B3642" w14:textId="52415694" w:rsidR="00D30960" w:rsidRDefault="00D30960" w:rsidP="008A0D4F">
            <w:pPr>
              <w:pStyle w:val="Corpsdetexte"/>
              <w:ind w:firstLine="0"/>
              <w:rPr>
                <w:sz w:val="18"/>
                <w:szCs w:val="18"/>
              </w:rPr>
            </w:pPr>
            <w:r>
              <w:rPr>
                <w:sz w:val="18"/>
                <w:szCs w:val="18"/>
              </w:rPr>
              <w:t xml:space="preserve">          Daily boil-off rate (%)</w:t>
            </w:r>
          </w:p>
        </w:tc>
        <w:tc>
          <w:tcPr>
            <w:tcW w:w="2129" w:type="dxa"/>
            <w:shd w:val="clear" w:color="auto" w:fill="FFFFFF" w:themeFill="background1"/>
          </w:tcPr>
          <w:p w14:paraId="700D4629" w14:textId="21E24958" w:rsidR="00D30960" w:rsidRPr="00D30960" w:rsidRDefault="00485773" w:rsidP="008A0D4F">
            <w:pPr>
              <w:pStyle w:val="Corpsdetexte"/>
              <w:ind w:firstLine="0"/>
              <w:jc w:val="center"/>
              <w:rPr>
                <w:sz w:val="18"/>
                <w:szCs w:val="18"/>
              </w:rPr>
            </w:pPr>
            <w:r>
              <w:rPr>
                <w:sz w:val="18"/>
                <w:szCs w:val="18"/>
              </w:rPr>
              <w:t>0.1</w:t>
            </w:r>
          </w:p>
        </w:tc>
      </w:tr>
    </w:tbl>
    <w:p w14:paraId="54DB8D6D" w14:textId="77777777" w:rsidR="00797D40" w:rsidRDefault="00797D40" w:rsidP="00797D40">
      <w:pPr>
        <w:pStyle w:val="Corpsdetexte"/>
        <w:rPr>
          <w:rFonts w:asciiTheme="majorBidi" w:hAnsiTheme="majorBidi" w:cstheme="majorBidi"/>
          <w:strike/>
          <w:color w:val="1C1C1C"/>
          <w:sz w:val="18"/>
          <w:szCs w:val="18"/>
          <w:shd w:val="clear" w:color="auto" w:fill="FFFFFF"/>
        </w:rPr>
      </w:pPr>
    </w:p>
    <w:p w14:paraId="0A8E5364" w14:textId="77777777" w:rsidR="00797D40" w:rsidRDefault="00797D40" w:rsidP="00797D40">
      <w:pPr>
        <w:overflowPunct/>
        <w:autoSpaceDE/>
        <w:autoSpaceDN/>
        <w:adjustRightInd/>
        <w:textAlignment w:val="auto"/>
        <w:rPr>
          <w:rFonts w:asciiTheme="majorBidi" w:hAnsiTheme="majorBidi" w:cstheme="majorBidi"/>
          <w:strike/>
          <w:color w:val="1C1C1C"/>
          <w:sz w:val="18"/>
          <w:szCs w:val="18"/>
          <w:shd w:val="clear" w:color="auto" w:fill="FFFFFF"/>
        </w:rPr>
      </w:pPr>
    </w:p>
    <w:p w14:paraId="6CD8C6C4" w14:textId="1D37FB99" w:rsidR="00FA4BBE" w:rsidRDefault="00FA4BBE" w:rsidP="00FA4BBE">
      <w:pPr>
        <w:pStyle w:val="Corpsdetexte"/>
        <w:ind w:firstLine="0"/>
      </w:pPr>
      <w:r>
        <w:t xml:space="preserve">TABLE </w:t>
      </w:r>
      <w:r w:rsidR="00A85BF5">
        <w:t>3</w:t>
      </w:r>
      <w:r>
        <w:t>. TRANSPORTATION OPTIONS</w:t>
      </w:r>
    </w:p>
    <w:p w14:paraId="534E3787" w14:textId="77777777" w:rsidR="00FA4BBE" w:rsidRPr="009656D9" w:rsidRDefault="00FA4BBE" w:rsidP="00FA4BBE">
      <w:pPr>
        <w:pStyle w:val="Corpsdetexte"/>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079"/>
      </w:tblGrid>
      <w:tr w:rsidR="00FA4BBE" w:rsidRPr="009656D9" w14:paraId="7B20ED76" w14:textId="77777777" w:rsidTr="008A0D4F">
        <w:trPr>
          <w:jc w:val="center"/>
        </w:trPr>
        <w:tc>
          <w:tcPr>
            <w:tcW w:w="3119" w:type="dxa"/>
            <w:tcBorders>
              <w:top w:val="single" w:sz="4" w:space="0" w:color="auto"/>
              <w:bottom w:val="single" w:sz="4" w:space="0" w:color="auto"/>
            </w:tcBorders>
          </w:tcPr>
          <w:p w14:paraId="7AB5064A" w14:textId="71189ACD" w:rsidR="00FA4BBE" w:rsidRPr="00650FF3" w:rsidRDefault="00FA4BBE" w:rsidP="008A0D4F">
            <w:pPr>
              <w:pStyle w:val="Corpsdetexte"/>
              <w:ind w:firstLine="0"/>
              <w:rPr>
                <w:sz w:val="18"/>
                <w:szCs w:val="18"/>
              </w:rPr>
            </w:pPr>
            <w:r>
              <w:rPr>
                <w:sz w:val="18"/>
                <w:szCs w:val="18"/>
              </w:rPr>
              <w:lastRenderedPageBreak/>
              <w:t>Designation</w:t>
            </w:r>
          </w:p>
        </w:tc>
        <w:tc>
          <w:tcPr>
            <w:tcW w:w="3079" w:type="dxa"/>
            <w:tcBorders>
              <w:top w:val="single" w:sz="4" w:space="0" w:color="auto"/>
              <w:bottom w:val="single" w:sz="4" w:space="0" w:color="auto"/>
            </w:tcBorders>
          </w:tcPr>
          <w:p w14:paraId="0DBF3355" w14:textId="0D14ADB8" w:rsidR="00FA4BBE" w:rsidRPr="00650FF3" w:rsidRDefault="00FA4BBE" w:rsidP="008A0D4F">
            <w:pPr>
              <w:pStyle w:val="Corpsdetexte"/>
              <w:ind w:left="-106" w:firstLine="0"/>
              <w:jc w:val="center"/>
              <w:rPr>
                <w:sz w:val="18"/>
                <w:szCs w:val="18"/>
              </w:rPr>
            </w:pPr>
            <w:r>
              <w:rPr>
                <w:sz w:val="18"/>
                <w:szCs w:val="18"/>
              </w:rPr>
              <w:t xml:space="preserve">Value </w:t>
            </w:r>
          </w:p>
        </w:tc>
      </w:tr>
      <w:tr w:rsidR="00FA4BBE" w:rsidRPr="009656D9" w14:paraId="6576C15C" w14:textId="77777777" w:rsidTr="00147719">
        <w:trPr>
          <w:jc w:val="center"/>
        </w:trPr>
        <w:tc>
          <w:tcPr>
            <w:tcW w:w="3119" w:type="dxa"/>
            <w:shd w:val="clear" w:color="auto" w:fill="FFFFFF" w:themeFill="background1"/>
          </w:tcPr>
          <w:p w14:paraId="59BFEFB5" w14:textId="3ABCA0E9" w:rsidR="00FA4BBE" w:rsidRPr="00650FF3" w:rsidRDefault="00FA4BBE" w:rsidP="008A0D4F">
            <w:pPr>
              <w:pStyle w:val="Corpsdetexte"/>
              <w:ind w:firstLine="0"/>
              <w:rPr>
                <w:b/>
                <w:bCs/>
                <w:sz w:val="18"/>
                <w:szCs w:val="18"/>
              </w:rPr>
            </w:pPr>
            <w:r>
              <w:rPr>
                <w:b/>
                <w:bCs/>
                <w:sz w:val="18"/>
                <w:szCs w:val="18"/>
              </w:rPr>
              <w:t>Pipelines</w:t>
            </w:r>
          </w:p>
        </w:tc>
        <w:tc>
          <w:tcPr>
            <w:tcW w:w="3079" w:type="dxa"/>
            <w:shd w:val="clear" w:color="auto" w:fill="FFFFFF" w:themeFill="background1"/>
          </w:tcPr>
          <w:p w14:paraId="335BD7E8" w14:textId="7175D969" w:rsidR="00FA4BBE" w:rsidRPr="00650FF3" w:rsidRDefault="00FA4BBE" w:rsidP="008A0D4F">
            <w:pPr>
              <w:pStyle w:val="Corpsdetexte"/>
              <w:ind w:firstLine="0"/>
              <w:jc w:val="center"/>
              <w:rPr>
                <w:b/>
                <w:bCs/>
                <w:sz w:val="18"/>
                <w:szCs w:val="18"/>
              </w:rPr>
            </w:pPr>
          </w:p>
        </w:tc>
      </w:tr>
      <w:tr w:rsidR="00FA4BBE" w:rsidRPr="009656D9" w14:paraId="05768784" w14:textId="77777777" w:rsidTr="00147719">
        <w:trPr>
          <w:jc w:val="center"/>
        </w:trPr>
        <w:tc>
          <w:tcPr>
            <w:tcW w:w="3119" w:type="dxa"/>
            <w:shd w:val="clear" w:color="auto" w:fill="FFFFFF" w:themeFill="background1"/>
          </w:tcPr>
          <w:p w14:paraId="17E4DDB6" w14:textId="0B8F1C22" w:rsidR="00FA4BBE" w:rsidRPr="00650FF3" w:rsidRDefault="00FA4BBE" w:rsidP="00FA4BBE">
            <w:pPr>
              <w:pStyle w:val="Corpsdetexte"/>
              <w:ind w:firstLine="0"/>
              <w:rPr>
                <w:sz w:val="18"/>
                <w:szCs w:val="18"/>
              </w:rPr>
            </w:pPr>
            <w:r>
              <w:rPr>
                <w:sz w:val="18"/>
                <w:szCs w:val="18"/>
              </w:rPr>
              <w:t>Transportation distance (km)</w:t>
            </w:r>
            <w:r w:rsidRPr="00650FF3">
              <w:rPr>
                <w:sz w:val="18"/>
                <w:szCs w:val="18"/>
              </w:rPr>
              <w:t xml:space="preserve"> </w:t>
            </w:r>
          </w:p>
        </w:tc>
        <w:tc>
          <w:tcPr>
            <w:tcW w:w="3079" w:type="dxa"/>
            <w:shd w:val="clear" w:color="auto" w:fill="FFFFFF" w:themeFill="background1"/>
          </w:tcPr>
          <w:p w14:paraId="421A4930" w14:textId="12AAA12D" w:rsidR="00FA4BBE" w:rsidRPr="00650FF3" w:rsidRDefault="00917386" w:rsidP="00FA4BBE">
            <w:pPr>
              <w:pStyle w:val="Corpsdetexte"/>
              <w:ind w:firstLine="0"/>
              <w:jc w:val="center"/>
              <w:rPr>
                <w:sz w:val="18"/>
                <w:szCs w:val="18"/>
              </w:rPr>
            </w:pPr>
            <w:r>
              <w:rPr>
                <w:sz w:val="18"/>
                <w:szCs w:val="18"/>
              </w:rPr>
              <w:t>600</w:t>
            </w:r>
          </w:p>
        </w:tc>
      </w:tr>
      <w:tr w:rsidR="00FA4BBE" w:rsidRPr="009656D9" w14:paraId="4ED9DD43" w14:textId="77777777" w:rsidTr="00147719">
        <w:trPr>
          <w:jc w:val="center"/>
        </w:trPr>
        <w:tc>
          <w:tcPr>
            <w:tcW w:w="3119" w:type="dxa"/>
            <w:shd w:val="clear" w:color="auto" w:fill="FFFFFF" w:themeFill="background1"/>
          </w:tcPr>
          <w:p w14:paraId="2F397499" w14:textId="44D248FC" w:rsidR="00FA4BBE" w:rsidRPr="00650FF3" w:rsidRDefault="00FA4BBE" w:rsidP="00FA4BBE">
            <w:pPr>
              <w:pStyle w:val="Corpsdetexte"/>
              <w:ind w:firstLine="0"/>
              <w:rPr>
                <w:sz w:val="18"/>
                <w:szCs w:val="18"/>
              </w:rPr>
            </w:pPr>
            <w:r>
              <w:rPr>
                <w:sz w:val="18"/>
                <w:szCs w:val="18"/>
              </w:rPr>
              <w:t>Pipe equivalent radius (mm)</w:t>
            </w:r>
          </w:p>
        </w:tc>
        <w:tc>
          <w:tcPr>
            <w:tcW w:w="3079" w:type="dxa"/>
            <w:shd w:val="clear" w:color="auto" w:fill="FFFFFF" w:themeFill="background1"/>
          </w:tcPr>
          <w:p w14:paraId="4A3ADA69" w14:textId="75A3A695" w:rsidR="00FA4BBE" w:rsidRPr="00650FF3" w:rsidRDefault="00917386" w:rsidP="00FA4BBE">
            <w:pPr>
              <w:pStyle w:val="Corpsdetexte"/>
              <w:ind w:firstLine="0"/>
              <w:jc w:val="center"/>
              <w:rPr>
                <w:sz w:val="18"/>
                <w:szCs w:val="18"/>
              </w:rPr>
            </w:pPr>
            <w:r>
              <w:rPr>
                <w:sz w:val="18"/>
                <w:szCs w:val="18"/>
              </w:rPr>
              <w:t>125</w:t>
            </w:r>
          </w:p>
        </w:tc>
      </w:tr>
      <w:tr w:rsidR="00FA4BBE" w:rsidRPr="009656D9" w14:paraId="5207FD1B" w14:textId="77777777" w:rsidTr="00147719">
        <w:trPr>
          <w:jc w:val="center"/>
        </w:trPr>
        <w:tc>
          <w:tcPr>
            <w:tcW w:w="3119" w:type="dxa"/>
            <w:shd w:val="clear" w:color="auto" w:fill="FFFFFF" w:themeFill="background1"/>
          </w:tcPr>
          <w:p w14:paraId="170A3B7E" w14:textId="57EA2B01" w:rsidR="00FA4BBE" w:rsidRPr="00650FF3" w:rsidRDefault="00FA4BBE" w:rsidP="00FA4BBE">
            <w:pPr>
              <w:pStyle w:val="Corpsdetexte"/>
              <w:ind w:firstLine="0"/>
              <w:rPr>
                <w:sz w:val="18"/>
                <w:szCs w:val="18"/>
              </w:rPr>
            </w:pPr>
            <w:r>
              <w:rPr>
                <w:sz w:val="18"/>
                <w:szCs w:val="18"/>
              </w:rPr>
              <w:t>Inlet pressure of hydrogen (bar)</w:t>
            </w:r>
          </w:p>
        </w:tc>
        <w:tc>
          <w:tcPr>
            <w:tcW w:w="3079" w:type="dxa"/>
            <w:shd w:val="clear" w:color="auto" w:fill="FFFFFF" w:themeFill="background1"/>
          </w:tcPr>
          <w:p w14:paraId="7E9916AE" w14:textId="68670F4C" w:rsidR="00FA4BBE" w:rsidRPr="00650FF3" w:rsidRDefault="00917386" w:rsidP="00FA4BBE">
            <w:pPr>
              <w:pStyle w:val="Corpsdetexte"/>
              <w:ind w:firstLine="0"/>
              <w:jc w:val="center"/>
              <w:rPr>
                <w:sz w:val="18"/>
                <w:szCs w:val="18"/>
              </w:rPr>
            </w:pPr>
            <w:r>
              <w:rPr>
                <w:sz w:val="18"/>
                <w:szCs w:val="18"/>
              </w:rPr>
              <w:t>52.3</w:t>
            </w:r>
          </w:p>
        </w:tc>
      </w:tr>
      <w:tr w:rsidR="00FA4BBE" w:rsidRPr="009656D9" w14:paraId="12857BB9" w14:textId="77777777" w:rsidTr="00147719">
        <w:trPr>
          <w:jc w:val="center"/>
        </w:trPr>
        <w:tc>
          <w:tcPr>
            <w:tcW w:w="3119" w:type="dxa"/>
            <w:shd w:val="clear" w:color="auto" w:fill="FFFFFF" w:themeFill="background1"/>
          </w:tcPr>
          <w:p w14:paraId="1785E43B" w14:textId="4F5F1A87" w:rsidR="00FA4BBE" w:rsidRPr="00FA4BBE" w:rsidRDefault="00FA4BBE" w:rsidP="00FA4BBE">
            <w:pPr>
              <w:pStyle w:val="Corpsdetexte"/>
              <w:ind w:firstLine="0"/>
              <w:rPr>
                <w:sz w:val="18"/>
                <w:szCs w:val="18"/>
              </w:rPr>
            </w:pPr>
            <w:r>
              <w:rPr>
                <w:sz w:val="18"/>
                <w:szCs w:val="18"/>
              </w:rPr>
              <w:t>Delivery pressure (bar)</w:t>
            </w:r>
          </w:p>
        </w:tc>
        <w:tc>
          <w:tcPr>
            <w:tcW w:w="3079" w:type="dxa"/>
            <w:shd w:val="clear" w:color="auto" w:fill="FFFFFF" w:themeFill="background1"/>
          </w:tcPr>
          <w:p w14:paraId="069162BC" w14:textId="1BBFC790" w:rsidR="00FA4BBE" w:rsidRPr="00FA4BBE" w:rsidRDefault="00917386" w:rsidP="00FA4BBE">
            <w:pPr>
              <w:pStyle w:val="Corpsdetexte"/>
              <w:ind w:firstLine="0"/>
              <w:jc w:val="center"/>
              <w:rPr>
                <w:sz w:val="18"/>
                <w:szCs w:val="18"/>
              </w:rPr>
            </w:pPr>
            <w:r>
              <w:rPr>
                <w:sz w:val="18"/>
                <w:szCs w:val="18"/>
              </w:rPr>
              <w:t>50.0</w:t>
            </w:r>
          </w:p>
        </w:tc>
      </w:tr>
      <w:tr w:rsidR="00FA4BBE" w:rsidRPr="00FA4BBE" w14:paraId="4BD03339" w14:textId="77777777" w:rsidTr="00147719">
        <w:trPr>
          <w:jc w:val="center"/>
        </w:trPr>
        <w:tc>
          <w:tcPr>
            <w:tcW w:w="3119" w:type="dxa"/>
            <w:shd w:val="clear" w:color="auto" w:fill="FFFFFF" w:themeFill="background1"/>
          </w:tcPr>
          <w:p w14:paraId="2C1C3E20" w14:textId="3FFBB283" w:rsidR="00FA4BBE" w:rsidRPr="00917386" w:rsidRDefault="00FA4BBE" w:rsidP="00917386">
            <w:pPr>
              <w:pStyle w:val="Corpsdetexte"/>
              <w:ind w:firstLine="0"/>
              <w:rPr>
                <w:sz w:val="18"/>
                <w:szCs w:val="18"/>
              </w:rPr>
            </w:pPr>
            <w:r w:rsidRPr="00FA4BBE">
              <w:rPr>
                <w:sz w:val="18"/>
                <w:szCs w:val="18"/>
              </w:rPr>
              <w:t>Temperature of hydrogen (K)</w:t>
            </w:r>
          </w:p>
        </w:tc>
        <w:tc>
          <w:tcPr>
            <w:tcW w:w="3079" w:type="dxa"/>
            <w:shd w:val="clear" w:color="auto" w:fill="FFFFFF" w:themeFill="background1"/>
          </w:tcPr>
          <w:p w14:paraId="528823BF" w14:textId="339D31B9" w:rsidR="00FA4BBE" w:rsidRPr="00917386" w:rsidRDefault="00917386" w:rsidP="00FA4BBE">
            <w:pPr>
              <w:pStyle w:val="Corpsdetexte"/>
              <w:ind w:firstLine="0"/>
              <w:jc w:val="center"/>
              <w:rPr>
                <w:sz w:val="18"/>
                <w:szCs w:val="18"/>
              </w:rPr>
            </w:pPr>
            <w:r w:rsidRPr="00917386">
              <w:rPr>
                <w:sz w:val="18"/>
                <w:szCs w:val="18"/>
              </w:rPr>
              <w:t>293</w:t>
            </w:r>
          </w:p>
        </w:tc>
      </w:tr>
      <w:tr w:rsidR="00917386" w:rsidRPr="00FA4BBE" w14:paraId="3A716FD5" w14:textId="77777777" w:rsidTr="00147719">
        <w:trPr>
          <w:jc w:val="center"/>
        </w:trPr>
        <w:tc>
          <w:tcPr>
            <w:tcW w:w="3119" w:type="dxa"/>
            <w:shd w:val="clear" w:color="auto" w:fill="FFFFFF" w:themeFill="background1"/>
          </w:tcPr>
          <w:p w14:paraId="2326A86C" w14:textId="79AA5988" w:rsidR="00917386" w:rsidRPr="00FA4BBE" w:rsidRDefault="00917386" w:rsidP="00FA4BBE">
            <w:pPr>
              <w:pStyle w:val="Corpsdetexte"/>
              <w:ind w:firstLine="0"/>
              <w:rPr>
                <w:sz w:val="18"/>
                <w:szCs w:val="18"/>
              </w:rPr>
            </w:pPr>
            <w:r w:rsidRPr="00FA4BBE">
              <w:rPr>
                <w:sz w:val="18"/>
                <w:szCs w:val="18"/>
              </w:rPr>
              <w:t>Friction factor</w:t>
            </w:r>
          </w:p>
        </w:tc>
        <w:tc>
          <w:tcPr>
            <w:tcW w:w="3079" w:type="dxa"/>
            <w:shd w:val="clear" w:color="auto" w:fill="FFFFFF" w:themeFill="background1"/>
          </w:tcPr>
          <w:p w14:paraId="1D17F07B" w14:textId="7C4E0C8D" w:rsidR="00917386" w:rsidRPr="00917386" w:rsidRDefault="00917386" w:rsidP="00FA4BBE">
            <w:pPr>
              <w:pStyle w:val="Corpsdetexte"/>
              <w:ind w:firstLine="0"/>
              <w:jc w:val="center"/>
              <w:rPr>
                <w:sz w:val="18"/>
                <w:szCs w:val="18"/>
              </w:rPr>
            </w:pPr>
            <w:r>
              <w:rPr>
                <w:sz w:val="18"/>
                <w:szCs w:val="18"/>
              </w:rPr>
              <w:t>0.01</w:t>
            </w:r>
          </w:p>
        </w:tc>
      </w:tr>
      <w:tr w:rsidR="00917386" w:rsidRPr="00FA4BBE" w14:paraId="6FA89FE9" w14:textId="77777777" w:rsidTr="00147719">
        <w:trPr>
          <w:jc w:val="center"/>
        </w:trPr>
        <w:tc>
          <w:tcPr>
            <w:tcW w:w="3119" w:type="dxa"/>
            <w:shd w:val="clear" w:color="auto" w:fill="FFFFFF" w:themeFill="background1"/>
          </w:tcPr>
          <w:p w14:paraId="406AEEB2" w14:textId="1BD02573" w:rsidR="00917386" w:rsidRPr="00FA4BBE" w:rsidRDefault="00917386" w:rsidP="00FA4BBE">
            <w:pPr>
              <w:pStyle w:val="Corpsdetexte"/>
              <w:ind w:firstLine="0"/>
              <w:rPr>
                <w:sz w:val="18"/>
                <w:szCs w:val="18"/>
              </w:rPr>
            </w:pPr>
            <w:r>
              <w:rPr>
                <w:sz w:val="18"/>
                <w:szCs w:val="18"/>
              </w:rPr>
              <w:t>Decommissioning cost (%)</w:t>
            </w:r>
          </w:p>
        </w:tc>
        <w:tc>
          <w:tcPr>
            <w:tcW w:w="3079" w:type="dxa"/>
            <w:shd w:val="clear" w:color="auto" w:fill="FFFFFF" w:themeFill="background1"/>
          </w:tcPr>
          <w:p w14:paraId="6154074B" w14:textId="5944787A" w:rsidR="00917386" w:rsidRPr="00917386" w:rsidRDefault="00917386" w:rsidP="00FA4BBE">
            <w:pPr>
              <w:pStyle w:val="Corpsdetexte"/>
              <w:ind w:firstLine="0"/>
              <w:jc w:val="center"/>
              <w:rPr>
                <w:sz w:val="18"/>
                <w:szCs w:val="18"/>
              </w:rPr>
            </w:pPr>
            <w:r>
              <w:rPr>
                <w:sz w:val="18"/>
                <w:szCs w:val="18"/>
              </w:rPr>
              <w:t>1</w:t>
            </w:r>
          </w:p>
        </w:tc>
      </w:tr>
      <w:tr w:rsidR="00917386" w:rsidRPr="00FA4BBE" w14:paraId="242CE74A" w14:textId="77777777" w:rsidTr="00147719">
        <w:trPr>
          <w:jc w:val="center"/>
        </w:trPr>
        <w:tc>
          <w:tcPr>
            <w:tcW w:w="3119" w:type="dxa"/>
            <w:shd w:val="clear" w:color="auto" w:fill="FFFFFF" w:themeFill="background1"/>
          </w:tcPr>
          <w:p w14:paraId="03996006" w14:textId="6FC0E4FB" w:rsidR="00917386" w:rsidRPr="00FA4BBE" w:rsidRDefault="00917386" w:rsidP="00FA4BBE">
            <w:pPr>
              <w:pStyle w:val="Corpsdetexte"/>
              <w:ind w:firstLine="0"/>
              <w:rPr>
                <w:sz w:val="18"/>
                <w:szCs w:val="18"/>
              </w:rPr>
            </w:pPr>
            <w:r>
              <w:rPr>
                <w:sz w:val="18"/>
                <w:szCs w:val="18"/>
              </w:rPr>
              <w:t>O&amp;M cost (%)</w:t>
            </w:r>
          </w:p>
        </w:tc>
        <w:tc>
          <w:tcPr>
            <w:tcW w:w="3079" w:type="dxa"/>
            <w:shd w:val="clear" w:color="auto" w:fill="FFFFFF" w:themeFill="background1"/>
          </w:tcPr>
          <w:p w14:paraId="2E0580DA" w14:textId="32CED8E2" w:rsidR="00917386" w:rsidRPr="00917386" w:rsidRDefault="00917386" w:rsidP="00FA4BBE">
            <w:pPr>
              <w:pStyle w:val="Corpsdetexte"/>
              <w:ind w:firstLine="0"/>
              <w:jc w:val="center"/>
              <w:rPr>
                <w:sz w:val="18"/>
                <w:szCs w:val="18"/>
              </w:rPr>
            </w:pPr>
            <w:r>
              <w:rPr>
                <w:sz w:val="18"/>
                <w:szCs w:val="18"/>
              </w:rPr>
              <w:t>1</w:t>
            </w:r>
          </w:p>
        </w:tc>
      </w:tr>
    </w:tbl>
    <w:p w14:paraId="4266A0ED" w14:textId="4CB8F344" w:rsidR="00CF1789" w:rsidRDefault="00CF1789" w:rsidP="00CF1789">
      <w:pPr>
        <w:pStyle w:val="Titre2"/>
        <w:numPr>
          <w:ilvl w:val="1"/>
          <w:numId w:val="10"/>
        </w:numPr>
      </w:pPr>
      <w:r>
        <w:t>PRELIMiNARY RESULTS</w:t>
      </w:r>
    </w:p>
    <w:p w14:paraId="7CADBD07" w14:textId="12902A6F" w:rsidR="00A3672C" w:rsidRPr="00A3672C" w:rsidRDefault="00A3672C" w:rsidP="00A3672C">
      <w:pPr>
        <w:spacing w:line="260" w:lineRule="atLeast"/>
        <w:ind w:firstLine="567"/>
        <w:jc w:val="both"/>
        <w:rPr>
          <w:rFonts w:asciiTheme="majorBidi" w:hAnsiTheme="majorBidi" w:cstheme="majorBidi"/>
          <w:sz w:val="18"/>
          <w:szCs w:val="18"/>
        </w:rPr>
      </w:pPr>
      <w:r w:rsidRPr="00A3672C">
        <w:rPr>
          <w:rFonts w:asciiTheme="majorBidi" w:hAnsiTheme="majorBidi" w:cstheme="majorBidi"/>
          <w:sz w:val="18"/>
          <w:szCs w:val="18"/>
        </w:rPr>
        <w:t xml:space="preserve">The </w:t>
      </w:r>
      <w:r w:rsidR="003D3292" w:rsidRPr="00C87775">
        <w:rPr>
          <w:rFonts w:asciiTheme="majorBidi" w:hAnsiTheme="majorBidi" w:cstheme="majorBidi"/>
          <w:sz w:val="18"/>
          <w:szCs w:val="18"/>
          <w:shd w:val="clear" w:color="auto" w:fill="FFFFFF"/>
        </w:rPr>
        <w:t>Levelized cost of Hydrogen (LCOH)</w:t>
      </w:r>
      <w:r w:rsidR="00752E58" w:rsidRPr="00C94F74">
        <w:rPr>
          <w:rFonts w:asciiTheme="majorBidi" w:hAnsiTheme="majorBidi" w:cstheme="majorBidi"/>
          <w:color w:val="1C1C1C"/>
          <w:sz w:val="18"/>
          <w:szCs w:val="18"/>
          <w:shd w:val="clear" w:color="auto" w:fill="FFFFFF"/>
        </w:rPr>
        <w:t xml:space="preserve"> </w:t>
      </w:r>
      <w:r w:rsidRPr="00A3672C">
        <w:rPr>
          <w:rFonts w:asciiTheme="majorBidi" w:hAnsiTheme="majorBidi" w:cstheme="majorBidi"/>
          <w:sz w:val="18"/>
          <w:szCs w:val="18"/>
        </w:rPr>
        <w:t xml:space="preserve">was calculated by the HEEP software, and it was </w:t>
      </w:r>
      <w:r w:rsidR="00BC121C">
        <w:rPr>
          <w:rFonts w:asciiTheme="majorBidi" w:hAnsiTheme="majorBidi" w:cstheme="majorBidi"/>
          <w:sz w:val="18"/>
          <w:szCs w:val="18"/>
        </w:rPr>
        <w:t>3.01</w:t>
      </w:r>
      <w:r w:rsidRPr="00A3672C">
        <w:rPr>
          <w:rFonts w:asciiTheme="majorBidi" w:hAnsiTheme="majorBidi" w:cstheme="majorBidi"/>
          <w:sz w:val="18"/>
          <w:szCs w:val="18"/>
        </w:rPr>
        <w:t xml:space="preserve"> $/kg for the model system </w:t>
      </w:r>
      <w:r w:rsidR="00BC121C">
        <w:rPr>
          <w:rFonts w:asciiTheme="majorBidi" w:hAnsiTheme="majorBidi" w:cstheme="majorBidi"/>
          <w:sz w:val="18"/>
          <w:szCs w:val="18"/>
        </w:rPr>
        <w:t xml:space="preserve">including storage and transportation </w:t>
      </w:r>
      <w:r w:rsidRPr="00A3672C">
        <w:rPr>
          <w:rFonts w:asciiTheme="majorBidi" w:hAnsiTheme="majorBidi" w:cstheme="majorBidi"/>
          <w:sz w:val="18"/>
          <w:szCs w:val="18"/>
        </w:rPr>
        <w:t xml:space="preserve">as shown in Fig. </w:t>
      </w:r>
      <w:r w:rsidR="00147719">
        <w:rPr>
          <w:rFonts w:asciiTheme="majorBidi" w:hAnsiTheme="majorBidi" w:cstheme="majorBidi"/>
          <w:sz w:val="18"/>
          <w:szCs w:val="18"/>
        </w:rPr>
        <w:t>5</w:t>
      </w:r>
      <w:r w:rsidRPr="00A3672C">
        <w:rPr>
          <w:rFonts w:asciiTheme="majorBidi" w:hAnsiTheme="majorBidi" w:cstheme="majorBidi"/>
          <w:sz w:val="18"/>
          <w:szCs w:val="18"/>
        </w:rPr>
        <w:t>.</w:t>
      </w:r>
    </w:p>
    <w:p w14:paraId="3039B9A5" w14:textId="34E6C267" w:rsidR="00A3672C" w:rsidRDefault="00A3672C" w:rsidP="00A3672C">
      <w:pPr>
        <w:spacing w:line="260" w:lineRule="atLeast"/>
        <w:jc w:val="both"/>
        <w:rPr>
          <w:rFonts w:asciiTheme="majorBidi" w:hAnsiTheme="majorBidi" w:cstheme="majorBidi"/>
          <w:sz w:val="18"/>
          <w:szCs w:val="18"/>
        </w:rPr>
      </w:pPr>
      <w:bookmarkStart w:id="0" w:name="_Hlk171868904"/>
    </w:p>
    <w:p w14:paraId="6DBEA235" w14:textId="77777777" w:rsidR="00A4793E" w:rsidRDefault="00A4793E" w:rsidP="00A4793E">
      <w:pPr>
        <w:spacing w:line="260" w:lineRule="atLeast"/>
        <w:jc w:val="center"/>
        <w:rPr>
          <w:rFonts w:asciiTheme="majorBidi" w:hAnsiTheme="majorBidi" w:cstheme="majorBidi"/>
          <w:sz w:val="20"/>
        </w:rPr>
      </w:pPr>
      <w:r>
        <w:rPr>
          <w:noProof/>
        </w:rPr>
        <w:drawing>
          <wp:inline distT="0" distB="0" distL="0" distR="0" wp14:anchorId="4561CD68" wp14:editId="5411D5E3">
            <wp:extent cx="2451373" cy="1822450"/>
            <wp:effectExtent l="0" t="0" r="6350" b="6350"/>
            <wp:docPr id="1100167227" name="Image 1" descr="Une image contenant texte, capture d’écran, nombre,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34144" name="Image 1" descr="Une image contenant texte, capture d’écran, nombre, affichage&#10;&#10;Description générée automatiquement"/>
                    <pic:cNvPicPr/>
                  </pic:nvPicPr>
                  <pic:blipFill>
                    <a:blip r:embed="rId12"/>
                    <a:stretch>
                      <a:fillRect/>
                    </a:stretch>
                  </pic:blipFill>
                  <pic:spPr>
                    <a:xfrm>
                      <a:off x="0" y="0"/>
                      <a:ext cx="2455193" cy="1825290"/>
                    </a:xfrm>
                    <a:prstGeom prst="rect">
                      <a:avLst/>
                    </a:prstGeom>
                  </pic:spPr>
                </pic:pic>
              </a:graphicData>
            </a:graphic>
          </wp:inline>
        </w:drawing>
      </w:r>
      <w:r>
        <w:rPr>
          <w:noProof/>
        </w:rPr>
        <w:drawing>
          <wp:inline distT="0" distB="0" distL="0" distR="0" wp14:anchorId="4B474DC4" wp14:editId="097F2C0D">
            <wp:extent cx="2731229" cy="1802130"/>
            <wp:effectExtent l="0" t="0" r="0" b="7620"/>
            <wp:docPr id="490786081"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2581" name="Image 1" descr="Une image contenant texte, capture d’écran, nombre, Police&#10;&#10;Description générée automatiquement"/>
                    <pic:cNvPicPr/>
                  </pic:nvPicPr>
                  <pic:blipFill>
                    <a:blip r:embed="rId13"/>
                    <a:stretch>
                      <a:fillRect/>
                    </a:stretch>
                  </pic:blipFill>
                  <pic:spPr>
                    <a:xfrm>
                      <a:off x="0" y="0"/>
                      <a:ext cx="2736684" cy="1805729"/>
                    </a:xfrm>
                    <a:prstGeom prst="rect">
                      <a:avLst/>
                    </a:prstGeom>
                  </pic:spPr>
                </pic:pic>
              </a:graphicData>
            </a:graphic>
          </wp:inline>
        </w:drawing>
      </w:r>
    </w:p>
    <w:p w14:paraId="331F7A03" w14:textId="77777777" w:rsidR="00311DA2" w:rsidRPr="00A3672C" w:rsidRDefault="00311DA2" w:rsidP="00A3672C">
      <w:pPr>
        <w:spacing w:line="260" w:lineRule="atLeast"/>
        <w:jc w:val="both"/>
        <w:rPr>
          <w:rFonts w:asciiTheme="majorBidi" w:hAnsiTheme="majorBidi" w:cstheme="majorBidi"/>
          <w:sz w:val="18"/>
          <w:szCs w:val="18"/>
        </w:rPr>
      </w:pPr>
    </w:p>
    <w:p w14:paraId="3193B6F3" w14:textId="2FBC43C3" w:rsidR="00A3672C" w:rsidRPr="00A3672C" w:rsidRDefault="00A3672C" w:rsidP="00A3672C">
      <w:pPr>
        <w:spacing w:line="260" w:lineRule="atLeast"/>
        <w:jc w:val="center"/>
        <w:rPr>
          <w:rFonts w:asciiTheme="majorBidi" w:hAnsiTheme="majorBidi" w:cstheme="majorBidi"/>
          <w:i/>
          <w:iCs/>
          <w:sz w:val="20"/>
        </w:rPr>
      </w:pPr>
      <w:r w:rsidRPr="00147719">
        <w:rPr>
          <w:rFonts w:asciiTheme="majorBidi" w:hAnsiTheme="majorBidi" w:cstheme="majorBidi"/>
          <w:i/>
          <w:iCs/>
          <w:sz w:val="20"/>
        </w:rPr>
        <w:t xml:space="preserve">FIG. </w:t>
      </w:r>
      <w:r w:rsidR="00147719" w:rsidRPr="00147719">
        <w:rPr>
          <w:rFonts w:asciiTheme="majorBidi" w:hAnsiTheme="majorBidi" w:cstheme="majorBidi"/>
          <w:i/>
          <w:iCs/>
          <w:sz w:val="20"/>
        </w:rPr>
        <w:t>3</w:t>
      </w:r>
      <w:r w:rsidRPr="00147719">
        <w:rPr>
          <w:rFonts w:asciiTheme="majorBidi" w:hAnsiTheme="majorBidi" w:cstheme="majorBidi"/>
          <w:i/>
          <w:iCs/>
          <w:sz w:val="20"/>
        </w:rPr>
        <w:t xml:space="preserve">. </w:t>
      </w:r>
      <w:r w:rsidR="00147719" w:rsidRPr="00147719">
        <w:rPr>
          <w:rFonts w:asciiTheme="majorBidi" w:hAnsiTheme="majorBidi" w:cstheme="majorBidi"/>
          <w:i/>
          <w:iCs/>
          <w:sz w:val="20"/>
        </w:rPr>
        <w:t xml:space="preserve">SMR and H2 production features inside </w:t>
      </w:r>
      <w:r w:rsidRPr="00147719">
        <w:rPr>
          <w:rFonts w:asciiTheme="majorBidi" w:hAnsiTheme="majorBidi" w:cstheme="majorBidi"/>
          <w:i/>
          <w:iCs/>
          <w:sz w:val="20"/>
        </w:rPr>
        <w:t>HEEP</w:t>
      </w:r>
    </w:p>
    <w:p w14:paraId="31776C3C" w14:textId="77777777" w:rsidR="00951859" w:rsidRDefault="00951859" w:rsidP="00951859">
      <w:pPr>
        <w:overflowPunct/>
        <w:textAlignment w:val="auto"/>
        <w:rPr>
          <w:rFonts w:asciiTheme="majorBidi" w:hAnsiTheme="majorBidi" w:cstheme="majorBidi"/>
          <w:sz w:val="18"/>
          <w:szCs w:val="18"/>
          <w:lang w:val="en-US" w:eastAsia="en-GB"/>
        </w:rPr>
      </w:pPr>
    </w:p>
    <w:p w14:paraId="1F73F86D" w14:textId="77777777" w:rsidR="00A4793E" w:rsidRDefault="00A85BF5" w:rsidP="00A4793E">
      <w:pPr>
        <w:spacing w:line="260" w:lineRule="atLeast"/>
        <w:jc w:val="both"/>
        <w:rPr>
          <w:rFonts w:asciiTheme="majorBidi" w:hAnsiTheme="majorBidi" w:cstheme="majorBidi"/>
          <w:sz w:val="20"/>
        </w:rPr>
      </w:pPr>
      <w:r>
        <w:rPr>
          <w:rFonts w:asciiTheme="majorBidi" w:hAnsiTheme="majorBidi" w:cstheme="majorBidi"/>
          <w:sz w:val="18"/>
          <w:szCs w:val="18"/>
          <w:lang w:val="en-US" w:eastAsia="en-GB"/>
        </w:rPr>
        <w:t xml:space="preserve">  </w:t>
      </w:r>
      <w:r w:rsidR="00A4793E">
        <w:rPr>
          <w:noProof/>
        </w:rPr>
        <w:drawing>
          <wp:inline distT="0" distB="0" distL="0" distR="0" wp14:anchorId="1CDB1EC8" wp14:editId="1D38AC5C">
            <wp:extent cx="2733675" cy="1830586"/>
            <wp:effectExtent l="0" t="0" r="0" b="0"/>
            <wp:docPr id="1815812222"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01183" name="Image 1" descr="Une image contenant texte, capture d’écran, nombre, Police&#10;&#10;Description générée automatiquement"/>
                    <pic:cNvPicPr/>
                  </pic:nvPicPr>
                  <pic:blipFill>
                    <a:blip r:embed="rId14"/>
                    <a:stretch>
                      <a:fillRect/>
                    </a:stretch>
                  </pic:blipFill>
                  <pic:spPr>
                    <a:xfrm>
                      <a:off x="0" y="0"/>
                      <a:ext cx="2738344" cy="1833713"/>
                    </a:xfrm>
                    <a:prstGeom prst="rect">
                      <a:avLst/>
                    </a:prstGeom>
                  </pic:spPr>
                </pic:pic>
              </a:graphicData>
            </a:graphic>
          </wp:inline>
        </w:drawing>
      </w:r>
      <w:r w:rsidR="00A4793E">
        <w:rPr>
          <w:rFonts w:asciiTheme="majorBidi" w:hAnsiTheme="majorBidi" w:cstheme="majorBidi"/>
          <w:sz w:val="20"/>
        </w:rPr>
        <w:t xml:space="preserve"> </w:t>
      </w:r>
      <w:r w:rsidR="00A4793E">
        <w:rPr>
          <w:noProof/>
        </w:rPr>
        <w:drawing>
          <wp:inline distT="0" distB="0" distL="0" distR="0" wp14:anchorId="223906C3" wp14:editId="00C5294E">
            <wp:extent cx="2876550" cy="1629196"/>
            <wp:effectExtent l="0" t="0" r="0" b="9525"/>
            <wp:docPr id="833640985"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95975" name="Image 1" descr="Une image contenant texte, capture d’écran, nombre, Police&#10;&#10;Description générée automatiquement"/>
                    <pic:cNvPicPr/>
                  </pic:nvPicPr>
                  <pic:blipFill>
                    <a:blip r:embed="rId15"/>
                    <a:stretch>
                      <a:fillRect/>
                    </a:stretch>
                  </pic:blipFill>
                  <pic:spPr>
                    <a:xfrm>
                      <a:off x="0" y="0"/>
                      <a:ext cx="2876550" cy="1629196"/>
                    </a:xfrm>
                    <a:prstGeom prst="rect">
                      <a:avLst/>
                    </a:prstGeom>
                  </pic:spPr>
                </pic:pic>
              </a:graphicData>
            </a:graphic>
          </wp:inline>
        </w:drawing>
      </w:r>
    </w:p>
    <w:p w14:paraId="367B5F1E" w14:textId="3F0E262B" w:rsidR="007D2873" w:rsidRDefault="007D2873" w:rsidP="00A85BF5">
      <w:pPr>
        <w:overflowPunct/>
        <w:textAlignment w:val="auto"/>
        <w:rPr>
          <w:rFonts w:asciiTheme="majorBidi" w:hAnsiTheme="majorBidi" w:cstheme="majorBidi"/>
          <w:sz w:val="18"/>
          <w:szCs w:val="18"/>
          <w:lang w:val="en-US" w:eastAsia="en-GB"/>
        </w:rPr>
      </w:pPr>
    </w:p>
    <w:p w14:paraId="2E4EDB51" w14:textId="76A4A8DB" w:rsidR="00147719" w:rsidRPr="00A3672C" w:rsidRDefault="00147719" w:rsidP="00147719">
      <w:pPr>
        <w:spacing w:line="260" w:lineRule="atLeast"/>
        <w:jc w:val="center"/>
        <w:rPr>
          <w:rFonts w:asciiTheme="majorBidi" w:hAnsiTheme="majorBidi" w:cstheme="majorBidi"/>
          <w:i/>
          <w:iCs/>
          <w:sz w:val="20"/>
        </w:rPr>
      </w:pPr>
      <w:r w:rsidRPr="00147719">
        <w:rPr>
          <w:rFonts w:asciiTheme="majorBidi" w:hAnsiTheme="majorBidi" w:cstheme="majorBidi"/>
          <w:i/>
          <w:iCs/>
          <w:sz w:val="20"/>
        </w:rPr>
        <w:t>FIG. 4. Storage method and H2 transportation features inside HEEP</w:t>
      </w:r>
    </w:p>
    <w:p w14:paraId="66D216CC" w14:textId="77777777" w:rsidR="00147719" w:rsidRPr="00147719" w:rsidRDefault="00147719" w:rsidP="00147719">
      <w:pPr>
        <w:overflowPunct/>
        <w:textAlignment w:val="auto"/>
        <w:rPr>
          <w:rFonts w:asciiTheme="majorBidi" w:hAnsiTheme="majorBidi" w:cstheme="majorBidi"/>
          <w:sz w:val="18"/>
          <w:szCs w:val="18"/>
          <w:lang w:eastAsia="en-GB"/>
        </w:rPr>
      </w:pPr>
    </w:p>
    <w:p w14:paraId="3D404CE1" w14:textId="77777777" w:rsidR="00147719" w:rsidRDefault="00147719" w:rsidP="00A85BF5">
      <w:pPr>
        <w:overflowPunct/>
        <w:textAlignment w:val="auto"/>
        <w:rPr>
          <w:rFonts w:asciiTheme="majorBidi" w:hAnsiTheme="majorBidi" w:cstheme="majorBidi"/>
          <w:sz w:val="18"/>
          <w:szCs w:val="18"/>
          <w:lang w:val="en-US" w:eastAsia="en-GB"/>
        </w:rPr>
      </w:pPr>
    </w:p>
    <w:p w14:paraId="445DFA61" w14:textId="5070400A" w:rsidR="007D2873" w:rsidRDefault="00A4793E" w:rsidP="00147719">
      <w:pPr>
        <w:overflowPunct/>
        <w:jc w:val="center"/>
        <w:textAlignment w:val="auto"/>
        <w:rPr>
          <w:rFonts w:asciiTheme="majorBidi" w:hAnsiTheme="majorBidi" w:cstheme="majorBidi"/>
          <w:sz w:val="18"/>
          <w:szCs w:val="18"/>
          <w:lang w:val="en-US" w:eastAsia="en-GB"/>
        </w:rPr>
      </w:pPr>
      <w:r>
        <w:rPr>
          <w:noProof/>
        </w:rPr>
        <w:drawing>
          <wp:inline distT="0" distB="0" distL="0" distR="0" wp14:anchorId="7D559B31" wp14:editId="1B53EC1D">
            <wp:extent cx="3390900" cy="1231672"/>
            <wp:effectExtent l="0" t="0" r="0" b="6985"/>
            <wp:docPr id="1096468981" name="Image 1"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51796" name="Image 1" descr="Une image contenant texte, capture d’écran, Police, diagramme&#10;&#10;Description générée automatiquement"/>
                    <pic:cNvPicPr/>
                  </pic:nvPicPr>
                  <pic:blipFill>
                    <a:blip r:embed="rId16"/>
                    <a:stretch>
                      <a:fillRect/>
                    </a:stretch>
                  </pic:blipFill>
                  <pic:spPr>
                    <a:xfrm>
                      <a:off x="0" y="0"/>
                      <a:ext cx="3410938" cy="1238950"/>
                    </a:xfrm>
                    <a:prstGeom prst="rect">
                      <a:avLst/>
                    </a:prstGeom>
                  </pic:spPr>
                </pic:pic>
              </a:graphicData>
            </a:graphic>
          </wp:inline>
        </w:drawing>
      </w:r>
    </w:p>
    <w:p w14:paraId="00A13E01" w14:textId="25431155" w:rsidR="00147719" w:rsidRDefault="00147719" w:rsidP="00147719">
      <w:pPr>
        <w:spacing w:line="260" w:lineRule="atLeast"/>
        <w:jc w:val="center"/>
        <w:rPr>
          <w:rFonts w:asciiTheme="majorBidi" w:hAnsiTheme="majorBidi" w:cstheme="majorBidi"/>
          <w:i/>
          <w:iCs/>
          <w:sz w:val="20"/>
        </w:rPr>
      </w:pPr>
      <w:r w:rsidRPr="00147719">
        <w:rPr>
          <w:rFonts w:asciiTheme="majorBidi" w:hAnsiTheme="majorBidi" w:cstheme="majorBidi"/>
          <w:i/>
          <w:iCs/>
          <w:sz w:val="20"/>
        </w:rPr>
        <w:t xml:space="preserve">FIG. </w:t>
      </w:r>
      <w:r w:rsidR="00BC121C">
        <w:rPr>
          <w:rFonts w:asciiTheme="majorBidi" w:hAnsiTheme="majorBidi" w:cstheme="majorBidi"/>
          <w:i/>
          <w:iCs/>
          <w:sz w:val="20"/>
        </w:rPr>
        <w:t>5</w:t>
      </w:r>
      <w:r w:rsidRPr="00147719">
        <w:rPr>
          <w:rFonts w:asciiTheme="majorBidi" w:hAnsiTheme="majorBidi" w:cstheme="majorBidi"/>
          <w:i/>
          <w:iCs/>
          <w:sz w:val="20"/>
        </w:rPr>
        <w:t>. HEEP Calculation Result for the model system</w:t>
      </w:r>
    </w:p>
    <w:p w14:paraId="4A9B45D1" w14:textId="77777777" w:rsidR="00A80441" w:rsidRDefault="00A80441" w:rsidP="00A80441">
      <w:pPr>
        <w:spacing w:line="260" w:lineRule="atLeast"/>
        <w:jc w:val="both"/>
        <w:rPr>
          <w:rFonts w:asciiTheme="majorBidi" w:hAnsiTheme="majorBidi" w:cstheme="majorBidi"/>
          <w:sz w:val="20"/>
        </w:rPr>
      </w:pPr>
    </w:p>
    <w:p w14:paraId="78316065" w14:textId="77777777" w:rsidR="009372ED" w:rsidRDefault="009372ED" w:rsidP="00A80441">
      <w:pPr>
        <w:spacing w:line="260" w:lineRule="atLeast"/>
        <w:jc w:val="both"/>
        <w:rPr>
          <w:rFonts w:asciiTheme="majorBidi" w:hAnsiTheme="majorBidi" w:cstheme="majorBidi"/>
          <w:sz w:val="20"/>
        </w:rPr>
      </w:pPr>
    </w:p>
    <w:p w14:paraId="098B1833" w14:textId="77777777" w:rsidR="00301498" w:rsidRDefault="00301498" w:rsidP="00A80441">
      <w:pPr>
        <w:spacing w:line="260" w:lineRule="atLeast"/>
        <w:jc w:val="both"/>
        <w:rPr>
          <w:rFonts w:asciiTheme="majorBidi" w:hAnsiTheme="majorBidi" w:cstheme="majorBidi"/>
          <w:sz w:val="20"/>
        </w:rPr>
      </w:pPr>
    </w:p>
    <w:p w14:paraId="0409383C" w14:textId="77777777" w:rsidR="00301498" w:rsidRDefault="00301498" w:rsidP="00A80441">
      <w:pPr>
        <w:spacing w:line="260" w:lineRule="atLeast"/>
        <w:jc w:val="both"/>
        <w:rPr>
          <w:rFonts w:asciiTheme="majorBidi" w:hAnsiTheme="majorBidi" w:cstheme="majorBidi"/>
          <w:sz w:val="20"/>
        </w:rPr>
      </w:pPr>
    </w:p>
    <w:p w14:paraId="6B9A16B0" w14:textId="77777777" w:rsidR="00301498" w:rsidRDefault="00301498" w:rsidP="00A80441">
      <w:pPr>
        <w:spacing w:line="260" w:lineRule="atLeast"/>
        <w:jc w:val="both"/>
        <w:rPr>
          <w:rFonts w:asciiTheme="majorBidi" w:hAnsiTheme="majorBidi" w:cstheme="majorBidi"/>
          <w:sz w:val="20"/>
        </w:rPr>
      </w:pPr>
    </w:p>
    <w:p w14:paraId="73E895BA" w14:textId="6D15099A" w:rsidR="00301498" w:rsidRDefault="00301498" w:rsidP="00A80441">
      <w:pPr>
        <w:spacing w:line="260" w:lineRule="atLeast"/>
        <w:jc w:val="both"/>
        <w:rPr>
          <w:rFonts w:asciiTheme="majorBidi" w:hAnsiTheme="majorBidi" w:cstheme="majorBidi"/>
          <w:sz w:val="20"/>
        </w:rPr>
      </w:pPr>
    </w:p>
    <w:p w14:paraId="3865FD8C" w14:textId="659027E0" w:rsidR="00301498" w:rsidRDefault="00BC121C" w:rsidP="00BC121C">
      <w:pPr>
        <w:pStyle w:val="Corpsdetexte"/>
        <w:ind w:firstLine="0"/>
        <w:rPr>
          <w:rFonts w:asciiTheme="majorBidi" w:hAnsiTheme="majorBidi" w:cstheme="majorBidi"/>
        </w:rPr>
      </w:pPr>
      <w:r>
        <w:t xml:space="preserve">TABLE </w:t>
      </w:r>
      <w:r>
        <w:t>4</w:t>
      </w:r>
      <w:r>
        <w:t xml:space="preserve">. </w:t>
      </w:r>
      <w:r>
        <w:t>DETAILS ABOUT HEEP RESULTS</w:t>
      </w:r>
    </w:p>
    <w:p w14:paraId="0C5A1491" w14:textId="77777777" w:rsidR="00301498" w:rsidRDefault="00301498" w:rsidP="00A80441">
      <w:pPr>
        <w:spacing w:line="260" w:lineRule="atLeast"/>
        <w:jc w:val="both"/>
        <w:rPr>
          <w:rFonts w:asciiTheme="majorBidi" w:hAnsiTheme="majorBidi" w:cstheme="majorBidi"/>
          <w:sz w:val="20"/>
        </w:rPr>
      </w:pPr>
    </w:p>
    <w:tbl>
      <w:tblPr>
        <w:tblStyle w:val="Grilledutableau"/>
        <w:tblW w:w="8500" w:type="dxa"/>
        <w:jc w:val="center"/>
        <w:tblLook w:val="04A0" w:firstRow="1" w:lastRow="0" w:firstColumn="1" w:lastColumn="0" w:noHBand="0" w:noVBand="1"/>
      </w:tblPr>
      <w:tblGrid>
        <w:gridCol w:w="1393"/>
        <w:gridCol w:w="1150"/>
        <w:gridCol w:w="1559"/>
        <w:gridCol w:w="1286"/>
        <w:gridCol w:w="1700"/>
        <w:gridCol w:w="1412"/>
      </w:tblGrid>
      <w:tr w:rsidR="00A4793E" w14:paraId="3F542313" w14:textId="77777777" w:rsidTr="00BC121C">
        <w:trPr>
          <w:jc w:val="center"/>
        </w:trPr>
        <w:tc>
          <w:tcPr>
            <w:tcW w:w="1394" w:type="dxa"/>
            <w:tcBorders>
              <w:top w:val="single" w:sz="4" w:space="0" w:color="auto"/>
              <w:left w:val="nil"/>
              <w:bottom w:val="single" w:sz="4" w:space="0" w:color="auto"/>
              <w:right w:val="nil"/>
            </w:tcBorders>
          </w:tcPr>
          <w:p w14:paraId="67F0E257" w14:textId="77777777" w:rsidR="00A4793E" w:rsidRDefault="00A4793E" w:rsidP="00A80441">
            <w:pPr>
              <w:spacing w:line="260" w:lineRule="atLeast"/>
              <w:jc w:val="both"/>
              <w:rPr>
                <w:rFonts w:asciiTheme="majorBidi" w:hAnsiTheme="majorBidi" w:cstheme="majorBidi"/>
                <w:sz w:val="20"/>
              </w:rPr>
            </w:pPr>
          </w:p>
        </w:tc>
        <w:tc>
          <w:tcPr>
            <w:tcW w:w="1153" w:type="dxa"/>
            <w:tcBorders>
              <w:top w:val="single" w:sz="4" w:space="0" w:color="auto"/>
              <w:left w:val="nil"/>
              <w:bottom w:val="single" w:sz="4" w:space="0" w:color="auto"/>
              <w:right w:val="nil"/>
            </w:tcBorders>
          </w:tcPr>
          <w:p w14:paraId="1F280431" w14:textId="1064E2DA" w:rsidR="00A4793E" w:rsidRPr="00BC121C" w:rsidRDefault="00A4793E" w:rsidP="00A4793E">
            <w:pPr>
              <w:spacing w:line="260" w:lineRule="atLeast"/>
              <w:jc w:val="center"/>
              <w:rPr>
                <w:rFonts w:asciiTheme="majorBidi" w:hAnsiTheme="majorBidi" w:cstheme="majorBidi"/>
                <w:sz w:val="18"/>
                <w:szCs w:val="18"/>
              </w:rPr>
            </w:pPr>
            <w:r w:rsidRPr="00BC121C">
              <w:rPr>
                <w:rFonts w:asciiTheme="majorBidi" w:hAnsiTheme="majorBidi" w:cstheme="majorBidi"/>
                <w:sz w:val="18"/>
                <w:szCs w:val="18"/>
              </w:rPr>
              <w:t>Capital cost (Debt)</w:t>
            </w:r>
          </w:p>
        </w:tc>
        <w:tc>
          <w:tcPr>
            <w:tcW w:w="1564" w:type="dxa"/>
            <w:tcBorders>
              <w:top w:val="single" w:sz="4" w:space="0" w:color="auto"/>
              <w:left w:val="nil"/>
              <w:bottom w:val="single" w:sz="4" w:space="0" w:color="auto"/>
              <w:right w:val="nil"/>
            </w:tcBorders>
          </w:tcPr>
          <w:p w14:paraId="5D358472" w14:textId="1E86CAA1" w:rsidR="00A4793E" w:rsidRPr="00BC121C" w:rsidRDefault="00A4793E" w:rsidP="00A4793E">
            <w:pPr>
              <w:spacing w:line="260" w:lineRule="atLeast"/>
              <w:jc w:val="center"/>
              <w:rPr>
                <w:rFonts w:asciiTheme="majorBidi" w:hAnsiTheme="majorBidi" w:cstheme="majorBidi"/>
                <w:sz w:val="18"/>
                <w:szCs w:val="18"/>
              </w:rPr>
            </w:pPr>
            <w:r w:rsidRPr="00BC121C">
              <w:rPr>
                <w:rFonts w:asciiTheme="majorBidi" w:hAnsiTheme="majorBidi" w:cstheme="majorBidi"/>
                <w:sz w:val="18"/>
                <w:szCs w:val="18"/>
              </w:rPr>
              <w:t>Capital cost (Equity)</w:t>
            </w:r>
          </w:p>
        </w:tc>
        <w:tc>
          <w:tcPr>
            <w:tcW w:w="1271" w:type="dxa"/>
            <w:tcBorders>
              <w:top w:val="single" w:sz="4" w:space="0" w:color="auto"/>
              <w:left w:val="nil"/>
              <w:bottom w:val="single" w:sz="4" w:space="0" w:color="auto"/>
              <w:right w:val="nil"/>
            </w:tcBorders>
          </w:tcPr>
          <w:p w14:paraId="6926EF8A" w14:textId="78EEB8FB" w:rsidR="00A4793E" w:rsidRPr="00BC121C" w:rsidRDefault="00A4793E" w:rsidP="00A4793E">
            <w:pPr>
              <w:spacing w:line="260" w:lineRule="atLeast"/>
              <w:jc w:val="center"/>
              <w:rPr>
                <w:rFonts w:asciiTheme="majorBidi" w:hAnsiTheme="majorBidi" w:cstheme="majorBidi"/>
                <w:sz w:val="18"/>
                <w:szCs w:val="18"/>
              </w:rPr>
            </w:pPr>
            <w:r w:rsidRPr="00BC121C">
              <w:rPr>
                <w:rFonts w:asciiTheme="majorBidi" w:hAnsiTheme="majorBidi" w:cstheme="majorBidi"/>
                <w:sz w:val="18"/>
                <w:szCs w:val="18"/>
              </w:rPr>
              <w:t>O&amp;M + Refurbishment</w:t>
            </w:r>
          </w:p>
        </w:tc>
        <w:tc>
          <w:tcPr>
            <w:tcW w:w="1701" w:type="dxa"/>
            <w:tcBorders>
              <w:top w:val="single" w:sz="4" w:space="0" w:color="auto"/>
              <w:left w:val="nil"/>
              <w:bottom w:val="single" w:sz="4" w:space="0" w:color="auto"/>
              <w:right w:val="nil"/>
            </w:tcBorders>
          </w:tcPr>
          <w:p w14:paraId="12BECDFB" w14:textId="6080EE06" w:rsidR="00A4793E" w:rsidRPr="00BC121C" w:rsidRDefault="00A4793E" w:rsidP="00A4793E">
            <w:pPr>
              <w:spacing w:line="260" w:lineRule="atLeast"/>
              <w:jc w:val="center"/>
              <w:rPr>
                <w:rFonts w:asciiTheme="majorBidi" w:hAnsiTheme="majorBidi" w:cstheme="majorBidi"/>
                <w:sz w:val="18"/>
                <w:szCs w:val="18"/>
              </w:rPr>
            </w:pPr>
            <w:r w:rsidRPr="00BC121C">
              <w:rPr>
                <w:rFonts w:asciiTheme="majorBidi" w:hAnsiTheme="majorBidi" w:cstheme="majorBidi"/>
                <w:sz w:val="18"/>
                <w:szCs w:val="18"/>
              </w:rPr>
              <w:t>Decommissioning cost</w:t>
            </w:r>
          </w:p>
        </w:tc>
        <w:tc>
          <w:tcPr>
            <w:tcW w:w="1417" w:type="dxa"/>
            <w:tcBorders>
              <w:top w:val="single" w:sz="4" w:space="0" w:color="auto"/>
              <w:left w:val="nil"/>
              <w:bottom w:val="single" w:sz="4" w:space="0" w:color="auto"/>
              <w:right w:val="nil"/>
            </w:tcBorders>
          </w:tcPr>
          <w:p w14:paraId="3CF0D520" w14:textId="03688DDE" w:rsidR="00A4793E" w:rsidRPr="00BC121C" w:rsidRDefault="00A4793E" w:rsidP="00A4793E">
            <w:pPr>
              <w:spacing w:line="260" w:lineRule="atLeast"/>
              <w:jc w:val="center"/>
              <w:rPr>
                <w:rFonts w:asciiTheme="majorBidi" w:hAnsiTheme="majorBidi" w:cstheme="majorBidi"/>
                <w:sz w:val="18"/>
                <w:szCs w:val="18"/>
              </w:rPr>
            </w:pPr>
            <w:r w:rsidRPr="00BC121C">
              <w:rPr>
                <w:rFonts w:asciiTheme="majorBidi" w:hAnsiTheme="majorBidi" w:cstheme="majorBidi"/>
                <w:sz w:val="18"/>
                <w:szCs w:val="18"/>
              </w:rPr>
              <w:t>Facility total</w:t>
            </w:r>
          </w:p>
        </w:tc>
      </w:tr>
      <w:tr w:rsidR="00A4793E" w14:paraId="6D1C5D2C" w14:textId="77777777" w:rsidTr="00BC121C">
        <w:trPr>
          <w:jc w:val="center"/>
        </w:trPr>
        <w:tc>
          <w:tcPr>
            <w:tcW w:w="1394" w:type="dxa"/>
            <w:tcBorders>
              <w:top w:val="single" w:sz="4" w:space="0" w:color="auto"/>
              <w:left w:val="nil"/>
              <w:bottom w:val="nil"/>
              <w:right w:val="nil"/>
            </w:tcBorders>
          </w:tcPr>
          <w:p w14:paraId="19D267DF" w14:textId="1E6DCE91" w:rsidR="00A4793E" w:rsidRPr="00A4793E" w:rsidRDefault="00A4793E" w:rsidP="00A80441">
            <w:pPr>
              <w:spacing w:line="260" w:lineRule="atLeast"/>
              <w:jc w:val="both"/>
              <w:rPr>
                <w:rFonts w:asciiTheme="majorBidi" w:hAnsiTheme="majorBidi" w:cstheme="majorBidi"/>
                <w:sz w:val="18"/>
                <w:szCs w:val="18"/>
              </w:rPr>
            </w:pPr>
            <w:r w:rsidRPr="00A4793E">
              <w:rPr>
                <w:rFonts w:asciiTheme="majorBidi" w:hAnsiTheme="majorBidi" w:cstheme="majorBidi"/>
                <w:sz w:val="18"/>
                <w:szCs w:val="18"/>
              </w:rPr>
              <w:t>Nuclear Power Plant</w:t>
            </w:r>
          </w:p>
        </w:tc>
        <w:tc>
          <w:tcPr>
            <w:tcW w:w="1153" w:type="dxa"/>
            <w:tcBorders>
              <w:top w:val="single" w:sz="4" w:space="0" w:color="auto"/>
              <w:left w:val="nil"/>
              <w:bottom w:val="nil"/>
              <w:right w:val="nil"/>
            </w:tcBorders>
            <w:vAlign w:val="center"/>
          </w:tcPr>
          <w:p w14:paraId="37E792EE" w14:textId="77DC04F0"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0.3</w:t>
            </w:r>
          </w:p>
        </w:tc>
        <w:tc>
          <w:tcPr>
            <w:tcW w:w="1564" w:type="dxa"/>
            <w:tcBorders>
              <w:top w:val="single" w:sz="4" w:space="0" w:color="auto"/>
              <w:left w:val="nil"/>
              <w:bottom w:val="nil"/>
              <w:right w:val="nil"/>
            </w:tcBorders>
            <w:vAlign w:val="center"/>
          </w:tcPr>
          <w:p w14:paraId="49FC81C9" w14:textId="4F0EDE18"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0.22</w:t>
            </w:r>
          </w:p>
        </w:tc>
        <w:tc>
          <w:tcPr>
            <w:tcW w:w="1271" w:type="dxa"/>
            <w:tcBorders>
              <w:top w:val="single" w:sz="4" w:space="0" w:color="auto"/>
              <w:left w:val="nil"/>
              <w:bottom w:val="nil"/>
              <w:right w:val="nil"/>
            </w:tcBorders>
            <w:vAlign w:val="center"/>
          </w:tcPr>
          <w:p w14:paraId="770BE73D" w14:textId="03B1F17C"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1</w:t>
            </w:r>
          </w:p>
        </w:tc>
        <w:tc>
          <w:tcPr>
            <w:tcW w:w="1701" w:type="dxa"/>
            <w:tcBorders>
              <w:top w:val="single" w:sz="4" w:space="0" w:color="auto"/>
              <w:left w:val="nil"/>
              <w:bottom w:val="nil"/>
              <w:right w:val="nil"/>
            </w:tcBorders>
            <w:vAlign w:val="center"/>
          </w:tcPr>
          <w:p w14:paraId="55F6D964" w14:textId="7C3035D8"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0.09</w:t>
            </w:r>
          </w:p>
        </w:tc>
        <w:tc>
          <w:tcPr>
            <w:tcW w:w="1417" w:type="dxa"/>
            <w:tcBorders>
              <w:top w:val="single" w:sz="4" w:space="0" w:color="auto"/>
              <w:left w:val="nil"/>
              <w:bottom w:val="nil"/>
              <w:right w:val="nil"/>
            </w:tcBorders>
            <w:vAlign w:val="center"/>
          </w:tcPr>
          <w:p w14:paraId="79FEB7AD" w14:textId="39AD6234"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1.62</w:t>
            </w:r>
          </w:p>
        </w:tc>
      </w:tr>
      <w:tr w:rsidR="00A4793E" w14:paraId="4926C1F9" w14:textId="77777777" w:rsidTr="00BC121C">
        <w:trPr>
          <w:jc w:val="center"/>
        </w:trPr>
        <w:tc>
          <w:tcPr>
            <w:tcW w:w="1394" w:type="dxa"/>
            <w:tcBorders>
              <w:top w:val="nil"/>
              <w:left w:val="nil"/>
              <w:bottom w:val="nil"/>
              <w:right w:val="nil"/>
            </w:tcBorders>
          </w:tcPr>
          <w:p w14:paraId="742F4250" w14:textId="25879886" w:rsidR="00A4793E" w:rsidRPr="00A4793E" w:rsidRDefault="00A4793E" w:rsidP="00A80441">
            <w:pPr>
              <w:spacing w:line="260" w:lineRule="atLeast"/>
              <w:jc w:val="both"/>
              <w:rPr>
                <w:rFonts w:asciiTheme="majorBidi" w:hAnsiTheme="majorBidi" w:cstheme="majorBidi"/>
                <w:sz w:val="18"/>
                <w:szCs w:val="18"/>
              </w:rPr>
            </w:pPr>
            <w:r w:rsidRPr="00A4793E">
              <w:rPr>
                <w:rFonts w:asciiTheme="majorBidi" w:hAnsiTheme="majorBidi" w:cstheme="majorBidi"/>
                <w:sz w:val="18"/>
                <w:szCs w:val="18"/>
              </w:rPr>
              <w:t>Hydrogen Generation</w:t>
            </w:r>
          </w:p>
        </w:tc>
        <w:tc>
          <w:tcPr>
            <w:tcW w:w="1153" w:type="dxa"/>
            <w:tcBorders>
              <w:top w:val="nil"/>
              <w:left w:val="nil"/>
              <w:bottom w:val="nil"/>
              <w:right w:val="nil"/>
            </w:tcBorders>
            <w:vAlign w:val="center"/>
          </w:tcPr>
          <w:p w14:paraId="540FF577" w14:textId="6DC6430F"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0.12</w:t>
            </w:r>
          </w:p>
        </w:tc>
        <w:tc>
          <w:tcPr>
            <w:tcW w:w="1564" w:type="dxa"/>
            <w:tcBorders>
              <w:top w:val="nil"/>
              <w:left w:val="nil"/>
              <w:bottom w:val="nil"/>
              <w:right w:val="nil"/>
            </w:tcBorders>
            <w:vAlign w:val="center"/>
          </w:tcPr>
          <w:p w14:paraId="0348C08F" w14:textId="696B878B"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0.1</w:t>
            </w:r>
          </w:p>
        </w:tc>
        <w:tc>
          <w:tcPr>
            <w:tcW w:w="1271" w:type="dxa"/>
            <w:tcBorders>
              <w:top w:val="nil"/>
              <w:left w:val="nil"/>
              <w:bottom w:val="nil"/>
              <w:right w:val="nil"/>
            </w:tcBorders>
            <w:vAlign w:val="center"/>
          </w:tcPr>
          <w:p w14:paraId="190FD7C3" w14:textId="7785BD47"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0.72</w:t>
            </w:r>
          </w:p>
        </w:tc>
        <w:tc>
          <w:tcPr>
            <w:tcW w:w="1701" w:type="dxa"/>
            <w:tcBorders>
              <w:top w:val="nil"/>
              <w:left w:val="nil"/>
              <w:bottom w:val="nil"/>
              <w:right w:val="nil"/>
            </w:tcBorders>
            <w:vAlign w:val="center"/>
          </w:tcPr>
          <w:p w14:paraId="7C91BF8F" w14:textId="04F86159"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0.02</w:t>
            </w:r>
          </w:p>
        </w:tc>
        <w:tc>
          <w:tcPr>
            <w:tcW w:w="1417" w:type="dxa"/>
            <w:tcBorders>
              <w:top w:val="nil"/>
              <w:left w:val="nil"/>
              <w:bottom w:val="nil"/>
              <w:right w:val="nil"/>
            </w:tcBorders>
            <w:vAlign w:val="center"/>
          </w:tcPr>
          <w:p w14:paraId="7E6ED8DE" w14:textId="3DFC27ED"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0.96</w:t>
            </w:r>
          </w:p>
        </w:tc>
      </w:tr>
      <w:tr w:rsidR="00A4793E" w14:paraId="1DF8FADB" w14:textId="77777777" w:rsidTr="00BC121C">
        <w:trPr>
          <w:jc w:val="center"/>
        </w:trPr>
        <w:tc>
          <w:tcPr>
            <w:tcW w:w="1394" w:type="dxa"/>
            <w:tcBorders>
              <w:top w:val="nil"/>
              <w:left w:val="nil"/>
              <w:bottom w:val="nil"/>
              <w:right w:val="nil"/>
            </w:tcBorders>
          </w:tcPr>
          <w:p w14:paraId="6EEC51B5" w14:textId="45A17F47" w:rsidR="00A4793E" w:rsidRPr="00A4793E" w:rsidRDefault="00A4793E" w:rsidP="00A80441">
            <w:pPr>
              <w:spacing w:line="260" w:lineRule="atLeast"/>
              <w:jc w:val="both"/>
              <w:rPr>
                <w:rFonts w:asciiTheme="majorBidi" w:hAnsiTheme="majorBidi" w:cstheme="majorBidi"/>
                <w:sz w:val="18"/>
                <w:szCs w:val="18"/>
              </w:rPr>
            </w:pPr>
            <w:r w:rsidRPr="00A4793E">
              <w:rPr>
                <w:rFonts w:asciiTheme="majorBidi" w:hAnsiTheme="majorBidi" w:cstheme="majorBidi"/>
                <w:sz w:val="18"/>
                <w:szCs w:val="18"/>
              </w:rPr>
              <w:t>Hydrogen storage</w:t>
            </w:r>
          </w:p>
        </w:tc>
        <w:tc>
          <w:tcPr>
            <w:tcW w:w="1153" w:type="dxa"/>
            <w:tcBorders>
              <w:top w:val="nil"/>
              <w:left w:val="nil"/>
              <w:bottom w:val="nil"/>
              <w:right w:val="nil"/>
            </w:tcBorders>
            <w:vAlign w:val="center"/>
          </w:tcPr>
          <w:p w14:paraId="7B078E4D" w14:textId="1B43AA73"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0.06</w:t>
            </w:r>
          </w:p>
        </w:tc>
        <w:tc>
          <w:tcPr>
            <w:tcW w:w="1564" w:type="dxa"/>
            <w:tcBorders>
              <w:top w:val="nil"/>
              <w:left w:val="nil"/>
              <w:bottom w:val="nil"/>
              <w:right w:val="nil"/>
            </w:tcBorders>
            <w:vAlign w:val="center"/>
          </w:tcPr>
          <w:p w14:paraId="6BEB226C" w14:textId="5B646D31"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0.05</w:t>
            </w:r>
          </w:p>
        </w:tc>
        <w:tc>
          <w:tcPr>
            <w:tcW w:w="1271" w:type="dxa"/>
            <w:tcBorders>
              <w:top w:val="nil"/>
              <w:left w:val="nil"/>
              <w:bottom w:val="nil"/>
              <w:right w:val="nil"/>
            </w:tcBorders>
            <w:vAlign w:val="center"/>
          </w:tcPr>
          <w:p w14:paraId="36946C37" w14:textId="60BB5204"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w:t>
            </w:r>
          </w:p>
        </w:tc>
        <w:tc>
          <w:tcPr>
            <w:tcW w:w="1701" w:type="dxa"/>
            <w:tcBorders>
              <w:top w:val="nil"/>
              <w:left w:val="nil"/>
              <w:bottom w:val="nil"/>
              <w:right w:val="nil"/>
            </w:tcBorders>
            <w:vAlign w:val="center"/>
          </w:tcPr>
          <w:p w14:paraId="1539B454" w14:textId="47BB3D4B"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w:t>
            </w:r>
          </w:p>
        </w:tc>
        <w:tc>
          <w:tcPr>
            <w:tcW w:w="1417" w:type="dxa"/>
            <w:tcBorders>
              <w:top w:val="nil"/>
              <w:left w:val="nil"/>
              <w:bottom w:val="nil"/>
              <w:right w:val="nil"/>
            </w:tcBorders>
            <w:vAlign w:val="center"/>
          </w:tcPr>
          <w:p w14:paraId="61C7A599" w14:textId="4AE3B12C"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0.11</w:t>
            </w:r>
          </w:p>
        </w:tc>
      </w:tr>
      <w:tr w:rsidR="00A4793E" w14:paraId="763D60FF" w14:textId="77777777" w:rsidTr="00BC121C">
        <w:trPr>
          <w:jc w:val="center"/>
        </w:trPr>
        <w:tc>
          <w:tcPr>
            <w:tcW w:w="1394" w:type="dxa"/>
            <w:tcBorders>
              <w:top w:val="nil"/>
              <w:left w:val="nil"/>
              <w:bottom w:val="nil"/>
              <w:right w:val="nil"/>
            </w:tcBorders>
          </w:tcPr>
          <w:p w14:paraId="73BC53BC" w14:textId="1E32A762" w:rsidR="00A4793E" w:rsidRPr="00A4793E" w:rsidRDefault="00A4793E" w:rsidP="00A80441">
            <w:pPr>
              <w:spacing w:line="260" w:lineRule="atLeast"/>
              <w:jc w:val="both"/>
              <w:rPr>
                <w:rFonts w:asciiTheme="majorBidi" w:hAnsiTheme="majorBidi" w:cstheme="majorBidi"/>
                <w:sz w:val="18"/>
                <w:szCs w:val="18"/>
              </w:rPr>
            </w:pPr>
            <w:r w:rsidRPr="00A4793E">
              <w:rPr>
                <w:rFonts w:asciiTheme="majorBidi" w:hAnsiTheme="majorBidi" w:cstheme="majorBidi"/>
                <w:sz w:val="18"/>
                <w:szCs w:val="18"/>
              </w:rPr>
              <w:t>Hydrogen Transportation</w:t>
            </w:r>
          </w:p>
        </w:tc>
        <w:tc>
          <w:tcPr>
            <w:tcW w:w="1153" w:type="dxa"/>
            <w:tcBorders>
              <w:top w:val="nil"/>
              <w:left w:val="nil"/>
              <w:bottom w:val="nil"/>
              <w:right w:val="nil"/>
            </w:tcBorders>
            <w:vAlign w:val="center"/>
          </w:tcPr>
          <w:p w14:paraId="1AE54BA2" w14:textId="5B142B53"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0.14</w:t>
            </w:r>
          </w:p>
        </w:tc>
        <w:tc>
          <w:tcPr>
            <w:tcW w:w="1564" w:type="dxa"/>
            <w:tcBorders>
              <w:top w:val="nil"/>
              <w:left w:val="nil"/>
              <w:bottom w:val="nil"/>
              <w:right w:val="nil"/>
            </w:tcBorders>
            <w:vAlign w:val="center"/>
          </w:tcPr>
          <w:p w14:paraId="699354E6" w14:textId="213CD416"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0.13</w:t>
            </w:r>
          </w:p>
        </w:tc>
        <w:tc>
          <w:tcPr>
            <w:tcW w:w="1271" w:type="dxa"/>
            <w:tcBorders>
              <w:top w:val="nil"/>
              <w:left w:val="nil"/>
              <w:bottom w:val="nil"/>
              <w:right w:val="nil"/>
            </w:tcBorders>
            <w:vAlign w:val="center"/>
          </w:tcPr>
          <w:p w14:paraId="542CED98" w14:textId="3F49C203"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0.04</w:t>
            </w:r>
          </w:p>
        </w:tc>
        <w:tc>
          <w:tcPr>
            <w:tcW w:w="1701" w:type="dxa"/>
            <w:tcBorders>
              <w:top w:val="nil"/>
              <w:left w:val="nil"/>
              <w:bottom w:val="nil"/>
              <w:right w:val="nil"/>
            </w:tcBorders>
            <w:vAlign w:val="center"/>
          </w:tcPr>
          <w:p w14:paraId="58C644DC" w14:textId="752B354B"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w:t>
            </w:r>
          </w:p>
        </w:tc>
        <w:tc>
          <w:tcPr>
            <w:tcW w:w="1417" w:type="dxa"/>
            <w:tcBorders>
              <w:top w:val="nil"/>
              <w:left w:val="nil"/>
              <w:bottom w:val="nil"/>
              <w:right w:val="nil"/>
            </w:tcBorders>
            <w:vAlign w:val="center"/>
          </w:tcPr>
          <w:p w14:paraId="494C8011" w14:textId="0F62A3AB"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0.32</w:t>
            </w:r>
          </w:p>
        </w:tc>
      </w:tr>
      <w:tr w:rsidR="00A4793E" w14:paraId="136A9A94" w14:textId="77777777" w:rsidTr="00BC121C">
        <w:trPr>
          <w:jc w:val="center"/>
        </w:trPr>
        <w:tc>
          <w:tcPr>
            <w:tcW w:w="1394" w:type="dxa"/>
            <w:tcBorders>
              <w:top w:val="nil"/>
              <w:left w:val="nil"/>
              <w:bottom w:val="single" w:sz="4" w:space="0" w:color="auto"/>
              <w:right w:val="nil"/>
            </w:tcBorders>
          </w:tcPr>
          <w:p w14:paraId="2BBF07DB" w14:textId="2263AD0C" w:rsidR="00A4793E" w:rsidRPr="00A4793E" w:rsidRDefault="00A4793E" w:rsidP="00A80441">
            <w:pPr>
              <w:spacing w:line="260" w:lineRule="atLeast"/>
              <w:jc w:val="both"/>
              <w:rPr>
                <w:rFonts w:asciiTheme="majorBidi" w:hAnsiTheme="majorBidi" w:cstheme="majorBidi"/>
                <w:sz w:val="18"/>
                <w:szCs w:val="18"/>
              </w:rPr>
            </w:pPr>
            <w:r w:rsidRPr="00A4793E">
              <w:rPr>
                <w:rFonts w:asciiTheme="majorBidi" w:hAnsiTheme="majorBidi" w:cstheme="majorBidi"/>
                <w:sz w:val="18"/>
                <w:szCs w:val="18"/>
              </w:rPr>
              <w:t>Total of all facilities</w:t>
            </w:r>
          </w:p>
        </w:tc>
        <w:tc>
          <w:tcPr>
            <w:tcW w:w="1153" w:type="dxa"/>
            <w:tcBorders>
              <w:top w:val="nil"/>
              <w:left w:val="nil"/>
              <w:bottom w:val="single" w:sz="4" w:space="0" w:color="auto"/>
              <w:right w:val="nil"/>
            </w:tcBorders>
            <w:vAlign w:val="center"/>
          </w:tcPr>
          <w:p w14:paraId="5A9D21B7" w14:textId="11D23B0E"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0.62</w:t>
            </w:r>
          </w:p>
        </w:tc>
        <w:tc>
          <w:tcPr>
            <w:tcW w:w="1564" w:type="dxa"/>
            <w:tcBorders>
              <w:top w:val="nil"/>
              <w:left w:val="nil"/>
              <w:bottom w:val="single" w:sz="4" w:space="0" w:color="auto"/>
              <w:right w:val="nil"/>
            </w:tcBorders>
            <w:vAlign w:val="center"/>
          </w:tcPr>
          <w:p w14:paraId="59235C6B" w14:textId="584FAD23"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0.5</w:t>
            </w:r>
          </w:p>
        </w:tc>
        <w:tc>
          <w:tcPr>
            <w:tcW w:w="1271" w:type="dxa"/>
            <w:tcBorders>
              <w:top w:val="nil"/>
              <w:left w:val="nil"/>
              <w:bottom w:val="single" w:sz="4" w:space="0" w:color="auto"/>
              <w:right w:val="nil"/>
            </w:tcBorders>
            <w:vAlign w:val="center"/>
          </w:tcPr>
          <w:p w14:paraId="3C9D6723" w14:textId="68E3D718"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1.76</w:t>
            </w:r>
          </w:p>
        </w:tc>
        <w:tc>
          <w:tcPr>
            <w:tcW w:w="1701" w:type="dxa"/>
            <w:tcBorders>
              <w:top w:val="nil"/>
              <w:left w:val="nil"/>
              <w:bottom w:val="single" w:sz="4" w:space="0" w:color="auto"/>
              <w:right w:val="nil"/>
            </w:tcBorders>
            <w:vAlign w:val="center"/>
          </w:tcPr>
          <w:p w14:paraId="45E89021" w14:textId="6F402974"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0.12</w:t>
            </w:r>
          </w:p>
        </w:tc>
        <w:tc>
          <w:tcPr>
            <w:tcW w:w="1417" w:type="dxa"/>
            <w:tcBorders>
              <w:top w:val="nil"/>
              <w:left w:val="nil"/>
              <w:bottom w:val="single" w:sz="4" w:space="0" w:color="auto"/>
              <w:right w:val="nil"/>
            </w:tcBorders>
            <w:vAlign w:val="center"/>
          </w:tcPr>
          <w:p w14:paraId="05EE1756" w14:textId="20D7B97A" w:rsidR="00A4793E" w:rsidRDefault="00A4793E" w:rsidP="00A4793E">
            <w:pPr>
              <w:spacing w:line="260" w:lineRule="atLeast"/>
              <w:jc w:val="center"/>
              <w:rPr>
                <w:rFonts w:asciiTheme="majorBidi" w:hAnsiTheme="majorBidi" w:cstheme="majorBidi"/>
                <w:sz w:val="20"/>
              </w:rPr>
            </w:pPr>
            <w:r>
              <w:rPr>
                <w:rFonts w:asciiTheme="majorBidi" w:hAnsiTheme="majorBidi" w:cstheme="majorBidi"/>
                <w:sz w:val="20"/>
              </w:rPr>
              <w:t>3.01</w:t>
            </w:r>
          </w:p>
        </w:tc>
      </w:tr>
    </w:tbl>
    <w:p w14:paraId="0E05532E" w14:textId="1EA31A92" w:rsidR="00A80441" w:rsidRDefault="00A80441" w:rsidP="00A80441">
      <w:pPr>
        <w:pStyle w:val="Titre2"/>
        <w:numPr>
          <w:ilvl w:val="1"/>
          <w:numId w:val="10"/>
        </w:numPr>
      </w:pPr>
      <w:r>
        <w:t>conclusion</w:t>
      </w:r>
    </w:p>
    <w:bookmarkEnd w:id="0"/>
    <w:p w14:paraId="08ACD305" w14:textId="48B2810D" w:rsidR="006810DE" w:rsidRDefault="006810DE" w:rsidP="006810DE">
      <w:pPr>
        <w:pStyle w:val="Otherunnumberedheadings"/>
        <w:ind w:firstLine="357"/>
        <w:jc w:val="both"/>
        <w:rPr>
          <w:rFonts w:asciiTheme="majorBidi" w:hAnsiTheme="majorBidi" w:cstheme="majorBidi"/>
          <w:b w:val="0"/>
          <w:caps w:val="0"/>
        </w:rPr>
      </w:pPr>
      <w:r w:rsidRPr="006810DE">
        <w:rPr>
          <w:rFonts w:asciiTheme="majorBidi" w:hAnsiTheme="majorBidi" w:cstheme="majorBidi"/>
          <w:b w:val="0"/>
          <w:caps w:val="0"/>
        </w:rPr>
        <w:t xml:space="preserve">Coupling a hydrogen production plant with a nuclear energy system presents numerous benefits. For instance, integrating a Gas-Turbine Modular Helium Reactor (GT-MHR) with a </w:t>
      </w:r>
      <w:proofErr w:type="spellStart"/>
      <w:r w:rsidR="00E833F4">
        <w:rPr>
          <w:rFonts w:asciiTheme="majorBidi" w:hAnsiTheme="majorBidi" w:cstheme="majorBidi"/>
          <w:b w:val="0"/>
          <w:caps w:val="0"/>
        </w:rPr>
        <w:t>S</w:t>
      </w:r>
      <w:r w:rsidRPr="006810DE">
        <w:rPr>
          <w:rFonts w:asciiTheme="majorBidi" w:hAnsiTheme="majorBidi" w:cstheme="majorBidi"/>
          <w:b w:val="0"/>
          <w:caps w:val="0"/>
        </w:rPr>
        <w:t>ulfur</w:t>
      </w:r>
      <w:proofErr w:type="spellEnd"/>
      <w:r w:rsidRPr="006810DE">
        <w:rPr>
          <w:rFonts w:asciiTheme="majorBidi" w:hAnsiTheme="majorBidi" w:cstheme="majorBidi"/>
          <w:b w:val="0"/>
          <w:caps w:val="0"/>
        </w:rPr>
        <w:t>-</w:t>
      </w:r>
      <w:r w:rsidR="00E833F4">
        <w:rPr>
          <w:rFonts w:asciiTheme="majorBidi" w:hAnsiTheme="majorBidi" w:cstheme="majorBidi"/>
          <w:b w:val="0"/>
          <w:caps w:val="0"/>
        </w:rPr>
        <w:t>I</w:t>
      </w:r>
      <w:r w:rsidRPr="006810DE">
        <w:rPr>
          <w:rFonts w:asciiTheme="majorBidi" w:hAnsiTheme="majorBidi" w:cstheme="majorBidi"/>
          <w:b w:val="0"/>
          <w:caps w:val="0"/>
        </w:rPr>
        <w:t>odine (S</w:t>
      </w:r>
      <w:r w:rsidR="00E833F4">
        <w:rPr>
          <w:rFonts w:asciiTheme="majorBidi" w:hAnsiTheme="majorBidi" w:cstheme="majorBidi"/>
          <w:b w:val="0"/>
          <w:caps w:val="0"/>
        </w:rPr>
        <w:t>I)</w:t>
      </w:r>
      <w:r w:rsidRPr="006810DE">
        <w:rPr>
          <w:rFonts w:asciiTheme="majorBidi" w:hAnsiTheme="majorBidi" w:cstheme="majorBidi"/>
          <w:b w:val="0"/>
          <w:caps w:val="0"/>
        </w:rPr>
        <w:t xml:space="preserve"> process for hydrogen production takes advantage of the heat generated by the reactor, reducing carbon dioxide emissions by substituting gas fuel with nuclear heat. Furthermore, this coupling enhances the thermal efficiency of the nuclear power plant (NPP). The economic analysis in this study offers valuable insights into the cost breakdown, showing a competitive hydrogen production cost of $2.52/kg when using nuclear heat from the GT-MHR. This cost rises to $3.01/kg when storage and transportation are factored in. The study also highlights the importance of evaluating the sensitivity of capital costs for each facility to determine the levelized cost of hydrogen.</w:t>
      </w:r>
    </w:p>
    <w:p w14:paraId="65C4EAB6" w14:textId="6C07F772" w:rsidR="00E415B5" w:rsidRPr="00285755" w:rsidRDefault="00E415B5" w:rsidP="006810DE">
      <w:pPr>
        <w:pStyle w:val="Otherunnumberedheadings"/>
        <w:ind w:firstLine="357"/>
      </w:pPr>
      <w:r>
        <w:t>References</w:t>
      </w:r>
    </w:p>
    <w:p w14:paraId="539B3AE6" w14:textId="13ADA727" w:rsidR="00C31E56" w:rsidRPr="00E415B5" w:rsidRDefault="00273A94" w:rsidP="00E415B5">
      <w:pPr>
        <w:overflowPunct/>
        <w:spacing w:line="260" w:lineRule="atLeast"/>
        <w:ind w:left="714" w:hanging="357"/>
        <w:jc w:val="both"/>
        <w:textAlignment w:val="auto"/>
        <w:rPr>
          <w:rFonts w:asciiTheme="majorBidi" w:hAnsiTheme="majorBidi" w:cstheme="majorBidi"/>
          <w:sz w:val="18"/>
          <w:szCs w:val="18"/>
          <w:lang w:val="en-US" w:eastAsia="en-GB"/>
        </w:rPr>
      </w:pPr>
      <w:r w:rsidRPr="00E415B5">
        <w:rPr>
          <w:rFonts w:asciiTheme="majorBidi" w:hAnsiTheme="majorBidi" w:cstheme="majorBidi"/>
          <w:sz w:val="18"/>
          <w:szCs w:val="18"/>
          <w:lang w:val="en-US" w:eastAsia="en-GB"/>
        </w:rPr>
        <w:t xml:space="preserve">[1] </w:t>
      </w:r>
      <w:r w:rsidR="00951859" w:rsidRPr="00E415B5">
        <w:rPr>
          <w:rFonts w:asciiTheme="majorBidi" w:hAnsiTheme="majorBidi" w:cstheme="majorBidi"/>
          <w:sz w:val="18"/>
          <w:szCs w:val="18"/>
          <w:lang w:val="en-US" w:eastAsia="en-GB"/>
        </w:rPr>
        <w:t>Dincer I, Zamfirescu C. Potential options to green energy systems. Energy 2012; 46, 5-15.</w:t>
      </w:r>
      <w:r w:rsidRPr="00E415B5">
        <w:rPr>
          <w:rFonts w:asciiTheme="majorBidi" w:hAnsiTheme="majorBidi" w:cstheme="majorBidi"/>
          <w:sz w:val="18"/>
          <w:szCs w:val="18"/>
          <w:lang w:val="en-US" w:eastAsia="en-GB"/>
        </w:rPr>
        <w:t xml:space="preserve"> </w:t>
      </w:r>
      <w:hyperlink r:id="rId17" w:tgtFrame="_blank" w:tooltip="Persistent link using digital object identifier" w:history="1">
        <w:r w:rsidRPr="00E415B5">
          <w:rPr>
            <w:rStyle w:val="anchor-text"/>
            <w:rFonts w:asciiTheme="majorBidi" w:hAnsiTheme="majorBidi" w:cstheme="majorBidi"/>
            <w:color w:val="1F1F1F"/>
            <w:sz w:val="18"/>
            <w:szCs w:val="18"/>
          </w:rPr>
          <w:t>https://doi.org/10.1016/j.energy.2011.11.061</w:t>
        </w:r>
      </w:hyperlink>
    </w:p>
    <w:p w14:paraId="1DC5F0F3" w14:textId="6F14C3A5" w:rsidR="00273A94" w:rsidRPr="00E415B5" w:rsidRDefault="00D9497C" w:rsidP="00E415B5">
      <w:pPr>
        <w:overflowPunct/>
        <w:spacing w:line="260" w:lineRule="atLeast"/>
        <w:ind w:left="714" w:hanging="357"/>
        <w:jc w:val="both"/>
        <w:textAlignment w:val="auto"/>
        <w:rPr>
          <w:rFonts w:asciiTheme="majorBidi" w:hAnsiTheme="majorBidi" w:cstheme="majorBidi"/>
          <w:sz w:val="18"/>
          <w:szCs w:val="18"/>
          <w:lang w:val="en-US" w:eastAsia="en-GB"/>
        </w:rPr>
      </w:pPr>
      <w:r w:rsidRPr="00E415B5">
        <w:rPr>
          <w:rFonts w:asciiTheme="majorBidi" w:hAnsiTheme="majorBidi" w:cstheme="majorBidi"/>
          <w:sz w:val="18"/>
          <w:szCs w:val="18"/>
          <w:lang w:val="en-US" w:eastAsia="en-GB"/>
        </w:rPr>
        <w:t xml:space="preserve">[2] </w:t>
      </w:r>
      <w:r w:rsidR="00273A94" w:rsidRPr="00E415B5">
        <w:rPr>
          <w:rFonts w:asciiTheme="majorBidi" w:hAnsiTheme="majorBidi" w:cstheme="majorBidi"/>
          <w:sz w:val="18"/>
          <w:szCs w:val="18"/>
          <w:lang w:val="en-US" w:eastAsia="en-GB"/>
        </w:rPr>
        <w:t xml:space="preserve">Dincer I. Green methods for hydrogen production. Int J Hydrogen Energy 2012;37:2, 1957-1971. </w:t>
      </w:r>
      <w:hyperlink r:id="rId18" w:tgtFrame="_blank" w:tooltip="Persistent link using digital object identifier" w:history="1">
        <w:r w:rsidR="00273A94" w:rsidRPr="00E415B5">
          <w:rPr>
            <w:rStyle w:val="anchor-text"/>
            <w:rFonts w:asciiTheme="majorBidi" w:hAnsiTheme="majorBidi" w:cstheme="majorBidi"/>
            <w:sz w:val="18"/>
            <w:szCs w:val="18"/>
          </w:rPr>
          <w:t>https://doi.org/10.1016/j.ijhydene.2011.03.173</w:t>
        </w:r>
      </w:hyperlink>
    </w:p>
    <w:p w14:paraId="7AD0C1CA" w14:textId="1B7717E2" w:rsidR="00AD4426" w:rsidRPr="00E415B5" w:rsidRDefault="00D9497C" w:rsidP="00E415B5">
      <w:pPr>
        <w:overflowPunct/>
        <w:spacing w:line="260" w:lineRule="atLeast"/>
        <w:ind w:left="714" w:hanging="357"/>
        <w:jc w:val="both"/>
        <w:textAlignment w:val="auto"/>
        <w:rPr>
          <w:rFonts w:asciiTheme="majorBidi" w:hAnsiTheme="majorBidi" w:cstheme="majorBidi"/>
          <w:color w:val="222222"/>
          <w:sz w:val="18"/>
          <w:szCs w:val="18"/>
          <w:shd w:val="clear" w:color="auto" w:fill="FFFFFF"/>
        </w:rPr>
      </w:pPr>
      <w:r w:rsidRPr="00E415B5">
        <w:rPr>
          <w:rFonts w:asciiTheme="majorBidi" w:hAnsiTheme="majorBidi" w:cstheme="majorBidi"/>
          <w:color w:val="222222"/>
          <w:sz w:val="18"/>
          <w:szCs w:val="18"/>
          <w:shd w:val="clear" w:color="auto" w:fill="FFFFFF"/>
          <w:lang w:val="en-US"/>
        </w:rPr>
        <w:t xml:space="preserve">[3] </w:t>
      </w:r>
      <w:r w:rsidR="00AD4426" w:rsidRPr="00E415B5">
        <w:rPr>
          <w:rFonts w:asciiTheme="majorBidi" w:hAnsiTheme="majorBidi" w:cstheme="majorBidi"/>
          <w:color w:val="222222"/>
          <w:sz w:val="18"/>
          <w:szCs w:val="18"/>
          <w:shd w:val="clear" w:color="auto" w:fill="FFFFFF"/>
        </w:rPr>
        <w:t xml:space="preserve">Ozcan, H., El-Emam, R., Dincer, I. (2014). Comparative Assessment of Nuclear Based Hybrid </w:t>
      </w:r>
      <w:proofErr w:type="spellStart"/>
      <w:r w:rsidR="00AD4426" w:rsidRPr="00E415B5">
        <w:rPr>
          <w:rFonts w:asciiTheme="majorBidi" w:hAnsiTheme="majorBidi" w:cstheme="majorBidi"/>
          <w:color w:val="222222"/>
          <w:sz w:val="18"/>
          <w:szCs w:val="18"/>
          <w:shd w:val="clear" w:color="auto" w:fill="FFFFFF"/>
        </w:rPr>
        <w:t>Sulfur</w:t>
      </w:r>
      <w:proofErr w:type="spellEnd"/>
      <w:r w:rsidR="00AD4426" w:rsidRPr="00E415B5">
        <w:rPr>
          <w:rFonts w:asciiTheme="majorBidi" w:hAnsiTheme="majorBidi" w:cstheme="majorBidi"/>
          <w:color w:val="222222"/>
          <w:sz w:val="18"/>
          <w:szCs w:val="18"/>
          <w:shd w:val="clear" w:color="auto" w:fill="FFFFFF"/>
        </w:rPr>
        <w:t xml:space="preserve"> Cycle and High Temperature Steam Electrolysis Systems Using HEEP. In: Dincer, I., </w:t>
      </w:r>
      <w:proofErr w:type="spellStart"/>
      <w:r w:rsidR="00AD4426" w:rsidRPr="00E415B5">
        <w:rPr>
          <w:rFonts w:asciiTheme="majorBidi" w:hAnsiTheme="majorBidi" w:cstheme="majorBidi"/>
          <w:color w:val="222222"/>
          <w:sz w:val="18"/>
          <w:szCs w:val="18"/>
          <w:shd w:val="clear" w:color="auto" w:fill="FFFFFF"/>
        </w:rPr>
        <w:t>Midilli</w:t>
      </w:r>
      <w:proofErr w:type="spellEnd"/>
      <w:r w:rsidR="00AD4426" w:rsidRPr="00E415B5">
        <w:rPr>
          <w:rFonts w:asciiTheme="majorBidi" w:hAnsiTheme="majorBidi" w:cstheme="majorBidi"/>
          <w:color w:val="222222"/>
          <w:sz w:val="18"/>
          <w:szCs w:val="18"/>
          <w:shd w:val="clear" w:color="auto" w:fill="FFFFFF"/>
        </w:rPr>
        <w:t xml:space="preserve">, A., Kucuk, H. (eds) Progress in Sustainable Energy Technologies: Generating Renewable Energy. Springer, Cham. </w:t>
      </w:r>
      <w:hyperlink r:id="rId19" w:history="1">
        <w:r w:rsidR="00F053C1" w:rsidRPr="00E415B5">
          <w:rPr>
            <w:rStyle w:val="Lienhypertexte"/>
            <w:rFonts w:asciiTheme="majorBidi" w:hAnsiTheme="majorBidi" w:cstheme="majorBidi"/>
            <w:sz w:val="18"/>
            <w:szCs w:val="18"/>
            <w:shd w:val="clear" w:color="auto" w:fill="FFFFFF"/>
          </w:rPr>
          <w:t>https://doi.org/10.1007/978-3-319-07896-0_8</w:t>
        </w:r>
      </w:hyperlink>
    </w:p>
    <w:p w14:paraId="6CEB12E9" w14:textId="5035D224" w:rsidR="00F053C1" w:rsidRPr="00E415B5" w:rsidRDefault="00F053C1" w:rsidP="00E415B5">
      <w:pPr>
        <w:overflowPunct/>
        <w:spacing w:line="260" w:lineRule="atLeast"/>
        <w:ind w:left="714" w:hanging="357"/>
        <w:jc w:val="both"/>
        <w:textAlignment w:val="auto"/>
        <w:rPr>
          <w:rFonts w:asciiTheme="majorBidi" w:hAnsiTheme="majorBidi" w:cstheme="majorBidi"/>
          <w:sz w:val="18"/>
          <w:szCs w:val="18"/>
          <w:lang w:val="en-US" w:eastAsia="fr-FR"/>
        </w:rPr>
      </w:pPr>
      <w:r w:rsidRPr="00E415B5">
        <w:rPr>
          <w:rFonts w:asciiTheme="majorBidi" w:hAnsiTheme="majorBidi" w:cstheme="majorBidi"/>
          <w:sz w:val="18"/>
          <w:szCs w:val="18"/>
          <w:lang w:val="en-US" w:eastAsia="en-GB"/>
        </w:rPr>
        <w:t xml:space="preserve">[4] Yan XL, Hino R. Nuclear hydrogen production handbook. Boca Raton FL: CRC Press; 2011. p. 50-54. </w:t>
      </w:r>
      <w:hyperlink r:id="rId20" w:tgtFrame="_blank" w:history="1">
        <w:r w:rsidRPr="00E415B5">
          <w:rPr>
            <w:rStyle w:val="Lienhypertexte"/>
            <w:rFonts w:asciiTheme="majorBidi" w:hAnsiTheme="majorBidi" w:cstheme="majorBidi"/>
            <w:color w:val="auto"/>
            <w:spacing w:val="5"/>
            <w:sz w:val="18"/>
            <w:szCs w:val="18"/>
            <w:shd w:val="clear" w:color="auto" w:fill="FFFFFF"/>
          </w:rPr>
          <w:t>https://doi.org/10.1201/b10789</w:t>
        </w:r>
      </w:hyperlink>
    </w:p>
    <w:p w14:paraId="42124FDE" w14:textId="5D9F76FA" w:rsidR="00F54EC7" w:rsidRPr="00E415B5" w:rsidRDefault="00F54EC7" w:rsidP="00E415B5">
      <w:pPr>
        <w:overflowPunct/>
        <w:spacing w:line="260" w:lineRule="atLeast"/>
        <w:ind w:left="714" w:hanging="357"/>
        <w:jc w:val="both"/>
        <w:textAlignment w:val="auto"/>
        <w:rPr>
          <w:rFonts w:asciiTheme="majorBidi" w:hAnsiTheme="majorBidi" w:cstheme="majorBidi"/>
          <w:sz w:val="18"/>
          <w:szCs w:val="18"/>
          <w:lang w:val="en-US" w:eastAsia="en-GB"/>
        </w:rPr>
      </w:pPr>
      <w:r w:rsidRPr="00E415B5">
        <w:rPr>
          <w:rFonts w:asciiTheme="majorBidi" w:hAnsiTheme="majorBidi" w:cstheme="majorBidi"/>
          <w:sz w:val="18"/>
          <w:szCs w:val="18"/>
          <w:lang w:val="en-US" w:eastAsia="en-GB"/>
        </w:rPr>
        <w:t>[5]  NEA/OECD. Small Modular Reactors: Nuclear Energy Market Potential for Near Term Deployment. 2016. Available online: https://www.oecd-nea.org/ndd/pubs/2016/7213-smrs.pdf (accessed on 3 August 2020).</w:t>
      </w:r>
    </w:p>
    <w:p w14:paraId="739478C4" w14:textId="24514A63" w:rsidR="00F54EC7" w:rsidRPr="00E415B5" w:rsidRDefault="00F54EC7" w:rsidP="00E415B5">
      <w:pPr>
        <w:overflowPunct/>
        <w:spacing w:line="260" w:lineRule="atLeast"/>
        <w:ind w:left="714" w:hanging="357"/>
        <w:jc w:val="both"/>
        <w:textAlignment w:val="auto"/>
        <w:rPr>
          <w:rFonts w:asciiTheme="majorBidi" w:hAnsiTheme="majorBidi" w:cstheme="majorBidi"/>
          <w:sz w:val="18"/>
          <w:szCs w:val="18"/>
          <w:lang w:val="en-US" w:eastAsia="en-GB"/>
        </w:rPr>
      </w:pPr>
      <w:r w:rsidRPr="00E415B5">
        <w:rPr>
          <w:rFonts w:asciiTheme="majorBidi" w:hAnsiTheme="majorBidi" w:cstheme="majorBidi"/>
          <w:sz w:val="18"/>
          <w:szCs w:val="18"/>
          <w:lang w:val="en-US" w:eastAsia="en-GB"/>
        </w:rPr>
        <w:t xml:space="preserve">[6] IAEA. Advances in Small Modular Reactor Technology Developments. Available online: </w:t>
      </w:r>
      <w:hyperlink r:id="rId21" w:history="1">
        <w:r w:rsidRPr="00E415B5">
          <w:rPr>
            <w:rStyle w:val="Lienhypertexte"/>
            <w:rFonts w:asciiTheme="majorBidi" w:hAnsiTheme="majorBidi" w:cstheme="majorBidi"/>
            <w:color w:val="auto"/>
            <w:sz w:val="18"/>
            <w:szCs w:val="18"/>
            <w:lang w:val="en-US" w:eastAsia="en-GB"/>
          </w:rPr>
          <w:t>https://aris.iaea</w:t>
        </w:r>
      </w:hyperlink>
      <w:r w:rsidRPr="00E415B5">
        <w:rPr>
          <w:rFonts w:asciiTheme="majorBidi" w:hAnsiTheme="majorBidi" w:cstheme="majorBidi"/>
          <w:sz w:val="18"/>
          <w:szCs w:val="18"/>
          <w:lang w:val="en-US" w:eastAsia="en-GB"/>
        </w:rPr>
        <w:t>. org/Publications/SMR-Book_2018.pdf (accessed on 3 August 2020).</w:t>
      </w:r>
    </w:p>
    <w:p w14:paraId="3C81465A" w14:textId="24B9748F" w:rsidR="000F0188" w:rsidRPr="00E415B5" w:rsidRDefault="000F0188" w:rsidP="00E415B5">
      <w:pPr>
        <w:spacing w:line="260" w:lineRule="atLeast"/>
        <w:ind w:left="714" w:hanging="357"/>
        <w:jc w:val="both"/>
        <w:rPr>
          <w:rFonts w:asciiTheme="majorBidi" w:hAnsiTheme="majorBidi" w:cstheme="majorBidi"/>
          <w:sz w:val="18"/>
          <w:szCs w:val="18"/>
        </w:rPr>
      </w:pPr>
      <w:r w:rsidRPr="00E415B5">
        <w:rPr>
          <w:rFonts w:asciiTheme="majorBidi" w:hAnsiTheme="majorBidi" w:cstheme="majorBidi"/>
          <w:sz w:val="18"/>
          <w:szCs w:val="18"/>
        </w:rPr>
        <w:t>[5] IAEA. Advances in Small Modular Reactor Technology Developments. Available online: https://aris.iaea.org/Publications/SMR-Book_2018.pdf (accessed on 3 August 2020).</w:t>
      </w:r>
    </w:p>
    <w:p w14:paraId="141A62B9" w14:textId="520CB9FB" w:rsidR="00FD7556" w:rsidRPr="00E415B5" w:rsidRDefault="00101E09" w:rsidP="00E415B5">
      <w:pPr>
        <w:shd w:val="clear" w:color="auto" w:fill="FFFFFF"/>
        <w:overflowPunct/>
        <w:autoSpaceDE/>
        <w:autoSpaceDN/>
        <w:adjustRightInd/>
        <w:spacing w:line="260" w:lineRule="atLeast"/>
        <w:ind w:left="714" w:hanging="357"/>
        <w:jc w:val="both"/>
        <w:textAlignment w:val="auto"/>
        <w:rPr>
          <w:rFonts w:asciiTheme="majorBidi" w:hAnsiTheme="majorBidi" w:cstheme="majorBidi"/>
          <w:sz w:val="18"/>
          <w:szCs w:val="18"/>
        </w:rPr>
      </w:pPr>
      <w:r w:rsidRPr="00E415B5">
        <w:rPr>
          <w:rFonts w:asciiTheme="majorBidi" w:hAnsiTheme="majorBidi" w:cstheme="majorBidi"/>
          <w:color w:val="000000"/>
          <w:sz w:val="18"/>
          <w:szCs w:val="18"/>
          <w:lang w:val="it-IT" w:eastAsia="fr-FR"/>
        </w:rPr>
        <w:t xml:space="preserve">[6] </w:t>
      </w:r>
      <w:r w:rsidR="00FD7556" w:rsidRPr="00E415B5">
        <w:rPr>
          <w:rFonts w:asciiTheme="majorBidi" w:hAnsiTheme="majorBidi" w:cstheme="majorBidi"/>
          <w:color w:val="000000"/>
          <w:sz w:val="18"/>
          <w:szCs w:val="18"/>
          <w:lang w:val="it-IT" w:eastAsia="fr-FR"/>
        </w:rPr>
        <w:t>Pedro J. Megía</w:t>
      </w:r>
      <w:r w:rsidR="00FD7556" w:rsidRPr="00E415B5">
        <w:rPr>
          <w:rFonts w:asciiTheme="majorBidi" w:hAnsiTheme="majorBidi" w:cstheme="majorBidi"/>
          <w:b/>
          <w:bCs/>
          <w:color w:val="000000"/>
          <w:sz w:val="18"/>
          <w:szCs w:val="18"/>
          <w:lang w:val="it-IT" w:eastAsia="fr-FR"/>
        </w:rPr>
        <w:t xml:space="preserve">, </w:t>
      </w:r>
      <w:r w:rsidR="00FD7556" w:rsidRPr="00E415B5">
        <w:rPr>
          <w:rFonts w:asciiTheme="majorBidi" w:hAnsiTheme="majorBidi" w:cstheme="majorBidi"/>
          <w:color w:val="000000"/>
          <w:sz w:val="18"/>
          <w:szCs w:val="18"/>
          <w:lang w:val="it-IT" w:eastAsia="fr-FR"/>
        </w:rPr>
        <w:t>Arturo J. Vizcaíno, José A. Calles, and Alicia Carrero</w:t>
      </w:r>
      <w:r w:rsidR="00664276" w:rsidRPr="00E415B5">
        <w:rPr>
          <w:rFonts w:asciiTheme="majorBidi" w:hAnsiTheme="majorBidi" w:cstheme="majorBidi"/>
          <w:color w:val="000000"/>
          <w:sz w:val="18"/>
          <w:szCs w:val="18"/>
          <w:lang w:val="it-IT" w:eastAsia="fr-FR"/>
        </w:rPr>
        <w:t>.</w:t>
      </w:r>
      <w:r w:rsidR="00FD7556" w:rsidRPr="00E415B5">
        <w:rPr>
          <w:rFonts w:asciiTheme="majorBidi" w:hAnsiTheme="majorBidi" w:cstheme="majorBidi"/>
          <w:color w:val="000000"/>
          <w:sz w:val="18"/>
          <w:szCs w:val="18"/>
          <w:lang w:val="it-IT" w:eastAsia="fr-FR"/>
        </w:rPr>
        <w:t xml:space="preserve"> </w:t>
      </w:r>
      <w:r w:rsidR="00664276" w:rsidRPr="00E415B5">
        <w:rPr>
          <w:rFonts w:asciiTheme="majorBidi" w:hAnsiTheme="majorBidi" w:cstheme="majorBidi"/>
          <w:color w:val="000000"/>
          <w:sz w:val="18"/>
          <w:szCs w:val="18"/>
          <w:lang w:val="it-IT" w:eastAsia="fr-FR"/>
        </w:rPr>
        <w:t xml:space="preserve"> </w:t>
      </w:r>
      <w:r w:rsidR="00664276" w:rsidRPr="00E415B5">
        <w:rPr>
          <w:rFonts w:asciiTheme="majorBidi" w:hAnsiTheme="majorBidi" w:cstheme="majorBidi"/>
          <w:color w:val="000000"/>
          <w:sz w:val="18"/>
          <w:szCs w:val="18"/>
          <w:lang w:val="en-US" w:eastAsia="fr-FR"/>
        </w:rPr>
        <w:t>H</w:t>
      </w:r>
      <w:proofErr w:type="spellStart"/>
      <w:r w:rsidR="00664276" w:rsidRPr="00E415B5">
        <w:rPr>
          <w:rStyle w:val="hlfld-title"/>
          <w:rFonts w:asciiTheme="majorBidi" w:hAnsiTheme="majorBidi" w:cstheme="majorBidi"/>
          <w:sz w:val="18"/>
          <w:szCs w:val="18"/>
        </w:rPr>
        <w:t>ydrogen</w:t>
      </w:r>
      <w:proofErr w:type="spellEnd"/>
      <w:r w:rsidR="00664276" w:rsidRPr="00E415B5">
        <w:rPr>
          <w:rStyle w:val="hlfld-title"/>
          <w:rFonts w:asciiTheme="majorBidi" w:hAnsiTheme="majorBidi" w:cstheme="majorBidi"/>
          <w:sz w:val="18"/>
          <w:szCs w:val="18"/>
        </w:rPr>
        <w:t xml:space="preserve"> production technologies: from fossil fuels toward renewable sources. A mini review</w:t>
      </w:r>
      <w:r w:rsidR="00FD7556" w:rsidRPr="00E415B5">
        <w:rPr>
          <w:rStyle w:val="hlfld-title"/>
          <w:rFonts w:asciiTheme="majorBidi" w:hAnsiTheme="majorBidi" w:cstheme="majorBidi"/>
          <w:caps/>
          <w:sz w:val="18"/>
          <w:szCs w:val="18"/>
        </w:rPr>
        <w:t xml:space="preserve">, </w:t>
      </w:r>
      <w:r w:rsidR="00664276" w:rsidRPr="00E415B5">
        <w:rPr>
          <w:rStyle w:val="hlfld-title"/>
          <w:rFonts w:asciiTheme="majorBidi" w:hAnsiTheme="majorBidi" w:cstheme="majorBidi"/>
          <w:sz w:val="18"/>
          <w:szCs w:val="18"/>
        </w:rPr>
        <w:t>E</w:t>
      </w:r>
      <w:r w:rsidR="00664276" w:rsidRPr="00E415B5">
        <w:rPr>
          <w:rStyle w:val="cit-title"/>
          <w:rFonts w:asciiTheme="majorBidi" w:hAnsiTheme="majorBidi" w:cstheme="majorBidi"/>
          <w:i/>
          <w:iCs/>
          <w:sz w:val="18"/>
          <w:szCs w:val="18"/>
          <w:shd w:val="clear" w:color="auto" w:fill="FFFFFF"/>
        </w:rPr>
        <w:t>nergy fuels</w:t>
      </w:r>
      <w:r w:rsidR="00FD7556" w:rsidRPr="00E415B5">
        <w:rPr>
          <w:rFonts w:asciiTheme="majorBidi" w:hAnsiTheme="majorBidi" w:cstheme="majorBidi"/>
          <w:sz w:val="18"/>
          <w:szCs w:val="18"/>
          <w:shd w:val="clear" w:color="auto" w:fill="FFFFFF"/>
        </w:rPr>
        <w:t> </w:t>
      </w:r>
      <w:r w:rsidR="00FD7556" w:rsidRPr="00E415B5">
        <w:rPr>
          <w:rStyle w:val="cit-year-info"/>
          <w:rFonts w:asciiTheme="majorBidi" w:hAnsiTheme="majorBidi" w:cstheme="majorBidi"/>
          <w:sz w:val="18"/>
          <w:szCs w:val="18"/>
          <w:shd w:val="clear" w:color="auto" w:fill="FFFFFF"/>
        </w:rPr>
        <w:t>2021</w:t>
      </w:r>
      <w:r w:rsidR="00FD7556" w:rsidRPr="00E415B5">
        <w:rPr>
          <w:rStyle w:val="cit-volume"/>
          <w:rFonts w:asciiTheme="majorBidi" w:hAnsiTheme="majorBidi" w:cstheme="majorBidi"/>
          <w:sz w:val="18"/>
          <w:szCs w:val="18"/>
          <w:shd w:val="clear" w:color="auto" w:fill="FFFFFF"/>
        </w:rPr>
        <w:t>, 35</w:t>
      </w:r>
      <w:r w:rsidR="00FD7556" w:rsidRPr="00E415B5">
        <w:rPr>
          <w:rStyle w:val="cit-issue"/>
          <w:rFonts w:asciiTheme="majorBidi" w:hAnsiTheme="majorBidi" w:cstheme="majorBidi"/>
          <w:sz w:val="18"/>
          <w:szCs w:val="18"/>
          <w:shd w:val="clear" w:color="auto" w:fill="FFFFFF"/>
        </w:rPr>
        <w:t>, 20</w:t>
      </w:r>
      <w:r w:rsidR="00FD7556" w:rsidRPr="00E415B5">
        <w:rPr>
          <w:rStyle w:val="cit-pagerange"/>
          <w:rFonts w:asciiTheme="majorBidi" w:hAnsiTheme="majorBidi" w:cstheme="majorBidi"/>
          <w:sz w:val="18"/>
          <w:szCs w:val="18"/>
          <w:shd w:val="clear" w:color="auto" w:fill="FFFFFF"/>
        </w:rPr>
        <w:t>, 16403–16415,</w:t>
      </w:r>
      <w:r w:rsidR="00FD7556" w:rsidRPr="00E415B5">
        <w:rPr>
          <w:rStyle w:val="cit-pagerange"/>
          <w:rFonts w:asciiTheme="majorBidi" w:hAnsiTheme="majorBidi" w:cstheme="majorBidi"/>
          <w:b/>
          <w:bCs/>
          <w:sz w:val="18"/>
          <w:szCs w:val="18"/>
          <w:shd w:val="clear" w:color="auto" w:fill="FFFFFF"/>
        </w:rPr>
        <w:t xml:space="preserve"> </w:t>
      </w:r>
      <w:hyperlink r:id="rId22" w:tooltip="DOI URL" w:history="1">
        <w:r w:rsidR="00FD7556" w:rsidRPr="00E415B5">
          <w:rPr>
            <w:rStyle w:val="Lienhypertexte"/>
            <w:rFonts w:asciiTheme="majorBidi" w:hAnsiTheme="majorBidi" w:cstheme="majorBidi"/>
            <w:color w:val="auto"/>
            <w:sz w:val="18"/>
            <w:szCs w:val="18"/>
            <w:shd w:val="clear" w:color="auto" w:fill="FFFFFF"/>
          </w:rPr>
          <w:t>https://doi.org/10.1021/acs.energyfuels.1c02501</w:t>
        </w:r>
      </w:hyperlink>
    </w:p>
    <w:p w14:paraId="0C4724DC" w14:textId="790810A3" w:rsidR="00FD7556" w:rsidRPr="00E415B5" w:rsidRDefault="00101E09" w:rsidP="00E415B5">
      <w:pPr>
        <w:pStyle w:val="Corpsdetexte"/>
        <w:ind w:left="714" w:hanging="357"/>
        <w:rPr>
          <w:sz w:val="18"/>
          <w:szCs w:val="18"/>
          <w:lang w:val="en-US"/>
        </w:rPr>
      </w:pPr>
      <w:r w:rsidRPr="00E415B5">
        <w:rPr>
          <w:sz w:val="18"/>
          <w:szCs w:val="18"/>
          <w:lang w:val="en-US"/>
        </w:rPr>
        <w:lastRenderedPageBreak/>
        <w:t xml:space="preserve">[7] </w:t>
      </w:r>
      <w:r w:rsidR="00FD7556" w:rsidRPr="00E415B5">
        <w:rPr>
          <w:sz w:val="18"/>
          <w:szCs w:val="18"/>
          <w:lang w:val="en-US"/>
        </w:rPr>
        <w:t>Younas</w:t>
      </w:r>
      <w:r w:rsidR="00A22547" w:rsidRPr="00E415B5">
        <w:rPr>
          <w:sz w:val="18"/>
          <w:szCs w:val="18"/>
          <w:lang w:val="en-US"/>
        </w:rPr>
        <w:t>, M.</w:t>
      </w:r>
      <w:r w:rsidR="00FD7556" w:rsidRPr="00E415B5">
        <w:rPr>
          <w:sz w:val="18"/>
          <w:szCs w:val="18"/>
          <w:lang w:val="en-US"/>
        </w:rPr>
        <w:t>, Shafique</w:t>
      </w:r>
      <w:r w:rsidR="00A22547" w:rsidRPr="00E415B5">
        <w:rPr>
          <w:sz w:val="18"/>
          <w:szCs w:val="18"/>
          <w:lang w:val="en-US"/>
        </w:rPr>
        <w:t>, S.</w:t>
      </w:r>
      <w:r w:rsidR="00FD7556" w:rsidRPr="00E415B5">
        <w:rPr>
          <w:sz w:val="18"/>
          <w:szCs w:val="18"/>
          <w:lang w:val="en-US"/>
        </w:rPr>
        <w:t>, Hafeez</w:t>
      </w:r>
      <w:r w:rsidR="00A22547" w:rsidRPr="00E415B5">
        <w:rPr>
          <w:sz w:val="18"/>
          <w:szCs w:val="18"/>
          <w:lang w:val="en-US"/>
        </w:rPr>
        <w:t>, A.</w:t>
      </w:r>
      <w:r w:rsidR="00FD7556" w:rsidRPr="00E415B5">
        <w:rPr>
          <w:sz w:val="18"/>
          <w:szCs w:val="18"/>
          <w:lang w:val="en-US"/>
        </w:rPr>
        <w:t>,</w:t>
      </w:r>
      <w:r w:rsidR="00A22547" w:rsidRPr="00E415B5">
        <w:rPr>
          <w:sz w:val="18"/>
          <w:szCs w:val="18"/>
          <w:lang w:val="en-US"/>
        </w:rPr>
        <w:t xml:space="preserve"> </w:t>
      </w:r>
      <w:r w:rsidR="00FD7556" w:rsidRPr="00E415B5">
        <w:rPr>
          <w:sz w:val="18"/>
          <w:szCs w:val="18"/>
          <w:lang w:val="en-US"/>
        </w:rPr>
        <w:t>Javed</w:t>
      </w:r>
      <w:r w:rsidR="00A22547" w:rsidRPr="00E415B5">
        <w:rPr>
          <w:sz w:val="18"/>
          <w:szCs w:val="18"/>
          <w:lang w:val="en-US"/>
        </w:rPr>
        <w:t>, F.</w:t>
      </w:r>
      <w:r w:rsidR="00FD7556" w:rsidRPr="00E415B5">
        <w:rPr>
          <w:sz w:val="18"/>
          <w:szCs w:val="18"/>
          <w:lang w:val="en-US"/>
        </w:rPr>
        <w:t>, Rehman</w:t>
      </w:r>
      <w:r w:rsidR="00A22547" w:rsidRPr="00E415B5">
        <w:rPr>
          <w:sz w:val="18"/>
          <w:szCs w:val="18"/>
          <w:lang w:val="en-US"/>
        </w:rPr>
        <w:t>, F.</w:t>
      </w:r>
      <w:r w:rsidR="00FD7556" w:rsidRPr="00E415B5">
        <w:rPr>
          <w:sz w:val="18"/>
          <w:szCs w:val="18"/>
          <w:lang w:val="en-US"/>
        </w:rPr>
        <w:t>, An Overview of Hydrogen Production: Current Status, Potential, and Challenges, Fuel, 316, 2022, 123317</w:t>
      </w:r>
      <w:r w:rsidR="00664276" w:rsidRPr="00E415B5">
        <w:rPr>
          <w:sz w:val="18"/>
          <w:szCs w:val="18"/>
          <w:lang w:val="en-US"/>
        </w:rPr>
        <w:t xml:space="preserve">. </w:t>
      </w:r>
      <w:r w:rsidR="00FD7556" w:rsidRPr="00E415B5">
        <w:rPr>
          <w:sz w:val="18"/>
          <w:szCs w:val="18"/>
          <w:lang w:val="en-US"/>
        </w:rPr>
        <w:t>https://doi.org/10.1016/j.fuel.2022.123317.</w:t>
      </w:r>
    </w:p>
    <w:p w14:paraId="01B98D91" w14:textId="6AC569AB" w:rsidR="00AD2BF1" w:rsidRPr="00E415B5" w:rsidRDefault="00AD2BF1" w:rsidP="00E415B5">
      <w:pPr>
        <w:overflowPunct/>
        <w:spacing w:line="260" w:lineRule="atLeast"/>
        <w:ind w:left="714" w:hanging="357"/>
        <w:jc w:val="both"/>
        <w:textAlignment w:val="auto"/>
        <w:rPr>
          <w:rFonts w:asciiTheme="majorBidi" w:hAnsiTheme="majorBidi" w:cstheme="majorBidi"/>
          <w:sz w:val="18"/>
          <w:szCs w:val="18"/>
          <w:lang w:val="en-US" w:eastAsia="fr-FR"/>
        </w:rPr>
      </w:pPr>
      <w:r w:rsidRPr="00E415B5">
        <w:rPr>
          <w:rFonts w:asciiTheme="majorBidi" w:hAnsiTheme="majorBidi" w:cstheme="majorBidi"/>
          <w:sz w:val="18"/>
          <w:szCs w:val="18"/>
          <w:lang w:val="en-US" w:eastAsia="en-GB"/>
        </w:rPr>
        <w:t xml:space="preserve">[8] </w:t>
      </w:r>
      <w:proofErr w:type="spellStart"/>
      <w:r w:rsidRPr="00E415B5">
        <w:rPr>
          <w:rFonts w:asciiTheme="majorBidi" w:hAnsiTheme="majorBidi" w:cstheme="majorBidi"/>
          <w:sz w:val="18"/>
          <w:szCs w:val="18"/>
          <w:lang w:val="en-US" w:eastAsia="en-GB"/>
        </w:rPr>
        <w:t>Internatioanl</w:t>
      </w:r>
      <w:proofErr w:type="spellEnd"/>
      <w:r w:rsidRPr="00E415B5">
        <w:rPr>
          <w:rFonts w:asciiTheme="majorBidi" w:hAnsiTheme="majorBidi" w:cstheme="majorBidi"/>
          <w:sz w:val="18"/>
          <w:szCs w:val="18"/>
          <w:lang w:val="en-US" w:eastAsia="en-GB"/>
        </w:rPr>
        <w:t xml:space="preserve"> Atomic Energy Agency (IAEA). Hydrogen as an energy carrier and its production from nuclear power. Vienna: IAEA-TECDOC-1085; 1999. Available online </w:t>
      </w:r>
    </w:p>
    <w:p w14:paraId="21128B95" w14:textId="25441B07" w:rsidR="00A3672C" w:rsidRPr="00E415B5" w:rsidRDefault="00A3672C" w:rsidP="00E415B5">
      <w:pPr>
        <w:shd w:val="clear" w:color="auto" w:fill="FFFFFF"/>
        <w:spacing w:line="260" w:lineRule="atLeast"/>
        <w:ind w:left="714" w:hanging="357"/>
        <w:jc w:val="both"/>
        <w:rPr>
          <w:rFonts w:asciiTheme="majorBidi" w:hAnsiTheme="majorBidi"/>
          <w:sz w:val="18"/>
          <w:szCs w:val="18"/>
          <w:lang w:eastAsia="fr-FR"/>
        </w:rPr>
      </w:pPr>
      <w:r w:rsidRPr="00E415B5">
        <w:rPr>
          <w:rStyle w:val="given-name"/>
          <w:rFonts w:asciiTheme="majorBidi" w:hAnsiTheme="majorBidi"/>
          <w:sz w:val="18"/>
          <w:szCs w:val="18"/>
        </w:rPr>
        <w:t>[</w:t>
      </w:r>
      <w:r w:rsidR="006A2490" w:rsidRPr="00E415B5">
        <w:rPr>
          <w:rStyle w:val="given-name"/>
          <w:rFonts w:asciiTheme="majorBidi" w:hAnsiTheme="majorBidi"/>
          <w:sz w:val="18"/>
          <w:szCs w:val="18"/>
        </w:rPr>
        <w:t>9</w:t>
      </w:r>
      <w:r w:rsidRPr="00E415B5">
        <w:rPr>
          <w:rStyle w:val="given-name"/>
          <w:rFonts w:asciiTheme="majorBidi" w:hAnsiTheme="majorBidi"/>
          <w:sz w:val="18"/>
          <w:szCs w:val="18"/>
        </w:rPr>
        <w:t xml:space="preserve">] </w:t>
      </w:r>
      <w:r w:rsidRPr="00E415B5">
        <w:rPr>
          <w:rStyle w:val="text"/>
          <w:rFonts w:asciiTheme="majorBidi" w:hAnsiTheme="majorBidi"/>
          <w:sz w:val="18"/>
          <w:szCs w:val="18"/>
        </w:rPr>
        <w:t>Khamis, I.</w:t>
      </w:r>
      <w:r w:rsidRPr="00E415B5">
        <w:rPr>
          <w:rFonts w:asciiTheme="majorBidi" w:hAnsiTheme="majorBidi"/>
          <w:sz w:val="18"/>
          <w:szCs w:val="18"/>
        </w:rPr>
        <w:t>, </w:t>
      </w:r>
      <w:r w:rsidRPr="00E415B5">
        <w:rPr>
          <w:rStyle w:val="text"/>
          <w:rFonts w:asciiTheme="majorBidi" w:hAnsiTheme="majorBidi"/>
          <w:sz w:val="18"/>
          <w:szCs w:val="18"/>
        </w:rPr>
        <w:t xml:space="preserve">Malshe, </w:t>
      </w:r>
      <w:r w:rsidRPr="00E415B5">
        <w:rPr>
          <w:rStyle w:val="given-name"/>
          <w:rFonts w:asciiTheme="majorBidi" w:hAnsiTheme="majorBidi"/>
          <w:sz w:val="18"/>
          <w:szCs w:val="18"/>
        </w:rPr>
        <w:t>U.D.</w:t>
      </w:r>
      <w:r w:rsidRPr="00E415B5">
        <w:rPr>
          <w:rStyle w:val="react-xocs-alternative-link"/>
          <w:rFonts w:asciiTheme="majorBidi" w:hAnsiTheme="majorBidi"/>
          <w:sz w:val="18"/>
          <w:szCs w:val="18"/>
        </w:rPr>
        <w:t> </w:t>
      </w:r>
      <w:r w:rsidRPr="00E415B5">
        <w:rPr>
          <w:rStyle w:val="text"/>
          <w:rFonts w:asciiTheme="majorBidi" w:hAnsiTheme="majorBidi"/>
          <w:sz w:val="18"/>
          <w:szCs w:val="18"/>
        </w:rPr>
        <w:t xml:space="preserve">, </w:t>
      </w:r>
      <w:r w:rsidRPr="00E415B5">
        <w:rPr>
          <w:rFonts w:asciiTheme="majorBidi" w:hAnsiTheme="majorBidi"/>
          <w:kern w:val="36"/>
          <w:sz w:val="18"/>
          <w:szCs w:val="18"/>
          <w:lang w:eastAsia="fr-FR"/>
        </w:rPr>
        <w:t xml:space="preserve">HEEP: A new tool for the economic evaluation of hydrogen economy, </w:t>
      </w:r>
      <w:hyperlink r:id="rId23" w:tooltip="Go to International Journal of Hydrogen Energy on ScienceDirect" w:history="1">
        <w:r w:rsidRPr="00E415B5">
          <w:rPr>
            <w:rFonts w:asciiTheme="majorBidi" w:hAnsiTheme="majorBidi"/>
            <w:sz w:val="18"/>
            <w:szCs w:val="18"/>
            <w:lang w:eastAsia="fr-FR"/>
          </w:rPr>
          <w:t>International Journal of Hydrogen Energy</w:t>
        </w:r>
      </w:hyperlink>
      <w:r w:rsidRPr="00E415B5">
        <w:rPr>
          <w:rFonts w:asciiTheme="majorBidi" w:hAnsiTheme="majorBidi"/>
          <w:sz w:val="18"/>
          <w:szCs w:val="18"/>
          <w:lang w:eastAsia="fr-FR"/>
        </w:rPr>
        <w:t>, 35</w:t>
      </w:r>
      <w:r w:rsidR="006B43C5" w:rsidRPr="00E415B5">
        <w:rPr>
          <w:rFonts w:asciiTheme="majorBidi" w:hAnsiTheme="majorBidi"/>
          <w:sz w:val="18"/>
          <w:szCs w:val="18"/>
          <w:lang w:eastAsia="fr-FR"/>
        </w:rPr>
        <w:t>:</w:t>
      </w:r>
      <w:r w:rsidRPr="00E415B5">
        <w:rPr>
          <w:rFonts w:asciiTheme="majorBidi" w:hAnsiTheme="majorBidi"/>
          <w:sz w:val="18"/>
          <w:szCs w:val="18"/>
          <w:lang w:eastAsia="fr-FR"/>
        </w:rPr>
        <w:t xml:space="preserve"> 16, 2010, 8398-8406</w:t>
      </w:r>
    </w:p>
    <w:p w14:paraId="5F81A03B" w14:textId="272B7612" w:rsidR="00A3672C" w:rsidRPr="00E415B5" w:rsidRDefault="00A3672C" w:rsidP="00E415B5">
      <w:pPr>
        <w:overflowPunct/>
        <w:spacing w:line="260" w:lineRule="atLeast"/>
        <w:ind w:left="714" w:hanging="357"/>
        <w:jc w:val="both"/>
        <w:textAlignment w:val="auto"/>
        <w:rPr>
          <w:rFonts w:asciiTheme="majorBidi" w:hAnsiTheme="majorBidi" w:cstheme="majorBidi"/>
          <w:sz w:val="18"/>
          <w:szCs w:val="18"/>
        </w:rPr>
      </w:pPr>
      <w:r w:rsidRPr="00E415B5">
        <w:rPr>
          <w:rFonts w:asciiTheme="majorBidi" w:hAnsiTheme="majorBidi" w:cstheme="majorBidi"/>
          <w:sz w:val="18"/>
          <w:szCs w:val="18"/>
        </w:rPr>
        <w:t>[</w:t>
      </w:r>
      <w:r w:rsidR="006A2490" w:rsidRPr="00E415B5">
        <w:rPr>
          <w:rFonts w:asciiTheme="majorBidi" w:hAnsiTheme="majorBidi" w:cstheme="majorBidi"/>
          <w:sz w:val="18"/>
          <w:szCs w:val="18"/>
        </w:rPr>
        <w:t>10</w:t>
      </w:r>
      <w:r w:rsidRPr="00E415B5">
        <w:rPr>
          <w:rFonts w:asciiTheme="majorBidi" w:hAnsiTheme="majorBidi" w:cstheme="majorBidi"/>
          <w:sz w:val="18"/>
          <w:szCs w:val="18"/>
        </w:rPr>
        <w:t>] Khamis, I. et al., “ HEEP User’s Manual”, IAEA, 2012</w:t>
      </w:r>
      <w:r w:rsidR="000C7C62" w:rsidRPr="00E415B5">
        <w:rPr>
          <w:rFonts w:asciiTheme="majorBidi" w:hAnsiTheme="majorBidi" w:cstheme="majorBidi"/>
          <w:sz w:val="18"/>
          <w:szCs w:val="18"/>
        </w:rPr>
        <w:t xml:space="preserve"> </w:t>
      </w:r>
      <w:r w:rsidR="000C7C62" w:rsidRPr="00E415B5">
        <w:rPr>
          <w:rFonts w:asciiTheme="majorBidi" w:hAnsiTheme="majorBidi" w:cstheme="majorBidi"/>
          <w:color w:val="000000"/>
          <w:sz w:val="18"/>
          <w:szCs w:val="18"/>
          <w:lang w:val="en-US" w:eastAsia="en-GB"/>
        </w:rPr>
        <w:t xml:space="preserve">Available online </w:t>
      </w:r>
      <w:r w:rsidR="000C7C62" w:rsidRPr="00E415B5">
        <w:rPr>
          <w:rFonts w:asciiTheme="majorBidi" w:hAnsiTheme="majorBidi" w:cstheme="majorBidi"/>
          <w:color w:val="2197D2"/>
          <w:sz w:val="18"/>
          <w:szCs w:val="18"/>
          <w:lang w:val="en-US" w:eastAsia="en-GB"/>
        </w:rPr>
        <w:t>http://www.iaea.org/NuclearPower/HEEP/</w:t>
      </w:r>
      <w:r w:rsidR="000C7C62" w:rsidRPr="00E415B5">
        <w:rPr>
          <w:rFonts w:asciiTheme="majorBidi" w:hAnsiTheme="majorBidi" w:cstheme="majorBidi"/>
          <w:color w:val="000000"/>
          <w:sz w:val="18"/>
          <w:szCs w:val="18"/>
          <w:lang w:val="en-US" w:eastAsia="en-GB"/>
        </w:rPr>
        <w:t>.</w:t>
      </w:r>
    </w:p>
    <w:p w14:paraId="19F1249F" w14:textId="1B576FFF" w:rsidR="006B43C5" w:rsidRPr="00E415B5" w:rsidRDefault="000C7C62" w:rsidP="00E415B5">
      <w:pPr>
        <w:overflowPunct/>
        <w:spacing w:line="260" w:lineRule="atLeast"/>
        <w:ind w:left="714" w:hanging="357"/>
        <w:jc w:val="both"/>
        <w:textAlignment w:val="auto"/>
        <w:rPr>
          <w:rFonts w:asciiTheme="majorBidi" w:hAnsiTheme="majorBidi" w:cstheme="majorBidi"/>
          <w:sz w:val="18"/>
          <w:szCs w:val="18"/>
        </w:rPr>
      </w:pPr>
      <w:r w:rsidRPr="00E415B5">
        <w:rPr>
          <w:rFonts w:asciiTheme="majorBidi" w:hAnsiTheme="majorBidi" w:cstheme="majorBidi"/>
          <w:sz w:val="18"/>
          <w:szCs w:val="18"/>
          <w:lang w:eastAsia="en-GB"/>
        </w:rPr>
        <w:t>[1</w:t>
      </w:r>
      <w:r w:rsidR="006A2490" w:rsidRPr="00E415B5">
        <w:rPr>
          <w:rFonts w:asciiTheme="majorBidi" w:hAnsiTheme="majorBidi" w:cstheme="majorBidi"/>
          <w:sz w:val="18"/>
          <w:szCs w:val="18"/>
          <w:lang w:eastAsia="en-GB"/>
        </w:rPr>
        <w:t>1</w:t>
      </w:r>
      <w:r w:rsidRPr="00E415B5">
        <w:rPr>
          <w:rFonts w:asciiTheme="majorBidi" w:hAnsiTheme="majorBidi" w:cstheme="majorBidi"/>
          <w:sz w:val="18"/>
          <w:szCs w:val="18"/>
          <w:lang w:eastAsia="en-GB"/>
        </w:rPr>
        <w:t xml:space="preserve">] </w:t>
      </w:r>
      <w:r w:rsidR="006B43C5" w:rsidRPr="00E415B5">
        <w:rPr>
          <w:rFonts w:asciiTheme="majorBidi" w:hAnsiTheme="majorBidi" w:cstheme="majorBidi"/>
          <w:sz w:val="18"/>
          <w:szCs w:val="18"/>
          <w:lang w:val="en-US" w:eastAsia="en-GB"/>
        </w:rPr>
        <w:t xml:space="preserve">Khamis I. HEEP: an overview of the IAEA HEEP software and international </w:t>
      </w:r>
      <w:proofErr w:type="spellStart"/>
      <w:r w:rsidR="006B43C5" w:rsidRPr="00E415B5">
        <w:rPr>
          <w:rFonts w:asciiTheme="majorBidi" w:hAnsiTheme="majorBidi" w:cstheme="majorBidi"/>
          <w:sz w:val="18"/>
          <w:szCs w:val="18"/>
          <w:lang w:val="en-US" w:eastAsia="en-GB"/>
        </w:rPr>
        <w:t>programmes</w:t>
      </w:r>
      <w:proofErr w:type="spellEnd"/>
      <w:r w:rsidR="006B43C5" w:rsidRPr="00E415B5">
        <w:rPr>
          <w:rFonts w:asciiTheme="majorBidi" w:hAnsiTheme="majorBidi" w:cstheme="majorBidi"/>
          <w:sz w:val="18"/>
          <w:szCs w:val="18"/>
          <w:lang w:val="en-US" w:eastAsia="en-GB"/>
        </w:rPr>
        <w:t xml:space="preserve"> on hydrogen production using nuclear energy. Int J Hydrogen Energy 2011;36, 4125-4129.</w:t>
      </w:r>
      <w:r w:rsidRPr="00E415B5">
        <w:rPr>
          <w:rFonts w:asciiTheme="majorBidi" w:hAnsiTheme="majorBidi" w:cstheme="majorBidi"/>
          <w:sz w:val="18"/>
          <w:szCs w:val="18"/>
          <w:lang w:val="en-US" w:eastAsia="en-GB"/>
        </w:rPr>
        <w:t xml:space="preserve"> </w:t>
      </w:r>
      <w:hyperlink r:id="rId24" w:tgtFrame="_blank" w:tooltip="Persistent link using digital object identifier" w:history="1">
        <w:r w:rsidRPr="00E415B5">
          <w:rPr>
            <w:rStyle w:val="anchor-text"/>
            <w:rFonts w:asciiTheme="majorBidi" w:hAnsiTheme="majorBidi" w:cstheme="majorBidi"/>
            <w:sz w:val="18"/>
            <w:szCs w:val="18"/>
          </w:rPr>
          <w:t>https://doi.org/10.1016/j.ijhydene.2010.06.108</w:t>
        </w:r>
      </w:hyperlink>
    </w:p>
    <w:p w14:paraId="6F585AE4" w14:textId="1D6A4C28" w:rsidR="00BC083C" w:rsidRPr="00E415B5" w:rsidRDefault="005A278D" w:rsidP="00E415B5">
      <w:pPr>
        <w:overflowPunct/>
        <w:spacing w:line="260" w:lineRule="atLeast"/>
        <w:ind w:left="714" w:hanging="357"/>
        <w:jc w:val="both"/>
        <w:textAlignment w:val="auto"/>
        <w:rPr>
          <w:rFonts w:asciiTheme="majorBidi" w:hAnsiTheme="majorBidi" w:cstheme="majorBidi"/>
          <w:sz w:val="18"/>
          <w:szCs w:val="18"/>
          <w:lang w:val="en-US"/>
        </w:rPr>
      </w:pPr>
      <w:r w:rsidRPr="00E415B5">
        <w:rPr>
          <w:rFonts w:asciiTheme="majorBidi" w:hAnsiTheme="majorBidi" w:cstheme="majorBidi"/>
          <w:sz w:val="18"/>
          <w:szCs w:val="18"/>
          <w:lang w:val="en-US"/>
        </w:rPr>
        <w:t xml:space="preserve">[12] </w:t>
      </w:r>
      <w:r w:rsidR="00BC083C" w:rsidRPr="00E415B5">
        <w:rPr>
          <w:rFonts w:asciiTheme="majorBidi" w:hAnsiTheme="majorBidi" w:cstheme="majorBidi"/>
          <w:sz w:val="18"/>
          <w:szCs w:val="18"/>
          <w:lang w:val="en-US"/>
        </w:rPr>
        <w:t xml:space="preserve">Kasahara, S., Imai, Y., Suzuki, K., </w:t>
      </w:r>
      <w:proofErr w:type="spellStart"/>
      <w:r w:rsidR="00BC083C" w:rsidRPr="00E415B5">
        <w:rPr>
          <w:rFonts w:asciiTheme="majorBidi" w:hAnsiTheme="majorBidi" w:cstheme="majorBidi"/>
          <w:sz w:val="18"/>
          <w:szCs w:val="18"/>
          <w:lang w:val="en-US"/>
        </w:rPr>
        <w:t>Iwatsuki</w:t>
      </w:r>
      <w:proofErr w:type="spellEnd"/>
      <w:r w:rsidR="00BC083C" w:rsidRPr="00E415B5">
        <w:rPr>
          <w:rFonts w:asciiTheme="majorBidi" w:hAnsiTheme="majorBidi" w:cstheme="majorBidi"/>
          <w:sz w:val="18"/>
          <w:szCs w:val="18"/>
          <w:lang w:val="en-US"/>
        </w:rPr>
        <w:t xml:space="preserve">, J., Terada, A., Yan, X. L., </w:t>
      </w:r>
      <w:r w:rsidR="00BC083C" w:rsidRPr="00E415B5">
        <w:rPr>
          <w:rFonts w:asciiTheme="majorBidi" w:hAnsiTheme="majorBidi" w:cstheme="majorBidi"/>
          <w:sz w:val="18"/>
          <w:szCs w:val="18"/>
        </w:rPr>
        <w:t>Conceptual design of the iodine-</w:t>
      </w:r>
      <w:proofErr w:type="spellStart"/>
      <w:r w:rsidR="00BC083C" w:rsidRPr="00E415B5">
        <w:rPr>
          <w:rFonts w:asciiTheme="majorBidi" w:hAnsiTheme="majorBidi" w:cstheme="majorBidi"/>
          <w:sz w:val="18"/>
          <w:szCs w:val="18"/>
        </w:rPr>
        <w:t>sulfur</w:t>
      </w:r>
      <w:proofErr w:type="spellEnd"/>
      <w:r w:rsidR="00BC083C" w:rsidRPr="00E415B5">
        <w:rPr>
          <w:rFonts w:asciiTheme="majorBidi" w:hAnsiTheme="majorBidi" w:cstheme="majorBidi"/>
          <w:sz w:val="18"/>
          <w:szCs w:val="18"/>
        </w:rPr>
        <w:t xml:space="preserve"> process flowsheet with more than 50% thermal efficiency for hydrogen production, Nuclear Engineering and Design, 329, </w:t>
      </w:r>
      <w:r w:rsidR="00BC083C" w:rsidRPr="00E415B5">
        <w:rPr>
          <w:rFonts w:asciiTheme="majorBidi" w:hAnsiTheme="majorBidi" w:cstheme="majorBidi"/>
          <w:sz w:val="18"/>
          <w:szCs w:val="18"/>
          <w:lang w:val="en-US"/>
        </w:rPr>
        <w:t xml:space="preserve">2018, 213-222, </w:t>
      </w:r>
      <w:hyperlink r:id="rId25" w:history="1">
        <w:r w:rsidR="003D7462" w:rsidRPr="00E415B5">
          <w:rPr>
            <w:rStyle w:val="Lienhypertexte"/>
            <w:rFonts w:asciiTheme="majorBidi" w:hAnsiTheme="majorBidi" w:cstheme="majorBidi"/>
            <w:sz w:val="18"/>
            <w:szCs w:val="18"/>
            <w:lang w:val="en-US"/>
          </w:rPr>
          <w:t>https://doi.org/10.1016/j.nucengdes.2017.11.046</w:t>
        </w:r>
      </w:hyperlink>
      <w:r w:rsidR="00BC083C" w:rsidRPr="00E415B5">
        <w:rPr>
          <w:rFonts w:asciiTheme="majorBidi" w:hAnsiTheme="majorBidi" w:cstheme="majorBidi"/>
          <w:sz w:val="18"/>
          <w:szCs w:val="18"/>
          <w:lang w:val="en-US"/>
        </w:rPr>
        <w:t>.</w:t>
      </w:r>
    </w:p>
    <w:p w14:paraId="275A2CCB" w14:textId="3CF1C198" w:rsidR="003D7462" w:rsidRPr="00E415B5" w:rsidRDefault="003D7462" w:rsidP="00E415B5">
      <w:pPr>
        <w:overflowPunct/>
        <w:spacing w:line="260" w:lineRule="atLeast"/>
        <w:ind w:left="714" w:hanging="357"/>
        <w:jc w:val="both"/>
        <w:textAlignment w:val="auto"/>
        <w:rPr>
          <w:rFonts w:asciiTheme="majorBidi" w:hAnsiTheme="majorBidi" w:cstheme="majorBidi"/>
          <w:sz w:val="18"/>
          <w:szCs w:val="18"/>
          <w:lang w:val="en-US"/>
        </w:rPr>
      </w:pPr>
      <w:r w:rsidRPr="00E415B5">
        <w:rPr>
          <w:rFonts w:asciiTheme="majorBidi" w:hAnsiTheme="majorBidi" w:cstheme="majorBidi"/>
          <w:sz w:val="18"/>
          <w:szCs w:val="18"/>
          <w:lang w:val="en-US" w:eastAsia="en-GB"/>
        </w:rPr>
        <w:t xml:space="preserve">[13] </w:t>
      </w:r>
      <w:proofErr w:type="spellStart"/>
      <w:r w:rsidRPr="00E415B5">
        <w:rPr>
          <w:rFonts w:asciiTheme="majorBidi" w:hAnsiTheme="majorBidi" w:cstheme="majorBidi"/>
          <w:sz w:val="18"/>
          <w:szCs w:val="18"/>
          <w:lang w:val="en-US" w:eastAsia="en-GB"/>
        </w:rPr>
        <w:t>Internatioanl</w:t>
      </w:r>
      <w:proofErr w:type="spellEnd"/>
      <w:r w:rsidRPr="00E415B5">
        <w:rPr>
          <w:rFonts w:asciiTheme="majorBidi" w:hAnsiTheme="majorBidi" w:cstheme="majorBidi"/>
          <w:sz w:val="18"/>
          <w:szCs w:val="18"/>
          <w:lang w:val="en-US" w:eastAsia="en-GB"/>
        </w:rPr>
        <w:t xml:space="preserve"> Atomic Energy Agency (IAEA).</w:t>
      </w:r>
      <w:r w:rsidRPr="00E415B5">
        <w:rPr>
          <w:sz w:val="18"/>
          <w:szCs w:val="18"/>
          <w:lang w:val="en-US" w:eastAsia="en-GB"/>
        </w:rPr>
        <w:t xml:space="preserve"> Hydrogen production using nuclear energy. 2013. IAEA nuclear energy series, ISSN 1995–7807, N°. NP-T-4.2, STI/PUB/1577, ISBN 978–92–0–135110–4</w:t>
      </w:r>
    </w:p>
    <w:p w14:paraId="62565992" w14:textId="77777777" w:rsidR="00913F8C" w:rsidRPr="00C95C4A" w:rsidRDefault="00913F8C" w:rsidP="00913F8C">
      <w:pPr>
        <w:jc w:val="both"/>
        <w:rPr>
          <w:rFonts w:asciiTheme="majorBidi" w:hAnsiTheme="majorBidi" w:cstheme="majorBidi"/>
          <w:sz w:val="20"/>
        </w:rPr>
      </w:pPr>
    </w:p>
    <w:p w14:paraId="3693817D" w14:textId="77777777" w:rsidR="00913F8C" w:rsidRPr="00913F8C" w:rsidRDefault="00913F8C" w:rsidP="00913F8C">
      <w:pPr>
        <w:pStyle w:val="Corpsdetexte"/>
      </w:pPr>
    </w:p>
    <w:sectPr w:rsidR="00913F8C" w:rsidRPr="00913F8C" w:rsidSect="0026525A">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D0CEC" w14:textId="77777777" w:rsidR="005B6511" w:rsidRDefault="005B6511">
      <w:r>
        <w:separator/>
      </w:r>
    </w:p>
  </w:endnote>
  <w:endnote w:type="continuationSeparator" w:id="0">
    <w:p w14:paraId="6C9D0614" w14:textId="77777777" w:rsidR="005B6511" w:rsidRDefault="005B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TIXTwoMath">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09BAB" w14:textId="77777777" w:rsidR="005B6511" w:rsidRDefault="005B6511">
      <w:r>
        <w:t>___________________________________________________________________________</w:t>
      </w:r>
    </w:p>
  </w:footnote>
  <w:footnote w:type="continuationSeparator" w:id="0">
    <w:p w14:paraId="3DFCD13C" w14:textId="77777777" w:rsidR="005B6511" w:rsidRDefault="005B6511">
      <w:r>
        <w:t>___________________________________________________________________________</w:t>
      </w:r>
    </w:p>
  </w:footnote>
  <w:footnote w:type="continuationNotice" w:id="1">
    <w:p w14:paraId="72AE5D28" w14:textId="77777777" w:rsidR="005B6511" w:rsidRDefault="005B6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2CB42B12" w:rsidR="00CF7AF3" w:rsidRDefault="00CF7AF3" w:rsidP="00CF7AF3">
    <w:pPr>
      <w:pStyle w:val="Runninghead"/>
    </w:pPr>
    <w:r>
      <w:tab/>
      <w:t>IAEA-CN-123/</w:t>
    </w:r>
    <w:r w:rsidR="00023B31">
      <w:t>16</w:t>
    </w:r>
    <w:r w:rsidR="001E11DC">
      <w:t>1</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7CE17379" w:rsidR="00E20E70" w:rsidRDefault="0009386E" w:rsidP="00B82FA5">
    <w:pPr>
      <w:pStyle w:val="Runninghead"/>
    </w:pPr>
    <w:r>
      <w:t>DRIDI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BDA"/>
    <w:multiLevelType w:val="multilevel"/>
    <w:tmpl w:val="D9A4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0FBC61D8"/>
    <w:multiLevelType w:val="hybridMultilevel"/>
    <w:tmpl w:val="D662300C"/>
    <w:lvl w:ilvl="0" w:tplc="EF9261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C36A4"/>
    <w:multiLevelType w:val="multilevel"/>
    <w:tmpl w:val="F274DD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F14082A"/>
    <w:multiLevelType w:val="multilevel"/>
    <w:tmpl w:val="CD68940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85078158">
    <w:abstractNumId w:val="10"/>
  </w:num>
  <w:num w:numId="2" w16cid:durableId="59716700">
    <w:abstractNumId w:val="6"/>
  </w:num>
  <w:num w:numId="3" w16cid:durableId="731540123">
    <w:abstractNumId w:val="13"/>
  </w:num>
  <w:num w:numId="4" w16cid:durableId="744034000">
    <w:abstractNumId w:val="13"/>
  </w:num>
  <w:num w:numId="5" w16cid:durableId="1474641089">
    <w:abstractNumId w:val="13"/>
  </w:num>
  <w:num w:numId="6" w16cid:durableId="528497540">
    <w:abstractNumId w:val="8"/>
  </w:num>
  <w:num w:numId="7" w16cid:durableId="176696273">
    <w:abstractNumId w:val="11"/>
  </w:num>
  <w:num w:numId="8" w16cid:durableId="1131169468">
    <w:abstractNumId w:val="14"/>
  </w:num>
  <w:num w:numId="9" w16cid:durableId="1007632637">
    <w:abstractNumId w:val="2"/>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4"/>
  </w:num>
  <w:num w:numId="21" w16cid:durableId="1417746791">
    <w:abstractNumId w:val="13"/>
  </w:num>
  <w:num w:numId="22" w16cid:durableId="1720975952">
    <w:abstractNumId w:val="5"/>
  </w:num>
  <w:num w:numId="23" w16cid:durableId="983584939">
    <w:abstractNumId w:val="1"/>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9"/>
  </w:num>
  <w:num w:numId="31" w16cid:durableId="1695614948">
    <w:abstractNumId w:val="9"/>
  </w:num>
  <w:num w:numId="32" w16cid:durableId="195823161">
    <w:abstractNumId w:val="13"/>
  </w:num>
  <w:num w:numId="33" w16cid:durableId="155197005">
    <w:abstractNumId w:val="15"/>
  </w:num>
  <w:num w:numId="34" w16cid:durableId="339896891">
    <w:abstractNumId w:val="7"/>
  </w:num>
  <w:num w:numId="35" w16cid:durableId="1713529892">
    <w:abstractNumId w:val="3"/>
  </w:num>
  <w:num w:numId="36" w16cid:durableId="161605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FAE"/>
    <w:rsid w:val="000127A7"/>
    <w:rsid w:val="000203E5"/>
    <w:rsid w:val="000229AB"/>
    <w:rsid w:val="00023A56"/>
    <w:rsid w:val="00023B31"/>
    <w:rsid w:val="0002569A"/>
    <w:rsid w:val="00037321"/>
    <w:rsid w:val="0004241A"/>
    <w:rsid w:val="00046E62"/>
    <w:rsid w:val="00086E0B"/>
    <w:rsid w:val="000927CA"/>
    <w:rsid w:val="00092EE9"/>
    <w:rsid w:val="0009386E"/>
    <w:rsid w:val="000A0299"/>
    <w:rsid w:val="000A60B8"/>
    <w:rsid w:val="000C54D3"/>
    <w:rsid w:val="000C6AA6"/>
    <w:rsid w:val="000C6F25"/>
    <w:rsid w:val="000C7C62"/>
    <w:rsid w:val="000D5413"/>
    <w:rsid w:val="000D78E8"/>
    <w:rsid w:val="000E2B75"/>
    <w:rsid w:val="000E7442"/>
    <w:rsid w:val="000F0188"/>
    <w:rsid w:val="000F61FC"/>
    <w:rsid w:val="000F7E94"/>
    <w:rsid w:val="00101340"/>
    <w:rsid w:val="00101E09"/>
    <w:rsid w:val="00107ED8"/>
    <w:rsid w:val="001119D6"/>
    <w:rsid w:val="00123417"/>
    <w:rsid w:val="00126A91"/>
    <w:rsid w:val="001302D7"/>
    <w:rsid w:val="001308F2"/>
    <w:rsid w:val="001313E8"/>
    <w:rsid w:val="00131FC2"/>
    <w:rsid w:val="001421F0"/>
    <w:rsid w:val="00147719"/>
    <w:rsid w:val="001558D5"/>
    <w:rsid w:val="0016723B"/>
    <w:rsid w:val="00182FDD"/>
    <w:rsid w:val="00194043"/>
    <w:rsid w:val="001B25A4"/>
    <w:rsid w:val="001B4226"/>
    <w:rsid w:val="001B6DEB"/>
    <w:rsid w:val="001C3D2C"/>
    <w:rsid w:val="001C58F5"/>
    <w:rsid w:val="001D5CEE"/>
    <w:rsid w:val="001D5DE4"/>
    <w:rsid w:val="001E11DC"/>
    <w:rsid w:val="002036DB"/>
    <w:rsid w:val="00205545"/>
    <w:rsid w:val="002071D9"/>
    <w:rsid w:val="0021414E"/>
    <w:rsid w:val="00214D84"/>
    <w:rsid w:val="00220B49"/>
    <w:rsid w:val="00223252"/>
    <w:rsid w:val="002308F6"/>
    <w:rsid w:val="0023268A"/>
    <w:rsid w:val="002344E7"/>
    <w:rsid w:val="00235FA8"/>
    <w:rsid w:val="00242F54"/>
    <w:rsid w:val="00256822"/>
    <w:rsid w:val="002611AC"/>
    <w:rsid w:val="0026525A"/>
    <w:rsid w:val="00273A94"/>
    <w:rsid w:val="00274790"/>
    <w:rsid w:val="0028373D"/>
    <w:rsid w:val="00285755"/>
    <w:rsid w:val="00293388"/>
    <w:rsid w:val="002A1F9C"/>
    <w:rsid w:val="002B1913"/>
    <w:rsid w:val="002B29C2"/>
    <w:rsid w:val="002C4208"/>
    <w:rsid w:val="00301498"/>
    <w:rsid w:val="00301CAE"/>
    <w:rsid w:val="003067C6"/>
    <w:rsid w:val="00307603"/>
    <w:rsid w:val="00311DA2"/>
    <w:rsid w:val="00321E4C"/>
    <w:rsid w:val="00322D0A"/>
    <w:rsid w:val="00323922"/>
    <w:rsid w:val="00332B61"/>
    <w:rsid w:val="003519EA"/>
    <w:rsid w:val="00352DE1"/>
    <w:rsid w:val="003728E6"/>
    <w:rsid w:val="00374059"/>
    <w:rsid w:val="00377F88"/>
    <w:rsid w:val="0039152E"/>
    <w:rsid w:val="003A304F"/>
    <w:rsid w:val="003B59C3"/>
    <w:rsid w:val="003B5E0E"/>
    <w:rsid w:val="003C3396"/>
    <w:rsid w:val="003D1651"/>
    <w:rsid w:val="003D255A"/>
    <w:rsid w:val="003D3292"/>
    <w:rsid w:val="003D7462"/>
    <w:rsid w:val="004123FC"/>
    <w:rsid w:val="00416949"/>
    <w:rsid w:val="0042211E"/>
    <w:rsid w:val="004316C7"/>
    <w:rsid w:val="00434582"/>
    <w:rsid w:val="004370D8"/>
    <w:rsid w:val="00472C43"/>
    <w:rsid w:val="00476A7C"/>
    <w:rsid w:val="00485773"/>
    <w:rsid w:val="0049672C"/>
    <w:rsid w:val="0049743B"/>
    <w:rsid w:val="004A7CA9"/>
    <w:rsid w:val="004C3424"/>
    <w:rsid w:val="004F0262"/>
    <w:rsid w:val="004F450F"/>
    <w:rsid w:val="00514266"/>
    <w:rsid w:val="0052036F"/>
    <w:rsid w:val="00521B00"/>
    <w:rsid w:val="00524BF3"/>
    <w:rsid w:val="00525517"/>
    <w:rsid w:val="00537496"/>
    <w:rsid w:val="00537A79"/>
    <w:rsid w:val="00544ED3"/>
    <w:rsid w:val="005602B4"/>
    <w:rsid w:val="00582E5D"/>
    <w:rsid w:val="00584435"/>
    <w:rsid w:val="0058477B"/>
    <w:rsid w:val="0058654F"/>
    <w:rsid w:val="00594F64"/>
    <w:rsid w:val="00596ACA"/>
    <w:rsid w:val="005A25E8"/>
    <w:rsid w:val="005A278D"/>
    <w:rsid w:val="005B21BD"/>
    <w:rsid w:val="005B6511"/>
    <w:rsid w:val="005D1C2B"/>
    <w:rsid w:val="005D1EEA"/>
    <w:rsid w:val="005D3836"/>
    <w:rsid w:val="005D434D"/>
    <w:rsid w:val="005D7030"/>
    <w:rsid w:val="005E078F"/>
    <w:rsid w:val="005E2DC9"/>
    <w:rsid w:val="005E39BC"/>
    <w:rsid w:val="005E4FE1"/>
    <w:rsid w:val="005E73CA"/>
    <w:rsid w:val="005F00A0"/>
    <w:rsid w:val="005F1130"/>
    <w:rsid w:val="005F6F9E"/>
    <w:rsid w:val="00606558"/>
    <w:rsid w:val="00612C82"/>
    <w:rsid w:val="00616079"/>
    <w:rsid w:val="0061785D"/>
    <w:rsid w:val="006268FB"/>
    <w:rsid w:val="006400FE"/>
    <w:rsid w:val="00647AE3"/>
    <w:rsid w:val="00647F33"/>
    <w:rsid w:val="00662532"/>
    <w:rsid w:val="00664276"/>
    <w:rsid w:val="00665709"/>
    <w:rsid w:val="00667E36"/>
    <w:rsid w:val="006810DE"/>
    <w:rsid w:val="006963F4"/>
    <w:rsid w:val="006A1874"/>
    <w:rsid w:val="006A2490"/>
    <w:rsid w:val="006B2274"/>
    <w:rsid w:val="006B43C5"/>
    <w:rsid w:val="006C08B2"/>
    <w:rsid w:val="006F7A05"/>
    <w:rsid w:val="007117D3"/>
    <w:rsid w:val="00717C6F"/>
    <w:rsid w:val="007200F5"/>
    <w:rsid w:val="00731E76"/>
    <w:rsid w:val="00737200"/>
    <w:rsid w:val="007445DA"/>
    <w:rsid w:val="00752E58"/>
    <w:rsid w:val="00754204"/>
    <w:rsid w:val="00755D75"/>
    <w:rsid w:val="00756D67"/>
    <w:rsid w:val="00766B7D"/>
    <w:rsid w:val="007676CB"/>
    <w:rsid w:val="00780BFD"/>
    <w:rsid w:val="00780E32"/>
    <w:rsid w:val="00783786"/>
    <w:rsid w:val="007953A5"/>
    <w:rsid w:val="00797D40"/>
    <w:rsid w:val="007A5148"/>
    <w:rsid w:val="007A57B7"/>
    <w:rsid w:val="007B4FD1"/>
    <w:rsid w:val="007D014D"/>
    <w:rsid w:val="007D2873"/>
    <w:rsid w:val="007E53F5"/>
    <w:rsid w:val="00802381"/>
    <w:rsid w:val="00810546"/>
    <w:rsid w:val="00822F37"/>
    <w:rsid w:val="00831869"/>
    <w:rsid w:val="008464C4"/>
    <w:rsid w:val="00847E58"/>
    <w:rsid w:val="0085520E"/>
    <w:rsid w:val="008621F3"/>
    <w:rsid w:val="00866B0F"/>
    <w:rsid w:val="00877796"/>
    <w:rsid w:val="00880DE6"/>
    <w:rsid w:val="00883848"/>
    <w:rsid w:val="0089789C"/>
    <w:rsid w:val="00897ED5"/>
    <w:rsid w:val="008A049E"/>
    <w:rsid w:val="008B49B8"/>
    <w:rsid w:val="008B5051"/>
    <w:rsid w:val="008B6BB9"/>
    <w:rsid w:val="008B7BFA"/>
    <w:rsid w:val="008D47EB"/>
    <w:rsid w:val="008F1A51"/>
    <w:rsid w:val="00900E77"/>
    <w:rsid w:val="009060D8"/>
    <w:rsid w:val="00910E62"/>
    <w:rsid w:val="00911543"/>
    <w:rsid w:val="00911CFF"/>
    <w:rsid w:val="00913F8C"/>
    <w:rsid w:val="00917386"/>
    <w:rsid w:val="00917861"/>
    <w:rsid w:val="00924C10"/>
    <w:rsid w:val="00935876"/>
    <w:rsid w:val="009372ED"/>
    <w:rsid w:val="009440E9"/>
    <w:rsid w:val="00944D2D"/>
    <w:rsid w:val="00947F7C"/>
    <w:rsid w:val="00951859"/>
    <w:rsid w:val="009519C9"/>
    <w:rsid w:val="009552EF"/>
    <w:rsid w:val="0095554C"/>
    <w:rsid w:val="009628FA"/>
    <w:rsid w:val="009641CE"/>
    <w:rsid w:val="009656D9"/>
    <w:rsid w:val="00966783"/>
    <w:rsid w:val="00992B80"/>
    <w:rsid w:val="009B06CF"/>
    <w:rsid w:val="009C63DD"/>
    <w:rsid w:val="009C76A2"/>
    <w:rsid w:val="009D0B86"/>
    <w:rsid w:val="009D5C75"/>
    <w:rsid w:val="009E0D5B"/>
    <w:rsid w:val="009E1558"/>
    <w:rsid w:val="009F2696"/>
    <w:rsid w:val="009F35F6"/>
    <w:rsid w:val="00A010EF"/>
    <w:rsid w:val="00A01A32"/>
    <w:rsid w:val="00A036C6"/>
    <w:rsid w:val="00A06C26"/>
    <w:rsid w:val="00A078F3"/>
    <w:rsid w:val="00A22547"/>
    <w:rsid w:val="00A2447A"/>
    <w:rsid w:val="00A321A5"/>
    <w:rsid w:val="00A3672C"/>
    <w:rsid w:val="00A42898"/>
    <w:rsid w:val="00A43440"/>
    <w:rsid w:val="00A4793E"/>
    <w:rsid w:val="00A53C2D"/>
    <w:rsid w:val="00A65635"/>
    <w:rsid w:val="00A6630B"/>
    <w:rsid w:val="00A80441"/>
    <w:rsid w:val="00A85BF5"/>
    <w:rsid w:val="00A87E24"/>
    <w:rsid w:val="00AA682C"/>
    <w:rsid w:val="00AB6ACE"/>
    <w:rsid w:val="00AC263B"/>
    <w:rsid w:val="00AC5A3A"/>
    <w:rsid w:val="00AD0962"/>
    <w:rsid w:val="00AD268C"/>
    <w:rsid w:val="00AD2BF1"/>
    <w:rsid w:val="00AD3667"/>
    <w:rsid w:val="00AD4426"/>
    <w:rsid w:val="00B24078"/>
    <w:rsid w:val="00B26D0C"/>
    <w:rsid w:val="00B42117"/>
    <w:rsid w:val="00B43EF1"/>
    <w:rsid w:val="00B5729F"/>
    <w:rsid w:val="00B72069"/>
    <w:rsid w:val="00B73AAC"/>
    <w:rsid w:val="00B82FA5"/>
    <w:rsid w:val="00B85EA1"/>
    <w:rsid w:val="00B92C78"/>
    <w:rsid w:val="00BB0B75"/>
    <w:rsid w:val="00BC083C"/>
    <w:rsid w:val="00BC121C"/>
    <w:rsid w:val="00BD08BA"/>
    <w:rsid w:val="00BD1400"/>
    <w:rsid w:val="00BD5700"/>
    <w:rsid w:val="00BD605C"/>
    <w:rsid w:val="00BD70BD"/>
    <w:rsid w:val="00BE2A76"/>
    <w:rsid w:val="00C11F38"/>
    <w:rsid w:val="00C17AA1"/>
    <w:rsid w:val="00C21EA9"/>
    <w:rsid w:val="00C23E88"/>
    <w:rsid w:val="00C31E56"/>
    <w:rsid w:val="00C41122"/>
    <w:rsid w:val="00C5574D"/>
    <w:rsid w:val="00C65E60"/>
    <w:rsid w:val="00C806AA"/>
    <w:rsid w:val="00C81A88"/>
    <w:rsid w:val="00C87775"/>
    <w:rsid w:val="00C94005"/>
    <w:rsid w:val="00C94AF9"/>
    <w:rsid w:val="00C94F74"/>
    <w:rsid w:val="00CA3D18"/>
    <w:rsid w:val="00CA7074"/>
    <w:rsid w:val="00CB7A8B"/>
    <w:rsid w:val="00CE5A52"/>
    <w:rsid w:val="00CF1789"/>
    <w:rsid w:val="00CF33BA"/>
    <w:rsid w:val="00CF7AF3"/>
    <w:rsid w:val="00D03F81"/>
    <w:rsid w:val="00D113E2"/>
    <w:rsid w:val="00D13FE0"/>
    <w:rsid w:val="00D16572"/>
    <w:rsid w:val="00D26ADA"/>
    <w:rsid w:val="00D30960"/>
    <w:rsid w:val="00D35A78"/>
    <w:rsid w:val="00D40EC5"/>
    <w:rsid w:val="00D513CC"/>
    <w:rsid w:val="00D555A1"/>
    <w:rsid w:val="00D64DC2"/>
    <w:rsid w:val="00D7203A"/>
    <w:rsid w:val="00D749EF"/>
    <w:rsid w:val="00D7518E"/>
    <w:rsid w:val="00D76A51"/>
    <w:rsid w:val="00D9497C"/>
    <w:rsid w:val="00DA3067"/>
    <w:rsid w:val="00DA46CA"/>
    <w:rsid w:val="00DB7054"/>
    <w:rsid w:val="00DD35AC"/>
    <w:rsid w:val="00DE61F0"/>
    <w:rsid w:val="00DF21EB"/>
    <w:rsid w:val="00E04E78"/>
    <w:rsid w:val="00E1184B"/>
    <w:rsid w:val="00E1727E"/>
    <w:rsid w:val="00E20E70"/>
    <w:rsid w:val="00E25B68"/>
    <w:rsid w:val="00E27E20"/>
    <w:rsid w:val="00E41220"/>
    <w:rsid w:val="00E415B5"/>
    <w:rsid w:val="00E5119B"/>
    <w:rsid w:val="00E75A33"/>
    <w:rsid w:val="00E833F4"/>
    <w:rsid w:val="00E84003"/>
    <w:rsid w:val="00EC10FC"/>
    <w:rsid w:val="00ED1CD3"/>
    <w:rsid w:val="00ED21CD"/>
    <w:rsid w:val="00ED4F7D"/>
    <w:rsid w:val="00EE0041"/>
    <w:rsid w:val="00EE288C"/>
    <w:rsid w:val="00EE29B9"/>
    <w:rsid w:val="00F004EE"/>
    <w:rsid w:val="00F0201B"/>
    <w:rsid w:val="00F053C1"/>
    <w:rsid w:val="00F13E0B"/>
    <w:rsid w:val="00F275F4"/>
    <w:rsid w:val="00F3192F"/>
    <w:rsid w:val="00F338DE"/>
    <w:rsid w:val="00F4113A"/>
    <w:rsid w:val="00F41E4F"/>
    <w:rsid w:val="00F42E23"/>
    <w:rsid w:val="00F45EEE"/>
    <w:rsid w:val="00F5085C"/>
    <w:rsid w:val="00F51115"/>
    <w:rsid w:val="00F51E9C"/>
    <w:rsid w:val="00F523CA"/>
    <w:rsid w:val="00F54EC7"/>
    <w:rsid w:val="00F73A7A"/>
    <w:rsid w:val="00F74A9D"/>
    <w:rsid w:val="00F82361"/>
    <w:rsid w:val="00F8704E"/>
    <w:rsid w:val="00F978B8"/>
    <w:rsid w:val="00FA4BBE"/>
    <w:rsid w:val="00FB4938"/>
    <w:rsid w:val="00FD7556"/>
    <w:rsid w:val="00FE058C"/>
    <w:rsid w:val="00FE4B46"/>
    <w:rsid w:val="00FE5AAC"/>
    <w:rsid w:val="00FF1D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Strong" w:uiPriority="22"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tabs>
        <w:tab w:val="clear" w:pos="459"/>
        <w:tab w:val="num" w:pos="360"/>
      </w:tabs>
      <w:ind w:firstLine="567"/>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styleId="Lienhypertexte">
    <w:name w:val="Hyperlink"/>
    <w:basedOn w:val="Policepardfaut"/>
    <w:uiPriority w:val="99"/>
    <w:unhideWhenUsed/>
    <w:locked/>
    <w:rsid w:val="0009386E"/>
    <w:rPr>
      <w:color w:val="0000FF" w:themeColor="hyperlink"/>
      <w:u w:val="single"/>
    </w:rPr>
  </w:style>
  <w:style w:type="paragraph" w:customStyle="1" w:styleId="Default">
    <w:name w:val="Default"/>
    <w:rsid w:val="007676CB"/>
    <w:pPr>
      <w:autoSpaceDE w:val="0"/>
      <w:autoSpaceDN w:val="0"/>
      <w:adjustRightInd w:val="0"/>
    </w:pPr>
    <w:rPr>
      <w:color w:val="000000"/>
      <w:sz w:val="24"/>
      <w:szCs w:val="24"/>
      <w:lang w:val="fr-FR"/>
    </w:rPr>
  </w:style>
  <w:style w:type="character" w:styleId="Mentionnonrsolue">
    <w:name w:val="Unresolved Mention"/>
    <w:basedOn w:val="Policepardfaut"/>
    <w:uiPriority w:val="99"/>
    <w:semiHidden/>
    <w:unhideWhenUsed/>
    <w:rsid w:val="00C5574D"/>
    <w:rPr>
      <w:color w:val="605E5C"/>
      <w:shd w:val="clear" w:color="auto" w:fill="E1DFDD"/>
    </w:rPr>
  </w:style>
  <w:style w:type="paragraph" w:styleId="Paragraphedeliste">
    <w:name w:val="List Paragraph"/>
    <w:basedOn w:val="Normal"/>
    <w:uiPriority w:val="49"/>
    <w:locked/>
    <w:rsid w:val="00301CAE"/>
    <w:pPr>
      <w:ind w:left="720"/>
      <w:contextualSpacing/>
    </w:pPr>
  </w:style>
  <w:style w:type="character" w:customStyle="1" w:styleId="react-xocs-alternative-link">
    <w:name w:val="react-xocs-alternative-link"/>
    <w:basedOn w:val="Policepardfaut"/>
    <w:rsid w:val="00A3672C"/>
  </w:style>
  <w:style w:type="character" w:customStyle="1" w:styleId="given-name">
    <w:name w:val="given-name"/>
    <w:basedOn w:val="Policepardfaut"/>
    <w:rsid w:val="00A3672C"/>
  </w:style>
  <w:style w:type="character" w:customStyle="1" w:styleId="text">
    <w:name w:val="text"/>
    <w:basedOn w:val="Policepardfaut"/>
    <w:rsid w:val="00A3672C"/>
  </w:style>
  <w:style w:type="character" w:customStyle="1" w:styleId="author-ref">
    <w:name w:val="author-ref"/>
    <w:basedOn w:val="Policepardfaut"/>
    <w:rsid w:val="00A3672C"/>
  </w:style>
  <w:style w:type="character" w:customStyle="1" w:styleId="anchor-text">
    <w:name w:val="anchor-text"/>
    <w:basedOn w:val="Policepardfaut"/>
    <w:rsid w:val="00911CFF"/>
  </w:style>
  <w:style w:type="character" w:styleId="Textedelespacerserv">
    <w:name w:val="Placeholder Text"/>
    <w:basedOn w:val="Policepardfaut"/>
    <w:uiPriority w:val="99"/>
    <w:semiHidden/>
    <w:locked/>
    <w:rsid w:val="000D78E8"/>
    <w:rPr>
      <w:color w:val="666666"/>
    </w:rPr>
  </w:style>
  <w:style w:type="character" w:customStyle="1" w:styleId="hlfld-contribauthor">
    <w:name w:val="hlfld-contribauthor"/>
    <w:basedOn w:val="Policepardfaut"/>
    <w:rsid w:val="00FD7556"/>
  </w:style>
  <w:style w:type="character" w:styleId="lev">
    <w:name w:val="Strong"/>
    <w:basedOn w:val="Policepardfaut"/>
    <w:uiPriority w:val="22"/>
    <w:qFormat/>
    <w:locked/>
    <w:rsid w:val="00FD7556"/>
    <w:rPr>
      <w:b/>
      <w:bCs/>
    </w:rPr>
  </w:style>
  <w:style w:type="paragraph" w:customStyle="1" w:styleId="comma-separator">
    <w:name w:val="comma-separator"/>
    <w:basedOn w:val="Normal"/>
    <w:rsid w:val="00FD7556"/>
    <w:pPr>
      <w:overflowPunct/>
      <w:autoSpaceDE/>
      <w:autoSpaceDN/>
      <w:adjustRightInd/>
      <w:spacing w:before="100" w:beforeAutospacing="1" w:after="100" w:afterAutospacing="1"/>
      <w:textAlignment w:val="auto"/>
    </w:pPr>
    <w:rPr>
      <w:sz w:val="24"/>
      <w:szCs w:val="24"/>
      <w:lang w:val="fr-FR" w:eastAsia="fr-FR"/>
    </w:rPr>
  </w:style>
  <w:style w:type="character" w:customStyle="1" w:styleId="comma-separator1">
    <w:name w:val="comma-separator1"/>
    <w:basedOn w:val="Policepardfaut"/>
    <w:rsid w:val="00FD7556"/>
  </w:style>
  <w:style w:type="character" w:customStyle="1" w:styleId="hlfld-title">
    <w:name w:val="hlfld-title"/>
    <w:basedOn w:val="Policepardfaut"/>
    <w:rsid w:val="00FD7556"/>
  </w:style>
  <w:style w:type="character" w:customStyle="1" w:styleId="cit-title">
    <w:name w:val="cit-title"/>
    <w:basedOn w:val="Policepardfaut"/>
    <w:rsid w:val="00FD7556"/>
  </w:style>
  <w:style w:type="character" w:customStyle="1" w:styleId="cit-year-info">
    <w:name w:val="cit-year-info"/>
    <w:basedOn w:val="Policepardfaut"/>
    <w:rsid w:val="00FD7556"/>
  </w:style>
  <w:style w:type="character" w:customStyle="1" w:styleId="cit-volume">
    <w:name w:val="cit-volume"/>
    <w:basedOn w:val="Policepardfaut"/>
    <w:rsid w:val="00FD7556"/>
  </w:style>
  <w:style w:type="character" w:customStyle="1" w:styleId="cit-issue">
    <w:name w:val="cit-issue"/>
    <w:basedOn w:val="Policepardfaut"/>
    <w:rsid w:val="00FD7556"/>
  </w:style>
  <w:style w:type="character" w:customStyle="1" w:styleId="cit-pagerange">
    <w:name w:val="cit-pagerange"/>
    <w:basedOn w:val="Policepardfaut"/>
    <w:rsid w:val="00FD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90723">
      <w:bodyDiv w:val="1"/>
      <w:marLeft w:val="0"/>
      <w:marRight w:val="0"/>
      <w:marTop w:val="0"/>
      <w:marBottom w:val="0"/>
      <w:divBdr>
        <w:top w:val="none" w:sz="0" w:space="0" w:color="auto"/>
        <w:left w:val="none" w:sz="0" w:space="0" w:color="auto"/>
        <w:bottom w:val="none" w:sz="0" w:space="0" w:color="auto"/>
        <w:right w:val="none" w:sz="0" w:space="0" w:color="auto"/>
      </w:divBdr>
    </w:div>
    <w:div w:id="459343407">
      <w:bodyDiv w:val="1"/>
      <w:marLeft w:val="0"/>
      <w:marRight w:val="0"/>
      <w:marTop w:val="0"/>
      <w:marBottom w:val="0"/>
      <w:divBdr>
        <w:top w:val="none" w:sz="0" w:space="0" w:color="auto"/>
        <w:left w:val="none" w:sz="0" w:space="0" w:color="auto"/>
        <w:bottom w:val="none" w:sz="0" w:space="0" w:color="auto"/>
        <w:right w:val="none" w:sz="0" w:space="0" w:color="auto"/>
      </w:divBdr>
      <w:divsChild>
        <w:div w:id="476384911">
          <w:marLeft w:val="0"/>
          <w:marRight w:val="0"/>
          <w:marTop w:val="0"/>
          <w:marBottom w:val="0"/>
          <w:divBdr>
            <w:top w:val="none" w:sz="0" w:space="0" w:color="auto"/>
            <w:left w:val="none" w:sz="0" w:space="0" w:color="auto"/>
            <w:bottom w:val="none" w:sz="0" w:space="0" w:color="auto"/>
            <w:right w:val="none" w:sz="0" w:space="0" w:color="auto"/>
          </w:divBdr>
          <w:divsChild>
            <w:div w:id="347948294">
              <w:marLeft w:val="0"/>
              <w:marRight w:val="0"/>
              <w:marTop w:val="0"/>
              <w:marBottom w:val="0"/>
              <w:divBdr>
                <w:top w:val="none" w:sz="0" w:space="0" w:color="auto"/>
                <w:left w:val="none" w:sz="0" w:space="0" w:color="auto"/>
                <w:bottom w:val="none" w:sz="0" w:space="0" w:color="auto"/>
                <w:right w:val="none" w:sz="0" w:space="0" w:color="auto"/>
              </w:divBdr>
              <w:divsChild>
                <w:div w:id="220294381">
                  <w:marLeft w:val="0"/>
                  <w:marRight w:val="0"/>
                  <w:marTop w:val="0"/>
                  <w:marBottom w:val="0"/>
                  <w:divBdr>
                    <w:top w:val="none" w:sz="0" w:space="0" w:color="auto"/>
                    <w:left w:val="none" w:sz="0" w:space="0" w:color="auto"/>
                    <w:bottom w:val="none" w:sz="0" w:space="0" w:color="auto"/>
                    <w:right w:val="none" w:sz="0" w:space="0" w:color="auto"/>
                  </w:divBdr>
                </w:div>
                <w:div w:id="1029449688">
                  <w:marLeft w:val="0"/>
                  <w:marRight w:val="0"/>
                  <w:marTop w:val="0"/>
                  <w:marBottom w:val="0"/>
                  <w:divBdr>
                    <w:top w:val="none" w:sz="0" w:space="0" w:color="auto"/>
                    <w:left w:val="none" w:sz="0" w:space="0" w:color="auto"/>
                    <w:bottom w:val="none" w:sz="0" w:space="0" w:color="auto"/>
                    <w:right w:val="none" w:sz="0" w:space="0" w:color="auto"/>
                  </w:divBdr>
                  <w:divsChild>
                    <w:div w:id="1137260449">
                      <w:marLeft w:val="0"/>
                      <w:marRight w:val="0"/>
                      <w:marTop w:val="0"/>
                      <w:marBottom w:val="0"/>
                      <w:divBdr>
                        <w:top w:val="none" w:sz="0" w:space="0" w:color="auto"/>
                        <w:left w:val="none" w:sz="0" w:space="0" w:color="auto"/>
                        <w:bottom w:val="none" w:sz="0" w:space="0" w:color="auto"/>
                        <w:right w:val="none" w:sz="0" w:space="0" w:color="auto"/>
                      </w:divBdr>
                      <w:divsChild>
                        <w:div w:id="1324548194">
                          <w:marLeft w:val="0"/>
                          <w:marRight w:val="0"/>
                          <w:marTop w:val="0"/>
                          <w:marBottom w:val="0"/>
                          <w:divBdr>
                            <w:top w:val="none" w:sz="0" w:space="0" w:color="auto"/>
                            <w:left w:val="none" w:sz="0" w:space="0" w:color="auto"/>
                            <w:bottom w:val="none" w:sz="0" w:space="0" w:color="auto"/>
                            <w:right w:val="none" w:sz="0" w:space="0" w:color="auto"/>
                          </w:divBdr>
                          <w:divsChild>
                            <w:div w:id="20620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6850">
          <w:marLeft w:val="0"/>
          <w:marRight w:val="0"/>
          <w:marTop w:val="0"/>
          <w:marBottom w:val="0"/>
          <w:divBdr>
            <w:top w:val="none" w:sz="0" w:space="0" w:color="auto"/>
            <w:left w:val="none" w:sz="0" w:space="0" w:color="auto"/>
            <w:bottom w:val="none" w:sz="0" w:space="0" w:color="auto"/>
            <w:right w:val="none" w:sz="0" w:space="0" w:color="auto"/>
          </w:divBdr>
          <w:divsChild>
            <w:div w:id="2071879739">
              <w:marLeft w:val="0"/>
              <w:marRight w:val="0"/>
              <w:marTop w:val="0"/>
              <w:marBottom w:val="0"/>
              <w:divBdr>
                <w:top w:val="none" w:sz="0" w:space="0" w:color="auto"/>
                <w:left w:val="none" w:sz="0" w:space="0" w:color="auto"/>
                <w:bottom w:val="none" w:sz="0" w:space="0" w:color="auto"/>
                <w:right w:val="none" w:sz="0" w:space="0" w:color="auto"/>
              </w:divBdr>
              <w:divsChild>
                <w:div w:id="2131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4426">
      <w:bodyDiv w:val="1"/>
      <w:marLeft w:val="0"/>
      <w:marRight w:val="0"/>
      <w:marTop w:val="0"/>
      <w:marBottom w:val="0"/>
      <w:divBdr>
        <w:top w:val="none" w:sz="0" w:space="0" w:color="auto"/>
        <w:left w:val="none" w:sz="0" w:space="0" w:color="auto"/>
        <w:bottom w:val="none" w:sz="0" w:space="0" w:color="auto"/>
        <w:right w:val="none" w:sz="0" w:space="0" w:color="auto"/>
      </w:divBdr>
    </w:div>
    <w:div w:id="634215346">
      <w:bodyDiv w:val="1"/>
      <w:marLeft w:val="0"/>
      <w:marRight w:val="0"/>
      <w:marTop w:val="0"/>
      <w:marBottom w:val="0"/>
      <w:divBdr>
        <w:top w:val="none" w:sz="0" w:space="0" w:color="auto"/>
        <w:left w:val="none" w:sz="0" w:space="0" w:color="auto"/>
        <w:bottom w:val="none" w:sz="0" w:space="0" w:color="auto"/>
        <w:right w:val="none" w:sz="0" w:space="0" w:color="auto"/>
      </w:divBdr>
    </w:div>
    <w:div w:id="883366441">
      <w:bodyDiv w:val="1"/>
      <w:marLeft w:val="0"/>
      <w:marRight w:val="0"/>
      <w:marTop w:val="0"/>
      <w:marBottom w:val="0"/>
      <w:divBdr>
        <w:top w:val="none" w:sz="0" w:space="0" w:color="auto"/>
        <w:left w:val="none" w:sz="0" w:space="0" w:color="auto"/>
        <w:bottom w:val="none" w:sz="0" w:space="0" w:color="auto"/>
        <w:right w:val="none" w:sz="0" w:space="0" w:color="auto"/>
      </w:divBdr>
    </w:div>
    <w:div w:id="1160078464">
      <w:bodyDiv w:val="1"/>
      <w:marLeft w:val="0"/>
      <w:marRight w:val="0"/>
      <w:marTop w:val="0"/>
      <w:marBottom w:val="0"/>
      <w:divBdr>
        <w:top w:val="none" w:sz="0" w:space="0" w:color="auto"/>
        <w:left w:val="none" w:sz="0" w:space="0" w:color="auto"/>
        <w:bottom w:val="none" w:sz="0" w:space="0" w:color="auto"/>
        <w:right w:val="none" w:sz="0" w:space="0" w:color="auto"/>
      </w:divBdr>
    </w:div>
    <w:div w:id="1299191217">
      <w:bodyDiv w:val="1"/>
      <w:marLeft w:val="0"/>
      <w:marRight w:val="0"/>
      <w:marTop w:val="0"/>
      <w:marBottom w:val="0"/>
      <w:divBdr>
        <w:top w:val="none" w:sz="0" w:space="0" w:color="auto"/>
        <w:left w:val="none" w:sz="0" w:space="0" w:color="auto"/>
        <w:bottom w:val="none" w:sz="0" w:space="0" w:color="auto"/>
        <w:right w:val="none" w:sz="0" w:space="0" w:color="auto"/>
      </w:divBdr>
    </w:div>
    <w:div w:id="1596207964">
      <w:bodyDiv w:val="1"/>
      <w:marLeft w:val="0"/>
      <w:marRight w:val="0"/>
      <w:marTop w:val="0"/>
      <w:marBottom w:val="0"/>
      <w:divBdr>
        <w:top w:val="none" w:sz="0" w:space="0" w:color="auto"/>
        <w:left w:val="none" w:sz="0" w:space="0" w:color="auto"/>
        <w:bottom w:val="none" w:sz="0" w:space="0" w:color="auto"/>
        <w:right w:val="none" w:sz="0" w:space="0" w:color="auto"/>
      </w:divBdr>
    </w:div>
    <w:div w:id="213682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016/j.ijhydene.2011.03.17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aris.iaea"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j.energy.2011.11.061" TargetMode="External"/><Relationship Id="rId25" Type="http://schemas.openxmlformats.org/officeDocument/2006/relationships/hyperlink" Target="https://doi.org/10.1016/j.nucengdes.2017.11.04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1201/b1078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16/j.ijhydene.2010.06.10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sciencedirect.com/journal/international-journal-of-hydrogen-energy"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oi.org/10.1007/978-3-319-07896-0_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21/acs.energyfuels.1c0250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walid.dridi@cnstn.rnrt.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3472</TotalTime>
  <Pages>8</Pages>
  <Words>3225</Words>
  <Characters>17743</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Walid DRIDI</cp:lastModifiedBy>
  <cp:revision>211</cp:revision>
  <cp:lastPrinted>2024-03-19T13:52:00Z</cp:lastPrinted>
  <dcterms:created xsi:type="dcterms:W3CDTF">2024-03-19T07:55:00Z</dcterms:created>
  <dcterms:modified xsi:type="dcterms:W3CDTF">2024-09-12T04:37:00Z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