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074A" w14:textId="70ACD2D4" w:rsidR="00075773" w:rsidRPr="00B71ACF" w:rsidRDefault="00075773" w:rsidP="002269FF">
      <w:pPr>
        <w:ind w:left="567" w:firstLine="0"/>
        <w:rPr>
          <w:rFonts w:ascii="Times New Roman" w:hAnsi="Times New Roman" w:cs="Times New Roman"/>
          <w:b/>
          <w:bCs/>
          <w:sz w:val="24"/>
          <w:szCs w:val="24"/>
          <w:lang w:val="en-US"/>
        </w:rPr>
      </w:pPr>
      <w:r w:rsidRPr="00B71ACF">
        <w:rPr>
          <w:rFonts w:ascii="Times New Roman" w:hAnsi="Times New Roman" w:cs="Times New Roman"/>
          <w:b/>
          <w:bCs/>
          <w:sz w:val="24"/>
          <w:szCs w:val="24"/>
          <w:lang w:val="en-US"/>
        </w:rPr>
        <w:t>COGENERATION EMPLOYING THE CAREM MODULAR REACTOR FOR THE PYROLYSIS TREATMENT OF CUTTINGS DERIVED FROM THE OIL AND GAS INDUSTRY IN THE NEUQUÉN BASIN</w:t>
      </w:r>
    </w:p>
    <w:p w14:paraId="0364AEAA" w14:textId="77777777" w:rsidR="002269FF" w:rsidRPr="00B71ACF" w:rsidRDefault="002269FF" w:rsidP="00095B1D">
      <w:pPr>
        <w:rPr>
          <w:rFonts w:ascii="Times New Roman" w:hAnsi="Times New Roman" w:cs="Times New Roman"/>
          <w:sz w:val="24"/>
          <w:szCs w:val="24"/>
          <w:lang w:val="en-US"/>
        </w:rPr>
      </w:pPr>
    </w:p>
    <w:p w14:paraId="7297ECCE" w14:textId="74C4D123" w:rsidR="002269FF" w:rsidRPr="00C32225" w:rsidRDefault="00095B1D" w:rsidP="00095B1D">
      <w:pPr>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G.G. </w:t>
      </w:r>
      <w:r w:rsidR="002269FF" w:rsidRPr="00C32225">
        <w:rPr>
          <w:rFonts w:ascii="Times New Roman" w:hAnsi="Times New Roman" w:cs="Times New Roman"/>
          <w:sz w:val="20"/>
          <w:szCs w:val="20"/>
          <w:lang w:val="es-ES"/>
        </w:rPr>
        <w:t>FOUGA</w:t>
      </w:r>
      <w:r w:rsidRPr="00C32225">
        <w:rPr>
          <w:rFonts w:ascii="Times New Roman" w:hAnsi="Times New Roman" w:cs="Times New Roman"/>
          <w:sz w:val="20"/>
          <w:szCs w:val="20"/>
          <w:lang w:val="es-ES"/>
        </w:rPr>
        <w:t>,</w:t>
      </w:r>
    </w:p>
    <w:p w14:paraId="0264EFB7" w14:textId="2DC325AD" w:rsidR="002269FF" w:rsidRPr="00C32225" w:rsidRDefault="002269FF" w:rsidP="002269FF">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Departamento de Fisicoquímica y Control de Calidad, Complejo Tecnológico </w:t>
      </w:r>
      <w:proofErr w:type="spellStart"/>
      <w:r w:rsidRPr="00C32225">
        <w:rPr>
          <w:rFonts w:ascii="Times New Roman" w:hAnsi="Times New Roman" w:cs="Times New Roman"/>
          <w:sz w:val="20"/>
          <w:szCs w:val="20"/>
          <w:lang w:val="es-ES"/>
        </w:rPr>
        <w:t>Pilcaniyeu</w:t>
      </w:r>
      <w:proofErr w:type="spellEnd"/>
      <w:r w:rsidRPr="00C32225">
        <w:rPr>
          <w:rFonts w:ascii="Times New Roman" w:hAnsi="Times New Roman" w:cs="Times New Roman"/>
          <w:sz w:val="20"/>
          <w:szCs w:val="20"/>
          <w:lang w:val="es-ES"/>
        </w:rPr>
        <w:t>, Centro Atómico Bariloche, Comisión Nacional de Energía Atómica and Consejo Nacional de Investigaciones Científicas y Técnicas (CONICET).</w:t>
      </w:r>
    </w:p>
    <w:p w14:paraId="370D2224" w14:textId="67D8FF90" w:rsidR="002269FF" w:rsidRPr="00C32225" w:rsidRDefault="002269FF" w:rsidP="002269FF">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Bariloche, Argentina</w:t>
      </w:r>
    </w:p>
    <w:p w14:paraId="511C7B4C" w14:textId="49181D7D" w:rsidR="002269FF" w:rsidRPr="00C32225" w:rsidRDefault="002269FF" w:rsidP="002269FF">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fouga@cab.cnea.gov.ar</w:t>
      </w:r>
    </w:p>
    <w:p w14:paraId="1329C438" w14:textId="77777777" w:rsidR="002269FF" w:rsidRPr="00C32225" w:rsidRDefault="002269FF" w:rsidP="002269FF">
      <w:pPr>
        <w:rPr>
          <w:rFonts w:ascii="Times New Roman" w:hAnsi="Times New Roman" w:cs="Times New Roman"/>
          <w:sz w:val="24"/>
          <w:szCs w:val="24"/>
          <w:lang w:val="es-ES"/>
        </w:rPr>
      </w:pPr>
    </w:p>
    <w:p w14:paraId="7CE555A4" w14:textId="77777777" w:rsidR="002269FF" w:rsidRPr="00C32225" w:rsidRDefault="0058416D" w:rsidP="00095B1D">
      <w:pPr>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G. </w:t>
      </w:r>
      <w:r w:rsidR="002269FF" w:rsidRPr="00C32225">
        <w:rPr>
          <w:rFonts w:ascii="Times New Roman" w:hAnsi="Times New Roman" w:cs="Times New Roman"/>
          <w:sz w:val="20"/>
          <w:szCs w:val="20"/>
          <w:lang w:val="es-ES"/>
        </w:rPr>
        <w:t>MAZZA</w:t>
      </w:r>
    </w:p>
    <w:p w14:paraId="2E200F69" w14:textId="77777777" w:rsidR="002269FF" w:rsidRPr="00C32225" w:rsidRDefault="002269FF" w:rsidP="002269FF">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Instituto de Investigación y Desarrollo en Ingeniería de Procesos, Biotecnología y Energías Alternativas, PROBIEN (CONICET-Universidad Nacional del </w:t>
      </w:r>
      <w:proofErr w:type="spellStart"/>
      <w:r w:rsidRPr="00C32225">
        <w:rPr>
          <w:rFonts w:ascii="Times New Roman" w:hAnsi="Times New Roman" w:cs="Times New Roman"/>
          <w:sz w:val="20"/>
          <w:szCs w:val="20"/>
          <w:lang w:val="es-ES"/>
        </w:rPr>
        <w:t>Comahue</w:t>
      </w:r>
      <w:proofErr w:type="spellEnd"/>
      <w:r w:rsidRPr="00C32225">
        <w:rPr>
          <w:rFonts w:ascii="Times New Roman" w:hAnsi="Times New Roman" w:cs="Times New Roman"/>
          <w:sz w:val="20"/>
          <w:szCs w:val="20"/>
          <w:lang w:val="es-ES"/>
        </w:rPr>
        <w:t>)</w:t>
      </w:r>
    </w:p>
    <w:p w14:paraId="668A5892" w14:textId="77777777" w:rsidR="002269FF" w:rsidRPr="00C32225" w:rsidRDefault="002269FF" w:rsidP="002269FF">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Neuquén, Argentina</w:t>
      </w:r>
    </w:p>
    <w:p w14:paraId="6A0F5476" w14:textId="52DAB3B7" w:rsidR="002269FF" w:rsidRPr="00C32225" w:rsidRDefault="002340DB" w:rsidP="002269FF">
      <w:pPr>
        <w:ind w:left="567" w:firstLine="0"/>
        <w:rPr>
          <w:rFonts w:ascii="Times New Roman" w:hAnsi="Times New Roman" w:cs="Times New Roman"/>
          <w:sz w:val="20"/>
          <w:szCs w:val="20"/>
          <w:lang w:val="es-ES"/>
        </w:rPr>
      </w:pPr>
      <w:hyperlink r:id="rId6" w:history="1">
        <w:r w:rsidR="002269FF" w:rsidRPr="00C32225">
          <w:rPr>
            <w:rFonts w:ascii="Times New Roman" w:hAnsi="Times New Roman" w:cs="Times New Roman"/>
            <w:sz w:val="20"/>
            <w:szCs w:val="20"/>
            <w:lang w:val="es-ES"/>
          </w:rPr>
          <w:t>german.mazza@probien.gob.ar</w:t>
        </w:r>
      </w:hyperlink>
    </w:p>
    <w:p w14:paraId="1F663D9B" w14:textId="19082F67" w:rsidR="002269FF" w:rsidRPr="00C32225" w:rsidRDefault="00095B1D" w:rsidP="002269FF">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 </w:t>
      </w:r>
    </w:p>
    <w:p w14:paraId="49271311" w14:textId="77777777" w:rsidR="002269FF" w:rsidRPr="00C32225" w:rsidRDefault="00095B1D" w:rsidP="00095B1D">
      <w:pPr>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A.E. </w:t>
      </w:r>
      <w:r w:rsidR="002269FF" w:rsidRPr="00C32225">
        <w:rPr>
          <w:rFonts w:ascii="Times New Roman" w:hAnsi="Times New Roman" w:cs="Times New Roman"/>
          <w:sz w:val="20"/>
          <w:szCs w:val="20"/>
          <w:lang w:val="es-ES"/>
        </w:rPr>
        <w:t>BOHÉ</w:t>
      </w:r>
    </w:p>
    <w:p w14:paraId="4A9E4911" w14:textId="77777777" w:rsidR="00C35C90" w:rsidRPr="00C32225" w:rsidRDefault="00C35C90" w:rsidP="00C35C90">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Departamento de Fisicoquímica y Control de Calidad, Complejo Tecnológico </w:t>
      </w:r>
      <w:proofErr w:type="spellStart"/>
      <w:r w:rsidRPr="00C32225">
        <w:rPr>
          <w:rFonts w:ascii="Times New Roman" w:hAnsi="Times New Roman" w:cs="Times New Roman"/>
          <w:sz w:val="20"/>
          <w:szCs w:val="20"/>
          <w:lang w:val="es-ES"/>
        </w:rPr>
        <w:t>Pilcaniyeu</w:t>
      </w:r>
      <w:proofErr w:type="spellEnd"/>
      <w:r w:rsidRPr="00C32225">
        <w:rPr>
          <w:rFonts w:ascii="Times New Roman" w:hAnsi="Times New Roman" w:cs="Times New Roman"/>
          <w:sz w:val="20"/>
          <w:szCs w:val="20"/>
          <w:lang w:val="es-ES"/>
        </w:rPr>
        <w:t>, Centro Atómico Bariloche, Comisión Nacional de Energía Atómica and Consejo Nacional de Investigaciones Científicas y Técnicas (CONICET).</w:t>
      </w:r>
    </w:p>
    <w:p w14:paraId="3565FF19" w14:textId="77777777" w:rsidR="00C35C90" w:rsidRPr="00C32225" w:rsidRDefault="00C35C90" w:rsidP="00C35C90">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Bariloche, Argentina</w:t>
      </w:r>
    </w:p>
    <w:p w14:paraId="6BF25470" w14:textId="7A8AE96B" w:rsidR="00C35C90" w:rsidRPr="00C32225" w:rsidRDefault="00C35C90" w:rsidP="00095B1D">
      <w:pPr>
        <w:rPr>
          <w:rFonts w:ascii="Times New Roman" w:hAnsi="Times New Roman" w:cs="Times New Roman"/>
          <w:sz w:val="20"/>
          <w:szCs w:val="20"/>
          <w:lang w:val="es-ES"/>
        </w:rPr>
      </w:pPr>
      <w:r w:rsidRPr="00C32225">
        <w:rPr>
          <w:rFonts w:ascii="Times New Roman" w:hAnsi="Times New Roman" w:cs="Times New Roman"/>
          <w:sz w:val="20"/>
          <w:szCs w:val="20"/>
          <w:lang w:val="es-ES"/>
        </w:rPr>
        <w:t>bohe@cab.cnea.gov.ar</w:t>
      </w:r>
    </w:p>
    <w:p w14:paraId="7175B189" w14:textId="1E8E0373" w:rsidR="002269FF" w:rsidRPr="00C32225" w:rsidRDefault="00095B1D" w:rsidP="00095B1D">
      <w:pPr>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 </w:t>
      </w:r>
    </w:p>
    <w:p w14:paraId="222900F4" w14:textId="2B84A941" w:rsidR="00095B1D" w:rsidRPr="00C32225" w:rsidRDefault="0058416D" w:rsidP="00095B1D">
      <w:pPr>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A. </w:t>
      </w:r>
      <w:r w:rsidR="002269FF" w:rsidRPr="00C32225">
        <w:rPr>
          <w:rFonts w:ascii="Times New Roman" w:hAnsi="Times New Roman" w:cs="Times New Roman"/>
          <w:sz w:val="20"/>
          <w:szCs w:val="20"/>
          <w:lang w:val="es-ES"/>
        </w:rPr>
        <w:t>REYES-URRUTIA</w:t>
      </w:r>
    </w:p>
    <w:p w14:paraId="116AF586" w14:textId="77777777" w:rsidR="00C35C90" w:rsidRPr="00C32225" w:rsidRDefault="00C35C90" w:rsidP="00C35C90">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 xml:space="preserve">Instituto de Investigación y Desarrollo en Ingeniería de Procesos, Biotecnología y Energías Alternativas, PROBIEN (CONICET-Universidad Nacional del </w:t>
      </w:r>
      <w:proofErr w:type="spellStart"/>
      <w:r w:rsidRPr="00C32225">
        <w:rPr>
          <w:rFonts w:ascii="Times New Roman" w:hAnsi="Times New Roman" w:cs="Times New Roman"/>
          <w:sz w:val="20"/>
          <w:szCs w:val="20"/>
          <w:lang w:val="es-ES"/>
        </w:rPr>
        <w:t>Comahue</w:t>
      </w:r>
      <w:proofErr w:type="spellEnd"/>
      <w:r w:rsidRPr="00C32225">
        <w:rPr>
          <w:rFonts w:ascii="Times New Roman" w:hAnsi="Times New Roman" w:cs="Times New Roman"/>
          <w:sz w:val="20"/>
          <w:szCs w:val="20"/>
          <w:lang w:val="es-ES"/>
        </w:rPr>
        <w:t>)</w:t>
      </w:r>
    </w:p>
    <w:p w14:paraId="4F59D944" w14:textId="77777777" w:rsidR="00C35C90" w:rsidRPr="00C32225" w:rsidRDefault="00C35C90" w:rsidP="00C35C90">
      <w:pPr>
        <w:ind w:left="567" w:firstLine="0"/>
        <w:rPr>
          <w:rFonts w:ascii="Times New Roman" w:hAnsi="Times New Roman" w:cs="Times New Roman"/>
          <w:sz w:val="20"/>
          <w:szCs w:val="20"/>
          <w:lang w:val="es-ES"/>
        </w:rPr>
      </w:pPr>
      <w:r w:rsidRPr="00C32225">
        <w:rPr>
          <w:rFonts w:ascii="Times New Roman" w:hAnsi="Times New Roman" w:cs="Times New Roman"/>
          <w:sz w:val="20"/>
          <w:szCs w:val="20"/>
          <w:lang w:val="es-ES"/>
        </w:rPr>
        <w:t>Neuquén, Argentina</w:t>
      </w:r>
    </w:p>
    <w:p w14:paraId="44F0D966" w14:textId="1DB8C4EF" w:rsidR="00C35C90" w:rsidRPr="00C32225" w:rsidRDefault="002340DB" w:rsidP="00531B32">
      <w:pPr>
        <w:rPr>
          <w:rFonts w:ascii="Times New Roman" w:hAnsi="Times New Roman" w:cs="Times New Roman"/>
          <w:sz w:val="20"/>
          <w:szCs w:val="20"/>
          <w:lang w:val="es-ES"/>
        </w:rPr>
      </w:pPr>
      <w:hyperlink r:id="rId7" w:history="1">
        <w:r w:rsidR="00531B32" w:rsidRPr="00C32225">
          <w:rPr>
            <w:rFonts w:ascii="Times New Roman" w:hAnsi="Times New Roman" w:cs="Times New Roman"/>
            <w:sz w:val="20"/>
            <w:szCs w:val="20"/>
            <w:lang w:val="es-ES"/>
          </w:rPr>
          <w:t>andres.reyes@probien.gob.ar</w:t>
        </w:r>
      </w:hyperlink>
    </w:p>
    <w:p w14:paraId="0E29FF55" w14:textId="77777777" w:rsidR="00C35C90" w:rsidRPr="00C32225" w:rsidRDefault="00C35C90" w:rsidP="00095B1D">
      <w:pPr>
        <w:rPr>
          <w:rFonts w:ascii="Times New Roman" w:hAnsi="Times New Roman" w:cs="Times New Roman"/>
          <w:sz w:val="20"/>
          <w:szCs w:val="20"/>
          <w:lang w:val="es-ES"/>
        </w:rPr>
      </w:pPr>
    </w:p>
    <w:p w14:paraId="3F309CB2" w14:textId="2E848A17" w:rsidR="00030EF2" w:rsidRPr="00B71ACF" w:rsidRDefault="00C35C90" w:rsidP="00030EF2">
      <w:pPr>
        <w:rPr>
          <w:rFonts w:ascii="Times New Roman" w:hAnsi="Times New Roman" w:cs="Times New Roman"/>
          <w:b/>
          <w:bCs/>
          <w:sz w:val="20"/>
          <w:szCs w:val="20"/>
          <w:lang w:val="en-US"/>
        </w:rPr>
      </w:pPr>
      <w:r w:rsidRPr="00B71ACF">
        <w:rPr>
          <w:rFonts w:ascii="Times New Roman" w:hAnsi="Times New Roman" w:cs="Times New Roman"/>
          <w:b/>
          <w:bCs/>
          <w:sz w:val="20"/>
          <w:szCs w:val="20"/>
          <w:lang w:val="en-US"/>
        </w:rPr>
        <w:t>Abstract</w:t>
      </w:r>
    </w:p>
    <w:p w14:paraId="6A2BE096" w14:textId="77777777" w:rsidR="00075773" w:rsidRPr="00B71ACF" w:rsidRDefault="00075773" w:rsidP="00030EF2">
      <w:pPr>
        <w:spacing w:line="360" w:lineRule="auto"/>
        <w:rPr>
          <w:rFonts w:ascii="Times New Roman" w:hAnsi="Times New Roman" w:cs="Times New Roman"/>
          <w:sz w:val="24"/>
          <w:szCs w:val="24"/>
          <w:lang w:val="en-US"/>
        </w:rPr>
      </w:pPr>
    </w:p>
    <w:p w14:paraId="4D288932" w14:textId="22888390" w:rsidR="00030EF2" w:rsidRPr="00B71ACF" w:rsidRDefault="00030EF2" w:rsidP="008D4E49">
      <w:pPr>
        <w:spacing w:line="240" w:lineRule="atLeast"/>
        <w:rPr>
          <w:rFonts w:ascii="Times New Roman" w:hAnsi="Times New Roman" w:cs="Times New Roman"/>
          <w:sz w:val="18"/>
          <w:szCs w:val="18"/>
          <w:lang w:val="en-US"/>
        </w:rPr>
      </w:pPr>
      <w:r w:rsidRPr="00B71ACF">
        <w:rPr>
          <w:rFonts w:ascii="Times New Roman" w:hAnsi="Times New Roman" w:cs="Times New Roman"/>
          <w:sz w:val="18"/>
          <w:szCs w:val="18"/>
          <w:lang w:val="en-US"/>
        </w:rPr>
        <w:t>The Physicochemical and Quality Control Department of the Argentina National Atomic Energy Commission has been actively researching the application of the modular CAREM nuclear reactor for cogeneration, specifically for the treatment of oil-based drill cuttings (OBDC) generated from oil and gas extraction in the Neuquén basin, located in the province of Neuquén, Argentina. These cuttings are classified as hazardous waste under National Law 24051. The objective is to utilize cogeneration to supply heat for the pyrolysis process of the cuttings. This process aims to produce a residue suitable for safe disposal and, concurrently, liquid and gaseous fuels that enhance the intrinsic value of the initial waste.</w:t>
      </w:r>
    </w:p>
    <w:p w14:paraId="6908BC65" w14:textId="2724142A" w:rsidR="00095B1D" w:rsidRPr="00B71ACF" w:rsidRDefault="00030EF2" w:rsidP="008D4E49">
      <w:pPr>
        <w:spacing w:line="240" w:lineRule="atLeast"/>
        <w:rPr>
          <w:rFonts w:ascii="Times New Roman" w:hAnsi="Times New Roman" w:cs="Times New Roman"/>
          <w:sz w:val="18"/>
          <w:szCs w:val="18"/>
          <w:lang w:val="en-US"/>
        </w:rPr>
      </w:pPr>
      <w:r w:rsidRPr="00B71ACF">
        <w:rPr>
          <w:rFonts w:ascii="Times New Roman" w:hAnsi="Times New Roman" w:cs="Times New Roman"/>
          <w:sz w:val="18"/>
          <w:szCs w:val="18"/>
          <w:lang w:val="en-US"/>
        </w:rPr>
        <w:t xml:space="preserve">In the initial phase of the study, samples of OBDC from the Neuquén Basin were employed, collected at depths of 800 m (OBDC-1), 1100 m (OBDC-2), and 1300 m (OBDC-3). The oil content within the cuttings was quantified using </w:t>
      </w:r>
      <w:proofErr w:type="spellStart"/>
      <w:r w:rsidRPr="00B71ACF">
        <w:rPr>
          <w:rFonts w:ascii="Times New Roman" w:hAnsi="Times New Roman" w:cs="Times New Roman"/>
          <w:sz w:val="18"/>
          <w:szCs w:val="18"/>
          <w:lang w:val="en-US"/>
        </w:rPr>
        <w:t>Soxhlet</w:t>
      </w:r>
      <w:proofErr w:type="spellEnd"/>
      <w:r w:rsidRPr="00B71ACF">
        <w:rPr>
          <w:rFonts w:ascii="Times New Roman" w:hAnsi="Times New Roman" w:cs="Times New Roman"/>
          <w:sz w:val="18"/>
          <w:szCs w:val="18"/>
          <w:lang w:val="en-US"/>
        </w:rPr>
        <w:t xml:space="preserve"> extraction (EPA9071B), while the water content was determined through </w:t>
      </w:r>
      <w:proofErr w:type="spellStart"/>
      <w:r w:rsidRPr="00B71ACF">
        <w:rPr>
          <w:rFonts w:ascii="Times New Roman" w:hAnsi="Times New Roman" w:cs="Times New Roman"/>
          <w:sz w:val="18"/>
          <w:szCs w:val="18"/>
          <w:lang w:val="en-US"/>
        </w:rPr>
        <w:t>azeotropic</w:t>
      </w:r>
      <w:proofErr w:type="spellEnd"/>
      <w:r w:rsidRPr="00B71ACF">
        <w:rPr>
          <w:rFonts w:ascii="Times New Roman" w:hAnsi="Times New Roman" w:cs="Times New Roman"/>
          <w:sz w:val="18"/>
          <w:szCs w:val="18"/>
          <w:lang w:val="en-US"/>
        </w:rPr>
        <w:t xml:space="preserve"> distillation using the Dean-Stark method (ASTM-D95). To investigate the thermal decomposition process and the associated energy, a simultaneous thermal analyzer (DTA-TG, STA-409, NETZSCH) was utilized. Furthermore, the mineralogical composition of the remaining residues was scrutinized employing X-ray diffraction.</w:t>
      </w:r>
    </w:p>
    <w:p w14:paraId="234640B8" w14:textId="77777777" w:rsidR="005C68B1" w:rsidRPr="00B71ACF" w:rsidRDefault="005C68B1" w:rsidP="00B71ACF">
      <w:pPr>
        <w:spacing w:line="360" w:lineRule="auto"/>
        <w:ind w:firstLine="0"/>
        <w:rPr>
          <w:rFonts w:ascii="Times New Roman" w:hAnsi="Times New Roman" w:cs="Times New Roman"/>
          <w:sz w:val="18"/>
          <w:szCs w:val="18"/>
          <w:lang w:val="en-US"/>
        </w:rPr>
      </w:pPr>
    </w:p>
    <w:p w14:paraId="0F364974" w14:textId="2AEF7378" w:rsidR="00955ACA" w:rsidRPr="00967CD5" w:rsidRDefault="005C68B1" w:rsidP="00457F84">
      <w:pPr>
        <w:pStyle w:val="Prrafodelista"/>
        <w:numPr>
          <w:ilvl w:val="0"/>
          <w:numId w:val="1"/>
        </w:numPr>
        <w:spacing w:before="100" w:beforeAutospacing="1" w:after="100" w:afterAutospacing="1" w:line="280" w:lineRule="atLeast"/>
        <w:ind w:left="0" w:firstLine="0"/>
        <w:rPr>
          <w:rFonts w:ascii="Times New Roman" w:hAnsi="Times New Roman" w:cs="Times New Roman"/>
          <w:bCs/>
          <w:sz w:val="20"/>
          <w:szCs w:val="20"/>
          <w:lang w:val="en-US"/>
        </w:rPr>
      </w:pPr>
      <w:r w:rsidRPr="00967CD5">
        <w:rPr>
          <w:rFonts w:ascii="Times New Roman" w:hAnsi="Times New Roman" w:cs="Times New Roman"/>
          <w:bCs/>
          <w:sz w:val="20"/>
          <w:szCs w:val="20"/>
          <w:lang w:val="en-US"/>
        </w:rPr>
        <w:t>INTRODUCTION</w:t>
      </w:r>
    </w:p>
    <w:p w14:paraId="0F11EB57" w14:textId="64748625" w:rsidR="00156851" w:rsidRPr="00B71ACF" w:rsidRDefault="00156851" w:rsidP="008D4E49">
      <w:pPr>
        <w:rPr>
          <w:rFonts w:ascii="Times New Roman" w:hAnsi="Times New Roman" w:cs="Times New Roman"/>
          <w:sz w:val="20"/>
          <w:szCs w:val="20"/>
          <w:highlight w:val="cyan"/>
          <w:lang w:val="en-US"/>
        </w:rPr>
      </w:pPr>
      <w:r w:rsidRPr="00264306">
        <w:rPr>
          <w:rFonts w:ascii="Times New Roman" w:hAnsi="Times New Roman" w:cs="Times New Roman"/>
          <w:sz w:val="20"/>
          <w:szCs w:val="20"/>
          <w:lang w:val="en-US"/>
        </w:rPr>
        <w:t xml:space="preserve">The CAREM Reactor is a low-power CNPP of 25 </w:t>
      </w:r>
      <w:proofErr w:type="spellStart"/>
      <w:r w:rsidRPr="00264306">
        <w:rPr>
          <w:rFonts w:ascii="Times New Roman" w:hAnsi="Times New Roman" w:cs="Times New Roman"/>
          <w:sz w:val="20"/>
          <w:szCs w:val="20"/>
          <w:lang w:val="en-US"/>
        </w:rPr>
        <w:t>MWe</w:t>
      </w:r>
      <w:proofErr w:type="spellEnd"/>
      <w:r w:rsidRPr="00264306">
        <w:rPr>
          <w:rFonts w:ascii="Times New Roman" w:hAnsi="Times New Roman" w:cs="Times New Roman"/>
          <w:sz w:val="20"/>
          <w:szCs w:val="20"/>
          <w:lang w:val="en-US"/>
        </w:rPr>
        <w:t xml:space="preserve">, with an integrated self-pressurized primary system. </w:t>
      </w:r>
      <w:r w:rsidR="004506B6" w:rsidRPr="00264306">
        <w:rPr>
          <w:rFonts w:ascii="Times New Roman" w:hAnsi="Times New Roman" w:cs="Times New Roman"/>
          <w:sz w:val="20"/>
          <w:szCs w:val="20"/>
          <w:lang w:val="en-US"/>
        </w:rPr>
        <w:t>The primary cooling system operates using natural circulation</w:t>
      </w:r>
      <w:r w:rsidRPr="00264306">
        <w:rPr>
          <w:rFonts w:ascii="Times New Roman" w:hAnsi="Times New Roman" w:cs="Times New Roman"/>
          <w:sz w:val="20"/>
          <w:szCs w:val="20"/>
          <w:lang w:val="en-US"/>
        </w:rPr>
        <w:t xml:space="preserve">, with multiple passive safety systems. The project is owned by the CNEA (National Atomic Energy Commission) of Argentina and its associated company, INVAP. </w:t>
      </w:r>
      <w:r w:rsidR="00106529" w:rsidRPr="00264306">
        <w:rPr>
          <w:rFonts w:ascii="Times New Roman" w:hAnsi="Times New Roman" w:cs="Times New Roman"/>
          <w:sz w:val="20"/>
          <w:szCs w:val="20"/>
          <w:lang w:val="en-US"/>
        </w:rPr>
        <w:t>Since its inception, the reactor has been designed to operate in remote locations</w:t>
      </w:r>
      <w:r w:rsidR="00264306" w:rsidRPr="00264306">
        <w:rPr>
          <w:rFonts w:ascii="Times New Roman" w:hAnsi="Times New Roman" w:cs="Times New Roman"/>
          <w:sz w:val="20"/>
          <w:szCs w:val="20"/>
          <w:lang w:val="en-US"/>
        </w:rPr>
        <w:t xml:space="preserve"> </w:t>
      </w:r>
      <w:r w:rsidR="00E85675" w:rsidRPr="00264306">
        <w:rPr>
          <w:rFonts w:ascii="Times New Roman" w:hAnsi="Times New Roman" w:cs="Times New Roman"/>
          <w:sz w:val="20"/>
          <w:szCs w:val="20"/>
          <w:lang w:val="en-US"/>
        </w:rPr>
        <w:t>[1]</w:t>
      </w:r>
      <w:r w:rsidRPr="00264306">
        <w:rPr>
          <w:rFonts w:ascii="Times New Roman" w:hAnsi="Times New Roman" w:cs="Times New Roman"/>
          <w:sz w:val="20"/>
          <w:szCs w:val="20"/>
          <w:lang w:val="en-US"/>
        </w:rPr>
        <w:t>. In this</w:t>
      </w:r>
      <w:r w:rsidRPr="00B71ACF">
        <w:rPr>
          <w:rFonts w:ascii="Times New Roman" w:hAnsi="Times New Roman" w:cs="Times New Roman"/>
          <w:sz w:val="20"/>
          <w:szCs w:val="20"/>
          <w:lang w:val="en-US"/>
        </w:rPr>
        <w:t xml:space="preserve"> sense, considering that Argentina's oil and gas fields are generally located in isolated regions lacking services such as </w:t>
      </w:r>
      <w:r w:rsidRPr="00B71ACF">
        <w:rPr>
          <w:rFonts w:ascii="Times New Roman" w:hAnsi="Times New Roman" w:cs="Times New Roman"/>
          <w:sz w:val="20"/>
          <w:szCs w:val="20"/>
          <w:lang w:val="en-US"/>
        </w:rPr>
        <w:lastRenderedPageBreak/>
        <w:t>electrical power, the implementation of a reactor like CAREM can be considered to address power issues and also to provide heat to processes with moderate operating temperatures such as the treatment of oil-based drill cuttings (OBDC</w:t>
      </w:r>
      <w:r w:rsidR="00E85675">
        <w:rPr>
          <w:rFonts w:ascii="Times New Roman" w:hAnsi="Times New Roman" w:cs="Times New Roman"/>
          <w:sz w:val="20"/>
          <w:szCs w:val="20"/>
          <w:lang w:val="en-US"/>
        </w:rPr>
        <w:t>s</w:t>
      </w:r>
      <w:r w:rsidRPr="00B71ACF">
        <w:rPr>
          <w:rFonts w:ascii="Times New Roman" w:hAnsi="Times New Roman" w:cs="Times New Roman"/>
          <w:sz w:val="20"/>
          <w:szCs w:val="20"/>
          <w:lang w:val="en-US"/>
        </w:rPr>
        <w:t>).</w:t>
      </w:r>
    </w:p>
    <w:p w14:paraId="4347049A" w14:textId="3861474B" w:rsidR="00156851" w:rsidRPr="00B71ACF" w:rsidRDefault="00156851" w:rsidP="008D4E49">
      <w:pPr>
        <w:rPr>
          <w:rFonts w:ascii="Times New Roman" w:hAnsi="Times New Roman" w:cs="Times New Roman"/>
          <w:sz w:val="20"/>
          <w:szCs w:val="20"/>
          <w:highlight w:val="cyan"/>
          <w:lang w:val="en-US"/>
        </w:rPr>
      </w:pPr>
      <w:r w:rsidRPr="00B71ACF">
        <w:rPr>
          <w:rFonts w:ascii="Times New Roman" w:hAnsi="Times New Roman" w:cs="Times New Roman"/>
          <w:sz w:val="20"/>
          <w:szCs w:val="20"/>
          <w:lang w:val="en-US"/>
        </w:rPr>
        <w:t xml:space="preserve">The Neuquén Basin, one of the largest hydrocarbon producers in the southern portion of South America, </w:t>
      </w:r>
      <w:r w:rsidRPr="0027572F">
        <w:rPr>
          <w:rFonts w:ascii="Times New Roman" w:hAnsi="Times New Roman" w:cs="Times New Roman"/>
          <w:sz w:val="20"/>
          <w:szCs w:val="20"/>
          <w:lang w:val="en-US"/>
        </w:rPr>
        <w:t>is located east of the Andes Mountain Range in northern Patagonia, Argentina. It covers an area of over 120,000 km</w:t>
      </w:r>
      <w:r w:rsidRPr="0027572F">
        <w:rPr>
          <w:rFonts w:ascii="Times New Roman" w:hAnsi="Times New Roman" w:cs="Times New Roman"/>
          <w:sz w:val="20"/>
          <w:szCs w:val="20"/>
          <w:vertAlign w:val="superscript"/>
          <w:lang w:val="en-US"/>
        </w:rPr>
        <w:t>2</w:t>
      </w:r>
      <w:r w:rsidRPr="00B71ACF">
        <w:rPr>
          <w:rFonts w:ascii="Times New Roman" w:hAnsi="Times New Roman" w:cs="Times New Roman"/>
          <w:sz w:val="20"/>
          <w:szCs w:val="20"/>
          <w:lang w:val="en-US"/>
        </w:rPr>
        <w:t xml:space="preserve"> </w:t>
      </w:r>
      <w:r w:rsidR="00E85675">
        <w:rPr>
          <w:rFonts w:ascii="Times New Roman" w:hAnsi="Times New Roman" w:cs="Times New Roman"/>
          <w:sz w:val="20"/>
          <w:szCs w:val="20"/>
          <w:lang w:val="en-US"/>
        </w:rPr>
        <w:t>[2]</w:t>
      </w:r>
      <w:r w:rsidRPr="00B71ACF">
        <w:rPr>
          <w:rFonts w:ascii="Times New Roman" w:hAnsi="Times New Roman" w:cs="Times New Roman"/>
          <w:sz w:val="20"/>
          <w:szCs w:val="20"/>
          <w:lang w:val="en-US"/>
        </w:rPr>
        <w:t xml:space="preserve">, currently being the main area for shale oil and gas exploitation in South America, mainly due to the </w:t>
      </w:r>
      <w:proofErr w:type="spellStart"/>
      <w:r w:rsidRPr="00B71ACF">
        <w:rPr>
          <w:rFonts w:ascii="Times New Roman" w:hAnsi="Times New Roman" w:cs="Times New Roman"/>
          <w:sz w:val="20"/>
          <w:szCs w:val="20"/>
          <w:lang w:val="en-US"/>
        </w:rPr>
        <w:t>Vaca</w:t>
      </w:r>
      <w:proofErr w:type="spellEnd"/>
      <w:r w:rsidRPr="00B71ACF">
        <w:rPr>
          <w:rFonts w:ascii="Times New Roman" w:hAnsi="Times New Roman" w:cs="Times New Roman"/>
          <w:sz w:val="20"/>
          <w:szCs w:val="20"/>
          <w:lang w:val="en-US"/>
        </w:rPr>
        <w:t xml:space="preserve"> </w:t>
      </w:r>
      <w:proofErr w:type="spellStart"/>
      <w:r w:rsidRPr="00B71ACF">
        <w:rPr>
          <w:rFonts w:ascii="Times New Roman" w:hAnsi="Times New Roman" w:cs="Times New Roman"/>
          <w:sz w:val="20"/>
          <w:szCs w:val="20"/>
          <w:lang w:val="en-US"/>
        </w:rPr>
        <w:t>Muerta</w:t>
      </w:r>
      <w:proofErr w:type="spellEnd"/>
      <w:r w:rsidRPr="00B71ACF">
        <w:rPr>
          <w:rFonts w:ascii="Times New Roman" w:hAnsi="Times New Roman" w:cs="Times New Roman"/>
          <w:sz w:val="20"/>
          <w:szCs w:val="20"/>
          <w:lang w:val="en-US"/>
        </w:rPr>
        <w:t xml:space="preserve"> Formation, the main source rock.</w:t>
      </w:r>
    </w:p>
    <w:p w14:paraId="7A54237B" w14:textId="49233472" w:rsidR="00156851" w:rsidRPr="00B71ACF" w:rsidRDefault="00702EB8" w:rsidP="008D4E49">
      <w:pPr>
        <w:rPr>
          <w:rFonts w:ascii="Times New Roman" w:hAnsi="Times New Roman" w:cs="Times New Roman"/>
          <w:sz w:val="20"/>
          <w:szCs w:val="20"/>
          <w:highlight w:val="cyan"/>
          <w:lang w:val="en-US"/>
        </w:rPr>
      </w:pPr>
      <w:r w:rsidRPr="00264306">
        <w:rPr>
          <w:rFonts w:ascii="Times New Roman" w:hAnsi="Times New Roman" w:cs="Times New Roman"/>
          <w:sz w:val="20"/>
          <w:szCs w:val="20"/>
          <w:lang w:val="en-US"/>
        </w:rPr>
        <w:t xml:space="preserve">With the sustained growth in oil and gas production from </w:t>
      </w:r>
      <w:proofErr w:type="spellStart"/>
      <w:r w:rsidRPr="00264306">
        <w:rPr>
          <w:rFonts w:ascii="Times New Roman" w:hAnsi="Times New Roman" w:cs="Times New Roman"/>
          <w:sz w:val="20"/>
          <w:szCs w:val="20"/>
          <w:lang w:val="en-US"/>
        </w:rPr>
        <w:t>Vaca</w:t>
      </w:r>
      <w:proofErr w:type="spellEnd"/>
      <w:r w:rsidRPr="00264306">
        <w:rPr>
          <w:rFonts w:ascii="Times New Roman" w:hAnsi="Times New Roman" w:cs="Times New Roman"/>
          <w:sz w:val="20"/>
          <w:szCs w:val="20"/>
          <w:lang w:val="en-US"/>
        </w:rPr>
        <w:t xml:space="preserve"> </w:t>
      </w:r>
      <w:proofErr w:type="spellStart"/>
      <w:r w:rsidRPr="00264306">
        <w:rPr>
          <w:rFonts w:ascii="Times New Roman" w:hAnsi="Times New Roman" w:cs="Times New Roman"/>
          <w:sz w:val="20"/>
          <w:szCs w:val="20"/>
          <w:lang w:val="en-US"/>
        </w:rPr>
        <w:t>Muerta</w:t>
      </w:r>
      <w:proofErr w:type="spellEnd"/>
      <w:r w:rsidRPr="00264306">
        <w:rPr>
          <w:rFonts w:ascii="Times New Roman" w:hAnsi="Times New Roman" w:cs="Times New Roman"/>
          <w:sz w:val="20"/>
          <w:szCs w:val="20"/>
          <w:lang w:val="en-US"/>
        </w:rPr>
        <w:t>, the generation of drilling cuttings has increased. According to National Law 24051, these cuttings are classified as hazardous waste and are the responsibility of the well owner who generates them.</w:t>
      </w:r>
      <w:r w:rsidR="00156851" w:rsidRPr="00B71ACF">
        <w:rPr>
          <w:rFonts w:ascii="Times New Roman" w:hAnsi="Times New Roman" w:cs="Times New Roman"/>
          <w:sz w:val="20"/>
          <w:szCs w:val="20"/>
          <w:lang w:val="en-US"/>
        </w:rPr>
        <w:t xml:space="preserve"> The volume of cuttings generated in drilling a well can vary between 1000 and 5000 m</w:t>
      </w:r>
      <w:r w:rsidR="00156851" w:rsidRPr="00B71ACF">
        <w:rPr>
          <w:rFonts w:ascii="Times New Roman" w:hAnsi="Times New Roman" w:cs="Times New Roman"/>
          <w:sz w:val="20"/>
          <w:szCs w:val="20"/>
          <w:vertAlign w:val="superscript"/>
          <w:lang w:val="en-US"/>
        </w:rPr>
        <w:t>3</w:t>
      </w:r>
      <w:r w:rsidR="00156851" w:rsidRPr="00B71ACF">
        <w:rPr>
          <w:rFonts w:ascii="Times New Roman" w:hAnsi="Times New Roman" w:cs="Times New Roman"/>
          <w:sz w:val="20"/>
          <w:szCs w:val="20"/>
          <w:lang w:val="en-US"/>
        </w:rPr>
        <w:t xml:space="preserve"> [</w:t>
      </w:r>
      <w:r w:rsidR="00E85675">
        <w:rPr>
          <w:rFonts w:ascii="Times New Roman" w:hAnsi="Times New Roman" w:cs="Times New Roman"/>
          <w:sz w:val="20"/>
          <w:szCs w:val="20"/>
          <w:lang w:val="en-US"/>
        </w:rPr>
        <w:t>3</w:t>
      </w:r>
      <w:r w:rsidR="00156851" w:rsidRPr="00B71ACF">
        <w:rPr>
          <w:rFonts w:ascii="Times New Roman" w:hAnsi="Times New Roman" w:cs="Times New Roman"/>
          <w:sz w:val="20"/>
          <w:szCs w:val="20"/>
          <w:lang w:val="en-US"/>
        </w:rPr>
        <w:t>]. This range depends, among other variables, primarily on the depth and diameter of the borehole, with a significant portion of the volume generated in the initial stages of the operation, where the diameter of the borehole is generally larger. Regarding their characteristics, the cuttings themselves are inert solids; however, as a result of interaction with drilling fluids, particularly those based on oil (OBDC: oil-based drill cuttings), they reach the surface impregnated with the hydrocarbon constituent of the mud. The tons of OBDC currently generated do not receive on-site treatment and must be transported by trucking companies to treatment plants located far from the wells.</w:t>
      </w:r>
    </w:p>
    <w:p w14:paraId="65531199" w14:textId="64FF59B8" w:rsidR="00156851" w:rsidRPr="00B71ACF" w:rsidRDefault="00156851" w:rsidP="008D4E49">
      <w:pPr>
        <w:rPr>
          <w:rFonts w:ascii="Times New Roman" w:hAnsi="Times New Roman" w:cs="Times New Roman"/>
          <w:sz w:val="20"/>
          <w:szCs w:val="20"/>
          <w:highlight w:val="cyan"/>
          <w:lang w:val="en-US"/>
        </w:rPr>
      </w:pPr>
      <w:r w:rsidRPr="00B71ACF">
        <w:rPr>
          <w:rFonts w:ascii="Times New Roman" w:hAnsi="Times New Roman" w:cs="Times New Roman"/>
          <w:sz w:val="20"/>
          <w:szCs w:val="20"/>
          <w:lang w:val="en-US"/>
        </w:rPr>
        <w:t>The provided context, along with the current paradigm of comprehensive waste management, which directly involves its minimization at the source, its valorization (recovery, reuse, and recycling), including energy recovery, and finally the implementation of disposal treatments, allows for the formulation of projects related to the cogeneration use of low-power reactors such as CAREM. On one hand, these projects can supply electrical power in oil and gas exploitation areas, and simultaneously, they can treat OBDC with valorization by obtaining value-added products such as liquids and gases enriched in H</w:t>
      </w:r>
      <w:r w:rsidRPr="00B71ACF">
        <w:rPr>
          <w:rFonts w:ascii="Times New Roman" w:hAnsi="Times New Roman" w:cs="Times New Roman"/>
          <w:sz w:val="20"/>
          <w:szCs w:val="20"/>
          <w:vertAlign w:val="subscript"/>
          <w:lang w:val="en-US"/>
        </w:rPr>
        <w:t>2</w:t>
      </w:r>
      <w:r w:rsidR="00AA738D" w:rsidRPr="00B71ACF">
        <w:rPr>
          <w:rFonts w:ascii="Times New Roman" w:hAnsi="Times New Roman" w:cs="Times New Roman"/>
          <w:sz w:val="20"/>
          <w:szCs w:val="20"/>
          <w:lang w:val="en-US"/>
        </w:rPr>
        <w:t>(g)</w:t>
      </w:r>
      <w:r w:rsidRPr="00B71ACF">
        <w:rPr>
          <w:rFonts w:ascii="Times New Roman" w:hAnsi="Times New Roman" w:cs="Times New Roman"/>
          <w:sz w:val="20"/>
          <w:szCs w:val="20"/>
          <w:lang w:val="en-US"/>
        </w:rPr>
        <w:t>, usable as energy vectors or as sources of species of high economic value (H</w:t>
      </w:r>
      <w:r w:rsidRPr="00B71ACF">
        <w:rPr>
          <w:rFonts w:ascii="Times New Roman" w:hAnsi="Times New Roman" w:cs="Times New Roman"/>
          <w:sz w:val="20"/>
          <w:szCs w:val="20"/>
          <w:vertAlign w:val="subscript"/>
          <w:lang w:val="en-US"/>
        </w:rPr>
        <w:t>2</w:t>
      </w:r>
      <w:r w:rsidR="00AA738D" w:rsidRPr="00B71ACF">
        <w:rPr>
          <w:rFonts w:ascii="Times New Roman" w:hAnsi="Times New Roman" w:cs="Times New Roman"/>
          <w:sz w:val="20"/>
          <w:szCs w:val="20"/>
          <w:lang w:val="en-US"/>
        </w:rPr>
        <w:t>(g)</w:t>
      </w:r>
      <w:r w:rsidRPr="00B71ACF">
        <w:rPr>
          <w:rFonts w:ascii="Times New Roman" w:hAnsi="Times New Roman" w:cs="Times New Roman"/>
          <w:sz w:val="20"/>
          <w:szCs w:val="20"/>
          <w:lang w:val="en-US"/>
        </w:rPr>
        <w:t>). Additionally, a solid product suitable for final disposal in dry soil (</w:t>
      </w:r>
      <w:r w:rsidR="00264306" w:rsidRPr="00264306">
        <w:rPr>
          <w:rFonts w:ascii="Times New Roman" w:hAnsi="Times New Roman" w:cs="Times New Roman"/>
          <w:sz w:val="20"/>
          <w:szCs w:val="20"/>
          <w:lang w:val="en-US"/>
        </w:rPr>
        <w:t xml:space="preserve">total petroleum hydrocarbons </w:t>
      </w:r>
      <w:r w:rsidR="00264306">
        <w:rPr>
          <w:rFonts w:ascii="Times New Roman" w:hAnsi="Times New Roman" w:cs="Times New Roman"/>
          <w:sz w:val="20"/>
          <w:szCs w:val="20"/>
          <w:lang w:val="en-US"/>
        </w:rPr>
        <w:t>TPH</w:t>
      </w:r>
      <w:r w:rsidRPr="00B71ACF">
        <w:rPr>
          <w:rFonts w:ascii="Times New Roman" w:hAnsi="Times New Roman" w:cs="Times New Roman"/>
          <w:sz w:val="20"/>
          <w:szCs w:val="20"/>
          <w:lang w:val="en-US"/>
        </w:rPr>
        <w:t>&lt;10,000 ppm) in accordance with the regulations established in the local province of Neuquén (</w:t>
      </w:r>
      <w:r w:rsidR="00BA0C06" w:rsidRPr="00B71ACF">
        <w:rPr>
          <w:rFonts w:ascii="Times New Roman" w:hAnsi="Times New Roman" w:cs="Times New Roman"/>
          <w:sz w:val="20"/>
          <w:szCs w:val="20"/>
          <w:lang w:val="en-US"/>
        </w:rPr>
        <w:t>Resolution</w:t>
      </w:r>
      <w:r w:rsidRPr="00B71ACF">
        <w:rPr>
          <w:rFonts w:ascii="Times New Roman" w:hAnsi="Times New Roman" w:cs="Times New Roman"/>
          <w:sz w:val="20"/>
          <w:szCs w:val="20"/>
          <w:lang w:val="en-US"/>
        </w:rPr>
        <w:t xml:space="preserve"> (SSMA) 759/09, 2019, Neuquén) can also be obtained.</w:t>
      </w:r>
    </w:p>
    <w:p w14:paraId="275AE5F6" w14:textId="70BC5204" w:rsidR="0054722C" w:rsidRPr="00967CD5" w:rsidRDefault="005211E9" w:rsidP="00401C39">
      <w:pPr>
        <w:pStyle w:val="Prrafodelista"/>
        <w:numPr>
          <w:ilvl w:val="0"/>
          <w:numId w:val="1"/>
        </w:numPr>
        <w:spacing w:before="100" w:beforeAutospacing="1" w:after="100" w:afterAutospacing="1" w:line="280" w:lineRule="atLeast"/>
        <w:ind w:left="0" w:firstLine="0"/>
        <w:rPr>
          <w:rFonts w:ascii="Times New Roman" w:hAnsi="Times New Roman" w:cs="Times New Roman"/>
          <w:bCs/>
          <w:sz w:val="20"/>
          <w:szCs w:val="20"/>
          <w:lang w:val="en-US"/>
        </w:rPr>
      </w:pPr>
      <w:r w:rsidRPr="00967CD5">
        <w:rPr>
          <w:rFonts w:ascii="Times New Roman" w:hAnsi="Times New Roman" w:cs="Times New Roman"/>
          <w:bCs/>
          <w:sz w:val="20"/>
          <w:szCs w:val="20"/>
          <w:lang w:val="en-US"/>
        </w:rPr>
        <w:t>MATERIALS AND METHODS</w:t>
      </w:r>
    </w:p>
    <w:p w14:paraId="476421B1" w14:textId="23717437" w:rsidR="00405316" w:rsidRPr="00B71ACF" w:rsidRDefault="008D4E49" w:rsidP="008D4E49">
      <w:pPr>
        <w:pStyle w:val="Prrafodelista"/>
        <w:numPr>
          <w:ilvl w:val="1"/>
          <w:numId w:val="1"/>
        </w:numPr>
        <w:spacing w:before="240" w:after="240" w:line="240" w:lineRule="exact"/>
        <w:ind w:left="0" w:firstLine="0"/>
        <w:contextualSpacing w:val="0"/>
        <w:jc w:val="left"/>
        <w:rPr>
          <w:rFonts w:ascii="Times New Roman" w:hAnsi="Times New Roman" w:cs="Times New Roman"/>
          <w:b/>
          <w:bCs/>
          <w:sz w:val="20"/>
          <w:szCs w:val="20"/>
          <w:lang w:val="en-US"/>
        </w:rPr>
      </w:pPr>
      <w:r w:rsidRPr="00B71ACF">
        <w:rPr>
          <w:rFonts w:ascii="Times New Roman" w:hAnsi="Times New Roman" w:cs="Times New Roman"/>
          <w:b/>
          <w:bCs/>
          <w:sz w:val="20"/>
          <w:szCs w:val="20"/>
          <w:lang w:val="en-US"/>
        </w:rPr>
        <w:t xml:space="preserve">Materials: </w:t>
      </w:r>
      <w:r w:rsidR="005211E9" w:rsidRPr="00B71ACF">
        <w:rPr>
          <w:rFonts w:ascii="Times New Roman" w:hAnsi="Times New Roman" w:cs="Times New Roman"/>
          <w:b/>
          <w:bCs/>
          <w:sz w:val="20"/>
          <w:szCs w:val="20"/>
          <w:lang w:val="en-US"/>
        </w:rPr>
        <w:t xml:space="preserve">Oil based </w:t>
      </w:r>
      <w:proofErr w:type="spellStart"/>
      <w:r w:rsidR="005211E9" w:rsidRPr="00B71ACF">
        <w:rPr>
          <w:rFonts w:ascii="Times New Roman" w:hAnsi="Times New Roman" w:cs="Times New Roman"/>
          <w:b/>
          <w:bCs/>
          <w:sz w:val="20"/>
          <w:szCs w:val="20"/>
          <w:lang w:val="en-US"/>
        </w:rPr>
        <w:t>dril</w:t>
      </w:r>
      <w:proofErr w:type="spellEnd"/>
      <w:r w:rsidR="005211E9" w:rsidRPr="00B71ACF">
        <w:rPr>
          <w:rFonts w:ascii="Times New Roman" w:hAnsi="Times New Roman" w:cs="Times New Roman"/>
          <w:b/>
          <w:bCs/>
          <w:sz w:val="20"/>
          <w:szCs w:val="20"/>
          <w:lang w:val="en-US"/>
        </w:rPr>
        <w:t xml:space="preserve"> cuttings</w:t>
      </w:r>
    </w:p>
    <w:p w14:paraId="520E1571" w14:textId="4ACE9F43" w:rsidR="00405316" w:rsidRPr="00B71ACF" w:rsidRDefault="00405316" w:rsidP="008D4E49">
      <w:pPr>
        <w:rPr>
          <w:rFonts w:ascii="Times New Roman" w:hAnsi="Times New Roman" w:cs="Times New Roman"/>
          <w:sz w:val="20"/>
          <w:szCs w:val="20"/>
          <w:lang w:val="en-US"/>
        </w:rPr>
      </w:pPr>
      <w:r w:rsidRPr="00B71ACF">
        <w:rPr>
          <w:rFonts w:ascii="Times New Roman" w:hAnsi="Times New Roman" w:cs="Times New Roman"/>
          <w:sz w:val="20"/>
          <w:szCs w:val="20"/>
          <w:lang w:val="en-US"/>
        </w:rPr>
        <w:t xml:space="preserve">The OBDCs belong to the </w:t>
      </w:r>
      <w:proofErr w:type="spellStart"/>
      <w:r w:rsidRPr="00B71ACF">
        <w:rPr>
          <w:rFonts w:ascii="Times New Roman" w:hAnsi="Times New Roman" w:cs="Times New Roman"/>
          <w:sz w:val="20"/>
          <w:szCs w:val="20"/>
          <w:lang w:val="en-US"/>
        </w:rPr>
        <w:t>Fortín</w:t>
      </w:r>
      <w:proofErr w:type="spellEnd"/>
      <w:r w:rsidRPr="00B71ACF">
        <w:rPr>
          <w:rFonts w:ascii="Times New Roman" w:hAnsi="Times New Roman" w:cs="Times New Roman"/>
          <w:sz w:val="20"/>
          <w:szCs w:val="20"/>
          <w:lang w:val="en-US"/>
        </w:rPr>
        <w:t xml:space="preserve"> de </w:t>
      </w:r>
      <w:proofErr w:type="spellStart"/>
      <w:r w:rsidRPr="00B71ACF">
        <w:rPr>
          <w:rFonts w:ascii="Times New Roman" w:hAnsi="Times New Roman" w:cs="Times New Roman"/>
          <w:sz w:val="20"/>
          <w:szCs w:val="20"/>
          <w:lang w:val="en-US"/>
        </w:rPr>
        <w:t>Piedra</w:t>
      </w:r>
      <w:proofErr w:type="spellEnd"/>
      <w:r w:rsidRPr="00B71ACF">
        <w:rPr>
          <w:rFonts w:ascii="Times New Roman" w:hAnsi="Times New Roman" w:cs="Times New Roman"/>
          <w:sz w:val="20"/>
          <w:szCs w:val="20"/>
          <w:lang w:val="en-US"/>
        </w:rPr>
        <w:t xml:space="preserve"> shale reservoir, located in the </w:t>
      </w:r>
      <w:proofErr w:type="spellStart"/>
      <w:r w:rsidRPr="00B71ACF">
        <w:rPr>
          <w:rFonts w:ascii="Times New Roman" w:hAnsi="Times New Roman" w:cs="Times New Roman"/>
          <w:sz w:val="20"/>
          <w:szCs w:val="20"/>
          <w:lang w:val="en-US"/>
        </w:rPr>
        <w:t>Vaca</w:t>
      </w:r>
      <w:proofErr w:type="spellEnd"/>
      <w:r w:rsidRPr="00B71ACF">
        <w:rPr>
          <w:rFonts w:ascii="Times New Roman" w:hAnsi="Times New Roman" w:cs="Times New Roman"/>
          <w:sz w:val="20"/>
          <w:szCs w:val="20"/>
          <w:lang w:val="en-US"/>
        </w:rPr>
        <w:t xml:space="preserve"> </w:t>
      </w:r>
      <w:proofErr w:type="spellStart"/>
      <w:r w:rsidRPr="00B71ACF">
        <w:rPr>
          <w:rFonts w:ascii="Times New Roman" w:hAnsi="Times New Roman" w:cs="Times New Roman"/>
          <w:sz w:val="20"/>
          <w:szCs w:val="20"/>
          <w:lang w:val="en-US"/>
        </w:rPr>
        <w:t>Muerta</w:t>
      </w:r>
      <w:proofErr w:type="spellEnd"/>
      <w:r w:rsidRPr="00B71ACF">
        <w:rPr>
          <w:rFonts w:ascii="Times New Roman" w:hAnsi="Times New Roman" w:cs="Times New Roman"/>
          <w:sz w:val="20"/>
          <w:szCs w:val="20"/>
          <w:lang w:val="en-US"/>
        </w:rPr>
        <w:t xml:space="preserve"> geological formation area, in the province of Neuquén. More specifically, the residues used belong to the </w:t>
      </w:r>
      <w:proofErr w:type="spellStart"/>
      <w:r w:rsidRPr="00B71ACF">
        <w:rPr>
          <w:rFonts w:ascii="Times New Roman" w:hAnsi="Times New Roman" w:cs="Times New Roman"/>
          <w:sz w:val="20"/>
          <w:szCs w:val="20"/>
          <w:lang w:val="en-US"/>
        </w:rPr>
        <w:t>Rayoso</w:t>
      </w:r>
      <w:proofErr w:type="spellEnd"/>
      <w:r w:rsidRPr="00B71ACF">
        <w:rPr>
          <w:rFonts w:ascii="Times New Roman" w:hAnsi="Times New Roman" w:cs="Times New Roman"/>
          <w:sz w:val="20"/>
          <w:szCs w:val="20"/>
          <w:lang w:val="en-US"/>
        </w:rPr>
        <w:t xml:space="preserve"> and </w:t>
      </w:r>
      <w:proofErr w:type="spellStart"/>
      <w:r w:rsidRPr="00B71ACF">
        <w:rPr>
          <w:rFonts w:ascii="Times New Roman" w:hAnsi="Times New Roman" w:cs="Times New Roman"/>
          <w:sz w:val="20"/>
          <w:szCs w:val="20"/>
          <w:lang w:val="en-US"/>
        </w:rPr>
        <w:t>Centenario</w:t>
      </w:r>
      <w:proofErr w:type="spellEnd"/>
      <w:r w:rsidRPr="00B71ACF">
        <w:rPr>
          <w:rFonts w:ascii="Times New Roman" w:hAnsi="Times New Roman" w:cs="Times New Roman"/>
          <w:sz w:val="20"/>
          <w:szCs w:val="20"/>
          <w:lang w:val="en-US"/>
        </w:rPr>
        <w:t xml:space="preserve"> geological formations. In table </w:t>
      </w:r>
      <w:r w:rsidR="004B002B">
        <w:rPr>
          <w:rFonts w:ascii="Times New Roman" w:hAnsi="Times New Roman" w:cs="Times New Roman"/>
          <w:sz w:val="20"/>
          <w:szCs w:val="20"/>
          <w:lang w:val="en-US"/>
        </w:rPr>
        <w:t>1</w:t>
      </w:r>
      <w:r w:rsidRPr="00B71ACF">
        <w:rPr>
          <w:rFonts w:ascii="Times New Roman" w:hAnsi="Times New Roman" w:cs="Times New Roman"/>
          <w:sz w:val="20"/>
          <w:szCs w:val="20"/>
          <w:lang w:val="en-US"/>
        </w:rPr>
        <w:t xml:space="preserve">, OBDC-1 corresponds to residues from the </w:t>
      </w:r>
      <w:proofErr w:type="spellStart"/>
      <w:r w:rsidRPr="00B71ACF">
        <w:rPr>
          <w:rFonts w:ascii="Times New Roman" w:hAnsi="Times New Roman" w:cs="Times New Roman"/>
          <w:sz w:val="20"/>
          <w:szCs w:val="20"/>
          <w:lang w:val="en-US"/>
        </w:rPr>
        <w:t>Rayoso</w:t>
      </w:r>
      <w:proofErr w:type="spellEnd"/>
      <w:r w:rsidRPr="00B71ACF">
        <w:rPr>
          <w:rFonts w:ascii="Times New Roman" w:hAnsi="Times New Roman" w:cs="Times New Roman"/>
          <w:sz w:val="20"/>
          <w:szCs w:val="20"/>
          <w:lang w:val="en-US"/>
        </w:rPr>
        <w:t xml:space="preserve"> Formation, extracted at 800 m below the Earth's surface. On the other hand, OBDC-2 and OBDC-3 refer to residues from the </w:t>
      </w:r>
      <w:proofErr w:type="spellStart"/>
      <w:r w:rsidRPr="00B71ACF">
        <w:rPr>
          <w:rFonts w:ascii="Times New Roman" w:hAnsi="Times New Roman" w:cs="Times New Roman"/>
          <w:sz w:val="20"/>
          <w:szCs w:val="20"/>
          <w:lang w:val="en-US"/>
        </w:rPr>
        <w:t>Centenario</w:t>
      </w:r>
      <w:proofErr w:type="spellEnd"/>
      <w:r w:rsidRPr="00B71ACF">
        <w:rPr>
          <w:rFonts w:ascii="Times New Roman" w:hAnsi="Times New Roman" w:cs="Times New Roman"/>
          <w:sz w:val="20"/>
          <w:szCs w:val="20"/>
          <w:lang w:val="en-US"/>
        </w:rPr>
        <w:t xml:space="preserve"> Formation, extracted at 1100</w:t>
      </w:r>
      <w:r w:rsidR="00AA738D"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m and 1300</w:t>
      </w:r>
      <w:r w:rsidR="00AA738D"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m, respectively.</w:t>
      </w:r>
    </w:p>
    <w:p w14:paraId="10995B40" w14:textId="113C31BD" w:rsidR="00405316" w:rsidRPr="00B71ACF" w:rsidRDefault="00204EEB" w:rsidP="00393431">
      <w:pPr>
        <w:rPr>
          <w:rFonts w:ascii="Times New Roman" w:hAnsi="Times New Roman" w:cs="Times New Roman"/>
          <w:sz w:val="20"/>
          <w:szCs w:val="20"/>
          <w:lang w:val="en-US"/>
        </w:rPr>
      </w:pPr>
      <w:r w:rsidRPr="00DD7656">
        <w:rPr>
          <w:rFonts w:ascii="Times New Roman" w:hAnsi="Times New Roman" w:cs="Times New Roman"/>
          <w:sz w:val="20"/>
          <w:szCs w:val="20"/>
          <w:lang w:val="en-US"/>
        </w:rPr>
        <w:t>OBDCs were characterized through proximate and ultimate analysis</w:t>
      </w:r>
      <w:r w:rsidR="00405316" w:rsidRPr="00DD7656">
        <w:rPr>
          <w:rFonts w:ascii="Times New Roman" w:hAnsi="Times New Roman" w:cs="Times New Roman"/>
          <w:sz w:val="20"/>
          <w:szCs w:val="20"/>
          <w:lang w:val="en-US"/>
        </w:rPr>
        <w:t xml:space="preserve">. Each analysis was performed in </w:t>
      </w:r>
      <w:r w:rsidR="00405316" w:rsidRPr="002340DB">
        <w:rPr>
          <w:rFonts w:ascii="Times New Roman" w:hAnsi="Times New Roman" w:cs="Times New Roman"/>
          <w:sz w:val="20"/>
          <w:szCs w:val="20"/>
          <w:lang w:val="en-US"/>
        </w:rPr>
        <w:t>triplicate. The water content of OBDC</w:t>
      </w:r>
      <w:r w:rsidR="005D7D66" w:rsidRPr="002340DB">
        <w:rPr>
          <w:rFonts w:ascii="Times New Roman" w:hAnsi="Times New Roman" w:cs="Times New Roman"/>
          <w:sz w:val="20"/>
          <w:szCs w:val="20"/>
          <w:lang w:val="en-US"/>
        </w:rPr>
        <w:t xml:space="preserve"> (</w:t>
      </w:r>
      <w:r w:rsidR="00460A1E" w:rsidRPr="002340DB">
        <w:rPr>
          <w:rFonts w:ascii="Times New Roman" w:hAnsi="Times New Roman" w:cs="Times New Roman"/>
          <w:sz w:val="20"/>
          <w:szCs w:val="20"/>
          <w:lang w:val="en-US"/>
        </w:rPr>
        <w:t>labeled as "moisture" in Table 1</w:t>
      </w:r>
      <w:r w:rsidR="005D7D66" w:rsidRPr="002340DB">
        <w:rPr>
          <w:rFonts w:ascii="Times New Roman" w:hAnsi="Times New Roman" w:cs="Times New Roman"/>
          <w:sz w:val="20"/>
          <w:szCs w:val="20"/>
          <w:lang w:val="en-US"/>
        </w:rPr>
        <w:t>)</w:t>
      </w:r>
      <w:r w:rsidR="00405316" w:rsidRPr="002340DB">
        <w:rPr>
          <w:rFonts w:ascii="Times New Roman" w:hAnsi="Times New Roman" w:cs="Times New Roman"/>
          <w:sz w:val="20"/>
          <w:szCs w:val="20"/>
          <w:lang w:val="en-US"/>
        </w:rPr>
        <w:t xml:space="preserve"> was determined through </w:t>
      </w:r>
      <w:proofErr w:type="spellStart"/>
      <w:r w:rsidR="00405316" w:rsidRPr="002340DB">
        <w:rPr>
          <w:rFonts w:ascii="Times New Roman" w:hAnsi="Times New Roman" w:cs="Times New Roman"/>
          <w:sz w:val="20"/>
          <w:szCs w:val="20"/>
          <w:lang w:val="en-US"/>
        </w:rPr>
        <w:t>azeotropic</w:t>
      </w:r>
      <w:proofErr w:type="spellEnd"/>
      <w:r w:rsidR="00405316" w:rsidRPr="002340DB">
        <w:rPr>
          <w:rFonts w:ascii="Times New Roman" w:hAnsi="Times New Roman" w:cs="Times New Roman"/>
          <w:sz w:val="20"/>
          <w:szCs w:val="20"/>
          <w:lang w:val="en-US"/>
        </w:rPr>
        <w:t xml:space="preserve"> distillation using the Dean-Stark method (ASTM-D95)</w:t>
      </w:r>
      <w:r w:rsidR="00300041" w:rsidRPr="002340DB">
        <w:rPr>
          <w:rFonts w:ascii="Times New Roman" w:hAnsi="Times New Roman" w:cs="Times New Roman"/>
          <w:sz w:val="20"/>
          <w:szCs w:val="20"/>
          <w:lang w:val="en-US"/>
        </w:rPr>
        <w:t>. The ash content, defined as the fraction of the material that remains as inorganic residue after subjecting it to a high-temperature combustion process, was determined by incinerating the sample according to the ASTM D2974-20e01 (B) standard.</w:t>
      </w:r>
      <w:r w:rsidR="00393431" w:rsidRPr="002340DB">
        <w:rPr>
          <w:rFonts w:ascii="Times New Roman" w:hAnsi="Times New Roman" w:cs="Times New Roman"/>
          <w:sz w:val="20"/>
          <w:szCs w:val="20"/>
          <w:lang w:val="en-US"/>
        </w:rPr>
        <w:t xml:space="preserve"> </w:t>
      </w:r>
      <w:r w:rsidR="005E7C09" w:rsidRPr="002340DB">
        <w:rPr>
          <w:rFonts w:ascii="Times New Roman" w:hAnsi="Times New Roman" w:cs="Times New Roman"/>
          <w:sz w:val="20"/>
          <w:szCs w:val="20"/>
          <w:lang w:val="en-US"/>
        </w:rPr>
        <w:t>To determine the volatile matter content in the OBDC (labeled as 'volatile' in Table 1), the sample was heated to 950 °C in an inert atmosphere, in accordance with ASTM D3175. Finally, the volatile matter percentage is obtained from the percentage weight loss during the test minus the moisture percentage.</w:t>
      </w:r>
      <w:r w:rsidR="005E7C09" w:rsidRPr="002340DB">
        <w:rPr>
          <w:lang w:val="en-US"/>
        </w:rPr>
        <w:t xml:space="preserve"> </w:t>
      </w:r>
      <w:r w:rsidR="005E7C09" w:rsidRPr="002340DB">
        <w:rPr>
          <w:rFonts w:ascii="Times New Roman" w:hAnsi="Times New Roman" w:cs="Times New Roman"/>
          <w:sz w:val="20"/>
          <w:szCs w:val="20"/>
          <w:lang w:val="en-US"/>
        </w:rPr>
        <w:t xml:space="preserve">The fixed carbon value is calculated as the difference between 100 and the sum of the percent moisture, ash, and volatile matter. </w:t>
      </w:r>
      <w:r w:rsidRPr="002340DB">
        <w:rPr>
          <w:rFonts w:ascii="Times New Roman" w:hAnsi="Times New Roman" w:cs="Times New Roman"/>
          <w:sz w:val="20"/>
          <w:szCs w:val="20"/>
          <w:lang w:val="en-US"/>
        </w:rPr>
        <w:t>The oil fraction in the samples was determined by</w:t>
      </w:r>
      <w:r w:rsidRPr="00DD7656">
        <w:rPr>
          <w:rFonts w:ascii="Times New Roman" w:hAnsi="Times New Roman" w:cs="Times New Roman"/>
          <w:sz w:val="20"/>
          <w:szCs w:val="20"/>
          <w:lang w:val="en-US"/>
        </w:rPr>
        <w:t xml:space="preserve"> </w:t>
      </w:r>
      <w:proofErr w:type="spellStart"/>
      <w:r w:rsidRPr="00DD7656">
        <w:rPr>
          <w:rFonts w:ascii="Times New Roman" w:hAnsi="Times New Roman" w:cs="Times New Roman"/>
          <w:sz w:val="20"/>
          <w:szCs w:val="20"/>
          <w:lang w:val="en-US"/>
        </w:rPr>
        <w:t>Soxhlet</w:t>
      </w:r>
      <w:proofErr w:type="spellEnd"/>
      <w:r w:rsidRPr="00DD7656">
        <w:rPr>
          <w:rFonts w:ascii="Times New Roman" w:hAnsi="Times New Roman" w:cs="Times New Roman"/>
          <w:sz w:val="20"/>
          <w:szCs w:val="20"/>
          <w:lang w:val="en-US"/>
        </w:rPr>
        <w:t xml:space="preserve"> extraction using an acetone-hexane mixture (1:1, v/v), following the procedures established in EPA methods 3540 C</w:t>
      </w:r>
      <w:r w:rsidR="00DD7656" w:rsidRPr="00DD7656">
        <w:rPr>
          <w:rFonts w:ascii="Times New Roman" w:hAnsi="Times New Roman" w:cs="Times New Roman"/>
          <w:sz w:val="20"/>
          <w:szCs w:val="20"/>
          <w:lang w:val="en-US"/>
        </w:rPr>
        <w:t xml:space="preserve"> [4]</w:t>
      </w:r>
      <w:r w:rsidRPr="00DD7656">
        <w:rPr>
          <w:rFonts w:ascii="Times New Roman" w:hAnsi="Times New Roman" w:cs="Times New Roman"/>
          <w:sz w:val="20"/>
          <w:szCs w:val="20"/>
          <w:lang w:val="en-US"/>
        </w:rPr>
        <w:t xml:space="preserve"> and 9071b</w:t>
      </w:r>
      <w:r w:rsidR="00DD7656" w:rsidRPr="00DD7656">
        <w:rPr>
          <w:rFonts w:ascii="Times New Roman" w:hAnsi="Times New Roman" w:cs="Times New Roman"/>
          <w:sz w:val="20"/>
          <w:szCs w:val="20"/>
          <w:lang w:val="en-US"/>
        </w:rPr>
        <w:t xml:space="preserve"> [5]</w:t>
      </w:r>
      <w:r w:rsidRPr="00DD7656">
        <w:rPr>
          <w:rFonts w:ascii="Times New Roman" w:hAnsi="Times New Roman" w:cs="Times New Roman"/>
          <w:sz w:val="20"/>
          <w:szCs w:val="20"/>
          <w:lang w:val="en-US"/>
        </w:rPr>
        <w:t>.</w:t>
      </w:r>
      <w:r w:rsidR="00F02DAB" w:rsidRPr="00B71ACF">
        <w:rPr>
          <w:rFonts w:ascii="Times New Roman" w:hAnsi="Times New Roman" w:cs="Times New Roman"/>
          <w:sz w:val="20"/>
          <w:szCs w:val="20"/>
          <w:lang w:val="en-US"/>
        </w:rPr>
        <w:t xml:space="preserve"> </w:t>
      </w:r>
    </w:p>
    <w:p w14:paraId="0153727D" w14:textId="31B47413" w:rsidR="00D669EA" w:rsidRPr="00B71ACF" w:rsidRDefault="00405316" w:rsidP="008D4E49">
      <w:pPr>
        <w:rPr>
          <w:rFonts w:ascii="Times New Roman" w:hAnsi="Times New Roman" w:cs="Times New Roman"/>
          <w:sz w:val="20"/>
          <w:szCs w:val="20"/>
          <w:lang w:val="en-US"/>
        </w:rPr>
      </w:pPr>
      <w:r w:rsidRPr="00B71ACF">
        <w:rPr>
          <w:rFonts w:ascii="Times New Roman" w:hAnsi="Times New Roman" w:cs="Times New Roman"/>
          <w:sz w:val="20"/>
          <w:szCs w:val="20"/>
          <w:lang w:val="en-US"/>
        </w:rPr>
        <w:t xml:space="preserve">The determination of carbon, hydrogen, and nitrogen content was performed using a Carlo </w:t>
      </w:r>
      <w:proofErr w:type="spellStart"/>
      <w:r w:rsidRPr="00B71ACF">
        <w:rPr>
          <w:rFonts w:ascii="Times New Roman" w:hAnsi="Times New Roman" w:cs="Times New Roman"/>
          <w:sz w:val="20"/>
          <w:szCs w:val="20"/>
          <w:lang w:val="en-US"/>
        </w:rPr>
        <w:t>Erba-Fisons</w:t>
      </w:r>
      <w:proofErr w:type="spellEnd"/>
      <w:r w:rsidRPr="00B71ACF">
        <w:rPr>
          <w:rFonts w:ascii="Times New Roman" w:hAnsi="Times New Roman" w:cs="Times New Roman"/>
          <w:sz w:val="20"/>
          <w:szCs w:val="20"/>
          <w:lang w:val="en-US"/>
        </w:rPr>
        <w:t xml:space="preserve"> EA 1108 - CHNS-O Automatic Elemental Analyzer, using 2,5-Bis(-tert-butyl-benzoxazol-2-yl)-</w:t>
      </w:r>
      <w:proofErr w:type="spellStart"/>
      <w:r w:rsidRPr="00B71ACF">
        <w:rPr>
          <w:rFonts w:ascii="Times New Roman" w:hAnsi="Times New Roman" w:cs="Times New Roman"/>
          <w:sz w:val="20"/>
          <w:szCs w:val="20"/>
          <w:lang w:val="en-US"/>
        </w:rPr>
        <w:t>thiophen</w:t>
      </w:r>
      <w:proofErr w:type="spellEnd"/>
      <w:r w:rsidRPr="00B71ACF">
        <w:rPr>
          <w:rFonts w:ascii="Times New Roman" w:hAnsi="Times New Roman" w:cs="Times New Roman"/>
          <w:sz w:val="20"/>
          <w:szCs w:val="20"/>
          <w:lang w:val="en-US"/>
        </w:rPr>
        <w:t xml:space="preserve">, commonly known as BBOT, as the standard, according </w:t>
      </w:r>
      <w:r w:rsidRPr="00EE10B0">
        <w:rPr>
          <w:rFonts w:ascii="Times New Roman" w:hAnsi="Times New Roman" w:cs="Times New Roman"/>
          <w:sz w:val="20"/>
          <w:szCs w:val="20"/>
          <w:lang w:val="en-US"/>
        </w:rPr>
        <w:t>to ASTM D5373 standard</w:t>
      </w:r>
      <w:r w:rsidR="00DD7656" w:rsidRPr="00EE10B0">
        <w:rPr>
          <w:rFonts w:ascii="Times New Roman" w:hAnsi="Times New Roman" w:cs="Times New Roman"/>
          <w:sz w:val="20"/>
          <w:szCs w:val="20"/>
          <w:lang w:val="en-US"/>
        </w:rPr>
        <w:t xml:space="preserve"> [</w:t>
      </w:r>
      <w:r w:rsidR="004B0097" w:rsidRPr="00EE10B0">
        <w:rPr>
          <w:rFonts w:ascii="Times New Roman" w:hAnsi="Times New Roman" w:cs="Times New Roman"/>
          <w:sz w:val="20"/>
          <w:szCs w:val="20"/>
          <w:lang w:val="en-US"/>
        </w:rPr>
        <w:t>6</w:t>
      </w:r>
      <w:r w:rsidR="00DD7656" w:rsidRPr="00EE10B0">
        <w:rPr>
          <w:rFonts w:ascii="Times New Roman" w:hAnsi="Times New Roman" w:cs="Times New Roman"/>
          <w:sz w:val="20"/>
          <w:szCs w:val="20"/>
          <w:lang w:val="en-US"/>
        </w:rPr>
        <w:t>]</w:t>
      </w:r>
      <w:r w:rsidRPr="00EE10B0">
        <w:rPr>
          <w:rFonts w:ascii="Times New Roman" w:hAnsi="Times New Roman" w:cs="Times New Roman"/>
          <w:sz w:val="20"/>
          <w:szCs w:val="20"/>
          <w:lang w:val="en-US"/>
        </w:rPr>
        <w:t>. Then</w:t>
      </w:r>
      <w:r w:rsidRPr="00B71ACF">
        <w:rPr>
          <w:rFonts w:ascii="Times New Roman" w:hAnsi="Times New Roman" w:cs="Times New Roman"/>
          <w:sz w:val="20"/>
          <w:szCs w:val="20"/>
          <w:lang w:val="en-US"/>
        </w:rPr>
        <w:t xml:space="preserve">, Oxygen (O) + ASH content was calculated by difference. The summary of results is shown in Table </w:t>
      </w:r>
      <w:r w:rsidR="008148B9" w:rsidRPr="00B71ACF">
        <w:rPr>
          <w:rFonts w:ascii="Times New Roman" w:hAnsi="Times New Roman" w:cs="Times New Roman"/>
          <w:sz w:val="20"/>
          <w:szCs w:val="20"/>
          <w:lang w:val="en-US"/>
        </w:rPr>
        <w:t>1</w:t>
      </w:r>
      <w:r w:rsidRPr="00B71ACF">
        <w:rPr>
          <w:rFonts w:ascii="Times New Roman" w:hAnsi="Times New Roman" w:cs="Times New Roman"/>
          <w:sz w:val="20"/>
          <w:szCs w:val="20"/>
          <w:lang w:val="en-US"/>
        </w:rPr>
        <w:t>.</w:t>
      </w:r>
    </w:p>
    <w:p w14:paraId="2CC77145" w14:textId="7827780F" w:rsidR="004B002B" w:rsidRPr="00B71ACF" w:rsidRDefault="004B002B" w:rsidP="004B002B">
      <w:pPr>
        <w:rPr>
          <w:rFonts w:ascii="Times New Roman" w:hAnsi="Times New Roman" w:cs="Times New Roman"/>
          <w:sz w:val="20"/>
          <w:szCs w:val="20"/>
          <w:lang w:val="en-US"/>
        </w:rPr>
      </w:pPr>
      <w:r w:rsidRPr="00B71ACF">
        <w:rPr>
          <w:rFonts w:ascii="Times New Roman" w:hAnsi="Times New Roman" w:cs="Times New Roman"/>
          <w:sz w:val="20"/>
          <w:szCs w:val="20"/>
          <w:lang w:val="en-US"/>
        </w:rPr>
        <w:t>The ashes were characterized using powder X-ray diffraction (PXRD). The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diffractograms</w:t>
      </w:r>
      <w:proofErr w:type="spellEnd"/>
      <w:r w:rsidRPr="00B71ACF">
        <w:rPr>
          <w:rFonts w:ascii="Times New Roman" w:hAnsi="Times New Roman" w:cs="Times New Roman"/>
          <w:sz w:val="20"/>
          <w:szCs w:val="20"/>
          <w:lang w:val="en-US"/>
        </w:rPr>
        <w:t xml:space="preserve"> of OBDC-1</w:t>
      </w:r>
      <w:r>
        <w:rPr>
          <w:rFonts w:ascii="Times New Roman" w:hAnsi="Times New Roman" w:cs="Times New Roman"/>
          <w:sz w:val="20"/>
          <w:szCs w:val="20"/>
          <w:lang w:val="en-US"/>
        </w:rPr>
        <w:t>-3</w:t>
      </w:r>
      <w:r w:rsidRPr="00B71ACF">
        <w:rPr>
          <w:rFonts w:ascii="Times New Roman" w:hAnsi="Times New Roman" w:cs="Times New Roman"/>
          <w:sz w:val="20"/>
          <w:szCs w:val="20"/>
          <w:lang w:val="en-US"/>
        </w:rPr>
        <w:t xml:space="preserve"> ashes were recorded at room temperature on a BRUKER D8 Advance diffractometer with Bragg-Brentano θ/θ </w:t>
      </w:r>
      <w:r w:rsidRPr="00B71ACF">
        <w:rPr>
          <w:rFonts w:ascii="Times New Roman" w:hAnsi="Times New Roman" w:cs="Times New Roman"/>
          <w:sz w:val="20"/>
          <w:szCs w:val="20"/>
          <w:lang w:val="en-US"/>
        </w:rPr>
        <w:lastRenderedPageBreak/>
        <w:t xml:space="preserve">geometry and Cu Kα1 + Kα2 radiation (40 kV, 30 mA) in the 2θ range 5°–90° in steps of 0.02° and with a collection time of 2 s/step. Patterns were analyzed according to standard </w:t>
      </w:r>
      <w:r w:rsidRPr="00EE10B0">
        <w:rPr>
          <w:rFonts w:ascii="Times New Roman" w:hAnsi="Times New Roman" w:cs="Times New Roman"/>
          <w:sz w:val="20"/>
          <w:szCs w:val="20"/>
          <w:lang w:val="en-US"/>
        </w:rPr>
        <w:t>procedures</w:t>
      </w:r>
      <w:r w:rsidR="004B0097" w:rsidRPr="00EE10B0">
        <w:rPr>
          <w:rFonts w:ascii="Times New Roman" w:hAnsi="Times New Roman" w:cs="Times New Roman"/>
          <w:sz w:val="20"/>
          <w:szCs w:val="20"/>
          <w:lang w:val="en-US"/>
        </w:rPr>
        <w:t xml:space="preserve"> [7]</w:t>
      </w:r>
      <w:r w:rsidRPr="00EE10B0">
        <w:rPr>
          <w:rFonts w:ascii="Times New Roman" w:hAnsi="Times New Roman" w:cs="Times New Roman"/>
          <w:sz w:val="20"/>
          <w:szCs w:val="20"/>
          <w:lang w:val="en-US"/>
        </w:rPr>
        <w:t>.</w:t>
      </w:r>
      <w:r w:rsidRPr="00B71ACF">
        <w:rPr>
          <w:rFonts w:ascii="Times New Roman" w:hAnsi="Times New Roman" w:cs="Times New Roman"/>
          <w:sz w:val="20"/>
          <w:szCs w:val="20"/>
          <w:lang w:val="en-US"/>
        </w:rPr>
        <w:t xml:space="preserve"> </w:t>
      </w:r>
      <w:r w:rsidRPr="008068F4">
        <w:rPr>
          <w:rFonts w:ascii="Times New Roman" w:hAnsi="Times New Roman" w:cs="Times New Roman"/>
          <w:sz w:val="20"/>
          <w:szCs w:val="20"/>
          <w:lang w:val="en-US"/>
        </w:rPr>
        <w:t>The crystalline phases detected in the three samples are very similar</w:t>
      </w:r>
      <w:r w:rsidR="009B5A89">
        <w:rPr>
          <w:rFonts w:ascii="Times New Roman" w:hAnsi="Times New Roman" w:cs="Times New Roman"/>
          <w:sz w:val="20"/>
          <w:szCs w:val="20"/>
          <w:lang w:val="en-US"/>
        </w:rPr>
        <w:t xml:space="preserve"> (Table 1)</w:t>
      </w:r>
      <w:r w:rsidRPr="008068F4">
        <w:rPr>
          <w:rFonts w:ascii="Times New Roman" w:hAnsi="Times New Roman" w:cs="Times New Roman"/>
          <w:sz w:val="20"/>
          <w:szCs w:val="20"/>
          <w:lang w:val="en-US"/>
        </w:rPr>
        <w:t>. These present minimal differences which are mainly feldspars and clays. Figure 1 sho</w:t>
      </w:r>
      <w:r>
        <w:rPr>
          <w:rFonts w:ascii="Times New Roman" w:hAnsi="Times New Roman" w:cs="Times New Roman"/>
          <w:sz w:val="20"/>
          <w:szCs w:val="20"/>
          <w:lang w:val="en-US"/>
        </w:rPr>
        <w:t xml:space="preserve">ws the </w:t>
      </w:r>
      <w:proofErr w:type="spellStart"/>
      <w:r>
        <w:rPr>
          <w:rFonts w:ascii="Times New Roman" w:hAnsi="Times New Roman" w:cs="Times New Roman"/>
          <w:sz w:val="20"/>
          <w:szCs w:val="20"/>
          <w:lang w:val="en-US"/>
        </w:rPr>
        <w:t>diffractogram</w:t>
      </w:r>
      <w:proofErr w:type="spellEnd"/>
      <w:r>
        <w:rPr>
          <w:rFonts w:ascii="Times New Roman" w:hAnsi="Times New Roman" w:cs="Times New Roman"/>
          <w:sz w:val="20"/>
          <w:szCs w:val="20"/>
          <w:lang w:val="en-US"/>
        </w:rPr>
        <w:t xml:space="preserve"> of sample OBDC-1.</w:t>
      </w:r>
    </w:p>
    <w:p w14:paraId="37B86F5E" w14:textId="77777777" w:rsidR="008148B9" w:rsidRPr="00B71ACF" w:rsidRDefault="008148B9" w:rsidP="00876F45">
      <w:pPr>
        <w:spacing w:line="360" w:lineRule="auto"/>
        <w:ind w:firstLine="0"/>
        <w:jc w:val="left"/>
        <w:rPr>
          <w:rFonts w:ascii="Times New Roman" w:hAnsi="Times New Roman" w:cs="Times New Roman"/>
          <w:sz w:val="24"/>
          <w:szCs w:val="24"/>
          <w:lang w:val="en-US"/>
        </w:rPr>
      </w:pPr>
    </w:p>
    <w:p w14:paraId="21FF9C81" w14:textId="18455007" w:rsidR="00D669EA" w:rsidRPr="00B71ACF" w:rsidRDefault="00D669EA" w:rsidP="00D669EA">
      <w:pPr>
        <w:ind w:firstLine="0"/>
        <w:contextualSpacing/>
        <w:rPr>
          <w:rFonts w:ascii="Times New Roman" w:eastAsia="Times New Roman" w:hAnsi="Times New Roman" w:cs="Times New Roman"/>
          <w:kern w:val="0"/>
          <w:sz w:val="20"/>
          <w:szCs w:val="20"/>
          <w:lang w:val="en-US"/>
          <w14:ligatures w14:val="none"/>
        </w:rPr>
      </w:pPr>
      <w:r w:rsidRPr="00B71ACF">
        <w:rPr>
          <w:rFonts w:ascii="Times New Roman" w:eastAsia="Times New Roman" w:hAnsi="Times New Roman" w:cs="Times New Roman"/>
          <w:kern w:val="0"/>
          <w:sz w:val="20"/>
          <w:szCs w:val="20"/>
          <w:lang w:val="en-US"/>
          <w14:ligatures w14:val="none"/>
        </w:rPr>
        <w:t>TABLE 1.</w:t>
      </w:r>
      <w:r w:rsidR="004B002B">
        <w:rPr>
          <w:rFonts w:ascii="Times New Roman" w:eastAsia="Times New Roman" w:hAnsi="Times New Roman" w:cs="Times New Roman"/>
          <w:kern w:val="0"/>
          <w:sz w:val="20"/>
          <w:szCs w:val="20"/>
          <w:lang w:val="en-US"/>
          <w14:ligatures w14:val="none"/>
        </w:rPr>
        <w:t xml:space="preserve"> </w:t>
      </w:r>
      <w:r w:rsidR="008148B9" w:rsidRPr="00B71ACF">
        <w:rPr>
          <w:rFonts w:ascii="Times New Roman" w:eastAsia="Times New Roman" w:hAnsi="Times New Roman" w:cs="Times New Roman"/>
          <w:kern w:val="0"/>
          <w:sz w:val="20"/>
          <w:szCs w:val="20"/>
          <w:lang w:val="en-US"/>
          <w14:ligatures w14:val="none"/>
        </w:rPr>
        <w:t>PHISICOCHEMICAL PROPERTIES OF OBDCs</w:t>
      </w:r>
    </w:p>
    <w:p w14:paraId="50BF188E" w14:textId="77777777" w:rsidR="00D669EA" w:rsidRPr="00B71ACF" w:rsidRDefault="00D669EA" w:rsidP="00D669EA">
      <w:pPr>
        <w:ind w:firstLine="0"/>
        <w:contextualSpacing/>
        <w:rPr>
          <w:rFonts w:ascii="Times New Roman" w:eastAsia="Times New Roman" w:hAnsi="Times New Roman" w:cs="Times New Roman"/>
          <w:kern w:val="0"/>
          <w:sz w:val="20"/>
          <w:szCs w:val="20"/>
          <w:lang w:val="en-US"/>
          <w14:ligatures w14:val="none"/>
        </w:rPr>
      </w:pPr>
    </w:p>
    <w:tbl>
      <w:tblPr>
        <w:tblStyle w:val="Tablaconcuadrcula"/>
        <w:tblW w:w="9072" w:type="dxa"/>
        <w:tblLook w:val="04A0" w:firstRow="1" w:lastRow="0" w:firstColumn="1" w:lastColumn="0" w:noHBand="0" w:noVBand="1"/>
      </w:tblPr>
      <w:tblGrid>
        <w:gridCol w:w="1276"/>
        <w:gridCol w:w="1482"/>
        <w:gridCol w:w="993"/>
        <w:gridCol w:w="992"/>
        <w:gridCol w:w="992"/>
        <w:gridCol w:w="3337"/>
      </w:tblGrid>
      <w:tr w:rsidR="00402720" w:rsidRPr="00B71ACF" w14:paraId="5A9EDF25" w14:textId="03BE330C" w:rsidTr="003A1867">
        <w:tc>
          <w:tcPr>
            <w:tcW w:w="1276" w:type="dxa"/>
            <w:tcBorders>
              <w:left w:val="nil"/>
              <w:bottom w:val="single" w:sz="4" w:space="0" w:color="auto"/>
              <w:right w:val="nil"/>
            </w:tcBorders>
          </w:tcPr>
          <w:p w14:paraId="420D5C6F" w14:textId="77777777" w:rsidR="00402720" w:rsidRPr="00B71ACF" w:rsidRDefault="00402720" w:rsidP="00402720">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Properties</w:t>
            </w:r>
          </w:p>
        </w:tc>
        <w:tc>
          <w:tcPr>
            <w:tcW w:w="1482" w:type="dxa"/>
            <w:tcBorders>
              <w:left w:val="nil"/>
              <w:bottom w:val="single" w:sz="4" w:space="0" w:color="auto"/>
              <w:right w:val="nil"/>
            </w:tcBorders>
          </w:tcPr>
          <w:p w14:paraId="159FE17F" w14:textId="77777777" w:rsidR="00402720" w:rsidRPr="00B71ACF" w:rsidRDefault="00402720" w:rsidP="00402720">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OBDC-1</w:t>
            </w:r>
          </w:p>
        </w:tc>
        <w:tc>
          <w:tcPr>
            <w:tcW w:w="993" w:type="dxa"/>
            <w:tcBorders>
              <w:left w:val="nil"/>
              <w:bottom w:val="single" w:sz="4" w:space="0" w:color="auto"/>
              <w:right w:val="nil"/>
            </w:tcBorders>
          </w:tcPr>
          <w:p w14:paraId="1F900B7D" w14:textId="437B564F" w:rsidR="00402720" w:rsidRPr="00B71ACF" w:rsidRDefault="00402720" w:rsidP="00402720">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OBDC-2</w:t>
            </w:r>
          </w:p>
        </w:tc>
        <w:tc>
          <w:tcPr>
            <w:tcW w:w="992" w:type="dxa"/>
            <w:tcBorders>
              <w:left w:val="nil"/>
              <w:bottom w:val="single" w:sz="4" w:space="0" w:color="auto"/>
              <w:right w:val="single" w:sz="4" w:space="0" w:color="auto"/>
            </w:tcBorders>
          </w:tcPr>
          <w:p w14:paraId="08E2F28A" w14:textId="54463CE0" w:rsidR="00402720" w:rsidRPr="00B71ACF" w:rsidRDefault="00402720" w:rsidP="00402720">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OBDC-3</w:t>
            </w:r>
          </w:p>
        </w:tc>
        <w:tc>
          <w:tcPr>
            <w:tcW w:w="992" w:type="dxa"/>
            <w:tcBorders>
              <w:left w:val="single" w:sz="4" w:space="0" w:color="auto"/>
              <w:bottom w:val="single" w:sz="4" w:space="0" w:color="auto"/>
              <w:right w:val="single" w:sz="4" w:space="0" w:color="auto"/>
            </w:tcBorders>
            <w:vAlign w:val="center"/>
          </w:tcPr>
          <w:p w14:paraId="0BFDE2DC" w14:textId="52433737" w:rsidR="00402720" w:rsidRPr="00B71ACF" w:rsidRDefault="00402720" w:rsidP="00402720">
            <w:pPr>
              <w:ind w:firstLine="0"/>
              <w:jc w:val="center"/>
              <w:rPr>
                <w:rFonts w:ascii="Times New Roman" w:hAnsi="Times New Roman" w:cs="Times New Roman"/>
                <w:sz w:val="20"/>
                <w:szCs w:val="20"/>
                <w:lang w:val="en-US"/>
              </w:rPr>
            </w:pPr>
            <w:r w:rsidRPr="00402720">
              <w:rPr>
                <w:rFonts w:ascii="Times New Roman" w:eastAsia="Calibri" w:hAnsi="Times New Roman" w:cs="Times New Roman"/>
                <w:kern w:val="0"/>
                <w:sz w:val="20"/>
                <w:szCs w:val="20"/>
                <w:lang w:val="en-US"/>
                <w14:ligatures w14:val="none"/>
              </w:rPr>
              <w:t>Ash</w:t>
            </w:r>
          </w:p>
        </w:tc>
        <w:tc>
          <w:tcPr>
            <w:tcW w:w="3337" w:type="dxa"/>
            <w:tcBorders>
              <w:left w:val="single" w:sz="4" w:space="0" w:color="auto"/>
              <w:bottom w:val="single" w:sz="4" w:space="0" w:color="auto"/>
              <w:right w:val="single" w:sz="4" w:space="0" w:color="auto"/>
            </w:tcBorders>
            <w:vAlign w:val="center"/>
          </w:tcPr>
          <w:p w14:paraId="2391E084" w14:textId="77AA2BB1" w:rsidR="00402720" w:rsidRPr="00B71ACF" w:rsidRDefault="00402720" w:rsidP="00402720">
            <w:pPr>
              <w:ind w:firstLine="0"/>
              <w:jc w:val="center"/>
              <w:rPr>
                <w:rFonts w:ascii="Times New Roman" w:hAnsi="Times New Roman" w:cs="Times New Roman"/>
                <w:sz w:val="20"/>
                <w:szCs w:val="20"/>
                <w:lang w:val="en-US"/>
              </w:rPr>
            </w:pPr>
            <w:r w:rsidRPr="00402720">
              <w:rPr>
                <w:rFonts w:ascii="Times New Roman" w:eastAsia="Calibri" w:hAnsi="Times New Roman" w:cs="Times New Roman"/>
                <w:kern w:val="0"/>
                <w:sz w:val="20"/>
                <w:szCs w:val="20"/>
                <w:lang w:val="en-US"/>
                <w14:ligatures w14:val="none"/>
              </w:rPr>
              <w:t>Crystalline Phase/Formula/Ref [7]</w:t>
            </w:r>
          </w:p>
        </w:tc>
      </w:tr>
      <w:tr w:rsidR="00876F45" w:rsidRPr="004B002B" w14:paraId="4468ACB4" w14:textId="00E03F0E" w:rsidTr="003A1867">
        <w:tc>
          <w:tcPr>
            <w:tcW w:w="4743" w:type="dxa"/>
            <w:gridSpan w:val="4"/>
            <w:tcBorders>
              <w:left w:val="nil"/>
              <w:bottom w:val="single" w:sz="4" w:space="0" w:color="auto"/>
              <w:right w:val="single" w:sz="4" w:space="0" w:color="auto"/>
            </w:tcBorders>
          </w:tcPr>
          <w:p w14:paraId="7E7EDD1C" w14:textId="25BED7A2" w:rsidR="00876F45" w:rsidRPr="00B71ACF" w:rsidRDefault="00876F45" w:rsidP="00876F45">
            <w:pPr>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Proximate analysis (</w:t>
            </w:r>
            <w:proofErr w:type="spellStart"/>
            <w:r w:rsidRPr="00B71ACF">
              <w:rPr>
                <w:rFonts w:ascii="Times New Roman" w:hAnsi="Times New Roman" w:cs="Times New Roman"/>
                <w:sz w:val="20"/>
                <w:szCs w:val="20"/>
                <w:lang w:val="en-US"/>
              </w:rPr>
              <w:t>wt</w:t>
            </w:r>
            <w:proofErr w:type="spellEnd"/>
            <w:r w:rsidRPr="00B71ACF">
              <w:rPr>
                <w:rFonts w:ascii="Times New Roman" w:hAnsi="Times New Roman" w:cs="Times New Roman"/>
                <w:sz w:val="20"/>
                <w:szCs w:val="20"/>
                <w:lang w:val="en-US"/>
              </w:rPr>
              <w:t xml:space="preserve"> % wet basis) </w:t>
            </w:r>
          </w:p>
        </w:tc>
        <w:tc>
          <w:tcPr>
            <w:tcW w:w="992" w:type="dxa"/>
            <w:vMerge w:val="restart"/>
            <w:tcBorders>
              <w:left w:val="single" w:sz="4" w:space="0" w:color="auto"/>
              <w:right w:val="single" w:sz="4" w:space="0" w:color="auto"/>
            </w:tcBorders>
            <w:vAlign w:val="center"/>
          </w:tcPr>
          <w:p w14:paraId="3A0C2E50" w14:textId="07D3E2E6" w:rsidR="00876F45" w:rsidRPr="00B71ACF" w:rsidRDefault="00876F45" w:rsidP="00876F45">
            <w:pPr>
              <w:ind w:firstLine="0"/>
              <w:jc w:val="center"/>
              <w:rPr>
                <w:rFonts w:ascii="Times New Roman" w:hAnsi="Times New Roman" w:cs="Times New Roman"/>
                <w:sz w:val="20"/>
                <w:szCs w:val="20"/>
                <w:lang w:val="en-US"/>
              </w:rPr>
            </w:pPr>
            <w:r w:rsidRPr="00876F45">
              <w:rPr>
                <w:rFonts w:ascii="Times New Roman" w:eastAsia="Calibri" w:hAnsi="Times New Roman" w:cs="Times New Roman"/>
                <w:kern w:val="0"/>
                <w:sz w:val="20"/>
                <w:szCs w:val="20"/>
                <w:lang w:val="en-US"/>
                <w14:ligatures w14:val="none"/>
              </w:rPr>
              <w:t>OBDC-1</w:t>
            </w:r>
          </w:p>
        </w:tc>
        <w:tc>
          <w:tcPr>
            <w:tcW w:w="3337" w:type="dxa"/>
            <w:tcBorders>
              <w:left w:val="single" w:sz="4" w:space="0" w:color="auto"/>
              <w:bottom w:val="nil"/>
              <w:right w:val="single" w:sz="4" w:space="0" w:color="auto"/>
            </w:tcBorders>
            <w:vAlign w:val="center"/>
          </w:tcPr>
          <w:p w14:paraId="08375B16" w14:textId="5DF2B38E"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Quartz/(SiO</w:t>
            </w:r>
            <w:r w:rsidRPr="00402720">
              <w:rPr>
                <w:rFonts w:ascii="Times New Roman" w:eastAsia="Calibri" w:hAnsi="Times New Roman" w:cs="Times New Roman"/>
                <w:kern w:val="0"/>
                <w:sz w:val="18"/>
                <w:szCs w:val="20"/>
                <w:vertAlign w:val="subscript"/>
                <w:lang w:val="en-US"/>
                <w14:ligatures w14:val="none"/>
              </w:rPr>
              <w:t>2</w:t>
            </w:r>
            <w:r w:rsidRPr="00402720">
              <w:rPr>
                <w:rFonts w:ascii="Times New Roman" w:eastAsia="Calibri" w:hAnsi="Times New Roman" w:cs="Times New Roman"/>
                <w:kern w:val="0"/>
                <w:sz w:val="18"/>
                <w:szCs w:val="20"/>
                <w:lang w:val="en-US"/>
                <w14:ligatures w14:val="none"/>
              </w:rPr>
              <w:t>)/89-8934</w:t>
            </w:r>
          </w:p>
        </w:tc>
      </w:tr>
      <w:tr w:rsidR="00876F45" w:rsidRPr="00B71ACF" w14:paraId="654537A3" w14:textId="5FD80A92" w:rsidTr="003A1867">
        <w:tc>
          <w:tcPr>
            <w:tcW w:w="1276" w:type="dxa"/>
            <w:tcBorders>
              <w:top w:val="nil"/>
              <w:left w:val="nil"/>
              <w:bottom w:val="nil"/>
              <w:right w:val="nil"/>
            </w:tcBorders>
          </w:tcPr>
          <w:p w14:paraId="7EB64855" w14:textId="4BB5FDBC"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moisture</w:t>
            </w:r>
          </w:p>
        </w:tc>
        <w:tc>
          <w:tcPr>
            <w:tcW w:w="1482" w:type="dxa"/>
            <w:tcBorders>
              <w:top w:val="nil"/>
              <w:left w:val="nil"/>
              <w:bottom w:val="nil"/>
              <w:right w:val="nil"/>
            </w:tcBorders>
          </w:tcPr>
          <w:p w14:paraId="3201E801"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3.31</w:t>
            </w:r>
          </w:p>
        </w:tc>
        <w:tc>
          <w:tcPr>
            <w:tcW w:w="993" w:type="dxa"/>
            <w:tcBorders>
              <w:top w:val="nil"/>
              <w:left w:val="nil"/>
              <w:bottom w:val="nil"/>
              <w:right w:val="nil"/>
            </w:tcBorders>
          </w:tcPr>
          <w:p w14:paraId="5E5555C1" w14:textId="61B1270C"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2.10</w:t>
            </w:r>
          </w:p>
        </w:tc>
        <w:tc>
          <w:tcPr>
            <w:tcW w:w="992" w:type="dxa"/>
            <w:tcBorders>
              <w:top w:val="nil"/>
              <w:left w:val="nil"/>
              <w:bottom w:val="nil"/>
              <w:right w:val="single" w:sz="4" w:space="0" w:color="auto"/>
            </w:tcBorders>
          </w:tcPr>
          <w:p w14:paraId="5A2F1358" w14:textId="7A6F5703"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2.61</w:t>
            </w:r>
          </w:p>
        </w:tc>
        <w:tc>
          <w:tcPr>
            <w:tcW w:w="992" w:type="dxa"/>
            <w:vMerge/>
            <w:tcBorders>
              <w:top w:val="nil"/>
              <w:left w:val="single" w:sz="4" w:space="0" w:color="auto"/>
              <w:right w:val="single" w:sz="4" w:space="0" w:color="auto"/>
            </w:tcBorders>
            <w:vAlign w:val="center"/>
          </w:tcPr>
          <w:p w14:paraId="0748828A"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04B33730" w14:textId="5B584470"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Barite/BaSO</w:t>
            </w:r>
            <w:r w:rsidRPr="00402720">
              <w:rPr>
                <w:rFonts w:ascii="Times New Roman" w:eastAsia="Calibri" w:hAnsi="Times New Roman" w:cs="Times New Roman"/>
                <w:kern w:val="0"/>
                <w:sz w:val="18"/>
                <w:szCs w:val="20"/>
                <w:vertAlign w:val="subscript"/>
                <w:lang w:val="en-US"/>
                <w14:ligatures w14:val="none"/>
              </w:rPr>
              <w:t>4</w:t>
            </w:r>
            <w:r w:rsidRPr="00402720">
              <w:rPr>
                <w:rFonts w:ascii="Times New Roman" w:eastAsia="Calibri" w:hAnsi="Times New Roman" w:cs="Times New Roman"/>
                <w:kern w:val="0"/>
                <w:sz w:val="18"/>
                <w:szCs w:val="20"/>
                <w:lang w:val="en-US"/>
                <w14:ligatures w14:val="none"/>
              </w:rPr>
              <w:t>)/80-0512</w:t>
            </w:r>
          </w:p>
        </w:tc>
      </w:tr>
      <w:tr w:rsidR="00876F45" w:rsidRPr="00B71ACF" w14:paraId="73DF57B6" w14:textId="59915A0C" w:rsidTr="003A1867">
        <w:tc>
          <w:tcPr>
            <w:tcW w:w="1276" w:type="dxa"/>
            <w:tcBorders>
              <w:top w:val="nil"/>
              <w:left w:val="nil"/>
              <w:bottom w:val="nil"/>
              <w:right w:val="nil"/>
            </w:tcBorders>
          </w:tcPr>
          <w:p w14:paraId="2B745589" w14:textId="23E83C9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volatile</w:t>
            </w:r>
          </w:p>
        </w:tc>
        <w:tc>
          <w:tcPr>
            <w:tcW w:w="1482" w:type="dxa"/>
            <w:tcBorders>
              <w:top w:val="nil"/>
              <w:left w:val="nil"/>
              <w:bottom w:val="nil"/>
              <w:right w:val="nil"/>
            </w:tcBorders>
          </w:tcPr>
          <w:p w14:paraId="29024323"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15.92</w:t>
            </w:r>
          </w:p>
        </w:tc>
        <w:tc>
          <w:tcPr>
            <w:tcW w:w="993" w:type="dxa"/>
            <w:tcBorders>
              <w:top w:val="nil"/>
              <w:left w:val="nil"/>
              <w:bottom w:val="nil"/>
              <w:right w:val="nil"/>
            </w:tcBorders>
          </w:tcPr>
          <w:p w14:paraId="27EC955C" w14:textId="32227E36"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15.53</w:t>
            </w:r>
          </w:p>
        </w:tc>
        <w:tc>
          <w:tcPr>
            <w:tcW w:w="992" w:type="dxa"/>
            <w:tcBorders>
              <w:top w:val="nil"/>
              <w:left w:val="nil"/>
              <w:bottom w:val="nil"/>
              <w:right w:val="single" w:sz="4" w:space="0" w:color="auto"/>
            </w:tcBorders>
          </w:tcPr>
          <w:p w14:paraId="0FF68FBA" w14:textId="6774C06A"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13.92</w:t>
            </w:r>
          </w:p>
        </w:tc>
        <w:tc>
          <w:tcPr>
            <w:tcW w:w="992" w:type="dxa"/>
            <w:vMerge/>
            <w:tcBorders>
              <w:top w:val="nil"/>
              <w:left w:val="single" w:sz="4" w:space="0" w:color="auto"/>
              <w:right w:val="single" w:sz="4" w:space="0" w:color="auto"/>
            </w:tcBorders>
            <w:vAlign w:val="center"/>
          </w:tcPr>
          <w:p w14:paraId="2B4470AF"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6BE104B7" w14:textId="3613C8D0"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Albite/Na(AlSi</w:t>
            </w:r>
            <w:r w:rsidRPr="00402720">
              <w:rPr>
                <w:rFonts w:ascii="Times New Roman" w:eastAsia="Calibri" w:hAnsi="Times New Roman" w:cs="Times New Roman"/>
                <w:kern w:val="0"/>
                <w:sz w:val="18"/>
                <w:szCs w:val="20"/>
                <w:vertAlign w:val="subscript"/>
                <w:lang w:val="en-US"/>
                <w14:ligatures w14:val="none"/>
              </w:rPr>
              <w:t>3</w:t>
            </w:r>
            <w:r w:rsidRPr="00402720">
              <w:rPr>
                <w:rFonts w:ascii="Times New Roman" w:eastAsia="Calibri" w:hAnsi="Times New Roman" w:cs="Times New Roman"/>
                <w:kern w:val="0"/>
                <w:sz w:val="18"/>
                <w:szCs w:val="20"/>
                <w:lang w:val="en-US"/>
                <w14:ligatures w14:val="none"/>
              </w:rPr>
              <w:t>O</w:t>
            </w:r>
            <w:r w:rsidRPr="00402720">
              <w:rPr>
                <w:rFonts w:ascii="Times New Roman" w:eastAsia="Calibri" w:hAnsi="Times New Roman" w:cs="Times New Roman"/>
                <w:kern w:val="0"/>
                <w:sz w:val="18"/>
                <w:szCs w:val="20"/>
                <w:vertAlign w:val="subscript"/>
                <w:lang w:val="en-US"/>
                <w14:ligatures w14:val="none"/>
              </w:rPr>
              <w:t>8</w:t>
            </w:r>
            <w:r w:rsidRPr="00402720">
              <w:rPr>
                <w:rFonts w:ascii="Times New Roman" w:eastAsia="Calibri" w:hAnsi="Times New Roman" w:cs="Times New Roman"/>
                <w:kern w:val="0"/>
                <w:sz w:val="18"/>
                <w:szCs w:val="20"/>
                <w:lang w:val="en-US"/>
                <w14:ligatures w14:val="none"/>
              </w:rPr>
              <w:t>)/76-1819</w:t>
            </w:r>
          </w:p>
        </w:tc>
      </w:tr>
      <w:tr w:rsidR="00876F45" w:rsidRPr="00B71ACF" w14:paraId="7F288EC1" w14:textId="688A80EF" w:rsidTr="003A1867">
        <w:tc>
          <w:tcPr>
            <w:tcW w:w="1276" w:type="dxa"/>
            <w:tcBorders>
              <w:top w:val="nil"/>
              <w:left w:val="nil"/>
              <w:bottom w:val="nil"/>
              <w:right w:val="nil"/>
            </w:tcBorders>
          </w:tcPr>
          <w:p w14:paraId="5A34E3A4" w14:textId="236B3C1E"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ash</w:t>
            </w:r>
          </w:p>
        </w:tc>
        <w:tc>
          <w:tcPr>
            <w:tcW w:w="1482" w:type="dxa"/>
            <w:tcBorders>
              <w:top w:val="nil"/>
              <w:left w:val="nil"/>
              <w:bottom w:val="nil"/>
              <w:right w:val="nil"/>
            </w:tcBorders>
          </w:tcPr>
          <w:p w14:paraId="3A0DF49A"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78.07</w:t>
            </w:r>
          </w:p>
        </w:tc>
        <w:tc>
          <w:tcPr>
            <w:tcW w:w="993" w:type="dxa"/>
            <w:tcBorders>
              <w:top w:val="nil"/>
              <w:left w:val="nil"/>
              <w:bottom w:val="nil"/>
              <w:right w:val="nil"/>
            </w:tcBorders>
          </w:tcPr>
          <w:p w14:paraId="10FDE676" w14:textId="4E5EB722"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79.12</w:t>
            </w:r>
          </w:p>
        </w:tc>
        <w:tc>
          <w:tcPr>
            <w:tcW w:w="992" w:type="dxa"/>
            <w:tcBorders>
              <w:top w:val="nil"/>
              <w:left w:val="nil"/>
              <w:bottom w:val="nil"/>
              <w:right w:val="single" w:sz="4" w:space="0" w:color="auto"/>
            </w:tcBorders>
          </w:tcPr>
          <w:p w14:paraId="3E65BBF0" w14:textId="3791B5E0"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81.47</w:t>
            </w:r>
          </w:p>
        </w:tc>
        <w:tc>
          <w:tcPr>
            <w:tcW w:w="992" w:type="dxa"/>
            <w:vMerge/>
            <w:tcBorders>
              <w:left w:val="single" w:sz="4" w:space="0" w:color="auto"/>
              <w:right w:val="single" w:sz="4" w:space="0" w:color="auto"/>
            </w:tcBorders>
            <w:vAlign w:val="center"/>
          </w:tcPr>
          <w:p w14:paraId="52BBF417"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472B3A95" w14:textId="788F5D01"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Halite/</w:t>
            </w:r>
            <w:proofErr w:type="spellStart"/>
            <w:r w:rsidRPr="00402720">
              <w:rPr>
                <w:rFonts w:ascii="Times New Roman" w:eastAsia="Calibri" w:hAnsi="Times New Roman" w:cs="Times New Roman"/>
                <w:kern w:val="0"/>
                <w:sz w:val="18"/>
                <w:szCs w:val="20"/>
                <w:lang w:val="en-US"/>
                <w14:ligatures w14:val="none"/>
              </w:rPr>
              <w:t>NaCl</w:t>
            </w:r>
            <w:proofErr w:type="spellEnd"/>
            <w:r w:rsidRPr="00402720">
              <w:rPr>
                <w:rFonts w:ascii="Times New Roman" w:eastAsia="Calibri" w:hAnsi="Times New Roman" w:cs="Times New Roman"/>
                <w:kern w:val="0"/>
                <w:sz w:val="18"/>
                <w:szCs w:val="20"/>
                <w:lang w:val="en-US"/>
                <w14:ligatures w14:val="none"/>
              </w:rPr>
              <w:t>/89-3615</w:t>
            </w:r>
          </w:p>
        </w:tc>
      </w:tr>
      <w:tr w:rsidR="00876F45" w:rsidRPr="00B71ACF" w14:paraId="194453CA" w14:textId="0C8D7391" w:rsidTr="003A1867">
        <w:tc>
          <w:tcPr>
            <w:tcW w:w="1276" w:type="dxa"/>
            <w:tcBorders>
              <w:top w:val="nil"/>
              <w:left w:val="nil"/>
              <w:right w:val="nil"/>
            </w:tcBorders>
          </w:tcPr>
          <w:p w14:paraId="51F973DB"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 xml:space="preserve">fixed carbon  </w:t>
            </w:r>
          </w:p>
        </w:tc>
        <w:tc>
          <w:tcPr>
            <w:tcW w:w="1482" w:type="dxa"/>
            <w:tcBorders>
              <w:top w:val="nil"/>
              <w:left w:val="nil"/>
              <w:right w:val="nil"/>
            </w:tcBorders>
          </w:tcPr>
          <w:p w14:paraId="69DE6835"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2.70</w:t>
            </w:r>
          </w:p>
        </w:tc>
        <w:tc>
          <w:tcPr>
            <w:tcW w:w="993" w:type="dxa"/>
            <w:tcBorders>
              <w:top w:val="nil"/>
              <w:left w:val="nil"/>
              <w:right w:val="nil"/>
            </w:tcBorders>
          </w:tcPr>
          <w:p w14:paraId="5D10838B" w14:textId="68064353"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3.25</w:t>
            </w:r>
          </w:p>
        </w:tc>
        <w:tc>
          <w:tcPr>
            <w:tcW w:w="992" w:type="dxa"/>
            <w:tcBorders>
              <w:top w:val="nil"/>
              <w:left w:val="nil"/>
              <w:right w:val="single" w:sz="4" w:space="0" w:color="auto"/>
            </w:tcBorders>
          </w:tcPr>
          <w:p w14:paraId="59E6BC5B" w14:textId="45946503"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2.00</w:t>
            </w:r>
          </w:p>
        </w:tc>
        <w:tc>
          <w:tcPr>
            <w:tcW w:w="992" w:type="dxa"/>
            <w:vMerge/>
            <w:tcBorders>
              <w:left w:val="single" w:sz="4" w:space="0" w:color="auto"/>
              <w:right w:val="single" w:sz="4" w:space="0" w:color="auto"/>
            </w:tcBorders>
            <w:vAlign w:val="center"/>
          </w:tcPr>
          <w:p w14:paraId="22266702"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3F86C8FC" w14:textId="28ADFCC5"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Microcline/K(AlSi</w:t>
            </w:r>
            <w:r w:rsidRPr="00402720">
              <w:rPr>
                <w:rFonts w:ascii="Times New Roman" w:eastAsia="Calibri" w:hAnsi="Times New Roman" w:cs="Times New Roman"/>
                <w:kern w:val="0"/>
                <w:sz w:val="18"/>
                <w:szCs w:val="20"/>
                <w:vertAlign w:val="subscript"/>
                <w:lang w:val="en-US"/>
                <w14:ligatures w14:val="none"/>
              </w:rPr>
              <w:t>3</w:t>
            </w:r>
            <w:r w:rsidRPr="00402720">
              <w:rPr>
                <w:rFonts w:ascii="Times New Roman" w:eastAsia="Calibri" w:hAnsi="Times New Roman" w:cs="Times New Roman"/>
                <w:kern w:val="0"/>
                <w:sz w:val="18"/>
                <w:szCs w:val="20"/>
                <w:lang w:val="en-US"/>
                <w14:ligatures w14:val="none"/>
              </w:rPr>
              <w:t>O</w:t>
            </w:r>
            <w:r w:rsidRPr="00402720">
              <w:rPr>
                <w:rFonts w:ascii="Times New Roman" w:eastAsia="Calibri" w:hAnsi="Times New Roman" w:cs="Times New Roman"/>
                <w:kern w:val="0"/>
                <w:sz w:val="18"/>
                <w:szCs w:val="20"/>
                <w:vertAlign w:val="subscript"/>
                <w:lang w:val="en-US"/>
                <w14:ligatures w14:val="none"/>
              </w:rPr>
              <w:t>8</w:t>
            </w:r>
            <w:r w:rsidRPr="00402720">
              <w:rPr>
                <w:rFonts w:ascii="Times New Roman" w:eastAsia="Calibri" w:hAnsi="Times New Roman" w:cs="Times New Roman"/>
                <w:kern w:val="0"/>
                <w:sz w:val="18"/>
                <w:szCs w:val="20"/>
                <w:lang w:val="en-US"/>
                <w14:ligatures w14:val="none"/>
              </w:rPr>
              <w:t>)/76-1239</w:t>
            </w:r>
          </w:p>
        </w:tc>
      </w:tr>
      <w:tr w:rsidR="00876F45" w:rsidRPr="00B71ACF" w14:paraId="65A2061E" w14:textId="2BC4897A" w:rsidTr="003A1867">
        <w:tc>
          <w:tcPr>
            <w:tcW w:w="4743" w:type="dxa"/>
            <w:gridSpan w:val="4"/>
            <w:tcBorders>
              <w:left w:val="nil"/>
              <w:bottom w:val="single" w:sz="4" w:space="0" w:color="auto"/>
              <w:right w:val="single" w:sz="4" w:space="0" w:color="auto"/>
            </w:tcBorders>
          </w:tcPr>
          <w:p w14:paraId="194801E5" w14:textId="67243342" w:rsidR="00876F45" w:rsidRPr="00B71ACF" w:rsidRDefault="00876F45" w:rsidP="00876F45">
            <w:pPr>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Ultimate analysis</w:t>
            </w:r>
          </w:p>
        </w:tc>
        <w:tc>
          <w:tcPr>
            <w:tcW w:w="992" w:type="dxa"/>
            <w:vMerge/>
            <w:tcBorders>
              <w:left w:val="single" w:sz="4" w:space="0" w:color="auto"/>
              <w:bottom w:val="single" w:sz="4" w:space="0" w:color="auto"/>
              <w:right w:val="single" w:sz="4" w:space="0" w:color="auto"/>
            </w:tcBorders>
            <w:vAlign w:val="center"/>
          </w:tcPr>
          <w:p w14:paraId="62162382" w14:textId="77777777" w:rsidR="00876F45" w:rsidRPr="00B71ACF" w:rsidRDefault="00876F45" w:rsidP="00876F45">
            <w:pPr>
              <w:jc w:val="center"/>
              <w:rPr>
                <w:rFonts w:ascii="Times New Roman" w:hAnsi="Times New Roman" w:cs="Times New Roman"/>
                <w:sz w:val="20"/>
                <w:szCs w:val="20"/>
                <w:lang w:val="en-US"/>
              </w:rPr>
            </w:pPr>
          </w:p>
        </w:tc>
        <w:tc>
          <w:tcPr>
            <w:tcW w:w="3337" w:type="dxa"/>
            <w:tcBorders>
              <w:top w:val="nil"/>
              <w:left w:val="single" w:sz="4" w:space="0" w:color="auto"/>
              <w:bottom w:val="single" w:sz="4" w:space="0" w:color="auto"/>
              <w:right w:val="single" w:sz="4" w:space="0" w:color="auto"/>
            </w:tcBorders>
            <w:vAlign w:val="center"/>
          </w:tcPr>
          <w:p w14:paraId="17427B6E" w14:textId="35C6E1AA" w:rsidR="00876F45" w:rsidRPr="00876F45" w:rsidRDefault="00876F45" w:rsidP="00876F45">
            <w:pPr>
              <w:ind w:firstLine="0"/>
              <w:jc w:val="left"/>
              <w:rPr>
                <w:rFonts w:ascii="Times New Roman" w:hAnsi="Times New Roman" w:cs="Times New Roman"/>
                <w:sz w:val="18"/>
                <w:szCs w:val="20"/>
                <w:lang w:val="es-ES"/>
              </w:rPr>
            </w:pPr>
            <w:proofErr w:type="spellStart"/>
            <w:r w:rsidRPr="00402720">
              <w:rPr>
                <w:rFonts w:ascii="Times New Roman" w:eastAsia="Calibri" w:hAnsi="Times New Roman" w:cs="Times New Roman"/>
                <w:kern w:val="0"/>
                <w:sz w:val="18"/>
                <w:szCs w:val="20"/>
                <w:lang w:val="es-ES"/>
                <w14:ligatures w14:val="none"/>
              </w:rPr>
              <w:t>Illite</w:t>
            </w:r>
            <w:proofErr w:type="spellEnd"/>
            <w:r w:rsidRPr="00402720">
              <w:rPr>
                <w:rFonts w:ascii="Times New Roman" w:eastAsia="Calibri" w:hAnsi="Times New Roman" w:cs="Times New Roman"/>
                <w:kern w:val="0"/>
                <w:sz w:val="18"/>
                <w:szCs w:val="20"/>
                <w:lang w:val="es-ES"/>
                <w14:ligatures w14:val="none"/>
              </w:rPr>
              <w:t>/(K, H</w:t>
            </w:r>
            <w:r w:rsidRPr="00402720">
              <w:rPr>
                <w:rFonts w:ascii="Times New Roman" w:eastAsia="Calibri" w:hAnsi="Times New Roman" w:cs="Times New Roman"/>
                <w:kern w:val="0"/>
                <w:sz w:val="18"/>
                <w:szCs w:val="20"/>
                <w:vertAlign w:val="subscript"/>
                <w:lang w:val="es-ES"/>
                <w14:ligatures w14:val="none"/>
              </w:rPr>
              <w:t>3</w:t>
            </w:r>
            <w:r w:rsidRPr="00402720">
              <w:rPr>
                <w:rFonts w:ascii="Times New Roman" w:eastAsia="Calibri" w:hAnsi="Times New Roman" w:cs="Times New Roman"/>
                <w:kern w:val="0"/>
                <w:sz w:val="18"/>
                <w:szCs w:val="20"/>
                <w:lang w:val="es-ES"/>
                <w14:ligatures w14:val="none"/>
              </w:rPr>
              <w:t>O)Al</w:t>
            </w:r>
            <w:r w:rsidRPr="00402720">
              <w:rPr>
                <w:rFonts w:ascii="Times New Roman" w:eastAsia="Calibri" w:hAnsi="Times New Roman" w:cs="Times New Roman"/>
                <w:kern w:val="0"/>
                <w:sz w:val="18"/>
                <w:szCs w:val="20"/>
                <w:vertAlign w:val="subscript"/>
                <w:lang w:val="es-ES"/>
                <w14:ligatures w14:val="none"/>
              </w:rPr>
              <w:t>2</w:t>
            </w:r>
            <w:r w:rsidRPr="00402720">
              <w:rPr>
                <w:rFonts w:ascii="Times New Roman" w:eastAsia="Calibri" w:hAnsi="Times New Roman" w:cs="Times New Roman"/>
                <w:kern w:val="0"/>
                <w:sz w:val="18"/>
                <w:szCs w:val="20"/>
                <w:lang w:val="es-ES"/>
                <w14:ligatures w14:val="none"/>
              </w:rPr>
              <w:t>Si</w:t>
            </w:r>
            <w:r w:rsidRPr="00402720">
              <w:rPr>
                <w:rFonts w:ascii="Times New Roman" w:eastAsia="Calibri" w:hAnsi="Times New Roman" w:cs="Times New Roman"/>
                <w:kern w:val="0"/>
                <w:sz w:val="18"/>
                <w:szCs w:val="20"/>
                <w:vertAlign w:val="subscript"/>
                <w:lang w:val="es-ES"/>
                <w14:ligatures w14:val="none"/>
              </w:rPr>
              <w:t>3</w:t>
            </w:r>
            <w:r w:rsidRPr="00402720">
              <w:rPr>
                <w:rFonts w:ascii="Times New Roman" w:eastAsia="Calibri" w:hAnsi="Times New Roman" w:cs="Times New Roman"/>
                <w:kern w:val="0"/>
                <w:sz w:val="18"/>
                <w:szCs w:val="20"/>
                <w:lang w:val="es-ES"/>
                <w14:ligatures w14:val="none"/>
              </w:rPr>
              <w:t>AlO</w:t>
            </w:r>
            <w:r w:rsidRPr="00402720">
              <w:rPr>
                <w:rFonts w:ascii="Times New Roman" w:eastAsia="Calibri" w:hAnsi="Times New Roman" w:cs="Times New Roman"/>
                <w:kern w:val="0"/>
                <w:sz w:val="18"/>
                <w:szCs w:val="20"/>
                <w:vertAlign w:val="subscript"/>
                <w:lang w:val="es-ES"/>
                <w14:ligatures w14:val="none"/>
              </w:rPr>
              <w:t>10</w:t>
            </w:r>
            <w:r w:rsidRPr="00402720">
              <w:rPr>
                <w:rFonts w:ascii="Times New Roman" w:eastAsia="Calibri" w:hAnsi="Times New Roman" w:cs="Times New Roman"/>
                <w:kern w:val="0"/>
                <w:sz w:val="18"/>
                <w:szCs w:val="20"/>
                <w:lang w:val="es-ES"/>
                <w14:ligatures w14:val="none"/>
              </w:rPr>
              <w:t>(OH)</w:t>
            </w:r>
            <w:r w:rsidRPr="00402720">
              <w:rPr>
                <w:rFonts w:ascii="Times New Roman" w:eastAsia="Calibri" w:hAnsi="Times New Roman" w:cs="Times New Roman"/>
                <w:kern w:val="0"/>
                <w:sz w:val="18"/>
                <w:szCs w:val="20"/>
                <w:vertAlign w:val="subscript"/>
                <w:lang w:val="es-ES"/>
                <w14:ligatures w14:val="none"/>
              </w:rPr>
              <w:t>2</w:t>
            </w:r>
            <w:r w:rsidRPr="00402720">
              <w:rPr>
                <w:rFonts w:ascii="Times New Roman" w:eastAsia="Calibri" w:hAnsi="Times New Roman" w:cs="Times New Roman"/>
                <w:kern w:val="0"/>
                <w:sz w:val="18"/>
                <w:szCs w:val="20"/>
                <w:lang w:val="es-ES"/>
                <w14:ligatures w14:val="none"/>
              </w:rPr>
              <w:t>/26-0911</w:t>
            </w:r>
          </w:p>
        </w:tc>
      </w:tr>
      <w:tr w:rsidR="00876F45" w:rsidRPr="00B71ACF" w14:paraId="5E9FFD65" w14:textId="3DB591AD" w:rsidTr="003A1867">
        <w:tc>
          <w:tcPr>
            <w:tcW w:w="1276" w:type="dxa"/>
            <w:tcBorders>
              <w:left w:val="nil"/>
              <w:bottom w:val="nil"/>
              <w:right w:val="nil"/>
            </w:tcBorders>
          </w:tcPr>
          <w:p w14:paraId="13D1973A"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C</w:t>
            </w:r>
          </w:p>
        </w:tc>
        <w:tc>
          <w:tcPr>
            <w:tcW w:w="1482" w:type="dxa"/>
            <w:tcBorders>
              <w:left w:val="nil"/>
              <w:bottom w:val="nil"/>
              <w:right w:val="nil"/>
            </w:tcBorders>
          </w:tcPr>
          <w:p w14:paraId="6AA335E1"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13.38</w:t>
            </w:r>
          </w:p>
        </w:tc>
        <w:tc>
          <w:tcPr>
            <w:tcW w:w="993" w:type="dxa"/>
            <w:tcBorders>
              <w:left w:val="nil"/>
              <w:bottom w:val="nil"/>
              <w:right w:val="nil"/>
            </w:tcBorders>
          </w:tcPr>
          <w:p w14:paraId="4107E38E" w14:textId="48B4439B"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15.71</w:t>
            </w:r>
          </w:p>
        </w:tc>
        <w:tc>
          <w:tcPr>
            <w:tcW w:w="992" w:type="dxa"/>
            <w:tcBorders>
              <w:left w:val="nil"/>
              <w:bottom w:val="nil"/>
              <w:right w:val="single" w:sz="4" w:space="0" w:color="auto"/>
            </w:tcBorders>
          </w:tcPr>
          <w:p w14:paraId="3AF5824E" w14:textId="332DF2FC"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14.04</w:t>
            </w:r>
          </w:p>
        </w:tc>
        <w:tc>
          <w:tcPr>
            <w:tcW w:w="992" w:type="dxa"/>
            <w:vMerge w:val="restart"/>
            <w:tcBorders>
              <w:left w:val="single" w:sz="4" w:space="0" w:color="auto"/>
              <w:right w:val="single" w:sz="4" w:space="0" w:color="auto"/>
            </w:tcBorders>
            <w:vAlign w:val="center"/>
          </w:tcPr>
          <w:p w14:paraId="3AB03955" w14:textId="235A7BB9" w:rsidR="00876F45" w:rsidRPr="00B71ACF" w:rsidRDefault="00876F45" w:rsidP="00876F45">
            <w:pPr>
              <w:ind w:firstLine="0"/>
              <w:jc w:val="center"/>
              <w:rPr>
                <w:rFonts w:ascii="Times New Roman" w:hAnsi="Times New Roman" w:cs="Times New Roman"/>
                <w:sz w:val="20"/>
                <w:szCs w:val="20"/>
                <w:lang w:val="en-US"/>
              </w:rPr>
            </w:pPr>
            <w:r>
              <w:rPr>
                <w:rFonts w:ascii="Times New Roman" w:eastAsia="Calibri" w:hAnsi="Times New Roman" w:cs="Times New Roman"/>
                <w:kern w:val="0"/>
                <w:sz w:val="20"/>
                <w:szCs w:val="20"/>
                <w:lang w:val="en-US"/>
                <w14:ligatures w14:val="none"/>
              </w:rPr>
              <w:t>OBDC-2</w:t>
            </w:r>
          </w:p>
        </w:tc>
        <w:tc>
          <w:tcPr>
            <w:tcW w:w="3337" w:type="dxa"/>
            <w:tcBorders>
              <w:left w:val="single" w:sz="4" w:space="0" w:color="auto"/>
              <w:bottom w:val="nil"/>
              <w:right w:val="single" w:sz="4" w:space="0" w:color="auto"/>
            </w:tcBorders>
            <w:vAlign w:val="center"/>
          </w:tcPr>
          <w:p w14:paraId="6609A7FD" w14:textId="13C3F8A3"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Quartz/(SiO</w:t>
            </w:r>
            <w:r w:rsidRPr="00402720">
              <w:rPr>
                <w:rFonts w:ascii="Times New Roman" w:eastAsia="Calibri" w:hAnsi="Times New Roman" w:cs="Times New Roman"/>
                <w:kern w:val="0"/>
                <w:sz w:val="18"/>
                <w:szCs w:val="20"/>
                <w:vertAlign w:val="subscript"/>
                <w:lang w:val="en-US"/>
                <w14:ligatures w14:val="none"/>
              </w:rPr>
              <w:t>2</w:t>
            </w:r>
            <w:r w:rsidRPr="00402720">
              <w:rPr>
                <w:rFonts w:ascii="Times New Roman" w:eastAsia="Calibri" w:hAnsi="Times New Roman" w:cs="Times New Roman"/>
                <w:kern w:val="0"/>
                <w:sz w:val="18"/>
                <w:szCs w:val="20"/>
                <w:lang w:val="en-US"/>
                <w14:ligatures w14:val="none"/>
              </w:rPr>
              <w:t>)/89-8934</w:t>
            </w:r>
          </w:p>
        </w:tc>
      </w:tr>
      <w:tr w:rsidR="00876F45" w:rsidRPr="00B71ACF" w14:paraId="1D2A6578" w14:textId="67F23BF8" w:rsidTr="003A1867">
        <w:tc>
          <w:tcPr>
            <w:tcW w:w="1276" w:type="dxa"/>
            <w:tcBorders>
              <w:top w:val="nil"/>
              <w:left w:val="nil"/>
              <w:bottom w:val="nil"/>
              <w:right w:val="nil"/>
            </w:tcBorders>
          </w:tcPr>
          <w:p w14:paraId="3AC8E2AF"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H</w:t>
            </w:r>
          </w:p>
        </w:tc>
        <w:tc>
          <w:tcPr>
            <w:tcW w:w="1482" w:type="dxa"/>
            <w:tcBorders>
              <w:top w:val="nil"/>
              <w:left w:val="nil"/>
              <w:bottom w:val="nil"/>
              <w:right w:val="nil"/>
            </w:tcBorders>
          </w:tcPr>
          <w:p w14:paraId="47AD28FE"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1.26</w:t>
            </w:r>
          </w:p>
        </w:tc>
        <w:tc>
          <w:tcPr>
            <w:tcW w:w="993" w:type="dxa"/>
            <w:tcBorders>
              <w:top w:val="nil"/>
              <w:left w:val="nil"/>
              <w:bottom w:val="nil"/>
              <w:right w:val="nil"/>
            </w:tcBorders>
          </w:tcPr>
          <w:p w14:paraId="43E139E9" w14:textId="6D9F5E48"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1.65</w:t>
            </w:r>
          </w:p>
        </w:tc>
        <w:tc>
          <w:tcPr>
            <w:tcW w:w="992" w:type="dxa"/>
            <w:tcBorders>
              <w:top w:val="nil"/>
              <w:left w:val="nil"/>
              <w:bottom w:val="nil"/>
              <w:right w:val="single" w:sz="4" w:space="0" w:color="auto"/>
            </w:tcBorders>
          </w:tcPr>
          <w:p w14:paraId="2170416F" w14:textId="02FAD4BA"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1.65</w:t>
            </w:r>
          </w:p>
        </w:tc>
        <w:tc>
          <w:tcPr>
            <w:tcW w:w="992" w:type="dxa"/>
            <w:vMerge/>
            <w:tcBorders>
              <w:top w:val="nil"/>
              <w:left w:val="single" w:sz="4" w:space="0" w:color="auto"/>
              <w:right w:val="single" w:sz="4" w:space="0" w:color="auto"/>
            </w:tcBorders>
            <w:vAlign w:val="center"/>
          </w:tcPr>
          <w:p w14:paraId="72A000BE"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5E4E77B2" w14:textId="26BFDF1D"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Albite/Na(AlSi</w:t>
            </w:r>
            <w:r w:rsidRPr="00402720">
              <w:rPr>
                <w:rFonts w:ascii="Times New Roman" w:eastAsia="Calibri" w:hAnsi="Times New Roman" w:cs="Times New Roman"/>
                <w:kern w:val="0"/>
                <w:sz w:val="18"/>
                <w:szCs w:val="20"/>
                <w:vertAlign w:val="subscript"/>
                <w:lang w:val="en-US"/>
                <w14:ligatures w14:val="none"/>
              </w:rPr>
              <w:t>3</w:t>
            </w:r>
            <w:r w:rsidRPr="00402720">
              <w:rPr>
                <w:rFonts w:ascii="Times New Roman" w:eastAsia="Calibri" w:hAnsi="Times New Roman" w:cs="Times New Roman"/>
                <w:kern w:val="0"/>
                <w:sz w:val="18"/>
                <w:szCs w:val="20"/>
                <w:lang w:val="en-US"/>
                <w14:ligatures w14:val="none"/>
              </w:rPr>
              <w:t>O</w:t>
            </w:r>
            <w:r w:rsidRPr="00402720">
              <w:rPr>
                <w:rFonts w:ascii="Times New Roman" w:eastAsia="Calibri" w:hAnsi="Times New Roman" w:cs="Times New Roman"/>
                <w:kern w:val="0"/>
                <w:sz w:val="18"/>
                <w:szCs w:val="20"/>
                <w:vertAlign w:val="subscript"/>
                <w:lang w:val="en-US"/>
                <w14:ligatures w14:val="none"/>
              </w:rPr>
              <w:t>8</w:t>
            </w:r>
            <w:r w:rsidRPr="00402720">
              <w:rPr>
                <w:rFonts w:ascii="Times New Roman" w:eastAsia="Calibri" w:hAnsi="Times New Roman" w:cs="Times New Roman"/>
                <w:kern w:val="0"/>
                <w:sz w:val="18"/>
                <w:szCs w:val="20"/>
                <w:lang w:val="en-US"/>
                <w14:ligatures w14:val="none"/>
              </w:rPr>
              <w:t>)/76-1819</w:t>
            </w:r>
          </w:p>
        </w:tc>
      </w:tr>
      <w:tr w:rsidR="00876F45" w:rsidRPr="00B71ACF" w14:paraId="03D84C32" w14:textId="650AD8C4" w:rsidTr="003A1867">
        <w:tc>
          <w:tcPr>
            <w:tcW w:w="1276" w:type="dxa"/>
            <w:tcBorders>
              <w:top w:val="nil"/>
              <w:left w:val="nil"/>
              <w:bottom w:val="nil"/>
              <w:right w:val="nil"/>
            </w:tcBorders>
          </w:tcPr>
          <w:p w14:paraId="7E837828"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N</w:t>
            </w:r>
          </w:p>
        </w:tc>
        <w:tc>
          <w:tcPr>
            <w:tcW w:w="1482" w:type="dxa"/>
            <w:tcBorders>
              <w:top w:val="nil"/>
              <w:left w:val="nil"/>
              <w:bottom w:val="nil"/>
              <w:right w:val="nil"/>
            </w:tcBorders>
          </w:tcPr>
          <w:p w14:paraId="14A58AA3"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w:t>
            </w:r>
          </w:p>
        </w:tc>
        <w:tc>
          <w:tcPr>
            <w:tcW w:w="993" w:type="dxa"/>
            <w:tcBorders>
              <w:top w:val="nil"/>
              <w:left w:val="nil"/>
              <w:bottom w:val="nil"/>
              <w:right w:val="nil"/>
            </w:tcBorders>
          </w:tcPr>
          <w:p w14:paraId="2D28D3F6" w14:textId="4516530C"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w:t>
            </w:r>
          </w:p>
        </w:tc>
        <w:tc>
          <w:tcPr>
            <w:tcW w:w="992" w:type="dxa"/>
            <w:tcBorders>
              <w:top w:val="nil"/>
              <w:left w:val="nil"/>
              <w:bottom w:val="nil"/>
              <w:right w:val="single" w:sz="4" w:space="0" w:color="auto"/>
            </w:tcBorders>
          </w:tcPr>
          <w:p w14:paraId="746B3C46" w14:textId="0E7CA4EC"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w:t>
            </w:r>
          </w:p>
        </w:tc>
        <w:tc>
          <w:tcPr>
            <w:tcW w:w="992" w:type="dxa"/>
            <w:vMerge/>
            <w:tcBorders>
              <w:left w:val="single" w:sz="4" w:space="0" w:color="auto"/>
              <w:right w:val="single" w:sz="4" w:space="0" w:color="auto"/>
            </w:tcBorders>
            <w:vAlign w:val="center"/>
          </w:tcPr>
          <w:p w14:paraId="3C83A872"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1880076B" w14:textId="379489DA" w:rsidR="00876F45" w:rsidRPr="00876F45" w:rsidRDefault="00876F45" w:rsidP="00876F45">
            <w:pPr>
              <w:ind w:firstLine="0"/>
              <w:jc w:val="left"/>
              <w:rPr>
                <w:rFonts w:ascii="Times New Roman" w:hAnsi="Times New Roman" w:cs="Times New Roman"/>
                <w:sz w:val="18"/>
                <w:szCs w:val="20"/>
                <w:lang w:val="en-US"/>
              </w:rPr>
            </w:pPr>
            <w:proofErr w:type="spellStart"/>
            <w:r w:rsidRPr="00402720">
              <w:rPr>
                <w:rFonts w:ascii="Times New Roman" w:eastAsia="Calibri" w:hAnsi="Times New Roman" w:cs="Times New Roman"/>
                <w:kern w:val="0"/>
                <w:sz w:val="18"/>
                <w:szCs w:val="20"/>
                <w:lang w:val="en-US"/>
                <w14:ligatures w14:val="none"/>
              </w:rPr>
              <w:t>Sanidine</w:t>
            </w:r>
            <w:proofErr w:type="spellEnd"/>
            <w:r>
              <w:rPr>
                <w:rFonts w:ascii="Times New Roman" w:eastAsia="Calibri" w:hAnsi="Times New Roman" w:cs="Times New Roman"/>
                <w:kern w:val="0"/>
                <w:sz w:val="18"/>
                <w:szCs w:val="20"/>
                <w:lang w:val="en-US"/>
                <w14:ligatures w14:val="none"/>
              </w:rPr>
              <w:t>/</w:t>
            </w:r>
            <w:r w:rsidRPr="00402720">
              <w:rPr>
                <w:rFonts w:ascii="Times New Roman" w:eastAsia="Calibri" w:hAnsi="Times New Roman" w:cs="Times New Roman"/>
                <w:kern w:val="0"/>
                <w:sz w:val="18"/>
                <w:szCs w:val="20"/>
                <w:lang w:val="en-US"/>
                <w14:ligatures w14:val="none"/>
              </w:rPr>
              <w:t>(K, Na)(AlSi</w:t>
            </w:r>
            <w:r w:rsidRPr="00402720">
              <w:rPr>
                <w:rFonts w:ascii="Times New Roman" w:eastAsia="Calibri" w:hAnsi="Times New Roman" w:cs="Times New Roman"/>
                <w:kern w:val="0"/>
                <w:sz w:val="18"/>
                <w:szCs w:val="20"/>
                <w:vertAlign w:val="subscript"/>
                <w:lang w:val="en-US"/>
                <w14:ligatures w14:val="none"/>
              </w:rPr>
              <w:t>3</w:t>
            </w:r>
            <w:r w:rsidRPr="00402720">
              <w:rPr>
                <w:rFonts w:ascii="Times New Roman" w:eastAsia="Calibri" w:hAnsi="Times New Roman" w:cs="Times New Roman"/>
                <w:kern w:val="0"/>
                <w:sz w:val="18"/>
                <w:szCs w:val="20"/>
                <w:lang w:val="en-US"/>
                <w14:ligatures w14:val="none"/>
              </w:rPr>
              <w:t>O</w:t>
            </w:r>
            <w:r w:rsidRPr="00402720">
              <w:rPr>
                <w:rFonts w:ascii="Times New Roman" w:eastAsia="Calibri" w:hAnsi="Times New Roman" w:cs="Times New Roman"/>
                <w:kern w:val="0"/>
                <w:sz w:val="18"/>
                <w:szCs w:val="20"/>
                <w:vertAlign w:val="subscript"/>
                <w:lang w:val="en-US"/>
                <w14:ligatures w14:val="none"/>
              </w:rPr>
              <w:t>8</w:t>
            </w:r>
            <w:r w:rsidRPr="00402720">
              <w:rPr>
                <w:rFonts w:ascii="Times New Roman" w:eastAsia="Calibri" w:hAnsi="Times New Roman" w:cs="Times New Roman"/>
                <w:kern w:val="0"/>
                <w:sz w:val="18"/>
                <w:szCs w:val="20"/>
                <w:lang w:val="en-US"/>
                <w14:ligatures w14:val="none"/>
              </w:rPr>
              <w:t>)/19-1227</w:t>
            </w:r>
          </w:p>
        </w:tc>
      </w:tr>
      <w:tr w:rsidR="00876F45" w:rsidRPr="00B71ACF" w14:paraId="7D4BD1B0" w14:textId="3CF38360" w:rsidTr="003A1867">
        <w:tc>
          <w:tcPr>
            <w:tcW w:w="1276" w:type="dxa"/>
            <w:tcBorders>
              <w:top w:val="nil"/>
              <w:left w:val="nil"/>
              <w:bottom w:val="nil"/>
              <w:right w:val="nil"/>
            </w:tcBorders>
          </w:tcPr>
          <w:p w14:paraId="1BEFC759"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S</w:t>
            </w:r>
          </w:p>
        </w:tc>
        <w:tc>
          <w:tcPr>
            <w:tcW w:w="1482" w:type="dxa"/>
            <w:tcBorders>
              <w:top w:val="nil"/>
              <w:left w:val="nil"/>
              <w:bottom w:val="nil"/>
              <w:right w:val="nil"/>
            </w:tcBorders>
          </w:tcPr>
          <w:p w14:paraId="58BF691D"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w:t>
            </w:r>
          </w:p>
        </w:tc>
        <w:tc>
          <w:tcPr>
            <w:tcW w:w="993" w:type="dxa"/>
            <w:tcBorders>
              <w:top w:val="nil"/>
              <w:left w:val="nil"/>
              <w:bottom w:val="nil"/>
              <w:right w:val="nil"/>
            </w:tcBorders>
          </w:tcPr>
          <w:p w14:paraId="60824730" w14:textId="047CC795"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w:t>
            </w:r>
          </w:p>
        </w:tc>
        <w:tc>
          <w:tcPr>
            <w:tcW w:w="992" w:type="dxa"/>
            <w:tcBorders>
              <w:top w:val="nil"/>
              <w:left w:val="nil"/>
              <w:bottom w:val="nil"/>
              <w:right w:val="single" w:sz="4" w:space="0" w:color="auto"/>
            </w:tcBorders>
          </w:tcPr>
          <w:p w14:paraId="44527946" w14:textId="5ECFAFEC"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w:t>
            </w:r>
          </w:p>
        </w:tc>
        <w:tc>
          <w:tcPr>
            <w:tcW w:w="992" w:type="dxa"/>
            <w:vMerge/>
            <w:tcBorders>
              <w:left w:val="single" w:sz="4" w:space="0" w:color="auto"/>
              <w:bottom w:val="single" w:sz="4" w:space="0" w:color="auto"/>
              <w:right w:val="single" w:sz="4" w:space="0" w:color="auto"/>
            </w:tcBorders>
            <w:vAlign w:val="center"/>
          </w:tcPr>
          <w:p w14:paraId="72536740"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single" w:sz="4" w:space="0" w:color="auto"/>
              <w:right w:val="single" w:sz="4" w:space="0" w:color="auto"/>
            </w:tcBorders>
            <w:vAlign w:val="center"/>
          </w:tcPr>
          <w:p w14:paraId="34597C0A" w14:textId="6BC611D5" w:rsidR="00876F45" w:rsidRPr="00876F45" w:rsidRDefault="00876F45" w:rsidP="00876F45">
            <w:pPr>
              <w:ind w:firstLine="0"/>
              <w:jc w:val="left"/>
              <w:rPr>
                <w:rFonts w:ascii="Times New Roman" w:hAnsi="Times New Roman" w:cs="Times New Roman"/>
                <w:sz w:val="18"/>
                <w:szCs w:val="20"/>
                <w:lang w:val="es-ES"/>
              </w:rPr>
            </w:pPr>
            <w:proofErr w:type="spellStart"/>
            <w:r w:rsidRPr="00402720">
              <w:rPr>
                <w:rFonts w:ascii="Times New Roman" w:eastAsia="Calibri" w:hAnsi="Times New Roman" w:cs="Times New Roman"/>
                <w:kern w:val="0"/>
                <w:sz w:val="18"/>
                <w:szCs w:val="20"/>
                <w:lang w:val="es-ES"/>
                <w14:ligatures w14:val="none"/>
              </w:rPr>
              <w:t>Illite</w:t>
            </w:r>
            <w:proofErr w:type="spellEnd"/>
            <w:r w:rsidRPr="00402720">
              <w:rPr>
                <w:rFonts w:ascii="Times New Roman" w:eastAsia="Calibri" w:hAnsi="Times New Roman" w:cs="Times New Roman"/>
                <w:kern w:val="0"/>
                <w:sz w:val="18"/>
                <w:szCs w:val="20"/>
                <w:lang w:val="es-ES"/>
                <w14:ligatures w14:val="none"/>
              </w:rPr>
              <w:t>/(K, H</w:t>
            </w:r>
            <w:r w:rsidRPr="00402720">
              <w:rPr>
                <w:rFonts w:ascii="Times New Roman" w:eastAsia="Calibri" w:hAnsi="Times New Roman" w:cs="Times New Roman"/>
                <w:kern w:val="0"/>
                <w:sz w:val="18"/>
                <w:szCs w:val="20"/>
                <w:vertAlign w:val="subscript"/>
                <w:lang w:val="es-ES"/>
                <w14:ligatures w14:val="none"/>
              </w:rPr>
              <w:t>3</w:t>
            </w:r>
            <w:r w:rsidRPr="00402720">
              <w:rPr>
                <w:rFonts w:ascii="Times New Roman" w:eastAsia="Calibri" w:hAnsi="Times New Roman" w:cs="Times New Roman"/>
                <w:kern w:val="0"/>
                <w:sz w:val="18"/>
                <w:szCs w:val="20"/>
                <w:lang w:val="es-ES"/>
                <w14:ligatures w14:val="none"/>
              </w:rPr>
              <w:t>O)Al</w:t>
            </w:r>
            <w:r w:rsidRPr="00402720">
              <w:rPr>
                <w:rFonts w:ascii="Times New Roman" w:eastAsia="Calibri" w:hAnsi="Times New Roman" w:cs="Times New Roman"/>
                <w:kern w:val="0"/>
                <w:sz w:val="18"/>
                <w:szCs w:val="20"/>
                <w:vertAlign w:val="subscript"/>
                <w:lang w:val="es-ES"/>
                <w14:ligatures w14:val="none"/>
              </w:rPr>
              <w:t>2</w:t>
            </w:r>
            <w:r w:rsidRPr="00402720">
              <w:rPr>
                <w:rFonts w:ascii="Times New Roman" w:eastAsia="Calibri" w:hAnsi="Times New Roman" w:cs="Times New Roman"/>
                <w:kern w:val="0"/>
                <w:sz w:val="18"/>
                <w:szCs w:val="20"/>
                <w:lang w:val="es-ES"/>
                <w14:ligatures w14:val="none"/>
              </w:rPr>
              <w:t>Si</w:t>
            </w:r>
            <w:r w:rsidRPr="00402720">
              <w:rPr>
                <w:rFonts w:ascii="Times New Roman" w:eastAsia="Calibri" w:hAnsi="Times New Roman" w:cs="Times New Roman"/>
                <w:kern w:val="0"/>
                <w:sz w:val="18"/>
                <w:szCs w:val="20"/>
                <w:vertAlign w:val="subscript"/>
                <w:lang w:val="es-ES"/>
                <w14:ligatures w14:val="none"/>
              </w:rPr>
              <w:t>3</w:t>
            </w:r>
            <w:r w:rsidRPr="00402720">
              <w:rPr>
                <w:rFonts w:ascii="Times New Roman" w:eastAsia="Calibri" w:hAnsi="Times New Roman" w:cs="Times New Roman"/>
                <w:kern w:val="0"/>
                <w:sz w:val="18"/>
                <w:szCs w:val="20"/>
                <w:lang w:val="es-ES"/>
                <w14:ligatures w14:val="none"/>
              </w:rPr>
              <w:t>AlO</w:t>
            </w:r>
            <w:r w:rsidRPr="00402720">
              <w:rPr>
                <w:rFonts w:ascii="Times New Roman" w:eastAsia="Calibri" w:hAnsi="Times New Roman" w:cs="Times New Roman"/>
                <w:kern w:val="0"/>
                <w:sz w:val="18"/>
                <w:szCs w:val="20"/>
                <w:vertAlign w:val="subscript"/>
                <w:lang w:val="es-ES"/>
                <w14:ligatures w14:val="none"/>
              </w:rPr>
              <w:t>10</w:t>
            </w:r>
            <w:r w:rsidRPr="00402720">
              <w:rPr>
                <w:rFonts w:ascii="Times New Roman" w:eastAsia="Calibri" w:hAnsi="Times New Roman" w:cs="Times New Roman"/>
                <w:kern w:val="0"/>
                <w:sz w:val="18"/>
                <w:szCs w:val="20"/>
                <w:lang w:val="es-ES"/>
                <w14:ligatures w14:val="none"/>
              </w:rPr>
              <w:t>(OH)</w:t>
            </w:r>
            <w:r w:rsidRPr="00402720">
              <w:rPr>
                <w:rFonts w:ascii="Times New Roman" w:eastAsia="Calibri" w:hAnsi="Times New Roman" w:cs="Times New Roman"/>
                <w:kern w:val="0"/>
                <w:sz w:val="18"/>
                <w:szCs w:val="20"/>
                <w:vertAlign w:val="subscript"/>
                <w:lang w:val="es-ES"/>
                <w14:ligatures w14:val="none"/>
              </w:rPr>
              <w:t>2</w:t>
            </w:r>
            <w:r w:rsidRPr="00402720">
              <w:rPr>
                <w:rFonts w:ascii="Times New Roman" w:eastAsia="Calibri" w:hAnsi="Times New Roman" w:cs="Times New Roman"/>
                <w:kern w:val="0"/>
                <w:sz w:val="18"/>
                <w:szCs w:val="20"/>
                <w:lang w:val="es-ES"/>
                <w14:ligatures w14:val="none"/>
              </w:rPr>
              <w:t>/26-0911</w:t>
            </w:r>
          </w:p>
        </w:tc>
      </w:tr>
      <w:tr w:rsidR="00876F45" w:rsidRPr="00B71ACF" w14:paraId="3A81A0EC" w14:textId="5E5F6AD7" w:rsidTr="003A1867">
        <w:tc>
          <w:tcPr>
            <w:tcW w:w="1276" w:type="dxa"/>
            <w:tcBorders>
              <w:top w:val="nil"/>
              <w:left w:val="nil"/>
              <w:right w:val="nil"/>
            </w:tcBorders>
          </w:tcPr>
          <w:p w14:paraId="60B85049"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O</w:t>
            </w:r>
          </w:p>
        </w:tc>
        <w:tc>
          <w:tcPr>
            <w:tcW w:w="1482" w:type="dxa"/>
            <w:tcBorders>
              <w:top w:val="nil"/>
              <w:left w:val="nil"/>
              <w:right w:val="nil"/>
            </w:tcBorders>
          </w:tcPr>
          <w:p w14:paraId="19ECEA65"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7.67</w:t>
            </w:r>
          </w:p>
        </w:tc>
        <w:tc>
          <w:tcPr>
            <w:tcW w:w="993" w:type="dxa"/>
            <w:tcBorders>
              <w:top w:val="nil"/>
              <w:left w:val="nil"/>
              <w:right w:val="nil"/>
            </w:tcBorders>
          </w:tcPr>
          <w:p w14:paraId="596E2B30" w14:textId="5619B86A"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7.03</w:t>
            </w:r>
          </w:p>
        </w:tc>
        <w:tc>
          <w:tcPr>
            <w:tcW w:w="992" w:type="dxa"/>
            <w:tcBorders>
              <w:top w:val="nil"/>
              <w:left w:val="nil"/>
              <w:right w:val="single" w:sz="4" w:space="0" w:color="auto"/>
            </w:tcBorders>
          </w:tcPr>
          <w:p w14:paraId="397A9A43" w14:textId="5DE0D8AE"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4.36</w:t>
            </w:r>
          </w:p>
        </w:tc>
        <w:tc>
          <w:tcPr>
            <w:tcW w:w="992" w:type="dxa"/>
            <w:vMerge w:val="restart"/>
            <w:tcBorders>
              <w:top w:val="single" w:sz="4" w:space="0" w:color="auto"/>
              <w:left w:val="single" w:sz="4" w:space="0" w:color="auto"/>
              <w:right w:val="single" w:sz="4" w:space="0" w:color="auto"/>
            </w:tcBorders>
            <w:vAlign w:val="center"/>
          </w:tcPr>
          <w:p w14:paraId="7C8EAA86" w14:textId="4C422178" w:rsidR="00876F45" w:rsidRPr="00B71ACF" w:rsidRDefault="00876F45" w:rsidP="00876F45">
            <w:pPr>
              <w:ind w:firstLine="0"/>
              <w:jc w:val="center"/>
              <w:rPr>
                <w:rFonts w:ascii="Times New Roman" w:hAnsi="Times New Roman" w:cs="Times New Roman"/>
                <w:sz w:val="20"/>
                <w:szCs w:val="20"/>
                <w:lang w:val="en-US"/>
              </w:rPr>
            </w:pPr>
            <w:r>
              <w:rPr>
                <w:rFonts w:ascii="Times New Roman" w:eastAsia="Calibri" w:hAnsi="Times New Roman" w:cs="Times New Roman"/>
                <w:kern w:val="0"/>
                <w:sz w:val="20"/>
                <w:szCs w:val="20"/>
                <w:lang w:val="en-US"/>
                <w14:ligatures w14:val="none"/>
              </w:rPr>
              <w:t>OBDC-3</w:t>
            </w:r>
          </w:p>
        </w:tc>
        <w:tc>
          <w:tcPr>
            <w:tcW w:w="3337" w:type="dxa"/>
            <w:tcBorders>
              <w:top w:val="single" w:sz="4" w:space="0" w:color="auto"/>
              <w:left w:val="single" w:sz="4" w:space="0" w:color="auto"/>
              <w:bottom w:val="nil"/>
              <w:right w:val="single" w:sz="4" w:space="0" w:color="auto"/>
            </w:tcBorders>
            <w:vAlign w:val="center"/>
          </w:tcPr>
          <w:p w14:paraId="403711AD" w14:textId="4F1E4EDD" w:rsidR="00876F45" w:rsidRPr="00876F45" w:rsidRDefault="00876F45" w:rsidP="00876F45">
            <w:pPr>
              <w:ind w:firstLine="0"/>
              <w:jc w:val="left"/>
              <w:rPr>
                <w:rFonts w:ascii="Times New Roman" w:hAnsi="Times New Roman" w:cs="Times New Roman"/>
                <w:sz w:val="18"/>
                <w:szCs w:val="20"/>
                <w:lang w:val="en-US"/>
              </w:rPr>
            </w:pPr>
            <w:r w:rsidRPr="00402720">
              <w:rPr>
                <w:rFonts w:ascii="Times New Roman" w:eastAsia="Calibri" w:hAnsi="Times New Roman" w:cs="Times New Roman"/>
                <w:kern w:val="0"/>
                <w:sz w:val="18"/>
                <w:szCs w:val="20"/>
                <w:lang w:val="en-US"/>
                <w14:ligatures w14:val="none"/>
              </w:rPr>
              <w:t>Quartz/(SiO</w:t>
            </w:r>
            <w:r w:rsidRPr="00402720">
              <w:rPr>
                <w:rFonts w:ascii="Times New Roman" w:eastAsia="Calibri" w:hAnsi="Times New Roman" w:cs="Times New Roman"/>
                <w:kern w:val="0"/>
                <w:sz w:val="18"/>
                <w:szCs w:val="20"/>
                <w:vertAlign w:val="subscript"/>
                <w:lang w:val="en-US"/>
                <w14:ligatures w14:val="none"/>
              </w:rPr>
              <w:t>2</w:t>
            </w:r>
            <w:r w:rsidRPr="00402720">
              <w:rPr>
                <w:rFonts w:ascii="Times New Roman" w:eastAsia="Calibri" w:hAnsi="Times New Roman" w:cs="Times New Roman"/>
                <w:kern w:val="0"/>
                <w:sz w:val="18"/>
                <w:szCs w:val="20"/>
                <w:lang w:val="en-US"/>
                <w14:ligatures w14:val="none"/>
              </w:rPr>
              <w:t>)/89-8934</w:t>
            </w:r>
          </w:p>
        </w:tc>
      </w:tr>
      <w:tr w:rsidR="00876F45" w:rsidRPr="00B71ACF" w14:paraId="402A591A" w14:textId="4F5E8D41" w:rsidTr="003A1867">
        <w:tc>
          <w:tcPr>
            <w:tcW w:w="1276" w:type="dxa"/>
            <w:vMerge w:val="restart"/>
            <w:tcBorders>
              <w:left w:val="nil"/>
              <w:right w:val="nil"/>
            </w:tcBorders>
          </w:tcPr>
          <w:p w14:paraId="1A0759F9" w14:textId="77777777" w:rsidR="00876F45" w:rsidRPr="00B71ACF" w:rsidRDefault="00876F45" w:rsidP="00876F45">
            <w:pPr>
              <w:ind w:firstLine="0"/>
              <w:jc w:val="left"/>
              <w:rPr>
                <w:rFonts w:ascii="Times New Roman" w:hAnsi="Times New Roman" w:cs="Times New Roman"/>
                <w:sz w:val="20"/>
                <w:szCs w:val="20"/>
                <w:lang w:val="en-US"/>
              </w:rPr>
            </w:pPr>
            <w:r w:rsidRPr="00B71ACF">
              <w:rPr>
                <w:rFonts w:ascii="Times New Roman" w:hAnsi="Times New Roman" w:cs="Times New Roman"/>
                <w:sz w:val="20"/>
                <w:szCs w:val="20"/>
                <w:lang w:val="en-US"/>
              </w:rPr>
              <w:t>oil content (</w:t>
            </w:r>
            <w:proofErr w:type="spellStart"/>
            <w:r w:rsidRPr="00B71ACF">
              <w:rPr>
                <w:rFonts w:ascii="Times New Roman" w:hAnsi="Times New Roman" w:cs="Times New Roman"/>
                <w:sz w:val="20"/>
                <w:szCs w:val="20"/>
                <w:lang w:val="en-US"/>
              </w:rPr>
              <w:t>wt</w:t>
            </w:r>
            <w:proofErr w:type="spellEnd"/>
            <w:r w:rsidRPr="00B71ACF">
              <w:rPr>
                <w:rFonts w:ascii="Times New Roman" w:hAnsi="Times New Roman" w:cs="Times New Roman"/>
                <w:sz w:val="20"/>
                <w:szCs w:val="20"/>
                <w:lang w:val="en-US"/>
              </w:rPr>
              <w:t xml:space="preserve"> %)</w:t>
            </w:r>
          </w:p>
        </w:tc>
        <w:tc>
          <w:tcPr>
            <w:tcW w:w="1482" w:type="dxa"/>
            <w:vMerge w:val="restart"/>
            <w:tcBorders>
              <w:left w:val="nil"/>
              <w:right w:val="nil"/>
            </w:tcBorders>
            <w:vAlign w:val="center"/>
          </w:tcPr>
          <w:p w14:paraId="27136FF0" w14:textId="77777777"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12.54</w:t>
            </w:r>
          </w:p>
        </w:tc>
        <w:tc>
          <w:tcPr>
            <w:tcW w:w="993" w:type="dxa"/>
            <w:vMerge w:val="restart"/>
            <w:tcBorders>
              <w:left w:val="nil"/>
              <w:right w:val="nil"/>
            </w:tcBorders>
            <w:vAlign w:val="center"/>
          </w:tcPr>
          <w:p w14:paraId="0DE6FB6E" w14:textId="2986E6CD"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13.42</w:t>
            </w:r>
          </w:p>
        </w:tc>
        <w:tc>
          <w:tcPr>
            <w:tcW w:w="992" w:type="dxa"/>
            <w:vMerge w:val="restart"/>
            <w:tcBorders>
              <w:left w:val="nil"/>
              <w:right w:val="single" w:sz="4" w:space="0" w:color="auto"/>
            </w:tcBorders>
            <w:vAlign w:val="center"/>
          </w:tcPr>
          <w:p w14:paraId="64D8015F" w14:textId="1FBB0EDC" w:rsidR="00876F45" w:rsidRPr="00B71ACF" w:rsidRDefault="00876F45" w:rsidP="00876F45">
            <w:pPr>
              <w:ind w:firstLine="0"/>
              <w:jc w:val="center"/>
              <w:rPr>
                <w:rFonts w:ascii="Times New Roman" w:hAnsi="Times New Roman" w:cs="Times New Roman"/>
                <w:sz w:val="20"/>
                <w:szCs w:val="20"/>
                <w:lang w:val="en-US"/>
              </w:rPr>
            </w:pPr>
            <w:r w:rsidRPr="00B71ACF">
              <w:rPr>
                <w:rFonts w:ascii="Times New Roman" w:hAnsi="Times New Roman" w:cs="Times New Roman"/>
                <w:sz w:val="20"/>
                <w:szCs w:val="20"/>
                <w:lang w:val="en-US"/>
              </w:rPr>
              <w:t>12.50</w:t>
            </w:r>
          </w:p>
        </w:tc>
        <w:tc>
          <w:tcPr>
            <w:tcW w:w="992" w:type="dxa"/>
            <w:vMerge/>
            <w:tcBorders>
              <w:left w:val="single" w:sz="4" w:space="0" w:color="auto"/>
              <w:right w:val="single" w:sz="4" w:space="0" w:color="auto"/>
            </w:tcBorders>
          </w:tcPr>
          <w:p w14:paraId="511B7707" w14:textId="77777777" w:rsidR="00876F45" w:rsidRPr="00B71ACF" w:rsidRDefault="00876F45" w:rsidP="00876F45">
            <w:pPr>
              <w:ind w:firstLine="0"/>
              <w:jc w:val="center"/>
              <w:rPr>
                <w:rFonts w:ascii="Times New Roman" w:hAnsi="Times New Roman" w:cs="Times New Roman"/>
                <w:sz w:val="20"/>
                <w:szCs w:val="20"/>
                <w:lang w:val="en-US"/>
              </w:rPr>
            </w:pPr>
          </w:p>
        </w:tc>
        <w:tc>
          <w:tcPr>
            <w:tcW w:w="3337" w:type="dxa"/>
            <w:tcBorders>
              <w:top w:val="nil"/>
              <w:left w:val="single" w:sz="4" w:space="0" w:color="auto"/>
              <w:bottom w:val="nil"/>
              <w:right w:val="single" w:sz="4" w:space="0" w:color="auto"/>
            </w:tcBorders>
            <w:vAlign w:val="center"/>
          </w:tcPr>
          <w:p w14:paraId="786DDB02" w14:textId="5E56E9E8" w:rsidR="00876F45" w:rsidRPr="00876F45" w:rsidRDefault="00876F45" w:rsidP="00876F45">
            <w:pPr>
              <w:ind w:firstLine="0"/>
              <w:jc w:val="left"/>
              <w:rPr>
                <w:rFonts w:ascii="Times New Roman" w:hAnsi="Times New Roman" w:cs="Times New Roman"/>
                <w:sz w:val="18"/>
                <w:szCs w:val="20"/>
                <w:lang w:val="es-ES"/>
              </w:rPr>
            </w:pPr>
            <w:proofErr w:type="spellStart"/>
            <w:r w:rsidRPr="00402720">
              <w:rPr>
                <w:rFonts w:ascii="Times New Roman" w:eastAsia="Calibri" w:hAnsi="Times New Roman" w:cs="Times New Roman"/>
                <w:kern w:val="0"/>
                <w:sz w:val="18"/>
                <w:szCs w:val="20"/>
                <w:lang w:val="es-ES"/>
                <w14:ligatures w14:val="none"/>
              </w:rPr>
              <w:t>Albite</w:t>
            </w:r>
            <w:proofErr w:type="spellEnd"/>
            <w:r>
              <w:rPr>
                <w:rFonts w:ascii="Times New Roman" w:eastAsia="Calibri" w:hAnsi="Times New Roman" w:cs="Times New Roman"/>
                <w:kern w:val="0"/>
                <w:sz w:val="18"/>
                <w:szCs w:val="20"/>
                <w:lang w:val="es-ES"/>
                <w14:ligatures w14:val="none"/>
              </w:rPr>
              <w:t>/</w:t>
            </w:r>
            <w:r w:rsidRPr="00402720">
              <w:rPr>
                <w:rFonts w:ascii="Times New Roman" w:eastAsia="Calibri" w:hAnsi="Times New Roman" w:cs="Times New Roman"/>
                <w:kern w:val="0"/>
                <w:sz w:val="18"/>
                <w:szCs w:val="20"/>
                <w:lang w:val="es-ES"/>
                <w14:ligatures w14:val="none"/>
              </w:rPr>
              <w:t>(</w:t>
            </w:r>
            <w:proofErr w:type="spellStart"/>
            <w:r w:rsidRPr="00402720">
              <w:rPr>
                <w:rFonts w:ascii="Times New Roman" w:eastAsia="Calibri" w:hAnsi="Times New Roman" w:cs="Times New Roman"/>
                <w:kern w:val="0"/>
                <w:sz w:val="18"/>
                <w:szCs w:val="20"/>
                <w:lang w:val="es-ES"/>
                <w14:ligatures w14:val="none"/>
              </w:rPr>
              <w:t>Na</w:t>
            </w:r>
            <w:proofErr w:type="spellEnd"/>
            <w:r w:rsidRPr="00402720">
              <w:rPr>
                <w:rFonts w:ascii="Times New Roman" w:eastAsia="Calibri" w:hAnsi="Times New Roman" w:cs="Times New Roman"/>
                <w:kern w:val="0"/>
                <w:sz w:val="18"/>
                <w:szCs w:val="20"/>
                <w:lang w:val="es-ES"/>
                <w14:ligatures w14:val="none"/>
              </w:rPr>
              <w:t>, Ca)Al(Si, Al)</w:t>
            </w:r>
            <w:r w:rsidRPr="00402720">
              <w:rPr>
                <w:rFonts w:ascii="Times New Roman" w:eastAsia="Calibri" w:hAnsi="Times New Roman" w:cs="Times New Roman"/>
                <w:kern w:val="0"/>
                <w:sz w:val="18"/>
                <w:szCs w:val="20"/>
                <w:vertAlign w:val="subscript"/>
                <w:lang w:val="es-ES"/>
                <w14:ligatures w14:val="none"/>
              </w:rPr>
              <w:t>3</w:t>
            </w:r>
            <w:r w:rsidRPr="00402720">
              <w:rPr>
                <w:rFonts w:ascii="Times New Roman" w:eastAsia="Calibri" w:hAnsi="Times New Roman" w:cs="Times New Roman"/>
                <w:kern w:val="0"/>
                <w:sz w:val="18"/>
                <w:szCs w:val="20"/>
                <w:lang w:val="es-ES"/>
                <w14:ligatures w14:val="none"/>
              </w:rPr>
              <w:t>O</w:t>
            </w:r>
            <w:r w:rsidRPr="00402720">
              <w:rPr>
                <w:rFonts w:ascii="Times New Roman" w:eastAsia="Calibri" w:hAnsi="Times New Roman" w:cs="Times New Roman"/>
                <w:kern w:val="0"/>
                <w:sz w:val="18"/>
                <w:szCs w:val="20"/>
                <w:vertAlign w:val="subscript"/>
                <w:lang w:val="es-ES"/>
                <w14:ligatures w14:val="none"/>
              </w:rPr>
              <w:t>8</w:t>
            </w:r>
            <w:r w:rsidRPr="00402720">
              <w:rPr>
                <w:rFonts w:ascii="Times New Roman" w:eastAsia="Calibri" w:hAnsi="Times New Roman" w:cs="Times New Roman"/>
                <w:kern w:val="0"/>
                <w:sz w:val="18"/>
                <w:szCs w:val="20"/>
                <w:lang w:val="es-ES"/>
                <w14:ligatures w14:val="none"/>
              </w:rPr>
              <w:t>/41-1480</w:t>
            </w:r>
          </w:p>
        </w:tc>
      </w:tr>
      <w:tr w:rsidR="00876F45" w:rsidRPr="00B71ACF" w14:paraId="527ADCF7" w14:textId="77777777" w:rsidTr="003A1867">
        <w:tc>
          <w:tcPr>
            <w:tcW w:w="1276" w:type="dxa"/>
            <w:vMerge/>
            <w:tcBorders>
              <w:left w:val="nil"/>
              <w:right w:val="nil"/>
            </w:tcBorders>
          </w:tcPr>
          <w:p w14:paraId="2BB9D3A1" w14:textId="77777777" w:rsidR="00876F45" w:rsidRPr="00876F45" w:rsidRDefault="00876F45" w:rsidP="00876F45">
            <w:pPr>
              <w:ind w:firstLine="0"/>
              <w:jc w:val="left"/>
              <w:rPr>
                <w:rFonts w:ascii="Times New Roman" w:hAnsi="Times New Roman" w:cs="Times New Roman"/>
                <w:sz w:val="20"/>
                <w:szCs w:val="20"/>
                <w:lang w:val="es-ES"/>
              </w:rPr>
            </w:pPr>
          </w:p>
        </w:tc>
        <w:tc>
          <w:tcPr>
            <w:tcW w:w="1482" w:type="dxa"/>
            <w:vMerge/>
            <w:tcBorders>
              <w:left w:val="nil"/>
              <w:right w:val="nil"/>
            </w:tcBorders>
          </w:tcPr>
          <w:p w14:paraId="12F88BC0" w14:textId="77777777" w:rsidR="00876F45" w:rsidRPr="00876F45" w:rsidRDefault="00876F45" w:rsidP="00876F45">
            <w:pPr>
              <w:ind w:firstLine="0"/>
              <w:jc w:val="center"/>
              <w:rPr>
                <w:rFonts w:ascii="Times New Roman" w:hAnsi="Times New Roman" w:cs="Times New Roman"/>
                <w:sz w:val="20"/>
                <w:szCs w:val="20"/>
                <w:lang w:val="es-ES"/>
              </w:rPr>
            </w:pPr>
          </w:p>
        </w:tc>
        <w:tc>
          <w:tcPr>
            <w:tcW w:w="993" w:type="dxa"/>
            <w:vMerge/>
            <w:tcBorders>
              <w:left w:val="nil"/>
              <w:right w:val="nil"/>
            </w:tcBorders>
          </w:tcPr>
          <w:p w14:paraId="64160A6E" w14:textId="77777777" w:rsidR="00876F45" w:rsidRPr="00876F45" w:rsidRDefault="00876F45" w:rsidP="00876F45">
            <w:pPr>
              <w:ind w:firstLine="0"/>
              <w:jc w:val="center"/>
              <w:rPr>
                <w:rFonts w:ascii="Times New Roman" w:hAnsi="Times New Roman" w:cs="Times New Roman"/>
                <w:sz w:val="20"/>
                <w:szCs w:val="20"/>
                <w:lang w:val="es-ES"/>
              </w:rPr>
            </w:pPr>
          </w:p>
        </w:tc>
        <w:tc>
          <w:tcPr>
            <w:tcW w:w="992" w:type="dxa"/>
            <w:vMerge/>
            <w:tcBorders>
              <w:left w:val="nil"/>
              <w:right w:val="single" w:sz="4" w:space="0" w:color="auto"/>
            </w:tcBorders>
          </w:tcPr>
          <w:p w14:paraId="3C9B1B51" w14:textId="77777777" w:rsidR="00876F45" w:rsidRPr="00876F45" w:rsidRDefault="00876F45" w:rsidP="00876F45">
            <w:pPr>
              <w:ind w:firstLine="0"/>
              <w:jc w:val="center"/>
              <w:rPr>
                <w:rFonts w:ascii="Times New Roman" w:hAnsi="Times New Roman" w:cs="Times New Roman"/>
                <w:sz w:val="20"/>
                <w:szCs w:val="20"/>
                <w:lang w:val="es-ES"/>
              </w:rPr>
            </w:pPr>
          </w:p>
        </w:tc>
        <w:tc>
          <w:tcPr>
            <w:tcW w:w="992" w:type="dxa"/>
            <w:vMerge/>
            <w:tcBorders>
              <w:left w:val="single" w:sz="4" w:space="0" w:color="auto"/>
              <w:right w:val="single" w:sz="4" w:space="0" w:color="auto"/>
            </w:tcBorders>
          </w:tcPr>
          <w:p w14:paraId="2573C7D9" w14:textId="77777777" w:rsidR="00876F45" w:rsidRPr="00876F45" w:rsidRDefault="00876F45" w:rsidP="00876F45">
            <w:pPr>
              <w:ind w:firstLine="0"/>
              <w:jc w:val="center"/>
              <w:rPr>
                <w:rFonts w:ascii="Times New Roman" w:hAnsi="Times New Roman" w:cs="Times New Roman"/>
                <w:sz w:val="20"/>
                <w:szCs w:val="20"/>
                <w:lang w:val="es-ES"/>
              </w:rPr>
            </w:pPr>
          </w:p>
        </w:tc>
        <w:tc>
          <w:tcPr>
            <w:tcW w:w="3337" w:type="dxa"/>
            <w:tcBorders>
              <w:top w:val="nil"/>
              <w:left w:val="single" w:sz="4" w:space="0" w:color="auto"/>
              <w:right w:val="single" w:sz="4" w:space="0" w:color="auto"/>
            </w:tcBorders>
            <w:vAlign w:val="center"/>
          </w:tcPr>
          <w:p w14:paraId="65C68601" w14:textId="476A9159" w:rsidR="00876F45" w:rsidRPr="00876F45" w:rsidRDefault="00876F45" w:rsidP="00876F45">
            <w:pPr>
              <w:ind w:firstLine="0"/>
              <w:jc w:val="left"/>
              <w:rPr>
                <w:rFonts w:ascii="Times New Roman" w:hAnsi="Times New Roman" w:cs="Times New Roman"/>
                <w:sz w:val="18"/>
                <w:szCs w:val="20"/>
                <w:lang w:val="es-ES"/>
              </w:rPr>
            </w:pPr>
            <w:proofErr w:type="spellStart"/>
            <w:r w:rsidRPr="00402720">
              <w:rPr>
                <w:rFonts w:ascii="Times New Roman" w:eastAsia="Calibri" w:hAnsi="Times New Roman" w:cs="Times New Roman"/>
                <w:kern w:val="0"/>
                <w:sz w:val="18"/>
                <w:szCs w:val="20"/>
                <w:lang w:val="es-ES"/>
                <w14:ligatures w14:val="none"/>
              </w:rPr>
              <w:t>Orthoclase</w:t>
            </w:r>
            <w:proofErr w:type="spellEnd"/>
            <w:r w:rsidRPr="00402720">
              <w:rPr>
                <w:rFonts w:ascii="Times New Roman" w:eastAsia="Calibri" w:hAnsi="Times New Roman" w:cs="Times New Roman"/>
                <w:kern w:val="0"/>
                <w:sz w:val="18"/>
                <w:szCs w:val="20"/>
                <w:lang w:val="es-ES"/>
                <w14:ligatures w14:val="none"/>
              </w:rPr>
              <w:t>/</w:t>
            </w:r>
            <w:r w:rsidRPr="00402720">
              <w:rPr>
                <w:rFonts w:ascii="Times New Roman" w:eastAsia="Calibri" w:hAnsi="Times New Roman" w:cs="Times New Roman"/>
                <w:kern w:val="0"/>
                <w:sz w:val="18"/>
                <w:szCs w:val="20"/>
                <w:lang w:val="en-US"/>
                <w14:ligatures w14:val="none"/>
              </w:rPr>
              <w:t>K(AlSi</w:t>
            </w:r>
            <w:r w:rsidRPr="00402720">
              <w:rPr>
                <w:rFonts w:ascii="Times New Roman" w:eastAsia="Calibri" w:hAnsi="Times New Roman" w:cs="Times New Roman"/>
                <w:kern w:val="0"/>
                <w:sz w:val="18"/>
                <w:szCs w:val="20"/>
                <w:vertAlign w:val="subscript"/>
                <w:lang w:val="en-US"/>
                <w14:ligatures w14:val="none"/>
              </w:rPr>
              <w:t>3</w:t>
            </w:r>
            <w:r w:rsidRPr="00402720">
              <w:rPr>
                <w:rFonts w:ascii="Times New Roman" w:eastAsia="Calibri" w:hAnsi="Times New Roman" w:cs="Times New Roman"/>
                <w:kern w:val="0"/>
                <w:sz w:val="18"/>
                <w:szCs w:val="20"/>
                <w:lang w:val="en-US"/>
                <w14:ligatures w14:val="none"/>
              </w:rPr>
              <w:t>O</w:t>
            </w:r>
            <w:r w:rsidRPr="00402720">
              <w:rPr>
                <w:rFonts w:ascii="Times New Roman" w:eastAsia="Calibri" w:hAnsi="Times New Roman" w:cs="Times New Roman"/>
                <w:kern w:val="0"/>
                <w:sz w:val="18"/>
                <w:szCs w:val="20"/>
                <w:vertAlign w:val="subscript"/>
                <w:lang w:val="en-US"/>
                <w14:ligatures w14:val="none"/>
              </w:rPr>
              <w:t>8</w:t>
            </w:r>
            <w:r w:rsidRPr="00402720">
              <w:rPr>
                <w:rFonts w:ascii="Times New Roman" w:eastAsia="Calibri" w:hAnsi="Times New Roman" w:cs="Times New Roman"/>
                <w:kern w:val="0"/>
                <w:sz w:val="18"/>
                <w:szCs w:val="20"/>
                <w:lang w:val="en-US"/>
                <w14:ligatures w14:val="none"/>
              </w:rPr>
              <w:t>)/75-1190</w:t>
            </w:r>
          </w:p>
        </w:tc>
      </w:tr>
    </w:tbl>
    <w:p w14:paraId="3FE37164" w14:textId="77777777" w:rsidR="00402720" w:rsidRDefault="00402720" w:rsidP="008D4E49">
      <w:pPr>
        <w:spacing w:line="360" w:lineRule="auto"/>
        <w:ind w:firstLine="0"/>
        <w:rPr>
          <w:rFonts w:ascii="Times New Roman" w:hAnsi="Times New Roman" w:cs="Times New Roman"/>
          <w:sz w:val="24"/>
          <w:szCs w:val="24"/>
          <w:lang w:val="en-US"/>
        </w:rPr>
      </w:pPr>
    </w:p>
    <w:p w14:paraId="650A8D3F" w14:textId="177CC644" w:rsidR="002D7195" w:rsidRDefault="00484A35" w:rsidP="008D4E49">
      <w:pPr>
        <w:spacing w:line="360" w:lineRule="auto"/>
        <w:ind w:firstLine="0"/>
        <w:rPr>
          <w:rFonts w:ascii="Times New Roman" w:hAnsi="Times New Roman" w:cs="Times New Roman"/>
          <w:sz w:val="24"/>
          <w:szCs w:val="24"/>
          <w:lang w:val="en-US"/>
        </w:rPr>
      </w:pPr>
      <w:r w:rsidRPr="00B71ACF">
        <w:rPr>
          <w:rFonts w:ascii="Times New Roman" w:hAnsi="Times New Roman" w:cs="Times New Roman"/>
          <w:noProof/>
          <w:sz w:val="24"/>
          <w:szCs w:val="24"/>
          <w:lang w:val="es-ES" w:eastAsia="es-ES"/>
        </w:rPr>
        <w:drawing>
          <wp:anchor distT="0" distB="0" distL="114300" distR="114300" simplePos="0" relativeHeight="251659264" behindDoc="0" locked="0" layoutInCell="1" allowOverlap="1" wp14:anchorId="7EAB5A80" wp14:editId="2AF08AEC">
            <wp:simplePos x="0" y="0"/>
            <wp:positionH relativeFrom="margin">
              <wp:align>center</wp:align>
            </wp:positionH>
            <wp:positionV relativeFrom="paragraph">
              <wp:posOffset>57150</wp:posOffset>
            </wp:positionV>
            <wp:extent cx="5480361" cy="3252635"/>
            <wp:effectExtent l="0" t="0" r="6350" b="5080"/>
            <wp:wrapNone/>
            <wp:docPr id="9707541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54133" name="Imagen 9707541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0361" cy="3252635"/>
                    </a:xfrm>
                    <a:prstGeom prst="rect">
                      <a:avLst/>
                    </a:prstGeom>
                  </pic:spPr>
                </pic:pic>
              </a:graphicData>
            </a:graphic>
            <wp14:sizeRelH relativeFrom="page">
              <wp14:pctWidth>0</wp14:pctWidth>
            </wp14:sizeRelH>
            <wp14:sizeRelV relativeFrom="page">
              <wp14:pctHeight>0</wp14:pctHeight>
            </wp14:sizeRelV>
          </wp:anchor>
        </w:drawing>
      </w:r>
    </w:p>
    <w:p w14:paraId="451147D4" w14:textId="1879E617" w:rsidR="00484A35" w:rsidRDefault="00484A35" w:rsidP="008D4E49">
      <w:pPr>
        <w:spacing w:line="360" w:lineRule="auto"/>
        <w:ind w:firstLine="0"/>
        <w:rPr>
          <w:rFonts w:ascii="Times New Roman" w:hAnsi="Times New Roman" w:cs="Times New Roman"/>
          <w:sz w:val="24"/>
          <w:szCs w:val="24"/>
          <w:lang w:val="en-US"/>
        </w:rPr>
      </w:pPr>
    </w:p>
    <w:p w14:paraId="42FD6AE7" w14:textId="77777777" w:rsidR="00484A35" w:rsidRDefault="00484A35" w:rsidP="008D4E49">
      <w:pPr>
        <w:spacing w:line="360" w:lineRule="auto"/>
        <w:ind w:firstLine="0"/>
        <w:rPr>
          <w:rFonts w:ascii="Times New Roman" w:hAnsi="Times New Roman" w:cs="Times New Roman"/>
          <w:sz w:val="24"/>
          <w:szCs w:val="24"/>
          <w:lang w:val="en-US"/>
        </w:rPr>
      </w:pPr>
    </w:p>
    <w:p w14:paraId="0EFB066C" w14:textId="2610B496" w:rsidR="00484A35" w:rsidRDefault="00484A35" w:rsidP="008D4E49">
      <w:pPr>
        <w:spacing w:line="360" w:lineRule="auto"/>
        <w:ind w:firstLine="0"/>
        <w:rPr>
          <w:rFonts w:ascii="Times New Roman" w:hAnsi="Times New Roman" w:cs="Times New Roman"/>
          <w:sz w:val="24"/>
          <w:szCs w:val="24"/>
          <w:lang w:val="en-US"/>
        </w:rPr>
      </w:pPr>
    </w:p>
    <w:p w14:paraId="4F32234B" w14:textId="77777777" w:rsidR="00484A35" w:rsidRDefault="00484A35" w:rsidP="008D4E49">
      <w:pPr>
        <w:spacing w:line="360" w:lineRule="auto"/>
        <w:ind w:firstLine="0"/>
        <w:rPr>
          <w:rFonts w:ascii="Times New Roman" w:hAnsi="Times New Roman" w:cs="Times New Roman"/>
          <w:sz w:val="24"/>
          <w:szCs w:val="24"/>
          <w:lang w:val="en-US"/>
        </w:rPr>
      </w:pPr>
    </w:p>
    <w:p w14:paraId="5180C7B7" w14:textId="1729A5F1" w:rsidR="00484A35" w:rsidRDefault="00484A35" w:rsidP="008D4E49">
      <w:pPr>
        <w:spacing w:line="360" w:lineRule="auto"/>
        <w:ind w:firstLine="0"/>
        <w:rPr>
          <w:rFonts w:ascii="Times New Roman" w:hAnsi="Times New Roman" w:cs="Times New Roman"/>
          <w:sz w:val="24"/>
          <w:szCs w:val="24"/>
          <w:lang w:val="en-US"/>
        </w:rPr>
      </w:pPr>
    </w:p>
    <w:p w14:paraId="60D98C1E" w14:textId="277A65A0" w:rsidR="002D7195" w:rsidRDefault="002D7195" w:rsidP="008D4E49">
      <w:pPr>
        <w:spacing w:line="360" w:lineRule="auto"/>
        <w:ind w:firstLine="0"/>
        <w:rPr>
          <w:rFonts w:ascii="Times New Roman" w:hAnsi="Times New Roman" w:cs="Times New Roman"/>
          <w:sz w:val="24"/>
          <w:szCs w:val="24"/>
          <w:lang w:val="en-US"/>
        </w:rPr>
      </w:pPr>
    </w:p>
    <w:p w14:paraId="14E139C3" w14:textId="7EFB4FA7" w:rsidR="002D7195" w:rsidRDefault="002D7195" w:rsidP="008D4E49">
      <w:pPr>
        <w:spacing w:line="360" w:lineRule="auto"/>
        <w:ind w:firstLine="0"/>
        <w:rPr>
          <w:rFonts w:ascii="Times New Roman" w:hAnsi="Times New Roman" w:cs="Times New Roman"/>
          <w:sz w:val="24"/>
          <w:szCs w:val="24"/>
          <w:lang w:val="en-US"/>
        </w:rPr>
      </w:pPr>
    </w:p>
    <w:p w14:paraId="1F719FAB" w14:textId="77777777" w:rsidR="002D7195" w:rsidRDefault="002D7195" w:rsidP="008D4E49">
      <w:pPr>
        <w:spacing w:line="360" w:lineRule="auto"/>
        <w:ind w:firstLine="0"/>
        <w:rPr>
          <w:rFonts w:ascii="Times New Roman" w:hAnsi="Times New Roman" w:cs="Times New Roman"/>
          <w:sz w:val="24"/>
          <w:szCs w:val="24"/>
          <w:lang w:val="en-US"/>
        </w:rPr>
      </w:pPr>
    </w:p>
    <w:p w14:paraId="650734F1" w14:textId="77777777" w:rsidR="002D7195" w:rsidRPr="00B71ACF" w:rsidRDefault="002D7195" w:rsidP="008D4E49">
      <w:pPr>
        <w:spacing w:line="360" w:lineRule="auto"/>
        <w:ind w:firstLine="0"/>
        <w:rPr>
          <w:rFonts w:ascii="Times New Roman" w:hAnsi="Times New Roman" w:cs="Times New Roman"/>
          <w:sz w:val="24"/>
          <w:szCs w:val="24"/>
          <w:lang w:val="en-US"/>
        </w:rPr>
      </w:pPr>
    </w:p>
    <w:p w14:paraId="0FA94F55" w14:textId="1CDFC4EF" w:rsidR="008068F4" w:rsidRDefault="008068F4" w:rsidP="008D4E49">
      <w:pPr>
        <w:spacing w:line="360" w:lineRule="auto"/>
        <w:ind w:firstLine="0"/>
        <w:rPr>
          <w:rFonts w:ascii="Times New Roman" w:hAnsi="Times New Roman" w:cs="Times New Roman"/>
          <w:sz w:val="24"/>
          <w:szCs w:val="24"/>
          <w:lang w:val="en-US"/>
        </w:rPr>
      </w:pPr>
    </w:p>
    <w:p w14:paraId="435E11F0" w14:textId="197EFEEF" w:rsidR="00AF49C6" w:rsidRPr="00B71ACF" w:rsidRDefault="00AF49C6" w:rsidP="008D4E49">
      <w:pPr>
        <w:spacing w:line="360" w:lineRule="auto"/>
        <w:ind w:firstLine="0"/>
        <w:rPr>
          <w:rFonts w:ascii="Times New Roman" w:hAnsi="Times New Roman" w:cs="Times New Roman"/>
          <w:sz w:val="24"/>
          <w:szCs w:val="24"/>
          <w:lang w:val="en-US"/>
        </w:rPr>
      </w:pPr>
    </w:p>
    <w:p w14:paraId="48142BFA" w14:textId="0F0BAD87" w:rsidR="00AF49C6" w:rsidRPr="00B71ACF" w:rsidRDefault="00AF49C6" w:rsidP="008D4E49">
      <w:pPr>
        <w:spacing w:line="360" w:lineRule="auto"/>
        <w:ind w:firstLine="0"/>
        <w:rPr>
          <w:rFonts w:ascii="Times New Roman" w:hAnsi="Times New Roman" w:cs="Times New Roman"/>
          <w:sz w:val="24"/>
          <w:szCs w:val="24"/>
          <w:lang w:val="en-US"/>
        </w:rPr>
      </w:pPr>
    </w:p>
    <w:p w14:paraId="142C3EC9" w14:textId="793F8B78" w:rsidR="00AF49C6" w:rsidRPr="00B71ACF" w:rsidRDefault="00AF49C6" w:rsidP="00DD7656">
      <w:pPr>
        <w:spacing w:line="360" w:lineRule="auto"/>
        <w:ind w:firstLine="0"/>
        <w:jc w:val="center"/>
        <w:rPr>
          <w:rFonts w:ascii="Times New Roman" w:hAnsi="Times New Roman" w:cs="Times New Roman"/>
          <w:i/>
          <w:iCs/>
          <w:sz w:val="18"/>
          <w:szCs w:val="18"/>
          <w:lang w:val="en-US"/>
        </w:rPr>
      </w:pPr>
      <w:r w:rsidRPr="00B71ACF">
        <w:rPr>
          <w:rFonts w:ascii="Times New Roman" w:hAnsi="Times New Roman" w:cs="Times New Roman"/>
          <w:i/>
          <w:iCs/>
          <w:sz w:val="18"/>
          <w:szCs w:val="18"/>
          <w:lang w:val="en-US"/>
        </w:rPr>
        <w:t>F</w:t>
      </w:r>
      <w:r w:rsidR="00BA0C06" w:rsidRPr="00B71ACF">
        <w:rPr>
          <w:rFonts w:ascii="Times New Roman" w:hAnsi="Times New Roman" w:cs="Times New Roman"/>
          <w:i/>
          <w:iCs/>
          <w:sz w:val="18"/>
          <w:szCs w:val="18"/>
          <w:lang w:val="en-US"/>
        </w:rPr>
        <w:t>IG</w:t>
      </w:r>
      <w:r w:rsidRPr="00B71ACF">
        <w:rPr>
          <w:rFonts w:ascii="Times New Roman" w:hAnsi="Times New Roman" w:cs="Times New Roman"/>
          <w:i/>
          <w:iCs/>
          <w:sz w:val="18"/>
          <w:szCs w:val="18"/>
          <w:lang w:val="en-US"/>
        </w:rPr>
        <w:t>. 1</w:t>
      </w:r>
      <w:r w:rsidR="00BA0C06" w:rsidRPr="00B71ACF">
        <w:rPr>
          <w:rFonts w:ascii="Times New Roman" w:hAnsi="Times New Roman" w:cs="Times New Roman"/>
          <w:i/>
          <w:iCs/>
          <w:sz w:val="18"/>
          <w:szCs w:val="18"/>
          <w:lang w:val="en-US"/>
        </w:rPr>
        <w:t>. Powder XRD analysis of OBDC-1 ash, with reference standards of the detected phases</w:t>
      </w:r>
      <w:r w:rsidR="00B71ACF" w:rsidRPr="00B71ACF">
        <w:rPr>
          <w:rFonts w:ascii="Times New Roman" w:hAnsi="Times New Roman" w:cs="Times New Roman"/>
          <w:i/>
          <w:iCs/>
          <w:sz w:val="18"/>
          <w:szCs w:val="18"/>
          <w:lang w:val="en-US"/>
        </w:rPr>
        <w:t>.</w:t>
      </w:r>
    </w:p>
    <w:p w14:paraId="05E4197B" w14:textId="77777777" w:rsidR="00AF49C6" w:rsidRPr="00B71ACF" w:rsidRDefault="00AF49C6" w:rsidP="008D4E49">
      <w:pPr>
        <w:spacing w:line="360" w:lineRule="auto"/>
        <w:ind w:firstLine="0"/>
        <w:rPr>
          <w:rFonts w:ascii="Times New Roman" w:hAnsi="Times New Roman" w:cs="Times New Roman"/>
          <w:sz w:val="24"/>
          <w:szCs w:val="24"/>
          <w:lang w:val="en-US"/>
        </w:rPr>
      </w:pPr>
    </w:p>
    <w:p w14:paraId="141B7EC8" w14:textId="144C08EF" w:rsidR="00604C80" w:rsidRPr="00B71ACF" w:rsidRDefault="00CF533C" w:rsidP="008D4E49">
      <w:pPr>
        <w:pStyle w:val="Prrafodelista"/>
        <w:numPr>
          <w:ilvl w:val="1"/>
          <w:numId w:val="1"/>
        </w:numPr>
        <w:spacing w:before="240" w:after="240" w:line="240" w:lineRule="exact"/>
        <w:ind w:left="0" w:firstLine="0"/>
        <w:contextualSpacing w:val="0"/>
        <w:jc w:val="left"/>
        <w:rPr>
          <w:rFonts w:ascii="Times New Roman" w:hAnsi="Times New Roman" w:cs="Times New Roman"/>
          <w:b/>
          <w:bCs/>
          <w:sz w:val="20"/>
          <w:szCs w:val="20"/>
          <w:lang w:val="en-US"/>
        </w:rPr>
      </w:pPr>
      <w:r w:rsidRPr="00B71ACF">
        <w:rPr>
          <w:rFonts w:ascii="Times New Roman" w:hAnsi="Times New Roman" w:cs="Times New Roman"/>
          <w:b/>
          <w:bCs/>
          <w:sz w:val="20"/>
          <w:szCs w:val="20"/>
          <w:lang w:val="en-US"/>
        </w:rPr>
        <w:t>TGA and DTA experiments</w:t>
      </w:r>
    </w:p>
    <w:p w14:paraId="1B5408F3" w14:textId="3A4786B6" w:rsidR="00204EEB" w:rsidRDefault="00204EEB" w:rsidP="008D4E49">
      <w:pPr>
        <w:rPr>
          <w:rFonts w:ascii="Times New Roman" w:hAnsi="Times New Roman" w:cs="Times New Roman"/>
          <w:sz w:val="20"/>
          <w:szCs w:val="20"/>
          <w:lang w:val="en-US"/>
        </w:rPr>
      </w:pPr>
      <w:r w:rsidRPr="00B71ACF">
        <w:rPr>
          <w:rFonts w:ascii="Times New Roman" w:hAnsi="Times New Roman" w:cs="Times New Roman"/>
          <w:sz w:val="20"/>
          <w:szCs w:val="20"/>
          <w:lang w:val="en-US"/>
        </w:rPr>
        <w:t>Simultaneous thermal analysis (DTA/TG) was performed using the NETZSCH STA-409 Simultaneous Thermal Analyzer. The temperature was raised from room temperature to 950</w:t>
      </w:r>
      <w:r w:rsidR="004F2610"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°C, using heating ramps of 10</w:t>
      </w:r>
      <w:r w:rsidR="004F2610"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°C/min, under an inert N</w:t>
      </w:r>
      <w:r w:rsidRPr="00B71ACF">
        <w:rPr>
          <w:rFonts w:ascii="Times New Roman" w:hAnsi="Times New Roman" w:cs="Times New Roman"/>
          <w:sz w:val="20"/>
          <w:szCs w:val="20"/>
          <w:vertAlign w:val="subscript"/>
          <w:lang w:val="en-US"/>
        </w:rPr>
        <w:t>2</w:t>
      </w:r>
      <w:r w:rsidR="004F2610" w:rsidRPr="00B71ACF">
        <w:rPr>
          <w:rFonts w:ascii="Times New Roman" w:hAnsi="Times New Roman" w:cs="Times New Roman"/>
          <w:sz w:val="20"/>
          <w:szCs w:val="20"/>
          <w:lang w:val="en-US"/>
        </w:rPr>
        <w:t>(g)</w:t>
      </w:r>
      <w:r w:rsidRPr="00B71ACF">
        <w:rPr>
          <w:rFonts w:ascii="Times New Roman" w:hAnsi="Times New Roman" w:cs="Times New Roman"/>
          <w:sz w:val="20"/>
          <w:szCs w:val="20"/>
          <w:lang w:val="en-US"/>
        </w:rPr>
        <w:t xml:space="preserve"> atmosphere. At this stage of the work, only the results obtained for OBDC-1 are presented.</w:t>
      </w:r>
    </w:p>
    <w:p w14:paraId="1EFAB108" w14:textId="77777777" w:rsidR="00A56ABA" w:rsidRDefault="00A56ABA" w:rsidP="00A56ABA">
      <w:pPr>
        <w:ind w:firstLine="0"/>
        <w:rPr>
          <w:rFonts w:ascii="Times New Roman" w:hAnsi="Times New Roman" w:cs="Times New Roman"/>
          <w:sz w:val="20"/>
          <w:szCs w:val="20"/>
          <w:lang w:val="en-US"/>
        </w:rPr>
      </w:pPr>
    </w:p>
    <w:p w14:paraId="34BDF966" w14:textId="77777777" w:rsidR="00A56ABA" w:rsidRPr="00B71ACF" w:rsidRDefault="00A56ABA" w:rsidP="00A56ABA">
      <w:pPr>
        <w:ind w:firstLine="0"/>
        <w:rPr>
          <w:rFonts w:ascii="Times New Roman" w:hAnsi="Times New Roman" w:cs="Times New Roman"/>
          <w:sz w:val="20"/>
          <w:szCs w:val="20"/>
          <w:lang w:val="en-US"/>
        </w:rPr>
      </w:pPr>
    </w:p>
    <w:p w14:paraId="1E6D8779" w14:textId="071F3FE2" w:rsidR="0054722C" w:rsidRPr="00B71ACF" w:rsidRDefault="00814824" w:rsidP="008D4E49">
      <w:pPr>
        <w:pStyle w:val="Prrafodelista"/>
        <w:numPr>
          <w:ilvl w:val="1"/>
          <w:numId w:val="1"/>
        </w:numPr>
        <w:spacing w:before="240" w:after="240" w:line="240" w:lineRule="exact"/>
        <w:ind w:left="0" w:firstLine="0"/>
        <w:contextualSpacing w:val="0"/>
        <w:jc w:val="left"/>
        <w:rPr>
          <w:rFonts w:ascii="Times New Roman" w:hAnsi="Times New Roman" w:cs="Times New Roman"/>
          <w:b/>
          <w:bCs/>
          <w:sz w:val="20"/>
          <w:szCs w:val="20"/>
          <w:lang w:val="en-US"/>
        </w:rPr>
      </w:pPr>
      <w:r w:rsidRPr="00B71ACF">
        <w:rPr>
          <w:rFonts w:ascii="Times New Roman" w:hAnsi="Times New Roman" w:cs="Times New Roman"/>
          <w:b/>
          <w:bCs/>
          <w:sz w:val="20"/>
          <w:szCs w:val="20"/>
          <w:lang w:val="en-US"/>
        </w:rPr>
        <w:t>Pyrolysis experiments</w:t>
      </w:r>
    </w:p>
    <w:p w14:paraId="40ABCCC8" w14:textId="39A1430E" w:rsidR="003A4A44" w:rsidRPr="00B71ACF" w:rsidRDefault="0054722C" w:rsidP="00E82BAB">
      <w:pPr>
        <w:rPr>
          <w:rFonts w:ascii="Times New Roman" w:hAnsi="Times New Roman" w:cs="Times New Roman"/>
          <w:sz w:val="20"/>
          <w:szCs w:val="20"/>
          <w:lang w:val="en-US"/>
        </w:rPr>
      </w:pPr>
      <w:r w:rsidRPr="00B71ACF">
        <w:rPr>
          <w:rFonts w:ascii="Times New Roman" w:hAnsi="Times New Roman" w:cs="Times New Roman"/>
          <w:sz w:val="20"/>
          <w:szCs w:val="20"/>
          <w:lang w:val="en-US"/>
        </w:rPr>
        <w:t>Pyrolysis experiments were conducted in a stainless steel fixed-bed reactor (Fig</w:t>
      </w:r>
      <w:r w:rsidR="00D53B97" w:rsidRPr="00B71ACF">
        <w:rPr>
          <w:rFonts w:ascii="Times New Roman" w:hAnsi="Times New Roman" w:cs="Times New Roman"/>
          <w:sz w:val="20"/>
          <w:szCs w:val="20"/>
          <w:lang w:val="en-US"/>
        </w:rPr>
        <w:t xml:space="preserve">. </w:t>
      </w:r>
      <w:r w:rsidR="00BA0C06" w:rsidRPr="00B71ACF">
        <w:rPr>
          <w:rFonts w:ascii="Times New Roman" w:hAnsi="Times New Roman" w:cs="Times New Roman"/>
          <w:sz w:val="20"/>
          <w:szCs w:val="20"/>
          <w:lang w:val="en-US"/>
        </w:rPr>
        <w:t>2</w:t>
      </w:r>
      <w:r w:rsidRPr="00B71ACF">
        <w:rPr>
          <w:rFonts w:ascii="Times New Roman" w:hAnsi="Times New Roman" w:cs="Times New Roman"/>
          <w:sz w:val="20"/>
          <w:szCs w:val="20"/>
          <w:lang w:val="en-US"/>
        </w:rPr>
        <w:t>). The equipment used includes an electric furnace for heat supply, a pipeline for N</w:t>
      </w:r>
      <w:r w:rsidRPr="00B71ACF">
        <w:rPr>
          <w:rFonts w:ascii="Times New Roman" w:hAnsi="Times New Roman" w:cs="Times New Roman"/>
          <w:sz w:val="20"/>
          <w:szCs w:val="20"/>
          <w:vertAlign w:val="subscript"/>
          <w:lang w:val="en-US"/>
        </w:rPr>
        <w:t>2</w:t>
      </w:r>
      <w:r w:rsidR="00B626B2">
        <w:rPr>
          <w:rFonts w:ascii="Times New Roman" w:hAnsi="Times New Roman" w:cs="Times New Roman"/>
          <w:sz w:val="20"/>
          <w:szCs w:val="20"/>
          <w:lang w:val="en-US"/>
        </w:rPr>
        <w:t xml:space="preserve">(g) </w:t>
      </w:r>
      <w:r w:rsidRPr="00B71ACF">
        <w:rPr>
          <w:rFonts w:ascii="Times New Roman" w:hAnsi="Times New Roman" w:cs="Times New Roman"/>
          <w:sz w:val="20"/>
          <w:szCs w:val="20"/>
          <w:lang w:val="en-US"/>
        </w:rPr>
        <w:t>supply with its respective control, a temperature controller, and a water-cooled condenser. After loading 10 g of OBDC sample, the reactor was purged for one hour with N</w:t>
      </w:r>
      <w:r w:rsidRPr="00B71ACF">
        <w:rPr>
          <w:rFonts w:ascii="Times New Roman" w:hAnsi="Times New Roman" w:cs="Times New Roman"/>
          <w:sz w:val="20"/>
          <w:szCs w:val="20"/>
          <w:vertAlign w:val="subscript"/>
          <w:lang w:val="en-US"/>
        </w:rPr>
        <w:t>2</w:t>
      </w:r>
      <w:r w:rsidR="00B626B2">
        <w:rPr>
          <w:rFonts w:ascii="Times New Roman" w:hAnsi="Times New Roman" w:cs="Times New Roman"/>
          <w:sz w:val="20"/>
          <w:szCs w:val="20"/>
          <w:lang w:val="en-US"/>
        </w:rPr>
        <w:t>(g)</w:t>
      </w:r>
      <w:r w:rsidRPr="00B71ACF">
        <w:rPr>
          <w:rFonts w:ascii="Times New Roman" w:hAnsi="Times New Roman" w:cs="Times New Roman"/>
          <w:sz w:val="20"/>
          <w:szCs w:val="20"/>
          <w:lang w:val="en-US"/>
        </w:rPr>
        <w:t xml:space="preserve"> (</w:t>
      </w:r>
      <w:r w:rsidR="00D53B97" w:rsidRPr="00B71ACF">
        <w:rPr>
          <w:rFonts w:ascii="Times New Roman" w:hAnsi="Times New Roman" w:cs="Times New Roman"/>
          <w:sz w:val="20"/>
          <w:szCs w:val="20"/>
          <w:lang w:val="en-US"/>
        </w:rPr>
        <w:t>1</w:t>
      </w:r>
      <w:r w:rsidRPr="00B71ACF">
        <w:rPr>
          <w:rFonts w:ascii="Times New Roman" w:hAnsi="Times New Roman" w:cs="Times New Roman"/>
          <w:sz w:val="20"/>
          <w:szCs w:val="20"/>
          <w:lang w:val="en-US"/>
        </w:rPr>
        <w:t xml:space="preserve"> L/min). For the experiment, the N</w:t>
      </w:r>
      <w:r w:rsidRPr="00B71ACF">
        <w:rPr>
          <w:rFonts w:ascii="Times New Roman" w:hAnsi="Times New Roman" w:cs="Times New Roman"/>
          <w:sz w:val="20"/>
          <w:szCs w:val="20"/>
          <w:vertAlign w:val="subscript"/>
          <w:lang w:val="en-US"/>
        </w:rPr>
        <w:t>2</w:t>
      </w:r>
      <w:r w:rsidR="00B626B2">
        <w:rPr>
          <w:rFonts w:ascii="Times New Roman" w:hAnsi="Times New Roman" w:cs="Times New Roman"/>
          <w:sz w:val="20"/>
          <w:szCs w:val="20"/>
          <w:lang w:val="en-US"/>
        </w:rPr>
        <w:t>(g)</w:t>
      </w:r>
      <w:r w:rsidRPr="00B71ACF">
        <w:rPr>
          <w:rFonts w:ascii="Times New Roman" w:hAnsi="Times New Roman" w:cs="Times New Roman"/>
          <w:sz w:val="20"/>
          <w:szCs w:val="20"/>
          <w:lang w:val="en-US"/>
        </w:rPr>
        <w:t xml:space="preserve"> flow rate was reduced to 0.4 L/min, and the system's temperature control was adjusted to raise the temperature at a rate of 15</w:t>
      </w:r>
      <w:r w:rsidR="005B7697"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 xml:space="preserve">°C/min and maintain it at a specified final temperature, </w:t>
      </w:r>
      <w:proofErr w:type="spellStart"/>
      <w:r w:rsidRPr="00B71ACF">
        <w:rPr>
          <w:rFonts w:ascii="Times New Roman" w:hAnsi="Times New Roman" w:cs="Times New Roman"/>
          <w:sz w:val="20"/>
          <w:szCs w:val="20"/>
          <w:lang w:val="en-US"/>
        </w:rPr>
        <w:t>T</w:t>
      </w:r>
      <w:r w:rsidRPr="00B71ACF">
        <w:rPr>
          <w:rFonts w:ascii="Times New Roman" w:hAnsi="Times New Roman" w:cs="Times New Roman"/>
          <w:sz w:val="20"/>
          <w:szCs w:val="20"/>
          <w:vertAlign w:val="subscript"/>
          <w:lang w:val="en-US"/>
        </w:rPr>
        <w:t>f</w:t>
      </w:r>
      <w:proofErr w:type="spellEnd"/>
      <w:r w:rsidRPr="00B71ACF">
        <w:rPr>
          <w:rFonts w:ascii="Times New Roman" w:hAnsi="Times New Roman" w:cs="Times New Roman"/>
          <w:sz w:val="20"/>
          <w:szCs w:val="20"/>
          <w:lang w:val="en-US"/>
        </w:rPr>
        <w:t xml:space="preserve">, of </w:t>
      </w:r>
      <w:r w:rsidR="005D204C" w:rsidRPr="00B71ACF">
        <w:rPr>
          <w:rFonts w:ascii="Times New Roman" w:hAnsi="Times New Roman" w:cs="Times New Roman"/>
          <w:sz w:val="20"/>
          <w:szCs w:val="20"/>
          <w:lang w:val="en-US"/>
        </w:rPr>
        <w:t xml:space="preserve">400 °C, </w:t>
      </w:r>
      <w:r w:rsidRPr="00B71ACF">
        <w:rPr>
          <w:rFonts w:ascii="Times New Roman" w:hAnsi="Times New Roman" w:cs="Times New Roman"/>
          <w:sz w:val="20"/>
          <w:szCs w:val="20"/>
          <w:lang w:val="en-US"/>
        </w:rPr>
        <w:t>450</w:t>
      </w:r>
      <w:r w:rsidR="005B7697"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°C, 500</w:t>
      </w:r>
      <w:r w:rsidR="005B7697"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°C, 550</w:t>
      </w:r>
      <w:r w:rsidR="005B7697" w:rsidRPr="00B71ACF">
        <w:rPr>
          <w:rFonts w:ascii="Times New Roman" w:hAnsi="Times New Roman" w:cs="Times New Roman"/>
          <w:sz w:val="20"/>
          <w:szCs w:val="20"/>
          <w:lang w:val="en-US"/>
        </w:rPr>
        <w:t xml:space="preserve"> </w:t>
      </w:r>
      <w:r w:rsidRPr="00B71ACF">
        <w:rPr>
          <w:rFonts w:ascii="Times New Roman" w:hAnsi="Times New Roman" w:cs="Times New Roman"/>
          <w:sz w:val="20"/>
          <w:szCs w:val="20"/>
          <w:lang w:val="en-US"/>
        </w:rPr>
        <w:t>°C</w:t>
      </w:r>
      <w:r w:rsidR="00700CDA" w:rsidRPr="00B71ACF">
        <w:rPr>
          <w:rFonts w:ascii="Times New Roman" w:hAnsi="Times New Roman" w:cs="Times New Roman"/>
          <w:sz w:val="20"/>
          <w:szCs w:val="20"/>
          <w:lang w:val="en-US"/>
        </w:rPr>
        <w:t xml:space="preserve"> and 600 °C</w:t>
      </w:r>
      <w:r w:rsidRPr="00B71ACF">
        <w:rPr>
          <w:rFonts w:ascii="Times New Roman" w:hAnsi="Times New Roman" w:cs="Times New Roman"/>
          <w:sz w:val="20"/>
          <w:szCs w:val="20"/>
          <w:lang w:val="en-US"/>
        </w:rPr>
        <w:t xml:space="preserve"> for 60 minutes. The condensed water and oil were collected in a 10 ml conical-bottomed test tube to visualize and separate the phases for subsequent weighing. The determination of the yield percentages of each phase was evaluated based on the weights of each component: water, oil, and residual solid, while the yield of non-condensable gases was calculated by difference.</w:t>
      </w:r>
      <w:r w:rsidR="00B52AFD" w:rsidRPr="00B71ACF">
        <w:rPr>
          <w:rFonts w:ascii="Times New Roman" w:hAnsi="Times New Roman" w:cs="Times New Roman"/>
          <w:sz w:val="20"/>
          <w:szCs w:val="20"/>
          <w:lang w:val="en-US"/>
        </w:rPr>
        <w:t xml:space="preserve"> </w:t>
      </w:r>
      <w:r w:rsidR="00050C00" w:rsidRPr="00B71ACF">
        <w:rPr>
          <w:rFonts w:ascii="Times New Roman" w:hAnsi="Times New Roman" w:cs="Times New Roman"/>
          <w:sz w:val="20"/>
          <w:szCs w:val="20"/>
          <w:lang w:val="en-US"/>
        </w:rPr>
        <w:t>The results to be presented correspond to experiments conducted with OBDC-1. Additionally, the total hydrocarbon content of the residual solid residue (char) was evaluated.</w:t>
      </w:r>
    </w:p>
    <w:p w14:paraId="59E2F033" w14:textId="4C1980D4" w:rsidR="00604C80" w:rsidRPr="00B71ACF" w:rsidRDefault="00604C80" w:rsidP="00844E99">
      <w:pPr>
        <w:spacing w:line="360" w:lineRule="auto"/>
        <w:ind w:firstLine="0"/>
        <w:rPr>
          <w:rFonts w:ascii="Times New Roman" w:hAnsi="Times New Roman" w:cs="Times New Roman"/>
          <w:sz w:val="24"/>
          <w:szCs w:val="24"/>
          <w:lang w:val="en-US"/>
        </w:rPr>
      </w:pPr>
    </w:p>
    <w:p w14:paraId="215FEAD1" w14:textId="44DD37A4" w:rsidR="00235D75" w:rsidRPr="00B71ACF" w:rsidRDefault="00167E07" w:rsidP="008D4E49">
      <w:pPr>
        <w:spacing w:line="360" w:lineRule="auto"/>
        <w:jc w:val="center"/>
        <w:rPr>
          <w:rFonts w:ascii="Times New Roman" w:hAnsi="Times New Roman" w:cs="Times New Roman"/>
          <w:sz w:val="24"/>
          <w:szCs w:val="24"/>
          <w:lang w:val="en-US"/>
        </w:rPr>
      </w:pPr>
      <w:r w:rsidRPr="00B71ACF">
        <w:rPr>
          <w:rFonts w:ascii="Times New Roman" w:hAnsi="Times New Roman" w:cs="Times New Roman"/>
          <w:noProof/>
          <w:sz w:val="24"/>
          <w:szCs w:val="24"/>
          <w:lang w:val="es-ES" w:eastAsia="es-ES"/>
        </w:rPr>
        <w:drawing>
          <wp:inline distT="0" distB="0" distL="0" distR="0" wp14:anchorId="75AC73A7" wp14:editId="5B02B818">
            <wp:extent cx="2752860" cy="1781396"/>
            <wp:effectExtent l="0" t="0" r="0" b="9525"/>
            <wp:docPr id="372403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03292" name="Imagen 372403292"/>
                    <pic:cNvPicPr/>
                  </pic:nvPicPr>
                  <pic:blipFill>
                    <a:blip r:embed="rId9">
                      <a:extLst>
                        <a:ext uri="{28A0092B-C50C-407E-A947-70E740481C1C}">
                          <a14:useLocalDpi xmlns:a14="http://schemas.microsoft.com/office/drawing/2010/main" val="0"/>
                        </a:ext>
                      </a:extLst>
                    </a:blip>
                    <a:stretch>
                      <a:fillRect/>
                    </a:stretch>
                  </pic:blipFill>
                  <pic:spPr>
                    <a:xfrm>
                      <a:off x="0" y="0"/>
                      <a:ext cx="2804896" cy="1815069"/>
                    </a:xfrm>
                    <a:prstGeom prst="rect">
                      <a:avLst/>
                    </a:prstGeom>
                  </pic:spPr>
                </pic:pic>
              </a:graphicData>
            </a:graphic>
          </wp:inline>
        </w:drawing>
      </w:r>
    </w:p>
    <w:p w14:paraId="1863FDED" w14:textId="15A80255" w:rsidR="00C90CA4" w:rsidRPr="00B71ACF" w:rsidRDefault="00167E07" w:rsidP="00B80B38">
      <w:pPr>
        <w:spacing w:line="360" w:lineRule="auto"/>
        <w:ind w:firstLine="0"/>
        <w:jc w:val="left"/>
        <w:rPr>
          <w:rFonts w:ascii="Times New Roman" w:hAnsi="Times New Roman" w:cs="Times New Roman"/>
          <w:i/>
          <w:iCs/>
          <w:sz w:val="18"/>
          <w:szCs w:val="18"/>
          <w:lang w:val="en-US"/>
        </w:rPr>
      </w:pPr>
      <w:r w:rsidRPr="00B71ACF">
        <w:rPr>
          <w:rFonts w:ascii="Times New Roman" w:hAnsi="Times New Roman" w:cs="Times New Roman"/>
          <w:i/>
          <w:iCs/>
          <w:sz w:val="18"/>
          <w:szCs w:val="18"/>
          <w:lang w:val="en-US"/>
        </w:rPr>
        <w:t>F</w:t>
      </w:r>
      <w:r w:rsidR="008D4E49" w:rsidRPr="00B71ACF">
        <w:rPr>
          <w:rFonts w:ascii="Times New Roman" w:hAnsi="Times New Roman" w:cs="Times New Roman"/>
          <w:i/>
          <w:iCs/>
          <w:sz w:val="18"/>
          <w:szCs w:val="18"/>
          <w:lang w:val="en-US"/>
        </w:rPr>
        <w:t xml:space="preserve">IG. </w:t>
      </w:r>
      <w:r w:rsidR="00BA0C06" w:rsidRPr="00B71ACF">
        <w:rPr>
          <w:rFonts w:ascii="Times New Roman" w:hAnsi="Times New Roman" w:cs="Times New Roman"/>
          <w:i/>
          <w:iCs/>
          <w:sz w:val="18"/>
          <w:szCs w:val="18"/>
          <w:lang w:val="en-US"/>
        </w:rPr>
        <w:t>2</w:t>
      </w:r>
      <w:r w:rsidRPr="00B71ACF">
        <w:rPr>
          <w:rFonts w:ascii="Times New Roman" w:hAnsi="Times New Roman" w:cs="Times New Roman"/>
          <w:i/>
          <w:iCs/>
          <w:sz w:val="18"/>
          <w:szCs w:val="18"/>
          <w:lang w:val="en-US"/>
        </w:rPr>
        <w:t xml:space="preserve">. </w:t>
      </w:r>
      <w:r w:rsidR="004746B1" w:rsidRPr="00B71ACF">
        <w:rPr>
          <w:rFonts w:ascii="Times New Roman" w:hAnsi="Times New Roman" w:cs="Times New Roman"/>
          <w:i/>
          <w:iCs/>
          <w:sz w:val="18"/>
          <w:szCs w:val="18"/>
          <w:lang w:val="en-US"/>
        </w:rPr>
        <w:t>Experimental set-up used in pyrolysis experiments</w:t>
      </w:r>
      <w:r w:rsidR="00604C80" w:rsidRPr="00B71ACF">
        <w:rPr>
          <w:rFonts w:ascii="Times New Roman" w:hAnsi="Times New Roman" w:cs="Times New Roman"/>
          <w:i/>
          <w:iCs/>
          <w:sz w:val="18"/>
          <w:szCs w:val="18"/>
          <w:lang w:val="en-US"/>
        </w:rPr>
        <w:t>:</w:t>
      </w:r>
      <w:r w:rsidR="004746B1" w:rsidRPr="00B71ACF">
        <w:rPr>
          <w:rFonts w:ascii="Times New Roman" w:hAnsi="Times New Roman" w:cs="Times New Roman"/>
          <w:i/>
          <w:iCs/>
          <w:sz w:val="18"/>
          <w:szCs w:val="18"/>
          <w:lang w:val="en-US"/>
        </w:rPr>
        <w:t xml:space="preserve"> 1—PID controller; 2—</w:t>
      </w:r>
      <w:proofErr w:type="spellStart"/>
      <w:r w:rsidR="004746B1" w:rsidRPr="00B71ACF">
        <w:rPr>
          <w:rFonts w:ascii="Times New Roman" w:hAnsi="Times New Roman" w:cs="Times New Roman"/>
          <w:i/>
          <w:iCs/>
          <w:sz w:val="18"/>
          <w:szCs w:val="18"/>
          <w:lang w:val="en-US"/>
        </w:rPr>
        <w:t>piline</w:t>
      </w:r>
      <w:proofErr w:type="spellEnd"/>
      <w:r w:rsidR="004746B1" w:rsidRPr="00B71ACF">
        <w:rPr>
          <w:rFonts w:ascii="Times New Roman" w:hAnsi="Times New Roman" w:cs="Times New Roman"/>
          <w:i/>
          <w:iCs/>
          <w:sz w:val="18"/>
          <w:szCs w:val="18"/>
          <w:lang w:val="en-US"/>
        </w:rPr>
        <w:t xml:space="preserve"> of N</w:t>
      </w:r>
      <w:r w:rsidR="004746B1" w:rsidRPr="00B71ACF">
        <w:rPr>
          <w:rFonts w:ascii="Times New Roman" w:hAnsi="Times New Roman" w:cs="Times New Roman"/>
          <w:i/>
          <w:iCs/>
          <w:sz w:val="18"/>
          <w:szCs w:val="18"/>
          <w:vertAlign w:val="subscript"/>
          <w:lang w:val="en-US"/>
        </w:rPr>
        <w:t>2</w:t>
      </w:r>
      <w:r w:rsidR="004746B1" w:rsidRPr="00B71ACF">
        <w:rPr>
          <w:rFonts w:ascii="Times New Roman" w:hAnsi="Times New Roman" w:cs="Times New Roman"/>
          <w:i/>
          <w:iCs/>
          <w:sz w:val="18"/>
          <w:szCs w:val="18"/>
          <w:lang w:val="en-US"/>
        </w:rPr>
        <w:t>; 3</w:t>
      </w:r>
      <w:r w:rsidR="0096704B" w:rsidRPr="00B71ACF">
        <w:rPr>
          <w:rFonts w:ascii="Times New Roman" w:hAnsi="Times New Roman" w:cs="Times New Roman"/>
          <w:i/>
          <w:iCs/>
          <w:sz w:val="18"/>
          <w:szCs w:val="18"/>
          <w:lang w:val="en-US"/>
        </w:rPr>
        <w:t>—electric furnace; 4</w:t>
      </w:r>
      <w:r w:rsidR="004746B1" w:rsidRPr="00B71ACF">
        <w:rPr>
          <w:rFonts w:ascii="Times New Roman" w:hAnsi="Times New Roman" w:cs="Times New Roman"/>
          <w:i/>
          <w:iCs/>
          <w:sz w:val="18"/>
          <w:szCs w:val="18"/>
          <w:lang w:val="en-US"/>
        </w:rPr>
        <w:t>—</w:t>
      </w:r>
      <w:r w:rsidR="0096704B" w:rsidRPr="00B71ACF">
        <w:rPr>
          <w:rFonts w:ascii="Times New Roman" w:hAnsi="Times New Roman" w:cs="Times New Roman"/>
          <w:i/>
          <w:iCs/>
          <w:sz w:val="18"/>
          <w:szCs w:val="18"/>
          <w:lang w:val="en-US"/>
        </w:rPr>
        <w:t>stainless steel reactor</w:t>
      </w:r>
      <w:r w:rsidR="004746B1" w:rsidRPr="00B71ACF">
        <w:rPr>
          <w:rFonts w:ascii="Times New Roman" w:hAnsi="Times New Roman" w:cs="Times New Roman"/>
          <w:i/>
          <w:iCs/>
          <w:sz w:val="18"/>
          <w:szCs w:val="18"/>
          <w:lang w:val="en-US"/>
        </w:rPr>
        <w:t xml:space="preserve">; </w:t>
      </w:r>
      <w:r w:rsidR="0096704B" w:rsidRPr="00B71ACF">
        <w:rPr>
          <w:rFonts w:ascii="Times New Roman" w:hAnsi="Times New Roman" w:cs="Times New Roman"/>
          <w:i/>
          <w:iCs/>
          <w:sz w:val="18"/>
          <w:szCs w:val="18"/>
          <w:lang w:val="en-US"/>
        </w:rPr>
        <w:t>5</w:t>
      </w:r>
      <w:r w:rsidR="004746B1" w:rsidRPr="00B71ACF">
        <w:rPr>
          <w:rFonts w:ascii="Times New Roman" w:hAnsi="Times New Roman" w:cs="Times New Roman"/>
          <w:i/>
          <w:iCs/>
          <w:sz w:val="18"/>
          <w:szCs w:val="18"/>
          <w:lang w:val="en-US"/>
        </w:rPr>
        <w:t>—</w:t>
      </w:r>
      <w:r w:rsidR="0096704B" w:rsidRPr="00B71ACF">
        <w:rPr>
          <w:rFonts w:ascii="Times New Roman" w:hAnsi="Times New Roman" w:cs="Times New Roman"/>
          <w:i/>
          <w:iCs/>
          <w:sz w:val="18"/>
          <w:szCs w:val="18"/>
          <w:lang w:val="en-US"/>
        </w:rPr>
        <w:t xml:space="preserve"> K-type thermocouple</w:t>
      </w:r>
      <w:r w:rsidR="004746B1" w:rsidRPr="00B71ACF">
        <w:rPr>
          <w:rFonts w:ascii="Times New Roman" w:hAnsi="Times New Roman" w:cs="Times New Roman"/>
          <w:i/>
          <w:iCs/>
          <w:sz w:val="18"/>
          <w:szCs w:val="18"/>
          <w:lang w:val="en-US"/>
        </w:rPr>
        <w:t xml:space="preserve">; </w:t>
      </w:r>
      <w:r w:rsidR="0096704B" w:rsidRPr="00B71ACF">
        <w:rPr>
          <w:rFonts w:ascii="Times New Roman" w:hAnsi="Times New Roman" w:cs="Times New Roman"/>
          <w:i/>
          <w:iCs/>
          <w:sz w:val="18"/>
          <w:szCs w:val="18"/>
          <w:lang w:val="en-US"/>
        </w:rPr>
        <w:t>6</w:t>
      </w:r>
      <w:r w:rsidR="004746B1" w:rsidRPr="00B71ACF">
        <w:rPr>
          <w:rFonts w:ascii="Times New Roman" w:hAnsi="Times New Roman" w:cs="Times New Roman"/>
          <w:i/>
          <w:iCs/>
          <w:sz w:val="18"/>
          <w:szCs w:val="18"/>
          <w:lang w:val="en-US"/>
        </w:rPr>
        <w:t>—</w:t>
      </w:r>
      <w:r w:rsidR="00D00B68" w:rsidRPr="00B71ACF">
        <w:rPr>
          <w:rFonts w:ascii="Times New Roman" w:hAnsi="Times New Roman" w:cs="Times New Roman"/>
          <w:i/>
          <w:iCs/>
          <w:sz w:val="18"/>
          <w:szCs w:val="18"/>
          <w:lang w:val="en-US"/>
        </w:rPr>
        <w:t>w</w:t>
      </w:r>
      <w:r w:rsidR="0096704B" w:rsidRPr="00B71ACF">
        <w:rPr>
          <w:rFonts w:ascii="Times New Roman" w:hAnsi="Times New Roman" w:cs="Times New Roman"/>
          <w:i/>
          <w:iCs/>
          <w:sz w:val="18"/>
          <w:szCs w:val="18"/>
          <w:lang w:val="en-US"/>
        </w:rPr>
        <w:t>ater-</w:t>
      </w:r>
      <w:r w:rsidR="00D00B68" w:rsidRPr="00B71ACF">
        <w:rPr>
          <w:rFonts w:ascii="Times New Roman" w:hAnsi="Times New Roman" w:cs="Times New Roman"/>
          <w:i/>
          <w:iCs/>
          <w:sz w:val="18"/>
          <w:szCs w:val="18"/>
          <w:lang w:val="en-US"/>
        </w:rPr>
        <w:t>co</w:t>
      </w:r>
      <w:r w:rsidR="0096704B" w:rsidRPr="00B71ACF">
        <w:rPr>
          <w:rFonts w:ascii="Times New Roman" w:hAnsi="Times New Roman" w:cs="Times New Roman"/>
          <w:i/>
          <w:iCs/>
          <w:sz w:val="18"/>
          <w:szCs w:val="18"/>
          <w:lang w:val="en-US"/>
        </w:rPr>
        <w:t xml:space="preserve">oled </w:t>
      </w:r>
      <w:r w:rsidR="00D00B68" w:rsidRPr="00B71ACF">
        <w:rPr>
          <w:rFonts w:ascii="Times New Roman" w:hAnsi="Times New Roman" w:cs="Times New Roman"/>
          <w:i/>
          <w:iCs/>
          <w:sz w:val="18"/>
          <w:szCs w:val="18"/>
          <w:lang w:val="en-US"/>
        </w:rPr>
        <w:t>c</w:t>
      </w:r>
      <w:r w:rsidR="0096704B" w:rsidRPr="00B71ACF">
        <w:rPr>
          <w:rFonts w:ascii="Times New Roman" w:hAnsi="Times New Roman" w:cs="Times New Roman"/>
          <w:i/>
          <w:iCs/>
          <w:sz w:val="18"/>
          <w:szCs w:val="18"/>
          <w:lang w:val="en-US"/>
        </w:rPr>
        <w:t>ondenser</w:t>
      </w:r>
      <w:r w:rsidR="00BF07D7" w:rsidRPr="00B71ACF">
        <w:rPr>
          <w:rFonts w:ascii="Times New Roman" w:hAnsi="Times New Roman" w:cs="Times New Roman"/>
          <w:i/>
          <w:iCs/>
          <w:sz w:val="18"/>
          <w:szCs w:val="18"/>
          <w:lang w:val="en-US"/>
        </w:rPr>
        <w:t>.</w:t>
      </w:r>
    </w:p>
    <w:p w14:paraId="37038DA7" w14:textId="3230DA52" w:rsidR="00BF07D7" w:rsidRPr="00967CD5" w:rsidRDefault="00B52AFD" w:rsidP="004A06DE">
      <w:pPr>
        <w:pStyle w:val="Prrafodelista"/>
        <w:numPr>
          <w:ilvl w:val="0"/>
          <w:numId w:val="1"/>
        </w:numPr>
        <w:spacing w:before="100" w:beforeAutospacing="1" w:after="100" w:afterAutospacing="1" w:line="280" w:lineRule="atLeast"/>
        <w:ind w:left="0" w:firstLine="0"/>
        <w:rPr>
          <w:rFonts w:ascii="Times New Roman" w:hAnsi="Times New Roman" w:cs="Times New Roman"/>
          <w:bCs/>
          <w:sz w:val="20"/>
          <w:szCs w:val="20"/>
          <w:lang w:val="en-US"/>
        </w:rPr>
      </w:pPr>
      <w:r w:rsidRPr="00967CD5">
        <w:rPr>
          <w:rFonts w:ascii="Times New Roman" w:hAnsi="Times New Roman" w:cs="Times New Roman"/>
          <w:bCs/>
          <w:sz w:val="20"/>
          <w:szCs w:val="20"/>
          <w:lang w:val="en-US"/>
        </w:rPr>
        <w:t>RESULTS AND DISCUSSION</w:t>
      </w:r>
    </w:p>
    <w:p w14:paraId="7AEF945C" w14:textId="6192FA94" w:rsidR="001B34BA" w:rsidRPr="00B71ACF" w:rsidRDefault="00BF07D7" w:rsidP="001B34BA">
      <w:pPr>
        <w:pStyle w:val="Prrafodelista"/>
        <w:numPr>
          <w:ilvl w:val="1"/>
          <w:numId w:val="1"/>
        </w:numPr>
        <w:spacing w:before="240" w:after="240" w:line="240" w:lineRule="exact"/>
        <w:ind w:left="0" w:firstLine="0"/>
        <w:contextualSpacing w:val="0"/>
        <w:jc w:val="left"/>
        <w:rPr>
          <w:rFonts w:ascii="Times New Roman" w:hAnsi="Times New Roman" w:cs="Times New Roman"/>
          <w:b/>
          <w:bCs/>
          <w:sz w:val="20"/>
          <w:szCs w:val="20"/>
          <w:lang w:val="en-US"/>
        </w:rPr>
      </w:pPr>
      <w:r w:rsidRPr="00B71ACF">
        <w:rPr>
          <w:rFonts w:ascii="Times New Roman" w:hAnsi="Times New Roman" w:cs="Times New Roman"/>
          <w:b/>
          <w:bCs/>
          <w:sz w:val="20"/>
          <w:szCs w:val="20"/>
          <w:lang w:val="en-US"/>
        </w:rPr>
        <w:t>TG/</w:t>
      </w:r>
      <w:r w:rsidR="00133339" w:rsidRPr="00B71ACF">
        <w:rPr>
          <w:rFonts w:ascii="Times New Roman" w:hAnsi="Times New Roman" w:cs="Times New Roman"/>
          <w:b/>
          <w:bCs/>
          <w:sz w:val="20"/>
          <w:szCs w:val="20"/>
          <w:lang w:val="en-US"/>
        </w:rPr>
        <w:t>DTG/</w:t>
      </w:r>
      <w:r w:rsidRPr="00B71ACF">
        <w:rPr>
          <w:rFonts w:ascii="Times New Roman" w:hAnsi="Times New Roman" w:cs="Times New Roman"/>
          <w:b/>
          <w:bCs/>
          <w:sz w:val="20"/>
          <w:szCs w:val="20"/>
          <w:lang w:val="en-US"/>
        </w:rPr>
        <w:t>DTA</w:t>
      </w:r>
      <w:r w:rsidR="00133339" w:rsidRPr="00B71ACF">
        <w:rPr>
          <w:rFonts w:ascii="Times New Roman" w:hAnsi="Times New Roman" w:cs="Times New Roman"/>
          <w:b/>
          <w:bCs/>
          <w:sz w:val="20"/>
          <w:szCs w:val="20"/>
          <w:lang w:val="en-US"/>
        </w:rPr>
        <w:t xml:space="preserve"> </w:t>
      </w:r>
      <w:r w:rsidR="001B34BA" w:rsidRPr="00B71ACF">
        <w:rPr>
          <w:rFonts w:ascii="Times New Roman" w:hAnsi="Times New Roman" w:cs="Times New Roman"/>
          <w:b/>
          <w:bCs/>
          <w:sz w:val="20"/>
          <w:szCs w:val="20"/>
          <w:lang w:val="en-US"/>
        </w:rPr>
        <w:t>analysis</w:t>
      </w:r>
    </w:p>
    <w:p w14:paraId="3D45DC8F" w14:textId="51D09EE7" w:rsidR="003E7584" w:rsidRPr="00A06F48" w:rsidRDefault="000571B6" w:rsidP="00A06F48">
      <w:pPr>
        <w:pStyle w:val="Prrafodelista"/>
        <w:ind w:left="0"/>
        <w:rPr>
          <w:rFonts w:ascii="Times New Roman" w:hAnsi="Times New Roman" w:cs="Times New Roman"/>
          <w:sz w:val="20"/>
          <w:szCs w:val="20"/>
          <w:lang w:val="en-US"/>
        </w:rPr>
      </w:pPr>
      <w:r w:rsidRPr="002340DB">
        <w:rPr>
          <w:rFonts w:ascii="Times New Roman" w:hAnsi="Times New Roman" w:cs="Times New Roman"/>
          <w:sz w:val="20"/>
          <w:szCs w:val="20"/>
          <w:lang w:val="en-US"/>
        </w:rPr>
        <w:t>The mass loss (TG), mass loss rate (DTG), and DTA curves of OBDC-1 pyrolysis at 15 °C/min are shown in Fig. 3. According to the TG curves, it can be determined that 18% of the initial mass was lost during the test, which is consistent with the addition of the percentages of volatile matter and moisture reported in Table 1</w:t>
      </w:r>
      <w:r w:rsidR="001B34BA" w:rsidRPr="002340DB">
        <w:rPr>
          <w:rFonts w:ascii="Times New Roman" w:hAnsi="Times New Roman" w:cs="Times New Roman"/>
          <w:sz w:val="20"/>
          <w:szCs w:val="20"/>
          <w:lang w:val="en-US"/>
        </w:rPr>
        <w:t xml:space="preserve">. </w:t>
      </w:r>
      <w:r w:rsidR="00AC4083" w:rsidRPr="002340DB">
        <w:rPr>
          <w:rFonts w:ascii="Times New Roman" w:hAnsi="Times New Roman" w:cs="Times New Roman"/>
          <w:sz w:val="20"/>
          <w:szCs w:val="20"/>
          <w:lang w:val="en-US"/>
        </w:rPr>
        <w:t>Fig. 3 as a whole allows for the discrimination of different phenomena with increasing temperature. At approximately one hundred degrees, the DTA curve shows an endothermic peak associated with the release of free water</w:t>
      </w:r>
      <w:r w:rsidR="00AC4083" w:rsidRPr="00AC4083">
        <w:rPr>
          <w:rFonts w:ascii="Times New Roman" w:hAnsi="Times New Roman" w:cs="Times New Roman"/>
          <w:sz w:val="20"/>
          <w:szCs w:val="20"/>
          <w:lang w:val="en-US"/>
        </w:rPr>
        <w:t xml:space="preserve"> deposited in the pores. The shoulder shape shown in the DTG curve indicates that it is not only water evaporation. Oven tests for 24 hours at 105 °C showed mass losses hi</w:t>
      </w:r>
      <w:bookmarkStart w:id="0" w:name="_GoBack"/>
      <w:bookmarkEnd w:id="0"/>
      <w:r w:rsidR="00AC4083" w:rsidRPr="00AC4083">
        <w:rPr>
          <w:rFonts w:ascii="Times New Roman" w:hAnsi="Times New Roman" w:cs="Times New Roman"/>
          <w:sz w:val="20"/>
          <w:szCs w:val="20"/>
          <w:lang w:val="en-US"/>
        </w:rPr>
        <w:t>gher than the moisture reported in Table 1, indicating the release of light organic compounds as well. The TG curve shows the highest loss, approximately 10%, between 150 °C and 280 °C, with a peak maximum velocity at 242 °C. At this stage, the decomposition and volatilization of aliphatic hydrocarbons, with carbon numbers below C17, and aromatic hydrocarbons with carbon numbers below C12, predominate [8]. The DTG curve exhibits an additional peak at 455 °C, indicating a stage of gradual weight loss. According to [8], this phenomenon can be attributed to the volatilization and decomposition (cracking) of heavy organic compounds. The DTA curve displays an endothermic peak at 570 °C, with no mass loss as indicated by the TG curve, corresponding to the transformation of alpha quartz to beta quartz [9-10]. The presence of quartz in the sample is evident in the X-ray analysis of the ashes shown in Table 1.</w:t>
      </w:r>
      <w:r w:rsidR="00D8176A" w:rsidRPr="00A22F68">
        <w:rPr>
          <w:rFonts w:ascii="Times New Roman" w:hAnsi="Times New Roman" w:cs="Times New Roman"/>
          <w:sz w:val="20"/>
          <w:szCs w:val="20"/>
          <w:lang w:val="en-US"/>
        </w:rPr>
        <w:t xml:space="preserve"> </w:t>
      </w:r>
    </w:p>
    <w:p w14:paraId="636A02BA" w14:textId="6643739D" w:rsidR="00844E99" w:rsidRPr="00B71ACF" w:rsidRDefault="00D00B68" w:rsidP="004A06DE">
      <w:pPr>
        <w:spacing w:line="360" w:lineRule="auto"/>
        <w:jc w:val="center"/>
        <w:rPr>
          <w:rFonts w:ascii="Times New Roman" w:hAnsi="Times New Roman" w:cs="Times New Roman"/>
          <w:sz w:val="24"/>
          <w:szCs w:val="24"/>
          <w:lang w:val="en-US"/>
        </w:rPr>
      </w:pPr>
      <w:r w:rsidRPr="00B71ACF">
        <w:rPr>
          <w:rFonts w:ascii="Times New Roman" w:hAnsi="Times New Roman" w:cs="Times New Roman"/>
          <w:noProof/>
          <w:sz w:val="24"/>
          <w:szCs w:val="24"/>
          <w:lang w:val="es-ES" w:eastAsia="es-ES"/>
        </w:rPr>
        <w:lastRenderedPageBreak/>
        <w:drawing>
          <wp:inline distT="0" distB="0" distL="0" distR="0" wp14:anchorId="348ACCCD" wp14:editId="225F75F0">
            <wp:extent cx="4020515" cy="2400300"/>
            <wp:effectExtent l="0" t="0" r="0" b="0"/>
            <wp:docPr id="18152889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88957" name="Imagen 181528895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1304" cy="2448532"/>
                    </a:xfrm>
                    <a:prstGeom prst="rect">
                      <a:avLst/>
                    </a:prstGeom>
                  </pic:spPr>
                </pic:pic>
              </a:graphicData>
            </a:graphic>
          </wp:inline>
        </w:drawing>
      </w:r>
    </w:p>
    <w:p w14:paraId="3617D267" w14:textId="58C81DBB" w:rsidR="00844E99" w:rsidRPr="00B71ACF" w:rsidRDefault="00844E99" w:rsidP="00126D44">
      <w:pPr>
        <w:spacing w:line="360" w:lineRule="auto"/>
        <w:jc w:val="center"/>
        <w:rPr>
          <w:rFonts w:ascii="Times New Roman" w:hAnsi="Times New Roman" w:cs="Times New Roman"/>
          <w:i/>
          <w:iCs/>
          <w:sz w:val="18"/>
          <w:szCs w:val="18"/>
          <w:lang w:val="en-US"/>
        </w:rPr>
      </w:pPr>
      <w:r w:rsidRPr="00B71ACF">
        <w:rPr>
          <w:rFonts w:ascii="Times New Roman" w:hAnsi="Times New Roman" w:cs="Times New Roman"/>
          <w:i/>
          <w:iCs/>
          <w:sz w:val="18"/>
          <w:szCs w:val="18"/>
          <w:lang w:val="en-US"/>
        </w:rPr>
        <w:t xml:space="preserve">FIG. </w:t>
      </w:r>
      <w:r w:rsidR="00BA0C06" w:rsidRPr="00B71ACF">
        <w:rPr>
          <w:rFonts w:ascii="Times New Roman" w:hAnsi="Times New Roman" w:cs="Times New Roman"/>
          <w:i/>
          <w:iCs/>
          <w:sz w:val="18"/>
          <w:szCs w:val="18"/>
          <w:lang w:val="en-US"/>
        </w:rPr>
        <w:t>3</w:t>
      </w:r>
      <w:r w:rsidRPr="00B71ACF">
        <w:rPr>
          <w:rFonts w:ascii="Times New Roman" w:hAnsi="Times New Roman" w:cs="Times New Roman"/>
          <w:i/>
          <w:iCs/>
          <w:sz w:val="18"/>
          <w:szCs w:val="18"/>
          <w:lang w:val="en-US"/>
        </w:rPr>
        <w:t>. TG</w:t>
      </w:r>
      <w:r w:rsidR="00B52AFD" w:rsidRPr="00B71ACF">
        <w:rPr>
          <w:rFonts w:ascii="Times New Roman" w:hAnsi="Times New Roman" w:cs="Times New Roman"/>
          <w:i/>
          <w:iCs/>
          <w:sz w:val="18"/>
          <w:szCs w:val="18"/>
          <w:lang w:val="en-US"/>
        </w:rPr>
        <w:t xml:space="preserve">, DTG and DTA curves of OBDC-1 </w:t>
      </w:r>
      <w:r w:rsidR="00AA738D" w:rsidRPr="00B71ACF">
        <w:rPr>
          <w:rFonts w:ascii="Times New Roman" w:hAnsi="Times New Roman" w:cs="Times New Roman"/>
          <w:i/>
          <w:iCs/>
          <w:sz w:val="18"/>
          <w:szCs w:val="18"/>
          <w:lang w:val="en-US"/>
        </w:rPr>
        <w:t>for a heating rate of 10</w:t>
      </w:r>
      <w:r w:rsidR="00700879">
        <w:rPr>
          <w:rFonts w:ascii="Times New Roman" w:hAnsi="Times New Roman" w:cs="Times New Roman"/>
          <w:i/>
          <w:iCs/>
          <w:sz w:val="18"/>
          <w:szCs w:val="18"/>
          <w:lang w:val="en-US"/>
        </w:rPr>
        <w:t xml:space="preserve"> </w:t>
      </w:r>
      <w:r w:rsidR="00B52AFD" w:rsidRPr="00B71ACF">
        <w:rPr>
          <w:rFonts w:ascii="Times New Roman" w:hAnsi="Times New Roman" w:cs="Times New Roman"/>
          <w:i/>
          <w:iCs/>
          <w:sz w:val="18"/>
          <w:szCs w:val="18"/>
          <w:lang w:val="en-US"/>
        </w:rPr>
        <w:t>°C/min</w:t>
      </w:r>
      <w:r w:rsidR="00B80B38" w:rsidRPr="00B71ACF">
        <w:rPr>
          <w:rFonts w:ascii="Times New Roman" w:hAnsi="Times New Roman" w:cs="Times New Roman"/>
          <w:i/>
          <w:iCs/>
          <w:sz w:val="18"/>
          <w:szCs w:val="18"/>
          <w:lang w:val="en-US"/>
        </w:rPr>
        <w:t>.</w:t>
      </w:r>
    </w:p>
    <w:p w14:paraId="61478FCC" w14:textId="2F618B9C" w:rsidR="004A06DE" w:rsidRPr="00470AE1" w:rsidRDefault="00BB23C7" w:rsidP="004A06DE">
      <w:pPr>
        <w:pStyle w:val="Prrafodelista"/>
        <w:numPr>
          <w:ilvl w:val="1"/>
          <w:numId w:val="1"/>
        </w:numPr>
        <w:spacing w:before="240" w:after="240" w:line="240" w:lineRule="exact"/>
        <w:ind w:left="0" w:firstLine="0"/>
        <w:contextualSpacing w:val="0"/>
        <w:jc w:val="left"/>
        <w:rPr>
          <w:rFonts w:ascii="Times New Roman" w:hAnsi="Times New Roman" w:cs="Times New Roman"/>
          <w:b/>
          <w:bCs/>
          <w:sz w:val="20"/>
          <w:szCs w:val="20"/>
          <w:lang w:val="en-US"/>
        </w:rPr>
      </w:pPr>
      <w:r w:rsidRPr="00470AE1">
        <w:rPr>
          <w:rFonts w:ascii="Times New Roman" w:hAnsi="Times New Roman" w:cs="Times New Roman"/>
          <w:b/>
          <w:bCs/>
          <w:sz w:val="20"/>
          <w:szCs w:val="20"/>
          <w:lang w:val="en-US"/>
        </w:rPr>
        <w:t>Results of the Pyrolysis Experiments</w:t>
      </w:r>
    </w:p>
    <w:p w14:paraId="71FA9BCB" w14:textId="71DCBBE3" w:rsidR="00BB23C7" w:rsidRPr="009930C5" w:rsidRDefault="009930C5" w:rsidP="00BB23C7">
      <w:pPr>
        <w:pStyle w:val="Prrafodelista"/>
        <w:spacing w:line="260" w:lineRule="exact"/>
        <w:ind w:left="0"/>
        <w:contextualSpacing w:val="0"/>
        <w:rPr>
          <w:rFonts w:ascii="Times New Roman" w:hAnsi="Times New Roman" w:cs="Times New Roman"/>
          <w:sz w:val="20"/>
          <w:szCs w:val="20"/>
          <w:lang w:val="en-US"/>
        </w:rPr>
      </w:pPr>
      <w:r w:rsidRPr="009930C5">
        <w:rPr>
          <w:rFonts w:ascii="Times New Roman" w:hAnsi="Times New Roman" w:cs="Times New Roman"/>
          <w:sz w:val="20"/>
          <w:szCs w:val="20"/>
          <w:lang w:val="en-US"/>
        </w:rPr>
        <w:t xml:space="preserve">In Fig. 4, the yields of char, oil, gas, and water are shown for a heating rate of 15 °C/min and different final temperatures. It is observed that the production of char is maximum at the lowest temperature studied and then shows oscillations associated with gravimetric determination and the natural non-uniformity of the soil that makes up the cuttings. The higher production of char at low temperatures is associated with the presence of residual heavy hydrocarbons, which is consistent with what was observed in the TGA analysis. The production of water does not show a clear trend. Although the main contribution to the measured water content comes from the free water in the pores, the release of water due to </w:t>
      </w:r>
      <w:proofErr w:type="spellStart"/>
      <w:r w:rsidRPr="009930C5">
        <w:rPr>
          <w:rFonts w:ascii="Times New Roman" w:hAnsi="Times New Roman" w:cs="Times New Roman"/>
          <w:sz w:val="20"/>
          <w:szCs w:val="20"/>
          <w:lang w:val="en-US"/>
        </w:rPr>
        <w:t>dehydroxylation</w:t>
      </w:r>
      <w:proofErr w:type="spellEnd"/>
      <w:r w:rsidRPr="009930C5">
        <w:rPr>
          <w:rFonts w:ascii="Times New Roman" w:hAnsi="Times New Roman" w:cs="Times New Roman"/>
          <w:sz w:val="20"/>
          <w:szCs w:val="20"/>
          <w:lang w:val="en-US"/>
        </w:rPr>
        <w:t xml:space="preserve"> may also occur in the temperature range of 200-</w:t>
      </w:r>
      <w:r w:rsidRPr="00EE10B0">
        <w:rPr>
          <w:rFonts w:ascii="Times New Roman" w:hAnsi="Times New Roman" w:cs="Times New Roman"/>
          <w:sz w:val="20"/>
          <w:szCs w:val="20"/>
          <w:lang w:val="en-US"/>
        </w:rPr>
        <w:t>720 °C [</w:t>
      </w:r>
      <w:r w:rsidR="00F51BB9" w:rsidRPr="00EE10B0">
        <w:rPr>
          <w:rFonts w:ascii="Times New Roman" w:hAnsi="Times New Roman" w:cs="Times New Roman"/>
          <w:sz w:val="20"/>
          <w:szCs w:val="20"/>
          <w:lang w:val="en-US"/>
        </w:rPr>
        <w:t>1</w:t>
      </w:r>
      <w:r w:rsidR="00723FE5" w:rsidRPr="00EE10B0">
        <w:rPr>
          <w:rFonts w:ascii="Times New Roman" w:hAnsi="Times New Roman" w:cs="Times New Roman"/>
          <w:sz w:val="20"/>
          <w:szCs w:val="20"/>
          <w:lang w:val="en-US"/>
        </w:rPr>
        <w:t>1</w:t>
      </w:r>
      <w:r w:rsidR="00F51BB9" w:rsidRPr="00EE10B0">
        <w:rPr>
          <w:rFonts w:ascii="Times New Roman" w:hAnsi="Times New Roman" w:cs="Times New Roman"/>
          <w:sz w:val="20"/>
          <w:szCs w:val="20"/>
          <w:lang w:val="en-US"/>
        </w:rPr>
        <w:t>-</w:t>
      </w:r>
      <w:r w:rsidRPr="00EE10B0">
        <w:rPr>
          <w:rFonts w:ascii="Times New Roman" w:hAnsi="Times New Roman" w:cs="Times New Roman"/>
          <w:sz w:val="20"/>
          <w:szCs w:val="20"/>
          <w:lang w:val="en-US"/>
        </w:rPr>
        <w:t>1</w:t>
      </w:r>
      <w:r w:rsidR="00723FE5" w:rsidRPr="00EE10B0">
        <w:rPr>
          <w:rFonts w:ascii="Times New Roman" w:hAnsi="Times New Roman" w:cs="Times New Roman"/>
          <w:sz w:val="20"/>
          <w:szCs w:val="20"/>
          <w:lang w:val="en-US"/>
        </w:rPr>
        <w:t>2</w:t>
      </w:r>
      <w:r w:rsidRPr="00EE10B0">
        <w:rPr>
          <w:rFonts w:ascii="Times New Roman" w:hAnsi="Times New Roman" w:cs="Times New Roman"/>
          <w:sz w:val="20"/>
          <w:szCs w:val="20"/>
          <w:lang w:val="en-US"/>
        </w:rPr>
        <w:t>] and</w:t>
      </w:r>
      <w:r w:rsidRPr="009930C5">
        <w:rPr>
          <w:rFonts w:ascii="Times New Roman" w:hAnsi="Times New Roman" w:cs="Times New Roman"/>
          <w:sz w:val="20"/>
          <w:szCs w:val="20"/>
          <w:lang w:val="en-US"/>
        </w:rPr>
        <w:t xml:space="preserve"> also during pyrolysis. It is also observed in Fig. 4 that the production of oil shows a maximum at 500 °C.</w:t>
      </w:r>
    </w:p>
    <w:p w14:paraId="773183AD" w14:textId="70189F37" w:rsidR="009930C5" w:rsidRDefault="00470AE1" w:rsidP="004506B6">
      <w:pPr>
        <w:pStyle w:val="Prrafodelista"/>
        <w:spacing w:line="260" w:lineRule="exact"/>
        <w:ind w:left="0" w:firstLine="0"/>
        <w:contextualSpacing w:val="0"/>
        <w:rPr>
          <w:rFonts w:ascii="Times New Roman" w:hAnsi="Times New Roman" w:cs="Times New Roman"/>
          <w:sz w:val="20"/>
          <w:szCs w:val="20"/>
          <w:lang w:val="en-US"/>
        </w:rPr>
      </w:pPr>
      <w:r>
        <w:rPr>
          <w:rFonts w:ascii="Times New Roman" w:hAnsi="Times New Roman" w:cs="Times New Roman"/>
          <w:noProof/>
          <w:sz w:val="20"/>
          <w:szCs w:val="20"/>
          <w:lang w:val="es-ES" w:eastAsia="es-ES"/>
        </w:rPr>
        <w:drawing>
          <wp:anchor distT="0" distB="0" distL="114300" distR="114300" simplePos="0" relativeHeight="251660288" behindDoc="0" locked="0" layoutInCell="1" allowOverlap="1" wp14:anchorId="6D45DEE8" wp14:editId="3A4F9463">
            <wp:simplePos x="0" y="0"/>
            <wp:positionH relativeFrom="margin">
              <wp:align>center</wp:align>
            </wp:positionH>
            <wp:positionV relativeFrom="paragraph">
              <wp:posOffset>3868</wp:posOffset>
            </wp:positionV>
            <wp:extent cx="3620077" cy="2036243"/>
            <wp:effectExtent l="0" t="0" r="0" b="2540"/>
            <wp:wrapNone/>
            <wp:docPr id="16495696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69675" name="Imagen 16495696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077" cy="2036243"/>
                    </a:xfrm>
                    <a:prstGeom prst="rect">
                      <a:avLst/>
                    </a:prstGeom>
                  </pic:spPr>
                </pic:pic>
              </a:graphicData>
            </a:graphic>
            <wp14:sizeRelH relativeFrom="margin">
              <wp14:pctWidth>0</wp14:pctWidth>
            </wp14:sizeRelH>
            <wp14:sizeRelV relativeFrom="margin">
              <wp14:pctHeight>0</wp14:pctHeight>
            </wp14:sizeRelV>
          </wp:anchor>
        </w:drawing>
      </w:r>
    </w:p>
    <w:p w14:paraId="1D3A5807" w14:textId="77777777" w:rsidR="009930C5" w:rsidRDefault="009930C5" w:rsidP="004506B6">
      <w:pPr>
        <w:pStyle w:val="Prrafodelista"/>
        <w:spacing w:line="260" w:lineRule="exact"/>
        <w:ind w:left="0" w:firstLine="0"/>
        <w:contextualSpacing w:val="0"/>
        <w:rPr>
          <w:rFonts w:ascii="Times New Roman" w:hAnsi="Times New Roman" w:cs="Times New Roman"/>
          <w:sz w:val="20"/>
          <w:szCs w:val="20"/>
          <w:lang w:val="en-US"/>
        </w:rPr>
      </w:pPr>
    </w:p>
    <w:p w14:paraId="2983F045" w14:textId="495204E3" w:rsidR="009930C5" w:rsidRDefault="009930C5" w:rsidP="004506B6">
      <w:pPr>
        <w:pStyle w:val="Prrafodelista"/>
        <w:spacing w:line="260" w:lineRule="exact"/>
        <w:ind w:left="0" w:firstLine="0"/>
        <w:contextualSpacing w:val="0"/>
        <w:rPr>
          <w:rFonts w:ascii="Times New Roman" w:hAnsi="Times New Roman" w:cs="Times New Roman"/>
          <w:sz w:val="20"/>
          <w:szCs w:val="20"/>
          <w:lang w:val="en-US"/>
        </w:rPr>
      </w:pPr>
    </w:p>
    <w:p w14:paraId="6A9254ED" w14:textId="0AD0E77C"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0B4D3C4B" w14:textId="2D0EBE39"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29A4544B" w14:textId="204294F1"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3558B745" w14:textId="277BA41D"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4D53C267" w14:textId="2155C967"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731C420A" w14:textId="1E1E80BB"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133D4C98" w14:textId="31B021B6"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4D0A0953" w14:textId="15149690"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51E0CAE2" w14:textId="37D41F43" w:rsidR="004506B6"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5FC01B0A" w14:textId="77777777" w:rsidR="004506B6" w:rsidRPr="00BB23C7" w:rsidRDefault="004506B6" w:rsidP="004506B6">
      <w:pPr>
        <w:pStyle w:val="Prrafodelista"/>
        <w:spacing w:line="260" w:lineRule="exact"/>
        <w:ind w:left="0" w:firstLine="0"/>
        <w:contextualSpacing w:val="0"/>
        <w:rPr>
          <w:rFonts w:ascii="Times New Roman" w:hAnsi="Times New Roman" w:cs="Times New Roman"/>
          <w:sz w:val="20"/>
          <w:szCs w:val="20"/>
          <w:lang w:val="en-US"/>
        </w:rPr>
      </w:pPr>
    </w:p>
    <w:p w14:paraId="0DC77FCE" w14:textId="6BBE931C" w:rsidR="00CB52CB" w:rsidRPr="00E82BAB" w:rsidRDefault="00B938BB" w:rsidP="00E82BAB">
      <w:pPr>
        <w:spacing w:line="360" w:lineRule="auto"/>
        <w:ind w:firstLine="0"/>
        <w:rPr>
          <w:rFonts w:ascii="Times New Roman" w:hAnsi="Times New Roman" w:cs="Times New Roman"/>
          <w:i/>
          <w:iCs/>
          <w:sz w:val="18"/>
          <w:szCs w:val="18"/>
          <w:lang w:val="en-US"/>
        </w:rPr>
      </w:pPr>
      <w:r w:rsidRPr="00B71ACF">
        <w:rPr>
          <w:rFonts w:ascii="Times New Roman" w:hAnsi="Times New Roman" w:cs="Times New Roman"/>
          <w:i/>
          <w:iCs/>
          <w:sz w:val="18"/>
          <w:szCs w:val="18"/>
          <w:lang w:val="en-US"/>
        </w:rPr>
        <w:t xml:space="preserve">FIG. </w:t>
      </w:r>
      <w:r>
        <w:rPr>
          <w:rFonts w:ascii="Times New Roman" w:hAnsi="Times New Roman" w:cs="Times New Roman"/>
          <w:i/>
          <w:iCs/>
          <w:sz w:val="18"/>
          <w:szCs w:val="18"/>
          <w:lang w:val="en-US"/>
        </w:rPr>
        <w:t>4</w:t>
      </w:r>
      <w:r w:rsidRPr="00B71ACF">
        <w:rPr>
          <w:rFonts w:ascii="Times New Roman" w:hAnsi="Times New Roman" w:cs="Times New Roman"/>
          <w:i/>
          <w:iCs/>
          <w:sz w:val="18"/>
          <w:szCs w:val="18"/>
          <w:lang w:val="en-US"/>
        </w:rPr>
        <w:t xml:space="preserve">. </w:t>
      </w:r>
      <w:r w:rsidRPr="00B938BB">
        <w:rPr>
          <w:rFonts w:ascii="Times New Roman" w:hAnsi="Times New Roman" w:cs="Times New Roman"/>
          <w:i/>
          <w:iCs/>
          <w:sz w:val="18"/>
          <w:szCs w:val="18"/>
          <w:lang w:val="en-US"/>
        </w:rPr>
        <w:t>Product yield from pyrolysis experiments conducted at a heating rate of 15 °C/min, covering a range of final temperatures</w:t>
      </w:r>
      <w:r w:rsidR="00E82BAB">
        <w:rPr>
          <w:rFonts w:ascii="Times New Roman" w:hAnsi="Times New Roman" w:cs="Times New Roman"/>
          <w:i/>
          <w:iCs/>
          <w:sz w:val="18"/>
          <w:szCs w:val="18"/>
          <w:lang w:val="en-US"/>
        </w:rPr>
        <w:t>.</w:t>
      </w:r>
    </w:p>
    <w:p w14:paraId="4E24CED1" w14:textId="67531F90" w:rsidR="001B34BA" w:rsidRPr="00B71ACF" w:rsidRDefault="007D116C" w:rsidP="00F245D7">
      <w:pPr>
        <w:pStyle w:val="Prrafodelista"/>
        <w:numPr>
          <w:ilvl w:val="1"/>
          <w:numId w:val="1"/>
        </w:numPr>
        <w:spacing w:before="240" w:after="240" w:line="240" w:lineRule="exact"/>
        <w:ind w:left="0" w:firstLine="0"/>
        <w:contextualSpacing w:val="0"/>
        <w:jc w:val="left"/>
        <w:rPr>
          <w:rFonts w:ascii="Times New Roman" w:hAnsi="Times New Roman" w:cs="Times New Roman"/>
          <w:sz w:val="20"/>
          <w:szCs w:val="20"/>
          <w:lang w:val="en-US"/>
        </w:rPr>
      </w:pPr>
      <w:r w:rsidRPr="00B71ACF">
        <w:rPr>
          <w:rFonts w:ascii="Times New Roman" w:hAnsi="Times New Roman" w:cs="Times New Roman"/>
          <w:b/>
          <w:bCs/>
          <w:sz w:val="20"/>
          <w:szCs w:val="20"/>
          <w:lang w:val="en-US"/>
        </w:rPr>
        <w:t>Determination of oil in char generated in pyrolysis experiments</w:t>
      </w:r>
    </w:p>
    <w:p w14:paraId="358E7E84" w14:textId="4D18EAF6" w:rsidR="00D8176A" w:rsidRDefault="00E82BAB" w:rsidP="00E85675">
      <w:pPr>
        <w:rPr>
          <w:rFonts w:ascii="Times New Roman" w:hAnsi="Times New Roman" w:cs="Times New Roman"/>
          <w:color w:val="0D0D0D"/>
          <w:sz w:val="20"/>
          <w:szCs w:val="20"/>
          <w:shd w:val="clear" w:color="auto" w:fill="FFFFFF"/>
          <w:lang w:val="en-US"/>
        </w:rPr>
      </w:pPr>
      <w:r w:rsidRPr="00E82BAB">
        <w:rPr>
          <w:rFonts w:ascii="Times New Roman" w:hAnsi="Times New Roman" w:cs="Times New Roman"/>
          <w:color w:val="0D0D0D"/>
          <w:sz w:val="20"/>
          <w:szCs w:val="20"/>
          <w:shd w:val="clear" w:color="auto" w:fill="FFFFFF"/>
          <w:lang w:val="en-US"/>
        </w:rPr>
        <w:t xml:space="preserve">The oil content in the residual char obtained from the pyrolysis experiments of OBDC-1 was determined through </w:t>
      </w:r>
      <w:proofErr w:type="spellStart"/>
      <w:r w:rsidRPr="00E82BAB">
        <w:rPr>
          <w:rFonts w:ascii="Times New Roman" w:hAnsi="Times New Roman" w:cs="Times New Roman"/>
          <w:color w:val="0D0D0D"/>
          <w:sz w:val="20"/>
          <w:szCs w:val="20"/>
          <w:shd w:val="clear" w:color="auto" w:fill="FFFFFF"/>
          <w:lang w:val="en-US"/>
        </w:rPr>
        <w:t>Soxhlet</w:t>
      </w:r>
      <w:proofErr w:type="spellEnd"/>
      <w:r w:rsidRPr="00E82BAB">
        <w:rPr>
          <w:rFonts w:ascii="Times New Roman" w:hAnsi="Times New Roman" w:cs="Times New Roman"/>
          <w:color w:val="0D0D0D"/>
          <w:sz w:val="20"/>
          <w:szCs w:val="20"/>
          <w:shd w:val="clear" w:color="auto" w:fill="FFFFFF"/>
          <w:lang w:val="en-US"/>
        </w:rPr>
        <w:t xml:space="preserve"> extraction, following EPA methods 3540C and 9071b. The oil content for the residue obtained at 400</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°C, 450</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°C, and 500</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°C was found to be 0.95</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 0.4</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 and 0.05</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 respectively. These findings are consistent with those observed in the TGA analysis. Consequently, we conclude that the pyrolysis process at 400</w:t>
      </w:r>
      <w:r w:rsidR="003E3698">
        <w:rPr>
          <w:rFonts w:ascii="Times New Roman" w:hAnsi="Times New Roman" w:cs="Times New Roman"/>
          <w:color w:val="0D0D0D"/>
          <w:sz w:val="20"/>
          <w:szCs w:val="20"/>
          <w:shd w:val="clear" w:color="auto" w:fill="FFFFFF"/>
          <w:lang w:val="en-US"/>
        </w:rPr>
        <w:t xml:space="preserve"> </w:t>
      </w:r>
      <w:r w:rsidRPr="00E82BAB">
        <w:rPr>
          <w:rFonts w:ascii="Times New Roman" w:hAnsi="Times New Roman" w:cs="Times New Roman"/>
          <w:color w:val="0D0D0D"/>
          <w:sz w:val="20"/>
          <w:szCs w:val="20"/>
          <w:shd w:val="clear" w:color="auto" w:fill="FFFFFF"/>
          <w:lang w:val="en-US"/>
        </w:rPr>
        <w:t>°C represents the temperature limit to ensure a residual solid suitable for deposition in dry soil, as per the regulations outlined in Provincial Disposition (SSMA) 759/09 of Neuquén province</w:t>
      </w:r>
      <w:r>
        <w:rPr>
          <w:rFonts w:ascii="Times New Roman" w:hAnsi="Times New Roman" w:cs="Times New Roman"/>
          <w:color w:val="0D0D0D"/>
          <w:sz w:val="20"/>
          <w:szCs w:val="20"/>
          <w:shd w:val="clear" w:color="auto" w:fill="FFFFFF"/>
          <w:lang w:val="en-US"/>
        </w:rPr>
        <w:t>.</w:t>
      </w:r>
    </w:p>
    <w:p w14:paraId="2F57BDF4" w14:textId="6933E848" w:rsidR="009930C5" w:rsidRDefault="009930C5" w:rsidP="004506B6">
      <w:pPr>
        <w:ind w:firstLine="0"/>
        <w:rPr>
          <w:rFonts w:ascii="Times New Roman" w:hAnsi="Times New Roman" w:cs="Times New Roman"/>
          <w:color w:val="0D0D0D"/>
          <w:sz w:val="20"/>
          <w:szCs w:val="20"/>
          <w:shd w:val="clear" w:color="auto" w:fill="FFFFFF"/>
          <w:lang w:val="en-US"/>
        </w:rPr>
      </w:pPr>
    </w:p>
    <w:p w14:paraId="0762F5E4" w14:textId="77777777" w:rsidR="004506B6" w:rsidRDefault="004506B6" w:rsidP="004506B6">
      <w:pPr>
        <w:ind w:firstLine="0"/>
        <w:rPr>
          <w:rFonts w:ascii="Times New Roman" w:hAnsi="Times New Roman" w:cs="Times New Roman"/>
          <w:color w:val="0D0D0D"/>
          <w:sz w:val="20"/>
          <w:szCs w:val="20"/>
          <w:shd w:val="clear" w:color="auto" w:fill="FFFFFF"/>
          <w:lang w:val="en-US"/>
        </w:rPr>
      </w:pPr>
    </w:p>
    <w:p w14:paraId="0F4BA109" w14:textId="0B6FA521" w:rsidR="009930C5" w:rsidRPr="00967CD5" w:rsidRDefault="00967CD5" w:rsidP="00967CD5">
      <w:pPr>
        <w:pStyle w:val="Prrafodelista"/>
        <w:spacing w:before="100" w:beforeAutospacing="1" w:after="100" w:afterAutospacing="1" w:line="280" w:lineRule="atLeast"/>
        <w:ind w:left="0" w:firstLine="0"/>
        <w:rPr>
          <w:rFonts w:ascii="Times New Roman" w:hAnsi="Times New Roman" w:cs="Times New Roman"/>
          <w:bCs/>
          <w:sz w:val="20"/>
          <w:szCs w:val="20"/>
          <w:lang w:val="en-US"/>
        </w:rPr>
      </w:pPr>
      <w:r>
        <w:rPr>
          <w:rFonts w:ascii="Times New Roman" w:hAnsi="Times New Roman" w:cs="Times New Roman"/>
          <w:bCs/>
          <w:sz w:val="20"/>
          <w:szCs w:val="20"/>
          <w:lang w:val="en-US"/>
        </w:rPr>
        <w:t xml:space="preserve">4. </w:t>
      </w:r>
      <w:r w:rsidR="00056626" w:rsidRPr="00967CD5">
        <w:rPr>
          <w:rFonts w:ascii="Times New Roman" w:hAnsi="Times New Roman" w:cs="Times New Roman"/>
          <w:bCs/>
          <w:sz w:val="20"/>
          <w:szCs w:val="20"/>
          <w:lang w:val="en-US"/>
        </w:rPr>
        <w:t>CONCLUSIONS</w:t>
      </w:r>
    </w:p>
    <w:p w14:paraId="0DFB29C6" w14:textId="77777777" w:rsidR="00056626" w:rsidRDefault="00056626" w:rsidP="00056626">
      <w:pPr>
        <w:pStyle w:val="Prrafodelista"/>
        <w:spacing w:before="100" w:beforeAutospacing="1" w:after="100" w:afterAutospacing="1" w:line="280" w:lineRule="atLeast"/>
        <w:ind w:left="0" w:firstLine="0"/>
        <w:rPr>
          <w:rFonts w:ascii="Times New Roman" w:hAnsi="Times New Roman" w:cs="Times New Roman"/>
          <w:sz w:val="20"/>
          <w:szCs w:val="20"/>
          <w:lang w:val="en-US"/>
        </w:rPr>
      </w:pPr>
    </w:p>
    <w:p w14:paraId="5E75C4BE" w14:textId="23AFCF5B" w:rsidR="00966B3A" w:rsidRDefault="00470AE1" w:rsidP="00966B3A">
      <w:pPr>
        <w:pStyle w:val="Prrafodelista"/>
        <w:ind w:left="0"/>
        <w:rPr>
          <w:rFonts w:ascii="Times New Roman" w:hAnsi="Times New Roman" w:cs="Times New Roman"/>
          <w:color w:val="0D0D0D"/>
          <w:sz w:val="20"/>
          <w:szCs w:val="20"/>
          <w:shd w:val="clear" w:color="auto" w:fill="FFFFFF"/>
          <w:lang w:val="en-US"/>
        </w:rPr>
      </w:pPr>
      <w:r w:rsidRPr="00470AE1">
        <w:rPr>
          <w:rFonts w:ascii="Times New Roman" w:hAnsi="Times New Roman" w:cs="Times New Roman"/>
          <w:color w:val="0D0D0D"/>
          <w:sz w:val="20"/>
          <w:szCs w:val="20"/>
          <w:shd w:val="clear" w:color="auto" w:fill="FFFFFF"/>
          <w:lang w:val="en-US"/>
        </w:rPr>
        <w:t xml:space="preserve">With the aim of using cogeneration for the treatment of OBDCs using small modular reactors such as CAREM, this work carried out the primary characterization of OBDCs from different formations in the Neuquén Basin. Additionally, </w:t>
      </w:r>
      <w:proofErr w:type="spellStart"/>
      <w:r w:rsidRPr="00470AE1">
        <w:rPr>
          <w:rFonts w:ascii="Times New Roman" w:hAnsi="Times New Roman" w:cs="Times New Roman"/>
          <w:color w:val="0D0D0D"/>
          <w:sz w:val="20"/>
          <w:szCs w:val="20"/>
          <w:shd w:val="clear" w:color="auto" w:fill="FFFFFF"/>
          <w:lang w:val="en-US"/>
        </w:rPr>
        <w:t>thermogravimetric</w:t>
      </w:r>
      <w:proofErr w:type="spellEnd"/>
      <w:r w:rsidRPr="00470AE1">
        <w:rPr>
          <w:rFonts w:ascii="Times New Roman" w:hAnsi="Times New Roman" w:cs="Times New Roman"/>
          <w:color w:val="0D0D0D"/>
          <w:sz w:val="20"/>
          <w:szCs w:val="20"/>
          <w:shd w:val="clear" w:color="auto" w:fill="FFFFFF"/>
          <w:lang w:val="en-US"/>
        </w:rPr>
        <w:t xml:space="preserve"> and differential thermal analysis (TG/DTA) experiments and pyrolysis experiences were conducted to measure the yields of char, oil, gas, and water. The obtained char was also analyzed to assess the oil content present. In this regard, it is important to highlight that a low-temperature pyrolysis process (400 °C) can ensure a solid suitable for deposition in dry soil, complying with local regulations. On the other hand, the maximum oil yield is obtained at 500 °C. Increases in temperature above 500 °C result in an increase in the yield of non-condensable gases. The set of results presented allows us to conclude that it is possible to work at relatively low temperatures to generate a clean solid residue and recover oil that could eventually be reused in the drilling process. According to the bibliography, the operating temperatures determined in this work can be achieved through the cogeneration use of the CAREM modular reactor, also solving the need for electrical power supply in the Neuquén Basin fields.</w:t>
      </w:r>
    </w:p>
    <w:p w14:paraId="71FCE892" w14:textId="77777777" w:rsidR="006F409F" w:rsidRPr="006F409F" w:rsidRDefault="006F409F" w:rsidP="006F409F">
      <w:pPr>
        <w:spacing w:before="100" w:beforeAutospacing="1" w:after="100" w:afterAutospacing="1"/>
        <w:ind w:firstLine="0"/>
        <w:jc w:val="center"/>
        <w:rPr>
          <w:rFonts w:ascii="Times New Roman Bold" w:eastAsia="Times New Roman" w:hAnsi="Times New Roman Bold" w:cs="Times New Roman"/>
          <w:b/>
          <w:caps/>
          <w:kern w:val="0"/>
          <w:sz w:val="20"/>
          <w:szCs w:val="20"/>
          <w:lang w:val="en-GB"/>
          <w14:ligatures w14:val="none"/>
        </w:rPr>
      </w:pPr>
      <w:r w:rsidRPr="006F409F">
        <w:rPr>
          <w:rFonts w:ascii="Times New Roman Bold" w:eastAsia="Times New Roman" w:hAnsi="Times New Roman Bold" w:cs="Times New Roman"/>
          <w:b/>
          <w:caps/>
          <w:kern w:val="0"/>
          <w:sz w:val="20"/>
          <w:szCs w:val="20"/>
          <w:lang w:val="en-GB"/>
          <w14:ligatures w14:val="none"/>
        </w:rPr>
        <w:t>ACKNOWLEDGEMENTS</w:t>
      </w:r>
    </w:p>
    <w:p w14:paraId="0CF77D4D" w14:textId="49985780" w:rsidR="006F409F" w:rsidRPr="006F409F" w:rsidRDefault="006F409F" w:rsidP="006F409F">
      <w:pPr>
        <w:contextualSpacing/>
        <w:rPr>
          <w:rFonts w:ascii="Times New Roman" w:eastAsia="Times New Roman" w:hAnsi="Times New Roman" w:cs="Times New Roman"/>
          <w:kern w:val="0"/>
          <w:sz w:val="20"/>
          <w:szCs w:val="20"/>
          <w:lang w:val="en-US"/>
          <w14:ligatures w14:val="none"/>
        </w:rPr>
      </w:pPr>
      <w:r w:rsidRPr="006F409F">
        <w:rPr>
          <w:rFonts w:ascii="Times New Roman" w:eastAsia="Times New Roman" w:hAnsi="Times New Roman" w:cs="Times New Roman"/>
          <w:kern w:val="0"/>
          <w:sz w:val="20"/>
          <w:szCs w:val="20"/>
          <w:lang w:val="en-GB"/>
          <w14:ligatures w14:val="none"/>
        </w:rPr>
        <w:t>This research was funded by the following Argentine institutions:</w:t>
      </w:r>
      <w:r>
        <w:rPr>
          <w:rFonts w:ascii="Times New Roman" w:eastAsia="Times New Roman" w:hAnsi="Times New Roman" w:cs="Times New Roman"/>
          <w:kern w:val="0"/>
          <w:sz w:val="20"/>
          <w:szCs w:val="20"/>
          <w:lang w:val="en-GB"/>
          <w14:ligatures w14:val="none"/>
        </w:rPr>
        <w:t xml:space="preserve"> </w:t>
      </w:r>
      <w:r w:rsidRPr="006F409F">
        <w:rPr>
          <w:rFonts w:ascii="Times New Roman" w:eastAsia="Times New Roman" w:hAnsi="Times New Roman" w:cs="Times New Roman"/>
          <w:kern w:val="0"/>
          <w:sz w:val="20"/>
          <w:szCs w:val="20"/>
          <w:lang w:val="en-GB"/>
          <w14:ligatures w14:val="none"/>
        </w:rPr>
        <w:t xml:space="preserve">University of </w:t>
      </w:r>
      <w:proofErr w:type="spellStart"/>
      <w:r w:rsidRPr="006F409F">
        <w:rPr>
          <w:rFonts w:ascii="Times New Roman" w:eastAsia="Times New Roman" w:hAnsi="Times New Roman" w:cs="Times New Roman"/>
          <w:kern w:val="0"/>
          <w:sz w:val="20"/>
          <w:szCs w:val="20"/>
          <w:lang w:val="en-GB"/>
          <w14:ligatures w14:val="none"/>
        </w:rPr>
        <w:t>Comahue</w:t>
      </w:r>
      <w:proofErr w:type="spellEnd"/>
      <w:r w:rsidRPr="006F409F">
        <w:rPr>
          <w:rFonts w:ascii="Times New Roman" w:eastAsia="Times New Roman" w:hAnsi="Times New Roman" w:cs="Times New Roman"/>
          <w:kern w:val="0"/>
          <w:sz w:val="20"/>
          <w:szCs w:val="20"/>
          <w:lang w:val="en-GB"/>
          <w14:ligatures w14:val="none"/>
        </w:rPr>
        <w:t xml:space="preserve"> (PIN 2022–04/I260); CONICET -National Scientific and Technical</w:t>
      </w:r>
      <w:r>
        <w:rPr>
          <w:rFonts w:ascii="Times New Roman" w:eastAsia="Times New Roman" w:hAnsi="Times New Roman" w:cs="Times New Roman"/>
          <w:kern w:val="0"/>
          <w:sz w:val="20"/>
          <w:szCs w:val="20"/>
          <w:lang w:val="en-GB"/>
          <w14:ligatures w14:val="none"/>
        </w:rPr>
        <w:t xml:space="preserve">; </w:t>
      </w:r>
      <w:proofErr w:type="spellStart"/>
      <w:r w:rsidRPr="006F409F">
        <w:rPr>
          <w:rFonts w:ascii="Times New Roman" w:eastAsia="Times New Roman" w:hAnsi="Times New Roman" w:cs="Times New Roman"/>
          <w:kern w:val="0"/>
          <w:sz w:val="20"/>
          <w:szCs w:val="20"/>
          <w:lang w:val="en-US"/>
          <w14:ligatures w14:val="none"/>
        </w:rPr>
        <w:t>Comisión</w:t>
      </w:r>
      <w:proofErr w:type="spellEnd"/>
      <w:r w:rsidRPr="006F409F">
        <w:rPr>
          <w:rFonts w:ascii="Times New Roman" w:eastAsia="Times New Roman" w:hAnsi="Times New Roman" w:cs="Times New Roman"/>
          <w:kern w:val="0"/>
          <w:sz w:val="20"/>
          <w:szCs w:val="20"/>
          <w:lang w:val="en-US"/>
          <w14:ligatures w14:val="none"/>
        </w:rPr>
        <w:t xml:space="preserve"> Nacional de </w:t>
      </w:r>
      <w:proofErr w:type="spellStart"/>
      <w:r w:rsidRPr="006F409F">
        <w:rPr>
          <w:rFonts w:ascii="Times New Roman" w:eastAsia="Times New Roman" w:hAnsi="Times New Roman" w:cs="Times New Roman"/>
          <w:kern w:val="0"/>
          <w:sz w:val="20"/>
          <w:szCs w:val="20"/>
          <w:lang w:val="en-US"/>
          <w14:ligatures w14:val="none"/>
        </w:rPr>
        <w:t>Energía</w:t>
      </w:r>
      <w:proofErr w:type="spellEnd"/>
      <w:r w:rsidRPr="006F409F">
        <w:rPr>
          <w:rFonts w:ascii="Times New Roman" w:eastAsia="Times New Roman" w:hAnsi="Times New Roman" w:cs="Times New Roman"/>
          <w:kern w:val="0"/>
          <w:sz w:val="20"/>
          <w:szCs w:val="20"/>
          <w:lang w:val="en-US"/>
          <w14:ligatures w14:val="none"/>
        </w:rPr>
        <w:t xml:space="preserve"> </w:t>
      </w:r>
      <w:proofErr w:type="spellStart"/>
      <w:r w:rsidRPr="006F409F">
        <w:rPr>
          <w:rFonts w:ascii="Times New Roman" w:eastAsia="Times New Roman" w:hAnsi="Times New Roman" w:cs="Times New Roman"/>
          <w:kern w:val="0"/>
          <w:sz w:val="20"/>
          <w:szCs w:val="20"/>
          <w:lang w:val="en-US"/>
          <w14:ligatures w14:val="none"/>
        </w:rPr>
        <w:t>Atómica</w:t>
      </w:r>
      <w:proofErr w:type="spellEnd"/>
      <w:r w:rsidRPr="006F409F">
        <w:rPr>
          <w:rFonts w:ascii="Times New Roman" w:eastAsia="Times New Roman" w:hAnsi="Times New Roman" w:cs="Times New Roman"/>
          <w:kern w:val="0"/>
          <w:sz w:val="20"/>
          <w:szCs w:val="20"/>
          <w:lang w:val="en-US"/>
          <w14:ligatures w14:val="none"/>
        </w:rPr>
        <w:t>, CNEA.</w:t>
      </w:r>
    </w:p>
    <w:p w14:paraId="0D8EA6AD" w14:textId="77777777" w:rsidR="006F409F" w:rsidRPr="006F409F" w:rsidRDefault="006F409F" w:rsidP="006F409F">
      <w:pPr>
        <w:contextualSpacing/>
        <w:rPr>
          <w:rFonts w:ascii="Times New Roman" w:eastAsia="Times New Roman" w:hAnsi="Times New Roman" w:cs="Times New Roman"/>
          <w:kern w:val="0"/>
          <w:sz w:val="20"/>
          <w:szCs w:val="20"/>
          <w:lang w:val="en-GB"/>
          <w14:ligatures w14:val="none"/>
        </w:rPr>
      </w:pPr>
      <w:r w:rsidRPr="006F409F">
        <w:rPr>
          <w:rFonts w:ascii="Times New Roman" w:eastAsia="Times New Roman" w:hAnsi="Times New Roman" w:cs="Times New Roman"/>
          <w:kern w:val="0"/>
          <w:sz w:val="20"/>
          <w:szCs w:val="20"/>
          <w:lang w:val="en-GB"/>
          <w14:ligatures w14:val="none"/>
        </w:rPr>
        <w:t>Research Council (PIP 2021–2023 -11220200100950CO); ANPCYT-FONCYT-</w:t>
      </w:r>
      <w:proofErr w:type="spellStart"/>
      <w:r w:rsidRPr="006F409F">
        <w:rPr>
          <w:rFonts w:ascii="Times New Roman" w:eastAsia="Times New Roman" w:hAnsi="Times New Roman" w:cs="Times New Roman"/>
          <w:kern w:val="0"/>
          <w:sz w:val="20"/>
          <w:szCs w:val="20"/>
          <w:lang w:val="en-GB"/>
          <w14:ligatures w14:val="none"/>
        </w:rPr>
        <w:t>Fundación</w:t>
      </w:r>
      <w:proofErr w:type="spellEnd"/>
      <w:r w:rsidRPr="006F409F">
        <w:rPr>
          <w:rFonts w:ascii="Times New Roman" w:eastAsia="Times New Roman" w:hAnsi="Times New Roman" w:cs="Times New Roman"/>
          <w:kern w:val="0"/>
          <w:sz w:val="20"/>
          <w:szCs w:val="20"/>
          <w:lang w:val="en-GB"/>
          <w14:ligatures w14:val="none"/>
        </w:rPr>
        <w:t xml:space="preserve"> YPF (PICTO 2022-1410). </w:t>
      </w:r>
    </w:p>
    <w:p w14:paraId="56121853" w14:textId="77777777" w:rsidR="006F409F" w:rsidRPr="002340DB" w:rsidRDefault="006F409F" w:rsidP="00966B3A">
      <w:pPr>
        <w:pStyle w:val="Prrafodelista"/>
        <w:ind w:left="0"/>
        <w:rPr>
          <w:rFonts w:ascii="Times New Roman" w:hAnsi="Times New Roman" w:cs="Times New Roman"/>
          <w:color w:val="0D0D0D"/>
          <w:sz w:val="20"/>
          <w:szCs w:val="20"/>
          <w:shd w:val="clear" w:color="auto" w:fill="FFFFFF"/>
          <w:lang w:val="en-US"/>
        </w:rPr>
      </w:pPr>
    </w:p>
    <w:p w14:paraId="23216718" w14:textId="77777777" w:rsidR="00470AE1" w:rsidRPr="002340DB" w:rsidRDefault="00470AE1" w:rsidP="00966B3A">
      <w:pPr>
        <w:pStyle w:val="Prrafodelista"/>
        <w:ind w:left="0"/>
        <w:rPr>
          <w:rFonts w:ascii="Times New Roman" w:hAnsi="Times New Roman" w:cs="Times New Roman"/>
          <w:color w:val="0D0D0D"/>
          <w:sz w:val="20"/>
          <w:szCs w:val="20"/>
          <w:shd w:val="clear" w:color="auto" w:fill="FFFFFF"/>
          <w:lang w:val="en-US"/>
        </w:rPr>
      </w:pPr>
    </w:p>
    <w:p w14:paraId="3E62078E" w14:textId="0BFF8C93" w:rsidR="00806B44" w:rsidRPr="006F409F" w:rsidRDefault="00806B44" w:rsidP="006F409F">
      <w:pPr>
        <w:pStyle w:val="Prrafodelista"/>
        <w:spacing w:before="100" w:beforeAutospacing="1" w:after="100" w:afterAutospacing="1" w:line="280" w:lineRule="atLeast"/>
        <w:ind w:left="0" w:firstLine="0"/>
        <w:jc w:val="center"/>
        <w:rPr>
          <w:rFonts w:ascii="Times New Roman Bold" w:eastAsia="Times New Roman" w:hAnsi="Times New Roman Bold" w:cs="Times New Roman"/>
          <w:b/>
          <w:caps/>
          <w:kern w:val="0"/>
          <w:sz w:val="20"/>
          <w:szCs w:val="20"/>
          <w:lang w:val="en-GB"/>
          <w14:ligatures w14:val="none"/>
        </w:rPr>
      </w:pPr>
      <w:r w:rsidRPr="006F409F">
        <w:rPr>
          <w:rFonts w:ascii="Times New Roman Bold" w:eastAsia="Times New Roman" w:hAnsi="Times New Roman Bold" w:cs="Times New Roman"/>
          <w:b/>
          <w:caps/>
          <w:kern w:val="0"/>
          <w:sz w:val="20"/>
          <w:szCs w:val="20"/>
          <w:lang w:val="en-GB"/>
          <w14:ligatures w14:val="none"/>
        </w:rPr>
        <w:t>REFERENCES</w:t>
      </w:r>
    </w:p>
    <w:p w14:paraId="29B0A3E0" w14:textId="2B3B4C49" w:rsidR="004E46C9" w:rsidRPr="00B71ACF" w:rsidRDefault="004E46C9" w:rsidP="009F4706">
      <w:pPr>
        <w:pStyle w:val="Referencelist"/>
        <w:ind w:left="714" w:hanging="357"/>
        <w:rPr>
          <w:lang w:val="en-US"/>
        </w:rPr>
      </w:pPr>
      <w:proofErr w:type="spellStart"/>
      <w:r w:rsidRPr="00B71ACF">
        <w:rPr>
          <w:lang w:val="en-US"/>
        </w:rPr>
        <w:t>B</w:t>
      </w:r>
      <w:r w:rsidR="009F7D9F" w:rsidRPr="00B71ACF">
        <w:rPr>
          <w:lang w:val="en-US"/>
        </w:rPr>
        <w:t>ohado</w:t>
      </w:r>
      <w:proofErr w:type="spellEnd"/>
      <w:r w:rsidRPr="00B71ACF">
        <w:rPr>
          <w:lang w:val="en-US"/>
        </w:rPr>
        <w:t xml:space="preserve">, H.J., </w:t>
      </w:r>
      <w:proofErr w:type="spellStart"/>
      <w:r w:rsidRPr="00B71ACF">
        <w:rPr>
          <w:lang w:val="en-US"/>
        </w:rPr>
        <w:t>O</w:t>
      </w:r>
      <w:r w:rsidR="009F7D9F" w:rsidRPr="00B71ACF">
        <w:rPr>
          <w:lang w:val="en-US"/>
        </w:rPr>
        <w:t>rdoñez</w:t>
      </w:r>
      <w:proofErr w:type="spellEnd"/>
      <w:r w:rsidRPr="00B71ACF">
        <w:rPr>
          <w:lang w:val="en-US"/>
        </w:rPr>
        <w:t xml:space="preserve"> J.P., CAREM project: 1995 status of engineering and development, INVAP S.E. </w:t>
      </w:r>
      <w:proofErr w:type="spellStart"/>
      <w:r w:rsidRPr="00B71ACF">
        <w:rPr>
          <w:lang w:val="en-US"/>
        </w:rPr>
        <w:t>Bariloche</w:t>
      </w:r>
      <w:proofErr w:type="spellEnd"/>
      <w:r w:rsidRPr="00B71ACF">
        <w:rPr>
          <w:lang w:val="en-US"/>
        </w:rPr>
        <w:t xml:space="preserve">, Río Negro, Argentina, </w:t>
      </w:r>
      <w:r w:rsidR="00B25A40">
        <w:rPr>
          <w:lang w:val="en-US"/>
        </w:rPr>
        <w:t>(</w:t>
      </w:r>
      <w:r w:rsidRPr="00B71ACF">
        <w:rPr>
          <w:lang w:val="en-US"/>
        </w:rPr>
        <w:t>1998</w:t>
      </w:r>
      <w:r w:rsidR="00B25A40">
        <w:rPr>
          <w:lang w:val="en-US"/>
        </w:rPr>
        <w:t>)</w:t>
      </w:r>
      <w:r w:rsidRPr="00B71ACF">
        <w:rPr>
          <w:lang w:val="en-US"/>
        </w:rPr>
        <w:t>.</w:t>
      </w:r>
    </w:p>
    <w:p w14:paraId="4960D9AA" w14:textId="55D4F052" w:rsidR="00CA1241" w:rsidRPr="00C32225" w:rsidRDefault="008B235E" w:rsidP="009F4706">
      <w:pPr>
        <w:pStyle w:val="Referencelist"/>
        <w:ind w:left="714" w:hanging="357"/>
        <w:rPr>
          <w:lang w:val="es-ES"/>
        </w:rPr>
      </w:pPr>
      <w:r w:rsidRPr="00C32225">
        <w:rPr>
          <w:lang w:val="es-ES"/>
        </w:rPr>
        <w:t>CASADIO</w:t>
      </w:r>
      <w:r w:rsidR="00CA1241" w:rsidRPr="00C32225">
        <w:rPr>
          <w:lang w:val="es-ES"/>
        </w:rPr>
        <w:t>, S.</w:t>
      </w:r>
      <w:r w:rsidR="008D2FF1">
        <w:rPr>
          <w:lang w:val="es-ES"/>
        </w:rPr>
        <w:t>,</w:t>
      </w:r>
      <w:r w:rsidR="00CA1241" w:rsidRPr="00C32225">
        <w:rPr>
          <w:lang w:val="es-ES"/>
        </w:rPr>
        <w:t xml:space="preserve"> </w:t>
      </w:r>
      <w:r w:rsidR="00CA1241" w:rsidRPr="00E6646F">
        <w:rPr>
          <w:lang w:val="es-ES"/>
        </w:rPr>
        <w:t xml:space="preserve">Geología de la Cuenca </w:t>
      </w:r>
      <w:r w:rsidR="00E6646F" w:rsidRPr="00E6646F">
        <w:rPr>
          <w:lang w:val="es-ES"/>
        </w:rPr>
        <w:t>N</w:t>
      </w:r>
      <w:r w:rsidR="00CA1241" w:rsidRPr="00E6646F">
        <w:rPr>
          <w:lang w:val="es-ES"/>
        </w:rPr>
        <w:t>euquina y sus sistemas</w:t>
      </w:r>
      <w:r w:rsidRPr="00E6646F">
        <w:rPr>
          <w:lang w:val="es-ES"/>
        </w:rPr>
        <w:t xml:space="preserve"> </w:t>
      </w:r>
      <w:r w:rsidR="00CA1241" w:rsidRPr="00E6646F">
        <w:rPr>
          <w:lang w:val="es-ES"/>
        </w:rPr>
        <w:t xml:space="preserve">petroleros: una mirada integradora desde los afloramientos al subsuelo. </w:t>
      </w:r>
      <w:r w:rsidR="00CA1241" w:rsidRPr="00C32225">
        <w:rPr>
          <w:lang w:val="es-ES"/>
        </w:rPr>
        <w:t>1era.</w:t>
      </w:r>
      <w:r w:rsidRPr="00C32225">
        <w:rPr>
          <w:lang w:val="es-ES"/>
        </w:rPr>
        <w:t xml:space="preserve"> </w:t>
      </w:r>
      <w:r w:rsidR="00CA1241" w:rsidRPr="00C32225">
        <w:rPr>
          <w:lang w:val="es-ES"/>
        </w:rPr>
        <w:t>Edición. Buenos Aires. Fundación YPF. Viedma. Universidad Nacional</w:t>
      </w:r>
      <w:r w:rsidRPr="00C32225">
        <w:rPr>
          <w:lang w:val="es-ES"/>
        </w:rPr>
        <w:t xml:space="preserve"> </w:t>
      </w:r>
      <w:r w:rsidR="00CA1241" w:rsidRPr="00C32225">
        <w:rPr>
          <w:lang w:val="es-ES"/>
        </w:rPr>
        <w:t>de Río Negro</w:t>
      </w:r>
      <w:r w:rsidRPr="00C32225">
        <w:rPr>
          <w:lang w:val="es-ES"/>
        </w:rPr>
        <w:t xml:space="preserve">, </w:t>
      </w:r>
      <w:r w:rsidR="00B25A40">
        <w:rPr>
          <w:lang w:val="es-ES"/>
        </w:rPr>
        <w:t>(</w:t>
      </w:r>
      <w:r w:rsidRPr="00C32225">
        <w:rPr>
          <w:lang w:val="es-ES"/>
        </w:rPr>
        <w:t>2015</w:t>
      </w:r>
      <w:r w:rsidR="00B25A40">
        <w:rPr>
          <w:lang w:val="es-ES"/>
        </w:rPr>
        <w:t>)</w:t>
      </w:r>
      <w:r w:rsidRPr="00C32225">
        <w:rPr>
          <w:lang w:val="es-ES"/>
        </w:rPr>
        <w:t>.</w:t>
      </w:r>
    </w:p>
    <w:p w14:paraId="6DABC684" w14:textId="786F0AB0" w:rsidR="00686C17" w:rsidRPr="00B71ACF" w:rsidRDefault="00686C17" w:rsidP="009F4706">
      <w:pPr>
        <w:pStyle w:val="Referencelist"/>
        <w:ind w:left="714" w:hanging="357"/>
        <w:rPr>
          <w:lang w:val="en-US"/>
        </w:rPr>
      </w:pPr>
      <w:proofErr w:type="spellStart"/>
      <w:r w:rsidRPr="00B71ACF">
        <w:rPr>
          <w:lang w:val="en-US"/>
        </w:rPr>
        <w:t>Hou</w:t>
      </w:r>
      <w:proofErr w:type="spellEnd"/>
      <w:r w:rsidRPr="00B71ACF">
        <w:rPr>
          <w:lang w:val="en-US"/>
        </w:rPr>
        <w:t xml:space="preserve"> Y., Qi S., You H., Huang Z., </w:t>
      </w:r>
      <w:proofErr w:type="spellStart"/>
      <w:r w:rsidRPr="00B71ACF">
        <w:rPr>
          <w:lang w:val="en-US"/>
        </w:rPr>
        <w:t>Niu</w:t>
      </w:r>
      <w:proofErr w:type="spellEnd"/>
      <w:r w:rsidRPr="00B71ACF">
        <w:rPr>
          <w:lang w:val="en-US"/>
        </w:rPr>
        <w:t xml:space="preserve"> Q.</w:t>
      </w:r>
      <w:r w:rsidR="00DD7656">
        <w:rPr>
          <w:lang w:val="en-US"/>
        </w:rPr>
        <w:t>,</w:t>
      </w:r>
      <w:r w:rsidRPr="00B71ACF">
        <w:rPr>
          <w:color w:val="5B9BD5" w:themeColor="accent5"/>
          <w:lang w:val="en-US"/>
        </w:rPr>
        <w:t xml:space="preserve"> </w:t>
      </w:r>
      <w:r w:rsidRPr="00B71ACF">
        <w:rPr>
          <w:lang w:val="en-US"/>
        </w:rPr>
        <w:t>The study on pyrolysis of oil-based drilling cuttings by microwave and electric heating. Journal of Environmental Management 228</w:t>
      </w:r>
      <w:r w:rsidR="00B25A40">
        <w:rPr>
          <w:lang w:val="en-US"/>
        </w:rPr>
        <w:t xml:space="preserve">, </w:t>
      </w:r>
      <w:r w:rsidRPr="00B71ACF">
        <w:rPr>
          <w:lang w:val="en-US"/>
        </w:rPr>
        <w:t>312–318</w:t>
      </w:r>
      <w:r w:rsidR="00B25A40">
        <w:rPr>
          <w:lang w:val="en-US"/>
        </w:rPr>
        <w:t>, (</w:t>
      </w:r>
      <w:r w:rsidR="00B25A40" w:rsidRPr="00B71ACF">
        <w:rPr>
          <w:lang w:val="en-US"/>
        </w:rPr>
        <w:t>2018</w:t>
      </w:r>
      <w:r w:rsidR="00B25A40">
        <w:rPr>
          <w:lang w:val="en-US"/>
        </w:rPr>
        <w:t>).</w:t>
      </w:r>
    </w:p>
    <w:p w14:paraId="20A0364D" w14:textId="4B25F5A3" w:rsidR="009F4706" w:rsidRPr="00B71ACF" w:rsidRDefault="009F4706" w:rsidP="009F4706">
      <w:pPr>
        <w:pStyle w:val="Referencelist"/>
        <w:ind w:left="714" w:hanging="357"/>
        <w:rPr>
          <w:lang w:val="en-US"/>
        </w:rPr>
      </w:pPr>
      <w:r w:rsidRPr="00B71ACF">
        <w:rPr>
          <w:lang w:val="en-US"/>
        </w:rPr>
        <w:t xml:space="preserve">US EPA. SW-846 Test Method 3540C: </w:t>
      </w:r>
      <w:proofErr w:type="spellStart"/>
      <w:r w:rsidRPr="00B71ACF">
        <w:rPr>
          <w:lang w:val="en-US"/>
        </w:rPr>
        <w:t>Soxhlet</w:t>
      </w:r>
      <w:proofErr w:type="spellEnd"/>
      <w:r w:rsidRPr="00B71ACF">
        <w:rPr>
          <w:lang w:val="en-US"/>
        </w:rPr>
        <w:t xml:space="preserve"> Extraction, (1996).</w:t>
      </w:r>
    </w:p>
    <w:p w14:paraId="0CA44542" w14:textId="5D86E9B5" w:rsidR="009F4706" w:rsidRDefault="009F4706" w:rsidP="009F4706">
      <w:pPr>
        <w:pStyle w:val="Referencelist"/>
        <w:ind w:left="714" w:hanging="357"/>
        <w:rPr>
          <w:lang w:val="en-US"/>
        </w:rPr>
      </w:pPr>
      <w:r w:rsidRPr="00B71ACF">
        <w:rPr>
          <w:lang w:val="en-US"/>
        </w:rPr>
        <w:t>United States Environmental Protection Agency. SW 846 Test Method 9071B: N-hexane extractable material (HEM) for sludge, sediment, and solid samples, (1998).</w:t>
      </w:r>
    </w:p>
    <w:p w14:paraId="6067A252" w14:textId="78949322" w:rsidR="00F0420D" w:rsidRDefault="009F7D9F" w:rsidP="009F4706">
      <w:pPr>
        <w:pStyle w:val="Referencelist"/>
        <w:ind w:left="714" w:hanging="357"/>
        <w:rPr>
          <w:lang w:val="en-US"/>
        </w:rPr>
      </w:pPr>
      <w:proofErr w:type="spellStart"/>
      <w:r w:rsidRPr="009F7D9F">
        <w:rPr>
          <w:lang w:val="en-US"/>
        </w:rPr>
        <w:t>Özçimen</w:t>
      </w:r>
      <w:proofErr w:type="spellEnd"/>
      <w:r w:rsidRPr="009F7D9F">
        <w:rPr>
          <w:lang w:val="en-US"/>
        </w:rPr>
        <w:t>, D.</w:t>
      </w:r>
      <w:r>
        <w:rPr>
          <w:lang w:val="en-US"/>
        </w:rPr>
        <w:t>,</w:t>
      </w:r>
      <w:r w:rsidRPr="009F7D9F">
        <w:rPr>
          <w:lang w:val="en-US"/>
        </w:rPr>
        <w:t xml:space="preserve"> </w:t>
      </w:r>
      <w:proofErr w:type="spellStart"/>
      <w:r w:rsidRPr="009F7D9F">
        <w:rPr>
          <w:lang w:val="en-US"/>
        </w:rPr>
        <w:t>Karaosmanoğlu</w:t>
      </w:r>
      <w:proofErr w:type="spellEnd"/>
      <w:r w:rsidRPr="009F7D9F">
        <w:rPr>
          <w:lang w:val="en-US"/>
        </w:rPr>
        <w:t xml:space="preserve">, F., Production and characterization of bio-oil and </w:t>
      </w:r>
      <w:proofErr w:type="spellStart"/>
      <w:r w:rsidRPr="009F7D9F">
        <w:rPr>
          <w:lang w:val="en-US"/>
        </w:rPr>
        <w:t>biochar</w:t>
      </w:r>
      <w:proofErr w:type="spellEnd"/>
      <w:r w:rsidRPr="009F7D9F">
        <w:rPr>
          <w:lang w:val="en-US"/>
        </w:rPr>
        <w:t xml:space="preserve"> from rapeseed cake. Renewable energy, 29(5), pp.779-787</w:t>
      </w:r>
      <w:r>
        <w:rPr>
          <w:lang w:val="en-US"/>
        </w:rPr>
        <w:t>, (</w:t>
      </w:r>
      <w:r w:rsidRPr="009F7D9F">
        <w:rPr>
          <w:lang w:val="en-US"/>
        </w:rPr>
        <w:t>2004</w:t>
      </w:r>
      <w:r>
        <w:rPr>
          <w:lang w:val="en-US"/>
        </w:rPr>
        <w:t>)</w:t>
      </w:r>
      <w:r w:rsidRPr="009F7D9F">
        <w:rPr>
          <w:lang w:val="en-US"/>
        </w:rPr>
        <w:t>.</w:t>
      </w:r>
    </w:p>
    <w:p w14:paraId="3617ADFC" w14:textId="397523D2" w:rsidR="004B0097" w:rsidRPr="004B0097" w:rsidRDefault="004B0097" w:rsidP="004B0097">
      <w:pPr>
        <w:pStyle w:val="Referencelist"/>
        <w:ind w:left="714" w:hanging="357"/>
        <w:rPr>
          <w:lang w:val="en-US"/>
        </w:rPr>
      </w:pPr>
      <w:r w:rsidRPr="00B71ACF">
        <w:rPr>
          <w:lang w:val="en-US"/>
        </w:rPr>
        <w:t>File, Powder Diffraction. "Joint Committee on Powder Diffraction Standards, International Centre for Diffraction Data." Newton Square, PA., Card 25-1280 (1987).</w:t>
      </w:r>
    </w:p>
    <w:p w14:paraId="5D9B0236" w14:textId="5833B9B0" w:rsidR="004B0097" w:rsidRPr="004B0097" w:rsidRDefault="004B0097" w:rsidP="004B0097">
      <w:pPr>
        <w:pStyle w:val="Referencelist"/>
        <w:ind w:left="714" w:hanging="357"/>
        <w:rPr>
          <w:lang w:val="en-US"/>
        </w:rPr>
      </w:pPr>
      <w:r w:rsidRPr="00DD7656">
        <w:rPr>
          <w:lang w:val="en-US"/>
        </w:rPr>
        <w:t>Xu, T., Zhang, H., Zhan, X. and Wang, Y., Pyrolysis kinetics and environmental risks of oil-based drill cuttings at China’s largest shale gas exploitation site. Ecotoxicology and Environmental Safety, 246, p.114189</w:t>
      </w:r>
      <w:r>
        <w:rPr>
          <w:lang w:val="en-US"/>
        </w:rPr>
        <w:t>, (2022).</w:t>
      </w:r>
    </w:p>
    <w:p w14:paraId="2DFA9BCA" w14:textId="40F3A202" w:rsidR="00CF58C3" w:rsidRPr="009F7D9F" w:rsidRDefault="00CF58C3" w:rsidP="009F4706">
      <w:pPr>
        <w:pStyle w:val="Referencelist"/>
        <w:ind w:left="714" w:hanging="357"/>
        <w:rPr>
          <w:lang w:val="es-AR"/>
        </w:rPr>
      </w:pPr>
      <w:r w:rsidRPr="00C32225">
        <w:rPr>
          <w:lang w:val="es-ES"/>
        </w:rPr>
        <w:t xml:space="preserve">Herrero </w:t>
      </w:r>
      <w:proofErr w:type="spellStart"/>
      <w:r w:rsidRPr="00C32225">
        <w:rPr>
          <w:lang w:val="es-ES"/>
        </w:rPr>
        <w:t>Ducloux</w:t>
      </w:r>
      <w:proofErr w:type="spellEnd"/>
      <w:r w:rsidRPr="00C32225">
        <w:rPr>
          <w:lang w:val="es-ES"/>
        </w:rPr>
        <w:t>, A.</w:t>
      </w:r>
      <w:r w:rsidR="00B66493" w:rsidRPr="00C32225">
        <w:rPr>
          <w:lang w:val="es-ES"/>
        </w:rPr>
        <w:t>,</w:t>
      </w:r>
      <w:r w:rsidRPr="00C32225">
        <w:rPr>
          <w:lang w:val="es-ES"/>
        </w:rPr>
        <w:t xml:space="preserve"> Reconocimiento de la zona situada entre la vía férrea, el río Neuquén y el meridiano de Plaza </w:t>
      </w:r>
      <w:proofErr w:type="spellStart"/>
      <w:r w:rsidRPr="00C32225">
        <w:rPr>
          <w:lang w:val="es-ES"/>
        </w:rPr>
        <w:t>Huincul</w:t>
      </w:r>
      <w:proofErr w:type="spellEnd"/>
      <w:r w:rsidRPr="00C32225">
        <w:rPr>
          <w:lang w:val="es-ES"/>
        </w:rPr>
        <w:t xml:space="preserve">. </w:t>
      </w:r>
      <w:r w:rsidRPr="009F7D9F">
        <w:rPr>
          <w:lang w:val="es-AR"/>
        </w:rPr>
        <w:t>Yacimientos Petrolíferos Fiscales. 23pp</w:t>
      </w:r>
      <w:r w:rsidR="00B66493" w:rsidRPr="009F7D9F">
        <w:rPr>
          <w:lang w:val="es-AR"/>
        </w:rPr>
        <w:t>, (1938).</w:t>
      </w:r>
    </w:p>
    <w:p w14:paraId="099D8EB3" w14:textId="00458A7B" w:rsidR="006E3D89" w:rsidRDefault="006E3D89" w:rsidP="009F4706">
      <w:pPr>
        <w:pStyle w:val="Referencelist"/>
        <w:ind w:left="714" w:hanging="357"/>
        <w:rPr>
          <w:lang w:val="en-US"/>
        </w:rPr>
      </w:pPr>
      <w:r w:rsidRPr="006E3D89">
        <w:rPr>
          <w:lang w:val="en-US"/>
        </w:rPr>
        <w:t xml:space="preserve">Shen, Y.J., </w:t>
      </w:r>
      <w:proofErr w:type="spellStart"/>
      <w:r w:rsidRPr="006E3D89">
        <w:rPr>
          <w:lang w:val="en-US"/>
        </w:rPr>
        <w:t>Hou</w:t>
      </w:r>
      <w:proofErr w:type="spellEnd"/>
      <w:r w:rsidRPr="006E3D89">
        <w:rPr>
          <w:lang w:val="en-US"/>
        </w:rPr>
        <w:t>, X., Yuan, J.Q., Wang, S.F. and Zhao, C.H.</w:t>
      </w:r>
      <w:r w:rsidR="00B25A40">
        <w:rPr>
          <w:lang w:val="en-US"/>
        </w:rPr>
        <w:t>,</w:t>
      </w:r>
      <w:r w:rsidRPr="006E3D89">
        <w:rPr>
          <w:lang w:val="en-US"/>
        </w:rPr>
        <w:t xml:space="preserve"> Thermal cracking characteristics of high-temperature granite suffering from different cooling shocks. International Journal of Fracture, 225, pp.153-168</w:t>
      </w:r>
      <w:r w:rsidR="00B25A40">
        <w:rPr>
          <w:lang w:val="en-US"/>
        </w:rPr>
        <w:t>, (</w:t>
      </w:r>
      <w:r w:rsidR="00B25A40" w:rsidRPr="006E3D89">
        <w:rPr>
          <w:lang w:val="en-US"/>
        </w:rPr>
        <w:t>2020</w:t>
      </w:r>
      <w:r w:rsidR="00B25A40">
        <w:rPr>
          <w:lang w:val="en-US"/>
        </w:rPr>
        <w:t>).</w:t>
      </w:r>
    </w:p>
    <w:p w14:paraId="4AE7D34F" w14:textId="53676C27" w:rsidR="006E3D89" w:rsidRDefault="006E3D89" w:rsidP="009F4706">
      <w:pPr>
        <w:pStyle w:val="Referencelist"/>
        <w:ind w:left="714" w:hanging="357"/>
        <w:rPr>
          <w:lang w:val="en-US"/>
        </w:rPr>
      </w:pPr>
      <w:proofErr w:type="spellStart"/>
      <w:r w:rsidRPr="006E3D89">
        <w:rPr>
          <w:lang w:val="en-US"/>
        </w:rPr>
        <w:t>Wendlandt</w:t>
      </w:r>
      <w:proofErr w:type="spellEnd"/>
      <w:r w:rsidRPr="006E3D89">
        <w:rPr>
          <w:lang w:val="en-US"/>
        </w:rPr>
        <w:t xml:space="preserve"> W</w:t>
      </w:r>
      <w:r w:rsidR="004B0097">
        <w:rPr>
          <w:lang w:val="en-US"/>
        </w:rPr>
        <w:t>.</w:t>
      </w:r>
      <w:r w:rsidRPr="006E3D89">
        <w:rPr>
          <w:lang w:val="en-US"/>
        </w:rPr>
        <w:t xml:space="preserve">W. Thermal analysis. John Wiley &amp;Sons, 3rd </w:t>
      </w:r>
      <w:proofErr w:type="spellStart"/>
      <w:r w:rsidRPr="006E3D89">
        <w:rPr>
          <w:lang w:val="en-US"/>
        </w:rPr>
        <w:t>ed</w:t>
      </w:r>
      <w:proofErr w:type="spellEnd"/>
      <w:r w:rsidRPr="006E3D89">
        <w:rPr>
          <w:lang w:val="en-US"/>
        </w:rPr>
        <w:t>: London, 814 pp</w:t>
      </w:r>
      <w:r>
        <w:rPr>
          <w:lang w:val="en-US"/>
        </w:rPr>
        <w:t xml:space="preserve">, </w:t>
      </w:r>
      <w:r w:rsidRPr="006E3D89">
        <w:rPr>
          <w:lang w:val="en-US"/>
        </w:rPr>
        <w:t>(1986)</w:t>
      </w:r>
      <w:r>
        <w:rPr>
          <w:lang w:val="en-US"/>
        </w:rPr>
        <w:t>.</w:t>
      </w:r>
    </w:p>
    <w:p w14:paraId="73AA7883" w14:textId="2E70023D" w:rsidR="00762B9B" w:rsidRDefault="00762B9B" w:rsidP="009F4706">
      <w:pPr>
        <w:pStyle w:val="Referencelist"/>
        <w:ind w:left="714" w:hanging="357"/>
        <w:rPr>
          <w:lang w:val="en-US"/>
        </w:rPr>
      </w:pPr>
      <w:proofErr w:type="spellStart"/>
      <w:r w:rsidRPr="00762B9B">
        <w:rPr>
          <w:lang w:val="en-US"/>
        </w:rPr>
        <w:t>Sakizci</w:t>
      </w:r>
      <w:proofErr w:type="spellEnd"/>
      <w:r w:rsidRPr="00762B9B">
        <w:rPr>
          <w:lang w:val="en-US"/>
        </w:rPr>
        <w:t xml:space="preserve">, M., </w:t>
      </w:r>
      <w:proofErr w:type="spellStart"/>
      <w:r w:rsidRPr="00762B9B">
        <w:rPr>
          <w:lang w:val="en-US"/>
        </w:rPr>
        <w:t>Alver</w:t>
      </w:r>
      <w:proofErr w:type="spellEnd"/>
      <w:r w:rsidRPr="00762B9B">
        <w:rPr>
          <w:lang w:val="en-US"/>
        </w:rPr>
        <w:t xml:space="preserve">, B.E., </w:t>
      </w:r>
      <w:proofErr w:type="spellStart"/>
      <w:r w:rsidRPr="00762B9B">
        <w:rPr>
          <w:lang w:val="en-US"/>
        </w:rPr>
        <w:t>Alver</w:t>
      </w:r>
      <w:proofErr w:type="spellEnd"/>
      <w:r w:rsidRPr="00762B9B">
        <w:rPr>
          <w:lang w:val="en-US"/>
        </w:rPr>
        <w:t xml:space="preserve">, Ö. and </w:t>
      </w:r>
      <w:proofErr w:type="spellStart"/>
      <w:r w:rsidRPr="00762B9B">
        <w:rPr>
          <w:lang w:val="en-US"/>
        </w:rPr>
        <w:t>Yörükoğullari</w:t>
      </w:r>
      <w:proofErr w:type="spellEnd"/>
      <w:r w:rsidRPr="00762B9B">
        <w:rPr>
          <w:lang w:val="en-US"/>
        </w:rPr>
        <w:t xml:space="preserve">, E., Spectroscopic and thermal studies of bentonites from </w:t>
      </w:r>
      <w:proofErr w:type="spellStart"/>
      <w:r w:rsidRPr="00762B9B">
        <w:rPr>
          <w:lang w:val="en-US"/>
        </w:rPr>
        <w:t>Ünye</w:t>
      </w:r>
      <w:proofErr w:type="spellEnd"/>
      <w:r w:rsidRPr="00762B9B">
        <w:rPr>
          <w:lang w:val="en-US"/>
        </w:rPr>
        <w:t>, Turkey. Journal of Molecular Structure, 969(1-3), pp.187-191</w:t>
      </w:r>
      <w:r>
        <w:rPr>
          <w:lang w:val="en-US"/>
        </w:rPr>
        <w:t xml:space="preserve"> (</w:t>
      </w:r>
      <w:r w:rsidRPr="00762B9B">
        <w:rPr>
          <w:lang w:val="en-US"/>
        </w:rPr>
        <w:t>2010</w:t>
      </w:r>
      <w:r>
        <w:rPr>
          <w:lang w:val="en-US"/>
        </w:rPr>
        <w:t>)</w:t>
      </w:r>
      <w:r w:rsidRPr="00762B9B">
        <w:rPr>
          <w:lang w:val="en-US"/>
        </w:rPr>
        <w:t>.</w:t>
      </w:r>
    </w:p>
    <w:p w14:paraId="4B86D65B" w14:textId="77777777" w:rsidR="004E46C9" w:rsidRPr="00B71ACF" w:rsidRDefault="004E46C9" w:rsidP="00030EF2">
      <w:pPr>
        <w:spacing w:line="360" w:lineRule="auto"/>
        <w:rPr>
          <w:rFonts w:ascii="Times New Roman" w:hAnsi="Times New Roman" w:cs="Times New Roman"/>
          <w:sz w:val="24"/>
          <w:szCs w:val="24"/>
          <w:lang w:val="en-US"/>
        </w:rPr>
      </w:pPr>
    </w:p>
    <w:sectPr w:rsidR="004E46C9" w:rsidRPr="00B71ACF" w:rsidSect="00126D4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2902"/>
    <w:multiLevelType w:val="multilevel"/>
    <w:tmpl w:val="2BE8ACCC"/>
    <w:lvl w:ilvl="0">
      <w:start w:val="1"/>
      <w:numFmt w:val="decimal"/>
      <w:lvlText w:val="%1."/>
      <w:lvlJc w:val="left"/>
      <w:pPr>
        <w:ind w:left="720" w:hanging="360"/>
      </w:pPr>
    </w:lvl>
    <w:lvl w:ilvl="1">
      <w:start w:val="1"/>
      <w:numFmt w:val="decimal"/>
      <w:isLgl/>
      <w:lvlText w:val="%1.%2"/>
      <w:lvlJc w:val="left"/>
      <w:pPr>
        <w:ind w:left="720" w:hanging="360"/>
      </w:pPr>
      <w:rPr>
        <w:rFonts w:hint="default"/>
        <w:b/>
        <w:bCs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1"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C47F0"/>
    <w:multiLevelType w:val="multilevel"/>
    <w:tmpl w:val="ED5EA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1D"/>
    <w:rsid w:val="00001CCF"/>
    <w:rsid w:val="00030EF2"/>
    <w:rsid w:val="00042785"/>
    <w:rsid w:val="000506F1"/>
    <w:rsid w:val="00050C00"/>
    <w:rsid w:val="00056626"/>
    <w:rsid w:val="000571B6"/>
    <w:rsid w:val="00075773"/>
    <w:rsid w:val="00087115"/>
    <w:rsid w:val="00090750"/>
    <w:rsid w:val="00095B1D"/>
    <w:rsid w:val="000A647E"/>
    <w:rsid w:val="000D18F1"/>
    <w:rsid w:val="00101B25"/>
    <w:rsid w:val="00106529"/>
    <w:rsid w:val="00122619"/>
    <w:rsid w:val="00124378"/>
    <w:rsid w:val="00126D44"/>
    <w:rsid w:val="00133339"/>
    <w:rsid w:val="00150CAB"/>
    <w:rsid w:val="00156851"/>
    <w:rsid w:val="00167E07"/>
    <w:rsid w:val="00174717"/>
    <w:rsid w:val="0019107E"/>
    <w:rsid w:val="001B049B"/>
    <w:rsid w:val="001B34BA"/>
    <w:rsid w:val="001E28F0"/>
    <w:rsid w:val="001F1AA3"/>
    <w:rsid w:val="00201A59"/>
    <w:rsid w:val="00204EEB"/>
    <w:rsid w:val="002269FF"/>
    <w:rsid w:val="00227A99"/>
    <w:rsid w:val="002323F9"/>
    <w:rsid w:val="002340DB"/>
    <w:rsid w:val="00235D75"/>
    <w:rsid w:val="00264306"/>
    <w:rsid w:val="00266991"/>
    <w:rsid w:val="00275672"/>
    <w:rsid w:val="0027572F"/>
    <w:rsid w:val="00281508"/>
    <w:rsid w:val="002843E1"/>
    <w:rsid w:val="00285A40"/>
    <w:rsid w:val="00286156"/>
    <w:rsid w:val="00287C5C"/>
    <w:rsid w:val="002A6B09"/>
    <w:rsid w:val="002B21E6"/>
    <w:rsid w:val="002C3C4D"/>
    <w:rsid w:val="002D7195"/>
    <w:rsid w:val="002D74BC"/>
    <w:rsid w:val="00300041"/>
    <w:rsid w:val="00357BAD"/>
    <w:rsid w:val="003711FA"/>
    <w:rsid w:val="00393431"/>
    <w:rsid w:val="003A1867"/>
    <w:rsid w:val="003A4A44"/>
    <w:rsid w:val="003B49C2"/>
    <w:rsid w:val="003E3698"/>
    <w:rsid w:val="003E7584"/>
    <w:rsid w:val="003F4878"/>
    <w:rsid w:val="00400D17"/>
    <w:rsid w:val="00401C39"/>
    <w:rsid w:val="00402720"/>
    <w:rsid w:val="00405316"/>
    <w:rsid w:val="00410CA1"/>
    <w:rsid w:val="004212E4"/>
    <w:rsid w:val="00422328"/>
    <w:rsid w:val="004506B6"/>
    <w:rsid w:val="00457F84"/>
    <w:rsid w:val="00460A1E"/>
    <w:rsid w:val="00470AE1"/>
    <w:rsid w:val="004746B1"/>
    <w:rsid w:val="00484A35"/>
    <w:rsid w:val="00495E58"/>
    <w:rsid w:val="004A06DE"/>
    <w:rsid w:val="004B002B"/>
    <w:rsid w:val="004B0097"/>
    <w:rsid w:val="004B4AF7"/>
    <w:rsid w:val="004B6327"/>
    <w:rsid w:val="004D5BDA"/>
    <w:rsid w:val="004D758B"/>
    <w:rsid w:val="004E2A51"/>
    <w:rsid w:val="004E46C9"/>
    <w:rsid w:val="004E695E"/>
    <w:rsid w:val="004F2610"/>
    <w:rsid w:val="005211E9"/>
    <w:rsid w:val="00531B32"/>
    <w:rsid w:val="00533181"/>
    <w:rsid w:val="00534E33"/>
    <w:rsid w:val="0054722C"/>
    <w:rsid w:val="0058416D"/>
    <w:rsid w:val="00584A2F"/>
    <w:rsid w:val="005914B8"/>
    <w:rsid w:val="005924CE"/>
    <w:rsid w:val="005B7697"/>
    <w:rsid w:val="005C68B1"/>
    <w:rsid w:val="005D204C"/>
    <w:rsid w:val="005D40ED"/>
    <w:rsid w:val="005D7D66"/>
    <w:rsid w:val="005E7C09"/>
    <w:rsid w:val="005F1446"/>
    <w:rsid w:val="005F1B59"/>
    <w:rsid w:val="005F3124"/>
    <w:rsid w:val="00604C80"/>
    <w:rsid w:val="00616B06"/>
    <w:rsid w:val="00624CB3"/>
    <w:rsid w:val="00686C17"/>
    <w:rsid w:val="006A22A6"/>
    <w:rsid w:val="006A3552"/>
    <w:rsid w:val="006A4E02"/>
    <w:rsid w:val="006A741D"/>
    <w:rsid w:val="006B611C"/>
    <w:rsid w:val="006E073B"/>
    <w:rsid w:val="006E3D89"/>
    <w:rsid w:val="006F409F"/>
    <w:rsid w:val="006F421A"/>
    <w:rsid w:val="00700879"/>
    <w:rsid w:val="00700CDA"/>
    <w:rsid w:val="00702EB8"/>
    <w:rsid w:val="00704B46"/>
    <w:rsid w:val="00713149"/>
    <w:rsid w:val="00723FE5"/>
    <w:rsid w:val="00736563"/>
    <w:rsid w:val="00762B9B"/>
    <w:rsid w:val="0077494B"/>
    <w:rsid w:val="00786109"/>
    <w:rsid w:val="007D01E4"/>
    <w:rsid w:val="007D116C"/>
    <w:rsid w:val="007D7A28"/>
    <w:rsid w:val="007F7ACA"/>
    <w:rsid w:val="008068F4"/>
    <w:rsid w:val="00806B44"/>
    <w:rsid w:val="00811060"/>
    <w:rsid w:val="00814698"/>
    <w:rsid w:val="00814824"/>
    <w:rsid w:val="008148B9"/>
    <w:rsid w:val="0082440A"/>
    <w:rsid w:val="00844E99"/>
    <w:rsid w:val="00857950"/>
    <w:rsid w:val="00862EA0"/>
    <w:rsid w:val="00876F45"/>
    <w:rsid w:val="008A4E63"/>
    <w:rsid w:val="008A59F3"/>
    <w:rsid w:val="008B235E"/>
    <w:rsid w:val="008B2FEF"/>
    <w:rsid w:val="008D2FF1"/>
    <w:rsid w:val="008D4E49"/>
    <w:rsid w:val="008E6486"/>
    <w:rsid w:val="009063F6"/>
    <w:rsid w:val="0093762C"/>
    <w:rsid w:val="00955ACA"/>
    <w:rsid w:val="00966B3A"/>
    <w:rsid w:val="0096704B"/>
    <w:rsid w:val="009677C5"/>
    <w:rsid w:val="00967CD5"/>
    <w:rsid w:val="00970277"/>
    <w:rsid w:val="009930C5"/>
    <w:rsid w:val="009B5A89"/>
    <w:rsid w:val="009F2421"/>
    <w:rsid w:val="009F2949"/>
    <w:rsid w:val="009F4706"/>
    <w:rsid w:val="009F7D9F"/>
    <w:rsid w:val="00A05359"/>
    <w:rsid w:val="00A06F48"/>
    <w:rsid w:val="00A16434"/>
    <w:rsid w:val="00A205D7"/>
    <w:rsid w:val="00A22F68"/>
    <w:rsid w:val="00A532A0"/>
    <w:rsid w:val="00A56ABA"/>
    <w:rsid w:val="00A60C29"/>
    <w:rsid w:val="00A76EB6"/>
    <w:rsid w:val="00A86EE6"/>
    <w:rsid w:val="00A8732A"/>
    <w:rsid w:val="00A97158"/>
    <w:rsid w:val="00AA1F95"/>
    <w:rsid w:val="00AA2419"/>
    <w:rsid w:val="00AA738D"/>
    <w:rsid w:val="00AB7FC7"/>
    <w:rsid w:val="00AC4083"/>
    <w:rsid w:val="00AD05F9"/>
    <w:rsid w:val="00AD0C99"/>
    <w:rsid w:val="00AD71FD"/>
    <w:rsid w:val="00AF49C6"/>
    <w:rsid w:val="00B23A3A"/>
    <w:rsid w:val="00B23A40"/>
    <w:rsid w:val="00B23D66"/>
    <w:rsid w:val="00B25A40"/>
    <w:rsid w:val="00B52AFD"/>
    <w:rsid w:val="00B626B2"/>
    <w:rsid w:val="00B66493"/>
    <w:rsid w:val="00B71ACF"/>
    <w:rsid w:val="00B75816"/>
    <w:rsid w:val="00B80B38"/>
    <w:rsid w:val="00B852B2"/>
    <w:rsid w:val="00B859F1"/>
    <w:rsid w:val="00B918DB"/>
    <w:rsid w:val="00B938BB"/>
    <w:rsid w:val="00B972A0"/>
    <w:rsid w:val="00BA02D4"/>
    <w:rsid w:val="00BA0C06"/>
    <w:rsid w:val="00BA4A57"/>
    <w:rsid w:val="00BB23C7"/>
    <w:rsid w:val="00BC4EEA"/>
    <w:rsid w:val="00BD2286"/>
    <w:rsid w:val="00BF07D7"/>
    <w:rsid w:val="00C26ED6"/>
    <w:rsid w:val="00C32225"/>
    <w:rsid w:val="00C35C90"/>
    <w:rsid w:val="00C403F4"/>
    <w:rsid w:val="00C41436"/>
    <w:rsid w:val="00C422A8"/>
    <w:rsid w:val="00C71715"/>
    <w:rsid w:val="00C748A1"/>
    <w:rsid w:val="00C75F2F"/>
    <w:rsid w:val="00C90CA4"/>
    <w:rsid w:val="00CA1241"/>
    <w:rsid w:val="00CA770F"/>
    <w:rsid w:val="00CB52CB"/>
    <w:rsid w:val="00CC22E2"/>
    <w:rsid w:val="00CD07CB"/>
    <w:rsid w:val="00CD2412"/>
    <w:rsid w:val="00CF295A"/>
    <w:rsid w:val="00CF533C"/>
    <w:rsid w:val="00CF58C3"/>
    <w:rsid w:val="00D00B68"/>
    <w:rsid w:val="00D00E04"/>
    <w:rsid w:val="00D06504"/>
    <w:rsid w:val="00D2260B"/>
    <w:rsid w:val="00D318C6"/>
    <w:rsid w:val="00D53B97"/>
    <w:rsid w:val="00D669EA"/>
    <w:rsid w:val="00D8176A"/>
    <w:rsid w:val="00D818B8"/>
    <w:rsid w:val="00D972C5"/>
    <w:rsid w:val="00DA6D36"/>
    <w:rsid w:val="00DC63D5"/>
    <w:rsid w:val="00DD7656"/>
    <w:rsid w:val="00DF4097"/>
    <w:rsid w:val="00E04F3E"/>
    <w:rsid w:val="00E06412"/>
    <w:rsid w:val="00E1655A"/>
    <w:rsid w:val="00E3490B"/>
    <w:rsid w:val="00E4710B"/>
    <w:rsid w:val="00E6646F"/>
    <w:rsid w:val="00E672DF"/>
    <w:rsid w:val="00E82BAB"/>
    <w:rsid w:val="00E85675"/>
    <w:rsid w:val="00EC2F6A"/>
    <w:rsid w:val="00EE10B0"/>
    <w:rsid w:val="00F02DAB"/>
    <w:rsid w:val="00F0420D"/>
    <w:rsid w:val="00F14592"/>
    <w:rsid w:val="00F450AF"/>
    <w:rsid w:val="00F4565B"/>
    <w:rsid w:val="00F51BB9"/>
    <w:rsid w:val="00FA1C80"/>
    <w:rsid w:val="00FB13CB"/>
    <w:rsid w:val="00FB2FF6"/>
    <w:rsid w:val="00FC68D3"/>
    <w:rsid w:val="00FD3551"/>
    <w:rsid w:val="00FD45AB"/>
    <w:rsid w:val="00FD49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EADD"/>
  <w15:chartTrackingRefBased/>
  <w15:docId w15:val="{AA6557DF-E018-4415-A9F9-585053DE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line="260" w:lineRule="atLeast"/>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5B1D"/>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
    <w:name w:val="Hyperlink"/>
    <w:basedOn w:val="Fuentedeprrafopredeter"/>
    <w:uiPriority w:val="99"/>
    <w:unhideWhenUsed/>
    <w:rsid w:val="00C26ED6"/>
    <w:rPr>
      <w:color w:val="0000FF"/>
      <w:u w:val="single"/>
    </w:rPr>
  </w:style>
  <w:style w:type="table" w:styleId="Tablaconcuadrcula">
    <w:name w:val="Table Grid"/>
    <w:basedOn w:val="Tablanormal"/>
    <w:uiPriority w:val="39"/>
    <w:rsid w:val="00B859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269FF"/>
    <w:rPr>
      <w:color w:val="605E5C"/>
      <w:shd w:val="clear" w:color="auto" w:fill="E1DFDD"/>
    </w:rPr>
  </w:style>
  <w:style w:type="paragraph" w:styleId="Prrafodelista">
    <w:name w:val="List Paragraph"/>
    <w:basedOn w:val="Normal"/>
    <w:uiPriority w:val="34"/>
    <w:qFormat/>
    <w:rsid w:val="00EC2F6A"/>
    <w:pPr>
      <w:ind w:left="720"/>
      <w:contextualSpacing/>
    </w:pPr>
  </w:style>
  <w:style w:type="paragraph" w:customStyle="1" w:styleId="Referencelist">
    <w:name w:val="Reference list"/>
    <w:basedOn w:val="Textoindependiente"/>
    <w:link w:val="ReferencelistChar"/>
    <w:uiPriority w:val="49"/>
    <w:qFormat/>
    <w:rsid w:val="004E46C9"/>
    <w:pPr>
      <w:numPr>
        <w:numId w:val="2"/>
      </w:numPr>
      <w:spacing w:after="0"/>
      <w:contextualSpacing/>
    </w:pPr>
    <w:rPr>
      <w:rFonts w:ascii="Times New Roman" w:eastAsia="Times New Roman" w:hAnsi="Times New Roman" w:cs="Times New Roman"/>
      <w:kern w:val="0"/>
      <w:sz w:val="18"/>
      <w:szCs w:val="18"/>
      <w:lang w:val="en-GB"/>
      <w14:ligatures w14:val="none"/>
    </w:rPr>
  </w:style>
  <w:style w:type="character" w:customStyle="1" w:styleId="ReferencelistChar">
    <w:name w:val="Reference list Char"/>
    <w:basedOn w:val="TextoindependienteCar"/>
    <w:link w:val="Referencelist"/>
    <w:uiPriority w:val="49"/>
    <w:rsid w:val="004E46C9"/>
    <w:rPr>
      <w:rFonts w:ascii="Times New Roman" w:eastAsia="Times New Roman" w:hAnsi="Times New Roman" w:cs="Times New Roman"/>
      <w:kern w:val="0"/>
      <w:sz w:val="18"/>
      <w:szCs w:val="18"/>
      <w:lang w:val="en-GB"/>
      <w14:ligatures w14:val="none"/>
    </w:rPr>
  </w:style>
  <w:style w:type="paragraph" w:styleId="Textoindependiente">
    <w:name w:val="Body Text"/>
    <w:basedOn w:val="Normal"/>
    <w:link w:val="TextoindependienteCar"/>
    <w:uiPriority w:val="99"/>
    <w:semiHidden/>
    <w:unhideWhenUsed/>
    <w:rsid w:val="004E46C9"/>
    <w:pPr>
      <w:spacing w:after="120"/>
    </w:pPr>
  </w:style>
  <w:style w:type="character" w:customStyle="1" w:styleId="TextoindependienteCar">
    <w:name w:val="Texto independiente Car"/>
    <w:basedOn w:val="Fuentedeprrafopredeter"/>
    <w:link w:val="Textoindependiente"/>
    <w:uiPriority w:val="99"/>
    <w:semiHidden/>
    <w:rsid w:val="004E46C9"/>
  </w:style>
  <w:style w:type="table" w:customStyle="1" w:styleId="Tablaconcuadrcula1">
    <w:name w:val="Tabla con cuadrícula1"/>
    <w:basedOn w:val="Tablanormal"/>
    <w:next w:val="Tablaconcuadrcula"/>
    <w:locked/>
    <w:rsid w:val="00D669EA"/>
    <w:pPr>
      <w:spacing w:line="240" w:lineRule="auto"/>
      <w:ind w:firstLine="0"/>
      <w:jc w:val="left"/>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D7195"/>
    <w:pPr>
      <w:spacing w:line="240" w:lineRule="auto"/>
      <w:ind w:firstLine="0"/>
      <w:jc w:val="left"/>
    </w:pPr>
    <w:rPr>
      <w:rFonts w:ascii="Times New Roman" w:hAnsi="Times New Roman"/>
      <w:kern w:val="0"/>
      <w:sz w:val="24"/>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84A35"/>
    <w:pPr>
      <w:spacing w:line="240" w:lineRule="auto"/>
      <w:ind w:firstLine="0"/>
      <w:jc w:val="left"/>
    </w:pPr>
    <w:rPr>
      <w:rFonts w:ascii="Times New Roman" w:hAnsi="Times New Roman"/>
      <w:kern w:val="0"/>
      <w:sz w:val="24"/>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02720"/>
    <w:pPr>
      <w:spacing w:line="240" w:lineRule="auto"/>
      <w:ind w:firstLine="0"/>
      <w:jc w:val="left"/>
    </w:pPr>
    <w:rPr>
      <w:rFonts w:ascii="Times New Roman" w:hAnsi="Times New Roman"/>
      <w:kern w:val="0"/>
      <w:sz w:val="24"/>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3427">
      <w:bodyDiv w:val="1"/>
      <w:marLeft w:val="0"/>
      <w:marRight w:val="0"/>
      <w:marTop w:val="0"/>
      <w:marBottom w:val="0"/>
      <w:divBdr>
        <w:top w:val="none" w:sz="0" w:space="0" w:color="auto"/>
        <w:left w:val="none" w:sz="0" w:space="0" w:color="auto"/>
        <w:bottom w:val="none" w:sz="0" w:space="0" w:color="auto"/>
        <w:right w:val="none" w:sz="0" w:space="0" w:color="auto"/>
      </w:divBdr>
    </w:div>
    <w:div w:id="417942640">
      <w:bodyDiv w:val="1"/>
      <w:marLeft w:val="0"/>
      <w:marRight w:val="0"/>
      <w:marTop w:val="0"/>
      <w:marBottom w:val="0"/>
      <w:divBdr>
        <w:top w:val="none" w:sz="0" w:space="0" w:color="auto"/>
        <w:left w:val="none" w:sz="0" w:space="0" w:color="auto"/>
        <w:bottom w:val="none" w:sz="0" w:space="0" w:color="auto"/>
        <w:right w:val="none" w:sz="0" w:space="0" w:color="auto"/>
      </w:divBdr>
    </w:div>
    <w:div w:id="457844225">
      <w:bodyDiv w:val="1"/>
      <w:marLeft w:val="0"/>
      <w:marRight w:val="0"/>
      <w:marTop w:val="0"/>
      <w:marBottom w:val="0"/>
      <w:divBdr>
        <w:top w:val="none" w:sz="0" w:space="0" w:color="auto"/>
        <w:left w:val="none" w:sz="0" w:space="0" w:color="auto"/>
        <w:bottom w:val="none" w:sz="0" w:space="0" w:color="auto"/>
        <w:right w:val="none" w:sz="0" w:space="0" w:color="auto"/>
      </w:divBdr>
    </w:div>
    <w:div w:id="806243980">
      <w:bodyDiv w:val="1"/>
      <w:marLeft w:val="0"/>
      <w:marRight w:val="0"/>
      <w:marTop w:val="0"/>
      <w:marBottom w:val="0"/>
      <w:divBdr>
        <w:top w:val="none" w:sz="0" w:space="0" w:color="auto"/>
        <w:left w:val="none" w:sz="0" w:space="0" w:color="auto"/>
        <w:bottom w:val="none" w:sz="0" w:space="0" w:color="auto"/>
        <w:right w:val="none" w:sz="0" w:space="0" w:color="auto"/>
      </w:divBdr>
    </w:div>
    <w:div w:id="973488617">
      <w:bodyDiv w:val="1"/>
      <w:marLeft w:val="0"/>
      <w:marRight w:val="0"/>
      <w:marTop w:val="0"/>
      <w:marBottom w:val="0"/>
      <w:divBdr>
        <w:top w:val="none" w:sz="0" w:space="0" w:color="auto"/>
        <w:left w:val="none" w:sz="0" w:space="0" w:color="auto"/>
        <w:bottom w:val="none" w:sz="0" w:space="0" w:color="auto"/>
        <w:right w:val="none" w:sz="0" w:space="0" w:color="auto"/>
      </w:divBdr>
    </w:div>
    <w:div w:id="1394541923">
      <w:bodyDiv w:val="1"/>
      <w:marLeft w:val="0"/>
      <w:marRight w:val="0"/>
      <w:marTop w:val="0"/>
      <w:marBottom w:val="0"/>
      <w:divBdr>
        <w:top w:val="none" w:sz="0" w:space="0" w:color="auto"/>
        <w:left w:val="none" w:sz="0" w:space="0" w:color="auto"/>
        <w:bottom w:val="none" w:sz="0" w:space="0" w:color="auto"/>
        <w:right w:val="none" w:sz="0" w:space="0" w:color="auto"/>
      </w:divBdr>
    </w:div>
    <w:div w:id="15553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dres.reyes@probien.gob.a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rman.mazza@probien.gob.ar" TargetMode="Externa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66C5-B81B-4409-9262-CFF549A9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6</Pages>
  <Words>2791</Words>
  <Characters>15356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Andreu</dc:creator>
  <cp:keywords/>
  <dc:description/>
  <cp:lastModifiedBy>Fouga</cp:lastModifiedBy>
  <cp:revision>19</cp:revision>
  <dcterms:created xsi:type="dcterms:W3CDTF">2024-08-06T17:11:00Z</dcterms:created>
  <dcterms:modified xsi:type="dcterms:W3CDTF">2024-08-15T16:12:00Z</dcterms:modified>
</cp:coreProperties>
</file>